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30DDAF8D"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074E2D">
        <w:rPr>
          <w:rFonts w:ascii="Palatino Linotype" w:eastAsia="Times New Roman" w:hAnsi="Palatino Linotype" w:cs="Arial"/>
          <w:color w:val="000000"/>
          <w:sz w:val="24"/>
          <w:szCs w:val="24"/>
          <w:lang w:eastAsia="es-MX"/>
        </w:rPr>
        <w:t>veintiocho</w:t>
      </w:r>
      <w:r w:rsidR="00A056DB">
        <w:rPr>
          <w:rFonts w:ascii="Palatino Linotype" w:eastAsia="Times New Roman" w:hAnsi="Palatino Linotype" w:cs="Arial"/>
          <w:color w:val="000000"/>
          <w:sz w:val="24"/>
          <w:szCs w:val="24"/>
          <w:lang w:eastAsia="es-MX"/>
        </w:rPr>
        <w:t xml:space="preserve"> de febrero de dos mil veinticuatro. </w:t>
      </w:r>
      <w:r w:rsidR="006A76AB">
        <w:rPr>
          <w:rFonts w:ascii="Palatino Linotype" w:eastAsia="Times New Roman" w:hAnsi="Palatino Linotype" w:cs="Arial"/>
          <w:color w:val="000000"/>
          <w:sz w:val="24"/>
          <w:szCs w:val="24"/>
          <w:lang w:eastAsia="es-MX"/>
        </w:rPr>
        <w:t xml:space="preserve"> </w:t>
      </w:r>
    </w:p>
    <w:p w14:paraId="75C36D1A" w14:textId="08C7360A" w:rsidR="00A056DB" w:rsidRPr="00A056DB"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A056DB">
        <w:rPr>
          <w:rFonts w:ascii="Palatino Linotype" w:hAnsi="Palatino Linotype" w:cs="Arial"/>
          <w:b/>
          <w:bCs/>
          <w:sz w:val="24"/>
        </w:rPr>
        <w:t>8315</w:t>
      </w:r>
      <w:r>
        <w:rPr>
          <w:rFonts w:ascii="Palatino Linotype" w:hAnsi="Palatino Linotype" w:cs="Arial"/>
          <w:b/>
          <w:sz w:val="24"/>
        </w:rPr>
        <w:t xml:space="preserve">/INFOEM/IP/RR/2023, </w:t>
      </w:r>
      <w:r>
        <w:rPr>
          <w:rFonts w:ascii="Palatino Linotype" w:hAnsi="Palatino Linotype" w:cs="Arial"/>
          <w:sz w:val="24"/>
        </w:rPr>
        <w:t xml:space="preserve">interpuesto </w:t>
      </w:r>
      <w:bookmarkStart w:id="0" w:name="_GoBack"/>
      <w:bookmarkEnd w:id="0"/>
      <w:r>
        <w:rPr>
          <w:rFonts w:ascii="Palatino Linotype" w:hAnsi="Palatino Linotype" w:cs="Arial"/>
          <w:sz w:val="24"/>
        </w:rPr>
        <w:t>por</w:t>
      </w:r>
      <w:r w:rsidR="00A056DB">
        <w:rPr>
          <w:rFonts w:ascii="Palatino Linotype" w:hAnsi="Palatino Linotype" w:cs="Arial"/>
          <w:sz w:val="24"/>
        </w:rPr>
        <w:t xml:space="preserve"> el </w:t>
      </w:r>
      <w:r w:rsidR="00A056DB">
        <w:rPr>
          <w:rFonts w:ascii="Palatino Linotype" w:hAnsi="Palatino Linotype" w:cs="Arial"/>
          <w:b/>
          <w:bCs/>
          <w:sz w:val="24"/>
        </w:rPr>
        <w:t xml:space="preserve">C. </w:t>
      </w:r>
      <w:r w:rsidR="00AE4355">
        <w:rPr>
          <w:rFonts w:ascii="Palatino Linotype" w:hAnsi="Palatino Linotype" w:cs="Arial"/>
          <w:b/>
          <w:bCs/>
          <w:sz w:val="24"/>
        </w:rPr>
        <w:t>XXXXXXXXXXXXXXXX</w:t>
      </w:r>
      <w:r w:rsidR="00A056DB">
        <w:rPr>
          <w:rFonts w:ascii="Palatino Linotype" w:hAnsi="Palatino Linotype" w:cs="Arial"/>
          <w:b/>
          <w:bCs/>
          <w:sz w:val="24"/>
        </w:rPr>
        <w:t xml:space="preserve"> </w:t>
      </w:r>
      <w:r w:rsidR="00AE4355">
        <w:rPr>
          <w:rFonts w:ascii="Palatino Linotype" w:hAnsi="Palatino Linotype" w:cs="Arial"/>
          <w:b/>
          <w:bCs/>
          <w:sz w:val="24"/>
        </w:rPr>
        <w:t>XXXXXXXX</w:t>
      </w:r>
      <w:r w:rsidR="00A056DB">
        <w:rPr>
          <w:rFonts w:ascii="Palatino Linotype" w:hAnsi="Palatino Linotype" w:cs="Arial"/>
          <w:b/>
          <w:bCs/>
          <w:sz w:val="24"/>
        </w:rPr>
        <w:t xml:space="preserve">, </w:t>
      </w:r>
      <w:r w:rsidR="00A056DB">
        <w:rPr>
          <w:rFonts w:ascii="Palatino Linotype" w:hAnsi="Palatino Linotype" w:cs="Arial"/>
          <w:sz w:val="24"/>
        </w:rPr>
        <w:t xml:space="preserve">en lo sucesivo </w:t>
      </w:r>
      <w:r w:rsidR="00A056DB">
        <w:rPr>
          <w:rFonts w:ascii="Palatino Linotype" w:hAnsi="Palatino Linotype" w:cs="Arial"/>
          <w:b/>
          <w:bCs/>
          <w:sz w:val="24"/>
        </w:rPr>
        <w:t xml:space="preserve">El Recurrente, </w:t>
      </w:r>
      <w:r w:rsidR="00A056DB">
        <w:rPr>
          <w:rFonts w:ascii="Palatino Linotype" w:hAnsi="Palatino Linotype" w:cs="Arial"/>
          <w:sz w:val="24"/>
        </w:rPr>
        <w:t xml:space="preserve">en contra de la respuesta del </w:t>
      </w:r>
      <w:r w:rsidR="00A056DB">
        <w:rPr>
          <w:rFonts w:ascii="Palatino Linotype" w:hAnsi="Palatino Linotype" w:cs="Arial"/>
          <w:b/>
          <w:bCs/>
          <w:sz w:val="24"/>
        </w:rPr>
        <w:t xml:space="preserve">Tribunal de Justicia Administrativa del Estado de México, </w:t>
      </w:r>
      <w:r w:rsidR="00A056DB">
        <w:rPr>
          <w:rFonts w:ascii="Palatino Linotype" w:hAnsi="Palatino Linotype" w:cs="Arial"/>
          <w:sz w:val="24"/>
        </w:rPr>
        <w:t xml:space="preserve">en lo sucesivo </w:t>
      </w:r>
      <w:r w:rsidR="00A056DB">
        <w:rPr>
          <w:rFonts w:ascii="Palatino Linotype" w:hAnsi="Palatino Linotype" w:cs="Arial"/>
          <w:b/>
          <w:bCs/>
          <w:sz w:val="24"/>
        </w:rPr>
        <w:t xml:space="preserve">El Sujeto Obligado, </w:t>
      </w:r>
      <w:r w:rsidR="00A056DB">
        <w:rPr>
          <w:rFonts w:ascii="Palatino Linotype" w:hAnsi="Palatino Linotype" w:cs="Arial"/>
          <w:sz w:val="24"/>
        </w:rPr>
        <w:t xml:space="preserve">se procede a dictar la presente resolución. </w:t>
      </w:r>
    </w:p>
    <w:p w14:paraId="30CBAE1F" w14:textId="77777777" w:rsidR="00FC2D20" w:rsidRDefault="00FC2D20"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5794179E" w14:textId="000DC09B" w:rsidR="00A056DB"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FC2D20">
        <w:rPr>
          <w:rFonts w:ascii="Palatino Linotype" w:hAnsi="Palatino Linotype" w:cs="Arial"/>
          <w:sz w:val="24"/>
        </w:rPr>
        <w:t xml:space="preserve"> </w:t>
      </w:r>
      <w:r w:rsidR="00A056DB">
        <w:rPr>
          <w:rFonts w:ascii="Palatino Linotype" w:hAnsi="Palatino Linotype" w:cs="Arial"/>
          <w:b/>
          <w:bCs/>
          <w:sz w:val="24"/>
        </w:rPr>
        <w:t xml:space="preserve">uno de noviembre de dos mil veintitrés, El Recurrente, </w:t>
      </w:r>
      <w:r w:rsidR="00A056DB">
        <w:rPr>
          <w:rFonts w:ascii="Palatino Linotype" w:hAnsi="Palatino Linotype" w:cs="Arial"/>
          <w:sz w:val="24"/>
        </w:rPr>
        <w:t xml:space="preserve">presentó a través del Sistema de Acceso a la Información Mexiquense </w:t>
      </w:r>
      <w:r w:rsidR="00A056DB">
        <w:rPr>
          <w:rFonts w:ascii="Palatino Linotype" w:hAnsi="Palatino Linotype" w:cs="Arial"/>
          <w:b/>
          <w:bCs/>
          <w:sz w:val="24"/>
        </w:rPr>
        <w:t xml:space="preserve">(SAIMEX) </w:t>
      </w:r>
      <w:r w:rsidR="00A056DB">
        <w:rPr>
          <w:rFonts w:ascii="Palatino Linotype" w:hAnsi="Palatino Linotype" w:cs="Arial"/>
          <w:sz w:val="24"/>
        </w:rPr>
        <w:t xml:space="preserve">ante </w:t>
      </w:r>
      <w:r w:rsidR="00A056DB">
        <w:rPr>
          <w:rFonts w:ascii="Palatino Linotype" w:hAnsi="Palatino Linotype" w:cs="Arial"/>
          <w:b/>
          <w:bCs/>
          <w:sz w:val="24"/>
        </w:rPr>
        <w:t xml:space="preserve">El Sujeto Obligado, </w:t>
      </w:r>
      <w:r w:rsidR="00A056DB">
        <w:rPr>
          <w:rFonts w:ascii="Palatino Linotype" w:hAnsi="Palatino Linotype" w:cs="Arial"/>
          <w:sz w:val="24"/>
        </w:rPr>
        <w:t xml:space="preserve">solicitud de </w:t>
      </w:r>
      <w:r w:rsidR="00D65314">
        <w:rPr>
          <w:rFonts w:ascii="Palatino Linotype" w:hAnsi="Palatino Linotype" w:cs="Arial"/>
          <w:sz w:val="24"/>
        </w:rPr>
        <w:t xml:space="preserve">acceso a la información pública, registrada bajo el número de expediente </w:t>
      </w:r>
      <w:r w:rsidR="00D65314">
        <w:rPr>
          <w:rFonts w:ascii="Palatino Linotype" w:hAnsi="Palatino Linotype" w:cs="Arial"/>
          <w:b/>
          <w:bCs/>
          <w:sz w:val="24"/>
        </w:rPr>
        <w:t xml:space="preserve">00261/TRIJAEM/IP/2023, </w:t>
      </w:r>
      <w:r w:rsidR="00D65314">
        <w:rPr>
          <w:rFonts w:ascii="Palatino Linotype" w:hAnsi="Palatino Linotype" w:cs="Arial"/>
          <w:sz w:val="24"/>
        </w:rPr>
        <w:t xml:space="preserve">mediante la cual solicitó información </w:t>
      </w:r>
      <w:r w:rsidR="009D25F5">
        <w:rPr>
          <w:rFonts w:ascii="Palatino Linotype" w:hAnsi="Palatino Linotype" w:cs="Arial"/>
          <w:sz w:val="24"/>
        </w:rPr>
        <w:t>en el tenor siguiente:</w:t>
      </w:r>
    </w:p>
    <w:p w14:paraId="3FC094DF" w14:textId="097B85B9" w:rsidR="009D25F5" w:rsidRPr="009D25F5" w:rsidRDefault="009D25F5" w:rsidP="009D25F5">
      <w:pPr>
        <w:pStyle w:val="Citas"/>
        <w:rPr>
          <w:b/>
          <w:bCs/>
          <w:sz w:val="24"/>
        </w:rPr>
      </w:pPr>
      <w:r>
        <w:t xml:space="preserve">“Se me entregue copia completa del video de la sesión del Pleno del Tribunal de Justicia Administrativa del Estado de México celebrada el 25 de septiembre de 2023. Dicha sesión se celebró de manera virtual” </w:t>
      </w:r>
      <w:r>
        <w:rPr>
          <w:b/>
          <w:bCs/>
        </w:rPr>
        <w:t>(Sic)</w:t>
      </w:r>
    </w:p>
    <w:p w14:paraId="0FDD1B9D" w14:textId="78EC3D35"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SAIMEX</w:t>
      </w:r>
      <w:r w:rsidR="00074E2D">
        <w:rPr>
          <w:rFonts w:ascii="Palatino Linotype" w:eastAsia="Times New Roman" w:hAnsi="Palatino Linotype" w:cs="Times New Roman"/>
          <w:sz w:val="24"/>
          <w:szCs w:val="24"/>
          <w:lang w:val="es-ES_tradnl" w:eastAsia="es-ES"/>
        </w:rPr>
        <w:t xml:space="preserve"> y CD-ROM (con costo)</w:t>
      </w:r>
    </w:p>
    <w:p w14:paraId="5FBE22B9" w14:textId="77777777" w:rsidR="00317C14" w:rsidRDefault="00317C14" w:rsidP="009B5029">
      <w:pPr>
        <w:spacing w:before="240" w:line="360" w:lineRule="auto"/>
        <w:jc w:val="both"/>
        <w:rPr>
          <w:rFonts w:ascii="Palatino Linotype" w:hAnsi="Palatino Linotype" w:cs="Arial"/>
          <w:b/>
          <w:sz w:val="28"/>
        </w:rPr>
      </w:pPr>
    </w:p>
    <w:p w14:paraId="32234D96" w14:textId="57CC9D5F" w:rsidR="009B5029" w:rsidRDefault="009B5029" w:rsidP="009B502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579A6DC7" w14:textId="74AC5D9E" w:rsidR="009D25F5"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9D25F5">
        <w:rPr>
          <w:rFonts w:ascii="Palatino Linotype" w:hAnsi="Palatino Linotype" w:cs="Arial"/>
          <w:b/>
          <w:bCs/>
          <w:sz w:val="24"/>
          <w:szCs w:val="24"/>
        </w:rPr>
        <w:t xml:space="preserve">veintidós de noviembre de dos mil veintitrés, El Sujeto Obligado </w:t>
      </w:r>
      <w:r w:rsidR="009D25F5">
        <w:rPr>
          <w:rFonts w:ascii="Palatino Linotype" w:hAnsi="Palatino Linotype" w:cs="Arial"/>
          <w:sz w:val="24"/>
          <w:szCs w:val="24"/>
        </w:rPr>
        <w:t>dio respuesta a la solicitud de información en los siguientes términos:</w:t>
      </w:r>
    </w:p>
    <w:p w14:paraId="23D8B519" w14:textId="5B23749B" w:rsidR="009D25F5" w:rsidRDefault="009D25F5" w:rsidP="009D25F5">
      <w:pPr>
        <w:pStyle w:val="Cita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01FCD7BD" w14:textId="0F5C7A9C" w:rsidR="009D25F5" w:rsidRPr="009D25F5" w:rsidRDefault="009D25F5" w:rsidP="009D25F5">
      <w:pPr>
        <w:pStyle w:val="Citas"/>
        <w:rPr>
          <w:b/>
          <w:bCs/>
          <w:sz w:val="24"/>
          <w:szCs w:val="24"/>
        </w:rPr>
      </w:pPr>
      <w:r>
        <w:t xml:space="preserve">SE NOTIFICA RESPUESTA” </w:t>
      </w:r>
      <w:r>
        <w:rPr>
          <w:b/>
          <w:bCs/>
        </w:rPr>
        <w:t>(Sic)</w:t>
      </w:r>
    </w:p>
    <w:p w14:paraId="2F1E229B" w14:textId="04FD4908" w:rsidR="009D25F5" w:rsidRPr="009D25F5" w:rsidRDefault="009B5029" w:rsidP="009B5029">
      <w:pPr>
        <w:spacing w:before="240" w:line="360" w:lineRule="auto"/>
        <w:jc w:val="both"/>
        <w:rPr>
          <w:rFonts w:ascii="Palatino Linotype" w:hAnsi="Palatino Linotype" w:cs="Arial"/>
          <w:bCs/>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317C14">
        <w:rPr>
          <w:rFonts w:ascii="Palatino Linotype" w:hAnsi="Palatino Linotype" w:cs="Arial"/>
          <w:sz w:val="24"/>
          <w:szCs w:val="24"/>
        </w:rPr>
        <w:t>los</w:t>
      </w:r>
      <w:r w:rsidR="00DF6F34">
        <w:rPr>
          <w:rFonts w:ascii="Palatino Linotype" w:hAnsi="Palatino Linotype" w:cs="Arial"/>
          <w:sz w:val="24"/>
          <w:szCs w:val="24"/>
        </w:rPr>
        <w:t xml:space="preserve"> documento</w:t>
      </w:r>
      <w:r w:rsidR="00317C14">
        <w:rPr>
          <w:rFonts w:ascii="Palatino Linotype" w:hAnsi="Palatino Linotype" w:cs="Arial"/>
          <w:sz w:val="24"/>
          <w:szCs w:val="24"/>
        </w:rPr>
        <w:t>s</w:t>
      </w:r>
      <w:r w:rsidR="00DF6F34">
        <w:rPr>
          <w:rFonts w:ascii="Palatino Linotype" w:hAnsi="Palatino Linotype" w:cs="Arial"/>
          <w:sz w:val="24"/>
          <w:szCs w:val="24"/>
        </w:rPr>
        <w:t xml:space="preserve"> electrónico</w:t>
      </w:r>
      <w:r w:rsidR="00317C14">
        <w:rPr>
          <w:rFonts w:ascii="Palatino Linotype" w:hAnsi="Palatino Linotype" w:cs="Arial"/>
          <w:sz w:val="24"/>
          <w:szCs w:val="24"/>
        </w:rPr>
        <w:t xml:space="preserve">s </w:t>
      </w:r>
      <w:r w:rsidR="00FC2D20">
        <w:rPr>
          <w:rFonts w:ascii="Palatino Linotype" w:hAnsi="Palatino Linotype" w:cs="Arial"/>
          <w:b/>
          <w:sz w:val="24"/>
          <w:szCs w:val="24"/>
        </w:rPr>
        <w:t>“</w:t>
      </w:r>
      <w:r w:rsidR="009D25F5">
        <w:rPr>
          <w:rFonts w:ascii="Palatino Linotype" w:hAnsi="Palatino Linotype" w:cs="Arial"/>
          <w:b/>
          <w:sz w:val="24"/>
          <w:szCs w:val="24"/>
        </w:rPr>
        <w:t xml:space="preserve">RESPUESTA A SOLICITUD 00261-TRIJAEM-IP-2023.pdf” </w:t>
      </w:r>
      <w:r w:rsidR="009D25F5">
        <w:rPr>
          <w:rFonts w:ascii="Palatino Linotype" w:hAnsi="Palatino Linotype" w:cs="Arial"/>
          <w:bCs/>
          <w:sz w:val="24"/>
          <w:szCs w:val="24"/>
        </w:rPr>
        <w:t xml:space="preserve">y </w:t>
      </w:r>
      <w:r w:rsidR="009D25F5">
        <w:rPr>
          <w:rFonts w:ascii="Palatino Linotype" w:hAnsi="Palatino Linotype" w:cs="Arial"/>
          <w:b/>
          <w:sz w:val="24"/>
          <w:szCs w:val="24"/>
        </w:rPr>
        <w:t xml:space="preserve">“acuerdo de respuesta solicitud 261.pdf”, </w:t>
      </w:r>
      <w:r w:rsidR="009D25F5">
        <w:rPr>
          <w:rFonts w:ascii="Palatino Linotype" w:hAnsi="Palatino Linotype" w:cs="Arial"/>
          <w:bCs/>
          <w:sz w:val="24"/>
          <w:szCs w:val="24"/>
        </w:rPr>
        <w:t xml:space="preserve">cuyo contenido será materia de estudio en el considerando respectivo. </w:t>
      </w:r>
    </w:p>
    <w:p w14:paraId="6BCEF1A8" w14:textId="77777777" w:rsidR="009D25F5" w:rsidRDefault="009D25F5" w:rsidP="009B5029">
      <w:pPr>
        <w:spacing w:before="240" w:line="360" w:lineRule="auto"/>
        <w:jc w:val="both"/>
        <w:rPr>
          <w:rFonts w:ascii="Palatino Linotype" w:hAnsi="Palatino Linotype" w:cs="Arial"/>
          <w:b/>
          <w:sz w:val="24"/>
          <w:szCs w:val="24"/>
        </w:rPr>
      </w:pPr>
    </w:p>
    <w:p w14:paraId="2C824AC7" w14:textId="77777777"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62260838" w14:textId="1E8A2B85" w:rsidR="009D25F5"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9D25F5">
        <w:rPr>
          <w:rFonts w:ascii="Palatino Linotype" w:hAnsi="Palatino Linotype" w:cs="Arial"/>
          <w:b/>
          <w:bCs/>
          <w:sz w:val="24"/>
          <w:szCs w:val="24"/>
        </w:rPr>
        <w:t xml:space="preserve">uno de diciembre de dos mil veintitrés, </w:t>
      </w:r>
      <w:r w:rsidR="009D25F5">
        <w:rPr>
          <w:rFonts w:ascii="Palatino Linotype" w:hAnsi="Palatino Linotype" w:cs="Arial"/>
          <w:sz w:val="24"/>
          <w:szCs w:val="24"/>
        </w:rPr>
        <w:t xml:space="preserve">el cual fue registrado en </w:t>
      </w:r>
      <w:r w:rsidR="009D25F5">
        <w:rPr>
          <w:rFonts w:ascii="Palatino Linotype" w:hAnsi="Palatino Linotype" w:cs="Arial"/>
          <w:sz w:val="24"/>
          <w:szCs w:val="24"/>
        </w:rPr>
        <w:lastRenderedPageBreak/>
        <w:t xml:space="preserve">el sistema electrónico con el expediente </w:t>
      </w:r>
      <w:r w:rsidR="009D25F5">
        <w:rPr>
          <w:rFonts w:ascii="Palatino Linotype" w:hAnsi="Palatino Linotype" w:cs="Arial"/>
          <w:b/>
          <w:bCs/>
          <w:sz w:val="24"/>
          <w:szCs w:val="24"/>
        </w:rPr>
        <w:t xml:space="preserve">08315/INFOEM/IP/RR/2023, </w:t>
      </w:r>
      <w:r w:rsidR="009D25F5">
        <w:rPr>
          <w:rFonts w:ascii="Palatino Linotype" w:hAnsi="Palatino Linotype" w:cs="Arial"/>
          <w:sz w:val="24"/>
          <w:szCs w:val="24"/>
        </w:rPr>
        <w:t>en el cual arguye las siguientes manifestaciones:</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60CC1C86" w:rsidR="00317C14" w:rsidRPr="00CE3EB5" w:rsidRDefault="00FC2D20" w:rsidP="00CE3EB5">
      <w:pPr>
        <w:pStyle w:val="Citas"/>
        <w:rPr>
          <w:b/>
          <w:bCs/>
          <w:sz w:val="24"/>
        </w:rPr>
      </w:pPr>
      <w:r w:rsidRPr="009D25F5">
        <w:t>“</w:t>
      </w:r>
      <w:r w:rsidR="009D25F5" w:rsidRPr="009D25F5">
        <w:t>La respuesta a la solicitud 00261/TRIJAEM/IP/2023</w:t>
      </w:r>
      <w:r w:rsidR="00CE3EB5" w:rsidRPr="009D25F5">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5932D099" w:rsidR="009B5029" w:rsidRPr="00CE3EB5" w:rsidRDefault="00CE3EB5" w:rsidP="00CE3EB5">
      <w:pPr>
        <w:pStyle w:val="Citas"/>
        <w:rPr>
          <w:b/>
          <w:bCs/>
        </w:rPr>
      </w:pPr>
      <w:r w:rsidRPr="009D25F5">
        <w:t>“</w:t>
      </w:r>
      <w:r w:rsidR="009D25F5" w:rsidRPr="009D25F5">
        <w:t xml:space="preserve">El artículo 6 último párrafo del Reglamento Interior del Tribunal de Justicia Administrativa del Estado de México, señala que las sesiones serán grabadas en audio y video. Solicité la que corresponde a la sesión del 25 de septiembre de este año y se me niega su entrega señalando que no puede ser proporcionada hasta en tanto sea sometida (el acta) a la siguiente sesión, refiriendo para ello el fundamento de un Acuerdo sin ni el contenido de los artículos en que basa su decisión ni la fecha de publicación del acuerdo que sirvió de fundamento. El sujeto obligado confunde la obligación que tiene de entregar un video de la sesión con las formalidades de la aprobación de las actas formales y por escrito con que debe contar ese órgano constitucional autónomo. No sólo debiera entregarme el video solicitad de forma </w:t>
      </w:r>
      <w:proofErr w:type="spellStart"/>
      <w:r w:rsidR="009D25F5" w:rsidRPr="009D25F5">
        <w:t>integra</w:t>
      </w:r>
      <w:proofErr w:type="spellEnd"/>
      <w:r w:rsidR="009D25F5" w:rsidRPr="009D25F5">
        <w:t xml:space="preserve"> y completa, el ente público debiera tener la obligación de tenerlo a disposición de la ciudadanía en sus plataformas digitales. Sin embargo, esta negativa de suponer que hasta en tanto sea aprobada el acta de la sesión de esa fecha en la próxima sesión del mismo Pleno, es poco cierta, puesta este Instituto podrá apreciar que en la solicitud 00265/TRIJAEM/IP/2023 en la que solicité los videos de todas sesiones celebradas por el Pleno, la respuesta fue que obraban en un hipervínculo proporcionado cuando en éste no están más que dos actas escritas de dos sesiones, pero no los videos que fueron solicitados. Por lo que de sostener que la respuesta es </w:t>
      </w:r>
      <w:r w:rsidR="009D25F5" w:rsidRPr="009D25F5">
        <w:lastRenderedPageBreak/>
        <w:t>correcta por parte del sujeto obligado en la presente solicitud, provocaría que espera, la formule y me remitan en nueva respuesta a un hipervínculo que no contiene lo solicitado. Razón por la cual y de resultar procedente solicito que el presente medio de impugnación se acumule al relativo a la solicitud 00265/TRIJAEM/IP/2023, pues en éste solicité todos los videos de las sesiones, entre los que debiera incluirse la del 25 de septiembre de 2023</w:t>
      </w:r>
      <w:r w:rsidRPr="009D25F5">
        <w:t>”</w:t>
      </w:r>
      <w:r>
        <w:t xml:space="preserve"> </w:t>
      </w:r>
      <w:r>
        <w:rPr>
          <w:b/>
          <w:bCs/>
        </w:rPr>
        <w:t>(Sic)</w:t>
      </w:r>
    </w:p>
    <w:p w14:paraId="4A4C7430" w14:textId="77777777" w:rsidR="00CE3EB5" w:rsidRPr="00CE3EB5" w:rsidRDefault="00CE3EB5" w:rsidP="00CE3EB5">
      <w:pPr>
        <w:pStyle w:val="Citas"/>
      </w:pPr>
    </w:p>
    <w:p w14:paraId="147EA26C" w14:textId="77777777"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929B5D1" w14:textId="3880C94C"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9D25F5">
        <w:rPr>
          <w:rFonts w:ascii="Palatino Linotype" w:hAnsi="Palatino Linotype" w:cs="Arial"/>
          <w:b/>
          <w:bCs/>
          <w:sz w:val="24"/>
          <w:szCs w:val="24"/>
        </w:rPr>
        <w:t xml:space="preserve">cinco de diciembre de dos mil veintitrés,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7777777" w:rsidR="009B5029" w:rsidRDefault="009B502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730FF7DF" w14:textId="09B49917" w:rsidR="009D25F5" w:rsidRPr="00931542"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931542">
        <w:rPr>
          <w:rFonts w:ascii="Palatino Linotype" w:hAnsi="Palatino Linotype" w:cs="Arial"/>
          <w:bCs/>
          <w:sz w:val="24"/>
          <w:szCs w:val="24"/>
        </w:rPr>
        <w:t xml:space="preserve">rindió su informe justificado el </w:t>
      </w:r>
      <w:r w:rsidR="00931542">
        <w:rPr>
          <w:rFonts w:ascii="Palatino Linotype" w:hAnsi="Palatino Linotype" w:cs="Arial"/>
          <w:b/>
          <w:sz w:val="24"/>
          <w:szCs w:val="24"/>
        </w:rPr>
        <w:t xml:space="preserve">doce de febrero, </w:t>
      </w:r>
      <w:r w:rsidR="00931542">
        <w:rPr>
          <w:rFonts w:ascii="Palatino Linotype" w:hAnsi="Palatino Linotype" w:cs="Arial"/>
          <w:bCs/>
          <w:sz w:val="24"/>
          <w:szCs w:val="24"/>
        </w:rPr>
        <w:t xml:space="preserve">mismo que fue puesto a la vista el </w:t>
      </w:r>
      <w:r w:rsidR="002E1156">
        <w:rPr>
          <w:rFonts w:ascii="Palatino Linotype" w:hAnsi="Palatino Linotype" w:cs="Arial"/>
          <w:b/>
          <w:sz w:val="24"/>
          <w:szCs w:val="24"/>
        </w:rPr>
        <w:t>veintiuno</w:t>
      </w:r>
      <w:r w:rsidR="00931542">
        <w:rPr>
          <w:rFonts w:ascii="Palatino Linotype" w:hAnsi="Palatino Linotype" w:cs="Arial"/>
          <w:b/>
          <w:sz w:val="24"/>
          <w:szCs w:val="24"/>
        </w:rPr>
        <w:t xml:space="preserve"> de febrero, ambos de dos mil veinticuatro. </w:t>
      </w:r>
    </w:p>
    <w:p w14:paraId="14B8D76D" w14:textId="62CD520D" w:rsidR="009D25F5" w:rsidRDefault="009D25F5" w:rsidP="009D25F5">
      <w:pPr>
        <w:spacing w:before="240" w:line="360" w:lineRule="auto"/>
        <w:jc w:val="both"/>
        <w:rPr>
          <w:rFonts w:ascii="Palatino Linotype" w:hAnsi="Palatino Linotype" w:cs="Arial"/>
          <w:sz w:val="24"/>
          <w:szCs w:val="24"/>
        </w:rPr>
      </w:pPr>
      <w:r>
        <w:rPr>
          <w:rFonts w:ascii="Palatino Linotype" w:hAnsi="Palatino Linotype" w:cs="Arial"/>
          <w:bCs/>
          <w:sz w:val="24"/>
          <w:szCs w:val="24"/>
        </w:rPr>
        <w:lastRenderedPageBreak/>
        <w:t xml:space="preserve">Así, en fecha </w:t>
      </w:r>
      <w:r w:rsidR="002E1156">
        <w:rPr>
          <w:rFonts w:ascii="Palatino Linotype" w:hAnsi="Palatino Linotype" w:cs="Arial"/>
          <w:b/>
          <w:sz w:val="24"/>
          <w:szCs w:val="24"/>
        </w:rPr>
        <w:t>veintiuno</w:t>
      </w:r>
      <w:r>
        <w:rPr>
          <w:rFonts w:ascii="Palatino Linotype" w:hAnsi="Palatino Linotype" w:cs="Arial"/>
          <w:b/>
          <w:sz w:val="24"/>
          <w:szCs w:val="24"/>
        </w:rPr>
        <w:t xml:space="preserve"> de febrero de dos mil veintitrés, </w:t>
      </w:r>
      <w:r>
        <w:rPr>
          <w:rFonts w:ascii="Palatino Linotype" w:hAnsi="Palatino Linotype" w:cs="Arial"/>
          <w:bCs/>
          <w:sz w:val="24"/>
          <w:szCs w:val="24"/>
        </w:rPr>
        <w:t xml:space="preserve">en el expediente electrónico del recurso de revisión se </w:t>
      </w:r>
      <w:proofErr w:type="spellStart"/>
      <w:r>
        <w:rPr>
          <w:rFonts w:ascii="Palatino Linotype" w:hAnsi="Palatino Linotype" w:cs="Arial"/>
          <w:bCs/>
          <w:sz w:val="24"/>
          <w:szCs w:val="24"/>
        </w:rPr>
        <w:t>amplio</w:t>
      </w:r>
      <w:proofErr w:type="spellEnd"/>
      <w:r>
        <w:rPr>
          <w:rFonts w:ascii="Palatino Linotype" w:hAnsi="Palatino Linotype" w:cs="Arial"/>
          <w:bCs/>
          <w:sz w:val="24"/>
          <w:szCs w:val="24"/>
        </w:rPr>
        <w:t xml:space="preserve"> el </w:t>
      </w:r>
      <w:r>
        <w:rPr>
          <w:rFonts w:ascii="Palatino Linotype" w:hAnsi="Palatino Linotype" w:cs="Arial"/>
          <w:sz w:val="24"/>
        </w:rPr>
        <w:t xml:space="preserve">plazo para dictar resolución, en términos del </w:t>
      </w:r>
      <w:r w:rsidRPr="0053191B">
        <w:rPr>
          <w:rFonts w:ascii="Palatino Linotype" w:hAnsi="Palatino Linotype" w:cs="Arial"/>
          <w:sz w:val="24"/>
          <w:szCs w:val="24"/>
        </w:rPr>
        <w:t>artículo 181 de la Ley de Transparencia y Acceso a la Información del Estado de México y Municipios.</w:t>
      </w:r>
      <w:r>
        <w:rPr>
          <w:rFonts w:ascii="Palatino Linotype" w:hAnsi="Palatino Linotype" w:cs="Arial"/>
          <w:sz w:val="24"/>
          <w:szCs w:val="24"/>
        </w:rPr>
        <w:t xml:space="preserve"> </w:t>
      </w:r>
    </w:p>
    <w:p w14:paraId="468F8640" w14:textId="7A94707E" w:rsidR="00DF6F34" w:rsidRPr="00EF5310" w:rsidRDefault="006A76AB" w:rsidP="00321484">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w:t>
      </w:r>
      <w:r w:rsidRPr="00794F6A">
        <w:rPr>
          <w:rFonts w:ascii="Palatino Linotype" w:hAnsi="Palatino Linotype" w:cs="Arial"/>
          <w:bCs/>
          <w:sz w:val="24"/>
          <w:szCs w:val="24"/>
        </w:rPr>
        <w:t xml:space="preserve">decretó el cierre de instrucción con fecha </w:t>
      </w:r>
      <w:r w:rsidR="002E1156">
        <w:rPr>
          <w:rFonts w:ascii="Palatino Linotype" w:hAnsi="Palatino Linotype" w:cs="Arial"/>
          <w:b/>
          <w:sz w:val="24"/>
          <w:szCs w:val="24"/>
        </w:rPr>
        <w:t>veintisiete</w:t>
      </w:r>
      <w:r w:rsidRPr="00794F6A">
        <w:rPr>
          <w:rFonts w:ascii="Palatino Linotype" w:hAnsi="Palatino Linotype" w:cs="Arial"/>
          <w:b/>
          <w:sz w:val="24"/>
          <w:szCs w:val="24"/>
        </w:rPr>
        <w:t xml:space="preserve"> de febrero de dos mil veinticuatro,</w:t>
      </w:r>
      <w:r w:rsidR="002E1156">
        <w:rPr>
          <w:rFonts w:ascii="Palatino Linotype" w:hAnsi="Palatino Linotype" w:cs="Arial"/>
          <w:b/>
          <w:sz w:val="24"/>
          <w:szCs w:val="24"/>
        </w:rPr>
        <w:t xml:space="preserve"> </w:t>
      </w:r>
      <w:r w:rsidR="00DF6F34">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53A6F19A" w14:textId="77777777" w:rsidR="00DF6F34" w:rsidRDefault="00DF6F34" w:rsidP="009B5029">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80A3C98" w14:textId="77777777" w:rsidR="006A76AB" w:rsidRPr="00121F39" w:rsidRDefault="006A76AB" w:rsidP="006A76AB">
      <w:pPr>
        <w:spacing w:after="0" w:line="360" w:lineRule="auto"/>
        <w:jc w:val="both"/>
        <w:rPr>
          <w:rFonts w:ascii="Palatino Linotype" w:hAnsi="Palatino Linotype"/>
          <w:sz w:val="24"/>
          <w:szCs w:val="24"/>
        </w:rPr>
      </w:pPr>
      <w:r w:rsidRPr="00121F39">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Pr>
          <w:rFonts w:ascii="Palatino Linotype" w:hAnsi="Palatino Linotype"/>
          <w:sz w:val="24"/>
          <w:szCs w:val="24"/>
        </w:rPr>
        <w:t>el</w:t>
      </w:r>
      <w:r w:rsidRPr="00121F39">
        <w:rPr>
          <w:rFonts w:ascii="Palatino Linotype" w:hAnsi="Palatino Linotype"/>
          <w:sz w:val="24"/>
          <w:szCs w:val="24"/>
        </w:rPr>
        <w:t xml:space="preserve">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72EB9D2" w14:textId="22C4710A"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39F5C92" w14:textId="295A7AB0" w:rsidR="0023373D" w:rsidRDefault="0023373D"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7BA1E7B9" w14:textId="77777777" w:rsidR="00B963EC" w:rsidRDefault="00B963EC" w:rsidP="00B963EC">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TERCERO</w:t>
      </w:r>
      <w:r w:rsidRPr="007D15EF">
        <w:rPr>
          <w:rFonts w:ascii="Palatino Linotype" w:hAnsi="Palatino Linotype"/>
          <w:b/>
          <w:sz w:val="28"/>
          <w:szCs w:val="28"/>
        </w:rPr>
        <w:t xml:space="preserve">. </w:t>
      </w:r>
      <w:r w:rsidRPr="009510B5">
        <w:rPr>
          <w:rFonts w:ascii="Palatino Linotype" w:hAnsi="Palatino Linotype" w:cs="Arial"/>
          <w:b/>
          <w:sz w:val="28"/>
          <w:szCs w:val="28"/>
        </w:rPr>
        <w:t>Del estudio de las causas de improcedencia y sobreseimiento</w:t>
      </w:r>
    </w:p>
    <w:p w14:paraId="0D4390B5" w14:textId="77777777" w:rsidR="00B963EC" w:rsidRDefault="00B963EC" w:rsidP="00B963E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Pr>
          <w:rFonts w:ascii="Palatino Linotype" w:hAnsi="Palatino Linotype" w:cs="Arial"/>
        </w:rPr>
        <w:t>procedibilidad</w:t>
      </w:r>
      <w:proofErr w:type="spellEnd"/>
      <w:r>
        <w:rPr>
          <w:rFonts w:ascii="Palatino Linotype" w:hAnsi="Palatino Linotype" w:cs="Arial"/>
        </w:rPr>
        <w:t xml:space="preserve">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741323D4" w14:textId="77777777" w:rsidR="00B963EC" w:rsidRDefault="00B963EC" w:rsidP="00B963E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w:t>
      </w:r>
      <w:proofErr w:type="spellStart"/>
      <w:r>
        <w:rPr>
          <w:rFonts w:ascii="Palatino Linotype" w:hAnsi="Palatino Linotype" w:cs="Arial"/>
        </w:rPr>
        <w:t>Resolutor</w:t>
      </w:r>
      <w:proofErr w:type="spellEnd"/>
      <w:r>
        <w:rPr>
          <w:rFonts w:ascii="Palatino Linotype" w:hAnsi="Palatino Linotype" w:cs="Arial"/>
        </w:rPr>
        <w:t xml:space="preserve">; presupuestos procesales de inicio o trámite de un proceso que dotan de seguridad jurídica la resolución emitida </w:t>
      </w:r>
      <w:r>
        <w:rPr>
          <w:rFonts w:ascii="Palatino Linotype" w:hAnsi="Palatino Linotype" w:cs="Arial"/>
        </w:rPr>
        <w:lastRenderedPageBreak/>
        <w:t xml:space="preserve">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1D525F13" w14:textId="77777777" w:rsidR="00B963EC" w:rsidRDefault="00B963EC" w:rsidP="00B963EC">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 xml:space="preserve">materia o un tema como objeto de derecho de </w:t>
      </w:r>
      <w:r w:rsidRPr="00552846">
        <w:rPr>
          <w:rFonts w:ascii="Palatino Linotype" w:hAnsi="Palatino Linotype" w:cs="Arial"/>
          <w:sz w:val="24"/>
          <w:szCs w:val="24"/>
        </w:rPr>
        <w:lastRenderedPageBreak/>
        <w:t>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de notoria importancia el trabajo de interpretación que 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7C161478" w14:textId="77777777" w:rsidR="00B963EC" w:rsidRDefault="00B963EC" w:rsidP="00B963EC">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t xml:space="preserve">Ya que el planteamiento del problema es de toral importancia, a efecto de determinar la intención o voluntad </w:t>
      </w:r>
      <w:r>
        <w:rPr>
          <w:rFonts w:ascii="Palatino Linotype" w:hAnsi="Palatino Linotype" w:cs="Arial"/>
          <w:sz w:val="24"/>
          <w:szCs w:val="24"/>
        </w:rPr>
        <w:t>del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7E1AA173" w14:textId="41229E91" w:rsidR="00C37967" w:rsidRDefault="008028E9" w:rsidP="00E04DB7">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C37967">
        <w:rPr>
          <w:rFonts w:ascii="Palatino Linotype" w:hAnsi="Palatino Linotype" w:cs="Arial"/>
          <w:b/>
          <w:bCs/>
          <w:sz w:val="24"/>
          <w:szCs w:val="24"/>
        </w:rPr>
        <w:t xml:space="preserve">00261/TRIJAEM/IP/2023, </w:t>
      </w:r>
      <w:r w:rsidR="00C37967">
        <w:rPr>
          <w:rFonts w:ascii="Palatino Linotype" w:hAnsi="Palatino Linotype" w:cs="Arial"/>
          <w:sz w:val="24"/>
          <w:szCs w:val="24"/>
        </w:rPr>
        <w:t>se desprende que fue requerida la siguiente información:</w:t>
      </w:r>
    </w:p>
    <w:p w14:paraId="2EC41CE2" w14:textId="42AFD6E1" w:rsidR="00C37967" w:rsidRDefault="00C37967" w:rsidP="00C37967">
      <w:pPr>
        <w:pStyle w:val="Citas"/>
        <w:rPr>
          <w:b/>
          <w:bCs/>
        </w:rPr>
      </w:pPr>
      <w:r>
        <w:t xml:space="preserve">“Se me entregue copia completa del video de la sesión del Pleno del Tribunal de Justicia Administrativa del Estado de México celebrada el 25 de septiembre de 2023. Dicha sesión se celebró de manera virtual” </w:t>
      </w:r>
      <w:r>
        <w:rPr>
          <w:b/>
          <w:bCs/>
        </w:rPr>
        <w:t>(Sic)</w:t>
      </w:r>
    </w:p>
    <w:p w14:paraId="05136A18" w14:textId="77777777" w:rsidR="00C37967" w:rsidRDefault="00C37967" w:rsidP="00C37967">
      <w:pPr>
        <w:pStyle w:val="Citas"/>
        <w:ind w:left="0"/>
        <w:rPr>
          <w:b/>
          <w:bCs/>
          <w:sz w:val="24"/>
          <w:szCs w:val="24"/>
        </w:rPr>
      </w:pPr>
    </w:p>
    <w:p w14:paraId="40D11C78" w14:textId="7AB51149" w:rsidR="00C37967" w:rsidRDefault="00C37967" w:rsidP="00C37967">
      <w:pPr>
        <w:pStyle w:val="Citas"/>
        <w:ind w:left="0" w:right="0"/>
        <w:rPr>
          <w:i w:val="0"/>
          <w:iCs/>
          <w:sz w:val="24"/>
          <w:szCs w:val="24"/>
        </w:rPr>
      </w:pPr>
      <w:r w:rsidRPr="00C37967">
        <w:rPr>
          <w:i w:val="0"/>
          <w:iCs/>
          <w:sz w:val="24"/>
          <w:szCs w:val="24"/>
        </w:rPr>
        <w:t>Una vez precisado lo anterior y con el propósito de realizar un análisis exhaustivo de la información requerida, resulta oportuno desentrañar la naturaleza</w:t>
      </w:r>
      <w:r>
        <w:rPr>
          <w:i w:val="0"/>
          <w:iCs/>
          <w:sz w:val="24"/>
          <w:szCs w:val="24"/>
        </w:rPr>
        <w:t xml:space="preserve"> del Tribunal de Justicia Administrativa del Estado de México.</w:t>
      </w:r>
    </w:p>
    <w:p w14:paraId="2DE98034" w14:textId="77777777" w:rsidR="00C37967" w:rsidRDefault="00C37967" w:rsidP="00C37967">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Para tal efecto, se destaca que,</w:t>
      </w:r>
      <w:r w:rsidRPr="00AE463F">
        <w:rPr>
          <w:rFonts w:ascii="Palatino Linotype" w:hAnsi="Palatino Linotype" w:cs="Arial"/>
          <w:sz w:val="24"/>
          <w:szCs w:val="24"/>
        </w:rPr>
        <w:t xml:space="preserve"> desde </w:t>
      </w:r>
      <w:r>
        <w:rPr>
          <w:rFonts w:ascii="Palatino Linotype" w:hAnsi="Palatino Linotype" w:cs="Arial"/>
          <w:sz w:val="24"/>
          <w:szCs w:val="24"/>
        </w:rPr>
        <w:t>una óptica</w:t>
      </w:r>
      <w:r w:rsidRPr="00AE463F">
        <w:rPr>
          <w:rFonts w:ascii="Palatino Linotype" w:hAnsi="Palatino Linotype" w:cs="Arial"/>
          <w:sz w:val="24"/>
          <w:szCs w:val="24"/>
        </w:rPr>
        <w:t xml:space="preserve"> constitucional</w:t>
      </w:r>
      <w:r>
        <w:rPr>
          <w:rFonts w:ascii="Palatino Linotype" w:hAnsi="Palatino Linotype" w:cs="Arial"/>
          <w:sz w:val="24"/>
          <w:szCs w:val="24"/>
        </w:rPr>
        <w:t xml:space="preserve"> de corte contemporáneo, el poder del Estado se encuentra distribuido entre distintos órganos que frenan mutuamente el ejercicio de sus competencias, superando la teoría clásica </w:t>
      </w:r>
      <w:r>
        <w:rPr>
          <w:rFonts w:ascii="Palatino Linotype" w:hAnsi="Palatino Linotype" w:cs="Arial"/>
          <w:sz w:val="24"/>
          <w:szCs w:val="24"/>
        </w:rPr>
        <w:lastRenderedPageBreak/>
        <w:t xml:space="preserve">de división tripartita de poderes (Poder Ejecutivo, Legislativo y Judicial), replanteando la función operativa del Estado, y atendiendo las nuevas exigencias sociales, jurídicas y políticas.  </w:t>
      </w:r>
    </w:p>
    <w:p w14:paraId="71E81C7C" w14:textId="77777777" w:rsidR="00C37967" w:rsidRDefault="00C37967" w:rsidP="00C37967">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En este tenor, Susana Thalía Pedroza de la Llave (2002) en la obra </w:t>
      </w:r>
      <w:r w:rsidRPr="00AF12B2">
        <w:rPr>
          <w:rFonts w:ascii="Palatino Linotype" w:hAnsi="Palatino Linotype" w:cs="Arial"/>
          <w:i/>
          <w:sz w:val="24"/>
          <w:szCs w:val="24"/>
        </w:rPr>
        <w:t>“Estado</w:t>
      </w:r>
      <w:r>
        <w:rPr>
          <w:rFonts w:ascii="Palatino Linotype" w:hAnsi="Palatino Linotype" w:cs="Arial"/>
          <w:sz w:val="24"/>
          <w:szCs w:val="24"/>
        </w:rPr>
        <w:t xml:space="preserve"> </w:t>
      </w:r>
      <w:r>
        <w:rPr>
          <w:rFonts w:ascii="Palatino Linotype" w:hAnsi="Palatino Linotype" w:cs="Arial"/>
          <w:i/>
          <w:sz w:val="24"/>
          <w:szCs w:val="24"/>
        </w:rPr>
        <w:t xml:space="preserve">de Derecho y Transición Jurídica” </w:t>
      </w:r>
      <w:r>
        <w:rPr>
          <w:rFonts w:ascii="Palatino Linotype" w:hAnsi="Palatino Linotype" w:cs="Arial"/>
          <w:sz w:val="24"/>
          <w:szCs w:val="24"/>
        </w:rPr>
        <w:t>delimita los principales atributos de los órganos autónomos al señalar que:</w:t>
      </w:r>
    </w:p>
    <w:p w14:paraId="7099B9D4"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Son entes públicos previstos en la Constitución que gozan de autonomía de tipo política-jurídica. </w:t>
      </w:r>
    </w:p>
    <w:p w14:paraId="547AF2B9"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Gozan de personalidad jurídica y potestad normativa o reglamentaria. </w:t>
      </w:r>
    </w:p>
    <w:p w14:paraId="0BBE9507"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Se establece de forma precisa sus competencias propias y exclusivas.</w:t>
      </w:r>
    </w:p>
    <w:p w14:paraId="2967DDA6"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Elaboran sus políticas, planes y programas respecto de las funciones a su cargo. </w:t>
      </w:r>
    </w:p>
    <w:p w14:paraId="10AEF450"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Cuentan con capacidad para auto organizarse. </w:t>
      </w:r>
    </w:p>
    <w:p w14:paraId="22DF4DB9"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Gozan de autonomía financiera, o de gasto. </w:t>
      </w:r>
    </w:p>
    <w:p w14:paraId="6BB56F92"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Sus titulares tienen un estatuto jurídico especial que los resguarda de la presión, influencia o poderes fácticos de la sociedad. </w:t>
      </w:r>
    </w:p>
    <w:p w14:paraId="2A862B2D"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Los nombramientos de sus titulares son de mayor duración que los de las demás autoridades políticas.</w:t>
      </w:r>
    </w:p>
    <w:p w14:paraId="78332FFE"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Tienen el derecho de iniciativa legislativa</w:t>
      </w:r>
    </w:p>
    <w:p w14:paraId="5EC50A86" w14:textId="77777777" w:rsidR="00C37967" w:rsidRDefault="00C37967" w:rsidP="008960C8">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Otras.</w:t>
      </w:r>
    </w:p>
    <w:p w14:paraId="31BCBBCA" w14:textId="77777777" w:rsidR="00C37967" w:rsidRDefault="00C37967" w:rsidP="00C37967">
      <w:pPr>
        <w:pStyle w:val="Citas"/>
        <w:ind w:left="0" w:right="0"/>
        <w:rPr>
          <w:i w:val="0"/>
          <w:iCs/>
          <w:sz w:val="24"/>
          <w:szCs w:val="24"/>
        </w:rPr>
      </w:pPr>
    </w:p>
    <w:p w14:paraId="079F5378" w14:textId="25D3B0D9" w:rsidR="00E04DB7" w:rsidRDefault="00E04DB7" w:rsidP="00E04DB7">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lastRenderedPageBreak/>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r w:rsidR="00321484">
        <w:rPr>
          <w:rFonts w:ascii="Palatino Linotype" w:hAnsi="Palatino Linotype" w:cs="Arial"/>
          <w:noProof/>
          <w:color w:val="000000"/>
          <w:sz w:val="24"/>
          <w:lang w:eastAsia="es-MX"/>
        </w:rPr>
        <w:t xml:space="preserve"> </w:t>
      </w:r>
    </w:p>
    <w:p w14:paraId="0651E25D" w14:textId="77777777" w:rsidR="00E04DB7" w:rsidRDefault="00E04DB7" w:rsidP="00E04DB7">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19FB59A3" w14:textId="5B3876B0" w:rsidR="006A76AB" w:rsidRPr="009535E0" w:rsidRDefault="006A76AB" w:rsidP="00E04DB7">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0E65AD01" w14:textId="77777777" w:rsidR="00E04DB7" w:rsidRPr="009535E0" w:rsidRDefault="00E04DB7" w:rsidP="00E04DB7">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6DAAC113" w14:textId="77777777" w:rsidR="00E04DB7" w:rsidRPr="00C231A5" w:rsidRDefault="00E04DB7" w:rsidP="00E04DB7">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14:paraId="4ABDDB34" w14:textId="77777777" w:rsidR="00E04DB7" w:rsidRPr="009535E0" w:rsidRDefault="00E04DB7" w:rsidP="00E04DB7">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D96AD9" w14:textId="4684612D" w:rsidR="006A76AB" w:rsidRDefault="006A76AB" w:rsidP="00E04DB7">
      <w:pPr>
        <w:pStyle w:val="INFOEM0"/>
      </w:pPr>
      <w:r>
        <w:t>(…)</w:t>
      </w:r>
    </w:p>
    <w:p w14:paraId="708F49E8" w14:textId="202E35FA" w:rsidR="00E04DB7" w:rsidRDefault="00E04DB7" w:rsidP="00E04DB7">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4133853" w14:textId="77777777" w:rsidR="00E04DB7" w:rsidRPr="00A94BBE" w:rsidRDefault="00E04DB7" w:rsidP="00E04DB7">
      <w:pPr>
        <w:pStyle w:val="INFOEM0"/>
        <w:rPr>
          <w:b/>
        </w:rPr>
      </w:pPr>
      <w:r>
        <w:lastRenderedPageBreak/>
        <w:t xml:space="preserve"> (…)” </w:t>
      </w:r>
      <w:r>
        <w:rPr>
          <w:b/>
        </w:rPr>
        <w:t xml:space="preserve">[Sic] </w:t>
      </w:r>
    </w:p>
    <w:p w14:paraId="3064A97C" w14:textId="0A57A993" w:rsidR="00E04DB7" w:rsidRDefault="00E04DB7" w:rsidP="00E04DB7">
      <w:pPr>
        <w:pStyle w:val="Sinespaciado"/>
        <w:spacing w:line="360" w:lineRule="auto"/>
        <w:jc w:val="both"/>
        <w:rPr>
          <w:rFonts w:ascii="Palatino Linotype" w:hAnsi="Palatino Linotype"/>
        </w:rPr>
      </w:pPr>
    </w:p>
    <w:p w14:paraId="4C096975" w14:textId="6754CE01" w:rsidR="00AB3CCD" w:rsidRDefault="00AB3CCD" w:rsidP="00E04DB7">
      <w:pPr>
        <w:pStyle w:val="Sinespaciado"/>
        <w:spacing w:line="360" w:lineRule="auto"/>
        <w:jc w:val="both"/>
        <w:rPr>
          <w:rFonts w:ascii="Palatino Linotype" w:hAnsi="Palatino Linotype"/>
        </w:rPr>
      </w:pPr>
      <w:r>
        <w:rPr>
          <w:rFonts w:ascii="Palatino Linotype" w:hAnsi="Palatino Linotype"/>
        </w:rPr>
        <w:t xml:space="preserve">Resulta oportuno traer a colación las siguientes imágenes ilustrativas, correspondientes al organigrama del </w:t>
      </w:r>
      <w:r>
        <w:rPr>
          <w:rFonts w:ascii="Palatino Linotype" w:hAnsi="Palatino Linotype"/>
          <w:b/>
          <w:bCs/>
        </w:rPr>
        <w:t>Sujeto Obligado</w:t>
      </w:r>
      <w:r w:rsidR="00A35411">
        <w:rPr>
          <w:rFonts w:ascii="Palatino Linotype" w:hAnsi="Palatino Linotype"/>
          <w:b/>
          <w:bCs/>
        </w:rPr>
        <w:t xml:space="preserve">: </w:t>
      </w:r>
    </w:p>
    <w:p w14:paraId="20C6D204" w14:textId="00CF5A6A" w:rsidR="00E04DB7" w:rsidRDefault="00214220" w:rsidP="00E04DB7">
      <w:pPr>
        <w:pStyle w:val="Sinespaciado"/>
        <w:spacing w:line="360" w:lineRule="auto"/>
        <w:jc w:val="both"/>
        <w:rPr>
          <w:rFonts w:ascii="Palatino Linotype" w:hAnsi="Palatino Linotype"/>
          <w:b/>
          <w:bCs/>
        </w:rPr>
      </w:pPr>
      <w:r>
        <w:rPr>
          <w:rFonts w:ascii="Palatino Linotype" w:hAnsi="Palatino Linotype"/>
          <w:b/>
          <w:bCs/>
          <w:noProof/>
          <w:lang w:eastAsia="es-MX"/>
        </w:rPr>
        <w:drawing>
          <wp:anchor distT="0" distB="0" distL="114300" distR="114300" simplePos="0" relativeHeight="251867123" behindDoc="0" locked="0" layoutInCell="1" allowOverlap="1" wp14:anchorId="5993560D" wp14:editId="2DCC3E78">
            <wp:simplePos x="0" y="0"/>
            <wp:positionH relativeFrom="page">
              <wp:align>center</wp:align>
            </wp:positionH>
            <wp:positionV relativeFrom="paragraph">
              <wp:posOffset>330200</wp:posOffset>
            </wp:positionV>
            <wp:extent cx="5715000" cy="3535680"/>
            <wp:effectExtent l="19050" t="19050" r="19050" b="26670"/>
            <wp:wrapThrough wrapText="bothSides">
              <wp:wrapPolygon edited="0">
                <wp:start x="-72" y="-116"/>
                <wp:lineTo x="-72" y="21647"/>
                <wp:lineTo x="21600" y="21647"/>
                <wp:lineTo x="21600" y="-116"/>
                <wp:lineTo x="-72" y="-116"/>
              </wp:wrapPolygon>
            </wp:wrapThrough>
            <wp:docPr id="5904909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3535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6E8C60E" w14:textId="78F586CD" w:rsidR="00F01722" w:rsidRDefault="00F01722" w:rsidP="00E04DB7">
      <w:pPr>
        <w:pStyle w:val="Sinespaciado"/>
        <w:spacing w:line="360" w:lineRule="auto"/>
        <w:jc w:val="both"/>
        <w:rPr>
          <w:rFonts w:ascii="Palatino Linotype" w:hAnsi="Palatino Linotype"/>
          <w:b/>
          <w:bCs/>
        </w:rPr>
      </w:pPr>
    </w:p>
    <w:p w14:paraId="249082E8" w14:textId="1DAD9C11" w:rsidR="00F01722" w:rsidRDefault="006147EB" w:rsidP="00E04DB7">
      <w:pPr>
        <w:pStyle w:val="Sinespaciado"/>
        <w:spacing w:line="360" w:lineRule="auto"/>
        <w:jc w:val="both"/>
        <w:rPr>
          <w:rFonts w:ascii="Palatino Linotype" w:hAnsi="Palatino Linotype"/>
          <w:b/>
          <w:bCs/>
        </w:rPr>
      </w:pPr>
      <w:r>
        <w:rPr>
          <w:rFonts w:ascii="Palatino Linotype" w:hAnsi="Palatino Linotype"/>
          <w:b/>
          <w:bCs/>
          <w:noProof/>
          <w:lang w:eastAsia="es-MX"/>
        </w:rPr>
        <w:drawing>
          <wp:anchor distT="0" distB="0" distL="114300" distR="114300" simplePos="0" relativeHeight="251870195" behindDoc="0" locked="0" layoutInCell="1" allowOverlap="1" wp14:anchorId="306D0BBD" wp14:editId="408C49BB">
            <wp:simplePos x="0" y="0"/>
            <wp:positionH relativeFrom="margin">
              <wp:posOffset>3925358</wp:posOffset>
            </wp:positionH>
            <wp:positionV relativeFrom="paragraph">
              <wp:posOffset>19262</wp:posOffset>
            </wp:positionV>
            <wp:extent cx="1724660" cy="1072515"/>
            <wp:effectExtent l="19050" t="19050" r="27940" b="13335"/>
            <wp:wrapThrough wrapText="bothSides">
              <wp:wrapPolygon edited="0">
                <wp:start x="-239" y="-384"/>
                <wp:lineTo x="-239" y="21485"/>
                <wp:lineTo x="21711" y="21485"/>
                <wp:lineTo x="21711" y="-384"/>
                <wp:lineTo x="-239" y="-384"/>
              </wp:wrapPolygon>
            </wp:wrapThrough>
            <wp:docPr id="20867136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660" cy="10725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b/>
          <w:bCs/>
          <w:noProof/>
          <w:lang w:eastAsia="es-MX"/>
        </w:rPr>
        <w:drawing>
          <wp:anchor distT="0" distB="0" distL="114300" distR="114300" simplePos="0" relativeHeight="251869171" behindDoc="0" locked="0" layoutInCell="1" allowOverlap="1" wp14:anchorId="7A0F143E" wp14:editId="23E929CC">
            <wp:simplePos x="0" y="0"/>
            <wp:positionH relativeFrom="page">
              <wp:align>center</wp:align>
            </wp:positionH>
            <wp:positionV relativeFrom="paragraph">
              <wp:posOffset>19473</wp:posOffset>
            </wp:positionV>
            <wp:extent cx="1724660" cy="1089660"/>
            <wp:effectExtent l="19050" t="19050" r="27940" b="15240"/>
            <wp:wrapThrough wrapText="bothSides">
              <wp:wrapPolygon edited="0">
                <wp:start x="-239" y="-378"/>
                <wp:lineTo x="-239" y="21524"/>
                <wp:lineTo x="21711" y="21524"/>
                <wp:lineTo x="21711" y="-378"/>
                <wp:lineTo x="-239" y="-378"/>
              </wp:wrapPolygon>
            </wp:wrapThrough>
            <wp:docPr id="9571154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660" cy="10896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b/>
          <w:bCs/>
          <w:noProof/>
          <w:lang w:eastAsia="es-MX"/>
        </w:rPr>
        <w:drawing>
          <wp:anchor distT="0" distB="0" distL="114300" distR="114300" simplePos="0" relativeHeight="251868147" behindDoc="0" locked="0" layoutInCell="1" allowOverlap="1" wp14:anchorId="435075AC" wp14:editId="6263B800">
            <wp:simplePos x="0" y="0"/>
            <wp:positionH relativeFrom="margin">
              <wp:align>left</wp:align>
            </wp:positionH>
            <wp:positionV relativeFrom="paragraph">
              <wp:posOffset>22225</wp:posOffset>
            </wp:positionV>
            <wp:extent cx="1716405" cy="1098550"/>
            <wp:effectExtent l="19050" t="19050" r="17145" b="25400"/>
            <wp:wrapThrough wrapText="bothSides">
              <wp:wrapPolygon edited="0">
                <wp:start x="-240" y="-375"/>
                <wp:lineTo x="-240" y="21725"/>
                <wp:lineTo x="21576" y="21725"/>
                <wp:lineTo x="21576" y="-375"/>
                <wp:lineTo x="-240" y="-375"/>
              </wp:wrapPolygon>
            </wp:wrapThrough>
            <wp:docPr id="1519420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570" cy="1099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887D525" w14:textId="1C9D5469" w:rsidR="006147EB" w:rsidRDefault="006147EB" w:rsidP="006147E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D</w:t>
      </w:r>
      <w:r w:rsidRPr="008E16DC">
        <w:rPr>
          <w:rFonts w:ascii="Palatino Linotype" w:hAnsi="Palatino Linotype" w:cs="Arial"/>
          <w:sz w:val="24"/>
          <w:szCs w:val="24"/>
        </w:rPr>
        <w:t xml:space="preserve">e lo expuesto con anterioridad, se desprende que </w:t>
      </w:r>
      <w:r w:rsidRPr="008E16DC">
        <w:rPr>
          <w:rFonts w:ascii="Palatino Linotype" w:hAnsi="Palatino Linotype" w:cs="Arial"/>
          <w:b/>
          <w:sz w:val="24"/>
          <w:szCs w:val="24"/>
        </w:rPr>
        <w:t xml:space="preserve">El Sujeto Obligado </w:t>
      </w:r>
      <w:r w:rsidRPr="008E16DC">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w:t>
      </w:r>
      <w:r>
        <w:rPr>
          <w:rFonts w:ascii="Palatino Linotype" w:hAnsi="Palatino Linotype" w:cs="Arial"/>
          <w:sz w:val="24"/>
          <w:szCs w:val="24"/>
        </w:rPr>
        <w:t xml:space="preserve">la Secretaría General del Pleno; la Unidad de Informática; así como la Unidad de Documentación, Difusión e Información. </w:t>
      </w:r>
    </w:p>
    <w:p w14:paraId="525CE6E9" w14:textId="71893BC4" w:rsidR="006147EB" w:rsidRDefault="006147EB" w:rsidP="00E04DB7">
      <w:pPr>
        <w:pStyle w:val="Sinespaciado"/>
        <w:spacing w:line="360" w:lineRule="auto"/>
        <w:jc w:val="both"/>
        <w:rPr>
          <w:rFonts w:ascii="Palatino Linotype" w:hAnsi="Palatino Linotype" w:cs="Arial"/>
        </w:rPr>
      </w:pPr>
      <w:r w:rsidRPr="00BB4C07">
        <w:rPr>
          <w:rFonts w:ascii="Palatino Linotype" w:hAnsi="Palatino Linotype" w:cs="Arial"/>
        </w:rPr>
        <w:t xml:space="preserve">A mayor abundamiento, en alusión </w:t>
      </w:r>
      <w:r>
        <w:rPr>
          <w:rFonts w:ascii="Palatino Linotype" w:hAnsi="Palatino Linotype" w:cs="Arial"/>
        </w:rPr>
        <w:t xml:space="preserve">al requerimiento formulado por el particular, resulta oportuno traer a colación los artículos 6 y 7 del Reglamento Interior del Tribunal de Justicia Administrativa del Estado de México; así como los numerales </w:t>
      </w:r>
      <w:r w:rsidR="009E76A7" w:rsidRPr="009E76A7">
        <w:rPr>
          <w:rFonts w:ascii="Palatino Linotype" w:hAnsi="Palatino Linotype" w:cs="Arial"/>
        </w:rPr>
        <w:t>32, 33, 34, 35, 36, 38</w:t>
      </w:r>
      <w:r w:rsidR="005F4FE3">
        <w:rPr>
          <w:rFonts w:ascii="Palatino Linotype" w:hAnsi="Palatino Linotype" w:cs="Arial"/>
        </w:rPr>
        <w:t xml:space="preserve"> </w:t>
      </w:r>
      <w:r w:rsidR="009E76A7" w:rsidRPr="009E76A7">
        <w:rPr>
          <w:rFonts w:ascii="Palatino Linotype" w:hAnsi="Palatino Linotype" w:cs="Arial"/>
        </w:rPr>
        <w:t>y 40</w:t>
      </w:r>
      <w:r w:rsidR="009E76A7">
        <w:rPr>
          <w:rFonts w:ascii="Palatino Linotype" w:hAnsi="Palatino Linotype" w:cs="Arial"/>
        </w:rPr>
        <w:t xml:space="preserve"> del Acuerdo general número 10 del año 2018 por el que se establecen los lineamientos que regulan las sesiones del Pleno de la Sala Superior del Tribunal de Justicia Administrativa del Estado de México, porciones normativas que disponen a la literalidad lo siguiente:</w:t>
      </w:r>
    </w:p>
    <w:p w14:paraId="00C0122C" w14:textId="0232DD3D" w:rsidR="006147EB" w:rsidRPr="009E76A7" w:rsidRDefault="006147EB" w:rsidP="006147EB">
      <w:pPr>
        <w:pStyle w:val="Citas"/>
        <w:rPr>
          <w:b/>
          <w:bCs/>
          <w:i w:val="0"/>
          <w:iCs/>
        </w:rPr>
      </w:pPr>
      <w:r w:rsidRPr="009E76A7">
        <w:rPr>
          <w:b/>
          <w:bCs/>
          <w:i w:val="0"/>
          <w:iCs/>
        </w:rPr>
        <w:t xml:space="preserve">REGLAMENTO INTERIOR DEL TRIBUNAL DE JUSTICIA ADMINISTRATIVA DEL ESTADO DE MÉXICO </w:t>
      </w:r>
    </w:p>
    <w:p w14:paraId="598FAA8B" w14:textId="6768FE06" w:rsidR="006147EB" w:rsidRDefault="006147EB" w:rsidP="006147EB">
      <w:pPr>
        <w:pStyle w:val="Citas"/>
      </w:pPr>
      <w:r>
        <w:t xml:space="preserve">“Artículo 6. El carácter público o privado de las sesiones del Pleno, se determinará tomando como bases mínimas las siguientes: </w:t>
      </w:r>
    </w:p>
    <w:p w14:paraId="3246D913" w14:textId="77777777" w:rsidR="006147EB" w:rsidRDefault="006147EB" w:rsidP="006147EB">
      <w:pPr>
        <w:pStyle w:val="Citas"/>
      </w:pPr>
      <w:r>
        <w:t xml:space="preserve">I. Sesiones públicas: Las que tengan por objeto cumplir con las atribuciones exclusivas que le confiere la Ley Orgánica del Tribunal; y </w:t>
      </w:r>
    </w:p>
    <w:p w14:paraId="4C718852" w14:textId="77777777" w:rsidR="006147EB" w:rsidRDefault="006147EB" w:rsidP="006147EB">
      <w:pPr>
        <w:pStyle w:val="Citas"/>
      </w:pPr>
      <w:r>
        <w:t xml:space="preserve">II. Sesiones privadas: Cuando a juicio del Pleno, las circunstancias imposibiliten la realización de la sesión en forma pública. </w:t>
      </w:r>
    </w:p>
    <w:p w14:paraId="7EFE5A65" w14:textId="77777777" w:rsidR="006147EB" w:rsidRPr="009E76A7" w:rsidRDefault="006147EB" w:rsidP="006147EB">
      <w:pPr>
        <w:pStyle w:val="Citas"/>
        <w:rPr>
          <w:b/>
          <w:bCs/>
          <w:u w:val="single"/>
        </w:rPr>
      </w:pPr>
      <w:r w:rsidRPr="009E76A7">
        <w:rPr>
          <w:b/>
          <w:bCs/>
          <w:u w:val="single"/>
        </w:rPr>
        <w:lastRenderedPageBreak/>
        <w:t xml:space="preserve">Las sesiones serán grabadas en audio y video, debiéndose, en su caso, asentar en el acta que al efecto se levante, la disposición relativa a su publicación en los medios de difusión del Tribunal. </w:t>
      </w:r>
    </w:p>
    <w:p w14:paraId="4612E182" w14:textId="77777777" w:rsidR="006147EB" w:rsidRDefault="006147EB" w:rsidP="006147EB">
      <w:pPr>
        <w:pStyle w:val="Citas"/>
      </w:pPr>
      <w:r>
        <w:t xml:space="preserve">Artículo 7. El Pleno sesionará por lo menos cuatro veces al año de manera ordinaria y cuantas veces sea necesario de manera extraordinaria, cuando así lo considere la Presidencia del Tribunal o lo soliciten conjuntamente la mayoría de las Magistradas y los Magistrados de la Sala Superior. </w:t>
      </w:r>
    </w:p>
    <w:p w14:paraId="22660A01" w14:textId="0EE4D89C" w:rsidR="006147EB" w:rsidRPr="006147EB" w:rsidRDefault="006147EB" w:rsidP="006147EB">
      <w:pPr>
        <w:pStyle w:val="Citas"/>
        <w:rPr>
          <w:b/>
          <w:bCs/>
        </w:rPr>
      </w:pPr>
      <w:r>
        <w:t xml:space="preserve">Las sesiones extraordinarias se celebrarán cuando así lo considere necesario la Presidencia del Tribunal o lo soliciten conjuntamente la mayoría de las Magistradas y los Magistrados de la Sala Superior.” </w:t>
      </w:r>
      <w:r>
        <w:rPr>
          <w:b/>
          <w:bCs/>
        </w:rPr>
        <w:t>(Sic)</w:t>
      </w:r>
    </w:p>
    <w:p w14:paraId="28C96806" w14:textId="77777777" w:rsidR="006147EB" w:rsidRDefault="006147EB" w:rsidP="00E04DB7">
      <w:pPr>
        <w:pStyle w:val="Sinespaciado"/>
        <w:spacing w:line="360" w:lineRule="auto"/>
        <w:jc w:val="both"/>
        <w:rPr>
          <w:rFonts w:ascii="Palatino Linotype" w:hAnsi="Palatino Linotype" w:cs="Arial"/>
        </w:rPr>
      </w:pPr>
    </w:p>
    <w:p w14:paraId="1CD95D56" w14:textId="47A15AE2" w:rsidR="006147EB" w:rsidRPr="009E76A7" w:rsidRDefault="009E76A7" w:rsidP="009E76A7">
      <w:pPr>
        <w:pStyle w:val="Citas"/>
        <w:rPr>
          <w:b/>
          <w:bCs/>
          <w:i w:val="0"/>
          <w:iCs/>
          <w:sz w:val="24"/>
          <w:szCs w:val="24"/>
        </w:rPr>
      </w:pPr>
      <w:r w:rsidRPr="009E76A7">
        <w:rPr>
          <w:b/>
          <w:bCs/>
          <w:i w:val="0"/>
          <w:iCs/>
          <w:sz w:val="24"/>
          <w:szCs w:val="24"/>
        </w:rPr>
        <w:t>ACUERDO GENERAL NÚMERO 10 DEL AÑO 2018 POR EL QUE SE ESTABLECEN LOS LINEAMIENTOS QUE REGULAN LAS SESIONES DEL PLENO DE LA SALA SUPERIOR DEL TRIBUNAL DE JUSTICIA ADMINISTRATIVA DEL ESTADO DE MÉXICO</w:t>
      </w:r>
    </w:p>
    <w:p w14:paraId="11D9A33E" w14:textId="272FF273" w:rsidR="009E76A7" w:rsidRDefault="009E76A7" w:rsidP="009E76A7">
      <w:pPr>
        <w:pStyle w:val="Citas"/>
      </w:pPr>
      <w:r>
        <w:t xml:space="preserve">“Artículo 32. Las sesiones públicas, serán grabadas de conformidad con el artículo 7 del Reglamento. </w:t>
      </w:r>
    </w:p>
    <w:p w14:paraId="501E8061" w14:textId="655839F1" w:rsidR="009E76A7" w:rsidRDefault="009E76A7" w:rsidP="009E76A7">
      <w:pPr>
        <w:pStyle w:val="Citas"/>
      </w:pPr>
      <w:r>
        <w:t xml:space="preserve">La o el Presidente del Tribunal, previo al inicio de la sesión, ordenará a la o el Secretario o a la persona designada que active el dispositivo de grabación de audio y video; hecho lo anterior, hará la declaración de inicio. </w:t>
      </w:r>
    </w:p>
    <w:p w14:paraId="752A8962" w14:textId="77777777" w:rsidR="009E76A7" w:rsidRPr="009E76A7" w:rsidRDefault="009E76A7" w:rsidP="009E76A7">
      <w:pPr>
        <w:pStyle w:val="Citas"/>
        <w:rPr>
          <w:b/>
          <w:bCs/>
          <w:u w:val="single"/>
        </w:rPr>
      </w:pPr>
      <w:r w:rsidRPr="009E76A7">
        <w:rPr>
          <w:b/>
          <w:bCs/>
          <w:u w:val="single"/>
        </w:rPr>
        <w:t xml:space="preserve">Artículo 33. La o el Secretario, por conducto de la Unidad de Informática, ordenará la instalación del equipo de grabación de audio y video en la sala </w:t>
      </w:r>
      <w:r w:rsidRPr="009E76A7">
        <w:rPr>
          <w:b/>
          <w:bCs/>
          <w:u w:val="single"/>
        </w:rPr>
        <w:lastRenderedPageBreak/>
        <w:t xml:space="preserve">del Pleno o en lugar donde se realice la sesión; y la Unidad verificará su debido funcionamiento, para lo cual, implementará las acciones tendentes a capacitar al personal que el Pleno designe, para operar los dispositivos de grabación. </w:t>
      </w:r>
    </w:p>
    <w:p w14:paraId="42FAF1FC" w14:textId="77777777" w:rsidR="009E76A7" w:rsidRDefault="009E76A7" w:rsidP="009E76A7">
      <w:pPr>
        <w:pStyle w:val="Citas"/>
      </w:pPr>
      <w:r>
        <w:t xml:space="preserve">Artículo 34. La instalación del equipo de grabación referido, tendrá como finalidad </w:t>
      </w:r>
      <w:proofErr w:type="spellStart"/>
      <w:r>
        <w:t>videograbar</w:t>
      </w:r>
      <w:proofErr w:type="spellEnd"/>
      <w:r>
        <w:t xml:space="preserve"> las sesiones del Pleno de la Sala Superior en las que se aprueben los acuerdos o resoluciones. </w:t>
      </w:r>
    </w:p>
    <w:p w14:paraId="0747FB41" w14:textId="005E76A9" w:rsidR="009E76A7" w:rsidRDefault="009E76A7" w:rsidP="009E76A7">
      <w:pPr>
        <w:pStyle w:val="Citas"/>
      </w:pPr>
      <w:r>
        <w:t xml:space="preserve">Los dispositivos de grabación, desde el punto de vista técnico, deberán ser instalados de tal manera que permita ubicar con facilidad, dentro de cada una de las sesiones, el debate de aquellos asuntos que serán difundidos conforme a los lineamientos del presente Acuerdo. </w:t>
      </w:r>
    </w:p>
    <w:p w14:paraId="5E65C965" w14:textId="77777777" w:rsidR="009E76A7" w:rsidRPr="009E76A7" w:rsidRDefault="009E76A7" w:rsidP="009E76A7">
      <w:pPr>
        <w:pStyle w:val="Citas"/>
        <w:rPr>
          <w:b/>
          <w:bCs/>
          <w:u w:val="single"/>
        </w:rPr>
      </w:pPr>
      <w:r w:rsidRPr="009E76A7">
        <w:rPr>
          <w:b/>
          <w:bCs/>
          <w:u w:val="single"/>
        </w:rPr>
        <w:t xml:space="preserve">Artículo 35. Se generará un archivo digital por cada sesión </w:t>
      </w:r>
      <w:proofErr w:type="spellStart"/>
      <w:r w:rsidRPr="009E76A7">
        <w:rPr>
          <w:b/>
          <w:bCs/>
          <w:u w:val="single"/>
        </w:rPr>
        <w:t>videograbada</w:t>
      </w:r>
      <w:proofErr w:type="spellEnd"/>
      <w:r w:rsidRPr="009E76A7">
        <w:rPr>
          <w:b/>
          <w:bCs/>
          <w:u w:val="single"/>
        </w:rPr>
        <w:t xml:space="preserve">, el cual será almacenado en un dispositivo de datos, previo el respaldo realizado por el servidor correspondiente. </w:t>
      </w:r>
    </w:p>
    <w:p w14:paraId="36BE0D9F" w14:textId="01EC0F9F" w:rsidR="006147EB" w:rsidRDefault="009E76A7" w:rsidP="009E76A7">
      <w:pPr>
        <w:pStyle w:val="Citas"/>
      </w:pPr>
      <w:r>
        <w:t>Artículo 36. La o el Secretario o la persona que al efecto se designe, bajo su responsabilidad, tendrá el resguardo de la videograbación de las sesiones en estricto orden cronológico; quien además deberá vigilar que, en un plazo no mayor de cuarenta y ocho horas, se almacene en el servidor que se disponga para tal efecto.</w:t>
      </w:r>
    </w:p>
    <w:p w14:paraId="31457A49" w14:textId="77777777" w:rsidR="009E76A7" w:rsidRPr="00E8036B" w:rsidRDefault="009E76A7" w:rsidP="009E76A7">
      <w:pPr>
        <w:pStyle w:val="Citas"/>
        <w:rPr>
          <w:b/>
          <w:bCs/>
          <w:u w:val="single"/>
        </w:rPr>
      </w:pPr>
      <w:r w:rsidRPr="00E8036B">
        <w:rPr>
          <w:b/>
          <w:bCs/>
          <w:u w:val="single"/>
        </w:rPr>
        <w:t xml:space="preserve">Artículo 38. El dispositivo de almacenamiento de datos en donde se guarde el archivo digital de imagen y video de las sesiones deberá </w:t>
      </w:r>
      <w:r w:rsidRPr="005511CD">
        <w:rPr>
          <w:b/>
          <w:bCs/>
          <w:u w:val="single"/>
        </w:rPr>
        <w:t>conservarse en la Unidad de Documentación, Difusión e Información del Tribunal, en</w:t>
      </w:r>
      <w:r w:rsidRPr="00E8036B">
        <w:rPr>
          <w:b/>
          <w:bCs/>
          <w:u w:val="single"/>
        </w:rPr>
        <w:t xml:space="preserve"> el espacio que al efecto se habilite. </w:t>
      </w:r>
    </w:p>
    <w:p w14:paraId="75D1DE69" w14:textId="30221A0E" w:rsidR="009E76A7" w:rsidRDefault="009E76A7" w:rsidP="009E76A7">
      <w:pPr>
        <w:pStyle w:val="Citas"/>
      </w:pPr>
      <w:r>
        <w:lastRenderedPageBreak/>
        <w:t>El servidor público que haga uso indebido de los archivos digitales de las videograbaciones, será sancionado administrativamente en términos de la Ley de Responsabilidades Administrativas del Estado de México y Municipios.</w:t>
      </w:r>
    </w:p>
    <w:p w14:paraId="65E20008" w14:textId="24CAE396" w:rsidR="006147EB" w:rsidRPr="00E8036B" w:rsidRDefault="009E76A7" w:rsidP="009E76A7">
      <w:pPr>
        <w:pStyle w:val="Citas"/>
        <w:rPr>
          <w:b/>
          <w:bCs/>
        </w:rPr>
      </w:pPr>
      <w:r>
        <w:t>Artículo 40. La Dirección Administrativa, en el ámbito de sus atribuciones proveerá lo necesario a fin de que se dote a la Unidad de Documentación, Difusión e Información, con el mobiliario adecuado que permita la guarda y custodia de los dispositivos de almacenamiento de datos que contengan los archivos digitales de las sesiones.</w:t>
      </w:r>
      <w:r w:rsidR="00E8036B">
        <w:t xml:space="preserve">” </w:t>
      </w:r>
      <w:r w:rsidR="00E8036B">
        <w:rPr>
          <w:b/>
          <w:bCs/>
        </w:rPr>
        <w:t>(Sic)</w:t>
      </w:r>
    </w:p>
    <w:p w14:paraId="5F387924" w14:textId="77777777" w:rsidR="006147EB" w:rsidRDefault="006147EB" w:rsidP="00E8036B">
      <w:pPr>
        <w:pStyle w:val="Citas"/>
        <w:ind w:left="0"/>
      </w:pPr>
    </w:p>
    <w:p w14:paraId="3E8F75F5" w14:textId="5690FDF5" w:rsidR="00E8036B" w:rsidRDefault="00E8036B" w:rsidP="00E8036B">
      <w:pPr>
        <w:pStyle w:val="Citas"/>
        <w:ind w:left="0" w:right="0"/>
        <w:rPr>
          <w:i w:val="0"/>
          <w:iCs/>
          <w:sz w:val="24"/>
          <w:szCs w:val="24"/>
        </w:rPr>
      </w:pPr>
      <w:r>
        <w:rPr>
          <w:i w:val="0"/>
          <w:iCs/>
          <w:sz w:val="24"/>
          <w:szCs w:val="24"/>
        </w:rPr>
        <w:t xml:space="preserve">De ahí que deba arribarse a la premisa de que la instalación, grabación, conservación y respaldo de las videograbaciones correspondientes a las sesiones de Pleno, se tratan de atribuciones reservadas a las unidades administrativas referidas con antelación. </w:t>
      </w:r>
    </w:p>
    <w:p w14:paraId="7769ACBC" w14:textId="3B2061C3" w:rsidR="00460632" w:rsidRPr="00151BC7" w:rsidRDefault="00E8036B" w:rsidP="00151BC7">
      <w:pPr>
        <w:pStyle w:val="Citas"/>
        <w:ind w:left="0" w:right="0"/>
        <w:rPr>
          <w:i w:val="0"/>
          <w:iCs/>
          <w:sz w:val="24"/>
          <w:szCs w:val="24"/>
        </w:rPr>
      </w:pPr>
      <w:r w:rsidRPr="00151BC7">
        <w:rPr>
          <w:i w:val="0"/>
          <w:iCs/>
          <w:sz w:val="24"/>
          <w:szCs w:val="24"/>
        </w:rPr>
        <w:t xml:space="preserve">En este sentido, con base en los </w:t>
      </w:r>
      <w:r w:rsidR="00151BC7" w:rsidRPr="00151BC7">
        <w:rPr>
          <w:i w:val="0"/>
          <w:iCs/>
          <w:sz w:val="24"/>
          <w:szCs w:val="24"/>
        </w:rPr>
        <w:t xml:space="preserve">artículos </w:t>
      </w:r>
      <w:r w:rsidR="00460632" w:rsidRPr="00151BC7">
        <w:rPr>
          <w:i w:val="0"/>
          <w:iCs/>
          <w:sz w:val="24"/>
          <w:szCs w:val="24"/>
        </w:rPr>
        <w:t xml:space="preserve">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C149325" w14:textId="77777777" w:rsidR="00460632" w:rsidRDefault="00460632" w:rsidP="00460632">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2C5DCD2E" w14:textId="77777777" w:rsidR="00460632" w:rsidRDefault="00460632" w:rsidP="00460632">
      <w:pPr>
        <w:pStyle w:val="Citas"/>
      </w:pPr>
      <w:r>
        <w:t xml:space="preserve">Artículo 19. Se presume que la información debe existir si se refiere a las facultades, competencias y funciones que los ordenamientos jurídicos aplicables otorgan a los sujetos obligados. </w:t>
      </w:r>
    </w:p>
    <w:p w14:paraId="25953647" w14:textId="77777777" w:rsidR="00460632" w:rsidRDefault="00460632" w:rsidP="00460632">
      <w:pPr>
        <w:pStyle w:val="Citas"/>
      </w:pPr>
      <w:r>
        <w:lastRenderedPageBreak/>
        <w:t xml:space="preserve">En los casos en que ciertas facultades, competencias o funciones no se hayan ejercido, se debe motivar la respuesta en función de las causas que motiven tal circunstancia. </w:t>
      </w:r>
    </w:p>
    <w:p w14:paraId="68501017" w14:textId="77777777" w:rsidR="00460632" w:rsidRPr="00407C65" w:rsidRDefault="00460632" w:rsidP="00460632">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4836BFD2" w14:textId="77777777" w:rsidR="00460632" w:rsidRDefault="00460632" w:rsidP="00E04DB7">
      <w:pPr>
        <w:spacing w:before="240" w:line="360" w:lineRule="auto"/>
        <w:jc w:val="both"/>
        <w:rPr>
          <w:rFonts w:ascii="Palatino Linotype" w:hAnsi="Palatino Linotype"/>
          <w:sz w:val="24"/>
          <w:szCs w:val="24"/>
        </w:rPr>
      </w:pPr>
    </w:p>
    <w:p w14:paraId="1595F67E" w14:textId="1E3AEE1B" w:rsidR="00151BC7" w:rsidRDefault="00151BC7" w:rsidP="00151BC7">
      <w:pPr>
        <w:spacing w:before="240" w:line="360" w:lineRule="auto"/>
        <w:jc w:val="both"/>
        <w:rPr>
          <w:rFonts w:ascii="Palatino Linotype" w:hAnsi="Palatino Linotype"/>
          <w:bCs/>
          <w:sz w:val="24"/>
          <w:szCs w:val="24"/>
        </w:rPr>
      </w:pPr>
      <w:r w:rsidRPr="00322E78">
        <w:rPr>
          <w:rFonts w:ascii="Palatino Linotype" w:hAnsi="Palatino Linotype" w:cs="Arial"/>
          <w:sz w:val="24"/>
          <w:szCs w:val="24"/>
        </w:rPr>
        <w:t xml:space="preserve">Por otra parte, es óbice mencionar que la información requerida estriba parcialmente en las obligaciones de transparencia </w:t>
      </w:r>
      <w:r w:rsidR="00495B92">
        <w:rPr>
          <w:rFonts w:ascii="Palatino Linotype" w:hAnsi="Palatino Linotype" w:cs="Arial"/>
          <w:sz w:val="24"/>
          <w:szCs w:val="24"/>
        </w:rPr>
        <w:t>específicas</w:t>
      </w:r>
      <w:r w:rsidRPr="00322E78">
        <w:rPr>
          <w:rFonts w:ascii="Palatino Linotype" w:hAnsi="Palatino Linotype" w:cs="Arial"/>
          <w:sz w:val="24"/>
          <w:szCs w:val="24"/>
        </w:rPr>
        <w:t xml:space="preserve">, lo anterior con fundamento </w:t>
      </w:r>
      <w:r w:rsidRPr="00322E78">
        <w:rPr>
          <w:rFonts w:ascii="Palatino Linotype" w:hAnsi="Palatino Linotype"/>
          <w:bCs/>
          <w:sz w:val="24"/>
          <w:szCs w:val="24"/>
        </w:rPr>
        <w:t xml:space="preserve">en </w:t>
      </w:r>
      <w:r>
        <w:rPr>
          <w:rFonts w:ascii="Palatino Linotype" w:hAnsi="Palatino Linotype"/>
          <w:bCs/>
          <w:sz w:val="24"/>
          <w:szCs w:val="24"/>
        </w:rPr>
        <w:t>los artículos</w:t>
      </w:r>
      <w:r w:rsidRPr="00322E78">
        <w:rPr>
          <w:rFonts w:ascii="Palatino Linotype" w:hAnsi="Palatino Linotype"/>
          <w:bCs/>
          <w:sz w:val="24"/>
          <w:szCs w:val="24"/>
        </w:rPr>
        <w:t xml:space="preserve"> 24, fracción XII, 9</w:t>
      </w:r>
      <w:r>
        <w:rPr>
          <w:rFonts w:ascii="Palatino Linotype" w:hAnsi="Palatino Linotype"/>
          <w:bCs/>
          <w:sz w:val="24"/>
          <w:szCs w:val="24"/>
        </w:rPr>
        <w:t>6</w:t>
      </w:r>
      <w:r w:rsidRPr="00322E78">
        <w:rPr>
          <w:rFonts w:ascii="Palatino Linotype" w:hAnsi="Palatino Linotype"/>
          <w:bCs/>
          <w:sz w:val="24"/>
          <w:szCs w:val="24"/>
        </w:rPr>
        <w:t xml:space="preserve">, </w:t>
      </w:r>
      <w:r>
        <w:rPr>
          <w:rFonts w:ascii="Palatino Linotype" w:hAnsi="Palatino Linotype"/>
          <w:bCs/>
          <w:sz w:val="24"/>
          <w:szCs w:val="24"/>
        </w:rPr>
        <w:t>fracción III de la Ley de Transparencia y Acceso a la Información Pública del Estado de México y Municipios, porciones normativas que disponen a la literalidad lo siguiente:</w:t>
      </w:r>
    </w:p>
    <w:p w14:paraId="407A8C84" w14:textId="77777777" w:rsidR="00151BC7" w:rsidRDefault="00151BC7" w:rsidP="00151BC7">
      <w:pPr>
        <w:spacing w:before="240" w:line="360" w:lineRule="auto"/>
        <w:ind w:left="851" w:right="851"/>
        <w:jc w:val="both"/>
        <w:rPr>
          <w:rFonts w:ascii="Palatino Linotype" w:hAnsi="Palatino Linotype"/>
          <w:i/>
        </w:rPr>
      </w:pPr>
      <w:r w:rsidRPr="00E66BD3">
        <w:rPr>
          <w:rFonts w:ascii="Palatino Linotype" w:hAnsi="Palatino Linotype"/>
          <w:i/>
        </w:rPr>
        <w:t>“Artículo 24. Para el cumplimiento de los objetivos de esta Ley, los sujetos obligados deberán cumplir con las siguientes obligaciones, según corresponda, de acuerdo a su naturaleza:</w:t>
      </w:r>
    </w:p>
    <w:p w14:paraId="386D8117" w14:textId="77777777" w:rsidR="00151BC7" w:rsidRPr="00E66BD3" w:rsidRDefault="00151BC7" w:rsidP="00151BC7">
      <w:pPr>
        <w:spacing w:before="240" w:line="360" w:lineRule="auto"/>
        <w:ind w:left="851" w:right="851"/>
        <w:jc w:val="both"/>
        <w:rPr>
          <w:rFonts w:ascii="Palatino Linotype" w:hAnsi="Palatino Linotype"/>
          <w:i/>
        </w:rPr>
      </w:pPr>
      <w:r>
        <w:rPr>
          <w:rFonts w:ascii="Palatino Linotype" w:hAnsi="Palatino Linotype"/>
          <w:i/>
        </w:rPr>
        <w:t>(…)</w:t>
      </w:r>
    </w:p>
    <w:p w14:paraId="5BFE20BA" w14:textId="77777777" w:rsidR="00151BC7" w:rsidRDefault="00151BC7" w:rsidP="00151BC7">
      <w:pPr>
        <w:spacing w:before="240" w:line="360" w:lineRule="auto"/>
        <w:ind w:left="851" w:right="851"/>
        <w:jc w:val="both"/>
        <w:rPr>
          <w:rFonts w:ascii="Palatino Linotype" w:hAnsi="Palatino Linotype"/>
          <w:bCs/>
          <w:i/>
        </w:rPr>
      </w:pPr>
      <w:r w:rsidRPr="000C0AAF">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3F3A6373" w14:textId="77777777" w:rsidR="00151BC7" w:rsidRDefault="00151BC7" w:rsidP="00151BC7">
      <w:pPr>
        <w:spacing w:before="240" w:line="360" w:lineRule="auto"/>
        <w:ind w:left="851" w:right="851"/>
        <w:jc w:val="both"/>
        <w:rPr>
          <w:rFonts w:ascii="Palatino Linotype" w:hAnsi="Palatino Linotype"/>
          <w:bCs/>
          <w:i/>
        </w:rPr>
      </w:pPr>
      <w:r>
        <w:rPr>
          <w:rFonts w:ascii="Palatino Linotype" w:hAnsi="Palatino Linotype"/>
          <w:bCs/>
          <w:i/>
        </w:rPr>
        <w:t>(…)</w:t>
      </w:r>
    </w:p>
    <w:p w14:paraId="26705ECF" w14:textId="77777777" w:rsidR="00151BC7" w:rsidRDefault="00151BC7" w:rsidP="00E04DB7">
      <w:pPr>
        <w:spacing w:before="240" w:line="360" w:lineRule="auto"/>
        <w:jc w:val="both"/>
        <w:rPr>
          <w:rFonts w:ascii="Palatino Linotype" w:hAnsi="Palatino Linotype"/>
          <w:sz w:val="24"/>
          <w:szCs w:val="24"/>
        </w:rPr>
      </w:pPr>
    </w:p>
    <w:p w14:paraId="69756B48" w14:textId="294328DB" w:rsidR="00151BC7" w:rsidRDefault="00151BC7" w:rsidP="00151BC7">
      <w:pPr>
        <w:pStyle w:val="Citas"/>
      </w:pPr>
      <w:r>
        <w:lastRenderedPageBreak/>
        <w:t>Artículo 96. Además de las obligaciones de transparencia común a que se refiere el Capítulo II de este Título, el Poder Judicial Local y el Tribunal de Justicia Administrativa del Estado de México, deberán poner a disposición del público y actualizar la siguiente información:</w:t>
      </w:r>
    </w:p>
    <w:p w14:paraId="2D6984B6" w14:textId="21BC6B1E" w:rsidR="00151BC7" w:rsidRDefault="00151BC7" w:rsidP="00151BC7">
      <w:pPr>
        <w:pStyle w:val="Citas"/>
      </w:pPr>
      <w:r>
        <w:t>(…)</w:t>
      </w:r>
    </w:p>
    <w:p w14:paraId="6B05DDEC" w14:textId="3DD9D6C9" w:rsidR="00151BC7" w:rsidRPr="00151BC7" w:rsidRDefault="00151BC7" w:rsidP="00151BC7">
      <w:pPr>
        <w:pStyle w:val="Citas"/>
        <w:rPr>
          <w:b/>
          <w:bCs/>
          <w:u w:val="single"/>
        </w:rPr>
      </w:pPr>
      <w:r w:rsidRPr="00151BC7">
        <w:rPr>
          <w:b/>
          <w:bCs/>
          <w:u w:val="single"/>
        </w:rPr>
        <w:t>III. Las versiones estenográficas, taquigráficas, magnetofónicas, video gráficas, electrónicas o de cualquier otra naturaleza, de las sesiones públicas de cualquiera de sus órganos;</w:t>
      </w:r>
    </w:p>
    <w:p w14:paraId="057BEFD2" w14:textId="17BB90BB" w:rsidR="00151BC7" w:rsidRPr="00151BC7" w:rsidRDefault="00151BC7" w:rsidP="00151BC7">
      <w:pPr>
        <w:pStyle w:val="Citas"/>
        <w:rPr>
          <w:b/>
          <w:bCs/>
        </w:rPr>
      </w:pPr>
      <w:r>
        <w:t xml:space="preserve">(…)” </w:t>
      </w:r>
      <w:r>
        <w:rPr>
          <w:b/>
          <w:bCs/>
        </w:rPr>
        <w:t>(Sic)</w:t>
      </w:r>
    </w:p>
    <w:p w14:paraId="47C0BB95" w14:textId="77777777" w:rsidR="00151BC7" w:rsidRDefault="00151BC7" w:rsidP="00E04DB7">
      <w:pPr>
        <w:spacing w:before="240" w:line="360" w:lineRule="auto"/>
        <w:jc w:val="both"/>
        <w:rPr>
          <w:rFonts w:ascii="Palatino Linotype" w:hAnsi="Palatino Linotype"/>
          <w:sz w:val="24"/>
          <w:szCs w:val="24"/>
        </w:rPr>
      </w:pPr>
    </w:p>
    <w:p w14:paraId="3FC37793" w14:textId="3D7C17F1" w:rsidR="00151BC7" w:rsidRPr="00561B52" w:rsidRDefault="00495B92" w:rsidP="00151BC7">
      <w:pPr>
        <w:autoSpaceDE w:val="0"/>
        <w:autoSpaceDN w:val="0"/>
        <w:adjustRightInd w:val="0"/>
        <w:spacing w:before="240" w:line="360" w:lineRule="auto"/>
        <w:jc w:val="both"/>
        <w:rPr>
          <w:rFonts w:ascii="Palatino Linotype" w:eastAsia="Arial Unicode MS" w:hAnsi="Palatino Linotype" w:cs="Arial"/>
          <w:b/>
          <w:bCs/>
          <w:sz w:val="24"/>
          <w:szCs w:val="24"/>
        </w:rPr>
      </w:pPr>
      <w:r>
        <w:rPr>
          <w:rFonts w:ascii="Palatino Linotype" w:eastAsia="MS Mincho" w:hAnsi="Palatino Linotype" w:cs="Tahoma"/>
          <w:noProof/>
          <w:sz w:val="24"/>
          <w:szCs w:val="24"/>
          <w:lang w:eastAsia="es-MX"/>
        </w:rPr>
        <mc:AlternateContent>
          <mc:Choice Requires="wps">
            <w:drawing>
              <wp:anchor distT="0" distB="0" distL="114300" distR="114300" simplePos="0" relativeHeight="251877363" behindDoc="0" locked="0" layoutInCell="1" allowOverlap="1" wp14:anchorId="5CAF44AD" wp14:editId="7722D9CF">
                <wp:simplePos x="0" y="0"/>
                <wp:positionH relativeFrom="column">
                  <wp:posOffset>-267335</wp:posOffset>
                </wp:positionH>
                <wp:positionV relativeFrom="paragraph">
                  <wp:posOffset>2198370</wp:posOffset>
                </wp:positionV>
                <wp:extent cx="6153150" cy="1644650"/>
                <wp:effectExtent l="0" t="0" r="19050" b="31750"/>
                <wp:wrapNone/>
                <wp:docPr id="904082440" name="Straight Connector 1"/>
                <wp:cNvGraphicFramePr/>
                <a:graphic xmlns:a="http://schemas.openxmlformats.org/drawingml/2006/main">
                  <a:graphicData uri="http://schemas.microsoft.com/office/word/2010/wordprocessingShape">
                    <wps:wsp>
                      <wps:cNvCnPr/>
                      <wps:spPr>
                        <a:xfrm>
                          <a:off x="0" y="0"/>
                          <a:ext cx="6153150" cy="164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5B9424" id="Straight Connector 1" o:spid="_x0000_s1026" style="position:absolute;z-index:251877363;visibility:visible;mso-wrap-style:square;mso-wrap-distance-left:9pt;mso-wrap-distance-top:0;mso-wrap-distance-right:9pt;mso-wrap-distance-bottom:0;mso-position-horizontal:absolute;mso-position-horizontal-relative:text;mso-position-vertical:absolute;mso-position-vertical-relative:text" from="-21.05pt,173.1pt" to="463.45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" strokecolor="#5b9bd5 [3204]" strokeweight=".5pt">
                <v:stroke joinstyle="miter"/>
              </v:line>
            </w:pict>
          </mc:Fallback>
        </mc:AlternateContent>
      </w:r>
      <w:r w:rsidR="00151BC7" w:rsidRPr="00D9557E">
        <w:rPr>
          <w:rFonts w:ascii="Palatino Linotype" w:eastAsia="MS Mincho" w:hAnsi="Palatino Linotype" w:cs="Tahoma"/>
          <w:sz w:val="24"/>
          <w:szCs w:val="24"/>
        </w:rPr>
        <w:t xml:space="preserve">Así la Ley de Transparencia y Acceso a la Información Pública del Estado de México y Municipios </w:t>
      </w:r>
      <w:r w:rsidR="00151BC7" w:rsidRPr="00D9557E">
        <w:rPr>
          <w:rFonts w:ascii="Palatino Linotype" w:eastAsia="Arial Unicode MS" w:hAnsi="Palatino Linotype" w:cs="Arial"/>
          <w:sz w:val="24"/>
          <w:szCs w:val="24"/>
        </w:rPr>
        <w:t xml:space="preserve">en el artículo </w:t>
      </w:r>
      <w:r w:rsidR="00151BC7">
        <w:rPr>
          <w:rFonts w:ascii="Palatino Linotype" w:eastAsia="Arial Unicode MS" w:hAnsi="Palatino Linotype" w:cs="Arial"/>
          <w:sz w:val="24"/>
          <w:szCs w:val="24"/>
        </w:rPr>
        <w:t xml:space="preserve">96 fracción III de la Ley de Transparencia y Acceso a la Información Pública del Estado de México y Municipios señala que la información requerida respecto de videograbaciones de sesiones públicas </w:t>
      </w:r>
      <w:r w:rsidR="00561B52">
        <w:rPr>
          <w:rFonts w:ascii="Palatino Linotype" w:eastAsia="Arial Unicode MS" w:hAnsi="Palatino Linotype" w:cs="Arial"/>
          <w:sz w:val="24"/>
          <w:szCs w:val="24"/>
        </w:rPr>
        <w:t xml:space="preserve">se trata de una obligación de transparencia </w:t>
      </w:r>
      <w:proofErr w:type="gramStart"/>
      <w:r w:rsidR="00561B52">
        <w:rPr>
          <w:rFonts w:ascii="Palatino Linotype" w:eastAsia="Arial Unicode MS" w:hAnsi="Palatino Linotype" w:cs="Arial"/>
          <w:sz w:val="24"/>
          <w:szCs w:val="24"/>
        </w:rPr>
        <w:t>especifica</w:t>
      </w:r>
      <w:proofErr w:type="gramEnd"/>
      <w:r w:rsidR="00561B52">
        <w:rPr>
          <w:rFonts w:ascii="Palatino Linotype" w:eastAsia="Arial Unicode MS" w:hAnsi="Palatino Linotype" w:cs="Arial"/>
          <w:sz w:val="24"/>
          <w:szCs w:val="24"/>
        </w:rPr>
        <w:t xml:space="preserve">. Robustece lo anterior las siguientes imágenes ilustrativas correspondientes a la tabla de aplicabilidad del </w:t>
      </w:r>
      <w:r w:rsidR="00561B52">
        <w:rPr>
          <w:rFonts w:ascii="Palatino Linotype" w:eastAsia="Arial Unicode MS" w:hAnsi="Palatino Linotype" w:cs="Arial"/>
          <w:b/>
          <w:bCs/>
          <w:sz w:val="24"/>
          <w:szCs w:val="24"/>
        </w:rPr>
        <w:t xml:space="preserve">Sujeto Obligado: </w:t>
      </w:r>
    </w:p>
    <w:p w14:paraId="49C1CB3B" w14:textId="52517DE6" w:rsidR="00561B52" w:rsidRDefault="00B963EC" w:rsidP="00151BC7">
      <w:pPr>
        <w:autoSpaceDE w:val="0"/>
        <w:autoSpaceDN w:val="0"/>
        <w:adjustRightInd w:val="0"/>
        <w:spacing w:before="240" w:line="360" w:lineRule="auto"/>
        <w:jc w:val="both"/>
        <w:rPr>
          <w:rFonts w:ascii="Palatino Linotype" w:eastAsia="Arial Unicode MS" w:hAnsi="Palatino Linotype" w:cs="Arial"/>
          <w:sz w:val="24"/>
          <w:szCs w:val="24"/>
        </w:rPr>
      </w:pPr>
      <w:r>
        <w:rPr>
          <w:rFonts w:ascii="Palatino Linotype" w:eastAsia="Arial Unicode MS" w:hAnsi="Palatino Linotype" w:cs="Arial"/>
          <w:noProof/>
          <w:sz w:val="24"/>
          <w:szCs w:val="24"/>
          <w:lang w:eastAsia="es-MX"/>
        </w:rPr>
        <w:lastRenderedPageBreak/>
        <w:drawing>
          <wp:anchor distT="0" distB="0" distL="114300" distR="114300" simplePos="0" relativeHeight="251873267" behindDoc="0" locked="0" layoutInCell="1" allowOverlap="1" wp14:anchorId="088DE4BD" wp14:editId="41ACAB95">
            <wp:simplePos x="0" y="0"/>
            <wp:positionH relativeFrom="page">
              <wp:align>center</wp:align>
            </wp:positionH>
            <wp:positionV relativeFrom="paragraph">
              <wp:posOffset>3754755</wp:posOffset>
            </wp:positionV>
            <wp:extent cx="5748655" cy="3500120"/>
            <wp:effectExtent l="19050" t="19050" r="23495" b="24130"/>
            <wp:wrapThrough wrapText="bothSides">
              <wp:wrapPolygon edited="0">
                <wp:start x="-72" y="-118"/>
                <wp:lineTo x="-72" y="21631"/>
                <wp:lineTo x="21617" y="21631"/>
                <wp:lineTo x="21617" y="-118"/>
                <wp:lineTo x="-72" y="-118"/>
              </wp:wrapPolygon>
            </wp:wrapThrough>
            <wp:docPr id="20145289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8655" cy="35001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F4FE3">
        <w:rPr>
          <w:rFonts w:ascii="Palatino Linotype" w:eastAsia="Arial Unicode MS" w:hAnsi="Palatino Linotype" w:cs="Arial"/>
          <w:noProof/>
          <w:sz w:val="24"/>
          <w:szCs w:val="24"/>
          <w:lang w:eastAsia="es-MX"/>
        </w:rPr>
        <w:drawing>
          <wp:anchor distT="0" distB="0" distL="114300" distR="114300" simplePos="0" relativeHeight="251872243" behindDoc="0" locked="0" layoutInCell="1" allowOverlap="1" wp14:anchorId="6FFD242C" wp14:editId="17E184B4">
            <wp:simplePos x="0" y="0"/>
            <wp:positionH relativeFrom="margin">
              <wp:align>right</wp:align>
            </wp:positionH>
            <wp:positionV relativeFrom="paragraph">
              <wp:posOffset>19050</wp:posOffset>
            </wp:positionV>
            <wp:extent cx="5729605" cy="3509010"/>
            <wp:effectExtent l="19050" t="19050" r="23495" b="15240"/>
            <wp:wrapThrough wrapText="bothSides">
              <wp:wrapPolygon edited="0">
                <wp:start x="-72" y="-117"/>
                <wp:lineTo x="-72" y="21577"/>
                <wp:lineTo x="21617" y="21577"/>
                <wp:lineTo x="21617" y="-117"/>
                <wp:lineTo x="-72" y="-117"/>
              </wp:wrapPolygon>
            </wp:wrapThrough>
            <wp:docPr id="17797795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9605" cy="35090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701D727" w14:textId="195077B4" w:rsidR="00561B52" w:rsidRDefault="00561B52" w:rsidP="00151BC7">
      <w:pPr>
        <w:autoSpaceDE w:val="0"/>
        <w:autoSpaceDN w:val="0"/>
        <w:adjustRightInd w:val="0"/>
        <w:spacing w:before="240" w:line="360" w:lineRule="auto"/>
        <w:jc w:val="both"/>
        <w:rPr>
          <w:rFonts w:ascii="Palatino Linotype" w:eastAsia="Arial Unicode MS" w:hAnsi="Palatino Linotype"/>
          <w:sz w:val="24"/>
          <w:szCs w:val="24"/>
        </w:rPr>
      </w:pPr>
      <w:r w:rsidRPr="00D9557E">
        <w:rPr>
          <w:rFonts w:ascii="Palatino Linotype" w:eastAsia="MS Mincho" w:hAnsi="Palatino Linotype" w:cs="Tahoma"/>
          <w:sz w:val="24"/>
          <w:szCs w:val="24"/>
        </w:rPr>
        <w:lastRenderedPageBreak/>
        <w:t xml:space="preserve">Así la Ley de Transparencia y Acceso a la Información Pública del Estado de México y Municipios </w:t>
      </w:r>
      <w:r w:rsidRPr="00D9557E">
        <w:rPr>
          <w:rFonts w:ascii="Palatino Linotype" w:eastAsia="Arial Unicode MS" w:hAnsi="Palatino Linotype" w:cs="Arial"/>
          <w:sz w:val="24"/>
          <w:szCs w:val="24"/>
        </w:rPr>
        <w:t>en el artículo 9</w:t>
      </w:r>
      <w:r>
        <w:rPr>
          <w:rFonts w:ascii="Palatino Linotype" w:eastAsia="Arial Unicode MS" w:hAnsi="Palatino Linotype" w:cs="Arial"/>
          <w:sz w:val="24"/>
          <w:szCs w:val="24"/>
        </w:rPr>
        <w:t>6</w:t>
      </w:r>
      <w:r w:rsidRPr="00D9557E">
        <w:rPr>
          <w:rFonts w:ascii="Palatino Linotype" w:eastAsia="Arial Unicode MS" w:hAnsi="Palatino Linotype" w:cs="Arial"/>
          <w:sz w:val="24"/>
          <w:szCs w:val="24"/>
        </w:rPr>
        <w:t xml:space="preserve"> </w:t>
      </w:r>
      <w:r>
        <w:rPr>
          <w:rFonts w:ascii="Palatino Linotype" w:eastAsia="Arial Unicode MS" w:hAnsi="Palatino Linotype" w:cs="Arial"/>
          <w:sz w:val="24"/>
          <w:szCs w:val="24"/>
        </w:rPr>
        <w:t xml:space="preserve">fracción III de la </w:t>
      </w:r>
      <w:r>
        <w:rPr>
          <w:rFonts w:ascii="Palatino Linotype" w:hAnsi="Palatino Linotype"/>
          <w:bCs/>
          <w:sz w:val="24"/>
          <w:szCs w:val="24"/>
        </w:rPr>
        <w:t xml:space="preserve">Ley de Transparencia y Acceso a la Información Pública del Estado de México y Municipios </w:t>
      </w:r>
      <w:r w:rsidRPr="00D9557E">
        <w:rPr>
          <w:rFonts w:ascii="Palatino Linotype" w:eastAsia="Arial Unicode MS" w:hAnsi="Palatino Linotype"/>
          <w:sz w:val="24"/>
          <w:szCs w:val="24"/>
        </w:rPr>
        <w:t>señala que la información requerida</w:t>
      </w:r>
      <w:r>
        <w:rPr>
          <w:rFonts w:ascii="Palatino Linotype" w:eastAsia="Arial Unicode MS" w:hAnsi="Palatino Linotype"/>
          <w:sz w:val="24"/>
          <w:szCs w:val="24"/>
        </w:rPr>
        <w:t xml:space="preserve"> se trata de una obligación de transparencia </w:t>
      </w:r>
      <w:proofErr w:type="spellStart"/>
      <w:r>
        <w:rPr>
          <w:rFonts w:ascii="Palatino Linotype" w:eastAsia="Arial Unicode MS" w:hAnsi="Palatino Linotype"/>
          <w:sz w:val="24"/>
          <w:szCs w:val="24"/>
        </w:rPr>
        <w:t>especifica</w:t>
      </w:r>
      <w:proofErr w:type="spellEnd"/>
      <w:r>
        <w:rPr>
          <w:rFonts w:ascii="Palatino Linotype" w:eastAsia="Arial Unicode MS" w:hAnsi="Palatino Linotype"/>
          <w:sz w:val="24"/>
          <w:szCs w:val="24"/>
        </w:rPr>
        <w:t xml:space="preserve">, es decir, información que </w:t>
      </w:r>
      <w:r>
        <w:rPr>
          <w:rFonts w:ascii="Palatino Linotype" w:eastAsia="Arial Unicode MS" w:hAnsi="Palatino Linotype"/>
          <w:b/>
          <w:bCs/>
          <w:sz w:val="24"/>
          <w:szCs w:val="24"/>
        </w:rPr>
        <w:t xml:space="preserve">El Sujeto Obligado </w:t>
      </w:r>
      <w:r>
        <w:rPr>
          <w:rFonts w:ascii="Palatino Linotype" w:eastAsia="Arial Unicode MS" w:hAnsi="Palatino Linotype"/>
          <w:sz w:val="24"/>
          <w:szCs w:val="24"/>
        </w:rPr>
        <w:t xml:space="preserve">deberá de hacer del conocimiento de forma oficiosa. </w:t>
      </w:r>
    </w:p>
    <w:p w14:paraId="153F1E3A" w14:textId="5E79DE51" w:rsidR="005511CD" w:rsidRDefault="00E04DB7" w:rsidP="00E04DB7">
      <w:pPr>
        <w:spacing w:before="240" w:line="360" w:lineRule="auto"/>
        <w:jc w:val="both"/>
        <w:rPr>
          <w:rFonts w:ascii="Palatino Linotype" w:hAnsi="Palatino Linotype"/>
          <w:sz w:val="24"/>
          <w:szCs w:val="24"/>
        </w:rPr>
      </w:pPr>
      <w:r w:rsidRPr="00A56A13">
        <w:rPr>
          <w:rFonts w:ascii="Palatino Linotype" w:hAnsi="Palatino Linotype"/>
          <w:sz w:val="24"/>
          <w:szCs w:val="24"/>
        </w:rPr>
        <w:t xml:space="preserve">Una vez sentado lo anterior, como se mencionó en el </w:t>
      </w:r>
      <w:r>
        <w:rPr>
          <w:rFonts w:ascii="Palatino Linotype" w:hAnsi="Palatino Linotype"/>
          <w:sz w:val="24"/>
          <w:szCs w:val="24"/>
        </w:rPr>
        <w:t xml:space="preserve">antecedente segundo, </w:t>
      </w:r>
      <w:r>
        <w:rPr>
          <w:rFonts w:ascii="Palatino Linotype" w:hAnsi="Palatino Linotype"/>
          <w:b/>
          <w:bCs/>
          <w:sz w:val="24"/>
          <w:szCs w:val="24"/>
        </w:rPr>
        <w:t xml:space="preserve">El Sujeto Obligado </w:t>
      </w:r>
      <w:r>
        <w:rPr>
          <w:rFonts w:ascii="Palatino Linotype" w:hAnsi="Palatino Linotype"/>
          <w:sz w:val="24"/>
          <w:szCs w:val="24"/>
        </w:rPr>
        <w:t>en fecha</w:t>
      </w:r>
      <w:r w:rsidR="004E77E1">
        <w:rPr>
          <w:rFonts w:ascii="Palatino Linotype" w:hAnsi="Palatino Linotype"/>
          <w:sz w:val="24"/>
          <w:szCs w:val="24"/>
        </w:rPr>
        <w:t xml:space="preserve"> </w:t>
      </w:r>
      <w:r w:rsidR="005511CD">
        <w:rPr>
          <w:rFonts w:ascii="Palatino Linotype" w:hAnsi="Palatino Linotype"/>
          <w:b/>
          <w:bCs/>
          <w:sz w:val="24"/>
          <w:szCs w:val="24"/>
        </w:rPr>
        <w:t xml:space="preserve">veintidós de noviembre de dos mil veintitrés, </w:t>
      </w:r>
      <w:r w:rsidR="005511CD">
        <w:rPr>
          <w:rFonts w:ascii="Palatino Linotype" w:hAnsi="Palatino Linotype"/>
          <w:sz w:val="24"/>
          <w:szCs w:val="24"/>
        </w:rPr>
        <w:t>rindió su respuesta a la solicitud de información formulada por el particular, adjuntando para tal efecto lo siguiente:</w:t>
      </w:r>
    </w:p>
    <w:p w14:paraId="2C3A3171" w14:textId="2A1A55FA" w:rsidR="005511CD" w:rsidRPr="005511CD" w:rsidRDefault="005511CD" w:rsidP="008960C8">
      <w:pPr>
        <w:pStyle w:val="Prrafodelista"/>
        <w:numPr>
          <w:ilvl w:val="0"/>
          <w:numId w:val="5"/>
        </w:numPr>
        <w:spacing w:before="240" w:line="360" w:lineRule="auto"/>
        <w:jc w:val="both"/>
        <w:rPr>
          <w:rFonts w:ascii="Palatino Linotype" w:hAnsi="Palatino Linotype"/>
          <w:b/>
          <w:bCs/>
        </w:rPr>
      </w:pPr>
      <w:r>
        <w:rPr>
          <w:rFonts w:ascii="Palatino Linotype" w:hAnsi="Palatino Linotype"/>
          <w:b/>
          <w:bCs/>
        </w:rPr>
        <w:t xml:space="preserve">“RESPUESTA A SOLICITUD 00261-TRIJAEM-IP-2023.pdf”: </w:t>
      </w:r>
      <w:r>
        <w:rPr>
          <w:rFonts w:ascii="Palatino Linotype" w:hAnsi="Palatino Linotype"/>
        </w:rPr>
        <w:t xml:space="preserve">Oficio número </w:t>
      </w:r>
      <w:r>
        <w:rPr>
          <w:rFonts w:ascii="Palatino Linotype" w:hAnsi="Palatino Linotype"/>
          <w:b/>
          <w:bCs/>
        </w:rPr>
        <w:t xml:space="preserve">TJA-STJGA/352/2023 </w:t>
      </w:r>
      <w:r>
        <w:rPr>
          <w:rFonts w:ascii="Palatino Linotype" w:hAnsi="Palatino Linotype"/>
        </w:rPr>
        <w:t>signado por la servidora pública habilitada designada como enlace de la secretaría general del pleno y secretaría técnica de la junta de gobierno, de fecha dieciséis de noviembre de dos mil veintitrés, resulta de nuestro interés el siguiente extracto:</w:t>
      </w:r>
    </w:p>
    <w:p w14:paraId="5B795792" w14:textId="7A6C8486" w:rsidR="005511CD" w:rsidRPr="00597511" w:rsidRDefault="005511CD" w:rsidP="005511CD">
      <w:pPr>
        <w:pStyle w:val="Prrafodelista"/>
        <w:spacing w:before="240" w:line="360" w:lineRule="auto"/>
        <w:ind w:left="720"/>
        <w:jc w:val="both"/>
        <w:rPr>
          <w:rFonts w:ascii="Palatino Linotype" w:hAnsi="Palatino Linotype"/>
          <w:b/>
          <w:bCs/>
          <w:i/>
          <w:iCs/>
        </w:rPr>
      </w:pPr>
      <w:r>
        <w:rPr>
          <w:rFonts w:ascii="Palatino Linotype" w:hAnsi="Palatino Linotype"/>
          <w:i/>
          <w:iCs/>
        </w:rPr>
        <w:t xml:space="preserve">“(…) por el momento el video de la sesión del Pleno no puede ser proporcionada, toda vez que el acta no ha sido sometida a sesión para su aprobación </w:t>
      </w:r>
      <w:r w:rsidR="00597511">
        <w:rPr>
          <w:rFonts w:ascii="Palatino Linotype" w:hAnsi="Palatino Linotype"/>
          <w:i/>
          <w:iCs/>
        </w:rPr>
        <w:t xml:space="preserve">por el Pleno de la Sala Superior de este Tribunal, tal como lo establece el </w:t>
      </w:r>
      <w:r w:rsidR="00597511" w:rsidRPr="0021298B">
        <w:rPr>
          <w:rFonts w:ascii="Palatino Linotype" w:hAnsi="Palatino Linotype"/>
          <w:b/>
          <w:bCs/>
          <w:i/>
          <w:iCs/>
        </w:rPr>
        <w:t>artículo 29 fracción VI y 31</w:t>
      </w:r>
      <w:r w:rsidR="00597511">
        <w:rPr>
          <w:rFonts w:ascii="Palatino Linotype" w:hAnsi="Palatino Linotype"/>
          <w:i/>
          <w:iCs/>
        </w:rPr>
        <w:t xml:space="preserve"> párrafo tercero del ACUERDO GENERAL NÚMERO 10 DEL AÑO 2018 POR EL QUE SE ESTABLECEN LOS LINEAMIENTOS QUE REGULAN LAS SESIONES DEL PLENO DE LA SALA SUPERIOR DEL TRIBUNAL DE JUSTICIA ADMINISTRATIVA DEL ESTADO DE MÉXICO, publicado periódico oficial del Gobierno del Estado Libre y Soberano de México, denominado “Gaceta de Gobierno”, </w:t>
      </w:r>
      <w:r w:rsidR="00597511">
        <w:rPr>
          <w:rFonts w:ascii="Palatino Linotype" w:hAnsi="Palatino Linotype"/>
          <w:i/>
          <w:iCs/>
        </w:rPr>
        <w:lastRenderedPageBreak/>
        <w:t xml:space="preserve">sin embargo, una vez aprobada el acta oficial en su versión pública, el cual estará en la plataforma </w:t>
      </w:r>
      <w:r w:rsidR="00597511">
        <w:rPr>
          <w:rFonts w:ascii="Palatino Linotype" w:hAnsi="Palatino Linotype"/>
          <w:b/>
          <w:bCs/>
          <w:i/>
          <w:iCs/>
        </w:rPr>
        <w:t xml:space="preserve">Información Pública de Oficio “IPOMEX” </w:t>
      </w:r>
      <w:hyperlink r:id="rId14" w:history="1">
        <w:r w:rsidR="00597511" w:rsidRPr="00777EB4">
          <w:rPr>
            <w:rStyle w:val="Hipervnculo"/>
            <w:rFonts w:ascii="Palatino Linotype" w:hAnsi="Palatino Linotype"/>
            <w:i/>
            <w:iCs/>
          </w:rPr>
          <w:t>https://ipomex.org.mx</w:t>
        </w:r>
      </w:hyperlink>
      <w:r w:rsidR="00597511">
        <w:rPr>
          <w:rFonts w:ascii="Palatino Linotype" w:hAnsi="Palatino Linotype"/>
          <w:i/>
          <w:iCs/>
        </w:rPr>
        <w:t xml:space="preserve"> “ </w:t>
      </w:r>
      <w:r w:rsidR="00597511">
        <w:rPr>
          <w:rFonts w:ascii="Palatino Linotype" w:hAnsi="Palatino Linotype"/>
          <w:b/>
          <w:bCs/>
          <w:i/>
          <w:iCs/>
        </w:rPr>
        <w:t xml:space="preserve">(Sic) </w:t>
      </w:r>
    </w:p>
    <w:p w14:paraId="5C08499A" w14:textId="7B18D99A" w:rsidR="005511CD" w:rsidRPr="005511CD" w:rsidRDefault="005511CD" w:rsidP="008960C8">
      <w:pPr>
        <w:pStyle w:val="Prrafodelista"/>
        <w:numPr>
          <w:ilvl w:val="0"/>
          <w:numId w:val="5"/>
        </w:numPr>
        <w:spacing w:before="240" w:line="360" w:lineRule="auto"/>
        <w:jc w:val="both"/>
        <w:rPr>
          <w:rFonts w:ascii="Palatino Linotype" w:hAnsi="Palatino Linotype"/>
          <w:b/>
          <w:bCs/>
        </w:rPr>
      </w:pPr>
      <w:r>
        <w:rPr>
          <w:rFonts w:ascii="Palatino Linotype" w:hAnsi="Palatino Linotype"/>
          <w:b/>
          <w:bCs/>
        </w:rPr>
        <w:t xml:space="preserve">“acuerdo de respuesta solicitud 261.pdf”: </w:t>
      </w:r>
      <w:r w:rsidR="00597511">
        <w:rPr>
          <w:rFonts w:ascii="Palatino Linotype" w:hAnsi="Palatino Linotype"/>
        </w:rPr>
        <w:t xml:space="preserve">Acuerdo número </w:t>
      </w:r>
      <w:r w:rsidR="00597511">
        <w:rPr>
          <w:rFonts w:ascii="Palatino Linotype" w:hAnsi="Palatino Linotype"/>
          <w:b/>
          <w:bCs/>
        </w:rPr>
        <w:t xml:space="preserve">00261/TRIJAEM/IP/2023 </w:t>
      </w:r>
      <w:r w:rsidR="00597511">
        <w:rPr>
          <w:rFonts w:ascii="Palatino Linotype" w:hAnsi="Palatino Linotype"/>
        </w:rPr>
        <w:t xml:space="preserve">signado por la Jefa de la Unidad de Información, planeación, programación y evaluación, de fecha veintidós de noviembre de dos mil veintitrés, en lo medular expone la respuesta emitida por la servidora pública designada como enlace de la secretaría general del pleno y secretaría técnica de la junta de gobierno. </w:t>
      </w:r>
    </w:p>
    <w:p w14:paraId="69FAE234" w14:textId="77777777" w:rsidR="00B963EC" w:rsidRDefault="00B963EC" w:rsidP="00E04DB7">
      <w:pPr>
        <w:spacing w:before="240" w:line="360" w:lineRule="auto"/>
        <w:jc w:val="both"/>
        <w:rPr>
          <w:rFonts w:ascii="Palatino Linotype" w:hAnsi="Palatino Linotype"/>
          <w:sz w:val="24"/>
          <w:szCs w:val="24"/>
        </w:rPr>
      </w:pPr>
    </w:p>
    <w:p w14:paraId="7DC14D8D" w14:textId="32F7DD8B" w:rsidR="0021298B" w:rsidRDefault="00597511" w:rsidP="00E04DB7">
      <w:pPr>
        <w:spacing w:before="240" w:line="360" w:lineRule="auto"/>
        <w:jc w:val="both"/>
        <w:rPr>
          <w:rFonts w:ascii="Palatino Linotype" w:hAnsi="Palatino Linotype"/>
          <w:sz w:val="24"/>
          <w:szCs w:val="24"/>
        </w:rPr>
      </w:pPr>
      <w:r>
        <w:rPr>
          <w:rFonts w:ascii="Palatino Linotype" w:hAnsi="Palatino Linotype"/>
          <w:sz w:val="24"/>
          <w:szCs w:val="24"/>
        </w:rPr>
        <w:t xml:space="preserve">En función de lo planteado, resulta posible advertir que la postura del </w:t>
      </w:r>
      <w:r>
        <w:rPr>
          <w:rFonts w:ascii="Palatino Linotype" w:hAnsi="Palatino Linotype"/>
          <w:b/>
          <w:bCs/>
          <w:sz w:val="24"/>
          <w:szCs w:val="24"/>
        </w:rPr>
        <w:t xml:space="preserve">Sujeto Obligado </w:t>
      </w:r>
      <w:r>
        <w:rPr>
          <w:rFonts w:ascii="Palatino Linotype" w:hAnsi="Palatino Linotype"/>
          <w:sz w:val="24"/>
          <w:szCs w:val="24"/>
        </w:rPr>
        <w:t xml:space="preserve">se traduce en una restricción al derecho constitucional de acceso a la información pública, fundamentada </w:t>
      </w:r>
      <w:r w:rsidR="0021298B">
        <w:rPr>
          <w:rFonts w:ascii="Palatino Linotype" w:hAnsi="Palatino Linotype"/>
          <w:sz w:val="24"/>
          <w:szCs w:val="24"/>
        </w:rPr>
        <w:t xml:space="preserve">en el artículo 29 fracción VI y 31 de los Lineamientos que regulan las sesiones del Pleno de la Sala Superior del Tribunal de Justicia Administrativa del Estado de México, normatividad en cita que dispone a la literalidad lo siguiente: </w:t>
      </w:r>
    </w:p>
    <w:p w14:paraId="071B61E5" w14:textId="569ACD61" w:rsidR="00597511" w:rsidRDefault="0021298B" w:rsidP="0021298B">
      <w:pPr>
        <w:pStyle w:val="Citas"/>
      </w:pPr>
      <w:r>
        <w:t>“Artículo 29. La o el Secretario elaborará el Acta de la sesión y deberá asentar lo siguiente:</w:t>
      </w:r>
    </w:p>
    <w:p w14:paraId="7B713454" w14:textId="0B29CB46" w:rsidR="0021298B" w:rsidRDefault="0021298B" w:rsidP="0021298B">
      <w:pPr>
        <w:pStyle w:val="Citas"/>
      </w:pPr>
      <w:r>
        <w:t>(…)</w:t>
      </w:r>
    </w:p>
    <w:p w14:paraId="76CD5010" w14:textId="219CD607" w:rsidR="0021298B" w:rsidRPr="0021298B" w:rsidRDefault="0021298B" w:rsidP="0021298B">
      <w:pPr>
        <w:pStyle w:val="Citas"/>
        <w:rPr>
          <w:b/>
          <w:bCs/>
          <w:u w:val="single"/>
        </w:rPr>
      </w:pPr>
      <w:r w:rsidRPr="0021298B">
        <w:rPr>
          <w:b/>
          <w:bCs/>
          <w:u w:val="single"/>
        </w:rPr>
        <w:t>VI. La aprobación del acta anterior.</w:t>
      </w:r>
    </w:p>
    <w:p w14:paraId="0DB4C09A" w14:textId="5A370ED7" w:rsidR="0021298B" w:rsidRDefault="0021298B" w:rsidP="0021298B">
      <w:pPr>
        <w:pStyle w:val="Citas"/>
      </w:pPr>
      <w:r>
        <w:lastRenderedPageBreak/>
        <w:t>(…)</w:t>
      </w:r>
    </w:p>
    <w:p w14:paraId="42EC8F38" w14:textId="77777777" w:rsidR="0021298B" w:rsidRDefault="0021298B" w:rsidP="0021298B">
      <w:pPr>
        <w:pStyle w:val="Citas"/>
      </w:pPr>
      <w:r>
        <w:t xml:space="preserve">Artículo 31. La o el Secretario deberá entregar a la o el Presidente el proyecto de Acta de cada sesión, en un plazo que no excederá de cinco días hábiles siguientes a su celebración, una vez revisada por la o el Presidente, se entregará en medio digital a las y los integrantes del Pleno, dentro de los tres días hábiles siguientes. </w:t>
      </w:r>
    </w:p>
    <w:p w14:paraId="607F58DE" w14:textId="10811418" w:rsidR="0021298B" w:rsidRDefault="0021298B" w:rsidP="0021298B">
      <w:pPr>
        <w:pStyle w:val="Citas"/>
      </w:pPr>
      <w:r>
        <w:t xml:space="preserve">Las y los integrantes del Pleno podrán solicitar a la Secretaria o Secretario, dentro de los cinco días hábiles posteriores a su recepción, correcciones y aclaraciones que estimen pertinentes, siempre y cuando no modifiquen el sentido de su participación, no podrán realizar observaciones al acta de la sesión, en la fecha señalada para la siguiente sesión. </w:t>
      </w:r>
    </w:p>
    <w:p w14:paraId="1724E669" w14:textId="2E8650D2" w:rsidR="0021298B" w:rsidRPr="0021298B" w:rsidRDefault="0021298B" w:rsidP="0021298B">
      <w:pPr>
        <w:pStyle w:val="Citas"/>
        <w:rPr>
          <w:b/>
          <w:bCs/>
          <w:sz w:val="24"/>
          <w:szCs w:val="24"/>
        </w:rPr>
      </w:pPr>
      <w:r w:rsidRPr="0021298B">
        <w:rPr>
          <w:b/>
          <w:bCs/>
          <w:u w:val="single"/>
        </w:rPr>
        <w:t>El proyecto de Acta deberá someterse a su aprobación en la sesión ordinaria siguiente”</w:t>
      </w:r>
      <w:r>
        <w:t xml:space="preserve"> </w:t>
      </w:r>
      <w:r>
        <w:rPr>
          <w:b/>
          <w:bCs/>
        </w:rPr>
        <w:t>(Sic)</w:t>
      </w:r>
    </w:p>
    <w:p w14:paraId="7D438025" w14:textId="77777777" w:rsidR="00E663AF" w:rsidRDefault="00E663AF" w:rsidP="00E663AF">
      <w:pPr>
        <w:spacing w:before="240" w:line="360" w:lineRule="auto"/>
        <w:jc w:val="both"/>
        <w:rPr>
          <w:rFonts w:ascii="Palatino Linotype" w:hAnsi="Palatino Linotype"/>
          <w:b/>
          <w:bCs/>
        </w:rPr>
      </w:pPr>
    </w:p>
    <w:p w14:paraId="1D922F34" w14:textId="6D03D7E1" w:rsidR="00BF5EA3" w:rsidRDefault="00351D15" w:rsidP="00E663AF">
      <w:pPr>
        <w:spacing w:before="240" w:line="360" w:lineRule="auto"/>
        <w:jc w:val="both"/>
        <w:rPr>
          <w:rFonts w:ascii="Palatino Linotype" w:hAnsi="Palatino Linotype"/>
          <w:sz w:val="24"/>
          <w:szCs w:val="24"/>
        </w:rPr>
      </w:pPr>
      <w:r w:rsidRPr="00BF5EA3">
        <w:rPr>
          <w:rFonts w:ascii="Palatino Linotype" w:hAnsi="Palatino Linotype"/>
          <w:sz w:val="24"/>
          <w:szCs w:val="24"/>
        </w:rPr>
        <w:t xml:space="preserve">Se plantea entonces que la normatividad invocada por </w:t>
      </w:r>
      <w:r w:rsidRPr="00BF5EA3">
        <w:rPr>
          <w:rFonts w:ascii="Palatino Linotype" w:hAnsi="Palatino Linotype"/>
          <w:b/>
          <w:bCs/>
          <w:sz w:val="24"/>
          <w:szCs w:val="24"/>
        </w:rPr>
        <w:t xml:space="preserve">El Sujeto Obligado </w:t>
      </w:r>
      <w:r w:rsidRPr="00BF5EA3">
        <w:rPr>
          <w:rFonts w:ascii="Palatino Linotype" w:hAnsi="Palatino Linotype"/>
          <w:sz w:val="24"/>
          <w:szCs w:val="24"/>
        </w:rPr>
        <w:t xml:space="preserve">no guarda relación alguna con la actualización de causales de clasificación </w:t>
      </w:r>
      <w:r w:rsidR="000B3E79">
        <w:rPr>
          <w:rFonts w:ascii="Palatino Linotype" w:hAnsi="Palatino Linotype"/>
          <w:sz w:val="24"/>
          <w:szCs w:val="24"/>
        </w:rPr>
        <w:t xml:space="preserve">de la información </w:t>
      </w:r>
      <w:r w:rsidRPr="00BF5EA3">
        <w:rPr>
          <w:rFonts w:ascii="Palatino Linotype" w:hAnsi="Palatino Linotype"/>
          <w:sz w:val="24"/>
          <w:szCs w:val="24"/>
        </w:rPr>
        <w:t xml:space="preserve">en la vía confidencial o reservada, </w:t>
      </w:r>
      <w:r w:rsidR="00BF5EA3" w:rsidRPr="00BF5EA3">
        <w:rPr>
          <w:rFonts w:ascii="Palatino Linotype" w:hAnsi="Palatino Linotype"/>
          <w:sz w:val="24"/>
          <w:szCs w:val="24"/>
        </w:rPr>
        <w:t xml:space="preserve">lo anterior al tomar en consideración que las videograbaciones de las sesiones de Pleno se tratan de documentos </w:t>
      </w:r>
      <w:r w:rsidR="000B3E79">
        <w:rPr>
          <w:rFonts w:ascii="Palatino Linotype" w:hAnsi="Palatino Linotype"/>
          <w:sz w:val="24"/>
          <w:szCs w:val="24"/>
        </w:rPr>
        <w:t xml:space="preserve">de carácter </w:t>
      </w:r>
      <w:r w:rsidR="00BF5EA3" w:rsidRPr="00BF5EA3">
        <w:rPr>
          <w:rFonts w:ascii="Palatino Linotype" w:hAnsi="Palatino Linotype"/>
          <w:sz w:val="24"/>
          <w:szCs w:val="24"/>
        </w:rPr>
        <w:t>definitivo</w:t>
      </w:r>
      <w:r w:rsidR="00BF5EA3">
        <w:rPr>
          <w:rFonts w:ascii="Palatino Linotype" w:hAnsi="Palatino Linotype"/>
          <w:sz w:val="24"/>
          <w:szCs w:val="24"/>
        </w:rPr>
        <w:t xml:space="preserve">. </w:t>
      </w:r>
    </w:p>
    <w:p w14:paraId="6A55F1C7" w14:textId="0D313682" w:rsidR="0021298B" w:rsidRPr="00BF5EA3" w:rsidRDefault="000B3E79" w:rsidP="00E663AF">
      <w:pPr>
        <w:spacing w:before="240" w:line="360" w:lineRule="auto"/>
        <w:jc w:val="both"/>
        <w:rPr>
          <w:rFonts w:ascii="Palatino Linotype" w:hAnsi="Palatino Linotype"/>
          <w:sz w:val="24"/>
          <w:szCs w:val="24"/>
        </w:rPr>
      </w:pPr>
      <w:r>
        <w:rPr>
          <w:rFonts w:ascii="Palatino Linotype" w:hAnsi="Palatino Linotype"/>
          <w:sz w:val="24"/>
          <w:szCs w:val="24"/>
        </w:rPr>
        <w:t>Visto de esta forma,</w:t>
      </w:r>
      <w:r w:rsidR="00BF5EA3">
        <w:rPr>
          <w:rFonts w:ascii="Palatino Linotype" w:hAnsi="Palatino Linotype"/>
          <w:sz w:val="24"/>
          <w:szCs w:val="24"/>
        </w:rPr>
        <w:t xml:space="preserve"> la discusión, el análisis, el desahogo y la votación de cada uno de los puntos que integran el orden del día, </w:t>
      </w:r>
      <w:r w:rsidR="00BF5EA3" w:rsidRPr="00BF5EA3">
        <w:rPr>
          <w:rFonts w:ascii="Palatino Linotype" w:hAnsi="Palatino Linotype"/>
          <w:sz w:val="24"/>
          <w:szCs w:val="24"/>
        </w:rPr>
        <w:t xml:space="preserve">no es susceptible de </w:t>
      </w:r>
      <w:r w:rsidR="00BF5EA3">
        <w:rPr>
          <w:rFonts w:ascii="Palatino Linotype" w:hAnsi="Palatino Linotype"/>
          <w:sz w:val="24"/>
          <w:szCs w:val="24"/>
        </w:rPr>
        <w:t>variaciones o modificaciones</w:t>
      </w:r>
      <w:r w:rsidR="00BF5EA3" w:rsidRPr="00BF5EA3">
        <w:rPr>
          <w:rFonts w:ascii="Palatino Linotype" w:hAnsi="Palatino Linotype"/>
          <w:sz w:val="24"/>
          <w:szCs w:val="24"/>
        </w:rPr>
        <w:t xml:space="preserve"> bajo el supuesto de que el acta de la sesión haya o no haya sido aprobada</w:t>
      </w:r>
      <w:r w:rsidR="00BF5EA3">
        <w:rPr>
          <w:rFonts w:ascii="Palatino Linotype" w:hAnsi="Palatino Linotype"/>
          <w:sz w:val="24"/>
          <w:szCs w:val="24"/>
        </w:rPr>
        <w:t xml:space="preserve">, </w:t>
      </w:r>
      <w:r>
        <w:rPr>
          <w:rFonts w:ascii="Palatino Linotype" w:hAnsi="Palatino Linotype"/>
          <w:sz w:val="24"/>
          <w:szCs w:val="24"/>
        </w:rPr>
        <w:t>luego entonces, se insiste en que se trata de un documento definitivo.</w:t>
      </w:r>
    </w:p>
    <w:p w14:paraId="69AC7CF1" w14:textId="191C2D21" w:rsidR="00BF5EA3" w:rsidRPr="000B3E79" w:rsidRDefault="00BF5EA3" w:rsidP="00BF5EA3">
      <w:pPr>
        <w:spacing w:before="240" w:line="360" w:lineRule="auto"/>
        <w:jc w:val="both"/>
        <w:rPr>
          <w:rFonts w:ascii="Palatino Linotype" w:hAnsi="Palatino Linotype"/>
          <w:sz w:val="24"/>
          <w:szCs w:val="24"/>
        </w:rPr>
      </w:pPr>
      <w:r w:rsidRPr="000B3E79">
        <w:rPr>
          <w:rFonts w:ascii="Palatino Linotype" w:hAnsi="Palatino Linotype"/>
          <w:sz w:val="24"/>
          <w:szCs w:val="24"/>
        </w:rPr>
        <w:lastRenderedPageBreak/>
        <w:t xml:space="preserve">De esta manera, para delimitar las fronteras conceptuales entre </w:t>
      </w:r>
      <w:r w:rsidRPr="000B3E79">
        <w:rPr>
          <w:rFonts w:ascii="Palatino Linotype" w:hAnsi="Palatino Linotype"/>
          <w:bCs/>
          <w:sz w:val="24"/>
          <w:szCs w:val="24"/>
        </w:rPr>
        <w:t xml:space="preserve">falta e </w:t>
      </w:r>
      <w:r w:rsidRPr="000B3E79">
        <w:rPr>
          <w:rFonts w:ascii="Palatino Linotype" w:hAnsi="Palatino Linotype"/>
          <w:b/>
          <w:sz w:val="24"/>
          <w:szCs w:val="24"/>
          <w:u w:val="single"/>
        </w:rPr>
        <w:t xml:space="preserve">indebida fundamentación y motivación, </w:t>
      </w:r>
      <w:r w:rsidRPr="000B3E79">
        <w:rPr>
          <w:rFonts w:ascii="Palatino Linotype" w:hAnsi="Palatino Linotype"/>
          <w:sz w:val="24"/>
          <w:szCs w:val="24"/>
        </w:rPr>
        <w:t xml:space="preserve">cobra particular relevancia la corriente que emana del Tercer Tribunal Colegiado en Materia Civil del Primer Circuito, a través de la jurisprudencia con número de registro digital </w:t>
      </w:r>
      <w:r w:rsidRPr="000B3E79">
        <w:rPr>
          <w:rFonts w:ascii="Palatino Linotype" w:hAnsi="Palatino Linotype"/>
          <w:b/>
          <w:sz w:val="24"/>
          <w:szCs w:val="24"/>
        </w:rPr>
        <w:t xml:space="preserve">170307 </w:t>
      </w:r>
      <w:r w:rsidRPr="000B3E79">
        <w:rPr>
          <w:rFonts w:ascii="Palatino Linotype" w:hAnsi="Palatino Linotype"/>
          <w:sz w:val="24"/>
          <w:szCs w:val="24"/>
        </w:rPr>
        <w:t>de la Novena Época, visible en el Semanario Judicial de la Federación y su Gaceta, Tomo XXVII, de febrero de 2008, tesis I.3o.C. J/47 en materia común, en la que establece lo siguiente:</w:t>
      </w:r>
    </w:p>
    <w:p w14:paraId="19421F7E" w14:textId="77777777" w:rsidR="00BF5EA3" w:rsidRPr="00575268" w:rsidRDefault="00BF5EA3" w:rsidP="00BF5EA3">
      <w:pPr>
        <w:pStyle w:val="Citas"/>
        <w:rPr>
          <w:b/>
        </w:rPr>
      </w:pPr>
      <w:r>
        <w:rPr>
          <w:b/>
        </w:rPr>
        <w:t>“</w:t>
      </w:r>
      <w:r w:rsidRPr="00575268">
        <w:rPr>
          <w:b/>
        </w:rPr>
        <w:t>FUNDAMENTACIÓN Y MOTIVACIÓN. LA DIFERENCIA ENTRE</w:t>
      </w:r>
      <w:r>
        <w:rPr>
          <w:b/>
        </w:rPr>
        <w:t xml:space="preserve"> L</w:t>
      </w:r>
      <w:r w:rsidRPr="00575268">
        <w:rPr>
          <w:b/>
        </w:rPr>
        <w:t>A FALTA Y LA INDEBIDA SATISFACCIÓN DE AMBOS REQUISITOS CONSTITUCIONALES TRASCIENDE AL ORDEN EN QUE DEBEN ESTUDIARSE LOS CONCEPTOS DE VIOLACIÓN Y A LOS EFECTOS DEL FALLO PROTECTOR.</w:t>
      </w:r>
    </w:p>
    <w:p w14:paraId="18BED481" w14:textId="77777777" w:rsidR="00BF5EA3" w:rsidRDefault="00BF5EA3" w:rsidP="00BF5EA3">
      <w:pPr>
        <w:pStyle w:val="Citas"/>
      </w:pPr>
      <w:r>
        <w:t xml:space="preserve">La falta de fundamentación y motivación es una violación formal diversa a la indebida o incorrecta fundamentación y motivación, que es una violación material o de fondo, siendo </w:t>
      </w:r>
      <w:r w:rsidRPr="00575268">
        <w:t>distintos los efectos que genera la existencia de una u otra, por lo que el estudio de aquella omisión debe hacerse de manera previa. En efecto, el artículo </w:t>
      </w:r>
      <w:hyperlink r:id="rId15" w:history="1">
        <w:r w:rsidRPr="00575268">
          <w:t>16 constitucional</w:t>
        </w:r>
      </w:hyperlink>
      <w:r w:rsidRPr="00575268">
        <w:t> establece, en su primer párrafo, el imperativo para las autoridades de fundar y motivar sus actos</w:t>
      </w:r>
      <w:r>
        <w:t xml:space="preserve">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w:t>
      </w:r>
      <w:r>
        <w:lastRenderedPageBreak/>
        <w:t xml:space="preserve">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w:t>
      </w:r>
      <w:r>
        <w:lastRenderedPageBreak/>
        <w:t>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6BEB2763" w14:textId="77777777" w:rsidR="00BF5EA3" w:rsidRDefault="00BF5EA3" w:rsidP="00BF5EA3">
      <w:pPr>
        <w:pStyle w:val="Citas"/>
      </w:pPr>
      <w:r>
        <w:t>TERCER TRIBUNAL COLEGIADO EN MATERIA CIVIL DEL PRIMER CIRCUITO.</w:t>
      </w:r>
    </w:p>
    <w:p w14:paraId="3752E897" w14:textId="77777777" w:rsidR="00BF5EA3" w:rsidRDefault="00BF5EA3" w:rsidP="00BF5EA3">
      <w:pPr>
        <w:pStyle w:val="Citas"/>
      </w:pPr>
      <w:r>
        <w:t xml:space="preserve">Amparo directo 551/2005. Jorge Luis </w:t>
      </w:r>
      <w:proofErr w:type="spellStart"/>
      <w:r>
        <w:t>Almaral</w:t>
      </w:r>
      <w:proofErr w:type="spellEnd"/>
      <w:r>
        <w:t xml:space="preserve"> </w:t>
      </w:r>
      <w:proofErr w:type="spellStart"/>
      <w:r>
        <w:t>Mendívil</w:t>
      </w:r>
      <w:proofErr w:type="spellEnd"/>
      <w:r>
        <w:t xml:space="preserve">. 20 de octubre de 2005. Unanimidad de votos. Ponente: Neófito López Ramos. Secretario: Raúl Alfaro </w:t>
      </w:r>
      <w:proofErr w:type="spellStart"/>
      <w:r>
        <w:t>Telpalo</w:t>
      </w:r>
      <w:proofErr w:type="spellEnd"/>
      <w:r>
        <w:t>.</w:t>
      </w:r>
    </w:p>
    <w:p w14:paraId="02B1CACA" w14:textId="77777777" w:rsidR="00BF5EA3" w:rsidRDefault="00BF5EA3" w:rsidP="00BF5EA3">
      <w:pPr>
        <w:pStyle w:val="Citas"/>
      </w:pPr>
      <w:r>
        <w:t xml:space="preserve">Amparo directo 66/2007. Juan Ramón Jaime Alcántara. 15 de febrero de 2007. Unanimidad de votos. Ponente: Neófito López Ramos. Secretario: Raúl Alfaro </w:t>
      </w:r>
      <w:proofErr w:type="spellStart"/>
      <w:r>
        <w:t>Telpalo</w:t>
      </w:r>
      <w:proofErr w:type="spellEnd"/>
      <w:r>
        <w:t>.</w:t>
      </w:r>
    </w:p>
    <w:p w14:paraId="79BD6A5E" w14:textId="77777777" w:rsidR="00BF5EA3" w:rsidRDefault="00BF5EA3" w:rsidP="00BF5EA3">
      <w:pPr>
        <w:pStyle w:val="Citas"/>
      </w:pPr>
      <w:r>
        <w:t>Amparo directo 364/2007. Guadalupe Rodríguez Daniel. 6 de julio de 2007. Unanimidad de votos. Ponente: Neófito López Ramos. Secretaria: Greta Lozada Amezcua.</w:t>
      </w:r>
    </w:p>
    <w:p w14:paraId="72A680D3" w14:textId="77777777" w:rsidR="00BF5EA3" w:rsidRDefault="00BF5EA3" w:rsidP="00BF5EA3">
      <w:pPr>
        <w:pStyle w:val="Citas"/>
      </w:pPr>
      <w:r>
        <w:t xml:space="preserve">Amparo directo 513/2007. Autofinanciamiento México, S.A. de C.V. 4 de octubre de 2007. Unanimidad de votos. Ponente: Neófito López Ramos. Secretario: Raúl Alfaro </w:t>
      </w:r>
      <w:proofErr w:type="spellStart"/>
      <w:r>
        <w:t>Telpalo</w:t>
      </w:r>
      <w:proofErr w:type="spellEnd"/>
      <w:r>
        <w:t>.</w:t>
      </w:r>
    </w:p>
    <w:p w14:paraId="78A905FA" w14:textId="77777777" w:rsidR="00BF5EA3" w:rsidRPr="008F4670" w:rsidRDefault="00BF5EA3" w:rsidP="00BF5EA3">
      <w:pPr>
        <w:pStyle w:val="Citas"/>
        <w:rPr>
          <w:b/>
        </w:rPr>
      </w:pPr>
      <w:r>
        <w:lastRenderedPageBreak/>
        <w:t xml:space="preserve">Amparo directo 562/2007. Arenas y Gravas </w:t>
      </w:r>
      <w:proofErr w:type="spellStart"/>
      <w:r>
        <w:t>Xaltepec</w:t>
      </w:r>
      <w:proofErr w:type="spellEnd"/>
      <w:r>
        <w:t xml:space="preserve">, S.A. 11 de octubre de 2007. Unanimidad de votos. Ponente: Neófito López Ramos. Secretario: Raúl Alfaro </w:t>
      </w:r>
      <w:proofErr w:type="spellStart"/>
      <w:r>
        <w:t>Telpalo</w:t>
      </w:r>
      <w:proofErr w:type="spellEnd"/>
      <w:r>
        <w:t xml:space="preserve">.” </w:t>
      </w:r>
      <w:r>
        <w:rPr>
          <w:b/>
        </w:rPr>
        <w:t>(Sic)</w:t>
      </w:r>
    </w:p>
    <w:p w14:paraId="21D21D46" w14:textId="0757343F" w:rsidR="00BF5EA3" w:rsidRPr="00351D15" w:rsidRDefault="00BF5EA3" w:rsidP="00E663AF">
      <w:pPr>
        <w:spacing w:before="240" w:line="360" w:lineRule="auto"/>
        <w:jc w:val="both"/>
        <w:rPr>
          <w:rFonts w:ascii="Palatino Linotype" w:hAnsi="Palatino Linotype"/>
        </w:rPr>
      </w:pPr>
    </w:p>
    <w:p w14:paraId="0B96C635" w14:textId="507FA164" w:rsidR="0021298B" w:rsidRDefault="00BF5EA3" w:rsidP="00E663AF">
      <w:pPr>
        <w:spacing w:before="240" w:line="360" w:lineRule="auto"/>
        <w:jc w:val="both"/>
        <w:rPr>
          <w:rFonts w:ascii="Palatino Linotype" w:hAnsi="Palatino Linotype"/>
          <w:b/>
          <w:bCs/>
        </w:rPr>
      </w:pPr>
      <w:r w:rsidRPr="00BF5EA3">
        <w:rPr>
          <w:rFonts w:ascii="Palatino Linotype" w:hAnsi="Palatino Linotype"/>
          <w:sz w:val="24"/>
          <w:szCs w:val="24"/>
        </w:rPr>
        <w:t xml:space="preserve">En las generalizaciones anteriores, </w:t>
      </w:r>
      <w:r>
        <w:rPr>
          <w:rFonts w:ascii="Palatino Linotype" w:hAnsi="Palatino Linotype"/>
          <w:sz w:val="24"/>
          <w:szCs w:val="24"/>
        </w:rPr>
        <w:t xml:space="preserve">se arriba </w:t>
      </w:r>
      <w:r w:rsidR="000B3E79">
        <w:rPr>
          <w:rFonts w:ascii="Palatino Linotype" w:hAnsi="Palatino Linotype"/>
          <w:sz w:val="24"/>
          <w:szCs w:val="24"/>
        </w:rPr>
        <w:t xml:space="preserve">a la premisa de que la respuesta emitida por </w:t>
      </w:r>
      <w:r w:rsidR="000B3E79">
        <w:rPr>
          <w:rFonts w:ascii="Palatino Linotype" w:hAnsi="Palatino Linotype"/>
          <w:b/>
          <w:bCs/>
          <w:sz w:val="24"/>
          <w:szCs w:val="24"/>
        </w:rPr>
        <w:t xml:space="preserve">El Sujeto Obligado </w:t>
      </w:r>
      <w:r w:rsidR="000B3E79">
        <w:rPr>
          <w:rFonts w:ascii="Palatino Linotype" w:hAnsi="Palatino Linotype"/>
          <w:sz w:val="24"/>
          <w:szCs w:val="24"/>
        </w:rPr>
        <w:t xml:space="preserve">restringe de forma injustificada el derecho de acceso a la información, al no guardar congruencia con las hipótesis previstas en los numerales 140 </w:t>
      </w:r>
      <w:r w:rsidR="000B3E79">
        <w:rPr>
          <w:rFonts w:ascii="Palatino Linotype" w:hAnsi="Palatino Linotype"/>
          <w:b/>
          <w:bCs/>
          <w:sz w:val="24"/>
          <w:szCs w:val="24"/>
        </w:rPr>
        <w:t xml:space="preserve">-información reservada </w:t>
      </w:r>
      <w:r w:rsidR="000B3E79">
        <w:rPr>
          <w:rFonts w:ascii="Palatino Linotype" w:hAnsi="Palatino Linotype"/>
          <w:sz w:val="24"/>
          <w:szCs w:val="24"/>
        </w:rPr>
        <w:t xml:space="preserve">y 143 </w:t>
      </w:r>
      <w:r w:rsidR="000B3E79">
        <w:rPr>
          <w:rFonts w:ascii="Palatino Linotype" w:hAnsi="Palatino Linotype"/>
          <w:b/>
          <w:bCs/>
          <w:sz w:val="24"/>
          <w:szCs w:val="24"/>
        </w:rPr>
        <w:t xml:space="preserve">-información confidencial- </w:t>
      </w:r>
      <w:r w:rsidR="000B3E79">
        <w:rPr>
          <w:rFonts w:ascii="Palatino Linotype" w:hAnsi="Palatino Linotype"/>
          <w:sz w:val="24"/>
          <w:szCs w:val="24"/>
        </w:rPr>
        <w:t xml:space="preserve">de la Ley de Transparencia y Acceso a la Información Pública del Estado de México y Municipios. </w:t>
      </w:r>
    </w:p>
    <w:p w14:paraId="2545506E" w14:textId="6F3FA7F8" w:rsidR="000B3E79" w:rsidRDefault="005D73DA" w:rsidP="00F06D2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Inconforme con la respuesta del </w:t>
      </w:r>
      <w:r>
        <w:rPr>
          <w:rFonts w:ascii="Palatino Linotype" w:hAnsi="Palatino Linotype" w:cs="Arial"/>
          <w:b/>
          <w:bCs/>
          <w:sz w:val="24"/>
          <w:szCs w:val="24"/>
        </w:rPr>
        <w:t xml:space="preserve">Sujeto Obligado, El Recurrente </w:t>
      </w:r>
      <w:r>
        <w:rPr>
          <w:rFonts w:ascii="Palatino Linotype" w:hAnsi="Palatino Linotype" w:cs="Arial"/>
          <w:sz w:val="24"/>
          <w:szCs w:val="24"/>
        </w:rPr>
        <w:t xml:space="preserve">interpuso recurso de revisión en fecha </w:t>
      </w:r>
      <w:r w:rsidR="000B3E79">
        <w:rPr>
          <w:rFonts w:ascii="Palatino Linotype" w:hAnsi="Palatino Linotype" w:cs="Arial"/>
          <w:b/>
          <w:bCs/>
          <w:sz w:val="24"/>
          <w:szCs w:val="24"/>
        </w:rPr>
        <w:t xml:space="preserve">uno de diciembre, </w:t>
      </w:r>
      <w:r w:rsidR="000B3E79">
        <w:rPr>
          <w:rFonts w:ascii="Palatino Linotype" w:hAnsi="Palatino Linotype" w:cs="Arial"/>
          <w:sz w:val="24"/>
          <w:szCs w:val="24"/>
        </w:rPr>
        <w:t xml:space="preserve">admitiéndose el </w:t>
      </w:r>
      <w:r w:rsidR="000B3E79">
        <w:rPr>
          <w:rFonts w:ascii="Palatino Linotype" w:hAnsi="Palatino Linotype" w:cs="Arial"/>
          <w:b/>
          <w:bCs/>
          <w:sz w:val="24"/>
          <w:szCs w:val="24"/>
        </w:rPr>
        <w:t xml:space="preserve">cinco de diciembre de dos mil veintitrés. </w:t>
      </w:r>
      <w:r w:rsidR="000B3E79">
        <w:rPr>
          <w:rFonts w:ascii="Palatino Linotype" w:hAnsi="Palatino Linotype" w:cs="Arial"/>
          <w:sz w:val="24"/>
          <w:szCs w:val="24"/>
        </w:rPr>
        <w:t>Señalando como acto impugnado y como razones o motivos de inconformidad:</w:t>
      </w:r>
    </w:p>
    <w:p w14:paraId="3E792D65" w14:textId="77777777" w:rsidR="000B3E79" w:rsidRDefault="000B3E79" w:rsidP="000B3E7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49CF57DA" w14:textId="77777777" w:rsidR="000B3E79" w:rsidRPr="00CE3EB5" w:rsidRDefault="000B3E79" w:rsidP="000B3E79">
      <w:pPr>
        <w:pStyle w:val="Citas"/>
        <w:rPr>
          <w:b/>
          <w:bCs/>
          <w:sz w:val="24"/>
        </w:rPr>
      </w:pPr>
      <w:r w:rsidRPr="009D25F5">
        <w:t>“La respuesta a la solicitud 00261/TRIJAEM/IP/2023”</w:t>
      </w:r>
      <w:r>
        <w:t xml:space="preserve"> </w:t>
      </w:r>
      <w:r>
        <w:rPr>
          <w:b/>
          <w:bCs/>
        </w:rPr>
        <w:t>(Sic)</w:t>
      </w:r>
    </w:p>
    <w:p w14:paraId="326A3012" w14:textId="77777777" w:rsidR="000B3E79" w:rsidRDefault="000B3E79" w:rsidP="000B3E7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2EC2EF44" w14:textId="77777777" w:rsidR="000B3E79" w:rsidRPr="00CE3EB5" w:rsidRDefault="000B3E79" w:rsidP="000B3E79">
      <w:pPr>
        <w:pStyle w:val="Citas"/>
        <w:rPr>
          <w:b/>
          <w:bCs/>
        </w:rPr>
      </w:pPr>
      <w:r w:rsidRPr="009D25F5">
        <w:t xml:space="preserve">“El artículo 6 último párrafo del Reglamento Interior del Tribunal de Justicia Administrativa del Estado de México, señala que las sesiones serán grabadas en audio y video. Solicité la que corresponde a la sesión del 25 de septiembre de este año y se me niega su entrega señalando que no puede ser proporcionada hasta en tanto sea sometida (el acta) a la siguiente sesión, refiriendo para ello el fundamento de un </w:t>
      </w:r>
      <w:r w:rsidRPr="009D25F5">
        <w:lastRenderedPageBreak/>
        <w:t xml:space="preserve">Acuerdo sin ni el contenido de los artículos en que basa su decisión ni la fecha de publicación del acuerdo que sirvió de fundamento. El sujeto obligado confunde la obligación que tiene de entregar un video de la sesión con las formalidades de la aprobación de las actas formales y por escrito con que debe contar ese órgano constitucional autónomo. No sólo debiera entregarme el video solicitad de forma </w:t>
      </w:r>
      <w:proofErr w:type="spellStart"/>
      <w:r w:rsidRPr="009D25F5">
        <w:t>integra</w:t>
      </w:r>
      <w:proofErr w:type="spellEnd"/>
      <w:r w:rsidRPr="009D25F5">
        <w:t xml:space="preserve"> y completa, el ente público debiera tener la obligación de tenerlo a disposición de la ciudadanía en sus plataformas digitales. Sin embargo, esta negativa de suponer que hasta en tanto sea aprobada el acta de la sesión de esa fecha en la próxima sesión del mismo Pleno, es poco cierta, puesta este Instituto podrá apreciar que en la solicitud 00265/TRIJAEM/IP/2023 en la que solicité los videos de todas sesiones celebradas por el Pleno, la respuesta fue que obraban en un hipervínculo proporcionado cuando en éste no están más que dos actas escritas de dos sesiones, pero no los videos que fueron solicitados. Por lo que de sostener que la respuesta es correcta por parte del sujeto obligado en la presente solicitud, provocaría que espera, la formule y me remitan en nueva respuesta a un hipervínculo que no contiene lo solicitado. Razón por la cual y de resultar procedente solicito que el presente medio de impugnación se acumule al relativo a la solicitud 00265/TRIJAEM/IP/2023, pues en éste solicité todos los videos de las sesiones, entre los que debiera incluirse la del 25 de septiembre de 2023”</w:t>
      </w:r>
      <w:r>
        <w:t xml:space="preserve"> </w:t>
      </w:r>
      <w:r>
        <w:rPr>
          <w:b/>
          <w:bCs/>
        </w:rPr>
        <w:t>(Sic)</w:t>
      </w:r>
    </w:p>
    <w:p w14:paraId="5E56FBD7" w14:textId="77777777" w:rsidR="000B3E79" w:rsidRPr="000B3E79" w:rsidRDefault="000B3E79" w:rsidP="00F06D25">
      <w:pPr>
        <w:spacing w:after="0" w:line="360" w:lineRule="auto"/>
        <w:jc w:val="both"/>
        <w:rPr>
          <w:rFonts w:ascii="Palatino Linotype" w:hAnsi="Palatino Linotype" w:cs="Arial"/>
          <w:sz w:val="24"/>
          <w:szCs w:val="24"/>
        </w:rPr>
      </w:pPr>
    </w:p>
    <w:p w14:paraId="66CD2576" w14:textId="62AA4215" w:rsidR="0061744C" w:rsidRDefault="00407273" w:rsidP="0061744C">
      <w:pPr>
        <w:pStyle w:val="infoemcitas"/>
        <w:tabs>
          <w:tab w:val="left" w:pos="7655"/>
        </w:tabs>
        <w:ind w:left="0" w:right="0"/>
        <w:rPr>
          <w:rFonts w:cs="Arial"/>
          <w:i w:val="0"/>
          <w:noProof/>
          <w:color w:val="000000"/>
          <w:sz w:val="24"/>
          <w:lang w:eastAsia="es-MX"/>
        </w:rPr>
      </w:pPr>
      <w:r>
        <w:rPr>
          <w:i w:val="0"/>
          <w:sz w:val="24"/>
          <w:szCs w:val="24"/>
        </w:rPr>
        <w:t>A</w:t>
      </w:r>
      <w:r w:rsidR="0061744C">
        <w:rPr>
          <w:i w:val="0"/>
          <w:sz w:val="24"/>
          <w:szCs w:val="24"/>
        </w:rPr>
        <w:t xml:space="preserve">sí las cosas, hasta aquí lo expuesto, resulta inconcuso que </w:t>
      </w:r>
      <w:r w:rsidR="0061744C">
        <w:rPr>
          <w:b/>
          <w:i w:val="0"/>
          <w:sz w:val="24"/>
          <w:szCs w:val="24"/>
        </w:rPr>
        <w:t>El Sujeto Obligado</w:t>
      </w:r>
      <w:r w:rsidR="0061744C" w:rsidRPr="00535EDD">
        <w:rPr>
          <w:b/>
          <w:i w:val="0"/>
          <w:sz w:val="24"/>
          <w:szCs w:val="24"/>
        </w:rPr>
        <w:t xml:space="preserve"> </w:t>
      </w:r>
      <w:r w:rsidR="0061744C" w:rsidRPr="00535EDD">
        <w:rPr>
          <w:rFonts w:cs="Arial"/>
          <w:i w:val="0"/>
          <w:noProof/>
          <w:color w:val="000000"/>
          <w:sz w:val="24"/>
          <w:lang w:eastAsia="es-MX"/>
        </w:rPr>
        <w:t xml:space="preserve">no satisfizo el derecho de acceso a la información pública ejercido por </w:t>
      </w:r>
      <w:r w:rsidR="0061744C" w:rsidRPr="00535EDD">
        <w:rPr>
          <w:rFonts w:cs="Arial"/>
          <w:b/>
          <w:i w:val="0"/>
          <w:noProof/>
          <w:color w:val="000000"/>
          <w:sz w:val="24"/>
          <w:lang w:eastAsia="es-MX"/>
        </w:rPr>
        <w:t xml:space="preserve">El Recurrente, </w:t>
      </w:r>
      <w:r w:rsidR="0061744C" w:rsidRPr="00535EDD">
        <w:rPr>
          <w:rFonts w:cs="Arial"/>
          <w:i w:val="0"/>
          <w:noProof/>
          <w:color w:val="000000"/>
          <w:sz w:val="24"/>
          <w:lang w:eastAsia="es-MX"/>
        </w:rPr>
        <w:t xml:space="preserve">al tenerse por actualizada la hipotesis normativa prevista en el artículo 179, </w:t>
      </w:r>
      <w:r>
        <w:rPr>
          <w:rFonts w:cs="Arial"/>
          <w:i w:val="0"/>
          <w:noProof/>
          <w:color w:val="000000"/>
          <w:sz w:val="24"/>
          <w:lang w:eastAsia="es-MX"/>
        </w:rPr>
        <w:t>fracci</w:t>
      </w:r>
      <w:r w:rsidR="00495B92">
        <w:rPr>
          <w:rFonts w:cs="Arial"/>
          <w:i w:val="0"/>
          <w:noProof/>
          <w:color w:val="000000"/>
          <w:sz w:val="24"/>
          <w:lang w:eastAsia="es-MX"/>
        </w:rPr>
        <w:t>ó</w:t>
      </w:r>
      <w:r>
        <w:rPr>
          <w:rFonts w:cs="Arial"/>
          <w:i w:val="0"/>
          <w:noProof/>
          <w:color w:val="000000"/>
          <w:sz w:val="24"/>
          <w:lang w:eastAsia="es-MX"/>
        </w:rPr>
        <w:t>n I</w:t>
      </w:r>
      <w:r w:rsidR="0061744C">
        <w:rPr>
          <w:rFonts w:cs="Arial"/>
          <w:i w:val="0"/>
          <w:noProof/>
          <w:color w:val="000000"/>
          <w:sz w:val="24"/>
          <w:lang w:eastAsia="es-MX"/>
        </w:rPr>
        <w:t xml:space="preserve"> de </w:t>
      </w:r>
      <w:r w:rsidR="0061744C">
        <w:rPr>
          <w:rFonts w:cs="Arial"/>
          <w:i w:val="0"/>
          <w:noProof/>
          <w:color w:val="000000"/>
          <w:sz w:val="24"/>
          <w:lang w:eastAsia="es-MX"/>
        </w:rPr>
        <w:lastRenderedPageBreak/>
        <w:t xml:space="preserve">la Ley de Transparencia y Acceso a la Información Pública del Estado de Mexico y Municipios, cuyo contenido literal es el siguiente: </w:t>
      </w:r>
    </w:p>
    <w:p w14:paraId="67231175" w14:textId="77777777" w:rsidR="0061744C" w:rsidRDefault="0061744C" w:rsidP="0061744C">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47619D6E" w14:textId="77777777" w:rsidR="0061744C" w:rsidRDefault="0061744C" w:rsidP="0061744C">
      <w:pPr>
        <w:pStyle w:val="Citas"/>
      </w:pPr>
      <w:r>
        <w:t>I. La negativa a la información solicitada;</w:t>
      </w:r>
    </w:p>
    <w:p w14:paraId="0E9FD46A" w14:textId="77777777" w:rsidR="0061744C" w:rsidRPr="005A12AE" w:rsidRDefault="0061744C" w:rsidP="0061744C">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2B8CC0F6" w14:textId="77777777" w:rsidR="005F4FE3" w:rsidRDefault="005F4FE3" w:rsidP="0061744C">
      <w:pPr>
        <w:spacing w:after="0" w:line="360" w:lineRule="auto"/>
        <w:jc w:val="both"/>
        <w:rPr>
          <w:rFonts w:ascii="Palatino Linotype" w:hAnsi="Palatino Linotype"/>
          <w:sz w:val="24"/>
          <w:szCs w:val="24"/>
        </w:rPr>
      </w:pPr>
    </w:p>
    <w:p w14:paraId="1214983C" w14:textId="0416B1B9" w:rsidR="00B963EC" w:rsidRDefault="0061744C" w:rsidP="0061744C">
      <w:pPr>
        <w:spacing w:after="0" w:line="360" w:lineRule="auto"/>
        <w:jc w:val="both"/>
        <w:rPr>
          <w:rFonts w:ascii="Palatino Linotype" w:hAnsi="Palatino Linotype"/>
          <w:sz w:val="24"/>
          <w:szCs w:val="24"/>
        </w:rPr>
      </w:pPr>
      <w:r w:rsidRPr="0061744C">
        <w:rPr>
          <w:rFonts w:ascii="Palatino Linotype" w:hAnsi="Palatino Linotype"/>
          <w:sz w:val="24"/>
          <w:szCs w:val="24"/>
        </w:rPr>
        <w:t>Por otra parte, como fue referido en el antecedente quinto,</w:t>
      </w:r>
      <w:r>
        <w:rPr>
          <w:rFonts w:ascii="Palatino Linotype" w:hAnsi="Palatino Linotype"/>
          <w:sz w:val="24"/>
          <w:szCs w:val="24"/>
        </w:rPr>
        <w:t xml:space="preserve"> </w:t>
      </w:r>
      <w:r>
        <w:rPr>
          <w:rFonts w:ascii="Palatino Linotype" w:hAnsi="Palatino Linotype"/>
          <w:b/>
          <w:bCs/>
          <w:sz w:val="24"/>
          <w:szCs w:val="24"/>
        </w:rPr>
        <w:t xml:space="preserve">El Sujeto Obligado </w:t>
      </w:r>
      <w:r w:rsidR="00B963EC">
        <w:rPr>
          <w:rFonts w:ascii="Palatino Linotype" w:hAnsi="Palatino Linotype"/>
          <w:sz w:val="24"/>
          <w:szCs w:val="24"/>
        </w:rPr>
        <w:t>rindió su informe justificado en los siguientes términos:</w:t>
      </w:r>
    </w:p>
    <w:p w14:paraId="2D116433" w14:textId="77777777" w:rsidR="00927D75" w:rsidRPr="00927D75" w:rsidRDefault="00B963EC" w:rsidP="008960C8">
      <w:pPr>
        <w:pStyle w:val="Prrafodelista"/>
        <w:numPr>
          <w:ilvl w:val="0"/>
          <w:numId w:val="6"/>
        </w:numPr>
        <w:spacing w:line="360" w:lineRule="auto"/>
        <w:jc w:val="both"/>
        <w:rPr>
          <w:rFonts w:ascii="Palatino Linotype" w:hAnsi="Palatino Linotype"/>
          <w:b/>
          <w:bCs/>
        </w:rPr>
      </w:pPr>
      <w:r w:rsidRPr="00927D75">
        <w:rPr>
          <w:rFonts w:ascii="Palatino Linotype" w:hAnsi="Palatino Linotype"/>
          <w:b/>
          <w:bCs/>
        </w:rPr>
        <w:t xml:space="preserve">“INFORME JUSTIFICADO RR 261.pdf”: </w:t>
      </w:r>
      <w:r w:rsidRPr="00927D75">
        <w:rPr>
          <w:rFonts w:ascii="Palatino Linotype" w:hAnsi="Palatino Linotype"/>
        </w:rPr>
        <w:t xml:space="preserve">Oficio sin número signado por la jefa de la unidad de información, planeación, programación y evaluación y dirigido al comisionado presidente, de fecha doce de febrero de dos mil veinticuatro, en lo medular expone diversos antecedentes. </w:t>
      </w:r>
    </w:p>
    <w:p w14:paraId="7C7955F8" w14:textId="0F3DBA18" w:rsidR="00B963EC" w:rsidRDefault="00927D75" w:rsidP="00927D75">
      <w:pPr>
        <w:pStyle w:val="Prrafodelista"/>
        <w:spacing w:line="360" w:lineRule="auto"/>
        <w:ind w:left="720"/>
        <w:jc w:val="both"/>
        <w:rPr>
          <w:rFonts w:ascii="Palatino Linotype" w:hAnsi="Palatino Linotype"/>
          <w:b/>
          <w:bCs/>
        </w:rPr>
      </w:pPr>
      <w:r>
        <w:rPr>
          <w:rFonts w:ascii="Palatino Linotype" w:hAnsi="Palatino Linotype"/>
        </w:rPr>
        <w:t>De manera complementaria</w:t>
      </w:r>
      <w:r w:rsidR="00B963EC" w:rsidRPr="00927D75">
        <w:rPr>
          <w:rFonts w:ascii="Palatino Linotype" w:hAnsi="Palatino Linotype"/>
        </w:rPr>
        <w:t xml:space="preserve"> inserta capturas de pantalla correspondientes al oficio</w:t>
      </w:r>
      <w:r>
        <w:rPr>
          <w:rFonts w:ascii="Palatino Linotype" w:hAnsi="Palatino Linotype"/>
        </w:rPr>
        <w:t xml:space="preserve"> </w:t>
      </w:r>
      <w:r w:rsidR="00B963EC" w:rsidRPr="00927D75">
        <w:rPr>
          <w:rFonts w:ascii="Palatino Linotype" w:hAnsi="Palatino Linotype"/>
          <w:b/>
          <w:bCs/>
        </w:rPr>
        <w:t xml:space="preserve">TJA-STJGA-007/2024 </w:t>
      </w:r>
      <w:r w:rsidR="00B963EC" w:rsidRPr="00927D75">
        <w:rPr>
          <w:rFonts w:ascii="Palatino Linotype" w:hAnsi="Palatino Linotype"/>
        </w:rPr>
        <w:t xml:space="preserve">signado por la </w:t>
      </w:r>
      <w:r w:rsidRPr="00927D75">
        <w:rPr>
          <w:rFonts w:ascii="Palatino Linotype" w:hAnsi="Palatino Linotype"/>
        </w:rPr>
        <w:t>servidora pública designada como enlace de la secretaría general del Pleno y secretaría técnica de la junta de gobierno y dirigido a la titular de la unidad de información, de fecha veintitrés de enero de dos mil veinticuatro, resulta de nuestro interés el siguiente extracto:</w:t>
      </w:r>
      <w:r w:rsidRPr="00927D75">
        <w:rPr>
          <w:rFonts w:ascii="Palatino Linotype" w:hAnsi="Palatino Linotype"/>
          <w:b/>
          <w:bCs/>
        </w:rPr>
        <w:t xml:space="preserve"> </w:t>
      </w:r>
    </w:p>
    <w:p w14:paraId="0DA045BE" w14:textId="5A3E4DA5" w:rsidR="00927D75" w:rsidRDefault="00927D75" w:rsidP="00927D75">
      <w:pPr>
        <w:pStyle w:val="Prrafodelista"/>
        <w:spacing w:line="360" w:lineRule="auto"/>
        <w:ind w:left="720"/>
        <w:jc w:val="both"/>
        <w:rPr>
          <w:rFonts w:ascii="Palatino Linotype" w:hAnsi="Palatino Linotype"/>
          <w:i/>
          <w:iCs/>
        </w:rPr>
      </w:pPr>
      <w:r>
        <w:rPr>
          <w:rFonts w:ascii="Palatino Linotype" w:hAnsi="Palatino Linotype"/>
          <w:i/>
          <w:iCs/>
        </w:rPr>
        <w:t>“(…) me permito remitir a usted el hipervínculo del video de la sesión celebrada el 25 de septiembre, en las condiciones técnicas en el que se encuentra:</w:t>
      </w:r>
    </w:p>
    <w:p w14:paraId="58599FF2" w14:textId="64E1A31E" w:rsidR="00927D75" w:rsidRPr="00927D75" w:rsidRDefault="00AE4355" w:rsidP="00927D75">
      <w:pPr>
        <w:pStyle w:val="Prrafodelista"/>
        <w:spacing w:line="360" w:lineRule="auto"/>
        <w:ind w:left="720"/>
        <w:jc w:val="both"/>
        <w:rPr>
          <w:rFonts w:ascii="Palatino Linotype" w:hAnsi="Palatino Linotype"/>
          <w:i/>
          <w:iCs/>
        </w:rPr>
      </w:pPr>
      <w:hyperlink r:id="rId16" w:history="1">
        <w:r w:rsidR="00927D75" w:rsidRPr="00082767">
          <w:rPr>
            <w:rStyle w:val="Hipervnculo"/>
            <w:rFonts w:ascii="Palatino Linotype" w:hAnsi="Palatino Linotype"/>
            <w:i/>
            <w:iCs/>
          </w:rPr>
          <w:t>https://drive.google.com/file/d/1ZjivIG32LjiS_Y0XYZOhCbnPPOqL1EN8/view?usp=sharing</w:t>
        </w:r>
      </w:hyperlink>
      <w:r w:rsidR="00927D75">
        <w:rPr>
          <w:rFonts w:ascii="Palatino Linotype" w:hAnsi="Palatino Linotype"/>
          <w:i/>
          <w:iCs/>
        </w:rPr>
        <w:t xml:space="preserve"> </w:t>
      </w:r>
    </w:p>
    <w:p w14:paraId="784E97D9" w14:textId="77777777" w:rsidR="00B963EC" w:rsidRDefault="00B963EC" w:rsidP="0061744C">
      <w:pPr>
        <w:spacing w:after="0" w:line="360" w:lineRule="auto"/>
        <w:jc w:val="both"/>
        <w:rPr>
          <w:rFonts w:ascii="Palatino Linotype" w:hAnsi="Palatino Linotype"/>
          <w:b/>
          <w:bCs/>
          <w:sz w:val="24"/>
          <w:szCs w:val="24"/>
        </w:rPr>
      </w:pPr>
    </w:p>
    <w:p w14:paraId="611D6416" w14:textId="77777777" w:rsidR="00B963EC" w:rsidRDefault="00B963EC" w:rsidP="0061744C">
      <w:pPr>
        <w:spacing w:after="0" w:line="360" w:lineRule="auto"/>
        <w:jc w:val="both"/>
        <w:rPr>
          <w:rFonts w:ascii="Palatino Linotype" w:hAnsi="Palatino Linotype"/>
          <w:b/>
          <w:bCs/>
          <w:sz w:val="24"/>
          <w:szCs w:val="24"/>
        </w:rPr>
      </w:pPr>
    </w:p>
    <w:p w14:paraId="7D8F1801" w14:textId="59A92D11" w:rsidR="00927D75" w:rsidRDefault="00927D75" w:rsidP="0061744C">
      <w:pPr>
        <w:spacing w:after="0" w:line="360" w:lineRule="auto"/>
        <w:jc w:val="both"/>
        <w:rPr>
          <w:rFonts w:ascii="Palatino Linotype" w:hAnsi="Palatino Linotype"/>
          <w:sz w:val="24"/>
          <w:szCs w:val="24"/>
        </w:rPr>
      </w:pPr>
      <w:r>
        <w:rPr>
          <w:rFonts w:ascii="Palatino Linotype" w:hAnsi="Palatino Linotype"/>
          <w:sz w:val="24"/>
          <w:szCs w:val="24"/>
        </w:rPr>
        <w:t>Dominio electrónico que refleja videograbación de la sesión del Pleno del Tribunal de Justicia Administrativa del Estado de México, celebrada el 25 de septiembre de 2023. Sirve de sustento la siguiente imagen ilustrativa:</w:t>
      </w:r>
    </w:p>
    <w:p w14:paraId="19E891A7" w14:textId="35EA3C43" w:rsidR="00927D75" w:rsidRDefault="00495B92" w:rsidP="0061744C">
      <w:pPr>
        <w:spacing w:after="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878387" behindDoc="0" locked="0" layoutInCell="1" allowOverlap="1" wp14:anchorId="7616AB88" wp14:editId="6A862596">
                <wp:simplePos x="0" y="0"/>
                <wp:positionH relativeFrom="column">
                  <wp:posOffset>4317365</wp:posOffset>
                </wp:positionH>
                <wp:positionV relativeFrom="paragraph">
                  <wp:posOffset>466725</wp:posOffset>
                </wp:positionV>
                <wp:extent cx="279400" cy="463550"/>
                <wp:effectExtent l="0" t="0" r="25400" b="12700"/>
                <wp:wrapNone/>
                <wp:docPr id="513136259" name="Rectangle 2"/>
                <wp:cNvGraphicFramePr/>
                <a:graphic xmlns:a="http://schemas.openxmlformats.org/drawingml/2006/main">
                  <a:graphicData uri="http://schemas.microsoft.com/office/word/2010/wordprocessingShape">
                    <wps:wsp>
                      <wps:cNvSpPr/>
                      <wps:spPr>
                        <a:xfrm>
                          <a:off x="0" y="0"/>
                          <a:ext cx="279400" cy="463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1CC276" id="Rectangle 2" o:spid="_x0000_s1026" style="position:absolute;margin-left:339.95pt;margin-top:36.75pt;width:22pt;height:36.5pt;z-index:2518783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" filled="f" strokecolor="red" strokeweight="1pt"/>
            </w:pict>
          </mc:Fallback>
        </mc:AlternateContent>
      </w:r>
      <w:r w:rsidR="00927D75">
        <w:rPr>
          <w:rFonts w:ascii="Palatino Linotype" w:hAnsi="Palatino Linotype"/>
          <w:noProof/>
          <w:sz w:val="24"/>
          <w:szCs w:val="24"/>
          <w:lang w:eastAsia="es-MX"/>
        </w:rPr>
        <w:drawing>
          <wp:anchor distT="0" distB="0" distL="114300" distR="114300" simplePos="0" relativeHeight="251876339" behindDoc="0" locked="0" layoutInCell="1" allowOverlap="1" wp14:anchorId="6618F3CB" wp14:editId="2BAC9BCB">
            <wp:simplePos x="0" y="0"/>
            <wp:positionH relativeFrom="page">
              <wp:align>center</wp:align>
            </wp:positionH>
            <wp:positionV relativeFrom="paragraph">
              <wp:posOffset>488950</wp:posOffset>
            </wp:positionV>
            <wp:extent cx="5743575" cy="3495675"/>
            <wp:effectExtent l="19050" t="19050" r="28575" b="28575"/>
            <wp:wrapThrough wrapText="bothSides">
              <wp:wrapPolygon edited="0">
                <wp:start x="-72" y="-118"/>
                <wp:lineTo x="-72" y="21659"/>
                <wp:lineTo x="21636" y="21659"/>
                <wp:lineTo x="21636" y="-118"/>
                <wp:lineTo x="-72" y="-118"/>
              </wp:wrapPolygon>
            </wp:wrapThrough>
            <wp:docPr id="1170713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3575" cy="3495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F28B8A6" w14:textId="0B46BA16" w:rsidR="00927D75" w:rsidRDefault="00927D75" w:rsidP="0061744C">
      <w:pPr>
        <w:spacing w:after="0" w:line="360" w:lineRule="auto"/>
        <w:jc w:val="both"/>
        <w:rPr>
          <w:rFonts w:ascii="Palatino Linotype" w:hAnsi="Palatino Linotype"/>
          <w:sz w:val="24"/>
          <w:szCs w:val="24"/>
        </w:rPr>
      </w:pPr>
    </w:p>
    <w:p w14:paraId="137221BE" w14:textId="21DD1BF1" w:rsidR="00927D75" w:rsidRDefault="00927D75" w:rsidP="0061744C">
      <w:pPr>
        <w:spacing w:after="0" w:line="360" w:lineRule="auto"/>
        <w:jc w:val="both"/>
        <w:rPr>
          <w:rFonts w:ascii="Palatino Linotype" w:hAnsi="Palatino Linotype"/>
          <w:sz w:val="24"/>
          <w:szCs w:val="24"/>
        </w:rPr>
      </w:pPr>
    </w:p>
    <w:p w14:paraId="3B4288EC" w14:textId="061AC0C2" w:rsidR="00927D75" w:rsidRDefault="00927D75" w:rsidP="0061744C">
      <w:pPr>
        <w:spacing w:after="0" w:line="360" w:lineRule="auto"/>
        <w:jc w:val="both"/>
        <w:rPr>
          <w:rFonts w:ascii="Palatino Linotype" w:hAnsi="Palatino Linotype"/>
          <w:sz w:val="24"/>
          <w:szCs w:val="24"/>
        </w:rPr>
      </w:pPr>
    </w:p>
    <w:p w14:paraId="5902ADC2" w14:textId="77777777" w:rsidR="00074E2D" w:rsidRDefault="00927D75" w:rsidP="00931542">
      <w:pPr>
        <w:spacing w:before="100" w:beforeAutospacing="1" w:after="100" w:afterAutospacing="1" w:line="360" w:lineRule="auto"/>
        <w:jc w:val="both"/>
        <w:rPr>
          <w:rFonts w:ascii="Palatino Linotype" w:hAnsi="Palatino Linotype"/>
          <w:sz w:val="24"/>
          <w:szCs w:val="24"/>
        </w:rPr>
      </w:pPr>
      <w:r w:rsidRPr="00931542">
        <w:rPr>
          <w:rFonts w:ascii="Palatino Linotype" w:hAnsi="Palatino Linotype"/>
          <w:sz w:val="24"/>
          <w:szCs w:val="24"/>
        </w:rPr>
        <w:lastRenderedPageBreak/>
        <w:t xml:space="preserve">Se plantea entonces que mediante informe justificado </w:t>
      </w:r>
      <w:r w:rsidRPr="00931542">
        <w:rPr>
          <w:rFonts w:ascii="Palatino Linotype" w:hAnsi="Palatino Linotype"/>
          <w:b/>
          <w:bCs/>
          <w:sz w:val="24"/>
          <w:szCs w:val="24"/>
        </w:rPr>
        <w:t xml:space="preserve">El Sujeto Obligado </w:t>
      </w:r>
      <w:r w:rsidR="00931542" w:rsidRPr="00931542">
        <w:rPr>
          <w:rFonts w:ascii="Palatino Linotype" w:hAnsi="Palatino Linotype"/>
          <w:sz w:val="24"/>
          <w:szCs w:val="24"/>
        </w:rPr>
        <w:t>destacó la habilitación de un</w:t>
      </w:r>
      <w:r w:rsidRPr="00931542">
        <w:rPr>
          <w:rFonts w:ascii="Palatino Linotype" w:hAnsi="Palatino Linotype"/>
          <w:sz w:val="24"/>
          <w:szCs w:val="24"/>
        </w:rPr>
        <w:t xml:space="preserve"> sitio electrónico que permite la visualización de la videograbación requerida. </w:t>
      </w:r>
    </w:p>
    <w:p w14:paraId="5E1FCF15" w14:textId="0026511E" w:rsidR="00931542" w:rsidRPr="007D01D6" w:rsidRDefault="00931542" w:rsidP="00931542">
      <w:pPr>
        <w:spacing w:before="100" w:beforeAutospacing="1" w:after="100" w:afterAutospacing="1" w:line="360" w:lineRule="auto"/>
        <w:jc w:val="both"/>
        <w:rPr>
          <w:rFonts w:ascii="Palatino Linotype" w:hAnsi="Palatino Linotype"/>
          <w:iCs/>
          <w:sz w:val="24"/>
          <w:szCs w:val="24"/>
        </w:rPr>
      </w:pPr>
      <w:r>
        <w:rPr>
          <w:rFonts w:ascii="Palatino Linotype" w:hAnsi="Palatino Linotype"/>
          <w:sz w:val="24"/>
          <w:szCs w:val="24"/>
        </w:rPr>
        <w:t xml:space="preserve">De manera complementaria, resulta óbice señalar que </w:t>
      </w:r>
      <w:r w:rsidRPr="007D01D6">
        <w:rPr>
          <w:rFonts w:ascii="Palatino Linotype" w:hAnsi="Palatino Linotype"/>
          <w:sz w:val="24"/>
          <w:szCs w:val="24"/>
        </w:rPr>
        <w:t>este</w:t>
      </w:r>
      <w:r w:rsidRPr="007D01D6">
        <w:rPr>
          <w:rFonts w:ascii="Palatino Linotype" w:hAnsi="Palatino Linotype"/>
          <w:iCs/>
          <w:sz w:val="24"/>
          <w:szCs w:val="24"/>
        </w:rPr>
        <w:t xml:space="preserv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05584A4D" w14:textId="77777777" w:rsidR="00931542" w:rsidRPr="007D01D6" w:rsidRDefault="00931542" w:rsidP="00931542">
      <w:pPr>
        <w:spacing w:before="100" w:beforeAutospacing="1" w:after="100" w:afterAutospacing="1" w:line="360" w:lineRule="auto"/>
        <w:jc w:val="both"/>
        <w:rPr>
          <w:rFonts w:ascii="Palatino Linotype" w:hAnsi="Palatino Linotype" w:cs="Arial"/>
          <w:iCs/>
          <w:sz w:val="24"/>
          <w:szCs w:val="24"/>
        </w:rPr>
      </w:pPr>
      <w:r w:rsidRPr="007D01D6">
        <w:rPr>
          <w:rFonts w:ascii="Palatino Linotype" w:hAnsi="Palatino Linotype" w:cs="Arial"/>
          <w:iCs/>
          <w:sz w:val="24"/>
          <w:szCs w:val="24"/>
        </w:rPr>
        <w:t xml:space="preserve">Sirve de sustento a lo anterior, el criterio </w:t>
      </w:r>
      <w:r w:rsidRPr="007D01D6">
        <w:rPr>
          <w:rFonts w:ascii="Palatino Linotype" w:hAnsi="Palatino Linotype" w:cs="Arial"/>
          <w:b/>
          <w:bCs/>
          <w:iCs/>
          <w:sz w:val="24"/>
          <w:szCs w:val="24"/>
        </w:rPr>
        <w:t>31/10</w:t>
      </w:r>
      <w:r w:rsidRPr="007D01D6">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27270E24" w14:textId="77777777" w:rsidR="00931542" w:rsidRPr="007D01D6" w:rsidRDefault="00931542" w:rsidP="00931542">
      <w:pPr>
        <w:pStyle w:val="Citas"/>
        <w:rPr>
          <w:b/>
        </w:rPr>
      </w:pPr>
      <w:r w:rsidRPr="007D01D6">
        <w:rPr>
          <w:b/>
        </w:rPr>
        <w:t xml:space="preserve">“EL INSTITUTO FEDERAL DE ACCESO A LA INFORMACIÓN Y PROTECCIÓN DE DATOS NO CUENTA CON FACULTADES PARA PRONUNCIARSE RESPECTO DE LA VERACIDAD DE LOS DOCUMENTOS PROPORCIONADOS POR LOS SUJETOS OBLIGADOS. </w:t>
      </w:r>
    </w:p>
    <w:p w14:paraId="20564E53" w14:textId="77777777" w:rsidR="00931542" w:rsidRPr="007D01D6" w:rsidRDefault="00931542" w:rsidP="00931542">
      <w:pPr>
        <w:pStyle w:val="Citas"/>
      </w:pPr>
      <w:r w:rsidRPr="007D01D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w:t>
      </w:r>
      <w:r w:rsidRPr="007D01D6">
        <w:lastRenderedPageBreak/>
        <w:t xml:space="preserve">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2A07986D" w14:textId="77777777" w:rsidR="00931542" w:rsidRPr="007D01D6" w:rsidRDefault="00931542" w:rsidP="00931542">
      <w:pPr>
        <w:pStyle w:val="Citas"/>
      </w:pPr>
      <w:r w:rsidRPr="007D01D6">
        <w:t xml:space="preserve">Expedientes: </w:t>
      </w:r>
    </w:p>
    <w:p w14:paraId="006F5203" w14:textId="77777777" w:rsidR="00931542" w:rsidRPr="007D01D6" w:rsidRDefault="00931542" w:rsidP="008960C8">
      <w:pPr>
        <w:pStyle w:val="Citas"/>
        <w:numPr>
          <w:ilvl w:val="0"/>
          <w:numId w:val="3"/>
        </w:numPr>
      </w:pPr>
      <w:r w:rsidRPr="007D01D6">
        <w:t xml:space="preserve">2440/07 Comisión Federal de Electricidad - Alonso Lujambio Irazábal </w:t>
      </w:r>
    </w:p>
    <w:p w14:paraId="49A9EA59" w14:textId="77777777" w:rsidR="00931542" w:rsidRPr="007D01D6" w:rsidRDefault="00931542" w:rsidP="008960C8">
      <w:pPr>
        <w:pStyle w:val="Citas"/>
        <w:numPr>
          <w:ilvl w:val="0"/>
          <w:numId w:val="3"/>
        </w:numPr>
      </w:pPr>
      <w:r w:rsidRPr="007D01D6">
        <w:t xml:space="preserve">0113/09 Instituto de Seguridad y Servicios Sociales de los Trabajadores del Estado – Alonso Lujambio Irazábal </w:t>
      </w:r>
    </w:p>
    <w:p w14:paraId="16902716" w14:textId="77777777" w:rsidR="00931542" w:rsidRPr="007D01D6" w:rsidRDefault="00931542" w:rsidP="008960C8">
      <w:pPr>
        <w:pStyle w:val="Citas"/>
        <w:numPr>
          <w:ilvl w:val="0"/>
          <w:numId w:val="3"/>
        </w:numPr>
      </w:pPr>
      <w:r w:rsidRPr="007D01D6">
        <w:t xml:space="preserve">1624/09 Instituto Nacional para la Educación de los Adultos - María </w:t>
      </w:r>
      <w:proofErr w:type="spellStart"/>
      <w:r w:rsidRPr="007D01D6">
        <w:t>Marván</w:t>
      </w:r>
      <w:proofErr w:type="spellEnd"/>
      <w:r w:rsidRPr="007D01D6">
        <w:t xml:space="preserve"> Laborde </w:t>
      </w:r>
    </w:p>
    <w:p w14:paraId="33383243" w14:textId="77777777" w:rsidR="00931542" w:rsidRPr="007D01D6" w:rsidRDefault="00931542" w:rsidP="008960C8">
      <w:pPr>
        <w:pStyle w:val="Citas"/>
        <w:numPr>
          <w:ilvl w:val="0"/>
          <w:numId w:val="3"/>
        </w:numPr>
      </w:pPr>
      <w:r w:rsidRPr="007D01D6">
        <w:t xml:space="preserve">2395/09 Secretaría de Economía - María </w:t>
      </w:r>
      <w:proofErr w:type="spellStart"/>
      <w:r w:rsidRPr="007D01D6">
        <w:t>Marván</w:t>
      </w:r>
      <w:proofErr w:type="spellEnd"/>
      <w:r w:rsidRPr="007D01D6">
        <w:t xml:space="preserve"> Laborde </w:t>
      </w:r>
    </w:p>
    <w:p w14:paraId="0DED01D2" w14:textId="77777777" w:rsidR="00931542" w:rsidRPr="007D01D6" w:rsidRDefault="00931542" w:rsidP="008960C8">
      <w:pPr>
        <w:pStyle w:val="Citas"/>
        <w:numPr>
          <w:ilvl w:val="0"/>
          <w:numId w:val="3"/>
        </w:numPr>
      </w:pPr>
      <w:r w:rsidRPr="007D01D6">
        <w:t xml:space="preserve">0837/10 Administración Portuaria Integral de Veracruz, S.A. de C.V. – María </w:t>
      </w:r>
      <w:proofErr w:type="spellStart"/>
      <w:r w:rsidRPr="007D01D6">
        <w:t>Marván</w:t>
      </w:r>
      <w:proofErr w:type="spellEnd"/>
      <w:r w:rsidRPr="007D01D6">
        <w:t xml:space="preserve"> Laborde” </w:t>
      </w:r>
      <w:r w:rsidRPr="007D01D6">
        <w:rPr>
          <w:b/>
        </w:rPr>
        <w:t>[Sic]</w:t>
      </w:r>
    </w:p>
    <w:p w14:paraId="586B81B8" w14:textId="77777777" w:rsidR="00931542" w:rsidRPr="007D01D6" w:rsidRDefault="00931542" w:rsidP="00931542">
      <w:pPr>
        <w:spacing w:after="0" w:line="360" w:lineRule="auto"/>
        <w:jc w:val="both"/>
        <w:rPr>
          <w:rFonts w:ascii="Palatino Linotype" w:hAnsi="Palatino Linotype" w:cs="Arial"/>
          <w:noProof/>
          <w:color w:val="000000"/>
          <w:sz w:val="24"/>
          <w:szCs w:val="24"/>
          <w:lang w:eastAsia="es-MX"/>
        </w:rPr>
      </w:pPr>
    </w:p>
    <w:p w14:paraId="2F5C6508" w14:textId="324D7DAB" w:rsidR="00931542" w:rsidRDefault="00931542" w:rsidP="00931542">
      <w:pPr>
        <w:spacing w:after="0" w:line="360" w:lineRule="auto"/>
        <w:jc w:val="both"/>
        <w:rPr>
          <w:rFonts w:ascii="Palatino Linotype" w:hAnsi="Palatino Linotype" w:cs="Arial"/>
          <w:noProof/>
          <w:color w:val="000000"/>
          <w:sz w:val="24"/>
          <w:szCs w:val="24"/>
          <w:lang w:eastAsia="es-MX"/>
        </w:rPr>
      </w:pPr>
      <w:r w:rsidRPr="007D01D6">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7D01D6">
        <w:rPr>
          <w:rFonts w:ascii="Palatino Linotype" w:hAnsi="Palatino Linotype" w:cs="Arial"/>
          <w:b/>
          <w:bCs/>
          <w:noProof/>
          <w:color w:val="000000"/>
          <w:sz w:val="24"/>
          <w:szCs w:val="24"/>
          <w:lang w:eastAsia="es-MX"/>
        </w:rPr>
        <w:t>Sujetos Obligados</w:t>
      </w:r>
      <w:r>
        <w:rPr>
          <w:rFonts w:ascii="Palatino Linotype" w:hAnsi="Palatino Linotype" w:cs="Arial"/>
          <w:b/>
          <w:bCs/>
          <w:noProof/>
          <w:color w:val="000000"/>
          <w:sz w:val="24"/>
          <w:szCs w:val="24"/>
          <w:lang w:eastAsia="es-MX"/>
        </w:rPr>
        <w:t xml:space="preserve">, </w:t>
      </w:r>
      <w:r>
        <w:rPr>
          <w:rFonts w:ascii="Palatino Linotype" w:hAnsi="Palatino Linotype" w:cs="Arial"/>
          <w:noProof/>
          <w:color w:val="000000"/>
          <w:sz w:val="24"/>
          <w:szCs w:val="24"/>
          <w:lang w:eastAsia="es-MX"/>
        </w:rPr>
        <w:t xml:space="preserve">particularmente respecto de diversos atributos de la </w:t>
      </w:r>
      <w:r w:rsidR="00F370E6">
        <w:rPr>
          <w:rFonts w:ascii="Palatino Linotype" w:hAnsi="Palatino Linotype" w:cs="Arial"/>
          <w:noProof/>
          <w:color w:val="000000"/>
          <w:sz w:val="24"/>
          <w:szCs w:val="24"/>
          <w:lang w:eastAsia="es-MX"/>
        </w:rPr>
        <w:t>información</w:t>
      </w:r>
      <w:r>
        <w:rPr>
          <w:rFonts w:ascii="Palatino Linotype" w:hAnsi="Palatino Linotype" w:cs="Arial"/>
          <w:noProof/>
          <w:color w:val="000000"/>
          <w:sz w:val="24"/>
          <w:szCs w:val="24"/>
          <w:lang w:eastAsia="es-MX"/>
        </w:rPr>
        <w:t xml:space="preserve"> tales como:</w:t>
      </w:r>
    </w:p>
    <w:p w14:paraId="069CC10C" w14:textId="77777777" w:rsidR="00931542" w:rsidRDefault="00931542" w:rsidP="008960C8">
      <w:pPr>
        <w:pStyle w:val="Prrafodelista"/>
        <w:numPr>
          <w:ilvl w:val="0"/>
          <w:numId w:val="7"/>
        </w:numPr>
        <w:spacing w:line="360" w:lineRule="auto"/>
        <w:jc w:val="both"/>
        <w:rPr>
          <w:rFonts w:ascii="Palatino Linotype" w:hAnsi="Palatino Linotype" w:cs="Arial"/>
          <w:noProof/>
          <w:color w:val="000000"/>
          <w:lang w:eastAsia="es-MX"/>
        </w:rPr>
      </w:pPr>
      <w:r>
        <w:rPr>
          <w:rFonts w:ascii="Palatino Linotype" w:hAnsi="Palatino Linotype" w:cs="Arial"/>
          <w:noProof/>
          <w:color w:val="000000"/>
          <w:lang w:eastAsia="es-MX"/>
        </w:rPr>
        <w:t>Contenido</w:t>
      </w:r>
    </w:p>
    <w:p w14:paraId="46A6945E" w14:textId="77777777" w:rsidR="00931542" w:rsidRDefault="00931542" w:rsidP="008960C8">
      <w:pPr>
        <w:pStyle w:val="Prrafodelista"/>
        <w:numPr>
          <w:ilvl w:val="0"/>
          <w:numId w:val="7"/>
        </w:numPr>
        <w:spacing w:line="360" w:lineRule="auto"/>
        <w:jc w:val="both"/>
        <w:rPr>
          <w:rFonts w:ascii="Palatino Linotype" w:hAnsi="Palatino Linotype" w:cs="Arial"/>
          <w:noProof/>
          <w:color w:val="000000"/>
          <w:lang w:eastAsia="es-MX"/>
        </w:rPr>
      </w:pPr>
      <w:r>
        <w:rPr>
          <w:rFonts w:ascii="Palatino Linotype" w:hAnsi="Palatino Linotype" w:cs="Arial"/>
          <w:noProof/>
          <w:color w:val="000000"/>
          <w:lang w:eastAsia="es-MX"/>
        </w:rPr>
        <w:t xml:space="preserve">Extensión </w:t>
      </w:r>
    </w:p>
    <w:p w14:paraId="7F96BE06" w14:textId="77777777" w:rsidR="00931542" w:rsidRPr="00034EE0" w:rsidRDefault="00931542" w:rsidP="008960C8">
      <w:pPr>
        <w:pStyle w:val="Prrafodelista"/>
        <w:numPr>
          <w:ilvl w:val="0"/>
          <w:numId w:val="7"/>
        </w:numPr>
        <w:spacing w:line="360" w:lineRule="auto"/>
        <w:jc w:val="both"/>
        <w:rPr>
          <w:rFonts w:ascii="Palatino Linotype" w:hAnsi="Palatino Linotype" w:cs="Arial"/>
          <w:noProof/>
          <w:color w:val="000000"/>
          <w:lang w:eastAsia="es-MX"/>
        </w:rPr>
      </w:pPr>
      <w:r>
        <w:rPr>
          <w:rFonts w:ascii="Palatino Linotype" w:hAnsi="Palatino Linotype" w:cs="Arial"/>
          <w:noProof/>
          <w:color w:val="000000"/>
          <w:lang w:eastAsia="es-MX"/>
        </w:rPr>
        <w:t>Formato</w:t>
      </w:r>
    </w:p>
    <w:p w14:paraId="25FD08A5" w14:textId="548DB281" w:rsidR="00074E2D" w:rsidRPr="00F370E6" w:rsidRDefault="00074E2D" w:rsidP="00931542">
      <w:pPr>
        <w:tabs>
          <w:tab w:val="left" w:pos="709"/>
        </w:tabs>
        <w:spacing w:before="240" w:line="360" w:lineRule="auto"/>
        <w:ind w:right="51"/>
        <w:jc w:val="both"/>
        <w:rPr>
          <w:rFonts w:ascii="Palatino Linotype" w:hAnsi="Palatino Linotype" w:cs="Arial"/>
          <w:sz w:val="24"/>
          <w:szCs w:val="24"/>
        </w:rPr>
      </w:pPr>
      <w:r w:rsidRPr="00F370E6">
        <w:rPr>
          <w:rFonts w:ascii="Palatino Linotype" w:hAnsi="Palatino Linotype" w:cs="Arial"/>
          <w:sz w:val="24"/>
          <w:szCs w:val="24"/>
        </w:rPr>
        <w:lastRenderedPageBreak/>
        <w:t xml:space="preserve">En función de lo planteado, </w:t>
      </w:r>
      <w:r w:rsidR="009F1712" w:rsidRPr="00F370E6">
        <w:rPr>
          <w:rFonts w:ascii="Palatino Linotype" w:hAnsi="Palatino Linotype" w:cs="Arial"/>
          <w:sz w:val="24"/>
          <w:szCs w:val="24"/>
        </w:rPr>
        <w:t xml:space="preserve">se arriba a la conclusión de </w:t>
      </w:r>
      <w:r w:rsidR="00BE7AB3" w:rsidRPr="00F370E6">
        <w:rPr>
          <w:rFonts w:ascii="Palatino Linotype" w:hAnsi="Palatino Linotype" w:cs="Arial"/>
          <w:sz w:val="24"/>
          <w:szCs w:val="24"/>
        </w:rPr>
        <w:t>que,</w:t>
      </w:r>
      <w:r w:rsidR="009F1712" w:rsidRPr="00F370E6">
        <w:rPr>
          <w:rFonts w:ascii="Palatino Linotype" w:hAnsi="Palatino Linotype" w:cs="Arial"/>
          <w:sz w:val="24"/>
          <w:szCs w:val="24"/>
        </w:rPr>
        <w:t xml:space="preserve"> mediante informe justificado, </w:t>
      </w:r>
      <w:r w:rsidR="009F1712" w:rsidRPr="00F370E6">
        <w:rPr>
          <w:rFonts w:ascii="Palatino Linotype" w:hAnsi="Palatino Linotype" w:cs="Arial"/>
          <w:b/>
          <w:bCs/>
          <w:sz w:val="24"/>
          <w:szCs w:val="24"/>
        </w:rPr>
        <w:t xml:space="preserve">El Sujeto Obligado </w:t>
      </w:r>
      <w:r w:rsidR="009F1712" w:rsidRPr="00F370E6">
        <w:rPr>
          <w:rFonts w:ascii="Palatino Linotype" w:hAnsi="Palatino Linotype" w:cs="Arial"/>
          <w:sz w:val="24"/>
          <w:szCs w:val="24"/>
        </w:rPr>
        <w:t>atendió el derecho de acceso a la información</w:t>
      </w:r>
      <w:r w:rsidR="00BE7AB3" w:rsidRPr="00F370E6">
        <w:rPr>
          <w:rFonts w:ascii="Palatino Linotype" w:hAnsi="Palatino Linotype" w:cs="Arial"/>
          <w:sz w:val="24"/>
          <w:szCs w:val="24"/>
        </w:rPr>
        <w:t xml:space="preserve"> pública</w:t>
      </w:r>
      <w:r w:rsidR="009F1712" w:rsidRPr="00F370E6">
        <w:rPr>
          <w:rFonts w:ascii="Palatino Linotype" w:hAnsi="Palatino Linotype" w:cs="Arial"/>
          <w:sz w:val="24"/>
          <w:szCs w:val="24"/>
        </w:rPr>
        <w:t xml:space="preserve">, al tomar en consideración que </w:t>
      </w:r>
      <w:r w:rsidR="00BE7AB3" w:rsidRPr="00F370E6">
        <w:rPr>
          <w:rFonts w:ascii="Palatino Linotype" w:hAnsi="Palatino Linotype" w:cs="Arial"/>
          <w:sz w:val="24"/>
          <w:szCs w:val="24"/>
        </w:rPr>
        <w:t xml:space="preserve">la liga electrónica </w:t>
      </w:r>
      <w:r w:rsidR="000613C9" w:rsidRPr="00F370E6">
        <w:rPr>
          <w:rFonts w:ascii="Palatino Linotype" w:hAnsi="Palatino Linotype" w:cs="Arial"/>
          <w:sz w:val="24"/>
          <w:szCs w:val="24"/>
        </w:rPr>
        <w:t>habilitada</w:t>
      </w:r>
      <w:r w:rsidR="00BE7AB3" w:rsidRPr="00F370E6">
        <w:rPr>
          <w:rFonts w:ascii="Palatino Linotype" w:hAnsi="Palatino Linotype" w:cs="Arial"/>
          <w:sz w:val="24"/>
          <w:szCs w:val="24"/>
        </w:rPr>
        <w:t xml:space="preserve"> permite </w:t>
      </w:r>
      <w:r w:rsidR="000613C9" w:rsidRPr="00F370E6">
        <w:rPr>
          <w:rFonts w:ascii="Palatino Linotype" w:hAnsi="Palatino Linotype" w:cs="Arial"/>
          <w:sz w:val="24"/>
          <w:szCs w:val="24"/>
        </w:rPr>
        <w:t xml:space="preserve">la consulta de la información que resulta de interés al particular. </w:t>
      </w:r>
    </w:p>
    <w:p w14:paraId="2308FDEE" w14:textId="7E634127" w:rsidR="00074E2D" w:rsidRPr="00F370E6" w:rsidRDefault="000613C9" w:rsidP="00931542">
      <w:pPr>
        <w:tabs>
          <w:tab w:val="left" w:pos="709"/>
        </w:tabs>
        <w:spacing w:before="240" w:line="360" w:lineRule="auto"/>
        <w:ind w:right="51"/>
        <w:jc w:val="both"/>
        <w:rPr>
          <w:rFonts w:ascii="Palatino Linotype" w:hAnsi="Palatino Linotype"/>
          <w:sz w:val="24"/>
          <w:szCs w:val="24"/>
        </w:rPr>
      </w:pPr>
      <w:r w:rsidRPr="00F370E6">
        <w:rPr>
          <w:rFonts w:ascii="Palatino Linotype" w:hAnsi="Palatino Linotype" w:cs="Arial"/>
          <w:sz w:val="24"/>
          <w:szCs w:val="24"/>
        </w:rPr>
        <w:t>Ahora bien</w:t>
      </w:r>
      <w:r w:rsidR="00BE7AB3" w:rsidRPr="00F370E6">
        <w:rPr>
          <w:rFonts w:ascii="Palatino Linotype" w:hAnsi="Palatino Linotype" w:cs="Arial"/>
          <w:sz w:val="24"/>
          <w:szCs w:val="24"/>
        </w:rPr>
        <w:t xml:space="preserve">, </w:t>
      </w:r>
      <w:r w:rsidRPr="00F370E6">
        <w:rPr>
          <w:rFonts w:ascii="Palatino Linotype" w:hAnsi="Palatino Linotype"/>
          <w:sz w:val="24"/>
          <w:szCs w:val="24"/>
        </w:rPr>
        <w:t xml:space="preserve">este órgano garante para efectos del caso en particular considera que la entrega de la información vía </w:t>
      </w:r>
      <w:r w:rsidR="00937E3B" w:rsidRPr="00F370E6">
        <w:rPr>
          <w:rFonts w:ascii="Palatino Linotype" w:hAnsi="Palatino Linotype"/>
          <w:sz w:val="24"/>
          <w:szCs w:val="24"/>
        </w:rPr>
        <w:t>liga electrónica</w:t>
      </w:r>
      <w:r w:rsidRPr="00F370E6">
        <w:rPr>
          <w:rFonts w:ascii="Palatino Linotype" w:hAnsi="Palatino Linotype"/>
          <w:sz w:val="24"/>
          <w:szCs w:val="24"/>
        </w:rPr>
        <w:t xml:space="preserve"> puede homologarse a la modalidad señalada mediante acuse de la solicitud de información </w:t>
      </w:r>
      <w:r w:rsidRPr="00F370E6">
        <w:rPr>
          <w:rFonts w:ascii="Palatino Linotype" w:hAnsi="Palatino Linotype"/>
          <w:b/>
          <w:bCs/>
          <w:sz w:val="24"/>
          <w:szCs w:val="24"/>
        </w:rPr>
        <w:t>00261/TRIJAEM/IP/2023</w:t>
      </w:r>
      <w:r w:rsidR="00937E3B" w:rsidRPr="00F370E6">
        <w:rPr>
          <w:rFonts w:ascii="Palatino Linotype" w:hAnsi="Palatino Linotype"/>
          <w:b/>
          <w:bCs/>
          <w:sz w:val="24"/>
          <w:szCs w:val="24"/>
        </w:rPr>
        <w:t xml:space="preserve">, </w:t>
      </w:r>
      <w:r w:rsidRPr="00F370E6">
        <w:rPr>
          <w:rFonts w:ascii="Palatino Linotype" w:hAnsi="Palatino Linotype"/>
          <w:sz w:val="24"/>
          <w:szCs w:val="24"/>
        </w:rPr>
        <w:t xml:space="preserve">toda vez que la liga electrónica remitida en informe justificado permite la </w:t>
      </w:r>
      <w:r w:rsidRPr="00F370E6">
        <w:rPr>
          <w:rFonts w:ascii="Palatino Linotype" w:hAnsi="Palatino Linotype"/>
          <w:b/>
          <w:bCs/>
          <w:sz w:val="24"/>
          <w:szCs w:val="24"/>
          <w:u w:val="single"/>
        </w:rPr>
        <w:t>reproducción en medios electrónicos, así como la descarga y almacenamiento en medios ópticos tales como CD-ROM, USB y SD, es decir, comparte la misma naturaleza a la modalidad señalada por el particular.</w:t>
      </w:r>
      <w:r w:rsidRPr="00F370E6">
        <w:rPr>
          <w:rFonts w:ascii="Palatino Linotype" w:hAnsi="Palatino Linotype"/>
          <w:sz w:val="24"/>
          <w:szCs w:val="24"/>
        </w:rPr>
        <w:t xml:space="preserve"> </w:t>
      </w:r>
    </w:p>
    <w:p w14:paraId="73A3A010" w14:textId="5C7508C1" w:rsidR="000613C9" w:rsidRPr="00DB4EA9" w:rsidRDefault="000613C9" w:rsidP="000613C9">
      <w:pPr>
        <w:pStyle w:val="Citas"/>
        <w:tabs>
          <w:tab w:val="left" w:pos="7470"/>
        </w:tabs>
        <w:ind w:left="0" w:right="72"/>
        <w:rPr>
          <w:bCs/>
          <w:i w:val="0"/>
          <w:sz w:val="24"/>
          <w:szCs w:val="24"/>
          <w:lang w:val="es-ES"/>
        </w:rPr>
      </w:pPr>
      <w:r w:rsidRPr="00F370E6">
        <w:rPr>
          <w:i w:val="0"/>
          <w:iCs/>
          <w:sz w:val="24"/>
          <w:szCs w:val="24"/>
        </w:rPr>
        <w:t xml:space="preserve">Adicionalmente, la entrega de información vía </w:t>
      </w:r>
      <w:r w:rsidR="00937E3B" w:rsidRPr="00F370E6">
        <w:rPr>
          <w:i w:val="0"/>
          <w:iCs/>
          <w:sz w:val="24"/>
          <w:szCs w:val="24"/>
        </w:rPr>
        <w:t xml:space="preserve">liga electrónica referida en </w:t>
      </w:r>
      <w:r w:rsidR="00937E3B" w:rsidRPr="00F370E6">
        <w:rPr>
          <w:b/>
          <w:bCs/>
          <w:i w:val="0"/>
          <w:iCs/>
          <w:sz w:val="24"/>
          <w:szCs w:val="24"/>
        </w:rPr>
        <w:t>SAIMEX</w:t>
      </w:r>
      <w:r w:rsidRPr="00F370E6">
        <w:rPr>
          <w:b/>
          <w:bCs/>
          <w:i w:val="0"/>
          <w:iCs/>
          <w:sz w:val="24"/>
          <w:szCs w:val="24"/>
        </w:rPr>
        <w:t xml:space="preserve"> </w:t>
      </w:r>
      <w:r w:rsidRPr="00F370E6">
        <w:rPr>
          <w:i w:val="0"/>
          <w:iCs/>
          <w:sz w:val="24"/>
          <w:szCs w:val="24"/>
        </w:rPr>
        <w:t>otorg</w:t>
      </w:r>
      <w:r w:rsidR="00937E3B" w:rsidRPr="00F370E6">
        <w:rPr>
          <w:i w:val="0"/>
          <w:iCs/>
          <w:sz w:val="24"/>
          <w:szCs w:val="24"/>
        </w:rPr>
        <w:t>ó</w:t>
      </w:r>
      <w:r w:rsidRPr="00F370E6">
        <w:rPr>
          <w:i w:val="0"/>
          <w:iCs/>
          <w:sz w:val="24"/>
          <w:szCs w:val="24"/>
        </w:rPr>
        <w:t xml:space="preserve"> el beneficio de disponer inmediata y gratuitamente de la información solicitada; consecuentemente, se determina que en aras de privilegiar el derecho del particular y atendiendo a los principios de máxima publicidad y pro persona, es que se considera viable </w:t>
      </w:r>
      <w:r w:rsidR="00937E3B" w:rsidRPr="00F370E6">
        <w:rPr>
          <w:i w:val="0"/>
          <w:iCs/>
          <w:sz w:val="24"/>
          <w:szCs w:val="24"/>
        </w:rPr>
        <w:t>la entrega de la información mediante la modalidad adoptada.</w:t>
      </w:r>
      <w:r w:rsidR="00937E3B">
        <w:rPr>
          <w:i w:val="0"/>
          <w:iCs/>
          <w:sz w:val="24"/>
          <w:szCs w:val="24"/>
        </w:rPr>
        <w:t xml:space="preserve">  </w:t>
      </w:r>
      <w:r>
        <w:rPr>
          <w:i w:val="0"/>
          <w:iCs/>
          <w:sz w:val="24"/>
          <w:szCs w:val="24"/>
        </w:rPr>
        <w:t xml:space="preserve"> </w:t>
      </w:r>
    </w:p>
    <w:p w14:paraId="43C94E77" w14:textId="2A97B7CB" w:rsidR="00931542" w:rsidRDefault="000613C9" w:rsidP="00931542">
      <w:pPr>
        <w:tabs>
          <w:tab w:val="left" w:pos="709"/>
        </w:tabs>
        <w:spacing w:before="240" w:line="360" w:lineRule="auto"/>
        <w:ind w:right="51"/>
        <w:jc w:val="both"/>
        <w:rPr>
          <w:rFonts w:ascii="Palatino Linotype" w:hAnsi="Palatino Linotype" w:cs="Arial"/>
          <w:sz w:val="24"/>
          <w:szCs w:val="24"/>
        </w:rPr>
      </w:pPr>
      <w:r w:rsidRPr="000613C9">
        <w:rPr>
          <w:rFonts w:ascii="Palatino Linotype" w:hAnsi="Palatino Linotype" w:cs="Arial"/>
          <w:sz w:val="24"/>
          <w:szCs w:val="24"/>
          <w:lang w:val="es-ES"/>
        </w:rPr>
        <w:t>P</w:t>
      </w:r>
      <w:proofErr w:type="spellStart"/>
      <w:r w:rsidR="00931542" w:rsidRPr="000613C9">
        <w:rPr>
          <w:rFonts w:ascii="Palatino Linotype" w:hAnsi="Palatino Linotype" w:cs="Arial"/>
          <w:sz w:val="24"/>
          <w:szCs w:val="24"/>
        </w:rPr>
        <w:t>or</w:t>
      </w:r>
      <w:proofErr w:type="spellEnd"/>
      <w:r w:rsidR="00931542" w:rsidRPr="000613C9">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00931542" w:rsidRPr="000613C9">
        <w:rPr>
          <w:rFonts w:ascii="Palatino Linotype" w:hAnsi="Palatino Linotype" w:cs="Arial"/>
          <w:b/>
          <w:sz w:val="24"/>
          <w:szCs w:val="24"/>
        </w:rPr>
        <w:t xml:space="preserve"> Recurrente </w:t>
      </w:r>
      <w:r w:rsidR="00931542" w:rsidRPr="000613C9">
        <w:rPr>
          <w:rFonts w:ascii="Palatino Linotype" w:hAnsi="Palatino Linotype" w:cs="Arial"/>
          <w:sz w:val="24"/>
          <w:szCs w:val="24"/>
        </w:rPr>
        <w:t xml:space="preserve">o que el </w:t>
      </w:r>
      <w:r w:rsidR="00931542" w:rsidRPr="000613C9">
        <w:rPr>
          <w:rFonts w:ascii="Palatino Linotype" w:hAnsi="Palatino Linotype" w:cs="Arial"/>
          <w:b/>
          <w:sz w:val="24"/>
          <w:szCs w:val="24"/>
        </w:rPr>
        <w:t>Sujeto Obligado</w:t>
      </w:r>
      <w:r w:rsidR="00931542">
        <w:rPr>
          <w:rFonts w:ascii="Palatino Linotype" w:hAnsi="Palatino Linotype" w:cs="Arial"/>
          <w:b/>
          <w:sz w:val="24"/>
          <w:szCs w:val="24"/>
        </w:rPr>
        <w:t xml:space="preserve"> </w:t>
      </w:r>
      <w:r w:rsidR="00931542">
        <w:rPr>
          <w:rFonts w:ascii="Palatino Linotype" w:hAnsi="Palatino Linotype" w:cs="Arial"/>
          <w:b/>
          <w:sz w:val="24"/>
          <w:szCs w:val="24"/>
          <w:u w:val="single"/>
        </w:rPr>
        <w:t xml:space="preserve">modifique el acto; </w:t>
      </w:r>
      <w:r w:rsidR="00931542">
        <w:rPr>
          <w:rFonts w:ascii="Palatino Linotype" w:hAnsi="Palatino Linotype" w:cs="Arial"/>
          <w:sz w:val="24"/>
          <w:szCs w:val="24"/>
        </w:rPr>
        <w:t xml:space="preserve">de ahí que la actualización de alguno de éstos </w:t>
      </w:r>
      <w:r w:rsidR="00931542">
        <w:rPr>
          <w:rFonts w:ascii="Palatino Linotype" w:hAnsi="Palatino Linotype" w:cs="Arial"/>
          <w:sz w:val="24"/>
          <w:szCs w:val="24"/>
        </w:rPr>
        <w:lastRenderedPageBreak/>
        <w:t xml:space="preserve">trae como consecuencia que el medio de impugnación se concluya sin que se analice el objeto de estudio planteado, es decir se sobresea. </w:t>
      </w:r>
    </w:p>
    <w:p w14:paraId="1CD3FE8E" w14:textId="77777777" w:rsidR="00931542" w:rsidRDefault="00931542" w:rsidP="00931542">
      <w:pPr>
        <w:spacing w:line="360" w:lineRule="auto"/>
        <w:jc w:val="both"/>
        <w:rPr>
          <w:rFonts w:ascii="Palatino Linotype" w:hAnsi="Palatino Linotype" w:cs="Arial"/>
          <w:sz w:val="24"/>
          <w:szCs w:val="24"/>
        </w:rPr>
      </w:pPr>
      <w:r>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BD94077" w14:textId="77777777" w:rsidR="00931542" w:rsidRDefault="00931542" w:rsidP="00931542">
      <w:pPr>
        <w:spacing w:line="360" w:lineRule="auto"/>
        <w:ind w:left="851" w:right="851"/>
        <w:jc w:val="both"/>
        <w:rPr>
          <w:rFonts w:ascii="Palatino Linotype" w:hAnsi="Palatino Linotype" w:cs="Arial"/>
          <w:b/>
          <w:i/>
        </w:rPr>
      </w:pPr>
      <w:r>
        <w:rPr>
          <w:rFonts w:ascii="Palatino Linotype" w:hAnsi="Palatino Linotype" w:cs="Arial"/>
          <w:b/>
          <w:i/>
        </w:rPr>
        <w:t>“SOBRESEIMIENTO EN EL JUICIO DE AMPARO DIRECTO. IMPIDE EL ESTUDIO DE LAS VIOLACIONES PROCESALES PLANTEADAS EN LOS CONCEPTOS DE VIOLACIÓN.</w:t>
      </w:r>
    </w:p>
    <w:p w14:paraId="288AD585" w14:textId="77777777" w:rsidR="00931542" w:rsidRDefault="00931542" w:rsidP="00931542">
      <w:pPr>
        <w:spacing w:line="360" w:lineRule="auto"/>
        <w:ind w:left="851" w:right="851"/>
        <w:jc w:val="both"/>
        <w:rPr>
          <w:rFonts w:ascii="Palatino Linotype" w:hAnsi="Palatino Linotype"/>
          <w:i/>
          <w:color w:val="000000"/>
        </w:rPr>
      </w:pPr>
      <w:r>
        <w:rPr>
          <w:rFonts w:ascii="Palatino Linotype" w:hAnsi="Palatino Linotype" w:cs="Arial"/>
          <w:b/>
          <w:i/>
          <w:u w:val="single"/>
        </w:rPr>
        <w:t>El sobreseimiento</w:t>
      </w:r>
      <w:r>
        <w:rPr>
          <w:rFonts w:ascii="Palatino Linotype" w:hAnsi="Palatino Linotype" w:cs="Arial"/>
          <w:b/>
          <w:i/>
        </w:rPr>
        <w:t xml:space="preserve"> </w:t>
      </w:r>
      <w:r>
        <w:rPr>
          <w:rFonts w:ascii="Palatino Linotype" w:hAnsi="Palatino Linotype" w:cs="Arial"/>
          <w:i/>
        </w:rPr>
        <w:t xml:space="preserve">en el juicio de amparo directo </w:t>
      </w:r>
      <w:r>
        <w:rPr>
          <w:rFonts w:ascii="Palatino Linotype" w:hAnsi="Palatino Linotype" w:cs="Arial"/>
          <w:b/>
          <w:i/>
          <w:u w:val="single"/>
        </w:rPr>
        <w:t>provoca la terminación de la controversia planteada</w:t>
      </w:r>
      <w:r>
        <w:rPr>
          <w:rFonts w:ascii="Palatino Linotype" w:hAnsi="Palatino Linotype" w:cs="Arial"/>
          <w:b/>
          <w:i/>
        </w:rPr>
        <w:t xml:space="preserve"> </w:t>
      </w:r>
      <w:r>
        <w:rPr>
          <w:rFonts w:ascii="Palatino Linotype" w:hAnsi="Palatino Linotype" w:cs="Arial"/>
          <w:i/>
        </w:rPr>
        <w:t>por el quejoso en la demanda de amparo</w:t>
      </w:r>
      <w:r>
        <w:rPr>
          <w:rFonts w:ascii="Calibri" w:hAnsi="Calibri"/>
          <w:color w:val="000000"/>
          <w:sz w:val="26"/>
          <w:szCs w:val="26"/>
        </w:rPr>
        <w:t xml:space="preserve"> </w:t>
      </w:r>
      <w:r>
        <w:rPr>
          <w:rFonts w:ascii="Palatino Linotype" w:hAnsi="Palatino Linotype"/>
          <w:i/>
          <w:color w:val="000000"/>
        </w:rPr>
        <w:t xml:space="preserve">provoca la terminación de la controversia planteada por el quejoso en la demanda de </w:t>
      </w:r>
      <w:r>
        <w:rPr>
          <w:rFonts w:ascii="Palatino Linotype" w:hAnsi="Palatino Linotype"/>
          <w:b/>
          <w:i/>
          <w:color w:val="000000"/>
        </w:rPr>
        <w:t>amparo</w:t>
      </w:r>
      <w:r>
        <w:rPr>
          <w:rFonts w:ascii="Palatino Linotype" w:hAnsi="Palatino Linotype"/>
          <w:i/>
          <w:color w:val="000000"/>
        </w:rPr>
        <w:t>, sin hacer un pronunciamiento de fondo sobre la legalidad o ilegalidad de la sentencia reclamada. Por consiguiente, si al sobreseerse en el</w:t>
      </w:r>
      <w:r>
        <w:rPr>
          <w:rFonts w:ascii="Palatino Linotype" w:hAnsi="Palatino Linotype"/>
          <w:b/>
          <w:i/>
          <w:color w:val="000000"/>
        </w:rPr>
        <w:t xml:space="preserve"> juicio </w:t>
      </w:r>
      <w:r>
        <w:rPr>
          <w:rFonts w:ascii="Palatino Linotype" w:hAnsi="Palatino Linotype"/>
          <w:i/>
          <w:color w:val="000000"/>
        </w:rPr>
        <w:t xml:space="preserve">de </w:t>
      </w:r>
      <w:r>
        <w:rPr>
          <w:rFonts w:ascii="Palatino Linotype" w:hAnsi="Palatino Linotype"/>
          <w:b/>
          <w:i/>
          <w:color w:val="000000"/>
        </w:rPr>
        <w:t>amparo</w:t>
      </w:r>
      <w:r>
        <w:rPr>
          <w:rFonts w:ascii="Palatino Linotype" w:hAnsi="Palatino Linotype"/>
          <w:i/>
          <w:color w:val="000000"/>
        </w:rPr>
        <w:t xml:space="preserve"> no se pueden estudiar los planteamientos que se hacen valer en contra del fallo reclamado, tampoco se deben analizar las</w:t>
      </w:r>
      <w:r>
        <w:rPr>
          <w:rFonts w:ascii="Palatino Linotype" w:hAnsi="Palatino Linotype"/>
          <w:b/>
          <w:i/>
          <w:color w:val="000000"/>
        </w:rPr>
        <w:t xml:space="preserve"> violaciones procesales</w:t>
      </w:r>
      <w:r>
        <w:rPr>
          <w:rFonts w:ascii="Palatino Linotype" w:hAnsi="Palatino Linotype"/>
          <w:i/>
          <w:color w:val="000000"/>
        </w:rPr>
        <w:t xml:space="preserve"> propuestas en los </w:t>
      </w:r>
      <w:r>
        <w:rPr>
          <w:rFonts w:ascii="Palatino Linotype" w:hAnsi="Palatino Linotype"/>
          <w:b/>
          <w:i/>
          <w:color w:val="000000"/>
        </w:rPr>
        <w:t xml:space="preserve">conceptos </w:t>
      </w:r>
      <w:r>
        <w:rPr>
          <w:rFonts w:ascii="Palatino Linotype" w:hAnsi="Palatino Linotype"/>
          <w:i/>
          <w:color w:val="000000"/>
        </w:rPr>
        <w:t xml:space="preserve">de </w:t>
      </w:r>
      <w:r>
        <w:rPr>
          <w:rFonts w:ascii="Palatino Linotype" w:hAnsi="Palatino Linotype"/>
          <w:b/>
          <w:i/>
          <w:color w:val="000000"/>
        </w:rPr>
        <w:t>violación</w:t>
      </w:r>
      <w:r>
        <w:rPr>
          <w:rFonts w:ascii="Palatino Linotype" w:hAnsi="Palatino Linotype"/>
          <w:i/>
          <w:color w:val="000000"/>
        </w:rPr>
        <w:t xml:space="preserve">, dado que, la principal consecuencia del </w:t>
      </w:r>
      <w:r>
        <w:rPr>
          <w:rFonts w:ascii="Palatino Linotype" w:hAnsi="Palatino Linotype"/>
          <w:b/>
          <w:i/>
          <w:color w:val="000000"/>
        </w:rPr>
        <w:t>sobreseimiento</w:t>
      </w:r>
      <w:r>
        <w:rPr>
          <w:rFonts w:ascii="Palatino Linotype" w:hAnsi="Palatino Linotype"/>
          <w:i/>
          <w:color w:val="000000"/>
        </w:rPr>
        <w:t xml:space="preserve"> es poner fin al </w:t>
      </w:r>
      <w:r>
        <w:rPr>
          <w:rFonts w:ascii="Palatino Linotype" w:hAnsi="Palatino Linotype"/>
          <w:b/>
          <w:i/>
          <w:color w:val="000000"/>
        </w:rPr>
        <w:t xml:space="preserve">juicio </w:t>
      </w:r>
      <w:r>
        <w:rPr>
          <w:rFonts w:ascii="Palatino Linotype" w:hAnsi="Palatino Linotype"/>
          <w:i/>
          <w:color w:val="000000"/>
        </w:rPr>
        <w:t xml:space="preserve">de </w:t>
      </w:r>
      <w:r>
        <w:rPr>
          <w:rFonts w:ascii="Palatino Linotype" w:hAnsi="Palatino Linotype"/>
          <w:b/>
          <w:i/>
          <w:color w:val="000000"/>
        </w:rPr>
        <w:t xml:space="preserve">amparo </w:t>
      </w:r>
      <w:r>
        <w:rPr>
          <w:rFonts w:ascii="Palatino Linotype" w:hAnsi="Palatino Linotype"/>
          <w:i/>
          <w:color w:val="000000"/>
        </w:rPr>
        <w:t>sin resolver la controversia en sus méritos.  </w:t>
      </w:r>
    </w:p>
    <w:p w14:paraId="712E234F" w14:textId="77777777" w:rsidR="00931542" w:rsidRDefault="00931542" w:rsidP="00931542">
      <w:pPr>
        <w:spacing w:line="360" w:lineRule="auto"/>
        <w:ind w:left="851" w:right="851"/>
        <w:jc w:val="both"/>
        <w:rPr>
          <w:rFonts w:ascii="Palatino Linotype" w:hAnsi="Palatino Linotype" w:cs="Arial"/>
          <w:b/>
          <w:i/>
        </w:rPr>
      </w:pPr>
      <w:r>
        <w:rPr>
          <w:rFonts w:ascii="Palatino Linotype" w:hAnsi="Palatino Linotype" w:cs="Arial"/>
          <w:b/>
          <w:i/>
        </w:rPr>
        <w:t>SÉPTIMO TRIBUNAL COLEGIADO EN MATERIA CIVIL DEL PRIMER CIRCUITO.</w:t>
      </w:r>
    </w:p>
    <w:p w14:paraId="120D7F4B" w14:textId="77777777" w:rsidR="00931542" w:rsidRDefault="00931542" w:rsidP="00931542">
      <w:pPr>
        <w:spacing w:line="360" w:lineRule="auto"/>
        <w:ind w:left="851" w:right="851"/>
        <w:jc w:val="both"/>
        <w:rPr>
          <w:rFonts w:ascii="Palatino Linotype" w:hAnsi="Palatino Linotype" w:cs="Arial"/>
          <w:i/>
        </w:rPr>
      </w:pPr>
      <w:r>
        <w:rPr>
          <w:rFonts w:ascii="Palatino Linotype" w:hAnsi="Palatino Linotype" w:cs="Arial"/>
          <w:i/>
        </w:rPr>
        <w:lastRenderedPageBreak/>
        <w:t xml:space="preserve">Amparo directo 699/2008. Mariana Leticia González </w:t>
      </w:r>
      <w:proofErr w:type="spellStart"/>
      <w:r>
        <w:rPr>
          <w:rFonts w:ascii="Palatino Linotype" w:hAnsi="Palatino Linotype" w:cs="Arial"/>
          <w:i/>
        </w:rPr>
        <w:t>Steele</w:t>
      </w:r>
      <w:proofErr w:type="spellEnd"/>
      <w:r>
        <w:rPr>
          <w:rFonts w:ascii="Palatino Linotype" w:hAnsi="Palatino Linotype" w:cs="Arial"/>
          <w:i/>
        </w:rPr>
        <w:t>. 13 de noviembre de 2008. Unanimidad de votos. Ponente: Sara Judith Montalvo Trejo. Secretario: Arnulfo Mateos García.”</w:t>
      </w:r>
      <w:r>
        <w:rPr>
          <w:rFonts w:ascii="Palatino Linotype" w:eastAsia="Times New Roman" w:hAnsi="Palatino Linotype" w:cs="Times New Roman"/>
          <w:b/>
          <w:i/>
          <w:lang w:val="es-ES_tradnl" w:eastAsia="es-ES"/>
        </w:rPr>
        <w:t xml:space="preserve"> [Sic]</w:t>
      </w:r>
    </w:p>
    <w:p w14:paraId="2AD921CF" w14:textId="77777777" w:rsidR="00931542" w:rsidRDefault="00931542" w:rsidP="00931542">
      <w:pPr>
        <w:ind w:right="141"/>
        <w:jc w:val="both"/>
        <w:rPr>
          <w:rFonts w:ascii="Palatino Linotype" w:hAnsi="Palatino Linotype" w:cs="Arial"/>
        </w:rPr>
      </w:pPr>
    </w:p>
    <w:p w14:paraId="66F2D990" w14:textId="77777777" w:rsidR="00931542" w:rsidRDefault="00931542" w:rsidP="00931542">
      <w:pPr>
        <w:spacing w:line="360" w:lineRule="auto"/>
        <w:jc w:val="both"/>
        <w:rPr>
          <w:rFonts w:ascii="Palatino Linotype" w:hAnsi="Palatino Linotype" w:cs="Arial"/>
          <w:sz w:val="24"/>
          <w:szCs w:val="24"/>
        </w:rPr>
      </w:pPr>
      <w:r>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Pr>
          <w:rFonts w:ascii="Palatino Linotype" w:hAnsi="Palatino Linotype" w:cs="Arial"/>
          <w:b/>
          <w:sz w:val="24"/>
          <w:szCs w:val="24"/>
        </w:rPr>
        <w:t xml:space="preserve">artículo 192 </w:t>
      </w:r>
      <w:r>
        <w:rPr>
          <w:rFonts w:ascii="Palatino Linotype" w:hAnsi="Palatino Linotype" w:cs="Arial"/>
          <w:sz w:val="24"/>
          <w:szCs w:val="24"/>
        </w:rPr>
        <w:t xml:space="preserve">de la </w:t>
      </w:r>
      <w:r>
        <w:rPr>
          <w:rFonts w:ascii="Palatino Linotype" w:hAnsi="Palatino Linotype" w:cs="Arial"/>
          <w:b/>
          <w:sz w:val="24"/>
          <w:szCs w:val="24"/>
        </w:rPr>
        <w:t xml:space="preserve">Ley de Transparencia y Acceso a la Información Pública del Estado de México y Municipios, </w:t>
      </w:r>
      <w:r>
        <w:rPr>
          <w:rFonts w:ascii="Palatino Linotype" w:hAnsi="Palatino Linotype" w:cs="Arial"/>
          <w:sz w:val="24"/>
          <w:szCs w:val="24"/>
        </w:rPr>
        <w:t xml:space="preserve">nos encontramos ante un sobreseimiento definitivo toda vez que pone fin al procedimiento sin entrar al estudio de fondo del mismo. </w:t>
      </w:r>
    </w:p>
    <w:p w14:paraId="0D916193" w14:textId="77777777" w:rsidR="00931542" w:rsidRDefault="00931542" w:rsidP="00931542">
      <w:pPr>
        <w:spacing w:line="360" w:lineRule="auto"/>
        <w:jc w:val="both"/>
        <w:rPr>
          <w:rFonts w:ascii="Palatino Linotype" w:hAnsi="Palatino Linotype" w:cs="Arial"/>
          <w:b/>
          <w:sz w:val="24"/>
          <w:szCs w:val="24"/>
        </w:rPr>
      </w:pPr>
      <w:r>
        <w:rPr>
          <w:rFonts w:ascii="Palatino Linotype" w:hAnsi="Palatino Linotype" w:cs="Arial"/>
          <w:sz w:val="24"/>
          <w:szCs w:val="24"/>
        </w:rPr>
        <w:t xml:space="preserve">Para los efectos de esta resolución, resulta oportuno precisar los alcances jurídicos de la </w:t>
      </w:r>
      <w:r>
        <w:rPr>
          <w:rFonts w:ascii="Palatino Linotype" w:hAnsi="Palatino Linotype" w:cs="Arial"/>
          <w:b/>
          <w:sz w:val="24"/>
          <w:szCs w:val="24"/>
        </w:rPr>
        <w:t xml:space="preserve">fracción III </w:t>
      </w:r>
      <w:r>
        <w:rPr>
          <w:rFonts w:ascii="Palatino Linotype" w:hAnsi="Palatino Linotype" w:cs="Arial"/>
          <w:sz w:val="24"/>
          <w:szCs w:val="24"/>
        </w:rPr>
        <w:t xml:space="preserve">de la disposición legal transcrita. Así, procede el sobreseimiento del recurso de revisión cuando el </w:t>
      </w:r>
      <w:r>
        <w:rPr>
          <w:rFonts w:ascii="Palatino Linotype" w:hAnsi="Palatino Linotype" w:cs="Arial"/>
          <w:b/>
          <w:sz w:val="24"/>
          <w:szCs w:val="24"/>
        </w:rPr>
        <w:t xml:space="preserve">Sujeto Obligado: </w:t>
      </w:r>
    </w:p>
    <w:p w14:paraId="1D590C56" w14:textId="77777777" w:rsidR="00931542" w:rsidRDefault="00931542" w:rsidP="008960C8">
      <w:pPr>
        <w:pStyle w:val="Prrafodelista"/>
        <w:numPr>
          <w:ilvl w:val="0"/>
          <w:numId w:val="8"/>
        </w:numPr>
        <w:spacing w:line="360" w:lineRule="auto"/>
        <w:ind w:right="851"/>
        <w:jc w:val="both"/>
        <w:rPr>
          <w:rFonts w:ascii="Palatino Linotype" w:hAnsi="Palatino Linotype" w:cs="Arial"/>
          <w:b/>
        </w:rPr>
      </w:pPr>
      <w:r>
        <w:rPr>
          <w:rFonts w:ascii="Palatino Linotype" w:hAnsi="Palatino Linotype" w:cs="Arial"/>
          <w:b/>
        </w:rPr>
        <w:t xml:space="preserve">Modifique el acto impugnado: </w:t>
      </w:r>
      <w:r>
        <w:rPr>
          <w:rFonts w:ascii="Palatino Linotype" w:hAnsi="Palatino Linotype" w:cs="Arial"/>
        </w:rPr>
        <w:t xml:space="preserve">Se actualiza cuando el </w:t>
      </w:r>
      <w:r>
        <w:rPr>
          <w:rFonts w:ascii="Palatino Linotype" w:hAnsi="Palatino Linotype" w:cs="Arial"/>
          <w:b/>
        </w:rPr>
        <w:t xml:space="preserve">Sujeto Obligado </w:t>
      </w:r>
      <w:r>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7C3B011A" w14:textId="77777777" w:rsidR="00931542" w:rsidRDefault="00931542" w:rsidP="00931542">
      <w:pPr>
        <w:pStyle w:val="Prrafodelista"/>
        <w:spacing w:line="360" w:lineRule="auto"/>
        <w:ind w:left="720" w:right="851"/>
        <w:jc w:val="both"/>
        <w:rPr>
          <w:rFonts w:ascii="Palatino Linotype" w:hAnsi="Palatino Linotype" w:cs="Arial"/>
          <w:b/>
        </w:rPr>
      </w:pPr>
    </w:p>
    <w:p w14:paraId="7EA635AE" w14:textId="77777777" w:rsidR="00931542" w:rsidRDefault="00931542" w:rsidP="00931542">
      <w:pPr>
        <w:spacing w:line="360" w:lineRule="auto"/>
        <w:jc w:val="both"/>
        <w:rPr>
          <w:rFonts w:ascii="Palatino Linotype" w:hAnsi="Palatino Linotype" w:cs="Arial"/>
          <w:sz w:val="24"/>
          <w:szCs w:val="24"/>
          <w:u w:val="single"/>
        </w:rPr>
      </w:pPr>
      <w:r>
        <w:rPr>
          <w:rFonts w:ascii="Palatino Linotype" w:hAnsi="Palatino Linotype" w:cs="Arial"/>
          <w:sz w:val="24"/>
          <w:szCs w:val="24"/>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Pr>
          <w:rFonts w:ascii="Palatino Linotype" w:hAnsi="Palatino Linotype" w:cs="Arial"/>
          <w:b/>
          <w:sz w:val="24"/>
          <w:szCs w:val="24"/>
          <w:u w:val="single"/>
        </w:rPr>
        <w:lastRenderedPageBreak/>
        <w:t xml:space="preserve">cuando ha sido satisfecha la pretensión del particular, </w:t>
      </w:r>
      <w:r>
        <w:rPr>
          <w:rFonts w:ascii="Palatino Linotype" w:hAnsi="Palatino Linotype" w:cs="Arial"/>
          <w:sz w:val="24"/>
          <w:szCs w:val="24"/>
        </w:rPr>
        <w:t>ya sea porque se hizo la entrega de la información solicitada o porque se completó la misma.</w:t>
      </w:r>
      <w:r>
        <w:rPr>
          <w:rFonts w:ascii="Palatino Linotype" w:hAnsi="Palatino Linotype" w:cs="Arial"/>
          <w:sz w:val="24"/>
          <w:szCs w:val="24"/>
          <w:u w:val="single"/>
        </w:rPr>
        <w:t xml:space="preserve"> </w:t>
      </w:r>
    </w:p>
    <w:p w14:paraId="49666280" w14:textId="77777777" w:rsidR="00931542" w:rsidRDefault="00931542" w:rsidP="00931542">
      <w:pPr>
        <w:spacing w:line="360" w:lineRule="auto"/>
        <w:jc w:val="both"/>
        <w:rPr>
          <w:rFonts w:ascii="Palatino Linotype" w:hAnsi="Palatino Linotype" w:cs="Arial"/>
          <w:sz w:val="24"/>
          <w:szCs w:val="24"/>
        </w:rPr>
      </w:pPr>
      <w:r>
        <w:rPr>
          <w:rFonts w:ascii="Palatino Linotype" w:hAnsi="Palatino Linotype" w:cs="Arial"/>
          <w:sz w:val="24"/>
          <w:szCs w:val="24"/>
        </w:rPr>
        <w:t xml:space="preserve">En este tenor, se advierte que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 xml:space="preserve">Sujeto Obligado </w:t>
      </w:r>
      <w:r>
        <w:rPr>
          <w:rFonts w:ascii="Palatino Linotype" w:hAnsi="Palatino Linotype" w:cs="Arial"/>
          <w:sz w:val="24"/>
          <w:szCs w:val="24"/>
        </w:rPr>
        <w:t xml:space="preserve">con la información enviada a este Órgano Garante, </w:t>
      </w:r>
      <w:r>
        <w:rPr>
          <w:rFonts w:ascii="Palatino Linotype" w:hAnsi="Palatino Linotype" w:cs="Arial"/>
          <w:b/>
          <w:sz w:val="24"/>
          <w:szCs w:val="24"/>
        </w:rPr>
        <w:t xml:space="preserve">modifica </w:t>
      </w:r>
      <w:r>
        <w:rPr>
          <w:rFonts w:ascii="Palatino Linotype" w:hAnsi="Palatino Linotype" w:cs="Arial"/>
          <w:sz w:val="24"/>
          <w:szCs w:val="24"/>
        </w:rPr>
        <w:t xml:space="preserve">el acto que le dio origen al recurso de revisión, </w:t>
      </w:r>
      <w:r>
        <w:rPr>
          <w:rFonts w:ascii="Palatino Linotype" w:hAnsi="Palatino Linotype" w:cs="Arial"/>
          <w:b/>
          <w:sz w:val="24"/>
          <w:szCs w:val="24"/>
        </w:rPr>
        <w:t xml:space="preserve">por lo que trae como consecuencia que el mismo quede sin materia, </w:t>
      </w:r>
      <w:r>
        <w:rPr>
          <w:rFonts w:ascii="Palatino Linotype" w:hAnsi="Palatino Linotype" w:cs="Arial"/>
          <w:sz w:val="24"/>
          <w:szCs w:val="24"/>
        </w:rPr>
        <w:t xml:space="preserve">actualizándose de este modo, la hipótesis jurídica contenida en la fracción III del artículo 192. </w:t>
      </w:r>
    </w:p>
    <w:p w14:paraId="77DD9FF0" w14:textId="77777777" w:rsidR="00931542" w:rsidRDefault="00931542" w:rsidP="00931542">
      <w:pPr>
        <w:spacing w:line="360" w:lineRule="auto"/>
        <w:jc w:val="both"/>
        <w:rPr>
          <w:rFonts w:ascii="Palatino Linotype" w:hAnsi="Palatino Linotype" w:cs="Arial"/>
          <w:sz w:val="24"/>
          <w:szCs w:val="24"/>
        </w:rPr>
      </w:pPr>
      <w:r>
        <w:rPr>
          <w:rFonts w:ascii="Palatino Linotype" w:hAnsi="Palatino Linotype" w:cs="Arial"/>
          <w:sz w:val="24"/>
          <w:szCs w:val="24"/>
        </w:rPr>
        <w:t xml:space="preserve">De este modo, cuando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Sujeto Obligado</w:t>
      </w:r>
      <w:r>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proofErr w:type="spellStart"/>
      <w:r>
        <w:rPr>
          <w:rFonts w:ascii="Palatino Linotype" w:hAnsi="Palatino Linotype" w:cs="Arial"/>
          <w:b/>
          <w:i/>
          <w:sz w:val="24"/>
          <w:szCs w:val="24"/>
        </w:rPr>
        <w:t>litis</w:t>
      </w:r>
      <w:proofErr w:type="spellEnd"/>
      <w:r>
        <w:rPr>
          <w:rFonts w:ascii="Palatino Linotype" w:hAnsi="Palatino Linotype" w:cs="Arial"/>
          <w:b/>
          <w:i/>
          <w:sz w:val="24"/>
          <w:szCs w:val="24"/>
        </w:rPr>
        <w:t xml:space="preserve"> </w:t>
      </w:r>
      <w:r>
        <w:rPr>
          <w:rFonts w:ascii="Palatino Linotype" w:hAnsi="Palatino Linotype" w:cs="Arial"/>
          <w:sz w:val="24"/>
          <w:szCs w:val="24"/>
        </w:rPr>
        <w:t xml:space="preserve">planteada, debido a que la afectación en su esfera de derechos fue restituida por la propia autoridad que emitió el acto de impugnación. </w:t>
      </w:r>
    </w:p>
    <w:p w14:paraId="0C4DB96B" w14:textId="77777777" w:rsidR="00931542" w:rsidRDefault="00931542" w:rsidP="00931542">
      <w:pPr>
        <w:tabs>
          <w:tab w:val="left" w:pos="7797"/>
        </w:tabs>
        <w:spacing w:line="360" w:lineRule="auto"/>
        <w:jc w:val="both"/>
        <w:rPr>
          <w:rFonts w:ascii="Palatino Linotype" w:hAnsi="Palatino Linotype" w:cs="Arial"/>
          <w:sz w:val="24"/>
          <w:szCs w:val="24"/>
        </w:rPr>
      </w:pPr>
      <w:r>
        <w:rPr>
          <w:rFonts w:ascii="Palatino Linotype" w:hAnsi="Palatino Linotype" w:cs="Arial"/>
          <w:sz w:val="24"/>
          <w:szCs w:val="24"/>
        </w:rPr>
        <w:t xml:space="preserve">Por lo tanto, para que se actualice el sobreseimiento de un recurso de revisión,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 xml:space="preserve">Sujeto Obligado </w:t>
      </w:r>
      <w:r>
        <w:rPr>
          <w:rFonts w:ascii="Palatino Linotype" w:hAnsi="Palatino Linotype" w:cs="Arial"/>
          <w:sz w:val="24"/>
          <w:szCs w:val="24"/>
        </w:rPr>
        <w:t xml:space="preserve">puede entregar o completar la información al momento de rendir su </w:t>
      </w:r>
      <w:r>
        <w:rPr>
          <w:rFonts w:ascii="Palatino Linotype" w:hAnsi="Palatino Linotype" w:cs="Arial"/>
          <w:b/>
          <w:sz w:val="24"/>
          <w:szCs w:val="24"/>
          <w:u w:val="single"/>
        </w:rPr>
        <w:t>informe de justificación dentro de los siete días</w:t>
      </w:r>
      <w:r>
        <w:rPr>
          <w:rFonts w:ascii="Palatino Linotype" w:hAnsi="Palatino Linotype" w:cs="Arial"/>
          <w:b/>
          <w:sz w:val="24"/>
          <w:szCs w:val="24"/>
        </w:rPr>
        <w:t xml:space="preserve"> </w:t>
      </w:r>
      <w:r>
        <w:rPr>
          <w:rFonts w:ascii="Palatino Linotype" w:hAnsi="Palatino Linotype" w:cs="Arial"/>
          <w:sz w:val="24"/>
          <w:szCs w:val="24"/>
        </w:rPr>
        <w:t>previstos para manifestar lo que a su derecho convenga.</w:t>
      </w:r>
    </w:p>
    <w:p w14:paraId="1CCF01D5" w14:textId="700B4F24" w:rsidR="00931542" w:rsidRDefault="00931542" w:rsidP="00931542">
      <w:pPr>
        <w:tabs>
          <w:tab w:val="left" w:pos="8080"/>
        </w:tabs>
        <w:spacing w:line="360" w:lineRule="auto"/>
        <w:jc w:val="both"/>
        <w:rPr>
          <w:rFonts w:ascii="Palatino Linotype" w:hAnsi="Palatino Linotype" w:cs="Arial"/>
          <w:sz w:val="24"/>
          <w:szCs w:val="24"/>
        </w:rPr>
      </w:pPr>
      <w:r>
        <w:rPr>
          <w:rFonts w:ascii="Palatino Linotype" w:hAnsi="Palatino Linotype" w:cs="Arial"/>
          <w:sz w:val="24"/>
          <w:szCs w:val="24"/>
        </w:rPr>
        <w:t xml:space="preserve">En mérito de lo expuesto en líneas anteriores, resultan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su medio de impugnación que fue materia de estudio, por ello </w:t>
      </w:r>
      <w:r>
        <w:rPr>
          <w:rFonts w:ascii="Palatino Linotype" w:hAnsi="Palatino Linotype" w:cs="Arial"/>
          <w:b/>
          <w:sz w:val="24"/>
          <w:szCs w:val="24"/>
        </w:rPr>
        <w:t xml:space="preserve">con fundamento en el artículo 186 fracción I, en concordancia con el 192 fracción III de la Ley de Transparencia y Acceso a la Información Pública del Estado de México y Municipios, </w:t>
      </w:r>
      <w:r>
        <w:rPr>
          <w:rFonts w:ascii="Palatino Linotype" w:hAnsi="Palatino Linotype" w:cs="Arial"/>
          <w:sz w:val="24"/>
          <w:szCs w:val="24"/>
        </w:rPr>
        <w:t xml:space="preserve">se </w:t>
      </w:r>
      <w:r>
        <w:rPr>
          <w:rFonts w:ascii="Palatino Linotype" w:hAnsi="Palatino Linotype" w:cs="Arial"/>
          <w:b/>
          <w:sz w:val="24"/>
          <w:szCs w:val="24"/>
        </w:rPr>
        <w:t xml:space="preserve">SOBRESEE </w:t>
      </w:r>
      <w:r>
        <w:rPr>
          <w:rFonts w:ascii="Palatino Linotype" w:hAnsi="Palatino Linotype" w:cs="Arial"/>
          <w:sz w:val="24"/>
          <w:szCs w:val="24"/>
        </w:rPr>
        <w:t xml:space="preserve">el recurso de revisión </w:t>
      </w:r>
      <w:r>
        <w:rPr>
          <w:rFonts w:ascii="Palatino Linotype" w:hAnsi="Palatino Linotype" w:cs="Arial"/>
          <w:b/>
          <w:sz w:val="24"/>
          <w:szCs w:val="24"/>
        </w:rPr>
        <w:t>08315/INFOEM/IP/RR/2023</w:t>
      </w:r>
      <w:r>
        <w:rPr>
          <w:rFonts w:ascii="Palatino Linotype" w:hAnsi="Palatino Linotype" w:cs="Arial"/>
          <w:b/>
          <w:sz w:val="24"/>
          <w:szCs w:val="24"/>
          <w:lang w:val="es-ES_tradnl"/>
        </w:rPr>
        <w:t xml:space="preserve">, </w:t>
      </w:r>
      <w:r>
        <w:rPr>
          <w:rFonts w:ascii="Palatino Linotype" w:hAnsi="Palatino Linotype" w:cs="Arial"/>
          <w:sz w:val="24"/>
          <w:szCs w:val="24"/>
          <w:lang w:val="es-ES_tradnl"/>
        </w:rPr>
        <w:t xml:space="preserve">que ha sido materia del presente fallo. </w:t>
      </w:r>
    </w:p>
    <w:p w14:paraId="054394B2" w14:textId="060A2AD6" w:rsidR="00931542" w:rsidRDefault="00931542" w:rsidP="00931542">
      <w:pPr>
        <w:tabs>
          <w:tab w:val="left" w:pos="8080"/>
        </w:tabs>
        <w:spacing w:line="360" w:lineRule="auto"/>
        <w:jc w:val="both"/>
        <w:rPr>
          <w:rFonts w:ascii="Palatino Linotype" w:hAnsi="Palatino Linotype" w:cs="Arial"/>
          <w:bCs/>
          <w:sz w:val="24"/>
          <w:szCs w:val="24"/>
        </w:rPr>
      </w:pPr>
      <w:r>
        <w:rPr>
          <w:rFonts w:ascii="Palatino Linotype" w:hAnsi="Palatino Linotype" w:cs="Arial"/>
          <w:bCs/>
          <w:sz w:val="24"/>
          <w:szCs w:val="24"/>
        </w:rPr>
        <w:lastRenderedPageBreak/>
        <w:t>Por lo antes expuesto y fundado es de resolverse y,</w:t>
      </w:r>
    </w:p>
    <w:p w14:paraId="40CE4374" w14:textId="77777777" w:rsidR="00931542" w:rsidRDefault="00931542" w:rsidP="00931542">
      <w:pPr>
        <w:spacing w:after="0" w:line="360" w:lineRule="auto"/>
        <w:jc w:val="center"/>
        <w:rPr>
          <w:rFonts w:ascii="Palatino Linotype" w:eastAsia="Times New Roman" w:hAnsi="Palatino Linotype" w:cs="Times New Roman"/>
          <w:b/>
          <w:bCs/>
          <w:spacing w:val="60"/>
          <w:sz w:val="28"/>
          <w:szCs w:val="24"/>
          <w:lang w:val="es-ES_tradnl" w:eastAsia="es-ES"/>
        </w:rPr>
      </w:pPr>
    </w:p>
    <w:p w14:paraId="43FE8006" w14:textId="77777777" w:rsidR="00931542" w:rsidRPr="00895C52" w:rsidRDefault="00931542" w:rsidP="00931542">
      <w:pPr>
        <w:spacing w:after="0" w:line="360" w:lineRule="auto"/>
        <w:jc w:val="center"/>
        <w:rPr>
          <w:rFonts w:ascii="Palatino Linotype" w:eastAsia="Times New Roman" w:hAnsi="Palatino Linotype" w:cs="Times New Roman"/>
          <w:b/>
          <w:bCs/>
          <w:spacing w:val="60"/>
          <w:sz w:val="28"/>
          <w:szCs w:val="24"/>
          <w:lang w:val="es-ES_tradnl" w:eastAsia="es-ES"/>
        </w:rPr>
      </w:pPr>
      <w:r w:rsidRPr="00895C52">
        <w:rPr>
          <w:rFonts w:ascii="Palatino Linotype" w:eastAsia="Times New Roman" w:hAnsi="Palatino Linotype" w:cs="Times New Roman"/>
          <w:b/>
          <w:bCs/>
          <w:spacing w:val="60"/>
          <w:sz w:val="28"/>
          <w:szCs w:val="24"/>
          <w:lang w:val="es-ES_tradnl" w:eastAsia="es-ES"/>
        </w:rPr>
        <w:t>SE    RESUELVE</w:t>
      </w:r>
    </w:p>
    <w:p w14:paraId="15823994" w14:textId="77777777" w:rsidR="00931542" w:rsidRPr="00895C52" w:rsidRDefault="00931542" w:rsidP="00931542">
      <w:pPr>
        <w:spacing w:after="0" w:line="360" w:lineRule="auto"/>
        <w:jc w:val="center"/>
        <w:rPr>
          <w:rFonts w:ascii="Palatino Linotype" w:eastAsia="Times New Roman" w:hAnsi="Palatino Linotype" w:cs="Times New Roman"/>
          <w:bCs/>
          <w:spacing w:val="60"/>
          <w:sz w:val="24"/>
          <w:szCs w:val="24"/>
          <w:lang w:val="es-ES_tradnl" w:eastAsia="es-ES"/>
        </w:rPr>
      </w:pPr>
    </w:p>
    <w:p w14:paraId="3FE79C9C" w14:textId="62C4F775" w:rsidR="00931542" w:rsidRDefault="00931542" w:rsidP="00931542">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895C52">
        <w:rPr>
          <w:rFonts w:ascii="Palatino Linotype" w:eastAsiaTheme="minorEastAsia" w:hAnsi="Palatino Linotype" w:cs="Arial"/>
          <w:b/>
          <w:sz w:val="28"/>
          <w:szCs w:val="24"/>
          <w:lang w:val="es-ES_tradnl" w:eastAsia="es-ES"/>
        </w:rPr>
        <w:t>PRIMERO.</w:t>
      </w:r>
      <w:r w:rsidRPr="00895C52">
        <w:rPr>
          <w:rFonts w:ascii="Palatino Linotype" w:eastAsiaTheme="minorEastAsia" w:hAnsi="Palatino Linotype" w:cs="Arial"/>
          <w:sz w:val="24"/>
          <w:szCs w:val="24"/>
          <w:lang w:val="es-ES_tradnl" w:eastAsia="es-ES"/>
        </w:rPr>
        <w:t xml:space="preserve"> </w:t>
      </w:r>
      <w:r w:rsidRPr="00C40C29">
        <w:rPr>
          <w:rFonts w:ascii="Palatino Linotype" w:eastAsiaTheme="minorEastAsia" w:hAnsi="Palatino Linotype" w:cs="Arial"/>
          <w:sz w:val="24"/>
          <w:szCs w:val="24"/>
          <w:lang w:val="es-ES_tradnl" w:eastAsia="es-ES"/>
        </w:rPr>
        <w:t xml:space="preserve">Se </w:t>
      </w:r>
      <w:r w:rsidRPr="00C40C29">
        <w:rPr>
          <w:rFonts w:ascii="Palatino Linotype" w:eastAsiaTheme="minorEastAsia" w:hAnsi="Palatino Linotype" w:cs="Arial"/>
          <w:b/>
          <w:sz w:val="24"/>
          <w:szCs w:val="24"/>
          <w:lang w:val="es-ES_tradnl" w:eastAsia="es-ES"/>
        </w:rPr>
        <w:t>SOBRESEE</w:t>
      </w:r>
      <w:r w:rsidRPr="00C40C29">
        <w:rPr>
          <w:rFonts w:ascii="Palatino Linotype" w:eastAsiaTheme="minorEastAsia" w:hAnsi="Palatino Linotype" w:cs="Arial"/>
          <w:sz w:val="24"/>
          <w:szCs w:val="24"/>
          <w:lang w:val="es-ES_tradnl" w:eastAsia="es-ES"/>
        </w:rPr>
        <w:t xml:space="preserve"> el recurso de revisión número </w:t>
      </w:r>
      <w:r>
        <w:rPr>
          <w:rFonts w:ascii="Palatino Linotype" w:hAnsi="Palatino Linotype" w:cs="Arial"/>
          <w:b/>
          <w:sz w:val="24"/>
          <w:szCs w:val="24"/>
        </w:rPr>
        <w:t>08315/INFOEM/IP/RR/2023</w:t>
      </w:r>
      <w:r w:rsidRPr="00C40C29">
        <w:rPr>
          <w:rFonts w:ascii="Palatino Linotype" w:eastAsiaTheme="minorEastAsia" w:hAnsi="Palatino Linotype" w:cs="Arial"/>
          <w:sz w:val="24"/>
          <w:szCs w:val="24"/>
          <w:lang w:val="es-ES_tradnl" w:eastAsia="es-ES"/>
        </w:rPr>
        <w:t>, por</w:t>
      </w:r>
      <w:r>
        <w:rPr>
          <w:rFonts w:ascii="Palatino Linotype" w:eastAsiaTheme="minorEastAsia" w:hAnsi="Palatino Linotype" w:cs="Arial"/>
          <w:sz w:val="24"/>
          <w:szCs w:val="24"/>
          <w:lang w:val="es-ES_tradnl" w:eastAsia="es-ES"/>
        </w:rPr>
        <w:t xml:space="preserve">que </w:t>
      </w:r>
      <w:r w:rsidRPr="00DB139B">
        <w:rPr>
          <w:rFonts w:ascii="Palatino Linotype" w:eastAsiaTheme="minorEastAsia" w:hAnsi="Palatino Linotype" w:cs="Arial"/>
          <w:b/>
          <w:bCs/>
          <w:sz w:val="24"/>
          <w:szCs w:val="24"/>
          <w:lang w:val="es-ES_tradnl" w:eastAsia="es-ES"/>
        </w:rPr>
        <w:t>EL SUJETO OBLIGADO</w:t>
      </w:r>
      <w:r>
        <w:rPr>
          <w:rFonts w:ascii="Palatino Linotype" w:eastAsiaTheme="minorEastAsia" w:hAnsi="Palatino Linotype" w:cs="Arial"/>
          <w:sz w:val="24"/>
          <w:szCs w:val="24"/>
          <w:lang w:val="es-ES_tradnl" w:eastAsia="es-ES"/>
        </w:rPr>
        <w:t xml:space="preserve"> al modificar su respuesta, el recurso de revisión quedó </w:t>
      </w:r>
      <w:r w:rsidRPr="00C40C29">
        <w:rPr>
          <w:rFonts w:ascii="Palatino Linotype" w:eastAsiaTheme="minorEastAsia" w:hAnsi="Palatino Linotype" w:cs="Arial"/>
          <w:sz w:val="24"/>
          <w:szCs w:val="24"/>
          <w:lang w:val="es-ES_tradnl" w:eastAsia="es-ES"/>
        </w:rPr>
        <w:t>sin materia</w:t>
      </w:r>
      <w:r>
        <w:rPr>
          <w:rFonts w:ascii="Palatino Linotype" w:eastAsiaTheme="minorEastAsia" w:hAnsi="Palatino Linotype" w:cs="Arial"/>
          <w:sz w:val="24"/>
          <w:szCs w:val="24"/>
          <w:lang w:val="es-ES_tradnl" w:eastAsia="es-ES"/>
        </w:rPr>
        <w:t xml:space="preserve">, en términos del </w:t>
      </w:r>
      <w:r w:rsidRPr="00C40C29">
        <w:rPr>
          <w:rFonts w:ascii="Palatino Linotype" w:eastAsiaTheme="minorEastAsia" w:hAnsi="Palatino Linotype" w:cs="Arial"/>
          <w:sz w:val="24"/>
          <w:szCs w:val="24"/>
          <w:lang w:val="es-ES_tradnl" w:eastAsia="es-ES"/>
        </w:rPr>
        <w:t xml:space="preserve">artículo 192 fracción III de la Ley de Transparencia y Acceso a la Información Pública del Estado de México y Municipios, en términos del Considerando </w:t>
      </w:r>
      <w:r>
        <w:rPr>
          <w:rFonts w:ascii="Palatino Linotype" w:eastAsiaTheme="minorEastAsia" w:hAnsi="Palatino Linotype" w:cs="Arial"/>
          <w:b/>
          <w:sz w:val="24"/>
          <w:szCs w:val="24"/>
          <w:lang w:val="es-ES_tradnl" w:eastAsia="es-ES"/>
        </w:rPr>
        <w:t>TERCERO</w:t>
      </w:r>
      <w:r w:rsidRPr="00C40C29">
        <w:rPr>
          <w:rFonts w:ascii="Palatino Linotype" w:eastAsiaTheme="minorEastAsia" w:hAnsi="Palatino Linotype" w:cs="Arial"/>
          <w:sz w:val="24"/>
          <w:szCs w:val="24"/>
          <w:lang w:val="es-ES_tradnl" w:eastAsia="es-ES"/>
        </w:rPr>
        <w:t xml:space="preserve"> de la presente resolución.</w:t>
      </w:r>
    </w:p>
    <w:p w14:paraId="336FEF34" w14:textId="77777777" w:rsidR="00931542" w:rsidRPr="00895C52" w:rsidRDefault="00931542" w:rsidP="00931542">
      <w:pPr>
        <w:tabs>
          <w:tab w:val="left" w:pos="8647"/>
        </w:tabs>
        <w:spacing w:after="0" w:line="360" w:lineRule="auto"/>
        <w:ind w:right="51"/>
        <w:jc w:val="both"/>
        <w:rPr>
          <w:rFonts w:ascii="Palatino Linotype" w:eastAsiaTheme="minorEastAsia" w:hAnsi="Palatino Linotype" w:cs="Arial"/>
          <w:sz w:val="24"/>
          <w:szCs w:val="24"/>
          <w:lang w:eastAsia="es-ES"/>
        </w:rPr>
      </w:pPr>
    </w:p>
    <w:p w14:paraId="68387242" w14:textId="77777777" w:rsidR="00931542" w:rsidRDefault="00931542" w:rsidP="00931542">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895C52">
        <w:rPr>
          <w:rFonts w:ascii="Palatino Linotype" w:eastAsiaTheme="minorEastAsia" w:hAnsi="Palatino Linotype" w:cs="Arial"/>
          <w:b/>
          <w:sz w:val="28"/>
          <w:szCs w:val="24"/>
          <w:lang w:val="es-ES_tradnl" w:eastAsia="es-ES"/>
        </w:rPr>
        <w:t>SEGUNDO</w:t>
      </w:r>
      <w:r w:rsidRPr="00895C52">
        <w:rPr>
          <w:rFonts w:ascii="Palatino Linotype" w:eastAsiaTheme="minorEastAsia" w:hAnsi="Palatino Linotype" w:cs="Arial"/>
          <w:b/>
          <w:sz w:val="24"/>
          <w:szCs w:val="24"/>
          <w:lang w:val="es-ES_tradnl" w:eastAsia="es-ES"/>
        </w:rPr>
        <w:t>.</w:t>
      </w:r>
      <w:r w:rsidRPr="00895C52">
        <w:rPr>
          <w:rFonts w:ascii="Palatino Linotype" w:eastAsiaTheme="minorEastAsia" w:hAnsi="Palatino Linotype" w:cs="Arial"/>
          <w:sz w:val="24"/>
          <w:szCs w:val="24"/>
          <w:lang w:val="es-ES_tradnl" w:eastAsia="es-ES"/>
        </w:rPr>
        <w:t xml:space="preserve"> </w:t>
      </w:r>
      <w:r w:rsidRPr="00895C52">
        <w:rPr>
          <w:rFonts w:ascii="Palatino Linotype" w:eastAsiaTheme="minorEastAsia" w:hAnsi="Palatino Linotype" w:cs="Arial"/>
          <w:b/>
          <w:sz w:val="24"/>
          <w:szCs w:val="24"/>
          <w:lang w:val="es-ES_tradnl" w:eastAsia="es-ES"/>
        </w:rPr>
        <w:t>NOTIFÍQUESE</w:t>
      </w:r>
      <w:r w:rsidRPr="00895C52">
        <w:rPr>
          <w:rFonts w:ascii="Palatino Linotype" w:eastAsiaTheme="minorEastAsia" w:hAnsi="Palatino Linotype" w:cs="Arial"/>
          <w:sz w:val="24"/>
          <w:szCs w:val="24"/>
          <w:lang w:val="es-ES_tradnl" w:eastAsia="es-ES"/>
        </w:rPr>
        <w:t xml:space="preserve"> vía </w:t>
      </w:r>
      <w:r w:rsidRPr="00895C52">
        <w:rPr>
          <w:rFonts w:ascii="Palatino Linotype" w:eastAsia="Times New Roman" w:hAnsi="Palatino Linotype" w:cs="Times New Roman"/>
          <w:sz w:val="24"/>
          <w:szCs w:val="24"/>
          <w:lang w:val="es-ES" w:eastAsia="es-ES"/>
        </w:rPr>
        <w:t>Sistema de Acceso a la Información Mexiquense</w:t>
      </w:r>
      <w:r w:rsidRPr="00DB139B">
        <w:rPr>
          <w:rFonts w:ascii="Palatino Linotype" w:eastAsiaTheme="minorEastAsia" w:hAnsi="Palatino Linotype" w:cs="Arial"/>
          <w:b/>
          <w:bCs/>
          <w:sz w:val="24"/>
          <w:szCs w:val="24"/>
          <w:lang w:val="es-ES_tradnl" w:eastAsia="es-ES"/>
        </w:rPr>
        <w:t xml:space="preserve"> </w:t>
      </w:r>
      <w:r>
        <w:rPr>
          <w:rFonts w:ascii="Palatino Linotype" w:eastAsiaTheme="minorEastAsia" w:hAnsi="Palatino Linotype" w:cs="Arial"/>
          <w:b/>
          <w:bCs/>
          <w:sz w:val="24"/>
          <w:szCs w:val="24"/>
          <w:lang w:val="es-ES_tradnl" w:eastAsia="es-ES"/>
        </w:rPr>
        <w:t>(</w:t>
      </w:r>
      <w:r w:rsidRPr="00DB139B">
        <w:rPr>
          <w:rFonts w:ascii="Palatino Linotype" w:eastAsiaTheme="minorEastAsia" w:hAnsi="Palatino Linotype" w:cs="Arial"/>
          <w:b/>
          <w:bCs/>
          <w:sz w:val="24"/>
          <w:szCs w:val="24"/>
          <w:lang w:val="es-ES_tradnl" w:eastAsia="es-ES"/>
        </w:rPr>
        <w:t>SAIMEX</w:t>
      </w:r>
      <w:r>
        <w:rPr>
          <w:rFonts w:ascii="Palatino Linotype" w:eastAsiaTheme="minorEastAsia" w:hAnsi="Palatino Linotype" w:cs="Arial"/>
          <w:b/>
          <w:bCs/>
          <w:sz w:val="24"/>
          <w:szCs w:val="24"/>
          <w:lang w:val="es-ES_tradnl" w:eastAsia="es-ES"/>
        </w:rPr>
        <w:t>)</w:t>
      </w:r>
      <w:r w:rsidRPr="00895C52">
        <w:rPr>
          <w:rFonts w:ascii="Palatino Linotype" w:eastAsiaTheme="minorEastAsia" w:hAnsi="Palatino Linotype" w:cs="Arial"/>
          <w:sz w:val="24"/>
          <w:szCs w:val="24"/>
          <w:lang w:val="es-ES_tradnl" w:eastAsia="es-ES"/>
        </w:rPr>
        <w:t xml:space="preserve"> la presente resolución al Titular de la Unidad de Transparencia del </w:t>
      </w:r>
      <w:r w:rsidRPr="00895C52">
        <w:rPr>
          <w:rFonts w:ascii="Palatino Linotype" w:eastAsiaTheme="minorEastAsia" w:hAnsi="Palatino Linotype" w:cs="Arial"/>
          <w:b/>
          <w:sz w:val="24"/>
          <w:szCs w:val="24"/>
          <w:lang w:val="es-ES_tradnl" w:eastAsia="es-ES"/>
        </w:rPr>
        <w:t>Sujeto Obligado</w:t>
      </w:r>
      <w:r w:rsidRPr="00895C52">
        <w:rPr>
          <w:rFonts w:ascii="Palatino Linotype" w:eastAsiaTheme="minorEastAsia" w:hAnsi="Palatino Linotype" w:cs="Arial"/>
          <w:sz w:val="24"/>
          <w:szCs w:val="24"/>
          <w:lang w:val="es-ES_tradnl" w:eastAsia="es-ES"/>
        </w:rPr>
        <w:t>.</w:t>
      </w:r>
    </w:p>
    <w:p w14:paraId="58843C0C" w14:textId="77777777" w:rsidR="00931542" w:rsidRDefault="00931542" w:rsidP="00931542">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64006BAE" w14:textId="77777777" w:rsidR="00931542" w:rsidRPr="00895C52" w:rsidRDefault="00931542" w:rsidP="00931542">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7F2FCB72" w14:textId="77777777" w:rsidR="00931542" w:rsidRDefault="00931542" w:rsidP="00931542">
      <w:pPr>
        <w:spacing w:after="0" w:line="360" w:lineRule="auto"/>
        <w:jc w:val="both"/>
        <w:rPr>
          <w:rFonts w:ascii="Palatino Linotype" w:eastAsia="Times New Roman" w:hAnsi="Palatino Linotype" w:cs="Arial"/>
          <w:sz w:val="24"/>
          <w:szCs w:val="24"/>
          <w:lang w:val="es-ES" w:eastAsia="es-ES"/>
        </w:rPr>
      </w:pPr>
      <w:r w:rsidRPr="00895C52">
        <w:rPr>
          <w:rFonts w:ascii="Palatino Linotype" w:eastAsia="Times New Roman" w:hAnsi="Palatino Linotype" w:cs="Arial"/>
          <w:b/>
          <w:sz w:val="28"/>
          <w:szCs w:val="24"/>
          <w:lang w:val="es-ES" w:eastAsia="es-ES"/>
        </w:rPr>
        <w:t>TERCERO</w:t>
      </w:r>
      <w:r w:rsidRPr="00895C52">
        <w:rPr>
          <w:rFonts w:ascii="Palatino Linotype" w:eastAsia="Times New Roman" w:hAnsi="Palatino Linotype" w:cs="Arial"/>
          <w:b/>
          <w:sz w:val="24"/>
          <w:szCs w:val="24"/>
          <w:lang w:val="es-ES" w:eastAsia="es-ES"/>
        </w:rPr>
        <w:t>.</w:t>
      </w:r>
      <w:r w:rsidRPr="00895C52">
        <w:rPr>
          <w:rFonts w:ascii="Palatino Linotype" w:eastAsia="Times New Roman" w:hAnsi="Palatino Linotype" w:cs="Arial"/>
          <w:sz w:val="24"/>
          <w:szCs w:val="24"/>
          <w:lang w:val="es-ES" w:eastAsia="es-ES"/>
        </w:rPr>
        <w:t xml:space="preserve"> </w:t>
      </w:r>
      <w:r w:rsidRPr="00895C52">
        <w:rPr>
          <w:rFonts w:ascii="Palatino Linotype" w:eastAsia="Times New Roman" w:hAnsi="Palatino Linotype" w:cs="Arial"/>
          <w:b/>
          <w:sz w:val="24"/>
          <w:szCs w:val="24"/>
          <w:lang w:val="es-ES" w:eastAsia="es-ES"/>
        </w:rPr>
        <w:t>NOTIFÍQUESE</w:t>
      </w:r>
      <w:r w:rsidRPr="00895C52">
        <w:rPr>
          <w:rFonts w:ascii="Palatino Linotype" w:eastAsia="Times New Roman" w:hAnsi="Palatino Linotype" w:cs="Arial"/>
          <w:sz w:val="24"/>
          <w:szCs w:val="24"/>
          <w:lang w:val="es-ES" w:eastAsia="es-ES"/>
        </w:rPr>
        <w:t xml:space="preserve"> a través del</w:t>
      </w:r>
      <w:r w:rsidRPr="00895C52">
        <w:rPr>
          <w:rFonts w:ascii="Palatino Linotype" w:eastAsia="Times New Roman" w:hAnsi="Palatino Linotype" w:cs="Times New Roman"/>
          <w:sz w:val="24"/>
          <w:szCs w:val="24"/>
          <w:lang w:val="es-ES" w:eastAsia="es-ES"/>
        </w:rPr>
        <w:t xml:space="preserve"> Sistema de Acceso a la Información Mexiquense </w:t>
      </w:r>
      <w:r w:rsidRPr="00DB139B">
        <w:rPr>
          <w:rFonts w:ascii="Palatino Linotype" w:eastAsia="Times New Roman" w:hAnsi="Palatino Linotype" w:cs="Times New Roman"/>
          <w:b/>
          <w:bCs/>
          <w:sz w:val="24"/>
          <w:szCs w:val="24"/>
          <w:lang w:val="es-ES" w:eastAsia="es-ES"/>
        </w:rPr>
        <w:t>(SAIMEX)</w:t>
      </w:r>
      <w:r w:rsidRPr="00DB139B">
        <w:rPr>
          <w:rFonts w:ascii="Palatino Linotype" w:eastAsia="Times New Roman" w:hAnsi="Palatino Linotype" w:cs="Arial"/>
          <w:b/>
          <w:bCs/>
          <w:sz w:val="24"/>
          <w:szCs w:val="24"/>
          <w:lang w:val="es-ES" w:eastAsia="es-ES"/>
        </w:rPr>
        <w:t>,</w:t>
      </w:r>
      <w:r w:rsidRPr="00895C52">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al</w:t>
      </w:r>
      <w:r w:rsidRPr="00895C52">
        <w:rPr>
          <w:rFonts w:ascii="Palatino Linotype" w:eastAsia="Times New Roman" w:hAnsi="Palatino Linotype" w:cs="Arial"/>
          <w:sz w:val="24"/>
          <w:szCs w:val="24"/>
          <w:lang w:val="es-ES" w:eastAsia="es-ES"/>
        </w:rPr>
        <w:t xml:space="preserve"> </w:t>
      </w:r>
      <w:r w:rsidRPr="00895C52">
        <w:rPr>
          <w:rFonts w:ascii="Palatino Linotype" w:eastAsia="Times New Roman" w:hAnsi="Palatino Linotype" w:cs="Arial"/>
          <w:b/>
          <w:sz w:val="24"/>
          <w:szCs w:val="24"/>
          <w:lang w:val="es-ES" w:eastAsia="es-ES"/>
        </w:rPr>
        <w:t xml:space="preserve">RECURRENTE </w:t>
      </w:r>
      <w:r w:rsidRPr="00895C52">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3A7FBBBF" w14:textId="7EFA9DA1" w:rsidR="00077A41" w:rsidRPr="00627D99" w:rsidRDefault="00077A41" w:rsidP="00077A41">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lastRenderedPageBreak/>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 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Y GUADALUPE RAMÍREZ PEÑA; EN LA</w:t>
      </w:r>
      <w:r>
        <w:rPr>
          <w:rFonts w:ascii="Palatino Linotype" w:hAnsi="Palatino Linotype" w:cs="Arial"/>
        </w:rPr>
        <w:t xml:space="preserve"> </w:t>
      </w:r>
      <w:r w:rsidR="00931542">
        <w:rPr>
          <w:rFonts w:ascii="Palatino Linotype" w:hAnsi="Palatino Linotype" w:cs="Arial"/>
        </w:rPr>
        <w:t xml:space="preserve">SÉPTIMA </w:t>
      </w:r>
      <w:r>
        <w:rPr>
          <w:rFonts w:ascii="Palatino Linotype" w:hAnsi="Palatino Linotype" w:cs="Arial"/>
        </w:rPr>
        <w:t xml:space="preserve">SESIÓN ORDINARIA CELEBRADA EL </w:t>
      </w:r>
      <w:r w:rsidR="00931542">
        <w:rPr>
          <w:rFonts w:ascii="Palatino Linotype" w:hAnsi="Palatino Linotype" w:cs="Arial"/>
        </w:rPr>
        <w:t>VEINTIOCHO</w:t>
      </w:r>
      <w:r w:rsidR="00270136">
        <w:rPr>
          <w:rFonts w:ascii="Palatino Linotype" w:hAnsi="Palatino Linotype" w:cs="Arial"/>
        </w:rPr>
        <w:t xml:space="preserve"> DE FEBRERO</w:t>
      </w:r>
      <w:r>
        <w:rPr>
          <w:rFonts w:ascii="Palatino Linotype" w:hAnsi="Palatino Linotype" w:cs="Arial"/>
        </w:rPr>
        <w:t xml:space="preserve"> DE DOS MIL VEINTICUATRO, A</w:t>
      </w:r>
      <w:r w:rsidRPr="008960C8">
        <w:rPr>
          <w:rFonts w:ascii="Palatino Linotype" w:hAnsi="Palatino Linotype" w:cs="Arial"/>
        </w:rPr>
        <w:t xml:space="preserve">NTE EL SECRETARIO TÉCNICO DEL PLENO, ALEXIS TAPIA RAMÍREZ. </w:t>
      </w:r>
    </w:p>
    <w:p w14:paraId="515271F7" w14:textId="6F7E1BE7" w:rsidR="00077A41" w:rsidRDefault="000613C9" w:rsidP="00077A41">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875315" behindDoc="0" locked="0" layoutInCell="1" allowOverlap="1" wp14:anchorId="3E21D93B" wp14:editId="027B84B6">
                <wp:simplePos x="0" y="0"/>
                <wp:positionH relativeFrom="margin">
                  <wp:posOffset>-254444</wp:posOffset>
                </wp:positionH>
                <wp:positionV relativeFrom="paragraph">
                  <wp:posOffset>383824</wp:posOffset>
                </wp:positionV>
                <wp:extent cx="6472308" cy="4182470"/>
                <wp:effectExtent l="0" t="0" r="24130" b="27940"/>
                <wp:wrapNone/>
                <wp:docPr id="1635707384" name="Straight Connector 14"/>
                <wp:cNvGraphicFramePr/>
                <a:graphic xmlns:a="http://schemas.openxmlformats.org/drawingml/2006/main">
                  <a:graphicData uri="http://schemas.microsoft.com/office/word/2010/wordprocessingShape">
                    <wps:wsp>
                      <wps:cNvCnPr/>
                      <wps:spPr>
                        <a:xfrm>
                          <a:off x="0" y="0"/>
                          <a:ext cx="6472308" cy="4182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D6E795" id="Straight Connector 14" o:spid="_x0000_s1026" style="position:absolute;z-index:251875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5pt,30.2pt" to="489.6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" strokecolor="#5b9bd5 [3204]" strokeweight=".5pt">
                <v:stroke joinstyle="miter"/>
                <w10:wrap anchorx="margin"/>
              </v:line>
            </w:pict>
          </mc:Fallback>
        </mc:AlternateContent>
      </w:r>
      <w:r w:rsidR="00077A41">
        <w:rPr>
          <w:rFonts w:ascii="Palatino Linotype" w:hAnsi="Palatino Linotype"/>
          <w:bCs/>
          <w:sz w:val="18"/>
          <w:szCs w:val="18"/>
        </w:rPr>
        <w:t>CCR/J</w:t>
      </w:r>
      <w:r w:rsidR="00077A41" w:rsidRPr="00280B8B">
        <w:rPr>
          <w:rFonts w:ascii="Palatino Linotype" w:hAnsi="Palatino Linotype"/>
          <w:bCs/>
          <w:sz w:val="18"/>
          <w:szCs w:val="18"/>
        </w:rPr>
        <w:t>CMA</w:t>
      </w:r>
    </w:p>
    <w:p w14:paraId="78CF5BDE" w14:textId="5A4FB69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4784595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662603">
      <w:headerReference w:type="default" r:id="rId18"/>
      <w:footerReference w:type="default" r:id="rId19"/>
      <w:headerReference w:type="first" r:id="rId20"/>
      <w:footerReference w:type="first" r:id="rId2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27B89" w14:textId="77777777" w:rsidR="00662603" w:rsidRDefault="00662603" w:rsidP="006168E4">
      <w:pPr>
        <w:spacing w:after="0" w:line="240" w:lineRule="auto"/>
      </w:pPr>
      <w:r>
        <w:separator/>
      </w:r>
    </w:p>
  </w:endnote>
  <w:endnote w:type="continuationSeparator" w:id="0">
    <w:p w14:paraId="65AD1C35" w14:textId="77777777" w:rsidR="00662603" w:rsidRDefault="00662603"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435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E4355">
      <w:rPr>
        <w:rFonts w:ascii="Palatino Linotype" w:hAnsi="Palatino Linotype"/>
        <w:bCs/>
        <w:noProof/>
        <w:sz w:val="20"/>
      </w:rPr>
      <w:t>37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435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E4355">
      <w:rPr>
        <w:rFonts w:ascii="Palatino Linotype" w:hAnsi="Palatino Linotype"/>
        <w:bCs/>
        <w:noProof/>
        <w:sz w:val="20"/>
      </w:rPr>
      <w:t>37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63F7C" w14:textId="77777777" w:rsidR="00662603" w:rsidRDefault="00662603" w:rsidP="006168E4">
      <w:pPr>
        <w:spacing w:after="0" w:line="240" w:lineRule="auto"/>
      </w:pPr>
      <w:r>
        <w:separator/>
      </w:r>
    </w:p>
  </w:footnote>
  <w:footnote w:type="continuationSeparator" w:id="0">
    <w:p w14:paraId="2B802EA2" w14:textId="77777777" w:rsidR="00662603" w:rsidRDefault="00662603" w:rsidP="006168E4">
      <w:pPr>
        <w:spacing w:after="0" w:line="240" w:lineRule="auto"/>
      </w:pPr>
      <w:r>
        <w:continuationSeparator/>
      </w:r>
    </w:p>
  </w:footnote>
  <w:footnote w:id="1">
    <w:p w14:paraId="761C451D" w14:textId="77777777" w:rsidR="00B963EC" w:rsidRPr="00911081" w:rsidRDefault="00B963EC" w:rsidP="00B963EC">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5945DC0" w14:textId="77777777" w:rsidR="00B963EC" w:rsidRPr="00911081" w:rsidRDefault="00B963EC" w:rsidP="00B963EC">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0DAA98F"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056DB">
            <w:rPr>
              <w:rFonts w:ascii="Palatino Linotype" w:hAnsi="Palatino Linotype" w:cs="Arial"/>
              <w:bCs/>
              <w:sz w:val="24"/>
              <w:lang w:eastAsia="es-MX"/>
            </w:rPr>
            <w:t>8315</w:t>
          </w:r>
          <w:r>
            <w:rPr>
              <w:rFonts w:ascii="Palatino Linotype" w:hAnsi="Palatino Linotype" w:cs="Arial"/>
              <w:bCs/>
              <w:sz w:val="24"/>
              <w:lang w:eastAsia="es-MX"/>
            </w:rPr>
            <w:t>/INFOEM/IP/RR/2023</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5B84C106" w:rsidR="00FC2D20" w:rsidRPr="00F06FED" w:rsidRDefault="00A056DB" w:rsidP="001B1CE0">
          <w:pPr>
            <w:spacing w:after="120" w:line="256" w:lineRule="auto"/>
            <w:ind w:left="639" w:right="214"/>
            <w:jc w:val="both"/>
            <w:rPr>
              <w:rFonts w:ascii="Palatino Linotype" w:hAnsi="Palatino Linotype" w:cs="Arial"/>
            </w:rPr>
          </w:pPr>
          <w:r>
            <w:rPr>
              <w:rFonts w:ascii="Palatino Linotype" w:hAnsi="Palatino Linotype" w:cs="Arial"/>
            </w:rPr>
            <w:t xml:space="preserve">Tribunal de Justicia Administrativa del Estado de México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725C50AE"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056DB">
            <w:rPr>
              <w:rFonts w:ascii="Palatino Linotype" w:hAnsi="Palatino Linotype" w:cs="Arial"/>
              <w:bCs/>
              <w:sz w:val="24"/>
              <w:lang w:eastAsia="es-MX"/>
            </w:rPr>
            <w:t>8315</w:t>
          </w:r>
          <w:r>
            <w:rPr>
              <w:rFonts w:ascii="Palatino Linotype" w:hAnsi="Palatino Linotype" w:cs="Arial"/>
              <w:bCs/>
              <w:sz w:val="24"/>
              <w:lang w:eastAsia="es-MX"/>
            </w:rPr>
            <w:t xml:space="preserve">/INFOEM/IP/RR/2023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3BF6B2C" w:rsidR="00FC2D20" w:rsidRPr="00E93E68" w:rsidRDefault="00FC2D20" w:rsidP="00AE4355">
          <w:pPr>
            <w:spacing w:after="120" w:line="256" w:lineRule="auto"/>
            <w:ind w:right="214"/>
            <w:jc w:val="both"/>
            <w:rPr>
              <w:rFonts w:ascii="Palatino Linotype" w:hAnsi="Palatino Linotype" w:cs="Arial"/>
            </w:rPr>
          </w:pPr>
          <w:r>
            <w:rPr>
              <w:rFonts w:ascii="Palatino Linotype" w:hAnsi="Palatino Linotype" w:cs="Arial"/>
            </w:rPr>
            <w:t xml:space="preserve">            </w:t>
          </w:r>
          <w:r w:rsidR="00AE4355">
            <w:rPr>
              <w:rFonts w:ascii="Palatino Linotype" w:hAnsi="Palatino Linotype" w:cs="Arial"/>
            </w:rPr>
            <w:t>XXXXXXXXXXXXXXXXXX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B2F30B2" w:rsidR="00FC2D20" w:rsidRDefault="00A056DB"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Tribunal de Justicia Administrativa del Estado de México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0BC"/>
    <w:multiLevelType w:val="hybridMultilevel"/>
    <w:tmpl w:val="0B80A2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08622BA"/>
    <w:multiLevelType w:val="hybridMultilevel"/>
    <w:tmpl w:val="8E220F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6C5F3842"/>
    <w:multiLevelType w:val="hybridMultilevel"/>
    <w:tmpl w:val="14349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0"/>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3C9"/>
    <w:rsid w:val="00061821"/>
    <w:rsid w:val="000623F9"/>
    <w:rsid w:val="00063035"/>
    <w:rsid w:val="00063A10"/>
    <w:rsid w:val="00064EA6"/>
    <w:rsid w:val="000662F8"/>
    <w:rsid w:val="00066E86"/>
    <w:rsid w:val="00070E99"/>
    <w:rsid w:val="000720CA"/>
    <w:rsid w:val="00073E78"/>
    <w:rsid w:val="00073FC2"/>
    <w:rsid w:val="000740DB"/>
    <w:rsid w:val="00074E2D"/>
    <w:rsid w:val="00076AE0"/>
    <w:rsid w:val="0007756F"/>
    <w:rsid w:val="00077A41"/>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3E79"/>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1843"/>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1BC7"/>
    <w:rsid w:val="0015205D"/>
    <w:rsid w:val="001522E7"/>
    <w:rsid w:val="00152AB2"/>
    <w:rsid w:val="00152C2B"/>
    <w:rsid w:val="001534CF"/>
    <w:rsid w:val="001555A8"/>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358"/>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8D7"/>
    <w:rsid w:val="001C2ECC"/>
    <w:rsid w:val="001C3EE0"/>
    <w:rsid w:val="001C50EE"/>
    <w:rsid w:val="001C588A"/>
    <w:rsid w:val="001C5B6E"/>
    <w:rsid w:val="001C64DF"/>
    <w:rsid w:val="001C7319"/>
    <w:rsid w:val="001C7D87"/>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E7A1E"/>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98B"/>
    <w:rsid w:val="00212A9D"/>
    <w:rsid w:val="00212FB6"/>
    <w:rsid w:val="002138D5"/>
    <w:rsid w:val="00214220"/>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51EA"/>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136"/>
    <w:rsid w:val="00270FD4"/>
    <w:rsid w:val="002717B7"/>
    <w:rsid w:val="00271BA6"/>
    <w:rsid w:val="0027212E"/>
    <w:rsid w:val="00273D0E"/>
    <w:rsid w:val="00274159"/>
    <w:rsid w:val="00274BE8"/>
    <w:rsid w:val="002765A6"/>
    <w:rsid w:val="002765ED"/>
    <w:rsid w:val="00276C7D"/>
    <w:rsid w:val="00281346"/>
    <w:rsid w:val="002836AE"/>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156"/>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00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1D15"/>
    <w:rsid w:val="003551AD"/>
    <w:rsid w:val="00355A06"/>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8E3"/>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5B92"/>
    <w:rsid w:val="004964B5"/>
    <w:rsid w:val="0049675F"/>
    <w:rsid w:val="004967E2"/>
    <w:rsid w:val="00496CDA"/>
    <w:rsid w:val="0049718E"/>
    <w:rsid w:val="0049785D"/>
    <w:rsid w:val="004A290F"/>
    <w:rsid w:val="004A455B"/>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1CD"/>
    <w:rsid w:val="0055176C"/>
    <w:rsid w:val="005520FE"/>
    <w:rsid w:val="0055211D"/>
    <w:rsid w:val="00552FA7"/>
    <w:rsid w:val="00553E92"/>
    <w:rsid w:val="00554927"/>
    <w:rsid w:val="005559F5"/>
    <w:rsid w:val="00556513"/>
    <w:rsid w:val="00560D4A"/>
    <w:rsid w:val="00560D8E"/>
    <w:rsid w:val="00561B52"/>
    <w:rsid w:val="00562653"/>
    <w:rsid w:val="0056468F"/>
    <w:rsid w:val="0056558A"/>
    <w:rsid w:val="00565F99"/>
    <w:rsid w:val="00566E4B"/>
    <w:rsid w:val="00567001"/>
    <w:rsid w:val="00567F9A"/>
    <w:rsid w:val="005705E2"/>
    <w:rsid w:val="005714B9"/>
    <w:rsid w:val="00571A7B"/>
    <w:rsid w:val="00572C64"/>
    <w:rsid w:val="005733EB"/>
    <w:rsid w:val="005754D2"/>
    <w:rsid w:val="005764F8"/>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11"/>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182C"/>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D7C"/>
    <w:rsid w:val="005E4EB4"/>
    <w:rsid w:val="005E4ED7"/>
    <w:rsid w:val="005E7A49"/>
    <w:rsid w:val="005F048E"/>
    <w:rsid w:val="005F1408"/>
    <w:rsid w:val="005F18FF"/>
    <w:rsid w:val="005F1E0B"/>
    <w:rsid w:val="005F4648"/>
    <w:rsid w:val="005F4E5A"/>
    <w:rsid w:val="005F4FE3"/>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47E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592"/>
    <w:rsid w:val="00650800"/>
    <w:rsid w:val="006529A5"/>
    <w:rsid w:val="00655372"/>
    <w:rsid w:val="00655735"/>
    <w:rsid w:val="00660203"/>
    <w:rsid w:val="00661404"/>
    <w:rsid w:val="00661753"/>
    <w:rsid w:val="006620CA"/>
    <w:rsid w:val="00662603"/>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A76AB"/>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0A8F"/>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6A"/>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01F5"/>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0C8"/>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5785"/>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27D75"/>
    <w:rsid w:val="00930D7A"/>
    <w:rsid w:val="00931542"/>
    <w:rsid w:val="00932888"/>
    <w:rsid w:val="009331C2"/>
    <w:rsid w:val="00936DCF"/>
    <w:rsid w:val="00937E3B"/>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3793"/>
    <w:rsid w:val="009C451F"/>
    <w:rsid w:val="009C5E96"/>
    <w:rsid w:val="009C726D"/>
    <w:rsid w:val="009D25F5"/>
    <w:rsid w:val="009D317E"/>
    <w:rsid w:val="009D3186"/>
    <w:rsid w:val="009D3697"/>
    <w:rsid w:val="009D5F9E"/>
    <w:rsid w:val="009E07D9"/>
    <w:rsid w:val="009E0C04"/>
    <w:rsid w:val="009E1411"/>
    <w:rsid w:val="009E1BB5"/>
    <w:rsid w:val="009E52F2"/>
    <w:rsid w:val="009E5717"/>
    <w:rsid w:val="009E589B"/>
    <w:rsid w:val="009E6FC4"/>
    <w:rsid w:val="009E76A7"/>
    <w:rsid w:val="009F01C0"/>
    <w:rsid w:val="009F1278"/>
    <w:rsid w:val="009F1712"/>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56DB"/>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0DA3"/>
    <w:rsid w:val="00A535E3"/>
    <w:rsid w:val="00A540E1"/>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E58"/>
    <w:rsid w:val="00AA1F1C"/>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E4355"/>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72A6"/>
    <w:rsid w:val="00B30856"/>
    <w:rsid w:val="00B31395"/>
    <w:rsid w:val="00B32CD3"/>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963EC"/>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E7AB3"/>
    <w:rsid w:val="00BF2ABC"/>
    <w:rsid w:val="00BF2EA1"/>
    <w:rsid w:val="00BF3B35"/>
    <w:rsid w:val="00BF4805"/>
    <w:rsid w:val="00BF4CC6"/>
    <w:rsid w:val="00BF5321"/>
    <w:rsid w:val="00BF543F"/>
    <w:rsid w:val="00BF5918"/>
    <w:rsid w:val="00BF5EA3"/>
    <w:rsid w:val="00BF6902"/>
    <w:rsid w:val="00BF7421"/>
    <w:rsid w:val="00C01E2A"/>
    <w:rsid w:val="00C024E0"/>
    <w:rsid w:val="00C03000"/>
    <w:rsid w:val="00C03536"/>
    <w:rsid w:val="00C03793"/>
    <w:rsid w:val="00C06E2B"/>
    <w:rsid w:val="00C07650"/>
    <w:rsid w:val="00C104DD"/>
    <w:rsid w:val="00C12A61"/>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967"/>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38B"/>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5A9"/>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08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5314"/>
    <w:rsid w:val="00D6781D"/>
    <w:rsid w:val="00D67D98"/>
    <w:rsid w:val="00D72D16"/>
    <w:rsid w:val="00D7412C"/>
    <w:rsid w:val="00D74B01"/>
    <w:rsid w:val="00D74E8F"/>
    <w:rsid w:val="00D75521"/>
    <w:rsid w:val="00D75839"/>
    <w:rsid w:val="00D75E6E"/>
    <w:rsid w:val="00D76314"/>
    <w:rsid w:val="00D77E6B"/>
    <w:rsid w:val="00D8032A"/>
    <w:rsid w:val="00D8195B"/>
    <w:rsid w:val="00D83436"/>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8D1"/>
    <w:rsid w:val="00E53AB7"/>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036B"/>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1722"/>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0ABA"/>
    <w:rsid w:val="00F310D2"/>
    <w:rsid w:val="00F31705"/>
    <w:rsid w:val="00F31A1A"/>
    <w:rsid w:val="00F347AF"/>
    <w:rsid w:val="00F35C78"/>
    <w:rsid w:val="00F35EB1"/>
    <w:rsid w:val="00F36FD9"/>
    <w:rsid w:val="00F370E6"/>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597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85663931">
      <w:bodyDiv w:val="1"/>
      <w:marLeft w:val="0"/>
      <w:marRight w:val="0"/>
      <w:marTop w:val="0"/>
      <w:marBottom w:val="0"/>
      <w:divBdr>
        <w:top w:val="none" w:sz="0" w:space="0" w:color="auto"/>
        <w:left w:val="none" w:sz="0" w:space="0" w:color="auto"/>
        <w:bottom w:val="none" w:sz="0" w:space="0" w:color="auto"/>
        <w:right w:val="none" w:sz="0" w:space="0" w:color="auto"/>
      </w:divBdr>
      <w:divsChild>
        <w:div w:id="1228809103">
          <w:marLeft w:val="0"/>
          <w:marRight w:val="0"/>
          <w:marTop w:val="0"/>
          <w:marBottom w:val="0"/>
          <w:divBdr>
            <w:top w:val="none" w:sz="0" w:space="0" w:color="auto"/>
            <w:left w:val="none" w:sz="0" w:space="0" w:color="auto"/>
            <w:bottom w:val="none" w:sz="0" w:space="0" w:color="auto"/>
            <w:right w:val="none" w:sz="0" w:space="0" w:color="auto"/>
          </w:divBdr>
        </w:div>
        <w:div w:id="973412969">
          <w:marLeft w:val="0"/>
          <w:marRight w:val="0"/>
          <w:marTop w:val="0"/>
          <w:marBottom w:val="0"/>
          <w:divBdr>
            <w:top w:val="none" w:sz="0" w:space="0" w:color="auto"/>
            <w:left w:val="none" w:sz="0" w:space="0" w:color="auto"/>
            <w:bottom w:val="none" w:sz="0" w:space="0" w:color="auto"/>
            <w:right w:val="none" w:sz="0" w:space="0" w:color="auto"/>
          </w:divBdr>
        </w:div>
      </w:divsChild>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drive.google.com/file/d/1ZjivIG32LjiS_Y0XYZOhCbnPPOqL1EN8/view?usp=shar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pomex.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643D-90FD-4D54-BBE5-F68F34F3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37</Pages>
  <Words>7135</Words>
  <Characters>39243</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29</cp:revision>
  <cp:lastPrinted>2018-12-04T20:35:00Z</cp:lastPrinted>
  <dcterms:created xsi:type="dcterms:W3CDTF">2023-08-08T23:42:00Z</dcterms:created>
  <dcterms:modified xsi:type="dcterms:W3CDTF">2024-03-13T17:30:00Z</dcterms:modified>
</cp:coreProperties>
</file>