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94E99" w14:textId="59114580" w:rsidR="0009491C" w:rsidRPr="00360DF2" w:rsidRDefault="0009491C" w:rsidP="00390FFA">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r w:rsidRPr="00360DF2">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F3C4D">
        <w:rPr>
          <w:rFonts w:ascii="Palatino Linotype" w:eastAsia="Times New Roman" w:hAnsi="Palatino Linotype" w:cs="Arial"/>
          <w:color w:val="000000"/>
          <w:sz w:val="24"/>
          <w:szCs w:val="24"/>
          <w:lang w:eastAsia="es-MX"/>
        </w:rPr>
        <w:t>veintiocho</w:t>
      </w:r>
      <w:r w:rsidR="0061125D">
        <w:rPr>
          <w:rFonts w:ascii="Palatino Linotype" w:eastAsia="Times New Roman" w:hAnsi="Palatino Linotype" w:cs="Arial"/>
          <w:color w:val="000000"/>
          <w:sz w:val="24"/>
          <w:szCs w:val="24"/>
          <w:lang w:eastAsia="es-MX"/>
        </w:rPr>
        <w:t xml:space="preserve"> de </w:t>
      </w:r>
      <w:r w:rsidR="003321A2">
        <w:rPr>
          <w:rFonts w:ascii="Palatino Linotype" w:eastAsia="Times New Roman" w:hAnsi="Palatino Linotype" w:cs="Arial"/>
          <w:color w:val="000000"/>
          <w:sz w:val="24"/>
          <w:szCs w:val="24"/>
          <w:lang w:eastAsia="es-MX"/>
        </w:rPr>
        <w:t>agosto</w:t>
      </w:r>
      <w:r w:rsidR="0061125D">
        <w:rPr>
          <w:rFonts w:ascii="Palatino Linotype" w:eastAsia="Times New Roman" w:hAnsi="Palatino Linotype" w:cs="Arial"/>
          <w:color w:val="000000"/>
          <w:sz w:val="24"/>
          <w:szCs w:val="24"/>
          <w:lang w:eastAsia="es-MX"/>
        </w:rPr>
        <w:t xml:space="preserve"> </w:t>
      </w:r>
      <w:r w:rsidRPr="00360DF2">
        <w:rPr>
          <w:rFonts w:ascii="Palatino Linotype" w:eastAsia="Times New Roman" w:hAnsi="Palatino Linotype" w:cs="Arial"/>
          <w:color w:val="000000"/>
          <w:sz w:val="24"/>
          <w:szCs w:val="24"/>
          <w:lang w:eastAsia="es-MX"/>
        </w:rPr>
        <w:t>de dos mil veinti</w:t>
      </w:r>
      <w:r w:rsidR="00390FFA">
        <w:rPr>
          <w:rFonts w:ascii="Palatino Linotype" w:eastAsia="Times New Roman" w:hAnsi="Palatino Linotype" w:cs="Arial"/>
          <w:color w:val="000000"/>
          <w:sz w:val="24"/>
          <w:szCs w:val="24"/>
          <w:lang w:eastAsia="es-MX"/>
        </w:rPr>
        <w:t>cuatro</w:t>
      </w:r>
      <w:r w:rsidRPr="00360DF2">
        <w:rPr>
          <w:rFonts w:ascii="Palatino Linotype" w:eastAsia="Times New Roman" w:hAnsi="Palatino Linotype" w:cs="Arial"/>
          <w:color w:val="000000"/>
          <w:sz w:val="24"/>
          <w:szCs w:val="24"/>
          <w:lang w:eastAsia="es-MX"/>
        </w:rPr>
        <w:t>.</w:t>
      </w:r>
    </w:p>
    <w:p w14:paraId="223916E8" w14:textId="77777777" w:rsidR="0009491C" w:rsidRPr="00360DF2" w:rsidRDefault="0009491C" w:rsidP="00390FFA">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3307529" w14:textId="73FE04CC" w:rsidR="0009491C" w:rsidRPr="00360DF2" w:rsidRDefault="0009491C" w:rsidP="00390FFA">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24057C">
        <w:rPr>
          <w:rFonts w:ascii="Palatino Linotype" w:hAnsi="Palatino Linotype" w:cs="Arial"/>
          <w:b/>
          <w:bCs/>
          <w:sz w:val="24"/>
          <w:szCs w:val="24"/>
          <w:lang w:eastAsia="es-MX"/>
        </w:rPr>
        <w:t>03210/INFOEM/IP/RR/2024</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por </w:t>
      </w:r>
      <w:r w:rsidR="0082494C">
        <w:rPr>
          <w:rFonts w:ascii="Palatino Linotype" w:eastAsia="Palatino Linotype" w:hAnsi="Palatino Linotype" w:cs="Palatino Linotype"/>
          <w:b/>
          <w:color w:val="000000"/>
          <w:sz w:val="24"/>
          <w:szCs w:val="24"/>
        </w:rPr>
        <w:t>XXXXXXXXXXXXXXXXXXX</w:t>
      </w:r>
      <w:r w:rsidRPr="00360DF2">
        <w:rPr>
          <w:rFonts w:ascii="Palatino Linotype" w:eastAsia="Palatino Linotype" w:hAnsi="Palatino Linotype" w:cs="Palatino Linotype"/>
          <w:color w:val="000000"/>
          <w:sz w:val="24"/>
          <w:szCs w:val="24"/>
        </w:rPr>
        <w:t>,</w:t>
      </w:r>
      <w:r w:rsidR="0061125D">
        <w:rPr>
          <w:rFonts w:ascii="Palatino Linotype" w:eastAsia="Palatino Linotype" w:hAnsi="Palatino Linotype" w:cs="Palatino Linotype"/>
          <w:color w:val="000000"/>
          <w:sz w:val="24"/>
          <w:szCs w:val="24"/>
        </w:rPr>
        <w:t xml:space="preserve"> quien </w:t>
      </w:r>
      <w:r w:rsidRPr="00360DF2">
        <w:rPr>
          <w:rFonts w:ascii="Palatino Linotype" w:eastAsia="Palatino Linotype" w:hAnsi="Palatino Linotype" w:cs="Palatino Linotype"/>
          <w:color w:val="000000"/>
          <w:sz w:val="24"/>
          <w:szCs w:val="24"/>
        </w:rPr>
        <w:t xml:space="preserve">en lo sucesivo </w:t>
      </w:r>
      <w:r w:rsidR="0061125D">
        <w:rPr>
          <w:rFonts w:ascii="Palatino Linotype" w:eastAsia="Palatino Linotype" w:hAnsi="Palatino Linotype" w:cs="Palatino Linotype"/>
          <w:color w:val="000000"/>
          <w:sz w:val="24"/>
          <w:szCs w:val="24"/>
        </w:rPr>
        <w:t xml:space="preserve">se le denominara como la parte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falta de respuesta del </w:t>
      </w:r>
      <w:r w:rsidR="0024057C">
        <w:rPr>
          <w:rFonts w:ascii="Palatino Linotype" w:hAnsi="Palatino Linotype" w:cs="Arial"/>
          <w:b/>
          <w:sz w:val="24"/>
          <w:szCs w:val="24"/>
        </w:rPr>
        <w:t>Ayuntamiento de San Mateo Atenco</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14:paraId="750B662E" w14:textId="77777777" w:rsidR="0009491C" w:rsidRPr="00360DF2" w:rsidRDefault="0009491C" w:rsidP="00390FFA">
      <w:pPr>
        <w:tabs>
          <w:tab w:val="left" w:pos="6960"/>
        </w:tabs>
        <w:spacing w:after="0" w:line="360" w:lineRule="auto"/>
        <w:jc w:val="both"/>
        <w:rPr>
          <w:rFonts w:ascii="Palatino Linotype" w:hAnsi="Palatino Linotype" w:cs="Arial"/>
          <w:sz w:val="24"/>
          <w:szCs w:val="24"/>
        </w:rPr>
      </w:pPr>
    </w:p>
    <w:p w14:paraId="515BED12" w14:textId="77777777" w:rsidR="0009491C" w:rsidRPr="00360DF2" w:rsidRDefault="0009491C" w:rsidP="00390FFA">
      <w:pPr>
        <w:spacing w:after="0" w:line="360" w:lineRule="auto"/>
        <w:jc w:val="center"/>
        <w:rPr>
          <w:rFonts w:ascii="Palatino Linotype" w:hAnsi="Palatino Linotype" w:cs="Arial"/>
          <w:b/>
          <w:sz w:val="28"/>
          <w:szCs w:val="24"/>
        </w:rPr>
      </w:pPr>
      <w:r w:rsidRPr="00360DF2">
        <w:rPr>
          <w:rFonts w:ascii="Palatino Linotype" w:hAnsi="Palatino Linotype" w:cs="Arial"/>
          <w:b/>
          <w:sz w:val="28"/>
          <w:szCs w:val="24"/>
        </w:rPr>
        <w:t>A N T E C E D E N T E S</w:t>
      </w:r>
    </w:p>
    <w:p w14:paraId="4EA2ADC5" w14:textId="77777777" w:rsidR="0009491C" w:rsidRPr="00360DF2" w:rsidRDefault="0009491C" w:rsidP="00390FFA">
      <w:pPr>
        <w:spacing w:after="0" w:line="360" w:lineRule="auto"/>
        <w:rPr>
          <w:rFonts w:ascii="Palatino Linotype" w:hAnsi="Palatino Linotype" w:cs="Arial"/>
          <w:b/>
          <w:sz w:val="24"/>
          <w:szCs w:val="24"/>
        </w:rPr>
      </w:pPr>
    </w:p>
    <w:p w14:paraId="51F13D6D" w14:textId="480A2CE7" w:rsidR="0009491C" w:rsidRPr="00360DF2"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b/>
          <w:sz w:val="28"/>
          <w:szCs w:val="28"/>
        </w:rPr>
        <w:t xml:space="preserve">PRIMERO. </w:t>
      </w:r>
      <w:r w:rsidRPr="00360DF2">
        <w:rPr>
          <w:rFonts w:ascii="Palatino Linotype" w:hAnsi="Palatino Linotype" w:cs="Arial"/>
          <w:sz w:val="24"/>
          <w:szCs w:val="24"/>
        </w:rPr>
        <w:t xml:space="preserve">Con fecha </w:t>
      </w:r>
      <w:r w:rsidR="003321A2">
        <w:rPr>
          <w:rFonts w:ascii="Palatino Linotype" w:hAnsi="Palatino Linotype" w:cs="Arial"/>
          <w:sz w:val="24"/>
          <w:szCs w:val="24"/>
        </w:rPr>
        <w:t xml:space="preserve">once de </w:t>
      </w:r>
      <w:r w:rsidR="0024057C">
        <w:rPr>
          <w:rFonts w:ascii="Palatino Linotype" w:hAnsi="Palatino Linotype" w:cs="Arial"/>
          <w:sz w:val="24"/>
          <w:szCs w:val="24"/>
        </w:rPr>
        <w:t xml:space="preserve">abril </w:t>
      </w:r>
      <w:r w:rsidR="00390FFA">
        <w:rPr>
          <w:rFonts w:ascii="Palatino Linotype" w:hAnsi="Palatino Linotype" w:cs="Arial"/>
          <w:sz w:val="24"/>
          <w:szCs w:val="24"/>
        </w:rPr>
        <w:t>de dos mil veinticuatro</w:t>
      </w:r>
      <w:r w:rsidRPr="00360DF2">
        <w:rPr>
          <w:rFonts w:ascii="Palatino Linotype" w:hAnsi="Palatino Linotype" w:cs="Arial"/>
          <w:sz w:val="24"/>
          <w:szCs w:val="24"/>
        </w:rPr>
        <w:t xml:space="preserve">, </w:t>
      </w:r>
      <w:r w:rsidR="0061125D">
        <w:rPr>
          <w:rFonts w:ascii="Palatino Linotype" w:hAnsi="Palatino Linotype" w:cs="Arial"/>
          <w:sz w:val="24"/>
          <w:szCs w:val="24"/>
        </w:rPr>
        <w:t>la parte</w:t>
      </w:r>
      <w:r w:rsidRPr="00360DF2">
        <w:rPr>
          <w:rFonts w:ascii="Palatino Linotype" w:hAnsi="Palatino Linotype" w:cs="Arial"/>
          <w:b/>
          <w:sz w:val="24"/>
          <w:szCs w:val="24"/>
        </w:rPr>
        <w:t xml:space="preserve"> Recurrente</w:t>
      </w:r>
      <w:r w:rsidRPr="00360DF2">
        <w:rPr>
          <w:rFonts w:ascii="Palatino Linotype" w:hAnsi="Palatino Linotype" w:cs="Arial"/>
          <w:sz w:val="24"/>
          <w:szCs w:val="24"/>
        </w:rPr>
        <w:t xml:space="preserve"> presentó a través del Sistema de Acceso a la Información Mexiquense, en lo posterior el </w:t>
      </w:r>
      <w:r w:rsidRPr="00360DF2">
        <w:rPr>
          <w:rFonts w:ascii="Palatino Linotype" w:hAnsi="Palatino Linotype" w:cs="Arial"/>
          <w:b/>
          <w:sz w:val="24"/>
          <w:szCs w:val="24"/>
        </w:rPr>
        <w:t>SAIMEX</w:t>
      </w:r>
      <w:r w:rsidRPr="00360DF2">
        <w:rPr>
          <w:rFonts w:ascii="Palatino Linotype" w:hAnsi="Palatino Linotype" w:cs="Arial"/>
          <w:sz w:val="24"/>
          <w:szCs w:val="24"/>
        </w:rPr>
        <w:t xml:space="preserve">, ante </w:t>
      </w:r>
      <w:r w:rsidRPr="00360DF2">
        <w:rPr>
          <w:rFonts w:ascii="Palatino Linotype" w:hAnsi="Palatino Linotype" w:cs="Arial"/>
          <w:b/>
          <w:sz w:val="24"/>
          <w:szCs w:val="24"/>
        </w:rPr>
        <w:t>el Sujeto Obligado</w:t>
      </w:r>
      <w:r w:rsidRPr="00360DF2">
        <w:rPr>
          <w:rFonts w:ascii="Palatino Linotype" w:hAnsi="Palatino Linotype" w:cs="Arial"/>
          <w:sz w:val="24"/>
          <w:szCs w:val="24"/>
        </w:rPr>
        <w:t>, solicitud de acceso a la información pública, registrada bajo el número de expediente</w:t>
      </w:r>
      <w:r w:rsidRPr="00360DF2">
        <w:rPr>
          <w:rFonts w:ascii="Palatino Linotype" w:hAnsi="Palatino Linotype" w:cs="Arial"/>
          <w:b/>
          <w:sz w:val="24"/>
          <w:szCs w:val="24"/>
        </w:rPr>
        <w:t xml:space="preserve"> </w:t>
      </w:r>
      <w:r w:rsidR="0024057C">
        <w:rPr>
          <w:rFonts w:ascii="Palatino Linotype" w:hAnsi="Palatino Linotype" w:cs="Arial"/>
          <w:b/>
          <w:sz w:val="24"/>
          <w:szCs w:val="24"/>
        </w:rPr>
        <w:t>00061/MATEOATE/IP/2024</w:t>
      </w:r>
      <w:r w:rsidRPr="00360DF2">
        <w:rPr>
          <w:rFonts w:ascii="Palatino Linotype" w:hAnsi="Palatino Linotype" w:cs="Arial"/>
          <w:sz w:val="24"/>
          <w:szCs w:val="24"/>
          <w:lang w:eastAsia="es-MX"/>
        </w:rPr>
        <w:t>,</w:t>
      </w:r>
      <w:r w:rsidRPr="00360DF2">
        <w:rPr>
          <w:rFonts w:ascii="Palatino Linotype" w:hAnsi="Palatino Linotype" w:cs="Arial"/>
          <w:b/>
          <w:sz w:val="24"/>
          <w:szCs w:val="24"/>
          <w:lang w:eastAsia="es-MX"/>
        </w:rPr>
        <w:t xml:space="preserve"> </w:t>
      </w:r>
      <w:r w:rsidRPr="00360DF2">
        <w:rPr>
          <w:rFonts w:ascii="Palatino Linotype" w:hAnsi="Palatino Linotype" w:cs="Arial"/>
          <w:sz w:val="24"/>
          <w:szCs w:val="24"/>
        </w:rPr>
        <w:t>mediante la cual solicitó información en el tenor siguiente:</w:t>
      </w:r>
    </w:p>
    <w:p w14:paraId="2ECE56CA" w14:textId="77777777" w:rsidR="0009491C" w:rsidRPr="00360DF2" w:rsidRDefault="0009491C" w:rsidP="00390FFA">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3CE45534" w14:textId="4A1E972C" w:rsidR="0009491C" w:rsidRPr="0016791B" w:rsidRDefault="0009491C" w:rsidP="00B075DB">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360DF2">
        <w:rPr>
          <w:rFonts w:ascii="Palatino Linotype" w:eastAsia="Times New Roman" w:hAnsi="Palatino Linotype" w:cs="Times New Roman"/>
          <w:i/>
          <w:szCs w:val="24"/>
          <w:lang w:val="es-ES_tradnl" w:eastAsia="es-ES"/>
        </w:rPr>
        <w:t>“</w:t>
      </w:r>
      <w:r w:rsidR="0024057C" w:rsidRPr="0024057C">
        <w:rPr>
          <w:rFonts w:ascii="Palatino Linotype" w:eastAsia="Times New Roman" w:hAnsi="Palatino Linotype" w:cs="Times New Roman"/>
          <w:i/>
          <w:szCs w:val="24"/>
          <w:lang w:eastAsia="es-ES"/>
        </w:rPr>
        <w:t>Buenas tardes! solicito por area la nomina de cada uno de los servidores públicos correspondiente a la primera y segunda quincena del mes de abril del año en curso, si se cree pertinente en versión pública. importante favor de no remitirme al ipomex ya que la información no esta actualizada.</w:t>
      </w:r>
      <w:r w:rsidRPr="00360DF2">
        <w:rPr>
          <w:rFonts w:ascii="Palatino Linotype" w:eastAsia="Times New Roman" w:hAnsi="Palatino Linotype" w:cs="Times New Roman"/>
          <w:i/>
          <w:szCs w:val="24"/>
          <w:lang w:val="es-ES_tradnl" w:eastAsia="es-ES"/>
        </w:rPr>
        <w:t>”</w:t>
      </w:r>
      <w:r w:rsidR="0016791B">
        <w:rPr>
          <w:rFonts w:ascii="Palatino Linotype" w:eastAsia="Times New Roman" w:hAnsi="Palatino Linotype" w:cs="Times New Roman"/>
          <w:szCs w:val="24"/>
          <w:lang w:val="es-ES_tradnl" w:eastAsia="es-ES"/>
        </w:rPr>
        <w:t xml:space="preserve"> (sic)</w:t>
      </w:r>
    </w:p>
    <w:p w14:paraId="1EA59338" w14:textId="77777777" w:rsidR="0009491C" w:rsidRPr="00360DF2" w:rsidRDefault="0009491C" w:rsidP="00390FFA">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510D9153" w14:textId="77777777" w:rsidR="0009491C" w:rsidRDefault="0009491C" w:rsidP="00390FFA">
      <w:pPr>
        <w:spacing w:after="0" w:line="360" w:lineRule="auto"/>
        <w:jc w:val="both"/>
        <w:rPr>
          <w:rFonts w:ascii="Palatino Linotype" w:eastAsia="Times New Roman" w:hAnsi="Palatino Linotype" w:cs="Times New Roman"/>
          <w:sz w:val="24"/>
          <w:szCs w:val="24"/>
          <w:lang w:val="es-ES_tradnl" w:eastAsia="es-ES"/>
        </w:rPr>
      </w:pPr>
      <w:r w:rsidRPr="00360DF2">
        <w:rPr>
          <w:rFonts w:ascii="Palatino Linotype" w:eastAsia="Times New Roman" w:hAnsi="Palatino Linotype" w:cs="Times New Roman"/>
          <w:sz w:val="24"/>
          <w:szCs w:val="24"/>
          <w:lang w:val="es-ES_tradnl" w:eastAsia="es-ES"/>
        </w:rPr>
        <w:t xml:space="preserve">Modalidad de entrega: </w:t>
      </w:r>
      <w:r w:rsidRPr="00360DF2">
        <w:rPr>
          <w:rFonts w:ascii="Palatino Linotype" w:eastAsia="Times New Roman" w:hAnsi="Palatino Linotype" w:cs="Times New Roman"/>
          <w:b/>
          <w:i/>
          <w:sz w:val="24"/>
          <w:szCs w:val="24"/>
          <w:lang w:val="es-ES_tradnl" w:eastAsia="es-ES"/>
        </w:rPr>
        <w:t>A través de</w:t>
      </w:r>
      <w:r w:rsidR="0048739B">
        <w:rPr>
          <w:rFonts w:ascii="Palatino Linotype" w:eastAsia="Times New Roman" w:hAnsi="Palatino Linotype" w:cs="Times New Roman"/>
          <w:b/>
          <w:i/>
          <w:sz w:val="24"/>
          <w:szCs w:val="24"/>
          <w:lang w:val="es-ES_tradnl" w:eastAsia="es-ES"/>
        </w:rPr>
        <w:t xml:space="preserve"> </w:t>
      </w:r>
      <w:r w:rsidR="00390FFA">
        <w:rPr>
          <w:rFonts w:ascii="Palatino Linotype" w:eastAsia="Times New Roman" w:hAnsi="Palatino Linotype" w:cs="Times New Roman"/>
          <w:b/>
          <w:i/>
          <w:sz w:val="24"/>
          <w:szCs w:val="24"/>
          <w:lang w:val="es-ES_tradnl" w:eastAsia="es-ES"/>
        </w:rPr>
        <w:t>SAIMEX</w:t>
      </w:r>
    </w:p>
    <w:p w14:paraId="108D1005" w14:textId="77777777" w:rsidR="00B075DB" w:rsidRPr="00B075DB" w:rsidRDefault="00B075DB" w:rsidP="00390FFA">
      <w:pPr>
        <w:spacing w:after="0" w:line="360" w:lineRule="auto"/>
        <w:jc w:val="both"/>
        <w:rPr>
          <w:rFonts w:ascii="Palatino Linotype" w:eastAsia="Times New Roman" w:hAnsi="Palatino Linotype" w:cs="Times New Roman"/>
          <w:sz w:val="24"/>
          <w:szCs w:val="24"/>
          <w:lang w:val="es-ES_tradnl" w:eastAsia="es-ES"/>
        </w:rPr>
      </w:pPr>
    </w:p>
    <w:p w14:paraId="0EAC54C1" w14:textId="4E2F60C6" w:rsidR="0009491C" w:rsidRPr="0024057C" w:rsidRDefault="0009491C"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360DF2">
        <w:rPr>
          <w:rFonts w:ascii="Palatino Linotype" w:eastAsia="Palatino Linotype" w:hAnsi="Palatino Linotype" w:cs="Palatino Linotype"/>
          <w:b/>
          <w:color w:val="000000"/>
          <w:sz w:val="28"/>
          <w:szCs w:val="26"/>
        </w:rPr>
        <w:lastRenderedPageBreak/>
        <w:t>SEGUNDO</w:t>
      </w:r>
      <w:r w:rsidRPr="00360DF2">
        <w:rPr>
          <w:rFonts w:ascii="Palatino Linotype" w:eastAsia="Palatino Linotype" w:hAnsi="Palatino Linotype" w:cs="Palatino Linotype"/>
          <w:b/>
          <w:color w:val="000000"/>
          <w:sz w:val="26"/>
          <w:szCs w:val="26"/>
        </w:rPr>
        <w:t xml:space="preserve">. </w:t>
      </w:r>
      <w:r w:rsidR="00946989">
        <w:rPr>
          <w:rFonts w:ascii="Palatino Linotype" w:hAnsi="Palatino Linotype" w:cs="Arial"/>
          <w:sz w:val="24"/>
          <w:szCs w:val="24"/>
        </w:rPr>
        <w:t>De conformidad con las constancias que integran el expediente electrónico, se observa que</w:t>
      </w:r>
      <w:r w:rsidR="003321A2">
        <w:rPr>
          <w:rFonts w:ascii="Palatino Linotype" w:hAnsi="Palatino Linotype" w:cs="Arial"/>
          <w:sz w:val="24"/>
          <w:szCs w:val="24"/>
        </w:rPr>
        <w:t xml:space="preserve">, en fecha </w:t>
      </w:r>
      <w:r w:rsidR="0024057C">
        <w:rPr>
          <w:rFonts w:ascii="Palatino Linotype" w:hAnsi="Palatino Linotype" w:cs="Arial"/>
          <w:sz w:val="24"/>
          <w:szCs w:val="24"/>
        </w:rPr>
        <w:t xml:space="preserve">tres de mayo </w:t>
      </w:r>
      <w:r w:rsidR="003321A2">
        <w:rPr>
          <w:rFonts w:ascii="Palatino Linotype" w:hAnsi="Palatino Linotype" w:cs="Arial"/>
          <w:sz w:val="24"/>
          <w:szCs w:val="24"/>
        </w:rPr>
        <w:t xml:space="preserve">de dos mil veinticuatro, </w:t>
      </w:r>
      <w:r w:rsidR="0024057C">
        <w:rPr>
          <w:rFonts w:ascii="Palatino Linotype" w:hAnsi="Palatino Linotype" w:cs="Arial"/>
          <w:sz w:val="24"/>
          <w:szCs w:val="24"/>
        </w:rPr>
        <w:t xml:space="preserve">en un primer momento </w:t>
      </w:r>
      <w:r w:rsidR="00946989">
        <w:rPr>
          <w:rFonts w:ascii="Palatino Linotype" w:hAnsi="Palatino Linotype" w:cs="Arial"/>
          <w:sz w:val="24"/>
          <w:szCs w:val="24"/>
        </w:rPr>
        <w:t xml:space="preserve">el </w:t>
      </w:r>
      <w:r w:rsidR="00946989" w:rsidRPr="00946989">
        <w:rPr>
          <w:rFonts w:ascii="Palatino Linotype" w:hAnsi="Palatino Linotype" w:cs="Arial"/>
          <w:b/>
          <w:sz w:val="24"/>
          <w:szCs w:val="24"/>
        </w:rPr>
        <w:t>Sujeto Obligado</w:t>
      </w:r>
      <w:r w:rsidR="0024057C">
        <w:rPr>
          <w:rFonts w:ascii="Palatino Linotype" w:hAnsi="Palatino Linotype" w:cs="Arial"/>
          <w:sz w:val="24"/>
          <w:szCs w:val="24"/>
        </w:rPr>
        <w:t xml:space="preserve"> notificó al entonces Solicitante que el plazo ordinario para dar respuesta, había sido prorrogado por un periodo extraordinario de siete días hábiles, sin embargo, se observa que no adjuntó el acta de su Comité de Transparencia en que se señalaron las razones fundadas y motivadas que justifican la procedencia de la ampliación, todo ello de conformidad con el párrafo segundo del artículo 163 de la Ley de Transparencia Local, que se cita para pronta referencia:</w:t>
      </w:r>
    </w:p>
    <w:p w14:paraId="3F85D761" w14:textId="0CA47CCF" w:rsidR="003321A2" w:rsidRDefault="003321A2"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12A649A1" w14:textId="212F8B5D" w:rsidR="0024057C" w:rsidRPr="0024057C" w:rsidRDefault="003321A2" w:rsidP="0024057C">
      <w:pPr>
        <w:pBdr>
          <w:top w:val="nil"/>
          <w:left w:val="nil"/>
          <w:bottom w:val="nil"/>
          <w:right w:val="nil"/>
          <w:between w:val="nil"/>
        </w:pBdr>
        <w:spacing w:after="0" w:line="240" w:lineRule="auto"/>
        <w:ind w:left="567" w:right="567"/>
        <w:contextualSpacing/>
        <w:jc w:val="both"/>
        <w:rPr>
          <w:rFonts w:ascii="Palatino Linotype" w:hAnsi="Palatino Linotype" w:cs="Arial"/>
          <w:i/>
          <w:iCs/>
        </w:rPr>
      </w:pPr>
      <w:r>
        <w:rPr>
          <w:rFonts w:ascii="Palatino Linotype" w:hAnsi="Palatino Linotype" w:cs="Arial"/>
          <w:i/>
          <w:iCs/>
        </w:rPr>
        <w:t>“</w:t>
      </w:r>
      <w:r w:rsidR="0024057C" w:rsidRPr="0024057C">
        <w:rPr>
          <w:rFonts w:ascii="Palatino Linotype" w:hAnsi="Palatino Linotype" w:cs="Arial"/>
          <w:b/>
          <w:i/>
          <w:iCs/>
        </w:rPr>
        <w:t>Artículo 163.</w:t>
      </w:r>
      <w:r w:rsidR="0024057C" w:rsidRPr="0024057C">
        <w:rPr>
          <w:rFonts w:ascii="Palatino Linotype" w:hAnsi="Palatino Linotype" w:cs="Arial"/>
          <w:i/>
          <w:iCs/>
        </w:rPr>
        <w:t xml:space="preserve"> La Unidad de Transparencia deberá notificar la respuesta a la solicitud al interesado en</w:t>
      </w:r>
      <w:r w:rsidR="0024057C">
        <w:rPr>
          <w:rFonts w:ascii="Palatino Linotype" w:hAnsi="Palatino Linotype" w:cs="Arial"/>
          <w:i/>
          <w:iCs/>
        </w:rPr>
        <w:t xml:space="preserve"> </w:t>
      </w:r>
      <w:r w:rsidR="0024057C" w:rsidRPr="0024057C">
        <w:rPr>
          <w:rFonts w:ascii="Palatino Linotype" w:hAnsi="Palatino Linotype" w:cs="Arial"/>
          <w:i/>
          <w:iCs/>
        </w:rPr>
        <w:t>el menor tiempo posible, que no podrá exceder de quince días hábiles, contados a partir del día</w:t>
      </w:r>
      <w:r w:rsidR="0024057C">
        <w:rPr>
          <w:rFonts w:ascii="Palatino Linotype" w:hAnsi="Palatino Linotype" w:cs="Arial"/>
          <w:i/>
          <w:iCs/>
        </w:rPr>
        <w:t xml:space="preserve"> </w:t>
      </w:r>
      <w:r w:rsidR="0024057C" w:rsidRPr="0024057C">
        <w:rPr>
          <w:rFonts w:ascii="Palatino Linotype" w:hAnsi="Palatino Linotype" w:cs="Arial"/>
          <w:i/>
          <w:iCs/>
        </w:rPr>
        <w:t>siguiente a la presentación de aquélla.</w:t>
      </w:r>
    </w:p>
    <w:p w14:paraId="0572AACE" w14:textId="77777777" w:rsidR="0024057C" w:rsidRDefault="0024057C" w:rsidP="0024057C">
      <w:pPr>
        <w:pBdr>
          <w:top w:val="nil"/>
          <w:left w:val="nil"/>
          <w:bottom w:val="nil"/>
          <w:right w:val="nil"/>
          <w:between w:val="nil"/>
        </w:pBdr>
        <w:spacing w:after="0" w:line="240" w:lineRule="auto"/>
        <w:ind w:left="567" w:right="567"/>
        <w:contextualSpacing/>
        <w:jc w:val="both"/>
        <w:rPr>
          <w:rFonts w:ascii="Palatino Linotype" w:hAnsi="Palatino Linotype" w:cs="Arial"/>
          <w:i/>
          <w:iCs/>
        </w:rPr>
      </w:pPr>
      <w:r w:rsidRPr="0024057C">
        <w:rPr>
          <w:rFonts w:ascii="Palatino Linotype" w:hAnsi="Palatino Linotype" w:cs="Arial"/>
          <w:i/>
          <w:iCs/>
          <w:u w:val="single"/>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w:t>
      </w:r>
      <w:r w:rsidRPr="0024057C">
        <w:rPr>
          <w:rFonts w:ascii="Palatino Linotype" w:hAnsi="Palatino Linotype" w:cs="Arial"/>
          <w:i/>
          <w:iCs/>
        </w:rPr>
        <w:t>. No podrán invocarse como causales de ampliación del plazo motivos que</w:t>
      </w:r>
      <w:r>
        <w:rPr>
          <w:rFonts w:ascii="Palatino Linotype" w:hAnsi="Palatino Linotype" w:cs="Arial"/>
          <w:i/>
          <w:iCs/>
        </w:rPr>
        <w:t xml:space="preserve"> </w:t>
      </w:r>
      <w:r w:rsidRPr="0024057C">
        <w:rPr>
          <w:rFonts w:ascii="Palatino Linotype" w:hAnsi="Palatino Linotype" w:cs="Arial"/>
          <w:i/>
          <w:iCs/>
        </w:rPr>
        <w:t>supongan negligencia o descuido del sujeto obligado en el desahogo de la solicitud.</w:t>
      </w:r>
      <w:r>
        <w:rPr>
          <w:rFonts w:ascii="Palatino Linotype" w:hAnsi="Palatino Linotype" w:cs="Arial"/>
          <w:i/>
          <w:iCs/>
        </w:rPr>
        <w:t>”</w:t>
      </w:r>
    </w:p>
    <w:p w14:paraId="1D54B923" w14:textId="1B0F5164" w:rsidR="003321A2" w:rsidRPr="0024057C" w:rsidRDefault="0024057C" w:rsidP="0024057C">
      <w:pPr>
        <w:pBdr>
          <w:top w:val="nil"/>
          <w:left w:val="nil"/>
          <w:bottom w:val="nil"/>
          <w:right w:val="nil"/>
          <w:between w:val="nil"/>
        </w:pBdr>
        <w:spacing w:after="0" w:line="240" w:lineRule="auto"/>
        <w:ind w:left="567" w:right="567"/>
        <w:contextualSpacing/>
        <w:jc w:val="right"/>
        <w:rPr>
          <w:rFonts w:ascii="Palatino Linotype" w:hAnsi="Palatino Linotype" w:cs="Arial"/>
          <w:iCs/>
        </w:rPr>
      </w:pPr>
      <w:r>
        <w:rPr>
          <w:rFonts w:ascii="Palatino Linotype" w:hAnsi="Palatino Linotype" w:cs="Arial"/>
          <w:iCs/>
        </w:rPr>
        <w:t>(Énfasis añadido)</w:t>
      </w:r>
    </w:p>
    <w:p w14:paraId="3A4DFE8B" w14:textId="5D2AFBC0" w:rsidR="003321A2" w:rsidRDefault="003321A2"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35B237C7" w14:textId="1D79834B" w:rsidR="0024057C" w:rsidRDefault="0024057C"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r>
        <w:rPr>
          <w:rFonts w:ascii="Palatino Linotype" w:eastAsia="Palatino Linotype" w:hAnsi="Palatino Linotype" w:cs="Palatino Linotype"/>
          <w:b/>
          <w:color w:val="000000"/>
          <w:sz w:val="28"/>
          <w:szCs w:val="26"/>
        </w:rPr>
        <w:t>TERCERO</w:t>
      </w:r>
      <w:r w:rsidRPr="00360DF2">
        <w:rPr>
          <w:rFonts w:ascii="Palatino Linotype" w:eastAsia="Palatino Linotype" w:hAnsi="Palatino Linotype" w:cs="Palatino Linotype"/>
          <w:b/>
          <w:color w:val="000000"/>
          <w:sz w:val="26"/>
          <w:szCs w:val="26"/>
        </w:rPr>
        <w:t xml:space="preserve">. </w:t>
      </w:r>
      <w:r>
        <w:rPr>
          <w:rFonts w:ascii="Palatino Linotype" w:hAnsi="Palatino Linotype" w:cs="Arial"/>
          <w:sz w:val="24"/>
          <w:szCs w:val="24"/>
        </w:rPr>
        <w:t>Una vez transcurrido tanto el término ordinario como extraordinario, se observa que en fecha quince de mayo de dos mil veinticuatro, el Sujeto Obligado notificó la respuesta, en los términos siguientes:</w:t>
      </w:r>
    </w:p>
    <w:p w14:paraId="27BE70DA" w14:textId="77777777" w:rsidR="0024057C" w:rsidRDefault="0024057C"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1916809C" w14:textId="77777777" w:rsidR="0024057C" w:rsidRDefault="0024057C" w:rsidP="0024057C">
      <w:pPr>
        <w:pBdr>
          <w:top w:val="nil"/>
          <w:left w:val="nil"/>
          <w:bottom w:val="nil"/>
          <w:right w:val="nil"/>
          <w:between w:val="nil"/>
        </w:pBdr>
        <w:spacing w:after="0" w:line="240" w:lineRule="auto"/>
        <w:ind w:left="567" w:right="567"/>
        <w:contextualSpacing/>
        <w:jc w:val="both"/>
        <w:rPr>
          <w:rFonts w:ascii="Palatino Linotype" w:hAnsi="Palatino Linotype" w:cs="Arial"/>
          <w:i/>
          <w:szCs w:val="24"/>
        </w:rPr>
      </w:pPr>
      <w:r>
        <w:rPr>
          <w:rFonts w:ascii="Palatino Linotype" w:hAnsi="Palatino Linotype" w:cs="Arial"/>
          <w:i/>
          <w:szCs w:val="24"/>
        </w:rPr>
        <w:t>“</w:t>
      </w:r>
      <w:r w:rsidRPr="0024057C">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27DDC7" w14:textId="77777777" w:rsidR="0024057C" w:rsidRPr="0024057C" w:rsidRDefault="0024057C" w:rsidP="0024057C">
      <w:pPr>
        <w:pBdr>
          <w:top w:val="nil"/>
          <w:left w:val="nil"/>
          <w:bottom w:val="nil"/>
          <w:right w:val="nil"/>
          <w:between w:val="nil"/>
        </w:pBdr>
        <w:spacing w:after="0" w:line="240" w:lineRule="auto"/>
        <w:ind w:left="567" w:right="567"/>
        <w:contextualSpacing/>
        <w:jc w:val="both"/>
        <w:rPr>
          <w:rFonts w:ascii="Palatino Linotype" w:hAnsi="Palatino Linotype" w:cs="Arial"/>
          <w:i/>
          <w:szCs w:val="24"/>
        </w:rPr>
      </w:pPr>
    </w:p>
    <w:p w14:paraId="4FFC10D8" w14:textId="2597A479" w:rsidR="0024057C" w:rsidRPr="0024057C" w:rsidRDefault="0024057C" w:rsidP="0024057C">
      <w:pPr>
        <w:pBdr>
          <w:top w:val="nil"/>
          <w:left w:val="nil"/>
          <w:bottom w:val="nil"/>
          <w:right w:val="nil"/>
          <w:between w:val="nil"/>
        </w:pBdr>
        <w:spacing w:after="0" w:line="240" w:lineRule="auto"/>
        <w:ind w:left="567" w:right="567"/>
        <w:contextualSpacing/>
        <w:jc w:val="both"/>
        <w:rPr>
          <w:rFonts w:ascii="Palatino Linotype" w:hAnsi="Palatino Linotype" w:cs="Arial"/>
          <w:i/>
          <w:szCs w:val="24"/>
        </w:rPr>
      </w:pPr>
      <w:r w:rsidRPr="0024057C">
        <w:rPr>
          <w:rFonts w:ascii="Palatino Linotype" w:hAnsi="Palatino Linotype" w:cs="Arial"/>
          <w:i/>
          <w:szCs w:val="24"/>
        </w:rPr>
        <w:t>Se da atención a la solicitud con número de folio 00061/MTEOATE/IP/2024, a través del oficio número SMA/UIPPET/UT/0317/2024.</w:t>
      </w:r>
      <w:r>
        <w:rPr>
          <w:rFonts w:ascii="Palatino Linotype" w:hAnsi="Palatino Linotype" w:cs="Arial"/>
          <w:i/>
          <w:szCs w:val="24"/>
        </w:rPr>
        <w:t>”</w:t>
      </w:r>
    </w:p>
    <w:p w14:paraId="1112ADF4" w14:textId="77777777" w:rsidR="0024057C" w:rsidRDefault="0024057C"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5508EC1C" w14:textId="6A3A804C" w:rsidR="003321A2" w:rsidRPr="003321A2" w:rsidRDefault="003321A2" w:rsidP="003321A2">
      <w:pPr>
        <w:pBdr>
          <w:top w:val="nil"/>
          <w:left w:val="nil"/>
          <w:bottom w:val="nil"/>
          <w:right w:val="nil"/>
          <w:between w:val="nil"/>
        </w:pBdr>
        <w:spacing w:after="0" w:line="360" w:lineRule="auto"/>
        <w:contextualSpacing/>
        <w:jc w:val="both"/>
        <w:rPr>
          <w:rFonts w:ascii="Palatino Linotype" w:hAnsi="Palatino Linotype" w:cs="Arial"/>
          <w:sz w:val="24"/>
          <w:szCs w:val="24"/>
        </w:rPr>
      </w:pPr>
      <w:r>
        <w:rPr>
          <w:rFonts w:ascii="Palatino Linotype" w:hAnsi="Palatino Linotype" w:cs="Arial"/>
          <w:sz w:val="24"/>
          <w:szCs w:val="24"/>
        </w:rPr>
        <w:lastRenderedPageBreak/>
        <w:t xml:space="preserve">Asimismo, se hace constar que adjuntó </w:t>
      </w:r>
      <w:r w:rsidR="0024057C">
        <w:rPr>
          <w:rFonts w:ascii="Palatino Linotype" w:hAnsi="Palatino Linotype" w:cs="Arial"/>
          <w:sz w:val="24"/>
          <w:szCs w:val="24"/>
        </w:rPr>
        <w:t>el</w:t>
      </w:r>
      <w:r>
        <w:rPr>
          <w:rFonts w:ascii="Palatino Linotype" w:hAnsi="Palatino Linotype" w:cs="Arial"/>
          <w:sz w:val="24"/>
          <w:szCs w:val="24"/>
        </w:rPr>
        <w:t xml:space="preserve"> documento electrónico denominado </w:t>
      </w:r>
      <w:r>
        <w:rPr>
          <w:rFonts w:ascii="Palatino Linotype" w:hAnsi="Palatino Linotype" w:cs="Arial"/>
          <w:i/>
          <w:iCs/>
          <w:sz w:val="24"/>
          <w:szCs w:val="24"/>
        </w:rPr>
        <w:t>“</w:t>
      </w:r>
      <w:r w:rsidR="0024057C" w:rsidRPr="0024057C">
        <w:rPr>
          <w:rFonts w:ascii="Palatino Linotype" w:hAnsi="Palatino Linotype" w:cs="Arial"/>
          <w:b/>
          <w:bCs/>
          <w:i/>
          <w:iCs/>
          <w:sz w:val="24"/>
          <w:szCs w:val="24"/>
        </w:rPr>
        <w:t>00061.pdf</w:t>
      </w:r>
      <w:r>
        <w:rPr>
          <w:rFonts w:ascii="Palatino Linotype" w:hAnsi="Palatino Linotype" w:cs="Arial"/>
          <w:i/>
          <w:iCs/>
          <w:sz w:val="24"/>
          <w:szCs w:val="24"/>
        </w:rPr>
        <w:t>”</w:t>
      </w:r>
      <w:r>
        <w:rPr>
          <w:rFonts w:ascii="Palatino Linotype" w:hAnsi="Palatino Linotype" w:cs="Arial"/>
          <w:sz w:val="24"/>
          <w:szCs w:val="24"/>
        </w:rPr>
        <w:t xml:space="preserve">, </w:t>
      </w:r>
      <w:r w:rsidR="0024057C">
        <w:rPr>
          <w:rFonts w:ascii="Palatino Linotype" w:hAnsi="Palatino Linotype" w:cs="Arial"/>
          <w:sz w:val="24"/>
          <w:szCs w:val="24"/>
        </w:rPr>
        <w:t>el</w:t>
      </w:r>
      <w:r>
        <w:rPr>
          <w:rFonts w:ascii="Palatino Linotype" w:hAnsi="Palatino Linotype" w:cs="Arial"/>
          <w:sz w:val="24"/>
          <w:szCs w:val="24"/>
        </w:rPr>
        <w:t xml:space="preserve"> cual se omite la descripción de su contenido en este apartado, atendiendo que serán objeto de estudio en párrafos posteriores, ello en obvio de repeticiones innecesarias.</w:t>
      </w:r>
    </w:p>
    <w:p w14:paraId="043C27CA" w14:textId="77777777" w:rsidR="0048739B" w:rsidRPr="00360DF2" w:rsidRDefault="0048739B" w:rsidP="00390FFA">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12CF224A" w14:textId="61BFEE90" w:rsidR="0009491C" w:rsidRDefault="0024057C" w:rsidP="00390FFA">
      <w:pPr>
        <w:spacing w:after="0" w:line="360" w:lineRule="auto"/>
        <w:jc w:val="both"/>
        <w:rPr>
          <w:rFonts w:ascii="Palatino Linotype" w:hAnsi="Palatino Linotype" w:cs="Arial"/>
          <w:sz w:val="24"/>
          <w:szCs w:val="24"/>
        </w:rPr>
      </w:pPr>
      <w:r>
        <w:rPr>
          <w:rFonts w:ascii="Palatino Linotype" w:hAnsi="Palatino Linotype" w:cs="Arial"/>
          <w:b/>
          <w:sz w:val="28"/>
          <w:szCs w:val="24"/>
        </w:rPr>
        <w:t>CUARTO</w:t>
      </w:r>
      <w:r w:rsidR="0009491C" w:rsidRPr="00360DF2">
        <w:rPr>
          <w:rFonts w:ascii="Palatino Linotype" w:hAnsi="Palatino Linotype" w:cs="Arial"/>
          <w:b/>
          <w:sz w:val="24"/>
          <w:szCs w:val="24"/>
        </w:rPr>
        <w:t xml:space="preserve">. </w:t>
      </w:r>
      <w:r w:rsidR="0009491C" w:rsidRPr="00360DF2">
        <w:rPr>
          <w:rFonts w:ascii="Palatino Linotype" w:hAnsi="Palatino Linotype" w:cs="Arial"/>
          <w:sz w:val="24"/>
          <w:szCs w:val="24"/>
        </w:rPr>
        <w:t xml:space="preserve">Inconforme ante la respuesta del </w:t>
      </w:r>
      <w:r w:rsidR="0009491C" w:rsidRPr="00360DF2">
        <w:rPr>
          <w:rFonts w:ascii="Palatino Linotype" w:hAnsi="Palatino Linotype" w:cs="Arial"/>
          <w:b/>
          <w:sz w:val="24"/>
          <w:szCs w:val="24"/>
        </w:rPr>
        <w:t>Sujeto Obligado</w:t>
      </w:r>
      <w:r w:rsidR="0009491C" w:rsidRPr="00360DF2">
        <w:rPr>
          <w:rFonts w:ascii="Palatino Linotype" w:hAnsi="Palatino Linotype" w:cs="Arial"/>
          <w:sz w:val="24"/>
          <w:szCs w:val="24"/>
        </w:rPr>
        <w:t xml:space="preserve">, </w:t>
      </w:r>
      <w:r w:rsidR="0061125D">
        <w:rPr>
          <w:rFonts w:ascii="Palatino Linotype" w:hAnsi="Palatino Linotype" w:cs="Arial"/>
          <w:sz w:val="24"/>
          <w:szCs w:val="24"/>
        </w:rPr>
        <w:t>la parte</w:t>
      </w:r>
      <w:r w:rsidR="0009491C" w:rsidRPr="00360DF2">
        <w:rPr>
          <w:rFonts w:ascii="Palatino Linotype" w:hAnsi="Palatino Linotype" w:cs="Arial"/>
          <w:sz w:val="24"/>
          <w:szCs w:val="24"/>
        </w:rPr>
        <w:t xml:space="preserve"> </w:t>
      </w:r>
      <w:r w:rsidR="0009491C" w:rsidRPr="00360DF2">
        <w:rPr>
          <w:rFonts w:ascii="Palatino Linotype" w:hAnsi="Palatino Linotype" w:cs="Arial"/>
          <w:b/>
          <w:sz w:val="24"/>
          <w:szCs w:val="24"/>
        </w:rPr>
        <w:t>Recurrente</w:t>
      </w:r>
      <w:r w:rsidR="0009491C" w:rsidRPr="00360DF2">
        <w:rPr>
          <w:rFonts w:ascii="Palatino Linotype" w:hAnsi="Palatino Linotype" w:cs="Arial"/>
          <w:sz w:val="24"/>
          <w:szCs w:val="24"/>
        </w:rPr>
        <w:t xml:space="preserve"> en fecha </w:t>
      </w:r>
      <w:r w:rsidR="00814131">
        <w:rPr>
          <w:rFonts w:ascii="Palatino Linotype" w:hAnsi="Palatino Linotype" w:cs="Arial"/>
          <w:sz w:val="24"/>
          <w:szCs w:val="24"/>
        </w:rPr>
        <w:t xml:space="preserve">veintiuno de mayo </w:t>
      </w:r>
      <w:r w:rsidR="00390FFA">
        <w:rPr>
          <w:rFonts w:ascii="Palatino Linotype" w:hAnsi="Palatino Linotype" w:cs="Arial"/>
          <w:sz w:val="24"/>
          <w:szCs w:val="24"/>
        </w:rPr>
        <w:t>de dos mil veinticuatro</w:t>
      </w:r>
      <w:r w:rsidR="0009491C" w:rsidRPr="00360DF2">
        <w:rPr>
          <w:rFonts w:ascii="Palatino Linotype" w:hAnsi="Palatino Linotype" w:cs="Arial"/>
          <w:sz w:val="24"/>
          <w:szCs w:val="24"/>
        </w:rPr>
        <w:t>, interpuso recurso de revisión, que fue registrado</w:t>
      </w:r>
      <w:r w:rsidR="0009491C" w:rsidRPr="00360DF2">
        <w:rPr>
          <w:rFonts w:ascii="Palatino Linotype" w:hAnsi="Palatino Linotype" w:cs="Arial"/>
          <w:b/>
          <w:sz w:val="24"/>
          <w:szCs w:val="24"/>
        </w:rPr>
        <w:t xml:space="preserve"> </w:t>
      </w:r>
      <w:r w:rsidR="0009491C" w:rsidRPr="00360DF2">
        <w:rPr>
          <w:rFonts w:ascii="Palatino Linotype" w:hAnsi="Palatino Linotype" w:cs="Arial"/>
          <w:sz w:val="24"/>
          <w:szCs w:val="24"/>
        </w:rPr>
        <w:t xml:space="preserve">en el sistema electrónico con número de expediente </w:t>
      </w:r>
      <w:r>
        <w:rPr>
          <w:rFonts w:ascii="Palatino Linotype" w:hAnsi="Palatino Linotype" w:cs="Arial"/>
          <w:b/>
          <w:bCs/>
          <w:sz w:val="24"/>
          <w:szCs w:val="24"/>
          <w:lang w:eastAsia="es-MX"/>
        </w:rPr>
        <w:t>03210/INFOEM/IP/RR/2024</w:t>
      </w:r>
      <w:r w:rsidR="0009491C" w:rsidRPr="00360DF2">
        <w:rPr>
          <w:rFonts w:ascii="Palatino Linotype" w:hAnsi="Palatino Linotype" w:cs="Arial"/>
          <w:sz w:val="24"/>
          <w:szCs w:val="24"/>
        </w:rPr>
        <w:t>, aduciendo como acto impugnado</w:t>
      </w:r>
      <w:r w:rsidR="00390FFA">
        <w:rPr>
          <w:rFonts w:ascii="Palatino Linotype" w:hAnsi="Palatino Linotype" w:cs="Arial"/>
          <w:sz w:val="24"/>
          <w:szCs w:val="24"/>
        </w:rPr>
        <w:t xml:space="preserve"> y razones o motivos de inconformidad</w:t>
      </w:r>
      <w:r w:rsidR="003321A2">
        <w:rPr>
          <w:rFonts w:ascii="Palatino Linotype" w:hAnsi="Palatino Linotype" w:cs="Arial"/>
          <w:sz w:val="24"/>
          <w:szCs w:val="24"/>
        </w:rPr>
        <w:t xml:space="preserve"> </w:t>
      </w:r>
      <w:r w:rsidR="00814131">
        <w:rPr>
          <w:rFonts w:ascii="Palatino Linotype" w:hAnsi="Palatino Linotype" w:cs="Arial"/>
          <w:sz w:val="24"/>
          <w:szCs w:val="24"/>
        </w:rPr>
        <w:t>los siguientes</w:t>
      </w:r>
      <w:r w:rsidR="0009491C" w:rsidRPr="00360DF2">
        <w:rPr>
          <w:rFonts w:ascii="Palatino Linotype" w:hAnsi="Palatino Linotype" w:cs="Arial"/>
          <w:sz w:val="24"/>
          <w:szCs w:val="24"/>
        </w:rPr>
        <w:t>:</w:t>
      </w:r>
    </w:p>
    <w:p w14:paraId="2F632350" w14:textId="77777777" w:rsidR="002B22A6" w:rsidRPr="00360DF2" w:rsidRDefault="002B22A6" w:rsidP="00390FFA">
      <w:pPr>
        <w:spacing w:after="0" w:line="360" w:lineRule="auto"/>
        <w:jc w:val="both"/>
        <w:rPr>
          <w:rFonts w:ascii="Palatino Linotype" w:hAnsi="Palatino Linotype" w:cs="Arial"/>
          <w:sz w:val="24"/>
          <w:szCs w:val="24"/>
        </w:rPr>
      </w:pPr>
    </w:p>
    <w:p w14:paraId="094E70E8" w14:textId="28D2F0AC" w:rsidR="0009491C" w:rsidRPr="00360DF2" w:rsidRDefault="0009491C" w:rsidP="00390FFA">
      <w:pPr>
        <w:pStyle w:val="Prrafodelista"/>
        <w:spacing w:line="360" w:lineRule="auto"/>
        <w:ind w:left="0"/>
        <w:jc w:val="both"/>
        <w:rPr>
          <w:rFonts w:ascii="Palatino Linotype" w:hAnsi="Palatino Linotype" w:cs="Arial"/>
          <w:b/>
        </w:rPr>
      </w:pPr>
      <w:r w:rsidRPr="00360DF2">
        <w:rPr>
          <w:rFonts w:ascii="Palatino Linotype" w:hAnsi="Palatino Linotype" w:cs="Arial"/>
          <w:b/>
        </w:rPr>
        <w:t>Acto Impugnado</w:t>
      </w:r>
      <w:r w:rsidR="003321A2">
        <w:rPr>
          <w:rFonts w:ascii="Palatino Linotype" w:hAnsi="Palatino Linotype" w:cs="Arial"/>
          <w:b/>
        </w:rPr>
        <w:t>:</w:t>
      </w:r>
    </w:p>
    <w:p w14:paraId="214E3AA4" w14:textId="77777777" w:rsidR="0009491C" w:rsidRPr="00360DF2" w:rsidRDefault="0009491C" w:rsidP="00390FFA">
      <w:pPr>
        <w:pStyle w:val="Prrafodelista"/>
        <w:spacing w:line="360" w:lineRule="auto"/>
        <w:ind w:left="0"/>
        <w:jc w:val="both"/>
        <w:rPr>
          <w:rFonts w:ascii="Palatino Linotype" w:hAnsi="Palatino Linotype" w:cs="Arial"/>
          <w:b/>
        </w:rPr>
      </w:pPr>
    </w:p>
    <w:p w14:paraId="512C6E8F" w14:textId="3B1DD46C" w:rsidR="0009491C" w:rsidRPr="00360DF2" w:rsidRDefault="0009491C" w:rsidP="00390FFA">
      <w:pPr>
        <w:spacing w:after="0" w:line="240" w:lineRule="auto"/>
        <w:ind w:left="567" w:right="567"/>
        <w:jc w:val="both"/>
        <w:rPr>
          <w:rFonts w:ascii="Palatino Linotype" w:hAnsi="Palatino Linotype"/>
          <w:i/>
          <w:color w:val="000000"/>
        </w:rPr>
      </w:pPr>
      <w:r w:rsidRPr="00360DF2">
        <w:rPr>
          <w:rFonts w:ascii="Palatino Linotype" w:hAnsi="Palatino Linotype" w:cs="Arial"/>
          <w:i/>
        </w:rPr>
        <w:t>“</w:t>
      </w:r>
      <w:bookmarkStart w:id="1" w:name="_Hlk173740429"/>
      <w:r w:rsidR="00814131" w:rsidRPr="00814131">
        <w:rPr>
          <w:rFonts w:ascii="Palatino Linotype" w:hAnsi="Palatino Linotype"/>
          <w:i/>
          <w:color w:val="000000"/>
        </w:rPr>
        <w:t>LA RESPUESTA ENTREGADA POR EL SUJETO RESPONSABLE</w:t>
      </w:r>
      <w:r w:rsidRPr="00360DF2">
        <w:rPr>
          <w:rFonts w:ascii="Palatino Linotype" w:hAnsi="Palatino Linotype"/>
          <w:i/>
          <w:color w:val="000000"/>
        </w:rPr>
        <w:t>” (sic)</w:t>
      </w:r>
      <w:bookmarkEnd w:id="1"/>
    </w:p>
    <w:p w14:paraId="309A3AA4" w14:textId="77777777" w:rsidR="0009491C" w:rsidRDefault="0009491C" w:rsidP="00390FFA">
      <w:pPr>
        <w:spacing w:after="0" w:line="360" w:lineRule="auto"/>
        <w:jc w:val="both"/>
        <w:rPr>
          <w:rFonts w:ascii="Palatino Linotype" w:hAnsi="Palatino Linotype" w:cs="Arial"/>
          <w:sz w:val="24"/>
          <w:szCs w:val="24"/>
        </w:rPr>
      </w:pPr>
    </w:p>
    <w:p w14:paraId="6773CD5B" w14:textId="77FFBBC2" w:rsidR="00814131" w:rsidRPr="00360DF2" w:rsidRDefault="00814131" w:rsidP="00814131">
      <w:pPr>
        <w:pStyle w:val="Prrafodelista"/>
        <w:spacing w:line="360" w:lineRule="auto"/>
        <w:ind w:left="0"/>
        <w:jc w:val="both"/>
        <w:rPr>
          <w:rFonts w:ascii="Palatino Linotype" w:hAnsi="Palatino Linotype" w:cs="Arial"/>
          <w:b/>
        </w:rPr>
      </w:pPr>
      <w:r>
        <w:rPr>
          <w:rFonts w:ascii="Palatino Linotype" w:hAnsi="Palatino Linotype" w:cs="Arial"/>
          <w:b/>
        </w:rPr>
        <w:t>Razones o motivos de inconformidad:</w:t>
      </w:r>
    </w:p>
    <w:p w14:paraId="609A161D" w14:textId="77777777" w:rsidR="00814131" w:rsidRPr="00360DF2" w:rsidRDefault="00814131" w:rsidP="00814131">
      <w:pPr>
        <w:pStyle w:val="Prrafodelista"/>
        <w:spacing w:line="360" w:lineRule="auto"/>
        <w:ind w:left="0"/>
        <w:jc w:val="both"/>
        <w:rPr>
          <w:rFonts w:ascii="Palatino Linotype" w:hAnsi="Palatino Linotype" w:cs="Arial"/>
          <w:b/>
        </w:rPr>
      </w:pPr>
    </w:p>
    <w:p w14:paraId="124F529F" w14:textId="2794BFD6" w:rsidR="00814131" w:rsidRPr="00360DF2" w:rsidRDefault="00814131" w:rsidP="00814131">
      <w:pPr>
        <w:spacing w:after="0" w:line="240" w:lineRule="auto"/>
        <w:ind w:left="567" w:right="567"/>
        <w:jc w:val="both"/>
        <w:rPr>
          <w:rFonts w:ascii="Palatino Linotype" w:hAnsi="Palatino Linotype"/>
          <w:i/>
          <w:color w:val="000000"/>
        </w:rPr>
      </w:pPr>
      <w:r w:rsidRPr="00360DF2">
        <w:rPr>
          <w:rFonts w:ascii="Palatino Linotype" w:hAnsi="Palatino Linotype" w:cs="Arial"/>
          <w:i/>
        </w:rPr>
        <w:t>“</w:t>
      </w:r>
      <w:r w:rsidRPr="00814131">
        <w:rPr>
          <w:rFonts w:ascii="Palatino Linotype" w:hAnsi="Palatino Linotype"/>
          <w:i/>
          <w:color w:val="000000"/>
        </w:rPr>
        <w:t>QUE LA INFORMACIÓN QUE SE ME ENTREGA NO CORRESPONDE A LO SOLICITADO TODA VEZ QUE ES DE MI INTERES EJERCER MI DERECHO AL ACCESO A LA INFORMACIÓN PARA CONOCER LAS NOMINAS DE TODOS Y CADA UNO DE LOS SERVIDORES PÚBLICOS. LO ANTERIOR TODA VEZ QUE NO ES POSIBLE VERLA EN EL IPOMEX DE MANERA ACTUALIZADA. ES DE NOTARCE QUE LA INFORMACIÓN QUE ME HACEN LLEGAR NO SON LA NOMINAS DE LOS TRABAJDORES. POR LO QUE TRANGREDEN MI DERECHO AL ACCESO A LA INFORMACIÓN</w:t>
      </w:r>
      <w:r w:rsidRPr="00360DF2">
        <w:rPr>
          <w:rFonts w:ascii="Palatino Linotype" w:hAnsi="Palatino Linotype"/>
          <w:i/>
          <w:color w:val="000000"/>
        </w:rPr>
        <w:t>” (sic)</w:t>
      </w:r>
    </w:p>
    <w:p w14:paraId="5B12487D" w14:textId="77777777" w:rsidR="00814131" w:rsidRDefault="00814131" w:rsidP="00390FFA">
      <w:pPr>
        <w:spacing w:after="0" w:line="360" w:lineRule="auto"/>
        <w:jc w:val="both"/>
        <w:rPr>
          <w:rFonts w:ascii="Palatino Linotype" w:hAnsi="Palatino Linotype" w:cs="Arial"/>
          <w:sz w:val="24"/>
          <w:szCs w:val="24"/>
        </w:rPr>
      </w:pPr>
    </w:p>
    <w:p w14:paraId="0A0C86F2" w14:textId="77777777" w:rsidR="0009491C" w:rsidRDefault="0061125D" w:rsidP="00390FFA">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0009491C" w:rsidRPr="00360DF2">
        <w:rPr>
          <w:rFonts w:ascii="Palatino Linotype" w:eastAsia="Times New Roman" w:hAnsi="Palatino Linotype" w:cs="Arial"/>
          <w:sz w:val="24"/>
          <w:szCs w:val="24"/>
          <w:lang w:val="es-ES_tradnl" w:eastAsia="es-ES"/>
        </w:rPr>
        <w:t xml:space="preserve">ecurso de </w:t>
      </w:r>
      <w:r>
        <w:rPr>
          <w:rFonts w:ascii="Palatino Linotype" w:eastAsia="Times New Roman" w:hAnsi="Palatino Linotype" w:cs="Arial"/>
          <w:sz w:val="24"/>
          <w:szCs w:val="24"/>
          <w:lang w:val="es-ES_tradnl" w:eastAsia="es-ES"/>
        </w:rPr>
        <w:t xml:space="preserve">revisión del </w:t>
      </w:r>
      <w:r w:rsidR="0009491C" w:rsidRPr="00360DF2">
        <w:rPr>
          <w:rFonts w:ascii="Palatino Linotype" w:eastAsia="Times New Roman" w:hAnsi="Palatino Linotype" w:cs="Arial"/>
          <w:sz w:val="24"/>
          <w:szCs w:val="24"/>
          <w:lang w:val="es-ES_tradnl" w:eastAsia="es-ES"/>
        </w:rPr>
        <w:t>que</w:t>
      </w:r>
      <w:r w:rsidR="0009491C" w:rsidRPr="00360DF2">
        <w:rPr>
          <w:rFonts w:ascii="Palatino Linotype" w:eastAsia="Times New Roman" w:hAnsi="Palatino Linotype" w:cs="Arial"/>
          <w:sz w:val="24"/>
          <w:szCs w:val="24"/>
          <w:lang w:val="es-ES" w:eastAsia="es-ES"/>
        </w:rPr>
        <w:t xml:space="preserve"> se trata</w:t>
      </w:r>
      <w:r>
        <w:rPr>
          <w:rFonts w:ascii="Palatino Linotype" w:eastAsia="Times New Roman" w:hAnsi="Palatino Linotype" w:cs="Arial"/>
          <w:sz w:val="24"/>
          <w:szCs w:val="24"/>
          <w:lang w:val="es-ES" w:eastAsia="es-ES"/>
        </w:rPr>
        <w:t>, el cual,</w:t>
      </w:r>
      <w:r w:rsidR="0009491C" w:rsidRPr="00360DF2">
        <w:rPr>
          <w:rFonts w:ascii="Palatino Linotype" w:eastAsia="Times New Roman" w:hAnsi="Palatino Linotype" w:cs="Arial"/>
          <w:sz w:val="24"/>
          <w:szCs w:val="24"/>
          <w:lang w:val="es-ES_tradnl" w:eastAsia="es-ES"/>
        </w:rPr>
        <w:t xml:space="preserve"> se envió electrónicamente al Instituto de </w:t>
      </w:r>
      <w:r w:rsidR="0009491C" w:rsidRPr="00360DF2">
        <w:rPr>
          <w:rFonts w:ascii="Palatino Linotype" w:eastAsia="Arial Unicode MS" w:hAnsi="Palatino Linotype" w:cs="Arial"/>
          <w:sz w:val="24"/>
          <w:szCs w:val="24"/>
          <w:lang w:val="es-ES" w:eastAsia="es-ES"/>
        </w:rPr>
        <w:t>Transparencia</w:t>
      </w:r>
      <w:r w:rsidR="0009491C" w:rsidRPr="00360DF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09491C" w:rsidRPr="00360DF2">
        <w:rPr>
          <w:rFonts w:ascii="Palatino Linotype" w:eastAsia="Times New Roman" w:hAnsi="Palatino Linotype" w:cs="Times New Roman"/>
          <w:sz w:val="24"/>
          <w:szCs w:val="24"/>
          <w:lang w:val="es-ES" w:eastAsia="es-ES"/>
        </w:rPr>
        <w:t>Ley de Transparencia y Acceso a la Información Pública del Estado de México y Municipios</w:t>
      </w:r>
      <w:r w:rsidR="0009491C" w:rsidRPr="00360DF2">
        <w:rPr>
          <w:rFonts w:ascii="Palatino Linotype" w:eastAsia="Times New Roman" w:hAnsi="Palatino Linotype" w:cs="Arial"/>
          <w:sz w:val="24"/>
          <w:szCs w:val="24"/>
          <w:lang w:val="es-ES_tradnl" w:eastAsia="es-ES"/>
        </w:rPr>
        <w:t>, se turnó a través del</w:t>
      </w:r>
      <w:r w:rsidR="0009491C" w:rsidRPr="00360DF2">
        <w:rPr>
          <w:rFonts w:ascii="Palatino Linotype" w:eastAsia="Arial Unicode MS" w:hAnsi="Palatino Linotype" w:cs="Arial"/>
          <w:sz w:val="24"/>
          <w:szCs w:val="24"/>
          <w:lang w:val="es-ES_tradnl" w:eastAsia="es-ES"/>
        </w:rPr>
        <w:t xml:space="preserve"> </w:t>
      </w:r>
      <w:r w:rsidR="0009491C" w:rsidRPr="00360DF2">
        <w:rPr>
          <w:rFonts w:ascii="Palatino Linotype" w:eastAsia="Arial Unicode MS" w:hAnsi="Palatino Linotype" w:cs="Arial"/>
          <w:b/>
          <w:sz w:val="24"/>
          <w:szCs w:val="24"/>
          <w:lang w:val="es-ES_tradnl" w:eastAsia="es-ES"/>
        </w:rPr>
        <w:t>SAIMEX</w:t>
      </w:r>
      <w:r w:rsidR="0009491C" w:rsidRPr="00360DF2">
        <w:rPr>
          <w:rFonts w:ascii="Palatino Linotype" w:eastAsia="Times New Roman" w:hAnsi="Palatino Linotype" w:cs="Times New Roman"/>
          <w:sz w:val="24"/>
          <w:szCs w:val="24"/>
          <w:lang w:val="es-ES" w:eastAsia="es-ES"/>
        </w:rPr>
        <w:t xml:space="preserve"> al </w:t>
      </w:r>
      <w:r w:rsidR="0009491C" w:rsidRPr="00360DF2">
        <w:rPr>
          <w:rFonts w:ascii="Palatino Linotype" w:eastAsia="Times New Roman" w:hAnsi="Palatino Linotype" w:cs="Arial"/>
          <w:sz w:val="24"/>
          <w:szCs w:val="24"/>
          <w:lang w:val="es-ES_tradnl" w:eastAsia="es-ES"/>
        </w:rPr>
        <w:t xml:space="preserve">Comisionado Presidente </w:t>
      </w:r>
      <w:r w:rsidR="0009491C" w:rsidRPr="00360DF2">
        <w:rPr>
          <w:rFonts w:ascii="Palatino Linotype" w:eastAsia="Times New Roman" w:hAnsi="Palatino Linotype" w:cs="Arial"/>
          <w:b/>
          <w:sz w:val="24"/>
          <w:szCs w:val="24"/>
          <w:lang w:val="es-ES_tradnl" w:eastAsia="es-ES"/>
        </w:rPr>
        <w:t xml:space="preserve">JOSÉ MARTÍNEZ VILCHIS, </w:t>
      </w:r>
      <w:r w:rsidR="0009491C" w:rsidRPr="00360DF2">
        <w:rPr>
          <w:rFonts w:ascii="Palatino Linotype" w:eastAsia="Times New Roman" w:hAnsi="Palatino Linotype" w:cs="Arial"/>
          <w:sz w:val="24"/>
          <w:szCs w:val="24"/>
          <w:lang w:val="es-ES_tradnl" w:eastAsia="es-ES"/>
        </w:rPr>
        <w:t>a efecto de que decretara su admisión o desechamiento.</w:t>
      </w:r>
    </w:p>
    <w:p w14:paraId="1DA1AA7D" w14:textId="77777777" w:rsidR="0061125D" w:rsidRPr="00360DF2" w:rsidRDefault="0061125D" w:rsidP="00390FFA">
      <w:pPr>
        <w:spacing w:after="0" w:line="360" w:lineRule="auto"/>
        <w:ind w:right="49"/>
        <w:jc w:val="both"/>
        <w:rPr>
          <w:rFonts w:ascii="Palatino Linotype" w:eastAsia="Times New Roman" w:hAnsi="Palatino Linotype" w:cs="Arial"/>
          <w:sz w:val="24"/>
          <w:szCs w:val="24"/>
          <w:lang w:val="es-ES_tradnl" w:eastAsia="es-ES"/>
        </w:rPr>
      </w:pPr>
    </w:p>
    <w:p w14:paraId="5E163634" w14:textId="2CD41125" w:rsidR="0009491C" w:rsidRPr="00360DF2" w:rsidRDefault="00814131" w:rsidP="00390FFA">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QUINTO</w:t>
      </w:r>
      <w:r w:rsidR="0009491C" w:rsidRPr="00360DF2">
        <w:rPr>
          <w:rFonts w:ascii="Palatino Linotype" w:eastAsia="Times New Roman" w:hAnsi="Palatino Linotype" w:cs="Arial"/>
          <w:b/>
          <w:sz w:val="28"/>
          <w:szCs w:val="28"/>
          <w:lang w:val="es-ES_tradnl" w:eastAsia="es-ES"/>
        </w:rPr>
        <w:t xml:space="preserve">. </w:t>
      </w:r>
      <w:r w:rsidR="0009491C" w:rsidRPr="00360DF2">
        <w:rPr>
          <w:rFonts w:ascii="Palatino Linotype" w:eastAsia="Times New Roman" w:hAnsi="Palatino Linotype" w:cs="Arial"/>
          <w:sz w:val="24"/>
          <w:szCs w:val="24"/>
          <w:lang w:val="es-ES_tradnl" w:eastAsia="es-ES"/>
        </w:rPr>
        <w:t>E</w:t>
      </w:r>
      <w:r w:rsidR="0009491C" w:rsidRPr="00360DF2">
        <w:rPr>
          <w:rFonts w:ascii="Palatino Linotype" w:eastAsia="Times New Roman" w:hAnsi="Palatino Linotype" w:cs="Arial"/>
          <w:sz w:val="24"/>
          <w:szCs w:val="24"/>
          <w:lang w:val="es-ES" w:eastAsia="es-ES"/>
        </w:rPr>
        <w:t xml:space="preserve">n fecha </w:t>
      </w:r>
      <w:r>
        <w:rPr>
          <w:rFonts w:ascii="Palatino Linotype" w:hAnsi="Palatino Linotype" w:cs="Arial"/>
          <w:sz w:val="24"/>
          <w:szCs w:val="24"/>
        </w:rPr>
        <w:t xml:space="preserve">veinticuatro de mayo </w:t>
      </w:r>
      <w:r w:rsidR="00390FFA">
        <w:rPr>
          <w:rFonts w:ascii="Palatino Linotype" w:hAnsi="Palatino Linotype" w:cs="Arial"/>
          <w:sz w:val="24"/>
          <w:szCs w:val="24"/>
        </w:rPr>
        <w:t>de dos mil veinticuatro</w:t>
      </w:r>
      <w:r w:rsidR="0009491C" w:rsidRPr="00360DF2">
        <w:rPr>
          <w:rFonts w:ascii="Palatino Linotype" w:eastAsia="Times New Roman" w:hAnsi="Palatino Linotype" w:cs="Arial"/>
          <w:sz w:val="24"/>
          <w:szCs w:val="24"/>
          <w:lang w:val="es-ES" w:eastAsia="es-ES"/>
        </w:rPr>
        <w:t xml:space="preserve">, atento a lo dispuesto en el </w:t>
      </w:r>
      <w:r w:rsidR="0009491C" w:rsidRPr="00360DF2">
        <w:rPr>
          <w:rFonts w:ascii="Palatino Linotype" w:eastAsia="Times New Roman" w:hAnsi="Palatino Linotype" w:cs="Arial"/>
          <w:sz w:val="24"/>
          <w:szCs w:val="24"/>
          <w:lang w:val="es-ES_tradnl" w:eastAsia="es-ES"/>
        </w:rPr>
        <w:t>artículo</w:t>
      </w:r>
      <w:r w:rsidR="0009491C" w:rsidRPr="00360DF2">
        <w:rPr>
          <w:rFonts w:ascii="Palatino Linotype" w:eastAsia="Times New Roman" w:hAnsi="Palatino Linotype" w:cs="Arial"/>
          <w:sz w:val="24"/>
          <w:szCs w:val="24"/>
          <w:lang w:val="es-ES" w:eastAsia="es-ES"/>
        </w:rPr>
        <w:t xml:space="preserve"> 185 fracciones I, II y IV </w:t>
      </w:r>
      <w:r w:rsidR="0009491C" w:rsidRPr="00360DF2">
        <w:rPr>
          <w:rFonts w:ascii="Palatino Linotype" w:eastAsia="Times New Roman" w:hAnsi="Palatino Linotype" w:cs="Arial"/>
          <w:sz w:val="24"/>
          <w:szCs w:val="24"/>
          <w:lang w:val="es-ES_tradnl" w:eastAsia="es-ES"/>
        </w:rPr>
        <w:t xml:space="preserve">de la </w:t>
      </w:r>
      <w:r w:rsidR="0009491C" w:rsidRPr="00360DF2">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9491C" w:rsidRPr="00360DF2">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152A5CF5" w14:textId="77777777" w:rsidR="0009491C" w:rsidRPr="00360DF2" w:rsidRDefault="0009491C" w:rsidP="00390FFA">
      <w:pPr>
        <w:spacing w:after="0" w:line="360" w:lineRule="auto"/>
        <w:jc w:val="both"/>
        <w:rPr>
          <w:rFonts w:ascii="Palatino Linotype" w:hAnsi="Palatino Linotype" w:cs="Arial"/>
          <w:sz w:val="24"/>
          <w:szCs w:val="28"/>
          <w:lang w:val="es-ES"/>
        </w:rPr>
      </w:pPr>
    </w:p>
    <w:p w14:paraId="153CE458" w14:textId="7B869536" w:rsidR="0009491C" w:rsidRDefault="00814131" w:rsidP="00390FFA">
      <w:pPr>
        <w:spacing w:after="0" w:line="360" w:lineRule="auto"/>
        <w:jc w:val="both"/>
        <w:rPr>
          <w:rFonts w:ascii="Palatino Linotype" w:hAnsi="Palatino Linotype" w:cs="Arial"/>
          <w:sz w:val="24"/>
          <w:szCs w:val="24"/>
        </w:rPr>
      </w:pPr>
      <w:r>
        <w:rPr>
          <w:rFonts w:ascii="Palatino Linotype" w:eastAsia="Times New Roman" w:hAnsi="Palatino Linotype" w:cs="Arial"/>
          <w:b/>
          <w:sz w:val="28"/>
          <w:szCs w:val="28"/>
          <w:lang w:val="es-ES_tradnl" w:eastAsia="es-ES"/>
        </w:rPr>
        <w:t>SEXTO</w:t>
      </w:r>
      <w:r w:rsidR="0009491C" w:rsidRPr="00360DF2">
        <w:rPr>
          <w:rFonts w:ascii="Palatino Linotype" w:hAnsi="Palatino Linotype" w:cs="Arial"/>
          <w:b/>
          <w:sz w:val="28"/>
          <w:szCs w:val="28"/>
        </w:rPr>
        <w:t xml:space="preserve">. </w:t>
      </w:r>
      <w:r w:rsidR="0009491C" w:rsidRPr="00360DF2">
        <w:rPr>
          <w:rFonts w:ascii="Palatino Linotype" w:hAnsi="Palatino Linotype" w:cs="Arial"/>
          <w:sz w:val="24"/>
          <w:szCs w:val="24"/>
        </w:rPr>
        <w:t xml:space="preserve">Una vez abierta la etapa de instrucción, se advierte que tanto el </w:t>
      </w:r>
      <w:r w:rsidR="0009491C" w:rsidRPr="00360DF2">
        <w:rPr>
          <w:rFonts w:ascii="Palatino Linotype" w:hAnsi="Palatino Linotype" w:cs="Arial"/>
          <w:b/>
          <w:sz w:val="24"/>
          <w:szCs w:val="24"/>
        </w:rPr>
        <w:t>Sujeto Obligado</w:t>
      </w:r>
      <w:r w:rsidR="0009491C" w:rsidRPr="00360DF2">
        <w:rPr>
          <w:rFonts w:ascii="Palatino Linotype" w:hAnsi="Palatino Linotype" w:cs="Arial"/>
          <w:sz w:val="24"/>
          <w:szCs w:val="24"/>
        </w:rPr>
        <w:t xml:space="preserve"> como la</w:t>
      </w:r>
      <w:r w:rsidR="0061125D">
        <w:rPr>
          <w:rFonts w:ascii="Palatino Linotype" w:hAnsi="Palatino Linotype" w:cs="Arial"/>
          <w:sz w:val="24"/>
          <w:szCs w:val="24"/>
        </w:rPr>
        <w:t xml:space="preserve"> parte</w:t>
      </w:r>
      <w:r w:rsidR="0009491C" w:rsidRPr="00360DF2">
        <w:rPr>
          <w:rFonts w:ascii="Palatino Linotype" w:hAnsi="Palatino Linotype" w:cs="Arial"/>
          <w:sz w:val="24"/>
          <w:szCs w:val="24"/>
        </w:rPr>
        <w:t xml:space="preserve"> </w:t>
      </w:r>
      <w:r w:rsidR="0009491C" w:rsidRPr="00360DF2">
        <w:rPr>
          <w:rFonts w:ascii="Palatino Linotype" w:hAnsi="Palatino Linotype" w:cs="Arial"/>
          <w:b/>
          <w:sz w:val="24"/>
          <w:szCs w:val="24"/>
        </w:rPr>
        <w:t>Recurrente,</w:t>
      </w:r>
      <w:r w:rsidR="0009491C" w:rsidRPr="00360DF2">
        <w:rPr>
          <w:rFonts w:ascii="Palatino Linotype" w:hAnsi="Palatino Linotype" w:cs="Arial"/>
          <w:sz w:val="24"/>
          <w:szCs w:val="24"/>
        </w:rPr>
        <w:t xml:space="preserve"> fueron omisos en rendir dentro del término de Ley, su informe justificado y sus a efecto que presentara las manifestaciones que a sus intereses conviniera, respectivamente.</w:t>
      </w:r>
    </w:p>
    <w:p w14:paraId="5C10C66E" w14:textId="77777777" w:rsidR="004F4AE5" w:rsidRPr="00360DF2" w:rsidRDefault="004F4AE5" w:rsidP="00390FFA">
      <w:pPr>
        <w:spacing w:after="0" w:line="360" w:lineRule="auto"/>
        <w:jc w:val="both"/>
        <w:rPr>
          <w:rFonts w:ascii="Palatino Linotype" w:hAnsi="Palatino Linotype" w:cs="Arial"/>
          <w:sz w:val="24"/>
          <w:szCs w:val="24"/>
        </w:rPr>
      </w:pPr>
    </w:p>
    <w:p w14:paraId="0A994839" w14:textId="77777777" w:rsidR="0009491C" w:rsidRPr="00360DF2"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Así mismo se aprecia que no se llevaron a cabo audiencias durante la sustanciación del recurso de revisión, ni se ofrecieron pruebas por parte del hoy </w:t>
      </w:r>
      <w:r w:rsidRPr="00360DF2">
        <w:rPr>
          <w:rFonts w:ascii="Palatino Linotype" w:hAnsi="Palatino Linotype" w:cs="Arial"/>
          <w:b/>
          <w:sz w:val="24"/>
          <w:szCs w:val="24"/>
        </w:rPr>
        <w:t>Recurrente</w:t>
      </w:r>
      <w:r w:rsidRPr="00360DF2">
        <w:rPr>
          <w:rFonts w:ascii="Palatino Linotype" w:hAnsi="Palatino Linotype" w:cs="Arial"/>
          <w:sz w:val="24"/>
          <w:szCs w:val="24"/>
        </w:rPr>
        <w:t>; todo lo anterior en términos de los artículos 185 fracciones II y IV, y 195 de la Ley de Transparencia y Acceso a la Información Pública del Estado de México y Municipios.</w:t>
      </w:r>
    </w:p>
    <w:p w14:paraId="35747984" w14:textId="77777777" w:rsidR="0009491C" w:rsidRPr="00360DF2" w:rsidRDefault="0009491C" w:rsidP="00390FFA">
      <w:pPr>
        <w:spacing w:after="0" w:line="360" w:lineRule="auto"/>
        <w:jc w:val="both"/>
        <w:rPr>
          <w:rFonts w:ascii="Palatino Linotype" w:hAnsi="Palatino Linotype" w:cs="Arial"/>
          <w:sz w:val="24"/>
          <w:szCs w:val="24"/>
        </w:rPr>
      </w:pPr>
    </w:p>
    <w:p w14:paraId="50668961" w14:textId="37E05331" w:rsidR="0009491C"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00814131">
        <w:rPr>
          <w:rFonts w:ascii="Palatino Linotype" w:hAnsi="Palatino Linotype" w:cs="Arial"/>
          <w:sz w:val="24"/>
          <w:szCs w:val="24"/>
        </w:rPr>
        <w:t xml:space="preserve">seis de junio </w:t>
      </w:r>
      <w:r w:rsidR="00390FFA">
        <w:rPr>
          <w:rFonts w:ascii="Palatino Linotype" w:hAnsi="Palatino Linotype" w:cs="Arial"/>
          <w:sz w:val="24"/>
          <w:szCs w:val="24"/>
        </w:rPr>
        <w:t>de dos mil veinticuatro</w:t>
      </w:r>
      <w:r w:rsidRPr="00360DF2">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174F953F" w14:textId="77777777" w:rsidR="00814131" w:rsidRDefault="00814131" w:rsidP="00390FFA">
      <w:pPr>
        <w:spacing w:after="0" w:line="360" w:lineRule="auto"/>
        <w:jc w:val="both"/>
        <w:rPr>
          <w:rFonts w:ascii="Palatino Linotype" w:hAnsi="Palatino Linotype" w:cs="Arial"/>
          <w:sz w:val="24"/>
          <w:szCs w:val="24"/>
        </w:rPr>
      </w:pPr>
    </w:p>
    <w:p w14:paraId="35D3D5D1" w14:textId="5A73F7B6" w:rsidR="00814131" w:rsidRPr="00814131" w:rsidRDefault="00814131" w:rsidP="00814131">
      <w:pPr>
        <w:spacing w:after="0" w:line="360" w:lineRule="auto"/>
        <w:jc w:val="both"/>
        <w:rPr>
          <w:rFonts w:ascii="Palatino Linotype" w:hAnsi="Palatino Linotype" w:cs="Arial"/>
          <w:sz w:val="24"/>
          <w:szCs w:val="24"/>
        </w:rPr>
      </w:pPr>
      <w:r w:rsidRPr="00814131">
        <w:rPr>
          <w:rFonts w:ascii="Palatino Linotype" w:hAnsi="Palatino Linotype" w:cs="Arial"/>
          <w:b/>
          <w:sz w:val="28"/>
          <w:szCs w:val="28"/>
        </w:rPr>
        <w:t>SÉPTIMO.</w:t>
      </w:r>
      <w:r w:rsidRPr="00814131">
        <w:rPr>
          <w:rFonts w:ascii="Palatino Linotype" w:hAnsi="Palatino Linotype" w:cs="Arial"/>
          <w:bCs/>
          <w:sz w:val="28"/>
          <w:szCs w:val="28"/>
        </w:rPr>
        <w:t xml:space="preserve"> </w:t>
      </w:r>
      <w:r w:rsidRPr="00814131">
        <w:rPr>
          <w:rFonts w:ascii="Palatino Linotype" w:hAnsi="Palatino Linotype" w:cs="Arial"/>
          <w:sz w:val="24"/>
          <w:szCs w:val="24"/>
        </w:rPr>
        <w:t xml:space="preserve">De las constancias que integran el expediente electrónico, se advierte que ha transcurrido el término de Ley, para la emisión de la resolución en el presente recurso de revisión, por lo que en fecha </w:t>
      </w:r>
      <w:r>
        <w:rPr>
          <w:rFonts w:ascii="Palatino Linotype" w:hAnsi="Palatino Linotype" w:cs="Arial"/>
          <w:sz w:val="24"/>
          <w:szCs w:val="24"/>
        </w:rPr>
        <w:t>cinco</w:t>
      </w:r>
      <w:r w:rsidRPr="00814131">
        <w:rPr>
          <w:rFonts w:ascii="Palatino Linotype" w:hAnsi="Palatino Linotype" w:cs="Arial"/>
          <w:sz w:val="24"/>
          <w:szCs w:val="24"/>
        </w:rPr>
        <w:t xml:space="preserve"> de julio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ABE7CE2" w14:textId="77777777" w:rsidR="00814131" w:rsidRPr="00814131" w:rsidRDefault="00814131" w:rsidP="00814131">
      <w:pPr>
        <w:spacing w:after="0" w:line="360" w:lineRule="auto"/>
        <w:jc w:val="both"/>
        <w:rPr>
          <w:rFonts w:ascii="Palatino Linotype" w:hAnsi="Palatino Linotype" w:cs="Arial"/>
          <w:sz w:val="24"/>
          <w:szCs w:val="24"/>
        </w:rPr>
      </w:pPr>
    </w:p>
    <w:p w14:paraId="18C9A84B"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B4A15F3"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3438B071"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DD5BC7C"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0BACCE4C"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72E6CA"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 xml:space="preserve"> </w:t>
      </w:r>
    </w:p>
    <w:p w14:paraId="760CC186"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269327B"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78C27BD0"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814C050"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 xml:space="preserve"> </w:t>
      </w:r>
    </w:p>
    <w:p w14:paraId="2F22B0AE" w14:textId="77777777" w:rsidR="00814131" w:rsidRPr="00814131" w:rsidRDefault="00814131" w:rsidP="00814131">
      <w:pPr>
        <w:spacing w:after="0" w:line="360" w:lineRule="auto"/>
        <w:ind w:left="993" w:right="49" w:hanging="426"/>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b/>
          <w:sz w:val="24"/>
          <w:szCs w:val="24"/>
          <w:lang w:val="es-ES" w:eastAsia="es-ES"/>
        </w:rPr>
        <w:t xml:space="preserve">a) </w:t>
      </w:r>
      <w:r w:rsidRPr="00814131">
        <w:rPr>
          <w:rFonts w:ascii="Palatino Linotype" w:eastAsia="Times New Roman" w:hAnsi="Palatino Linotype" w:cs="Arial"/>
          <w:b/>
          <w:sz w:val="24"/>
          <w:szCs w:val="24"/>
          <w:lang w:val="es-ES" w:eastAsia="es-ES"/>
        </w:rPr>
        <w:tab/>
        <w:t>Complejidad del asunto:</w:t>
      </w:r>
      <w:r w:rsidRPr="00814131">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60E0C11A" w14:textId="77777777" w:rsidR="00814131" w:rsidRPr="00814131" w:rsidRDefault="00814131" w:rsidP="00814131">
      <w:pPr>
        <w:spacing w:after="0" w:line="360" w:lineRule="auto"/>
        <w:ind w:left="993" w:right="49" w:hanging="426"/>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b/>
          <w:sz w:val="24"/>
          <w:szCs w:val="24"/>
          <w:lang w:val="es-ES" w:eastAsia="es-ES"/>
        </w:rPr>
        <w:t xml:space="preserve">b) </w:t>
      </w:r>
      <w:r w:rsidRPr="00814131">
        <w:rPr>
          <w:rFonts w:ascii="Palatino Linotype" w:eastAsia="Times New Roman" w:hAnsi="Palatino Linotype" w:cs="Arial"/>
          <w:b/>
          <w:sz w:val="24"/>
          <w:szCs w:val="24"/>
          <w:lang w:val="es-ES" w:eastAsia="es-ES"/>
        </w:rPr>
        <w:tab/>
        <w:t>Actividad Procesal del interesado:</w:t>
      </w:r>
      <w:r w:rsidRPr="00814131">
        <w:rPr>
          <w:rFonts w:ascii="Palatino Linotype" w:eastAsia="Times New Roman" w:hAnsi="Palatino Linotype" w:cs="Arial"/>
          <w:sz w:val="24"/>
          <w:szCs w:val="24"/>
          <w:lang w:val="es-ES" w:eastAsia="es-ES"/>
        </w:rPr>
        <w:t xml:space="preserve"> Acciones u omisiones del interesado.</w:t>
      </w:r>
    </w:p>
    <w:p w14:paraId="295CDDA2" w14:textId="77777777" w:rsidR="00814131" w:rsidRPr="00814131" w:rsidRDefault="00814131" w:rsidP="00814131">
      <w:pPr>
        <w:spacing w:after="0" w:line="360" w:lineRule="auto"/>
        <w:ind w:left="993" w:right="49" w:hanging="426"/>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b/>
          <w:sz w:val="24"/>
          <w:szCs w:val="24"/>
          <w:lang w:val="es-ES" w:eastAsia="es-ES"/>
        </w:rPr>
        <w:t xml:space="preserve">c) </w:t>
      </w:r>
      <w:r w:rsidRPr="00814131">
        <w:rPr>
          <w:rFonts w:ascii="Palatino Linotype" w:eastAsia="Times New Roman" w:hAnsi="Palatino Linotype" w:cs="Arial"/>
          <w:b/>
          <w:sz w:val="24"/>
          <w:szCs w:val="24"/>
          <w:lang w:val="es-ES" w:eastAsia="es-ES"/>
        </w:rPr>
        <w:tab/>
        <w:t>Conducta de la Autoridad:</w:t>
      </w:r>
      <w:r w:rsidRPr="00814131">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6AAF6BDC" w14:textId="77777777" w:rsidR="00814131" w:rsidRPr="00814131" w:rsidRDefault="00814131" w:rsidP="00814131">
      <w:pPr>
        <w:spacing w:after="0" w:line="360" w:lineRule="auto"/>
        <w:ind w:left="993" w:right="49" w:hanging="426"/>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b/>
          <w:sz w:val="24"/>
          <w:szCs w:val="24"/>
          <w:lang w:val="es-ES" w:eastAsia="es-ES"/>
        </w:rPr>
        <w:t xml:space="preserve">d) </w:t>
      </w:r>
      <w:r w:rsidRPr="00814131">
        <w:rPr>
          <w:rFonts w:ascii="Palatino Linotype" w:eastAsia="Times New Roman" w:hAnsi="Palatino Linotype" w:cs="Arial"/>
          <w:b/>
          <w:sz w:val="24"/>
          <w:szCs w:val="24"/>
          <w:lang w:val="es-ES" w:eastAsia="es-ES"/>
        </w:rPr>
        <w:tab/>
        <w:t>La afectación generada en la situación jurídica de la persona involucrada en el proceso:</w:t>
      </w:r>
      <w:r w:rsidRPr="00814131">
        <w:rPr>
          <w:rFonts w:ascii="Palatino Linotype" w:eastAsia="Times New Roman" w:hAnsi="Palatino Linotype" w:cs="Arial"/>
          <w:sz w:val="24"/>
          <w:szCs w:val="24"/>
          <w:lang w:val="es-ES" w:eastAsia="es-ES"/>
        </w:rPr>
        <w:t xml:space="preserve"> Violación a sus derechos humanos.</w:t>
      </w:r>
    </w:p>
    <w:p w14:paraId="689F34AC"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EB4A9F0"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33E834E7"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E425E27"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0322EF04"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79E5C9E"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11541CC0"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62DFB542"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3B399811"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 xml:space="preserve"> </w:t>
      </w:r>
    </w:p>
    <w:p w14:paraId="2B8B9E04"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2639D120"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p>
    <w:p w14:paraId="13189204" w14:textId="77777777" w:rsidR="00814131" w:rsidRPr="00814131" w:rsidRDefault="00814131" w:rsidP="00814131">
      <w:pPr>
        <w:spacing w:after="0" w:line="360" w:lineRule="auto"/>
        <w:ind w:right="49"/>
        <w:jc w:val="both"/>
        <w:rPr>
          <w:rFonts w:ascii="Palatino Linotype" w:eastAsia="Times New Roman" w:hAnsi="Palatino Linotype" w:cs="Arial"/>
          <w:sz w:val="24"/>
          <w:szCs w:val="24"/>
          <w:lang w:val="es-ES" w:eastAsia="es-ES"/>
        </w:rPr>
      </w:pPr>
      <w:r w:rsidRPr="00814131">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8B13292" w14:textId="77777777" w:rsidR="0048739B" w:rsidRPr="00360DF2" w:rsidRDefault="0048739B" w:rsidP="00390FFA">
      <w:pPr>
        <w:spacing w:after="0" w:line="360" w:lineRule="auto"/>
        <w:jc w:val="both"/>
        <w:rPr>
          <w:rFonts w:ascii="Palatino Linotype" w:hAnsi="Palatino Linotype" w:cs="Arial"/>
          <w:sz w:val="24"/>
          <w:szCs w:val="24"/>
        </w:rPr>
      </w:pPr>
    </w:p>
    <w:p w14:paraId="10EDC6D6" w14:textId="77777777" w:rsidR="0009491C" w:rsidRPr="00360DF2" w:rsidRDefault="0009491C" w:rsidP="00390FFA">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0CF1B146" w14:textId="77777777" w:rsidR="0009491C" w:rsidRPr="00360DF2" w:rsidRDefault="0009491C" w:rsidP="00390FFA">
      <w:pPr>
        <w:spacing w:after="0" w:line="360" w:lineRule="auto"/>
        <w:jc w:val="both"/>
        <w:rPr>
          <w:rFonts w:ascii="Palatino Linotype" w:hAnsi="Palatino Linotype" w:cs="Arial"/>
          <w:sz w:val="24"/>
          <w:szCs w:val="28"/>
        </w:rPr>
      </w:pPr>
    </w:p>
    <w:p w14:paraId="2F2A8061" w14:textId="77777777" w:rsidR="0009491C" w:rsidRPr="00360DF2" w:rsidRDefault="0009491C" w:rsidP="00390FFA">
      <w:pPr>
        <w:spacing w:after="0" w:line="360" w:lineRule="auto"/>
        <w:jc w:val="both"/>
        <w:rPr>
          <w:rFonts w:ascii="Palatino Linotype" w:hAnsi="Palatino Linotype" w:cs="Arial"/>
          <w:sz w:val="28"/>
          <w:szCs w:val="28"/>
        </w:rPr>
      </w:pPr>
      <w:r w:rsidRPr="00360DF2">
        <w:rPr>
          <w:rFonts w:ascii="Palatino Linotype" w:hAnsi="Palatino Linotype" w:cs="Arial"/>
          <w:b/>
          <w:sz w:val="28"/>
          <w:szCs w:val="28"/>
        </w:rPr>
        <w:t xml:space="preserve">PRIMERO. </w:t>
      </w:r>
      <w:r w:rsidRPr="00360DF2">
        <w:rPr>
          <w:rFonts w:ascii="Palatino Linotype" w:hAnsi="Palatino Linotype" w:cs="Arial"/>
          <w:b/>
          <w:sz w:val="26"/>
          <w:szCs w:val="26"/>
        </w:rPr>
        <w:t>De la competencia</w:t>
      </w:r>
      <w:r w:rsidRPr="00360DF2">
        <w:rPr>
          <w:rFonts w:ascii="Palatino Linotype" w:hAnsi="Palatino Linotype" w:cs="Arial"/>
          <w:sz w:val="26"/>
          <w:szCs w:val="26"/>
        </w:rPr>
        <w:t>.</w:t>
      </w:r>
    </w:p>
    <w:p w14:paraId="0C8BDAB0" w14:textId="77777777" w:rsidR="0009491C" w:rsidRDefault="0009491C" w:rsidP="00390FFA">
      <w:pPr>
        <w:spacing w:after="0" w:line="360" w:lineRule="auto"/>
        <w:jc w:val="both"/>
        <w:rPr>
          <w:rFonts w:ascii="Palatino Linotype" w:hAnsi="Palatino Linotype" w:cs="Arial"/>
          <w:sz w:val="24"/>
          <w:szCs w:val="24"/>
        </w:rPr>
      </w:pPr>
      <w:r w:rsidRPr="00EC2AB8">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1125D">
        <w:rPr>
          <w:rFonts w:ascii="Palatino Linotype" w:hAnsi="Palatino Linotype" w:cs="Arial"/>
          <w:sz w:val="24"/>
          <w:szCs w:val="24"/>
        </w:rPr>
        <w:t>segundo, trigésimo tercero</w:t>
      </w:r>
      <w:r w:rsidRPr="00EC2AB8">
        <w:rPr>
          <w:rFonts w:ascii="Palatino Linotype" w:hAnsi="Palatino Linotype" w:cs="Arial"/>
          <w:sz w:val="24"/>
          <w:szCs w:val="24"/>
        </w:rPr>
        <w:t xml:space="preserve"> y trigésimo </w:t>
      </w:r>
      <w:r w:rsidR="0061125D">
        <w:rPr>
          <w:rFonts w:ascii="Palatino Linotype" w:hAnsi="Palatino Linotype" w:cs="Arial"/>
          <w:sz w:val="24"/>
          <w:szCs w:val="24"/>
        </w:rPr>
        <w:t>cuarto</w:t>
      </w:r>
      <w:r w:rsidRPr="00EC2AB8">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C51566B" w14:textId="77777777" w:rsidR="0048739B" w:rsidRPr="00360DF2" w:rsidRDefault="0048739B" w:rsidP="00390FFA">
      <w:pPr>
        <w:spacing w:after="0" w:line="360" w:lineRule="auto"/>
        <w:jc w:val="both"/>
        <w:rPr>
          <w:rFonts w:ascii="Palatino Linotype" w:hAnsi="Palatino Linotype" w:cs="Arial"/>
          <w:sz w:val="24"/>
          <w:szCs w:val="24"/>
        </w:rPr>
      </w:pPr>
    </w:p>
    <w:p w14:paraId="076D47D4" w14:textId="77777777" w:rsidR="0009491C" w:rsidRPr="00360DF2" w:rsidRDefault="0009491C" w:rsidP="00390FFA">
      <w:pPr>
        <w:autoSpaceDE w:val="0"/>
        <w:autoSpaceDN w:val="0"/>
        <w:adjustRightInd w:val="0"/>
        <w:spacing w:after="0" w:line="360" w:lineRule="auto"/>
        <w:jc w:val="both"/>
        <w:rPr>
          <w:rFonts w:ascii="Palatino Linotype" w:hAnsi="Palatino Linotype" w:cs="Arial"/>
          <w:b/>
          <w:sz w:val="28"/>
          <w:szCs w:val="28"/>
        </w:rPr>
      </w:pPr>
      <w:r w:rsidRPr="00360DF2">
        <w:rPr>
          <w:rFonts w:ascii="Palatino Linotype" w:hAnsi="Palatino Linotype" w:cs="Arial"/>
          <w:b/>
          <w:sz w:val="28"/>
          <w:szCs w:val="28"/>
        </w:rPr>
        <w:t xml:space="preserve">SEGUNDO. </w:t>
      </w:r>
      <w:r w:rsidRPr="00360DF2">
        <w:rPr>
          <w:rFonts w:ascii="Palatino Linotype" w:hAnsi="Palatino Linotype" w:cs="Arial"/>
          <w:b/>
          <w:sz w:val="26"/>
          <w:szCs w:val="26"/>
        </w:rPr>
        <w:t>Alcance del recurso de revisión.</w:t>
      </w:r>
      <w:r w:rsidRPr="00360DF2">
        <w:rPr>
          <w:rFonts w:ascii="Palatino Linotype" w:hAnsi="Palatino Linotype" w:cs="Arial"/>
          <w:b/>
          <w:sz w:val="28"/>
          <w:szCs w:val="28"/>
        </w:rPr>
        <w:t xml:space="preserve"> </w:t>
      </w:r>
    </w:p>
    <w:p w14:paraId="0669345C" w14:textId="7B9177A9"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6A89A83" w14:textId="5D3C60D7" w:rsidR="001F3C4D" w:rsidRDefault="001F3C4D"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ED309D" w14:textId="77777777" w:rsidR="001F3C4D"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0D6EACC3"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69E67161"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180</w:t>
      </w:r>
      <w:r w:rsidRPr="000227FF">
        <w:rPr>
          <w:rFonts w:ascii="Palatino Linotype" w:hAnsi="Palatino Linotype" w:cs="Arial"/>
          <w:i/>
          <w:szCs w:val="24"/>
        </w:rPr>
        <w:t xml:space="preserve">. El recurso de revisión contendrá: </w:t>
      </w:r>
    </w:p>
    <w:p w14:paraId="48988D73"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xml:space="preserve">. El Sujeto Obligado ante la cual se presentó la solicitud; </w:t>
      </w:r>
    </w:p>
    <w:p w14:paraId="1F774E3E"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w:t>
      </w:r>
      <w:r w:rsidRPr="000227FF">
        <w:rPr>
          <w:rFonts w:ascii="Palatino Linotype" w:hAnsi="Palatino Linotype" w:cs="Arial"/>
          <w:i/>
          <w:szCs w:val="24"/>
        </w:rPr>
        <w:t xml:space="preserve">. </w:t>
      </w:r>
      <w:r w:rsidRPr="000227FF">
        <w:rPr>
          <w:rFonts w:ascii="Palatino Linotype" w:hAnsi="Palatino Linotype" w:cs="Arial"/>
          <w:i/>
          <w:szCs w:val="24"/>
          <w:u w:val="single"/>
        </w:rPr>
        <w:t>El nombre del solicitante</w:t>
      </w:r>
      <w:r w:rsidRPr="000227FF">
        <w:rPr>
          <w:rFonts w:ascii="Palatino Linotype" w:hAnsi="Palatino Linotype" w:cs="Arial"/>
          <w:i/>
          <w:szCs w:val="24"/>
        </w:rPr>
        <w:t xml:space="preserve"> que recurre o de su representante y, en su caso, del tercero interesado, así como la dirección o medio que señale para recibir notificaciones; </w:t>
      </w:r>
    </w:p>
    <w:p w14:paraId="3F0175B8"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El número de folio de respuesta de la solicitud de acceso; </w:t>
      </w:r>
    </w:p>
    <w:p w14:paraId="360DDB7A"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IV</w:t>
      </w:r>
      <w:r w:rsidRPr="000227F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4CA9A3AC"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xml:space="preserve">. El acto que se recurre; </w:t>
      </w:r>
    </w:p>
    <w:p w14:paraId="22F8DAD9"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razones o motivos de inconformidad; </w:t>
      </w:r>
    </w:p>
    <w:p w14:paraId="3FF076BF"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w:t>
      </w:r>
      <w:r w:rsidRPr="000227FF">
        <w:rPr>
          <w:rFonts w:ascii="Palatino Linotype" w:hAnsi="Palatino Linotype" w:cs="Arial"/>
          <w:i/>
          <w:szCs w:val="24"/>
        </w:rPr>
        <w:t xml:space="preserve">. La copia de la respuesta que se impugna y, en su caso, de la notificación correspondiente, en el caso de respuesta de la solicitud; y </w:t>
      </w:r>
    </w:p>
    <w:p w14:paraId="070854E8"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VIII</w:t>
      </w:r>
      <w:r w:rsidRPr="000227FF">
        <w:rPr>
          <w:rFonts w:ascii="Palatino Linotype" w:hAnsi="Palatino Linotype" w:cs="Arial"/>
          <w:i/>
          <w:szCs w:val="24"/>
        </w:rPr>
        <w:t xml:space="preserve">. Firma del Recurrente, en su caso, cuando se presente por escrito, requisito sin el cual se dará trámite al recurso. </w:t>
      </w:r>
    </w:p>
    <w:p w14:paraId="65AE01C0"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Adicionalmente, se podrán anexar las pruebas y demás elementos que considere procedentes someter a juicio del Instituto. </w:t>
      </w:r>
    </w:p>
    <w:p w14:paraId="5F8608CD"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 xml:space="preserve">En ningún caso será necesario que el particular ratifique el recurso de revisión interpuesto. </w:t>
      </w:r>
    </w:p>
    <w:p w14:paraId="340C8973"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szCs w:val="24"/>
        </w:rPr>
      </w:pPr>
      <w:r w:rsidRPr="000227F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6001C69C"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szCs w:val="24"/>
        </w:rPr>
      </w:pPr>
    </w:p>
    <w:p w14:paraId="3F2D339A" w14:textId="77777777" w:rsidR="001F3C4D" w:rsidRPr="000227FF" w:rsidRDefault="001F3C4D" w:rsidP="001F3C4D">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4421681F"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50A44A8C" w14:textId="7D318111"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0227FF">
        <w:rPr>
          <w:rFonts w:ascii="Palatino Linotype" w:hAnsi="Palatino Linotype" w:cs="Arial"/>
          <w:b/>
          <w:sz w:val="24"/>
          <w:szCs w:val="24"/>
        </w:rPr>
        <w:t>Recurrente</w:t>
      </w:r>
      <w:r w:rsidRPr="000227FF">
        <w:rPr>
          <w:rFonts w:ascii="Palatino Linotype" w:hAnsi="Palatino Linotype" w:cs="Arial"/>
          <w:sz w:val="24"/>
          <w:szCs w:val="24"/>
        </w:rPr>
        <w:t>, en ejercicio de su derecho de acceso a la información pública, no proporcionó un nombre para que sea identificado, ya que en el apartado de “DATOS DEL SOLICITANTE”, señalo</w:t>
      </w:r>
      <w:r>
        <w:rPr>
          <w:rFonts w:ascii="Palatino Linotype" w:hAnsi="Palatino Linotype" w:cs="Arial"/>
          <w:sz w:val="24"/>
          <w:szCs w:val="24"/>
        </w:rPr>
        <w:t xml:space="preserve"> como</w:t>
      </w:r>
      <w:r w:rsidRPr="000227FF">
        <w:rPr>
          <w:rFonts w:ascii="Palatino Linotype" w:hAnsi="Palatino Linotype" w:cs="Arial"/>
          <w:sz w:val="24"/>
          <w:szCs w:val="24"/>
        </w:rPr>
        <w:t xml:space="preserve"> nombre o seudónimo con el cual desee identificarse</w:t>
      </w:r>
      <w:r>
        <w:rPr>
          <w:rFonts w:ascii="Palatino Linotype" w:hAnsi="Palatino Linotype" w:cs="Arial"/>
          <w:sz w:val="24"/>
          <w:szCs w:val="24"/>
        </w:rPr>
        <w:t xml:space="preserve"> “</w:t>
      </w:r>
      <w:r w:rsidR="0082494C">
        <w:rPr>
          <w:rFonts w:ascii="Palatino Linotype" w:hAnsi="Palatino Linotype" w:cs="Arial"/>
          <w:b/>
          <w:bCs/>
          <w:sz w:val="24"/>
          <w:szCs w:val="24"/>
        </w:rPr>
        <w:t>XXXXXXXXXXXXXXXXXXX</w:t>
      </w:r>
      <w:r>
        <w:rPr>
          <w:rFonts w:ascii="Palatino Linotype" w:hAnsi="Palatino Linotype" w:cs="Arial"/>
          <w:sz w:val="24"/>
          <w:szCs w:val="24"/>
        </w:rPr>
        <w:t>”</w:t>
      </w:r>
      <w:r w:rsidRPr="000227FF">
        <w:rPr>
          <w:rFonts w:ascii="Palatino Linotype" w:hAnsi="Palatino Linotype" w:cs="Arial"/>
          <w:sz w:val="24"/>
          <w:szCs w:val="24"/>
        </w:rPr>
        <w:t>, por lo que no tiene certeza sobre su identidad, lo que en estricto sentido, no se colmarían los requisitos establecidos en el citado artículo 180 de la Ley de Transparencia.</w:t>
      </w:r>
    </w:p>
    <w:p w14:paraId="49CCBC2B"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4E5B9942"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227FF">
        <w:rPr>
          <w:rFonts w:ascii="Palatino Linotype" w:hAnsi="Palatino Linotype" w:cs="Arial"/>
          <w:i/>
          <w:sz w:val="24"/>
          <w:szCs w:val="24"/>
        </w:rPr>
        <w:t>sine qua non</w:t>
      </w:r>
      <w:r w:rsidRPr="000227FF">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B135870"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203483E7"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19B4E5C6"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4BDFA0E4" w14:textId="77777777" w:rsidR="001F3C4D" w:rsidRPr="000227FF" w:rsidRDefault="001F3C4D" w:rsidP="001F3C4D">
      <w:pPr>
        <w:autoSpaceDE w:val="0"/>
        <w:autoSpaceDN w:val="0"/>
        <w:adjustRightInd w:val="0"/>
        <w:spacing w:after="0" w:line="240" w:lineRule="auto"/>
        <w:jc w:val="center"/>
        <w:rPr>
          <w:rFonts w:ascii="Palatino Linotype" w:hAnsi="Palatino Linotype" w:cs="Arial"/>
          <w:b/>
          <w:i/>
        </w:rPr>
      </w:pPr>
      <w:r w:rsidRPr="000227FF">
        <w:rPr>
          <w:rFonts w:ascii="Palatino Linotype" w:hAnsi="Palatino Linotype" w:cs="Arial"/>
          <w:b/>
          <w:i/>
        </w:rPr>
        <w:t>Constitución Política de los Estados Unidos Mexicanos</w:t>
      </w:r>
    </w:p>
    <w:p w14:paraId="5D2C1B00" w14:textId="77777777" w:rsidR="001F3C4D" w:rsidRPr="000227FF" w:rsidRDefault="001F3C4D" w:rsidP="001F3C4D">
      <w:pPr>
        <w:autoSpaceDE w:val="0"/>
        <w:autoSpaceDN w:val="0"/>
        <w:adjustRightInd w:val="0"/>
        <w:spacing w:after="0" w:line="240" w:lineRule="auto"/>
        <w:jc w:val="both"/>
        <w:rPr>
          <w:rFonts w:ascii="Palatino Linotype" w:hAnsi="Palatino Linotype" w:cs="Arial"/>
        </w:rPr>
      </w:pPr>
    </w:p>
    <w:p w14:paraId="0014B67B"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rPr>
      </w:pPr>
      <w:r w:rsidRPr="000227FF">
        <w:rPr>
          <w:rFonts w:ascii="Palatino Linotype" w:hAnsi="Palatino Linotype" w:cs="Arial"/>
          <w:i/>
        </w:rPr>
        <w:t>“</w:t>
      </w:r>
      <w:r w:rsidRPr="000227FF">
        <w:rPr>
          <w:rFonts w:ascii="Palatino Linotype" w:hAnsi="Palatino Linotype" w:cs="Arial"/>
          <w:b/>
          <w:i/>
        </w:rPr>
        <w:t>Artículo 6o</w:t>
      </w:r>
      <w:r w:rsidRPr="000227F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5A93A3E"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382C20C9"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efectos de lo dispuesto en el presente artículo se observará lo siguiente:</w:t>
      </w:r>
    </w:p>
    <w:p w14:paraId="0FF29258"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A</w:t>
      </w:r>
      <w:r w:rsidRPr="000227F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67E4ECD8"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45F011F"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5BBAD641"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29BA6D35"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6FFC4BD0"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w:t>
      </w:r>
      <w:r w:rsidRPr="000227F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CF5684B"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VI.</w:t>
      </w:r>
      <w:r w:rsidRPr="000227F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2DAED74B"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7862E1E"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 ley establecerá aquella información que se considere reservada o confidencial.</w:t>
      </w:r>
    </w:p>
    <w:p w14:paraId="61A3EE84"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p>
    <w:p w14:paraId="690231F1" w14:textId="77777777" w:rsidR="001F3C4D" w:rsidRPr="000227FF" w:rsidRDefault="001F3C4D" w:rsidP="001F3C4D">
      <w:pPr>
        <w:autoSpaceDE w:val="0"/>
        <w:autoSpaceDN w:val="0"/>
        <w:adjustRightInd w:val="0"/>
        <w:spacing w:after="0" w:line="240" w:lineRule="auto"/>
        <w:ind w:left="567" w:right="567"/>
        <w:jc w:val="center"/>
        <w:rPr>
          <w:rFonts w:ascii="Palatino Linotype" w:hAnsi="Palatino Linotype" w:cs="Arial"/>
          <w:b/>
          <w:i/>
          <w:szCs w:val="24"/>
        </w:rPr>
      </w:pPr>
      <w:r w:rsidRPr="000227FF">
        <w:rPr>
          <w:rFonts w:ascii="Palatino Linotype" w:hAnsi="Palatino Linotype" w:cs="Arial"/>
          <w:b/>
          <w:i/>
          <w:szCs w:val="24"/>
        </w:rPr>
        <w:t>Constitución Política del Estado Libre y Soberano de México</w:t>
      </w:r>
    </w:p>
    <w:p w14:paraId="1442CB49"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p>
    <w:p w14:paraId="617D761A"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5</w:t>
      </w:r>
      <w:r w:rsidRPr="000227FF">
        <w:rPr>
          <w:rFonts w:ascii="Palatino Linotype" w:hAnsi="Palatino Linotype" w:cs="Arial"/>
          <w:i/>
          <w:szCs w:val="24"/>
        </w:rPr>
        <w:t xml:space="preserve">. … </w:t>
      </w:r>
    </w:p>
    <w:p w14:paraId="2528A155"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2C20436"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0828464A"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C1D40FB"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Este derecho se regirá por los principios y bases siguientes:</w:t>
      </w:r>
    </w:p>
    <w:p w14:paraId="59528438"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w:t>
      </w:r>
      <w:r w:rsidRPr="000227FF">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A74A89"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p>
    <w:p w14:paraId="25E33CB8"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b/>
          <w:i/>
          <w:szCs w:val="24"/>
        </w:rPr>
        <w:t>III</w:t>
      </w:r>
      <w:r w:rsidRPr="000227F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199D153F" w14:textId="77777777" w:rsidR="001F3C4D" w:rsidRPr="000227FF" w:rsidRDefault="001F3C4D" w:rsidP="001F3C4D">
      <w:pPr>
        <w:autoSpaceDE w:val="0"/>
        <w:autoSpaceDN w:val="0"/>
        <w:adjustRightInd w:val="0"/>
        <w:spacing w:after="0" w:line="240" w:lineRule="auto"/>
        <w:ind w:left="567" w:right="567"/>
        <w:jc w:val="right"/>
        <w:rPr>
          <w:rFonts w:ascii="Palatino Linotype" w:hAnsi="Palatino Linotype" w:cs="Arial"/>
          <w:szCs w:val="24"/>
        </w:rPr>
      </w:pPr>
      <w:r w:rsidRPr="000227FF">
        <w:rPr>
          <w:rFonts w:ascii="Palatino Linotype" w:hAnsi="Palatino Linotype" w:cs="Arial"/>
          <w:szCs w:val="24"/>
        </w:rPr>
        <w:t>(Énfasis añadido)</w:t>
      </w:r>
    </w:p>
    <w:p w14:paraId="3A44C06B"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7A969AFD" w14:textId="77777777" w:rsidR="001F3C4D"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Por otra parte, del contenido del artículo 1 de la Constitución Política de los Estados Unidos Mexicanos, se destaca lo siguiente:</w:t>
      </w:r>
    </w:p>
    <w:p w14:paraId="7EC4DF1B"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61B0111B"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Artículo 1o.</w:t>
      </w:r>
      <w:r w:rsidRPr="000227F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A8D3437"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5619020A"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8700E3B"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1DDEA3AF" w14:textId="77777777" w:rsidR="001F3C4D"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13A3789"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317136C5"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5F4EFFA7"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74B29812"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Cs w:val="24"/>
        </w:rPr>
      </w:pPr>
      <w:r w:rsidRPr="000227FF">
        <w:rPr>
          <w:rFonts w:ascii="Palatino Linotype" w:hAnsi="Palatino Linotype" w:cs="Arial"/>
          <w:i/>
          <w:szCs w:val="24"/>
        </w:rPr>
        <w:t>“</w:t>
      </w:r>
      <w:r w:rsidRPr="000227FF">
        <w:rPr>
          <w:rFonts w:ascii="Palatino Linotype" w:hAnsi="Palatino Linotype" w:cs="Arial"/>
          <w:b/>
          <w:i/>
          <w:szCs w:val="24"/>
        </w:rPr>
        <w:t>Acceso a información gubernamental. No debe condicionarse a que el solicitante acredite su personalidad, demuestre interés alguno o justifique su utilización.</w:t>
      </w:r>
      <w:r w:rsidRPr="000227F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0280F05D"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Resoluciones</w:t>
      </w:r>
    </w:p>
    <w:p w14:paraId="2791E326"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5275/13. Interpuesto en contra de la Secretaría de la Defensa Nacional. Comisionado Ponente Ángel Trinidad Zaldívar.</w:t>
      </w:r>
    </w:p>
    <w:p w14:paraId="22C3E799"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2937/13. Interpuesto en contra de LICONSA, S.A. de C.V. Comisionado. Ponente Gerardo Laveaga Rendón.</w:t>
      </w:r>
    </w:p>
    <w:p w14:paraId="5098AB4D"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3609/12. Interpuesto en contra de la Secretaría de Educación Pública. Comisionada Ponente Sigrid Arzt Colunga.</w:t>
      </w:r>
    </w:p>
    <w:p w14:paraId="0BF09732"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3361/12. Interpuesto en contra del Servicio de Administración Tributaria. Comisionada Ponente María Elena Pérez-Jaén Zermeño.</w:t>
      </w:r>
    </w:p>
    <w:p w14:paraId="27E5140F" w14:textId="77777777" w:rsidR="001F3C4D" w:rsidRPr="000227FF" w:rsidRDefault="001F3C4D" w:rsidP="001F3C4D">
      <w:pPr>
        <w:autoSpaceDE w:val="0"/>
        <w:autoSpaceDN w:val="0"/>
        <w:adjustRightInd w:val="0"/>
        <w:spacing w:after="0" w:line="240" w:lineRule="auto"/>
        <w:ind w:left="567" w:right="567"/>
        <w:jc w:val="both"/>
        <w:rPr>
          <w:rFonts w:ascii="Palatino Linotype" w:hAnsi="Palatino Linotype" w:cs="Arial"/>
          <w:i/>
          <w:sz w:val="20"/>
          <w:szCs w:val="24"/>
        </w:rPr>
      </w:pPr>
      <w:r w:rsidRPr="000227FF">
        <w:rPr>
          <w:rFonts w:ascii="Palatino Linotype" w:hAnsi="Palatino Linotype" w:cs="Arial"/>
          <w:i/>
          <w:sz w:val="20"/>
          <w:szCs w:val="24"/>
        </w:rPr>
        <w:t>• RDA 0563/12. Interpuesto en contra de la Secretaría de la Función Pública. Comisionada Ponente Jacqueline Peschard Mariscal.”</w:t>
      </w:r>
    </w:p>
    <w:p w14:paraId="1A3F5473"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0A9780D2"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0227FF">
        <w:rPr>
          <w:rFonts w:ascii="Palatino Linotype" w:hAnsi="Palatino Linotype" w:cs="Arial"/>
          <w:b/>
          <w:sz w:val="24"/>
          <w:szCs w:val="24"/>
        </w:rPr>
        <w:t>Recurrente</w:t>
      </w:r>
      <w:r w:rsidRPr="000227FF">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311CE61F"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3CB4F8B9"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p>
    <w:p w14:paraId="05B6934C" w14:textId="77777777" w:rsidR="001F3C4D"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483D8607" w14:textId="77777777" w:rsidR="001F3C4D" w:rsidRDefault="001F3C4D" w:rsidP="001F3C4D">
      <w:pPr>
        <w:autoSpaceDE w:val="0"/>
        <w:autoSpaceDN w:val="0"/>
        <w:adjustRightInd w:val="0"/>
        <w:spacing w:after="0" w:line="360" w:lineRule="auto"/>
        <w:jc w:val="both"/>
        <w:rPr>
          <w:rFonts w:ascii="Palatino Linotype" w:hAnsi="Palatino Linotype" w:cs="Arial"/>
          <w:sz w:val="24"/>
          <w:szCs w:val="24"/>
        </w:rPr>
      </w:pPr>
    </w:p>
    <w:p w14:paraId="7B4B95F4" w14:textId="77777777" w:rsidR="001F3C4D" w:rsidRPr="000227FF" w:rsidRDefault="001F3C4D" w:rsidP="001F3C4D">
      <w:pPr>
        <w:autoSpaceDE w:val="0"/>
        <w:autoSpaceDN w:val="0"/>
        <w:adjustRightInd w:val="0"/>
        <w:spacing w:after="0" w:line="360" w:lineRule="auto"/>
        <w:jc w:val="both"/>
        <w:rPr>
          <w:rFonts w:ascii="Palatino Linotype" w:hAnsi="Palatino Linotype" w:cs="Arial"/>
          <w:sz w:val="24"/>
          <w:szCs w:val="24"/>
        </w:rPr>
      </w:pPr>
      <w:r w:rsidRPr="000227FF">
        <w:rPr>
          <w:rFonts w:ascii="Palatino Linotype" w:hAnsi="Palatino Linotype" w:cs="Arial"/>
          <w:sz w:val="24"/>
          <w:szCs w:val="24"/>
        </w:rPr>
        <w:t xml:space="preserve">De igual manera, el propio artículo 180 de la Ley de Transparencia local, en su último párrafo establece que cuando el recurso se interponga de manera electrónica, no será indispensable que contenga determinados requisitos, entre ellos, el nombre del </w:t>
      </w:r>
      <w:r w:rsidRPr="007D526C">
        <w:rPr>
          <w:rFonts w:ascii="Palatino Linotype" w:hAnsi="Palatino Linotype" w:cs="Arial"/>
          <w:b/>
          <w:bCs/>
          <w:sz w:val="24"/>
          <w:szCs w:val="24"/>
        </w:rPr>
        <w:t>Recurrente</w:t>
      </w:r>
      <w:r w:rsidRPr="000227FF">
        <w:rPr>
          <w:rFonts w:ascii="Palatino Linotype" w:hAnsi="Palatino Linotype" w:cs="Arial"/>
          <w:sz w:val="24"/>
          <w:szCs w:val="24"/>
        </w:rPr>
        <w:t>, por lo que, en el presente caso, al haber sido presentado el recurso de revisión vía SAIMEX, dicho requisito resulta innecesario.</w:t>
      </w:r>
    </w:p>
    <w:p w14:paraId="705BFC5B" w14:textId="77777777" w:rsidR="001F3C4D" w:rsidRPr="001F3C4D" w:rsidRDefault="001F3C4D" w:rsidP="00390FFA">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D0A6493" w14:textId="77777777" w:rsidR="0048739B" w:rsidRPr="00360DF2" w:rsidRDefault="0048739B"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7AE1DB" w14:textId="77777777" w:rsidR="0016140D" w:rsidRPr="008739FE" w:rsidRDefault="0016140D" w:rsidP="0016140D">
      <w:pPr>
        <w:spacing w:after="0" w:line="360" w:lineRule="auto"/>
        <w:jc w:val="both"/>
        <w:rPr>
          <w:rFonts w:ascii="Palatino Linotype" w:eastAsiaTheme="minorEastAsia" w:hAnsi="Palatino Linotype" w:cs="Arial"/>
          <w:b/>
          <w:sz w:val="28"/>
          <w:szCs w:val="28"/>
          <w:lang w:val="es-ES_tradnl" w:eastAsia="es-ES"/>
        </w:rPr>
      </w:pPr>
      <w:r w:rsidRPr="008739FE">
        <w:rPr>
          <w:rFonts w:ascii="Palatino Linotype" w:eastAsiaTheme="minorEastAsia" w:hAnsi="Palatino Linotype" w:cs="Arial"/>
          <w:b/>
          <w:sz w:val="28"/>
          <w:szCs w:val="28"/>
          <w:lang w:val="es-ES_tradnl" w:eastAsia="es-ES"/>
        </w:rPr>
        <w:t>TERCERO. Del estudio de las causas de improcedencia y sobreseimiento.</w:t>
      </w:r>
    </w:p>
    <w:p w14:paraId="5B376121" w14:textId="6266A2B8" w:rsidR="0016140D"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6960F45" w14:textId="77777777" w:rsidR="0016140D" w:rsidRPr="008739FE" w:rsidRDefault="0016140D" w:rsidP="0016140D">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75D4B390" w14:textId="77777777" w:rsidR="0016140D" w:rsidRPr="008739FE"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BF991EC" w14:textId="77777777" w:rsidR="0016140D" w:rsidRPr="008739FE" w:rsidRDefault="0016140D" w:rsidP="0016140D">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8739FE">
        <w:rPr>
          <w:rFonts w:ascii="Palatino Linotype" w:eastAsiaTheme="minorEastAsia" w:hAnsi="Palatino Linotype" w:cs="Arial"/>
          <w:i/>
          <w:szCs w:val="24"/>
          <w:lang w:val="es-ES_tradnl" w:eastAsia="es-ES"/>
        </w:rPr>
        <w:t>“</w:t>
      </w:r>
      <w:r w:rsidRPr="008739FE">
        <w:rPr>
          <w:rFonts w:ascii="Palatino Linotype" w:eastAsiaTheme="minorEastAsia" w:hAnsi="Palatino Linotype" w:cs="Arial"/>
          <w:b/>
          <w:i/>
          <w:szCs w:val="24"/>
          <w:lang w:val="es-ES_tradnl" w:eastAsia="es-ES"/>
        </w:rPr>
        <w:t>IMPROCEDENCIA, CAUSALES DE. EN EL JUICIO DE AMPARO.</w:t>
      </w:r>
      <w:r w:rsidRPr="008739FE">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14:paraId="305FF941" w14:textId="77777777" w:rsidR="0016140D" w:rsidRPr="008739FE"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CEA0974" w14:textId="5BCFD550" w:rsidR="0016140D" w:rsidRDefault="0016140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8739FE">
        <w:rPr>
          <w:rFonts w:ascii="Palatino Linotype" w:eastAsiaTheme="minorEastAsia" w:hAnsi="Palatino Linotype" w:cs="Arial"/>
          <w:sz w:val="24"/>
          <w:szCs w:val="24"/>
          <w:vertAlign w:val="superscript"/>
          <w:lang w:val="es-ES_tradnl" w:eastAsia="es-ES"/>
        </w:rPr>
        <w:footnoteReference w:id="1"/>
      </w:r>
      <w:r w:rsidRPr="008739FE">
        <w:rPr>
          <w:rFonts w:ascii="Palatino Linotype" w:eastAsiaTheme="minorEastAsia" w:hAnsi="Palatino Linotype" w:cs="Arial"/>
          <w:sz w:val="24"/>
          <w:szCs w:val="24"/>
          <w:lang w:val="es-ES_tradnl" w:eastAsia="es-ES"/>
        </w:rPr>
        <w:t>.</w:t>
      </w:r>
    </w:p>
    <w:p w14:paraId="4F374F81" w14:textId="77777777" w:rsidR="001F3C4D" w:rsidRPr="008739FE" w:rsidRDefault="001F3C4D" w:rsidP="0016140D">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78556C79" w14:textId="7F5F1AA4" w:rsidR="0016140D"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7E8E02C8" w14:textId="77777777" w:rsidR="00E83E05" w:rsidRPr="008739FE" w:rsidRDefault="00E83E05"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002F5180" w14:textId="77777777" w:rsidR="0016140D" w:rsidRPr="008739FE"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32565293" w14:textId="77777777" w:rsidR="0016140D" w:rsidRPr="008739FE"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34AA9849" w14:textId="77777777" w:rsidR="0016140D" w:rsidRPr="008739FE" w:rsidRDefault="0016140D" w:rsidP="0016140D">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8739FE">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8739FE">
        <w:rPr>
          <w:rFonts w:ascii="Palatino Linotype" w:eastAsiaTheme="minorEastAsia" w:hAnsi="Palatino Linotype" w:cs="Arial"/>
          <w:b/>
          <w:sz w:val="24"/>
          <w:szCs w:val="24"/>
          <w:lang w:val="es-ES_tradnl" w:eastAsia="es-ES"/>
        </w:rPr>
        <w:t>Recurrente</w:t>
      </w:r>
      <w:r w:rsidRPr="008739FE">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8739FE">
        <w:rPr>
          <w:rFonts w:ascii="Palatino Linotype" w:eastAsiaTheme="minorEastAsia" w:hAnsi="Palatino Linotype" w:cs="Arial"/>
          <w:b/>
          <w:sz w:val="24"/>
          <w:szCs w:val="24"/>
          <w:lang w:val="es-ES_tradnl" w:eastAsia="es-ES"/>
        </w:rPr>
        <w:t>Sujeto Obligado</w:t>
      </w:r>
      <w:r w:rsidRPr="008739FE">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0FA10A4E" w14:textId="77777777" w:rsidR="0016140D" w:rsidRDefault="0016140D" w:rsidP="0016140D">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30150763" w14:textId="1CB3E1BE" w:rsidR="0016140D" w:rsidRPr="007F1D25" w:rsidRDefault="0016140D" w:rsidP="001614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F1D25">
        <w:rPr>
          <w:rFonts w:ascii="Palatino Linotype" w:eastAsia="Times New Roman" w:hAnsi="Palatino Linotype" w:cs="Arial"/>
          <w:sz w:val="24"/>
          <w:szCs w:val="24"/>
          <w:lang w:val="es-ES" w:eastAsia="es-ES"/>
        </w:rPr>
        <w:t xml:space="preserve">Atentos a la redacción de la solicitud de información, se puede apreciar que la parte </w:t>
      </w:r>
      <w:r w:rsidRPr="007F1D25">
        <w:rPr>
          <w:rFonts w:ascii="Palatino Linotype" w:eastAsia="Times New Roman" w:hAnsi="Palatino Linotype" w:cs="Arial"/>
          <w:b/>
          <w:sz w:val="24"/>
          <w:szCs w:val="24"/>
          <w:lang w:val="es-ES" w:eastAsia="es-ES"/>
        </w:rPr>
        <w:t>Recurrente</w:t>
      </w:r>
      <w:r w:rsidRPr="007F1D25">
        <w:rPr>
          <w:rFonts w:ascii="Palatino Linotype" w:eastAsia="Times New Roman" w:hAnsi="Palatino Linotype" w:cs="Arial"/>
          <w:sz w:val="24"/>
          <w:szCs w:val="24"/>
          <w:lang w:val="es-ES" w:eastAsia="es-ES"/>
        </w:rPr>
        <w:t xml:space="preserve"> petici</w:t>
      </w:r>
      <w:r>
        <w:rPr>
          <w:rFonts w:ascii="Palatino Linotype" w:eastAsia="Times New Roman" w:hAnsi="Palatino Linotype" w:cs="Arial"/>
          <w:sz w:val="24"/>
          <w:szCs w:val="24"/>
          <w:lang w:val="es-ES" w:eastAsia="es-ES"/>
        </w:rPr>
        <w:t xml:space="preserve">ona </w:t>
      </w:r>
      <w:r w:rsidRPr="007F1D25">
        <w:rPr>
          <w:rFonts w:ascii="Palatino Linotype" w:eastAsia="Times New Roman" w:hAnsi="Palatino Linotype" w:cs="Arial"/>
          <w:sz w:val="24"/>
          <w:szCs w:val="24"/>
          <w:lang w:val="es-ES" w:eastAsia="es-ES"/>
        </w:rPr>
        <w:t>lo siguiente:</w:t>
      </w:r>
    </w:p>
    <w:p w14:paraId="31C92B85" w14:textId="77777777" w:rsidR="0009491C" w:rsidRDefault="0009491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975CE5" w14:textId="2A78AF20" w:rsidR="0016140D" w:rsidRDefault="00225D1A" w:rsidP="00225D1A">
      <w:pPr>
        <w:pStyle w:val="Prrafodelista"/>
        <w:numPr>
          <w:ilvl w:val="0"/>
          <w:numId w:val="3"/>
        </w:numPr>
        <w:spacing w:line="360" w:lineRule="auto"/>
        <w:jc w:val="both"/>
        <w:rPr>
          <w:rFonts w:ascii="Palatino Linotype" w:hAnsi="Palatino Linotype"/>
        </w:rPr>
      </w:pPr>
      <w:r w:rsidRPr="00225D1A">
        <w:rPr>
          <w:rFonts w:ascii="Palatino Linotype" w:hAnsi="Palatino Linotype"/>
        </w:rPr>
        <w:t xml:space="preserve">solicito por área </w:t>
      </w:r>
      <w:r w:rsidRPr="00F80303">
        <w:rPr>
          <w:rFonts w:ascii="Palatino Linotype" w:hAnsi="Palatino Linotype"/>
          <w:b/>
          <w:bCs/>
        </w:rPr>
        <w:t>la nómina</w:t>
      </w:r>
      <w:r w:rsidRPr="00225D1A">
        <w:rPr>
          <w:rFonts w:ascii="Palatino Linotype" w:hAnsi="Palatino Linotype"/>
        </w:rPr>
        <w:t xml:space="preserve"> de cada uno de los servidores públicos correspondiente a la </w:t>
      </w:r>
      <w:r w:rsidRPr="001F3C4D">
        <w:rPr>
          <w:rFonts w:ascii="Palatino Linotype" w:hAnsi="Palatino Linotype"/>
          <w:u w:val="single"/>
        </w:rPr>
        <w:t>primera y segunda quincena del mes de abril del año</w:t>
      </w:r>
      <w:r w:rsidRPr="00225D1A">
        <w:rPr>
          <w:rFonts w:ascii="Palatino Linotype" w:hAnsi="Palatino Linotype"/>
        </w:rPr>
        <w:t xml:space="preserve"> en </w:t>
      </w:r>
      <w:r w:rsidRPr="001F3C4D">
        <w:rPr>
          <w:rFonts w:ascii="Palatino Linotype" w:hAnsi="Palatino Linotype"/>
          <w:u w:val="single"/>
        </w:rPr>
        <w:t>curso</w:t>
      </w:r>
      <w:r w:rsidR="0016140D">
        <w:rPr>
          <w:rFonts w:ascii="Palatino Linotype" w:hAnsi="Palatino Linotype"/>
        </w:rPr>
        <w:t>.</w:t>
      </w:r>
    </w:p>
    <w:p w14:paraId="02D36CED" w14:textId="77777777" w:rsidR="0016140D" w:rsidRDefault="0016140D"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46B9DB" w14:textId="53C6BD15" w:rsidR="00D6242C" w:rsidRDefault="008657E9" w:rsidP="008657E9">
      <w:pPr>
        <w:spacing w:after="0" w:line="360" w:lineRule="auto"/>
        <w:contextualSpacing/>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Ahora bien, quedó demostrado en párrafos anteriores </w:t>
      </w:r>
      <w:r w:rsidR="00D6242C">
        <w:rPr>
          <w:rFonts w:ascii="Palatino Linotype" w:eastAsia="Times New Roman" w:hAnsi="Palatino Linotype" w:cs="Arial"/>
          <w:sz w:val="24"/>
          <w:szCs w:val="24"/>
          <w:lang w:val="es-ES" w:eastAsia="es-ES"/>
        </w:rPr>
        <w:t>que e</w:t>
      </w:r>
      <w:r w:rsidRPr="00360DF2">
        <w:rPr>
          <w:rFonts w:ascii="Palatino Linotype" w:eastAsia="Times New Roman" w:hAnsi="Palatino Linotype" w:cs="Times New Roman"/>
          <w:sz w:val="24"/>
          <w:szCs w:val="24"/>
          <w:lang w:val="es-ES" w:eastAsia="es-MX"/>
        </w:rPr>
        <w:t xml:space="preserve">l </w:t>
      </w:r>
      <w:r w:rsidRPr="00360DF2">
        <w:rPr>
          <w:rFonts w:ascii="Palatino Linotype" w:eastAsia="Times New Roman" w:hAnsi="Palatino Linotype" w:cs="Times New Roman"/>
          <w:b/>
          <w:sz w:val="24"/>
          <w:szCs w:val="24"/>
          <w:lang w:val="es-ES" w:eastAsia="es-MX"/>
        </w:rPr>
        <w:t>Sujeto Obligado</w:t>
      </w:r>
      <w:r w:rsidRPr="00360DF2">
        <w:rPr>
          <w:rFonts w:ascii="Palatino Linotype" w:eastAsia="Times New Roman" w:hAnsi="Palatino Linotype" w:cs="Times New Roman"/>
          <w:sz w:val="24"/>
          <w:szCs w:val="24"/>
          <w:lang w:val="es-ES" w:eastAsia="es-MX"/>
        </w:rPr>
        <w:t xml:space="preserve"> </w:t>
      </w:r>
      <w:r w:rsidR="00D6242C">
        <w:rPr>
          <w:rFonts w:ascii="Palatino Linotype" w:eastAsia="Times New Roman" w:hAnsi="Palatino Linotype" w:cs="Times New Roman"/>
          <w:sz w:val="24"/>
          <w:szCs w:val="24"/>
          <w:lang w:val="es-ES" w:eastAsia="es-MX"/>
        </w:rPr>
        <w:t xml:space="preserve">emitió respuesta por medio del documento electrónico </w:t>
      </w:r>
      <w:r w:rsidR="00D6242C">
        <w:rPr>
          <w:rFonts w:ascii="Palatino Linotype" w:hAnsi="Palatino Linotype" w:cs="Arial"/>
          <w:i/>
          <w:iCs/>
          <w:sz w:val="24"/>
          <w:szCs w:val="24"/>
        </w:rPr>
        <w:t>“</w:t>
      </w:r>
      <w:r w:rsidR="00225D1A" w:rsidRPr="00225D1A">
        <w:rPr>
          <w:rFonts w:ascii="Palatino Linotype" w:hAnsi="Palatino Linotype" w:cs="Arial"/>
          <w:b/>
          <w:bCs/>
          <w:i/>
          <w:iCs/>
          <w:sz w:val="24"/>
          <w:szCs w:val="24"/>
        </w:rPr>
        <w:t>00061.pdf</w:t>
      </w:r>
      <w:r w:rsidR="00D6242C">
        <w:rPr>
          <w:rFonts w:ascii="Palatino Linotype" w:hAnsi="Palatino Linotype" w:cs="Arial"/>
          <w:i/>
          <w:iCs/>
          <w:sz w:val="24"/>
          <w:szCs w:val="24"/>
        </w:rPr>
        <w:t>”</w:t>
      </w:r>
      <w:r w:rsidR="00D6242C">
        <w:rPr>
          <w:rFonts w:ascii="Palatino Linotype" w:hAnsi="Palatino Linotype" w:cs="Arial"/>
          <w:sz w:val="24"/>
          <w:szCs w:val="24"/>
        </w:rPr>
        <w:t>, de los que se observa el contenido siguiente:</w:t>
      </w:r>
    </w:p>
    <w:p w14:paraId="11F44C47" w14:textId="641F0194" w:rsidR="00D6242C" w:rsidRDefault="00D6242C" w:rsidP="008657E9">
      <w:pPr>
        <w:spacing w:after="0" w:line="360" w:lineRule="auto"/>
        <w:contextualSpacing/>
        <w:jc w:val="both"/>
        <w:rPr>
          <w:rFonts w:ascii="Palatino Linotype" w:hAnsi="Palatino Linotype" w:cs="Arial"/>
          <w:sz w:val="24"/>
          <w:szCs w:val="24"/>
        </w:rPr>
      </w:pPr>
    </w:p>
    <w:p w14:paraId="148C770A" w14:textId="2515ADAE" w:rsidR="00D6242C" w:rsidRPr="00D6242C" w:rsidRDefault="00D6242C" w:rsidP="00D6242C">
      <w:pPr>
        <w:pStyle w:val="Prrafodelista"/>
        <w:numPr>
          <w:ilvl w:val="0"/>
          <w:numId w:val="6"/>
        </w:numPr>
        <w:spacing w:line="360" w:lineRule="auto"/>
        <w:contextualSpacing/>
        <w:jc w:val="both"/>
        <w:rPr>
          <w:rFonts w:ascii="Palatino Linotype" w:hAnsi="Palatino Linotype"/>
          <w:lang w:eastAsia="es-MX"/>
        </w:rPr>
      </w:pPr>
      <w:r>
        <w:rPr>
          <w:rFonts w:ascii="Palatino Linotype" w:hAnsi="Palatino Linotype" w:cs="Arial"/>
        </w:rPr>
        <w:t xml:space="preserve">Oficio </w:t>
      </w:r>
      <w:r w:rsidR="00225D1A">
        <w:rPr>
          <w:rFonts w:ascii="Palatino Linotype" w:hAnsi="Palatino Linotype" w:cs="Arial"/>
        </w:rPr>
        <w:t>SMA/UIPPET/UT/0317/2024 a través del cual e</w:t>
      </w:r>
      <w:r>
        <w:rPr>
          <w:rFonts w:ascii="Palatino Linotype" w:hAnsi="Palatino Linotype" w:cs="Arial"/>
        </w:rPr>
        <w:t>l Titular de la Unidad de Transparencia del Sujeto Obligado</w:t>
      </w:r>
      <w:r w:rsidR="00225D1A">
        <w:rPr>
          <w:rFonts w:ascii="Palatino Linotype" w:hAnsi="Palatino Linotype" w:cs="Arial"/>
        </w:rPr>
        <w:t xml:space="preserve"> informó</w:t>
      </w:r>
      <w:r>
        <w:rPr>
          <w:rFonts w:ascii="Palatino Linotype" w:hAnsi="Palatino Linotype" w:cs="Arial"/>
        </w:rPr>
        <w:t xml:space="preserve"> al entonces Solicitante, </w:t>
      </w:r>
      <w:r w:rsidR="00225D1A">
        <w:rPr>
          <w:rFonts w:ascii="Palatino Linotype" w:hAnsi="Palatino Linotype" w:cs="Arial"/>
        </w:rPr>
        <w:t>remitir la respuesta otorgada por el área competente.</w:t>
      </w:r>
      <w:r>
        <w:rPr>
          <w:rFonts w:ascii="Palatino Linotype" w:hAnsi="Palatino Linotype" w:cs="Arial"/>
        </w:rPr>
        <w:t xml:space="preserve"> </w:t>
      </w:r>
    </w:p>
    <w:p w14:paraId="15E9C480" w14:textId="0301D35E" w:rsidR="00D6242C" w:rsidRPr="00225D1A" w:rsidRDefault="00225D1A" w:rsidP="00D6242C">
      <w:pPr>
        <w:pStyle w:val="Prrafodelista"/>
        <w:numPr>
          <w:ilvl w:val="0"/>
          <w:numId w:val="6"/>
        </w:numPr>
        <w:spacing w:line="360" w:lineRule="auto"/>
        <w:contextualSpacing/>
        <w:jc w:val="both"/>
        <w:rPr>
          <w:rFonts w:ascii="Palatino Linotype" w:hAnsi="Palatino Linotype"/>
          <w:lang w:eastAsia="es-MX"/>
        </w:rPr>
      </w:pPr>
      <w:r>
        <w:rPr>
          <w:rFonts w:ascii="Palatino Linotype" w:hAnsi="Palatino Linotype" w:cs="Arial"/>
        </w:rPr>
        <w:t>Oficio SMA/RH/244/2024 remitido por el Jefe del Departamento de Recursos Humanos al Jefe de la Unidad de Transparencia, ambos del Sujeto Obligado, informando hacer entrega de la información solicitada en versión pública.</w:t>
      </w:r>
    </w:p>
    <w:p w14:paraId="120AC35C" w14:textId="77777777" w:rsidR="00225D1A" w:rsidRPr="00225D1A" w:rsidRDefault="00225D1A" w:rsidP="00225D1A">
      <w:pPr>
        <w:pStyle w:val="Prrafodelista"/>
        <w:rPr>
          <w:rFonts w:ascii="Palatino Linotype" w:hAnsi="Palatino Linotype"/>
          <w:lang w:eastAsia="es-MX"/>
        </w:rPr>
      </w:pPr>
    </w:p>
    <w:p w14:paraId="78167EC8" w14:textId="05D90975" w:rsidR="00225D1A" w:rsidRPr="00D6242C" w:rsidRDefault="00225D1A" w:rsidP="00D6242C">
      <w:pPr>
        <w:pStyle w:val="Prrafodelista"/>
        <w:numPr>
          <w:ilvl w:val="0"/>
          <w:numId w:val="6"/>
        </w:numPr>
        <w:spacing w:line="360" w:lineRule="auto"/>
        <w:contextualSpacing/>
        <w:jc w:val="both"/>
        <w:rPr>
          <w:rFonts w:ascii="Palatino Linotype" w:hAnsi="Palatino Linotype"/>
          <w:lang w:eastAsia="es-MX"/>
        </w:rPr>
      </w:pPr>
      <w:r w:rsidRPr="00F80303">
        <w:rPr>
          <w:rFonts w:ascii="Palatino Linotype" w:hAnsi="Palatino Linotype"/>
          <w:b/>
          <w:bCs/>
          <w:lang w:eastAsia="es-MX"/>
        </w:rPr>
        <w:t>Tabulador de Sueldos</w:t>
      </w:r>
      <w:r>
        <w:rPr>
          <w:rFonts w:ascii="Palatino Linotype" w:hAnsi="Palatino Linotype"/>
          <w:lang w:eastAsia="es-MX"/>
        </w:rPr>
        <w:t xml:space="preserve"> del periodo del uno de enero al treinta y uno de diciembre de dos mil veinticuatro.</w:t>
      </w:r>
    </w:p>
    <w:p w14:paraId="38A25B87" w14:textId="77777777" w:rsidR="00D6242C" w:rsidRDefault="00D6242C" w:rsidP="008657E9">
      <w:pPr>
        <w:spacing w:after="0" w:line="360" w:lineRule="auto"/>
        <w:contextualSpacing/>
        <w:jc w:val="both"/>
        <w:rPr>
          <w:rFonts w:ascii="Palatino Linotype" w:eastAsia="Times New Roman" w:hAnsi="Palatino Linotype" w:cs="Times New Roman"/>
          <w:sz w:val="24"/>
          <w:szCs w:val="24"/>
          <w:lang w:val="es-ES" w:eastAsia="es-MX"/>
        </w:rPr>
      </w:pPr>
    </w:p>
    <w:p w14:paraId="3232D5EE" w14:textId="06F47E2C" w:rsidR="0016140D" w:rsidRDefault="00AF677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Inconforme con la respuesta, la parte </w:t>
      </w:r>
      <w:r w:rsidRPr="00AF677C">
        <w:rPr>
          <w:rFonts w:ascii="Palatino Linotype" w:eastAsia="Times New Roman" w:hAnsi="Palatino Linotype" w:cs="Arial"/>
          <w:b/>
          <w:bCs/>
          <w:sz w:val="24"/>
          <w:szCs w:val="24"/>
          <w:lang w:val="es-ES" w:eastAsia="es-ES"/>
        </w:rPr>
        <w:t>Recurrente</w:t>
      </w:r>
      <w:r>
        <w:rPr>
          <w:rFonts w:ascii="Palatino Linotype" w:eastAsia="Times New Roman" w:hAnsi="Palatino Linotype" w:cs="Arial"/>
          <w:sz w:val="24"/>
          <w:szCs w:val="24"/>
          <w:lang w:val="es-ES" w:eastAsia="es-ES"/>
        </w:rPr>
        <w:t xml:space="preserve"> interpuso recurso de revisión, en el cual señalo</w:t>
      </w:r>
      <w:r w:rsidR="008F4F49">
        <w:rPr>
          <w:rFonts w:ascii="Palatino Linotype" w:eastAsia="Times New Roman" w:hAnsi="Palatino Linotype" w:cs="Arial"/>
          <w:sz w:val="24"/>
          <w:szCs w:val="24"/>
          <w:lang w:val="es-ES" w:eastAsia="es-ES"/>
        </w:rPr>
        <w:t xml:space="preserve"> sustancialmente</w:t>
      </w:r>
      <w:r>
        <w:rPr>
          <w:rFonts w:ascii="Palatino Linotype" w:eastAsia="Times New Roman" w:hAnsi="Palatino Linotype" w:cs="Arial"/>
          <w:sz w:val="24"/>
          <w:szCs w:val="24"/>
          <w:lang w:val="es-ES" w:eastAsia="es-ES"/>
        </w:rPr>
        <w:t xml:space="preserve"> como razones o motivos de inconformidad </w:t>
      </w:r>
      <w:r>
        <w:rPr>
          <w:rFonts w:ascii="Palatino Linotype" w:eastAsia="Times New Roman" w:hAnsi="Palatino Linotype" w:cs="Arial"/>
          <w:i/>
          <w:iCs/>
          <w:sz w:val="24"/>
          <w:szCs w:val="24"/>
          <w:lang w:val="es-ES" w:eastAsia="es-ES"/>
        </w:rPr>
        <w:t>“</w:t>
      </w:r>
      <w:r w:rsidR="008F4F49">
        <w:rPr>
          <w:rFonts w:ascii="Palatino Linotype" w:eastAsia="Times New Roman" w:hAnsi="Palatino Linotype" w:cs="Arial"/>
          <w:i/>
          <w:iCs/>
          <w:sz w:val="24"/>
          <w:szCs w:val="24"/>
          <w:lang w:val="es-ES" w:eastAsia="es-ES"/>
        </w:rPr>
        <w:t>…</w:t>
      </w:r>
      <w:r w:rsidR="008F4F49" w:rsidRPr="008F4F49">
        <w:rPr>
          <w:rFonts w:ascii="Palatino Linotype" w:eastAsia="Times New Roman" w:hAnsi="Palatino Linotype" w:cs="Arial"/>
          <w:i/>
          <w:iCs/>
          <w:sz w:val="24"/>
          <w:szCs w:val="24"/>
          <w:lang w:val="es-ES" w:eastAsia="es-ES"/>
        </w:rPr>
        <w:t>LA INFORMACIÓN QUE SE ME ENTREGA NO CORRESPONDE A LO SOLICITADO</w:t>
      </w:r>
      <w:r w:rsidR="008F4F49">
        <w:rPr>
          <w:rFonts w:ascii="Palatino Linotype" w:eastAsia="Times New Roman" w:hAnsi="Palatino Linotype" w:cs="Arial"/>
          <w:i/>
          <w:iCs/>
          <w:sz w:val="24"/>
          <w:szCs w:val="24"/>
          <w:lang w:val="es-ES" w:eastAsia="es-ES"/>
        </w:rPr>
        <w:t>…</w:t>
      </w:r>
      <w:r w:rsidRPr="00AF677C">
        <w:rPr>
          <w:rFonts w:ascii="Palatino Linotype" w:eastAsia="Times New Roman" w:hAnsi="Palatino Linotype" w:cs="Arial"/>
          <w:i/>
          <w:iCs/>
          <w:sz w:val="24"/>
          <w:szCs w:val="24"/>
          <w:lang w:val="es-ES" w:eastAsia="es-ES"/>
        </w:rPr>
        <w:t>” (sic)</w:t>
      </w:r>
      <w:r>
        <w:rPr>
          <w:rFonts w:ascii="Palatino Linotype" w:eastAsia="Times New Roman" w:hAnsi="Palatino Linotype" w:cs="Arial"/>
          <w:sz w:val="24"/>
          <w:szCs w:val="24"/>
          <w:lang w:val="es-ES" w:eastAsia="es-ES"/>
        </w:rPr>
        <w:t>, hipótesis establecida en la fracción V</w:t>
      </w:r>
      <w:r w:rsidR="008F4F49">
        <w:rPr>
          <w:rFonts w:ascii="Palatino Linotype" w:eastAsia="Times New Roman" w:hAnsi="Palatino Linotype" w:cs="Arial"/>
          <w:sz w:val="24"/>
          <w:szCs w:val="24"/>
          <w:lang w:val="es-ES" w:eastAsia="es-ES"/>
        </w:rPr>
        <w:t>I</w:t>
      </w:r>
      <w:r>
        <w:rPr>
          <w:rFonts w:ascii="Palatino Linotype" w:eastAsia="Times New Roman" w:hAnsi="Palatino Linotype" w:cs="Arial"/>
          <w:sz w:val="24"/>
          <w:szCs w:val="24"/>
          <w:lang w:val="es-ES" w:eastAsia="es-ES"/>
        </w:rPr>
        <w:t xml:space="preserve"> del artículo 179 de la Ley de Transparencia Local, para la procedencia del recurso de revisión</w:t>
      </w:r>
      <w:r w:rsidR="008F4F49">
        <w:rPr>
          <w:rFonts w:ascii="Palatino Linotype" w:eastAsia="Times New Roman" w:hAnsi="Palatino Linotype" w:cs="Arial"/>
          <w:sz w:val="24"/>
          <w:szCs w:val="24"/>
          <w:lang w:val="es-ES" w:eastAsia="es-ES"/>
        </w:rPr>
        <w:t>.</w:t>
      </w:r>
    </w:p>
    <w:p w14:paraId="170097C6" w14:textId="0CCB37B6" w:rsidR="00AF677C" w:rsidRDefault="00AF677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D99250" w14:textId="77777777" w:rsidR="00F80303" w:rsidRPr="002038AF" w:rsidRDefault="000A3D26" w:rsidP="00F80303">
      <w:pPr>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Citado lo anterior, </w:t>
      </w:r>
      <w:r w:rsidRPr="00F80303">
        <w:rPr>
          <w:rFonts w:ascii="Palatino Linotype" w:eastAsia="Times New Roman" w:hAnsi="Palatino Linotype" w:cs="Arial"/>
          <w:sz w:val="24"/>
          <w:szCs w:val="24"/>
          <w:lang w:val="es-ES" w:eastAsia="es-ES"/>
        </w:rPr>
        <w:t xml:space="preserve">debemos partir que </w:t>
      </w:r>
      <w:r w:rsidRPr="00F80303">
        <w:rPr>
          <w:rFonts w:ascii="Palatino Linotype" w:eastAsia="Times New Roman" w:hAnsi="Palatino Linotype" w:cs="Arial"/>
          <w:b/>
          <w:bCs/>
          <w:sz w:val="24"/>
          <w:szCs w:val="24"/>
          <w:lang w:val="es-ES" w:eastAsia="es-ES"/>
        </w:rPr>
        <w:t>el derecho de acceso a la información pública</w:t>
      </w:r>
      <w:r w:rsidRPr="00F80303">
        <w:rPr>
          <w:rFonts w:ascii="Palatino Linotype" w:eastAsia="Times New Roman" w:hAnsi="Palatino Linotype" w:cs="Arial"/>
          <w:sz w:val="24"/>
          <w:szCs w:val="24"/>
          <w:lang w:val="es-ES" w:eastAsia="es-ES"/>
        </w:rPr>
        <w:t xml:space="preserve"> </w:t>
      </w:r>
      <w:r w:rsidR="00F80303" w:rsidRPr="00F80303">
        <w:rPr>
          <w:rFonts w:ascii="Palatino Linotype" w:eastAsia="Times New Roman" w:hAnsi="Palatino Linotype" w:cs="Arial"/>
          <w:b/>
          <w:bCs/>
          <w:sz w:val="24"/>
          <w:szCs w:val="24"/>
          <w:lang w:eastAsia="es-ES"/>
        </w:rPr>
        <w:t>consiste</w:t>
      </w:r>
      <w:r w:rsidR="00F80303" w:rsidRPr="002038AF">
        <w:rPr>
          <w:rFonts w:ascii="Palatino Linotype" w:eastAsia="Times New Roman" w:hAnsi="Palatino Linotype" w:cs="Arial"/>
          <w:sz w:val="24"/>
          <w:szCs w:val="24"/>
          <w:lang w:eastAsia="es-ES"/>
        </w:rPr>
        <w:t xml:space="preserve"> en que los Sujetos Obligados hagan </w:t>
      </w:r>
      <w:r w:rsidR="00F80303" w:rsidRPr="00F80303">
        <w:rPr>
          <w:rFonts w:ascii="Palatino Linotype" w:eastAsia="Times New Roman" w:hAnsi="Palatino Linotype" w:cs="Arial"/>
          <w:b/>
          <w:bCs/>
          <w:sz w:val="24"/>
          <w:szCs w:val="24"/>
          <w:lang w:eastAsia="es-ES"/>
        </w:rPr>
        <w:t>entrega de la información conforme obre en sus archivos</w:t>
      </w:r>
      <w:r w:rsidR="00F80303" w:rsidRPr="002038AF">
        <w:rPr>
          <w:rFonts w:ascii="Palatino Linotype" w:eastAsia="Times New Roman" w:hAnsi="Palatino Linotype" w:cs="Arial"/>
          <w:sz w:val="24"/>
          <w:szCs w:val="24"/>
          <w:lang w:eastAsia="es-ES"/>
        </w:rPr>
        <w:t xml:space="preserve">, no así a su procesamiento, ello de conformidad con el </w:t>
      </w:r>
      <w:r w:rsidR="00F80303" w:rsidRPr="002038AF">
        <w:rPr>
          <w:rFonts w:ascii="Palatino Linotype" w:hAnsi="Palatino Linotype" w:cs="Arial"/>
          <w:sz w:val="24"/>
          <w:szCs w:val="24"/>
        </w:rPr>
        <w:t>artículo 4, párrafo segundo, de la Ley de Transparencia y Acceso a la Información Pública del Estado de México y Municipios, dispone:</w:t>
      </w:r>
    </w:p>
    <w:p w14:paraId="4CCECC72" w14:textId="77777777" w:rsidR="00F80303" w:rsidRDefault="00F80303" w:rsidP="00F80303">
      <w:pPr>
        <w:spacing w:after="0" w:line="360" w:lineRule="auto"/>
        <w:jc w:val="both"/>
        <w:rPr>
          <w:rFonts w:ascii="Palatino Linotype" w:hAnsi="Palatino Linotype" w:cs="Arial"/>
          <w:sz w:val="24"/>
          <w:szCs w:val="24"/>
        </w:rPr>
      </w:pPr>
    </w:p>
    <w:p w14:paraId="348612E6"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4</w:t>
      </w:r>
      <w:r w:rsidRPr="002038AF">
        <w:rPr>
          <w:rFonts w:ascii="Palatino Linotype" w:hAnsi="Palatino Linotype" w:cs="Arial"/>
          <w:i/>
          <w:szCs w:val="24"/>
        </w:rPr>
        <w:t xml:space="preserve">. … </w:t>
      </w:r>
    </w:p>
    <w:p w14:paraId="168FC119"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23EF90C2"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35007567"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DA4C4A3" w14:textId="77777777" w:rsidR="00F80303" w:rsidRPr="002038AF" w:rsidRDefault="00F80303" w:rsidP="00F80303">
      <w:pPr>
        <w:spacing w:after="0" w:line="360" w:lineRule="auto"/>
        <w:jc w:val="both"/>
        <w:rPr>
          <w:rFonts w:ascii="Palatino Linotype" w:hAnsi="Palatino Linotype" w:cs="Arial"/>
          <w:sz w:val="24"/>
          <w:szCs w:val="24"/>
        </w:rPr>
      </w:pPr>
    </w:p>
    <w:p w14:paraId="65188159"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8270EF7" w14:textId="77777777" w:rsidR="00F80303" w:rsidRPr="002038AF" w:rsidRDefault="00F80303" w:rsidP="00F80303">
      <w:pPr>
        <w:spacing w:after="0" w:line="360" w:lineRule="auto"/>
        <w:jc w:val="both"/>
        <w:rPr>
          <w:rFonts w:ascii="Palatino Linotype" w:hAnsi="Palatino Linotype" w:cs="Arial"/>
          <w:sz w:val="24"/>
          <w:szCs w:val="24"/>
        </w:rPr>
      </w:pPr>
    </w:p>
    <w:p w14:paraId="0D761F8E"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12.</w:t>
      </w:r>
      <w:r w:rsidRPr="002038AF">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07A54DF3"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Los sujetos obligados </w:t>
      </w:r>
      <w:r w:rsidRPr="00F80303">
        <w:rPr>
          <w:rFonts w:ascii="Palatino Linotype" w:hAnsi="Palatino Linotype" w:cs="Arial"/>
          <w:i/>
          <w:szCs w:val="24"/>
          <w:u w:val="single"/>
        </w:rPr>
        <w:t>sólo proporcionarán la información pública que se les requiera y que obre en sus archivos y en el estado en que ésta se encuentre</w:t>
      </w:r>
      <w:r w:rsidRPr="002038AF">
        <w:rPr>
          <w:rFonts w:ascii="Palatino Linotype" w:hAnsi="Palatino Linotype" w:cs="Arial"/>
          <w:i/>
          <w:szCs w:val="24"/>
        </w:rPr>
        <w:t>. La obligación de proporcionar información no comprende el procesamiento de la misma, ni el presentarla conforme al interés del solicitante; no estarán obligados a generarla, resumirla, efectuar cálculos o practicar investigaciones.”</w:t>
      </w:r>
    </w:p>
    <w:p w14:paraId="6BAC2211" w14:textId="77777777" w:rsidR="00F80303" w:rsidRPr="002038AF" w:rsidRDefault="00F80303" w:rsidP="00F80303">
      <w:pPr>
        <w:spacing w:after="0" w:line="360" w:lineRule="auto"/>
        <w:jc w:val="both"/>
        <w:rPr>
          <w:rFonts w:ascii="Palatino Linotype" w:hAnsi="Palatino Linotype" w:cs="Arial"/>
          <w:sz w:val="24"/>
          <w:szCs w:val="24"/>
        </w:rPr>
      </w:pPr>
    </w:p>
    <w:p w14:paraId="45A3C842"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En síntesis, el derecho de acceso a la información pública se satisface en aquellos casos en que se entregue el soporte documental en que conste la información pública, toda vez que, los Sujetos Obligados no tienen el deber de </w:t>
      </w:r>
      <w:r w:rsidRPr="00F80303">
        <w:rPr>
          <w:rFonts w:ascii="Palatino Linotype" w:hAnsi="Palatino Linotype" w:cs="Arial"/>
          <w:sz w:val="24"/>
          <w:szCs w:val="24"/>
          <w:u w:val="single"/>
        </w:rPr>
        <w:t>generar</w:t>
      </w:r>
      <w:r w:rsidRPr="002038AF">
        <w:rPr>
          <w:rFonts w:ascii="Palatino Linotype" w:hAnsi="Palatino Linotype" w:cs="Arial"/>
          <w:sz w:val="24"/>
          <w:szCs w:val="24"/>
        </w:rPr>
        <w:t>, poseer o administrar la información pública con el grado de detalle solicitado; esto es, que no tienen el deber de generar un documento ad hoc, para satisfacer el derecho de acceso a la información pública.</w:t>
      </w:r>
    </w:p>
    <w:p w14:paraId="37465CFA" w14:textId="77777777" w:rsidR="00F80303" w:rsidRPr="002038AF" w:rsidRDefault="00F80303" w:rsidP="00F80303">
      <w:pPr>
        <w:spacing w:after="0" w:line="360" w:lineRule="auto"/>
        <w:jc w:val="both"/>
        <w:rPr>
          <w:rFonts w:ascii="Palatino Linotype" w:hAnsi="Palatino Linotype" w:cs="Arial"/>
          <w:sz w:val="24"/>
          <w:szCs w:val="24"/>
        </w:rPr>
      </w:pPr>
    </w:p>
    <w:p w14:paraId="2169A3DC"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Como apoyo a lo anterior, es aplicable el </w:t>
      </w:r>
      <w:r w:rsidRPr="002038AF">
        <w:rPr>
          <w:rFonts w:ascii="Palatino Linotype" w:hAnsi="Palatino Linotype" w:cs="Arial"/>
          <w:b/>
          <w:sz w:val="24"/>
          <w:szCs w:val="24"/>
        </w:rPr>
        <w:t>Criterio 03-17</w:t>
      </w:r>
      <w:r w:rsidRPr="002038AF">
        <w:rPr>
          <w:rFonts w:ascii="Palatino Linotype" w:hAnsi="Palatino Linotype" w:cs="Arial"/>
          <w:sz w:val="24"/>
          <w:szCs w:val="24"/>
        </w:rPr>
        <w:t xml:space="preserve">, emitido por el Instituto Nacional de Transparencia, Acceso a la Información y Protección de Datos Personales, que dice: </w:t>
      </w:r>
    </w:p>
    <w:p w14:paraId="6CBFFBDF" w14:textId="77777777" w:rsidR="00F80303" w:rsidRPr="002038AF" w:rsidRDefault="00F80303" w:rsidP="00F80303">
      <w:pPr>
        <w:spacing w:after="0" w:line="360" w:lineRule="auto"/>
        <w:jc w:val="both"/>
        <w:rPr>
          <w:rFonts w:ascii="Palatino Linotype" w:hAnsi="Palatino Linotype" w:cs="Arial"/>
          <w:sz w:val="24"/>
          <w:szCs w:val="24"/>
        </w:rPr>
      </w:pPr>
    </w:p>
    <w:p w14:paraId="1C2E88C2"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No existe obligación de elaborar documentos ad hoc para atender las solicitudes de acceso a la información</w:t>
      </w:r>
      <w:r w:rsidRPr="002038AF">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0413FEF" w14:textId="77777777" w:rsidR="00F80303" w:rsidRPr="00F80303" w:rsidRDefault="00F80303" w:rsidP="00F80303">
      <w:pPr>
        <w:spacing w:after="0" w:line="240" w:lineRule="auto"/>
        <w:ind w:left="567" w:right="567"/>
        <w:jc w:val="both"/>
        <w:rPr>
          <w:rFonts w:ascii="Palatino Linotype" w:hAnsi="Palatino Linotype" w:cs="Arial"/>
          <w:b/>
          <w:i/>
          <w:sz w:val="20"/>
        </w:rPr>
      </w:pPr>
      <w:r w:rsidRPr="00F80303">
        <w:rPr>
          <w:rFonts w:ascii="Palatino Linotype" w:hAnsi="Palatino Linotype" w:cs="Arial"/>
          <w:b/>
          <w:i/>
          <w:sz w:val="20"/>
        </w:rPr>
        <w:t xml:space="preserve">Resoluciones: </w:t>
      </w:r>
    </w:p>
    <w:p w14:paraId="223E9C47" w14:textId="77777777" w:rsidR="00F80303" w:rsidRPr="00F80303" w:rsidRDefault="00F80303" w:rsidP="00F80303">
      <w:pPr>
        <w:spacing w:after="0" w:line="240" w:lineRule="auto"/>
        <w:ind w:left="567" w:right="567"/>
        <w:jc w:val="both"/>
        <w:rPr>
          <w:rFonts w:ascii="Palatino Linotype" w:hAnsi="Palatino Linotype" w:cs="Arial"/>
          <w:i/>
          <w:sz w:val="20"/>
        </w:rPr>
      </w:pPr>
      <w:r w:rsidRPr="00F80303">
        <w:rPr>
          <w:rFonts w:ascii="Palatino Linotype" w:hAnsi="Palatino Linotype" w:cs="Arial"/>
          <w:i/>
          <w:sz w:val="20"/>
        </w:rPr>
        <w:t>• RRA 0050/16. Instituto Nacional para la Evaluación de la Educación. 13 julio de 2016. Por unanimidad. Comisionado Ponente: Francisco Javier Acuña Llamas.</w:t>
      </w:r>
    </w:p>
    <w:p w14:paraId="56FE0B36" w14:textId="77777777" w:rsidR="00F80303" w:rsidRPr="00F80303" w:rsidRDefault="00F80303" w:rsidP="00F80303">
      <w:pPr>
        <w:spacing w:after="0" w:line="240" w:lineRule="auto"/>
        <w:ind w:left="567" w:right="567"/>
        <w:jc w:val="both"/>
        <w:rPr>
          <w:rFonts w:ascii="Palatino Linotype" w:hAnsi="Palatino Linotype" w:cs="Arial"/>
          <w:i/>
          <w:sz w:val="20"/>
        </w:rPr>
      </w:pPr>
      <w:r w:rsidRPr="00F80303">
        <w:rPr>
          <w:rFonts w:ascii="Palatino Linotype" w:hAnsi="Palatino Linotype" w:cs="Arial"/>
          <w:i/>
          <w:sz w:val="20"/>
        </w:rPr>
        <w:t xml:space="preserve">• RRA 0310/16. Instituto Nacional de Transparencia, Acceso a la Información y Protección de Datos Personales. 10 de agosto de 2016. Por unanimidad. Comisionada Ponente. Areli Cano Guadiana. </w:t>
      </w:r>
    </w:p>
    <w:p w14:paraId="6B00F207" w14:textId="77777777" w:rsidR="00F80303" w:rsidRPr="00F80303" w:rsidRDefault="00F80303" w:rsidP="00F80303">
      <w:pPr>
        <w:spacing w:after="0" w:line="240" w:lineRule="auto"/>
        <w:ind w:left="567" w:right="567"/>
        <w:jc w:val="both"/>
        <w:rPr>
          <w:rFonts w:ascii="Palatino Linotype" w:hAnsi="Palatino Linotype" w:cs="Arial"/>
          <w:i/>
          <w:sz w:val="20"/>
        </w:rPr>
      </w:pPr>
      <w:r w:rsidRPr="00F80303">
        <w:rPr>
          <w:rFonts w:ascii="Palatino Linotype" w:hAnsi="Palatino Linotype" w:cs="Arial"/>
          <w:i/>
          <w:sz w:val="20"/>
        </w:rPr>
        <w:t>• RRA 1889/16. Secretaría de Hacienda y Crédito Público. 05 de octubre de 2016. Por unanimidad. Comisionada Ponente. Ximena Puente de la Mora.”</w:t>
      </w:r>
    </w:p>
    <w:p w14:paraId="1E51E776" w14:textId="77777777" w:rsidR="00F80303" w:rsidRPr="002038AF" w:rsidRDefault="00F80303" w:rsidP="00F80303">
      <w:pPr>
        <w:spacing w:after="0" w:line="360" w:lineRule="auto"/>
        <w:jc w:val="both"/>
        <w:rPr>
          <w:rFonts w:ascii="Palatino Linotype" w:hAnsi="Palatino Linotype" w:cs="Arial"/>
          <w:sz w:val="24"/>
          <w:szCs w:val="24"/>
        </w:rPr>
      </w:pPr>
    </w:p>
    <w:p w14:paraId="47296984"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AC1CA04" w14:textId="77777777" w:rsidR="00F80303" w:rsidRPr="002038AF" w:rsidRDefault="00F80303" w:rsidP="00F80303">
      <w:pPr>
        <w:spacing w:after="0" w:line="360" w:lineRule="auto"/>
        <w:jc w:val="both"/>
        <w:rPr>
          <w:rFonts w:ascii="Palatino Linotype" w:hAnsi="Palatino Linotype" w:cs="Arial"/>
          <w:sz w:val="24"/>
          <w:szCs w:val="24"/>
        </w:rPr>
      </w:pPr>
    </w:p>
    <w:p w14:paraId="176FC5DC"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En esta misma tesitura, es de subrayar que el derecho de acceso a la información pública, consiste en que la información solicitada </w:t>
      </w:r>
      <w:r w:rsidRPr="00F80303">
        <w:rPr>
          <w:rFonts w:ascii="Palatino Linotype" w:hAnsi="Palatino Linotype" w:cs="Arial"/>
          <w:b/>
          <w:bCs/>
          <w:sz w:val="24"/>
          <w:szCs w:val="24"/>
        </w:rPr>
        <w:t>conste en un soporte documental</w:t>
      </w:r>
      <w:r w:rsidRPr="002038AF">
        <w:rPr>
          <w:rFonts w:ascii="Palatino Linotype" w:hAnsi="Palatino Linotype" w:cs="Arial"/>
          <w:sz w:val="24"/>
          <w:szCs w:val="24"/>
        </w:rPr>
        <w:t xml:space="preserve">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36064A8F" w14:textId="77777777" w:rsidR="00F80303" w:rsidRPr="002038AF" w:rsidRDefault="00F80303" w:rsidP="00F80303">
      <w:pPr>
        <w:spacing w:after="0" w:line="360" w:lineRule="auto"/>
        <w:jc w:val="both"/>
        <w:rPr>
          <w:rFonts w:ascii="Palatino Linotype" w:hAnsi="Palatino Linotype" w:cs="Arial"/>
          <w:sz w:val="24"/>
          <w:szCs w:val="24"/>
        </w:rPr>
      </w:pPr>
    </w:p>
    <w:p w14:paraId="2A672E49"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Artículo 3.</w:t>
      </w:r>
      <w:r w:rsidRPr="002038AF">
        <w:rPr>
          <w:rFonts w:ascii="Palatino Linotype" w:hAnsi="Palatino Linotype" w:cs="Arial"/>
          <w:i/>
          <w:szCs w:val="24"/>
        </w:rPr>
        <w:t xml:space="preserve"> Para los efectos de la presente Ley se entenderá por:</w:t>
      </w:r>
    </w:p>
    <w:p w14:paraId="5367744B"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p>
    <w:p w14:paraId="42E54FEA"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b/>
          <w:i/>
          <w:szCs w:val="24"/>
        </w:rPr>
        <w:t>XI. Documento:</w:t>
      </w:r>
      <w:r w:rsidRPr="002038AF">
        <w:rPr>
          <w:rFonts w:ascii="Palatino Linotype" w:hAnsi="Palatino Linotype" w:cs="Arial"/>
          <w:i/>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2038AF">
        <w:rPr>
          <w:rFonts w:ascii="Palatino Linotype" w:hAnsi="Palatino Linotype" w:cs="Arial"/>
          <w:i/>
          <w:szCs w:val="24"/>
          <w:u w:val="single"/>
        </w:rPr>
        <w:t>Los documentos podrán estar en cualquier medio, sea escrito, impreso, sonoro, visual, electrónico, informático u holográfico;</w:t>
      </w:r>
    </w:p>
    <w:p w14:paraId="7237A8B5"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p>
    <w:p w14:paraId="5C502CC0" w14:textId="77777777" w:rsidR="00F80303" w:rsidRPr="002038AF" w:rsidRDefault="00F80303" w:rsidP="00F80303">
      <w:pPr>
        <w:spacing w:after="0" w:line="360" w:lineRule="auto"/>
        <w:jc w:val="both"/>
        <w:rPr>
          <w:rFonts w:ascii="Palatino Linotype" w:hAnsi="Palatino Linotype" w:cs="Arial"/>
          <w:sz w:val="24"/>
          <w:szCs w:val="24"/>
        </w:rPr>
      </w:pPr>
    </w:p>
    <w:p w14:paraId="0AD1AB7A" w14:textId="77777777" w:rsidR="00F80303" w:rsidRPr="002038AF" w:rsidRDefault="00F80303" w:rsidP="00F80303">
      <w:pPr>
        <w:spacing w:after="0" w:line="360" w:lineRule="auto"/>
        <w:jc w:val="both"/>
        <w:rPr>
          <w:rFonts w:ascii="Palatino Linotype" w:hAnsi="Palatino Linotype" w:cs="Arial"/>
          <w:sz w:val="24"/>
          <w:szCs w:val="24"/>
        </w:rPr>
      </w:pPr>
      <w:r w:rsidRPr="002038AF">
        <w:rPr>
          <w:rFonts w:ascii="Palatino Linotype" w:hAnsi="Palatino Linotype" w:cs="Arial"/>
          <w:sz w:val="24"/>
          <w:szCs w:val="24"/>
        </w:rPr>
        <w:t xml:space="preserve">Siendo aplicable el Criterio de interpretación en el orden administrativo número </w:t>
      </w:r>
      <w:r w:rsidRPr="002038AF">
        <w:rPr>
          <w:rFonts w:ascii="Palatino Linotype" w:hAnsi="Palatino Linotype" w:cs="Arial"/>
          <w:b/>
          <w:sz w:val="24"/>
          <w:szCs w:val="24"/>
        </w:rPr>
        <w:t>0002-11</w:t>
      </w:r>
      <w:r w:rsidRPr="002038AF">
        <w:rPr>
          <w:rFonts w:ascii="Palatino Linotype" w:hAnsi="Palatino Linotype" w:cs="Arial"/>
          <w:sz w:val="24"/>
          <w:szCs w:val="24"/>
        </w:rPr>
        <w:t>,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8AC261D" w14:textId="77777777" w:rsidR="00F80303" w:rsidRPr="002038AF" w:rsidRDefault="00F80303" w:rsidP="00F80303">
      <w:pPr>
        <w:spacing w:after="0" w:line="360" w:lineRule="auto"/>
        <w:jc w:val="both"/>
        <w:rPr>
          <w:rFonts w:ascii="Palatino Linotype" w:hAnsi="Palatino Linotype" w:cs="Arial"/>
          <w:sz w:val="24"/>
          <w:szCs w:val="24"/>
        </w:rPr>
      </w:pPr>
    </w:p>
    <w:p w14:paraId="6F3EE240"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w:t>
      </w:r>
      <w:r w:rsidRPr="002038AF">
        <w:rPr>
          <w:rFonts w:ascii="Palatino Linotype" w:hAnsi="Palatino Linotype" w:cs="Arial"/>
          <w:b/>
          <w:i/>
          <w:szCs w:val="24"/>
        </w:rPr>
        <w:t>INFORMACIÓN PÚBLICA, CONCEPTO DE, EN MATERIA DE TRANSPARENCIA. INTERPRETACIÓN SISTEMÁTICA DE LOS ARTÍCULOS 2°, FRACCIÓN V, XV, Y XVI, 3°, 4°, 11 Y 41.</w:t>
      </w:r>
      <w:r w:rsidRPr="002038AF">
        <w:rPr>
          <w:rFonts w:ascii="Palatino Linotype" w:hAnsi="Palatino Linotype" w:cs="Arial"/>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7AA889"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En consecuencia el acceso a la información se refiere a que se cumplan cualquiera de los siguientes tres supuestos:</w:t>
      </w:r>
    </w:p>
    <w:p w14:paraId="2EA07034"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 xml:space="preserve">1) </w:t>
      </w:r>
      <w:r w:rsidRPr="002038AF">
        <w:rPr>
          <w:rFonts w:ascii="Palatino Linotype" w:hAnsi="Palatino Linotype" w:cs="Arial"/>
          <w:i/>
          <w:szCs w:val="24"/>
          <w:u w:val="single"/>
        </w:rPr>
        <w:t>Que se trate de información registrada en cualquier soporte documental, que en ejercicio de las atribuciones conferidas, sea generada por los Sujetos Obligados</w:t>
      </w:r>
      <w:r w:rsidRPr="002038AF">
        <w:rPr>
          <w:rFonts w:ascii="Palatino Linotype" w:hAnsi="Palatino Linotype" w:cs="Arial"/>
          <w:i/>
          <w:szCs w:val="24"/>
        </w:rPr>
        <w:t>;</w:t>
      </w:r>
    </w:p>
    <w:p w14:paraId="5BFD4BF6"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2) Que se trate de información registrada en cualquier soporte documental, que en ejercicio de las atribuciones conferidas, sea administrada por los Sujetos Obligados, y</w:t>
      </w:r>
    </w:p>
    <w:p w14:paraId="1F580ABD" w14:textId="77777777" w:rsidR="00F80303" w:rsidRPr="002038AF" w:rsidRDefault="00F80303" w:rsidP="00F80303">
      <w:pPr>
        <w:spacing w:after="0" w:line="240" w:lineRule="auto"/>
        <w:ind w:left="567" w:right="567"/>
        <w:jc w:val="both"/>
        <w:rPr>
          <w:rFonts w:ascii="Palatino Linotype" w:hAnsi="Palatino Linotype" w:cs="Arial"/>
          <w:i/>
          <w:szCs w:val="24"/>
        </w:rPr>
      </w:pPr>
      <w:r w:rsidRPr="002038AF">
        <w:rPr>
          <w:rFonts w:ascii="Palatino Linotype" w:hAnsi="Palatino Linotype" w:cs="Arial"/>
          <w:i/>
          <w:szCs w:val="24"/>
        </w:rPr>
        <w:t>3) Que se trate de información registrada en cualquier soporte documental, que en ejercicio de las atribuciones conferidas, se encuentre en posesión de los Sujetos Obligados.” (SIC)</w:t>
      </w:r>
    </w:p>
    <w:p w14:paraId="0FA0BD7E" w14:textId="77777777" w:rsidR="00F80303" w:rsidRPr="002038AF" w:rsidRDefault="00F80303" w:rsidP="00F80303">
      <w:pPr>
        <w:spacing w:after="0" w:line="240" w:lineRule="auto"/>
        <w:ind w:left="567" w:right="567"/>
        <w:jc w:val="right"/>
        <w:rPr>
          <w:rFonts w:ascii="Palatino Linotype" w:hAnsi="Palatino Linotype" w:cs="Arial"/>
          <w:szCs w:val="24"/>
        </w:rPr>
      </w:pPr>
    </w:p>
    <w:p w14:paraId="24925388" w14:textId="77777777" w:rsidR="00F80303" w:rsidRPr="002038AF" w:rsidRDefault="00F80303" w:rsidP="00F80303">
      <w:pPr>
        <w:spacing w:after="0" w:line="240" w:lineRule="auto"/>
        <w:ind w:left="567" w:right="567"/>
        <w:jc w:val="right"/>
        <w:rPr>
          <w:rFonts w:ascii="Palatino Linotype" w:hAnsi="Palatino Linotype" w:cs="Arial"/>
          <w:szCs w:val="24"/>
        </w:rPr>
      </w:pPr>
      <w:r w:rsidRPr="002038AF">
        <w:rPr>
          <w:rFonts w:ascii="Palatino Linotype" w:hAnsi="Palatino Linotype" w:cs="Arial"/>
          <w:szCs w:val="24"/>
        </w:rPr>
        <w:t>(Énfasis Añadido)</w:t>
      </w:r>
    </w:p>
    <w:p w14:paraId="1C9B4A32" w14:textId="77777777" w:rsidR="00F80303" w:rsidRDefault="00F80303" w:rsidP="00F80303">
      <w:pPr>
        <w:spacing w:after="0" w:line="360" w:lineRule="auto"/>
        <w:jc w:val="both"/>
        <w:rPr>
          <w:rFonts w:ascii="Palatino Linotype" w:hAnsi="Palatino Linotype"/>
          <w:sz w:val="24"/>
          <w:szCs w:val="24"/>
        </w:rPr>
      </w:pPr>
    </w:p>
    <w:p w14:paraId="1F2835AB" w14:textId="0F500F7C" w:rsidR="000A3D26" w:rsidRDefault="00F80303"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Argumentos que toman relevancia en el caso particular ya que, de la simple lectura de la solicitud de información, se observa que el particular </w:t>
      </w:r>
      <w:r w:rsidRPr="001F3C4D">
        <w:rPr>
          <w:rFonts w:ascii="Palatino Linotype" w:eastAsia="Times New Roman" w:hAnsi="Palatino Linotype" w:cs="Arial"/>
          <w:b/>
          <w:bCs/>
          <w:sz w:val="24"/>
          <w:szCs w:val="24"/>
          <w:lang w:val="es-ES" w:eastAsia="es-ES"/>
        </w:rPr>
        <w:t xml:space="preserve">peticionó </w:t>
      </w:r>
      <w:r w:rsidR="00273613" w:rsidRPr="001F3C4D">
        <w:rPr>
          <w:rFonts w:ascii="Palatino Linotype" w:eastAsia="Times New Roman" w:hAnsi="Palatino Linotype" w:cs="Arial"/>
          <w:b/>
          <w:bCs/>
          <w:sz w:val="24"/>
          <w:szCs w:val="24"/>
          <w:lang w:val="es-ES" w:eastAsia="es-ES"/>
        </w:rPr>
        <w:t xml:space="preserve">el día once de abril de dos mil veinticuatro </w:t>
      </w:r>
      <w:r w:rsidRPr="001F3C4D">
        <w:rPr>
          <w:rFonts w:ascii="Palatino Linotype" w:eastAsia="Times New Roman" w:hAnsi="Palatino Linotype" w:cs="Arial"/>
          <w:b/>
          <w:bCs/>
          <w:sz w:val="24"/>
          <w:szCs w:val="24"/>
          <w:lang w:val="es-ES" w:eastAsia="es-ES"/>
        </w:rPr>
        <w:t>la entrega</w:t>
      </w:r>
      <w:r w:rsidR="00273613" w:rsidRPr="001F3C4D">
        <w:rPr>
          <w:rFonts w:ascii="Palatino Linotype" w:eastAsia="Times New Roman" w:hAnsi="Palatino Linotype" w:cs="Arial"/>
          <w:b/>
          <w:bCs/>
          <w:sz w:val="24"/>
          <w:szCs w:val="24"/>
          <w:lang w:val="es-ES" w:eastAsia="es-ES"/>
        </w:rPr>
        <w:t xml:space="preserve"> </w:t>
      </w:r>
      <w:r w:rsidRPr="001F3C4D">
        <w:rPr>
          <w:rFonts w:ascii="Palatino Linotype" w:eastAsia="Times New Roman" w:hAnsi="Palatino Linotype" w:cs="Arial"/>
          <w:b/>
          <w:bCs/>
          <w:sz w:val="24"/>
          <w:szCs w:val="24"/>
          <w:lang w:val="es-ES" w:eastAsia="es-ES"/>
        </w:rPr>
        <w:t>de</w:t>
      </w:r>
      <w:r w:rsidR="00273613" w:rsidRPr="001F3C4D">
        <w:rPr>
          <w:rFonts w:ascii="Palatino Linotype" w:eastAsia="Times New Roman" w:hAnsi="Palatino Linotype" w:cs="Arial"/>
          <w:b/>
          <w:bCs/>
          <w:sz w:val="24"/>
          <w:szCs w:val="24"/>
          <w:lang w:val="es-ES" w:eastAsia="es-ES"/>
        </w:rPr>
        <w:t xml:space="preserve"> la nómina del mes de abril dos mil veinticuatro</w:t>
      </w:r>
      <w:r w:rsidR="00273613">
        <w:rPr>
          <w:rFonts w:ascii="Palatino Linotype" w:eastAsia="Times New Roman" w:hAnsi="Palatino Linotype" w:cs="Arial"/>
          <w:sz w:val="24"/>
          <w:szCs w:val="24"/>
          <w:lang w:val="es-ES" w:eastAsia="es-ES"/>
        </w:rPr>
        <w:t>.</w:t>
      </w:r>
      <w:r>
        <w:rPr>
          <w:rFonts w:ascii="Palatino Linotype" w:eastAsia="Times New Roman" w:hAnsi="Palatino Linotype" w:cs="Arial"/>
          <w:sz w:val="24"/>
          <w:szCs w:val="24"/>
          <w:lang w:val="es-ES" w:eastAsia="es-ES"/>
        </w:rPr>
        <w:t xml:space="preserve"> </w:t>
      </w:r>
      <w:r w:rsidR="00273613">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que a la fecha de solicitud </w:t>
      </w:r>
      <w:r>
        <w:rPr>
          <w:rFonts w:ascii="Palatino Linotype" w:eastAsia="Times New Roman" w:hAnsi="Palatino Linotype" w:cs="Arial"/>
          <w:b/>
          <w:bCs/>
          <w:sz w:val="24"/>
          <w:szCs w:val="24"/>
          <w:lang w:val="es-ES" w:eastAsia="es-ES"/>
        </w:rPr>
        <w:t>no había sido generada</w:t>
      </w:r>
      <w:r w:rsidR="00273613">
        <w:rPr>
          <w:rFonts w:ascii="Palatino Linotype" w:eastAsia="Times New Roman" w:hAnsi="Palatino Linotype" w:cs="Arial"/>
          <w:sz w:val="24"/>
          <w:szCs w:val="24"/>
          <w:lang w:val="es-ES" w:eastAsia="es-ES"/>
        </w:rPr>
        <w:t xml:space="preserve"> por el Sujeto Obligado, toda vez que, ésta es de manera quincenal, de conformidad con lo siguiente:</w:t>
      </w:r>
    </w:p>
    <w:p w14:paraId="0D6EAF8A" w14:textId="6A50EA0B" w:rsidR="00273613" w:rsidRDefault="00273613"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6DD2AC" w14:textId="3E832632" w:rsidR="00273613" w:rsidRPr="00273613" w:rsidRDefault="00273613" w:rsidP="00273613">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273613">
        <w:rPr>
          <w:rFonts w:ascii="Palatino Linotype" w:hAnsi="Palatino Linotype" w:cs="Arial"/>
          <w:sz w:val="24"/>
          <w:szCs w:val="24"/>
        </w:rPr>
        <w:t>n nuestra legislación no existe como tal una definición de “</w:t>
      </w:r>
      <w:r w:rsidRPr="00273613">
        <w:rPr>
          <w:rFonts w:ascii="Palatino Linotype" w:hAnsi="Palatino Linotype" w:cs="Arial"/>
          <w:b/>
          <w:bCs/>
          <w:sz w:val="24"/>
          <w:szCs w:val="24"/>
        </w:rPr>
        <w:t>nómina</w:t>
      </w:r>
      <w:r w:rsidRPr="00273613">
        <w:rPr>
          <w:rFonts w:ascii="Palatino Linotype" w:hAnsi="Palatino Linotype" w:cs="Arial"/>
          <w:sz w:val="24"/>
          <w:szCs w:val="24"/>
        </w:rPr>
        <w:t>” sin embargo tanto en el “Glosario de Términos Usuales de Finanzas Públicas” del Centro de Estudios de las Finanzas Públicas de la Cámara de Diputados del H. Congreso de la Unión, como en el “Glosario de Términos Administrativos”, emitido por el Instituto Nacional de Administración Pública, A.C. y en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encontramos la siguiente definición de la palabra nómina:</w:t>
      </w:r>
    </w:p>
    <w:p w14:paraId="2D37F5B7" w14:textId="77777777" w:rsidR="00273613" w:rsidRPr="00273613" w:rsidRDefault="00273613" w:rsidP="00273613">
      <w:pPr>
        <w:spacing w:after="0" w:line="360" w:lineRule="auto"/>
        <w:jc w:val="both"/>
        <w:rPr>
          <w:rFonts w:ascii="Palatino Linotype" w:hAnsi="Palatino Linotype" w:cs="Arial"/>
          <w:sz w:val="24"/>
          <w:szCs w:val="24"/>
        </w:rPr>
      </w:pPr>
    </w:p>
    <w:p w14:paraId="56DA302A" w14:textId="77777777" w:rsidR="00273613" w:rsidRPr="00273613" w:rsidRDefault="00273613" w:rsidP="00273613">
      <w:pPr>
        <w:tabs>
          <w:tab w:val="left" w:pos="8505"/>
        </w:tabs>
        <w:spacing w:after="0" w:line="240" w:lineRule="auto"/>
        <w:ind w:left="567" w:right="567"/>
        <w:jc w:val="both"/>
        <w:rPr>
          <w:rFonts w:ascii="Palatino Linotype" w:eastAsia="Times New Roman" w:hAnsi="Palatino Linotype" w:cs="Arial"/>
          <w:i/>
          <w:lang w:val="es-ES" w:eastAsia="es-ES"/>
        </w:rPr>
      </w:pPr>
      <w:r w:rsidRPr="00273613">
        <w:rPr>
          <w:rFonts w:ascii="Palatino Linotype" w:eastAsia="Times New Roman" w:hAnsi="Palatino Linotype" w:cs="Arial"/>
          <w:b/>
          <w:i/>
          <w:lang w:val="es-ES" w:eastAsia="es-ES"/>
        </w:rPr>
        <w:t>“NÓMINA</w:t>
      </w:r>
      <w:r w:rsidRPr="00273613">
        <w:rPr>
          <w:rFonts w:ascii="Palatino Linotype" w:eastAsia="Times New Roman" w:hAnsi="Palatino Linotype" w:cs="Arial"/>
          <w:i/>
          <w:lang w:val="es-ES" w:eastAsia="es-ES"/>
        </w:rPr>
        <w:t xml:space="preserve">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14:paraId="0B76AE6D" w14:textId="77777777" w:rsidR="00273613" w:rsidRPr="00273613" w:rsidRDefault="00273613" w:rsidP="00273613">
      <w:pPr>
        <w:spacing w:after="0" w:line="360" w:lineRule="auto"/>
        <w:jc w:val="both"/>
        <w:rPr>
          <w:rFonts w:ascii="Palatino Linotype" w:hAnsi="Palatino Linotype"/>
        </w:rPr>
      </w:pPr>
    </w:p>
    <w:p w14:paraId="630E460A" w14:textId="67BBD9BA" w:rsidR="00273613" w:rsidRPr="00273613" w:rsidRDefault="00273613" w:rsidP="00273613">
      <w:pPr>
        <w:spacing w:after="0" w:line="360" w:lineRule="auto"/>
        <w:jc w:val="both"/>
        <w:rPr>
          <w:rFonts w:ascii="Palatino Linotype" w:hAnsi="Palatino Linotype" w:cs="Arial"/>
          <w:sz w:val="24"/>
          <w:szCs w:val="24"/>
        </w:rPr>
      </w:pPr>
      <w:r>
        <w:rPr>
          <w:rFonts w:ascii="Palatino Linotype" w:hAnsi="Palatino Linotype" w:cs="Arial"/>
          <w:sz w:val="24"/>
          <w:szCs w:val="24"/>
        </w:rPr>
        <w:t>D</w:t>
      </w:r>
      <w:r w:rsidRPr="00273613">
        <w:rPr>
          <w:rFonts w:ascii="Palatino Linotype" w:hAnsi="Palatino Linotype" w:cs="Arial"/>
          <w:sz w:val="24"/>
          <w:szCs w:val="24"/>
        </w:rPr>
        <w:t xml:space="preserve">icho término es mencionado en diferentes ordenamientos legales, tal es el caso del artículo 804 de la Ley Federal de Trabajo, fracción II que establece: </w:t>
      </w:r>
    </w:p>
    <w:p w14:paraId="35A1E18C" w14:textId="77777777" w:rsidR="00273613" w:rsidRPr="00273613" w:rsidRDefault="00273613" w:rsidP="00273613">
      <w:pPr>
        <w:spacing w:after="0" w:line="360" w:lineRule="auto"/>
        <w:jc w:val="both"/>
        <w:rPr>
          <w:rFonts w:ascii="Palatino Linotype" w:hAnsi="Palatino Linotype" w:cs="Arial"/>
          <w:sz w:val="24"/>
          <w:szCs w:val="24"/>
        </w:rPr>
      </w:pPr>
    </w:p>
    <w:p w14:paraId="1E5691A0" w14:textId="77777777" w:rsidR="00273613" w:rsidRPr="00273613" w:rsidRDefault="00273613" w:rsidP="00273613">
      <w:pPr>
        <w:tabs>
          <w:tab w:val="right" w:leader="dot" w:pos="8505"/>
        </w:tabs>
        <w:spacing w:after="0" w:line="240" w:lineRule="auto"/>
        <w:ind w:left="567" w:right="567"/>
        <w:jc w:val="both"/>
        <w:rPr>
          <w:rFonts w:ascii="Palatino Linotype" w:eastAsia="MS Mincho" w:hAnsi="Palatino Linotype" w:cs="Arial"/>
          <w:b/>
          <w:i/>
          <w:szCs w:val="24"/>
          <w:lang w:val="es-ES" w:eastAsia="es-ES"/>
        </w:rPr>
      </w:pPr>
      <w:r w:rsidRPr="00273613">
        <w:rPr>
          <w:rFonts w:ascii="Palatino Linotype" w:eastAsia="MS Mincho" w:hAnsi="Palatino Linotype" w:cs="Arial"/>
          <w:b/>
          <w:bCs/>
          <w:i/>
          <w:szCs w:val="24"/>
          <w:lang w:val="es-ES" w:eastAsia="es-ES"/>
        </w:rPr>
        <w:t>“Artículo 804.-</w:t>
      </w:r>
      <w:r w:rsidRPr="00273613">
        <w:rPr>
          <w:rFonts w:ascii="Palatino Linotype" w:eastAsia="MS Mincho" w:hAnsi="Palatino Linotype" w:cs="Arial"/>
          <w:i/>
          <w:szCs w:val="24"/>
          <w:lang w:val="es-ES" w:eastAsia="es-ES"/>
        </w:rPr>
        <w:t xml:space="preserve"> </w:t>
      </w:r>
      <w:r w:rsidRPr="00273613">
        <w:rPr>
          <w:rFonts w:ascii="Palatino Linotype" w:eastAsia="MS Mincho" w:hAnsi="Palatino Linotype" w:cs="Arial"/>
          <w:b/>
          <w:i/>
          <w:szCs w:val="24"/>
          <w:lang w:val="es-ES" w:eastAsia="es-ES"/>
        </w:rPr>
        <w:t>El patrón tiene obligación de conservar y exhibir en juicio los documentos que a continuación se precisan:</w:t>
      </w:r>
    </w:p>
    <w:p w14:paraId="7A1D71D3" w14:textId="77777777" w:rsidR="00273613" w:rsidRPr="00273613" w:rsidRDefault="00273613" w:rsidP="00273613">
      <w:pPr>
        <w:tabs>
          <w:tab w:val="right" w:leader="dot" w:pos="8505"/>
        </w:tabs>
        <w:spacing w:after="0" w:line="240" w:lineRule="auto"/>
        <w:ind w:left="567" w:right="567"/>
        <w:jc w:val="both"/>
        <w:rPr>
          <w:rFonts w:ascii="Palatino Linotype" w:eastAsia="MS Mincho" w:hAnsi="Palatino Linotype" w:cs="Arial"/>
          <w:i/>
          <w:szCs w:val="24"/>
          <w:lang w:val="es-ES" w:eastAsia="es-ES"/>
        </w:rPr>
      </w:pPr>
      <w:r w:rsidRPr="00273613">
        <w:rPr>
          <w:rFonts w:ascii="Palatino Linotype" w:eastAsia="MS Mincho" w:hAnsi="Palatino Linotype" w:cs="Arial"/>
          <w:i/>
          <w:szCs w:val="24"/>
          <w:lang w:val="es-ES" w:eastAsia="es-ES"/>
        </w:rPr>
        <w:t>…</w:t>
      </w:r>
    </w:p>
    <w:p w14:paraId="56A4AF86" w14:textId="77777777" w:rsidR="00273613" w:rsidRPr="00273613" w:rsidRDefault="00273613" w:rsidP="00273613">
      <w:pPr>
        <w:tabs>
          <w:tab w:val="right" w:leader="dot" w:pos="8505"/>
        </w:tabs>
        <w:spacing w:after="0" w:line="240" w:lineRule="auto"/>
        <w:ind w:left="567" w:right="567"/>
        <w:jc w:val="both"/>
        <w:rPr>
          <w:rFonts w:ascii="Palatino Linotype" w:eastAsia="MS Mincho" w:hAnsi="Palatino Linotype" w:cs="Arial"/>
          <w:i/>
          <w:szCs w:val="24"/>
          <w:u w:val="single"/>
          <w:lang w:val="es-ES" w:eastAsia="es-ES"/>
        </w:rPr>
      </w:pPr>
      <w:r w:rsidRPr="00273613">
        <w:rPr>
          <w:rFonts w:ascii="Palatino Linotype" w:eastAsia="MS Mincho" w:hAnsi="Palatino Linotype" w:cs="Arial"/>
          <w:b/>
          <w:i/>
          <w:szCs w:val="24"/>
          <w:lang w:val="es-ES" w:eastAsia="es-ES"/>
        </w:rPr>
        <w:t>II.</w:t>
      </w:r>
      <w:r w:rsidRPr="00273613">
        <w:rPr>
          <w:rFonts w:ascii="Palatino Linotype" w:eastAsia="MS Mincho" w:hAnsi="Palatino Linotype" w:cs="Arial"/>
          <w:i/>
          <w:szCs w:val="24"/>
          <w:lang w:val="es-ES" w:eastAsia="es-ES"/>
        </w:rPr>
        <w:t xml:space="preserve"> Listas</w:t>
      </w:r>
      <w:r w:rsidRPr="00273613">
        <w:rPr>
          <w:rFonts w:ascii="Palatino Linotype" w:eastAsia="MS Mincho" w:hAnsi="Palatino Linotype" w:cs="Arial"/>
          <w:b/>
          <w:i/>
          <w:szCs w:val="24"/>
          <w:lang w:val="es-ES" w:eastAsia="es-ES"/>
        </w:rPr>
        <w:t xml:space="preserve"> </w:t>
      </w:r>
      <w:r w:rsidRPr="00273613">
        <w:rPr>
          <w:rFonts w:ascii="Palatino Linotype" w:eastAsia="MS Mincho" w:hAnsi="Palatino Linotype" w:cs="Arial"/>
          <w:i/>
          <w:szCs w:val="24"/>
          <w:lang w:val="es-ES" w:eastAsia="es-ES"/>
        </w:rPr>
        <w:t xml:space="preserve">de raya o </w:t>
      </w:r>
      <w:r w:rsidRPr="00273613">
        <w:rPr>
          <w:rFonts w:ascii="Palatino Linotype" w:eastAsia="MS Mincho" w:hAnsi="Palatino Linotype" w:cs="Arial"/>
          <w:i/>
          <w:szCs w:val="24"/>
          <w:u w:val="single"/>
          <w:lang w:val="es-ES" w:eastAsia="es-ES"/>
        </w:rPr>
        <w:t>nómina de personal</w:t>
      </w:r>
      <w:r w:rsidRPr="00273613">
        <w:rPr>
          <w:rFonts w:ascii="Palatino Linotype" w:eastAsia="MS Mincho" w:hAnsi="Palatino Linotype" w:cs="Arial"/>
          <w:i/>
          <w:szCs w:val="24"/>
          <w:lang w:val="es-ES" w:eastAsia="es-ES"/>
        </w:rPr>
        <w:t>, cuando se lleven en el centro de trabajo; o recibos de pagos de salarios;</w:t>
      </w:r>
    </w:p>
    <w:p w14:paraId="06EE9BE6" w14:textId="77777777" w:rsidR="00273613" w:rsidRPr="00273613" w:rsidRDefault="00273613" w:rsidP="00273613">
      <w:pPr>
        <w:tabs>
          <w:tab w:val="right" w:leader="dot" w:pos="8505"/>
        </w:tabs>
        <w:spacing w:after="0" w:line="240" w:lineRule="auto"/>
        <w:ind w:left="567" w:right="567"/>
        <w:jc w:val="both"/>
        <w:rPr>
          <w:rFonts w:ascii="Palatino Linotype" w:eastAsia="MS Mincho" w:hAnsi="Palatino Linotype" w:cs="Arial"/>
          <w:i/>
          <w:szCs w:val="24"/>
          <w:lang w:val="es-ES" w:eastAsia="es-ES"/>
        </w:rPr>
      </w:pPr>
      <w:r w:rsidRPr="00273613">
        <w:rPr>
          <w:rFonts w:ascii="Palatino Linotype" w:eastAsia="MS Mincho" w:hAnsi="Palatino Linotype" w:cs="Arial"/>
          <w:i/>
          <w:szCs w:val="24"/>
          <w:lang w:val="es-ES" w:eastAsia="es-ES"/>
        </w:rPr>
        <w:t>…</w:t>
      </w:r>
    </w:p>
    <w:p w14:paraId="0ADF6F78" w14:textId="77777777" w:rsidR="00273613" w:rsidRPr="00273613" w:rsidRDefault="00273613" w:rsidP="00273613">
      <w:pPr>
        <w:tabs>
          <w:tab w:val="right" w:leader="dot" w:pos="8505"/>
        </w:tabs>
        <w:spacing w:after="0" w:line="240" w:lineRule="auto"/>
        <w:ind w:left="567" w:right="567"/>
        <w:jc w:val="both"/>
        <w:rPr>
          <w:rFonts w:ascii="Palatino Linotype" w:eastAsia="Times New Roman" w:hAnsi="Palatino Linotype" w:cs="Arial"/>
          <w:i/>
          <w:szCs w:val="24"/>
          <w:lang w:eastAsia="es-ES"/>
        </w:rPr>
      </w:pPr>
      <w:r w:rsidRPr="00273613">
        <w:rPr>
          <w:rFonts w:ascii="Palatino Linotype" w:eastAsia="Times New Roman" w:hAnsi="Palatino Linotype" w:cs="Arial"/>
          <w:i/>
          <w:szCs w:val="24"/>
          <w:lang w:eastAsia="es-ES"/>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14:paraId="38C408D0" w14:textId="77777777" w:rsidR="00273613" w:rsidRPr="00273613" w:rsidRDefault="00273613" w:rsidP="00273613">
      <w:pPr>
        <w:spacing w:after="0" w:line="360" w:lineRule="auto"/>
        <w:jc w:val="both"/>
        <w:rPr>
          <w:rFonts w:ascii="Palatino Linotype" w:hAnsi="Palatino Linotype" w:cs="Arial"/>
          <w:sz w:val="24"/>
          <w:szCs w:val="24"/>
        </w:rPr>
      </w:pPr>
    </w:p>
    <w:p w14:paraId="5392F292" w14:textId="77777777" w:rsidR="00273613" w:rsidRPr="00273613" w:rsidRDefault="00273613" w:rsidP="00273613">
      <w:pPr>
        <w:spacing w:after="0" w:line="360" w:lineRule="auto"/>
        <w:jc w:val="both"/>
        <w:rPr>
          <w:rFonts w:ascii="Palatino Linotype" w:hAnsi="Palatino Linotype" w:cs="Arial"/>
          <w:sz w:val="24"/>
          <w:szCs w:val="24"/>
        </w:rPr>
      </w:pPr>
      <w:r w:rsidRPr="00273613">
        <w:rPr>
          <w:rFonts w:ascii="Palatino Linotype" w:hAnsi="Palatino Linotype" w:cs="Arial"/>
          <w:sz w:val="24"/>
          <w:szCs w:val="24"/>
        </w:rPr>
        <w:t>Ahora bien, tratándose de servidores públicos de los Municipios la Ley del Trabajo de los Servidores Públicos del Estado y Municipios, en su artículo 220-K fracciones II y IV y último párrafo, establecen lo siguiente:</w:t>
      </w:r>
    </w:p>
    <w:p w14:paraId="4770B12B" w14:textId="77777777" w:rsidR="00273613" w:rsidRPr="00273613" w:rsidRDefault="00273613" w:rsidP="00273613">
      <w:pPr>
        <w:spacing w:after="0" w:line="360" w:lineRule="auto"/>
        <w:jc w:val="both"/>
        <w:rPr>
          <w:rFonts w:ascii="Palatino Linotype" w:hAnsi="Palatino Linotype" w:cs="Arial"/>
          <w:sz w:val="24"/>
          <w:szCs w:val="24"/>
        </w:rPr>
      </w:pPr>
    </w:p>
    <w:p w14:paraId="49498833"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“ARTÍCULO 220 K.-</w:t>
      </w:r>
      <w:r w:rsidRPr="00273613">
        <w:rPr>
          <w:rFonts w:ascii="Palatino Linotype" w:eastAsia="Times New Roman" w:hAnsi="Palatino Linotype"/>
          <w:bCs/>
          <w:i/>
        </w:rPr>
        <w:t xml:space="preserve"> La institución o dependencia pública tiene la obligación de conservar y exhibir en el proceso los documentos que a continuación se precisan:</w:t>
      </w:r>
    </w:p>
    <w:p w14:paraId="24FAF49B"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w:t>
      </w:r>
      <w:r w:rsidRPr="00273613">
        <w:rPr>
          <w:rFonts w:ascii="Palatino Linotype" w:eastAsia="Times New Roman" w:hAnsi="Palatino Linotype"/>
          <w:bCs/>
          <w:i/>
        </w:rPr>
        <w:t>)</w:t>
      </w:r>
    </w:p>
    <w:p w14:paraId="4A869D3F"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II.</w:t>
      </w:r>
      <w:r w:rsidRPr="00273613">
        <w:rPr>
          <w:rFonts w:ascii="Palatino Linotype" w:eastAsia="Times New Roman" w:hAnsi="Palatino Linotype"/>
          <w:bCs/>
          <w:i/>
        </w:rPr>
        <w:t xml:space="preserve"> </w:t>
      </w:r>
      <w:r w:rsidRPr="00273613">
        <w:rPr>
          <w:rFonts w:ascii="Palatino Linotype" w:eastAsia="Times New Roman" w:hAnsi="Palatino Linotype"/>
          <w:b/>
          <w:bCs/>
          <w:i/>
        </w:rPr>
        <w:t>Recibos de pagos de salarios</w:t>
      </w:r>
      <w:r w:rsidRPr="00273613">
        <w:rPr>
          <w:rFonts w:ascii="Palatino Linotype" w:eastAsia="Times New Roman" w:hAnsi="Palatino Linotype"/>
          <w:bCs/>
          <w:i/>
        </w:rPr>
        <w:t xml:space="preserve"> o las constancias documentales del pago de salario cuando sea por depósito o mediante información electrónica;</w:t>
      </w:r>
    </w:p>
    <w:p w14:paraId="294B69E8"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w:t>
      </w:r>
    </w:p>
    <w:p w14:paraId="4D2AB1F6" w14:textId="77777777" w:rsidR="00273613" w:rsidRPr="00273613" w:rsidRDefault="00273613" w:rsidP="00273613">
      <w:pPr>
        <w:spacing w:after="0" w:line="240" w:lineRule="auto"/>
        <w:ind w:left="567" w:right="567"/>
        <w:jc w:val="both"/>
        <w:rPr>
          <w:rFonts w:ascii="Palatino Linotype" w:eastAsia="Times New Roman" w:hAnsi="Palatino Linotype"/>
          <w:b/>
          <w:bCs/>
          <w:i/>
        </w:rPr>
      </w:pPr>
      <w:r w:rsidRPr="00273613">
        <w:rPr>
          <w:rFonts w:ascii="Palatino Linotype" w:eastAsia="Times New Roman" w:hAnsi="Palatino Linotype"/>
          <w:b/>
          <w:bCs/>
          <w:i/>
        </w:rPr>
        <w:t>IV.</w:t>
      </w:r>
      <w:r w:rsidRPr="00273613">
        <w:rPr>
          <w:rFonts w:ascii="Palatino Linotype" w:eastAsia="Times New Roman" w:hAnsi="Palatino Linotype"/>
          <w:bCs/>
          <w:i/>
        </w:rPr>
        <w:t xml:space="preserve"> </w:t>
      </w:r>
      <w:r w:rsidRPr="00273613">
        <w:rPr>
          <w:rFonts w:ascii="Palatino Linotype" w:eastAsia="Times New Roman" w:hAnsi="Palatino Linotype"/>
          <w:b/>
          <w:bCs/>
          <w:i/>
        </w:rPr>
        <w:t xml:space="preserve">Recibos </w:t>
      </w:r>
      <w:r w:rsidRPr="00273613">
        <w:rPr>
          <w:rFonts w:ascii="Palatino Linotype" w:eastAsia="Times New Roman" w:hAnsi="Palatino Linotype"/>
          <w:bCs/>
          <w:i/>
        </w:rPr>
        <w:t xml:space="preserve">o las constancias de depósito o del medio de información magnética o electrónica que </w:t>
      </w:r>
      <w:r w:rsidRPr="00273613">
        <w:rPr>
          <w:rFonts w:ascii="Palatino Linotype" w:eastAsia="Times New Roman" w:hAnsi="Palatino Linotype"/>
          <w:b/>
          <w:bCs/>
          <w:i/>
          <w:u w:val="single"/>
        </w:rPr>
        <w:t>sean utilizadas para el pago de salarios, prima vacacional, aguinaldo</w:t>
      </w:r>
      <w:r w:rsidRPr="00273613">
        <w:rPr>
          <w:rFonts w:ascii="Palatino Linotype" w:eastAsia="Times New Roman" w:hAnsi="Palatino Linotype"/>
          <w:b/>
          <w:bCs/>
          <w:i/>
        </w:rPr>
        <w:t xml:space="preserve"> </w:t>
      </w:r>
      <w:r w:rsidRPr="00273613">
        <w:rPr>
          <w:rFonts w:ascii="Palatino Linotype" w:eastAsia="Times New Roman" w:hAnsi="Palatino Linotype"/>
          <w:bCs/>
          <w:i/>
        </w:rPr>
        <w:t>y demás prestaciones establecidas en la presente ley;</w:t>
      </w:r>
      <w:r w:rsidRPr="00273613">
        <w:rPr>
          <w:rFonts w:ascii="Palatino Linotype" w:eastAsia="Times New Roman" w:hAnsi="Palatino Linotype"/>
          <w:b/>
          <w:bCs/>
          <w:i/>
        </w:rPr>
        <w:t xml:space="preserve"> y</w:t>
      </w:r>
    </w:p>
    <w:p w14:paraId="79FA0B8C" w14:textId="77777777" w:rsidR="00273613" w:rsidRPr="00273613" w:rsidRDefault="00273613" w:rsidP="00273613">
      <w:pPr>
        <w:spacing w:after="0" w:line="240" w:lineRule="auto"/>
        <w:ind w:left="567" w:right="567"/>
        <w:jc w:val="both"/>
        <w:rPr>
          <w:rFonts w:ascii="Palatino Linotype" w:eastAsia="Times New Roman" w:hAnsi="Palatino Linotype"/>
          <w:b/>
          <w:bCs/>
          <w:i/>
        </w:rPr>
      </w:pPr>
    </w:p>
    <w:p w14:paraId="0899EA41"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Los documentos señalados en la fracción I de este artículo, deberán conservarse mientras dure la relación laboral y hasta un año después;</w:t>
      </w:r>
      <w:r w:rsidRPr="00273613">
        <w:rPr>
          <w:rFonts w:ascii="Palatino Linotype" w:eastAsia="Times New Roman" w:hAnsi="Palatino Linotype"/>
          <w:bCs/>
          <w:i/>
        </w:rPr>
        <w:t xml:space="preserve"> los señalados por las fracciones II, III, IV durante el último año y un año después de que se extinga la relación laboral, y los mencionados en la fracción V, conforme lo señalen las leyes que los rijan.</w:t>
      </w:r>
    </w:p>
    <w:p w14:paraId="13BC84C6" w14:textId="77777777" w:rsidR="00273613" w:rsidRPr="00273613" w:rsidRDefault="00273613" w:rsidP="00273613">
      <w:pPr>
        <w:spacing w:after="0" w:line="240" w:lineRule="auto"/>
        <w:ind w:left="567" w:right="567"/>
        <w:jc w:val="both"/>
        <w:rPr>
          <w:rFonts w:ascii="Palatino Linotype" w:eastAsia="Times New Roman" w:hAnsi="Palatino Linotype"/>
          <w:bCs/>
          <w:i/>
        </w:rPr>
      </w:pPr>
    </w:p>
    <w:p w14:paraId="423E6C82"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FD58320" w14:textId="77777777" w:rsidR="00273613" w:rsidRPr="00273613" w:rsidRDefault="00273613" w:rsidP="00273613">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Cs/>
          <w:i/>
        </w:rPr>
        <w:t>El incumplimiento por lo dispuesto por este artículo, establecerá la presunción de ser ciertos los hechos que el actor exprese en su demanda, en relación con tales documentos, salvo prueba en contrario.” (Sic)</w:t>
      </w:r>
    </w:p>
    <w:p w14:paraId="6D1462E6" w14:textId="77777777" w:rsidR="00273613" w:rsidRPr="00273613" w:rsidRDefault="00273613" w:rsidP="00273613">
      <w:pPr>
        <w:spacing w:after="0" w:line="360" w:lineRule="auto"/>
        <w:jc w:val="both"/>
        <w:rPr>
          <w:rFonts w:ascii="Palatino Linotype" w:hAnsi="Palatino Linotype" w:cs="Arial"/>
          <w:sz w:val="24"/>
          <w:szCs w:val="24"/>
        </w:rPr>
      </w:pPr>
    </w:p>
    <w:p w14:paraId="4223108F" w14:textId="77777777" w:rsidR="00273613" w:rsidRPr="00273613" w:rsidRDefault="00273613" w:rsidP="00273613">
      <w:pPr>
        <w:spacing w:after="0" w:line="360" w:lineRule="auto"/>
        <w:ind w:right="51"/>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t xml:space="preserve">Si bien es cierto, la Ley del Trabajo de los Servidores Públicos del Estado y Municipios no hace referencia expresa al término “nómina” como lo hace la Ley Federal del Trabajo, sí hace mención a los comprobantes que las instituciones públicas realizan para documentar el pago de salarios y demás prestaciones otorgadas a un servidor público, denominándolos “recibos o comprobantes de pago”, los cuales constituyen un instrumento mediante el cual el </w:t>
      </w:r>
      <w:r w:rsidRPr="00273613">
        <w:rPr>
          <w:rFonts w:ascii="Palatino Linotype" w:eastAsia="Calibri" w:hAnsi="Palatino Linotype" w:cs="Arial"/>
          <w:b/>
          <w:sz w:val="24"/>
          <w:szCs w:val="24"/>
          <w:lang w:val="es-ES" w:eastAsia="es-ES"/>
        </w:rPr>
        <w:t>Sujeto Obligado</w:t>
      </w:r>
      <w:r w:rsidRPr="00273613">
        <w:rPr>
          <w:rFonts w:ascii="Palatino Linotype" w:eastAsia="Calibri" w:hAnsi="Palatino Linotype" w:cs="Arial"/>
          <w:sz w:val="24"/>
          <w:szCs w:val="24"/>
          <w:lang w:val="es-ES" w:eastAsia="es-ES"/>
        </w:rPr>
        <w:t xml:space="preserve"> acredita las remuneraciones al personal y que de acuerdo al uso implantado en la colectividad se denominan “recibos de nómina”.</w:t>
      </w:r>
    </w:p>
    <w:p w14:paraId="563F134B" w14:textId="77777777" w:rsidR="00273613" w:rsidRPr="00273613" w:rsidRDefault="00273613" w:rsidP="00273613">
      <w:pPr>
        <w:spacing w:after="0" w:line="360" w:lineRule="auto"/>
        <w:ind w:right="51"/>
        <w:jc w:val="both"/>
        <w:rPr>
          <w:rFonts w:ascii="Palatino Linotype" w:eastAsia="Calibri" w:hAnsi="Palatino Linotype" w:cs="Arial"/>
          <w:sz w:val="24"/>
          <w:szCs w:val="24"/>
          <w:lang w:val="es-ES" w:eastAsia="es-ES"/>
        </w:rPr>
      </w:pPr>
    </w:p>
    <w:p w14:paraId="4CD3F9D0" w14:textId="77777777" w:rsidR="00273613" w:rsidRPr="00273613" w:rsidRDefault="00273613" w:rsidP="00273613">
      <w:pPr>
        <w:autoSpaceDE w:val="0"/>
        <w:autoSpaceDN w:val="0"/>
        <w:adjustRightInd w:val="0"/>
        <w:spacing w:after="0" w:line="360" w:lineRule="auto"/>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t>Efectivamente,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7B238B08" w14:textId="77777777" w:rsidR="00273613" w:rsidRPr="00273613" w:rsidRDefault="00273613" w:rsidP="00273613">
      <w:pPr>
        <w:spacing w:after="0" w:line="360" w:lineRule="auto"/>
        <w:jc w:val="both"/>
        <w:rPr>
          <w:rFonts w:ascii="Palatino Linotype" w:eastAsia="Calibri" w:hAnsi="Palatino Linotype" w:cs="Times New Roman"/>
          <w:sz w:val="24"/>
          <w:szCs w:val="24"/>
          <w:lang w:val="es-ES_tradnl" w:eastAsia="es-ES"/>
        </w:rPr>
      </w:pPr>
    </w:p>
    <w:p w14:paraId="1D99B662" w14:textId="61B859DF" w:rsidR="00273613" w:rsidRPr="00273613" w:rsidRDefault="00273613" w:rsidP="00273613">
      <w:pPr>
        <w:autoSpaceDE w:val="0"/>
        <w:autoSpaceDN w:val="0"/>
        <w:adjustRightInd w:val="0"/>
        <w:spacing w:after="0" w:line="360" w:lineRule="auto"/>
        <w:jc w:val="both"/>
        <w:rPr>
          <w:rFonts w:ascii="Palatino Linotype" w:hAnsi="Palatino Linotype" w:cs="Arial"/>
          <w:sz w:val="24"/>
          <w:szCs w:val="24"/>
        </w:rPr>
      </w:pPr>
      <w:r w:rsidRPr="00273613">
        <w:rPr>
          <w:rFonts w:ascii="Palatino Linotype" w:eastAsia="Calibri" w:hAnsi="Palatino Linotype" w:cs="Arial"/>
          <w:sz w:val="24"/>
          <w:szCs w:val="24"/>
          <w:lang w:val="es-ES" w:eastAsia="es-ES"/>
        </w:rPr>
        <w:t xml:space="preserve">Además de lo anterior, conviene mencionar que de acuerdo a los Lineamientos para la Integración del Informe Trimestral de los Sujetos de Fiscalización MUNICIPALES, emitidos por el Auditor Superior de Fiscalización del Estado de México, visibles en la página oficial de dicho Órgano en el sitio de internet </w:t>
      </w:r>
      <w:r w:rsidRPr="00273613">
        <w:rPr>
          <w:rFonts w:ascii="Palatino Linotype" w:eastAsia="Calibri" w:hAnsi="Palatino Linotype" w:cs="Arial"/>
          <w:i/>
          <w:color w:val="0563C1"/>
          <w:sz w:val="24"/>
          <w:szCs w:val="24"/>
          <w:u w:val="single"/>
          <w:lang w:val="es-ES" w:eastAsia="es-ES"/>
        </w:rPr>
        <w:t>https://www.osfem.gob.mx/assets/entidades/documentos_apoyo/2024/info_trim/mpal/modulo_04_infotrimpal24.pdf</w:t>
      </w:r>
      <w:r w:rsidRPr="00273613">
        <w:rPr>
          <w:rFonts w:ascii="Palatino Linotype" w:eastAsia="Calibri" w:hAnsi="Palatino Linotype" w:cs="Arial"/>
          <w:sz w:val="24"/>
          <w:szCs w:val="24"/>
          <w:lang w:val="es-ES" w:eastAsia="es-ES"/>
        </w:rPr>
        <w:t xml:space="preserve">, contienen los formatos e información que debe ser proporcionada para la integración de los informes mensuales que se entregan a éste de forma digitalizada, encontrándose el formato denominado “Conciliación de Nómina Mensual, correspondiente a un periodo </w:t>
      </w:r>
      <w:r w:rsidRPr="00273613">
        <w:rPr>
          <w:rFonts w:ascii="Palatino Linotype" w:eastAsia="Calibri" w:hAnsi="Palatino Linotype" w:cs="Arial"/>
          <w:b/>
          <w:bCs/>
          <w:sz w:val="24"/>
          <w:szCs w:val="24"/>
          <w:lang w:val="es-ES" w:eastAsia="es-ES"/>
        </w:rPr>
        <w:t>quincenal</w:t>
      </w:r>
      <w:r>
        <w:rPr>
          <w:rFonts w:ascii="Palatino Linotype" w:eastAsia="Calibri" w:hAnsi="Palatino Linotype" w:cs="Arial"/>
          <w:sz w:val="24"/>
          <w:szCs w:val="24"/>
          <w:lang w:val="es-ES" w:eastAsia="es-ES"/>
        </w:rPr>
        <w:t xml:space="preserve"> </w:t>
      </w:r>
      <w:r w:rsidRPr="00273613">
        <w:rPr>
          <w:rFonts w:ascii="Palatino Linotype" w:eastAsia="Calibri" w:hAnsi="Palatino Linotype" w:cs="Arial"/>
          <w:sz w:val="24"/>
          <w:szCs w:val="24"/>
          <w:lang w:val="es-ES" w:eastAsia="es-ES"/>
        </w:rPr>
        <w:t xml:space="preserve">determinado; de tal manera, dichos formatos constituyen un soporte documental de que la información solicitada por el Recurrente obra en los archivos del </w:t>
      </w:r>
      <w:r w:rsidRPr="00273613">
        <w:rPr>
          <w:rFonts w:ascii="Palatino Linotype" w:eastAsia="Calibri" w:hAnsi="Palatino Linotype" w:cs="Arial"/>
          <w:b/>
          <w:sz w:val="24"/>
          <w:szCs w:val="24"/>
          <w:lang w:val="es-ES" w:eastAsia="es-ES"/>
        </w:rPr>
        <w:t>sujeto obligado</w:t>
      </w:r>
      <w:r w:rsidRPr="00273613">
        <w:rPr>
          <w:rFonts w:ascii="Palatino Linotype" w:eastAsia="Calibri" w:hAnsi="Palatino Linotype" w:cs="Arial"/>
          <w:sz w:val="24"/>
          <w:szCs w:val="24"/>
          <w:lang w:val="es-ES" w:eastAsia="es-ES"/>
        </w:rPr>
        <w:t>, como se advierte a continuación:</w:t>
      </w:r>
    </w:p>
    <w:p w14:paraId="2CF68679" w14:textId="52E8DDB2" w:rsidR="00273613" w:rsidRPr="00273613" w:rsidRDefault="00273613" w:rsidP="00273613">
      <w:pPr>
        <w:autoSpaceDE w:val="0"/>
        <w:autoSpaceDN w:val="0"/>
        <w:adjustRightInd w:val="0"/>
        <w:spacing w:after="0" w:line="360" w:lineRule="auto"/>
        <w:jc w:val="center"/>
        <w:rPr>
          <w:rFonts w:ascii="Palatino Linotype" w:hAnsi="Palatino Linotype" w:cs="Arial"/>
          <w:sz w:val="24"/>
          <w:szCs w:val="24"/>
        </w:rPr>
      </w:pPr>
      <w:r>
        <w:rPr>
          <w:rFonts w:ascii="Palatino Linotype" w:hAnsi="Palatino Linotype" w:cs="Arial"/>
          <w:noProof/>
          <w:sz w:val="24"/>
          <w:szCs w:val="24"/>
          <w:lang w:eastAsia="es-MX"/>
        </w:rPr>
        <w:drawing>
          <wp:inline distT="0" distB="0" distL="0" distR="0" wp14:anchorId="4A8DE921" wp14:editId="77DD8448">
            <wp:extent cx="5056496" cy="11632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4840" cy="1167459"/>
                    </a:xfrm>
                    <a:prstGeom prst="rect">
                      <a:avLst/>
                    </a:prstGeom>
                  </pic:spPr>
                </pic:pic>
              </a:graphicData>
            </a:graphic>
          </wp:inline>
        </w:drawing>
      </w:r>
    </w:p>
    <w:p w14:paraId="0891A4A1" w14:textId="3952EE80" w:rsidR="00273613" w:rsidRDefault="00273613" w:rsidP="00273613">
      <w:pPr>
        <w:autoSpaceDE w:val="0"/>
        <w:autoSpaceDN w:val="0"/>
        <w:adjustRightInd w:val="0"/>
        <w:spacing w:after="0" w:line="360" w:lineRule="auto"/>
        <w:jc w:val="both"/>
        <w:rPr>
          <w:rFonts w:ascii="Palatino Linotype" w:hAnsi="Palatino Linotype" w:cs="Arial"/>
          <w:sz w:val="24"/>
          <w:szCs w:val="24"/>
        </w:rPr>
      </w:pPr>
    </w:p>
    <w:p w14:paraId="3D9466E3" w14:textId="41F2EF72" w:rsidR="00281CAB" w:rsidRDefault="00281CAB" w:rsidP="002E5BE5">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w:t>
      </w:r>
      <w:r w:rsidR="002E5BE5" w:rsidRPr="002E5BE5">
        <w:rPr>
          <w:rFonts w:ascii="Palatino Linotype" w:hAnsi="Palatino Linotype" w:cs="Arial"/>
          <w:sz w:val="24"/>
          <w:szCs w:val="24"/>
        </w:rPr>
        <w:t xml:space="preserve">del análisis la solicitud de información resulta inatendible; pues se trata de </w:t>
      </w:r>
      <w:r w:rsidR="002E5BE5" w:rsidRPr="002E5BE5">
        <w:rPr>
          <w:rFonts w:ascii="Palatino Linotype" w:hAnsi="Palatino Linotype" w:cs="Arial"/>
          <w:b/>
          <w:bCs/>
          <w:sz w:val="24"/>
          <w:szCs w:val="24"/>
        </w:rPr>
        <w:t>hechos futuros</w:t>
      </w:r>
      <w:r w:rsidR="002E5BE5" w:rsidRPr="002E5BE5">
        <w:rPr>
          <w:rFonts w:ascii="Palatino Linotype" w:hAnsi="Palatino Linotype" w:cs="Arial"/>
          <w:sz w:val="24"/>
          <w:szCs w:val="24"/>
        </w:rPr>
        <w:t>, inciertos y de los cuales</w:t>
      </w:r>
      <w:r w:rsidR="002E5BE5">
        <w:rPr>
          <w:rFonts w:ascii="Palatino Linotype" w:hAnsi="Palatino Linotype" w:cs="Arial"/>
          <w:sz w:val="24"/>
          <w:szCs w:val="24"/>
        </w:rPr>
        <w:t xml:space="preserve"> que, si bien</w:t>
      </w:r>
      <w:r w:rsidR="002E5BE5" w:rsidRPr="002E5BE5">
        <w:rPr>
          <w:rFonts w:ascii="Palatino Linotype" w:hAnsi="Palatino Linotype" w:cs="Arial"/>
          <w:sz w:val="24"/>
          <w:szCs w:val="24"/>
        </w:rPr>
        <w:t xml:space="preserve"> el Sujeto Obligado cuenta con competencia o fuente</w:t>
      </w:r>
      <w:r w:rsidR="002E5BE5">
        <w:rPr>
          <w:rFonts w:ascii="Palatino Linotype" w:hAnsi="Palatino Linotype" w:cs="Arial"/>
          <w:sz w:val="24"/>
          <w:szCs w:val="24"/>
        </w:rPr>
        <w:t xml:space="preserve"> </w:t>
      </w:r>
      <w:r w:rsidR="002E5BE5" w:rsidRPr="002E5BE5">
        <w:rPr>
          <w:rFonts w:ascii="Palatino Linotype" w:hAnsi="Palatino Linotype" w:cs="Arial"/>
          <w:sz w:val="24"/>
          <w:szCs w:val="24"/>
        </w:rPr>
        <w:t>normativa que lo obligue a generar la información solicitada</w:t>
      </w:r>
      <w:r w:rsidR="002E5BE5">
        <w:rPr>
          <w:rFonts w:ascii="Palatino Linotype" w:hAnsi="Palatino Linotype" w:cs="Arial"/>
          <w:sz w:val="24"/>
          <w:szCs w:val="24"/>
        </w:rPr>
        <w:t>, ha quedado demostrado la temporalidad en que debe ser generada</w:t>
      </w:r>
      <w:r w:rsidR="002E5BE5" w:rsidRPr="002E5BE5">
        <w:rPr>
          <w:rFonts w:ascii="Palatino Linotype" w:hAnsi="Palatino Linotype" w:cs="Arial"/>
          <w:sz w:val="24"/>
          <w:szCs w:val="24"/>
        </w:rPr>
        <w:t>; por tanto, se advierten elementos</w:t>
      </w:r>
      <w:r w:rsidR="002E5BE5">
        <w:rPr>
          <w:rFonts w:ascii="Palatino Linotype" w:hAnsi="Palatino Linotype" w:cs="Arial"/>
          <w:sz w:val="24"/>
          <w:szCs w:val="24"/>
        </w:rPr>
        <w:t xml:space="preserve"> </w:t>
      </w:r>
      <w:r w:rsidR="002E5BE5" w:rsidRPr="002E5BE5">
        <w:rPr>
          <w:rFonts w:ascii="Palatino Linotype" w:hAnsi="Palatino Linotype" w:cs="Arial"/>
          <w:sz w:val="24"/>
          <w:szCs w:val="24"/>
        </w:rPr>
        <w:t>suficientes para considerar que la solicitud resultaba inatendible.</w:t>
      </w:r>
    </w:p>
    <w:p w14:paraId="71A20BA9" w14:textId="77777777"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1E30F10" w14:textId="1A00CB7C" w:rsidR="00AF677C" w:rsidRPr="00AF677C" w:rsidRDefault="00AF677C" w:rsidP="00AF67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F677C">
        <w:rPr>
          <w:rFonts w:ascii="Palatino Linotype" w:eastAsia="Times New Roman" w:hAnsi="Palatino Linotype" w:cs="Arial"/>
          <w:sz w:val="24"/>
          <w:szCs w:val="24"/>
          <w:lang w:val="es-ES" w:eastAsia="es-ES"/>
        </w:rPr>
        <w:t>Consecuentemente, en términos del artículo 19</w:t>
      </w:r>
      <w:r w:rsidR="002E5BE5">
        <w:rPr>
          <w:rFonts w:ascii="Palatino Linotype" w:eastAsia="Times New Roman" w:hAnsi="Palatino Linotype" w:cs="Arial"/>
          <w:sz w:val="24"/>
          <w:szCs w:val="24"/>
          <w:lang w:val="es-ES" w:eastAsia="es-ES"/>
        </w:rPr>
        <w:t>2</w:t>
      </w:r>
      <w:r w:rsidRPr="00AF677C">
        <w:rPr>
          <w:rFonts w:ascii="Palatino Linotype" w:eastAsia="Times New Roman" w:hAnsi="Palatino Linotype" w:cs="Arial"/>
          <w:sz w:val="24"/>
          <w:szCs w:val="24"/>
          <w:lang w:val="es-ES" w:eastAsia="es-ES"/>
        </w:rPr>
        <w:t xml:space="preserve"> fracción V de la Ley de Transparencia y Acceso a la Información Pública del Estado de México y Municipios, este Instituto determina el SOBRESEIMIENTO del presente recurso de revisión, por </w:t>
      </w:r>
      <w:r w:rsidR="002E5BE5">
        <w:rPr>
          <w:rFonts w:ascii="Palatino Linotype" w:eastAsia="Times New Roman" w:hAnsi="Palatino Linotype" w:cs="Arial"/>
          <w:sz w:val="24"/>
          <w:szCs w:val="24"/>
          <w:lang w:val="es-ES" w:eastAsia="es-ES"/>
        </w:rPr>
        <w:t>haber quedado sin materia</w:t>
      </w:r>
      <w:r w:rsidRPr="00AF677C">
        <w:rPr>
          <w:rFonts w:ascii="Palatino Linotype" w:eastAsia="Times New Roman" w:hAnsi="Palatino Linotype" w:cs="Arial"/>
          <w:sz w:val="24"/>
          <w:szCs w:val="24"/>
          <w:lang w:val="es-ES" w:eastAsia="es-ES"/>
        </w:rPr>
        <w:t>.</w:t>
      </w:r>
    </w:p>
    <w:p w14:paraId="61E7BC64"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w:t>
      </w:r>
      <w:r w:rsidRPr="003F4C4C">
        <w:rPr>
          <w:rFonts w:ascii="Palatino Linotype" w:eastAsia="Times New Roman" w:hAnsi="Palatino Linotype" w:cs="Arial"/>
          <w:b/>
          <w:bCs/>
          <w:i/>
          <w:iCs/>
          <w:lang w:val="es-ES" w:eastAsia="es-ES"/>
        </w:rPr>
        <w:t>Artículo 192.</w:t>
      </w:r>
      <w:r w:rsidRPr="003F4C4C">
        <w:rPr>
          <w:rFonts w:ascii="Palatino Linotype" w:eastAsia="Times New Roman" w:hAnsi="Palatino Linotype" w:cs="Arial"/>
          <w:i/>
          <w:iCs/>
          <w:lang w:val="es-ES" w:eastAsia="es-ES"/>
        </w:rPr>
        <w:t xml:space="preserve"> El recurso será sobreseído, en todo o en parte, cuando una vez admitido, se actualicen alguno de los siguientes supuestos: </w:t>
      </w:r>
    </w:p>
    <w:p w14:paraId="123323F8" w14:textId="77777777"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i/>
          <w:iCs/>
          <w:lang w:val="es-ES" w:eastAsia="es-ES"/>
        </w:rPr>
        <w:t>(…)</w:t>
      </w:r>
    </w:p>
    <w:p w14:paraId="0BE30D04" w14:textId="743A0063" w:rsidR="00AF677C" w:rsidRPr="003F4C4C" w:rsidRDefault="00AF677C" w:rsidP="003F4C4C">
      <w:pPr>
        <w:autoSpaceDE w:val="0"/>
        <w:autoSpaceDN w:val="0"/>
        <w:adjustRightInd w:val="0"/>
        <w:spacing w:after="0" w:line="240" w:lineRule="auto"/>
        <w:ind w:left="567" w:right="567"/>
        <w:jc w:val="both"/>
        <w:rPr>
          <w:rFonts w:ascii="Palatino Linotype" w:eastAsia="Times New Roman" w:hAnsi="Palatino Linotype" w:cs="Arial"/>
          <w:i/>
          <w:iCs/>
          <w:lang w:val="es-ES" w:eastAsia="es-ES"/>
        </w:rPr>
      </w:pPr>
      <w:r w:rsidRPr="003F4C4C">
        <w:rPr>
          <w:rFonts w:ascii="Palatino Linotype" w:eastAsia="Times New Roman" w:hAnsi="Palatino Linotype" w:cs="Arial"/>
          <w:b/>
          <w:bCs/>
          <w:i/>
          <w:iCs/>
          <w:lang w:val="es-ES" w:eastAsia="es-ES"/>
        </w:rPr>
        <w:t>V</w:t>
      </w:r>
      <w:r w:rsidRPr="003F4C4C">
        <w:rPr>
          <w:rFonts w:ascii="Palatino Linotype" w:eastAsia="Times New Roman" w:hAnsi="Palatino Linotype" w:cs="Arial"/>
          <w:i/>
          <w:iCs/>
          <w:lang w:val="es-ES" w:eastAsia="es-ES"/>
        </w:rPr>
        <w:t xml:space="preserve">. </w:t>
      </w:r>
      <w:r w:rsidR="002E5BE5" w:rsidRPr="002E5BE5">
        <w:rPr>
          <w:rFonts w:ascii="Palatino Linotype" w:eastAsia="Times New Roman" w:hAnsi="Palatino Linotype" w:cs="Arial"/>
          <w:i/>
          <w:iCs/>
          <w:lang w:val="es-ES" w:eastAsia="es-ES"/>
        </w:rPr>
        <w:t>Cuando por cualquier motivo quede sin materia el recurso</w:t>
      </w:r>
      <w:r w:rsidRPr="003F4C4C">
        <w:rPr>
          <w:rFonts w:ascii="Palatino Linotype" w:eastAsia="Times New Roman" w:hAnsi="Palatino Linotype" w:cs="Arial"/>
          <w:i/>
          <w:iCs/>
          <w:lang w:val="es-ES" w:eastAsia="es-ES"/>
        </w:rPr>
        <w:t>”</w:t>
      </w:r>
    </w:p>
    <w:p w14:paraId="6B24FE1B" w14:textId="77777777" w:rsidR="00AF677C" w:rsidRPr="00AF677C" w:rsidRDefault="00AF677C" w:rsidP="00390FF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357751" w14:textId="701FE5CF" w:rsidR="007F2DC4" w:rsidRPr="00BB798A" w:rsidRDefault="007F2DC4" w:rsidP="007F2DC4">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BB798A">
        <w:rPr>
          <w:rFonts w:ascii="Palatino Linotype" w:eastAsiaTheme="minorEastAsia" w:hAnsi="Palatino Linotype" w:cs="Times New Roman"/>
          <w:sz w:val="24"/>
          <w:szCs w:val="24"/>
          <w:lang w:val="es-ES_tradnl" w:eastAsia="es-ES"/>
        </w:rPr>
        <w:t>Por lo tanto, en mérito de lo expuesto en líneas anteriores,</w:t>
      </w:r>
      <w:r>
        <w:rPr>
          <w:rFonts w:ascii="Palatino Linotype" w:eastAsiaTheme="minorEastAsia" w:hAnsi="Palatino Linotype" w:cs="Times New Roman"/>
          <w:sz w:val="24"/>
          <w:szCs w:val="24"/>
          <w:lang w:val="es-ES_tradnl" w:eastAsia="es-ES"/>
        </w:rPr>
        <w:t xml:space="preserve"> resultan infundados </w:t>
      </w:r>
      <w:r w:rsidRPr="00BB798A">
        <w:rPr>
          <w:rFonts w:ascii="Palatino Linotype" w:eastAsiaTheme="minorEastAsia" w:hAnsi="Palatino Linotype" w:cs="Times New Roman"/>
          <w:sz w:val="24"/>
          <w:szCs w:val="24"/>
          <w:lang w:val="es-ES_tradnl" w:eastAsia="es-ES"/>
        </w:rPr>
        <w:t xml:space="preserve">los motivos de inconformidad </w:t>
      </w:r>
      <w:r>
        <w:rPr>
          <w:rFonts w:ascii="Palatino Linotype" w:eastAsiaTheme="minorEastAsia" w:hAnsi="Palatino Linotype" w:cs="Times New Roman"/>
          <w:sz w:val="24"/>
          <w:szCs w:val="24"/>
          <w:lang w:val="es-ES_tradnl" w:eastAsia="es-ES"/>
        </w:rPr>
        <w:t>argüidos por la parte</w:t>
      </w:r>
      <w:r w:rsidRPr="00BB798A">
        <w:rPr>
          <w:rFonts w:ascii="Palatino Linotype" w:eastAsiaTheme="minorEastAsia" w:hAnsi="Palatino Linotype" w:cs="Times New Roman"/>
          <w:sz w:val="24"/>
          <w:szCs w:val="24"/>
          <w:lang w:val="es-ES_tradnl" w:eastAsia="es-ES"/>
        </w:rPr>
        <w:t xml:space="preserve"> el </w:t>
      </w:r>
      <w:r w:rsidRPr="00BB798A">
        <w:rPr>
          <w:rFonts w:ascii="Palatino Linotype" w:eastAsiaTheme="minorEastAsia" w:hAnsi="Palatino Linotype" w:cs="Times New Roman"/>
          <w:b/>
          <w:sz w:val="24"/>
          <w:szCs w:val="24"/>
          <w:lang w:val="es-ES_tradnl" w:eastAsia="es-ES"/>
        </w:rPr>
        <w:t>Recurrente</w:t>
      </w:r>
      <w:r w:rsidRPr="00BB798A">
        <w:rPr>
          <w:rFonts w:ascii="Palatino Linotype" w:eastAsiaTheme="minorEastAsia" w:hAnsi="Palatino Linotype" w:cs="Times New Roman"/>
          <w:sz w:val="24"/>
          <w:szCs w:val="24"/>
          <w:lang w:val="es-ES_tradnl" w:eastAsia="es-ES"/>
        </w:rPr>
        <w:t xml:space="preserve"> al momento de interponer su medio de impugnación, de conformidad con las consideraciones de hecho y de derecho hechas valer en líneas precedentes que fueron materia de estudio, por ello </w:t>
      </w:r>
      <w:r w:rsidRPr="00BB798A">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BB798A">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BB798A">
        <w:rPr>
          <w:rFonts w:ascii="Palatino Linotype" w:eastAsiaTheme="minorEastAsia" w:hAnsi="Palatino Linotype" w:cs="Arial"/>
          <w:b/>
          <w:sz w:val="24"/>
          <w:szCs w:val="24"/>
          <w:lang w:val="es-ES_tradnl" w:eastAsia="es-ES"/>
        </w:rPr>
        <w:t xml:space="preserve">SOBRESEE </w:t>
      </w:r>
      <w:r w:rsidRPr="00BB798A">
        <w:rPr>
          <w:rFonts w:ascii="Palatino Linotype" w:eastAsiaTheme="minorEastAsia" w:hAnsi="Palatino Linotype" w:cs="Arial"/>
          <w:sz w:val="24"/>
          <w:szCs w:val="24"/>
          <w:lang w:val="es-ES_tradnl" w:eastAsia="es-ES"/>
        </w:rPr>
        <w:t xml:space="preserve">el recurso de revisión </w:t>
      </w:r>
      <w:r w:rsidR="0024057C">
        <w:rPr>
          <w:rFonts w:ascii="Palatino Linotype" w:eastAsiaTheme="minorEastAsia" w:hAnsi="Palatino Linotype" w:cs="Arial"/>
          <w:b/>
          <w:sz w:val="24"/>
          <w:szCs w:val="24"/>
          <w:lang w:val="es-ES_tradnl" w:eastAsia="es-ES"/>
        </w:rPr>
        <w:t>03210/INFOEM/IP/RR/2024</w:t>
      </w:r>
      <w:r w:rsidRPr="00BB798A">
        <w:rPr>
          <w:rFonts w:ascii="Palatino Linotype" w:eastAsiaTheme="minorEastAsia" w:hAnsi="Palatino Linotype" w:cs="Arial"/>
          <w:sz w:val="24"/>
          <w:szCs w:val="24"/>
          <w:lang w:val="es-ES_tradnl" w:eastAsia="es-ES"/>
        </w:rPr>
        <w:t>,</w:t>
      </w:r>
      <w:r w:rsidRPr="00BB798A">
        <w:rPr>
          <w:rFonts w:ascii="Palatino Linotype" w:eastAsiaTheme="minorEastAsia" w:hAnsi="Palatino Linotype" w:cs="Times New Roman"/>
          <w:sz w:val="24"/>
          <w:szCs w:val="24"/>
          <w:lang w:val="es-ES_tradnl" w:eastAsia="es-ES"/>
        </w:rPr>
        <w:t xml:space="preserve"> que ha sido materia del presente fallo.</w:t>
      </w:r>
    </w:p>
    <w:p w14:paraId="3B2F3618" w14:textId="77777777" w:rsidR="007F2DC4" w:rsidRPr="00BB798A" w:rsidRDefault="007F2DC4" w:rsidP="007F2DC4">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1D3AFE21" w14:textId="77777777" w:rsidR="007F2DC4" w:rsidRPr="00BB798A" w:rsidRDefault="007F2DC4" w:rsidP="007F2DC4">
      <w:pPr>
        <w:spacing w:after="0" w:line="360" w:lineRule="auto"/>
        <w:jc w:val="both"/>
        <w:rPr>
          <w:rFonts w:ascii="Palatino Linotype" w:eastAsia="Times New Roman" w:hAnsi="Palatino Linotype" w:cs="Times New Roman"/>
          <w:sz w:val="24"/>
          <w:szCs w:val="24"/>
          <w:lang w:val="es-ES" w:eastAsia="es-ES"/>
        </w:rPr>
      </w:pPr>
      <w:r w:rsidRPr="00BB798A">
        <w:rPr>
          <w:rFonts w:ascii="Palatino Linotype" w:eastAsia="Times New Roman" w:hAnsi="Palatino Linotype" w:cs="Times New Roman"/>
          <w:sz w:val="24"/>
          <w:szCs w:val="24"/>
          <w:lang w:val="es-ES" w:eastAsia="es-ES"/>
        </w:rPr>
        <w:t>Por lo antes expuesto y fundado es de resolverse y,</w:t>
      </w:r>
    </w:p>
    <w:p w14:paraId="69CF63BB" w14:textId="77777777" w:rsidR="003F4C4C" w:rsidRPr="00BB798A" w:rsidRDefault="003F4C4C" w:rsidP="007F2DC4">
      <w:pPr>
        <w:spacing w:after="0" w:line="360" w:lineRule="auto"/>
        <w:jc w:val="both"/>
        <w:rPr>
          <w:rFonts w:ascii="Palatino Linotype" w:eastAsia="Times New Roman" w:hAnsi="Palatino Linotype" w:cs="Times New Roman"/>
          <w:sz w:val="24"/>
          <w:szCs w:val="24"/>
          <w:lang w:val="es-ES" w:eastAsia="es-ES"/>
        </w:rPr>
      </w:pPr>
    </w:p>
    <w:p w14:paraId="12755F0D" w14:textId="77777777" w:rsidR="007F2DC4" w:rsidRPr="00BB798A" w:rsidRDefault="007F2DC4" w:rsidP="007F2DC4">
      <w:pPr>
        <w:spacing w:after="0" w:line="360" w:lineRule="auto"/>
        <w:jc w:val="center"/>
        <w:rPr>
          <w:rFonts w:ascii="Palatino Linotype" w:eastAsia="Times New Roman" w:hAnsi="Palatino Linotype" w:cs="Times New Roman"/>
          <w:b/>
          <w:bCs/>
          <w:spacing w:val="60"/>
          <w:sz w:val="28"/>
          <w:szCs w:val="24"/>
          <w:lang w:val="es-ES_tradnl" w:eastAsia="es-ES"/>
        </w:rPr>
      </w:pPr>
      <w:r w:rsidRPr="00BB798A">
        <w:rPr>
          <w:rFonts w:ascii="Palatino Linotype" w:eastAsia="Times New Roman" w:hAnsi="Palatino Linotype" w:cs="Times New Roman"/>
          <w:b/>
          <w:bCs/>
          <w:spacing w:val="60"/>
          <w:sz w:val="28"/>
          <w:szCs w:val="24"/>
          <w:lang w:val="es-ES_tradnl" w:eastAsia="es-ES"/>
        </w:rPr>
        <w:t>SE    RESUELVE</w:t>
      </w:r>
    </w:p>
    <w:p w14:paraId="3BCC3497" w14:textId="77777777" w:rsidR="007F2DC4" w:rsidRPr="00BB798A" w:rsidRDefault="007F2DC4" w:rsidP="007F2DC4">
      <w:pPr>
        <w:spacing w:after="0" w:line="360" w:lineRule="auto"/>
        <w:jc w:val="center"/>
        <w:rPr>
          <w:rFonts w:ascii="Palatino Linotype" w:eastAsia="Times New Roman" w:hAnsi="Palatino Linotype" w:cs="Times New Roman"/>
          <w:bCs/>
          <w:spacing w:val="60"/>
          <w:sz w:val="24"/>
          <w:szCs w:val="24"/>
          <w:lang w:val="es-ES_tradnl" w:eastAsia="es-ES"/>
        </w:rPr>
      </w:pPr>
    </w:p>
    <w:p w14:paraId="240A478B" w14:textId="612D558A"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BB798A">
        <w:rPr>
          <w:rFonts w:ascii="Palatino Linotype" w:eastAsiaTheme="minorEastAsia" w:hAnsi="Palatino Linotype" w:cs="Arial"/>
          <w:b/>
          <w:sz w:val="28"/>
          <w:szCs w:val="24"/>
          <w:lang w:val="es-ES_tradnl" w:eastAsia="es-ES"/>
        </w:rPr>
        <w:t>PRIMERO.</w:t>
      </w:r>
      <w:r w:rsidRPr="00BB798A">
        <w:rPr>
          <w:rFonts w:ascii="Palatino Linotype" w:eastAsiaTheme="minorEastAsia" w:hAnsi="Palatino Linotype" w:cs="Arial"/>
          <w:sz w:val="24"/>
          <w:szCs w:val="24"/>
          <w:lang w:val="es-ES_tradnl" w:eastAsia="es-ES"/>
        </w:rPr>
        <w:t xml:space="preserve"> Se </w:t>
      </w:r>
      <w:r w:rsidRPr="00BB798A">
        <w:rPr>
          <w:rFonts w:ascii="Palatino Linotype" w:eastAsiaTheme="minorEastAsia" w:hAnsi="Palatino Linotype" w:cs="Arial"/>
          <w:b/>
          <w:sz w:val="24"/>
          <w:szCs w:val="24"/>
          <w:lang w:val="es-ES_tradnl" w:eastAsia="es-ES"/>
        </w:rPr>
        <w:t>SOBRESEE</w:t>
      </w:r>
      <w:r w:rsidRPr="00BB798A">
        <w:rPr>
          <w:rFonts w:ascii="Palatino Linotype" w:eastAsiaTheme="minorEastAsia" w:hAnsi="Palatino Linotype" w:cs="Arial"/>
          <w:sz w:val="24"/>
          <w:szCs w:val="24"/>
          <w:lang w:val="es-ES_tradnl" w:eastAsia="es-ES"/>
        </w:rPr>
        <w:t xml:space="preserve"> </w:t>
      </w:r>
      <w:r>
        <w:rPr>
          <w:rFonts w:ascii="Palatino Linotype" w:eastAsiaTheme="minorEastAsia" w:hAnsi="Palatino Linotype" w:cs="Arial"/>
          <w:sz w:val="24"/>
          <w:szCs w:val="24"/>
          <w:lang w:val="es-ES_tradnl" w:eastAsia="es-ES"/>
        </w:rPr>
        <w:t>por</w:t>
      </w:r>
      <w:r w:rsidR="00D066A3">
        <w:rPr>
          <w:rFonts w:ascii="Palatino Linotype" w:eastAsiaTheme="minorEastAsia" w:hAnsi="Palatino Linotype" w:cs="Arial"/>
          <w:sz w:val="24"/>
          <w:szCs w:val="24"/>
          <w:lang w:val="es-ES_tradnl" w:eastAsia="es-ES"/>
        </w:rPr>
        <w:t xml:space="preserve"> quedarse sin materia </w:t>
      </w:r>
      <w:r w:rsidRPr="00BB798A">
        <w:rPr>
          <w:rFonts w:ascii="Palatino Linotype" w:eastAsiaTheme="minorEastAsia" w:hAnsi="Palatino Linotype" w:cs="Arial"/>
          <w:sz w:val="24"/>
          <w:szCs w:val="24"/>
          <w:lang w:val="es-ES_tradnl" w:eastAsia="es-ES"/>
        </w:rPr>
        <w:t xml:space="preserve">el recurso de revisión número </w:t>
      </w:r>
      <w:r w:rsidR="0024057C">
        <w:rPr>
          <w:rFonts w:ascii="Palatino Linotype" w:eastAsiaTheme="minorEastAsia" w:hAnsi="Palatino Linotype" w:cs="Arial"/>
          <w:b/>
          <w:sz w:val="24"/>
          <w:szCs w:val="24"/>
          <w:lang w:val="es-ES_tradnl" w:eastAsia="es-ES"/>
        </w:rPr>
        <w:t>03210/INFOEM/IP/RR/2024</w:t>
      </w:r>
      <w:r w:rsidRPr="00BB798A">
        <w:rPr>
          <w:rFonts w:ascii="Palatino Linotype" w:eastAsiaTheme="minorEastAsia" w:hAnsi="Palatino Linotype" w:cs="Arial"/>
          <w:sz w:val="24"/>
          <w:szCs w:val="24"/>
          <w:lang w:val="es-ES_tradnl" w:eastAsia="es-ES"/>
        </w:rPr>
        <w:t>, en términos del artículo 192, fracción V,</w:t>
      </w:r>
      <w:r w:rsidR="008E02D1">
        <w:rPr>
          <w:rFonts w:ascii="Palatino Linotype" w:eastAsiaTheme="minorEastAsia" w:hAnsi="Palatino Linotype" w:cs="Arial"/>
          <w:sz w:val="24"/>
          <w:szCs w:val="24"/>
          <w:lang w:val="es-ES_tradnl" w:eastAsia="es-ES"/>
        </w:rPr>
        <w:t xml:space="preserve"> </w:t>
      </w:r>
      <w:r w:rsidRPr="00BB798A">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en términos del Considerando </w:t>
      </w:r>
      <w:r w:rsidRPr="00BB798A">
        <w:rPr>
          <w:rFonts w:ascii="Palatino Linotype" w:eastAsiaTheme="minorEastAsia" w:hAnsi="Palatino Linotype" w:cs="Arial"/>
          <w:b/>
          <w:sz w:val="24"/>
          <w:szCs w:val="24"/>
          <w:lang w:val="es-ES_tradnl" w:eastAsia="es-ES"/>
        </w:rPr>
        <w:t>TERCERO</w:t>
      </w:r>
      <w:r w:rsidRPr="00BB798A">
        <w:rPr>
          <w:rFonts w:ascii="Palatino Linotype" w:eastAsiaTheme="minorEastAsia" w:hAnsi="Palatino Linotype" w:cs="Arial"/>
          <w:sz w:val="24"/>
          <w:szCs w:val="24"/>
          <w:lang w:val="es-ES_tradnl" w:eastAsia="es-ES"/>
        </w:rPr>
        <w:t xml:space="preserve"> de la presente resolución.</w:t>
      </w:r>
    </w:p>
    <w:p w14:paraId="39676C4C" w14:textId="77777777"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4FB2806B" w14:textId="77777777" w:rsidR="007F2DC4" w:rsidRPr="00BB798A" w:rsidRDefault="007F2DC4" w:rsidP="007F2DC4">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BB798A">
        <w:rPr>
          <w:rFonts w:ascii="Palatino Linotype" w:eastAsiaTheme="minorEastAsia" w:hAnsi="Palatino Linotype" w:cs="Arial"/>
          <w:b/>
          <w:sz w:val="28"/>
          <w:szCs w:val="24"/>
          <w:lang w:val="es-ES_tradnl" w:eastAsia="es-ES"/>
        </w:rPr>
        <w:t>SEGUNDO</w:t>
      </w:r>
      <w:r w:rsidRPr="00BB798A">
        <w:rPr>
          <w:rFonts w:ascii="Palatino Linotype" w:eastAsiaTheme="minorEastAsia" w:hAnsi="Palatino Linotype" w:cs="Arial"/>
          <w:b/>
          <w:sz w:val="24"/>
          <w:szCs w:val="24"/>
          <w:lang w:val="es-ES_tradnl" w:eastAsia="es-ES"/>
        </w:rPr>
        <w:t>.</w:t>
      </w:r>
      <w:r w:rsidRPr="00BB798A">
        <w:rPr>
          <w:rFonts w:ascii="Palatino Linotype" w:eastAsiaTheme="minorEastAsia" w:hAnsi="Palatino Linotype" w:cs="Arial"/>
          <w:sz w:val="24"/>
          <w:szCs w:val="24"/>
          <w:lang w:val="es-ES_tradnl" w:eastAsia="es-ES"/>
        </w:rPr>
        <w:t xml:space="preserve"> </w:t>
      </w:r>
      <w:r w:rsidRPr="00BB798A">
        <w:rPr>
          <w:rFonts w:ascii="Palatino Linotype" w:eastAsiaTheme="minorEastAsia" w:hAnsi="Palatino Linotype" w:cs="Arial"/>
          <w:b/>
          <w:sz w:val="24"/>
          <w:szCs w:val="24"/>
          <w:lang w:val="es-ES_tradnl" w:eastAsia="es-ES"/>
        </w:rPr>
        <w:t>NOTIFÍQUESE</w:t>
      </w:r>
      <w:r w:rsidRPr="00BB798A">
        <w:rPr>
          <w:rFonts w:ascii="Palatino Linotype" w:eastAsiaTheme="minorEastAsia" w:hAnsi="Palatino Linotype" w:cs="Arial"/>
          <w:sz w:val="24"/>
          <w:szCs w:val="24"/>
          <w:lang w:val="es-ES_tradnl" w:eastAsia="es-ES"/>
        </w:rPr>
        <w:t xml:space="preserve"> </w:t>
      </w:r>
      <w:r w:rsidRPr="00BB798A">
        <w:rPr>
          <w:rFonts w:ascii="Palatino Linotype" w:hAnsi="Palatino Linotype" w:cs="Arial"/>
          <w:sz w:val="24"/>
          <w:szCs w:val="24"/>
        </w:rPr>
        <w:t>a través del Sistema de Acceso a la Información Mexiquense (SAIMEX)</w:t>
      </w:r>
      <w:r>
        <w:rPr>
          <w:rFonts w:ascii="Palatino Linotype" w:hAnsi="Palatino Linotype" w:cs="Arial"/>
          <w:sz w:val="24"/>
          <w:szCs w:val="24"/>
        </w:rPr>
        <w:t xml:space="preserve"> </w:t>
      </w:r>
      <w:r w:rsidRPr="00BB798A">
        <w:rPr>
          <w:rFonts w:ascii="Palatino Linotype" w:eastAsiaTheme="minorEastAsia" w:hAnsi="Palatino Linotype" w:cs="Arial"/>
          <w:sz w:val="24"/>
          <w:szCs w:val="24"/>
          <w:lang w:val="es-ES_tradnl" w:eastAsia="es-ES"/>
        </w:rPr>
        <w:t xml:space="preserve">la presente resolución al Titular de la Unidad de Transparencia del </w:t>
      </w:r>
      <w:r w:rsidRPr="00BB798A">
        <w:rPr>
          <w:rFonts w:ascii="Palatino Linotype" w:eastAsiaTheme="minorEastAsia" w:hAnsi="Palatino Linotype" w:cs="Arial"/>
          <w:b/>
          <w:sz w:val="24"/>
          <w:szCs w:val="24"/>
          <w:lang w:val="es-ES_tradnl" w:eastAsia="es-ES"/>
        </w:rPr>
        <w:t>Sujeto Obligado</w:t>
      </w:r>
      <w:r w:rsidRPr="00BB798A">
        <w:rPr>
          <w:rFonts w:ascii="Palatino Linotype" w:eastAsiaTheme="minorEastAsia" w:hAnsi="Palatino Linotype" w:cs="Arial"/>
          <w:sz w:val="24"/>
          <w:szCs w:val="24"/>
          <w:lang w:val="es-ES_tradnl" w:eastAsia="es-ES"/>
        </w:rPr>
        <w:t>.</w:t>
      </w:r>
    </w:p>
    <w:p w14:paraId="18014700" w14:textId="7FA1EF82" w:rsidR="007F2DC4" w:rsidRDefault="007F2DC4" w:rsidP="007F2DC4">
      <w:pPr>
        <w:spacing w:after="0" w:line="360" w:lineRule="auto"/>
        <w:jc w:val="both"/>
        <w:rPr>
          <w:rFonts w:ascii="Palatino Linotype" w:hAnsi="Palatino Linotype" w:cs="Arial"/>
          <w:sz w:val="24"/>
          <w:szCs w:val="24"/>
        </w:rPr>
      </w:pPr>
      <w:r w:rsidRPr="00BB798A">
        <w:rPr>
          <w:rFonts w:ascii="Palatino Linotype" w:eastAsia="Times New Roman" w:hAnsi="Palatino Linotype" w:cs="Arial"/>
          <w:b/>
          <w:sz w:val="28"/>
          <w:szCs w:val="24"/>
          <w:lang w:val="es-ES" w:eastAsia="es-ES"/>
        </w:rPr>
        <w:t>TERCERO</w:t>
      </w:r>
      <w:r w:rsidRPr="00BB798A">
        <w:rPr>
          <w:rFonts w:ascii="Palatino Linotype" w:eastAsia="Times New Roman" w:hAnsi="Palatino Linotype" w:cs="Arial"/>
          <w:b/>
          <w:sz w:val="24"/>
          <w:szCs w:val="24"/>
          <w:lang w:val="es-ES" w:eastAsia="es-ES"/>
        </w:rPr>
        <w:t>.</w:t>
      </w:r>
      <w:r w:rsidRPr="00BB798A">
        <w:rPr>
          <w:rFonts w:ascii="Palatino Linotype" w:eastAsia="Times New Roman" w:hAnsi="Palatino Linotype" w:cs="Arial"/>
          <w:sz w:val="24"/>
          <w:szCs w:val="24"/>
          <w:lang w:val="es-ES" w:eastAsia="es-ES"/>
        </w:rPr>
        <w:t xml:space="preserve"> </w:t>
      </w:r>
      <w:r w:rsidRPr="00BB798A">
        <w:rPr>
          <w:rFonts w:ascii="Palatino Linotype" w:hAnsi="Palatino Linotype" w:cs="Arial"/>
          <w:b/>
          <w:sz w:val="24"/>
          <w:szCs w:val="24"/>
        </w:rPr>
        <w:t>NOTIFÍQUESE</w:t>
      </w:r>
      <w:r w:rsidRPr="00BB798A">
        <w:rPr>
          <w:rFonts w:ascii="Palatino Linotype" w:hAnsi="Palatino Linotype" w:cs="Arial"/>
          <w:sz w:val="24"/>
          <w:szCs w:val="24"/>
        </w:rPr>
        <w:t xml:space="preserve"> a través del Sistema de Acceso a la Información Mexiquense (SAIMEX), a</w:t>
      </w:r>
      <w:r w:rsidR="003F4C4C">
        <w:rPr>
          <w:rFonts w:ascii="Palatino Linotype" w:hAnsi="Palatino Linotype" w:cs="Arial"/>
          <w:sz w:val="24"/>
          <w:szCs w:val="24"/>
        </w:rPr>
        <w:t xml:space="preserve"> </w:t>
      </w:r>
      <w:r w:rsidRPr="00BB798A">
        <w:rPr>
          <w:rFonts w:ascii="Palatino Linotype" w:hAnsi="Palatino Linotype" w:cs="Arial"/>
          <w:sz w:val="24"/>
          <w:szCs w:val="24"/>
        </w:rPr>
        <w:t>l</w:t>
      </w:r>
      <w:r w:rsidR="003F4C4C">
        <w:rPr>
          <w:rFonts w:ascii="Palatino Linotype" w:hAnsi="Palatino Linotype" w:cs="Arial"/>
          <w:sz w:val="24"/>
          <w:szCs w:val="24"/>
        </w:rPr>
        <w:t>a parte</w:t>
      </w:r>
      <w:r w:rsidRPr="00BB798A">
        <w:rPr>
          <w:rFonts w:ascii="Palatino Linotype" w:hAnsi="Palatino Linotype" w:cs="Arial"/>
          <w:sz w:val="24"/>
          <w:szCs w:val="24"/>
        </w:rPr>
        <w:t xml:space="preserve"> </w:t>
      </w:r>
      <w:r w:rsidRPr="00BB798A">
        <w:rPr>
          <w:rFonts w:ascii="Palatino Linotype" w:hAnsi="Palatino Linotype" w:cs="Arial"/>
          <w:b/>
          <w:sz w:val="24"/>
          <w:szCs w:val="24"/>
        </w:rPr>
        <w:t>Recurrente</w:t>
      </w:r>
      <w:r w:rsidRPr="00BB798A">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0D95B5" w14:textId="026E4C43" w:rsidR="0009491C" w:rsidRDefault="0009491C" w:rsidP="00390FFA">
      <w:pPr>
        <w:spacing w:after="0" w:line="360" w:lineRule="auto"/>
        <w:jc w:val="both"/>
        <w:rPr>
          <w:rFonts w:ascii="Palatino Linotype" w:hAnsi="Palatino Linotype"/>
          <w:sz w:val="24"/>
          <w:szCs w:val="24"/>
          <w:lang w:eastAsia="es-ES_tradnl"/>
        </w:rPr>
      </w:pPr>
    </w:p>
    <w:p w14:paraId="1834F7E7" w14:textId="3CEE3130" w:rsidR="0009491C" w:rsidRDefault="0009491C" w:rsidP="00390FFA">
      <w:pPr>
        <w:spacing w:after="0" w:line="360" w:lineRule="auto"/>
        <w:jc w:val="both"/>
        <w:rPr>
          <w:rFonts w:ascii="Palatino Linotype" w:hAnsi="Palatino Linotype" w:cs="Arial"/>
          <w:sz w:val="24"/>
          <w:szCs w:val="24"/>
        </w:rPr>
      </w:pPr>
      <w:r w:rsidRPr="00360DF2">
        <w:rPr>
          <w:rFonts w:ascii="Palatino Linotype" w:hAnsi="Palatino Linotype" w:cs="Arial"/>
          <w:sz w:val="24"/>
          <w:szCs w:val="24"/>
        </w:rPr>
        <w:t>ASÍ LO RESUELVE, POR UNANIMIDAD DE VOTOS EL PLENO DEL</w:t>
      </w:r>
      <w:r w:rsidRPr="00360DF2">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60DF2">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1F3C4D">
        <w:rPr>
          <w:rFonts w:ascii="Palatino Linotype" w:hAnsi="Palatino Linotype" w:cs="Arial"/>
          <w:sz w:val="24"/>
          <w:szCs w:val="24"/>
        </w:rPr>
        <w:t>TRIGÉSIMA</w:t>
      </w:r>
      <w:r w:rsidR="0023365E">
        <w:rPr>
          <w:rFonts w:ascii="Palatino Linotype" w:hAnsi="Palatino Linotype" w:cs="Arial"/>
          <w:sz w:val="24"/>
          <w:szCs w:val="24"/>
        </w:rPr>
        <w:t xml:space="preserve"> </w:t>
      </w:r>
      <w:r w:rsidRPr="00360DF2">
        <w:rPr>
          <w:rFonts w:ascii="Palatino Linotype" w:hAnsi="Palatino Linotype" w:cs="Arial"/>
          <w:sz w:val="24"/>
          <w:szCs w:val="24"/>
        </w:rPr>
        <w:t xml:space="preserve">SESIÓN ORDINARIA CELEBRADA EL </w:t>
      </w:r>
      <w:r w:rsidR="001F3C4D">
        <w:rPr>
          <w:rFonts w:ascii="Palatino Linotype" w:hAnsi="Palatino Linotype" w:cs="Arial"/>
          <w:sz w:val="24"/>
          <w:szCs w:val="24"/>
        </w:rPr>
        <w:t>VEINTIOCHO</w:t>
      </w:r>
      <w:r w:rsidR="00B107B3">
        <w:rPr>
          <w:rFonts w:ascii="Palatino Linotype" w:hAnsi="Palatino Linotype" w:cs="Arial"/>
          <w:sz w:val="24"/>
          <w:szCs w:val="24"/>
        </w:rPr>
        <w:t xml:space="preserve"> DE </w:t>
      </w:r>
      <w:r w:rsidR="003F4C4C">
        <w:rPr>
          <w:rFonts w:ascii="Palatino Linotype" w:hAnsi="Palatino Linotype" w:cs="Arial"/>
          <w:sz w:val="24"/>
          <w:szCs w:val="24"/>
        </w:rPr>
        <w:t>AGOSTO</w:t>
      </w:r>
      <w:r w:rsidR="00B107B3">
        <w:rPr>
          <w:rFonts w:ascii="Palatino Linotype" w:hAnsi="Palatino Linotype" w:cs="Arial"/>
          <w:sz w:val="24"/>
          <w:szCs w:val="24"/>
        </w:rPr>
        <w:t xml:space="preserve"> DE DOS MIL VEINTICUATRO</w:t>
      </w:r>
      <w:r w:rsidRPr="00360DF2">
        <w:rPr>
          <w:rFonts w:ascii="Palatino Linotype" w:hAnsi="Palatino Linotype" w:cs="Arial"/>
          <w:sz w:val="24"/>
          <w:szCs w:val="24"/>
        </w:rPr>
        <w:t>, ANTE EL SECRETARIO TÉCNICO DEL PLENO, ALEXIS TAPIA RAMÍREZ. -------------------</w:t>
      </w:r>
      <w:r w:rsidR="005A6082">
        <w:rPr>
          <w:rFonts w:ascii="Palatino Linotype" w:hAnsi="Palatino Linotype" w:cs="Arial"/>
          <w:sz w:val="24"/>
          <w:szCs w:val="24"/>
        </w:rPr>
        <w:t>-------------------------</w:t>
      </w:r>
      <w:r w:rsidRPr="00360DF2">
        <w:rPr>
          <w:rFonts w:ascii="Palatino Linotype" w:hAnsi="Palatino Linotype" w:cs="Arial"/>
          <w:sz w:val="24"/>
          <w:szCs w:val="24"/>
        </w:rPr>
        <w:t>---------------------</w:t>
      </w:r>
      <w:r w:rsidR="00426DD7">
        <w:rPr>
          <w:rFonts w:ascii="Palatino Linotype" w:hAnsi="Palatino Linotype" w:cs="Arial"/>
          <w:sz w:val="24"/>
          <w:szCs w:val="24"/>
        </w:rPr>
        <w:t>-----------</w:t>
      </w:r>
    </w:p>
    <w:p w14:paraId="431726C5"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A3722D7"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604072B0" w14:textId="77777777" w:rsidR="00C43AAB" w:rsidRDefault="00C43AAB" w:rsidP="00390FFA">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237CA8F3" w14:textId="77777777" w:rsidR="00587916" w:rsidRDefault="00587916" w:rsidP="00587916">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006A320C" w14:textId="77777777" w:rsidR="00812CB0" w:rsidRDefault="00812CB0" w:rsidP="00812CB0">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75F0EF5"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74CDBFAE"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143F634F" w14:textId="77777777" w:rsidR="0067110C" w:rsidRDefault="0067110C" w:rsidP="0067110C">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14:paraId="5ED19328" w14:textId="77777777" w:rsidR="0009491C" w:rsidRPr="00360DF2" w:rsidRDefault="0009491C" w:rsidP="00390FFA">
      <w:pPr>
        <w:spacing w:after="0" w:line="360" w:lineRule="auto"/>
        <w:jc w:val="both"/>
        <w:rPr>
          <w:rFonts w:ascii="Palatino Linotype" w:hAnsi="Palatino Linotype" w:cs="Arial"/>
          <w:sz w:val="20"/>
        </w:rPr>
      </w:pPr>
      <w:r w:rsidRPr="00360DF2">
        <w:rPr>
          <w:rFonts w:ascii="Palatino Linotype" w:hAnsi="Palatino Linotype" w:cs="Arial"/>
          <w:sz w:val="20"/>
        </w:rPr>
        <w:t>CCR/</w:t>
      </w:r>
      <w:r w:rsidR="00E66363">
        <w:rPr>
          <w:rFonts w:ascii="Palatino Linotype" w:hAnsi="Palatino Linotype" w:cs="Arial"/>
          <w:sz w:val="20"/>
        </w:rPr>
        <w:t>*</w:t>
      </w:r>
    </w:p>
    <w:p w14:paraId="29074DFC" w14:textId="77777777" w:rsidR="0009491C" w:rsidRPr="00360DF2" w:rsidRDefault="0009491C" w:rsidP="00390FFA">
      <w:pPr>
        <w:spacing w:after="0" w:line="360" w:lineRule="auto"/>
        <w:jc w:val="both"/>
        <w:rPr>
          <w:rFonts w:ascii="Palatino Linotype" w:hAnsi="Palatino Linotype" w:cs="Arial"/>
          <w:sz w:val="24"/>
          <w:szCs w:val="24"/>
        </w:rPr>
      </w:pPr>
    </w:p>
    <w:p w14:paraId="184777F8" w14:textId="77777777" w:rsidR="0009491C" w:rsidRPr="00360DF2" w:rsidRDefault="0009491C" w:rsidP="00390FFA">
      <w:pPr>
        <w:spacing w:after="0" w:line="360" w:lineRule="auto"/>
        <w:jc w:val="both"/>
        <w:rPr>
          <w:rFonts w:ascii="Palatino Linotype" w:hAnsi="Palatino Linotype" w:cs="Arial"/>
          <w:sz w:val="24"/>
          <w:szCs w:val="24"/>
        </w:rPr>
      </w:pPr>
    </w:p>
    <w:p w14:paraId="08D21A26" w14:textId="77777777" w:rsidR="0009491C" w:rsidRPr="00360DF2" w:rsidRDefault="0009491C" w:rsidP="00390FFA">
      <w:pPr>
        <w:spacing w:after="0" w:line="360" w:lineRule="auto"/>
        <w:jc w:val="both"/>
        <w:rPr>
          <w:rFonts w:ascii="Palatino Linotype" w:hAnsi="Palatino Linotype" w:cs="Arial"/>
          <w:sz w:val="24"/>
          <w:szCs w:val="24"/>
        </w:rPr>
      </w:pPr>
    </w:p>
    <w:p w14:paraId="7F41C7FE" w14:textId="77777777" w:rsidR="0009491C" w:rsidRPr="00360DF2" w:rsidRDefault="0009491C" w:rsidP="00390FFA">
      <w:pPr>
        <w:spacing w:after="0"/>
        <w:rPr>
          <w:rFonts w:ascii="Palatino Linotype" w:hAnsi="Palatino Linotype"/>
        </w:rPr>
      </w:pPr>
    </w:p>
    <w:p w14:paraId="19A25137" w14:textId="77777777" w:rsidR="0009491C" w:rsidRPr="00360DF2" w:rsidRDefault="0009491C" w:rsidP="00390FFA">
      <w:pPr>
        <w:spacing w:after="0"/>
        <w:rPr>
          <w:rFonts w:ascii="Palatino Linotype" w:hAnsi="Palatino Linotype"/>
        </w:rPr>
      </w:pPr>
    </w:p>
    <w:p w14:paraId="03125ADD" w14:textId="77777777" w:rsidR="0009491C" w:rsidRPr="00360DF2" w:rsidRDefault="0009491C" w:rsidP="00390FFA">
      <w:pPr>
        <w:spacing w:after="0"/>
        <w:rPr>
          <w:rFonts w:ascii="Palatino Linotype" w:hAnsi="Palatino Linotype"/>
        </w:rPr>
      </w:pPr>
    </w:p>
    <w:p w14:paraId="72348661" w14:textId="77777777" w:rsidR="0009491C" w:rsidRPr="00360DF2" w:rsidRDefault="0009491C" w:rsidP="00390FFA">
      <w:pPr>
        <w:spacing w:after="0"/>
        <w:rPr>
          <w:rFonts w:ascii="Palatino Linotype" w:hAnsi="Palatino Linotype"/>
        </w:rPr>
      </w:pPr>
    </w:p>
    <w:p w14:paraId="64143CFC" w14:textId="77777777" w:rsidR="0009491C" w:rsidRPr="00360DF2" w:rsidRDefault="0009491C" w:rsidP="00390FFA">
      <w:pPr>
        <w:spacing w:after="0"/>
        <w:rPr>
          <w:rFonts w:ascii="Palatino Linotype" w:hAnsi="Palatino Linotype"/>
        </w:rPr>
      </w:pPr>
    </w:p>
    <w:p w14:paraId="77748927" w14:textId="77777777" w:rsidR="0009491C" w:rsidRPr="00360DF2" w:rsidRDefault="0009491C" w:rsidP="00390FFA">
      <w:pPr>
        <w:spacing w:after="0"/>
        <w:rPr>
          <w:rFonts w:ascii="Palatino Linotype" w:hAnsi="Palatino Linotype"/>
        </w:rPr>
      </w:pPr>
    </w:p>
    <w:p w14:paraId="4CBE95CD" w14:textId="77777777" w:rsidR="0009491C" w:rsidRPr="00360DF2" w:rsidRDefault="0009491C" w:rsidP="00390FFA">
      <w:pPr>
        <w:spacing w:after="0"/>
        <w:rPr>
          <w:rFonts w:ascii="Palatino Linotype" w:hAnsi="Palatino Linotype"/>
        </w:rPr>
      </w:pPr>
    </w:p>
    <w:p w14:paraId="4685C465" w14:textId="77777777" w:rsidR="0009491C" w:rsidRPr="00360DF2" w:rsidRDefault="0009491C" w:rsidP="00390FFA">
      <w:pPr>
        <w:spacing w:after="0"/>
        <w:rPr>
          <w:rFonts w:ascii="Palatino Linotype" w:hAnsi="Palatino Linotype"/>
        </w:rPr>
      </w:pPr>
    </w:p>
    <w:p w14:paraId="14CC3840" w14:textId="77777777" w:rsidR="0009491C" w:rsidRPr="00360DF2" w:rsidRDefault="0009491C" w:rsidP="00390FFA">
      <w:pPr>
        <w:spacing w:after="0"/>
        <w:rPr>
          <w:rFonts w:ascii="Palatino Linotype" w:hAnsi="Palatino Linotype"/>
        </w:rPr>
      </w:pPr>
    </w:p>
    <w:p w14:paraId="7996B5C1" w14:textId="77777777" w:rsidR="0009491C" w:rsidRPr="00360DF2" w:rsidRDefault="0009491C" w:rsidP="00390FFA">
      <w:pPr>
        <w:spacing w:after="0"/>
        <w:rPr>
          <w:rFonts w:ascii="Palatino Linotype" w:hAnsi="Palatino Linotype"/>
        </w:rPr>
      </w:pPr>
    </w:p>
    <w:p w14:paraId="25C7AA65" w14:textId="77777777" w:rsidR="0009491C" w:rsidRPr="00360DF2" w:rsidRDefault="0009491C" w:rsidP="00390FFA">
      <w:pPr>
        <w:spacing w:after="0"/>
        <w:rPr>
          <w:rFonts w:ascii="Palatino Linotype" w:hAnsi="Palatino Linotype"/>
        </w:rPr>
      </w:pPr>
    </w:p>
    <w:p w14:paraId="77E0B323" w14:textId="77777777" w:rsidR="0009491C" w:rsidRPr="00360DF2" w:rsidRDefault="0009491C" w:rsidP="00390FFA">
      <w:pPr>
        <w:spacing w:after="0"/>
        <w:rPr>
          <w:rFonts w:ascii="Palatino Linotype" w:hAnsi="Palatino Linotype"/>
        </w:rPr>
      </w:pPr>
    </w:p>
    <w:p w14:paraId="02454CBD" w14:textId="77777777" w:rsidR="0009491C" w:rsidRPr="00360DF2" w:rsidRDefault="0009491C" w:rsidP="00390FFA">
      <w:pPr>
        <w:spacing w:after="0"/>
        <w:rPr>
          <w:rFonts w:ascii="Palatino Linotype" w:hAnsi="Palatino Linotype"/>
        </w:rPr>
      </w:pPr>
    </w:p>
    <w:p w14:paraId="379DAE6D" w14:textId="77777777" w:rsidR="0009491C" w:rsidRPr="00360DF2" w:rsidRDefault="0009491C" w:rsidP="00390FFA">
      <w:pPr>
        <w:spacing w:after="0"/>
        <w:rPr>
          <w:rFonts w:ascii="Palatino Linotype" w:hAnsi="Palatino Linotype"/>
        </w:rPr>
      </w:pPr>
    </w:p>
    <w:p w14:paraId="3739552E" w14:textId="77777777" w:rsidR="0009491C" w:rsidRPr="00360DF2" w:rsidRDefault="0009491C" w:rsidP="00390FFA">
      <w:pPr>
        <w:spacing w:after="0"/>
        <w:rPr>
          <w:rFonts w:ascii="Palatino Linotype" w:hAnsi="Palatino Linotype"/>
        </w:rPr>
      </w:pPr>
    </w:p>
    <w:p w14:paraId="2D859E6D" w14:textId="77777777" w:rsidR="0009491C" w:rsidRDefault="0009491C" w:rsidP="00390FFA">
      <w:pPr>
        <w:spacing w:after="0"/>
      </w:pPr>
    </w:p>
    <w:p w14:paraId="7A1B97D5" w14:textId="77777777" w:rsidR="0024057C" w:rsidRDefault="0024057C" w:rsidP="00390FFA">
      <w:pPr>
        <w:spacing w:after="0"/>
      </w:pPr>
    </w:p>
    <w:sectPr w:rsidR="0024057C" w:rsidSect="0024057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FDB52" w14:textId="77777777" w:rsidR="00F85430" w:rsidRDefault="00F85430" w:rsidP="0009491C">
      <w:pPr>
        <w:spacing w:after="0" w:line="240" w:lineRule="auto"/>
      </w:pPr>
      <w:r>
        <w:separator/>
      </w:r>
    </w:p>
  </w:endnote>
  <w:endnote w:type="continuationSeparator" w:id="0">
    <w:p w14:paraId="7AD3C39D" w14:textId="77777777" w:rsidR="00F85430" w:rsidRDefault="00F85430"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87AEDD0" w14:textId="77777777" w:rsidR="0024057C" w:rsidRPr="002D6DD8" w:rsidRDefault="0024057C" w:rsidP="0024057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E1889">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E1889">
              <w:rPr>
                <w:rFonts w:ascii="Palatino Linotype" w:hAnsi="Palatino Linotype"/>
                <w:bCs/>
                <w:noProof/>
                <w:sz w:val="20"/>
              </w:rPr>
              <w:t>18</w:t>
            </w:r>
            <w:r>
              <w:rPr>
                <w:rFonts w:ascii="Palatino Linotype" w:hAnsi="Palatino Linotype"/>
                <w:bCs/>
                <w:noProof/>
                <w:sz w:val="20"/>
              </w:rPr>
              <w:fldChar w:fldCharType="end"/>
            </w:r>
          </w:p>
        </w:sdtContent>
      </w:sdt>
    </w:sdtContent>
  </w:sdt>
  <w:p w14:paraId="3F021184" w14:textId="77777777" w:rsidR="0024057C" w:rsidRDefault="002405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7A555" w14:textId="77777777" w:rsidR="0024057C" w:rsidRPr="000B69FA" w:rsidRDefault="0024057C" w:rsidP="0024057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E188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E1889">
      <w:rPr>
        <w:rFonts w:ascii="Palatino Linotype" w:hAnsi="Palatino Linotype"/>
        <w:bCs/>
        <w:noProof/>
        <w:sz w:val="20"/>
      </w:rPr>
      <w:t>18</w:t>
    </w:r>
    <w:r>
      <w:rPr>
        <w:rFonts w:ascii="Palatino Linotype" w:hAnsi="Palatino Linotype"/>
        <w:bCs/>
        <w:noProof/>
        <w:sz w:val="20"/>
      </w:rPr>
      <w:fldChar w:fldCharType="end"/>
    </w:r>
  </w:p>
  <w:p w14:paraId="279E5585" w14:textId="77777777" w:rsidR="0024057C" w:rsidRDefault="002405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E9FB0" w14:textId="77777777" w:rsidR="00F85430" w:rsidRDefault="00F85430" w:rsidP="0009491C">
      <w:pPr>
        <w:spacing w:after="0" w:line="240" w:lineRule="auto"/>
      </w:pPr>
      <w:r>
        <w:separator/>
      </w:r>
    </w:p>
  </w:footnote>
  <w:footnote w:type="continuationSeparator" w:id="0">
    <w:p w14:paraId="1021F3CB" w14:textId="77777777" w:rsidR="00F85430" w:rsidRDefault="00F85430" w:rsidP="0009491C">
      <w:pPr>
        <w:spacing w:after="0" w:line="240" w:lineRule="auto"/>
      </w:pPr>
      <w:r>
        <w:continuationSeparator/>
      </w:r>
    </w:p>
  </w:footnote>
  <w:footnote w:id="1">
    <w:p w14:paraId="6008AC06" w14:textId="77777777" w:rsidR="0024057C" w:rsidRPr="009535FD" w:rsidRDefault="0024057C" w:rsidP="0016140D">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47BC5951" w14:textId="77777777" w:rsidR="0024057C" w:rsidRPr="009535FD" w:rsidRDefault="0024057C" w:rsidP="0016140D">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4057C" w14:paraId="362F0AE1" w14:textId="77777777" w:rsidTr="0024057C">
      <w:trPr>
        <w:trHeight w:val="227"/>
      </w:trPr>
      <w:tc>
        <w:tcPr>
          <w:tcW w:w="5246" w:type="dxa"/>
          <w:hideMark/>
        </w:tcPr>
        <w:p w14:paraId="17CEFED9" w14:textId="77777777" w:rsidR="0024057C" w:rsidRPr="00641471" w:rsidRDefault="0024057C" w:rsidP="0024057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7B138054" w14:textId="5FBB2C3A" w:rsidR="0024057C" w:rsidRPr="00641471" w:rsidRDefault="0024057C" w:rsidP="0024057C">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03210/INFOEM/IP/RR/2024</w:t>
          </w:r>
        </w:p>
      </w:tc>
    </w:tr>
    <w:tr w:rsidR="0024057C" w14:paraId="6DAD570C" w14:textId="77777777" w:rsidTr="0024057C">
      <w:trPr>
        <w:trHeight w:val="242"/>
      </w:trPr>
      <w:tc>
        <w:tcPr>
          <w:tcW w:w="5246" w:type="dxa"/>
          <w:hideMark/>
        </w:tcPr>
        <w:p w14:paraId="45C13706" w14:textId="77777777" w:rsidR="0024057C" w:rsidRPr="00641471" w:rsidRDefault="0024057C" w:rsidP="0024057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2068C07E" w14:textId="509F7BB1" w:rsidR="0024057C" w:rsidRPr="00641471" w:rsidRDefault="0024057C" w:rsidP="0024057C">
          <w:pPr>
            <w:spacing w:after="120" w:line="256" w:lineRule="auto"/>
            <w:ind w:left="-486" w:right="214" w:firstLine="284"/>
            <w:jc w:val="right"/>
            <w:rPr>
              <w:rFonts w:ascii="Palatino Linotype" w:hAnsi="Palatino Linotype" w:cs="Arial"/>
              <w:b/>
              <w:szCs w:val="20"/>
            </w:rPr>
          </w:pPr>
          <w:r w:rsidRPr="0024057C">
            <w:rPr>
              <w:rFonts w:ascii="Palatino Linotype" w:hAnsi="Palatino Linotype" w:cs="Arial"/>
              <w:b/>
              <w:szCs w:val="20"/>
            </w:rPr>
            <w:t>Ayuntamiento de San Mateo Atenco</w:t>
          </w:r>
        </w:p>
      </w:tc>
    </w:tr>
    <w:tr w:rsidR="0024057C" w14:paraId="78172A74" w14:textId="77777777" w:rsidTr="0024057C">
      <w:trPr>
        <w:trHeight w:val="342"/>
      </w:trPr>
      <w:tc>
        <w:tcPr>
          <w:tcW w:w="5246" w:type="dxa"/>
          <w:hideMark/>
        </w:tcPr>
        <w:p w14:paraId="2DF146D2" w14:textId="77777777" w:rsidR="0024057C" w:rsidRPr="00641471" w:rsidRDefault="0024057C" w:rsidP="0024057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1C36A9A7" w14:textId="77777777" w:rsidR="0024057C" w:rsidRPr="00641471" w:rsidRDefault="0024057C" w:rsidP="0024057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BC4AC96" w14:textId="77777777" w:rsidR="0024057C" w:rsidRPr="00AE046A" w:rsidRDefault="0024057C" w:rsidP="0024057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13BBA57" wp14:editId="7B68891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4057C" w14:paraId="1F99DE53" w14:textId="77777777" w:rsidTr="0024057C">
      <w:trPr>
        <w:trHeight w:val="227"/>
      </w:trPr>
      <w:tc>
        <w:tcPr>
          <w:tcW w:w="5104" w:type="dxa"/>
          <w:hideMark/>
        </w:tcPr>
        <w:p w14:paraId="797A518C" w14:textId="77777777" w:rsidR="0024057C" w:rsidRPr="00641471" w:rsidRDefault="0024057C" w:rsidP="0024057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49768BC" w14:textId="585D7279" w:rsidR="0024057C" w:rsidRPr="00641471" w:rsidRDefault="0024057C" w:rsidP="0024057C">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03210/INFOEM/IP/RR/2024</w:t>
          </w:r>
        </w:p>
      </w:tc>
    </w:tr>
    <w:tr w:rsidR="0024057C" w14:paraId="70764627" w14:textId="77777777" w:rsidTr="0024057C">
      <w:trPr>
        <w:trHeight w:val="242"/>
      </w:trPr>
      <w:tc>
        <w:tcPr>
          <w:tcW w:w="5104" w:type="dxa"/>
          <w:hideMark/>
        </w:tcPr>
        <w:p w14:paraId="6CF2CA73" w14:textId="77777777" w:rsidR="0024057C" w:rsidRPr="00641471" w:rsidRDefault="0024057C" w:rsidP="0024057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394D95BD" w14:textId="639D284C" w:rsidR="0024057C" w:rsidRPr="00641471" w:rsidRDefault="0024057C" w:rsidP="0024057C">
          <w:pPr>
            <w:spacing w:after="120" w:line="256" w:lineRule="auto"/>
            <w:ind w:left="-486" w:right="214" w:firstLine="284"/>
            <w:jc w:val="right"/>
            <w:rPr>
              <w:rFonts w:ascii="Palatino Linotype" w:hAnsi="Palatino Linotype" w:cs="Arial"/>
              <w:b/>
              <w:szCs w:val="20"/>
            </w:rPr>
          </w:pPr>
          <w:r w:rsidRPr="0024057C">
            <w:rPr>
              <w:rFonts w:ascii="Palatino Linotype" w:hAnsi="Palatino Linotype" w:cs="Arial"/>
              <w:b/>
              <w:szCs w:val="20"/>
            </w:rPr>
            <w:t>Ayuntamiento de San Mateo Atenco</w:t>
          </w:r>
        </w:p>
      </w:tc>
    </w:tr>
    <w:tr w:rsidR="0024057C" w14:paraId="12520B3B" w14:textId="77777777" w:rsidTr="0024057C">
      <w:trPr>
        <w:trHeight w:val="342"/>
      </w:trPr>
      <w:tc>
        <w:tcPr>
          <w:tcW w:w="5104" w:type="dxa"/>
        </w:tcPr>
        <w:p w14:paraId="046E45DA" w14:textId="77777777" w:rsidR="0024057C" w:rsidRPr="00641471" w:rsidRDefault="0024057C" w:rsidP="0024057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157A5D17" w14:textId="251A671B" w:rsidR="0024057C" w:rsidRPr="00641471" w:rsidRDefault="0024057C" w:rsidP="0024057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745F8633" wp14:editId="0FAC4CBD">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82494C">
            <w:rPr>
              <w:rFonts w:ascii="Palatino Linotype" w:hAnsi="Palatino Linotype" w:cs="Arial"/>
              <w:b/>
            </w:rPr>
            <w:t>XXXXXXXXXXXXXXXXXX</w:t>
          </w:r>
        </w:p>
      </w:tc>
    </w:tr>
    <w:tr w:rsidR="0024057C" w14:paraId="6BE70A9B" w14:textId="77777777" w:rsidTr="0024057C">
      <w:trPr>
        <w:trHeight w:val="342"/>
      </w:trPr>
      <w:tc>
        <w:tcPr>
          <w:tcW w:w="5104" w:type="dxa"/>
        </w:tcPr>
        <w:p w14:paraId="7085A209" w14:textId="77777777" w:rsidR="0024057C" w:rsidRPr="00641471" w:rsidRDefault="0024057C" w:rsidP="0024057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51A617AC" w14:textId="77777777" w:rsidR="0024057C" w:rsidRPr="00641471" w:rsidRDefault="0024057C" w:rsidP="0024057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198ED672" w14:textId="77777777" w:rsidR="0024057C" w:rsidRPr="00C222C0" w:rsidRDefault="0024057C">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CA44699"/>
    <w:multiLevelType w:val="hybridMultilevel"/>
    <w:tmpl w:val="8F3A2A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D6D027E"/>
    <w:multiLevelType w:val="hybridMultilevel"/>
    <w:tmpl w:val="97204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7D1B94"/>
    <w:multiLevelType w:val="hybridMultilevel"/>
    <w:tmpl w:val="C6BEF1D6"/>
    <w:lvl w:ilvl="0" w:tplc="999EEB3A">
      <w:numFmt w:val="bullet"/>
      <w:lvlText w:val="•"/>
      <w:lvlJc w:val="left"/>
      <w:pPr>
        <w:ind w:left="1065" w:hanging="705"/>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50077"/>
    <w:rsid w:val="0009491C"/>
    <w:rsid w:val="00095986"/>
    <w:rsid w:val="000A3D26"/>
    <w:rsid w:val="000F7D99"/>
    <w:rsid w:val="0016140D"/>
    <w:rsid w:val="0016791B"/>
    <w:rsid w:val="001C38F0"/>
    <w:rsid w:val="001F3C4D"/>
    <w:rsid w:val="00225D1A"/>
    <w:rsid w:val="0023365E"/>
    <w:rsid w:val="0024057C"/>
    <w:rsid w:val="002436FA"/>
    <w:rsid w:val="00273613"/>
    <w:rsid w:val="00281CAB"/>
    <w:rsid w:val="002B22A6"/>
    <w:rsid w:val="002E5BE5"/>
    <w:rsid w:val="003321A2"/>
    <w:rsid w:val="00341A68"/>
    <w:rsid w:val="00382A03"/>
    <w:rsid w:val="00390FFA"/>
    <w:rsid w:val="003F4C4C"/>
    <w:rsid w:val="0041247E"/>
    <w:rsid w:val="00426DD7"/>
    <w:rsid w:val="0048739B"/>
    <w:rsid w:val="004E1889"/>
    <w:rsid w:val="004F4AE5"/>
    <w:rsid w:val="00530960"/>
    <w:rsid w:val="00535685"/>
    <w:rsid w:val="005662F8"/>
    <w:rsid w:val="00587916"/>
    <w:rsid w:val="005A6082"/>
    <w:rsid w:val="005C396D"/>
    <w:rsid w:val="0061125D"/>
    <w:rsid w:val="00636559"/>
    <w:rsid w:val="00647509"/>
    <w:rsid w:val="0067110C"/>
    <w:rsid w:val="006844BB"/>
    <w:rsid w:val="006E6DC1"/>
    <w:rsid w:val="00746026"/>
    <w:rsid w:val="007E201A"/>
    <w:rsid w:val="007E7221"/>
    <w:rsid w:val="007F2DC4"/>
    <w:rsid w:val="00812CB0"/>
    <w:rsid w:val="00814131"/>
    <w:rsid w:val="00817016"/>
    <w:rsid w:val="0082494C"/>
    <w:rsid w:val="00827034"/>
    <w:rsid w:val="00863BE9"/>
    <w:rsid w:val="008657E9"/>
    <w:rsid w:val="008B3790"/>
    <w:rsid w:val="008E02D1"/>
    <w:rsid w:val="008F4F49"/>
    <w:rsid w:val="00946989"/>
    <w:rsid w:val="009477CE"/>
    <w:rsid w:val="00A768CA"/>
    <w:rsid w:val="00AF5D72"/>
    <w:rsid w:val="00AF677C"/>
    <w:rsid w:val="00B075DB"/>
    <w:rsid w:val="00B107B3"/>
    <w:rsid w:val="00B34049"/>
    <w:rsid w:val="00C43AAB"/>
    <w:rsid w:val="00C92BDF"/>
    <w:rsid w:val="00D066A3"/>
    <w:rsid w:val="00D42741"/>
    <w:rsid w:val="00D4358A"/>
    <w:rsid w:val="00D6242C"/>
    <w:rsid w:val="00DD3A4F"/>
    <w:rsid w:val="00E66363"/>
    <w:rsid w:val="00E83E05"/>
    <w:rsid w:val="00F175A2"/>
    <w:rsid w:val="00F2788A"/>
    <w:rsid w:val="00F80303"/>
    <w:rsid w:val="00F85430"/>
    <w:rsid w:val="00FC680A"/>
    <w:rsid w:val="00FF3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6BCEFC"/>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9491C"/>
    <w:rPr>
      <w:vertAlign w:val="superscript"/>
    </w:rPr>
  </w:style>
  <w:style w:type="character" w:customStyle="1" w:styleId="Mencinsinresolver1">
    <w:name w:val="Mención sin resolver1"/>
    <w:basedOn w:val="Fuentedeprrafopredeter"/>
    <w:uiPriority w:val="99"/>
    <w:semiHidden/>
    <w:unhideWhenUsed/>
    <w:rsid w:val="00D6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2107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7625</Words>
  <Characters>41938</Characters>
  <Application>Microsoft Office Word</Application>
  <DocSecurity>4</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cp:revision>
  <dcterms:created xsi:type="dcterms:W3CDTF">2024-09-09T15:51:00Z</dcterms:created>
  <dcterms:modified xsi:type="dcterms:W3CDTF">2024-09-09T15:51:00Z</dcterms:modified>
</cp:coreProperties>
</file>