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88FC1" w14:textId="63AF5415" w:rsidR="00CE58A5" w:rsidRPr="009649E1" w:rsidRDefault="00CE4466" w:rsidP="00D5210E">
      <w:pPr>
        <w:spacing w:after="0" w:line="360" w:lineRule="auto"/>
      </w:pPr>
      <w:r w:rsidRPr="009649E1">
        <w:t xml:space="preserve">Resolución del Pleno del Instituto de Transparencia, Acceso a la Información Pública y Protección de Datos Personales del Estado de México y Municipios, con domicilio en Metepec, Estado de México, de fecha </w:t>
      </w:r>
      <w:r w:rsidR="00456B1F" w:rsidRPr="009649E1">
        <w:t>trece</w:t>
      </w:r>
      <w:r w:rsidR="00BE562A" w:rsidRPr="009649E1">
        <w:t xml:space="preserve"> de noviembre</w:t>
      </w:r>
      <w:r w:rsidRPr="009649E1">
        <w:t xml:space="preserve"> de dos mil veinticuatro.</w:t>
      </w:r>
    </w:p>
    <w:p w14:paraId="5B1FA2B3" w14:textId="77777777" w:rsidR="00CE58A5" w:rsidRPr="009649E1" w:rsidRDefault="00CE58A5" w:rsidP="00D5210E">
      <w:pPr>
        <w:spacing w:after="0" w:line="360" w:lineRule="auto"/>
        <w:rPr>
          <w:b/>
        </w:rPr>
      </w:pPr>
    </w:p>
    <w:p w14:paraId="67B180B8" w14:textId="794A4CA5" w:rsidR="00CE58A5" w:rsidRPr="009649E1" w:rsidRDefault="00CE4466" w:rsidP="00D5210E">
      <w:pPr>
        <w:spacing w:after="0" w:line="360" w:lineRule="auto"/>
      </w:pPr>
      <w:r w:rsidRPr="009649E1">
        <w:rPr>
          <w:b/>
        </w:rPr>
        <w:t>VISTO</w:t>
      </w:r>
      <w:r w:rsidRPr="009649E1">
        <w:t xml:space="preserve"> el expediente conformado con motivo del Recurso de Revisión </w:t>
      </w:r>
      <w:r w:rsidR="00BE562A" w:rsidRPr="00B83E0A">
        <w:rPr>
          <w:b/>
          <w:bCs/>
        </w:rPr>
        <w:t>03716</w:t>
      </w:r>
      <w:r w:rsidR="006D4068" w:rsidRPr="00B83E0A">
        <w:rPr>
          <w:b/>
          <w:bCs/>
        </w:rPr>
        <w:t>/INFOEM/IP/RR/2024</w:t>
      </w:r>
      <w:r w:rsidRPr="00B83E0A">
        <w:rPr>
          <w:b/>
          <w:bCs/>
        </w:rPr>
        <w:t xml:space="preserve">, </w:t>
      </w:r>
      <w:r w:rsidR="00BE562A" w:rsidRPr="00B83E0A">
        <w:rPr>
          <w:b/>
          <w:bCs/>
        </w:rPr>
        <w:t>03717/INFOEM/IP/RR/2024 y 03718/INFOEM/IP/RR/2024, acumulados</w:t>
      </w:r>
      <w:r w:rsidR="00BE562A" w:rsidRPr="009649E1">
        <w:t xml:space="preserve">, </w:t>
      </w:r>
      <w:r w:rsidRPr="009649E1">
        <w:t>interpuesto</w:t>
      </w:r>
      <w:r w:rsidR="00AE5B12" w:rsidRPr="009649E1">
        <w:t>s</w:t>
      </w:r>
      <w:r w:rsidRPr="009649E1">
        <w:t xml:space="preserve"> </w:t>
      </w:r>
      <w:r w:rsidR="001A54EF" w:rsidRPr="009649E1">
        <w:t xml:space="preserve">por </w:t>
      </w:r>
      <w:r w:rsidR="005E73CF" w:rsidRPr="005E73CF">
        <w:rPr>
          <w:b/>
          <w:bCs/>
          <w:highlight w:val="black"/>
        </w:rPr>
        <w:t>XXXXXXXXXXX</w:t>
      </w:r>
      <w:r w:rsidR="006D4068" w:rsidRPr="009649E1">
        <w:t xml:space="preserve">, en adelante, </w:t>
      </w:r>
      <w:r w:rsidRPr="009649E1">
        <w:t xml:space="preserve">Recurrente o Particular, en contra de la respuesta del Sujeto Obligado, </w:t>
      </w:r>
      <w:r w:rsidR="00BE562A" w:rsidRPr="00B83E0A">
        <w:rPr>
          <w:b/>
          <w:bCs/>
        </w:rPr>
        <w:t>Secretaría de Finanzas</w:t>
      </w:r>
      <w:r w:rsidRPr="00B83E0A">
        <w:rPr>
          <w:b/>
          <w:bCs/>
        </w:rPr>
        <w:t>,</w:t>
      </w:r>
      <w:r w:rsidRPr="009649E1">
        <w:t xml:space="preserve"> a la</w:t>
      </w:r>
      <w:r w:rsidR="00BE562A" w:rsidRPr="009649E1">
        <w:t>s</w:t>
      </w:r>
      <w:r w:rsidRPr="009649E1">
        <w:t xml:space="preserve"> solicitud</w:t>
      </w:r>
      <w:r w:rsidR="00BE562A" w:rsidRPr="009649E1">
        <w:t>es</w:t>
      </w:r>
      <w:r w:rsidRPr="009649E1">
        <w:t xml:space="preserve"> de acceso a la información </w:t>
      </w:r>
      <w:r w:rsidR="00AE5B12" w:rsidRPr="009649E1">
        <w:rPr>
          <w:color w:val="0D0D0D"/>
        </w:rPr>
        <w:t>00379/SF/IP/2024</w:t>
      </w:r>
      <w:r w:rsidRPr="009649E1">
        <w:t xml:space="preserve">, </w:t>
      </w:r>
      <w:r w:rsidR="00AE5B12" w:rsidRPr="009649E1">
        <w:t xml:space="preserve"> 00364/SF/IP/2024  y 00363/SF/IP/2024</w:t>
      </w:r>
      <w:r w:rsidR="00AE5B12" w:rsidRPr="009649E1">
        <w:rPr>
          <w:bCs/>
        </w:rPr>
        <w:t xml:space="preserve">  </w:t>
      </w:r>
      <w:r w:rsidRPr="009649E1">
        <w:rPr>
          <w:bCs/>
        </w:rPr>
        <w:t>se emite la presente</w:t>
      </w:r>
      <w:r w:rsidRPr="009649E1">
        <w:t xml:space="preserve"> Resolución, con base en los Antecedentes y Considerandos que se exponen a continuación:</w:t>
      </w:r>
    </w:p>
    <w:p w14:paraId="1FA40EED" w14:textId="77777777" w:rsidR="00CE58A5" w:rsidRPr="009649E1" w:rsidRDefault="00CE58A5" w:rsidP="00D5210E">
      <w:pPr>
        <w:spacing w:after="0" w:line="360" w:lineRule="auto"/>
      </w:pPr>
    </w:p>
    <w:p w14:paraId="73DD6C24" w14:textId="6D4C9EA9" w:rsidR="00CE58A5" w:rsidRPr="009649E1" w:rsidRDefault="00CE4466" w:rsidP="00D5210E">
      <w:pPr>
        <w:pStyle w:val="Ttulo1"/>
        <w:spacing w:before="0" w:after="0"/>
      </w:pPr>
      <w:bookmarkStart w:id="0" w:name="_Toc179975594"/>
      <w:bookmarkStart w:id="1" w:name="_Toc179976882"/>
      <w:r w:rsidRPr="009649E1">
        <w:t>A N T E C E D E N T E S</w:t>
      </w:r>
      <w:bookmarkEnd w:id="0"/>
      <w:bookmarkEnd w:id="1"/>
    </w:p>
    <w:p w14:paraId="108A9D50" w14:textId="77777777" w:rsidR="00CE58A5" w:rsidRPr="009649E1" w:rsidRDefault="00CE58A5" w:rsidP="00D5210E">
      <w:pPr>
        <w:spacing w:after="0" w:line="360" w:lineRule="auto"/>
      </w:pPr>
    </w:p>
    <w:p w14:paraId="30C1BFAF" w14:textId="34BE2403" w:rsidR="00CE58A5" w:rsidRPr="009649E1" w:rsidRDefault="00CE4466" w:rsidP="00D5210E">
      <w:pPr>
        <w:pStyle w:val="Ttulo2"/>
        <w:spacing w:before="0" w:after="0"/>
      </w:pPr>
      <w:bookmarkStart w:id="2" w:name="_Toc179975595"/>
      <w:bookmarkStart w:id="3" w:name="_Toc179976883"/>
      <w:r w:rsidRPr="009649E1">
        <w:t>I. Presentación</w:t>
      </w:r>
      <w:bookmarkEnd w:id="2"/>
      <w:r w:rsidRPr="009649E1">
        <w:t xml:space="preserve"> </w:t>
      </w:r>
      <w:r w:rsidR="00E57161" w:rsidRPr="009649E1">
        <w:t>de la solicitud</w:t>
      </w:r>
      <w:bookmarkEnd w:id="3"/>
    </w:p>
    <w:p w14:paraId="13E36A34" w14:textId="77777777" w:rsidR="00CE58A5" w:rsidRPr="009649E1" w:rsidRDefault="00CE58A5" w:rsidP="00D5210E">
      <w:pPr>
        <w:tabs>
          <w:tab w:val="left" w:pos="567"/>
        </w:tabs>
        <w:spacing w:after="0" w:line="360" w:lineRule="auto"/>
      </w:pPr>
    </w:p>
    <w:p w14:paraId="166E0743" w14:textId="0334ACE9" w:rsidR="00CE58A5" w:rsidRPr="009649E1" w:rsidRDefault="00CE4466" w:rsidP="00D5210E">
      <w:pPr>
        <w:spacing w:after="0" w:line="360" w:lineRule="auto"/>
      </w:pPr>
      <w:r w:rsidRPr="009649E1">
        <w:t xml:space="preserve">Con fecha </w:t>
      </w:r>
      <w:r w:rsidR="00246EC6" w:rsidRPr="009649E1">
        <w:t xml:space="preserve">tres y </w:t>
      </w:r>
      <w:r w:rsidR="00AE5B12" w:rsidRPr="009649E1">
        <w:t>cuatro de junio</w:t>
      </w:r>
      <w:r w:rsidR="006D4068" w:rsidRPr="009649E1">
        <w:t xml:space="preserve"> de dos mil veinticuatro</w:t>
      </w:r>
      <w:r w:rsidR="00E85E73" w:rsidRPr="009649E1">
        <w:t>, el Particular presentó tres</w:t>
      </w:r>
      <w:r w:rsidRPr="009649E1">
        <w:t xml:space="preserve"> solicitud</w:t>
      </w:r>
      <w:r w:rsidR="00E85E73" w:rsidRPr="009649E1">
        <w:t>es</w:t>
      </w:r>
      <w:r w:rsidRPr="009649E1">
        <w:t xml:space="preserve"> de acceso a la información </w:t>
      </w:r>
      <w:r w:rsidR="00CC0B0D" w:rsidRPr="009649E1">
        <w:t>pública a</w:t>
      </w:r>
      <w:r w:rsidRPr="009649E1">
        <w:t xml:space="preserve"> través del Sistema de Acceso a la Informac</w:t>
      </w:r>
      <w:r w:rsidR="00E85E73" w:rsidRPr="009649E1">
        <w:t xml:space="preserve">ión Mexiquense (SAIMEX), </w:t>
      </w:r>
      <w:r w:rsidR="00CC0B0D" w:rsidRPr="009649E1">
        <w:t>ante la</w:t>
      </w:r>
      <w:r w:rsidR="00E85E73" w:rsidRPr="009649E1">
        <w:t xml:space="preserve"> Secretaría de Finanzas</w:t>
      </w:r>
      <w:r w:rsidRPr="009649E1">
        <w:t xml:space="preserve">, en los siguientes términos: </w:t>
      </w:r>
    </w:p>
    <w:p w14:paraId="16195BED" w14:textId="77777777" w:rsidR="00CE58A5" w:rsidRPr="009649E1" w:rsidRDefault="00CE58A5" w:rsidP="00D5210E">
      <w:pPr>
        <w:spacing w:after="0" w:line="360" w:lineRule="auto"/>
      </w:pPr>
    </w:p>
    <w:tbl>
      <w:tblPr>
        <w:tblStyle w:val="Tablaconcuadrcula"/>
        <w:tblW w:w="0" w:type="auto"/>
        <w:tblLook w:val="04A0" w:firstRow="1" w:lastRow="0" w:firstColumn="1" w:lastColumn="0" w:noHBand="0" w:noVBand="1"/>
      </w:tblPr>
      <w:tblGrid>
        <w:gridCol w:w="1838"/>
        <w:gridCol w:w="7366"/>
      </w:tblGrid>
      <w:tr w:rsidR="00E85E73" w:rsidRPr="009649E1" w14:paraId="5C4765FF" w14:textId="77777777" w:rsidTr="007D5E2E">
        <w:tc>
          <w:tcPr>
            <w:tcW w:w="1838" w:type="dxa"/>
            <w:shd w:val="clear" w:color="auto" w:fill="D9D9D9" w:themeFill="background1" w:themeFillShade="D9"/>
          </w:tcPr>
          <w:p w14:paraId="40A427DE" w14:textId="7A988DCC" w:rsidR="00E85E73" w:rsidRPr="009649E1" w:rsidRDefault="00E85E73" w:rsidP="00D5210E">
            <w:pPr>
              <w:spacing w:line="360" w:lineRule="auto"/>
              <w:jc w:val="center"/>
              <w:rPr>
                <w:b/>
                <w:i/>
                <w:sz w:val="20"/>
                <w:szCs w:val="20"/>
              </w:rPr>
            </w:pPr>
            <w:r w:rsidRPr="009649E1">
              <w:rPr>
                <w:b/>
                <w:i/>
                <w:sz w:val="20"/>
                <w:szCs w:val="20"/>
              </w:rPr>
              <w:t>Solicitud</w:t>
            </w:r>
          </w:p>
        </w:tc>
        <w:tc>
          <w:tcPr>
            <w:tcW w:w="7366" w:type="dxa"/>
            <w:shd w:val="clear" w:color="auto" w:fill="D9D9D9" w:themeFill="background1" w:themeFillShade="D9"/>
          </w:tcPr>
          <w:p w14:paraId="749A3DF2" w14:textId="28C605F5" w:rsidR="00E85E73" w:rsidRPr="009649E1" w:rsidRDefault="00E85E73" w:rsidP="00D5210E">
            <w:pPr>
              <w:spacing w:line="360" w:lineRule="auto"/>
              <w:jc w:val="center"/>
              <w:rPr>
                <w:b/>
                <w:i/>
                <w:sz w:val="20"/>
                <w:szCs w:val="20"/>
              </w:rPr>
            </w:pPr>
            <w:r w:rsidRPr="009649E1">
              <w:rPr>
                <w:b/>
                <w:i/>
                <w:sz w:val="20"/>
                <w:szCs w:val="20"/>
              </w:rPr>
              <w:t>DESCRIPCIÓN CLARA Y PRECISA DE LA INFORMACIÓN SOLICITADA</w:t>
            </w:r>
          </w:p>
        </w:tc>
      </w:tr>
      <w:tr w:rsidR="00E85E73" w:rsidRPr="009649E1" w14:paraId="0F3A09ED" w14:textId="77777777" w:rsidTr="007D5E2E">
        <w:tc>
          <w:tcPr>
            <w:tcW w:w="1838" w:type="dxa"/>
          </w:tcPr>
          <w:p w14:paraId="3A20D5DB" w14:textId="4FDF4A8A" w:rsidR="00E85E73" w:rsidRPr="009649E1" w:rsidRDefault="00E85E73" w:rsidP="00D5210E">
            <w:pPr>
              <w:spacing w:line="360" w:lineRule="auto"/>
              <w:jc w:val="center"/>
              <w:rPr>
                <w:i/>
                <w:sz w:val="20"/>
                <w:szCs w:val="20"/>
              </w:rPr>
            </w:pPr>
            <w:r w:rsidRPr="009649E1">
              <w:rPr>
                <w:sz w:val="20"/>
                <w:szCs w:val="20"/>
              </w:rPr>
              <w:t>00379/SF/IP/2024</w:t>
            </w:r>
          </w:p>
        </w:tc>
        <w:tc>
          <w:tcPr>
            <w:tcW w:w="7366" w:type="dxa"/>
          </w:tcPr>
          <w:p w14:paraId="18B913D1" w14:textId="437C9BD0" w:rsidR="00E85E73" w:rsidRPr="009649E1" w:rsidRDefault="00E85E73" w:rsidP="00D5210E">
            <w:pPr>
              <w:spacing w:line="360" w:lineRule="auto"/>
              <w:rPr>
                <w:i/>
                <w:sz w:val="20"/>
                <w:szCs w:val="20"/>
              </w:rPr>
            </w:pPr>
            <w:r w:rsidRPr="009649E1">
              <w:rPr>
                <w:i/>
                <w:sz w:val="20"/>
                <w:szCs w:val="20"/>
              </w:rPr>
              <w:t>COPIA SIMPLE DE LAS AUDITORÍAS REALIZADAS A LA DIRECCIÓN GENERAL DE TESORERÍA, DIRECCIONES DE ÁREA Y SUBDIRECCIONES. Y COPIA SIMPLE DE LA RESPUESTA QUE SE HA EMITIDO POR PARTE DE LA DIRECCIÓN GENERAL DE TESORERÍA A DICHAS AUDITORIAS. ESTATUS EN QUE SE ENCUENTRAN.</w:t>
            </w:r>
            <w:r w:rsidR="00435AC3" w:rsidRPr="009649E1">
              <w:rPr>
                <w:sz w:val="20"/>
                <w:szCs w:val="20"/>
              </w:rPr>
              <w:t xml:space="preserve"> (Sic)</w:t>
            </w:r>
          </w:p>
        </w:tc>
      </w:tr>
      <w:tr w:rsidR="00E85E73" w:rsidRPr="009649E1" w14:paraId="2357C181" w14:textId="77777777" w:rsidTr="007D5E2E">
        <w:tc>
          <w:tcPr>
            <w:tcW w:w="1838" w:type="dxa"/>
          </w:tcPr>
          <w:p w14:paraId="409B8A23" w14:textId="38123379" w:rsidR="00E85E73" w:rsidRPr="009649E1" w:rsidRDefault="00E85E73" w:rsidP="00D5210E">
            <w:pPr>
              <w:spacing w:line="360" w:lineRule="auto"/>
              <w:jc w:val="center"/>
              <w:rPr>
                <w:i/>
                <w:sz w:val="20"/>
                <w:szCs w:val="20"/>
              </w:rPr>
            </w:pPr>
            <w:r w:rsidRPr="009649E1">
              <w:rPr>
                <w:sz w:val="20"/>
                <w:szCs w:val="20"/>
              </w:rPr>
              <w:t>00364/SF/IP/2024</w:t>
            </w:r>
          </w:p>
        </w:tc>
        <w:tc>
          <w:tcPr>
            <w:tcW w:w="7366" w:type="dxa"/>
          </w:tcPr>
          <w:p w14:paraId="2A0F2DAB" w14:textId="296CFEC6" w:rsidR="00E85E73" w:rsidRPr="009649E1" w:rsidRDefault="00246EC6" w:rsidP="00D5210E">
            <w:pPr>
              <w:spacing w:line="360" w:lineRule="auto"/>
              <w:rPr>
                <w:i/>
                <w:sz w:val="20"/>
                <w:szCs w:val="20"/>
              </w:rPr>
            </w:pPr>
            <w:r w:rsidRPr="009649E1">
              <w:rPr>
                <w:i/>
                <w:sz w:val="20"/>
                <w:szCs w:val="20"/>
              </w:rPr>
              <w:t xml:space="preserve">Copia simple de </w:t>
            </w:r>
            <w:r w:rsidR="003E18E2" w:rsidRPr="009649E1">
              <w:rPr>
                <w:i/>
                <w:sz w:val="20"/>
                <w:szCs w:val="20"/>
              </w:rPr>
              <w:t>las respuestas</w:t>
            </w:r>
            <w:r w:rsidRPr="009649E1">
              <w:rPr>
                <w:i/>
                <w:sz w:val="20"/>
                <w:szCs w:val="20"/>
              </w:rPr>
              <w:t xml:space="preserve"> a las auditorías realizadas en los meses de enero, febrero, marzo, abril y mayo 2024, a la subsecretaría de Tesorería y sus unidades administrativas </w:t>
            </w:r>
            <w:r w:rsidRPr="009649E1">
              <w:rPr>
                <w:i/>
                <w:sz w:val="20"/>
                <w:szCs w:val="20"/>
              </w:rPr>
              <w:lastRenderedPageBreak/>
              <w:t>que forman parte de la misma. Oficios, respuestas, actas y/o similares que correspondan a la auditoría.</w:t>
            </w:r>
            <w:r w:rsidR="00435AC3" w:rsidRPr="009649E1">
              <w:rPr>
                <w:sz w:val="20"/>
                <w:szCs w:val="20"/>
              </w:rPr>
              <w:t xml:space="preserve"> (Sic)</w:t>
            </w:r>
          </w:p>
        </w:tc>
      </w:tr>
      <w:tr w:rsidR="00E85E73" w:rsidRPr="009649E1" w14:paraId="0C018B2A" w14:textId="77777777" w:rsidTr="007D5E2E">
        <w:tc>
          <w:tcPr>
            <w:tcW w:w="1838" w:type="dxa"/>
          </w:tcPr>
          <w:p w14:paraId="78A7372B" w14:textId="2D4D75C3" w:rsidR="00E85E73" w:rsidRPr="009649E1" w:rsidRDefault="00E85E73" w:rsidP="00D5210E">
            <w:pPr>
              <w:spacing w:line="360" w:lineRule="auto"/>
              <w:jc w:val="center"/>
              <w:rPr>
                <w:i/>
                <w:sz w:val="20"/>
                <w:szCs w:val="20"/>
              </w:rPr>
            </w:pPr>
            <w:r w:rsidRPr="009649E1">
              <w:rPr>
                <w:sz w:val="20"/>
                <w:szCs w:val="20"/>
              </w:rPr>
              <w:lastRenderedPageBreak/>
              <w:t>00363/SF/IP/2024</w:t>
            </w:r>
          </w:p>
        </w:tc>
        <w:tc>
          <w:tcPr>
            <w:tcW w:w="7366" w:type="dxa"/>
          </w:tcPr>
          <w:p w14:paraId="41FC6D7F" w14:textId="1D70B248" w:rsidR="00E85E73" w:rsidRPr="009649E1" w:rsidRDefault="00246EC6" w:rsidP="00D5210E">
            <w:pPr>
              <w:spacing w:line="360" w:lineRule="auto"/>
              <w:rPr>
                <w:i/>
                <w:sz w:val="20"/>
                <w:szCs w:val="20"/>
              </w:rPr>
            </w:pPr>
            <w:r w:rsidRPr="009649E1">
              <w:rPr>
                <w:i/>
                <w:sz w:val="20"/>
                <w:szCs w:val="20"/>
              </w:rPr>
              <w:t xml:space="preserve">Copia simple de </w:t>
            </w:r>
            <w:r w:rsidR="003E18E2" w:rsidRPr="009649E1">
              <w:rPr>
                <w:i/>
                <w:sz w:val="20"/>
                <w:szCs w:val="20"/>
              </w:rPr>
              <w:t>las respuestas</w:t>
            </w:r>
            <w:r w:rsidRPr="009649E1">
              <w:rPr>
                <w:i/>
                <w:sz w:val="20"/>
                <w:szCs w:val="20"/>
              </w:rPr>
              <w:t xml:space="preserve"> a las auditorías realizadas en los meses de octubre, noviembre y diciembre 2023, a la subsecretaría de Tesorería y sus unidades administrativas que forman parte de la misma. Oficios, respuestas, actas y/o similares que correspondan a la auditoría</w:t>
            </w:r>
            <w:r w:rsidRPr="009649E1">
              <w:rPr>
                <w:sz w:val="20"/>
                <w:szCs w:val="20"/>
              </w:rPr>
              <w:t>.</w:t>
            </w:r>
            <w:r w:rsidR="00435AC3" w:rsidRPr="009649E1">
              <w:rPr>
                <w:sz w:val="20"/>
                <w:szCs w:val="20"/>
              </w:rPr>
              <w:t xml:space="preserve"> </w:t>
            </w:r>
            <w:r w:rsidRPr="009649E1">
              <w:rPr>
                <w:sz w:val="20"/>
                <w:szCs w:val="20"/>
              </w:rPr>
              <w:t>(Sic)</w:t>
            </w:r>
          </w:p>
        </w:tc>
      </w:tr>
    </w:tbl>
    <w:p w14:paraId="59B55C0B" w14:textId="77777777" w:rsidR="00CE58A5" w:rsidRPr="009649E1" w:rsidRDefault="00CE58A5" w:rsidP="00D5210E">
      <w:pPr>
        <w:spacing w:after="0" w:line="360" w:lineRule="auto"/>
        <w:rPr>
          <w:b/>
        </w:rPr>
      </w:pPr>
    </w:p>
    <w:p w14:paraId="4A9879AB" w14:textId="25FDBF41" w:rsidR="00ED3A5C" w:rsidRPr="009649E1" w:rsidRDefault="00ED3A5C" w:rsidP="00D5210E">
      <w:pPr>
        <w:spacing w:after="0" w:line="360" w:lineRule="auto"/>
      </w:pPr>
      <w:r w:rsidRPr="009649E1">
        <w:t>En las tres solicitudes de información se definió como modalidad de entrega a través del SAIMEX.</w:t>
      </w:r>
    </w:p>
    <w:p w14:paraId="645C306D" w14:textId="77777777" w:rsidR="00CC0B0D" w:rsidRPr="009649E1" w:rsidRDefault="00CC0B0D" w:rsidP="00D5210E">
      <w:pPr>
        <w:spacing w:after="0" w:line="360" w:lineRule="auto"/>
      </w:pPr>
    </w:p>
    <w:p w14:paraId="1D98E4F2" w14:textId="1E725B39" w:rsidR="00CE58A5" w:rsidRPr="009649E1" w:rsidRDefault="001A54EF" w:rsidP="00D5210E">
      <w:pPr>
        <w:pStyle w:val="Ttulo2"/>
        <w:spacing w:before="0" w:after="0"/>
      </w:pPr>
      <w:bookmarkStart w:id="4" w:name="_Toc179975597"/>
      <w:bookmarkStart w:id="5" w:name="_Toc179976885"/>
      <w:r w:rsidRPr="009649E1">
        <w:t>II. Respuesta del Sujeto Obligado</w:t>
      </w:r>
      <w:bookmarkEnd w:id="4"/>
      <w:bookmarkEnd w:id="5"/>
    </w:p>
    <w:p w14:paraId="0D93CE51" w14:textId="77777777" w:rsidR="00CE58A5" w:rsidRPr="009649E1" w:rsidRDefault="00CE58A5" w:rsidP="00D5210E">
      <w:pPr>
        <w:spacing w:after="0" w:line="360" w:lineRule="auto"/>
        <w:rPr>
          <w:b/>
        </w:rPr>
      </w:pPr>
    </w:p>
    <w:p w14:paraId="5B9ED92B" w14:textId="0570E348" w:rsidR="00435AC3" w:rsidRPr="009649E1" w:rsidRDefault="00CE4466" w:rsidP="00D5210E">
      <w:pPr>
        <w:spacing w:after="0" w:line="360" w:lineRule="auto"/>
      </w:pPr>
      <w:r w:rsidRPr="009649E1">
        <w:t xml:space="preserve">Con fecha </w:t>
      </w:r>
      <w:r w:rsidR="00435AC3" w:rsidRPr="009649E1">
        <w:t>catorce de junio</w:t>
      </w:r>
      <w:r w:rsidR="00BD76D4" w:rsidRPr="009649E1">
        <w:t xml:space="preserve"> de dos mil veinticuatro</w:t>
      </w:r>
      <w:r w:rsidRPr="009649E1">
        <w:t>, el Sujeto Obligado notificó, a través del Sistema de Acceso a la Información Mexiquense (SAIMEX), la respuesta a la</w:t>
      </w:r>
      <w:r w:rsidR="00435AC3" w:rsidRPr="009649E1">
        <w:t>s</w:t>
      </w:r>
      <w:r w:rsidRPr="009649E1">
        <w:t xml:space="preserve"> solicitud</w:t>
      </w:r>
      <w:r w:rsidR="00435AC3" w:rsidRPr="009649E1">
        <w:t>es</w:t>
      </w:r>
      <w:r w:rsidRPr="009649E1">
        <w:t xml:space="preserve"> de acceso a la in</w:t>
      </w:r>
      <w:r w:rsidR="00435AC3" w:rsidRPr="009649E1">
        <w:t xml:space="preserve">formación pública, a través de lo siguiente: </w:t>
      </w:r>
    </w:p>
    <w:p w14:paraId="6D130ACF" w14:textId="77777777" w:rsidR="00435AC3" w:rsidRPr="009649E1" w:rsidRDefault="00435AC3" w:rsidP="00D5210E">
      <w:pPr>
        <w:spacing w:after="0" w:line="360" w:lineRule="auto"/>
      </w:pPr>
    </w:p>
    <w:tbl>
      <w:tblPr>
        <w:tblStyle w:val="Tablaconcuadrcula"/>
        <w:tblW w:w="0" w:type="auto"/>
        <w:tblLook w:val="04A0" w:firstRow="1" w:lastRow="0" w:firstColumn="1" w:lastColumn="0" w:noHBand="0" w:noVBand="1"/>
      </w:tblPr>
      <w:tblGrid>
        <w:gridCol w:w="2122"/>
        <w:gridCol w:w="7082"/>
      </w:tblGrid>
      <w:tr w:rsidR="00ED3A5C" w:rsidRPr="009649E1" w14:paraId="37FE4738" w14:textId="77777777" w:rsidTr="007D5E2E">
        <w:tc>
          <w:tcPr>
            <w:tcW w:w="2122" w:type="dxa"/>
            <w:shd w:val="clear" w:color="auto" w:fill="D9D9D9" w:themeFill="background1" w:themeFillShade="D9"/>
          </w:tcPr>
          <w:p w14:paraId="6847EB03" w14:textId="1CDA13FE" w:rsidR="00ED3A5C" w:rsidRPr="009649E1" w:rsidRDefault="00ED3A5C" w:rsidP="00D5210E">
            <w:pPr>
              <w:spacing w:line="360" w:lineRule="auto"/>
              <w:jc w:val="center"/>
              <w:rPr>
                <w:iCs/>
              </w:rPr>
            </w:pPr>
            <w:r w:rsidRPr="009649E1">
              <w:rPr>
                <w:b/>
                <w:iCs/>
              </w:rPr>
              <w:t>Solicitud</w:t>
            </w:r>
          </w:p>
        </w:tc>
        <w:tc>
          <w:tcPr>
            <w:tcW w:w="7082" w:type="dxa"/>
          </w:tcPr>
          <w:p w14:paraId="2A0FB778" w14:textId="28565CE0" w:rsidR="00ED3A5C" w:rsidRPr="009649E1" w:rsidRDefault="00ED3A5C" w:rsidP="00D5210E">
            <w:pPr>
              <w:spacing w:line="360" w:lineRule="auto"/>
              <w:jc w:val="center"/>
            </w:pPr>
            <w:r w:rsidRPr="009649E1">
              <w:t>Respuesta</w:t>
            </w:r>
          </w:p>
        </w:tc>
      </w:tr>
      <w:tr w:rsidR="00ED3A5C" w:rsidRPr="009649E1" w14:paraId="06CDFCD5" w14:textId="77777777" w:rsidTr="007D5E2E">
        <w:tc>
          <w:tcPr>
            <w:tcW w:w="2122" w:type="dxa"/>
          </w:tcPr>
          <w:p w14:paraId="30FEF3E8" w14:textId="753DA7E6" w:rsidR="00ED3A5C" w:rsidRPr="009649E1" w:rsidRDefault="00ED3A5C" w:rsidP="00D5210E">
            <w:pPr>
              <w:spacing w:line="360" w:lineRule="auto"/>
              <w:jc w:val="center"/>
            </w:pPr>
            <w:r w:rsidRPr="009649E1">
              <w:t>00379/SF/IP/2024</w:t>
            </w:r>
          </w:p>
        </w:tc>
        <w:tc>
          <w:tcPr>
            <w:tcW w:w="7082" w:type="dxa"/>
          </w:tcPr>
          <w:p w14:paraId="3FDFC67A" w14:textId="70483054" w:rsidR="00ED3A5C" w:rsidRPr="009649E1" w:rsidRDefault="00884CF5" w:rsidP="00D5210E">
            <w:pPr>
              <w:spacing w:line="360" w:lineRule="auto"/>
            </w:pPr>
            <w:r w:rsidRPr="009649E1">
              <w:rPr>
                <w:sz w:val="20"/>
              </w:rPr>
              <w:t xml:space="preserve">El Director </w:t>
            </w:r>
            <w:r w:rsidR="00CB4598" w:rsidRPr="009649E1">
              <w:rPr>
                <w:sz w:val="20"/>
              </w:rPr>
              <w:t>General</w:t>
            </w:r>
            <w:r w:rsidRPr="009649E1">
              <w:rPr>
                <w:sz w:val="20"/>
              </w:rPr>
              <w:t xml:space="preserve"> de Tesorería </w:t>
            </w:r>
            <w:r w:rsidR="007D5E2E" w:rsidRPr="009649E1">
              <w:rPr>
                <w:sz w:val="20"/>
              </w:rPr>
              <w:t xml:space="preserve">se </w:t>
            </w:r>
            <w:r w:rsidR="005F3021" w:rsidRPr="009649E1">
              <w:rPr>
                <w:sz w:val="20"/>
              </w:rPr>
              <w:t xml:space="preserve">declaró </w:t>
            </w:r>
            <w:r w:rsidRPr="009649E1">
              <w:rPr>
                <w:sz w:val="20"/>
              </w:rPr>
              <w:t>la incompetencia</w:t>
            </w:r>
            <w:r w:rsidR="00CB4598" w:rsidRPr="009649E1">
              <w:rPr>
                <w:sz w:val="20"/>
              </w:rPr>
              <w:t xml:space="preserve"> señalando</w:t>
            </w:r>
            <w:r w:rsidR="005F3021" w:rsidRPr="009649E1">
              <w:rPr>
                <w:sz w:val="20"/>
              </w:rPr>
              <w:t xml:space="preserve"> que el Sujeto Obligado con atribuciones para conocer lo relativo a las auditorías era la Secretaría de la Contraloría, </w:t>
            </w:r>
            <w:r w:rsidR="00B4595A" w:rsidRPr="009649E1">
              <w:rPr>
                <w:sz w:val="20"/>
              </w:rPr>
              <w:t>por lo que la documentación soporte solicitado se encuentra en poder del Órgano Fiscalizador que llevó a cabo la auditoria. Por lo que hace a las auditorías en proceso solicitó sean clasificadas</w:t>
            </w:r>
          </w:p>
        </w:tc>
      </w:tr>
      <w:tr w:rsidR="00ED3A5C" w:rsidRPr="009649E1" w14:paraId="5FB5C016" w14:textId="77777777" w:rsidTr="007D5E2E">
        <w:tc>
          <w:tcPr>
            <w:tcW w:w="2122" w:type="dxa"/>
          </w:tcPr>
          <w:p w14:paraId="276927EF" w14:textId="595F1E56" w:rsidR="00ED3A5C" w:rsidRPr="009649E1" w:rsidRDefault="00ED3A5C" w:rsidP="00D5210E">
            <w:pPr>
              <w:spacing w:line="360" w:lineRule="auto"/>
              <w:jc w:val="center"/>
            </w:pPr>
            <w:r w:rsidRPr="009649E1">
              <w:t>00364/SF/IP/2024</w:t>
            </w:r>
          </w:p>
        </w:tc>
        <w:tc>
          <w:tcPr>
            <w:tcW w:w="7082" w:type="dxa"/>
          </w:tcPr>
          <w:p w14:paraId="082DCA47" w14:textId="60D7F119" w:rsidR="00ED3A5C" w:rsidRPr="009649E1" w:rsidRDefault="00EF173A" w:rsidP="00D5210E">
            <w:pPr>
              <w:spacing w:line="360" w:lineRule="auto"/>
              <w:rPr>
                <w:sz w:val="20"/>
                <w:szCs w:val="20"/>
              </w:rPr>
            </w:pPr>
            <w:r w:rsidRPr="009649E1">
              <w:rPr>
                <w:sz w:val="20"/>
                <w:szCs w:val="20"/>
              </w:rPr>
              <w:t>El Jefe de la Unidad de Apoyo Técnico Financiero refirió la incompetencia señalando que el Sujeto Obligado con atribuciones para conocer lo relativo a las auditorías era la Secretaría de la Contraloría</w:t>
            </w:r>
          </w:p>
        </w:tc>
      </w:tr>
      <w:tr w:rsidR="00ED3A5C" w:rsidRPr="009649E1" w14:paraId="49774466" w14:textId="77777777" w:rsidTr="007D5E2E">
        <w:tc>
          <w:tcPr>
            <w:tcW w:w="2122" w:type="dxa"/>
          </w:tcPr>
          <w:p w14:paraId="5A96F1F8" w14:textId="311BA5C8" w:rsidR="00ED3A5C" w:rsidRPr="009649E1" w:rsidRDefault="00ED3A5C" w:rsidP="00D5210E">
            <w:pPr>
              <w:spacing w:line="360" w:lineRule="auto"/>
              <w:jc w:val="center"/>
            </w:pPr>
            <w:r w:rsidRPr="009649E1">
              <w:t>00363/SF/IP/2024</w:t>
            </w:r>
          </w:p>
        </w:tc>
        <w:tc>
          <w:tcPr>
            <w:tcW w:w="7082" w:type="dxa"/>
          </w:tcPr>
          <w:p w14:paraId="6BCD9919" w14:textId="01742E03" w:rsidR="00ED3A5C" w:rsidRPr="009649E1" w:rsidRDefault="00FA6A44" w:rsidP="00D5210E">
            <w:pPr>
              <w:spacing w:line="360" w:lineRule="auto"/>
              <w:rPr>
                <w:sz w:val="20"/>
                <w:szCs w:val="20"/>
              </w:rPr>
            </w:pPr>
            <w:r w:rsidRPr="009649E1">
              <w:rPr>
                <w:sz w:val="20"/>
                <w:szCs w:val="20"/>
              </w:rPr>
              <w:t xml:space="preserve">El Director General de </w:t>
            </w:r>
            <w:r w:rsidR="007D5E2E" w:rsidRPr="009649E1">
              <w:rPr>
                <w:sz w:val="20"/>
                <w:szCs w:val="20"/>
              </w:rPr>
              <w:t>Tesorería declaró</w:t>
            </w:r>
            <w:r w:rsidRPr="009649E1">
              <w:rPr>
                <w:sz w:val="20"/>
                <w:szCs w:val="20"/>
              </w:rPr>
              <w:t xml:space="preserve"> la incompetencia señalando que el Sujeto Obligado con atribuciones para conocer lo relativo a las auditorías era </w:t>
            </w:r>
            <w:r w:rsidRPr="009649E1">
              <w:rPr>
                <w:sz w:val="20"/>
                <w:szCs w:val="20"/>
              </w:rPr>
              <w:lastRenderedPageBreak/>
              <w:t>la Secretaría de la Contraloría, por lo que la documentación</w:t>
            </w:r>
            <w:r w:rsidR="00D72843" w:rsidRPr="009649E1">
              <w:rPr>
                <w:sz w:val="20"/>
                <w:szCs w:val="20"/>
              </w:rPr>
              <w:t xml:space="preserve"> soporte solicitado se encontraba</w:t>
            </w:r>
            <w:r w:rsidRPr="009649E1">
              <w:rPr>
                <w:sz w:val="20"/>
                <w:szCs w:val="20"/>
              </w:rPr>
              <w:t xml:space="preserve"> en poder del Órgano Fiscalizador que llevó a cabo la auditoria.</w:t>
            </w:r>
          </w:p>
        </w:tc>
      </w:tr>
    </w:tbl>
    <w:p w14:paraId="0E92A54F" w14:textId="77777777" w:rsidR="00435AC3" w:rsidRPr="009649E1" w:rsidRDefault="00435AC3" w:rsidP="00D5210E">
      <w:pPr>
        <w:spacing w:after="0" w:line="360" w:lineRule="auto"/>
      </w:pPr>
    </w:p>
    <w:p w14:paraId="2FA06B09" w14:textId="66EBE1D7" w:rsidR="00CE58A5" w:rsidRPr="009649E1" w:rsidRDefault="00CE4466" w:rsidP="00D5210E">
      <w:pPr>
        <w:pStyle w:val="Ttulo2"/>
        <w:spacing w:before="0" w:after="0"/>
      </w:pPr>
      <w:bookmarkStart w:id="6" w:name="_Toc179975598"/>
      <w:bookmarkStart w:id="7" w:name="_Toc179976886"/>
      <w:r w:rsidRPr="009649E1">
        <w:t>I</w:t>
      </w:r>
      <w:r w:rsidR="00A50615" w:rsidRPr="009649E1">
        <w:t>V</w:t>
      </w:r>
      <w:r w:rsidRPr="009649E1">
        <w:t>. Interposición del Recurso de Revisión</w:t>
      </w:r>
      <w:bookmarkEnd w:id="6"/>
      <w:bookmarkEnd w:id="7"/>
    </w:p>
    <w:p w14:paraId="3837109C" w14:textId="77777777" w:rsidR="00CE58A5" w:rsidRPr="009649E1" w:rsidRDefault="00CE58A5" w:rsidP="00D5210E">
      <w:pPr>
        <w:spacing w:after="0" w:line="360" w:lineRule="auto"/>
        <w:rPr>
          <w:b/>
        </w:rPr>
      </w:pPr>
    </w:p>
    <w:p w14:paraId="3385106E" w14:textId="20225D65" w:rsidR="00CE58A5" w:rsidRPr="009649E1" w:rsidRDefault="00CE4466" w:rsidP="00D5210E">
      <w:pPr>
        <w:spacing w:after="0" w:line="360" w:lineRule="auto"/>
      </w:pPr>
      <w:r w:rsidRPr="009649E1">
        <w:t>Con fecha</w:t>
      </w:r>
      <w:r w:rsidR="00DD7C00" w:rsidRPr="009649E1">
        <w:t xml:space="preserve"> </w:t>
      </w:r>
      <w:r w:rsidR="00FA6A44" w:rsidRPr="009649E1">
        <w:t>dieciocho de junio</w:t>
      </w:r>
      <w:r w:rsidR="00DD7C00" w:rsidRPr="009649E1">
        <w:t xml:space="preserve"> de dos mil veinticuatro</w:t>
      </w:r>
      <w:r w:rsidRPr="009649E1">
        <w:t>, se recibi</w:t>
      </w:r>
      <w:r w:rsidR="004F007D" w:rsidRPr="009649E1">
        <w:t>eron</w:t>
      </w:r>
      <w:r w:rsidRPr="009649E1">
        <w:t xml:space="preserve"> en este Instituto, a través del Sistema de Acceso a la Información Mexiquense (SAIMEX), </w:t>
      </w:r>
      <w:r w:rsidR="00862975" w:rsidRPr="009649E1">
        <w:t xml:space="preserve">tres </w:t>
      </w:r>
      <w:r w:rsidRPr="009649E1">
        <w:t>Recurso</w:t>
      </w:r>
      <w:r w:rsidR="00862975" w:rsidRPr="009649E1">
        <w:t>s</w:t>
      </w:r>
      <w:r w:rsidRPr="009649E1">
        <w:t xml:space="preserve"> de Revisión interpuesto</w:t>
      </w:r>
      <w:r w:rsidR="00862975" w:rsidRPr="009649E1">
        <w:t>s</w:t>
      </w:r>
      <w:r w:rsidRPr="009649E1">
        <w:t xml:space="preserve"> por la parte Recurrente, en contra de la</w:t>
      </w:r>
      <w:r w:rsidR="00862975" w:rsidRPr="009649E1">
        <w:t>s</w:t>
      </w:r>
      <w:r w:rsidRPr="009649E1">
        <w:t xml:space="preserve"> respuesta</w:t>
      </w:r>
      <w:r w:rsidR="00862975" w:rsidRPr="009649E1">
        <w:t>s</w:t>
      </w:r>
      <w:r w:rsidRPr="009649E1">
        <w:t xml:space="preserve"> </w:t>
      </w:r>
      <w:r w:rsidR="00456B1F" w:rsidRPr="009649E1">
        <w:t>d</w:t>
      </w:r>
      <w:r w:rsidRPr="009649E1">
        <w:t>el Sujeto Obligado, a la solicitud de información, en los siguientes términos:</w:t>
      </w:r>
    </w:p>
    <w:p w14:paraId="6BF787B3" w14:textId="77777777" w:rsidR="004F007D" w:rsidRPr="009649E1" w:rsidRDefault="004F007D" w:rsidP="00D5210E">
      <w:pPr>
        <w:spacing w:after="0" w:line="360" w:lineRule="auto"/>
      </w:pPr>
    </w:p>
    <w:tbl>
      <w:tblPr>
        <w:tblStyle w:val="Tablaconcuadrcula"/>
        <w:tblpPr w:leftFromText="141" w:rightFromText="141" w:vertAnchor="text" w:tblpY="1"/>
        <w:tblOverlap w:val="never"/>
        <w:tblW w:w="0" w:type="auto"/>
        <w:tblLook w:val="04A0" w:firstRow="1" w:lastRow="0" w:firstColumn="1" w:lastColumn="0" w:noHBand="0" w:noVBand="1"/>
      </w:tblPr>
      <w:tblGrid>
        <w:gridCol w:w="3068"/>
        <w:gridCol w:w="3068"/>
        <w:gridCol w:w="3068"/>
      </w:tblGrid>
      <w:tr w:rsidR="00862975" w:rsidRPr="009649E1" w14:paraId="33C8D258" w14:textId="77777777" w:rsidTr="004F007D">
        <w:tc>
          <w:tcPr>
            <w:tcW w:w="3068" w:type="dxa"/>
            <w:shd w:val="clear" w:color="auto" w:fill="D9D9D9" w:themeFill="background1" w:themeFillShade="D9"/>
          </w:tcPr>
          <w:p w14:paraId="2E94A53C" w14:textId="2176100A" w:rsidR="00862975" w:rsidRPr="009649E1" w:rsidRDefault="004F007D" w:rsidP="00D5210E">
            <w:pPr>
              <w:spacing w:line="360" w:lineRule="auto"/>
              <w:rPr>
                <w:sz w:val="20"/>
                <w:szCs w:val="20"/>
              </w:rPr>
            </w:pPr>
            <w:r w:rsidRPr="009649E1">
              <w:rPr>
                <w:sz w:val="20"/>
                <w:szCs w:val="20"/>
              </w:rPr>
              <w:t>SOLICITUD</w:t>
            </w:r>
          </w:p>
        </w:tc>
        <w:tc>
          <w:tcPr>
            <w:tcW w:w="3068" w:type="dxa"/>
            <w:shd w:val="clear" w:color="auto" w:fill="D9D9D9" w:themeFill="background1" w:themeFillShade="D9"/>
          </w:tcPr>
          <w:p w14:paraId="1793AE44" w14:textId="16078A25" w:rsidR="00862975" w:rsidRPr="009649E1" w:rsidRDefault="00862975" w:rsidP="00D5210E">
            <w:pPr>
              <w:spacing w:line="360" w:lineRule="auto"/>
              <w:rPr>
                <w:sz w:val="20"/>
                <w:szCs w:val="20"/>
              </w:rPr>
            </w:pPr>
            <w:r w:rsidRPr="009649E1">
              <w:rPr>
                <w:sz w:val="20"/>
                <w:szCs w:val="20"/>
              </w:rPr>
              <w:t>“ACTO IMPUGNADO”</w:t>
            </w:r>
          </w:p>
        </w:tc>
        <w:tc>
          <w:tcPr>
            <w:tcW w:w="3068" w:type="dxa"/>
            <w:shd w:val="clear" w:color="auto" w:fill="D9D9D9" w:themeFill="background1" w:themeFillShade="D9"/>
          </w:tcPr>
          <w:p w14:paraId="1791146A" w14:textId="2B2CB02A" w:rsidR="00862975" w:rsidRPr="009649E1" w:rsidRDefault="00862975" w:rsidP="00D5210E">
            <w:pPr>
              <w:spacing w:line="360" w:lineRule="auto"/>
              <w:rPr>
                <w:sz w:val="20"/>
                <w:szCs w:val="20"/>
              </w:rPr>
            </w:pPr>
            <w:r w:rsidRPr="009649E1">
              <w:rPr>
                <w:sz w:val="20"/>
                <w:szCs w:val="20"/>
              </w:rPr>
              <w:t>“RAZONES O MOTIVOS DE LA INCONFORMIDAD”</w:t>
            </w:r>
          </w:p>
        </w:tc>
      </w:tr>
      <w:tr w:rsidR="00862975" w:rsidRPr="009649E1" w14:paraId="706CD9CB" w14:textId="77777777" w:rsidTr="002B777E">
        <w:tc>
          <w:tcPr>
            <w:tcW w:w="3068" w:type="dxa"/>
          </w:tcPr>
          <w:p w14:paraId="3A3A3769" w14:textId="31BA3C63" w:rsidR="00862975" w:rsidRPr="009649E1" w:rsidRDefault="00465282" w:rsidP="00D5210E">
            <w:pPr>
              <w:spacing w:line="360" w:lineRule="auto"/>
              <w:rPr>
                <w:sz w:val="20"/>
                <w:szCs w:val="20"/>
              </w:rPr>
            </w:pPr>
            <w:r w:rsidRPr="009649E1">
              <w:rPr>
                <w:sz w:val="20"/>
                <w:szCs w:val="20"/>
              </w:rPr>
              <w:t>00379/SF/IP/2024</w:t>
            </w:r>
          </w:p>
        </w:tc>
        <w:tc>
          <w:tcPr>
            <w:tcW w:w="3068" w:type="dxa"/>
          </w:tcPr>
          <w:p w14:paraId="666C8EE2" w14:textId="47E629C2" w:rsidR="00862975" w:rsidRPr="009649E1" w:rsidRDefault="00465282" w:rsidP="00D5210E">
            <w:pPr>
              <w:spacing w:line="360" w:lineRule="auto"/>
              <w:rPr>
                <w:i/>
                <w:sz w:val="20"/>
                <w:szCs w:val="20"/>
              </w:rPr>
            </w:pPr>
            <w:r w:rsidRPr="009649E1">
              <w:rPr>
                <w:i/>
                <w:sz w:val="20"/>
                <w:szCs w:val="20"/>
              </w:rPr>
              <w:t xml:space="preserve">“QUE RESPUESTA TAN ABSURDA Y CON FALTA DE CONOCIMIENTO POR PARTE DEL SUJETO OBLIGADO. Las auditorías realizadas deberán formar parte de los archivos del Sujeto Obligado, dado que no sólo se proporcionará la información que se genera, también la información que se conoce en ámbito de sus funciones y atribuciones. Así mismo no clasifican con carácter de reservado las auditorías en proceso ni orientan cuál es el supuesto sujeto obligado que contiene la información. Por ello pido me </w:t>
            </w:r>
            <w:r w:rsidRPr="009649E1">
              <w:rPr>
                <w:i/>
                <w:sz w:val="20"/>
                <w:szCs w:val="20"/>
              </w:rPr>
              <w:lastRenderedPageBreak/>
              <w:t>entreguen copia de las auditorías realizadas”</w:t>
            </w:r>
            <w:r w:rsidR="007C2AF5" w:rsidRPr="009649E1">
              <w:rPr>
                <w:i/>
                <w:sz w:val="20"/>
                <w:szCs w:val="20"/>
              </w:rPr>
              <w:t xml:space="preserve"> </w:t>
            </w:r>
            <w:r w:rsidR="007C2AF5" w:rsidRPr="009649E1">
              <w:rPr>
                <w:sz w:val="20"/>
                <w:szCs w:val="20"/>
              </w:rPr>
              <w:t>(Sic)</w:t>
            </w:r>
          </w:p>
        </w:tc>
        <w:tc>
          <w:tcPr>
            <w:tcW w:w="3068" w:type="dxa"/>
          </w:tcPr>
          <w:p w14:paraId="6DB268D6" w14:textId="02E9FC54" w:rsidR="00862975" w:rsidRPr="009649E1" w:rsidRDefault="00465282" w:rsidP="00D5210E">
            <w:pPr>
              <w:spacing w:line="360" w:lineRule="auto"/>
              <w:rPr>
                <w:i/>
                <w:sz w:val="20"/>
                <w:szCs w:val="20"/>
              </w:rPr>
            </w:pPr>
            <w:r w:rsidRPr="009649E1">
              <w:rPr>
                <w:i/>
                <w:sz w:val="20"/>
                <w:szCs w:val="20"/>
              </w:rPr>
              <w:lastRenderedPageBreak/>
              <w:t>“No proporcionan la información solicitada”</w:t>
            </w:r>
          </w:p>
        </w:tc>
      </w:tr>
      <w:tr w:rsidR="00862975" w:rsidRPr="009649E1" w14:paraId="0073A6A1" w14:textId="77777777" w:rsidTr="002B777E">
        <w:tc>
          <w:tcPr>
            <w:tcW w:w="3068" w:type="dxa"/>
          </w:tcPr>
          <w:p w14:paraId="1AEC2AEC" w14:textId="57EFDEEE" w:rsidR="00862975" w:rsidRPr="009649E1" w:rsidRDefault="007C2AF5" w:rsidP="00D5210E">
            <w:pPr>
              <w:spacing w:line="360" w:lineRule="auto"/>
              <w:rPr>
                <w:sz w:val="20"/>
                <w:szCs w:val="20"/>
              </w:rPr>
            </w:pPr>
            <w:r w:rsidRPr="009649E1">
              <w:rPr>
                <w:sz w:val="20"/>
                <w:szCs w:val="20"/>
              </w:rPr>
              <w:t>00363/SF/IP/2024</w:t>
            </w:r>
          </w:p>
        </w:tc>
        <w:tc>
          <w:tcPr>
            <w:tcW w:w="3068" w:type="dxa"/>
          </w:tcPr>
          <w:p w14:paraId="7137620B" w14:textId="3C3BF48D" w:rsidR="00862975" w:rsidRPr="009649E1" w:rsidRDefault="00465282" w:rsidP="00D5210E">
            <w:pPr>
              <w:spacing w:line="360" w:lineRule="auto"/>
              <w:rPr>
                <w:i/>
                <w:sz w:val="20"/>
                <w:szCs w:val="20"/>
              </w:rPr>
            </w:pPr>
            <w:r w:rsidRPr="009649E1">
              <w:rPr>
                <w:i/>
                <w:sz w:val="20"/>
                <w:szCs w:val="20"/>
              </w:rPr>
              <w:t>“</w:t>
            </w:r>
            <w:r w:rsidR="00862975" w:rsidRPr="009649E1">
              <w:rPr>
                <w:i/>
                <w:sz w:val="20"/>
                <w:szCs w:val="20"/>
              </w:rPr>
              <w:t>RESPUESTA</w:t>
            </w:r>
            <w:r w:rsidRPr="009649E1">
              <w:rPr>
                <w:i/>
                <w:sz w:val="20"/>
                <w:szCs w:val="20"/>
              </w:rPr>
              <w:t>”</w:t>
            </w:r>
          </w:p>
        </w:tc>
        <w:tc>
          <w:tcPr>
            <w:tcW w:w="3068" w:type="dxa"/>
          </w:tcPr>
          <w:p w14:paraId="74B936AE" w14:textId="27B16BC7" w:rsidR="00862975" w:rsidRPr="009649E1" w:rsidRDefault="00465282" w:rsidP="00D5210E">
            <w:pPr>
              <w:spacing w:line="360" w:lineRule="auto"/>
              <w:rPr>
                <w:i/>
                <w:sz w:val="20"/>
                <w:szCs w:val="20"/>
              </w:rPr>
            </w:pPr>
            <w:r w:rsidRPr="009649E1">
              <w:rPr>
                <w:i/>
                <w:sz w:val="20"/>
                <w:szCs w:val="20"/>
              </w:rPr>
              <w:t>“</w:t>
            </w:r>
            <w:r w:rsidR="00862975" w:rsidRPr="009649E1">
              <w:rPr>
                <w:i/>
                <w:sz w:val="20"/>
                <w:szCs w:val="20"/>
              </w:rPr>
              <w:t>No se entrega la información requerida, dado que emiten respuesta de manera absurda sin transparentar la respuesta que han entregado a las auditorías,</w:t>
            </w:r>
            <w:r w:rsidRPr="009649E1">
              <w:rPr>
                <w:i/>
                <w:sz w:val="20"/>
                <w:szCs w:val="20"/>
              </w:rPr>
              <w:t>”</w:t>
            </w:r>
          </w:p>
        </w:tc>
      </w:tr>
      <w:tr w:rsidR="00465282" w:rsidRPr="009649E1" w14:paraId="27F7A364" w14:textId="77777777" w:rsidTr="002B777E">
        <w:tc>
          <w:tcPr>
            <w:tcW w:w="3068" w:type="dxa"/>
          </w:tcPr>
          <w:p w14:paraId="6FCC13E0" w14:textId="51699B18" w:rsidR="00465282" w:rsidRPr="009649E1" w:rsidRDefault="00465282" w:rsidP="00D5210E">
            <w:pPr>
              <w:spacing w:line="360" w:lineRule="auto"/>
              <w:rPr>
                <w:sz w:val="20"/>
                <w:szCs w:val="20"/>
              </w:rPr>
            </w:pPr>
            <w:r w:rsidRPr="009649E1">
              <w:rPr>
                <w:sz w:val="20"/>
                <w:szCs w:val="20"/>
              </w:rPr>
              <w:t>00364/SF/IP/2024</w:t>
            </w:r>
          </w:p>
        </w:tc>
        <w:tc>
          <w:tcPr>
            <w:tcW w:w="3068" w:type="dxa"/>
          </w:tcPr>
          <w:p w14:paraId="03236AB9" w14:textId="4ECDD39A" w:rsidR="00465282" w:rsidRPr="009649E1" w:rsidRDefault="00465282" w:rsidP="00D5210E">
            <w:pPr>
              <w:tabs>
                <w:tab w:val="left" w:pos="1714"/>
              </w:tabs>
              <w:spacing w:line="360" w:lineRule="auto"/>
              <w:rPr>
                <w:i/>
                <w:sz w:val="20"/>
                <w:szCs w:val="20"/>
              </w:rPr>
            </w:pPr>
            <w:r w:rsidRPr="009649E1">
              <w:rPr>
                <w:i/>
                <w:sz w:val="20"/>
                <w:szCs w:val="20"/>
              </w:rPr>
              <w:t>“RESPUESTA”</w:t>
            </w:r>
          </w:p>
        </w:tc>
        <w:tc>
          <w:tcPr>
            <w:tcW w:w="3068" w:type="dxa"/>
          </w:tcPr>
          <w:p w14:paraId="00C1DAE8" w14:textId="0DEE82FC" w:rsidR="00465282" w:rsidRPr="009649E1" w:rsidRDefault="00465282" w:rsidP="00D5210E">
            <w:pPr>
              <w:spacing w:line="360" w:lineRule="auto"/>
              <w:rPr>
                <w:i/>
                <w:sz w:val="20"/>
                <w:szCs w:val="20"/>
              </w:rPr>
            </w:pPr>
            <w:r w:rsidRPr="009649E1">
              <w:rPr>
                <w:i/>
                <w:sz w:val="20"/>
                <w:szCs w:val="20"/>
              </w:rPr>
              <w:t>“No se entrega la información requerida, dado que emiten respuesta de manera absurda sin transparentar la respuesta que han entregado a las auditorías,”</w:t>
            </w:r>
          </w:p>
        </w:tc>
      </w:tr>
    </w:tbl>
    <w:p w14:paraId="256BC137" w14:textId="6165B425" w:rsidR="00CE58A5" w:rsidRPr="009649E1" w:rsidRDefault="002B777E" w:rsidP="00D5210E">
      <w:pPr>
        <w:spacing w:after="0" w:line="360" w:lineRule="auto"/>
      </w:pPr>
      <w:r w:rsidRPr="009649E1">
        <w:br w:type="textWrapping" w:clear="all"/>
      </w:r>
      <w:bookmarkStart w:id="8" w:name="_Toc179975599"/>
      <w:bookmarkStart w:id="9" w:name="_Toc179976887"/>
      <w:r w:rsidR="00CE4466" w:rsidRPr="009649E1">
        <w:t>V. Trámite del Recurso de Revisión ante este Instituto</w:t>
      </w:r>
      <w:bookmarkEnd w:id="8"/>
      <w:bookmarkEnd w:id="9"/>
    </w:p>
    <w:p w14:paraId="08451C4E" w14:textId="77777777" w:rsidR="001A54EF" w:rsidRPr="009649E1" w:rsidRDefault="001A54EF" w:rsidP="00D5210E">
      <w:pPr>
        <w:spacing w:after="0" w:line="360" w:lineRule="auto"/>
        <w:rPr>
          <w:b/>
        </w:rPr>
      </w:pPr>
    </w:p>
    <w:p w14:paraId="31E01367" w14:textId="168E69A9" w:rsidR="00CE58A5" w:rsidRPr="009649E1" w:rsidRDefault="00CE4466" w:rsidP="00D5210E">
      <w:pPr>
        <w:spacing w:after="0" w:line="360" w:lineRule="auto"/>
        <w:rPr>
          <w:b/>
        </w:rPr>
      </w:pPr>
      <w:r w:rsidRPr="009649E1">
        <w:rPr>
          <w:b/>
        </w:rPr>
        <w:t>a) Turno del Medio de Impugnación.</w:t>
      </w:r>
      <w:r w:rsidRPr="009649E1">
        <w:t xml:space="preserve"> El </w:t>
      </w:r>
      <w:r w:rsidR="002B777E" w:rsidRPr="009649E1">
        <w:t>dieciocho e junio</w:t>
      </w:r>
      <w:r w:rsidR="00DD7C00" w:rsidRPr="009649E1">
        <w:t xml:space="preserve"> de dos mil veinticuatro</w:t>
      </w:r>
      <w:r w:rsidRPr="009649E1">
        <w:t>, el Sistema de Acceso a la Informació</w:t>
      </w:r>
      <w:r w:rsidR="002B777E" w:rsidRPr="009649E1">
        <w:t>n Mexiquense (SAIMEX), asignó los</w:t>
      </w:r>
      <w:r w:rsidRPr="009649E1">
        <w:t xml:space="preserve"> número</w:t>
      </w:r>
      <w:r w:rsidR="002B777E" w:rsidRPr="009649E1">
        <w:t>s</w:t>
      </w:r>
      <w:r w:rsidRPr="009649E1">
        <w:t xml:space="preserve"> de expediente</w:t>
      </w:r>
      <w:r w:rsidR="002B777E" w:rsidRPr="009649E1">
        <w:t>s</w:t>
      </w:r>
      <w:r w:rsidRPr="009649E1">
        <w:t xml:space="preserve"> </w:t>
      </w:r>
      <w:r w:rsidR="002B777E" w:rsidRPr="009649E1">
        <w:rPr>
          <w:b/>
        </w:rPr>
        <w:t>03716/INFOEM/IP/RR/2024</w:t>
      </w:r>
      <w:r w:rsidRPr="009649E1">
        <w:t xml:space="preserve">, </w:t>
      </w:r>
      <w:r w:rsidR="002B777E" w:rsidRPr="009649E1">
        <w:rPr>
          <w:b/>
        </w:rPr>
        <w:t>03717/INFOEM/IP/RR/2024     y  03718/INFOEM/IP/RR/2024</w:t>
      </w:r>
      <w:r w:rsidR="002B777E" w:rsidRPr="009649E1">
        <w:t xml:space="preserve"> a los </w:t>
      </w:r>
      <w:r w:rsidRPr="009649E1">
        <w:t>medio</w:t>
      </w:r>
      <w:r w:rsidR="002B777E" w:rsidRPr="009649E1">
        <w:t>s</w:t>
      </w:r>
      <w:r w:rsidRPr="009649E1">
        <w:t xml:space="preserve"> de impugnación que nos ocupa</w:t>
      </w:r>
      <w:r w:rsidR="002B777E" w:rsidRPr="009649E1">
        <w:t>n</w:t>
      </w:r>
      <w:r w:rsidRPr="009649E1">
        <w:t>, con base en el sistema aprobado por el Pleno de este Órgano Garante y lo</w:t>
      </w:r>
      <w:r w:rsidR="002B777E" w:rsidRPr="009649E1">
        <w:t xml:space="preserve">s turnó a los </w:t>
      </w:r>
      <w:r w:rsidRPr="009649E1">
        <w:t xml:space="preserve"> Comisionado</w:t>
      </w:r>
      <w:r w:rsidR="002B777E" w:rsidRPr="009649E1">
        <w:t>s</w:t>
      </w:r>
      <w:r w:rsidRPr="009649E1">
        <w:t xml:space="preserve"> Ponente Luis Gustavo Parra Noriega, </w:t>
      </w:r>
      <w:r w:rsidR="004F007D" w:rsidRPr="009649E1">
        <w:t xml:space="preserve">Sharon Cristina Morales Martínez  y María Del Rosario Mejía Ayala, </w:t>
      </w:r>
      <w:r w:rsidRPr="009649E1">
        <w:t>para los efectos del artículo 185, fracción I de la Ley de Transparencia y Acceso a la Información Pública del Estado de México y Municipios.</w:t>
      </w:r>
    </w:p>
    <w:p w14:paraId="7C5527A3" w14:textId="77777777" w:rsidR="00CE58A5" w:rsidRPr="009649E1" w:rsidRDefault="00CE58A5" w:rsidP="00D5210E">
      <w:pPr>
        <w:spacing w:after="0" w:line="360" w:lineRule="auto"/>
      </w:pPr>
    </w:p>
    <w:p w14:paraId="69DE9485" w14:textId="0CB898FC" w:rsidR="00CE58A5" w:rsidRPr="009649E1" w:rsidRDefault="00CE4466" w:rsidP="00D5210E">
      <w:pPr>
        <w:spacing w:after="0" w:line="360" w:lineRule="auto"/>
      </w:pPr>
      <w:r w:rsidRPr="009649E1">
        <w:rPr>
          <w:b/>
        </w:rPr>
        <w:t>b) Admisión del Recurso de Revisión.</w:t>
      </w:r>
      <w:r w:rsidRPr="009649E1">
        <w:t xml:space="preserve"> El </w:t>
      </w:r>
      <w:r w:rsidR="004F007D" w:rsidRPr="009649E1">
        <w:t>dieciocho</w:t>
      </w:r>
      <w:r w:rsidR="009A2F50" w:rsidRPr="009649E1">
        <w:t xml:space="preserve"> y veintiuno </w:t>
      </w:r>
      <w:r w:rsidR="004F007D" w:rsidRPr="009649E1">
        <w:t xml:space="preserve">de junio, </w:t>
      </w:r>
      <w:r w:rsidR="00DD7C00" w:rsidRPr="009649E1">
        <w:t xml:space="preserve"> de dos mil veinticuatro</w:t>
      </w:r>
      <w:r w:rsidRPr="009649E1">
        <w:t>, se acordó la admisión de</w:t>
      </w:r>
      <w:r w:rsidR="009A2F50" w:rsidRPr="009649E1">
        <w:t xml:space="preserve"> los </w:t>
      </w:r>
      <w:r w:rsidRPr="009649E1">
        <w:t xml:space="preserve"> Recurso</w:t>
      </w:r>
      <w:r w:rsidR="009A2F50" w:rsidRPr="009649E1">
        <w:t>s</w:t>
      </w:r>
      <w:r w:rsidRPr="009649E1">
        <w:t xml:space="preserve"> de Revisión interpuesto</w:t>
      </w:r>
      <w:r w:rsidR="009A2F50" w:rsidRPr="009649E1">
        <w:t>s</w:t>
      </w:r>
      <w:r w:rsidRPr="009649E1">
        <w:t xml:space="preserve"> por el Recurrente en contra del Sujeto Obligado, en términos del artículo 185, fracciones I y II de la Ley de Transparencia y Acceso a la Información Pública del Estado de México y Municipios, el cual fue </w:t>
      </w:r>
      <w:r w:rsidRPr="009649E1">
        <w:lastRenderedPageBreak/>
        <w:t xml:space="preserve">notificado a las partes el </w:t>
      </w:r>
      <w:r w:rsidR="00791585" w:rsidRPr="009649E1">
        <w:t>once</w:t>
      </w:r>
      <w:r w:rsidRPr="009649E1">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3590ED0A" w14:textId="1E681C1A" w:rsidR="00CE58A5" w:rsidRPr="009649E1" w:rsidRDefault="00CE4466" w:rsidP="00D5210E">
      <w:pPr>
        <w:spacing w:after="0" w:line="360" w:lineRule="auto"/>
      </w:pPr>
      <w:r w:rsidRPr="009649E1">
        <w:rPr>
          <w:b/>
          <w:color w:val="000000"/>
        </w:rPr>
        <w:t xml:space="preserve">c) </w:t>
      </w:r>
      <w:r w:rsidRPr="009649E1">
        <w:rPr>
          <w:b/>
        </w:rPr>
        <w:t xml:space="preserve">Informe Justificado. </w:t>
      </w:r>
      <w:r w:rsidR="00372769" w:rsidRPr="009649E1">
        <w:t xml:space="preserve">El </w:t>
      </w:r>
      <w:r w:rsidR="000D3416" w:rsidRPr="009649E1">
        <w:t>dos de julio</w:t>
      </w:r>
      <w:r w:rsidR="00372769" w:rsidRPr="009649E1">
        <w:t xml:space="preserve"> de dos mil veinticuatro, el Sujeto Obligado rindió su</w:t>
      </w:r>
      <w:r w:rsidR="000D3416" w:rsidRPr="009649E1">
        <w:t>s</w:t>
      </w:r>
      <w:r w:rsidR="00372769" w:rsidRPr="009649E1">
        <w:t xml:space="preserve"> informe</w:t>
      </w:r>
      <w:r w:rsidR="000D3416" w:rsidRPr="009649E1">
        <w:t>s</w:t>
      </w:r>
      <w:r w:rsidR="00372769" w:rsidRPr="009649E1">
        <w:t xml:space="preserve"> justificado</w:t>
      </w:r>
      <w:r w:rsidR="000D3416" w:rsidRPr="009649E1">
        <w:t>s</w:t>
      </w:r>
      <w:r w:rsidR="00372769" w:rsidRPr="009649E1">
        <w:t xml:space="preserve"> donde ratific</w:t>
      </w:r>
      <w:r w:rsidR="000D3416" w:rsidRPr="009649E1">
        <w:t>ó</w:t>
      </w:r>
      <w:r w:rsidR="00372769" w:rsidRPr="009649E1">
        <w:t xml:space="preserve"> su respuesta. </w:t>
      </w:r>
    </w:p>
    <w:p w14:paraId="2F748C68" w14:textId="77777777" w:rsidR="001C3B11" w:rsidRPr="009649E1" w:rsidRDefault="001C3B11" w:rsidP="00D5210E">
      <w:pPr>
        <w:spacing w:after="0" w:line="360" w:lineRule="auto"/>
      </w:pPr>
    </w:p>
    <w:p w14:paraId="6D167A2F" w14:textId="6F45E8F4" w:rsidR="008A419C" w:rsidRPr="009649E1" w:rsidRDefault="00D06FB6" w:rsidP="00D5210E">
      <w:pPr>
        <w:spacing w:after="0" w:line="360" w:lineRule="auto"/>
        <w:rPr>
          <w:lang w:val="es-ES" w:eastAsia="en-US"/>
        </w:rPr>
      </w:pPr>
      <w:r w:rsidRPr="009649E1">
        <w:rPr>
          <w:rFonts w:eastAsia="Times New Roman" w:cs="Tahoma"/>
          <w:b/>
          <w:color w:val="auto"/>
          <w:szCs w:val="24"/>
          <w:lang w:eastAsia="es-ES"/>
        </w:rPr>
        <w:t>d</w:t>
      </w:r>
      <w:r w:rsidR="008A419C" w:rsidRPr="009649E1">
        <w:rPr>
          <w:rFonts w:eastAsia="Times New Roman" w:cs="Tahoma"/>
          <w:b/>
          <w:color w:val="auto"/>
          <w:szCs w:val="24"/>
          <w:lang w:eastAsia="es-ES"/>
        </w:rPr>
        <w:t xml:space="preserve">) </w:t>
      </w:r>
      <w:r w:rsidR="008A419C" w:rsidRPr="009649E1">
        <w:rPr>
          <w:b/>
          <w:bCs/>
          <w:lang w:val="es-ES" w:eastAsia="en-US"/>
        </w:rPr>
        <w:t xml:space="preserve">Ampliación de plazo para resolver. </w:t>
      </w:r>
      <w:r w:rsidR="008A419C" w:rsidRPr="009649E1">
        <w:rPr>
          <w:lang w:val="es-ES" w:eastAsia="en-US"/>
        </w:rPr>
        <w:t>El veinticinco de septiembre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los Recursos de Revisión que nos ocupan; acto que fue notificado a las partes, mediante el Sistema de Acceso a la Información Mexiquense (SAIMEX).</w:t>
      </w:r>
    </w:p>
    <w:p w14:paraId="125A477A" w14:textId="77777777" w:rsidR="008A419C" w:rsidRPr="009649E1" w:rsidRDefault="008A419C" w:rsidP="00D5210E">
      <w:pPr>
        <w:spacing w:after="0" w:line="360" w:lineRule="auto"/>
        <w:rPr>
          <w:lang w:val="es-ES" w:eastAsia="en-US"/>
        </w:rPr>
      </w:pPr>
    </w:p>
    <w:p w14:paraId="1693D671" w14:textId="77777777" w:rsidR="008A419C" w:rsidRPr="009649E1" w:rsidRDefault="008A419C" w:rsidP="00D5210E">
      <w:pPr>
        <w:spacing w:after="0" w:line="360" w:lineRule="auto"/>
        <w:rPr>
          <w:lang w:eastAsia="en-US"/>
        </w:rPr>
      </w:pPr>
      <w:r w:rsidRPr="009649E1">
        <w:rPr>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40965AFB" w14:textId="77777777" w:rsidR="008A419C" w:rsidRPr="009649E1" w:rsidRDefault="008A419C" w:rsidP="00D5210E">
      <w:pPr>
        <w:spacing w:after="0" w:line="360" w:lineRule="auto"/>
        <w:rPr>
          <w:lang w:eastAsia="en-US"/>
        </w:rPr>
      </w:pPr>
    </w:p>
    <w:p w14:paraId="632D3648" w14:textId="77777777" w:rsidR="008A419C" w:rsidRPr="009649E1" w:rsidRDefault="008A419C" w:rsidP="00D5210E">
      <w:pPr>
        <w:spacing w:after="0" w:line="360" w:lineRule="auto"/>
        <w:rPr>
          <w:lang w:eastAsia="en-US"/>
        </w:rPr>
      </w:pPr>
      <w:r w:rsidRPr="009649E1">
        <w:rPr>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88865F6" w14:textId="77777777" w:rsidR="008A419C" w:rsidRPr="009649E1" w:rsidRDefault="008A419C" w:rsidP="00D5210E">
      <w:pPr>
        <w:spacing w:after="0" w:line="360" w:lineRule="auto"/>
        <w:rPr>
          <w:lang w:eastAsia="en-US"/>
        </w:rPr>
      </w:pPr>
    </w:p>
    <w:p w14:paraId="03BC673C" w14:textId="77777777" w:rsidR="008A419C" w:rsidRPr="009649E1" w:rsidRDefault="008A419C" w:rsidP="00D5210E">
      <w:pPr>
        <w:spacing w:after="0" w:line="360" w:lineRule="auto"/>
        <w:rPr>
          <w:lang w:eastAsia="en-US"/>
        </w:rPr>
      </w:pPr>
      <w:r w:rsidRPr="009649E1">
        <w:rPr>
          <w:lang w:eastAsia="en-US"/>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DD12C9B" w14:textId="77777777" w:rsidR="008A419C" w:rsidRPr="009649E1" w:rsidRDefault="008A419C" w:rsidP="00D5210E">
      <w:pPr>
        <w:spacing w:after="0" w:line="360" w:lineRule="auto"/>
        <w:rPr>
          <w:lang w:eastAsia="en-US"/>
        </w:rPr>
      </w:pPr>
    </w:p>
    <w:p w14:paraId="0CA91EE9" w14:textId="77777777" w:rsidR="008A419C" w:rsidRPr="009649E1" w:rsidRDefault="008A419C" w:rsidP="00D5210E">
      <w:pPr>
        <w:spacing w:after="0" w:line="360" w:lineRule="auto"/>
        <w:rPr>
          <w:lang w:eastAsia="en-US"/>
        </w:rPr>
      </w:pPr>
      <w:r w:rsidRPr="009649E1">
        <w:rPr>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F139A00" w14:textId="77777777" w:rsidR="008A419C" w:rsidRPr="009649E1" w:rsidRDefault="008A419C" w:rsidP="00D5210E">
      <w:pPr>
        <w:spacing w:after="0" w:line="360" w:lineRule="auto"/>
        <w:rPr>
          <w:lang w:eastAsia="en-US"/>
        </w:rPr>
      </w:pPr>
    </w:p>
    <w:p w14:paraId="3E07C52C" w14:textId="77777777" w:rsidR="008A419C" w:rsidRPr="009649E1" w:rsidRDefault="008A419C" w:rsidP="00D5210E">
      <w:pPr>
        <w:spacing w:after="0" w:line="360" w:lineRule="auto"/>
        <w:rPr>
          <w:lang w:eastAsia="en-US"/>
        </w:rPr>
      </w:pPr>
      <w:r w:rsidRPr="009649E1">
        <w:rPr>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B23F449" w14:textId="77777777" w:rsidR="008A419C" w:rsidRPr="009649E1" w:rsidRDefault="008A419C" w:rsidP="00D5210E">
      <w:pPr>
        <w:spacing w:after="0" w:line="360" w:lineRule="auto"/>
        <w:rPr>
          <w:lang w:eastAsia="en-US"/>
        </w:rPr>
      </w:pPr>
    </w:p>
    <w:p w14:paraId="3D5F836A" w14:textId="77777777" w:rsidR="008A419C" w:rsidRPr="009649E1" w:rsidRDefault="008A419C" w:rsidP="00E521F4">
      <w:pPr>
        <w:numPr>
          <w:ilvl w:val="0"/>
          <w:numId w:val="1"/>
        </w:numPr>
        <w:spacing w:after="0" w:line="360" w:lineRule="auto"/>
        <w:contextualSpacing/>
        <w:jc w:val="left"/>
        <w:rPr>
          <w:szCs w:val="28"/>
          <w:lang w:eastAsia="es-ES"/>
        </w:rPr>
      </w:pPr>
      <w:r w:rsidRPr="009649E1">
        <w:rPr>
          <w:b/>
          <w:bCs/>
          <w:szCs w:val="28"/>
          <w:lang w:eastAsia="es-ES"/>
        </w:rPr>
        <w:t>Complejidad del asunto:</w:t>
      </w:r>
      <w:r w:rsidRPr="009649E1">
        <w:rPr>
          <w:szCs w:val="28"/>
          <w:lang w:eastAsia="es-ES"/>
        </w:rPr>
        <w:t xml:space="preserve"> La complejidad de la prueba, la pluralidad de sujetos procesales, el tiempo transcurrido, las características y contexto del recurso.</w:t>
      </w:r>
    </w:p>
    <w:p w14:paraId="14414CC2" w14:textId="77777777" w:rsidR="008A419C" w:rsidRPr="009649E1" w:rsidRDefault="008A419C" w:rsidP="00D5210E">
      <w:pPr>
        <w:spacing w:after="0" w:line="360" w:lineRule="auto"/>
        <w:ind w:left="720"/>
        <w:contextualSpacing/>
        <w:rPr>
          <w:szCs w:val="28"/>
          <w:lang w:eastAsia="es-ES"/>
        </w:rPr>
      </w:pPr>
    </w:p>
    <w:p w14:paraId="282A5A63" w14:textId="77777777" w:rsidR="008A419C" w:rsidRPr="009649E1" w:rsidRDefault="008A419C" w:rsidP="00E521F4">
      <w:pPr>
        <w:numPr>
          <w:ilvl w:val="0"/>
          <w:numId w:val="1"/>
        </w:numPr>
        <w:spacing w:after="0" w:line="360" w:lineRule="auto"/>
        <w:contextualSpacing/>
        <w:jc w:val="left"/>
        <w:rPr>
          <w:szCs w:val="28"/>
          <w:lang w:eastAsia="es-ES"/>
        </w:rPr>
      </w:pPr>
      <w:r w:rsidRPr="009649E1">
        <w:rPr>
          <w:b/>
          <w:bCs/>
          <w:szCs w:val="28"/>
          <w:lang w:eastAsia="es-ES"/>
        </w:rPr>
        <w:t>Actividad Procesal del interesado:</w:t>
      </w:r>
      <w:r w:rsidRPr="009649E1">
        <w:rPr>
          <w:szCs w:val="28"/>
          <w:lang w:eastAsia="es-ES"/>
        </w:rPr>
        <w:t xml:space="preserve"> Acciones u omisiones del interesado.</w:t>
      </w:r>
    </w:p>
    <w:p w14:paraId="7BDA4C5F" w14:textId="77777777" w:rsidR="008A419C" w:rsidRPr="009649E1" w:rsidRDefault="008A419C" w:rsidP="00D5210E">
      <w:pPr>
        <w:spacing w:after="0" w:line="360" w:lineRule="auto"/>
        <w:ind w:left="720"/>
        <w:contextualSpacing/>
        <w:rPr>
          <w:szCs w:val="28"/>
          <w:lang w:eastAsia="es-ES"/>
        </w:rPr>
      </w:pPr>
    </w:p>
    <w:p w14:paraId="00B0D280" w14:textId="77777777" w:rsidR="008A419C" w:rsidRPr="009649E1" w:rsidRDefault="008A419C" w:rsidP="00E521F4">
      <w:pPr>
        <w:numPr>
          <w:ilvl w:val="0"/>
          <w:numId w:val="1"/>
        </w:numPr>
        <w:spacing w:after="0" w:line="360" w:lineRule="auto"/>
        <w:contextualSpacing/>
        <w:jc w:val="left"/>
        <w:rPr>
          <w:szCs w:val="28"/>
          <w:lang w:eastAsia="es-ES"/>
        </w:rPr>
      </w:pPr>
      <w:r w:rsidRPr="009649E1">
        <w:rPr>
          <w:b/>
          <w:bCs/>
          <w:szCs w:val="28"/>
          <w:lang w:eastAsia="es-ES"/>
        </w:rPr>
        <w:t>Conducta de la Autoridad:</w:t>
      </w:r>
      <w:r w:rsidRPr="009649E1">
        <w:rPr>
          <w:szCs w:val="28"/>
          <w:lang w:eastAsia="es-ES"/>
        </w:rPr>
        <w:t xml:space="preserve"> Las Acciones u omisiones realizadas en el procedimiento. Así como si la autoridad actuó con la debida diligencia.</w:t>
      </w:r>
    </w:p>
    <w:p w14:paraId="1A8820E4" w14:textId="77777777" w:rsidR="008A419C" w:rsidRPr="009649E1" w:rsidRDefault="008A419C" w:rsidP="00D5210E">
      <w:pPr>
        <w:spacing w:after="0" w:line="360" w:lineRule="auto"/>
        <w:ind w:left="720"/>
        <w:contextualSpacing/>
        <w:rPr>
          <w:szCs w:val="28"/>
          <w:lang w:eastAsia="es-ES"/>
        </w:rPr>
      </w:pPr>
    </w:p>
    <w:p w14:paraId="73627AA1" w14:textId="77777777" w:rsidR="008A419C" w:rsidRPr="009649E1" w:rsidRDefault="008A419C" w:rsidP="00E521F4">
      <w:pPr>
        <w:numPr>
          <w:ilvl w:val="0"/>
          <w:numId w:val="1"/>
        </w:numPr>
        <w:spacing w:after="0" w:line="360" w:lineRule="auto"/>
        <w:contextualSpacing/>
        <w:jc w:val="left"/>
        <w:rPr>
          <w:szCs w:val="28"/>
          <w:lang w:eastAsia="es-ES"/>
        </w:rPr>
      </w:pPr>
      <w:r w:rsidRPr="009649E1">
        <w:rPr>
          <w:b/>
          <w:bCs/>
          <w:szCs w:val="28"/>
          <w:lang w:eastAsia="es-ES"/>
        </w:rPr>
        <w:t xml:space="preserve">La afectación generada en la situación jurídica de la persona involucrada en el proceso: </w:t>
      </w:r>
      <w:r w:rsidRPr="009649E1">
        <w:rPr>
          <w:szCs w:val="28"/>
          <w:lang w:eastAsia="es-ES"/>
        </w:rPr>
        <w:t>Violación a sus derechos humanos.</w:t>
      </w:r>
    </w:p>
    <w:p w14:paraId="240779D9" w14:textId="77777777" w:rsidR="008A419C" w:rsidRPr="009649E1" w:rsidRDefault="008A419C" w:rsidP="00D5210E">
      <w:pPr>
        <w:spacing w:after="0" w:line="360" w:lineRule="auto"/>
        <w:rPr>
          <w:lang w:eastAsia="en-US"/>
        </w:rPr>
      </w:pPr>
    </w:p>
    <w:p w14:paraId="4DDA45BC" w14:textId="77777777" w:rsidR="008A419C" w:rsidRPr="009649E1" w:rsidRDefault="008A419C" w:rsidP="00D5210E">
      <w:pPr>
        <w:spacing w:after="0" w:line="360" w:lineRule="auto"/>
        <w:rPr>
          <w:lang w:eastAsia="en-US"/>
        </w:rPr>
      </w:pPr>
      <w:r w:rsidRPr="009649E1">
        <w:rPr>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w:t>
      </w:r>
      <w:r w:rsidRPr="009649E1">
        <w:rPr>
          <w:lang w:eastAsia="en-US"/>
        </w:rPr>
        <w:lastRenderedPageBreak/>
        <w:t>excluyente de responsabilidad en relación con la actuación del funcionario, como ha acontecido en el caso que nos ocupa.</w:t>
      </w:r>
    </w:p>
    <w:p w14:paraId="49B21736" w14:textId="77777777" w:rsidR="008A419C" w:rsidRPr="009649E1" w:rsidRDefault="008A419C" w:rsidP="00D5210E">
      <w:pPr>
        <w:spacing w:after="0" w:line="360" w:lineRule="auto"/>
        <w:rPr>
          <w:lang w:eastAsia="en-US"/>
        </w:rPr>
      </w:pPr>
    </w:p>
    <w:p w14:paraId="50314B42" w14:textId="77777777" w:rsidR="008A419C" w:rsidRPr="009649E1" w:rsidRDefault="008A419C" w:rsidP="00D5210E">
      <w:pPr>
        <w:spacing w:after="0" w:line="360" w:lineRule="auto"/>
        <w:rPr>
          <w:lang w:eastAsia="en-US"/>
        </w:rPr>
      </w:pPr>
      <w:r w:rsidRPr="009649E1">
        <w:rPr>
          <w:lang w:eastAsia="en-US"/>
        </w:rPr>
        <w:t>Argumento que encuentra sustento en la jurisprudencia P./J. 32/92 emitida por el Pleno de la Suprema Corte de Justicia de la Nación de rubro “</w:t>
      </w:r>
      <w:r w:rsidRPr="009649E1">
        <w:rPr>
          <w:b/>
          <w:bCs/>
          <w:lang w:eastAsia="en-US"/>
        </w:rPr>
        <w:t>TÉRMINOS PROCESALES. PARA DETERMINAR SI UN FUNCIONARIO JUDICIAL ACTUÓ INDEBIDAMENTE POR NO RESPETARLOS SE DEBE ATENDER AL PRESUPUESTO QUE CONSIDERÓ EL LEGISLADOR AL FIJARLOS Y LAS CARACTERÍSTICAS DEL CASO</w:t>
      </w:r>
      <w:r w:rsidRPr="009649E1">
        <w:rPr>
          <w:lang w:eastAsia="en-US"/>
        </w:rPr>
        <w:t>.”, visible en la Gaceta del Seminario Judicial de la Federación con el registro digital 205635.</w:t>
      </w:r>
    </w:p>
    <w:p w14:paraId="0E20F840" w14:textId="77777777" w:rsidR="008A419C" w:rsidRPr="009649E1" w:rsidRDefault="008A419C" w:rsidP="00D5210E">
      <w:pPr>
        <w:spacing w:after="0" w:line="360" w:lineRule="auto"/>
        <w:rPr>
          <w:lang w:eastAsia="en-US"/>
        </w:rPr>
      </w:pPr>
    </w:p>
    <w:p w14:paraId="21E0577D" w14:textId="77777777" w:rsidR="008A419C" w:rsidRPr="009649E1" w:rsidRDefault="008A419C" w:rsidP="00D5210E">
      <w:pPr>
        <w:spacing w:after="0" w:line="360" w:lineRule="auto"/>
        <w:rPr>
          <w:lang w:eastAsia="en-US"/>
        </w:rPr>
      </w:pPr>
      <w:r w:rsidRPr="009649E1">
        <w:rPr>
          <w:lang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6891EA4" w14:textId="77777777" w:rsidR="008A419C" w:rsidRPr="009649E1" w:rsidRDefault="008A419C" w:rsidP="00D5210E">
      <w:pPr>
        <w:spacing w:after="0" w:line="360" w:lineRule="auto"/>
        <w:rPr>
          <w:lang w:eastAsia="en-US"/>
        </w:rPr>
      </w:pPr>
    </w:p>
    <w:p w14:paraId="45695750" w14:textId="77777777" w:rsidR="008A419C" w:rsidRPr="009649E1" w:rsidRDefault="008A419C" w:rsidP="00D5210E">
      <w:pPr>
        <w:spacing w:after="0" w:line="360" w:lineRule="auto"/>
        <w:rPr>
          <w:lang w:eastAsia="en-US"/>
        </w:rPr>
      </w:pPr>
      <w:r w:rsidRPr="009649E1">
        <w:rPr>
          <w:lang w:eastAsia="en-US"/>
        </w:rPr>
        <w:t>Al respecto, también son de considerar los criterios sostenidos por el Cuarto Tribunal Colegiado en Materia Administrativa del Primer Circuito, cuyos rubros y datos de identificación son los siguientes:</w:t>
      </w:r>
    </w:p>
    <w:p w14:paraId="75477AD1" w14:textId="77777777" w:rsidR="008A419C" w:rsidRPr="009649E1" w:rsidRDefault="008A419C" w:rsidP="00D5210E">
      <w:pPr>
        <w:spacing w:after="0" w:line="360" w:lineRule="auto"/>
        <w:rPr>
          <w:lang w:eastAsia="en-US"/>
        </w:rPr>
      </w:pPr>
    </w:p>
    <w:p w14:paraId="523F8D33" w14:textId="77777777" w:rsidR="008A419C" w:rsidRPr="009649E1" w:rsidRDefault="008A419C" w:rsidP="00D5210E">
      <w:pPr>
        <w:spacing w:after="0" w:line="360" w:lineRule="auto"/>
        <w:rPr>
          <w:lang w:eastAsia="en-US"/>
        </w:rPr>
      </w:pPr>
      <w:r w:rsidRPr="009649E1">
        <w:rPr>
          <w:lang w:eastAsia="en-US"/>
        </w:rPr>
        <w:t>“</w:t>
      </w:r>
      <w:r w:rsidRPr="009649E1">
        <w:rPr>
          <w:b/>
          <w:bCs/>
          <w:lang w:eastAsia="en-US"/>
        </w:rPr>
        <w:t>PLAZO RAZONABLE PARA RESOLVER. DIMENSIÓN Y EFECTOS DE ESTE CONCEPTO CUANDO SE ADUCE EXCESIVA CARGA DE TRABAJO</w:t>
      </w:r>
      <w:r w:rsidRPr="009649E1">
        <w:rPr>
          <w:lang w:eastAsia="en-US"/>
        </w:rPr>
        <w:t>.” consultable en el Seminario Judicial de la Federación y su gaceta, con el registro digital 2002351.</w:t>
      </w:r>
    </w:p>
    <w:p w14:paraId="6B18BF4E" w14:textId="77777777" w:rsidR="008A419C" w:rsidRPr="009649E1" w:rsidRDefault="008A419C" w:rsidP="00D5210E">
      <w:pPr>
        <w:spacing w:after="0" w:line="360" w:lineRule="auto"/>
        <w:rPr>
          <w:lang w:eastAsia="en-US"/>
        </w:rPr>
      </w:pPr>
    </w:p>
    <w:p w14:paraId="2F70151D" w14:textId="77777777" w:rsidR="008A419C" w:rsidRPr="009649E1" w:rsidRDefault="008A419C" w:rsidP="00D5210E">
      <w:pPr>
        <w:spacing w:after="0" w:line="360" w:lineRule="auto"/>
        <w:rPr>
          <w:lang w:eastAsia="en-US"/>
        </w:rPr>
      </w:pPr>
      <w:r w:rsidRPr="009649E1">
        <w:rPr>
          <w:lang w:eastAsia="en-US"/>
        </w:rPr>
        <w:t>“</w:t>
      </w:r>
      <w:r w:rsidRPr="009649E1">
        <w:rPr>
          <w:b/>
          <w:bCs/>
          <w:lang w:eastAsia="en-US"/>
        </w:rPr>
        <w:t>PLAZO RAZONABLE PARA RESOLVER. CONCEPTO Y ELEMENTOS QUE LO INTEGRAN A LA LUZ DEL DERECHO INTERNACIONAL DE LOS DERECHOS HUMANOS</w:t>
      </w:r>
      <w:r w:rsidRPr="009649E1">
        <w:rPr>
          <w:lang w:eastAsia="en-US"/>
        </w:rPr>
        <w:t>.”, visible en el Seminario Judicial de la Federación y su gaceta, con el registro digital 2002350.</w:t>
      </w:r>
    </w:p>
    <w:p w14:paraId="79E6C416" w14:textId="77777777" w:rsidR="008A419C" w:rsidRPr="009649E1" w:rsidRDefault="008A419C" w:rsidP="00D5210E">
      <w:pPr>
        <w:spacing w:after="0" w:line="360" w:lineRule="auto"/>
        <w:rPr>
          <w:lang w:eastAsia="en-US"/>
        </w:rPr>
      </w:pPr>
    </w:p>
    <w:p w14:paraId="24FD75EE" w14:textId="77777777" w:rsidR="008A419C" w:rsidRPr="009649E1" w:rsidRDefault="008A419C" w:rsidP="00D5210E">
      <w:pPr>
        <w:spacing w:after="0" w:line="360" w:lineRule="auto"/>
        <w:rPr>
          <w:lang w:eastAsia="en-US"/>
        </w:rPr>
      </w:pPr>
      <w:r w:rsidRPr="009649E1">
        <w:rPr>
          <w:lang w:eastAsia="en-US"/>
        </w:rPr>
        <w:t>Por ello, este organismo garante comprometido con la tutela de los derechos humanos confiados señala que este exceso del plazo legal para resolver el presente asunto, resulta de carácter excepcional.</w:t>
      </w:r>
    </w:p>
    <w:p w14:paraId="7A7E98D9" w14:textId="77777777" w:rsidR="001C3B11" w:rsidRPr="009649E1" w:rsidRDefault="001C3B11" w:rsidP="00D5210E">
      <w:pPr>
        <w:spacing w:after="0" w:line="360" w:lineRule="auto"/>
      </w:pPr>
    </w:p>
    <w:p w14:paraId="1BA37460" w14:textId="68D0D2C4" w:rsidR="008A419C" w:rsidRPr="009649E1" w:rsidRDefault="00D06FB6" w:rsidP="00D5210E">
      <w:pPr>
        <w:spacing w:after="0" w:line="360" w:lineRule="auto"/>
        <w:ind w:right="-28"/>
        <w:contextualSpacing/>
        <w:rPr>
          <w:rFonts w:eastAsiaTheme="minorHAnsi" w:cs="Tahoma"/>
          <w:color w:val="auto"/>
          <w:lang w:eastAsia="en-US"/>
        </w:rPr>
      </w:pPr>
      <w:r w:rsidRPr="009649E1">
        <w:rPr>
          <w:rFonts w:eastAsiaTheme="minorHAnsi" w:cstheme="minorBidi"/>
          <w:b/>
          <w:bCs/>
          <w:lang w:eastAsia="en-US"/>
        </w:rPr>
        <w:t>e</w:t>
      </w:r>
      <w:r w:rsidR="008A419C" w:rsidRPr="009649E1">
        <w:rPr>
          <w:rFonts w:eastAsiaTheme="minorHAnsi" w:cstheme="minorBidi"/>
          <w:b/>
          <w:bCs/>
          <w:lang w:eastAsia="en-US"/>
        </w:rPr>
        <w:t xml:space="preserve">) </w:t>
      </w:r>
      <w:r w:rsidR="008A419C" w:rsidRPr="009649E1">
        <w:rPr>
          <w:rFonts w:eastAsiaTheme="minorHAnsi" w:cs="Tahoma"/>
          <w:b/>
          <w:lang w:eastAsia="en-US"/>
        </w:rPr>
        <w:t>Acumulación de los asuntos.</w:t>
      </w:r>
      <w:r w:rsidR="008A419C" w:rsidRPr="009649E1">
        <w:rPr>
          <w:rFonts w:eastAsiaTheme="minorHAnsi" w:cs="Tahoma"/>
          <w:lang w:eastAsia="en-US"/>
        </w:rPr>
        <w:t xml:space="preserve"> </w:t>
      </w:r>
      <w:r w:rsidR="008A419C" w:rsidRPr="009649E1">
        <w:rPr>
          <w:rFonts w:eastAsiaTheme="minorHAnsi" w:cstheme="minorBidi"/>
          <w:color w:val="000000"/>
          <w:lang w:eastAsia="en-US"/>
        </w:rPr>
        <w:t xml:space="preserve">El  </w:t>
      </w:r>
      <w:r w:rsidR="00AF11C5" w:rsidRPr="009649E1">
        <w:rPr>
          <w:rFonts w:eastAsiaTheme="minorHAnsi" w:cstheme="minorBidi"/>
          <w:color w:val="000000"/>
          <w:lang w:eastAsia="en-US"/>
        </w:rPr>
        <w:t>veintiséis de junio de dos mil veinticuatro</w:t>
      </w:r>
      <w:r w:rsidR="008A419C" w:rsidRPr="009649E1">
        <w:rPr>
          <w:rFonts w:eastAsiaTheme="minorHAnsi" w:cstheme="minorBidi"/>
          <w:color w:val="000000"/>
          <w:lang w:eastAsia="en-US"/>
        </w:rPr>
        <w:t xml:space="preserve">, el Pleno del Instituto de Transparencia, Acceso a la Información Pública y Protección de Datos Personales del Estado de México y Municipios, durante su </w:t>
      </w:r>
      <w:r w:rsidR="00AF11C5" w:rsidRPr="009649E1">
        <w:rPr>
          <w:rFonts w:eastAsiaTheme="minorHAnsi" w:cstheme="minorBidi"/>
          <w:color w:val="000000"/>
          <w:lang w:eastAsia="en-US"/>
        </w:rPr>
        <w:t>Vigésima Tercera</w:t>
      </w:r>
      <w:r w:rsidR="008A419C" w:rsidRPr="009649E1">
        <w:rPr>
          <w:rFonts w:eastAsiaTheme="minorHAnsi" w:cstheme="minorBidi"/>
          <w:color w:val="000000"/>
          <w:lang w:eastAsia="en-US"/>
        </w:rPr>
        <w:t xml:space="preserve">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sidR="008A419C" w:rsidRPr="009649E1">
        <w:rPr>
          <w:rFonts w:eastAsiaTheme="minorHAnsi" w:cstheme="minorBidi"/>
          <w:b/>
          <w:bCs/>
          <w:color w:val="000000"/>
          <w:lang w:eastAsia="en-US"/>
        </w:rPr>
        <w:t>acordó</w:t>
      </w:r>
      <w:r w:rsidR="008A419C" w:rsidRPr="009649E1">
        <w:rPr>
          <w:rFonts w:eastAsiaTheme="minorHAnsi" w:cstheme="minorBidi"/>
          <w:color w:val="000000"/>
          <w:lang w:eastAsia="en-US"/>
        </w:rPr>
        <w:t xml:space="preserve"> la acumulación del Recurso de Revisión</w:t>
      </w:r>
      <w:r w:rsidR="008A419C" w:rsidRPr="009649E1">
        <w:rPr>
          <w:rFonts w:eastAsiaTheme="minorHAnsi" w:cstheme="minorBidi"/>
          <w:b/>
          <w:bCs/>
          <w:color w:val="000000"/>
          <w:lang w:eastAsia="en-US"/>
        </w:rPr>
        <w:t xml:space="preserve"> </w:t>
      </w:r>
      <w:r w:rsidR="00AF11C5" w:rsidRPr="009649E1">
        <w:rPr>
          <w:rFonts w:eastAsiaTheme="minorHAnsi" w:cstheme="minorBidi"/>
          <w:b/>
          <w:bCs/>
          <w:lang w:eastAsia="en-US"/>
        </w:rPr>
        <w:t xml:space="preserve">03717/INFOEM/IP/RR/2024  y 03718/INFOEM/IP/RR/2024  </w:t>
      </w:r>
      <w:r w:rsidR="008A419C" w:rsidRPr="009649E1">
        <w:rPr>
          <w:rFonts w:eastAsiaTheme="minorHAnsi" w:cstheme="minorBidi"/>
          <w:lang w:eastAsia="en-US"/>
        </w:rPr>
        <w:t xml:space="preserve">al diverso </w:t>
      </w:r>
      <w:r w:rsidR="00AF11C5" w:rsidRPr="009649E1">
        <w:rPr>
          <w:rFonts w:eastAsiaTheme="minorHAnsi" w:cstheme="minorBidi"/>
          <w:b/>
          <w:bCs/>
          <w:lang w:eastAsia="en-US"/>
        </w:rPr>
        <w:t>03716/INFOEM/IP/RR/2024</w:t>
      </w:r>
      <w:r w:rsidR="008A419C" w:rsidRPr="009649E1">
        <w:rPr>
          <w:rFonts w:eastAsiaTheme="minorHAnsi" w:cs="Tahoma"/>
          <w:b/>
          <w:bCs/>
          <w:lang w:eastAsia="en-US"/>
        </w:rPr>
        <w:t xml:space="preserve">, </w:t>
      </w:r>
      <w:r w:rsidR="008A419C" w:rsidRPr="009649E1">
        <w:rPr>
          <w:rFonts w:eastAsiaTheme="minorHAnsi" w:cs="Tahoma"/>
          <w:lang w:eastAsia="en-US"/>
        </w:rPr>
        <w:t xml:space="preserve">por ser este último el más antiguo, sustanciado bajo el índice de esta Ponencia, al advertir conexidad entre estos, ya que fueron promovidos por la misma persona, en los que se señaló como Sujeto Obligado recurrido </w:t>
      </w:r>
      <w:r w:rsidRPr="009649E1">
        <w:rPr>
          <w:rFonts w:eastAsiaTheme="minorHAnsi" w:cs="Tahoma"/>
          <w:lang w:eastAsia="en-US"/>
        </w:rPr>
        <w:t>la Secretaría de Finanzas</w:t>
      </w:r>
      <w:r w:rsidR="008A419C" w:rsidRPr="009649E1">
        <w:rPr>
          <w:rFonts w:eastAsiaTheme="minorHAnsi" w:cs="Tahoma"/>
          <w:b/>
          <w:bCs/>
          <w:color w:val="0D0D0D" w:themeColor="text1" w:themeTint="F2"/>
          <w:lang w:eastAsia="en-US"/>
        </w:rPr>
        <w:t>.</w:t>
      </w:r>
    </w:p>
    <w:p w14:paraId="56789300" w14:textId="77777777" w:rsidR="00372769" w:rsidRPr="009649E1" w:rsidRDefault="00372769" w:rsidP="00D5210E">
      <w:pPr>
        <w:spacing w:after="0" w:line="360" w:lineRule="auto"/>
      </w:pPr>
    </w:p>
    <w:p w14:paraId="13E25C12" w14:textId="6327AB2D" w:rsidR="00CE58A5" w:rsidRPr="009649E1" w:rsidRDefault="00D06FB6" w:rsidP="00D5210E">
      <w:pPr>
        <w:spacing w:after="0" w:line="360" w:lineRule="auto"/>
        <w:rPr>
          <w:b/>
        </w:rPr>
      </w:pPr>
      <w:r w:rsidRPr="009649E1">
        <w:rPr>
          <w:b/>
        </w:rPr>
        <w:t>f</w:t>
      </w:r>
      <w:r w:rsidR="00791585" w:rsidRPr="009649E1">
        <w:rPr>
          <w:b/>
        </w:rPr>
        <w:t>) Cierre de instrucción.</w:t>
      </w:r>
      <w:r w:rsidR="00791585" w:rsidRPr="009649E1">
        <w:t xml:space="preserve"> El </w:t>
      </w:r>
      <w:r w:rsidR="00D52F9F" w:rsidRPr="009649E1">
        <w:t>quince de octubre</w:t>
      </w:r>
      <w:r w:rsidR="00791585" w:rsidRPr="009649E1">
        <w:t xml:space="preserv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00791585" w:rsidRPr="009649E1">
        <w:lastRenderedPageBreak/>
        <w:t>Pública del Estado de México y Municipios, acto que fue notificado a las partes, mediante el Sistema de Acceso a la Información Mexiquense (SAIMEX), el mismo día.</w:t>
      </w:r>
    </w:p>
    <w:p w14:paraId="6DF2E44B" w14:textId="77777777" w:rsidR="00CE58A5" w:rsidRPr="009649E1" w:rsidRDefault="00CE58A5" w:rsidP="00D5210E">
      <w:pPr>
        <w:spacing w:after="0" w:line="360" w:lineRule="auto"/>
      </w:pPr>
    </w:p>
    <w:p w14:paraId="1A2D1592" w14:textId="77777777" w:rsidR="00CE58A5" w:rsidRPr="009649E1" w:rsidRDefault="00CE4466" w:rsidP="00D5210E">
      <w:pPr>
        <w:spacing w:after="0" w:line="360" w:lineRule="auto"/>
      </w:pPr>
      <w:r w:rsidRPr="009649E1">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9649E1" w:rsidRDefault="00CE58A5" w:rsidP="00D5210E">
      <w:pPr>
        <w:spacing w:after="0" w:line="360" w:lineRule="auto"/>
      </w:pPr>
    </w:p>
    <w:p w14:paraId="1E06E728" w14:textId="69856E54" w:rsidR="00CE58A5" w:rsidRPr="009649E1" w:rsidRDefault="00CE4466" w:rsidP="00D5210E">
      <w:pPr>
        <w:pStyle w:val="Ttulo1"/>
        <w:spacing w:before="0" w:after="0"/>
      </w:pPr>
      <w:bookmarkStart w:id="10" w:name="_Toc179975600"/>
      <w:bookmarkStart w:id="11" w:name="_Toc179976888"/>
      <w:r w:rsidRPr="009649E1">
        <w:t>C O N S I D E R A N D O S</w:t>
      </w:r>
      <w:bookmarkEnd w:id="10"/>
      <w:bookmarkEnd w:id="11"/>
    </w:p>
    <w:p w14:paraId="098188C5" w14:textId="77777777" w:rsidR="007D5E2E" w:rsidRPr="009649E1" w:rsidRDefault="007D5E2E" w:rsidP="00D5210E">
      <w:pPr>
        <w:spacing w:after="0" w:line="360" w:lineRule="auto"/>
      </w:pPr>
    </w:p>
    <w:p w14:paraId="3D9317E1" w14:textId="77777777" w:rsidR="00CE58A5" w:rsidRPr="009649E1" w:rsidRDefault="00CE4466" w:rsidP="00D5210E">
      <w:pPr>
        <w:pStyle w:val="Ttulo2"/>
        <w:spacing w:before="0" w:after="0"/>
      </w:pPr>
      <w:bookmarkStart w:id="12" w:name="_Toc179975601"/>
      <w:bookmarkStart w:id="13" w:name="_Toc179976889"/>
      <w:r w:rsidRPr="009649E1">
        <w:t>PRIMERO. Competencia</w:t>
      </w:r>
      <w:bookmarkEnd w:id="12"/>
      <w:bookmarkEnd w:id="13"/>
    </w:p>
    <w:p w14:paraId="4F07F053" w14:textId="77777777" w:rsidR="00CE58A5" w:rsidRPr="009649E1" w:rsidRDefault="00CE58A5" w:rsidP="00D5210E">
      <w:pPr>
        <w:spacing w:after="0" w:line="360" w:lineRule="auto"/>
        <w:rPr>
          <w:b/>
        </w:rPr>
      </w:pPr>
    </w:p>
    <w:p w14:paraId="7E9B74F8" w14:textId="77777777" w:rsidR="00CE58A5" w:rsidRPr="009649E1" w:rsidRDefault="00CE4466" w:rsidP="00D5210E">
      <w:pPr>
        <w:spacing w:after="0" w:line="360" w:lineRule="auto"/>
      </w:pPr>
      <w:r w:rsidRPr="009649E1">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9649E1">
        <w:rPr>
          <w:color w:val="000000"/>
        </w:rPr>
        <w:t>trigésimo segundo, trigésimo tercero y trigésimo cuarto</w:t>
      </w:r>
      <w:r w:rsidRPr="009649E1">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9649E1" w:rsidRDefault="00CE58A5" w:rsidP="00D5210E">
      <w:pPr>
        <w:spacing w:after="0" w:line="360" w:lineRule="auto"/>
      </w:pPr>
    </w:p>
    <w:p w14:paraId="250C24B5" w14:textId="77777777" w:rsidR="00CE58A5" w:rsidRPr="009649E1" w:rsidRDefault="00CE4466" w:rsidP="00D5210E">
      <w:pPr>
        <w:pStyle w:val="Ttulo2"/>
        <w:spacing w:before="0" w:after="0"/>
      </w:pPr>
      <w:bookmarkStart w:id="14" w:name="_Toc179975602"/>
      <w:bookmarkStart w:id="15" w:name="_Toc179976890"/>
      <w:r w:rsidRPr="009649E1">
        <w:t>SEGUNDO. Causales de improcedencia y sobreseimiento</w:t>
      </w:r>
      <w:bookmarkEnd w:id="14"/>
      <w:bookmarkEnd w:id="15"/>
    </w:p>
    <w:p w14:paraId="5DE8EFD8" w14:textId="77777777" w:rsidR="00CE58A5" w:rsidRPr="009649E1" w:rsidRDefault="00CE58A5" w:rsidP="00D5210E">
      <w:pPr>
        <w:spacing w:after="0" w:line="360" w:lineRule="auto"/>
      </w:pPr>
    </w:p>
    <w:p w14:paraId="4C46253C" w14:textId="77777777" w:rsidR="00CE58A5" w:rsidRPr="009649E1" w:rsidRDefault="00CE4466" w:rsidP="00D5210E">
      <w:pPr>
        <w:spacing w:after="0" w:line="360" w:lineRule="auto"/>
      </w:pPr>
      <w:r w:rsidRPr="009649E1">
        <w:lastRenderedPageBreak/>
        <w:t xml:space="preserve">De las constancias que forma parte del Recurso de Revisión que se analiza, se advierte que previo al estudio del fondo de la </w:t>
      </w:r>
      <w:r w:rsidRPr="009649E1">
        <w:rPr>
          <w:i/>
        </w:rPr>
        <w:t>litis</w:t>
      </w:r>
      <w:r w:rsidRPr="009649E1">
        <w:t>, es necesario estudiar las causales de improcedencia y sobreseimiento que se adviertan, para determinar lo que en Derecho proceda.</w:t>
      </w:r>
    </w:p>
    <w:p w14:paraId="3A0F3AA0" w14:textId="77777777" w:rsidR="00CE58A5" w:rsidRPr="009649E1" w:rsidRDefault="00CE58A5" w:rsidP="00D5210E">
      <w:pPr>
        <w:spacing w:after="0" w:line="360" w:lineRule="auto"/>
      </w:pPr>
    </w:p>
    <w:p w14:paraId="7548DF11" w14:textId="77777777" w:rsidR="00CE58A5" w:rsidRPr="009649E1" w:rsidRDefault="00CE4466" w:rsidP="00D5210E">
      <w:pPr>
        <w:spacing w:after="0" w:line="360" w:lineRule="auto"/>
        <w:rPr>
          <w:b/>
        </w:rPr>
      </w:pPr>
      <w:r w:rsidRPr="009649E1">
        <w:rPr>
          <w:b/>
        </w:rPr>
        <w:t>Causales de improcedencia</w:t>
      </w:r>
    </w:p>
    <w:p w14:paraId="3B68B0F4" w14:textId="77777777" w:rsidR="00565FB1" w:rsidRPr="009649E1" w:rsidRDefault="00565FB1" w:rsidP="00D5210E">
      <w:pPr>
        <w:spacing w:after="0" w:line="360" w:lineRule="auto"/>
      </w:pPr>
    </w:p>
    <w:p w14:paraId="02D368DF" w14:textId="77777777" w:rsidR="00CE58A5" w:rsidRPr="009649E1" w:rsidRDefault="00CE4466" w:rsidP="00D5210E">
      <w:pPr>
        <w:spacing w:after="0" w:line="360" w:lineRule="auto"/>
      </w:pPr>
      <w:r w:rsidRPr="009649E1">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9649E1">
        <w:rPr>
          <w:b/>
        </w:rPr>
        <w:t xml:space="preserve"> </w:t>
      </w:r>
      <w:r w:rsidRPr="009649E1">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9649E1" w:rsidRDefault="00CE58A5" w:rsidP="00D5210E">
      <w:pPr>
        <w:spacing w:after="0" w:line="360" w:lineRule="auto"/>
      </w:pPr>
    </w:p>
    <w:p w14:paraId="35F10868" w14:textId="77777777" w:rsidR="00CE58A5" w:rsidRPr="009649E1" w:rsidRDefault="00CE4466" w:rsidP="00D5210E">
      <w:pPr>
        <w:spacing w:after="0" w:line="360" w:lineRule="auto"/>
      </w:pPr>
      <w:r w:rsidRPr="009649E1">
        <w:t xml:space="preserve">En el presente caso, </w:t>
      </w:r>
      <w:r w:rsidRPr="009649E1">
        <w:rPr>
          <w:b/>
        </w:rPr>
        <w:t>no se actualiza ninguna de las causales de improcedencia</w:t>
      </w:r>
      <w:r w:rsidRPr="009649E1">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9649E1" w:rsidRDefault="00CE58A5" w:rsidP="00D5210E">
      <w:pPr>
        <w:spacing w:after="0" w:line="360" w:lineRule="auto"/>
        <w:rPr>
          <w:b/>
        </w:rPr>
      </w:pPr>
    </w:p>
    <w:p w14:paraId="701A6972" w14:textId="086A1ADD" w:rsidR="00CE58A5" w:rsidRPr="009649E1" w:rsidRDefault="00CE4466" w:rsidP="00D5210E">
      <w:pPr>
        <w:spacing w:after="0" w:line="360" w:lineRule="auto"/>
      </w:pPr>
      <w:r w:rsidRPr="009649E1">
        <w:t>Asimismo, se actualiza la causal de procedencia del Recurso de Revisión señal</w:t>
      </w:r>
      <w:r w:rsidR="00D52F9F" w:rsidRPr="009649E1">
        <w:t>ada en el artículo 179, fracci</w:t>
      </w:r>
      <w:r w:rsidR="000D3416" w:rsidRPr="009649E1">
        <w:t>ón</w:t>
      </w:r>
      <w:r w:rsidR="00D52F9F" w:rsidRPr="009649E1">
        <w:t xml:space="preserve"> I</w:t>
      </w:r>
      <w:r w:rsidR="007D5E2E" w:rsidRPr="009649E1">
        <w:t>V</w:t>
      </w:r>
      <w:r w:rsidR="00964E09" w:rsidRPr="009649E1">
        <w:t xml:space="preserve"> y II</w:t>
      </w:r>
      <w:r w:rsidRPr="009649E1">
        <w:t xml:space="preserve">, de la Ley en cita, pues la Recurrente se inconformó </w:t>
      </w:r>
      <w:r w:rsidR="007D5E2E" w:rsidRPr="009649E1">
        <w:t>de la incompetencia manifestada y la clasificación de información.</w:t>
      </w:r>
    </w:p>
    <w:p w14:paraId="404C2A95" w14:textId="77777777" w:rsidR="00CE58A5" w:rsidRPr="009649E1" w:rsidRDefault="00CE58A5" w:rsidP="00D5210E">
      <w:pPr>
        <w:spacing w:after="0" w:line="360" w:lineRule="auto"/>
        <w:rPr>
          <w:b/>
        </w:rPr>
      </w:pPr>
    </w:p>
    <w:p w14:paraId="74D31774" w14:textId="77777777" w:rsidR="00922619" w:rsidRPr="009649E1" w:rsidRDefault="00922619" w:rsidP="00D5210E">
      <w:pPr>
        <w:spacing w:after="0" w:line="360" w:lineRule="auto"/>
        <w:ind w:right="-28"/>
        <w:contextualSpacing/>
        <w:rPr>
          <w:rFonts w:eastAsia="Calibri" w:cs="Tahoma"/>
          <w:b/>
          <w:color w:val="auto"/>
          <w:lang w:val="es-ES" w:eastAsia="es-ES_tradnl"/>
        </w:rPr>
      </w:pPr>
      <w:r w:rsidRPr="009649E1">
        <w:rPr>
          <w:rFonts w:eastAsia="Calibri" w:cs="Tahoma"/>
          <w:b/>
          <w:color w:val="auto"/>
          <w:lang w:val="es-ES" w:eastAsia="es-ES_tradnl"/>
        </w:rPr>
        <w:t>Causales de sobreseimiento.</w:t>
      </w:r>
    </w:p>
    <w:p w14:paraId="6137A151" w14:textId="77777777" w:rsidR="00922619" w:rsidRPr="009649E1" w:rsidRDefault="00922619" w:rsidP="00D5210E">
      <w:pPr>
        <w:spacing w:after="0" w:line="360" w:lineRule="auto"/>
        <w:ind w:right="-28"/>
        <w:contextualSpacing/>
        <w:rPr>
          <w:rFonts w:eastAsia="Calibri" w:cs="Tahoma"/>
          <w:color w:val="auto"/>
          <w:lang w:val="es-ES" w:eastAsia="es-ES_tradnl"/>
        </w:rPr>
      </w:pPr>
    </w:p>
    <w:p w14:paraId="225248D7" w14:textId="77777777" w:rsidR="00964E09" w:rsidRPr="009649E1" w:rsidRDefault="00964E09" w:rsidP="00D5210E">
      <w:pPr>
        <w:spacing w:after="0" w:line="360" w:lineRule="auto"/>
        <w:contextualSpacing/>
        <w:rPr>
          <w:rFonts w:eastAsia="Times New Roman" w:cs="Tahoma"/>
          <w:b/>
          <w:bCs/>
          <w:color w:val="auto"/>
          <w:szCs w:val="24"/>
          <w:lang w:val="es-ES" w:eastAsia="es-ES"/>
        </w:rPr>
      </w:pPr>
      <w:r w:rsidRPr="009649E1">
        <w:rPr>
          <w:rFonts w:eastAsia="Times New Roman" w:cs="Tahoma"/>
          <w:color w:val="auto"/>
          <w:szCs w:val="24"/>
          <w:lang w:val="es-ES" w:eastAsia="es-ES"/>
        </w:rPr>
        <w:t>Por ser de previo y especial pronunciamiento, este Instituto analiza si se actualiza alguna causal de sobreseimiento.</w:t>
      </w:r>
    </w:p>
    <w:p w14:paraId="49C12530" w14:textId="77777777" w:rsidR="00964E09" w:rsidRPr="009649E1" w:rsidRDefault="00964E09" w:rsidP="00D5210E">
      <w:pPr>
        <w:spacing w:after="0" w:line="360" w:lineRule="auto"/>
        <w:contextualSpacing/>
        <w:rPr>
          <w:rFonts w:eastAsia="Times New Roman" w:cs="Tahoma"/>
          <w:color w:val="auto"/>
          <w:szCs w:val="24"/>
          <w:lang w:val="es-ES" w:eastAsia="es-ES"/>
        </w:rPr>
      </w:pPr>
    </w:p>
    <w:p w14:paraId="11BC8E6A" w14:textId="77777777" w:rsidR="00964E09" w:rsidRPr="009649E1" w:rsidRDefault="00964E09" w:rsidP="00D5210E">
      <w:pPr>
        <w:spacing w:after="0" w:line="360" w:lineRule="auto"/>
        <w:contextualSpacing/>
        <w:rPr>
          <w:rFonts w:eastAsiaTheme="minorHAnsi" w:cs="Tahoma"/>
          <w:lang w:eastAsia="en-US"/>
        </w:rPr>
      </w:pPr>
      <w:r w:rsidRPr="009649E1">
        <w:rPr>
          <w:rFonts w:eastAsiaTheme="minorHAnsi" w:cs="Tahoma"/>
          <w:lang w:eastAsia="en-US"/>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09B0222C" w14:textId="77777777" w:rsidR="00964E09" w:rsidRPr="009649E1" w:rsidRDefault="00964E09" w:rsidP="00D5210E">
      <w:pPr>
        <w:spacing w:after="0" w:line="360" w:lineRule="auto"/>
        <w:contextualSpacing/>
        <w:rPr>
          <w:rFonts w:eastAsiaTheme="minorHAnsi" w:cs="Tahoma"/>
          <w:lang w:eastAsia="en-US"/>
        </w:rPr>
      </w:pPr>
    </w:p>
    <w:p w14:paraId="451BA529" w14:textId="77777777" w:rsidR="00964E09" w:rsidRPr="009649E1" w:rsidRDefault="00964E09" w:rsidP="00D5210E">
      <w:pPr>
        <w:tabs>
          <w:tab w:val="left" w:pos="4962"/>
        </w:tabs>
        <w:spacing w:after="0" w:line="360" w:lineRule="auto"/>
        <w:contextualSpacing/>
        <w:rPr>
          <w:rFonts w:eastAsiaTheme="minorHAnsi" w:cs="Tahoma"/>
          <w:lang w:val="es-ES" w:eastAsia="en-US"/>
        </w:rPr>
      </w:pPr>
      <w:r w:rsidRPr="009649E1">
        <w:rPr>
          <w:rFonts w:eastAsiaTheme="minorHAnsi" w:cs="Tahoma"/>
          <w:bCs/>
          <w:lang w:val="es-ES" w:eastAsia="en-US"/>
        </w:rPr>
        <w:t xml:space="preserve">Por tales motivos, </w:t>
      </w:r>
      <w:r w:rsidRPr="009649E1">
        <w:rPr>
          <w:rFonts w:eastAsiaTheme="minorHAnsi" w:cs="Tahoma"/>
          <w:lang w:val="es-ES" w:eastAsia="en-US"/>
        </w:rPr>
        <w:t xml:space="preserve">se considera procedente entrar al fondo del presente asunto. </w:t>
      </w:r>
    </w:p>
    <w:p w14:paraId="5755F7BD" w14:textId="77777777" w:rsidR="00922619" w:rsidRPr="009649E1" w:rsidRDefault="00922619" w:rsidP="00D5210E">
      <w:pPr>
        <w:spacing w:after="0" w:line="360" w:lineRule="auto"/>
        <w:contextualSpacing/>
        <w:rPr>
          <w:rFonts w:eastAsia="Times New Roman" w:cs="Tahoma"/>
          <w:color w:val="auto"/>
          <w:szCs w:val="24"/>
          <w:lang w:val="es-ES" w:eastAsia="es-ES"/>
        </w:rPr>
      </w:pPr>
    </w:p>
    <w:p w14:paraId="1E0EBBE3" w14:textId="501FCBA9" w:rsidR="00CE58A5" w:rsidRPr="009649E1" w:rsidRDefault="00CE4466" w:rsidP="00D5210E">
      <w:pPr>
        <w:pStyle w:val="Ttulo2"/>
        <w:spacing w:before="0" w:after="0"/>
      </w:pPr>
      <w:bookmarkStart w:id="16" w:name="_Toc179975603"/>
      <w:bookmarkStart w:id="17" w:name="_Toc179976891"/>
      <w:r w:rsidRPr="009649E1">
        <w:t>TERCERO. Determinación de la Controversia</w:t>
      </w:r>
      <w:bookmarkEnd w:id="16"/>
      <w:bookmarkEnd w:id="17"/>
    </w:p>
    <w:p w14:paraId="364AB4CE" w14:textId="77777777" w:rsidR="00CE58A5" w:rsidRPr="009649E1" w:rsidRDefault="00CE58A5" w:rsidP="00D5210E">
      <w:pPr>
        <w:spacing w:after="0" w:line="360" w:lineRule="auto"/>
        <w:rPr>
          <w:b/>
        </w:rPr>
      </w:pPr>
    </w:p>
    <w:p w14:paraId="54D0CFE8" w14:textId="77777777" w:rsidR="00E5378F" w:rsidRPr="009649E1" w:rsidRDefault="00CE4466" w:rsidP="00D5210E">
      <w:pPr>
        <w:widowControl w:val="0"/>
        <w:spacing w:after="0" w:line="360" w:lineRule="auto"/>
        <w:rPr>
          <w:color w:val="000000"/>
        </w:rPr>
      </w:pPr>
      <w:r w:rsidRPr="009649E1">
        <w:t xml:space="preserve">Una vez realizado el estudio de las constancias que integran el expediente en que se actúa, se desprende que el Recurrente </w:t>
      </w:r>
      <w:r w:rsidR="000A5247" w:rsidRPr="009649E1">
        <w:t>requirió</w:t>
      </w:r>
      <w:r w:rsidR="000A5247" w:rsidRPr="009649E1">
        <w:rPr>
          <w:color w:val="000000"/>
        </w:rPr>
        <w:t xml:space="preserve"> </w:t>
      </w:r>
      <w:r w:rsidR="00263D58" w:rsidRPr="009649E1">
        <w:rPr>
          <w:color w:val="000000"/>
        </w:rPr>
        <w:t xml:space="preserve">acceder a los documentos </w:t>
      </w:r>
      <w:r w:rsidR="00E5378F" w:rsidRPr="009649E1">
        <w:rPr>
          <w:color w:val="000000"/>
        </w:rPr>
        <w:t xml:space="preserve">siguientes: </w:t>
      </w:r>
    </w:p>
    <w:p w14:paraId="48E49CF6" w14:textId="77777777" w:rsidR="00E5378F" w:rsidRPr="009649E1" w:rsidRDefault="00E5378F" w:rsidP="00D5210E">
      <w:pPr>
        <w:widowControl w:val="0"/>
        <w:spacing w:after="0" w:line="360" w:lineRule="auto"/>
        <w:rPr>
          <w:color w:val="000000"/>
        </w:rPr>
      </w:pPr>
    </w:p>
    <w:p w14:paraId="3E60C664" w14:textId="69B82BE4" w:rsidR="00E5378F" w:rsidRPr="009649E1" w:rsidRDefault="00964E09" w:rsidP="00E521F4">
      <w:pPr>
        <w:pStyle w:val="Prrafodelista"/>
        <w:widowControl w:val="0"/>
        <w:numPr>
          <w:ilvl w:val="0"/>
          <w:numId w:val="2"/>
        </w:numPr>
        <w:spacing w:line="360" w:lineRule="auto"/>
        <w:rPr>
          <w:color w:val="000000"/>
        </w:rPr>
      </w:pPr>
      <w:r w:rsidRPr="009649E1">
        <w:rPr>
          <w:color w:val="000000"/>
        </w:rPr>
        <w:t>Las auditorias realizadas a la</w:t>
      </w:r>
      <w:r w:rsidR="00E5378F" w:rsidRPr="009649E1">
        <w:rPr>
          <w:color w:val="000000"/>
        </w:rPr>
        <w:t xml:space="preserve"> Dirección General de Tesorería</w:t>
      </w:r>
      <w:r w:rsidRPr="009649E1">
        <w:rPr>
          <w:color w:val="000000"/>
        </w:rPr>
        <w:t>, y sus</w:t>
      </w:r>
      <w:r w:rsidR="00E5378F" w:rsidRPr="009649E1">
        <w:rPr>
          <w:color w:val="000000"/>
        </w:rPr>
        <w:t xml:space="preserve"> Direcciones de Área y Subdirecciones</w:t>
      </w:r>
      <w:r w:rsidRPr="009649E1">
        <w:rPr>
          <w:color w:val="000000"/>
        </w:rPr>
        <w:t>, así como, las respuestas emitidas por dichas áreas y el estatus en que se encontraban.</w:t>
      </w:r>
    </w:p>
    <w:p w14:paraId="4910BDE2" w14:textId="77777777" w:rsidR="00964E09" w:rsidRPr="009649E1" w:rsidRDefault="00964E09" w:rsidP="00D5210E">
      <w:pPr>
        <w:pStyle w:val="Prrafodelista"/>
        <w:widowControl w:val="0"/>
        <w:spacing w:line="360" w:lineRule="auto"/>
        <w:rPr>
          <w:color w:val="000000"/>
        </w:rPr>
      </w:pPr>
    </w:p>
    <w:p w14:paraId="0661EF52" w14:textId="7F647823" w:rsidR="00964E09" w:rsidRPr="009649E1" w:rsidRDefault="00964E09" w:rsidP="00E521F4">
      <w:pPr>
        <w:pStyle w:val="Prrafodelista"/>
        <w:widowControl w:val="0"/>
        <w:numPr>
          <w:ilvl w:val="0"/>
          <w:numId w:val="2"/>
        </w:numPr>
        <w:spacing w:line="360" w:lineRule="auto"/>
        <w:rPr>
          <w:color w:val="000000"/>
        </w:rPr>
      </w:pPr>
      <w:r w:rsidRPr="009649E1">
        <w:rPr>
          <w:color w:val="000000"/>
        </w:rPr>
        <w:t>La respuesta emitida por la Subsecretaría de Tesorería y sus unidades administrativas, a las auditorías realizadas a dichas áreas, del primero de octubre de dos mil veintitrés</w:t>
      </w:r>
      <w:r w:rsidR="00CC0B0D" w:rsidRPr="009649E1">
        <w:rPr>
          <w:color w:val="000000"/>
        </w:rPr>
        <w:t xml:space="preserve"> al treinta y uno de mayo de dos mil veinticuatro; así como, los oficios, actas, o similares que correspondan a la auditoría.</w:t>
      </w:r>
    </w:p>
    <w:p w14:paraId="03799F52" w14:textId="6BA488DE" w:rsidR="0090345F" w:rsidRPr="009649E1" w:rsidRDefault="0090345F" w:rsidP="00D5210E">
      <w:pPr>
        <w:widowControl w:val="0"/>
        <w:spacing w:after="0" w:line="360" w:lineRule="auto"/>
        <w:rPr>
          <w:color w:val="000000"/>
        </w:rPr>
      </w:pPr>
    </w:p>
    <w:p w14:paraId="7ED7BBD1" w14:textId="501010E3" w:rsidR="00CE58A5" w:rsidRPr="009649E1" w:rsidRDefault="00CE4466" w:rsidP="00D5210E">
      <w:pPr>
        <w:spacing w:after="0" w:line="360" w:lineRule="auto"/>
        <w:ind w:right="-28"/>
        <w:rPr>
          <w:color w:val="000000"/>
        </w:rPr>
      </w:pPr>
      <w:r w:rsidRPr="009649E1">
        <w:rPr>
          <w:color w:val="000000"/>
        </w:rPr>
        <w:t>En respuesta, el Sujeto Obligado a través de</w:t>
      </w:r>
      <w:r w:rsidR="00D06FB6" w:rsidRPr="009649E1">
        <w:rPr>
          <w:color w:val="000000"/>
        </w:rPr>
        <w:t>l Director General de Tesorería</w:t>
      </w:r>
      <w:r w:rsidR="00E96F3E" w:rsidRPr="009649E1">
        <w:rPr>
          <w:color w:val="000000"/>
        </w:rPr>
        <w:t xml:space="preserve"> y el Jefe de la Unidad de Apoyo Técnico </w:t>
      </w:r>
      <w:r w:rsidR="00CC0B0D" w:rsidRPr="009649E1">
        <w:rPr>
          <w:color w:val="000000"/>
        </w:rPr>
        <w:t>Financiero, declaró</w:t>
      </w:r>
      <w:r w:rsidR="00D06FB6" w:rsidRPr="009649E1">
        <w:rPr>
          <w:color w:val="000000"/>
        </w:rPr>
        <w:t xml:space="preserve"> la incompetencia </w:t>
      </w:r>
      <w:r w:rsidR="00800A06" w:rsidRPr="009649E1">
        <w:rPr>
          <w:color w:val="000000"/>
        </w:rPr>
        <w:t xml:space="preserve">de la Secretaría de Finanzas </w:t>
      </w:r>
      <w:r w:rsidR="00D06FB6" w:rsidRPr="009649E1">
        <w:rPr>
          <w:color w:val="000000"/>
        </w:rPr>
        <w:t xml:space="preserve">señalando que el Sujeto Obligado con atribuciones para conocer lo relativo a las auditorías era </w:t>
      </w:r>
      <w:r w:rsidR="00456B1F" w:rsidRPr="009649E1">
        <w:rPr>
          <w:color w:val="000000"/>
        </w:rPr>
        <w:t>la Secretaría de la Contraloría</w:t>
      </w:r>
      <w:r w:rsidR="00CC0B0D" w:rsidRPr="009649E1">
        <w:rPr>
          <w:color w:val="000000"/>
        </w:rPr>
        <w:t>; p</w:t>
      </w:r>
      <w:r w:rsidR="00D06FB6" w:rsidRPr="009649E1">
        <w:rPr>
          <w:color w:val="000000"/>
        </w:rPr>
        <w:t>or lo que hace a las aud</w:t>
      </w:r>
      <w:r w:rsidR="00456B1F" w:rsidRPr="009649E1">
        <w:rPr>
          <w:color w:val="000000"/>
        </w:rPr>
        <w:t>itorías en proceso solicitó fueran</w:t>
      </w:r>
      <w:r w:rsidR="00D06FB6" w:rsidRPr="009649E1">
        <w:rPr>
          <w:color w:val="000000"/>
        </w:rPr>
        <w:t xml:space="preserve"> clasificadas</w:t>
      </w:r>
      <w:r w:rsidR="00A7495B" w:rsidRPr="009649E1">
        <w:rPr>
          <w:color w:val="000000"/>
        </w:rPr>
        <w:t xml:space="preserve">; ante dicha respuesta, el Particular se inconformó de la </w:t>
      </w:r>
      <w:r w:rsidR="00CC0B0D" w:rsidRPr="009649E1">
        <w:rPr>
          <w:color w:val="000000"/>
        </w:rPr>
        <w:t>incompetencia manifestada</w:t>
      </w:r>
      <w:r w:rsidR="00992AA1" w:rsidRPr="009649E1">
        <w:rPr>
          <w:color w:val="000000"/>
        </w:rPr>
        <w:t xml:space="preserve"> y la clasificación de la información</w:t>
      </w:r>
      <w:r w:rsidR="00CF7C3C" w:rsidRPr="009649E1">
        <w:rPr>
          <w:color w:val="000000"/>
        </w:rPr>
        <w:t>, manifestando que l</w:t>
      </w:r>
      <w:r w:rsidR="00992AA1" w:rsidRPr="009649E1">
        <w:rPr>
          <w:color w:val="000000"/>
        </w:rPr>
        <w:t xml:space="preserve">as auditorías realizadas deberán formar parte de los archivos del Sujeto Obligado, dado que no sólo se proporcionará la información que se genera, también la información que se conoce en ámbito de sus funciones y atribuciones. Así mismo </w:t>
      </w:r>
      <w:r w:rsidR="00CF7C3C" w:rsidRPr="009649E1">
        <w:rPr>
          <w:color w:val="000000"/>
        </w:rPr>
        <w:t xml:space="preserve">se inconformó porque </w:t>
      </w:r>
      <w:r w:rsidR="00992AA1" w:rsidRPr="009649E1">
        <w:rPr>
          <w:color w:val="000000"/>
        </w:rPr>
        <w:t xml:space="preserve">no </w:t>
      </w:r>
      <w:r w:rsidR="00CF7C3C" w:rsidRPr="009649E1">
        <w:rPr>
          <w:color w:val="000000"/>
        </w:rPr>
        <w:t xml:space="preserve">se </w:t>
      </w:r>
      <w:r w:rsidR="00456B1F" w:rsidRPr="009649E1">
        <w:rPr>
          <w:color w:val="000000"/>
        </w:rPr>
        <w:t>clasificaron</w:t>
      </w:r>
      <w:r w:rsidR="00992AA1" w:rsidRPr="009649E1">
        <w:rPr>
          <w:color w:val="000000"/>
        </w:rPr>
        <w:t xml:space="preserve"> </w:t>
      </w:r>
      <w:r w:rsidR="00456B1F" w:rsidRPr="009649E1">
        <w:rPr>
          <w:color w:val="000000"/>
        </w:rPr>
        <w:t xml:space="preserve">como </w:t>
      </w:r>
      <w:r w:rsidR="00992AA1" w:rsidRPr="009649E1">
        <w:rPr>
          <w:color w:val="000000"/>
        </w:rPr>
        <w:t>rese</w:t>
      </w:r>
      <w:r w:rsidR="00456B1F" w:rsidRPr="009649E1">
        <w:rPr>
          <w:color w:val="000000"/>
        </w:rPr>
        <w:t>rvadas</w:t>
      </w:r>
      <w:r w:rsidR="00CF7C3C" w:rsidRPr="009649E1">
        <w:rPr>
          <w:color w:val="000000"/>
        </w:rPr>
        <w:t xml:space="preserve"> las auditorías en proceso, </w:t>
      </w:r>
      <w:r w:rsidR="00A7495B" w:rsidRPr="009649E1">
        <w:rPr>
          <w:color w:val="000000"/>
        </w:rPr>
        <w:t xml:space="preserve">lo cual actualiza los supuestos de procedencia establecidos en el artículo 179, fracciones </w:t>
      </w:r>
      <w:r w:rsidR="00CC0B0D" w:rsidRPr="009649E1">
        <w:rPr>
          <w:color w:val="000000"/>
        </w:rPr>
        <w:t>II y IV</w:t>
      </w:r>
      <w:r w:rsidR="00CF7C3C" w:rsidRPr="009649E1">
        <w:rPr>
          <w:color w:val="000000"/>
        </w:rPr>
        <w:t xml:space="preserve"> </w:t>
      </w:r>
      <w:r w:rsidR="00A7495B" w:rsidRPr="009649E1">
        <w:rPr>
          <w:color w:val="000000"/>
        </w:rPr>
        <w:t xml:space="preserve">de la Ley de </w:t>
      </w:r>
      <w:r w:rsidR="00400449" w:rsidRPr="009649E1">
        <w:rPr>
          <w:color w:val="000000"/>
        </w:rPr>
        <w:t>trasparencia</w:t>
      </w:r>
      <w:r w:rsidR="00A7495B" w:rsidRPr="009649E1">
        <w:rPr>
          <w:color w:val="000000"/>
        </w:rPr>
        <w:t xml:space="preserve"> local. </w:t>
      </w:r>
      <w:r w:rsidRPr="009649E1">
        <w:rPr>
          <w:color w:val="000000"/>
        </w:rPr>
        <w:t xml:space="preserve">Así las cosas, una vez admitido y notificado el Recurso de Revisión a las partes, </w:t>
      </w:r>
      <w:r w:rsidR="00400449" w:rsidRPr="009649E1">
        <w:rPr>
          <w:color w:val="000000"/>
        </w:rPr>
        <w:t xml:space="preserve">el Sujeto Obligado ratificó su respuesta. </w:t>
      </w:r>
    </w:p>
    <w:p w14:paraId="354D33B8" w14:textId="77777777" w:rsidR="00CE58A5" w:rsidRPr="009649E1" w:rsidRDefault="00CE58A5" w:rsidP="00D5210E">
      <w:pPr>
        <w:spacing w:after="0" w:line="360" w:lineRule="auto"/>
      </w:pPr>
    </w:p>
    <w:p w14:paraId="6DC5D7CF" w14:textId="77777777" w:rsidR="00CE58A5" w:rsidRPr="009649E1" w:rsidRDefault="00CE4466" w:rsidP="00D5210E">
      <w:pPr>
        <w:spacing w:after="0" w:line="360" w:lineRule="auto"/>
      </w:pPr>
      <w:r w:rsidRPr="009649E1">
        <w:t>Lo anterior, se desprende de las documentales que obran en los expedientes de referencia, materia de la presente resolución, consistente en: la solicitud de acceso a la información; la respuesta del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860196F" w14:textId="77777777" w:rsidR="00CC0B0D" w:rsidRPr="009649E1" w:rsidRDefault="00CC0B0D" w:rsidP="00D5210E">
      <w:pPr>
        <w:spacing w:after="0" w:line="360" w:lineRule="auto"/>
      </w:pPr>
    </w:p>
    <w:p w14:paraId="276834F4" w14:textId="33D01A89" w:rsidR="00CE58A5" w:rsidRPr="009649E1" w:rsidRDefault="00456B1F" w:rsidP="00D5210E">
      <w:pPr>
        <w:pStyle w:val="Ttulo2"/>
        <w:spacing w:before="0" w:after="0"/>
      </w:pPr>
      <w:bookmarkStart w:id="18" w:name="_Toc179975604"/>
      <w:bookmarkStart w:id="19" w:name="_Toc179976892"/>
      <w:r w:rsidRPr="009649E1">
        <w:t>C</w:t>
      </w:r>
      <w:r w:rsidR="00CE4466" w:rsidRPr="009649E1">
        <w:t>UARTO. Marco normativo aplicable en materia de transparencia y acceso a la información pública</w:t>
      </w:r>
      <w:bookmarkEnd w:id="18"/>
      <w:bookmarkEnd w:id="19"/>
    </w:p>
    <w:p w14:paraId="63C42A96" w14:textId="77777777" w:rsidR="00CE58A5" w:rsidRPr="009649E1" w:rsidRDefault="00CE58A5" w:rsidP="00D5210E">
      <w:pPr>
        <w:spacing w:after="0" w:line="360" w:lineRule="auto"/>
        <w:rPr>
          <w:color w:val="000000"/>
        </w:rPr>
      </w:pPr>
    </w:p>
    <w:p w14:paraId="77A2B44D" w14:textId="77777777" w:rsidR="00CE58A5" w:rsidRPr="009649E1" w:rsidRDefault="00CE4466" w:rsidP="00D5210E">
      <w:pPr>
        <w:spacing w:after="0" w:line="360" w:lineRule="auto"/>
        <w:rPr>
          <w:color w:val="000000"/>
        </w:rPr>
      </w:pPr>
      <w:r w:rsidRPr="009649E1">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9649E1" w:rsidRDefault="00CE58A5" w:rsidP="00D5210E">
      <w:pPr>
        <w:spacing w:after="0" w:line="360" w:lineRule="auto"/>
        <w:rPr>
          <w:color w:val="000000"/>
        </w:rPr>
      </w:pPr>
    </w:p>
    <w:p w14:paraId="6DE9CAE0" w14:textId="77777777" w:rsidR="00CE58A5" w:rsidRPr="009649E1" w:rsidRDefault="00CE4466" w:rsidP="00D5210E">
      <w:pPr>
        <w:spacing w:after="0" w:line="360" w:lineRule="auto"/>
        <w:rPr>
          <w:color w:val="000000"/>
        </w:rPr>
      </w:pPr>
      <w:r w:rsidRPr="009649E1">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Pr="009649E1" w:rsidRDefault="00922619" w:rsidP="00D5210E">
      <w:pPr>
        <w:spacing w:after="0" w:line="360" w:lineRule="auto"/>
        <w:rPr>
          <w:color w:val="000000"/>
        </w:rPr>
      </w:pPr>
    </w:p>
    <w:p w14:paraId="7EFDC0B0" w14:textId="5473D89C" w:rsidR="00CE58A5" w:rsidRPr="009649E1" w:rsidRDefault="00CE4466" w:rsidP="00D5210E">
      <w:pPr>
        <w:spacing w:after="0" w:line="360" w:lineRule="auto"/>
        <w:rPr>
          <w:color w:val="000000"/>
        </w:rPr>
      </w:pPr>
      <w:r w:rsidRPr="009649E1">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9649E1" w:rsidRDefault="00CE58A5" w:rsidP="00D5210E">
      <w:pPr>
        <w:spacing w:after="0" w:line="360" w:lineRule="auto"/>
        <w:rPr>
          <w:color w:val="000000"/>
        </w:rPr>
      </w:pPr>
    </w:p>
    <w:p w14:paraId="1B6E0455" w14:textId="77777777" w:rsidR="00CE58A5" w:rsidRPr="009649E1" w:rsidRDefault="00CE4466" w:rsidP="00D5210E">
      <w:pPr>
        <w:spacing w:after="0" w:line="360" w:lineRule="auto"/>
        <w:rPr>
          <w:color w:val="000000"/>
        </w:rPr>
      </w:pPr>
      <w:r w:rsidRPr="009649E1">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9649E1" w:rsidRDefault="00CE58A5" w:rsidP="00D5210E">
      <w:pPr>
        <w:spacing w:after="0" w:line="360" w:lineRule="auto"/>
        <w:rPr>
          <w:color w:val="000000"/>
        </w:rPr>
      </w:pPr>
    </w:p>
    <w:p w14:paraId="79D71702" w14:textId="77777777" w:rsidR="00CE58A5" w:rsidRPr="009649E1" w:rsidRDefault="00CE4466" w:rsidP="00D5210E">
      <w:pPr>
        <w:spacing w:after="0" w:line="360" w:lineRule="auto"/>
        <w:rPr>
          <w:color w:val="000000"/>
        </w:rPr>
      </w:pPr>
      <w:r w:rsidRPr="009649E1">
        <w:rPr>
          <w:color w:val="000000"/>
        </w:rPr>
        <w:t>El artículo 12, que, quienes generen, recopilen, administren, manejen, procesen, archiven o conserven información pública serán responsables de la misma.</w:t>
      </w:r>
    </w:p>
    <w:p w14:paraId="5C34EA42" w14:textId="77777777" w:rsidR="00D51406" w:rsidRPr="009649E1" w:rsidRDefault="00D51406" w:rsidP="00D5210E">
      <w:pPr>
        <w:spacing w:after="0" w:line="360" w:lineRule="auto"/>
        <w:rPr>
          <w:color w:val="000000"/>
        </w:rPr>
      </w:pPr>
    </w:p>
    <w:p w14:paraId="08B8B529" w14:textId="77777777" w:rsidR="00CE58A5" w:rsidRPr="009649E1" w:rsidRDefault="00CE4466" w:rsidP="00D5210E">
      <w:pPr>
        <w:widowControl w:val="0"/>
        <w:spacing w:after="0" w:line="360" w:lineRule="auto"/>
        <w:rPr>
          <w:color w:val="000000"/>
        </w:rPr>
      </w:pPr>
      <w:r w:rsidRPr="009649E1">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9649E1" w:rsidRDefault="00CE58A5" w:rsidP="00D5210E">
      <w:pPr>
        <w:spacing w:after="0" w:line="360" w:lineRule="auto"/>
        <w:rPr>
          <w:color w:val="000000"/>
        </w:rPr>
      </w:pPr>
    </w:p>
    <w:p w14:paraId="7EFDFF6E" w14:textId="77777777" w:rsidR="00CE58A5" w:rsidRPr="009649E1" w:rsidRDefault="00CE4466" w:rsidP="00D5210E">
      <w:pPr>
        <w:spacing w:after="0" w:line="360" w:lineRule="auto"/>
        <w:rPr>
          <w:color w:val="000000"/>
        </w:rPr>
      </w:pPr>
      <w:r w:rsidRPr="009649E1">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9649E1" w:rsidRDefault="00CE58A5" w:rsidP="00D5210E">
      <w:pPr>
        <w:spacing w:after="0" w:line="360" w:lineRule="auto"/>
      </w:pPr>
    </w:p>
    <w:p w14:paraId="1DF82A1D" w14:textId="4C40B5A6" w:rsidR="00CE58A5" w:rsidRPr="009649E1" w:rsidRDefault="00CE4466" w:rsidP="00D5210E">
      <w:pPr>
        <w:pStyle w:val="Ttulo2"/>
        <w:spacing w:before="0" w:after="0"/>
      </w:pPr>
      <w:bookmarkStart w:id="20" w:name="_Toc179975605"/>
      <w:bookmarkStart w:id="21" w:name="_Toc179976893"/>
      <w:r w:rsidRPr="009649E1">
        <w:rPr>
          <w:caps/>
        </w:rPr>
        <w:lastRenderedPageBreak/>
        <w:t>Quinto.</w:t>
      </w:r>
      <w:r w:rsidRPr="009649E1">
        <w:t xml:space="preserve"> Estudio de Fondo</w:t>
      </w:r>
      <w:bookmarkEnd w:id="20"/>
      <w:bookmarkEnd w:id="21"/>
    </w:p>
    <w:p w14:paraId="547460E4" w14:textId="77777777" w:rsidR="00CE58A5" w:rsidRPr="009649E1" w:rsidRDefault="00CE58A5" w:rsidP="00D5210E">
      <w:pPr>
        <w:widowControl w:val="0"/>
        <w:spacing w:after="0" w:line="360" w:lineRule="auto"/>
        <w:rPr>
          <w:color w:val="000000"/>
        </w:rPr>
      </w:pPr>
    </w:p>
    <w:p w14:paraId="1C6F1D44" w14:textId="7E01699D" w:rsidR="00B12E36" w:rsidRPr="009649E1" w:rsidRDefault="00CE4466" w:rsidP="00D5210E">
      <w:pPr>
        <w:widowControl w:val="0"/>
        <w:spacing w:after="0" w:line="360" w:lineRule="auto"/>
        <w:rPr>
          <w:color w:val="000000"/>
        </w:rPr>
      </w:pPr>
      <w:r w:rsidRPr="009649E1">
        <w:rPr>
          <w:color w:val="000000"/>
        </w:rPr>
        <w:t xml:space="preserve">Expuestas las posturas de las partes, se procede al análisis del agravio hecho valer por el Recurrente, concerniente a la </w:t>
      </w:r>
      <w:r w:rsidR="00456B1F" w:rsidRPr="009649E1">
        <w:rPr>
          <w:color w:val="000000"/>
        </w:rPr>
        <w:t>negativa</w:t>
      </w:r>
      <w:r w:rsidR="00B12E36" w:rsidRPr="009649E1">
        <w:rPr>
          <w:color w:val="000000"/>
        </w:rPr>
        <w:t xml:space="preserve"> de la información</w:t>
      </w:r>
      <w:r w:rsidRPr="009649E1">
        <w:t xml:space="preserve">, </w:t>
      </w:r>
      <w:r w:rsidRPr="009649E1">
        <w:rPr>
          <w:color w:val="000000"/>
        </w:rPr>
        <w:t>para lo cual, en principio es necesario contextual</w:t>
      </w:r>
      <w:r w:rsidR="00321F56" w:rsidRPr="009649E1">
        <w:rPr>
          <w:color w:val="000000"/>
        </w:rPr>
        <w:t>izar la solicitud</w:t>
      </w:r>
      <w:r w:rsidR="00565FB1" w:rsidRPr="009649E1">
        <w:rPr>
          <w:color w:val="000000"/>
        </w:rPr>
        <w:t>.</w:t>
      </w:r>
    </w:p>
    <w:p w14:paraId="30E0961F" w14:textId="77777777" w:rsidR="00565FB1" w:rsidRPr="009649E1" w:rsidRDefault="00565FB1" w:rsidP="00D5210E">
      <w:pPr>
        <w:widowControl w:val="0"/>
        <w:spacing w:after="0" w:line="360" w:lineRule="auto"/>
        <w:rPr>
          <w:color w:val="000000"/>
        </w:rPr>
      </w:pPr>
    </w:p>
    <w:p w14:paraId="1E06F1E9" w14:textId="55C90A27" w:rsidR="00565FB1" w:rsidRPr="009649E1" w:rsidRDefault="00565FB1" w:rsidP="00D5210E">
      <w:pPr>
        <w:widowControl w:val="0"/>
        <w:spacing w:after="0" w:line="360" w:lineRule="auto"/>
        <w:rPr>
          <w:color w:val="000000"/>
        </w:rPr>
      </w:pPr>
      <w:r w:rsidRPr="009649E1">
        <w:rPr>
          <w:color w:val="000000"/>
        </w:rPr>
        <w:t>Al respecto, el Tercero y Cuarto de los Lineamientos Generales de Auditoría, precisan que una auditoría es un proceso sistemático que fortalece el control interno, enfocado al examen objetivo, independiente y evaluatorio de las operaciones financieras, administrativas y técnicas realizadas; así como a las funciones, objetivos, planes, programas y metas alcanzados por las Dependencias y Organismos Auxiliares de la Administración Pública Estatal.</w:t>
      </w:r>
    </w:p>
    <w:p w14:paraId="6E49B539" w14:textId="77777777" w:rsidR="00050FC3" w:rsidRPr="009649E1" w:rsidRDefault="00050FC3" w:rsidP="00D5210E">
      <w:pPr>
        <w:widowControl w:val="0"/>
        <w:spacing w:after="0" w:line="360" w:lineRule="auto"/>
        <w:rPr>
          <w:color w:val="000000"/>
        </w:rPr>
      </w:pPr>
    </w:p>
    <w:p w14:paraId="7439A580" w14:textId="2C8E7D00" w:rsidR="00565FB1" w:rsidRPr="009649E1" w:rsidRDefault="00565FB1" w:rsidP="00D5210E">
      <w:pPr>
        <w:widowControl w:val="0"/>
        <w:spacing w:after="0" w:line="360" w:lineRule="auto"/>
        <w:rPr>
          <w:color w:val="000000"/>
        </w:rPr>
      </w:pPr>
      <w:r w:rsidRPr="009649E1">
        <w:rPr>
          <w:color w:val="000000"/>
        </w:rPr>
        <w:t>Además que el objetivo de las auditorías por objeto la vigilancia, fiscalización y control de los resultados de la gestión gubernamental y el ejercicio del gasto público estatal y federal; así como, al control de recursos humanos, financieros, materiales y de servicios, obra pública.</w:t>
      </w:r>
    </w:p>
    <w:p w14:paraId="46D8538E" w14:textId="77777777" w:rsidR="00565FB1" w:rsidRPr="009649E1" w:rsidRDefault="00565FB1" w:rsidP="00D5210E">
      <w:pPr>
        <w:widowControl w:val="0"/>
        <w:spacing w:after="0" w:line="360" w:lineRule="auto"/>
        <w:rPr>
          <w:color w:val="000000"/>
        </w:rPr>
      </w:pPr>
    </w:p>
    <w:p w14:paraId="4A134910" w14:textId="578B44F2" w:rsidR="00565FB1" w:rsidRPr="009649E1" w:rsidRDefault="00565FB1" w:rsidP="00D5210E">
      <w:pPr>
        <w:widowControl w:val="0"/>
        <w:spacing w:after="0" w:line="360" w:lineRule="auto"/>
        <w:rPr>
          <w:color w:val="000000"/>
        </w:rPr>
      </w:pPr>
      <w:r w:rsidRPr="009649E1">
        <w:rPr>
          <w:color w:val="000000"/>
        </w:rPr>
        <w:t xml:space="preserve">En ese orden de ideas, </w:t>
      </w:r>
      <w:r w:rsidR="00F6068C" w:rsidRPr="009649E1">
        <w:rPr>
          <w:color w:val="000000"/>
        </w:rPr>
        <w:t>d</w:t>
      </w:r>
      <w:r w:rsidRPr="009649E1">
        <w:rPr>
          <w:color w:val="000000"/>
        </w:rPr>
        <w:t>el Décimo Primero</w:t>
      </w:r>
      <w:r w:rsidR="00F6068C" w:rsidRPr="009649E1">
        <w:rPr>
          <w:color w:val="000000"/>
        </w:rPr>
        <w:t xml:space="preserve"> al Décimo Noveno</w:t>
      </w:r>
      <w:r w:rsidRPr="009649E1">
        <w:rPr>
          <w:color w:val="000000"/>
        </w:rPr>
        <w:t>, de los Lineamientos citados, precisan que las Auditorías se dividen en cuatro etapas, a saber, las siguientes:</w:t>
      </w:r>
    </w:p>
    <w:p w14:paraId="4A52A7B1" w14:textId="77777777" w:rsidR="00565FB1" w:rsidRPr="009649E1" w:rsidRDefault="00565FB1" w:rsidP="00D5210E">
      <w:pPr>
        <w:widowControl w:val="0"/>
        <w:spacing w:after="0" w:line="360" w:lineRule="auto"/>
        <w:rPr>
          <w:color w:val="000000"/>
        </w:rPr>
      </w:pPr>
    </w:p>
    <w:p w14:paraId="4A1252C6" w14:textId="0D289F06" w:rsidR="00565FB1" w:rsidRPr="009649E1" w:rsidRDefault="00565FB1" w:rsidP="00E521F4">
      <w:pPr>
        <w:pStyle w:val="Prrafodelista"/>
        <w:widowControl w:val="0"/>
        <w:numPr>
          <w:ilvl w:val="0"/>
          <w:numId w:val="4"/>
        </w:numPr>
        <w:spacing w:line="360" w:lineRule="auto"/>
        <w:rPr>
          <w:color w:val="000000"/>
        </w:rPr>
      </w:pPr>
      <w:r w:rsidRPr="009649E1">
        <w:rPr>
          <w:b/>
          <w:bCs/>
          <w:color w:val="000000"/>
        </w:rPr>
        <w:t>Planeación:</w:t>
      </w:r>
      <w:r w:rsidR="00F6068C" w:rsidRPr="009649E1">
        <w:rPr>
          <w:b/>
          <w:bCs/>
          <w:color w:val="000000"/>
        </w:rPr>
        <w:t xml:space="preserve"> </w:t>
      </w:r>
      <w:r w:rsidR="00F6068C" w:rsidRPr="009649E1">
        <w:rPr>
          <w:color w:val="000000"/>
        </w:rPr>
        <w:t>Para cada Auditoría se realizará la planeación conforme al tipo y rubro sujeto auditar, determinando el alcance, objetivo y los procedimientos a realizar, por medio de la elaboración de los siguientes documentos: a) Orden de Auditoría; b) Carta de Planeación; c) Programa Específico; d) Cédula de solicitud de información; y e) Cédula de marcas.</w:t>
      </w:r>
    </w:p>
    <w:p w14:paraId="6514C1B9" w14:textId="77777777" w:rsidR="00F6068C" w:rsidRPr="009649E1" w:rsidRDefault="00F6068C" w:rsidP="00D5210E">
      <w:pPr>
        <w:pStyle w:val="Prrafodelista"/>
        <w:widowControl w:val="0"/>
        <w:spacing w:line="360" w:lineRule="auto"/>
        <w:rPr>
          <w:color w:val="000000"/>
        </w:rPr>
      </w:pPr>
    </w:p>
    <w:p w14:paraId="5D53E6A4" w14:textId="77777777" w:rsidR="00AA4A82" w:rsidRPr="009649E1" w:rsidRDefault="00565FB1" w:rsidP="00E521F4">
      <w:pPr>
        <w:pStyle w:val="Prrafodelista"/>
        <w:widowControl w:val="0"/>
        <w:numPr>
          <w:ilvl w:val="0"/>
          <w:numId w:val="4"/>
        </w:numPr>
        <w:spacing w:line="360" w:lineRule="auto"/>
        <w:rPr>
          <w:color w:val="000000"/>
        </w:rPr>
      </w:pPr>
      <w:r w:rsidRPr="009649E1">
        <w:rPr>
          <w:b/>
          <w:bCs/>
          <w:color w:val="000000"/>
        </w:rPr>
        <w:t>Ejecución:</w:t>
      </w:r>
      <w:r w:rsidR="00F6068C" w:rsidRPr="009649E1">
        <w:rPr>
          <w:b/>
          <w:bCs/>
          <w:color w:val="000000"/>
        </w:rPr>
        <w:t xml:space="preserve"> </w:t>
      </w:r>
      <w:r w:rsidR="00F6068C" w:rsidRPr="009649E1">
        <w:rPr>
          <w:color w:val="000000"/>
        </w:rPr>
        <w:t xml:space="preserve">Una vez notificada la Orden de Auditoría, se llevará una reunión la cual dará como resultado el Acta de Inicio de Auditoría y notificará la Cédula de Solicitud de </w:t>
      </w:r>
      <w:r w:rsidR="00F6068C" w:rsidRPr="009649E1">
        <w:rPr>
          <w:color w:val="000000"/>
        </w:rPr>
        <w:lastRenderedPageBreak/>
        <w:t>Información. Una vez proporcionada la información y documentación por parte del área Auditada, el Auditor procederá al análisis correspondiente.</w:t>
      </w:r>
    </w:p>
    <w:p w14:paraId="76C40E5F" w14:textId="77777777" w:rsidR="00AA4A82" w:rsidRPr="009649E1" w:rsidRDefault="00AA4A82" w:rsidP="00D5210E">
      <w:pPr>
        <w:pStyle w:val="Prrafodelista"/>
        <w:spacing w:line="360" w:lineRule="auto"/>
        <w:rPr>
          <w:color w:val="000000"/>
        </w:rPr>
      </w:pPr>
    </w:p>
    <w:p w14:paraId="0A41D796" w14:textId="77777777" w:rsidR="00AA4A82" w:rsidRPr="009649E1" w:rsidRDefault="00AA4A82" w:rsidP="00D5210E">
      <w:pPr>
        <w:pStyle w:val="Prrafodelista"/>
        <w:widowControl w:val="0"/>
        <w:spacing w:line="360" w:lineRule="auto"/>
        <w:rPr>
          <w:color w:val="000000"/>
        </w:rPr>
      </w:pPr>
      <w:r w:rsidRPr="009649E1">
        <w:rPr>
          <w:color w:val="000000"/>
        </w:rPr>
        <w:t>El Auditor deberá evaluar que la información y documentación sea pertinente, suficiente, relevante y competente para emitir resultados y en caso de que existan observaciones se registrarán en la cédulas sigueintes:</w:t>
      </w:r>
    </w:p>
    <w:p w14:paraId="42398216" w14:textId="77777777" w:rsidR="00AA4A82" w:rsidRPr="009649E1" w:rsidRDefault="00AA4A82" w:rsidP="00D5210E">
      <w:pPr>
        <w:pStyle w:val="Prrafodelista"/>
        <w:widowControl w:val="0"/>
        <w:spacing w:line="360" w:lineRule="auto"/>
        <w:rPr>
          <w:color w:val="000000"/>
        </w:rPr>
      </w:pPr>
    </w:p>
    <w:p w14:paraId="610A51DC" w14:textId="157636D1" w:rsidR="00565FB1" w:rsidRPr="009649E1" w:rsidRDefault="00AA4A82" w:rsidP="00E521F4">
      <w:pPr>
        <w:pStyle w:val="Prrafodelista"/>
        <w:widowControl w:val="0"/>
        <w:numPr>
          <w:ilvl w:val="0"/>
          <w:numId w:val="5"/>
        </w:numPr>
        <w:spacing w:line="360" w:lineRule="auto"/>
        <w:rPr>
          <w:color w:val="000000"/>
        </w:rPr>
      </w:pPr>
      <w:r w:rsidRPr="009649E1">
        <w:rPr>
          <w:color w:val="000000"/>
        </w:rPr>
        <w:t>Observaciones al Control Interno e implementación de acciones de mejoras, y</w:t>
      </w:r>
    </w:p>
    <w:p w14:paraId="6BA3624E" w14:textId="5A59EF56" w:rsidR="00AA4A82" w:rsidRPr="009649E1" w:rsidRDefault="00AA4A82" w:rsidP="00E521F4">
      <w:pPr>
        <w:pStyle w:val="Prrafodelista"/>
        <w:widowControl w:val="0"/>
        <w:numPr>
          <w:ilvl w:val="0"/>
          <w:numId w:val="5"/>
        </w:numPr>
        <w:spacing w:line="360" w:lineRule="auto"/>
        <w:rPr>
          <w:color w:val="000000"/>
        </w:rPr>
      </w:pPr>
      <w:r w:rsidRPr="009649E1">
        <w:rPr>
          <w:color w:val="000000"/>
        </w:rPr>
        <w:t>Observaciones con presunta falta adminsitrativa.</w:t>
      </w:r>
    </w:p>
    <w:p w14:paraId="1E8DCAB2" w14:textId="77777777" w:rsidR="00F6068C" w:rsidRPr="009649E1" w:rsidRDefault="00F6068C" w:rsidP="00D5210E">
      <w:pPr>
        <w:pStyle w:val="Prrafodelista"/>
        <w:spacing w:line="360" w:lineRule="auto"/>
        <w:rPr>
          <w:color w:val="000000"/>
        </w:rPr>
      </w:pPr>
    </w:p>
    <w:p w14:paraId="48420B2A" w14:textId="130AE7D3" w:rsidR="00565FB1" w:rsidRPr="009649E1" w:rsidRDefault="00565FB1" w:rsidP="00E521F4">
      <w:pPr>
        <w:pStyle w:val="Prrafodelista"/>
        <w:widowControl w:val="0"/>
        <w:numPr>
          <w:ilvl w:val="0"/>
          <w:numId w:val="4"/>
        </w:numPr>
        <w:spacing w:line="360" w:lineRule="auto"/>
        <w:rPr>
          <w:color w:val="000000"/>
        </w:rPr>
      </w:pPr>
      <w:r w:rsidRPr="009649E1">
        <w:rPr>
          <w:b/>
          <w:bCs/>
          <w:color w:val="000000"/>
        </w:rPr>
        <w:t>Elaboración del Informe de Auditoría:</w:t>
      </w:r>
      <w:r w:rsidR="00AA4A82" w:rsidRPr="009649E1">
        <w:rPr>
          <w:b/>
          <w:bCs/>
          <w:color w:val="000000"/>
        </w:rPr>
        <w:t xml:space="preserve"> </w:t>
      </w:r>
      <w:r w:rsidR="00AA4A82" w:rsidRPr="009649E1">
        <w:rPr>
          <w:color w:val="000000"/>
        </w:rPr>
        <w:t>Una vez concluidos los procedimientos de Auditoría y suscritas las cédulas de observaciones, se elaborará el Informe de Auditoría, en el cual se establecera el plazo para realizar la aclaración o solventación de las observaciones, así como, las acciones de mejora.</w:t>
      </w:r>
    </w:p>
    <w:p w14:paraId="47A85E5D" w14:textId="77777777" w:rsidR="00AA4A82" w:rsidRPr="009649E1" w:rsidRDefault="00AA4A82" w:rsidP="00D5210E">
      <w:pPr>
        <w:pStyle w:val="Prrafodelista"/>
        <w:widowControl w:val="0"/>
        <w:spacing w:line="360" w:lineRule="auto"/>
        <w:rPr>
          <w:color w:val="000000"/>
        </w:rPr>
      </w:pPr>
    </w:p>
    <w:p w14:paraId="30D6910A" w14:textId="7F10149F" w:rsidR="00565FB1" w:rsidRPr="009649E1" w:rsidRDefault="00565FB1" w:rsidP="00E521F4">
      <w:pPr>
        <w:pStyle w:val="Prrafodelista"/>
        <w:widowControl w:val="0"/>
        <w:numPr>
          <w:ilvl w:val="0"/>
          <w:numId w:val="4"/>
        </w:numPr>
        <w:spacing w:line="360" w:lineRule="auto"/>
        <w:rPr>
          <w:color w:val="000000"/>
        </w:rPr>
      </w:pPr>
      <w:r w:rsidRPr="009649E1">
        <w:rPr>
          <w:b/>
          <w:bCs/>
          <w:color w:val="000000"/>
        </w:rPr>
        <w:t>Seguimiento:</w:t>
      </w:r>
      <w:r w:rsidR="00AA4A82" w:rsidRPr="009649E1">
        <w:rPr>
          <w:b/>
          <w:bCs/>
          <w:color w:val="000000"/>
        </w:rPr>
        <w:t xml:space="preserve"> </w:t>
      </w:r>
      <w:r w:rsidR="00AA4A82" w:rsidRPr="009649E1">
        <w:rPr>
          <w:color w:val="000000"/>
        </w:rPr>
        <w:t xml:space="preserve">El Auditor dara seguimiento a las observaciones para verificar si se aclararon, para emitir la cédula de seguimiento donde se precise si se solventaron o no; mientras </w:t>
      </w:r>
      <w:r w:rsidR="00A31F41" w:rsidRPr="009649E1">
        <w:rPr>
          <w:color w:val="000000"/>
        </w:rPr>
        <w:t>que por lo que hace a las acciones de mejoras, remitida la información, se analizara con el fin de verificar si se atendieron o no y colocar el resultado en la cédula menciionada.</w:t>
      </w:r>
    </w:p>
    <w:p w14:paraId="7A349B5E" w14:textId="77777777" w:rsidR="00AB5015" w:rsidRPr="009649E1" w:rsidRDefault="00AB5015" w:rsidP="00D5210E">
      <w:pPr>
        <w:spacing w:after="0" w:line="360" w:lineRule="auto"/>
        <w:rPr>
          <w:rFonts w:eastAsia="Times New Roman" w:cs="Tahoma"/>
          <w:bCs/>
          <w:iCs/>
          <w:color w:val="auto"/>
          <w:lang w:eastAsia="es-ES"/>
        </w:rPr>
      </w:pPr>
    </w:p>
    <w:p w14:paraId="7E0307FE" w14:textId="11674008" w:rsidR="00A31F41" w:rsidRPr="009649E1" w:rsidRDefault="00A31F41" w:rsidP="00D5210E">
      <w:pPr>
        <w:spacing w:after="0" w:line="360" w:lineRule="auto"/>
        <w:rPr>
          <w:rFonts w:eastAsia="Times New Roman" w:cs="Tahoma"/>
          <w:bCs/>
          <w:iCs/>
          <w:color w:val="auto"/>
          <w:lang w:eastAsia="es-ES"/>
        </w:rPr>
      </w:pPr>
      <w:r w:rsidRPr="009649E1">
        <w:rPr>
          <w:rFonts w:eastAsia="Times New Roman" w:cs="Tahoma"/>
          <w:bCs/>
          <w:iCs/>
          <w:color w:val="auto"/>
          <w:lang w:eastAsia="es-ES"/>
        </w:rPr>
        <w:t>Finalmente, el TERCERO de los Linemientos Generales de Auditoría, precisan lo siguinte:</w:t>
      </w:r>
    </w:p>
    <w:p w14:paraId="59FBE2E5" w14:textId="77777777" w:rsidR="00A31F41" w:rsidRPr="009649E1" w:rsidRDefault="00A31F41" w:rsidP="00D5210E">
      <w:pPr>
        <w:spacing w:after="0" w:line="360" w:lineRule="auto"/>
        <w:rPr>
          <w:rFonts w:eastAsia="Times New Roman" w:cs="Tahoma"/>
          <w:bCs/>
          <w:iCs/>
          <w:color w:val="auto"/>
          <w:lang w:eastAsia="es-ES"/>
        </w:rPr>
      </w:pPr>
    </w:p>
    <w:p w14:paraId="36F1ACEA" w14:textId="7D395B27" w:rsidR="00A31F41" w:rsidRPr="009649E1" w:rsidRDefault="00A31F41" w:rsidP="00E521F4">
      <w:pPr>
        <w:pStyle w:val="Prrafodelista"/>
        <w:numPr>
          <w:ilvl w:val="0"/>
          <w:numId w:val="6"/>
        </w:numPr>
        <w:spacing w:line="360" w:lineRule="auto"/>
        <w:rPr>
          <w:rFonts w:cs="Tahoma"/>
          <w:b/>
          <w:iCs/>
          <w:color w:val="auto"/>
        </w:rPr>
      </w:pPr>
      <w:r w:rsidRPr="009649E1">
        <w:rPr>
          <w:rFonts w:cs="Tahoma"/>
          <w:b/>
          <w:iCs/>
          <w:color w:val="auto"/>
        </w:rPr>
        <w:t xml:space="preserve">Acta de inicio de Auditoría: </w:t>
      </w:r>
      <w:r w:rsidRPr="009649E1">
        <w:rPr>
          <w:rFonts w:cs="Tahoma"/>
          <w:bCs/>
          <w:iCs/>
          <w:color w:val="auto"/>
        </w:rPr>
        <w:t>Documento para hacer constar formalmente el inicio de la Auditoría;</w:t>
      </w:r>
    </w:p>
    <w:p w14:paraId="3B1C2A7B" w14:textId="77777777" w:rsidR="00A31F41" w:rsidRPr="009649E1" w:rsidRDefault="00A31F41" w:rsidP="00D5210E">
      <w:pPr>
        <w:pStyle w:val="Prrafodelista"/>
        <w:spacing w:line="360" w:lineRule="auto"/>
        <w:rPr>
          <w:rFonts w:cs="Tahoma"/>
          <w:b/>
          <w:iCs/>
          <w:color w:val="auto"/>
        </w:rPr>
      </w:pPr>
    </w:p>
    <w:p w14:paraId="4D464D28" w14:textId="29656C15" w:rsidR="00A31F41" w:rsidRPr="009649E1" w:rsidRDefault="00A31F41" w:rsidP="00E521F4">
      <w:pPr>
        <w:pStyle w:val="Prrafodelista"/>
        <w:numPr>
          <w:ilvl w:val="0"/>
          <w:numId w:val="6"/>
        </w:numPr>
        <w:spacing w:line="360" w:lineRule="auto"/>
        <w:rPr>
          <w:rFonts w:cs="Tahoma"/>
          <w:b/>
          <w:iCs/>
          <w:color w:val="auto"/>
        </w:rPr>
      </w:pPr>
      <w:r w:rsidRPr="009649E1">
        <w:rPr>
          <w:rFonts w:cs="Tahoma"/>
          <w:b/>
          <w:iCs/>
          <w:color w:val="auto"/>
        </w:rPr>
        <w:lastRenderedPageBreak/>
        <w:t xml:space="preserve">Informe de Auditoría: </w:t>
      </w:r>
      <w:r w:rsidRPr="009649E1">
        <w:rPr>
          <w:rFonts w:cs="Tahoma"/>
          <w:bCs/>
          <w:iCs/>
          <w:color w:val="auto"/>
        </w:rPr>
        <w:t>Documento emitido por autoridad competente, en el que se expresan los resultados obtenidos en el proceso de Auditoría;</w:t>
      </w:r>
    </w:p>
    <w:p w14:paraId="7AC18A7A" w14:textId="77777777" w:rsidR="00A31F41" w:rsidRPr="009649E1" w:rsidRDefault="00A31F41" w:rsidP="00D5210E">
      <w:pPr>
        <w:pStyle w:val="Prrafodelista"/>
        <w:spacing w:line="360" w:lineRule="auto"/>
        <w:rPr>
          <w:rFonts w:cs="Tahoma"/>
          <w:b/>
          <w:iCs/>
          <w:color w:val="auto"/>
        </w:rPr>
      </w:pPr>
    </w:p>
    <w:p w14:paraId="4415288D" w14:textId="26089CFF" w:rsidR="00A31F41" w:rsidRPr="009649E1" w:rsidRDefault="00A31F41" w:rsidP="00E521F4">
      <w:pPr>
        <w:pStyle w:val="Prrafodelista"/>
        <w:numPr>
          <w:ilvl w:val="0"/>
          <w:numId w:val="6"/>
        </w:numPr>
        <w:spacing w:line="360" w:lineRule="auto"/>
        <w:rPr>
          <w:rFonts w:cs="Tahoma"/>
          <w:b/>
          <w:iCs/>
          <w:color w:val="auto"/>
        </w:rPr>
      </w:pPr>
      <w:r w:rsidRPr="009649E1">
        <w:rPr>
          <w:rFonts w:cs="Tahoma"/>
          <w:b/>
          <w:iCs/>
          <w:color w:val="auto"/>
        </w:rPr>
        <w:t xml:space="preserve">Observación: </w:t>
      </w:r>
      <w:r w:rsidRPr="009649E1">
        <w:rPr>
          <w:rFonts w:cs="Tahoma"/>
          <w:bCs/>
          <w:iCs/>
          <w:color w:val="auto"/>
        </w:rPr>
        <w:t>Hallazgos detectados en el desarrollo de la Auditoría que podría constitutir un aspecto susceptible de mejora o el incumplimiento de alguna disposición legal o normativa.</w:t>
      </w:r>
    </w:p>
    <w:p w14:paraId="521370FC" w14:textId="77777777" w:rsidR="00565FB1" w:rsidRPr="009649E1" w:rsidRDefault="00565FB1" w:rsidP="00D5210E">
      <w:pPr>
        <w:spacing w:after="0" w:line="360" w:lineRule="auto"/>
        <w:rPr>
          <w:rFonts w:eastAsia="Times New Roman" w:cs="Tahoma"/>
          <w:bCs/>
          <w:iCs/>
          <w:color w:val="auto"/>
          <w:lang w:eastAsia="es-ES"/>
        </w:rPr>
      </w:pPr>
    </w:p>
    <w:p w14:paraId="700D9583" w14:textId="7EFEF641" w:rsidR="006D225A" w:rsidRPr="009649E1" w:rsidRDefault="00A31F41" w:rsidP="00D5210E">
      <w:pPr>
        <w:tabs>
          <w:tab w:val="left" w:pos="4962"/>
        </w:tabs>
        <w:spacing w:after="0" w:line="360" w:lineRule="auto"/>
        <w:rPr>
          <w:rFonts w:eastAsia="Times New Roman" w:cs="Tahoma"/>
          <w:bCs/>
          <w:iCs/>
          <w:color w:val="auto"/>
          <w:lang w:eastAsia="es-ES"/>
        </w:rPr>
      </w:pPr>
      <w:r w:rsidRPr="009649E1">
        <w:rPr>
          <w:rFonts w:eastAsia="Times New Roman" w:cs="Tahoma"/>
          <w:bCs/>
          <w:iCs/>
          <w:color w:val="auto"/>
          <w:lang w:eastAsia="es-ES"/>
        </w:rPr>
        <w:t>Ahora bien, es necesario precisar que la solicitud de información no es clara en los documentos a los cuales requiere tener acceso, pues requiere la respuesta de determinadas áreas y las auditorías realizadas; por lo que, este Instituto considera en atención a</w:t>
      </w:r>
      <w:r w:rsidR="000E6E93" w:rsidRPr="009649E1">
        <w:rPr>
          <w:rFonts w:eastAsia="Times New Roman" w:cs="Tahoma"/>
          <w:bCs/>
          <w:iCs/>
          <w:color w:val="auto"/>
          <w:lang w:eastAsia="es-ES"/>
        </w:rPr>
        <w:t>l artículo 13 de la Ley de Transparencia y Acceso a la Información Publica,  que la pretensión del Recurrente es obtener:</w:t>
      </w:r>
    </w:p>
    <w:p w14:paraId="4BDD0E9B" w14:textId="77777777" w:rsidR="000E6E93" w:rsidRPr="009649E1" w:rsidRDefault="000E6E93" w:rsidP="00D5210E">
      <w:pPr>
        <w:tabs>
          <w:tab w:val="left" w:pos="4962"/>
        </w:tabs>
        <w:spacing w:after="0" w:line="360" w:lineRule="auto"/>
        <w:rPr>
          <w:rFonts w:eastAsia="Times New Roman" w:cs="Tahoma"/>
          <w:bCs/>
          <w:iCs/>
          <w:color w:val="auto"/>
          <w:lang w:eastAsia="es-ES"/>
        </w:rPr>
      </w:pPr>
    </w:p>
    <w:p w14:paraId="0A30CCC7" w14:textId="795FB9EE" w:rsidR="000E6E93" w:rsidRPr="009649E1" w:rsidRDefault="000E6E93" w:rsidP="00E521F4">
      <w:pPr>
        <w:pStyle w:val="Prrafodelista"/>
        <w:numPr>
          <w:ilvl w:val="0"/>
          <w:numId w:val="7"/>
        </w:numPr>
        <w:tabs>
          <w:tab w:val="left" w:pos="4962"/>
        </w:tabs>
        <w:spacing w:line="360" w:lineRule="auto"/>
        <w:rPr>
          <w:rFonts w:cs="Tahoma"/>
          <w:bCs/>
          <w:iCs/>
          <w:color w:val="auto"/>
        </w:rPr>
      </w:pPr>
      <w:r w:rsidRPr="009649E1">
        <w:rPr>
          <w:rFonts w:cs="Tahoma"/>
          <w:bCs/>
          <w:iCs/>
          <w:color w:val="auto"/>
        </w:rPr>
        <w:t>El Informe de Auditoría, que contiene la información de los procesos realizados hasta su conclusión y con la cual se da por concluida la Auditoría; esto es, dicho documento da. Cuenta de la realización de una auditoría, pues es un resumen de todo lo sucedido en la Auditoría.</w:t>
      </w:r>
    </w:p>
    <w:p w14:paraId="280A8A7A" w14:textId="77777777" w:rsidR="000E6E93" w:rsidRPr="009649E1" w:rsidRDefault="000E6E93" w:rsidP="00D5210E">
      <w:pPr>
        <w:pStyle w:val="Prrafodelista"/>
        <w:tabs>
          <w:tab w:val="left" w:pos="4962"/>
        </w:tabs>
        <w:spacing w:line="360" w:lineRule="auto"/>
        <w:rPr>
          <w:rFonts w:cs="Tahoma"/>
          <w:bCs/>
          <w:iCs/>
          <w:color w:val="auto"/>
        </w:rPr>
      </w:pPr>
    </w:p>
    <w:p w14:paraId="565C7AE3" w14:textId="7158FB6C" w:rsidR="000E6E93" w:rsidRPr="009649E1" w:rsidRDefault="000E6E93" w:rsidP="00E521F4">
      <w:pPr>
        <w:pStyle w:val="Prrafodelista"/>
        <w:numPr>
          <w:ilvl w:val="0"/>
          <w:numId w:val="7"/>
        </w:numPr>
        <w:tabs>
          <w:tab w:val="left" w:pos="4962"/>
        </w:tabs>
        <w:spacing w:line="360" w:lineRule="auto"/>
        <w:rPr>
          <w:rFonts w:cs="Tahoma"/>
          <w:bCs/>
          <w:iCs/>
          <w:color w:val="auto"/>
        </w:rPr>
      </w:pPr>
      <w:r w:rsidRPr="009649E1">
        <w:rPr>
          <w:rFonts w:cs="Tahoma"/>
          <w:bCs/>
          <w:iCs/>
          <w:color w:val="auto"/>
        </w:rPr>
        <w:t>Los documentos mediante los cuales se solventaron o atedieron las observaciones emitidas en la Auditoría; al ser las expresiones documentales emitidas por la parte auditada, para dar contestación o respuesta a las observaciones, por lo que, son los únicos que darían cuenta de una respuesta.</w:t>
      </w:r>
    </w:p>
    <w:p w14:paraId="1547C133" w14:textId="77777777" w:rsidR="00A31F41" w:rsidRPr="009649E1" w:rsidRDefault="00A31F41" w:rsidP="00D5210E">
      <w:pPr>
        <w:tabs>
          <w:tab w:val="left" w:pos="4962"/>
        </w:tabs>
        <w:spacing w:after="0" w:line="360" w:lineRule="auto"/>
        <w:rPr>
          <w:rFonts w:cs="Tahoma"/>
          <w:bCs/>
          <w:iCs/>
          <w:color w:val="auto"/>
        </w:rPr>
      </w:pPr>
    </w:p>
    <w:p w14:paraId="18D16EC9" w14:textId="2BD69664" w:rsidR="000E6E93" w:rsidRPr="009649E1" w:rsidRDefault="000E6E93" w:rsidP="00D5210E">
      <w:pPr>
        <w:spacing w:after="0" w:line="360" w:lineRule="auto"/>
        <w:rPr>
          <w:rFonts w:eastAsia="Times New Roman" w:cs="Tahoma"/>
          <w:color w:val="auto"/>
          <w:szCs w:val="24"/>
          <w:lang w:val="es-ES" w:eastAsia="es-ES"/>
        </w:rPr>
      </w:pPr>
      <w:r w:rsidRPr="009649E1">
        <w:rPr>
          <w:rFonts w:eastAsia="Times New Roman" w:cs="Tahoma"/>
          <w:color w:val="auto"/>
          <w:szCs w:val="24"/>
          <w:lang w:val="es-ES" w:eastAsia="es-ES"/>
        </w:rPr>
        <w:t>Cabe precisar que el Particular no señaló el periodo del cual solicitó la información, en el requerimiento informativo número 00379/SF/IP/2024, por lo que se estará a lo establecido en el Criterio de Interpretación, con clave de control SO/003/2019, de la Segunda Época, emitido por el Instituto Nacional de Transparencia, Acceso a la Información y Protección de Datos Personales, que señala lo siguiente:</w:t>
      </w:r>
    </w:p>
    <w:p w14:paraId="3593C81F" w14:textId="77777777" w:rsidR="000E6E93" w:rsidRPr="009649E1" w:rsidRDefault="000E6E93" w:rsidP="00D5210E">
      <w:pPr>
        <w:spacing w:after="0" w:line="360" w:lineRule="auto"/>
        <w:rPr>
          <w:rFonts w:eastAsia="Times New Roman" w:cs="Tahoma"/>
          <w:color w:val="auto"/>
          <w:szCs w:val="24"/>
          <w:lang w:val="es-ES" w:eastAsia="es-ES"/>
        </w:rPr>
      </w:pPr>
    </w:p>
    <w:p w14:paraId="01712276" w14:textId="77777777" w:rsidR="000E6E93" w:rsidRPr="009649E1" w:rsidRDefault="000E6E93" w:rsidP="00D5210E">
      <w:pPr>
        <w:spacing w:after="0" w:line="360" w:lineRule="auto"/>
        <w:ind w:left="567" w:right="567"/>
        <w:rPr>
          <w:rFonts w:eastAsia="Times New Roman" w:cs="Tahoma"/>
          <w:i/>
          <w:iCs/>
          <w:color w:val="auto"/>
          <w:sz w:val="20"/>
          <w:lang w:val="es-ES" w:eastAsia="es-ES"/>
        </w:rPr>
      </w:pPr>
      <w:r w:rsidRPr="009649E1">
        <w:rPr>
          <w:rFonts w:eastAsia="Times New Roman" w:cs="Tahoma"/>
          <w:i/>
          <w:iCs/>
          <w:color w:val="auto"/>
          <w:sz w:val="20"/>
          <w:lang w:val="es-ES" w:eastAsia="es-ES"/>
        </w:rPr>
        <w:t>“</w:t>
      </w:r>
      <w:r w:rsidRPr="009649E1">
        <w:rPr>
          <w:rFonts w:eastAsia="Times New Roman" w:cs="Tahoma"/>
          <w:b/>
          <w:bCs/>
          <w:i/>
          <w:iCs/>
          <w:color w:val="auto"/>
          <w:sz w:val="20"/>
          <w:lang w:val="es-ES" w:eastAsia="es-ES"/>
        </w:rPr>
        <w:t>Periodo de búsqueda de la información.</w:t>
      </w:r>
      <w:r w:rsidRPr="009649E1">
        <w:rPr>
          <w:rFonts w:eastAsia="Times New Roman" w:cs="Tahoma"/>
          <w:i/>
          <w:iCs/>
          <w:color w:val="auto"/>
          <w:sz w:val="20"/>
          <w:lang w:val="es-ES" w:eastAsia="es-ES"/>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6C43AA22" w14:textId="77777777" w:rsidR="000E6E93" w:rsidRPr="009649E1" w:rsidRDefault="000E6E93" w:rsidP="00D5210E">
      <w:pPr>
        <w:spacing w:after="0" w:line="360" w:lineRule="auto"/>
        <w:contextualSpacing/>
        <w:rPr>
          <w:rFonts w:eastAsia="Times New Roman" w:cs="Tahoma"/>
          <w:bCs/>
          <w:iCs/>
          <w:color w:val="auto"/>
          <w:lang w:eastAsia="es-ES"/>
        </w:rPr>
      </w:pPr>
    </w:p>
    <w:p w14:paraId="7AE2CD11" w14:textId="5C1F5FAA" w:rsidR="000E6E93" w:rsidRPr="009649E1" w:rsidRDefault="000E6E93" w:rsidP="00D5210E">
      <w:pPr>
        <w:spacing w:after="0" w:line="360" w:lineRule="auto"/>
        <w:rPr>
          <w:rFonts w:cs="Tahoma"/>
          <w:bCs/>
          <w:iCs/>
          <w:color w:val="auto"/>
        </w:rPr>
      </w:pPr>
      <w:r w:rsidRPr="009649E1">
        <w:rPr>
          <w:rFonts w:eastAsia="Calibri" w:cs="Tahoma"/>
          <w:bCs/>
          <w:color w:val="auto"/>
        </w:rPr>
        <w:t xml:space="preserve">Conforme a lo anterior, se logra vislumbrar que la pretensión de la persona Recurrente es obtener el Informe de Auditorías y los documentos </w:t>
      </w:r>
      <w:r w:rsidRPr="009649E1">
        <w:rPr>
          <w:rFonts w:cs="Tahoma"/>
          <w:bCs/>
          <w:iCs/>
          <w:color w:val="auto"/>
        </w:rPr>
        <w:t>mediante los cuales se solventaron o atedieron las observaciones emitidas,</w:t>
      </w:r>
      <w:r w:rsidR="00A66C07" w:rsidRPr="009649E1">
        <w:rPr>
          <w:rFonts w:cs="Tahoma"/>
          <w:bCs/>
          <w:iCs/>
          <w:color w:val="auto"/>
        </w:rPr>
        <w:t xml:space="preserve"> a las Auditorías realizadas a las siguientes áreas:</w:t>
      </w:r>
    </w:p>
    <w:p w14:paraId="09F51CED" w14:textId="77777777" w:rsidR="00A66C07" w:rsidRPr="009649E1" w:rsidRDefault="00A66C07" w:rsidP="00D5210E">
      <w:pPr>
        <w:spacing w:after="0" w:line="360" w:lineRule="auto"/>
        <w:rPr>
          <w:rFonts w:cs="Tahoma"/>
          <w:bCs/>
          <w:iCs/>
          <w:color w:val="auto"/>
        </w:rPr>
      </w:pPr>
    </w:p>
    <w:p w14:paraId="752B6BF0" w14:textId="2715A917" w:rsidR="00A66C07" w:rsidRPr="009649E1" w:rsidRDefault="00A66C07" w:rsidP="00E521F4">
      <w:pPr>
        <w:pStyle w:val="Prrafodelista"/>
        <w:widowControl w:val="0"/>
        <w:numPr>
          <w:ilvl w:val="0"/>
          <w:numId w:val="2"/>
        </w:numPr>
        <w:spacing w:line="360" w:lineRule="auto"/>
        <w:rPr>
          <w:color w:val="000000"/>
        </w:rPr>
      </w:pPr>
      <w:r w:rsidRPr="009649E1">
        <w:rPr>
          <w:color w:val="000000"/>
        </w:rPr>
        <w:t xml:space="preserve">A la Dirección General de Tesorería, y </w:t>
      </w:r>
      <w:r w:rsidR="00DF6A71" w:rsidRPr="009649E1">
        <w:rPr>
          <w:color w:val="000000"/>
        </w:rPr>
        <w:t>las áreas que la conforman</w:t>
      </w:r>
      <w:r w:rsidRPr="009649E1">
        <w:rPr>
          <w:color w:val="000000"/>
        </w:rPr>
        <w:t>, del cuatro de junio de dos mil veintitrés al cuatro de junio de dos mil veinticuatro, y</w:t>
      </w:r>
    </w:p>
    <w:p w14:paraId="1DD8BB7E" w14:textId="77777777" w:rsidR="00A66C07" w:rsidRPr="009649E1" w:rsidRDefault="00A66C07" w:rsidP="00D5210E">
      <w:pPr>
        <w:pStyle w:val="Prrafodelista"/>
        <w:widowControl w:val="0"/>
        <w:spacing w:line="360" w:lineRule="auto"/>
        <w:rPr>
          <w:color w:val="000000"/>
        </w:rPr>
      </w:pPr>
    </w:p>
    <w:p w14:paraId="1E9D9A6E" w14:textId="6225E36D" w:rsidR="00A66C07" w:rsidRPr="009649E1" w:rsidRDefault="00A66C07" w:rsidP="00E521F4">
      <w:pPr>
        <w:pStyle w:val="Prrafodelista"/>
        <w:widowControl w:val="0"/>
        <w:numPr>
          <w:ilvl w:val="0"/>
          <w:numId w:val="2"/>
        </w:numPr>
        <w:spacing w:line="360" w:lineRule="auto"/>
        <w:rPr>
          <w:color w:val="000000"/>
        </w:rPr>
      </w:pPr>
      <w:r w:rsidRPr="009649E1">
        <w:rPr>
          <w:color w:val="000000"/>
        </w:rPr>
        <w:t xml:space="preserve">A la Subsecretaría de Tesorería y </w:t>
      </w:r>
      <w:r w:rsidR="00DF6A71" w:rsidRPr="009649E1">
        <w:rPr>
          <w:color w:val="000000"/>
        </w:rPr>
        <w:t>las áreas que la conforman</w:t>
      </w:r>
      <w:r w:rsidRPr="009649E1">
        <w:rPr>
          <w:color w:val="000000"/>
        </w:rPr>
        <w:t>, del primero de octubre de dos mil veintitrés al treinta y uno de mayo de dos mil veinticuatro.</w:t>
      </w:r>
    </w:p>
    <w:p w14:paraId="2337E5D7" w14:textId="77777777" w:rsidR="00A31F41" w:rsidRPr="009649E1" w:rsidRDefault="00A31F41" w:rsidP="00D5210E">
      <w:pPr>
        <w:tabs>
          <w:tab w:val="left" w:pos="4962"/>
        </w:tabs>
        <w:spacing w:after="0" w:line="360" w:lineRule="auto"/>
        <w:ind w:right="539"/>
        <w:rPr>
          <w:rFonts w:eastAsia="Times New Roman" w:cs="Tahoma"/>
          <w:bCs/>
          <w:iCs/>
          <w:color w:val="auto"/>
          <w:lang w:eastAsia="es-ES"/>
        </w:rPr>
      </w:pPr>
    </w:p>
    <w:p w14:paraId="1220C512" w14:textId="0F72C434" w:rsidR="006B4708" w:rsidRPr="009649E1" w:rsidRDefault="006B4708" w:rsidP="00D5210E">
      <w:pPr>
        <w:tabs>
          <w:tab w:val="left" w:pos="4962"/>
        </w:tabs>
        <w:spacing w:after="0" w:line="360" w:lineRule="auto"/>
        <w:rPr>
          <w:rFonts w:eastAsiaTheme="minorHAnsi" w:cstheme="minorBidi"/>
          <w:b/>
          <w:lang w:eastAsia="en-US"/>
        </w:rPr>
      </w:pPr>
      <w:r w:rsidRPr="009649E1">
        <w:rPr>
          <w:rFonts w:eastAsia="Times New Roman" w:cs="Tahoma"/>
          <w:bCs/>
          <w:iCs/>
          <w:color w:val="auto"/>
          <w:lang w:eastAsia="es-ES"/>
        </w:rPr>
        <w:t>Establecido lo anterior, en respuesta el Sujeto Obligado señaló que era incompetente para conocer de lo solicitado, al ser la Secretaría de la Contraloría el ente con atribuciones para concer con lo peticionado; sobre el tema,</w:t>
      </w:r>
      <w:r w:rsidRPr="009649E1">
        <w:rPr>
          <w:rFonts w:eastAsiaTheme="minorHAnsi" w:cstheme="minorBidi"/>
          <w:lang w:eastAsia="en-US"/>
        </w:rPr>
        <w:t xml:space="preserve"> los artículos 49, fracción II, 53, fracción III y 167 de la Ley de Transparencia y Acceso a la Información Pública del Estado de México y Municipios, precisan que las Unidades de Transparencia son responsables de orientar a los particulares respecto de la dependencia, entidad u órgano que pudiera tener la información requerida, </w:t>
      </w:r>
      <w:r w:rsidRPr="009649E1">
        <w:rPr>
          <w:rFonts w:eastAsiaTheme="minorHAnsi" w:cstheme="minorBidi"/>
          <w:b/>
          <w:lang w:eastAsia="en-US"/>
        </w:rPr>
        <w:t>cuando la misma no sea competencia del sujeto obligado ante el cual se formule la solicitud de acceso.</w:t>
      </w:r>
    </w:p>
    <w:p w14:paraId="0E3507BA" w14:textId="77777777" w:rsidR="006B4708" w:rsidRPr="009649E1" w:rsidRDefault="006B4708" w:rsidP="00D5210E">
      <w:pPr>
        <w:spacing w:after="0" w:line="360" w:lineRule="auto"/>
        <w:contextualSpacing/>
        <w:rPr>
          <w:rFonts w:eastAsiaTheme="minorHAnsi" w:cstheme="minorBidi"/>
          <w:b/>
          <w:lang w:eastAsia="en-US"/>
        </w:rPr>
      </w:pPr>
    </w:p>
    <w:p w14:paraId="2376294A" w14:textId="77777777" w:rsidR="006B4708" w:rsidRPr="009649E1" w:rsidRDefault="006B4708" w:rsidP="00D5210E">
      <w:pPr>
        <w:spacing w:after="0" w:line="360" w:lineRule="auto"/>
        <w:contextualSpacing/>
        <w:rPr>
          <w:rFonts w:eastAsiaTheme="minorHAnsi" w:cstheme="minorBidi"/>
          <w:lang w:eastAsia="en-US"/>
        </w:rPr>
      </w:pPr>
      <w:r w:rsidRPr="009649E1">
        <w:rPr>
          <w:rFonts w:eastAsiaTheme="minorHAnsi" w:cstheme="minorBidi"/>
          <w:lang w:eastAsia="en-US"/>
        </w:rPr>
        <w:t xml:space="preserve">Asimismo, que los Comités de Transparencia tienen entre sus atribuciones confirmar, modificar o revocar la </w:t>
      </w:r>
      <w:r w:rsidRPr="009649E1">
        <w:rPr>
          <w:rFonts w:eastAsiaTheme="minorHAnsi" w:cstheme="minorBidi"/>
          <w:b/>
          <w:lang w:eastAsia="en-US"/>
        </w:rPr>
        <w:t>declaración de incompetencia</w:t>
      </w:r>
      <w:r w:rsidRPr="009649E1">
        <w:rPr>
          <w:rFonts w:eastAsiaTheme="minorHAnsi" w:cstheme="minorBidi"/>
          <w:lang w:eastAsia="en-US"/>
        </w:rPr>
        <w:t xml:space="preserve"> que realicen los titulares de las unidades administrativas.</w:t>
      </w:r>
    </w:p>
    <w:p w14:paraId="071AB0A3" w14:textId="77777777" w:rsidR="006B4708" w:rsidRPr="009649E1" w:rsidRDefault="006B4708" w:rsidP="00D5210E">
      <w:pPr>
        <w:spacing w:after="0" w:line="360" w:lineRule="auto"/>
        <w:contextualSpacing/>
        <w:rPr>
          <w:rFonts w:eastAsiaTheme="minorHAnsi" w:cstheme="minorBidi"/>
          <w:lang w:eastAsia="en-US"/>
        </w:rPr>
      </w:pPr>
    </w:p>
    <w:p w14:paraId="25F70BE6" w14:textId="77777777" w:rsidR="006B4708" w:rsidRPr="009649E1" w:rsidRDefault="006B4708" w:rsidP="00D5210E">
      <w:pPr>
        <w:spacing w:after="0" w:line="360" w:lineRule="auto"/>
        <w:contextualSpacing/>
        <w:rPr>
          <w:rFonts w:eastAsiaTheme="minorHAnsi" w:cstheme="minorBidi"/>
          <w:lang w:eastAsia="en-US"/>
        </w:rPr>
      </w:pPr>
      <w:r w:rsidRPr="009649E1">
        <w:rPr>
          <w:rFonts w:eastAsiaTheme="minorHAnsi" w:cstheme="minorBidi"/>
          <w:lang w:eastAsia="en-US"/>
        </w:rPr>
        <w:t xml:space="preserve">En esa tesitura, cuando las Unidades de Transparencia determinen </w:t>
      </w:r>
      <w:r w:rsidRPr="009649E1">
        <w:rPr>
          <w:rFonts w:eastAsiaTheme="minorHAnsi" w:cstheme="minorBidi"/>
          <w:b/>
          <w:lang w:eastAsia="en-US"/>
        </w:rPr>
        <w:t>la notoria incompetencia</w:t>
      </w:r>
      <w:r w:rsidRPr="009649E1">
        <w:rPr>
          <w:rFonts w:eastAsiaTheme="minorHAnsi" w:cstheme="minorBidi"/>
          <w:lang w:eastAsia="en-US"/>
        </w:rPr>
        <w:t xml:space="preserve"> por parte de los sujetos obligados deberán comunicar al solicitante la misma dentro de los tres días posteriores a la recepción de la solicitud, situación que no fue observada.</w:t>
      </w:r>
    </w:p>
    <w:p w14:paraId="11903041" w14:textId="77777777" w:rsidR="006B4708" w:rsidRPr="009649E1" w:rsidRDefault="006B4708" w:rsidP="00D5210E">
      <w:pPr>
        <w:spacing w:after="0" w:line="360" w:lineRule="auto"/>
        <w:contextualSpacing/>
        <w:rPr>
          <w:rFonts w:eastAsiaTheme="minorHAnsi" w:cstheme="minorBidi"/>
          <w:lang w:eastAsia="en-US"/>
        </w:rPr>
      </w:pPr>
    </w:p>
    <w:p w14:paraId="6397DBD8" w14:textId="77777777" w:rsidR="006B4708" w:rsidRPr="009649E1" w:rsidRDefault="006B4708" w:rsidP="00D5210E">
      <w:pPr>
        <w:spacing w:after="0" w:line="360" w:lineRule="auto"/>
        <w:contextualSpacing/>
        <w:rPr>
          <w:rFonts w:eastAsiaTheme="minorHAnsi" w:cstheme="minorBidi"/>
          <w:bCs/>
          <w:lang w:eastAsia="en-US"/>
        </w:rPr>
      </w:pPr>
      <w:r w:rsidRPr="009649E1">
        <w:rPr>
          <w:rFonts w:eastAsiaTheme="minorHAnsi" w:cstheme="minorBidi"/>
          <w:lang w:eastAsia="en-US"/>
        </w:rPr>
        <w:t>Como se logra observar, si bien la Ley de la materia, prevé el supuesto de incompetencia para que los sujetos obligados den atención a solitudes de información, también lo es, que no se precisa en que consiste dicho concepto; sobre dicha situación</w:t>
      </w:r>
      <w:r w:rsidRPr="009649E1">
        <w:rPr>
          <w:rFonts w:eastAsiaTheme="minorHAnsi" w:cstheme="minorBidi"/>
          <w:lang w:val="es-ES_tradnl" w:eastAsia="en-US"/>
        </w:rPr>
        <w:t>,</w:t>
      </w:r>
      <w:r w:rsidRPr="009649E1">
        <w:rPr>
          <w:rFonts w:eastAsiaTheme="minorHAnsi" w:cstheme="minorBidi"/>
          <w:lang w:eastAsia="en-US"/>
        </w:rPr>
        <w:t xml:space="preserve"> </w:t>
      </w:r>
      <w:r w:rsidRPr="009649E1">
        <w:rPr>
          <w:rFonts w:eastAsiaTheme="minorHAnsi" w:cstheme="minorBidi"/>
          <w:bCs/>
          <w:lang w:eastAsia="en-US"/>
        </w:rPr>
        <w:t>según Cabanellas, Guillermo (1993), en el “Diccionario Jurídico Elemental” (p. 32 y 161), precisó los siguientes conceptos:</w:t>
      </w:r>
    </w:p>
    <w:p w14:paraId="53D9CA14" w14:textId="77777777" w:rsidR="006B4708" w:rsidRPr="009649E1" w:rsidRDefault="006B4708" w:rsidP="00D5210E">
      <w:pPr>
        <w:spacing w:after="0" w:line="360" w:lineRule="auto"/>
        <w:contextualSpacing/>
        <w:rPr>
          <w:rFonts w:eastAsiaTheme="minorHAnsi" w:cstheme="minorBidi"/>
          <w:bCs/>
          <w:lang w:eastAsia="en-US"/>
        </w:rPr>
      </w:pPr>
    </w:p>
    <w:p w14:paraId="2315AADC" w14:textId="5BF0BA18" w:rsidR="006B4708" w:rsidRPr="009649E1" w:rsidRDefault="006B4708" w:rsidP="00E521F4">
      <w:pPr>
        <w:numPr>
          <w:ilvl w:val="0"/>
          <w:numId w:val="8"/>
        </w:numPr>
        <w:spacing w:after="0" w:line="360" w:lineRule="auto"/>
        <w:contextualSpacing/>
        <w:rPr>
          <w:rFonts w:eastAsiaTheme="minorHAnsi" w:cstheme="minorBidi"/>
          <w:bCs/>
          <w:lang w:eastAsia="en-US"/>
        </w:rPr>
      </w:pPr>
      <w:r w:rsidRPr="009649E1">
        <w:rPr>
          <w:rFonts w:eastAsiaTheme="minorHAnsi" w:cstheme="minorBidi"/>
          <w:b/>
          <w:bCs/>
          <w:lang w:eastAsia="en-US"/>
        </w:rPr>
        <w:t xml:space="preserve">Competencia: </w:t>
      </w:r>
      <w:r w:rsidRPr="009649E1">
        <w:rPr>
          <w:rFonts w:eastAsiaTheme="minorHAnsi" w:cstheme="minorBidi"/>
          <w:bCs/>
          <w:lang w:eastAsia="en-US"/>
        </w:rPr>
        <w:t>La capacidad de una autoridad para conocer sobre una materia o asunto.</w:t>
      </w:r>
    </w:p>
    <w:p w14:paraId="11486FA6" w14:textId="77777777" w:rsidR="006B4708" w:rsidRPr="009649E1" w:rsidRDefault="006B4708" w:rsidP="00E521F4">
      <w:pPr>
        <w:numPr>
          <w:ilvl w:val="0"/>
          <w:numId w:val="8"/>
        </w:numPr>
        <w:spacing w:after="0" w:line="360" w:lineRule="auto"/>
        <w:contextualSpacing/>
        <w:rPr>
          <w:rFonts w:eastAsiaTheme="minorHAnsi" w:cstheme="minorBidi"/>
          <w:bCs/>
          <w:lang w:eastAsia="en-US"/>
        </w:rPr>
      </w:pPr>
      <w:r w:rsidRPr="009649E1">
        <w:rPr>
          <w:rFonts w:eastAsiaTheme="minorHAnsi" w:cstheme="minorBidi"/>
          <w:b/>
          <w:bCs/>
          <w:lang w:eastAsia="en-US"/>
        </w:rPr>
        <w:t>Incompetencia:</w:t>
      </w:r>
      <w:r w:rsidRPr="009649E1">
        <w:rPr>
          <w:rFonts w:eastAsiaTheme="minorHAnsi" w:cstheme="minorBidi"/>
          <w:bCs/>
          <w:lang w:eastAsia="en-US"/>
        </w:rPr>
        <w:t xml:space="preserve"> Falta de Competencia.</w:t>
      </w:r>
    </w:p>
    <w:p w14:paraId="22EFEFD9" w14:textId="77777777" w:rsidR="006B4708" w:rsidRPr="009649E1" w:rsidRDefault="006B4708" w:rsidP="00D5210E">
      <w:pPr>
        <w:spacing w:after="0" w:line="360" w:lineRule="auto"/>
        <w:contextualSpacing/>
        <w:rPr>
          <w:rFonts w:eastAsiaTheme="minorHAnsi" w:cstheme="minorBidi"/>
          <w:lang w:eastAsia="en-US"/>
        </w:rPr>
      </w:pPr>
    </w:p>
    <w:p w14:paraId="69D128AD" w14:textId="77777777" w:rsidR="006B4708" w:rsidRPr="009649E1" w:rsidRDefault="006B4708" w:rsidP="00D5210E">
      <w:pPr>
        <w:spacing w:after="0" w:line="360" w:lineRule="auto"/>
        <w:contextualSpacing/>
        <w:rPr>
          <w:rFonts w:eastAsiaTheme="minorHAnsi" w:cstheme="minorBidi"/>
          <w:lang w:eastAsia="en-US"/>
        </w:rPr>
      </w:pPr>
      <w:r w:rsidRPr="009649E1">
        <w:rPr>
          <w:rFonts w:eastAsiaTheme="minorHAnsi" w:cstheme="minorBidi"/>
          <w:lang w:val="es-ES_tradnl" w:eastAsia="en-US"/>
        </w:rPr>
        <w:t xml:space="preserve">Por lo que, </w:t>
      </w:r>
      <w:r w:rsidRPr="009649E1">
        <w:rPr>
          <w:rFonts w:eastAsiaTheme="minorHAnsi" w:cstheme="minorBidi"/>
          <w:b/>
          <w:lang w:val="es-ES_tradnl" w:eastAsia="en-US"/>
        </w:rPr>
        <w:t>la incompetencia</w:t>
      </w:r>
      <w:r w:rsidRPr="009649E1">
        <w:rPr>
          <w:rFonts w:eastAsiaTheme="minorHAnsi" w:cstheme="minorBidi"/>
          <w:lang w:val="es-ES_tradnl" w:eastAsia="en-US"/>
        </w:rPr>
        <w:t>, radica en la incapacidad de una autoridad para conocer de un tema o asunto; en el mismo sentido, conviene traer al presente estudio la tesis</w:t>
      </w:r>
      <w:r w:rsidRPr="009649E1">
        <w:rPr>
          <w:rFonts w:eastAsiaTheme="minorHAnsi" w:cstheme="minorBidi"/>
          <w:lang w:eastAsia="en-US"/>
        </w:rPr>
        <w:t xml:space="preserve"> aislada, con número de registro: 186917, publicada en el Semanario Judicial de la Federación y su Gaceta, Novena Época, Tomo XV, Mayo de 2002, Pág. 1243, cuyo texto y rubro es el siguiente:</w:t>
      </w:r>
    </w:p>
    <w:p w14:paraId="181274AE" w14:textId="77777777" w:rsidR="006B4708" w:rsidRPr="009649E1" w:rsidRDefault="006B4708" w:rsidP="00D5210E">
      <w:pPr>
        <w:spacing w:after="0" w:line="360" w:lineRule="auto"/>
        <w:contextualSpacing/>
        <w:rPr>
          <w:rFonts w:eastAsiaTheme="minorHAnsi" w:cstheme="minorBidi"/>
          <w:lang w:val="es-ES_tradnl" w:eastAsia="en-US"/>
        </w:rPr>
      </w:pPr>
    </w:p>
    <w:p w14:paraId="1712E60B" w14:textId="77777777" w:rsidR="006B4708" w:rsidRPr="009649E1" w:rsidRDefault="006B4708" w:rsidP="00D5210E">
      <w:pPr>
        <w:spacing w:after="0" w:line="360" w:lineRule="auto"/>
        <w:ind w:left="567" w:right="567"/>
        <w:contextualSpacing/>
        <w:rPr>
          <w:rFonts w:eastAsiaTheme="minorHAnsi" w:cstheme="minorBidi"/>
          <w:i/>
          <w:sz w:val="20"/>
          <w:szCs w:val="20"/>
          <w:lang w:val="es-ES_tradnl" w:eastAsia="en-US"/>
        </w:rPr>
      </w:pPr>
      <w:r w:rsidRPr="009649E1">
        <w:rPr>
          <w:rFonts w:eastAsiaTheme="minorHAnsi" w:cstheme="minorBidi"/>
          <w:b/>
          <w:bCs/>
          <w:i/>
          <w:sz w:val="20"/>
          <w:szCs w:val="20"/>
          <w:lang w:val="es-ES_tradnl" w:eastAsia="en-US"/>
        </w:rPr>
        <w:t xml:space="preserve">“LEGITIMACIÓN DE FUNCIONARIOS PÚBLICOS. LOS TRIBUNALES DE AMPARO, POR ESTAR VINCULADOS CON EL CONCEPTO DE COMPETENCIA A QUE SE REFIERE EL ARTÍCULO 16 CONSTITUCIONAL, NO PUEDEN CONOCER DE AQUÉLLA. </w:t>
      </w:r>
      <w:r w:rsidRPr="009649E1">
        <w:rPr>
          <w:rFonts w:eastAsiaTheme="minorHAnsi" w:cstheme="minorBidi"/>
          <w:i/>
          <w:sz w:val="20"/>
          <w:szCs w:val="20"/>
          <w:lang w:val="es-ES_tradnl" w:eastAsia="en-US"/>
        </w:rPr>
        <w:t>El artículo </w:t>
      </w:r>
      <w:hyperlink r:id="rId9" w:history="1">
        <w:r w:rsidRPr="009649E1">
          <w:rPr>
            <w:rFonts w:eastAsiaTheme="minorHAnsi" w:cstheme="minorBidi"/>
            <w:i/>
            <w:color w:val="0563C1" w:themeColor="hyperlink"/>
            <w:sz w:val="20"/>
            <w:szCs w:val="20"/>
            <w:u w:val="single"/>
            <w:lang w:val="es-ES_tradnl" w:eastAsia="en-US"/>
          </w:rPr>
          <w:t>16 constitucional</w:t>
        </w:r>
      </w:hyperlink>
      <w:r w:rsidRPr="009649E1">
        <w:rPr>
          <w:rFonts w:eastAsiaTheme="minorHAnsi" w:cstheme="minorBidi"/>
          <w:i/>
          <w:sz w:val="20"/>
          <w:szCs w:val="20"/>
          <w:lang w:val="es-ES_tradnl" w:eastAsia="en-US"/>
        </w:rPr>
        <w:t xml:space="preserve">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w:t>
      </w:r>
      <w:r w:rsidRPr="009649E1">
        <w:rPr>
          <w:rFonts w:eastAsiaTheme="minorHAnsi" w:cstheme="minorBidi"/>
          <w:i/>
          <w:sz w:val="20"/>
          <w:szCs w:val="20"/>
          <w:lang w:val="es-ES_tradnl" w:eastAsia="en-US"/>
        </w:rPr>
        <w:lastRenderedPageBreak/>
        <w:t>órgano frente a los particulares, ya que consagra una garantía individual y no un control interno de la organización administrativa.”</w:t>
      </w:r>
    </w:p>
    <w:p w14:paraId="4B0FFBA1" w14:textId="77777777" w:rsidR="006B4708" w:rsidRPr="009649E1" w:rsidRDefault="006B4708" w:rsidP="00D5210E">
      <w:pPr>
        <w:spacing w:after="0" w:line="360" w:lineRule="auto"/>
        <w:contextualSpacing/>
        <w:rPr>
          <w:rFonts w:eastAsiaTheme="minorHAnsi" w:cstheme="minorBidi"/>
          <w:lang w:val="es-ES_tradnl" w:eastAsia="en-US"/>
        </w:rPr>
      </w:pPr>
    </w:p>
    <w:p w14:paraId="2D77E5EE" w14:textId="77777777" w:rsidR="006B4708" w:rsidRPr="009649E1" w:rsidRDefault="006B4708" w:rsidP="00D5210E">
      <w:pPr>
        <w:spacing w:after="0" w:line="360" w:lineRule="auto"/>
        <w:contextualSpacing/>
        <w:rPr>
          <w:rFonts w:eastAsia="Times New Roman" w:cs="Tahoma"/>
          <w:color w:val="auto"/>
          <w:lang w:val="es-ES_tradnl" w:eastAsia="es-ES"/>
        </w:rPr>
      </w:pPr>
      <w:r w:rsidRPr="009649E1">
        <w:rPr>
          <w:rFonts w:eastAsiaTheme="minorHAnsi" w:cstheme="minorBidi"/>
          <w:lang w:val="es-ES_tradnl" w:eastAsia="en-US"/>
        </w:rPr>
        <w:t xml:space="preserve">A mayor abundamiento, resulta necesario traer a colación, el </w:t>
      </w:r>
      <w:r w:rsidRPr="009649E1">
        <w:rPr>
          <w:rFonts w:eastAsiaTheme="minorHAnsi" w:cstheme="minorBidi"/>
          <w:lang w:val="es-ES" w:eastAsia="en-US"/>
        </w:rPr>
        <w:t xml:space="preserve">Criterio de interpretación, con número de registro SO/013/2017, de la Segunda Época, </w:t>
      </w:r>
      <w:r w:rsidRPr="009649E1">
        <w:rPr>
          <w:rFonts w:eastAsiaTheme="minorHAnsi" w:cstheme="minorBidi"/>
          <w:lang w:eastAsia="en-US"/>
        </w:rPr>
        <w:t>emitido por el Instituto Nacional de Transparencia, Acceso a la Información y Protección de Datos Personales, el cual precisa que</w:t>
      </w:r>
      <w:r w:rsidRPr="009649E1">
        <w:rPr>
          <w:rFonts w:eastAsia="Times New Roman" w:cs="Tahoma"/>
          <w:color w:val="auto"/>
          <w:lang w:val="es-ES_tradnl" w:eastAsia="es-ES"/>
        </w:rPr>
        <w:t xml:space="preserve"> la </w:t>
      </w:r>
      <w:r w:rsidRPr="009649E1">
        <w:rPr>
          <w:rFonts w:eastAsia="Times New Roman" w:cs="Tahoma"/>
          <w:b/>
          <w:color w:val="auto"/>
          <w:lang w:val="es-ES_tradnl" w:eastAsia="es-ES"/>
        </w:rPr>
        <w:t xml:space="preserve">incompetencia </w:t>
      </w:r>
      <w:r w:rsidRPr="009649E1">
        <w:rPr>
          <w:rFonts w:eastAsia="Times New Roman" w:cs="Tahoma"/>
          <w:color w:val="auto"/>
          <w:lang w:val="es-ES_tradnl" w:eastAsia="es-ES"/>
        </w:rPr>
        <w:t xml:space="preserve">implica que, de conformidad con las atribuciones conferidas al Sujeto Obligado, no habría razón por la cual éste deba contar con la información solicitada, en cuyo caso, tendría que orientar al particular para que acuda a la instancia competente. </w:t>
      </w:r>
    </w:p>
    <w:p w14:paraId="3D8D6A4C" w14:textId="77777777" w:rsidR="006B4708" w:rsidRPr="009649E1" w:rsidRDefault="006B4708" w:rsidP="00D5210E">
      <w:pPr>
        <w:spacing w:after="0" w:line="360" w:lineRule="auto"/>
        <w:contextualSpacing/>
        <w:rPr>
          <w:rFonts w:eastAsia="Times New Roman" w:cs="Tahoma"/>
          <w:color w:val="auto"/>
          <w:lang w:val="es-ES_tradnl" w:eastAsia="es-ES"/>
        </w:rPr>
      </w:pPr>
    </w:p>
    <w:p w14:paraId="29C749BB" w14:textId="6BBC9AD9" w:rsidR="006B4708" w:rsidRPr="009649E1" w:rsidRDefault="006B4708" w:rsidP="00D5210E">
      <w:pPr>
        <w:spacing w:after="0" w:line="360" w:lineRule="auto"/>
        <w:contextualSpacing/>
        <w:rPr>
          <w:rFonts w:eastAsia="Times New Roman" w:cs="Tahoma"/>
          <w:color w:val="auto"/>
          <w:lang w:val="es-ES_tradnl" w:eastAsia="es-ES"/>
        </w:rPr>
      </w:pPr>
      <w:r w:rsidRPr="009649E1">
        <w:rPr>
          <w:rFonts w:eastAsia="Times New Roman" w:cs="Tahoma"/>
          <w:color w:val="auto"/>
          <w:lang w:val="es-ES_tradnl" w:eastAsia="es-ES"/>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5D644680" w14:textId="77777777" w:rsidR="006B4708" w:rsidRPr="009649E1" w:rsidRDefault="006B4708" w:rsidP="00D5210E">
      <w:pPr>
        <w:spacing w:after="0" w:line="360" w:lineRule="auto"/>
        <w:ind w:right="-93"/>
        <w:contextualSpacing/>
        <w:rPr>
          <w:rFonts w:eastAsia="Times New Roman" w:cs="Tahoma"/>
          <w:color w:val="auto"/>
          <w:lang w:val="es-ES" w:eastAsia="es-ES"/>
        </w:rPr>
      </w:pPr>
    </w:p>
    <w:p w14:paraId="6AF185D9" w14:textId="620A68FA" w:rsidR="006B4708" w:rsidRPr="009649E1" w:rsidRDefault="006B4708" w:rsidP="00D5210E">
      <w:pPr>
        <w:spacing w:after="0" w:line="360" w:lineRule="auto"/>
        <w:ind w:right="-93"/>
        <w:contextualSpacing/>
        <w:rPr>
          <w:rFonts w:eastAsiaTheme="minorHAnsi" w:cs="Tahoma"/>
          <w:lang w:eastAsia="en-US"/>
        </w:rPr>
      </w:pPr>
      <w:r w:rsidRPr="009649E1">
        <w:rPr>
          <w:rFonts w:eastAsiaTheme="minorHAnsi" w:cs="Tahoma"/>
          <w:lang w:eastAsia="en-US"/>
        </w:rPr>
        <w:t>Por tanto, a continuación, se analiza si en la especie, el Ente Recurrido cuenta con atribuciones para conocer sobre la información requerida; para lo cual, es necesario traer a colación el Manual General de Organización de la Secretaría de Finanzas, que precisa que el Sujeto Obligado cuenta con un Órgano Interno de Control y que este a su vez, cuenta con tres Áreas de Auditorias, tal como se muestra a continuación:</w:t>
      </w:r>
    </w:p>
    <w:p w14:paraId="4EA8BE82" w14:textId="77777777" w:rsidR="006B4708" w:rsidRPr="009649E1" w:rsidRDefault="006B4708" w:rsidP="00D5210E">
      <w:pPr>
        <w:spacing w:after="0" w:line="360" w:lineRule="auto"/>
        <w:ind w:right="-93"/>
        <w:contextualSpacing/>
        <w:rPr>
          <w:rFonts w:eastAsiaTheme="minorHAnsi" w:cs="Tahoma"/>
          <w:lang w:eastAsia="en-US"/>
        </w:rPr>
      </w:pPr>
    </w:p>
    <w:p w14:paraId="3AA151A0" w14:textId="16411380" w:rsidR="006B4708" w:rsidRPr="009649E1" w:rsidRDefault="006B4708" w:rsidP="00D5210E">
      <w:pPr>
        <w:spacing w:after="0" w:line="360" w:lineRule="auto"/>
        <w:ind w:right="-93"/>
        <w:contextualSpacing/>
        <w:jc w:val="center"/>
        <w:rPr>
          <w:rFonts w:eastAsia="Times New Roman" w:cs="Tahoma"/>
          <w:color w:val="auto"/>
          <w:lang w:val="es-ES" w:eastAsia="es-ES"/>
        </w:rPr>
      </w:pPr>
      <w:r w:rsidRPr="009649E1">
        <w:rPr>
          <w:rFonts w:eastAsia="Times New Roman" w:cs="Tahoma"/>
          <w:noProof/>
          <w:color w:val="auto"/>
        </w:rPr>
        <w:drawing>
          <wp:inline distT="0" distB="0" distL="0" distR="0" wp14:anchorId="5995DE67" wp14:editId="563B4731">
            <wp:extent cx="5465135" cy="2118674"/>
            <wp:effectExtent l="0" t="0" r="0" b="2540"/>
            <wp:docPr id="1290845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45114" name="Imagen 1290845114"/>
                    <pic:cNvPicPr/>
                  </pic:nvPicPr>
                  <pic:blipFill>
                    <a:blip r:embed="rId10">
                      <a:extLst>
                        <a:ext uri="{28A0092B-C50C-407E-A947-70E740481C1C}">
                          <a14:useLocalDpi xmlns:a14="http://schemas.microsoft.com/office/drawing/2010/main" val="0"/>
                        </a:ext>
                      </a:extLst>
                    </a:blip>
                    <a:stretch>
                      <a:fillRect/>
                    </a:stretch>
                  </pic:blipFill>
                  <pic:spPr>
                    <a:xfrm>
                      <a:off x="0" y="0"/>
                      <a:ext cx="5585737" cy="2165428"/>
                    </a:xfrm>
                    <a:prstGeom prst="rect">
                      <a:avLst/>
                    </a:prstGeom>
                  </pic:spPr>
                </pic:pic>
              </a:graphicData>
            </a:graphic>
          </wp:inline>
        </w:drawing>
      </w:r>
      <w:r w:rsidRPr="009649E1">
        <w:rPr>
          <w:rFonts w:eastAsia="Times New Roman" w:cs="Tahoma"/>
          <w:noProof/>
          <w:color w:val="auto"/>
          <w14:ligatures w14:val="standardContextual"/>
        </w:rPr>
        <mc:AlternateContent>
          <mc:Choice Requires="wps">
            <w:drawing>
              <wp:anchor distT="0" distB="0" distL="114300" distR="114300" simplePos="0" relativeHeight="251661312" behindDoc="0" locked="0" layoutInCell="1" allowOverlap="1" wp14:anchorId="58767189" wp14:editId="52EE7DBE">
                <wp:simplePos x="0" y="0"/>
                <wp:positionH relativeFrom="column">
                  <wp:posOffset>1046377</wp:posOffset>
                </wp:positionH>
                <wp:positionV relativeFrom="paragraph">
                  <wp:posOffset>3009959</wp:posOffset>
                </wp:positionV>
                <wp:extent cx="1339702" cy="723014"/>
                <wp:effectExtent l="19050" t="19050" r="32385" b="39370"/>
                <wp:wrapNone/>
                <wp:docPr id="1582100872" name="Rectángulo 1582100872"/>
                <wp:cNvGraphicFramePr/>
                <a:graphic xmlns:a="http://schemas.openxmlformats.org/drawingml/2006/main">
                  <a:graphicData uri="http://schemas.microsoft.com/office/word/2010/wordprocessingShape">
                    <wps:wsp>
                      <wps:cNvSpPr/>
                      <wps:spPr>
                        <a:xfrm>
                          <a:off x="0" y="0"/>
                          <a:ext cx="1339702" cy="723014"/>
                        </a:xfrm>
                        <a:prstGeom prst="rect">
                          <a:avLst/>
                        </a:prstGeom>
                        <a:no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9DCD9E9" id="Rectángulo 1582100872" o:spid="_x0000_s1026" style="position:absolute;margin-left:82.4pt;margin-top:237pt;width:105.5pt;height:56.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WxWgIAALYEAAAOAAAAZHJzL2Uyb0RvYy54bWysVE1PGzEQvVfqf7B8L5sNoYGIDYpAVJUQ&#10;RYKK8+C1s5Zsj2s72aS/vmPvQlLaU9UcnBnP9/ObvbzaWcO2MkSNruH1yYQz6QS22q0b/v3p9tM5&#10;ZzGBa8Ggkw3fy8ivlh8/XPZ+IafYoWllYJTExUXvG96l5BdVFUUnLcQT9NKRUWGwkEgN66oN0FN2&#10;a6rpZPK56jG0PqCQMdLtzWDky5JfKSnSN6WiTMw0nHpL5QzlfMlntbyExTqA77QY24B/6MKCdlT0&#10;LdUNJGCboP9IZbUIGFGlE4G2QqW0kGUGmqaevJvmsQMvyywETvRvMMX/l1bcbx/9QyAYeh8XkcQ8&#10;xU4Fm/+pP7YrYO3fwJK7xARd1qenF/PJlDNBtvn0dFLPMprVIdqHmL5ItCwLDQ/0GAUj2N7FNLi+&#10;uuRiDm+1MeVBjGN9w8/m9Rm9mQDihTKQSLS+bXh0a87ArIlwIoWSMqLRbQ7PieI+XpvAtkBvTlRp&#10;sX+ipjkzEBMZaJLyG7v9LTT3cwOxG4KLaaCI1Yl4arRt+PlxtHG5oixMG6c6AJmlF2z3D4EFHKgX&#10;vbjVVOSOenmAQFyjCWl/0jc6lEEaG0eJsw7Dz7/dZ3+iAFk564m7BMmPDQRJI351RI6LejbLZC/K&#10;7Gw+JSUcW16OLW5jr5GgqmlTvShi9k/mVVQB7TOt2SpXJRM4QbUH8EflOg07RYsq5GpV3IjgHtKd&#10;e/QiJ884ZXifds8Q/MiJRA9zj688h8U7agy+AzlWm4RKF94ccCW+ZYWWozBvXOS8fcd68Tp8bpa/&#10;AAAA//8DAFBLAwQUAAYACAAAACEASX3AgeIAAAAQAQAADwAAAGRycy9kb3ducmV2LnhtbExPPU/D&#10;MBDdkfgP1iGxUQdwmzaNUwEVY4eGIDq6sZtYxOcodtrw7zmmspz07t29j3wzuY6dzRCsRwmPswSY&#10;wdpri42E6uP9YQksRIVadR6NhB8TYFPc3uQq0/6Ce3MuY8NIBEOmJLQx9hnnoW6NU2Hme4PEnfzg&#10;VCQ4NFwP6kLiruNPSbLgTlkkh1b15q019Xc5OvJ97e3XWNpVJarPHe62hz1aIeX93bRd03hZA4tm&#10;itcP+OtA+aGgYEc/og6sI7wQlD9KEKmgZnTxnM5pc5QwX6Yr4EXO/xcpfgEAAP//AwBQSwECLQAU&#10;AAYACAAAACEAtoM4kv4AAADhAQAAEwAAAAAAAAAAAAAAAAAAAAAAW0NvbnRlbnRfVHlwZXNdLnht&#10;bFBLAQItABQABgAIAAAAIQA4/SH/1gAAAJQBAAALAAAAAAAAAAAAAAAAAC8BAABfcmVscy8ucmVs&#10;c1BLAQItABQABgAIAAAAIQCVNhWxWgIAALYEAAAOAAAAAAAAAAAAAAAAAC4CAABkcnMvZTJvRG9j&#10;LnhtbFBLAQItABQABgAIAAAAIQBJfcCB4gAAABABAAAPAAAAAAAAAAAAAAAAALQEAABkcnMvZG93&#10;bnJldi54bWxQSwUGAAAAAAQABADzAAAAwwUAAAAA&#10;" filled="f" strokecolor="windowText" strokeweight="4.5pt"/>
            </w:pict>
          </mc:Fallback>
        </mc:AlternateContent>
      </w:r>
    </w:p>
    <w:p w14:paraId="06580FE2" w14:textId="65BE9D78" w:rsidR="008C70C0" w:rsidRPr="009649E1" w:rsidRDefault="006B4708" w:rsidP="00D5210E">
      <w:pPr>
        <w:spacing w:after="0" w:line="360" w:lineRule="auto"/>
        <w:ind w:right="-93"/>
        <w:contextualSpacing/>
        <w:rPr>
          <w:rFonts w:eastAsia="Times New Roman" w:cs="Tahoma"/>
          <w:color w:val="auto"/>
          <w:lang w:val="es-ES" w:eastAsia="es-ES"/>
        </w:rPr>
      </w:pPr>
      <w:r w:rsidRPr="009649E1">
        <w:rPr>
          <w:rFonts w:eastAsia="Times New Roman" w:cs="Tahoma"/>
          <w:color w:val="auto"/>
          <w:lang w:val="es-ES" w:eastAsia="es-ES"/>
        </w:rPr>
        <w:lastRenderedPageBreak/>
        <w:t xml:space="preserve">En ese orden de ideas, el Manual referido precisa que el Órgano Interno de Control encargada de dirigir la realización de auditorías y acciones de control y evaluación, así como, la emisión del informe correspondiente y comunicar le resultado a </w:t>
      </w:r>
      <w:r w:rsidR="008C70C0" w:rsidRPr="009649E1">
        <w:rPr>
          <w:rFonts w:eastAsia="Times New Roman" w:cs="Tahoma"/>
          <w:color w:val="auto"/>
          <w:lang w:val="es-ES" w:eastAsia="es-ES"/>
        </w:rPr>
        <w:t>las áreas auditadas; así como, promover el seguimiento a las observaciones determinadas, así como, de la solventación y cumplimiento de estas. Para lograr lo anterior, contará con tres Áreas de Auditoría, encargadas de supervisar la ejecución de auditorías, así como, supervisar el seguimiento a la solventación y cumplimiento de las observaciones y acciones de mejora derivadas de las mismas.</w:t>
      </w:r>
    </w:p>
    <w:p w14:paraId="7EC77BFF" w14:textId="77777777" w:rsidR="006B4708" w:rsidRPr="009649E1" w:rsidRDefault="006B4708" w:rsidP="00D5210E">
      <w:pPr>
        <w:spacing w:after="0" w:line="360" w:lineRule="auto"/>
        <w:ind w:right="-93"/>
        <w:contextualSpacing/>
        <w:rPr>
          <w:rFonts w:eastAsiaTheme="minorHAnsi" w:cs="Tahoma"/>
          <w:shd w:val="clear" w:color="auto" w:fill="FFFFFF"/>
          <w:lang w:eastAsia="en-US"/>
        </w:rPr>
      </w:pPr>
    </w:p>
    <w:p w14:paraId="45ECD162" w14:textId="07CFD029" w:rsidR="006B4708" w:rsidRPr="009649E1" w:rsidRDefault="006B4708" w:rsidP="00D5210E">
      <w:pPr>
        <w:tabs>
          <w:tab w:val="left" w:pos="2100"/>
        </w:tabs>
        <w:spacing w:after="0" w:line="360" w:lineRule="auto"/>
        <w:rPr>
          <w:rFonts w:eastAsia="Times New Roman" w:cs="Tahoma"/>
          <w:color w:val="auto"/>
          <w:shd w:val="clear" w:color="auto" w:fill="FFFFFF"/>
          <w:lang w:eastAsia="es-ES"/>
        </w:rPr>
      </w:pPr>
      <w:r w:rsidRPr="009649E1">
        <w:rPr>
          <w:rFonts w:eastAsiaTheme="minorHAnsi" w:cs="Tahoma"/>
          <w:lang w:eastAsia="en-US"/>
        </w:rPr>
        <w:t xml:space="preserve">Conforme a lo anterior, se logra observar que el área competente para conocer de la información solicitada, es el Órgano Interno de Control del Sujeto Obligado, pues </w:t>
      </w:r>
      <w:r w:rsidR="008C70C0" w:rsidRPr="009649E1">
        <w:rPr>
          <w:rFonts w:eastAsiaTheme="minorHAnsi" w:cs="Tahoma"/>
          <w:lang w:eastAsia="en-US"/>
        </w:rPr>
        <w:t>a través de sus áreas practican Auditorías a las unidades adminsitrativas que conforman al Sujeto Obligado.</w:t>
      </w:r>
    </w:p>
    <w:p w14:paraId="29297E16" w14:textId="77777777" w:rsidR="006B4708" w:rsidRPr="009649E1" w:rsidRDefault="006B4708" w:rsidP="00D5210E">
      <w:pPr>
        <w:spacing w:after="0" w:line="360" w:lineRule="auto"/>
        <w:ind w:right="-93"/>
        <w:contextualSpacing/>
        <w:rPr>
          <w:rFonts w:eastAsiaTheme="minorHAnsi" w:cs="Tahoma"/>
          <w:lang w:eastAsia="en-US"/>
        </w:rPr>
      </w:pPr>
    </w:p>
    <w:p w14:paraId="37D6D188" w14:textId="236531BE" w:rsidR="006B4708" w:rsidRPr="009649E1" w:rsidRDefault="006B4708" w:rsidP="00D5210E">
      <w:pPr>
        <w:spacing w:after="0" w:line="360" w:lineRule="auto"/>
        <w:rPr>
          <w:rFonts w:eastAsia="Times New Roman" w:cs="Tahoma"/>
          <w:b/>
          <w:bCs/>
          <w:color w:val="auto"/>
          <w:lang w:val="es-ES" w:eastAsia="es-ES"/>
        </w:rPr>
      </w:pPr>
      <w:r w:rsidRPr="009649E1">
        <w:rPr>
          <w:rFonts w:eastAsia="Times New Roman" w:cs="Tahoma"/>
          <w:color w:val="auto"/>
          <w:lang w:val="es-ES" w:eastAsia="es-ES"/>
        </w:rPr>
        <w:t xml:space="preserve">Al respecto, los artículos </w:t>
      </w:r>
      <w:r w:rsidR="008C70C0" w:rsidRPr="009649E1">
        <w:rPr>
          <w:rFonts w:eastAsia="Times New Roman" w:cs="Tahoma"/>
          <w:color w:val="auto"/>
          <w:lang w:val="es-ES" w:eastAsia="es-ES"/>
        </w:rPr>
        <w:t>23</w:t>
      </w:r>
      <w:r w:rsidRPr="009649E1">
        <w:rPr>
          <w:rFonts w:eastAsia="Times New Roman" w:cs="Tahoma"/>
          <w:color w:val="auto"/>
          <w:lang w:val="es-ES" w:eastAsia="es-ES"/>
        </w:rPr>
        <w:t>, fracción XI</w:t>
      </w:r>
      <w:r w:rsidR="008C70C0" w:rsidRPr="009649E1">
        <w:rPr>
          <w:rFonts w:eastAsia="Times New Roman" w:cs="Tahoma"/>
          <w:color w:val="auto"/>
          <w:lang w:val="es-ES" w:eastAsia="es-ES"/>
        </w:rPr>
        <w:t>I</w:t>
      </w:r>
      <w:r w:rsidRPr="009649E1">
        <w:rPr>
          <w:rFonts w:eastAsia="Times New Roman" w:cs="Tahoma"/>
          <w:color w:val="auto"/>
          <w:lang w:val="es-ES" w:eastAsia="es-ES"/>
        </w:rPr>
        <w:t xml:space="preserve">, </w:t>
      </w:r>
      <w:r w:rsidR="008C70C0" w:rsidRPr="009649E1">
        <w:rPr>
          <w:rFonts w:eastAsia="Times New Roman" w:cs="Tahoma"/>
          <w:color w:val="auto"/>
          <w:lang w:val="es-ES" w:eastAsia="es-ES"/>
        </w:rPr>
        <w:t>46 y 47</w:t>
      </w:r>
      <w:r w:rsidRPr="009649E1">
        <w:rPr>
          <w:rFonts w:eastAsia="Times New Roman" w:cs="Tahoma"/>
          <w:color w:val="auto"/>
          <w:lang w:val="es-ES" w:eastAsia="es-ES"/>
        </w:rPr>
        <w:t xml:space="preserve">, fracción XIV, de la Ley Orgánica de la Administración Pública del Estado de México, establece que para el estudio, planeación y despacho de asuntos, el Titular del Ejecutivo, contará con diversas dependencias, entre las cuales, se encuentra la Secretaría de la Contraloría del Estado de México, encargada de la vigilancia, fiscalización y control de los ingresos, gastos, recursos y obligaciones de la administración pública estatal y su sector auxiliar, lo relativo a la presentación de la declaración patrimonial, de intereses y constancia de presentación de la declaración fiscal, así como de la responsabilidad de los servidores públicos; para lograr lo anterior, </w:t>
      </w:r>
      <w:r w:rsidRPr="009649E1">
        <w:rPr>
          <w:rFonts w:eastAsia="Times New Roman" w:cs="Tahoma"/>
          <w:b/>
          <w:bCs/>
          <w:color w:val="auto"/>
          <w:lang w:val="es-ES" w:eastAsia="es-ES"/>
        </w:rPr>
        <w:t>tendrá la atribución específica de designar y remover a los titulares de los órganos internos de control de las dependencias y organismos auxiliares, quiénes dependerán jerárquica y funcionalmente de dicha Secretaría, así como de las áreas de auditoría, quejas y responsabilidades.</w:t>
      </w:r>
    </w:p>
    <w:p w14:paraId="47312972" w14:textId="77777777" w:rsidR="006B4708" w:rsidRPr="009649E1" w:rsidRDefault="006B4708" w:rsidP="00D5210E">
      <w:pPr>
        <w:spacing w:after="0" w:line="360" w:lineRule="auto"/>
        <w:rPr>
          <w:rFonts w:eastAsia="Times New Roman" w:cs="Tahoma"/>
          <w:color w:val="auto"/>
          <w:lang w:val="es-ES" w:eastAsia="es-ES"/>
        </w:rPr>
      </w:pPr>
    </w:p>
    <w:p w14:paraId="440FC87D" w14:textId="77777777" w:rsidR="006B4708" w:rsidRPr="009649E1" w:rsidRDefault="006B4708" w:rsidP="00D5210E">
      <w:pPr>
        <w:spacing w:after="0" w:line="360" w:lineRule="auto"/>
        <w:rPr>
          <w:rFonts w:eastAsia="Times New Roman" w:cs="Tahoma"/>
          <w:color w:val="auto"/>
          <w:lang w:val="es-ES" w:eastAsia="es-ES"/>
        </w:rPr>
      </w:pPr>
      <w:r w:rsidRPr="009649E1">
        <w:rPr>
          <w:rFonts w:eastAsia="Times New Roman" w:cs="Tahoma"/>
          <w:color w:val="auto"/>
          <w:lang w:val="es-ES" w:eastAsia="es-ES"/>
        </w:rPr>
        <w:t>En ese orden de ideas, el Reglamento Interior de la Secretaría de la Contraloría, establece lo siguiente:</w:t>
      </w:r>
    </w:p>
    <w:p w14:paraId="2C8B4797" w14:textId="77777777" w:rsidR="006B4708" w:rsidRPr="009649E1" w:rsidRDefault="006B4708" w:rsidP="00D5210E">
      <w:pPr>
        <w:spacing w:after="0" w:line="360" w:lineRule="auto"/>
        <w:rPr>
          <w:rFonts w:eastAsia="Times New Roman" w:cs="Tahoma"/>
          <w:color w:val="auto"/>
          <w:lang w:val="es-ES" w:eastAsia="es-ES"/>
        </w:rPr>
      </w:pPr>
    </w:p>
    <w:p w14:paraId="76464012" w14:textId="4AD42001" w:rsidR="006B4708" w:rsidRPr="009649E1" w:rsidRDefault="006B4708" w:rsidP="00E521F4">
      <w:pPr>
        <w:numPr>
          <w:ilvl w:val="0"/>
          <w:numId w:val="9"/>
        </w:numPr>
        <w:spacing w:after="0" w:line="360" w:lineRule="auto"/>
        <w:contextualSpacing/>
        <w:rPr>
          <w:rFonts w:eastAsia="Times New Roman" w:cs="Tahoma"/>
          <w:b/>
          <w:color w:val="auto"/>
          <w:lang w:val="es-ES" w:eastAsia="es-ES"/>
        </w:rPr>
      </w:pPr>
      <w:r w:rsidRPr="009649E1">
        <w:rPr>
          <w:rFonts w:eastAsia="Times New Roman" w:cs="Tahoma"/>
          <w:b/>
          <w:color w:val="auto"/>
          <w:lang w:val="es-ES" w:eastAsia="es-ES"/>
        </w:rPr>
        <w:lastRenderedPageBreak/>
        <w:t xml:space="preserve">(Artículo </w:t>
      </w:r>
      <w:r w:rsidR="008C70C0" w:rsidRPr="009649E1">
        <w:rPr>
          <w:rFonts w:eastAsia="Times New Roman" w:cs="Tahoma"/>
          <w:b/>
          <w:color w:val="auto"/>
          <w:lang w:val="es-ES" w:eastAsia="es-ES"/>
        </w:rPr>
        <w:t>3</w:t>
      </w:r>
      <w:r w:rsidRPr="009649E1">
        <w:rPr>
          <w:rFonts w:eastAsia="Times New Roman" w:cs="Tahoma"/>
          <w:b/>
          <w:color w:val="auto"/>
          <w:lang w:val="es-ES" w:eastAsia="es-ES"/>
        </w:rPr>
        <w:t>°, fracción X</w:t>
      </w:r>
      <w:r w:rsidR="008C70C0" w:rsidRPr="009649E1">
        <w:rPr>
          <w:rFonts w:eastAsia="Times New Roman" w:cs="Tahoma"/>
          <w:b/>
          <w:color w:val="auto"/>
          <w:lang w:val="es-ES" w:eastAsia="es-ES"/>
        </w:rPr>
        <w:t>II</w:t>
      </w:r>
      <w:r w:rsidRPr="009649E1">
        <w:rPr>
          <w:rFonts w:eastAsia="Times New Roman" w:cs="Tahoma"/>
          <w:b/>
          <w:color w:val="auto"/>
          <w:lang w:val="es-ES" w:eastAsia="es-ES"/>
        </w:rPr>
        <w:t xml:space="preserve">): </w:t>
      </w:r>
      <w:r w:rsidRPr="009649E1">
        <w:rPr>
          <w:rFonts w:eastAsia="Times New Roman" w:cs="Tahoma"/>
          <w:color w:val="auto"/>
          <w:lang w:val="es-ES" w:eastAsia="es-ES"/>
        </w:rPr>
        <w:t>Los órganos internos de control, son las unidades administrativas en las dependencias y organismos auxiliares, encargadas de promover, evaluar y fortalecer el buen funcionamiento del control interno, competentes para aplicar las leyes en materia de responsabilidades de los servidores públicos y que dependen jerárquica y funcionalmente de la Secretaría de la Contraloría;</w:t>
      </w:r>
    </w:p>
    <w:p w14:paraId="0014F90A" w14:textId="77777777" w:rsidR="006B4708" w:rsidRPr="009649E1" w:rsidRDefault="006B4708" w:rsidP="00D5210E">
      <w:pPr>
        <w:spacing w:after="0" w:line="360" w:lineRule="auto"/>
        <w:ind w:left="720"/>
        <w:contextualSpacing/>
        <w:rPr>
          <w:rFonts w:eastAsia="Times New Roman" w:cs="Tahoma"/>
          <w:b/>
          <w:color w:val="auto"/>
          <w:lang w:val="es-ES" w:eastAsia="es-ES"/>
        </w:rPr>
      </w:pPr>
    </w:p>
    <w:p w14:paraId="3FA2A9E8" w14:textId="07AD01DC" w:rsidR="006B4708" w:rsidRPr="009649E1" w:rsidRDefault="006B4708" w:rsidP="00E521F4">
      <w:pPr>
        <w:numPr>
          <w:ilvl w:val="0"/>
          <w:numId w:val="9"/>
        </w:numPr>
        <w:spacing w:after="0" w:line="360" w:lineRule="auto"/>
        <w:contextualSpacing/>
        <w:rPr>
          <w:rFonts w:eastAsia="Times New Roman" w:cs="Tahoma"/>
          <w:b/>
          <w:color w:val="auto"/>
          <w:lang w:val="es-ES" w:eastAsia="es-ES"/>
        </w:rPr>
      </w:pPr>
      <w:r w:rsidRPr="009649E1">
        <w:rPr>
          <w:rFonts w:eastAsia="Times New Roman" w:cs="Tahoma"/>
          <w:b/>
          <w:color w:val="auto"/>
          <w:lang w:val="es-ES" w:eastAsia="es-ES"/>
        </w:rPr>
        <w:t xml:space="preserve">(Artículo </w:t>
      </w:r>
      <w:r w:rsidR="008C70C0" w:rsidRPr="009649E1">
        <w:rPr>
          <w:rFonts w:eastAsia="Times New Roman" w:cs="Tahoma"/>
          <w:b/>
          <w:color w:val="auto"/>
          <w:lang w:val="es-ES" w:eastAsia="es-ES"/>
        </w:rPr>
        <w:t>41</w:t>
      </w:r>
      <w:r w:rsidRPr="009649E1">
        <w:rPr>
          <w:rFonts w:eastAsia="Times New Roman" w:cs="Tahoma"/>
          <w:b/>
          <w:color w:val="auto"/>
          <w:lang w:val="es-ES" w:eastAsia="es-ES"/>
        </w:rPr>
        <w:t xml:space="preserve">): </w:t>
      </w:r>
      <w:r w:rsidRPr="009649E1">
        <w:rPr>
          <w:rFonts w:eastAsia="Times New Roman" w:cs="Tahoma"/>
          <w:color w:val="auto"/>
          <w:lang w:val="es-ES" w:eastAsia="es-ES"/>
        </w:rPr>
        <w:t>Los órganos internos de control, así como las Áreas de Auditoría, de Quejas y de Responsabilidades, de las dependencias y organismos auxiliares, serán coordinados y dependerán jerárquica y funcionalmente de la Secretaría de la Contraloría, y</w:t>
      </w:r>
    </w:p>
    <w:p w14:paraId="5E5D08BD" w14:textId="77777777" w:rsidR="006B4708" w:rsidRPr="009649E1" w:rsidRDefault="006B4708" w:rsidP="00D5210E">
      <w:pPr>
        <w:spacing w:after="0" w:line="360" w:lineRule="auto"/>
        <w:ind w:left="720"/>
        <w:contextualSpacing/>
        <w:jc w:val="left"/>
        <w:rPr>
          <w:rFonts w:eastAsia="Times New Roman" w:cs="Tahoma"/>
          <w:b/>
          <w:color w:val="auto"/>
          <w:lang w:val="es-ES" w:eastAsia="es-ES"/>
        </w:rPr>
      </w:pPr>
    </w:p>
    <w:p w14:paraId="322531DF" w14:textId="3F786774" w:rsidR="006B4708" w:rsidRPr="009649E1" w:rsidRDefault="006B4708" w:rsidP="00E521F4">
      <w:pPr>
        <w:numPr>
          <w:ilvl w:val="0"/>
          <w:numId w:val="9"/>
        </w:numPr>
        <w:spacing w:after="0" w:line="360" w:lineRule="auto"/>
        <w:contextualSpacing/>
        <w:rPr>
          <w:rFonts w:eastAsia="Times New Roman" w:cs="Tahoma"/>
          <w:b/>
          <w:color w:val="auto"/>
          <w:lang w:val="es-ES" w:eastAsia="es-ES"/>
        </w:rPr>
      </w:pPr>
      <w:r w:rsidRPr="009649E1">
        <w:rPr>
          <w:rFonts w:eastAsia="Times New Roman" w:cs="Tahoma"/>
          <w:b/>
          <w:color w:val="auto"/>
          <w:lang w:val="es-ES" w:eastAsia="es-ES"/>
        </w:rPr>
        <w:t xml:space="preserve">(Artículo </w:t>
      </w:r>
      <w:r w:rsidR="008C70C0" w:rsidRPr="009649E1">
        <w:rPr>
          <w:rFonts w:eastAsia="Times New Roman" w:cs="Tahoma"/>
          <w:b/>
          <w:color w:val="auto"/>
          <w:lang w:val="es-ES" w:eastAsia="es-ES"/>
        </w:rPr>
        <w:t>42</w:t>
      </w:r>
      <w:r w:rsidRPr="009649E1">
        <w:rPr>
          <w:rFonts w:eastAsia="Times New Roman" w:cs="Tahoma"/>
          <w:b/>
          <w:color w:val="auto"/>
          <w:lang w:val="es-ES" w:eastAsia="es-ES"/>
        </w:rPr>
        <w:t xml:space="preserve">): </w:t>
      </w:r>
      <w:r w:rsidRPr="009649E1">
        <w:rPr>
          <w:rFonts w:eastAsia="Times New Roman" w:cs="Tahoma"/>
          <w:color w:val="auto"/>
          <w:lang w:val="es-ES" w:eastAsia="es-ES"/>
        </w:rPr>
        <w:t>Las contralorías mencionadas, constituyen unidades administrativas dentro de la estructura orgánica de las dependencias u organismos auxiliares, en que se encuentran adscritos.</w:t>
      </w:r>
    </w:p>
    <w:p w14:paraId="57F7117A" w14:textId="77777777" w:rsidR="006B4708" w:rsidRPr="009649E1" w:rsidRDefault="006B4708" w:rsidP="00D5210E">
      <w:pPr>
        <w:spacing w:after="0" w:line="360" w:lineRule="auto"/>
        <w:ind w:left="720"/>
        <w:contextualSpacing/>
        <w:rPr>
          <w:rFonts w:eastAsia="Times New Roman" w:cs="Tahoma"/>
          <w:b/>
          <w:color w:val="auto"/>
          <w:lang w:val="es-ES" w:eastAsia="es-ES"/>
        </w:rPr>
      </w:pPr>
    </w:p>
    <w:p w14:paraId="3C664A84" w14:textId="5FA91D4E" w:rsidR="006B4708" w:rsidRPr="009649E1" w:rsidRDefault="006B4708" w:rsidP="00D5210E">
      <w:pPr>
        <w:spacing w:after="0" w:line="360" w:lineRule="auto"/>
        <w:rPr>
          <w:rFonts w:eastAsia="Times New Roman" w:cs="Tahoma"/>
          <w:color w:val="auto"/>
          <w:lang w:val="es-ES" w:eastAsia="es-ES"/>
        </w:rPr>
      </w:pPr>
      <w:r w:rsidRPr="009649E1">
        <w:rPr>
          <w:rFonts w:eastAsia="Times New Roman" w:cs="Tahoma"/>
          <w:color w:val="auto"/>
          <w:lang w:val="es-ES" w:eastAsia="es-ES"/>
        </w:rPr>
        <w:t xml:space="preserve">Conforme a la normatividad analizada, se advierte que todas las dependencias y organismos auxiliares de la Administración Pública del Estado de México, deben de contar con un órgano interno de control, mismo que estará dentro de la estructura orgánica de dichos entes; no obstante, jerárquica y funcionalmente dependerán directamente de la Secretaría de la Contraloría; además, que dichos entes, serán los competentes </w:t>
      </w:r>
      <w:r w:rsidR="008C70C0" w:rsidRPr="009649E1">
        <w:rPr>
          <w:rFonts w:eastAsia="Times New Roman" w:cs="Tahoma"/>
          <w:color w:val="auto"/>
          <w:lang w:val="es-ES" w:eastAsia="es-ES"/>
        </w:rPr>
        <w:t>para realizar Auditorías.</w:t>
      </w:r>
    </w:p>
    <w:p w14:paraId="3B457196" w14:textId="77777777" w:rsidR="006B4708" w:rsidRPr="009649E1" w:rsidRDefault="006B4708" w:rsidP="00D5210E">
      <w:pPr>
        <w:spacing w:after="0" w:line="360" w:lineRule="auto"/>
        <w:rPr>
          <w:rFonts w:eastAsia="Times New Roman" w:cs="Tahoma"/>
          <w:color w:val="auto"/>
          <w:lang w:val="es-ES" w:eastAsia="es-ES"/>
        </w:rPr>
      </w:pPr>
    </w:p>
    <w:p w14:paraId="722353D7" w14:textId="3677C3EA" w:rsidR="006B4708" w:rsidRPr="009649E1" w:rsidRDefault="006B4708" w:rsidP="00D5210E">
      <w:pPr>
        <w:spacing w:after="0" w:line="360" w:lineRule="auto"/>
        <w:rPr>
          <w:rFonts w:eastAsia="Times New Roman" w:cs="Tahoma"/>
          <w:color w:val="auto"/>
          <w:lang w:val="es-ES" w:eastAsia="es-ES"/>
        </w:rPr>
      </w:pPr>
      <w:r w:rsidRPr="009649E1">
        <w:rPr>
          <w:rFonts w:eastAsia="Times New Roman" w:cs="Tahoma"/>
          <w:color w:val="auto"/>
          <w:lang w:val="es-ES" w:eastAsia="es-ES"/>
        </w:rPr>
        <w:t xml:space="preserve">En ese orden de ideas, la Secretaría de Finanzas, al formar parte de la administración pública central, tal como lo precisa el artículo </w:t>
      </w:r>
      <w:r w:rsidR="008C70C0" w:rsidRPr="009649E1">
        <w:rPr>
          <w:rFonts w:eastAsia="Times New Roman" w:cs="Tahoma"/>
          <w:color w:val="auto"/>
          <w:lang w:val="es-ES" w:eastAsia="es-ES"/>
        </w:rPr>
        <w:t>23</w:t>
      </w:r>
      <w:r w:rsidRPr="009649E1">
        <w:rPr>
          <w:rFonts w:eastAsia="Times New Roman" w:cs="Tahoma"/>
          <w:color w:val="auto"/>
          <w:lang w:val="es-ES" w:eastAsia="es-ES"/>
        </w:rPr>
        <w:t xml:space="preserve">, fracción </w:t>
      </w:r>
      <w:r w:rsidR="008C70C0" w:rsidRPr="009649E1">
        <w:rPr>
          <w:rFonts w:eastAsia="Times New Roman" w:cs="Tahoma"/>
          <w:color w:val="auto"/>
          <w:lang w:val="es-ES" w:eastAsia="es-ES"/>
        </w:rPr>
        <w:t>XII</w:t>
      </w:r>
      <w:r w:rsidRPr="009649E1">
        <w:rPr>
          <w:rFonts w:eastAsia="Times New Roman" w:cs="Tahoma"/>
          <w:color w:val="auto"/>
          <w:lang w:val="es-ES" w:eastAsia="es-ES"/>
        </w:rPr>
        <w:t xml:space="preserve">, de la Ley Orgánica de la Administración Pública del Estado de México, cuenta con un Órgano Interno de Control, el cual, si bien se encuentra </w:t>
      </w:r>
      <w:r w:rsidR="008C70C0" w:rsidRPr="009649E1">
        <w:rPr>
          <w:rFonts w:eastAsia="Times New Roman" w:cs="Tahoma"/>
          <w:color w:val="auto"/>
          <w:lang w:val="es-ES" w:eastAsia="es-ES"/>
        </w:rPr>
        <w:t>funcional y jerárquicamente</w:t>
      </w:r>
      <w:r w:rsidRPr="009649E1">
        <w:rPr>
          <w:rFonts w:eastAsia="Times New Roman" w:cs="Tahoma"/>
          <w:color w:val="auto"/>
          <w:lang w:val="es-ES" w:eastAsia="es-ES"/>
        </w:rPr>
        <w:t xml:space="preserve"> adscrita a la Secretaría de la Contraloría, también lo es que forma parte de la estructura orgánica del Sujeto Obligado y, por lo tanto, forma parte de este.</w:t>
      </w:r>
    </w:p>
    <w:p w14:paraId="505462D4" w14:textId="77777777" w:rsidR="006B4708" w:rsidRPr="009649E1" w:rsidRDefault="006B4708" w:rsidP="00D5210E">
      <w:pPr>
        <w:spacing w:after="0" w:line="360" w:lineRule="auto"/>
        <w:rPr>
          <w:rFonts w:eastAsia="Times New Roman" w:cs="Tahoma"/>
          <w:color w:val="auto"/>
          <w:lang w:val="es-ES" w:eastAsia="es-ES"/>
        </w:rPr>
      </w:pPr>
    </w:p>
    <w:p w14:paraId="5060454B" w14:textId="444C23BC" w:rsidR="006B4708" w:rsidRPr="009649E1" w:rsidRDefault="006B4708" w:rsidP="00D5210E">
      <w:pPr>
        <w:spacing w:after="0" w:line="360" w:lineRule="auto"/>
        <w:rPr>
          <w:rFonts w:eastAsia="Times New Roman" w:cs="Tahoma"/>
          <w:color w:val="auto"/>
          <w:lang w:val="es-ES" w:eastAsia="es-ES"/>
        </w:rPr>
      </w:pPr>
      <w:r w:rsidRPr="009649E1">
        <w:rPr>
          <w:rFonts w:eastAsia="Times New Roman" w:cs="Tahoma"/>
          <w:color w:val="auto"/>
          <w:lang w:val="es-ES" w:eastAsia="es-ES"/>
        </w:rPr>
        <w:t xml:space="preserve">En otro orden de ideas, el Órgano Interno de Control al estar adscrito a la Secretaría de Finanzas, es una unidad administrativa de esta, en materia de transparencia y, por lo tanto, aún y cuando </w:t>
      </w:r>
      <w:r w:rsidR="008C70C0" w:rsidRPr="009649E1">
        <w:rPr>
          <w:rFonts w:eastAsia="Times New Roman" w:cs="Tahoma"/>
          <w:color w:val="auto"/>
          <w:lang w:val="es-ES" w:eastAsia="es-ES"/>
        </w:rPr>
        <w:t>funcional y jerárquicamente</w:t>
      </w:r>
      <w:r w:rsidRPr="009649E1">
        <w:rPr>
          <w:rFonts w:eastAsia="Times New Roman" w:cs="Tahoma"/>
          <w:color w:val="auto"/>
          <w:lang w:val="es-ES" w:eastAsia="es-ES"/>
        </w:rPr>
        <w:t xml:space="preserve"> depende de la Secretaría de la Contraloría, es competente para pronunciarse sobre la información solicitada, a través del Ente Recurrido</w:t>
      </w:r>
    </w:p>
    <w:p w14:paraId="03DD497C" w14:textId="77777777" w:rsidR="008C70C0" w:rsidRPr="009649E1" w:rsidRDefault="008C70C0" w:rsidP="00D5210E">
      <w:pPr>
        <w:spacing w:after="0" w:line="360" w:lineRule="auto"/>
        <w:rPr>
          <w:rFonts w:eastAsia="Times New Roman" w:cs="Tahoma"/>
          <w:color w:val="auto"/>
          <w:lang w:val="es-ES" w:eastAsia="es-ES"/>
        </w:rPr>
      </w:pPr>
    </w:p>
    <w:p w14:paraId="7786CE39" w14:textId="6388F3E0" w:rsidR="008C70C0" w:rsidRPr="009649E1" w:rsidRDefault="009D4D9D" w:rsidP="00D5210E">
      <w:pPr>
        <w:spacing w:after="0" w:line="360" w:lineRule="auto"/>
        <w:rPr>
          <w:rFonts w:eastAsia="Times New Roman" w:cs="Tahoma"/>
          <w:color w:val="auto"/>
          <w:lang w:val="es-ES" w:eastAsia="es-ES"/>
        </w:rPr>
      </w:pPr>
      <w:r w:rsidRPr="009649E1">
        <w:rPr>
          <w:rFonts w:eastAsia="Times New Roman" w:cs="Tahoma"/>
          <w:color w:val="auto"/>
          <w:lang w:val="es-ES" w:eastAsia="es-ES"/>
        </w:rPr>
        <w:t>Lo anterior, se robustece con el Criterio Reiterado 08/24, de la Tercera Época, del Pleno de este Instituto, el cual precisa que los Órganos Internos de Control adscritos a las Dependencias del Poder Ejecutivo, deberá dar respuesta a las solicitudes de información, a través de la Secretaría al que se encuentren adscritos, aún y cuando dependan jerárquica y funcionalmente de la Secretaría de la Contraloría.</w:t>
      </w:r>
    </w:p>
    <w:p w14:paraId="184F25C4" w14:textId="77777777" w:rsidR="006B4708" w:rsidRPr="009649E1" w:rsidRDefault="006B4708" w:rsidP="00D5210E">
      <w:pPr>
        <w:spacing w:after="0" w:line="360" w:lineRule="auto"/>
        <w:rPr>
          <w:rFonts w:eastAsia="Times New Roman" w:cs="Tahoma"/>
          <w:color w:val="auto"/>
          <w:lang w:val="es-ES" w:eastAsia="es-ES"/>
        </w:rPr>
      </w:pPr>
    </w:p>
    <w:p w14:paraId="6EE2286A" w14:textId="430CE434" w:rsidR="00A31F41" w:rsidRPr="009649E1" w:rsidRDefault="006B4708" w:rsidP="00D5210E">
      <w:pPr>
        <w:spacing w:after="0" w:line="360" w:lineRule="auto"/>
        <w:rPr>
          <w:rFonts w:eastAsia="Calibri" w:cs="Tahoma"/>
          <w:color w:val="auto"/>
          <w:szCs w:val="20"/>
          <w:lang w:eastAsia="es-ES_tradnl"/>
        </w:rPr>
      </w:pPr>
      <w:r w:rsidRPr="009649E1">
        <w:rPr>
          <w:rFonts w:eastAsia="Times New Roman" w:cs="Tahoma"/>
          <w:color w:val="auto"/>
          <w:lang w:val="es-ES" w:eastAsia="es-ES"/>
        </w:rPr>
        <w:t xml:space="preserve">Por lo que, se concluye que el Ente Recurrido es </w:t>
      </w:r>
      <w:r w:rsidRPr="009649E1">
        <w:rPr>
          <w:rFonts w:eastAsia="Times New Roman" w:cs="Tahoma"/>
          <w:b/>
          <w:color w:val="auto"/>
          <w:lang w:val="es-ES" w:eastAsia="es-ES"/>
        </w:rPr>
        <w:t xml:space="preserve">competente </w:t>
      </w:r>
      <w:r w:rsidRPr="009649E1">
        <w:rPr>
          <w:rFonts w:eastAsia="Times New Roman" w:cs="Tahoma"/>
          <w:color w:val="auto"/>
          <w:lang w:val="es-ES" w:eastAsia="es-ES"/>
        </w:rPr>
        <w:t xml:space="preserve">para conocer de la información solicitada, pues cuenta con un Órgano Interno de Control, que ve todas las cuestiones relacionadas </w:t>
      </w:r>
      <w:r w:rsidR="009D4D9D" w:rsidRPr="009649E1">
        <w:rPr>
          <w:rFonts w:eastAsia="Times New Roman" w:cs="Tahoma"/>
          <w:color w:val="auto"/>
          <w:lang w:val="es-ES" w:eastAsia="es-ES"/>
        </w:rPr>
        <w:t>con las Auditorías realizadas a las áreas que conforman a la Secretaría de Finanzas</w:t>
      </w:r>
      <w:r w:rsidRPr="009649E1">
        <w:rPr>
          <w:rFonts w:eastAsia="Times New Roman" w:cs="Tahoma"/>
          <w:color w:val="auto"/>
          <w:lang w:val="es-ES" w:eastAsia="es-ES"/>
        </w:rPr>
        <w:t>,</w:t>
      </w:r>
      <w:r w:rsidR="009D4D9D" w:rsidRPr="009649E1">
        <w:rPr>
          <w:rFonts w:eastAsia="Times New Roman" w:cs="Tahoma"/>
          <w:color w:val="auto"/>
          <w:lang w:val="es-ES" w:eastAsia="es-ES"/>
        </w:rPr>
        <w:t xml:space="preserve"> </w:t>
      </w:r>
      <w:r w:rsidRPr="009649E1">
        <w:rPr>
          <w:rFonts w:eastAsia="Times New Roman" w:cs="Tahoma"/>
          <w:color w:val="auto"/>
          <w:lang w:val="es-ES" w:eastAsia="es-ES"/>
        </w:rPr>
        <w:t xml:space="preserve">por lo que, el agravio hecho valer resulta </w:t>
      </w:r>
      <w:r w:rsidRPr="009649E1">
        <w:rPr>
          <w:rFonts w:eastAsia="Times New Roman" w:cs="Tahoma"/>
          <w:b/>
          <w:bCs/>
          <w:color w:val="auto"/>
          <w:lang w:val="es-ES" w:eastAsia="es-ES"/>
        </w:rPr>
        <w:t>FUNDADO.</w:t>
      </w:r>
    </w:p>
    <w:p w14:paraId="542DC138" w14:textId="337BA7F2" w:rsidR="006D225A" w:rsidRPr="009649E1" w:rsidRDefault="006D225A" w:rsidP="00D5210E">
      <w:pPr>
        <w:tabs>
          <w:tab w:val="left" w:pos="4962"/>
        </w:tabs>
        <w:spacing w:after="0" w:line="360" w:lineRule="auto"/>
        <w:ind w:right="539"/>
        <w:jc w:val="center"/>
        <w:rPr>
          <w:rFonts w:eastAsia="Calibri" w:cs="Tahoma"/>
          <w:color w:val="auto"/>
          <w:szCs w:val="20"/>
          <w:lang w:eastAsia="es-ES_tradnl"/>
        </w:rPr>
      </w:pPr>
    </w:p>
    <w:p w14:paraId="0FF6B70D" w14:textId="1A495835" w:rsidR="009D4D9D" w:rsidRPr="009649E1" w:rsidRDefault="009D4D9D" w:rsidP="00D5210E">
      <w:pPr>
        <w:spacing w:after="0" w:line="360" w:lineRule="auto"/>
        <w:contextualSpacing/>
        <w:rPr>
          <w:rFonts w:eastAsia="Times New Roman" w:cs="Times New Roman"/>
          <w:color w:val="auto"/>
          <w:lang w:eastAsia="es-ES"/>
        </w:rPr>
      </w:pPr>
      <w:r w:rsidRPr="009649E1">
        <w:rPr>
          <w:rFonts w:eastAsia="Times New Roman" w:cs="Tahoma"/>
          <w:color w:val="auto"/>
          <w:lang w:eastAsia="es-ES"/>
        </w:rPr>
        <w:t xml:space="preserve">Conforme a lo anterior y para dar atención al requerimiento de información, se considera que la Secretaría de Finanzas deberá asumir competencia y realizar una búsqueda exhaustiva y razonable en los archivos </w:t>
      </w:r>
      <w:r w:rsidR="00DB1CAD" w:rsidRPr="009649E1">
        <w:rPr>
          <w:rFonts w:eastAsia="Times New Roman" w:cs="Tahoma"/>
          <w:color w:val="auto"/>
          <w:lang w:eastAsia="es-ES"/>
        </w:rPr>
        <w:t>a efecto de proporcionar la información respecto a las auditorías solicitadas.</w:t>
      </w:r>
    </w:p>
    <w:p w14:paraId="06D9197C" w14:textId="77777777" w:rsidR="009D4D9D" w:rsidRPr="009649E1" w:rsidRDefault="009D4D9D" w:rsidP="00D5210E">
      <w:pPr>
        <w:spacing w:after="0" w:line="360" w:lineRule="auto"/>
        <w:contextualSpacing/>
        <w:rPr>
          <w:rFonts w:eastAsia="Times New Roman" w:cs="Times New Roman"/>
          <w:b/>
          <w:color w:val="auto"/>
          <w:lang w:eastAsia="es-ES"/>
        </w:rPr>
      </w:pPr>
    </w:p>
    <w:p w14:paraId="51B36085" w14:textId="77777777" w:rsidR="009D4D9D" w:rsidRPr="009649E1" w:rsidRDefault="009D4D9D" w:rsidP="00D5210E">
      <w:pPr>
        <w:spacing w:after="0" w:line="360" w:lineRule="auto"/>
        <w:contextualSpacing/>
        <w:rPr>
          <w:rFonts w:eastAsia="Times New Roman" w:cs="Tahoma"/>
          <w:color w:val="auto"/>
          <w:szCs w:val="24"/>
          <w:lang w:val="es-ES" w:eastAsia="es-ES"/>
        </w:rPr>
      </w:pPr>
      <w:r w:rsidRPr="009649E1">
        <w:rPr>
          <w:rFonts w:eastAsia="Calibri" w:cs="Tahoma"/>
          <w:bCs/>
        </w:rPr>
        <w:t>Di</w:t>
      </w:r>
      <w:proofErr w:type="spellStart"/>
      <w:r w:rsidRPr="009649E1">
        <w:rPr>
          <w:rFonts w:eastAsia="Times New Roman" w:cs="Tahoma"/>
          <w:color w:val="auto"/>
          <w:szCs w:val="24"/>
          <w:lang w:val="es-ES" w:eastAsia="es-ES"/>
        </w:rPr>
        <w:t>cha</w:t>
      </w:r>
      <w:proofErr w:type="spellEnd"/>
      <w:r w:rsidRPr="009649E1">
        <w:rPr>
          <w:rFonts w:eastAsia="Times New Roman" w:cs="Tahoma"/>
          <w:color w:val="auto"/>
          <w:szCs w:val="24"/>
          <w:lang w:val="es-ES" w:eastAsia="es-ES"/>
        </w:rPr>
        <w:t xml:space="preserve">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w:t>
      </w:r>
      <w:r w:rsidRPr="009649E1">
        <w:rPr>
          <w:rFonts w:eastAsia="Times New Roman" w:cs="Tahoma"/>
          <w:color w:val="auto"/>
          <w:szCs w:val="24"/>
          <w:lang w:val="es-ES" w:eastAsia="es-ES"/>
        </w:rPr>
        <w:lastRenderedPageBreak/>
        <w:t>presentarla conforme al interés del solicitante, además, que tampoco deberá generarla, resumirla, efectuar cálculos o practicar investigaciones.</w:t>
      </w:r>
    </w:p>
    <w:p w14:paraId="698AAA2D" w14:textId="77777777" w:rsidR="009D4D9D" w:rsidRPr="009649E1" w:rsidRDefault="009D4D9D" w:rsidP="00D5210E">
      <w:pPr>
        <w:spacing w:after="0" w:line="360" w:lineRule="auto"/>
        <w:contextualSpacing/>
        <w:rPr>
          <w:rFonts w:eastAsia="Times New Roman" w:cs="Tahoma"/>
          <w:color w:val="auto"/>
          <w:szCs w:val="24"/>
          <w:lang w:val="es-ES" w:eastAsia="es-ES"/>
        </w:rPr>
      </w:pPr>
    </w:p>
    <w:p w14:paraId="07AF74B7" w14:textId="77777777" w:rsidR="009D4D9D" w:rsidRPr="009649E1" w:rsidRDefault="009D4D9D" w:rsidP="00D5210E">
      <w:pPr>
        <w:spacing w:after="0" w:line="360" w:lineRule="auto"/>
        <w:contextualSpacing/>
        <w:rPr>
          <w:rFonts w:eastAsia="Times New Roman" w:cs="Tahoma"/>
          <w:i/>
          <w:iCs/>
          <w:color w:val="auto"/>
          <w:sz w:val="20"/>
          <w:szCs w:val="20"/>
          <w:lang w:val="es-ES" w:eastAsia="es-ES"/>
        </w:rPr>
      </w:pPr>
      <w:r w:rsidRPr="009649E1">
        <w:rPr>
          <w:rFonts w:eastAsia="Times New Roman" w:cs="Tahoma"/>
          <w:color w:val="auto"/>
          <w:szCs w:val="24"/>
          <w:lang w:val="es-ES" w:eastAsia="es-ES"/>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p>
    <w:p w14:paraId="711D4753" w14:textId="77777777" w:rsidR="009D4D9D" w:rsidRPr="009649E1" w:rsidRDefault="009D4D9D" w:rsidP="00D5210E">
      <w:pPr>
        <w:spacing w:after="0" w:line="360" w:lineRule="auto"/>
        <w:contextualSpacing/>
        <w:rPr>
          <w:rFonts w:eastAsia="Calibri" w:cs="Tahoma"/>
          <w:b/>
          <w:color w:val="000000"/>
        </w:rPr>
      </w:pPr>
    </w:p>
    <w:p w14:paraId="0B4639DC" w14:textId="46DCF6D0" w:rsidR="009D4D9D" w:rsidRPr="009649E1" w:rsidRDefault="009D4D9D" w:rsidP="00D5210E">
      <w:pPr>
        <w:spacing w:after="0" w:line="360" w:lineRule="auto"/>
        <w:contextualSpacing/>
        <w:rPr>
          <w:rFonts w:eastAsia="Times New Roman" w:cs="Tahoma"/>
          <w:color w:val="auto"/>
          <w:szCs w:val="24"/>
          <w:lang w:val="es-ES" w:eastAsia="es-ES"/>
        </w:rPr>
      </w:pPr>
      <w:r w:rsidRPr="009649E1">
        <w:rPr>
          <w:rFonts w:eastAsia="Times New Roman" w:cs="Tahoma"/>
          <w:color w:val="auto"/>
          <w:szCs w:val="24"/>
          <w:lang w:val="es-ES"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el Ente Recurrido, deberá entregar la expresión documental requerida</w:t>
      </w:r>
      <w:r w:rsidR="00497B54" w:rsidRPr="009649E1">
        <w:rPr>
          <w:rFonts w:eastAsia="Times New Roman" w:cs="Tahoma"/>
          <w:color w:val="auto"/>
          <w:szCs w:val="24"/>
          <w:lang w:val="es-ES" w:eastAsia="es-ES"/>
        </w:rPr>
        <w:t>, es decir, respecto a las auditorías realizadas durante los periodos solicitados.</w:t>
      </w:r>
    </w:p>
    <w:p w14:paraId="1696CB30" w14:textId="77777777" w:rsidR="00497B54" w:rsidRPr="009649E1" w:rsidRDefault="00497B54" w:rsidP="00D5210E">
      <w:pPr>
        <w:spacing w:after="0" w:line="360" w:lineRule="auto"/>
        <w:contextualSpacing/>
        <w:rPr>
          <w:rFonts w:eastAsia="Times New Roman" w:cs="Tahoma"/>
          <w:color w:val="auto"/>
          <w:szCs w:val="24"/>
          <w:lang w:val="es-ES" w:eastAsia="es-ES"/>
        </w:rPr>
      </w:pPr>
    </w:p>
    <w:p w14:paraId="0F9715C9" w14:textId="77777777" w:rsidR="00497B54" w:rsidRPr="009649E1" w:rsidRDefault="00497B54" w:rsidP="00D5210E">
      <w:pPr>
        <w:tabs>
          <w:tab w:val="left" w:pos="4962"/>
        </w:tabs>
        <w:spacing w:after="0" w:line="360" w:lineRule="auto"/>
        <w:rPr>
          <w:rFonts w:eastAsia="Calibri" w:cs="Tahoma"/>
          <w:color w:val="auto"/>
          <w:szCs w:val="20"/>
          <w:lang w:val="es-ES" w:eastAsia="es-ES_tradnl"/>
        </w:rPr>
      </w:pPr>
      <w:r w:rsidRPr="009649E1">
        <w:rPr>
          <w:rFonts w:eastAsia="Calibri" w:cs="Tahoma"/>
          <w:color w:val="auto"/>
          <w:szCs w:val="20"/>
          <w:lang w:val="es-ES" w:eastAsia="es-ES_tradnl"/>
        </w:rPr>
        <w:t>Lo anterior, toma relevancia pues este Instituto localizó el Programa Anual de control y Evaluación del ejercicio fiscal dos mil veintitrés y de dos mil veinticuatro, para la Secretaría de Finanzas, de los cuales se logra vislumbrar que durante los dos años mencionados se planearon realizar diversas auditorías, tal como se muestra en los siguientes ejemplos:</w:t>
      </w:r>
    </w:p>
    <w:p w14:paraId="46FDAC30" w14:textId="77777777" w:rsidR="00497B54" w:rsidRPr="009649E1" w:rsidRDefault="00497B54" w:rsidP="00D5210E">
      <w:pPr>
        <w:tabs>
          <w:tab w:val="left" w:pos="4962"/>
        </w:tabs>
        <w:spacing w:after="0" w:line="360" w:lineRule="auto"/>
        <w:ind w:right="539"/>
        <w:rPr>
          <w:rFonts w:eastAsia="Calibri" w:cs="Tahoma"/>
          <w:color w:val="auto"/>
          <w:szCs w:val="20"/>
          <w:lang w:val="es-ES" w:eastAsia="es-ES_tradnl"/>
        </w:rPr>
      </w:pPr>
    </w:p>
    <w:p w14:paraId="33FB49FA" w14:textId="7F614A70" w:rsidR="00DF6A71" w:rsidRPr="009649E1" w:rsidRDefault="00DF6A71" w:rsidP="00D5210E">
      <w:pPr>
        <w:tabs>
          <w:tab w:val="left" w:pos="4962"/>
        </w:tabs>
        <w:spacing w:after="0" w:line="360" w:lineRule="auto"/>
        <w:ind w:right="539"/>
        <w:rPr>
          <w:rFonts w:eastAsia="Calibri" w:cs="Tahoma"/>
          <w:color w:val="auto"/>
          <w:szCs w:val="20"/>
          <w:lang w:val="es-ES" w:eastAsia="es-ES_tradnl"/>
        </w:rPr>
      </w:pPr>
      <w:r w:rsidRPr="009649E1">
        <w:rPr>
          <w:rFonts w:eastAsia="Calibri" w:cs="Tahoma"/>
          <w:noProof/>
          <w:color w:val="auto"/>
          <w:szCs w:val="20"/>
        </w:rPr>
        <w:drawing>
          <wp:inline distT="0" distB="0" distL="0" distR="0" wp14:anchorId="527197EF" wp14:editId="530C16B4">
            <wp:extent cx="5850890" cy="1616075"/>
            <wp:effectExtent l="0" t="0" r="0" b="3175"/>
            <wp:docPr id="2026194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94298" name=""/>
                    <pic:cNvPicPr/>
                  </pic:nvPicPr>
                  <pic:blipFill>
                    <a:blip r:embed="rId11"/>
                    <a:stretch>
                      <a:fillRect/>
                    </a:stretch>
                  </pic:blipFill>
                  <pic:spPr>
                    <a:xfrm>
                      <a:off x="0" y="0"/>
                      <a:ext cx="5850890" cy="1616075"/>
                    </a:xfrm>
                    <a:prstGeom prst="rect">
                      <a:avLst/>
                    </a:prstGeom>
                  </pic:spPr>
                </pic:pic>
              </a:graphicData>
            </a:graphic>
          </wp:inline>
        </w:drawing>
      </w:r>
    </w:p>
    <w:p w14:paraId="35581A53" w14:textId="11D89E64" w:rsidR="009D4D9D" w:rsidRPr="009649E1" w:rsidRDefault="00497B54" w:rsidP="00D5210E">
      <w:pPr>
        <w:tabs>
          <w:tab w:val="left" w:pos="4962"/>
        </w:tabs>
        <w:spacing w:after="0" w:line="360" w:lineRule="auto"/>
        <w:ind w:right="539"/>
        <w:rPr>
          <w:rFonts w:eastAsia="Calibri" w:cs="Tahoma"/>
          <w:color w:val="auto"/>
          <w:szCs w:val="20"/>
          <w:lang w:val="es-ES" w:eastAsia="es-ES_tradnl"/>
        </w:rPr>
      </w:pPr>
      <w:r w:rsidRPr="009649E1">
        <w:rPr>
          <w:rFonts w:eastAsia="Calibri" w:cs="Tahoma"/>
          <w:noProof/>
          <w:color w:val="auto"/>
          <w:szCs w:val="20"/>
        </w:rPr>
        <w:lastRenderedPageBreak/>
        <w:drawing>
          <wp:inline distT="0" distB="0" distL="0" distR="0" wp14:anchorId="3E410DCA" wp14:editId="434727A5">
            <wp:extent cx="5850890" cy="2103120"/>
            <wp:effectExtent l="0" t="0" r="0" b="0"/>
            <wp:docPr id="10314915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91506" name=""/>
                    <pic:cNvPicPr/>
                  </pic:nvPicPr>
                  <pic:blipFill>
                    <a:blip r:embed="rId12"/>
                    <a:stretch>
                      <a:fillRect/>
                    </a:stretch>
                  </pic:blipFill>
                  <pic:spPr>
                    <a:xfrm>
                      <a:off x="0" y="0"/>
                      <a:ext cx="5850890" cy="2103120"/>
                    </a:xfrm>
                    <a:prstGeom prst="rect">
                      <a:avLst/>
                    </a:prstGeom>
                  </pic:spPr>
                </pic:pic>
              </a:graphicData>
            </a:graphic>
          </wp:inline>
        </w:drawing>
      </w:r>
      <w:r w:rsidRPr="009649E1">
        <w:rPr>
          <w:rFonts w:eastAsia="Calibri" w:cs="Tahoma"/>
          <w:color w:val="auto"/>
          <w:szCs w:val="20"/>
          <w:lang w:val="es-ES" w:eastAsia="es-ES_tradnl"/>
        </w:rPr>
        <w:t xml:space="preserve"> </w:t>
      </w:r>
    </w:p>
    <w:p w14:paraId="7A5A5A48" w14:textId="77777777" w:rsidR="006D225A" w:rsidRPr="009649E1" w:rsidRDefault="006D225A" w:rsidP="00D5210E">
      <w:pPr>
        <w:tabs>
          <w:tab w:val="left" w:pos="4962"/>
        </w:tabs>
        <w:spacing w:after="0" w:line="360" w:lineRule="auto"/>
        <w:ind w:right="539"/>
        <w:rPr>
          <w:rFonts w:eastAsia="Calibri" w:cs="Tahoma"/>
          <w:color w:val="auto"/>
          <w:szCs w:val="20"/>
          <w:lang w:eastAsia="es-ES_tradnl"/>
        </w:rPr>
      </w:pPr>
    </w:p>
    <w:p w14:paraId="53AD9BC7" w14:textId="259A43F0" w:rsidR="00D5210E" w:rsidRPr="009649E1" w:rsidRDefault="00D5210E" w:rsidP="00D5210E">
      <w:pPr>
        <w:tabs>
          <w:tab w:val="left" w:pos="4962"/>
        </w:tabs>
        <w:spacing w:after="0" w:line="360" w:lineRule="auto"/>
        <w:rPr>
          <w:rFonts w:eastAsia="Calibri" w:cs="Tahoma"/>
          <w:color w:val="auto"/>
          <w:szCs w:val="20"/>
          <w:lang w:eastAsia="es-ES_tradnl"/>
        </w:rPr>
      </w:pPr>
      <w:r w:rsidRPr="009649E1">
        <w:rPr>
          <w:rFonts w:eastAsia="Calibri" w:cs="Tahoma"/>
          <w:color w:val="auto"/>
          <w:szCs w:val="20"/>
          <w:lang w:eastAsia="es-ES_tradnl"/>
        </w:rPr>
        <w:t>Además, que el personal del Órgano Interno de Control de la Secretaría de Finanzas, son los que elaboran, revisan y autorizan los Informes de Auditoría, tal como se muestra en el siguiente ejemplo:</w:t>
      </w:r>
    </w:p>
    <w:p w14:paraId="20AA8EA0" w14:textId="77777777" w:rsidR="00D5210E" w:rsidRPr="009649E1" w:rsidRDefault="00D5210E" w:rsidP="00D5210E">
      <w:pPr>
        <w:tabs>
          <w:tab w:val="left" w:pos="4962"/>
        </w:tabs>
        <w:spacing w:after="0" w:line="360" w:lineRule="auto"/>
        <w:rPr>
          <w:rFonts w:eastAsia="Calibri" w:cs="Tahoma"/>
          <w:color w:val="auto"/>
          <w:szCs w:val="20"/>
          <w:lang w:eastAsia="es-ES_tradnl"/>
        </w:rPr>
      </w:pPr>
    </w:p>
    <w:p w14:paraId="6BB91E8E" w14:textId="6812471F" w:rsidR="00D5210E" w:rsidRPr="009649E1" w:rsidRDefault="00D5210E" w:rsidP="00D5210E">
      <w:pPr>
        <w:tabs>
          <w:tab w:val="left" w:pos="4962"/>
        </w:tabs>
        <w:spacing w:after="0" w:line="360" w:lineRule="auto"/>
        <w:jc w:val="center"/>
        <w:rPr>
          <w:rFonts w:eastAsia="Calibri" w:cs="Tahoma"/>
          <w:color w:val="auto"/>
          <w:szCs w:val="20"/>
          <w:lang w:eastAsia="es-ES_tradnl"/>
        </w:rPr>
      </w:pPr>
      <w:r w:rsidRPr="009649E1">
        <w:rPr>
          <w:rFonts w:eastAsia="Calibri" w:cs="Tahoma"/>
          <w:noProof/>
          <w:color w:val="auto"/>
          <w:szCs w:val="20"/>
        </w:rPr>
        <w:drawing>
          <wp:inline distT="0" distB="0" distL="0" distR="0" wp14:anchorId="203F4C0D" wp14:editId="31B0F7A6">
            <wp:extent cx="3438525" cy="3973551"/>
            <wp:effectExtent l="0" t="0" r="0" b="8255"/>
            <wp:docPr id="790719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19329" name=""/>
                    <pic:cNvPicPr/>
                  </pic:nvPicPr>
                  <pic:blipFill>
                    <a:blip r:embed="rId13"/>
                    <a:stretch>
                      <a:fillRect/>
                    </a:stretch>
                  </pic:blipFill>
                  <pic:spPr>
                    <a:xfrm>
                      <a:off x="0" y="0"/>
                      <a:ext cx="3439445" cy="3974614"/>
                    </a:xfrm>
                    <a:prstGeom prst="rect">
                      <a:avLst/>
                    </a:prstGeom>
                  </pic:spPr>
                </pic:pic>
              </a:graphicData>
            </a:graphic>
          </wp:inline>
        </w:drawing>
      </w:r>
    </w:p>
    <w:p w14:paraId="6E63A18A" w14:textId="5049C4CD" w:rsidR="00DF6A71" w:rsidRPr="009649E1" w:rsidRDefault="00DF6A71" w:rsidP="00D5210E">
      <w:pPr>
        <w:tabs>
          <w:tab w:val="left" w:pos="4962"/>
        </w:tabs>
        <w:spacing w:after="0" w:line="360" w:lineRule="auto"/>
        <w:rPr>
          <w:rFonts w:eastAsia="Calibri" w:cs="Tahoma"/>
          <w:color w:val="auto"/>
          <w:szCs w:val="20"/>
          <w:lang w:val="es-ES" w:eastAsia="es-ES_tradnl"/>
        </w:rPr>
      </w:pPr>
      <w:r w:rsidRPr="009649E1">
        <w:rPr>
          <w:rFonts w:eastAsia="Calibri" w:cs="Tahoma"/>
          <w:color w:val="auto"/>
          <w:szCs w:val="20"/>
          <w:lang w:val="es-ES" w:eastAsia="es-ES_tradnl"/>
        </w:rPr>
        <w:lastRenderedPageBreak/>
        <w:t>Así, se concluye que el Sujeto Obligado deberá entregar la información solicitada respecto a las auditorías realizadas a la Dirección General de Tesorería y la Subsecretaría de Tesorería y las áreas que conforman a estas.</w:t>
      </w:r>
    </w:p>
    <w:p w14:paraId="4EB939FE" w14:textId="77777777" w:rsidR="00DF6A71" w:rsidRPr="009649E1" w:rsidRDefault="00DF6A71" w:rsidP="00D5210E">
      <w:pPr>
        <w:tabs>
          <w:tab w:val="left" w:pos="4962"/>
        </w:tabs>
        <w:spacing w:after="0" w:line="360" w:lineRule="auto"/>
        <w:rPr>
          <w:rFonts w:eastAsia="Calibri" w:cs="Tahoma"/>
          <w:color w:val="auto"/>
          <w:szCs w:val="20"/>
          <w:lang w:val="es-ES" w:eastAsia="es-ES_tradnl"/>
        </w:rPr>
      </w:pPr>
    </w:p>
    <w:p w14:paraId="6CCC551D" w14:textId="5A47EFB9" w:rsidR="00DF6A71" w:rsidRPr="009649E1" w:rsidRDefault="00DF6A71" w:rsidP="00D5210E">
      <w:pPr>
        <w:tabs>
          <w:tab w:val="left" w:pos="4962"/>
        </w:tabs>
        <w:spacing w:after="0" w:line="360" w:lineRule="auto"/>
        <w:rPr>
          <w:rFonts w:eastAsia="Calibri" w:cs="Tahoma"/>
          <w:color w:val="auto"/>
          <w:szCs w:val="20"/>
          <w:lang w:val="es-ES" w:eastAsia="es-ES_tradnl"/>
        </w:rPr>
      </w:pPr>
      <w:r w:rsidRPr="009649E1">
        <w:rPr>
          <w:rFonts w:eastAsia="Calibri" w:cs="Tahoma"/>
          <w:color w:val="auto"/>
          <w:szCs w:val="20"/>
          <w:lang w:val="es-ES" w:eastAsia="es-ES_tradnl"/>
        </w:rPr>
        <w:t>Ahora bien, para el caso de que en alguno de los periodos no se haya realizado alguna auditoría a las áreas mencionadas, deberá hacerlo del conocimiento de la parte Recurrente, de manera clara y precisa, en términos del artículo 19, párrafo segundo, de la Ley de Transparencia y Acceso a la Información Pública del Estado de México y Municipios.</w:t>
      </w:r>
    </w:p>
    <w:p w14:paraId="2BD34CC6" w14:textId="77777777" w:rsidR="00DF6A71" w:rsidRPr="009649E1" w:rsidRDefault="00DF6A71" w:rsidP="00D5210E">
      <w:pPr>
        <w:tabs>
          <w:tab w:val="left" w:pos="4962"/>
        </w:tabs>
        <w:spacing w:after="0" w:line="360" w:lineRule="auto"/>
        <w:ind w:right="539"/>
        <w:rPr>
          <w:rFonts w:eastAsia="Calibri" w:cs="Tahoma"/>
          <w:color w:val="auto"/>
          <w:szCs w:val="20"/>
          <w:lang w:eastAsia="es-ES_tradnl"/>
        </w:rPr>
      </w:pPr>
    </w:p>
    <w:p w14:paraId="1E757B6C" w14:textId="59C9B162" w:rsidR="00DF6A71" w:rsidRPr="009649E1" w:rsidRDefault="00DF6A71" w:rsidP="00D5210E">
      <w:pPr>
        <w:spacing w:after="0" w:line="360" w:lineRule="auto"/>
        <w:rPr>
          <w:rFonts w:eastAsia="Calibri" w:cs="Tahoma"/>
          <w:bCs/>
          <w:color w:val="0D0D0D" w:themeColor="text1" w:themeTint="F2"/>
          <w:lang w:val="es-ES_tradnl" w:eastAsia="en-US"/>
        </w:rPr>
      </w:pPr>
      <w:r w:rsidRPr="009649E1">
        <w:rPr>
          <w:rFonts w:eastAsia="Times New Roman" w:cs="Tahoma"/>
          <w:bCs/>
          <w:iCs/>
          <w:color w:val="auto"/>
          <w:lang w:eastAsia="es-ES"/>
        </w:rPr>
        <w:t xml:space="preserve">Finalmente, no pasa desapercibido para este Instituto, que, a la fecha de la solicitud, el Sujeto Obligado pudiera contar con auditorías en trámite, por lo que, </w:t>
      </w:r>
      <w:r w:rsidRPr="009649E1">
        <w:rPr>
          <w:rFonts w:eastAsia="Calibri" w:cs="Tahoma"/>
          <w:bCs/>
          <w:color w:val="0D0D0D" w:themeColor="text1" w:themeTint="F2"/>
          <w:lang w:val="es-ES_tradnl" w:eastAsia="en-US"/>
        </w:rPr>
        <w:t>se procede a especificar las circunstancias que debe acreditar el Sujeto Obligado para actualizar la reserva.</w:t>
      </w:r>
    </w:p>
    <w:p w14:paraId="50ACCAB4" w14:textId="77777777" w:rsidR="00D5210E" w:rsidRPr="009649E1" w:rsidRDefault="00D5210E" w:rsidP="00D5210E">
      <w:pPr>
        <w:spacing w:after="0" w:line="360" w:lineRule="auto"/>
        <w:rPr>
          <w:rFonts w:eastAsia="Calibri" w:cs="Tahoma"/>
          <w:bCs/>
          <w:color w:val="0D0D0D" w:themeColor="text1" w:themeTint="F2"/>
          <w:lang w:val="es-ES_tradnl" w:eastAsia="en-US"/>
        </w:rPr>
      </w:pPr>
    </w:p>
    <w:p w14:paraId="299938CA" w14:textId="77777777" w:rsidR="00DF6A71" w:rsidRPr="009649E1" w:rsidRDefault="00DF6A71" w:rsidP="00D5210E">
      <w:pPr>
        <w:spacing w:after="0" w:line="360" w:lineRule="auto"/>
        <w:rPr>
          <w:rFonts w:eastAsia="Times New Roman" w:cs="Tahoma"/>
          <w:iCs/>
          <w:color w:val="auto"/>
          <w:lang w:val="es-ES" w:eastAsia="es-ES"/>
        </w:rPr>
      </w:pPr>
      <w:r w:rsidRPr="009649E1">
        <w:rPr>
          <w:rFonts w:eastAsia="Times New Roman" w:cs="Tahoma"/>
          <w:iCs/>
          <w:color w:val="auto"/>
          <w:lang w:val="es-ES" w:eastAsia="es-ES"/>
        </w:rPr>
        <w:t>En ese sentido, el artículo 140, fracción V, inciso 1, de la Ley de Transparencia y Acceso a la Información Pública del Estado de México y Municipios, (homólogo del artículo 113, fracción VI de la Ley General de Transparencia y Acceso a la Información Pública), prevé lo siguiente:</w:t>
      </w:r>
    </w:p>
    <w:p w14:paraId="76247100" w14:textId="77777777" w:rsidR="00DF6A71" w:rsidRPr="009649E1" w:rsidRDefault="00DF6A71" w:rsidP="00D5210E">
      <w:pPr>
        <w:spacing w:after="0" w:line="360" w:lineRule="auto"/>
        <w:rPr>
          <w:rFonts w:eastAsia="Times New Roman" w:cs="Tahoma"/>
          <w:bCs/>
          <w:color w:val="auto"/>
          <w:lang w:eastAsia="es-ES"/>
        </w:rPr>
      </w:pPr>
    </w:p>
    <w:p w14:paraId="6F10021C"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
          <w:bCs/>
          <w:i/>
          <w:color w:val="auto"/>
          <w:sz w:val="20"/>
          <w:szCs w:val="20"/>
          <w:lang w:eastAsia="es-ES"/>
        </w:rPr>
        <w:t>“Artículo 140.</w:t>
      </w:r>
      <w:r w:rsidRPr="009649E1">
        <w:rPr>
          <w:rFonts w:eastAsia="Times New Roman" w:cs="Tahoma"/>
          <w:bCs/>
          <w:i/>
          <w:color w:val="auto"/>
          <w:sz w:val="20"/>
          <w:szCs w:val="20"/>
          <w:lang w:eastAsia="es-ES"/>
        </w:rPr>
        <w:t xml:space="preserve"> El acceso a la información pública será restringido excepcionalmente, cuando por razones de interés público, ésta sea clasificada como reservada, conforme a los criterios siguientes: </w:t>
      </w:r>
    </w:p>
    <w:p w14:paraId="542DE8C7"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Cs/>
          <w:i/>
          <w:color w:val="auto"/>
          <w:sz w:val="20"/>
          <w:szCs w:val="20"/>
          <w:lang w:eastAsia="es-ES"/>
        </w:rPr>
        <w:t>…</w:t>
      </w:r>
    </w:p>
    <w:p w14:paraId="0047F6D5"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Cs/>
          <w:i/>
          <w:color w:val="auto"/>
          <w:sz w:val="20"/>
          <w:szCs w:val="20"/>
          <w:lang w:eastAsia="es-ES"/>
        </w:rPr>
        <w:t>V. Aquella cuya divulgación obstruya o pueda causar un serio perjuicio a:</w:t>
      </w:r>
    </w:p>
    <w:p w14:paraId="63D5095E"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p>
    <w:p w14:paraId="7ED539A2"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Cs/>
          <w:i/>
          <w:color w:val="auto"/>
          <w:sz w:val="20"/>
          <w:szCs w:val="20"/>
          <w:lang w:eastAsia="es-ES"/>
        </w:rPr>
        <w:t>1. Las actividades de fiscalización, verificación, inspección, comprobación y auditoría sobre el cumplimiento de las Leyes; o</w:t>
      </w:r>
    </w:p>
    <w:p w14:paraId="5510E5F3"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Cs/>
          <w:i/>
          <w:color w:val="auto"/>
          <w:sz w:val="20"/>
          <w:szCs w:val="20"/>
          <w:lang w:eastAsia="es-ES"/>
        </w:rPr>
        <w:t>…”</w:t>
      </w:r>
    </w:p>
    <w:p w14:paraId="04527CEA" w14:textId="77777777" w:rsidR="00DF6A71" w:rsidRPr="009649E1" w:rsidRDefault="00DF6A71" w:rsidP="00D5210E">
      <w:pPr>
        <w:spacing w:after="0" w:line="360" w:lineRule="auto"/>
        <w:rPr>
          <w:rFonts w:eastAsia="Times New Roman" w:cs="Tahoma"/>
          <w:bCs/>
          <w:iCs/>
          <w:color w:val="auto"/>
          <w:lang w:eastAsia="es-ES"/>
        </w:rPr>
      </w:pPr>
    </w:p>
    <w:p w14:paraId="6B8EC41E" w14:textId="77777777" w:rsidR="00DF6A71" w:rsidRPr="009649E1" w:rsidRDefault="00DF6A71" w:rsidP="00D5210E">
      <w:pPr>
        <w:spacing w:after="0" w:line="360" w:lineRule="auto"/>
        <w:rPr>
          <w:rFonts w:eastAsia="Times New Roman" w:cs="Tahoma"/>
          <w:bCs/>
          <w:iCs/>
          <w:color w:val="auto"/>
          <w:lang w:eastAsia="es-ES"/>
        </w:rPr>
      </w:pPr>
      <w:r w:rsidRPr="009649E1">
        <w:rPr>
          <w:rFonts w:eastAsia="Times New Roman" w:cs="Tahoma"/>
          <w:bCs/>
          <w:iCs/>
          <w:color w:val="auto"/>
          <w:lang w:eastAsia="es-ES"/>
        </w:rPr>
        <w:t xml:space="preserve">De dicho precepto normativo se desprende que podrá clasificarse como información reservada aquella cuya publicación obstruya o cause perjuicio en las actividades de fiscalización, </w:t>
      </w:r>
      <w:r w:rsidRPr="009649E1">
        <w:rPr>
          <w:rFonts w:eastAsia="Times New Roman" w:cs="Tahoma"/>
          <w:bCs/>
          <w:iCs/>
          <w:color w:val="auto"/>
          <w:lang w:eastAsia="es-ES"/>
        </w:rPr>
        <w:lastRenderedPageBreak/>
        <w:t>verificación, inspección, comprobación y auditoría sobre el cumplimiento de leyes. Por su parte, los Lineamientos Generales, disponen:</w:t>
      </w:r>
    </w:p>
    <w:p w14:paraId="5F06AC0E" w14:textId="77777777" w:rsidR="00DF6A71" w:rsidRPr="009649E1" w:rsidRDefault="00DF6A71" w:rsidP="00D5210E">
      <w:pPr>
        <w:spacing w:after="0" w:line="360" w:lineRule="auto"/>
        <w:rPr>
          <w:rFonts w:eastAsia="Times New Roman" w:cs="Tahoma"/>
          <w:bCs/>
          <w:iCs/>
          <w:color w:val="auto"/>
          <w:lang w:eastAsia="es-ES"/>
        </w:rPr>
      </w:pPr>
    </w:p>
    <w:p w14:paraId="1E038A5A"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
          <w:bCs/>
          <w:i/>
          <w:color w:val="auto"/>
          <w:sz w:val="20"/>
          <w:szCs w:val="20"/>
          <w:lang w:eastAsia="es-ES"/>
        </w:rPr>
        <w:t>“Vigésimo cuarto.</w:t>
      </w:r>
      <w:r w:rsidRPr="009649E1">
        <w:rPr>
          <w:rFonts w:eastAsia="Times New Roman" w:cs="Tahoma"/>
          <w:bCs/>
          <w:i/>
          <w:color w:val="auto"/>
          <w:sz w:val="20"/>
          <w:szCs w:val="20"/>
          <w:lang w:eastAsia="es-ES"/>
        </w:rPr>
        <w:t> De conformidad con el artículo 113, fracción VI de la Ley General, podrá considerarse como reservada, aquella información que obstruya las actividades de verificación, inspección y auditoría relativas al cumplimiento de las leyes, cuando se actualicen los siguientes elementos:</w:t>
      </w:r>
    </w:p>
    <w:p w14:paraId="08DF5C71"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p>
    <w:p w14:paraId="7BEA01EF"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Cs/>
          <w:i/>
          <w:color w:val="auto"/>
          <w:sz w:val="20"/>
          <w:szCs w:val="20"/>
          <w:lang w:eastAsia="es-ES"/>
        </w:rPr>
        <w:t>I. La existencia de un procedimiento de verificación del cumplimiento de las leyes;</w:t>
      </w:r>
    </w:p>
    <w:p w14:paraId="5B593871"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p>
    <w:p w14:paraId="08D72264"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Cs/>
          <w:i/>
          <w:color w:val="auto"/>
          <w:sz w:val="20"/>
          <w:szCs w:val="20"/>
          <w:lang w:eastAsia="es-ES"/>
        </w:rPr>
        <w:t>II. Que el procedimiento se encuentre en trámite;</w:t>
      </w:r>
    </w:p>
    <w:p w14:paraId="404F19EA"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p>
    <w:p w14:paraId="35A1F9B4"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Cs/>
          <w:i/>
          <w:color w:val="auto"/>
          <w:sz w:val="20"/>
          <w:szCs w:val="20"/>
          <w:lang w:eastAsia="es-ES"/>
        </w:rPr>
        <w:t>III. La vinculación directa con las actividades que realiza la autoridad en el procedimiento de verificación del cumplimiento de las leyes, y</w:t>
      </w:r>
    </w:p>
    <w:p w14:paraId="21F5441C"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p>
    <w:p w14:paraId="5942B838" w14:textId="77777777" w:rsidR="00DF6A71" w:rsidRPr="009649E1" w:rsidRDefault="00DF6A71" w:rsidP="00D5210E">
      <w:pPr>
        <w:spacing w:after="0" w:line="360" w:lineRule="auto"/>
        <w:ind w:left="567" w:right="567"/>
        <w:rPr>
          <w:rFonts w:eastAsia="Times New Roman" w:cs="Tahoma"/>
          <w:bCs/>
          <w:i/>
          <w:color w:val="auto"/>
          <w:sz w:val="20"/>
          <w:szCs w:val="20"/>
          <w:lang w:eastAsia="es-ES"/>
        </w:rPr>
      </w:pPr>
      <w:r w:rsidRPr="009649E1">
        <w:rPr>
          <w:rFonts w:eastAsia="Times New Roman" w:cs="Tahoma"/>
          <w:bCs/>
          <w:i/>
          <w:color w:val="auto"/>
          <w:sz w:val="20"/>
          <w:szCs w:val="20"/>
          <w:lang w:eastAsia="es-ES"/>
        </w:rPr>
        <w:t>IV. Que la difusión de la información impida u obstaculice las actividades de inspección, supervisión o vigilancia que realicen las autoridades en el procedimiento de verificación del cumplimiento de las leyes.”</w:t>
      </w:r>
    </w:p>
    <w:p w14:paraId="6FA21236" w14:textId="77777777" w:rsidR="00DF6A71" w:rsidRPr="009649E1" w:rsidRDefault="00DF6A71" w:rsidP="00D5210E">
      <w:pPr>
        <w:spacing w:after="0" w:line="360" w:lineRule="auto"/>
        <w:rPr>
          <w:rFonts w:eastAsia="Times New Roman" w:cs="Tahoma"/>
          <w:bCs/>
          <w:iCs/>
          <w:color w:val="auto"/>
          <w:lang w:eastAsia="es-ES"/>
        </w:rPr>
      </w:pPr>
    </w:p>
    <w:p w14:paraId="37A1819A" w14:textId="77777777" w:rsidR="00DF6A71" w:rsidRPr="009649E1" w:rsidRDefault="00DF6A71" w:rsidP="00D5210E">
      <w:pPr>
        <w:spacing w:after="0" w:line="360" w:lineRule="auto"/>
        <w:rPr>
          <w:rFonts w:eastAsia="Times New Roman" w:cs="Tahoma"/>
          <w:bCs/>
          <w:iCs/>
          <w:color w:val="auto"/>
          <w:lang w:eastAsia="es-ES"/>
        </w:rPr>
      </w:pPr>
      <w:r w:rsidRPr="009649E1">
        <w:rPr>
          <w:rFonts w:eastAsia="Times New Roman" w:cs="Tahoma"/>
          <w:bCs/>
          <w:iCs/>
          <w:color w:val="auto"/>
          <w:lang w:eastAsia="es-ES"/>
        </w:rPr>
        <w:t xml:space="preserve">Del lineamiento en cita, se colige que se trata de información reservada aquella que obstruya las actividades de verificación, inspección y auditoría relativas al cumplimiento de las leyes, cuando se actualicen los siguientes elementos: </w:t>
      </w:r>
    </w:p>
    <w:p w14:paraId="49F5BEA5" w14:textId="77777777" w:rsidR="00DF6A71" w:rsidRPr="009649E1" w:rsidRDefault="00DF6A71" w:rsidP="00D5210E">
      <w:pPr>
        <w:spacing w:after="0" w:line="360" w:lineRule="auto"/>
        <w:rPr>
          <w:rFonts w:eastAsia="Times New Roman" w:cs="Tahoma"/>
          <w:bCs/>
          <w:iCs/>
          <w:color w:val="auto"/>
          <w:lang w:eastAsia="es-ES"/>
        </w:rPr>
      </w:pPr>
    </w:p>
    <w:p w14:paraId="4EEF2767" w14:textId="187803A3" w:rsidR="00DF6A71" w:rsidRPr="009649E1" w:rsidRDefault="00DF6A71" w:rsidP="00E521F4">
      <w:pPr>
        <w:numPr>
          <w:ilvl w:val="0"/>
          <w:numId w:val="3"/>
        </w:numPr>
        <w:spacing w:after="0" w:line="360" w:lineRule="auto"/>
        <w:contextualSpacing/>
        <w:jc w:val="left"/>
        <w:rPr>
          <w:rFonts w:eastAsia="Times New Roman" w:cs="Tahoma"/>
          <w:bCs/>
          <w:iCs/>
          <w:color w:val="auto"/>
          <w:lang w:eastAsia="es-ES"/>
        </w:rPr>
      </w:pPr>
      <w:r w:rsidRPr="009649E1">
        <w:rPr>
          <w:rFonts w:eastAsia="Times New Roman" w:cs="Tahoma"/>
          <w:bCs/>
          <w:iCs/>
          <w:color w:val="auto"/>
          <w:lang w:eastAsia="es-ES"/>
        </w:rPr>
        <w:t>La existencia de un procedimiento de verificación del cumplimiento de las leyes;</w:t>
      </w:r>
    </w:p>
    <w:p w14:paraId="47C778C1" w14:textId="77777777" w:rsidR="00DF6A71" w:rsidRPr="009649E1" w:rsidRDefault="00DF6A71" w:rsidP="00E521F4">
      <w:pPr>
        <w:numPr>
          <w:ilvl w:val="0"/>
          <w:numId w:val="3"/>
        </w:numPr>
        <w:spacing w:after="0" w:line="360" w:lineRule="auto"/>
        <w:contextualSpacing/>
        <w:jc w:val="left"/>
        <w:rPr>
          <w:rFonts w:eastAsia="Times New Roman" w:cs="Tahoma"/>
          <w:bCs/>
          <w:iCs/>
          <w:color w:val="auto"/>
          <w:lang w:eastAsia="es-ES"/>
        </w:rPr>
      </w:pPr>
      <w:r w:rsidRPr="009649E1">
        <w:rPr>
          <w:rFonts w:eastAsia="Times New Roman" w:cs="Tahoma"/>
          <w:bCs/>
          <w:iCs/>
          <w:color w:val="auto"/>
          <w:lang w:eastAsia="es-ES"/>
        </w:rPr>
        <w:t>Que ese procedimiento se encuentre en trámite;</w:t>
      </w:r>
    </w:p>
    <w:p w14:paraId="52026022" w14:textId="77777777" w:rsidR="00DF6A71" w:rsidRPr="009649E1" w:rsidRDefault="00DF6A71" w:rsidP="00E521F4">
      <w:pPr>
        <w:numPr>
          <w:ilvl w:val="0"/>
          <w:numId w:val="3"/>
        </w:numPr>
        <w:spacing w:after="0" w:line="360" w:lineRule="auto"/>
        <w:contextualSpacing/>
        <w:jc w:val="left"/>
        <w:rPr>
          <w:rFonts w:eastAsia="Times New Roman" w:cs="Tahoma"/>
          <w:bCs/>
          <w:iCs/>
          <w:color w:val="auto"/>
          <w:lang w:eastAsia="es-ES"/>
        </w:rPr>
      </w:pPr>
      <w:r w:rsidRPr="009649E1">
        <w:rPr>
          <w:rFonts w:eastAsia="Times New Roman" w:cs="Tahoma"/>
          <w:bCs/>
          <w:iCs/>
          <w:color w:val="auto"/>
          <w:lang w:eastAsia="es-ES"/>
        </w:rPr>
        <w:t>La vinculación directa con las actividades que realiza la autoridad en el procedimiento de verificación del cumplimiento de las leyes, y</w:t>
      </w:r>
    </w:p>
    <w:p w14:paraId="60E340B8" w14:textId="77777777" w:rsidR="00DF6A71" w:rsidRPr="009649E1" w:rsidRDefault="00DF6A71" w:rsidP="00E521F4">
      <w:pPr>
        <w:numPr>
          <w:ilvl w:val="0"/>
          <w:numId w:val="3"/>
        </w:numPr>
        <w:spacing w:after="0" w:line="360" w:lineRule="auto"/>
        <w:contextualSpacing/>
        <w:jc w:val="left"/>
        <w:rPr>
          <w:rFonts w:eastAsia="Times New Roman" w:cs="Tahoma"/>
          <w:bCs/>
          <w:iCs/>
          <w:color w:val="auto"/>
          <w:lang w:eastAsia="es-ES"/>
        </w:rPr>
      </w:pPr>
      <w:r w:rsidRPr="009649E1">
        <w:rPr>
          <w:rFonts w:eastAsia="Times New Roman" w:cs="Tahoma"/>
          <w:bCs/>
          <w:iCs/>
          <w:color w:val="auto"/>
          <w:lang w:eastAsia="es-ES"/>
        </w:rPr>
        <w:lastRenderedPageBreak/>
        <w:t xml:space="preserve">Que la difusión de la información impida u obstaculice las actividades de inspección, supervisión o vigilancia que realicen las autoridades en el proceso de verificación del cumplimiento de las leyes. </w:t>
      </w:r>
    </w:p>
    <w:p w14:paraId="0936BC7F" w14:textId="77777777" w:rsidR="00DF6A71" w:rsidRPr="009649E1" w:rsidRDefault="00DF6A71" w:rsidP="00D5210E">
      <w:pPr>
        <w:spacing w:after="0" w:line="360" w:lineRule="auto"/>
        <w:rPr>
          <w:rFonts w:eastAsia="Times New Roman" w:cs="Tahoma"/>
          <w:bCs/>
          <w:iCs/>
          <w:color w:val="auto"/>
          <w:lang w:eastAsia="es-ES"/>
        </w:rPr>
      </w:pPr>
    </w:p>
    <w:p w14:paraId="13EA0BF6" w14:textId="77777777" w:rsidR="00DF6A71" w:rsidRPr="009649E1" w:rsidRDefault="00DF6A71" w:rsidP="00D5210E">
      <w:pPr>
        <w:spacing w:after="0" w:line="360" w:lineRule="auto"/>
        <w:rPr>
          <w:rFonts w:eastAsia="Times New Roman" w:cs="Tahoma"/>
          <w:bCs/>
          <w:iCs/>
          <w:color w:val="auto"/>
          <w:lang w:eastAsia="es-ES"/>
        </w:rPr>
      </w:pPr>
      <w:r w:rsidRPr="009649E1">
        <w:rPr>
          <w:rFonts w:eastAsia="Times New Roman" w:cs="Tahoma"/>
          <w:bCs/>
          <w:iCs/>
          <w:color w:val="auto"/>
          <w:lang w:eastAsia="es-ES"/>
        </w:rPr>
        <w:t xml:space="preserve">En ese contexto, de la interpretación de la causal de reserva en análisis, este Instituto estima que consiste en proteger la oportunidad de la autoridad verificadora de realizar las acciones materiales de fiscalización, sin que el sujeto verificado pueda alterar o modificar el escenario, objeto o circunstancias materia de fiscalización. </w:t>
      </w:r>
    </w:p>
    <w:p w14:paraId="14D99C36" w14:textId="77777777" w:rsidR="00DF6A71" w:rsidRPr="009649E1" w:rsidRDefault="00DF6A71" w:rsidP="00D5210E">
      <w:pPr>
        <w:spacing w:after="0" w:line="360" w:lineRule="auto"/>
        <w:rPr>
          <w:rFonts w:eastAsia="Times New Roman" w:cs="Tahoma"/>
          <w:bCs/>
          <w:iCs/>
          <w:color w:val="auto"/>
          <w:lang w:eastAsia="es-ES"/>
        </w:rPr>
      </w:pPr>
    </w:p>
    <w:p w14:paraId="7B4A6DCC" w14:textId="77777777" w:rsidR="00DF6A71" w:rsidRPr="009649E1" w:rsidRDefault="00DF6A71" w:rsidP="00D5210E">
      <w:pPr>
        <w:spacing w:after="0" w:line="360" w:lineRule="auto"/>
        <w:rPr>
          <w:rFonts w:eastAsia="Times New Roman" w:cs="Tahoma"/>
          <w:bCs/>
          <w:iCs/>
          <w:color w:val="auto"/>
          <w:lang w:eastAsia="es-ES"/>
        </w:rPr>
      </w:pPr>
      <w:r w:rsidRPr="009649E1">
        <w:rPr>
          <w:rFonts w:eastAsia="Times New Roman" w:cs="Tahoma"/>
          <w:bCs/>
          <w:iCs/>
          <w:color w:val="auto"/>
          <w:lang w:eastAsia="es-ES"/>
        </w:rPr>
        <w:t>Es decir, con dicha causal de reserva se procura permitir que las autoridades realicen las labores de verificación, inspección o auditoría del cumplimiento de las leyes, en su circunstancia natural, sin que el sujeto verificado, o bien, personas ajenas, puedan influir en el resultado, modificando los hechos, actos u omisiones a fiscalizar.</w:t>
      </w:r>
    </w:p>
    <w:p w14:paraId="7163356D" w14:textId="77777777" w:rsidR="00DF6A71" w:rsidRPr="009649E1" w:rsidRDefault="00DF6A71" w:rsidP="00D5210E">
      <w:pPr>
        <w:spacing w:after="0" w:line="360" w:lineRule="auto"/>
        <w:rPr>
          <w:rFonts w:eastAsia="Calibri" w:cs="Tahoma"/>
          <w:b/>
          <w:color w:val="0D0D0D" w:themeColor="text1" w:themeTint="F2"/>
          <w:lang w:val="es-ES_tradnl" w:eastAsia="en-US"/>
        </w:rPr>
      </w:pPr>
    </w:p>
    <w:p w14:paraId="06057C6E" w14:textId="34F09844" w:rsidR="00DF6A71" w:rsidRPr="009649E1" w:rsidRDefault="00DF6A71" w:rsidP="00D5210E">
      <w:pPr>
        <w:spacing w:after="0" w:line="360" w:lineRule="auto"/>
        <w:ind w:right="-28"/>
        <w:rPr>
          <w:rFonts w:eastAsia="Times New Roman" w:cs="Tahoma"/>
          <w:color w:val="auto"/>
          <w:lang w:eastAsia="es-ES"/>
        </w:rPr>
      </w:pPr>
      <w:r w:rsidRPr="009649E1">
        <w:rPr>
          <w:rFonts w:eastAsia="Times New Roman" w:cs="Tahoma"/>
          <w:color w:val="auto"/>
          <w:lang w:eastAsia="es-ES"/>
        </w:rPr>
        <w:t>Conforme a lo anterior, se considera que el Sujeto Obligado para actualizar la causal de reserva establecida en el artículo 140, fracción V, numeral 1, de la Ley de Transparencia y Acceso a la Información Pública del Estado de México y Municipios, deberá desarrollar su prueba de daño específica, en donde además deberá acreditar la existencia de un procedimiento de verificación del cumplimiento de las leyes, en trámite; así como, que la documentación solicitada tenga una vinculación directa con las actividades que realiza la autoridad en el procedimiento de verificación y su difusión impida u obstaculice las actividades de inspección, supervisión o vigilancia; por lo que, en el caso, de no acreditar los requisitos establecidos en los Lineamientos Generales, no podrá reservar la documentación.</w:t>
      </w:r>
    </w:p>
    <w:p w14:paraId="02DEE34F" w14:textId="77777777" w:rsidR="00DF6A71" w:rsidRPr="009649E1" w:rsidRDefault="00DF6A71" w:rsidP="00D5210E">
      <w:pPr>
        <w:spacing w:after="0" w:line="360" w:lineRule="auto"/>
        <w:rPr>
          <w:rFonts w:eastAsia="Calibri" w:cs="Tahoma"/>
          <w:bCs/>
          <w:color w:val="0D0D0D" w:themeColor="text1" w:themeTint="F2"/>
          <w:lang w:eastAsia="en-US"/>
        </w:rPr>
      </w:pPr>
    </w:p>
    <w:p w14:paraId="68210A69" w14:textId="27919E78" w:rsidR="00D5210E" w:rsidRPr="009649E1" w:rsidRDefault="00D5210E" w:rsidP="00D5210E">
      <w:pPr>
        <w:tabs>
          <w:tab w:val="left" w:pos="4962"/>
        </w:tabs>
        <w:spacing w:after="0" w:line="360" w:lineRule="auto"/>
        <w:rPr>
          <w:rFonts w:eastAsia="Calibri" w:cs="Tahoma"/>
          <w:iCs/>
          <w:color w:val="0D0D0D" w:themeColor="text1" w:themeTint="F2"/>
          <w:lang w:val="es-ES" w:eastAsia="es-ES_tradnl"/>
        </w:rPr>
      </w:pPr>
      <w:r w:rsidRPr="009649E1">
        <w:rPr>
          <w:rFonts w:eastAsia="Times New Roman" w:cs="Tahoma"/>
          <w:color w:val="0D0D0D" w:themeColor="text1" w:themeTint="F2"/>
          <w:lang w:eastAsia="es-ES"/>
        </w:rPr>
        <w:t xml:space="preserve">Conforme a lo anterior, para el caso de que existan auditorías en trámite que actualicen la causal de reserva referida, el Sujeto Obligado deberá desarrollar una prueba de daño específica, acreditando las circunstancias analizadas por este Instituto, para lo cual, deberá tomar en cuenta </w:t>
      </w:r>
      <w:r w:rsidRPr="009649E1">
        <w:rPr>
          <w:rFonts w:eastAsia="Times New Roman" w:cs="Tahoma"/>
          <w:color w:val="0D0D0D" w:themeColor="text1" w:themeTint="F2"/>
          <w:lang w:eastAsia="es-ES"/>
        </w:rPr>
        <w:lastRenderedPageBreak/>
        <w:t xml:space="preserve">lo establecido en el </w:t>
      </w:r>
      <w:r w:rsidRPr="009649E1">
        <w:rPr>
          <w:rFonts w:eastAsia="Calibri" w:cs="Tahoma"/>
          <w:iCs/>
          <w:color w:val="0D0D0D" w:themeColor="text1" w:themeTint="F2"/>
          <w:lang w:val="es-ES" w:eastAsia="es-ES_tradnl"/>
        </w:rPr>
        <w:t>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569959ED" w14:textId="77777777" w:rsidR="00D5210E" w:rsidRPr="009649E1" w:rsidRDefault="00D5210E" w:rsidP="00D5210E">
      <w:pPr>
        <w:tabs>
          <w:tab w:val="left" w:pos="4962"/>
        </w:tabs>
        <w:spacing w:after="0" w:line="360" w:lineRule="auto"/>
        <w:rPr>
          <w:rFonts w:eastAsia="Calibri" w:cs="Tahoma"/>
          <w:iCs/>
          <w:color w:val="0D0D0D" w:themeColor="text1" w:themeTint="F2"/>
          <w:lang w:val="es-ES" w:eastAsia="es-ES_tradnl"/>
        </w:rPr>
      </w:pPr>
    </w:p>
    <w:p w14:paraId="541BB5A2" w14:textId="77777777" w:rsidR="00D5210E" w:rsidRPr="009649E1" w:rsidRDefault="00D5210E" w:rsidP="00E521F4">
      <w:pPr>
        <w:numPr>
          <w:ilvl w:val="0"/>
          <w:numId w:val="10"/>
        </w:numPr>
        <w:tabs>
          <w:tab w:val="left" w:pos="4962"/>
        </w:tabs>
        <w:spacing w:after="0" w:line="360" w:lineRule="auto"/>
        <w:ind w:left="851" w:hanging="437"/>
        <w:rPr>
          <w:rFonts w:eastAsia="Calibri" w:cs="Tahoma"/>
          <w:iCs/>
          <w:color w:val="0D0D0D" w:themeColor="text1" w:themeTint="F2"/>
          <w:lang w:val="es-ES_tradnl" w:eastAsia="es-ES_tradnl"/>
        </w:rPr>
      </w:pPr>
      <w:r w:rsidRPr="009649E1">
        <w:rPr>
          <w:rFonts w:eastAsia="Calibri" w:cs="Tahoma"/>
          <w:iCs/>
          <w:color w:val="0D0D0D" w:themeColor="text1" w:themeTint="F2"/>
          <w:lang w:val="es-ES_tradnl" w:eastAsia="es-ES_tradnl"/>
        </w:rPr>
        <w:t>La divulgación de la información representa un riesgo real, demostrable e identificable de perjuicio significativo al interés público o a la seguridad nacional.</w:t>
      </w:r>
    </w:p>
    <w:p w14:paraId="05A61F61" w14:textId="77777777" w:rsidR="00D5210E" w:rsidRPr="009649E1" w:rsidRDefault="00D5210E" w:rsidP="00E521F4">
      <w:pPr>
        <w:numPr>
          <w:ilvl w:val="0"/>
          <w:numId w:val="10"/>
        </w:numPr>
        <w:tabs>
          <w:tab w:val="left" w:pos="4962"/>
        </w:tabs>
        <w:spacing w:after="0" w:line="360" w:lineRule="auto"/>
        <w:ind w:left="851" w:hanging="437"/>
        <w:rPr>
          <w:rFonts w:eastAsia="Calibri" w:cs="Tahoma"/>
          <w:iCs/>
          <w:color w:val="0D0D0D" w:themeColor="text1" w:themeTint="F2"/>
          <w:lang w:val="es-ES_tradnl" w:eastAsia="es-ES_tradnl"/>
        </w:rPr>
      </w:pPr>
      <w:r w:rsidRPr="009649E1">
        <w:rPr>
          <w:rFonts w:eastAsia="Calibri" w:cs="Tahoma"/>
          <w:iCs/>
          <w:color w:val="0D0D0D" w:themeColor="text1" w:themeTint="F2"/>
          <w:lang w:val="es-ES_tradnl" w:eastAsia="es-ES_tradnl"/>
        </w:rPr>
        <w:t>El riesgo de perjuicio supera el interés público general de que se difunda.</w:t>
      </w:r>
    </w:p>
    <w:p w14:paraId="348E3DEC" w14:textId="77777777" w:rsidR="00D5210E" w:rsidRPr="009649E1" w:rsidRDefault="00D5210E" w:rsidP="00E521F4">
      <w:pPr>
        <w:numPr>
          <w:ilvl w:val="0"/>
          <w:numId w:val="10"/>
        </w:numPr>
        <w:tabs>
          <w:tab w:val="left" w:pos="4962"/>
        </w:tabs>
        <w:spacing w:after="0" w:line="360" w:lineRule="auto"/>
        <w:ind w:left="851" w:hanging="437"/>
        <w:rPr>
          <w:rFonts w:eastAsia="Calibri" w:cs="Tahoma"/>
          <w:iCs/>
          <w:color w:val="0D0D0D" w:themeColor="text1" w:themeTint="F2"/>
          <w:lang w:val="es-ES_tradnl" w:eastAsia="es-ES_tradnl"/>
        </w:rPr>
      </w:pPr>
      <w:r w:rsidRPr="009649E1">
        <w:rPr>
          <w:rFonts w:eastAsia="Calibri" w:cs="Tahoma"/>
          <w:iCs/>
          <w:color w:val="0D0D0D" w:themeColor="text1" w:themeTint="F2"/>
          <w:lang w:val="es-ES_tradnl" w:eastAsia="es-ES_tradnl"/>
        </w:rPr>
        <w:t>Que la limitación se adecua al principio de proporcionalidad y representa el medio menos restrictivo disponible para evitar el perjuicio.</w:t>
      </w:r>
    </w:p>
    <w:p w14:paraId="4FEA45D3" w14:textId="77777777" w:rsidR="00D5210E" w:rsidRPr="009649E1" w:rsidRDefault="00D5210E" w:rsidP="00D5210E">
      <w:pPr>
        <w:spacing w:after="0" w:line="360" w:lineRule="auto"/>
        <w:rPr>
          <w:rFonts w:eastAsia="Times New Roman" w:cs="Tahoma"/>
          <w:color w:val="0D0D0D" w:themeColor="text1" w:themeTint="F2"/>
          <w:lang w:val="es-ES_tradnl" w:eastAsia="es-ES"/>
        </w:rPr>
      </w:pPr>
    </w:p>
    <w:p w14:paraId="6985873E" w14:textId="1736D069" w:rsidR="00D5210E" w:rsidRPr="009649E1" w:rsidRDefault="00D5210E" w:rsidP="00D5210E">
      <w:pPr>
        <w:autoSpaceDE w:val="0"/>
        <w:autoSpaceDN w:val="0"/>
        <w:spacing w:after="0" w:line="360" w:lineRule="auto"/>
        <w:rPr>
          <w:rFonts w:eastAsia="Times New Roman" w:cs="Tahoma"/>
          <w:bCs/>
          <w:color w:val="0D0D0D" w:themeColor="text1" w:themeTint="F2"/>
          <w:lang w:eastAsia="es-ES"/>
        </w:rPr>
      </w:pPr>
      <w:r w:rsidRPr="009649E1">
        <w:rPr>
          <w:rFonts w:eastAsia="Times New Roman" w:cs="Tahoma"/>
          <w:color w:val="0D0D0D" w:themeColor="text1" w:themeTint="F2"/>
          <w:lang w:eastAsia="es-ES"/>
        </w:rPr>
        <w:t xml:space="preserve">Asimismo, </w:t>
      </w:r>
      <w:r w:rsidRPr="009649E1">
        <w:rPr>
          <w:rFonts w:eastAsia="Calibri" w:cs="Tahoma"/>
          <w:bCs/>
          <w:color w:val="0D0D0D" w:themeColor="text1" w:themeTint="F2"/>
          <w:lang w:eastAsia="en-US"/>
        </w:rPr>
        <w:t xml:space="preserve">respecto al plazo de reserva, el artículo 125 de la Ley de la materia, establece </w:t>
      </w:r>
      <w:r w:rsidRPr="009649E1">
        <w:rPr>
          <w:rFonts w:eastAsia="Times New Roman" w:cs="Tahoma"/>
          <w:bCs/>
          <w:color w:val="0D0D0D" w:themeColor="text1" w:themeTint="F2"/>
          <w:lang w:eastAsia="es-ES"/>
        </w:rPr>
        <w:t xml:space="preserve">que la información clasificada como reservada según el artículo 140 de la Ley Federal de Transparencia y Acceso a la Información Pública, podrá permanecer con tal carácter hasta por un periodo de cinco años. Por otra parte,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actos de corrupción. </w:t>
      </w:r>
    </w:p>
    <w:p w14:paraId="42A23C53" w14:textId="77777777" w:rsidR="00D5210E" w:rsidRPr="009649E1" w:rsidRDefault="00D5210E" w:rsidP="00D5210E">
      <w:pPr>
        <w:autoSpaceDE w:val="0"/>
        <w:autoSpaceDN w:val="0"/>
        <w:spacing w:after="0" w:line="360" w:lineRule="auto"/>
        <w:rPr>
          <w:rFonts w:eastAsia="Times New Roman" w:cs="Tahoma"/>
          <w:bCs/>
          <w:color w:val="0D0D0D" w:themeColor="text1" w:themeTint="F2"/>
          <w:lang w:eastAsia="es-ES"/>
        </w:rPr>
      </w:pPr>
    </w:p>
    <w:p w14:paraId="64F11E15" w14:textId="0AFF9483" w:rsidR="00D5210E" w:rsidRPr="009649E1" w:rsidRDefault="00D5210E" w:rsidP="00D5210E">
      <w:pPr>
        <w:spacing w:after="0" w:line="360" w:lineRule="auto"/>
        <w:rPr>
          <w:rFonts w:eastAsia="Calibri" w:cs="Tahoma"/>
          <w:bCs/>
          <w:i/>
          <w:iCs/>
          <w:color w:val="0D0D0D" w:themeColor="text1" w:themeTint="F2"/>
          <w:sz w:val="20"/>
          <w:lang w:eastAsia="en-US"/>
        </w:rPr>
      </w:pPr>
      <w:r w:rsidRPr="009649E1">
        <w:rPr>
          <w:rFonts w:eastAsia="Times New Roman" w:cs="Tahoma"/>
          <w:color w:val="0D0D0D" w:themeColor="text1" w:themeTint="F2"/>
          <w:lang w:eastAsia="es-ES"/>
        </w:rPr>
        <w:t>Conforme a lo anterior, para el caso que de existan auditorías en trámite, el Sujeto Obligado, a través de su Comité de Transparencia, deberá emitir el Acuerdo mediante el cual se confirme la clasificación de manera fundada y motivada, mediante la realización de la prueba de daño establecida en los Lineamientos Generales y la Ley de Transparencia y Acceso a la Información Pública del Estado de México y Municipios.</w:t>
      </w:r>
    </w:p>
    <w:p w14:paraId="444D1ECC" w14:textId="77777777" w:rsidR="00DF6A71" w:rsidRPr="009649E1" w:rsidRDefault="00DF6A71" w:rsidP="00D5210E">
      <w:pPr>
        <w:spacing w:after="0" w:line="360" w:lineRule="auto"/>
        <w:rPr>
          <w:rFonts w:eastAsia="Calibri" w:cs="Tahoma"/>
          <w:bCs/>
          <w:color w:val="0D0D0D" w:themeColor="text1" w:themeTint="F2"/>
          <w:lang w:eastAsia="en-US"/>
        </w:rPr>
      </w:pPr>
    </w:p>
    <w:p w14:paraId="2B44B1D4" w14:textId="0953CDCD" w:rsidR="00D5210E" w:rsidRPr="009649E1" w:rsidRDefault="00D5210E" w:rsidP="00D5210E">
      <w:pPr>
        <w:spacing w:after="0" w:line="360" w:lineRule="auto"/>
        <w:rPr>
          <w:rFonts w:eastAsia="Times New Roman" w:cs="Times New Roman"/>
          <w:color w:val="auto"/>
          <w:lang w:eastAsia="es-ES"/>
        </w:rPr>
      </w:pPr>
      <w:r w:rsidRPr="009649E1">
        <w:rPr>
          <w:rFonts w:eastAsia="Times New Roman" w:cs="Times New Roman"/>
          <w:bCs/>
          <w:iCs/>
          <w:color w:val="auto"/>
          <w:lang w:eastAsia="es-ES"/>
        </w:rPr>
        <w:lastRenderedPageBreak/>
        <w:t>Finalmente, para el caso de que los documentos que den cuenta de lo solicitado, contengan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sidRPr="009649E1">
        <w:rPr>
          <w:rFonts w:eastAsia="Times New Roman" w:cs="Times New Roman"/>
          <w:color w:val="auto"/>
          <w:lang w:eastAsia="es-ES"/>
        </w:rPr>
        <w:t xml:space="preserve"> </w:t>
      </w:r>
    </w:p>
    <w:p w14:paraId="0566CE90" w14:textId="77777777" w:rsidR="00D5210E" w:rsidRPr="009649E1" w:rsidRDefault="00D5210E" w:rsidP="00D5210E">
      <w:pPr>
        <w:spacing w:after="0" w:line="360" w:lineRule="auto"/>
        <w:rPr>
          <w:rFonts w:eastAsia="Times New Roman" w:cs="Times New Roman"/>
          <w:color w:val="auto"/>
          <w:lang w:eastAsia="es-ES"/>
        </w:rPr>
      </w:pPr>
    </w:p>
    <w:p w14:paraId="540F14CC" w14:textId="77777777" w:rsidR="00D5210E" w:rsidRPr="009649E1" w:rsidRDefault="00D5210E" w:rsidP="00D5210E">
      <w:pPr>
        <w:spacing w:after="0" w:line="360" w:lineRule="auto"/>
        <w:rPr>
          <w:rFonts w:eastAsia="Times New Roman" w:cs="Times New Roman"/>
          <w:color w:val="auto"/>
          <w:lang w:eastAsia="es-ES"/>
        </w:rPr>
      </w:pPr>
      <w:r w:rsidRPr="009649E1">
        <w:rPr>
          <w:rFonts w:eastAsia="Times New Roman" w:cs="Times New Roman"/>
          <w:bCs/>
          <w:iCs/>
          <w:color w:val="auto"/>
          <w:lang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8B20707" w14:textId="77777777" w:rsidR="006D225A" w:rsidRPr="009649E1" w:rsidRDefault="006D225A" w:rsidP="00D5210E">
      <w:pPr>
        <w:tabs>
          <w:tab w:val="left" w:pos="4962"/>
        </w:tabs>
        <w:spacing w:after="0" w:line="360" w:lineRule="auto"/>
        <w:rPr>
          <w:rFonts w:eastAsia="Times New Roman" w:cs="Tahoma"/>
          <w:color w:val="auto"/>
          <w:lang w:val="es-ES" w:eastAsia="es-ES"/>
        </w:rPr>
      </w:pPr>
    </w:p>
    <w:p w14:paraId="1286EF44" w14:textId="77777777" w:rsidR="006D225A" w:rsidRPr="009649E1" w:rsidRDefault="006D225A" w:rsidP="00D5210E">
      <w:pPr>
        <w:spacing w:after="0" w:line="360" w:lineRule="auto"/>
        <w:rPr>
          <w:b/>
        </w:rPr>
      </w:pPr>
      <w:r w:rsidRPr="009649E1">
        <w:rPr>
          <w:b/>
        </w:rPr>
        <w:t>SEXTO. Decisión</w:t>
      </w:r>
    </w:p>
    <w:p w14:paraId="5D95BA19" w14:textId="77777777" w:rsidR="006D225A" w:rsidRPr="009649E1" w:rsidRDefault="006D225A" w:rsidP="00D5210E">
      <w:pPr>
        <w:spacing w:after="0" w:line="360" w:lineRule="auto"/>
        <w:rPr>
          <w:b/>
        </w:rPr>
      </w:pPr>
    </w:p>
    <w:p w14:paraId="54114C57" w14:textId="54B8C7B0" w:rsidR="006D225A" w:rsidRPr="009649E1" w:rsidRDefault="006D225A" w:rsidP="00D5210E">
      <w:pPr>
        <w:spacing w:after="0" w:line="360" w:lineRule="auto"/>
        <w:rPr>
          <w:rFonts w:cs="Tahoma"/>
        </w:rPr>
      </w:pPr>
      <w:r w:rsidRPr="009649E1">
        <w:rPr>
          <w:rFonts w:cs="Tahoma"/>
        </w:rPr>
        <w:t xml:space="preserve">Con fundamento en el artículo 186, fracción III, de la Ley de Transparencia y Acceso a la Información Pública del Estado de México y Municipios, este Instituto considera procedente </w:t>
      </w:r>
      <w:r w:rsidRPr="009649E1">
        <w:rPr>
          <w:rFonts w:cs="Tahoma"/>
          <w:b/>
        </w:rPr>
        <w:t xml:space="preserve">REVOCAR </w:t>
      </w:r>
      <w:r w:rsidRPr="009649E1">
        <w:rPr>
          <w:rFonts w:cs="Tahoma"/>
          <w:bCs/>
        </w:rPr>
        <w:t>la</w:t>
      </w:r>
      <w:r w:rsidRPr="009649E1">
        <w:rPr>
          <w:rFonts w:cs="Tahoma"/>
        </w:rPr>
        <w:t xml:space="preserve"> respuesta otorgada por la Secretaría de Finanzas</w:t>
      </w:r>
      <w:r w:rsidRPr="009649E1">
        <w:rPr>
          <w:rFonts w:eastAsia="Calibri" w:cs="Tahoma"/>
        </w:rPr>
        <w:t xml:space="preserve">, </w:t>
      </w:r>
      <w:r w:rsidRPr="009649E1">
        <w:rPr>
          <w:rFonts w:cs="Tahoma"/>
        </w:rPr>
        <w:t>a efecto de que</w:t>
      </w:r>
      <w:r w:rsidR="00D5210E" w:rsidRPr="009649E1">
        <w:rPr>
          <w:rFonts w:cs="Tahoma"/>
        </w:rPr>
        <w:t xml:space="preserve"> asuma competencia y</w:t>
      </w:r>
      <w:r w:rsidRPr="009649E1">
        <w:rPr>
          <w:rFonts w:cs="Tahoma"/>
        </w:rPr>
        <w:t xml:space="preserve"> </w:t>
      </w:r>
      <w:r w:rsidRPr="009649E1">
        <w:rPr>
          <w:rFonts w:cs="Tahoma"/>
          <w:lang w:val="x-none"/>
        </w:rPr>
        <w:t>entregue</w:t>
      </w:r>
      <w:r w:rsidRPr="009649E1">
        <w:rPr>
          <w:rFonts w:cs="Tahoma"/>
        </w:rPr>
        <w:t xml:space="preserve"> la información solicitada</w:t>
      </w:r>
      <w:r w:rsidR="00D5210E" w:rsidRPr="009649E1">
        <w:rPr>
          <w:rFonts w:cs="Tahoma"/>
        </w:rPr>
        <w:t>, en el caso que se haya generado</w:t>
      </w:r>
    </w:p>
    <w:p w14:paraId="2A7AF4C9" w14:textId="77777777" w:rsidR="002B4482" w:rsidRPr="009649E1" w:rsidRDefault="002B4482" w:rsidP="00D5210E">
      <w:pPr>
        <w:spacing w:after="0" w:line="360" w:lineRule="auto"/>
        <w:rPr>
          <w:rFonts w:cs="Tahoma"/>
        </w:rPr>
      </w:pPr>
    </w:p>
    <w:p w14:paraId="44BFF768" w14:textId="77777777" w:rsidR="006D225A" w:rsidRPr="009649E1" w:rsidRDefault="006D225A" w:rsidP="00D5210E">
      <w:pPr>
        <w:spacing w:after="0" w:line="360" w:lineRule="auto"/>
        <w:rPr>
          <w:b/>
        </w:rPr>
      </w:pPr>
      <w:r w:rsidRPr="009649E1">
        <w:rPr>
          <w:b/>
        </w:rPr>
        <w:t>Términos de la Resolución para conocimiento del Particular</w:t>
      </w:r>
    </w:p>
    <w:p w14:paraId="13832CA5" w14:textId="77777777" w:rsidR="006D225A" w:rsidRPr="009649E1" w:rsidRDefault="006D225A" w:rsidP="00D5210E">
      <w:pPr>
        <w:spacing w:after="0" w:line="360" w:lineRule="auto"/>
        <w:rPr>
          <w:b/>
        </w:rPr>
      </w:pPr>
    </w:p>
    <w:p w14:paraId="523016AC" w14:textId="7A58B9D9" w:rsidR="006D225A" w:rsidRPr="009649E1" w:rsidRDefault="006D225A" w:rsidP="00D5210E">
      <w:pPr>
        <w:spacing w:after="0" w:line="360" w:lineRule="auto"/>
      </w:pPr>
      <w:bookmarkStart w:id="22" w:name="_heading=h.1fob9te" w:colFirst="0" w:colLast="0"/>
      <w:bookmarkEnd w:id="22"/>
      <w:r w:rsidRPr="009649E1">
        <w:t xml:space="preserve">Se le hace del conocimiento al ahora Recurrente que, en el presente asunto, se le da la razón, pues el Sujeto Obligado </w:t>
      </w:r>
      <w:r w:rsidR="00D5210E" w:rsidRPr="009649E1">
        <w:t>es competente para conocer de la información solicitada, por lo que estaba en posibilidades de pronunciarse y proporcionar la información que obrara en sus archivos.</w:t>
      </w:r>
    </w:p>
    <w:p w14:paraId="2902BABF" w14:textId="77777777" w:rsidR="006D225A" w:rsidRPr="009649E1" w:rsidRDefault="006D225A" w:rsidP="00D5210E">
      <w:pPr>
        <w:spacing w:after="0" w:line="360" w:lineRule="auto"/>
      </w:pPr>
    </w:p>
    <w:p w14:paraId="32811547" w14:textId="77777777" w:rsidR="00282CA0" w:rsidRPr="009649E1" w:rsidRDefault="00282CA0" w:rsidP="00D5210E">
      <w:pPr>
        <w:spacing w:after="0" w:line="360" w:lineRule="auto"/>
      </w:pPr>
    </w:p>
    <w:p w14:paraId="12E6CA79" w14:textId="77777777" w:rsidR="006D225A" w:rsidRPr="009649E1" w:rsidRDefault="006D225A" w:rsidP="00D5210E">
      <w:pPr>
        <w:spacing w:after="0" w:line="360" w:lineRule="auto"/>
        <w:rPr>
          <w:rFonts w:eastAsia="Calibri" w:cs="Times New Roman"/>
          <w:color w:val="000000"/>
        </w:rPr>
      </w:pPr>
      <w:r w:rsidRPr="009649E1">
        <w:rPr>
          <w:rFonts w:eastAsia="Calibri" w:cs="Times New Roman"/>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AF23CAE" w14:textId="77777777" w:rsidR="006D225A" w:rsidRPr="009649E1" w:rsidRDefault="006D225A" w:rsidP="00D5210E">
      <w:pPr>
        <w:spacing w:after="0" w:line="360" w:lineRule="auto"/>
      </w:pPr>
    </w:p>
    <w:p w14:paraId="7A0EA5F1" w14:textId="77777777" w:rsidR="006D225A" w:rsidRPr="009649E1" w:rsidRDefault="006D225A" w:rsidP="00D5210E">
      <w:pPr>
        <w:spacing w:after="0" w:line="360" w:lineRule="auto"/>
      </w:pPr>
      <w:r w:rsidRPr="009649E1">
        <w:t>Por lo expuesto y fundado, este Pleno:</w:t>
      </w:r>
    </w:p>
    <w:p w14:paraId="1F00FA60" w14:textId="77777777" w:rsidR="006D225A" w:rsidRPr="009649E1" w:rsidRDefault="006D225A" w:rsidP="00D5210E">
      <w:pPr>
        <w:spacing w:after="0" w:line="360" w:lineRule="auto"/>
        <w:rPr>
          <w:b/>
        </w:rPr>
      </w:pPr>
    </w:p>
    <w:p w14:paraId="0391F70A" w14:textId="77777777" w:rsidR="006D225A" w:rsidRPr="009649E1" w:rsidRDefault="006D225A" w:rsidP="00D5210E">
      <w:pPr>
        <w:spacing w:after="0" w:line="360" w:lineRule="auto"/>
        <w:jc w:val="center"/>
        <w:rPr>
          <w:b/>
        </w:rPr>
      </w:pPr>
      <w:r w:rsidRPr="009649E1">
        <w:rPr>
          <w:b/>
        </w:rPr>
        <w:t>R E S U E L V E</w:t>
      </w:r>
    </w:p>
    <w:p w14:paraId="11BEFD06" w14:textId="77777777" w:rsidR="006D225A" w:rsidRPr="009649E1" w:rsidRDefault="006D225A" w:rsidP="00D5210E">
      <w:pPr>
        <w:spacing w:after="0" w:line="360" w:lineRule="auto"/>
      </w:pPr>
    </w:p>
    <w:p w14:paraId="66FD801B" w14:textId="1A804F88" w:rsidR="006D225A" w:rsidRPr="009649E1" w:rsidRDefault="006D225A" w:rsidP="00D5210E">
      <w:pPr>
        <w:spacing w:after="0" w:line="360" w:lineRule="auto"/>
      </w:pPr>
      <w:r w:rsidRPr="009649E1">
        <w:rPr>
          <w:b/>
        </w:rPr>
        <w:t xml:space="preserve">PRIMERO. </w:t>
      </w:r>
      <w:r w:rsidRPr="009649E1">
        <w:t xml:space="preserve">Se </w:t>
      </w:r>
      <w:r w:rsidRPr="009649E1">
        <w:rPr>
          <w:b/>
        </w:rPr>
        <w:t xml:space="preserve">REVOCA </w:t>
      </w:r>
      <w:r w:rsidRPr="009649E1">
        <w:t xml:space="preserve">la respuesta entregada por </w:t>
      </w:r>
      <w:r w:rsidR="002B4482" w:rsidRPr="009649E1">
        <w:t>la Secretaría de Finanzas</w:t>
      </w:r>
      <w:r w:rsidRPr="009649E1">
        <w:t>, a la</w:t>
      </w:r>
      <w:r w:rsidR="002B4482" w:rsidRPr="009649E1">
        <w:t>s</w:t>
      </w:r>
      <w:r w:rsidRPr="009649E1">
        <w:t xml:space="preserve"> solicitud</w:t>
      </w:r>
      <w:r w:rsidR="002B4482" w:rsidRPr="009649E1">
        <w:t>es</w:t>
      </w:r>
      <w:r w:rsidRPr="009649E1">
        <w:t xml:space="preserve"> de información</w:t>
      </w:r>
      <w:r w:rsidR="002B4482" w:rsidRPr="009649E1">
        <w:t xml:space="preserve"> </w:t>
      </w:r>
      <w:r w:rsidR="002B4482" w:rsidRPr="009649E1">
        <w:rPr>
          <w:bCs/>
        </w:rPr>
        <w:t>0036</w:t>
      </w:r>
      <w:r w:rsidR="00D5210E" w:rsidRPr="009649E1">
        <w:rPr>
          <w:bCs/>
        </w:rPr>
        <w:t>3</w:t>
      </w:r>
      <w:r w:rsidR="002B4482" w:rsidRPr="009649E1">
        <w:rPr>
          <w:bCs/>
        </w:rPr>
        <w:t>/SF/IP/2024</w:t>
      </w:r>
      <w:r w:rsidR="00D5210E" w:rsidRPr="009649E1">
        <w:rPr>
          <w:bCs/>
        </w:rPr>
        <w:t>,</w:t>
      </w:r>
      <w:r w:rsidR="002B4482" w:rsidRPr="009649E1">
        <w:rPr>
          <w:bCs/>
        </w:rPr>
        <w:t xml:space="preserve"> 0036</w:t>
      </w:r>
      <w:r w:rsidR="00D5210E" w:rsidRPr="009649E1">
        <w:rPr>
          <w:bCs/>
        </w:rPr>
        <w:t>4</w:t>
      </w:r>
      <w:r w:rsidR="002B4482" w:rsidRPr="009649E1">
        <w:rPr>
          <w:bCs/>
        </w:rPr>
        <w:t>/SF/IP/2024</w:t>
      </w:r>
      <w:r w:rsidR="00D5210E" w:rsidRPr="009649E1">
        <w:rPr>
          <w:bCs/>
        </w:rPr>
        <w:t xml:space="preserve"> y 00379/SF/IP/2024,</w:t>
      </w:r>
      <w:r w:rsidR="002B4482" w:rsidRPr="009649E1">
        <w:t xml:space="preserve"> </w:t>
      </w:r>
      <w:r w:rsidRPr="009649E1">
        <w:t>por resultar</w:t>
      </w:r>
      <w:r w:rsidRPr="009649E1">
        <w:rPr>
          <w:b/>
        </w:rPr>
        <w:t xml:space="preserve"> FUNDADAS </w:t>
      </w:r>
      <w:r w:rsidRPr="009649E1">
        <w:t>las razones o motivos de inconformidad hechos valer por el Recurrente, en términos de los considerandos QUINTO y SEXTO de la presente Resolución.</w:t>
      </w:r>
    </w:p>
    <w:p w14:paraId="26287D1A" w14:textId="77777777" w:rsidR="006D225A" w:rsidRPr="009649E1" w:rsidRDefault="006D225A" w:rsidP="00D5210E">
      <w:pPr>
        <w:spacing w:after="0" w:line="360" w:lineRule="auto"/>
      </w:pPr>
    </w:p>
    <w:p w14:paraId="6313B130" w14:textId="2C725046" w:rsidR="00282CA0" w:rsidRPr="009649E1" w:rsidRDefault="006D225A" w:rsidP="00282CA0">
      <w:pPr>
        <w:spacing w:after="0" w:line="360" w:lineRule="auto"/>
        <w:rPr>
          <w:rFonts w:cs="Tahoma"/>
          <w:bCs/>
          <w:iCs/>
          <w:color w:val="auto"/>
        </w:rPr>
      </w:pPr>
      <w:r w:rsidRPr="009649E1">
        <w:rPr>
          <w:b/>
        </w:rPr>
        <w:t xml:space="preserve">SEGUNDO. </w:t>
      </w:r>
      <w:r w:rsidRPr="009649E1">
        <w:t xml:space="preserve">Se </w:t>
      </w:r>
      <w:r w:rsidRPr="009649E1">
        <w:rPr>
          <w:b/>
        </w:rPr>
        <w:t>ORDENA</w:t>
      </w:r>
      <w:r w:rsidRPr="009649E1">
        <w:t xml:space="preserve"> al Ente Recurrido</w:t>
      </w:r>
      <w:r w:rsidRPr="009649E1">
        <w:rPr>
          <w:b/>
        </w:rPr>
        <w:t xml:space="preserve">, </w:t>
      </w:r>
      <w:r w:rsidRPr="009649E1">
        <w:t xml:space="preserve">a efecto de que previa búsqueda exhaustiva y razonable en los archivos de las unidades administrativas competentes, entregue a través del Sistema de Acceso a la Información Mexiquense (SAIMEX), </w:t>
      </w:r>
      <w:r w:rsidR="002B4482" w:rsidRPr="009649E1">
        <w:t xml:space="preserve">en su caso en versión pública, </w:t>
      </w:r>
      <w:r w:rsidR="00282CA0" w:rsidRPr="009649E1">
        <w:rPr>
          <w:rFonts w:eastAsia="Calibri" w:cs="Tahoma"/>
          <w:bCs/>
          <w:color w:val="auto"/>
        </w:rPr>
        <w:t xml:space="preserve">el Informe de Auditoría y los documentos </w:t>
      </w:r>
      <w:r w:rsidR="00282CA0" w:rsidRPr="009649E1">
        <w:rPr>
          <w:rFonts w:cs="Tahoma"/>
          <w:bCs/>
          <w:iCs/>
          <w:color w:val="auto"/>
        </w:rPr>
        <w:t>mediante los cuales se solventaron o atendieron las observaciones emitidas a las Auditorías realizadas a las siguientes áreas:</w:t>
      </w:r>
    </w:p>
    <w:p w14:paraId="0581641E" w14:textId="77777777" w:rsidR="00282CA0" w:rsidRPr="009649E1" w:rsidRDefault="00282CA0" w:rsidP="00282CA0">
      <w:pPr>
        <w:spacing w:after="0" w:line="360" w:lineRule="auto"/>
        <w:rPr>
          <w:rFonts w:cs="Tahoma"/>
          <w:bCs/>
          <w:iCs/>
          <w:color w:val="auto"/>
        </w:rPr>
      </w:pPr>
    </w:p>
    <w:p w14:paraId="4FEA9908" w14:textId="77777777" w:rsidR="00282CA0" w:rsidRPr="009649E1" w:rsidRDefault="00282CA0" w:rsidP="00E521F4">
      <w:pPr>
        <w:pStyle w:val="Prrafodelista"/>
        <w:widowControl w:val="0"/>
        <w:numPr>
          <w:ilvl w:val="0"/>
          <w:numId w:val="2"/>
        </w:numPr>
        <w:spacing w:line="360" w:lineRule="auto"/>
        <w:rPr>
          <w:color w:val="000000"/>
        </w:rPr>
      </w:pPr>
      <w:r w:rsidRPr="009649E1">
        <w:rPr>
          <w:color w:val="000000"/>
        </w:rPr>
        <w:t>A la Dirección General de Tesorería, y las áreas que la conforman, del cuatro de junio de dos mil veintitrés al cuatro de junio de dos mil veinticuatro, y</w:t>
      </w:r>
    </w:p>
    <w:p w14:paraId="75FDA257" w14:textId="77777777" w:rsidR="00282CA0" w:rsidRPr="009649E1" w:rsidRDefault="00282CA0" w:rsidP="00282CA0">
      <w:pPr>
        <w:pStyle w:val="Prrafodelista"/>
        <w:widowControl w:val="0"/>
        <w:spacing w:line="360" w:lineRule="auto"/>
        <w:rPr>
          <w:color w:val="000000"/>
        </w:rPr>
      </w:pPr>
    </w:p>
    <w:p w14:paraId="1E49ED07" w14:textId="77777777" w:rsidR="00282CA0" w:rsidRPr="009649E1" w:rsidRDefault="00282CA0" w:rsidP="00E521F4">
      <w:pPr>
        <w:pStyle w:val="Prrafodelista"/>
        <w:widowControl w:val="0"/>
        <w:numPr>
          <w:ilvl w:val="0"/>
          <w:numId w:val="2"/>
        </w:numPr>
        <w:spacing w:line="360" w:lineRule="auto"/>
        <w:rPr>
          <w:color w:val="000000"/>
        </w:rPr>
      </w:pPr>
      <w:r w:rsidRPr="009649E1">
        <w:rPr>
          <w:color w:val="000000"/>
        </w:rPr>
        <w:t>A la Subsecretaría de Tesorería y las áreas que la conforman, del primero de octubre de dos mil veintitrés al treinta y uno de mayo de dos mil veinticuatro.</w:t>
      </w:r>
    </w:p>
    <w:p w14:paraId="58A231B1" w14:textId="1516DE1E" w:rsidR="00D5210E" w:rsidRPr="009649E1" w:rsidRDefault="00D5210E" w:rsidP="00D5210E">
      <w:pPr>
        <w:spacing w:after="0" w:line="360" w:lineRule="auto"/>
      </w:pPr>
    </w:p>
    <w:p w14:paraId="3681601A" w14:textId="77777777" w:rsidR="00D5210E" w:rsidRPr="009649E1" w:rsidRDefault="00D5210E" w:rsidP="00D5210E">
      <w:pPr>
        <w:spacing w:after="0" w:line="360" w:lineRule="auto"/>
      </w:pPr>
    </w:p>
    <w:p w14:paraId="29C06D52" w14:textId="4F1D730F" w:rsidR="002B4482" w:rsidRPr="009649E1" w:rsidRDefault="002B4482" w:rsidP="00D5210E">
      <w:pPr>
        <w:spacing w:after="0" w:line="360" w:lineRule="auto"/>
        <w:contextualSpacing/>
        <w:rPr>
          <w:rFonts w:eastAsia="Calibri" w:cs="Tahoma"/>
          <w:bCs/>
          <w:iCs/>
        </w:rPr>
      </w:pPr>
      <w:r w:rsidRPr="009649E1">
        <w:rPr>
          <w:rFonts w:eastAsia="Calibri" w:cs="Tahoma"/>
          <w:bCs/>
          <w:iCs/>
        </w:rPr>
        <w:t>Además,</w:t>
      </w:r>
      <w:r w:rsidR="00282CA0" w:rsidRPr="009649E1">
        <w:rPr>
          <w:rFonts w:eastAsia="Calibri" w:cs="Tahoma"/>
          <w:bCs/>
          <w:iCs/>
        </w:rPr>
        <w:t xml:space="preserve"> de ser necesario,</w:t>
      </w:r>
      <w:r w:rsidRPr="009649E1">
        <w:rPr>
          <w:rFonts w:eastAsia="Calibri" w:cs="Tahoma"/>
          <w:bCs/>
          <w:iCs/>
        </w:rPr>
        <w:t xml:space="preserve">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6C6BBE5C" w14:textId="77777777" w:rsidR="002B4482" w:rsidRPr="009649E1" w:rsidRDefault="002B4482" w:rsidP="00D5210E">
      <w:pPr>
        <w:pBdr>
          <w:top w:val="nil"/>
          <w:left w:val="nil"/>
          <w:bottom w:val="nil"/>
          <w:right w:val="nil"/>
          <w:between w:val="nil"/>
        </w:pBdr>
        <w:spacing w:after="0" w:line="360" w:lineRule="auto"/>
        <w:ind w:right="-28"/>
        <w:rPr>
          <w:lang w:val="es-ES_tradnl"/>
        </w:rPr>
      </w:pPr>
    </w:p>
    <w:p w14:paraId="547BBDA2" w14:textId="179C9AD7" w:rsidR="00282CA0" w:rsidRPr="009649E1" w:rsidRDefault="00282CA0" w:rsidP="00D5210E">
      <w:pPr>
        <w:pBdr>
          <w:top w:val="nil"/>
          <w:left w:val="nil"/>
          <w:bottom w:val="nil"/>
          <w:right w:val="nil"/>
          <w:between w:val="nil"/>
        </w:pBdr>
        <w:spacing w:after="0" w:line="360" w:lineRule="auto"/>
        <w:ind w:right="-28"/>
        <w:rPr>
          <w:rFonts w:eastAsia="Calibri" w:cs="Tahoma"/>
          <w:bCs/>
          <w:iCs/>
        </w:rPr>
      </w:pPr>
      <w:r w:rsidRPr="009649E1">
        <w:rPr>
          <w:lang w:val="es-ES_tradnl"/>
        </w:rPr>
        <w:t xml:space="preserve">Para el supuesto, de que a la fecha de las solicitudes de información se encontrará en trámite alguna de las Auditoría, deberá proporcionar el Acuerdo donde el Comité de Transparencia, confirme la reserva de la información, de </w:t>
      </w:r>
      <w:r w:rsidRPr="009649E1">
        <w:rPr>
          <w:rFonts w:eastAsia="Calibri" w:cs="Tahoma"/>
          <w:bCs/>
          <w:iCs/>
        </w:rPr>
        <w:t>de conformidad con los artículos 49, fracciones II y VIII, 129, 132, fracción II, 140, fracción V, numeral 1, y 141 de la Ley de Transparencia y Acceso a la Información Pública del Estado de México y Municipios.</w:t>
      </w:r>
    </w:p>
    <w:p w14:paraId="350B7723" w14:textId="77777777" w:rsidR="00282CA0" w:rsidRPr="009649E1" w:rsidRDefault="00282CA0" w:rsidP="00D5210E">
      <w:pPr>
        <w:pBdr>
          <w:top w:val="nil"/>
          <w:left w:val="nil"/>
          <w:bottom w:val="nil"/>
          <w:right w:val="nil"/>
          <w:between w:val="nil"/>
        </w:pBdr>
        <w:spacing w:after="0" w:line="360" w:lineRule="auto"/>
        <w:ind w:right="-28"/>
        <w:rPr>
          <w:rFonts w:eastAsia="Calibri" w:cs="Tahoma"/>
          <w:bCs/>
          <w:iCs/>
        </w:rPr>
      </w:pPr>
    </w:p>
    <w:p w14:paraId="02492C7E" w14:textId="50F0907B" w:rsidR="00282CA0" w:rsidRPr="009649E1" w:rsidRDefault="00282CA0" w:rsidP="00D5210E">
      <w:pPr>
        <w:pBdr>
          <w:top w:val="nil"/>
          <w:left w:val="nil"/>
          <w:bottom w:val="nil"/>
          <w:right w:val="nil"/>
          <w:between w:val="nil"/>
        </w:pBdr>
        <w:spacing w:after="0" w:line="360" w:lineRule="auto"/>
        <w:ind w:right="-28"/>
        <w:rPr>
          <w:lang w:val="es-ES_tradnl"/>
        </w:rPr>
      </w:pPr>
      <w:r w:rsidRPr="009649E1">
        <w:rPr>
          <w:rFonts w:eastAsia="Calibri" w:cs="Tahoma"/>
          <w:bCs/>
          <w:iCs/>
        </w:rPr>
        <w:t>Para el caso, de que no se haya desarrollado alguna auditoría durante los periodos señalados a alguna de las unidades administrativas, deberá hacerlo del conocimiento a la parte Recurrente de manera clara y precisa.</w:t>
      </w:r>
    </w:p>
    <w:p w14:paraId="2FF15BFF" w14:textId="77777777" w:rsidR="00282CA0" w:rsidRPr="009649E1" w:rsidRDefault="00282CA0" w:rsidP="00D5210E">
      <w:pPr>
        <w:pBdr>
          <w:top w:val="nil"/>
          <w:left w:val="nil"/>
          <w:bottom w:val="nil"/>
          <w:right w:val="nil"/>
          <w:between w:val="nil"/>
        </w:pBdr>
        <w:spacing w:after="0" w:line="360" w:lineRule="auto"/>
        <w:ind w:right="-28"/>
        <w:rPr>
          <w:lang w:val="es-ES_tradnl"/>
        </w:rPr>
      </w:pPr>
    </w:p>
    <w:p w14:paraId="79D0992E" w14:textId="2F6B8B7D" w:rsidR="006D225A" w:rsidRPr="009649E1" w:rsidRDefault="002B4482" w:rsidP="00D5210E">
      <w:pPr>
        <w:pBdr>
          <w:top w:val="nil"/>
          <w:left w:val="nil"/>
          <w:bottom w:val="nil"/>
          <w:right w:val="nil"/>
          <w:between w:val="nil"/>
        </w:pBdr>
        <w:spacing w:after="0" w:line="360" w:lineRule="auto"/>
        <w:ind w:right="-28"/>
        <w:rPr>
          <w:b/>
        </w:rPr>
      </w:pPr>
      <w:r w:rsidRPr="009649E1">
        <w:rPr>
          <w:lang w:val="es-ES_tradnl"/>
        </w:rPr>
        <w:t xml:space="preserve"> </w:t>
      </w:r>
      <w:r w:rsidR="006D225A" w:rsidRPr="009649E1">
        <w:rPr>
          <w:b/>
        </w:rPr>
        <w:t>TERCERO. NOTIFÍQUESE</w:t>
      </w:r>
      <w:r w:rsidRPr="009649E1">
        <w:rPr>
          <w:b/>
        </w:rPr>
        <w:t xml:space="preserve"> </w:t>
      </w:r>
      <w:r w:rsidRPr="009649E1">
        <w:rPr>
          <w:b/>
        </w:rPr>
        <w:tab/>
        <w:t>VÍA SAIMEX</w:t>
      </w:r>
      <w:r w:rsidR="006D225A" w:rsidRPr="009649E1">
        <w:rPr>
          <w:b/>
        </w:rPr>
        <w:t xml:space="preserve"> </w:t>
      </w:r>
      <w:r w:rsidR="006D225A" w:rsidRPr="009649E1">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2916635" w14:textId="77777777" w:rsidR="006D225A" w:rsidRPr="009649E1" w:rsidRDefault="006D225A" w:rsidP="00D5210E">
      <w:pPr>
        <w:spacing w:after="0" w:line="360" w:lineRule="auto"/>
        <w:ind w:right="-28"/>
        <w:rPr>
          <w:color w:val="000000"/>
        </w:rPr>
      </w:pPr>
    </w:p>
    <w:p w14:paraId="2F0AD9B2" w14:textId="77777777" w:rsidR="006D225A" w:rsidRPr="009649E1" w:rsidRDefault="006D225A" w:rsidP="00D5210E">
      <w:pPr>
        <w:spacing w:after="0" w:line="360" w:lineRule="auto"/>
        <w:rPr>
          <w:color w:val="000000"/>
        </w:rPr>
      </w:pPr>
      <w:r w:rsidRPr="009649E1">
        <w:rPr>
          <w:color w:val="000000"/>
        </w:rPr>
        <w:t xml:space="preserve">De conformidad con el artículo 198 de la Ley de Transparencia y Acceso a la Información Pública del Estado de México y Municipios, de considerarlo procedente, el Sujeto Obligado de manera </w:t>
      </w:r>
      <w:r w:rsidRPr="009649E1">
        <w:rPr>
          <w:color w:val="000000"/>
        </w:rPr>
        <w:lastRenderedPageBreak/>
        <w:t>fundada y motivada, podrá solicitar una ampliación de plazo para el cumplimiento de la presente resolución.</w:t>
      </w:r>
    </w:p>
    <w:p w14:paraId="4E4E3E5B" w14:textId="77777777" w:rsidR="006D225A" w:rsidRPr="009649E1" w:rsidRDefault="006D225A" w:rsidP="00D5210E">
      <w:pPr>
        <w:spacing w:after="0" w:line="360" w:lineRule="auto"/>
        <w:rPr>
          <w:color w:val="000000"/>
        </w:rPr>
      </w:pPr>
    </w:p>
    <w:p w14:paraId="2ABB07D8" w14:textId="25CEB35F" w:rsidR="006D225A" w:rsidRPr="009649E1" w:rsidRDefault="006D225A" w:rsidP="00D5210E">
      <w:pPr>
        <w:spacing w:after="0" w:line="360" w:lineRule="auto"/>
      </w:pPr>
      <w:r w:rsidRPr="009649E1">
        <w:rPr>
          <w:b/>
        </w:rPr>
        <w:t>CUARTO. NOTIFÍQUESE</w:t>
      </w:r>
      <w:r w:rsidRPr="009649E1">
        <w:t xml:space="preserve"> </w:t>
      </w:r>
      <w:r w:rsidR="002B4482" w:rsidRPr="009649E1">
        <w:rPr>
          <w:b/>
        </w:rPr>
        <w:t>VÍA SAIMEX</w:t>
      </w:r>
      <w:r w:rsidR="002B4482" w:rsidRPr="009649E1">
        <w:t xml:space="preserve"> </w:t>
      </w:r>
      <w:r w:rsidRPr="009649E1">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428BAB0" w14:textId="77777777" w:rsidR="006D225A" w:rsidRPr="009649E1" w:rsidRDefault="006D225A" w:rsidP="00D5210E">
      <w:pPr>
        <w:spacing w:after="0" w:line="360" w:lineRule="auto"/>
        <w:rPr>
          <w:b/>
        </w:rPr>
      </w:pPr>
    </w:p>
    <w:p w14:paraId="098EEE3F" w14:textId="56FCC6AE" w:rsidR="006D225A" w:rsidRDefault="006D225A" w:rsidP="00D5210E">
      <w:pPr>
        <w:spacing w:after="0" w:line="360" w:lineRule="auto"/>
        <w:rPr>
          <w:b/>
        </w:rPr>
      </w:pPr>
      <w:r w:rsidRPr="009649E1">
        <w:t>ASÍ LO RESUELVE, POR </w:t>
      </w:r>
      <w:r w:rsidRPr="009649E1">
        <w:rPr>
          <w:b/>
        </w:rPr>
        <w:t>UNANIMIDAD</w:t>
      </w:r>
      <w:r w:rsidRPr="009649E1">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F354C" w:rsidRPr="009649E1">
        <w:t xml:space="preserve"> CON VOTO PARTICULAR</w:t>
      </w:r>
      <w:r w:rsidRPr="009649E1">
        <w:t xml:space="preserve"> Y GUADALUPE RAMÍREZ PEÑA, EN LA </w:t>
      </w:r>
      <w:r w:rsidR="00456B1F" w:rsidRPr="009649E1">
        <w:t>TRIGÉSIMA</w:t>
      </w:r>
      <w:r w:rsidRPr="009649E1">
        <w:t xml:space="preserve"> NOVENA SESIÓN ORDINARIA, CELEBRADA EL </w:t>
      </w:r>
      <w:r w:rsidR="00456B1F" w:rsidRPr="009649E1">
        <w:t>TRECE DE NOVIEMBRE</w:t>
      </w:r>
      <w:r w:rsidRPr="009649E1">
        <w:t xml:space="preserve"> DE DOS MIL VEINTICUATRO, ANTE EL SECRETARIO TÉCNICO DEL PLENO, ALEXIS TAPIA RAMÍREZ.</w:t>
      </w:r>
    </w:p>
    <w:p w14:paraId="4B56A779" w14:textId="77777777" w:rsidR="006D225A" w:rsidRDefault="006D225A" w:rsidP="00D5210E">
      <w:pPr>
        <w:spacing w:after="0" w:line="360" w:lineRule="auto"/>
      </w:pPr>
    </w:p>
    <w:p w14:paraId="5663BCD3" w14:textId="77777777" w:rsidR="006D225A" w:rsidRDefault="006D225A" w:rsidP="00D5210E">
      <w:pPr>
        <w:spacing w:after="0" w:line="360" w:lineRule="auto"/>
      </w:pPr>
    </w:p>
    <w:p w14:paraId="7764D9B4" w14:textId="77777777" w:rsidR="00FF4AD1" w:rsidRDefault="00FF4AD1" w:rsidP="00D5210E">
      <w:pPr>
        <w:spacing w:after="0" w:line="360" w:lineRule="auto"/>
      </w:pPr>
    </w:p>
    <w:p w14:paraId="7300BF61" w14:textId="77777777" w:rsidR="00FF4AD1" w:rsidRDefault="00FF4AD1" w:rsidP="00D5210E">
      <w:pPr>
        <w:spacing w:after="0" w:line="360" w:lineRule="auto"/>
      </w:pPr>
    </w:p>
    <w:p w14:paraId="7EBAE924" w14:textId="77777777" w:rsidR="00FF4AD1" w:rsidRDefault="00FF4AD1" w:rsidP="00D5210E">
      <w:pPr>
        <w:spacing w:after="0" w:line="360" w:lineRule="auto"/>
      </w:pPr>
    </w:p>
    <w:p w14:paraId="638F027C" w14:textId="77777777" w:rsidR="00FF4AD1" w:rsidRDefault="00FF4AD1" w:rsidP="00D5210E">
      <w:pPr>
        <w:spacing w:after="0" w:line="360" w:lineRule="auto"/>
      </w:pPr>
    </w:p>
    <w:p w14:paraId="005F4B5B" w14:textId="77777777" w:rsidR="00FF4AD1" w:rsidRDefault="00FF4AD1" w:rsidP="00D5210E">
      <w:pPr>
        <w:spacing w:after="0" w:line="360" w:lineRule="auto"/>
      </w:pPr>
    </w:p>
    <w:p w14:paraId="62DAA2A5" w14:textId="77777777" w:rsidR="00FF4AD1" w:rsidRDefault="00FF4AD1" w:rsidP="00D5210E">
      <w:pPr>
        <w:spacing w:after="0" w:line="360" w:lineRule="auto"/>
      </w:pPr>
    </w:p>
    <w:p w14:paraId="789E83CF" w14:textId="77777777" w:rsidR="00FF4AD1" w:rsidRDefault="00FF4AD1" w:rsidP="00D5210E">
      <w:pPr>
        <w:spacing w:after="0" w:line="360" w:lineRule="auto"/>
      </w:pPr>
    </w:p>
    <w:p w14:paraId="68800684" w14:textId="77777777" w:rsidR="006D225A" w:rsidRDefault="006D225A" w:rsidP="00D5210E">
      <w:pPr>
        <w:spacing w:after="0" w:line="360" w:lineRule="auto"/>
        <w:ind w:right="-93"/>
        <w:rPr>
          <w:rFonts w:eastAsia="Times New Roman" w:cs="Tahoma"/>
          <w:color w:val="auto"/>
          <w:lang w:eastAsia="es-ES"/>
        </w:rPr>
      </w:pPr>
      <w:bookmarkStart w:id="23" w:name="_GoBack"/>
      <w:bookmarkEnd w:id="23"/>
    </w:p>
    <w:sectPr w:rsidR="006D225A" w:rsidSect="00CE4466">
      <w:headerReference w:type="even" r:id="rId14"/>
      <w:headerReference w:type="default" r:id="rId15"/>
      <w:footerReference w:type="even" r:id="rId16"/>
      <w:footerReference w:type="default" r:id="rId17"/>
      <w:headerReference w:type="first" r:id="rId18"/>
      <w:footerReference w:type="first" r:id="rId19"/>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27AEB" w14:textId="77777777" w:rsidR="00B20CA6" w:rsidRDefault="00B20CA6">
      <w:pPr>
        <w:spacing w:after="0" w:line="240" w:lineRule="auto"/>
      </w:pPr>
      <w:r>
        <w:separator/>
      </w:r>
    </w:p>
  </w:endnote>
  <w:endnote w:type="continuationSeparator" w:id="0">
    <w:p w14:paraId="11591431" w14:textId="77777777" w:rsidR="00B20CA6" w:rsidRDefault="00B2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319F5F0D" w:rsidR="006A3765" w:rsidRDefault="006A376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B2F30">
      <w:rPr>
        <w:b/>
        <w:noProof/>
        <w:color w:val="000000"/>
        <w:sz w:val="24"/>
        <w:szCs w:val="24"/>
      </w:rPr>
      <w:t>33</w:t>
    </w:r>
    <w:r>
      <w:rPr>
        <w:b/>
        <w:color w:val="000000"/>
        <w:sz w:val="24"/>
        <w:szCs w:val="24"/>
      </w:rPr>
      <w:fldChar w:fldCharType="end"/>
    </w:r>
  </w:p>
  <w:p w14:paraId="547C391C" w14:textId="77777777" w:rsidR="006A3765" w:rsidRDefault="006A376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6A3765" w:rsidRDefault="006A376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E18E2">
      <w:rPr>
        <w:b/>
        <w:noProof/>
        <w:color w:val="000000"/>
        <w:sz w:val="24"/>
        <w:szCs w:val="24"/>
      </w:rPr>
      <w:t>31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18E2">
      <w:rPr>
        <w:b/>
        <w:noProof/>
        <w:color w:val="000000"/>
        <w:sz w:val="24"/>
        <w:szCs w:val="24"/>
      </w:rPr>
      <w:t>32</w:t>
    </w:r>
    <w:r>
      <w:rPr>
        <w:b/>
        <w:color w:val="000000"/>
        <w:sz w:val="24"/>
        <w:szCs w:val="24"/>
      </w:rPr>
      <w:fldChar w:fldCharType="end"/>
    </w:r>
  </w:p>
  <w:p w14:paraId="021EE9EB" w14:textId="77777777" w:rsidR="006A3765" w:rsidRDefault="006A376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6A3765" w:rsidRDefault="006A3765">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E18E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18E2">
      <w:rPr>
        <w:b/>
        <w:noProof/>
        <w:color w:val="000000"/>
        <w:sz w:val="24"/>
        <w:szCs w:val="24"/>
      </w:rPr>
      <w:t>33</w:t>
    </w:r>
    <w:r>
      <w:rPr>
        <w:b/>
        <w:color w:val="000000"/>
        <w:sz w:val="24"/>
        <w:szCs w:val="24"/>
      </w:rPr>
      <w:fldChar w:fldCharType="end"/>
    </w:r>
  </w:p>
  <w:p w14:paraId="23D55011" w14:textId="77777777" w:rsidR="006A3765" w:rsidRDefault="006A376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69720" w14:textId="77777777" w:rsidR="00B20CA6" w:rsidRDefault="00B20CA6">
      <w:pPr>
        <w:spacing w:after="0" w:line="240" w:lineRule="auto"/>
      </w:pPr>
      <w:r>
        <w:separator/>
      </w:r>
    </w:p>
  </w:footnote>
  <w:footnote w:type="continuationSeparator" w:id="0">
    <w:p w14:paraId="6A97BC47" w14:textId="77777777" w:rsidR="00B20CA6" w:rsidRDefault="00B20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6A3765" w:rsidRDefault="006A3765">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6A3765" w14:paraId="4913F089" w14:textId="77777777">
      <w:trPr>
        <w:trHeight w:val="141"/>
      </w:trPr>
      <w:tc>
        <w:tcPr>
          <w:tcW w:w="2404" w:type="dxa"/>
        </w:tcPr>
        <w:p w14:paraId="1D800919" w14:textId="77777777" w:rsidR="006A3765" w:rsidRDefault="006A3765">
          <w:pPr>
            <w:tabs>
              <w:tab w:val="right" w:pos="8838"/>
            </w:tabs>
            <w:ind w:right="-105"/>
            <w:rPr>
              <w:b/>
            </w:rPr>
          </w:pPr>
          <w:r>
            <w:rPr>
              <w:b/>
            </w:rPr>
            <w:t>Recurso de Revisión:</w:t>
          </w:r>
        </w:p>
      </w:tc>
      <w:tc>
        <w:tcPr>
          <w:tcW w:w="3587" w:type="dxa"/>
        </w:tcPr>
        <w:p w14:paraId="53E9BD67" w14:textId="77777777" w:rsidR="006A3765" w:rsidRDefault="006A3765">
          <w:pPr>
            <w:tabs>
              <w:tab w:val="right" w:pos="8838"/>
            </w:tabs>
            <w:ind w:left="-28" w:right="683"/>
          </w:pPr>
          <w:r>
            <w:t>04196/INFOEM/IP/RR/2020</w:t>
          </w:r>
        </w:p>
      </w:tc>
    </w:tr>
    <w:tr w:rsidR="006A3765" w14:paraId="515F523A" w14:textId="77777777">
      <w:trPr>
        <w:trHeight w:val="276"/>
      </w:trPr>
      <w:tc>
        <w:tcPr>
          <w:tcW w:w="2404" w:type="dxa"/>
        </w:tcPr>
        <w:p w14:paraId="1CFF82A0" w14:textId="77777777" w:rsidR="006A3765" w:rsidRDefault="006A3765">
          <w:pPr>
            <w:tabs>
              <w:tab w:val="right" w:pos="8838"/>
            </w:tabs>
            <w:ind w:right="-105"/>
            <w:rPr>
              <w:b/>
            </w:rPr>
          </w:pPr>
          <w:r>
            <w:rPr>
              <w:b/>
            </w:rPr>
            <w:t>Sujeto Obligado:</w:t>
          </w:r>
        </w:p>
      </w:tc>
      <w:tc>
        <w:tcPr>
          <w:tcW w:w="3587" w:type="dxa"/>
        </w:tcPr>
        <w:p w14:paraId="1142F936" w14:textId="77777777" w:rsidR="006A3765" w:rsidRDefault="006A3765">
          <w:pPr>
            <w:tabs>
              <w:tab w:val="right" w:pos="8838"/>
            </w:tabs>
            <w:ind w:right="116"/>
          </w:pPr>
          <w:r>
            <w:t>Ayuntamiento de Chapultepec</w:t>
          </w:r>
        </w:p>
      </w:tc>
    </w:tr>
    <w:tr w:rsidR="006A3765" w14:paraId="69080D23" w14:textId="77777777">
      <w:trPr>
        <w:trHeight w:val="276"/>
      </w:trPr>
      <w:tc>
        <w:tcPr>
          <w:tcW w:w="2404" w:type="dxa"/>
        </w:tcPr>
        <w:p w14:paraId="50E24B18" w14:textId="77777777" w:rsidR="006A3765" w:rsidRDefault="006A3765">
          <w:pPr>
            <w:tabs>
              <w:tab w:val="right" w:pos="8838"/>
            </w:tabs>
            <w:ind w:right="-105"/>
            <w:rPr>
              <w:b/>
            </w:rPr>
          </w:pPr>
          <w:r>
            <w:rPr>
              <w:b/>
            </w:rPr>
            <w:t>Comisionado Ponente:</w:t>
          </w:r>
        </w:p>
      </w:tc>
      <w:tc>
        <w:tcPr>
          <w:tcW w:w="3587" w:type="dxa"/>
        </w:tcPr>
        <w:p w14:paraId="1467B143" w14:textId="77777777" w:rsidR="006A3765" w:rsidRDefault="006A3765">
          <w:pPr>
            <w:tabs>
              <w:tab w:val="right" w:pos="8838"/>
            </w:tabs>
            <w:ind w:right="-32"/>
          </w:pPr>
          <w:r>
            <w:t>Luis Gustavo Parra Noriega</w:t>
          </w:r>
        </w:p>
      </w:tc>
    </w:tr>
  </w:tbl>
  <w:p w14:paraId="74ECE196" w14:textId="77777777" w:rsidR="006A3765" w:rsidRDefault="00B20CA6">
    <w:pPr>
      <w:pBdr>
        <w:top w:val="nil"/>
        <w:left w:val="nil"/>
        <w:bottom w:val="nil"/>
        <w:right w:val="nil"/>
        <w:between w:val="nil"/>
      </w:pBdr>
      <w:tabs>
        <w:tab w:val="center" w:pos="4419"/>
        <w:tab w:val="right" w:pos="8838"/>
      </w:tabs>
      <w:spacing w:after="0" w:line="240" w:lineRule="auto"/>
      <w:rPr>
        <w:color w:val="000000"/>
      </w:rPr>
    </w:pPr>
    <w:r>
      <w:rPr>
        <w:color w:val="000000"/>
      </w:rPr>
      <w:pict w14:anchorId="04A98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77777777" w:rsidR="006A3765" w:rsidRDefault="006A3765">
    <w:pPr>
      <w:rPr>
        <w:sz w:val="16"/>
        <w:szCs w:val="16"/>
      </w:rPr>
    </w:pPr>
  </w:p>
  <w:tbl>
    <w:tblPr>
      <w:tblStyle w:val="a"/>
      <w:tblW w:w="7088"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6A3765" w14:paraId="087E2B73" w14:textId="77777777" w:rsidTr="007D5E2E">
      <w:trPr>
        <w:trHeight w:val="141"/>
      </w:trPr>
      <w:tc>
        <w:tcPr>
          <w:tcW w:w="2404" w:type="dxa"/>
        </w:tcPr>
        <w:p w14:paraId="44594EC4" w14:textId="77777777" w:rsidR="006A3765" w:rsidRDefault="006A3765">
          <w:pPr>
            <w:tabs>
              <w:tab w:val="right" w:pos="8838"/>
            </w:tabs>
            <w:ind w:left="-395" w:right="-105" w:firstLine="395"/>
            <w:rPr>
              <w:b/>
            </w:rPr>
          </w:pPr>
          <w:r>
            <w:rPr>
              <w:b/>
            </w:rPr>
            <w:t>Recurso de Revisión:</w:t>
          </w:r>
        </w:p>
      </w:tc>
      <w:tc>
        <w:tcPr>
          <w:tcW w:w="4684" w:type="dxa"/>
        </w:tcPr>
        <w:p w14:paraId="312F8E98" w14:textId="25D64062" w:rsidR="006A3765" w:rsidRDefault="006A3765" w:rsidP="007D5E2E">
          <w:pPr>
            <w:tabs>
              <w:tab w:val="right" w:pos="8838"/>
            </w:tabs>
            <w:ind w:left="-28" w:right="29"/>
          </w:pPr>
          <w:r w:rsidRPr="00BE562A">
            <w:t>03716/INFOEM/IP/RR/2024</w:t>
          </w:r>
          <w:r>
            <w:t xml:space="preserve"> y acumulados</w:t>
          </w:r>
        </w:p>
      </w:tc>
    </w:tr>
    <w:tr w:rsidR="006A3765" w14:paraId="31D07777" w14:textId="77777777" w:rsidTr="007D5E2E">
      <w:trPr>
        <w:trHeight w:val="276"/>
      </w:trPr>
      <w:tc>
        <w:tcPr>
          <w:tcW w:w="2404" w:type="dxa"/>
        </w:tcPr>
        <w:p w14:paraId="6B55802A" w14:textId="77777777" w:rsidR="006A3765" w:rsidRDefault="006A3765">
          <w:pPr>
            <w:tabs>
              <w:tab w:val="right" w:pos="8838"/>
            </w:tabs>
            <w:ind w:right="-105"/>
            <w:rPr>
              <w:b/>
            </w:rPr>
          </w:pPr>
          <w:r>
            <w:rPr>
              <w:b/>
            </w:rPr>
            <w:t>Sujeto Obligado:</w:t>
          </w:r>
        </w:p>
      </w:tc>
      <w:tc>
        <w:tcPr>
          <w:tcW w:w="4684" w:type="dxa"/>
        </w:tcPr>
        <w:p w14:paraId="4A22BD99" w14:textId="157DB9E5" w:rsidR="006A3765" w:rsidRDefault="006A3765">
          <w:pPr>
            <w:tabs>
              <w:tab w:val="left" w:pos="3158"/>
              <w:tab w:val="left" w:pos="4292"/>
              <w:tab w:val="right" w:pos="8838"/>
            </w:tabs>
            <w:ind w:right="601"/>
          </w:pPr>
          <w:r>
            <w:t>Secretaría de Finanzas</w:t>
          </w:r>
        </w:p>
      </w:tc>
    </w:tr>
    <w:tr w:rsidR="006A3765" w14:paraId="161D40C6" w14:textId="77777777" w:rsidTr="007D5E2E">
      <w:trPr>
        <w:trHeight w:val="276"/>
      </w:trPr>
      <w:tc>
        <w:tcPr>
          <w:tcW w:w="2404" w:type="dxa"/>
        </w:tcPr>
        <w:p w14:paraId="2583E4C0" w14:textId="77777777" w:rsidR="006A3765" w:rsidRDefault="006A3765">
          <w:pPr>
            <w:tabs>
              <w:tab w:val="right" w:pos="8838"/>
            </w:tabs>
            <w:ind w:right="-105"/>
            <w:rPr>
              <w:b/>
            </w:rPr>
          </w:pPr>
          <w:r>
            <w:rPr>
              <w:b/>
            </w:rPr>
            <w:t>Comisionado Ponente:</w:t>
          </w:r>
        </w:p>
      </w:tc>
      <w:tc>
        <w:tcPr>
          <w:tcW w:w="4684" w:type="dxa"/>
        </w:tcPr>
        <w:p w14:paraId="4FEB6F64" w14:textId="77777777" w:rsidR="006A3765" w:rsidRDefault="006A3765">
          <w:pPr>
            <w:tabs>
              <w:tab w:val="right" w:pos="8838"/>
            </w:tabs>
            <w:ind w:right="454"/>
          </w:pPr>
          <w:r>
            <w:t>Luis Gustavo Parra Noriega</w:t>
          </w:r>
        </w:p>
      </w:tc>
    </w:tr>
  </w:tbl>
  <w:p w14:paraId="7B4A9F8D" w14:textId="77777777" w:rsidR="006A3765" w:rsidRDefault="00B20CA6">
    <w:pPr>
      <w:pBdr>
        <w:top w:val="nil"/>
        <w:left w:val="nil"/>
        <w:bottom w:val="nil"/>
        <w:right w:val="nil"/>
        <w:between w:val="nil"/>
      </w:pBdr>
      <w:tabs>
        <w:tab w:val="center" w:pos="4419"/>
        <w:tab w:val="right" w:pos="8838"/>
      </w:tabs>
      <w:spacing w:after="0" w:line="240" w:lineRule="auto"/>
      <w:rPr>
        <w:color w:val="000000"/>
      </w:rPr>
    </w:pPr>
    <w:r>
      <w:rPr>
        <w:color w:val="000000"/>
      </w:rPr>
      <w:pict w14:anchorId="3953C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9214" w:type="dxa"/>
      <w:tblInd w:w="0" w:type="dxa"/>
      <w:tblLayout w:type="fixed"/>
      <w:tblLook w:val="0400" w:firstRow="0" w:lastRow="0" w:firstColumn="0" w:lastColumn="0" w:noHBand="0" w:noVBand="1"/>
    </w:tblPr>
    <w:tblGrid>
      <w:gridCol w:w="2127"/>
      <w:gridCol w:w="7087"/>
    </w:tblGrid>
    <w:tr w:rsidR="006A3765" w14:paraId="11A312BD" w14:textId="77777777" w:rsidTr="00CE4466">
      <w:trPr>
        <w:trHeight w:val="1546"/>
      </w:trPr>
      <w:tc>
        <w:tcPr>
          <w:tcW w:w="2127" w:type="dxa"/>
          <w:shd w:val="clear" w:color="auto" w:fill="auto"/>
        </w:tcPr>
        <w:p w14:paraId="02785A7F" w14:textId="13887707" w:rsidR="006A3765" w:rsidRDefault="006A3765">
          <w:pPr>
            <w:tabs>
              <w:tab w:val="right" w:pos="4273"/>
            </w:tabs>
            <w:rPr>
              <w:rFonts w:ascii="Garamond" w:eastAsia="Garamond" w:hAnsi="Garamond" w:cs="Garamond"/>
              <w:sz w:val="16"/>
              <w:szCs w:val="16"/>
            </w:rPr>
          </w:pPr>
        </w:p>
      </w:tc>
      <w:tc>
        <w:tcPr>
          <w:tcW w:w="7087" w:type="dxa"/>
          <w:shd w:val="clear" w:color="auto" w:fill="auto"/>
        </w:tcPr>
        <w:p w14:paraId="5E345BDA" w14:textId="77777777" w:rsidR="006A3765" w:rsidRDefault="006A3765">
          <w:pPr>
            <w:rPr>
              <w:sz w:val="10"/>
              <w:szCs w:val="10"/>
            </w:rPr>
          </w:pPr>
        </w:p>
        <w:tbl>
          <w:tblPr>
            <w:tblStyle w:val="a2"/>
            <w:tblW w:w="7654" w:type="dxa"/>
            <w:tblInd w:w="317" w:type="dxa"/>
            <w:tblBorders>
              <w:top w:val="nil"/>
              <w:left w:val="nil"/>
              <w:bottom w:val="nil"/>
              <w:right w:val="nil"/>
              <w:insideH w:val="nil"/>
              <w:insideV w:val="nil"/>
            </w:tblBorders>
            <w:tblLayout w:type="fixed"/>
            <w:tblLook w:val="0400" w:firstRow="0" w:lastRow="0" w:firstColumn="0" w:lastColumn="0" w:noHBand="0" w:noVBand="1"/>
          </w:tblPr>
          <w:tblGrid>
            <w:gridCol w:w="2404"/>
            <w:gridCol w:w="5250"/>
          </w:tblGrid>
          <w:tr w:rsidR="006A3765" w14:paraId="4D093FE8" w14:textId="77777777" w:rsidTr="007D5E2E">
            <w:trPr>
              <w:trHeight w:val="141"/>
            </w:trPr>
            <w:tc>
              <w:tcPr>
                <w:tcW w:w="2404" w:type="dxa"/>
                <w:vAlign w:val="bottom"/>
              </w:tcPr>
              <w:p w14:paraId="19B4B05D" w14:textId="77777777" w:rsidR="006A3765" w:rsidRDefault="006A3765">
                <w:pPr>
                  <w:tabs>
                    <w:tab w:val="right" w:pos="8838"/>
                  </w:tabs>
                  <w:ind w:right="-105"/>
                  <w:rPr>
                    <w:b/>
                  </w:rPr>
                </w:pPr>
                <w:r>
                  <w:rPr>
                    <w:b/>
                  </w:rPr>
                  <w:t>Recurso de Revisión:</w:t>
                </w:r>
              </w:p>
            </w:tc>
            <w:tc>
              <w:tcPr>
                <w:tcW w:w="5250" w:type="dxa"/>
              </w:tcPr>
              <w:p w14:paraId="43DE950F" w14:textId="302ECFDC" w:rsidR="006A3765" w:rsidRDefault="006A3765" w:rsidP="007D5E2E">
                <w:pPr>
                  <w:tabs>
                    <w:tab w:val="right" w:pos="8838"/>
                  </w:tabs>
                  <w:ind w:left="-28" w:right="-107"/>
                </w:pPr>
                <w:r>
                  <w:t>03716/INFOEM/IP/RR/</w:t>
                </w:r>
                <w:r w:rsidR="007D5E2E">
                  <w:t>2024 y</w:t>
                </w:r>
                <w:r>
                  <w:t xml:space="preserve"> acumulados</w:t>
                </w:r>
              </w:p>
            </w:tc>
          </w:tr>
          <w:tr w:rsidR="006A3765" w14:paraId="073EAE42" w14:textId="77777777" w:rsidTr="007D5E2E">
            <w:trPr>
              <w:trHeight w:val="141"/>
            </w:trPr>
            <w:tc>
              <w:tcPr>
                <w:tcW w:w="2404" w:type="dxa"/>
              </w:tcPr>
              <w:p w14:paraId="76E590DA" w14:textId="77777777" w:rsidR="006A3765" w:rsidRDefault="006A3765">
                <w:pPr>
                  <w:tabs>
                    <w:tab w:val="right" w:pos="8838"/>
                  </w:tabs>
                  <w:ind w:right="-105"/>
                  <w:rPr>
                    <w:b/>
                  </w:rPr>
                </w:pPr>
                <w:r>
                  <w:rPr>
                    <w:b/>
                  </w:rPr>
                  <w:t>Recurrente:</w:t>
                </w:r>
              </w:p>
            </w:tc>
            <w:tc>
              <w:tcPr>
                <w:tcW w:w="5250" w:type="dxa"/>
              </w:tcPr>
              <w:p w14:paraId="5FF2F8C6" w14:textId="7522B0B8" w:rsidR="006A3765" w:rsidRDefault="005E73CF">
                <w:pPr>
                  <w:tabs>
                    <w:tab w:val="right" w:pos="8838"/>
                  </w:tabs>
                  <w:ind w:right="-107"/>
                </w:pPr>
                <w:r w:rsidRPr="005E73CF">
                  <w:rPr>
                    <w:highlight w:val="black"/>
                  </w:rPr>
                  <w:t>XXXXXXX</w:t>
                </w:r>
              </w:p>
            </w:tc>
          </w:tr>
          <w:tr w:rsidR="006A3765" w14:paraId="009C2510" w14:textId="77777777" w:rsidTr="007D5E2E">
            <w:trPr>
              <w:trHeight w:val="276"/>
            </w:trPr>
            <w:tc>
              <w:tcPr>
                <w:tcW w:w="2404" w:type="dxa"/>
              </w:tcPr>
              <w:p w14:paraId="0AAFC3CA" w14:textId="77777777" w:rsidR="006A3765" w:rsidRDefault="006A3765">
                <w:pPr>
                  <w:tabs>
                    <w:tab w:val="right" w:pos="8838"/>
                  </w:tabs>
                  <w:ind w:right="-105"/>
                  <w:rPr>
                    <w:b/>
                  </w:rPr>
                </w:pPr>
                <w:r>
                  <w:rPr>
                    <w:b/>
                  </w:rPr>
                  <w:t>Sujeto Obligado:</w:t>
                </w:r>
              </w:p>
            </w:tc>
            <w:tc>
              <w:tcPr>
                <w:tcW w:w="5250" w:type="dxa"/>
              </w:tcPr>
              <w:p w14:paraId="13F6DD80" w14:textId="5E3B6A72" w:rsidR="006A3765" w:rsidRDefault="006A3765">
                <w:pPr>
                  <w:tabs>
                    <w:tab w:val="right" w:pos="8838"/>
                  </w:tabs>
                  <w:ind w:right="33"/>
                </w:pPr>
                <w:r>
                  <w:t>Secretaría de Finanzas</w:t>
                </w:r>
              </w:p>
            </w:tc>
          </w:tr>
          <w:tr w:rsidR="006A3765" w14:paraId="7A4EADF6" w14:textId="77777777" w:rsidTr="007D5E2E">
            <w:trPr>
              <w:trHeight w:val="276"/>
            </w:trPr>
            <w:tc>
              <w:tcPr>
                <w:tcW w:w="2404" w:type="dxa"/>
              </w:tcPr>
              <w:p w14:paraId="014674B7" w14:textId="77777777" w:rsidR="006A3765" w:rsidRDefault="006A3765">
                <w:pPr>
                  <w:tabs>
                    <w:tab w:val="right" w:pos="8838"/>
                  </w:tabs>
                  <w:ind w:right="-105"/>
                  <w:rPr>
                    <w:b/>
                  </w:rPr>
                </w:pPr>
                <w:r>
                  <w:rPr>
                    <w:b/>
                  </w:rPr>
                  <w:t>Comisionado Ponente:</w:t>
                </w:r>
              </w:p>
            </w:tc>
            <w:tc>
              <w:tcPr>
                <w:tcW w:w="5250" w:type="dxa"/>
              </w:tcPr>
              <w:p w14:paraId="06F82FCE" w14:textId="77777777" w:rsidR="006A3765" w:rsidRDefault="006A3765">
                <w:pPr>
                  <w:tabs>
                    <w:tab w:val="right" w:pos="8838"/>
                  </w:tabs>
                  <w:ind w:right="-107"/>
                </w:pPr>
                <w:r>
                  <w:t>Luis Gustavo Parra Noriega</w:t>
                </w:r>
              </w:p>
            </w:tc>
          </w:tr>
        </w:tbl>
        <w:p w14:paraId="3774A9CE" w14:textId="77777777" w:rsidR="006A3765" w:rsidRDefault="006A3765">
          <w:pPr>
            <w:tabs>
              <w:tab w:val="right" w:pos="8838"/>
            </w:tabs>
            <w:ind w:left="-28"/>
            <w:rPr>
              <w:rFonts w:ascii="Arial" w:eastAsia="Arial" w:hAnsi="Arial" w:cs="Arial"/>
              <w:b/>
            </w:rPr>
          </w:pPr>
        </w:p>
      </w:tc>
    </w:tr>
  </w:tbl>
  <w:p w14:paraId="38129A67" w14:textId="1CDC600C" w:rsidR="006A3765" w:rsidRDefault="00B20CA6">
    <w:pPr>
      <w:pBdr>
        <w:top w:val="nil"/>
        <w:left w:val="nil"/>
        <w:bottom w:val="nil"/>
        <w:right w:val="nil"/>
        <w:between w:val="nil"/>
      </w:pBdr>
      <w:tabs>
        <w:tab w:val="center" w:pos="4419"/>
        <w:tab w:val="right" w:pos="8838"/>
      </w:tabs>
      <w:spacing w:after="0" w:line="240" w:lineRule="auto"/>
      <w:rPr>
        <w:color w:val="000000"/>
      </w:rPr>
    </w:pPr>
    <w:r>
      <w:rPr>
        <w:color w:val="000000"/>
      </w:rPr>
      <w:pict w14:anchorId="56A49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0.55pt;margin-top:-125.35pt;width:663.5pt;height:12in;z-index:-251658752;mso-wrap-edited:f;mso-width-percent:0;mso-height-percent:0;mso-position-horizontal-relative:margin;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5441"/>
    <w:multiLevelType w:val="hybridMultilevel"/>
    <w:tmpl w:val="F3F6D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42B49"/>
    <w:multiLevelType w:val="hybridMultilevel"/>
    <w:tmpl w:val="93DCC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2A50A8"/>
    <w:multiLevelType w:val="hybridMultilevel"/>
    <w:tmpl w:val="EA60025A"/>
    <w:lvl w:ilvl="0" w:tplc="080A0017">
      <w:start w:val="1"/>
      <w:numFmt w:val="lowerLetter"/>
      <w:lvlText w:val="%1)"/>
      <w:lvlJc w:val="left"/>
      <w:pPr>
        <w:ind w:left="1490" w:hanging="360"/>
      </w:p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3" w15:restartNumberingAfterBreak="0">
    <w:nsid w:val="2FC84ABF"/>
    <w:multiLevelType w:val="hybridMultilevel"/>
    <w:tmpl w:val="1B40AF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ABD2C51"/>
    <w:multiLevelType w:val="hybridMultilevel"/>
    <w:tmpl w:val="9C526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111C70"/>
    <w:multiLevelType w:val="hybridMultilevel"/>
    <w:tmpl w:val="58DA3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BBE6FFC"/>
    <w:multiLevelType w:val="hybridMultilevel"/>
    <w:tmpl w:val="CC740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9"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2"/>
  </w:num>
  <w:num w:numId="6">
    <w:abstractNumId w:val="1"/>
  </w:num>
  <w:num w:numId="7">
    <w:abstractNumId w:val="7"/>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1121A"/>
    <w:rsid w:val="00030A14"/>
    <w:rsid w:val="000333F3"/>
    <w:rsid w:val="00050FC3"/>
    <w:rsid w:val="00061E62"/>
    <w:rsid w:val="000620C8"/>
    <w:rsid w:val="000678E8"/>
    <w:rsid w:val="0008574F"/>
    <w:rsid w:val="000A4B94"/>
    <w:rsid w:val="000A5247"/>
    <w:rsid w:val="000C03C1"/>
    <w:rsid w:val="000C455C"/>
    <w:rsid w:val="000D0059"/>
    <w:rsid w:val="000D3416"/>
    <w:rsid w:val="000E51A2"/>
    <w:rsid w:val="000E6E93"/>
    <w:rsid w:val="000F1C66"/>
    <w:rsid w:val="00116267"/>
    <w:rsid w:val="00123ED6"/>
    <w:rsid w:val="00123FFC"/>
    <w:rsid w:val="001A043A"/>
    <w:rsid w:val="001A3FA2"/>
    <w:rsid w:val="001A4D72"/>
    <w:rsid w:val="001A518F"/>
    <w:rsid w:val="001A54EF"/>
    <w:rsid w:val="001B2B90"/>
    <w:rsid w:val="001C3B11"/>
    <w:rsid w:val="001C3D22"/>
    <w:rsid w:val="001E3BEF"/>
    <w:rsid w:val="001F1666"/>
    <w:rsid w:val="001F7131"/>
    <w:rsid w:val="00201106"/>
    <w:rsid w:val="00246EC6"/>
    <w:rsid w:val="0026142D"/>
    <w:rsid w:val="00263D58"/>
    <w:rsid w:val="00267D04"/>
    <w:rsid w:val="00271EEF"/>
    <w:rsid w:val="0027405F"/>
    <w:rsid w:val="0027513C"/>
    <w:rsid w:val="0028140C"/>
    <w:rsid w:val="00281A8C"/>
    <w:rsid w:val="00282CA0"/>
    <w:rsid w:val="002A1E5F"/>
    <w:rsid w:val="002A4B9F"/>
    <w:rsid w:val="002B3613"/>
    <w:rsid w:val="002B4482"/>
    <w:rsid w:val="002B777E"/>
    <w:rsid w:val="002B77FE"/>
    <w:rsid w:val="002D0172"/>
    <w:rsid w:val="002D5E4C"/>
    <w:rsid w:val="002F354C"/>
    <w:rsid w:val="002F7F24"/>
    <w:rsid w:val="0030191A"/>
    <w:rsid w:val="00321F56"/>
    <w:rsid w:val="003313D5"/>
    <w:rsid w:val="003439CE"/>
    <w:rsid w:val="00344602"/>
    <w:rsid w:val="00355945"/>
    <w:rsid w:val="003602BF"/>
    <w:rsid w:val="00372769"/>
    <w:rsid w:val="0038068D"/>
    <w:rsid w:val="003B2F30"/>
    <w:rsid w:val="003E18E2"/>
    <w:rsid w:val="00400449"/>
    <w:rsid w:val="00416366"/>
    <w:rsid w:val="00432851"/>
    <w:rsid w:val="00435AC3"/>
    <w:rsid w:val="004507F8"/>
    <w:rsid w:val="0045203D"/>
    <w:rsid w:val="00456B1F"/>
    <w:rsid w:val="00465282"/>
    <w:rsid w:val="00480823"/>
    <w:rsid w:val="00497B54"/>
    <w:rsid w:val="004B2592"/>
    <w:rsid w:val="004B503B"/>
    <w:rsid w:val="004C4B87"/>
    <w:rsid w:val="004D37D8"/>
    <w:rsid w:val="004F007D"/>
    <w:rsid w:val="00500D89"/>
    <w:rsid w:val="005415C4"/>
    <w:rsid w:val="00565FB1"/>
    <w:rsid w:val="005748EF"/>
    <w:rsid w:val="00584874"/>
    <w:rsid w:val="005A5849"/>
    <w:rsid w:val="005B5E7C"/>
    <w:rsid w:val="005B73A7"/>
    <w:rsid w:val="005C4CEA"/>
    <w:rsid w:val="005D7AEB"/>
    <w:rsid w:val="005E73CF"/>
    <w:rsid w:val="005F3021"/>
    <w:rsid w:val="005F7D5F"/>
    <w:rsid w:val="00600C74"/>
    <w:rsid w:val="00603C0C"/>
    <w:rsid w:val="0060513D"/>
    <w:rsid w:val="00621E28"/>
    <w:rsid w:val="006269DD"/>
    <w:rsid w:val="00643C7D"/>
    <w:rsid w:val="00647460"/>
    <w:rsid w:val="0064764C"/>
    <w:rsid w:val="006515E5"/>
    <w:rsid w:val="006578E9"/>
    <w:rsid w:val="00670439"/>
    <w:rsid w:val="00672439"/>
    <w:rsid w:val="00680FC2"/>
    <w:rsid w:val="006819BC"/>
    <w:rsid w:val="0068258C"/>
    <w:rsid w:val="00686C2F"/>
    <w:rsid w:val="006A3765"/>
    <w:rsid w:val="006B4708"/>
    <w:rsid w:val="006D225A"/>
    <w:rsid w:val="006D4068"/>
    <w:rsid w:val="006E46EA"/>
    <w:rsid w:val="006E6C38"/>
    <w:rsid w:val="00733EC9"/>
    <w:rsid w:val="00736A36"/>
    <w:rsid w:val="0074226A"/>
    <w:rsid w:val="00760CA6"/>
    <w:rsid w:val="0076362A"/>
    <w:rsid w:val="00774AA9"/>
    <w:rsid w:val="00781595"/>
    <w:rsid w:val="0078202B"/>
    <w:rsid w:val="00791585"/>
    <w:rsid w:val="00797628"/>
    <w:rsid w:val="007A54F7"/>
    <w:rsid w:val="007C2AF5"/>
    <w:rsid w:val="007D5E2E"/>
    <w:rsid w:val="00800A06"/>
    <w:rsid w:val="008022FE"/>
    <w:rsid w:val="00802E3A"/>
    <w:rsid w:val="0080373E"/>
    <w:rsid w:val="008061A1"/>
    <w:rsid w:val="0081528D"/>
    <w:rsid w:val="00827EA8"/>
    <w:rsid w:val="00836753"/>
    <w:rsid w:val="00850D54"/>
    <w:rsid w:val="0085328D"/>
    <w:rsid w:val="00854442"/>
    <w:rsid w:val="00862975"/>
    <w:rsid w:val="00862C79"/>
    <w:rsid w:val="00876057"/>
    <w:rsid w:val="00884CF5"/>
    <w:rsid w:val="008854E3"/>
    <w:rsid w:val="008904E0"/>
    <w:rsid w:val="00897C88"/>
    <w:rsid w:val="008A419C"/>
    <w:rsid w:val="008B1792"/>
    <w:rsid w:val="008C369E"/>
    <w:rsid w:val="008C70C0"/>
    <w:rsid w:val="00901916"/>
    <w:rsid w:val="0090345F"/>
    <w:rsid w:val="00921148"/>
    <w:rsid w:val="00921B80"/>
    <w:rsid w:val="00922619"/>
    <w:rsid w:val="00931067"/>
    <w:rsid w:val="00931903"/>
    <w:rsid w:val="00933D31"/>
    <w:rsid w:val="009354C9"/>
    <w:rsid w:val="0093706C"/>
    <w:rsid w:val="00957034"/>
    <w:rsid w:val="009649E1"/>
    <w:rsid w:val="00964E09"/>
    <w:rsid w:val="009741C2"/>
    <w:rsid w:val="00985A27"/>
    <w:rsid w:val="0098702F"/>
    <w:rsid w:val="00992AA1"/>
    <w:rsid w:val="009A0999"/>
    <w:rsid w:val="009A2F50"/>
    <w:rsid w:val="009C3A65"/>
    <w:rsid w:val="009D4D9D"/>
    <w:rsid w:val="009D5DFC"/>
    <w:rsid w:val="009E143C"/>
    <w:rsid w:val="009E3089"/>
    <w:rsid w:val="009F177B"/>
    <w:rsid w:val="009F4781"/>
    <w:rsid w:val="009F5055"/>
    <w:rsid w:val="00A00A32"/>
    <w:rsid w:val="00A169B3"/>
    <w:rsid w:val="00A31D29"/>
    <w:rsid w:val="00A31F41"/>
    <w:rsid w:val="00A340DF"/>
    <w:rsid w:val="00A35DCE"/>
    <w:rsid w:val="00A3628B"/>
    <w:rsid w:val="00A36580"/>
    <w:rsid w:val="00A50615"/>
    <w:rsid w:val="00A573FD"/>
    <w:rsid w:val="00A6353E"/>
    <w:rsid w:val="00A66C07"/>
    <w:rsid w:val="00A7495B"/>
    <w:rsid w:val="00AA4A82"/>
    <w:rsid w:val="00AA681D"/>
    <w:rsid w:val="00AB5015"/>
    <w:rsid w:val="00AE5B12"/>
    <w:rsid w:val="00AE68DB"/>
    <w:rsid w:val="00AF11C5"/>
    <w:rsid w:val="00AF1546"/>
    <w:rsid w:val="00B12E36"/>
    <w:rsid w:val="00B20CA6"/>
    <w:rsid w:val="00B2250B"/>
    <w:rsid w:val="00B4595A"/>
    <w:rsid w:val="00B46A70"/>
    <w:rsid w:val="00B574FD"/>
    <w:rsid w:val="00B57D75"/>
    <w:rsid w:val="00B643D1"/>
    <w:rsid w:val="00B662E6"/>
    <w:rsid w:val="00B663EA"/>
    <w:rsid w:val="00B83E0A"/>
    <w:rsid w:val="00BA1C09"/>
    <w:rsid w:val="00BA599A"/>
    <w:rsid w:val="00BC37F6"/>
    <w:rsid w:val="00BD5CCE"/>
    <w:rsid w:val="00BD73CE"/>
    <w:rsid w:val="00BD76D4"/>
    <w:rsid w:val="00BE562A"/>
    <w:rsid w:val="00BF4381"/>
    <w:rsid w:val="00C13CA5"/>
    <w:rsid w:val="00C23341"/>
    <w:rsid w:val="00C26D7A"/>
    <w:rsid w:val="00C4170A"/>
    <w:rsid w:val="00C502FA"/>
    <w:rsid w:val="00C54A79"/>
    <w:rsid w:val="00C61064"/>
    <w:rsid w:val="00C6112D"/>
    <w:rsid w:val="00C776C5"/>
    <w:rsid w:val="00CA016E"/>
    <w:rsid w:val="00CA79CD"/>
    <w:rsid w:val="00CB4598"/>
    <w:rsid w:val="00CC0B0D"/>
    <w:rsid w:val="00CC263D"/>
    <w:rsid w:val="00CC6432"/>
    <w:rsid w:val="00CD6EDE"/>
    <w:rsid w:val="00CE19BD"/>
    <w:rsid w:val="00CE3B03"/>
    <w:rsid w:val="00CE4466"/>
    <w:rsid w:val="00CE58A5"/>
    <w:rsid w:val="00CF0CB5"/>
    <w:rsid w:val="00CF6EC8"/>
    <w:rsid w:val="00CF7C3C"/>
    <w:rsid w:val="00D01532"/>
    <w:rsid w:val="00D06FB6"/>
    <w:rsid w:val="00D4464F"/>
    <w:rsid w:val="00D44EDE"/>
    <w:rsid w:val="00D51406"/>
    <w:rsid w:val="00D5210E"/>
    <w:rsid w:val="00D52F9F"/>
    <w:rsid w:val="00D627A9"/>
    <w:rsid w:val="00D72843"/>
    <w:rsid w:val="00D7798F"/>
    <w:rsid w:val="00D93ABD"/>
    <w:rsid w:val="00DA1891"/>
    <w:rsid w:val="00DB1CAD"/>
    <w:rsid w:val="00DB2E59"/>
    <w:rsid w:val="00DC4F76"/>
    <w:rsid w:val="00DD7C00"/>
    <w:rsid w:val="00DE3BBD"/>
    <w:rsid w:val="00DE3DC7"/>
    <w:rsid w:val="00DF0AB2"/>
    <w:rsid w:val="00DF5411"/>
    <w:rsid w:val="00DF6A71"/>
    <w:rsid w:val="00DF6F15"/>
    <w:rsid w:val="00E03F94"/>
    <w:rsid w:val="00E27D46"/>
    <w:rsid w:val="00E51F39"/>
    <w:rsid w:val="00E521F4"/>
    <w:rsid w:val="00E5378F"/>
    <w:rsid w:val="00E57161"/>
    <w:rsid w:val="00E624D4"/>
    <w:rsid w:val="00E73EE5"/>
    <w:rsid w:val="00E763D9"/>
    <w:rsid w:val="00E85E73"/>
    <w:rsid w:val="00E96F3E"/>
    <w:rsid w:val="00EA18B6"/>
    <w:rsid w:val="00ED280F"/>
    <w:rsid w:val="00ED3A5C"/>
    <w:rsid w:val="00ED527E"/>
    <w:rsid w:val="00EF173A"/>
    <w:rsid w:val="00F03AF0"/>
    <w:rsid w:val="00F04222"/>
    <w:rsid w:val="00F1744F"/>
    <w:rsid w:val="00F22BA4"/>
    <w:rsid w:val="00F44355"/>
    <w:rsid w:val="00F6068C"/>
    <w:rsid w:val="00F84B60"/>
    <w:rsid w:val="00F858ED"/>
    <w:rsid w:val="00F95BC4"/>
    <w:rsid w:val="00FA6A44"/>
    <w:rsid w:val="00FA725E"/>
    <w:rsid w:val="00FB6A6B"/>
    <w:rsid w:val="00FD0C0D"/>
    <w:rsid w:val="00FD5D0A"/>
    <w:rsid w:val="00FF4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javascript:AbrirModal(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4846DC-6BAE-47D8-BA3A-AD58344D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7942</Words>
  <Characters>43687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5</cp:revision>
  <cp:lastPrinted>2024-11-15T04:02:00Z</cp:lastPrinted>
  <dcterms:created xsi:type="dcterms:W3CDTF">2024-11-15T04:02:00Z</dcterms:created>
  <dcterms:modified xsi:type="dcterms:W3CDTF">2025-02-05T20:16:00Z</dcterms:modified>
</cp:coreProperties>
</file>