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B77B" w14:textId="77777777" w:rsidR="002C0B39" w:rsidRDefault="002C0B39">
      <w:pPr>
        <w:widowControl w:val="0"/>
        <w:pBdr>
          <w:top w:val="nil"/>
          <w:left w:val="nil"/>
          <w:bottom w:val="nil"/>
          <w:right w:val="nil"/>
          <w:between w:val="nil"/>
        </w:pBdr>
        <w:spacing w:line="276" w:lineRule="auto"/>
      </w:pPr>
    </w:p>
    <w:p w14:paraId="12BAC3FA" w14:textId="6AD4B7BF" w:rsidR="002C0B39" w:rsidRDefault="00C8624E">
      <w:pPr>
        <w:spacing w:before="240" w:after="240"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DD6C53">
        <w:rPr>
          <w:rFonts w:ascii="Palatino Linotype" w:eastAsia="Palatino Linotype" w:hAnsi="Palatino Linotype" w:cs="Palatino Linotype"/>
        </w:rPr>
        <w:t>a veinticinco</w:t>
      </w:r>
      <w:r w:rsidR="00DD6C53">
        <w:rPr>
          <w:rFonts w:ascii="Palatino Linotype" w:eastAsia="Palatino Linotype" w:hAnsi="Palatino Linotype" w:cs="Palatino Linotype"/>
        </w:rPr>
        <w:t xml:space="preserve"> (25)</w:t>
      </w:r>
      <w:r w:rsidRPr="00DD6C53">
        <w:rPr>
          <w:rFonts w:ascii="Palatino Linotype" w:eastAsia="Palatino Linotype" w:hAnsi="Palatino Linotype" w:cs="Palatino Linotype"/>
        </w:rPr>
        <w:t xml:space="preserve"> de </w:t>
      </w:r>
      <w:r w:rsidR="00DD6C53">
        <w:rPr>
          <w:rFonts w:ascii="Palatino Linotype" w:eastAsia="Palatino Linotype" w:hAnsi="Palatino Linotype" w:cs="Palatino Linotype"/>
        </w:rPr>
        <w:t>septiembre de dos mil veinticuatro</w:t>
      </w:r>
      <w:r>
        <w:rPr>
          <w:rFonts w:ascii="Palatino Linotype" w:eastAsia="Palatino Linotype" w:hAnsi="Palatino Linotype" w:cs="Palatino Linotype"/>
        </w:rPr>
        <w:t xml:space="preserve">. </w:t>
      </w:r>
    </w:p>
    <w:p w14:paraId="01727A6F" w14:textId="690BA376" w:rsidR="002C0B39" w:rsidRDefault="00C8624E">
      <w:pPr>
        <w:spacing w:line="360" w:lineRule="auto"/>
        <w:jc w:val="both"/>
        <w:rPr>
          <w:rFonts w:ascii="Palatino Linotype" w:eastAsia="Palatino Linotype" w:hAnsi="Palatino Linotype" w:cs="Palatino Linotype"/>
        </w:rPr>
      </w:pPr>
      <w:bookmarkStart w:id="1" w:name="_heading=h.1t3h5sf" w:colFirst="0" w:colLast="0"/>
      <w:bookmarkEnd w:id="1"/>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03683/INFOEM/IP/RR/2023</w:t>
      </w:r>
      <w:r>
        <w:rPr>
          <w:rFonts w:ascii="Palatino Linotype" w:eastAsia="Palatino Linotype" w:hAnsi="Palatino Linotype" w:cs="Palatino Linotype"/>
        </w:rPr>
        <w:t xml:space="preserve">, promovido por </w:t>
      </w:r>
      <w:r w:rsidR="00791A0F">
        <w:rPr>
          <w:rFonts w:ascii="Palatino Linotype" w:eastAsia="Palatino Linotype" w:hAnsi="Palatino Linotype" w:cs="Palatino Linotype"/>
          <w:b/>
        </w:rPr>
        <w:t>XXX XXX</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la</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en contra de la respuesta del</w:t>
      </w:r>
      <w:r>
        <w:rPr>
          <w:rFonts w:ascii="Palatino Linotype" w:eastAsia="Palatino Linotype" w:hAnsi="Palatino Linotype" w:cs="Palatino Linotype"/>
          <w:b/>
        </w:rPr>
        <w:t xml:space="preserve"> Instituto de la Función Registral del Estado de México,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se procede a dictar la presente Resolución con base en los siguientes: </w:t>
      </w:r>
    </w:p>
    <w:p w14:paraId="1FCF9E70" w14:textId="77777777" w:rsidR="002C0B39" w:rsidRDefault="00C8624E">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14:paraId="7AFDE54F"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2" w:name="_heading=h.30j0zll" w:colFirst="0" w:colLast="0"/>
      <w:bookmarkEnd w:id="2"/>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veinticinco de mayo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a través de a través de la Plataforma Nacional de Transparencia (PNT),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la solicitud de acceso a la información, a la que se le asignó el número de solicitud </w:t>
      </w:r>
      <w:r>
        <w:rPr>
          <w:rFonts w:ascii="Palatino Linotype" w:eastAsia="Palatino Linotype" w:hAnsi="Palatino Linotype" w:cs="Palatino Linotype"/>
          <w:b/>
          <w:color w:val="000000"/>
        </w:rPr>
        <w:t xml:space="preserve">00056/IFR/IP/2023, </w:t>
      </w:r>
      <w:r>
        <w:rPr>
          <w:rFonts w:ascii="Palatino Linotype" w:eastAsia="Palatino Linotype" w:hAnsi="Palatino Linotype" w:cs="Palatino Linotype"/>
          <w:color w:val="000000"/>
        </w:rPr>
        <w:t>en  la que requirió el acceso a lo siguiente:</w:t>
      </w:r>
    </w:p>
    <w:p w14:paraId="7952FCFF" w14:textId="77777777" w:rsidR="002C0B39" w:rsidRDefault="002C0B39">
      <w:pPr>
        <w:spacing w:line="360" w:lineRule="auto"/>
        <w:jc w:val="both"/>
        <w:rPr>
          <w:rFonts w:ascii="Palatino Linotype" w:eastAsia="Palatino Linotype" w:hAnsi="Palatino Linotype" w:cs="Palatino Linotype"/>
        </w:rPr>
      </w:pPr>
    </w:p>
    <w:p w14:paraId="7FC0BD71" w14:textId="77777777" w:rsidR="002C0B39" w:rsidRDefault="00C8624E">
      <w:pPr>
        <w:spacing w:line="276" w:lineRule="auto"/>
        <w:ind w:left="851" w:right="899"/>
        <w:jc w:val="both"/>
        <w:rPr>
          <w:rFonts w:ascii="Palatino Linotype" w:eastAsia="Palatino Linotype" w:hAnsi="Palatino Linotype" w:cs="Palatino Linotype"/>
          <w:i/>
        </w:rPr>
      </w:pPr>
      <w:r>
        <w:rPr>
          <w:rFonts w:ascii="Palatino Linotype" w:eastAsia="Palatino Linotype" w:hAnsi="Palatino Linotype" w:cs="Palatino Linotype"/>
          <w:i/>
        </w:rPr>
        <w:t xml:space="preserve">“SE SOLICITA EN VERSION ELECTRONICA, FOTOGRAFICA (NITIDA) O DIGITALIZADA EL PLANO DE LA ESCRITURA PÚBLICA 11941, VOLUMEN 000II (302), DE FECHA 2 DE ABRIL DE 1992, OTORGADA ANTE LA FE DEL NOTARIO 3, DEL DISTRITO JUDICIAL DE CUAUTITLAN, ESTADO DE MEXICO, LIC. AXELL GARCIA AGUILERA, INSCRITA DE LA PARTIDA 307 A 339, DEL VOLUMEN 280, LIBRO PRIMERO, SECCIÓN PRIMERA, DE FECHA 8 DE MAYO DE 1992, RELATIVA AL REGIMEN DE PROPIEDAD EN </w:t>
      </w:r>
      <w:r>
        <w:rPr>
          <w:rFonts w:ascii="Palatino Linotype" w:eastAsia="Palatino Linotype" w:hAnsi="Palatino Linotype" w:cs="Palatino Linotype"/>
          <w:i/>
        </w:rPr>
        <w:lastRenderedPageBreak/>
        <w:t>CONDOMINIO SOBRE EL INMUEBLE IDENTIFICADO COMO LOTE "A" REMANENTE UNO, UBICADO EN TERMINOS DE LOS DISTRITOS H-01 Y H-11 DEL FRACCIONAMIENTO CUAUTITLAN IZCALLI, MUNICIPIO DEL MISMO NOMBRE, ESTADO DE MEXICO, MISMO PLANO QUE OBRA RESGUARDADO EN EL ARCHIVO GENERAL DE NOTARIAS DEPENDIENTE DEL SUJETO OBLIGADO Y QUE FUE PUESTO A LA VISTA DEL SUSCRITO.</w:t>
      </w:r>
    </w:p>
    <w:p w14:paraId="20308D2A" w14:textId="77777777" w:rsidR="002C0B39" w:rsidRDefault="002C0B39">
      <w:pPr>
        <w:spacing w:line="276" w:lineRule="auto"/>
        <w:ind w:right="899"/>
        <w:jc w:val="both"/>
        <w:rPr>
          <w:rFonts w:ascii="Palatino Linotype" w:eastAsia="Palatino Linotype" w:hAnsi="Palatino Linotype" w:cs="Palatino Linotype"/>
        </w:rPr>
      </w:pPr>
    </w:p>
    <w:p w14:paraId="01A45A81" w14:textId="77777777" w:rsidR="002C0B39" w:rsidRDefault="00C8624E">
      <w:pPr>
        <w:numPr>
          <w:ilvl w:val="0"/>
          <w:numId w:val="5"/>
        </w:numPr>
        <w:pBdr>
          <w:top w:val="nil"/>
          <w:left w:val="nil"/>
          <w:bottom w:val="nil"/>
          <w:right w:val="nil"/>
          <w:between w:val="nil"/>
        </w:pBdr>
        <w:spacing w:line="276" w:lineRule="auto"/>
        <w:ind w:right="89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la solicitud de información anexo el Instrumento </w:t>
      </w:r>
      <w:r>
        <w:rPr>
          <w:rFonts w:ascii="Palatino Linotype" w:eastAsia="Palatino Linotype" w:hAnsi="Palatino Linotype" w:cs="Palatino Linotype"/>
        </w:rPr>
        <w:t>número</w:t>
      </w:r>
      <w:r>
        <w:rPr>
          <w:rFonts w:ascii="Palatino Linotype" w:eastAsia="Palatino Linotype" w:hAnsi="Palatino Linotype" w:cs="Palatino Linotype"/>
          <w:color w:val="000000"/>
        </w:rPr>
        <w:t xml:space="preserve"> treinta y cuatro mil ciento noventa y dos </w:t>
      </w:r>
    </w:p>
    <w:p w14:paraId="1930BCF7" w14:textId="77777777" w:rsidR="002C0B39" w:rsidRDefault="002C0B39">
      <w:pPr>
        <w:spacing w:line="276" w:lineRule="auto"/>
        <w:jc w:val="both"/>
        <w:rPr>
          <w:rFonts w:ascii="Palatino Linotype" w:eastAsia="Palatino Linotype" w:hAnsi="Palatino Linotype" w:cs="Palatino Linotype"/>
          <w:b/>
        </w:rPr>
      </w:pPr>
    </w:p>
    <w:p w14:paraId="7DCE08C0" w14:textId="77777777" w:rsidR="002C0B39" w:rsidRDefault="00C862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Señaló como modalidad de entrega de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A través de</w:t>
      </w:r>
      <w:r>
        <w:rPr>
          <w:rFonts w:ascii="Palatino Linotype" w:eastAsia="Palatino Linotype" w:hAnsi="Palatino Linotype" w:cs="Palatino Linotype"/>
          <w:i/>
          <w:color w:val="000000"/>
        </w:rPr>
        <w:t xml:space="preserve"> correo electrónico</w:t>
      </w:r>
    </w:p>
    <w:p w14:paraId="64329BDB"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4920A96"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nueve de junio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dio respuesta a través de los archivos siguientes:</w:t>
      </w:r>
    </w:p>
    <w:p w14:paraId="71ACD0CA"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DD2CD59" w14:textId="77777777" w:rsidR="002C0B39" w:rsidRDefault="00C8624E">
      <w:pPr>
        <w:numPr>
          <w:ilvl w:val="1"/>
          <w:numId w:val="2"/>
        </w:numPr>
        <w:pBdr>
          <w:top w:val="nil"/>
          <w:left w:val="nil"/>
          <w:bottom w:val="nil"/>
          <w:right w:val="nil"/>
          <w:between w:val="nil"/>
        </w:pBdr>
        <w:spacing w:line="360" w:lineRule="auto"/>
        <w:ind w:left="567" w:right="616" w:hanging="28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286-2023_0001.pdf: </w:t>
      </w:r>
      <w:r>
        <w:rPr>
          <w:rFonts w:ascii="Palatino Linotype" w:eastAsia="Palatino Linotype" w:hAnsi="Palatino Linotype" w:cs="Palatino Linotype"/>
          <w:color w:val="000000"/>
        </w:rPr>
        <w:t xml:space="preserve">Oficio de nueve de junio de dos mil veintitrés, por medio del cual el Titular de la Unidad de Transparencia del Instituto de la Función Registral del Estado de México, le solicita al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que aclare los datos del instrumento que solicita y que acredite el interés jurídico, “</w:t>
      </w:r>
      <w:r>
        <w:rPr>
          <w:rFonts w:ascii="Palatino Linotype" w:eastAsia="Palatino Linotype" w:hAnsi="Palatino Linotype" w:cs="Palatino Linotype"/>
          <w:i/>
          <w:color w:val="000000"/>
        </w:rPr>
        <w:t>ya sea como interesado, o a acreditar haber intervenido en el acto notarial, ser albacea o heredero o se trate de algún antecedente de su escritura según sea el caso con el nombramiento de albacea o la simple copia certificada del acta de defunción en caso de ser solicitud de testamento con una identificación oficial (INE o pasaporte vigente). Es su defecto mediante un poder notarial si se trata de un tercero solicitante…”</w:t>
      </w:r>
    </w:p>
    <w:p w14:paraId="6B1C7B76" w14:textId="77777777" w:rsidR="002C0B39" w:rsidRDefault="002C0B39">
      <w:pPr>
        <w:pBdr>
          <w:top w:val="nil"/>
          <w:left w:val="nil"/>
          <w:bottom w:val="nil"/>
          <w:right w:val="nil"/>
          <w:between w:val="nil"/>
        </w:pBdr>
        <w:spacing w:line="360" w:lineRule="auto"/>
        <w:ind w:left="1440"/>
        <w:jc w:val="both"/>
        <w:rPr>
          <w:rFonts w:ascii="Palatino Linotype" w:eastAsia="Palatino Linotype" w:hAnsi="Palatino Linotype" w:cs="Palatino Linotype"/>
          <w:b/>
          <w:color w:val="000000"/>
        </w:rPr>
      </w:pPr>
    </w:p>
    <w:p w14:paraId="3EB95D8C" w14:textId="77777777" w:rsidR="002C0B39" w:rsidRDefault="00C8624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Correo-Respuesta-Folio 00056_IFR_IP_2023.pdf</w:t>
      </w:r>
    </w:p>
    <w:p w14:paraId="68468B1D"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553CDC5" w14:textId="77777777" w:rsidR="002C0B39" w:rsidRDefault="00C8624E">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4298CF8A" wp14:editId="7B5EC575">
            <wp:extent cx="4367361" cy="313200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67361" cy="3132000"/>
                    </a:xfrm>
                    <a:prstGeom prst="rect">
                      <a:avLst/>
                    </a:prstGeom>
                    <a:ln/>
                  </pic:spPr>
                </pic:pic>
              </a:graphicData>
            </a:graphic>
          </wp:inline>
        </w:drawing>
      </w:r>
    </w:p>
    <w:p w14:paraId="2B09F089"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rPr>
      </w:pPr>
    </w:p>
    <w:p w14:paraId="375D75E3"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Inconforme con la respuesta, el </w:t>
      </w:r>
      <w:r>
        <w:rPr>
          <w:rFonts w:ascii="Palatino Linotype" w:eastAsia="Palatino Linotype" w:hAnsi="Palatino Linotype" w:cs="Palatino Linotype"/>
          <w:b/>
          <w:color w:val="000000"/>
        </w:rPr>
        <w:t>veintiséis de junio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interpuso el recurso de revisión, en el que señaló como: </w:t>
      </w:r>
    </w:p>
    <w:p w14:paraId="17804F32"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rPr>
      </w:pPr>
    </w:p>
    <w:p w14:paraId="306B00D0" w14:textId="77777777" w:rsidR="002C0B39" w:rsidRDefault="00C8624E">
      <w:pPr>
        <w:spacing w:line="360" w:lineRule="auto"/>
        <w:ind w:left="426" w:right="757"/>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b/>
        </w:rPr>
        <w:t>Acto impugnado</w:t>
      </w:r>
      <w:r>
        <w:rPr>
          <w:rFonts w:ascii="Palatino Linotype" w:eastAsia="Palatino Linotype" w:hAnsi="Palatino Linotype" w:cs="Palatino Linotype"/>
        </w:rPr>
        <w:t xml:space="preserve">: </w:t>
      </w:r>
    </w:p>
    <w:p w14:paraId="140B08A0" w14:textId="77777777" w:rsidR="002C0B39" w:rsidRDefault="00C8624E">
      <w:pPr>
        <w:spacing w:line="276" w:lineRule="auto"/>
        <w:ind w:left="426" w:right="757"/>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i/>
        </w:rPr>
        <w:t xml:space="preserve">“RECURRENTE: ALAN ASUNTO: RECURSO DE REVISIÓN ACTO IMPUGNADO: OFICIO 222C0101040202L/286/2023 DE FECHA 09 DE JUNIO DE 2023 NÚMERO DE FOLIO DE SOLICITUD: 00056/IFR//IP/2023 SUJETO OBLIGADO: INSTITUTO DE LA FUNCIÓN REGISTRAL DEL ESTADO DE MEXICO, DE QUIEN DEPENDE EL ARCHIVO GENERAL DE NOTARIAS. INSTITUTO DE TRANSPARENCIA, ACCESO A LA INFORMACIÓN PÚBLICA Y PROTECCIÓN DE DATOS PERSONALES DEL ESTADO DE MÉXICO Y MUNICIPIOS Y/O COMISIONADO PONENTE EN TURNO. P R E S E N T E En suscrito, con el carácter de </w:t>
      </w:r>
      <w:r>
        <w:rPr>
          <w:rFonts w:ascii="Palatino Linotype" w:eastAsia="Palatino Linotype" w:hAnsi="Palatino Linotype" w:cs="Palatino Linotype"/>
          <w:i/>
        </w:rPr>
        <w:lastRenderedPageBreak/>
        <w:t>recurrente, ante usted con el debido respeto y con fundamento en el artículo 6° de la CONSTITUCIÓN POLÍTICA DE LOS ESTADOS UNIDOS MEXICANOS; los artículos 7, 8, 13, 16, 19, 21, 167, 176, 178, 179, fracción IV, 180, 185, 188, 189, 190 y demás relativos y aplicables de LEY DE TRANSPARENCIA Y ACCESO A LA INFORMACIÓN PÚBLICA DEL ESTADO DE MÉXICO Y MUNICIPIOS; y, sus correlativos de las LEYES GENERAL y FEDERAL DE TRANPARENCIA Y ACCESO A LA INFORMACIÓN PÚBLICA, comparezco para INTERPONER RECURSO DE REVISIÓN en contra del OFICIO 222C0101040202L/2862023, signado por el sujeto obligado INSTITUTO DE LA FUNCION REGISTRAL DEL ESTADO DE MEXICO, de quien depende el ARCHIVO GENERAL DE NOTARIAS. En tal sentido, la JUSTIFICACIÓN DEL PLAZO OPORTUNO, las RAZONES Y MOTIVOS DE INCONFORMIDAD, las PRUEBAS y los ALEGATOS, se agregan como ANEXOS al presente recurso, en archivos PDF. Por lo expuesto a usted Instituto y/o Comisionado atentamente pido se sirva: ÚNICO. – Tener por interpuesto el medio de impugnación indicado al rubro y en su oportunidad procesal, tener por expresadas en sus términos las RAZONES Y MOTIVOS DE INCONFORMIDAD, las PRUEBAS y los ALEGATOS, agregados como ANEXOS al presente recurso, en archivos PDF, salvaguardando en todo momento mi Derecho Humano de Acceso a la Información previsto en el artículo 6° del PACTO FEDERAL, LAS LEYES GENERAL, FEDERAL y LEY LOCAL DE TRANSPARENCIA. ATENTAMENTE ALAN El recurrente y/o solicitante”</w:t>
      </w:r>
    </w:p>
    <w:p w14:paraId="0656AC88" w14:textId="77777777" w:rsidR="002C0B39" w:rsidRDefault="002C0B39">
      <w:pPr>
        <w:pBdr>
          <w:top w:val="nil"/>
          <w:left w:val="nil"/>
          <w:bottom w:val="nil"/>
          <w:right w:val="nil"/>
          <w:between w:val="nil"/>
        </w:pBdr>
        <w:spacing w:line="360" w:lineRule="auto"/>
        <w:ind w:left="1004" w:right="899"/>
        <w:jc w:val="both"/>
        <w:rPr>
          <w:rFonts w:ascii="Palatino Linotype" w:eastAsia="Palatino Linotype" w:hAnsi="Palatino Linotype" w:cs="Palatino Linotype"/>
          <w:i/>
        </w:rPr>
      </w:pPr>
    </w:p>
    <w:p w14:paraId="46259F0B" w14:textId="77777777" w:rsidR="002C0B39" w:rsidRDefault="00C8624E">
      <w:pPr>
        <w:spacing w:line="360" w:lineRule="auto"/>
        <w:ind w:left="426" w:right="899"/>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b/>
        </w:rPr>
        <w:t>Razones o Motivos de inconformidad</w:t>
      </w:r>
      <w:r>
        <w:rPr>
          <w:rFonts w:ascii="Palatino Linotype" w:eastAsia="Palatino Linotype" w:hAnsi="Palatino Linotype" w:cs="Palatino Linotype"/>
        </w:rPr>
        <w:t>:</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no expreso </w:t>
      </w:r>
    </w:p>
    <w:p w14:paraId="2C534755" w14:textId="77777777" w:rsidR="002C0B39" w:rsidRDefault="00C8624E">
      <w:pPr>
        <w:numPr>
          <w:ilvl w:val="1"/>
          <w:numId w:val="3"/>
        </w:numPr>
        <w:pBdr>
          <w:top w:val="nil"/>
          <w:left w:val="nil"/>
          <w:bottom w:val="nil"/>
          <w:right w:val="nil"/>
          <w:between w:val="nil"/>
        </w:pBdr>
        <w:spacing w:line="276" w:lineRule="auto"/>
        <w:ind w:left="851" w:right="332" w:hanging="284"/>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Al recurso adjunto el archivo </w:t>
      </w:r>
      <w:r>
        <w:rPr>
          <w:rFonts w:ascii="Palatino Linotype" w:eastAsia="Palatino Linotype" w:hAnsi="Palatino Linotype" w:cs="Palatino Linotype"/>
          <w:i/>
          <w:color w:val="000000"/>
        </w:rPr>
        <w:t xml:space="preserve">Archivo1687840334760.pdf, </w:t>
      </w:r>
      <w:r>
        <w:rPr>
          <w:rFonts w:ascii="Palatino Linotype" w:eastAsia="Palatino Linotype" w:hAnsi="Palatino Linotype" w:cs="Palatino Linotype"/>
          <w:color w:val="000000"/>
        </w:rPr>
        <w:t>del que se desprende el correo con “</w:t>
      </w:r>
      <w:r>
        <w:rPr>
          <w:rFonts w:ascii="Palatino Linotype" w:eastAsia="Palatino Linotype" w:hAnsi="Palatino Linotype" w:cs="Palatino Linotype"/>
          <w:i/>
          <w:color w:val="000000"/>
        </w:rPr>
        <w:t xml:space="preserve">Respuesta Solicitud de Información Pública con Folio 00056/IFR/IP/2023, </w:t>
      </w:r>
      <w:r>
        <w:rPr>
          <w:rFonts w:ascii="Palatino Linotype" w:eastAsia="Palatino Linotype" w:hAnsi="Palatino Linotype" w:cs="Palatino Linotype"/>
          <w:color w:val="000000"/>
        </w:rPr>
        <w:t xml:space="preserve">la notificación del cambio de estatus a: </w:t>
      </w:r>
      <w:r>
        <w:rPr>
          <w:rFonts w:ascii="Palatino Linotype" w:eastAsia="Palatino Linotype" w:hAnsi="Palatino Linotype" w:cs="Palatino Linotype"/>
          <w:i/>
          <w:color w:val="000000"/>
        </w:rPr>
        <w:t xml:space="preserve">“Respuesta a la solicitud notificada” </w:t>
      </w:r>
      <w:r>
        <w:rPr>
          <w:rFonts w:ascii="Palatino Linotype" w:eastAsia="Palatino Linotype" w:hAnsi="Palatino Linotype" w:cs="Palatino Linotype"/>
          <w:color w:val="000000"/>
        </w:rPr>
        <w:t>y recurso de revisión</w:t>
      </w:r>
    </w:p>
    <w:p w14:paraId="11E455A8" w14:textId="77777777" w:rsidR="002C0B39" w:rsidRDefault="00C8624E">
      <w:pPr>
        <w:spacing w:line="276" w:lineRule="auto"/>
        <w:ind w:left="851" w:right="899"/>
        <w:jc w:val="both"/>
        <w:rPr>
          <w:rFonts w:ascii="Palatino Linotype" w:eastAsia="Palatino Linotype" w:hAnsi="Palatino Linotype" w:cs="Palatino Linotype"/>
          <w:b/>
        </w:rPr>
      </w:pPr>
      <w:r>
        <w:rPr>
          <w:rFonts w:ascii="Palatino Linotype" w:eastAsia="Palatino Linotype" w:hAnsi="Palatino Linotype" w:cs="Palatino Linotype"/>
          <w:i/>
        </w:rPr>
        <w:t xml:space="preserve"> </w:t>
      </w:r>
    </w:p>
    <w:p w14:paraId="7FB6D655"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Turno. </w:t>
      </w: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Pr>
          <w:rFonts w:ascii="Palatino Linotype" w:eastAsia="Palatino Linotype" w:hAnsi="Palatino Linotype" w:cs="Palatino Linotype"/>
          <w:b/>
          <w:color w:val="000000"/>
        </w:rPr>
        <w:t xml:space="preserve">Ley </w:t>
      </w:r>
      <w:r>
        <w:rPr>
          <w:rFonts w:ascii="Palatino Linotype" w:eastAsia="Palatino Linotype" w:hAnsi="Palatino Linotype" w:cs="Palatino Linotype"/>
          <w:b/>
          <w:color w:val="000000"/>
        </w:rPr>
        <w:lastRenderedPageBreak/>
        <w:t xml:space="preserve">de Protección de Datos Personales en Posesión de Sujetos Obligados del Estado de México y Municipios, </w:t>
      </w:r>
      <w:r>
        <w:rPr>
          <w:rFonts w:ascii="Palatino Linotype" w:eastAsia="Palatino Linotype" w:hAnsi="Palatino Linotype" w:cs="Palatino Linotype"/>
          <w:color w:val="000000"/>
        </w:rPr>
        <w:t xml:space="preserve">en relación con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de aplicación supletoria, se turnó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con el objeto de su análisis. </w:t>
      </w:r>
    </w:p>
    <w:p w14:paraId="244985F3" w14:textId="77777777" w:rsidR="002C0B39" w:rsidRDefault="002C0B39">
      <w:pPr>
        <w:spacing w:line="360" w:lineRule="auto"/>
        <w:jc w:val="both"/>
        <w:rPr>
          <w:rFonts w:ascii="Palatino Linotype" w:eastAsia="Palatino Linotype" w:hAnsi="Palatino Linotype" w:cs="Palatino Linotype"/>
        </w:rPr>
      </w:pPr>
    </w:p>
    <w:p w14:paraId="33A4738D"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veintiocho de junio de dos mil veintitrés, c</w:t>
      </w:r>
      <w:r>
        <w:rPr>
          <w:rFonts w:ascii="Palatino Linotype" w:eastAsia="Palatino Linotype" w:hAnsi="Palatino Linotype" w:cs="Palatino Linotype"/>
          <w:color w:val="000000"/>
        </w:rPr>
        <w:t xml:space="preserve">on fundamento en los artículos 11, 127 y 131 de la </w:t>
      </w:r>
      <w:r>
        <w:rPr>
          <w:rFonts w:ascii="Palatino Linotype" w:eastAsia="Palatino Linotype" w:hAnsi="Palatino Linotype" w:cs="Palatino Linotype"/>
          <w:b/>
          <w:color w:val="000000"/>
        </w:rPr>
        <w:t>Ley de Protección de Datos Personales en Posesión de Sujetos Obligados del Estado de México y Municipios</w:t>
      </w:r>
      <w:r>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se acordó lo siguiente:</w:t>
      </w:r>
    </w:p>
    <w:p w14:paraId="46F1AB82" w14:textId="77777777" w:rsidR="002C0B39" w:rsidRDefault="002C0B39">
      <w:pPr>
        <w:spacing w:line="360" w:lineRule="auto"/>
        <w:jc w:val="both"/>
        <w:rPr>
          <w:rFonts w:ascii="Palatino Linotype" w:eastAsia="Palatino Linotype" w:hAnsi="Palatino Linotype" w:cs="Palatino Linotype"/>
        </w:rPr>
      </w:pPr>
    </w:p>
    <w:p w14:paraId="404D7869" w14:textId="77777777" w:rsidR="002C0B39" w:rsidRDefault="00C8624E">
      <w:pPr>
        <w:spacing w:line="360" w:lineRule="auto"/>
        <w:ind w:left="567" w:right="474" w:hanging="141"/>
        <w:jc w:val="both"/>
        <w:rPr>
          <w:rFonts w:ascii="Palatino Linotype" w:eastAsia="Palatino Linotype" w:hAnsi="Palatino Linotype" w:cs="Palatino Linotype"/>
        </w:rPr>
      </w:pPr>
      <w:r>
        <w:rPr>
          <w:rFonts w:ascii="Palatino Linotype" w:eastAsia="Palatino Linotype" w:hAnsi="Palatino Linotype" w:cs="Palatino Linotype"/>
        </w:rPr>
        <w:t xml:space="preserve">a) La admisión a trámite del referido recurso de revisión; </w:t>
      </w:r>
    </w:p>
    <w:p w14:paraId="77113A58" w14:textId="77777777" w:rsidR="002C0B39" w:rsidRDefault="002C0B39">
      <w:pPr>
        <w:spacing w:line="360" w:lineRule="auto"/>
        <w:ind w:left="567" w:right="474" w:hanging="141"/>
        <w:jc w:val="both"/>
        <w:rPr>
          <w:rFonts w:ascii="Palatino Linotype" w:eastAsia="Palatino Linotype" w:hAnsi="Palatino Linotype" w:cs="Palatino Linotype"/>
        </w:rPr>
      </w:pPr>
    </w:p>
    <w:p w14:paraId="6AF838E1" w14:textId="77777777" w:rsidR="002C0B39" w:rsidRDefault="00C8624E">
      <w:pPr>
        <w:spacing w:line="360" w:lineRule="auto"/>
        <w:ind w:left="567" w:right="474" w:hanging="141"/>
        <w:jc w:val="both"/>
        <w:rPr>
          <w:rFonts w:ascii="Palatino Linotype" w:eastAsia="Palatino Linotype" w:hAnsi="Palatino Linotype" w:cs="Palatino Linotype"/>
        </w:rPr>
      </w:pPr>
      <w:r>
        <w:rPr>
          <w:rFonts w:ascii="Palatino Linotype" w:eastAsia="Palatino Linotype" w:hAnsi="Palatino Linotype" w:cs="Palatino Linotype"/>
        </w:rPr>
        <w:t xml:space="preserve">b) La integración del expediente a fin de ponerlo a disposición de las partes a efecto de que ofrecieran pruebas, el Sujeto Obligado rindiera el Informe Justificado, o bien la parte Recurrente emitiera sus manifestaciones y alegatos; y </w:t>
      </w:r>
    </w:p>
    <w:p w14:paraId="4FAAF3C4" w14:textId="77777777" w:rsidR="002C0B39" w:rsidRDefault="002C0B39">
      <w:pPr>
        <w:spacing w:line="360" w:lineRule="auto"/>
        <w:jc w:val="both"/>
        <w:rPr>
          <w:rFonts w:ascii="Palatino Linotype" w:eastAsia="Palatino Linotype" w:hAnsi="Palatino Linotype" w:cs="Palatino Linotype"/>
        </w:rPr>
      </w:pPr>
    </w:p>
    <w:p w14:paraId="6C5692EC"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seis de julio de dos mil veintitrés,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 través del archivo </w:t>
      </w:r>
      <w:r>
        <w:rPr>
          <w:rFonts w:ascii="Palatino Linotype" w:eastAsia="Palatino Linotype" w:hAnsi="Palatino Linotype" w:cs="Palatino Linotype"/>
          <w:i/>
          <w:color w:val="000000"/>
        </w:rPr>
        <w:t>355-2023_0001.pdf</w:t>
      </w:r>
      <w:r>
        <w:rPr>
          <w:rFonts w:ascii="Palatino Linotype" w:eastAsia="Palatino Linotype" w:hAnsi="Palatino Linotype" w:cs="Palatino Linotype"/>
          <w:color w:val="000000"/>
        </w:rPr>
        <w:t xml:space="preserve">, mismo que fue puesto a la vista el </w:t>
      </w:r>
      <w:r>
        <w:rPr>
          <w:rFonts w:ascii="Palatino Linotype" w:eastAsia="Palatino Linotype" w:hAnsi="Palatino Linotype" w:cs="Palatino Linotype"/>
          <w:b/>
          <w:color w:val="000000"/>
        </w:rPr>
        <w:t xml:space="preserve">veinte de diciembre de dos mil veintitrés, </w:t>
      </w:r>
      <w:r>
        <w:rPr>
          <w:rFonts w:ascii="Palatino Linotype" w:eastAsia="Palatino Linotype" w:hAnsi="Palatino Linotype" w:cs="Palatino Linotype"/>
          <w:color w:val="000000"/>
        </w:rPr>
        <w:t>rindió su informe justificado, confirmando su respuesta primigenia</w:t>
      </w:r>
    </w:p>
    <w:p w14:paraId="504F5714"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ECC711C"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 xml:space="preserve">diecisiete de julio de dos mil veintitrés </w:t>
      </w:r>
      <w:r>
        <w:rPr>
          <w:rFonts w:ascii="Palatino Linotype" w:eastAsia="Palatino Linotype" w:hAnsi="Palatino Linotype" w:cs="Palatino Linotype"/>
          <w:color w:val="000000"/>
        </w:rPr>
        <w:t xml:space="preserve">y </w:t>
      </w:r>
      <w:r>
        <w:rPr>
          <w:rFonts w:ascii="Palatino Linotype" w:eastAsia="Palatino Linotype" w:hAnsi="Palatino Linotype" w:cs="Palatino Linotype"/>
          <w:b/>
          <w:color w:val="000000"/>
        </w:rPr>
        <w:t xml:space="preserve">veintiuno de diciembre de dos mil veintitrés,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realizo manifestaciones a través de los archivos siguientes:</w:t>
      </w:r>
    </w:p>
    <w:p w14:paraId="541C06A7"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2381972" w14:textId="77777777" w:rsidR="002C0B39" w:rsidRDefault="003368C0">
      <w:pPr>
        <w:numPr>
          <w:ilvl w:val="1"/>
          <w:numId w:val="3"/>
        </w:numPr>
        <w:pBdr>
          <w:top w:val="nil"/>
          <w:left w:val="nil"/>
          <w:bottom w:val="nil"/>
          <w:right w:val="nil"/>
          <w:between w:val="nil"/>
        </w:pBdr>
        <w:spacing w:line="276" w:lineRule="auto"/>
        <w:ind w:left="851" w:right="332" w:hanging="284"/>
        <w:jc w:val="both"/>
        <w:rPr>
          <w:rFonts w:ascii="Palatino Linotype" w:eastAsia="Palatino Linotype" w:hAnsi="Palatino Linotype" w:cs="Palatino Linotype"/>
          <w:i/>
          <w:color w:val="000000"/>
        </w:rPr>
      </w:pPr>
      <w:hyperlink r:id="rId9">
        <w:r w:rsidR="00C8624E">
          <w:rPr>
            <w:rFonts w:ascii="Palatino Linotype" w:eastAsia="Palatino Linotype" w:hAnsi="Palatino Linotype" w:cs="Palatino Linotype"/>
            <w:i/>
            <w:color w:val="000000"/>
          </w:rPr>
          <w:t>NOTIF REC REV PRUEBAS Y ALEGATOS.pdf</w:t>
        </w:r>
      </w:hyperlink>
      <w:r w:rsidR="00C8624E">
        <w:rPr>
          <w:rFonts w:ascii="Palatino Linotype" w:eastAsia="Palatino Linotype" w:hAnsi="Palatino Linotype" w:cs="Palatino Linotype"/>
          <w:i/>
          <w:color w:val="000000"/>
        </w:rPr>
        <w:t xml:space="preserve">, </w:t>
      </w:r>
      <w:r w:rsidR="00C8624E">
        <w:rPr>
          <w:rFonts w:ascii="Palatino Linotype" w:eastAsia="Palatino Linotype" w:hAnsi="Palatino Linotype" w:cs="Palatino Linotype"/>
          <w:color w:val="000000"/>
        </w:rPr>
        <w:t>del que se desprende el correo con “</w:t>
      </w:r>
      <w:r w:rsidR="00C8624E">
        <w:rPr>
          <w:rFonts w:ascii="Palatino Linotype" w:eastAsia="Palatino Linotype" w:hAnsi="Palatino Linotype" w:cs="Palatino Linotype"/>
          <w:i/>
          <w:color w:val="000000"/>
        </w:rPr>
        <w:t xml:space="preserve">Respuesta Solicitud de Información Pública con Folio 00056/IFR/IP/2023, </w:t>
      </w:r>
      <w:r w:rsidR="00C8624E">
        <w:rPr>
          <w:rFonts w:ascii="Palatino Linotype" w:eastAsia="Palatino Linotype" w:hAnsi="Palatino Linotype" w:cs="Palatino Linotype"/>
          <w:color w:val="000000"/>
        </w:rPr>
        <w:t xml:space="preserve">la notificación del cambio de estatus a: </w:t>
      </w:r>
      <w:r w:rsidR="00C8624E">
        <w:rPr>
          <w:rFonts w:ascii="Palatino Linotype" w:eastAsia="Palatino Linotype" w:hAnsi="Palatino Linotype" w:cs="Palatino Linotype"/>
          <w:i/>
          <w:color w:val="000000"/>
        </w:rPr>
        <w:t xml:space="preserve">“Respuesta a la solicitud notificada” </w:t>
      </w:r>
      <w:r w:rsidR="00C8624E">
        <w:rPr>
          <w:rFonts w:ascii="Palatino Linotype" w:eastAsia="Palatino Linotype" w:hAnsi="Palatino Linotype" w:cs="Palatino Linotype"/>
          <w:color w:val="000000"/>
        </w:rPr>
        <w:t>y recurso de revisión del que se aprecian razones y motivos de inconformidad y pruebas</w:t>
      </w:r>
    </w:p>
    <w:p w14:paraId="4D351004" w14:textId="77777777" w:rsidR="002C0B39" w:rsidRDefault="002C0B39">
      <w:pPr>
        <w:pBdr>
          <w:top w:val="nil"/>
          <w:left w:val="nil"/>
          <w:bottom w:val="nil"/>
          <w:right w:val="nil"/>
          <w:between w:val="nil"/>
        </w:pBdr>
        <w:spacing w:line="276" w:lineRule="auto"/>
        <w:ind w:left="851" w:right="332" w:hanging="284"/>
        <w:rPr>
          <w:rFonts w:ascii="Palatino Linotype" w:eastAsia="Palatino Linotype" w:hAnsi="Palatino Linotype" w:cs="Palatino Linotype"/>
          <w:i/>
          <w:color w:val="000000"/>
        </w:rPr>
      </w:pPr>
    </w:p>
    <w:p w14:paraId="07B44EFC" w14:textId="77777777" w:rsidR="002C0B39" w:rsidRDefault="00C8624E">
      <w:pPr>
        <w:numPr>
          <w:ilvl w:val="1"/>
          <w:numId w:val="3"/>
        </w:numPr>
        <w:pBdr>
          <w:top w:val="nil"/>
          <w:left w:val="nil"/>
          <w:bottom w:val="nil"/>
          <w:right w:val="nil"/>
          <w:between w:val="nil"/>
        </w:pBdr>
        <w:spacing w:line="276" w:lineRule="auto"/>
        <w:ind w:left="851" w:right="332" w:hanging="28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Desahogo Inf Jus.docx: </w:t>
      </w:r>
      <w:r>
        <w:rPr>
          <w:rFonts w:ascii="Palatino Linotype" w:eastAsia="Palatino Linotype" w:hAnsi="Palatino Linotype" w:cs="Palatino Linotype"/>
          <w:color w:val="000000"/>
        </w:rPr>
        <w:t>Del que se desprende recurso de revisión con asunto: “</w:t>
      </w:r>
      <w:r>
        <w:rPr>
          <w:rFonts w:ascii="Palatino Linotype" w:eastAsia="Palatino Linotype" w:hAnsi="Palatino Linotype" w:cs="Palatino Linotype"/>
          <w:i/>
          <w:color w:val="000000"/>
        </w:rPr>
        <w:t>se desahoga vista con informe justificado”</w:t>
      </w:r>
    </w:p>
    <w:p w14:paraId="2B46D1BF" w14:textId="77777777" w:rsidR="002C0B39" w:rsidRDefault="002C0B39">
      <w:pPr>
        <w:spacing w:line="360" w:lineRule="auto"/>
        <w:jc w:val="both"/>
        <w:rPr>
          <w:rFonts w:ascii="Palatino Linotype" w:eastAsia="Palatino Linotype" w:hAnsi="Palatino Linotype" w:cs="Palatino Linotype"/>
        </w:rPr>
      </w:pPr>
    </w:p>
    <w:p w14:paraId="56E948B4"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Ampliación del término para resolver</w:t>
      </w:r>
      <w:r>
        <w:rPr>
          <w:rFonts w:ascii="Palatino Linotype" w:eastAsia="Palatino Linotype" w:hAnsi="Palatino Linotype" w:cs="Palatino Linotype"/>
          <w:color w:val="000000"/>
        </w:rPr>
        <w:t xml:space="preserve">. En fecha </w:t>
      </w:r>
      <w:r>
        <w:rPr>
          <w:rFonts w:ascii="Palatino Linotype" w:eastAsia="Palatino Linotype" w:hAnsi="Palatino Linotype" w:cs="Palatino Linotype"/>
          <w:b/>
          <w:color w:val="000000"/>
        </w:rPr>
        <w:t>once de octubre del año en curso</w:t>
      </w:r>
      <w:r>
        <w:rPr>
          <w:rFonts w:ascii="Palatino Linotype" w:eastAsia="Palatino Linotype" w:hAnsi="Palatino Linotype" w:cs="Palatino Linotype"/>
          <w:color w:val="000000"/>
        </w:rPr>
        <w:t xml:space="preserve">, se amplió el término para resolver el Recurso de Revisión en términos del artículo 133 de la Ley de Protección de Datos Personales en Posesión de Sujetos Obligados del Estado de México y Municipios. </w:t>
      </w:r>
    </w:p>
    <w:p w14:paraId="4E9703B2" w14:textId="77777777" w:rsidR="002C0B39" w:rsidRDefault="002C0B39">
      <w:pPr>
        <w:spacing w:line="360" w:lineRule="auto"/>
        <w:jc w:val="both"/>
        <w:rPr>
          <w:rFonts w:ascii="Palatino Linotype" w:eastAsia="Palatino Linotype" w:hAnsi="Palatino Linotype" w:cs="Palatino Linotype"/>
        </w:rPr>
      </w:pPr>
    </w:p>
    <w:p w14:paraId="1275A97F"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46F41AD8" w14:textId="77777777" w:rsidR="002C0B39" w:rsidRDefault="002C0B39">
      <w:pPr>
        <w:spacing w:line="360" w:lineRule="auto"/>
        <w:jc w:val="both"/>
        <w:rPr>
          <w:rFonts w:ascii="Palatino Linotype" w:eastAsia="Palatino Linotype" w:hAnsi="Palatino Linotype" w:cs="Palatino Linotype"/>
        </w:rPr>
      </w:pPr>
    </w:p>
    <w:p w14:paraId="1DB6A2AB"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w:t>
      </w:r>
      <w:r>
        <w:rPr>
          <w:rFonts w:ascii="Palatino Linotype" w:eastAsia="Palatino Linotype" w:hAnsi="Palatino Linotype" w:cs="Palatino Linotype"/>
          <w:color w:val="000000"/>
        </w:rPr>
        <w:lastRenderedPageBreak/>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028B3791" w14:textId="77777777" w:rsidR="002C0B39" w:rsidRDefault="002C0B39">
      <w:pPr>
        <w:spacing w:line="360" w:lineRule="auto"/>
        <w:jc w:val="both"/>
        <w:rPr>
          <w:rFonts w:ascii="Palatino Linotype" w:eastAsia="Palatino Linotype" w:hAnsi="Palatino Linotype" w:cs="Palatino Linotype"/>
        </w:rPr>
      </w:pPr>
    </w:p>
    <w:p w14:paraId="31DF670E"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62815276" w14:textId="77777777" w:rsidR="002C0B39" w:rsidRDefault="002C0B39">
      <w:pPr>
        <w:pBdr>
          <w:top w:val="nil"/>
          <w:left w:val="nil"/>
          <w:bottom w:val="nil"/>
          <w:right w:val="nil"/>
          <w:between w:val="nil"/>
        </w:pBdr>
        <w:ind w:left="720"/>
        <w:rPr>
          <w:rFonts w:ascii="Palatino Linotype" w:eastAsia="Palatino Linotype" w:hAnsi="Palatino Linotype" w:cs="Palatino Linotype"/>
          <w:color w:val="000000"/>
        </w:rPr>
      </w:pPr>
    </w:p>
    <w:p w14:paraId="16456990"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FEF73FA"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4146A4"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033FCF22" w14:textId="77777777" w:rsidR="002C0B39" w:rsidRDefault="002C0B39">
      <w:pPr>
        <w:spacing w:line="360" w:lineRule="auto"/>
        <w:jc w:val="both"/>
        <w:rPr>
          <w:rFonts w:ascii="Palatino Linotype" w:eastAsia="Palatino Linotype" w:hAnsi="Palatino Linotype" w:cs="Palatino Linotype"/>
        </w:rPr>
      </w:pPr>
    </w:p>
    <w:p w14:paraId="41F9FEC1" w14:textId="77777777" w:rsidR="002C0B39" w:rsidRDefault="00C8624E">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2EAEFCD2" w14:textId="77777777" w:rsidR="002C0B39" w:rsidRDefault="002C0B39">
      <w:pPr>
        <w:spacing w:line="360" w:lineRule="auto"/>
        <w:ind w:left="720"/>
        <w:jc w:val="both"/>
        <w:rPr>
          <w:rFonts w:ascii="Palatino Linotype" w:eastAsia="Palatino Linotype" w:hAnsi="Palatino Linotype" w:cs="Palatino Linotype"/>
        </w:rPr>
      </w:pPr>
    </w:p>
    <w:p w14:paraId="0A25D271" w14:textId="77777777" w:rsidR="002C0B39" w:rsidRDefault="00C8624E">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b) Actividad Procesal del interesado. Acciones u omisiones del interesado.</w:t>
      </w:r>
    </w:p>
    <w:p w14:paraId="6806FDD5" w14:textId="77777777" w:rsidR="002C0B39" w:rsidRDefault="002C0B39">
      <w:pPr>
        <w:spacing w:line="360" w:lineRule="auto"/>
        <w:ind w:left="720"/>
        <w:jc w:val="both"/>
        <w:rPr>
          <w:rFonts w:ascii="Palatino Linotype" w:eastAsia="Palatino Linotype" w:hAnsi="Palatino Linotype" w:cs="Palatino Linotype"/>
        </w:rPr>
      </w:pPr>
    </w:p>
    <w:p w14:paraId="6F44CAD7" w14:textId="77777777" w:rsidR="002C0B39" w:rsidRDefault="00C8624E">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c) Conducta de la Autoridad: Las Acciones u omisiones realizadas en el procedimiento. Así como si la autoridad actuó con la debida diligencia. </w:t>
      </w:r>
    </w:p>
    <w:p w14:paraId="3D267A9D" w14:textId="77777777" w:rsidR="002C0B39" w:rsidRDefault="002C0B39">
      <w:pPr>
        <w:spacing w:line="360" w:lineRule="auto"/>
        <w:ind w:left="720"/>
        <w:jc w:val="both"/>
        <w:rPr>
          <w:rFonts w:ascii="Palatino Linotype" w:eastAsia="Palatino Linotype" w:hAnsi="Palatino Linotype" w:cs="Palatino Linotype"/>
        </w:rPr>
      </w:pPr>
    </w:p>
    <w:p w14:paraId="083AB114" w14:textId="77777777" w:rsidR="002C0B39" w:rsidRDefault="00C8624E">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d) La afectación generada en la situación jurídica de la persona involucrada en el proceso: Violación a sus derechos humanos. </w:t>
      </w:r>
    </w:p>
    <w:p w14:paraId="4EA81026" w14:textId="77777777" w:rsidR="002C0B39" w:rsidRDefault="002C0B39">
      <w:pPr>
        <w:spacing w:line="360" w:lineRule="auto"/>
        <w:jc w:val="both"/>
        <w:rPr>
          <w:rFonts w:ascii="Palatino Linotype" w:eastAsia="Palatino Linotype" w:hAnsi="Palatino Linotype" w:cs="Palatino Linotype"/>
        </w:rPr>
      </w:pPr>
    </w:p>
    <w:p w14:paraId="20807160"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7A8A351B" w14:textId="77777777" w:rsidR="002C0B39" w:rsidRDefault="002C0B39">
      <w:pPr>
        <w:spacing w:line="360" w:lineRule="auto"/>
        <w:jc w:val="both"/>
        <w:rPr>
          <w:rFonts w:ascii="Palatino Linotype" w:eastAsia="Palatino Linotype" w:hAnsi="Palatino Linotype" w:cs="Palatino Linotype"/>
        </w:rPr>
      </w:pPr>
    </w:p>
    <w:p w14:paraId="232446B8"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41B9C8B3" w14:textId="77777777" w:rsidR="002C0B39" w:rsidRDefault="002C0B39">
      <w:pPr>
        <w:spacing w:line="360" w:lineRule="auto"/>
        <w:jc w:val="both"/>
        <w:rPr>
          <w:rFonts w:ascii="Palatino Linotype" w:eastAsia="Palatino Linotype" w:hAnsi="Palatino Linotype" w:cs="Palatino Linotype"/>
        </w:rPr>
      </w:pPr>
    </w:p>
    <w:p w14:paraId="0F555C4A"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Pr>
          <w:rFonts w:ascii="Palatino Linotype" w:eastAsia="Palatino Linotype" w:hAnsi="Palatino Linotype" w:cs="Palatino Linotype"/>
          <w:color w:val="000000"/>
        </w:rPr>
        <w:lastRenderedPageBreak/>
        <w:t xml:space="preserve">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8C22D84" w14:textId="77777777" w:rsidR="002C0B39" w:rsidRDefault="002C0B39">
      <w:pPr>
        <w:spacing w:line="360" w:lineRule="auto"/>
        <w:jc w:val="both"/>
        <w:rPr>
          <w:rFonts w:ascii="Palatino Linotype" w:eastAsia="Palatino Linotype" w:hAnsi="Palatino Linotype" w:cs="Palatino Linotype"/>
        </w:rPr>
      </w:pPr>
    </w:p>
    <w:p w14:paraId="2C59085B"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también son de considerar los criterios sostenidos por el Cuarto Tribunal Colegiado en Materia Administrativa del Primer Circuito, cuyos rubros y datos de identificación son los siguientes: </w:t>
      </w:r>
    </w:p>
    <w:p w14:paraId="6EA25802" w14:textId="77777777" w:rsidR="002C0B39" w:rsidRDefault="002C0B39">
      <w:pPr>
        <w:spacing w:line="360" w:lineRule="auto"/>
        <w:jc w:val="both"/>
        <w:rPr>
          <w:rFonts w:ascii="Palatino Linotype" w:eastAsia="Palatino Linotype" w:hAnsi="Palatino Linotype" w:cs="Palatino Linotype"/>
        </w:rPr>
      </w:pPr>
    </w:p>
    <w:p w14:paraId="65173378" w14:textId="77777777" w:rsidR="002C0B39" w:rsidRDefault="00C8624E">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“PLAZO RAZONABLE PARA RESOLVER. DIMENSIÓN Y EFECTOS DE ESTE CONCEPTO CUANDO SE ADUCE EXCESIVA CARGA DE TRABAJO.” consultable en el Seminario Judicial de la Federación y su gaceta, con el registro digital 2002351. </w:t>
      </w:r>
    </w:p>
    <w:p w14:paraId="461E6E6A" w14:textId="77777777" w:rsidR="002C0B39" w:rsidRDefault="002C0B39">
      <w:pPr>
        <w:spacing w:line="276" w:lineRule="auto"/>
        <w:ind w:left="567" w:right="616"/>
        <w:jc w:val="both"/>
        <w:rPr>
          <w:rFonts w:ascii="Palatino Linotype" w:eastAsia="Palatino Linotype" w:hAnsi="Palatino Linotype" w:cs="Palatino Linotype"/>
          <w:i/>
        </w:rPr>
      </w:pPr>
    </w:p>
    <w:p w14:paraId="187EC0F6" w14:textId="77777777" w:rsidR="002C0B39" w:rsidRDefault="00C8624E">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14:paraId="51BD58C9" w14:textId="77777777" w:rsidR="002C0B39" w:rsidRDefault="002C0B39">
      <w:pPr>
        <w:spacing w:line="360" w:lineRule="auto"/>
        <w:jc w:val="both"/>
        <w:rPr>
          <w:rFonts w:ascii="Palatino Linotype" w:eastAsia="Palatino Linotype" w:hAnsi="Palatino Linotype" w:cs="Palatino Linotype"/>
        </w:rPr>
      </w:pPr>
    </w:p>
    <w:p w14:paraId="6803F26E"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7A7856E0"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5A9C54F"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once de septiembre de dos mil veinticuatro, </w:t>
      </w:r>
      <w:r>
        <w:rPr>
          <w:rFonts w:ascii="Palatino Linotype" w:eastAsia="Palatino Linotype" w:hAnsi="Palatino Linotype" w:cs="Palatino Linotype"/>
          <w:color w:val="000000"/>
        </w:rPr>
        <w:t xml:space="preserve">la Ponencia Resolutora, en atención a la naturaleza del asunto, previno 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a efecto de que en un plazo </w:t>
      </w:r>
      <w:r>
        <w:rPr>
          <w:rFonts w:ascii="Palatino Linotype" w:eastAsia="Palatino Linotype" w:hAnsi="Palatino Linotype" w:cs="Palatino Linotype"/>
          <w:color w:val="000000"/>
        </w:rPr>
        <w:lastRenderedPageBreak/>
        <w:t>máximo de cinco días hábiles contados a partir del día siguiente de la notificación del Acuerdo, subsanara la omisión de acreditar su personalidad como titular de los datos personales de los que desea tener acceso, remitiendo dicha información a través del SAIMEX</w:t>
      </w:r>
    </w:p>
    <w:p w14:paraId="0D03644F" w14:textId="77777777" w:rsidR="002C0B39" w:rsidRDefault="002C0B39">
      <w:pPr>
        <w:pBdr>
          <w:top w:val="nil"/>
          <w:left w:val="nil"/>
          <w:bottom w:val="nil"/>
          <w:right w:val="nil"/>
          <w:between w:val="nil"/>
        </w:pBdr>
        <w:ind w:left="720"/>
        <w:rPr>
          <w:rFonts w:ascii="Palatino Linotype" w:eastAsia="Palatino Linotype" w:hAnsi="Palatino Linotype" w:cs="Palatino Linotype"/>
          <w:b/>
          <w:color w:val="000000"/>
        </w:rPr>
      </w:pPr>
    </w:p>
    <w:p w14:paraId="562BE0DF"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6C5EB15D"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dieciséis de septiembre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remitió el archivo </w:t>
      </w:r>
      <w:r>
        <w:rPr>
          <w:rFonts w:ascii="Palatino Linotype" w:eastAsia="Palatino Linotype" w:hAnsi="Palatino Linotype" w:cs="Palatino Linotype"/>
          <w:i/>
          <w:color w:val="000000"/>
        </w:rPr>
        <w:t xml:space="preserve">CamScanner 16-09-2024 14.25, </w:t>
      </w:r>
      <w:r>
        <w:rPr>
          <w:rFonts w:ascii="Palatino Linotype" w:eastAsia="Palatino Linotype" w:hAnsi="Palatino Linotype" w:cs="Palatino Linotype"/>
          <w:color w:val="000000"/>
        </w:rPr>
        <w:t>por medio del cual desahogó la prevención que se realizó, sin embargo, fue omiso en acreditar su interés jurídico sobre los cuales se pretende ejercer el Derecho de acceso a datos personales; 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al no existir diligencias pendientes por desahogar, se emitió el acuerdo  de </w:t>
      </w:r>
      <w:r>
        <w:rPr>
          <w:rFonts w:ascii="Palatino Linotype" w:eastAsia="Palatino Linotype" w:hAnsi="Palatino Linotype" w:cs="Palatino Linotype"/>
          <w:b/>
          <w:color w:val="000000"/>
        </w:rPr>
        <w:t xml:space="preserve">diecisiete de septiembre de dos mil veinticuatro, </w:t>
      </w:r>
      <w:r>
        <w:rPr>
          <w:rFonts w:ascii="Palatino Linotype" w:eastAsia="Palatino Linotype" w:hAnsi="Palatino Linotype" w:cs="Palatino Linotype"/>
          <w:color w:val="000000"/>
        </w:rPr>
        <w:t>por medio del cual se declaró cerrada la instrucción y se determinó pasar el expediente a resolución, en términos del artículo 185 fracción VI de la Ley de Transparencia y Acceso a la Información Pública del Estado de México y Municipios, iniciando el término legal para dictar resolución definitiva del asunto.</w:t>
      </w:r>
    </w:p>
    <w:p w14:paraId="07C71B46" w14:textId="77777777" w:rsidR="002C0B39" w:rsidRDefault="002C0B39">
      <w:pPr>
        <w:spacing w:line="360" w:lineRule="auto"/>
        <w:jc w:val="both"/>
        <w:rPr>
          <w:rFonts w:ascii="Palatino Linotype" w:eastAsia="Palatino Linotype" w:hAnsi="Palatino Linotype" w:cs="Palatino Linotype"/>
        </w:rPr>
      </w:pPr>
    </w:p>
    <w:p w14:paraId="7C6E01DA"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los siguientes:</w:t>
      </w:r>
    </w:p>
    <w:p w14:paraId="2349F598" w14:textId="77777777" w:rsidR="002C0B39" w:rsidRDefault="002C0B39">
      <w:pPr>
        <w:pBdr>
          <w:top w:val="nil"/>
          <w:left w:val="nil"/>
          <w:bottom w:val="nil"/>
          <w:right w:val="nil"/>
          <w:between w:val="nil"/>
        </w:pBdr>
        <w:ind w:left="720"/>
        <w:rPr>
          <w:rFonts w:ascii="Palatino Linotype" w:eastAsia="Palatino Linotype" w:hAnsi="Palatino Linotype" w:cs="Palatino Linotype"/>
          <w:color w:val="000000"/>
        </w:rPr>
      </w:pPr>
    </w:p>
    <w:p w14:paraId="675F832F" w14:textId="77777777" w:rsidR="002C0B39" w:rsidRDefault="00C8624E">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C O N S I D E R A N D O S</w:t>
      </w:r>
    </w:p>
    <w:p w14:paraId="5638A067" w14:textId="77777777" w:rsidR="002C0B39" w:rsidRDefault="002C0B3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56E72B2"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Primero. Competencia.</w:t>
      </w:r>
      <w:r>
        <w:rPr>
          <w:rFonts w:ascii="Palatino Linotype" w:eastAsia="Palatino Linotype" w:hAnsi="Palatino Linotype" w:cs="Palatino Linotype"/>
          <w:color w:val="000000"/>
        </w:rPr>
        <w:t xml:space="preserve"> El Instituto de Transparencia, Acceso a la Información Pública y Protección de Datos Personales del Estado de México y Municipios, es competente para conocer y resolver el presente recurso de revisión interpuesto por la </w:t>
      </w:r>
      <w:r>
        <w:rPr>
          <w:rFonts w:ascii="Palatino Linotype" w:eastAsia="Palatino Linotype" w:hAnsi="Palatino Linotype" w:cs="Palatino Linotype"/>
          <w:color w:val="000000"/>
        </w:rPr>
        <w:lastRenderedPageBreak/>
        <w:t>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09330A5B"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62109EC"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Segundo. Oportunidad y procedencia.</w:t>
      </w:r>
      <w:r>
        <w:rPr>
          <w:rFonts w:ascii="Palatino Linotype" w:eastAsia="Palatino Linotype" w:hAnsi="Palatino Linotype" w:cs="Palatino Linotype"/>
          <w:color w:val="000000"/>
        </w:rPr>
        <w:t xml:space="preserve"> </w:t>
      </w:r>
    </w:p>
    <w:p w14:paraId="3C865370"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83BCC14"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nueve de junio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de dos mil veintitrés</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once de junio al dos de julio de dos mil veintitrés</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w:t>
      </w:r>
      <w:r>
        <w:rPr>
          <w:rFonts w:ascii="Palatino Linotype" w:eastAsia="Palatino Linotype" w:hAnsi="Palatino Linotype" w:cs="Palatino Linotype"/>
          <w:color w:val="000000"/>
        </w:rPr>
        <w:lastRenderedPageBreak/>
        <w:t xml:space="preserve">inconformidad el día </w:t>
      </w:r>
      <w:r>
        <w:rPr>
          <w:rFonts w:ascii="Palatino Linotype" w:eastAsia="Palatino Linotype" w:hAnsi="Palatino Linotype" w:cs="Palatino Linotype"/>
          <w:b/>
          <w:color w:val="000000"/>
        </w:rPr>
        <w:t>veintiséis de junio de dos mil veintitrés</w:t>
      </w:r>
      <w:r>
        <w:rPr>
          <w:rFonts w:ascii="Palatino Linotype" w:eastAsia="Palatino Linotype" w:hAnsi="Palatino Linotype" w:cs="Palatino Linotype"/>
          <w:color w:val="000000"/>
        </w:rPr>
        <w:t>; por lo que se estima que la inconformidad se presentó dentro del lapso legalmente establecido para tal efecto.</w:t>
      </w:r>
    </w:p>
    <w:p w14:paraId="7910CD51" w14:textId="77777777" w:rsidR="002C0B39" w:rsidRDefault="002C0B39">
      <w:pPr>
        <w:spacing w:line="360" w:lineRule="auto"/>
        <w:jc w:val="both"/>
        <w:rPr>
          <w:rFonts w:ascii="Palatino Linotype" w:eastAsia="Palatino Linotype" w:hAnsi="Palatino Linotype" w:cs="Palatino Linotype"/>
        </w:rPr>
      </w:pPr>
    </w:p>
    <w:p w14:paraId="14A18328"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Tercero. Análisis de las causales de improcedencia y sobreseimiento del recurso de revisión. </w:t>
      </w:r>
      <w:r>
        <w:rPr>
          <w:rFonts w:ascii="Palatino Linotype" w:eastAsia="Palatino Linotype" w:hAnsi="Palatino Linotype" w:cs="Palatino Linotype"/>
          <w:color w:val="000000"/>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13314A35" w14:textId="77777777" w:rsidR="002C0B39" w:rsidRDefault="002C0B39">
      <w:pPr>
        <w:spacing w:line="360" w:lineRule="auto"/>
        <w:ind w:right="51"/>
        <w:jc w:val="both"/>
        <w:rPr>
          <w:rFonts w:ascii="Palatino Linotype" w:eastAsia="Palatino Linotype" w:hAnsi="Palatino Linotype" w:cs="Palatino Linotype"/>
        </w:rPr>
      </w:pPr>
    </w:p>
    <w:p w14:paraId="64F8A154"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3151F7B2" w14:textId="77777777" w:rsidR="002C0B39" w:rsidRDefault="002C0B39">
      <w:pPr>
        <w:spacing w:line="360" w:lineRule="auto"/>
        <w:jc w:val="both"/>
        <w:rPr>
          <w:rFonts w:ascii="Palatino Linotype" w:eastAsia="Palatino Linotype" w:hAnsi="Palatino Linotype" w:cs="Palatino Linotype"/>
        </w:rPr>
      </w:pPr>
    </w:p>
    <w:p w14:paraId="30983BE2"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5B3E2D3C" w14:textId="77777777" w:rsidR="002C0B39" w:rsidRDefault="002C0B39">
      <w:pPr>
        <w:spacing w:line="360" w:lineRule="auto"/>
        <w:jc w:val="both"/>
        <w:rPr>
          <w:rFonts w:ascii="Palatino Linotype" w:eastAsia="Palatino Linotype" w:hAnsi="Palatino Linotype" w:cs="Palatino Linotype"/>
        </w:rPr>
      </w:pPr>
    </w:p>
    <w:p w14:paraId="7B5A325B"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se tiene que el ahora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solicito a través del SAIMEX, los siguiente: </w:t>
      </w:r>
      <w:r>
        <w:rPr>
          <w:rFonts w:ascii="Palatino Linotype" w:eastAsia="Palatino Linotype" w:hAnsi="Palatino Linotype" w:cs="Palatino Linotype"/>
          <w:i/>
          <w:color w:val="000000"/>
        </w:rPr>
        <w:t xml:space="preserve">“EN VERSION ELECTRONICA, FOTOGRAFICA (NITIDA) O DIGITALIZADA EL PLANO DE LA ESCRITURA PÚBLICA 11941, VOLUMEN 000II (302), DE FECHA 2 DE ABRIL DE 1992, OTORGADA ANTE LA FE DEL NOTARIO 3, DEL DISTRITO JUDICIAL DE CUAUTITLAN, ESTADO DE MEXICO, LIC. AXELL GARCIA AGUILERA, INSCRITA DE LA PARTIDA 307 A 339, DEL VOLUMEN 280, LIBRO PRIMERO, SECCIÓN PRIMERA, DE FECHA 8 DE MAYO DE 1992, RELATIVA AL REGIMEN DE PROPIEDAD EN CONDOMINIO SOBRE EL INMUEBLE IDENTIFICADO COMO LOTE "A" REMANENTE UNO, UBICADO EN TERMINOS DE LOS DISTRITOS H-01 Y H-11 DEL FRACCIONAMIENTO CUAUTITLAN IZCALLI, MUNICIPIO DEL MISMO NOMBRE, ESTADO DE MEXICO, MISMO PLANO QUE </w:t>
      </w:r>
      <w:r>
        <w:rPr>
          <w:rFonts w:ascii="Palatino Linotype" w:eastAsia="Palatino Linotype" w:hAnsi="Palatino Linotype" w:cs="Palatino Linotype"/>
          <w:i/>
          <w:color w:val="000000"/>
        </w:rPr>
        <w:lastRenderedPageBreak/>
        <w:t>OBRA RESGUARDADO EN EL ARCHIVO GENERAL DE NOTARIAS DEPENDIENTE DEL SUJETO OBLIGADO Y QUE FUE PUESTO A LA VISTA DEL SUSCRITO.”</w:t>
      </w:r>
    </w:p>
    <w:p w14:paraId="4E4ACBE9" w14:textId="77777777" w:rsidR="002C0B39" w:rsidRDefault="002C0B39">
      <w:pPr>
        <w:spacing w:line="360" w:lineRule="auto"/>
        <w:jc w:val="both"/>
        <w:rPr>
          <w:rFonts w:ascii="Palatino Linotype" w:eastAsia="Palatino Linotype" w:hAnsi="Palatino Linotype" w:cs="Palatino Linotype"/>
        </w:rPr>
      </w:pPr>
    </w:p>
    <w:p w14:paraId="267D976B"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por medio del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oficio de </w:t>
      </w:r>
      <w:r>
        <w:rPr>
          <w:rFonts w:ascii="Palatino Linotype" w:eastAsia="Palatino Linotype" w:hAnsi="Palatino Linotype" w:cs="Palatino Linotype"/>
          <w:b/>
          <w:color w:val="000000"/>
        </w:rPr>
        <w:t>nueve de junio de dos mil veintitrés</w:t>
      </w:r>
      <w:r>
        <w:rPr>
          <w:rFonts w:ascii="Palatino Linotype" w:eastAsia="Palatino Linotype" w:hAnsi="Palatino Linotype" w:cs="Palatino Linotype"/>
          <w:color w:val="000000"/>
        </w:rPr>
        <w:t xml:space="preserve">, le solicitó al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que aclarara los datos del instrumento que solicita y que acreditara el interés jurídico, “</w:t>
      </w:r>
      <w:r>
        <w:rPr>
          <w:rFonts w:ascii="Palatino Linotype" w:eastAsia="Palatino Linotype" w:hAnsi="Palatino Linotype" w:cs="Palatino Linotype"/>
          <w:i/>
          <w:color w:val="000000"/>
        </w:rPr>
        <w:t>ya sea como interesado, o a acreditar haber intervenido en el acto notarial, ser albacea o heredero o se trate de algún antecedente de su escritura según sea el caso con el nombramiento de albacea o la simple copia certificada del acta de defunción en caso de ser solicitud de testamento con una identificación oficial (INE o pasaporte vigente). Es su defecto mediante un poder notarial si se trata de un tercero solicitante…”</w:t>
      </w:r>
    </w:p>
    <w:p w14:paraId="3B269B52"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 vez conocida la respuesta por la persona solicitante, ésta presentó el recurso de revisión que se resuelve, donde se agravió en lo medular porque no está de acuerdo con la respuesta emitida.</w:t>
      </w:r>
    </w:p>
    <w:p w14:paraId="53215C26"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D902F5"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atención a ello, mediante informe justificado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ratificó en lo sustancial la respuesta emitida en primera instancia, en tanto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rPr>
        <w:t>realizó</w:t>
      </w:r>
      <w:r>
        <w:rPr>
          <w:rFonts w:ascii="Palatino Linotype" w:eastAsia="Palatino Linotype" w:hAnsi="Palatino Linotype" w:cs="Palatino Linotype"/>
          <w:color w:val="000000"/>
        </w:rPr>
        <w:t xml:space="preserve"> un aserie de manifestaciones sin acreditar el interés jurídico dentro del asunto que nos ocupa.</w:t>
      </w:r>
    </w:p>
    <w:p w14:paraId="3D535316" w14:textId="77777777" w:rsidR="002C0B39" w:rsidRDefault="002C0B39">
      <w:pPr>
        <w:rPr>
          <w:rFonts w:ascii="Palatino Linotype" w:eastAsia="Palatino Linotype" w:hAnsi="Palatino Linotype" w:cs="Palatino Linotype"/>
        </w:rPr>
      </w:pPr>
    </w:p>
    <w:p w14:paraId="40A743EA"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la Ley de Protección de Datos Personales en Posesión de Sujetos Obligados del Estado de México y Municipios, señala lo siguiente:</w:t>
      </w:r>
    </w:p>
    <w:p w14:paraId="6BE54870" w14:textId="77777777" w:rsidR="002C0B39" w:rsidRDefault="002C0B39">
      <w:pPr>
        <w:pBdr>
          <w:top w:val="nil"/>
          <w:left w:val="nil"/>
          <w:bottom w:val="nil"/>
          <w:right w:val="nil"/>
          <w:between w:val="nil"/>
        </w:pBdr>
        <w:ind w:left="720"/>
        <w:rPr>
          <w:rFonts w:ascii="Palatino Linotype" w:eastAsia="Palatino Linotype" w:hAnsi="Palatino Linotype" w:cs="Palatino Linotype"/>
          <w:color w:val="000000"/>
        </w:rPr>
      </w:pPr>
    </w:p>
    <w:p w14:paraId="5618E81F" w14:textId="77777777" w:rsidR="002C0B39" w:rsidRDefault="00C8624E">
      <w:pPr>
        <w:pBdr>
          <w:top w:val="nil"/>
          <w:left w:val="nil"/>
          <w:bottom w:val="nil"/>
          <w:right w:val="nil"/>
          <w:between w:val="nil"/>
        </w:pBdr>
        <w:spacing w:line="360" w:lineRule="auto"/>
        <w:ind w:left="709" w:right="474"/>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Incompetencia y Reconducción de Vía </w:t>
      </w:r>
    </w:p>
    <w:p w14:paraId="148DDBC9" w14:textId="77777777" w:rsidR="002C0B39" w:rsidRDefault="00C8624E">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Artículo 112. Cuando el responsable no sea competente para atender la solicitud para el ejercicio de derechos ARCO, deberá hacer del conocimiento del titular dicha situación dentro de los tres días siguientes a la presentación de la solicitud y en caso de poderlo determinar, orientarlo hacia el responsable competente.</w:t>
      </w:r>
    </w:p>
    <w:p w14:paraId="21355E6D" w14:textId="77777777" w:rsidR="002C0B39" w:rsidRDefault="002C0B39">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p>
    <w:p w14:paraId="17743C1D" w14:textId="77777777" w:rsidR="002C0B39" w:rsidRDefault="00C8624E">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En caso que el responsable advierta que la solicitud para el ejercicio de derechos ARCO corresponda a un derecho diferente de los previstos en la presente Ley, deberá reconducir la vía haciéndolo del conocimiento al titular en el plazo previsto en el primer párrafo.</w:t>
      </w:r>
    </w:p>
    <w:p w14:paraId="6132E712"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D782C4"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6" w:name="_heading=h.1fob9te" w:colFirst="0" w:colLast="0"/>
      <w:bookmarkEnd w:id="6"/>
      <w:r>
        <w:rPr>
          <w:rFonts w:ascii="Palatino Linotype" w:eastAsia="Palatino Linotype" w:hAnsi="Palatino Linotype" w:cs="Palatino Linotype"/>
          <w:color w:val="000000"/>
        </w:rPr>
        <w:t xml:space="preserve">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que es del tenor literal siguiente:</w:t>
      </w:r>
    </w:p>
    <w:p w14:paraId="7EC08240"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rPr>
      </w:pPr>
    </w:p>
    <w:p w14:paraId="3A51C491" w14:textId="77777777" w:rsidR="002C0B39" w:rsidRDefault="00C8624E">
      <w:pPr>
        <w:pBdr>
          <w:top w:val="nil"/>
          <w:left w:val="nil"/>
          <w:bottom w:val="nil"/>
          <w:right w:val="nil"/>
          <w:between w:val="nil"/>
        </w:pBdr>
        <w:ind w:left="851" w:right="61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106</w:t>
      </w:r>
      <w:r>
        <w:rPr>
          <w:rFonts w:ascii="Palatino Linotype" w:eastAsia="Palatino Linotype" w:hAnsi="Palatino Linotype" w:cs="Palatino Linotype"/>
          <w:i/>
        </w:rPr>
        <w:t>…</w:t>
      </w:r>
    </w:p>
    <w:p w14:paraId="6DEEB721" w14:textId="77777777" w:rsidR="002C0B39" w:rsidRDefault="00C8624E">
      <w:pPr>
        <w:pBdr>
          <w:top w:val="nil"/>
          <w:left w:val="nil"/>
          <w:bottom w:val="nil"/>
          <w:right w:val="nil"/>
          <w:between w:val="nil"/>
        </w:pBdr>
        <w:ind w:left="851" w:right="618"/>
        <w:jc w:val="both"/>
        <w:rPr>
          <w:rFonts w:ascii="Palatino Linotype" w:eastAsia="Palatino Linotype" w:hAnsi="Palatino Linotype" w:cs="Palatino Linotype"/>
          <w:i/>
        </w:rPr>
      </w:pPr>
      <w:r>
        <w:rPr>
          <w:rFonts w:ascii="Palatino Linotype" w:eastAsia="Palatino Linotype" w:hAnsi="Palatino Linotype" w:cs="Palatino Linotype"/>
          <w:b/>
          <w:i/>
          <w:u w:val="single"/>
        </w:rPr>
        <w:t>Para el ejercicio de los derechos ARCO solicitados será necesario acreditar la identidad de titular y en su caso la identidad y personalidad</w:t>
      </w:r>
      <w:r>
        <w:rPr>
          <w:rFonts w:ascii="Palatino Linotype" w:eastAsia="Palatino Linotype" w:hAnsi="Palatino Linotype" w:cs="Palatino Linotype"/>
          <w:i/>
        </w:rPr>
        <w:t xml:space="preserve"> con la que actúe el representante…”</w:t>
      </w:r>
    </w:p>
    <w:p w14:paraId="79F45FA0" w14:textId="77777777" w:rsidR="002C0B39" w:rsidRDefault="002C0B39">
      <w:pPr>
        <w:pBdr>
          <w:top w:val="nil"/>
          <w:left w:val="nil"/>
          <w:bottom w:val="nil"/>
          <w:right w:val="nil"/>
          <w:between w:val="nil"/>
        </w:pBdr>
        <w:ind w:left="851" w:right="618"/>
        <w:jc w:val="both"/>
        <w:rPr>
          <w:rFonts w:ascii="Palatino Linotype" w:eastAsia="Palatino Linotype" w:hAnsi="Palatino Linotype" w:cs="Palatino Linotype"/>
          <w:i/>
        </w:rPr>
      </w:pPr>
    </w:p>
    <w:p w14:paraId="2F057A08"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esta manera, conforme los artículos 120 de la Ley de Protección de Datos Personales en Posesión de Sujetos Obligados del Estado de México y Municipios; 76 de los Lineamientos Generales de Protección de Datos Personales para el Sector Público; </w:t>
      </w:r>
      <w:r>
        <w:rPr>
          <w:rFonts w:ascii="Palatino Linotype" w:eastAsia="Palatino Linotype" w:hAnsi="Palatino Linotype" w:cs="Palatino Linotype"/>
          <w:color w:val="000000"/>
        </w:rPr>
        <w:lastRenderedPageBreak/>
        <w:t>y 2.5 Bis del Código Civil del Estado de México</w:t>
      </w:r>
      <w:r>
        <w:rPr>
          <w:rFonts w:ascii="Palatino Linotype" w:eastAsia="Palatino Linotype" w:hAnsi="Palatino Linotype" w:cs="Palatino Linotype"/>
          <w:b/>
          <w:color w:val="000000"/>
        </w:rPr>
        <w:t>, los medios para acreditar la identidad de personas físicas son los siguientes</w:t>
      </w:r>
      <w:r>
        <w:rPr>
          <w:rFonts w:ascii="Palatino Linotype" w:eastAsia="Palatino Linotype" w:hAnsi="Palatino Linotype" w:cs="Palatino Linotype"/>
          <w:color w:val="000000"/>
        </w:rPr>
        <w:t>:</w:t>
      </w:r>
    </w:p>
    <w:p w14:paraId="002756F5" w14:textId="77777777" w:rsidR="002C0B39" w:rsidRDefault="002C0B39">
      <w:pPr>
        <w:spacing w:line="360" w:lineRule="auto"/>
        <w:jc w:val="both"/>
        <w:rPr>
          <w:rFonts w:ascii="Palatino Linotype" w:eastAsia="Palatino Linotype" w:hAnsi="Palatino Linotype" w:cs="Palatino Linotype"/>
        </w:rPr>
      </w:pPr>
    </w:p>
    <w:p w14:paraId="003FA483" w14:textId="77777777" w:rsidR="002C0B39" w:rsidRDefault="00C8624E">
      <w:pPr>
        <w:numPr>
          <w:ilvl w:val="0"/>
          <w:numId w:val="4"/>
        </w:numPr>
        <w:pBdr>
          <w:top w:val="nil"/>
          <w:left w:val="nil"/>
          <w:bottom w:val="nil"/>
          <w:right w:val="nil"/>
          <w:between w:val="nil"/>
        </w:pBdr>
        <w:spacing w:line="276" w:lineRule="auto"/>
        <w:ind w:right="33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Identificación oficial, como Credencial para votar, pasaporte, matrícula consular mexicana, carta de naturalización, cédula profesional o de pasante, etc.</w:t>
      </w:r>
    </w:p>
    <w:p w14:paraId="2496EF37" w14:textId="77777777" w:rsidR="002C0B39" w:rsidRDefault="002C0B39">
      <w:pPr>
        <w:pBdr>
          <w:top w:val="nil"/>
          <w:left w:val="nil"/>
          <w:bottom w:val="nil"/>
          <w:right w:val="nil"/>
          <w:between w:val="nil"/>
        </w:pBdr>
        <w:spacing w:line="276" w:lineRule="auto"/>
        <w:ind w:left="786" w:right="332"/>
        <w:jc w:val="both"/>
        <w:rPr>
          <w:rFonts w:ascii="Palatino Linotype" w:eastAsia="Palatino Linotype" w:hAnsi="Palatino Linotype" w:cs="Palatino Linotype"/>
          <w:color w:val="000000"/>
        </w:rPr>
      </w:pPr>
    </w:p>
    <w:p w14:paraId="4D63C69E" w14:textId="77777777" w:rsidR="002C0B39" w:rsidRDefault="00C8624E">
      <w:pPr>
        <w:numPr>
          <w:ilvl w:val="0"/>
          <w:numId w:val="4"/>
        </w:numPr>
        <w:pBdr>
          <w:top w:val="nil"/>
          <w:left w:val="nil"/>
          <w:bottom w:val="nil"/>
          <w:right w:val="nil"/>
          <w:between w:val="nil"/>
        </w:pBdr>
        <w:spacing w:line="276" w:lineRule="auto"/>
        <w:ind w:right="33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Credenciales expedidas por autoridades educativas que cuenten con autorización o con reconocimiento de validez oficial o instituciones de seguridad social, licencia para conducir, cartilla del servicio militar nacional, etc.</w:t>
      </w:r>
    </w:p>
    <w:p w14:paraId="07C771AF" w14:textId="77777777" w:rsidR="002C0B39" w:rsidRDefault="002C0B39">
      <w:pPr>
        <w:spacing w:line="276" w:lineRule="auto"/>
        <w:ind w:left="426" w:right="332"/>
        <w:jc w:val="both"/>
        <w:rPr>
          <w:rFonts w:ascii="Palatino Linotype" w:eastAsia="Palatino Linotype" w:hAnsi="Palatino Linotype" w:cs="Palatino Linotype"/>
        </w:rPr>
      </w:pPr>
    </w:p>
    <w:p w14:paraId="0960ECF1" w14:textId="77777777" w:rsidR="002C0B39" w:rsidRDefault="00C8624E">
      <w:pPr>
        <w:numPr>
          <w:ilvl w:val="0"/>
          <w:numId w:val="4"/>
        </w:numPr>
        <w:pBdr>
          <w:top w:val="nil"/>
          <w:left w:val="nil"/>
          <w:bottom w:val="nil"/>
          <w:right w:val="nil"/>
          <w:between w:val="nil"/>
        </w:pBdr>
        <w:spacing w:line="276" w:lineRule="auto"/>
        <w:ind w:right="33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Firma electrónica avanzada o del instrumento electrónico que lo sustituya.</w:t>
      </w:r>
    </w:p>
    <w:p w14:paraId="666E8D06" w14:textId="77777777" w:rsidR="002C0B39" w:rsidRDefault="00C8624E">
      <w:pPr>
        <w:numPr>
          <w:ilvl w:val="0"/>
          <w:numId w:val="4"/>
        </w:numPr>
        <w:pBdr>
          <w:top w:val="nil"/>
          <w:left w:val="nil"/>
          <w:bottom w:val="nil"/>
          <w:right w:val="nil"/>
          <w:between w:val="nil"/>
        </w:pBdr>
        <w:spacing w:line="276" w:lineRule="auto"/>
        <w:ind w:right="33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3A251737" w14:textId="77777777" w:rsidR="002C0B39" w:rsidRDefault="002C0B39">
      <w:pPr>
        <w:spacing w:line="276" w:lineRule="auto"/>
        <w:ind w:left="426" w:right="332"/>
        <w:jc w:val="both"/>
        <w:rPr>
          <w:rFonts w:ascii="Palatino Linotype" w:eastAsia="Palatino Linotype" w:hAnsi="Palatino Linotype" w:cs="Palatino Linotype"/>
        </w:rPr>
      </w:pPr>
    </w:p>
    <w:p w14:paraId="3BF8725F" w14:textId="77777777" w:rsidR="002C0B39" w:rsidRDefault="00C8624E">
      <w:pPr>
        <w:numPr>
          <w:ilvl w:val="0"/>
          <w:numId w:val="4"/>
        </w:numPr>
        <w:pBdr>
          <w:top w:val="nil"/>
          <w:left w:val="nil"/>
          <w:bottom w:val="nil"/>
          <w:right w:val="nil"/>
          <w:between w:val="nil"/>
        </w:pBdr>
        <w:spacing w:line="276" w:lineRule="auto"/>
        <w:ind w:right="33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el caso de menores de edad; acta de nacimiento, carta de naturalización, Clave Única de Registro de Población, credenciales expedidas por instituciones educativas que cuenten con autorización o con reconocimiento de validez oficial o instituciones de seguridad social, pasaporte, o cualquier otro documento oficial utilizado para tal fin.</w:t>
      </w:r>
    </w:p>
    <w:p w14:paraId="454874BD" w14:textId="77777777" w:rsidR="002C0B39" w:rsidRDefault="002C0B39">
      <w:pPr>
        <w:spacing w:line="360" w:lineRule="auto"/>
        <w:jc w:val="both"/>
        <w:rPr>
          <w:rFonts w:ascii="Palatino Linotype" w:eastAsia="Palatino Linotype" w:hAnsi="Palatino Linotype" w:cs="Palatino Linotype"/>
        </w:rPr>
      </w:pPr>
    </w:p>
    <w:p w14:paraId="07B3426B"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Bajo ese contexto, en el caso que nos ocupa, se advierte que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rPr>
        <w:t xml:space="preserve">dieciséis de septiembre de dos mil veinticuatro, </w:t>
      </w:r>
      <w:r>
        <w:rPr>
          <w:rFonts w:ascii="Palatino Linotype" w:eastAsia="Palatino Linotype" w:hAnsi="Palatino Linotype" w:cs="Palatino Linotype"/>
          <w:color w:val="000000"/>
        </w:rPr>
        <w:t xml:space="preserve">dentro del plazo estipulado en el acuerdo de prevención dictado por la Comisionada Ponente, </w:t>
      </w:r>
      <w:r>
        <w:rPr>
          <w:rFonts w:ascii="Palatino Linotype" w:eastAsia="Palatino Linotype" w:hAnsi="Palatino Linotype" w:cs="Palatino Linotype"/>
        </w:rPr>
        <w:t>remitió</w:t>
      </w:r>
      <w:r>
        <w:rPr>
          <w:rFonts w:ascii="Palatino Linotype" w:eastAsia="Palatino Linotype" w:hAnsi="Palatino Linotype" w:cs="Palatino Linotype"/>
          <w:color w:val="000000"/>
        </w:rPr>
        <w:t xml:space="preserve"> un correo electrónico en el cual refi</w:t>
      </w:r>
      <w:r>
        <w:rPr>
          <w:rFonts w:ascii="Palatino Linotype" w:eastAsia="Palatino Linotype" w:hAnsi="Palatino Linotype" w:cs="Palatino Linotype"/>
        </w:rPr>
        <w:t xml:space="preserve">ere que </w:t>
      </w:r>
      <w:r>
        <w:rPr>
          <w:rFonts w:ascii="Palatino Linotype" w:eastAsia="Palatino Linotype" w:hAnsi="Palatino Linotype" w:cs="Palatino Linotype"/>
          <w:color w:val="1F1F1F"/>
        </w:rPr>
        <w:t xml:space="preserve"> desahoga prevención en recurso de revisión: 03683/INFOEM/IP/RR/2023 y adjunta escrito respectivo:</w:t>
      </w:r>
    </w:p>
    <w:p w14:paraId="0307A87D" w14:textId="77777777" w:rsidR="002C0B39" w:rsidRDefault="00C8624E">
      <w:pPr>
        <w:pBdr>
          <w:top w:val="nil"/>
          <w:left w:val="nil"/>
          <w:bottom w:val="nil"/>
          <w:right w:val="nil"/>
          <w:between w:val="nil"/>
        </w:pBdr>
        <w:spacing w:line="360" w:lineRule="auto"/>
        <w:ind w:left="-141"/>
        <w:jc w:val="both"/>
        <w:rPr>
          <w:rFonts w:ascii="Palatino Linotype" w:eastAsia="Palatino Linotype" w:hAnsi="Palatino Linotype" w:cs="Palatino Linotype"/>
          <w:color w:val="1F1F1F"/>
        </w:rPr>
      </w:pPr>
      <w:r>
        <w:rPr>
          <w:rFonts w:ascii="Roboto" w:eastAsia="Roboto" w:hAnsi="Roboto" w:cs="Roboto"/>
          <w:noProof/>
          <w:color w:val="1F1F1F"/>
          <w:sz w:val="34"/>
          <w:szCs w:val="34"/>
        </w:rPr>
        <w:lastRenderedPageBreak/>
        <w:drawing>
          <wp:inline distT="114300" distB="114300" distL="114300" distR="114300" wp14:anchorId="7DCA2205" wp14:editId="4E881838">
            <wp:extent cx="6549390" cy="3587977"/>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7382" t="18766" r="5759" b="3018"/>
                    <a:stretch>
                      <a:fillRect/>
                    </a:stretch>
                  </pic:blipFill>
                  <pic:spPr>
                    <a:xfrm>
                      <a:off x="0" y="0"/>
                      <a:ext cx="6549390" cy="3587977"/>
                    </a:xfrm>
                    <a:prstGeom prst="rect">
                      <a:avLst/>
                    </a:prstGeom>
                    <a:ln/>
                  </pic:spPr>
                </pic:pic>
              </a:graphicData>
            </a:graphic>
          </wp:inline>
        </w:drawing>
      </w:r>
    </w:p>
    <w:p w14:paraId="57D77DEE" w14:textId="77777777" w:rsidR="002C0B39" w:rsidRDefault="002C0B39">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0106E7FD"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dicho escrito,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realizó</w:t>
      </w:r>
      <w:r>
        <w:rPr>
          <w:rFonts w:ascii="Palatino Linotype" w:eastAsia="Palatino Linotype" w:hAnsi="Palatino Linotype" w:cs="Palatino Linotype"/>
          <w:color w:val="000000"/>
        </w:rPr>
        <w:t xml:space="preserve"> una serie de manifestaciones tendientes a robustecer su inconformidad y no así a acreditar el interés jurídico, ya que </w:t>
      </w:r>
      <w:r>
        <w:rPr>
          <w:rFonts w:ascii="Palatino Linotype" w:eastAsia="Palatino Linotype" w:hAnsi="Palatino Linotype" w:cs="Palatino Linotype"/>
        </w:rPr>
        <w:t>medularmente indica:</w:t>
      </w:r>
    </w:p>
    <w:p w14:paraId="00FE74D5" w14:textId="77777777" w:rsidR="002C0B39" w:rsidRDefault="002C0B39">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3CD4D164" w14:textId="77777777" w:rsidR="002C0B39" w:rsidRDefault="00C8624E">
      <w:pPr>
        <w:ind w:left="720"/>
        <w:jc w:val="both"/>
        <w:rPr>
          <w:rFonts w:ascii="Palatino Linotype" w:eastAsia="Palatino Linotype" w:hAnsi="Palatino Linotype" w:cs="Palatino Linotype"/>
        </w:rPr>
      </w:pPr>
      <w:r>
        <w:rPr>
          <w:rFonts w:ascii="Palatino Linotype" w:eastAsia="Palatino Linotype" w:hAnsi="Palatino Linotype" w:cs="Palatino Linotype"/>
        </w:rPr>
        <w:t>“ Por el contrario, de acuerdo con las razones y motivos de inconformidad, las pruebas y los alegatos, el suscrito entre otras cosas, alegó que el Sujeto Obligado no está en aptitud legal de requerirme que demuestre personalidad o interés jurídico, ya que tal exigencia está superada por normas supremas, es decir, los artículos 6° de la Constitución Política de los Estados Unidos Mexicanos, 5° de la Constitución Local, 11, 12, 13 y 16 de la Ley General de Transparencia y Acceso a la Información Pública y 4 de la Ley de Transparencia y Acceso a la Información Pública del Estado de México y Municipios.</w:t>
      </w:r>
    </w:p>
    <w:p w14:paraId="4B71CFA4" w14:textId="77777777" w:rsidR="002C0B39" w:rsidRDefault="00C8624E">
      <w:pPr>
        <w:ind w:left="720"/>
        <w:jc w:val="both"/>
        <w:rPr>
          <w:rFonts w:ascii="Palatino Linotype" w:eastAsia="Palatino Linotype" w:hAnsi="Palatino Linotype" w:cs="Palatino Linotype"/>
        </w:rPr>
      </w:pPr>
      <w:r>
        <w:rPr>
          <w:rFonts w:ascii="Palatino Linotype" w:eastAsia="Palatino Linotype" w:hAnsi="Palatino Linotype" w:cs="Palatino Linotype"/>
        </w:rPr>
        <w:t>…</w:t>
      </w:r>
    </w:p>
    <w:p w14:paraId="68379DCB" w14:textId="77777777" w:rsidR="002C0B39" w:rsidRDefault="00C8624E">
      <w:pPr>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En tal sentido, al ser notoriamente incongruente e incoherente la determinación de once de septiembre pasado, con las constancias de autos y en especial, con mi solicitud de transparencia, mi escrito de interposición del recurso de revisión, </w:t>
      </w:r>
      <w:r>
        <w:rPr>
          <w:rFonts w:ascii="Palatino Linotype" w:eastAsia="Palatino Linotype" w:hAnsi="Palatino Linotype" w:cs="Palatino Linotype"/>
        </w:rPr>
        <w:lastRenderedPageBreak/>
        <w:t xml:space="preserve">las razones y motivos de inconformidad, las pruebas y los alegatos, violando con ello lo previsto por el artículo 22 del Código de Procedimientos Administrativos del Estado de México, de aplicación supletoria, además de estar proveyendo ilícitamente contra constancias; por lo tanto, solicito de esta autoridad ordene las regularización y/o aclaración pertinente, </w:t>
      </w:r>
      <w:r>
        <w:rPr>
          <w:rFonts w:ascii="Palatino Linotype" w:eastAsia="Palatino Linotype" w:hAnsi="Palatino Linotype" w:cs="Palatino Linotype"/>
          <w:b/>
        </w:rPr>
        <w:t>dado que su proceder violenta el secreto a mi anonimato,</w:t>
      </w:r>
      <w:r>
        <w:rPr>
          <w:rFonts w:ascii="Palatino Linotype" w:eastAsia="Palatino Linotype" w:hAnsi="Palatino Linotype" w:cs="Palatino Linotype"/>
        </w:rPr>
        <w:t xml:space="preserve"> salvaguardado por lo previsto en el artículo 155 de Ley de Transparencia y Acceso a la Información Pública el Estado de México y Municipios…”</w:t>
      </w:r>
    </w:p>
    <w:p w14:paraId="38AD5F12" w14:textId="77777777" w:rsidR="002C0B39" w:rsidRDefault="002C0B39">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6E2505B6"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P</w:t>
      </w:r>
      <w:r>
        <w:rPr>
          <w:rFonts w:ascii="Palatino Linotype" w:eastAsia="Palatino Linotype" w:hAnsi="Palatino Linotype" w:cs="Palatino Linotype"/>
          <w:color w:val="000000"/>
        </w:rPr>
        <w:t xml:space="preserve">or lo que en ese tenor, se hace efectivo el apercibimiento contenido en el Acuerdo notificado en fecha </w:t>
      </w:r>
      <w:r>
        <w:rPr>
          <w:rFonts w:ascii="Palatino Linotype" w:eastAsia="Palatino Linotype" w:hAnsi="Palatino Linotype" w:cs="Palatino Linotype"/>
          <w:b/>
          <w:color w:val="000000"/>
        </w:rPr>
        <w:t>once de septiembre del año en curso</w:t>
      </w:r>
      <w:r>
        <w:rPr>
          <w:rFonts w:ascii="Palatino Linotype" w:eastAsia="Palatino Linotype" w:hAnsi="Palatino Linotype" w:cs="Palatino Linotype"/>
          <w:color w:val="000000"/>
        </w:rPr>
        <w:t xml:space="preserve"> y, se considera procedente sobreseer por improcedente el presente Recurso de Revisión </w:t>
      </w:r>
      <w:hyperlink r:id="rId11">
        <w:r>
          <w:rPr>
            <w:rFonts w:ascii="Palatino Linotype" w:eastAsia="Palatino Linotype" w:hAnsi="Palatino Linotype" w:cs="Palatino Linotype"/>
            <w:b/>
            <w:color w:val="000000"/>
          </w:rPr>
          <w:t>0</w:t>
        </w:r>
      </w:hyperlink>
      <w:hyperlink r:id="rId12">
        <w:r>
          <w:rPr>
            <w:b/>
            <w:color w:val="000000"/>
          </w:rPr>
          <w:t>3683/INFOEM/IP/RR/2023</w:t>
        </w:r>
      </w:hyperlink>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lo anterior, con fundamento en los artículos 125, 136, 137, 138 y 139 de la Ley de Protección de Datos Personales en Posesión de Sujetos Obligados del Estado de México y Municipios, a saber:</w:t>
      </w:r>
    </w:p>
    <w:p w14:paraId="1D58FE98"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2BE136"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125. El titular, su representante, el responsable o cualquier autoridad </w:t>
      </w:r>
      <w:r>
        <w:rPr>
          <w:rFonts w:ascii="Palatino Linotype" w:eastAsia="Palatino Linotype" w:hAnsi="Palatino Linotype" w:cs="Palatino Linotype"/>
          <w:b/>
          <w:i/>
          <w:color w:val="000000"/>
        </w:rPr>
        <w:t>deberán atender los requerimientos de información en los plazos y términos que el Instituto establezca</w:t>
      </w:r>
      <w:r>
        <w:rPr>
          <w:rFonts w:ascii="Palatino Linotype" w:eastAsia="Palatino Linotype" w:hAnsi="Palatino Linotype" w:cs="Palatino Linotype"/>
          <w:i/>
          <w:color w:val="000000"/>
        </w:rPr>
        <w:t xml:space="preserve">, de conformidad con la Ley General. Cuando el titular, el responsable, el administrador o cualquier autoridad se niegue a atender o cumplimentar los requerimientos, solicitudes de información y documentación, emplazamientos, citaciones o diligencias notificadas por el Instituto o facilitar la práctica de las diligencias que hayan sido ordenadas o entorpezca las actuaciones del Instituto, tendrán por perdido su derecho para hacerlo valer en algún otro momento del procedimiento y el Instituto tendrá por ciertos los hechos materia del procedimiento y resolverá con los elementos que disponga. </w:t>
      </w:r>
    </w:p>
    <w:p w14:paraId="006BC636" w14:textId="77777777" w:rsidR="002C0B39" w:rsidRDefault="002C0B39">
      <w:pPr>
        <w:pBdr>
          <w:top w:val="nil"/>
          <w:left w:val="nil"/>
          <w:bottom w:val="nil"/>
          <w:right w:val="nil"/>
          <w:between w:val="nil"/>
        </w:pBdr>
        <w:ind w:left="425" w:right="476"/>
        <w:jc w:val="both"/>
        <w:rPr>
          <w:rFonts w:ascii="Palatino Linotype" w:eastAsia="Palatino Linotype" w:hAnsi="Palatino Linotype" w:cs="Palatino Linotype"/>
          <w:i/>
          <w:color w:val="000000"/>
        </w:rPr>
      </w:pPr>
    </w:p>
    <w:p w14:paraId="419FC72E"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136.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 </w:t>
      </w:r>
    </w:p>
    <w:p w14:paraId="29A90715"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El recurrente contará con un plazo que no podrá exceder de cinco días, contados a partir del día siguiente al de la notificación de la prevención, para subsanar las omisiones, </w:t>
      </w:r>
      <w:r>
        <w:rPr>
          <w:rFonts w:ascii="Palatino Linotype" w:eastAsia="Palatino Linotype" w:hAnsi="Palatino Linotype" w:cs="Palatino Linotype"/>
          <w:b/>
          <w:i/>
          <w:color w:val="000000"/>
        </w:rPr>
        <w:t>con el apercibimiento que en caso de no cumplir con el requerimiento, se desechará el recurso de revisión</w:t>
      </w:r>
      <w:r>
        <w:rPr>
          <w:rFonts w:ascii="Palatino Linotype" w:eastAsia="Palatino Linotype" w:hAnsi="Palatino Linotype" w:cs="Palatino Linotype"/>
          <w:i/>
          <w:color w:val="000000"/>
        </w:rPr>
        <w:t xml:space="preserve">. </w:t>
      </w:r>
    </w:p>
    <w:p w14:paraId="548167A0"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 prevención tendrá el efecto de interrumpir el plazo que tiene el Instituto para resolver el recurso, por lo que comenzará a computarse a partir del día siguiente a su desahogo. </w:t>
      </w:r>
    </w:p>
    <w:p w14:paraId="03714B68" w14:textId="77777777" w:rsidR="002C0B39" w:rsidRDefault="002C0B39">
      <w:pPr>
        <w:pBdr>
          <w:top w:val="nil"/>
          <w:left w:val="nil"/>
          <w:bottom w:val="nil"/>
          <w:right w:val="nil"/>
          <w:between w:val="nil"/>
        </w:pBdr>
        <w:ind w:left="425" w:right="476"/>
        <w:jc w:val="both"/>
        <w:rPr>
          <w:rFonts w:ascii="Palatino Linotype" w:eastAsia="Palatino Linotype" w:hAnsi="Palatino Linotype" w:cs="Palatino Linotype"/>
          <w:i/>
          <w:color w:val="000000"/>
        </w:rPr>
      </w:pPr>
    </w:p>
    <w:p w14:paraId="2C6685F0"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137. Las resoluciones del Instituto podrán: </w:t>
      </w:r>
    </w:p>
    <w:p w14:paraId="742D01A8"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 </w:t>
      </w:r>
      <w:r>
        <w:rPr>
          <w:rFonts w:ascii="Palatino Linotype" w:eastAsia="Palatino Linotype" w:hAnsi="Palatino Linotype" w:cs="Palatino Linotype"/>
          <w:b/>
          <w:i/>
          <w:color w:val="000000"/>
        </w:rPr>
        <w:t>Sobreseer o desechar el recurso de revisión por improcedente</w:t>
      </w:r>
      <w:r>
        <w:rPr>
          <w:rFonts w:ascii="Palatino Linotype" w:eastAsia="Palatino Linotype" w:hAnsi="Palatino Linotype" w:cs="Palatino Linotype"/>
          <w:i/>
          <w:color w:val="000000"/>
        </w:rPr>
        <w:t xml:space="preserve">. </w:t>
      </w:r>
    </w:p>
    <w:p w14:paraId="7DA57015" w14:textId="77777777" w:rsidR="002C0B39" w:rsidRDefault="002C0B39">
      <w:pPr>
        <w:pBdr>
          <w:top w:val="nil"/>
          <w:left w:val="nil"/>
          <w:bottom w:val="nil"/>
          <w:right w:val="nil"/>
          <w:between w:val="nil"/>
        </w:pBdr>
        <w:ind w:left="425" w:right="476"/>
        <w:jc w:val="both"/>
        <w:rPr>
          <w:rFonts w:ascii="Palatino Linotype" w:eastAsia="Palatino Linotype" w:hAnsi="Palatino Linotype" w:cs="Palatino Linotype"/>
          <w:i/>
          <w:color w:val="000000"/>
        </w:rPr>
      </w:pPr>
    </w:p>
    <w:p w14:paraId="4EC9BEC1"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138. El </w:t>
      </w:r>
      <w:r>
        <w:rPr>
          <w:rFonts w:ascii="Palatino Linotype" w:eastAsia="Palatino Linotype" w:hAnsi="Palatino Linotype" w:cs="Palatino Linotype"/>
          <w:b/>
          <w:i/>
          <w:color w:val="000000"/>
        </w:rPr>
        <w:t>recurso de revisión podrá ser desechado</w:t>
      </w:r>
      <w:r>
        <w:rPr>
          <w:rFonts w:ascii="Palatino Linotype" w:eastAsia="Palatino Linotype" w:hAnsi="Palatino Linotype" w:cs="Palatino Linotype"/>
          <w:i/>
          <w:color w:val="000000"/>
        </w:rPr>
        <w:t xml:space="preserve"> por </w:t>
      </w:r>
      <w:r>
        <w:rPr>
          <w:rFonts w:ascii="Palatino Linotype" w:eastAsia="Palatino Linotype" w:hAnsi="Palatino Linotype" w:cs="Palatino Linotype"/>
          <w:b/>
          <w:i/>
          <w:color w:val="000000"/>
        </w:rPr>
        <w:t>improcedente</w:t>
      </w:r>
      <w:r>
        <w:rPr>
          <w:rFonts w:ascii="Palatino Linotype" w:eastAsia="Palatino Linotype" w:hAnsi="Palatino Linotype" w:cs="Palatino Linotype"/>
          <w:i/>
          <w:color w:val="000000"/>
        </w:rPr>
        <w:t xml:space="preserve"> cuando: </w:t>
      </w:r>
    </w:p>
    <w:p w14:paraId="2CA7C5F6"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3B622BA9"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 El titular o su representante </w:t>
      </w:r>
      <w:r>
        <w:rPr>
          <w:rFonts w:ascii="Palatino Linotype" w:eastAsia="Palatino Linotype" w:hAnsi="Palatino Linotype" w:cs="Palatino Linotype"/>
          <w:b/>
          <w:i/>
          <w:color w:val="000000"/>
        </w:rPr>
        <w:t>no acrediten</w:t>
      </w:r>
      <w:r>
        <w:rPr>
          <w:rFonts w:ascii="Palatino Linotype" w:eastAsia="Palatino Linotype" w:hAnsi="Palatino Linotype" w:cs="Palatino Linotype"/>
          <w:i/>
          <w:color w:val="000000"/>
        </w:rPr>
        <w:t xml:space="preserve"> debidamente su identidad y personalidad de este último.</w:t>
      </w:r>
    </w:p>
    <w:p w14:paraId="4031BC33" w14:textId="77777777" w:rsidR="002C0B39" w:rsidRDefault="002C0B39">
      <w:pPr>
        <w:pBdr>
          <w:top w:val="nil"/>
          <w:left w:val="nil"/>
          <w:bottom w:val="nil"/>
          <w:right w:val="nil"/>
          <w:between w:val="nil"/>
        </w:pBdr>
        <w:ind w:left="425" w:right="476"/>
        <w:jc w:val="both"/>
        <w:rPr>
          <w:rFonts w:ascii="Palatino Linotype" w:eastAsia="Palatino Linotype" w:hAnsi="Palatino Linotype" w:cs="Palatino Linotype"/>
          <w:i/>
          <w:color w:val="000000"/>
        </w:rPr>
      </w:pPr>
    </w:p>
    <w:p w14:paraId="4F0DC725"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139. El recurso de revisión sólo podrá </w:t>
      </w:r>
      <w:r>
        <w:rPr>
          <w:rFonts w:ascii="Palatino Linotype" w:eastAsia="Palatino Linotype" w:hAnsi="Palatino Linotype" w:cs="Palatino Linotype"/>
          <w:b/>
          <w:i/>
          <w:color w:val="000000"/>
        </w:rPr>
        <w:t>ser sobreseído</w:t>
      </w:r>
      <w:r>
        <w:rPr>
          <w:rFonts w:ascii="Palatino Linotype" w:eastAsia="Palatino Linotype" w:hAnsi="Palatino Linotype" w:cs="Palatino Linotype"/>
          <w:i/>
          <w:color w:val="000000"/>
        </w:rPr>
        <w:t xml:space="preserve"> cuando: </w:t>
      </w:r>
    </w:p>
    <w:p w14:paraId="5E9DAF61"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625E0D61"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III. Admitido el recurso de revisión, </w:t>
      </w:r>
      <w:r>
        <w:rPr>
          <w:rFonts w:ascii="Palatino Linotype" w:eastAsia="Palatino Linotype" w:hAnsi="Palatino Linotype" w:cs="Palatino Linotype"/>
          <w:b/>
          <w:i/>
          <w:color w:val="000000"/>
        </w:rPr>
        <w:t>se actualice alguna causal de improcedencia</w:t>
      </w:r>
      <w:r>
        <w:rPr>
          <w:rFonts w:ascii="Palatino Linotype" w:eastAsia="Palatino Linotype" w:hAnsi="Palatino Linotype" w:cs="Palatino Linotype"/>
          <w:i/>
          <w:color w:val="000000"/>
        </w:rPr>
        <w:t xml:space="preserve"> en los términos de la presente Ley. </w:t>
      </w:r>
    </w:p>
    <w:p w14:paraId="4D3426B7"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64BE2A92" w14:textId="77777777" w:rsidR="002C0B39" w:rsidRDefault="00C8624E">
      <w:pPr>
        <w:pBdr>
          <w:top w:val="nil"/>
          <w:left w:val="nil"/>
          <w:bottom w:val="nil"/>
          <w:right w:val="nil"/>
          <w:between w:val="nil"/>
        </w:pBdr>
        <w:ind w:left="425" w:right="4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Énfasis añadido</w:t>
      </w:r>
    </w:p>
    <w:p w14:paraId="6E74190C"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6F1E4C8"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derivado que una vez admitido el Recurso de Revisión, se procedió a prevenir a la parte Recurrente, a efecto de que subsanara la omisión de acreditar su personalidad para poder ejercer el derecho de acceso a datos, derivado que </w:t>
      </w:r>
    </w:p>
    <w:p w14:paraId="38E2BD93" w14:textId="77777777" w:rsidR="002C0B39" w:rsidRDefault="00C8624E">
      <w:pPr>
        <w:pBdr>
          <w:top w:val="nil"/>
          <w:left w:val="nil"/>
          <w:bottom w:val="nil"/>
          <w:right w:val="nil"/>
          <w:between w:val="nil"/>
        </w:pBd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la normativa en la materia, establece de manera puntual que para el ejercicio de los derechos ARCO solicitados </w:t>
      </w:r>
      <w:r>
        <w:rPr>
          <w:rFonts w:ascii="Palatino Linotype" w:eastAsia="Palatino Linotype" w:hAnsi="Palatino Linotype" w:cs="Palatino Linotype"/>
          <w:b/>
          <w:u w:val="single"/>
        </w:rPr>
        <w:t xml:space="preserve">será necesario acreditar la identidad del titular </w:t>
      </w:r>
      <w:r>
        <w:rPr>
          <w:rFonts w:ascii="Palatino Linotype" w:eastAsia="Palatino Linotype" w:hAnsi="Palatino Linotype" w:cs="Palatino Linotype"/>
        </w:rPr>
        <w:t>y en su caso la identidad y personalidad con la que actúe el representante, y que en</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 xml:space="preserve">el caso concreto no se cumplió de manera inicial ante la prevención del Sujeto Obligado, ni </w:t>
      </w:r>
      <w:r>
        <w:rPr>
          <w:rFonts w:ascii="Palatino Linotype" w:eastAsia="Palatino Linotype" w:hAnsi="Palatino Linotype" w:cs="Palatino Linotype"/>
          <w:b/>
          <w:u w:val="single"/>
        </w:rPr>
        <w:lastRenderedPageBreak/>
        <w:t>de manera posterior ante la prevención de la Ponencia Resolutora para subsanar dicha omisión.</w:t>
      </w:r>
    </w:p>
    <w:p w14:paraId="6D8F800C"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b/>
          <w:u w:val="single"/>
        </w:rPr>
      </w:pPr>
    </w:p>
    <w:p w14:paraId="35304FC9"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que se logra concluir con puntualidad que</w:t>
      </w:r>
      <w:r>
        <w:rPr>
          <w:rFonts w:ascii="Palatino Linotype" w:eastAsia="Palatino Linotype" w:hAnsi="Palatino Linotype" w:cs="Palatino Linotype"/>
          <w:b/>
          <w:color w:val="000000"/>
        </w:rPr>
        <w:t xml:space="preserve"> la parte Recurrente no acreditó su personalidad como la persona titular </w:t>
      </w:r>
      <w:r>
        <w:rPr>
          <w:rFonts w:ascii="Palatino Linotype" w:eastAsia="Palatino Linotype" w:hAnsi="Palatino Linotype" w:cs="Palatino Linotype"/>
          <w:color w:val="000000"/>
        </w:rPr>
        <w:t>de</w:t>
      </w:r>
      <w:r>
        <w:rPr>
          <w:rFonts w:ascii="Palatino Linotype" w:eastAsia="Palatino Linotype" w:hAnsi="Palatino Linotype" w:cs="Palatino Linotype"/>
          <w:b/>
          <w:color w:val="000000"/>
        </w:rPr>
        <w:t xml:space="preserve"> los datos personales sobre los cuales se pretende ejercer el derecho de acceso a datos personales; ni aportó el escrito o carta bajo protesta de decir verdad en el que se precise lo anteriormente indicado, </w:t>
      </w:r>
      <w:r>
        <w:rPr>
          <w:rFonts w:ascii="Palatino Linotype" w:eastAsia="Palatino Linotype" w:hAnsi="Palatino Linotype" w:cs="Palatino Linotype"/>
          <w:color w:val="000000"/>
        </w:rPr>
        <w:t>luego entonces, al no subsanar la prevención que efectúo este Organismo Garante, una vez admitido el Recurso de Revisión con el objeto de tutelar de manera más amplia el ejercicio del derecho de acceso a datos personales que prendió ejercer la persona solicitante es que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la titular no acredite debidamente su identidad.</w:t>
      </w:r>
    </w:p>
    <w:p w14:paraId="19719C93"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rPr>
      </w:pPr>
    </w:p>
    <w:p w14:paraId="369082FA"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virtud de que se insiste, no existen constancias tendentes a acreditar debidamente el interés y personalidad de la persona solicitante de los datos personales, desde la presentación de la solicitud ni durante la sustanciación del Recurso de Revisión que nos ocupa, se concluye que se está ante la presencia de la causal de sobreseimiento por improcedente, toda vez que fue admitido el medio de impugnación, y subsistió la causal de improcedencia consistente en la omisión de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resultando procedente </w:t>
      </w:r>
      <w:r>
        <w:rPr>
          <w:rFonts w:ascii="Palatino Linotype" w:eastAsia="Palatino Linotype" w:hAnsi="Palatino Linotype" w:cs="Palatino Linotype"/>
          <w:b/>
          <w:color w:val="000000"/>
        </w:rPr>
        <w:t xml:space="preserve">SOBRESEER </w:t>
      </w:r>
      <w:r>
        <w:rPr>
          <w:rFonts w:ascii="Palatino Linotype" w:eastAsia="Palatino Linotype" w:hAnsi="Palatino Linotype" w:cs="Palatino Linotype"/>
          <w:color w:val="000000"/>
        </w:rPr>
        <w:t>el presente Recurso de Revisión, de conformidad con el artículo 137, fracción I</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de la Ley de Protección de </w:t>
      </w:r>
      <w:r>
        <w:rPr>
          <w:rFonts w:ascii="Palatino Linotype" w:eastAsia="Palatino Linotype" w:hAnsi="Palatino Linotype" w:cs="Palatino Linotype"/>
          <w:color w:val="000000"/>
        </w:rPr>
        <w:lastRenderedPageBreak/>
        <w:t>Datos Personales en Posesión de Sujetos Obligados del Estado de México y Municipios, anteriormente transcrito.</w:t>
      </w:r>
    </w:p>
    <w:p w14:paraId="60FD86E9"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rPr>
      </w:pPr>
    </w:p>
    <w:p w14:paraId="792D8D88"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Al respecto, de acuerdo con el procesalista Niceto Alcalá-Zamora y Castillo en su obra </w:t>
      </w:r>
      <w:r>
        <w:rPr>
          <w:rFonts w:ascii="Palatino Linotype" w:eastAsia="Palatino Linotype" w:hAnsi="Palatino Linotype" w:cs="Palatino Linotype"/>
          <w:i/>
          <w:color w:val="000000"/>
        </w:rPr>
        <w:t>“Cuestiones de Terminología Procesal”</w:t>
      </w:r>
      <w:r>
        <w:rPr>
          <w:rFonts w:ascii="Palatino Linotype" w:eastAsia="Palatino Linotype" w:hAnsi="Palatino Linotype" w:cs="Palatino Linotype"/>
          <w:color w:val="000000"/>
        </w:rPr>
        <w:t xml:space="preserve">, el sobreseimiento es </w:t>
      </w:r>
      <w:r>
        <w:rPr>
          <w:rFonts w:ascii="Palatino Linotype" w:eastAsia="Palatino Linotype" w:hAnsi="Palatino Linotype" w:cs="Palatino Linotype"/>
          <w:i/>
          <w:color w:val="000000"/>
        </w:rPr>
        <w:t xml:space="preserve">“...una resolución en forma de auto, que produce la suspensión </w:t>
      </w:r>
      <w:r>
        <w:rPr>
          <w:rFonts w:ascii="Palatino Linotype" w:eastAsia="Palatino Linotype" w:hAnsi="Palatino Linotype" w:cs="Palatino Linotype"/>
          <w:color w:val="000000"/>
        </w:rPr>
        <w:t>indefinida</w:t>
      </w:r>
      <w:r>
        <w:rPr>
          <w:rFonts w:ascii="Palatino Linotype" w:eastAsia="Palatino Linotype" w:hAnsi="Palatino Linotype" w:cs="Palatino Linotype"/>
          <w:i/>
          <w:color w:val="000000"/>
        </w:rPr>
        <w:t xml:space="preserve"> del procedimiento penal, o que pone fin al proceso, impidiendo en ambos casos, mientras subsista, la apertura del plenario o que en él se pronuncie sentencia...”.</w:t>
      </w:r>
    </w:p>
    <w:p w14:paraId="639B8208" w14:textId="77777777" w:rsidR="002C0B39" w:rsidRDefault="002C0B3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p>
    <w:p w14:paraId="5FD84ED6"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Y por su parte, Eduardo Pallares, en su artículo </w:t>
      </w:r>
      <w:r>
        <w:rPr>
          <w:rFonts w:ascii="Palatino Linotype" w:eastAsia="Palatino Linotype" w:hAnsi="Palatino Linotype" w:cs="Palatino Linotype"/>
          <w:i/>
          <w:color w:val="000000"/>
        </w:rPr>
        <w:t>“La caducidad y el sobreseimiento en el amparo”</w:t>
      </w:r>
      <w:r>
        <w:rPr>
          <w:rFonts w:ascii="Palatino Linotype" w:eastAsia="Palatino Linotype" w:hAnsi="Palatino Linotype" w:cs="Palatino Linotype"/>
          <w:color w:val="000000"/>
        </w:rPr>
        <w:t xml:space="preserve">, cita la definición de Aguilera Paz, aduciendo que se </w:t>
      </w:r>
      <w:r>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color w:val="000000"/>
        </w:rPr>
        <w:t>. Asimismo señala que existe el sobreseimiento provisional y el definitivo</w:t>
      </w:r>
      <w:r>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14:paraId="08555118" w14:textId="77777777" w:rsidR="002C0B39" w:rsidRDefault="002C0B3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4C14C808"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para la doctrina el sobreseimiento provoca que un procedimiento se suspenda o se resuelva en definitiva </w:t>
      </w:r>
      <w:r>
        <w:rPr>
          <w:rFonts w:ascii="Palatino Linotype" w:eastAsia="Palatino Linotype" w:hAnsi="Palatino Linotype" w:cs="Palatino Linotype"/>
          <w:b/>
          <w:color w:val="000000"/>
          <w:u w:val="single"/>
        </w:rPr>
        <w:t>sin que se entre al estudio de los agravios o motivos de inconformidad</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14:paraId="544AAB3A" w14:textId="77777777" w:rsidR="002C0B39" w:rsidRDefault="002C0B39">
      <w:pPr>
        <w:pBdr>
          <w:top w:val="nil"/>
          <w:left w:val="nil"/>
          <w:bottom w:val="nil"/>
          <w:right w:val="nil"/>
          <w:between w:val="nil"/>
        </w:pBdr>
        <w:ind w:left="720"/>
        <w:rPr>
          <w:rFonts w:ascii="Palatino Linotype" w:eastAsia="Palatino Linotype" w:hAnsi="Palatino Linotype" w:cs="Palatino Linotype"/>
          <w:color w:val="000000"/>
        </w:rPr>
      </w:pPr>
    </w:p>
    <w:p w14:paraId="4F97C57B" w14:textId="77777777" w:rsidR="002C0B39" w:rsidRDefault="00C8624E">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“SOBRESEIMIENTO EN EL JUICIO DE AMPARO DIRECTO. IMPIDE EL ESTUDIO DE LAS VIOLACIONES PROCESALES PLANTEADAS EN LOS CONCEPTOS DE VIOLACIÓN. El sobreseimiento</w:t>
      </w:r>
      <w:r>
        <w:rPr>
          <w:rFonts w:ascii="Palatino Linotype" w:eastAsia="Palatino Linotype" w:hAnsi="Palatino Linotype" w:cs="Palatino Linotype"/>
          <w:i/>
        </w:rPr>
        <w:t xml:space="preserve"> en el juicio de amparo directo </w:t>
      </w:r>
      <w:r>
        <w:rPr>
          <w:rFonts w:ascii="Palatino Linotype" w:eastAsia="Palatino Linotype" w:hAnsi="Palatino Linotype" w:cs="Palatino Linotype"/>
          <w:b/>
          <w:i/>
        </w:rPr>
        <w:t>provoca la terminación de la controversia planteada</w:t>
      </w:r>
      <w:r>
        <w:rPr>
          <w:rFonts w:ascii="Palatino Linotype" w:eastAsia="Palatino Linotype" w:hAnsi="Palatino Linotype" w:cs="Palatino Linotype"/>
          <w:i/>
        </w:rPr>
        <w:t xml:space="preserve"> por el quejoso en la demanda de amparo</w:t>
      </w:r>
      <w:r>
        <w:rPr>
          <w:rFonts w:ascii="Palatino Linotype" w:eastAsia="Palatino Linotype" w:hAnsi="Palatino Linotype" w:cs="Palatino Linotype"/>
          <w:b/>
          <w:i/>
        </w:rPr>
        <w:t>, sin hacer un pronunciamiento de fondo sobre la legalidad o ilegalidad de la sentencia reclamada</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Por consiguiente, si al sobreseerse en el juicio de amparo </w:t>
      </w:r>
      <w:r>
        <w:rPr>
          <w:rFonts w:ascii="Palatino Linotype" w:eastAsia="Palatino Linotype" w:hAnsi="Palatino Linotype" w:cs="Palatino Linotype"/>
          <w:b/>
          <w:i/>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Pr>
          <w:rFonts w:ascii="Palatino Linotype" w:eastAsia="Palatino Linotype" w:hAnsi="Palatino Linotype" w:cs="Palatino Linotype"/>
          <w:i/>
        </w:rPr>
        <w:t>.”</w:t>
      </w:r>
    </w:p>
    <w:p w14:paraId="0C7FF1BA" w14:textId="77777777" w:rsidR="002C0B39" w:rsidRDefault="002C0B39">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rPr>
      </w:pPr>
    </w:p>
    <w:p w14:paraId="23693195"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Pr>
          <w:rFonts w:ascii="Palatino Linotype" w:eastAsia="Palatino Linotype" w:hAnsi="Palatino Linotype" w:cs="Palatino Linotype"/>
          <w:b/>
          <w:color w:val="000000"/>
        </w:rPr>
        <w:t xml:space="preserve">para ejercer dichos derechos ante el responsable o el Instituto, deberá demostrar que es el titular de los datos </w:t>
      </w:r>
      <w:r>
        <w:rPr>
          <w:rFonts w:ascii="Palatino Linotype" w:eastAsia="Palatino Linotype" w:hAnsi="Palatino Linotype" w:cs="Palatino Linotype"/>
          <w:color w:val="000000"/>
        </w:rPr>
        <w:t xml:space="preserve">o, en caso de que lo haga en representación del titular de los datos personales, deberá acreditar ésta situación. Esto está pensado para que </w:t>
      </w:r>
      <w:r>
        <w:rPr>
          <w:rFonts w:ascii="Palatino Linotype" w:eastAsia="Palatino Linotype" w:hAnsi="Palatino Linotype" w:cs="Palatino Linotype"/>
          <w:color w:val="000000"/>
          <w:u w:val="single"/>
        </w:rPr>
        <w:t>nadie</w:t>
      </w:r>
      <w:r>
        <w:rPr>
          <w:rFonts w:ascii="Palatino Linotype" w:eastAsia="Palatino Linotype" w:hAnsi="Palatino Linotype" w:cs="Palatino Linotype"/>
          <w:color w:val="000000"/>
        </w:rPr>
        <w:t xml:space="preserve"> más que el titular o el representante, puedan decidir el uso que se le dará a sus datos personales, como una medida de seguridad de su información personal.</w:t>
      </w:r>
    </w:p>
    <w:p w14:paraId="159FDFC6" w14:textId="77777777" w:rsidR="002C0B39" w:rsidRDefault="002C0B39">
      <w:pPr>
        <w:pBdr>
          <w:top w:val="nil"/>
          <w:left w:val="nil"/>
          <w:bottom w:val="nil"/>
          <w:right w:val="nil"/>
          <w:between w:val="nil"/>
        </w:pBdr>
        <w:spacing w:line="360" w:lineRule="auto"/>
        <w:jc w:val="both"/>
        <w:rPr>
          <w:rFonts w:ascii="Palatino Linotype" w:eastAsia="Palatino Linotype" w:hAnsi="Palatino Linotype" w:cs="Palatino Linotype"/>
        </w:rPr>
      </w:pPr>
    </w:p>
    <w:p w14:paraId="31585CB6"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lo anterior pueden ser utilizados los medios de identificación y formas de acreditar la personalidad que se prevén en los artículos 120 y 121 de la Ley de Protección de Datos Personales en Posesión de Sujetos Obligados del Estado de México </w:t>
      </w:r>
      <w:r>
        <w:rPr>
          <w:rFonts w:ascii="Palatino Linotype" w:eastAsia="Palatino Linotype" w:hAnsi="Palatino Linotype" w:cs="Palatino Linotype"/>
          <w:color w:val="000000"/>
        </w:rPr>
        <w:lastRenderedPageBreak/>
        <w:t>y Municipios; 76, 77, 78, 79, 80, 81 y 82 de los Lineamientos Generales de Protección de Datos Personales para el Sector Público; 2.5 Bis, 4.202, 4.203 y 4.204 del Código Civil del Estado de México, y de ésta manera evitar el uso malintencionado que alguien pueda hacer de la información o documentación que le concierne.</w:t>
      </w:r>
    </w:p>
    <w:p w14:paraId="25E98B49" w14:textId="77777777" w:rsidR="002C0B39" w:rsidRDefault="002C0B39">
      <w:pPr>
        <w:pBdr>
          <w:top w:val="nil"/>
          <w:left w:val="nil"/>
          <w:bottom w:val="nil"/>
          <w:right w:val="nil"/>
          <w:between w:val="nil"/>
        </w:pBdr>
        <w:ind w:left="720"/>
        <w:rPr>
          <w:rFonts w:ascii="Palatino Linotype" w:eastAsia="Palatino Linotype" w:hAnsi="Palatino Linotype" w:cs="Palatino Linotype"/>
          <w:color w:val="000000"/>
        </w:rPr>
      </w:pPr>
    </w:p>
    <w:p w14:paraId="0B9128D8" w14:textId="77777777" w:rsidR="002C0B39" w:rsidRDefault="00C862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con fundamento en lo prescrito en los artículos 5 párrafos trigésimo tercero, trigésimo cuarto y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 emite los siguientes:</w:t>
      </w:r>
    </w:p>
    <w:p w14:paraId="5AD89838" w14:textId="77777777" w:rsidR="002C0B39" w:rsidRDefault="00C8624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O L U T I V O S</w:t>
      </w:r>
    </w:p>
    <w:p w14:paraId="42548D90" w14:textId="52AF9261" w:rsidR="002C0B39" w:rsidRDefault="00C8624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Se</w:t>
      </w:r>
      <w:r>
        <w:rPr>
          <w:rFonts w:ascii="Palatino Linotype" w:eastAsia="Palatino Linotype" w:hAnsi="Palatino Linotype" w:cs="Palatino Linotype"/>
          <w:b/>
        </w:rPr>
        <w:t xml:space="preserve"> Sobresee, </w:t>
      </w:r>
      <w:r>
        <w:rPr>
          <w:rFonts w:ascii="Palatino Linotype" w:eastAsia="Palatino Linotype" w:hAnsi="Palatino Linotype" w:cs="Palatino Linotype"/>
        </w:rPr>
        <w:t xml:space="preserve">por </w:t>
      </w:r>
      <w:r>
        <w:rPr>
          <w:rFonts w:ascii="Palatino Linotype" w:eastAsia="Palatino Linotype" w:hAnsi="Palatino Linotype" w:cs="Palatino Linotype"/>
          <w:b/>
        </w:rPr>
        <w:t>improcedente</w:t>
      </w:r>
      <w:r>
        <w:rPr>
          <w:rFonts w:ascii="Palatino Linotype" w:eastAsia="Palatino Linotype" w:hAnsi="Palatino Linotype" w:cs="Palatino Linotype"/>
        </w:rPr>
        <w:t xml:space="preserve"> el Recurso de Revisión </w:t>
      </w:r>
      <w:r>
        <w:rPr>
          <w:rFonts w:ascii="Palatino Linotype" w:eastAsia="Palatino Linotype" w:hAnsi="Palatino Linotype" w:cs="Palatino Linotype"/>
          <w:b/>
        </w:rPr>
        <w:t xml:space="preserve">03683/INFOEM/IP/RR/2023, </w:t>
      </w:r>
      <w:r>
        <w:rPr>
          <w:rFonts w:ascii="Palatino Linotype" w:eastAsia="Palatino Linotype" w:hAnsi="Palatino Linotype" w:cs="Palatino Linotype"/>
        </w:rPr>
        <w:t>de conformidad con lo dispuesto en el artículo 139</w:t>
      </w:r>
      <w:r w:rsidR="004D7A37">
        <w:rPr>
          <w:rFonts w:ascii="Palatino Linotype" w:eastAsia="Palatino Linotype" w:hAnsi="Palatino Linotype" w:cs="Palatino Linotype"/>
        </w:rPr>
        <w:t>,</w:t>
      </w:r>
      <w:r>
        <w:rPr>
          <w:rFonts w:ascii="Palatino Linotype" w:eastAsia="Palatino Linotype" w:hAnsi="Palatino Linotype" w:cs="Palatino Linotype"/>
        </w:rPr>
        <w:t xml:space="preserve"> fracción III, en relación con el artículo 138 fracción II, ambos de la Ley de Protección de Datos Personales en Posesión de Sujetos Obligados del Estado de México y Municipios,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14:paraId="40C79266" w14:textId="77777777" w:rsidR="002C0B39" w:rsidRDefault="00C8624E">
      <w:pPr>
        <w:tabs>
          <w:tab w:val="left" w:pos="7936"/>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w:t>
      </w:r>
      <w:r>
        <w:rPr>
          <w:rFonts w:ascii="Palatino Linotype" w:eastAsia="Palatino Linotype" w:hAnsi="Palatino Linotype" w:cs="Palatino Linotype"/>
          <w:b/>
          <w:color w:val="000000"/>
        </w:rPr>
        <w:t>SAIMEX</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al 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14:paraId="434818AA" w14:textId="41F175B8" w:rsidR="002C0B39" w:rsidRDefault="00C8624E">
      <w:pPr>
        <w:tabs>
          <w:tab w:val="left" w:pos="4667"/>
        </w:tabs>
        <w:spacing w:before="240" w:after="240" w:line="360" w:lineRule="auto"/>
        <w:jc w:val="both"/>
        <w:rPr>
          <w:rFonts w:ascii="Palatino Linotype" w:eastAsia="Palatino Linotype" w:hAnsi="Palatino Linotype" w:cs="Palatino Linotype"/>
        </w:rPr>
      </w:pPr>
      <w:bookmarkStart w:id="7" w:name="_heading=h.26in1rg" w:colFirst="0" w:colLast="0"/>
      <w:bookmarkEnd w:id="7"/>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y correo electrónico</w:t>
      </w:r>
      <w:r>
        <w:rPr>
          <w:rFonts w:ascii="Palatino Linotype" w:eastAsia="Palatino Linotype" w:hAnsi="Palatino Linotype" w:cs="Palatino Linotype"/>
        </w:rPr>
        <w:t>, 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asimismo, se hace de su conocimiento que de conformidad con lo establecido en el artículo 142 de la Ley de Protección de Datos Personales en Posesión </w:t>
      </w:r>
      <w:r>
        <w:rPr>
          <w:rFonts w:ascii="Palatino Linotype" w:eastAsia="Palatino Linotype" w:hAnsi="Palatino Linotype" w:cs="Palatino Linotype"/>
        </w:rPr>
        <w:lastRenderedPageBreak/>
        <w:t xml:space="preserve">de Sujetos Obligados del Estado de México y Municipios podrá promover el Juicio de Amparo en los términos de las leyes aplicables. </w:t>
      </w:r>
    </w:p>
    <w:p w14:paraId="2F47D657" w14:textId="77777777" w:rsidR="00D035F7" w:rsidRDefault="00D035F7">
      <w:pPr>
        <w:tabs>
          <w:tab w:val="left" w:pos="4667"/>
        </w:tabs>
        <w:spacing w:before="240" w:after="240" w:line="360" w:lineRule="auto"/>
        <w:jc w:val="both"/>
        <w:rPr>
          <w:rFonts w:ascii="Palatino Linotype" w:eastAsia="Palatino Linotype" w:hAnsi="Palatino Linotype" w:cs="Palatino Linotype"/>
        </w:rPr>
      </w:pPr>
    </w:p>
    <w:p w14:paraId="1B81A67E" w14:textId="77777777" w:rsidR="004D7A37" w:rsidRPr="003C7186" w:rsidRDefault="004D7A37" w:rsidP="004D7A37">
      <w:pPr>
        <w:spacing w:line="360" w:lineRule="auto"/>
        <w:ind w:left="-142" w:right="-234" w:firstLine="1"/>
        <w:jc w:val="both"/>
        <w:rPr>
          <w:rFonts w:ascii="Palatino Linotype" w:hAnsi="Palatino Linotype"/>
        </w:rPr>
      </w:pPr>
      <w:bookmarkStart w:id="8" w:name="_heading=h.3dy6vkm" w:colFirst="0" w:colLast="0"/>
      <w:bookmarkEnd w:id="8"/>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57DCEAAA" w14:textId="77777777" w:rsidR="004D7A37" w:rsidRPr="00902BA4" w:rsidRDefault="004D7A37" w:rsidP="004D7A37">
      <w:pPr>
        <w:widowControl w:val="0"/>
        <w:autoSpaceDE w:val="0"/>
        <w:autoSpaceDN w:val="0"/>
        <w:adjustRightInd w:val="0"/>
        <w:spacing w:after="200" w:line="276" w:lineRule="auto"/>
        <w:ind w:left="-142" w:right="-234"/>
        <w:rPr>
          <w:rFonts w:ascii="Calibri" w:hAnsi="Calibri" w:cs="Calibri"/>
        </w:rPr>
      </w:pPr>
    </w:p>
    <w:p w14:paraId="74F12044" w14:textId="77777777" w:rsidR="002C0B39" w:rsidRDefault="002C0B39">
      <w:pPr>
        <w:spacing w:line="360" w:lineRule="auto"/>
        <w:rPr>
          <w:rFonts w:ascii="Palatino Linotype" w:eastAsia="Palatino Linotype" w:hAnsi="Palatino Linotype" w:cs="Palatino Linotype"/>
        </w:rPr>
      </w:pPr>
    </w:p>
    <w:p w14:paraId="616FD0E7" w14:textId="77777777" w:rsidR="002C0B39" w:rsidRDefault="002C0B39">
      <w:pPr>
        <w:spacing w:line="360" w:lineRule="auto"/>
        <w:rPr>
          <w:rFonts w:ascii="Palatino Linotype" w:eastAsia="Palatino Linotype" w:hAnsi="Palatino Linotype" w:cs="Palatino Linotype"/>
        </w:rPr>
      </w:pPr>
    </w:p>
    <w:p w14:paraId="19AE2608" w14:textId="77777777" w:rsidR="002C0B39" w:rsidRDefault="002C0B39">
      <w:pPr>
        <w:rPr>
          <w:rFonts w:ascii="Palatino Linotype" w:eastAsia="Palatino Linotype" w:hAnsi="Palatino Linotype" w:cs="Palatino Linotype"/>
        </w:rPr>
      </w:pPr>
    </w:p>
    <w:p w14:paraId="48F5BAE7" w14:textId="77777777" w:rsidR="002C0B39" w:rsidRDefault="002C0B39">
      <w:pPr>
        <w:rPr>
          <w:rFonts w:ascii="Palatino Linotype" w:eastAsia="Palatino Linotype" w:hAnsi="Palatino Linotype" w:cs="Palatino Linotype"/>
        </w:rPr>
      </w:pPr>
    </w:p>
    <w:p w14:paraId="160FFA06" w14:textId="77777777" w:rsidR="002C0B39" w:rsidRDefault="002C0B39">
      <w:pPr>
        <w:rPr>
          <w:rFonts w:ascii="Palatino Linotype" w:eastAsia="Palatino Linotype" w:hAnsi="Palatino Linotype" w:cs="Palatino Linotype"/>
        </w:rPr>
      </w:pPr>
    </w:p>
    <w:p w14:paraId="7DF7844E" w14:textId="77777777" w:rsidR="002C0B39" w:rsidRDefault="002C0B39">
      <w:pPr>
        <w:rPr>
          <w:rFonts w:ascii="Palatino Linotype" w:eastAsia="Palatino Linotype" w:hAnsi="Palatino Linotype" w:cs="Palatino Linotype"/>
        </w:rPr>
      </w:pPr>
    </w:p>
    <w:p w14:paraId="1B9B9328" w14:textId="77777777" w:rsidR="002C0B39" w:rsidRDefault="002C0B39">
      <w:pPr>
        <w:rPr>
          <w:rFonts w:ascii="Palatino Linotype" w:eastAsia="Palatino Linotype" w:hAnsi="Palatino Linotype" w:cs="Palatino Linotype"/>
        </w:rPr>
      </w:pPr>
    </w:p>
    <w:p w14:paraId="3A6931E2" w14:textId="77777777" w:rsidR="002C0B39" w:rsidRDefault="002C0B39">
      <w:pPr>
        <w:rPr>
          <w:rFonts w:ascii="Palatino Linotype" w:eastAsia="Palatino Linotype" w:hAnsi="Palatino Linotype" w:cs="Palatino Linotype"/>
        </w:rPr>
      </w:pPr>
    </w:p>
    <w:p w14:paraId="70AB8876" w14:textId="77777777" w:rsidR="002C0B39" w:rsidRDefault="002C0B39">
      <w:pPr>
        <w:rPr>
          <w:rFonts w:ascii="Palatino Linotype" w:eastAsia="Palatino Linotype" w:hAnsi="Palatino Linotype" w:cs="Palatino Linotype"/>
        </w:rPr>
      </w:pPr>
    </w:p>
    <w:p w14:paraId="7F9EFD24" w14:textId="77777777" w:rsidR="002C0B39" w:rsidRDefault="002C0B39">
      <w:pPr>
        <w:rPr>
          <w:rFonts w:ascii="Palatino Linotype" w:eastAsia="Palatino Linotype" w:hAnsi="Palatino Linotype" w:cs="Palatino Linotype"/>
        </w:rPr>
      </w:pPr>
    </w:p>
    <w:p w14:paraId="11624C09" w14:textId="77777777" w:rsidR="002C0B39" w:rsidRDefault="002C0B39">
      <w:pPr>
        <w:rPr>
          <w:rFonts w:ascii="Palatino Linotype" w:eastAsia="Palatino Linotype" w:hAnsi="Palatino Linotype" w:cs="Palatino Linotype"/>
        </w:rPr>
      </w:pPr>
    </w:p>
    <w:p w14:paraId="030BB5C9" w14:textId="77777777" w:rsidR="002C0B39" w:rsidRDefault="002C0B39">
      <w:pPr>
        <w:rPr>
          <w:rFonts w:ascii="Palatino Linotype" w:eastAsia="Palatino Linotype" w:hAnsi="Palatino Linotype" w:cs="Palatino Linotype"/>
        </w:rPr>
      </w:pPr>
    </w:p>
    <w:p w14:paraId="7349A28E" w14:textId="77777777" w:rsidR="002C0B39" w:rsidRDefault="002C0B39">
      <w:pPr>
        <w:rPr>
          <w:rFonts w:ascii="Palatino Linotype" w:eastAsia="Palatino Linotype" w:hAnsi="Palatino Linotype" w:cs="Palatino Linotype"/>
        </w:rPr>
      </w:pPr>
    </w:p>
    <w:p w14:paraId="6AEE06D0" w14:textId="77777777" w:rsidR="002C0B39" w:rsidRDefault="002C0B39">
      <w:pPr>
        <w:rPr>
          <w:rFonts w:ascii="Palatino Linotype" w:eastAsia="Palatino Linotype" w:hAnsi="Palatino Linotype" w:cs="Palatino Linotype"/>
        </w:rPr>
      </w:pPr>
    </w:p>
    <w:p w14:paraId="4888599D" w14:textId="77777777" w:rsidR="002C0B39" w:rsidRDefault="002C0B39">
      <w:pPr>
        <w:rPr>
          <w:rFonts w:ascii="Palatino Linotype" w:eastAsia="Palatino Linotype" w:hAnsi="Palatino Linotype" w:cs="Palatino Linotype"/>
        </w:rPr>
      </w:pPr>
    </w:p>
    <w:p w14:paraId="31E2C636" w14:textId="77777777" w:rsidR="002C0B39" w:rsidRDefault="002C0B39">
      <w:pPr>
        <w:rPr>
          <w:rFonts w:ascii="Palatino Linotype" w:eastAsia="Palatino Linotype" w:hAnsi="Palatino Linotype" w:cs="Palatino Linotype"/>
        </w:rPr>
      </w:pPr>
    </w:p>
    <w:p w14:paraId="63DAC7DA" w14:textId="77777777" w:rsidR="002C0B39" w:rsidRDefault="002C0B39">
      <w:pPr>
        <w:rPr>
          <w:rFonts w:ascii="Palatino Linotype" w:eastAsia="Palatino Linotype" w:hAnsi="Palatino Linotype" w:cs="Palatino Linotype"/>
        </w:rPr>
      </w:pPr>
    </w:p>
    <w:p w14:paraId="5B31E5E9" w14:textId="77777777" w:rsidR="002C0B39" w:rsidRDefault="002C0B39">
      <w:pPr>
        <w:rPr>
          <w:rFonts w:ascii="Palatino Linotype" w:eastAsia="Palatino Linotype" w:hAnsi="Palatino Linotype" w:cs="Palatino Linotype"/>
        </w:rPr>
      </w:pPr>
    </w:p>
    <w:p w14:paraId="244E152E" w14:textId="77777777" w:rsidR="002C0B39" w:rsidRDefault="002C0B39">
      <w:pPr>
        <w:rPr>
          <w:rFonts w:ascii="Palatino Linotype" w:eastAsia="Palatino Linotype" w:hAnsi="Palatino Linotype" w:cs="Palatino Linotype"/>
        </w:rPr>
      </w:pPr>
    </w:p>
    <w:p w14:paraId="628F5103" w14:textId="77777777" w:rsidR="002C0B39" w:rsidRDefault="002C0B39">
      <w:pPr>
        <w:rPr>
          <w:rFonts w:ascii="Palatino Linotype" w:eastAsia="Palatino Linotype" w:hAnsi="Palatino Linotype" w:cs="Palatino Linotype"/>
        </w:rPr>
      </w:pPr>
    </w:p>
    <w:p w14:paraId="2F23CEFC" w14:textId="77777777" w:rsidR="002C0B39" w:rsidRDefault="002C0B39">
      <w:pPr>
        <w:rPr>
          <w:rFonts w:ascii="Palatino Linotype" w:eastAsia="Palatino Linotype" w:hAnsi="Palatino Linotype" w:cs="Palatino Linotype"/>
        </w:rPr>
      </w:pPr>
    </w:p>
    <w:p w14:paraId="0BC86CCC" w14:textId="77777777" w:rsidR="002C0B39" w:rsidRDefault="002C0B39">
      <w:pPr>
        <w:rPr>
          <w:rFonts w:ascii="Palatino Linotype" w:eastAsia="Palatino Linotype" w:hAnsi="Palatino Linotype" w:cs="Palatino Linotype"/>
        </w:rPr>
      </w:pPr>
    </w:p>
    <w:p w14:paraId="23027A05" w14:textId="77777777" w:rsidR="002C0B39" w:rsidRDefault="002C0B39">
      <w:pPr>
        <w:rPr>
          <w:rFonts w:ascii="Palatino Linotype" w:eastAsia="Palatino Linotype" w:hAnsi="Palatino Linotype" w:cs="Palatino Linotype"/>
        </w:rPr>
      </w:pPr>
    </w:p>
    <w:p w14:paraId="310FD63A" w14:textId="77777777" w:rsidR="002C0B39" w:rsidRDefault="002C0B39">
      <w:pPr>
        <w:rPr>
          <w:rFonts w:ascii="Palatino Linotype" w:eastAsia="Palatino Linotype" w:hAnsi="Palatino Linotype" w:cs="Palatino Linotype"/>
        </w:rPr>
      </w:pPr>
    </w:p>
    <w:p w14:paraId="479A42B1" w14:textId="77777777" w:rsidR="002C0B39" w:rsidRDefault="002C0B39">
      <w:pPr>
        <w:rPr>
          <w:rFonts w:ascii="Palatino Linotype" w:eastAsia="Palatino Linotype" w:hAnsi="Palatino Linotype" w:cs="Palatino Linotype"/>
        </w:rPr>
      </w:pPr>
    </w:p>
    <w:p w14:paraId="03FD4F0E" w14:textId="77777777" w:rsidR="002C0B39" w:rsidRDefault="002C0B39">
      <w:pPr>
        <w:rPr>
          <w:rFonts w:ascii="Palatino Linotype" w:eastAsia="Palatino Linotype" w:hAnsi="Palatino Linotype" w:cs="Palatino Linotype"/>
        </w:rPr>
      </w:pPr>
    </w:p>
    <w:p w14:paraId="27CE7BE4" w14:textId="77777777" w:rsidR="002C0B39" w:rsidRDefault="002C0B39">
      <w:pPr>
        <w:rPr>
          <w:rFonts w:ascii="Palatino Linotype" w:eastAsia="Palatino Linotype" w:hAnsi="Palatino Linotype" w:cs="Palatino Linotype"/>
        </w:rPr>
      </w:pPr>
    </w:p>
    <w:p w14:paraId="3773AF52" w14:textId="77777777" w:rsidR="002C0B39" w:rsidRDefault="002C0B39">
      <w:pPr>
        <w:rPr>
          <w:rFonts w:ascii="Palatino Linotype" w:eastAsia="Palatino Linotype" w:hAnsi="Palatino Linotype" w:cs="Palatino Linotype"/>
        </w:rPr>
      </w:pPr>
    </w:p>
    <w:p w14:paraId="6C19C04B" w14:textId="77777777" w:rsidR="002C0B39" w:rsidRDefault="002C0B39">
      <w:pPr>
        <w:rPr>
          <w:rFonts w:ascii="Palatino Linotype" w:eastAsia="Palatino Linotype" w:hAnsi="Palatino Linotype" w:cs="Palatino Linotype"/>
        </w:rPr>
      </w:pPr>
    </w:p>
    <w:p w14:paraId="32F2DF7A" w14:textId="77777777" w:rsidR="002C0B39" w:rsidRDefault="002C0B39">
      <w:pPr>
        <w:rPr>
          <w:rFonts w:ascii="Palatino Linotype" w:eastAsia="Palatino Linotype" w:hAnsi="Palatino Linotype" w:cs="Palatino Linotype"/>
        </w:rPr>
      </w:pPr>
    </w:p>
    <w:p w14:paraId="2A742A42" w14:textId="77777777" w:rsidR="002C0B39" w:rsidRDefault="002C0B39">
      <w:pPr>
        <w:rPr>
          <w:rFonts w:ascii="Palatino Linotype" w:eastAsia="Palatino Linotype" w:hAnsi="Palatino Linotype" w:cs="Palatino Linotype"/>
        </w:rPr>
      </w:pPr>
    </w:p>
    <w:p w14:paraId="4585DEC6" w14:textId="77777777" w:rsidR="002C0B39" w:rsidRDefault="002C0B39">
      <w:pPr>
        <w:rPr>
          <w:rFonts w:ascii="Palatino Linotype" w:eastAsia="Palatino Linotype" w:hAnsi="Palatino Linotype" w:cs="Palatino Linotype"/>
        </w:rPr>
      </w:pPr>
    </w:p>
    <w:p w14:paraId="3BC01FA2" w14:textId="77777777" w:rsidR="002C0B39" w:rsidRDefault="002C0B39">
      <w:pPr>
        <w:rPr>
          <w:rFonts w:ascii="Palatino Linotype" w:eastAsia="Palatino Linotype" w:hAnsi="Palatino Linotype" w:cs="Palatino Linotype"/>
        </w:rPr>
      </w:pPr>
    </w:p>
    <w:p w14:paraId="548A4B30" w14:textId="77777777" w:rsidR="002C0B39" w:rsidRDefault="002C0B39">
      <w:pPr>
        <w:rPr>
          <w:rFonts w:ascii="Palatino Linotype" w:eastAsia="Palatino Linotype" w:hAnsi="Palatino Linotype" w:cs="Palatino Linotype"/>
        </w:rPr>
      </w:pPr>
    </w:p>
    <w:p w14:paraId="58735943" w14:textId="77777777" w:rsidR="002C0B39" w:rsidRDefault="002C0B39">
      <w:pPr>
        <w:rPr>
          <w:rFonts w:ascii="Palatino Linotype" w:eastAsia="Palatino Linotype" w:hAnsi="Palatino Linotype" w:cs="Palatino Linotype"/>
        </w:rPr>
      </w:pPr>
    </w:p>
    <w:p w14:paraId="5C343D99" w14:textId="77777777" w:rsidR="002C0B39" w:rsidRDefault="002C0B39">
      <w:pPr>
        <w:rPr>
          <w:rFonts w:ascii="Palatino Linotype" w:eastAsia="Palatino Linotype" w:hAnsi="Palatino Linotype" w:cs="Palatino Linotype"/>
        </w:rPr>
      </w:pPr>
    </w:p>
    <w:p w14:paraId="5B2C03C0" w14:textId="77777777" w:rsidR="002C0B39" w:rsidRDefault="00C8624E">
      <w:pPr>
        <w:tabs>
          <w:tab w:val="left" w:pos="1842"/>
        </w:tabs>
        <w:rPr>
          <w:rFonts w:ascii="Palatino Linotype" w:eastAsia="Palatino Linotype" w:hAnsi="Palatino Linotype" w:cs="Palatino Linotype"/>
        </w:rPr>
      </w:pPr>
      <w:r>
        <w:rPr>
          <w:rFonts w:ascii="Palatino Linotype" w:eastAsia="Palatino Linotype" w:hAnsi="Palatino Linotype" w:cs="Palatino Linotype"/>
        </w:rPr>
        <w:tab/>
      </w:r>
    </w:p>
    <w:sectPr w:rsidR="002C0B39">
      <w:headerReference w:type="default" r:id="rId13"/>
      <w:footerReference w:type="default" r:id="rId14"/>
      <w:headerReference w:type="first" r:id="rId15"/>
      <w:footerReference w:type="first" r:id="rId16"/>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4DFC" w14:textId="77777777" w:rsidR="003368C0" w:rsidRDefault="003368C0">
      <w:r>
        <w:separator/>
      </w:r>
    </w:p>
  </w:endnote>
  <w:endnote w:type="continuationSeparator" w:id="0">
    <w:p w14:paraId="18FB513C" w14:textId="77777777" w:rsidR="003368C0" w:rsidRDefault="0033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53B2" w14:textId="77777777" w:rsidR="002C0B39" w:rsidRDefault="00C862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23D6">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23D6">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6340D25E" w14:textId="77777777" w:rsidR="002C0B39" w:rsidRDefault="002C0B3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F934" w14:textId="77777777" w:rsidR="002C0B39" w:rsidRDefault="00C862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23D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23D6">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338AFCE2" w14:textId="77777777" w:rsidR="002C0B39" w:rsidRDefault="002C0B3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2726" w14:textId="77777777" w:rsidR="003368C0" w:rsidRDefault="003368C0">
      <w:r>
        <w:separator/>
      </w:r>
    </w:p>
  </w:footnote>
  <w:footnote w:type="continuationSeparator" w:id="0">
    <w:p w14:paraId="0FCB2F5D" w14:textId="77777777" w:rsidR="003368C0" w:rsidRDefault="0033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B110" w14:textId="77777777" w:rsidR="002C0B39" w:rsidRDefault="00C8624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09147261" wp14:editId="70749674">
          <wp:simplePos x="0" y="0"/>
          <wp:positionH relativeFrom="margin">
            <wp:posOffset>-375919</wp:posOffset>
          </wp:positionH>
          <wp:positionV relativeFrom="margin">
            <wp:posOffset>-1220835</wp:posOffset>
          </wp:positionV>
          <wp:extent cx="5791835" cy="754189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d"/>
      <w:tblW w:w="6662" w:type="dxa"/>
      <w:tblInd w:w="2694" w:type="dxa"/>
      <w:tblLayout w:type="fixed"/>
      <w:tblLook w:val="0400" w:firstRow="0" w:lastRow="0" w:firstColumn="0" w:lastColumn="0" w:noHBand="0" w:noVBand="1"/>
    </w:tblPr>
    <w:tblGrid>
      <w:gridCol w:w="2835"/>
      <w:gridCol w:w="3827"/>
    </w:tblGrid>
    <w:tr w:rsidR="002C0B39" w14:paraId="6C247336" w14:textId="77777777">
      <w:tc>
        <w:tcPr>
          <w:tcW w:w="2835" w:type="dxa"/>
          <w:shd w:val="clear" w:color="auto" w:fill="auto"/>
          <w:vAlign w:val="center"/>
        </w:tcPr>
        <w:p w14:paraId="460E8C80"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3730F499"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03683/INFOEM/IP/RR/2023</w:t>
          </w:r>
        </w:p>
      </w:tc>
    </w:tr>
    <w:tr w:rsidR="002C0B39" w14:paraId="57DA098A" w14:textId="77777777">
      <w:trPr>
        <w:trHeight w:val="228"/>
      </w:trPr>
      <w:tc>
        <w:tcPr>
          <w:tcW w:w="2835" w:type="dxa"/>
          <w:shd w:val="clear" w:color="auto" w:fill="auto"/>
          <w:vAlign w:val="center"/>
        </w:tcPr>
        <w:p w14:paraId="4D64D275"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2FEAA573" w14:textId="347F9EDA" w:rsidR="002C0B39" w:rsidRDefault="00DD6C5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la Función Registral del Estado de México</w:t>
          </w:r>
        </w:p>
      </w:tc>
    </w:tr>
    <w:tr w:rsidR="002C0B39" w14:paraId="3F750498" w14:textId="77777777">
      <w:tc>
        <w:tcPr>
          <w:tcW w:w="2835" w:type="dxa"/>
          <w:shd w:val="clear" w:color="auto" w:fill="auto"/>
          <w:vAlign w:val="center"/>
        </w:tcPr>
        <w:p w14:paraId="62ACC806"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198286AB" w14:textId="77777777" w:rsidR="002C0B39" w:rsidRDefault="00C8624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073E1716" w14:textId="77777777" w:rsidR="002C0B39" w:rsidRDefault="00C8624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663C" w14:textId="77777777" w:rsidR="002C0B39" w:rsidRDefault="003368C0">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43BCD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e"/>
      <w:tblW w:w="6661" w:type="dxa"/>
      <w:tblInd w:w="2694" w:type="dxa"/>
      <w:tblLayout w:type="fixed"/>
      <w:tblLook w:val="0400" w:firstRow="0" w:lastRow="0" w:firstColumn="0" w:lastColumn="0" w:noHBand="0" w:noVBand="1"/>
    </w:tblPr>
    <w:tblGrid>
      <w:gridCol w:w="2693"/>
      <w:gridCol w:w="3968"/>
    </w:tblGrid>
    <w:tr w:rsidR="002C0B39" w14:paraId="19819EA4" w14:textId="77777777">
      <w:tc>
        <w:tcPr>
          <w:tcW w:w="2693" w:type="dxa"/>
          <w:shd w:val="clear" w:color="auto" w:fill="auto"/>
          <w:vAlign w:val="center"/>
        </w:tcPr>
        <w:p w14:paraId="2040F4C6"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76FB15D6"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03683/INFOEM/IP/RR/2023</w:t>
          </w:r>
        </w:p>
      </w:tc>
    </w:tr>
    <w:tr w:rsidR="002C0B39" w14:paraId="012FE362" w14:textId="77777777">
      <w:tc>
        <w:tcPr>
          <w:tcW w:w="2693" w:type="dxa"/>
          <w:shd w:val="clear" w:color="auto" w:fill="auto"/>
          <w:vAlign w:val="center"/>
        </w:tcPr>
        <w:p w14:paraId="1CAFC2A3"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1DCA9E84" w14:textId="40E1A60F" w:rsidR="002C0B39" w:rsidRDefault="00791A0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 XXX</w:t>
          </w:r>
        </w:p>
      </w:tc>
    </w:tr>
    <w:tr w:rsidR="002C0B39" w14:paraId="0FA4C386" w14:textId="77777777">
      <w:trPr>
        <w:trHeight w:val="228"/>
      </w:trPr>
      <w:tc>
        <w:tcPr>
          <w:tcW w:w="2693" w:type="dxa"/>
          <w:shd w:val="clear" w:color="auto" w:fill="auto"/>
          <w:vAlign w:val="center"/>
        </w:tcPr>
        <w:p w14:paraId="2532C746"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28138367" w14:textId="77777777" w:rsidR="002C0B39" w:rsidRDefault="00C8624E">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la Función Registral del Estado de México</w:t>
          </w:r>
        </w:p>
      </w:tc>
    </w:tr>
    <w:tr w:rsidR="002C0B39" w14:paraId="312D0718" w14:textId="77777777">
      <w:tc>
        <w:tcPr>
          <w:tcW w:w="2693" w:type="dxa"/>
          <w:shd w:val="clear" w:color="auto" w:fill="auto"/>
          <w:vAlign w:val="center"/>
        </w:tcPr>
        <w:p w14:paraId="3EEDB73F" w14:textId="77777777" w:rsidR="002C0B39" w:rsidRDefault="00C8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409BB9A0" w14:textId="77777777" w:rsidR="002C0B39" w:rsidRDefault="00C8624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2775E0A3" w14:textId="77777777" w:rsidR="002C0B39" w:rsidRDefault="002C0B39">
    <w:pPr>
      <w:pBdr>
        <w:top w:val="nil"/>
        <w:left w:val="nil"/>
        <w:bottom w:val="nil"/>
        <w:right w:val="nil"/>
        <w:between w:val="nil"/>
      </w:pBdr>
      <w:tabs>
        <w:tab w:val="center" w:pos="4252"/>
        <w:tab w:val="right" w:pos="8504"/>
      </w:tabs>
      <w:rPr>
        <w:rFonts w:ascii="Calibri" w:eastAsia="Calibri" w:hAnsi="Calibri" w:cs="Calibri"/>
        <w:color w:val="000000"/>
      </w:rPr>
    </w:pPr>
  </w:p>
  <w:p w14:paraId="70379A8A" w14:textId="77777777" w:rsidR="002C0B39" w:rsidRDefault="002C0B3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5073"/>
    <w:multiLevelType w:val="multilevel"/>
    <w:tmpl w:val="28F4A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C1253E"/>
    <w:multiLevelType w:val="multilevel"/>
    <w:tmpl w:val="F7AC1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4A031D"/>
    <w:multiLevelType w:val="multilevel"/>
    <w:tmpl w:val="3EDA9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1D748A"/>
    <w:multiLevelType w:val="multilevel"/>
    <w:tmpl w:val="5B8697C6"/>
    <w:lvl w:ilvl="0">
      <w:start w:val="1"/>
      <w:numFmt w:val="lowerLetter"/>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E2797E"/>
    <w:multiLevelType w:val="multilevel"/>
    <w:tmpl w:val="55A032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2908068">
    <w:abstractNumId w:val="4"/>
  </w:num>
  <w:num w:numId="2" w16cid:durableId="1113138029">
    <w:abstractNumId w:val="1"/>
  </w:num>
  <w:num w:numId="3" w16cid:durableId="2128087110">
    <w:abstractNumId w:val="2"/>
  </w:num>
  <w:num w:numId="4" w16cid:durableId="189416549">
    <w:abstractNumId w:val="3"/>
  </w:num>
  <w:num w:numId="5" w16cid:durableId="114531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39"/>
    <w:rsid w:val="002B5B70"/>
    <w:rsid w:val="002C0B39"/>
    <w:rsid w:val="003368C0"/>
    <w:rsid w:val="004D7A37"/>
    <w:rsid w:val="005823D6"/>
    <w:rsid w:val="0066561B"/>
    <w:rsid w:val="00791A0F"/>
    <w:rsid w:val="00C8624E"/>
    <w:rsid w:val="00D035F7"/>
    <w:rsid w:val="00DD6C53"/>
    <w:rsid w:val="00FE3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5542A"/>
  <w15:docId w15:val="{B4E389CD-DDC5-415C-B3C3-6D5FB82B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0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E5DFB"/>
    <w:rPr>
      <w:color w:val="0000FF" w:themeColor="hyperlink"/>
      <w:u w:val="single"/>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035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66766">
      <w:bodyDiv w:val="1"/>
      <w:marLeft w:val="0"/>
      <w:marRight w:val="0"/>
      <w:marTop w:val="0"/>
      <w:marBottom w:val="0"/>
      <w:divBdr>
        <w:top w:val="none" w:sz="0" w:space="0" w:color="auto"/>
        <w:left w:val="none" w:sz="0" w:space="0" w:color="auto"/>
        <w:bottom w:val="none" w:sz="0" w:space="0" w:color="auto"/>
        <w:right w:val="none" w:sz="0" w:space="0" w:color="auto"/>
      </w:divBdr>
      <w:divsChild>
        <w:div w:id="1994329279">
          <w:marLeft w:val="-28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aimex.org.mx/saimex/solicitud/downloadAttach/1843427.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Z1i/3wqnxWl+jywGp5ABjecog==">CgMxLjAyCGguZ2pkZ3hzMgloLjF0M2g1c2YyCWguMzBqMHpsbDIJaC4zem55c2g3MgloLjJldDkycDAyCGgudHlqY3d0MgloLjFmb2I5dGUyCWguMjZpbjFyZzIJaC4zZHk2dmttOAByITF2dTA1WEV3ajYtUkVSR3lma0NwcHZmelpfalB3bUxaSg==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5491</Words>
  <Characters>30202</Characters>
  <Application>Microsoft Office Word</Application>
  <DocSecurity>0</DocSecurity>
  <Lines>251</Lines>
  <Paragraphs>71</Paragraphs>
  <ScaleCrop>false</ScaleCrop>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inf03m612@outlook.com</cp:lastModifiedBy>
  <cp:revision>7</cp:revision>
  <dcterms:created xsi:type="dcterms:W3CDTF">2024-09-18T16:49:00Z</dcterms:created>
  <dcterms:modified xsi:type="dcterms:W3CDTF">2024-10-16T19:59:00Z</dcterms:modified>
</cp:coreProperties>
</file>