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B41D2" w14:textId="026C2709" w:rsidR="00132654" w:rsidRPr="00F40808" w:rsidRDefault="00132654" w:rsidP="00132654">
      <w:pPr>
        <w:pBdr>
          <w:top w:val="nil"/>
          <w:left w:val="nil"/>
          <w:bottom w:val="nil"/>
          <w:right w:val="nil"/>
          <w:between w:val="nil"/>
        </w:pBdr>
        <w:contextualSpacing/>
        <w:rPr>
          <w:rFonts w:eastAsia="Palatino Linotype" w:cs="Palatino Linotype"/>
          <w:color w:val="000000"/>
          <w:szCs w:val="24"/>
        </w:rPr>
      </w:pPr>
      <w:bookmarkStart w:id="0" w:name="_Hlk176875251"/>
      <w:bookmarkEnd w:id="0"/>
      <w:r w:rsidRPr="00F40808">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México, a </w:t>
      </w:r>
      <w:r w:rsidR="000E1D73" w:rsidRPr="00F40808">
        <w:rPr>
          <w:rFonts w:eastAsia="Palatino Linotype" w:cs="Palatino Linotype"/>
          <w:color w:val="000000"/>
          <w:szCs w:val="24"/>
        </w:rPr>
        <w:t xml:space="preserve">veinticinco </w:t>
      </w:r>
      <w:r w:rsidRPr="00F40808">
        <w:rPr>
          <w:rFonts w:eastAsia="Palatino Linotype" w:cs="Palatino Linotype"/>
          <w:color w:val="000000"/>
          <w:szCs w:val="24"/>
        </w:rPr>
        <w:t>de septiembre de dos mil veinticuatro.</w:t>
      </w:r>
    </w:p>
    <w:p w14:paraId="7EB8E635" w14:textId="77777777" w:rsidR="00132654" w:rsidRPr="00F40808" w:rsidRDefault="00132654" w:rsidP="00132654">
      <w:pPr>
        <w:pBdr>
          <w:top w:val="nil"/>
          <w:left w:val="nil"/>
          <w:bottom w:val="nil"/>
          <w:right w:val="nil"/>
          <w:between w:val="nil"/>
        </w:pBdr>
        <w:contextualSpacing/>
        <w:rPr>
          <w:rFonts w:eastAsia="Palatino Linotype" w:cs="Palatino Linotype"/>
          <w:color w:val="000000"/>
          <w:szCs w:val="24"/>
        </w:rPr>
      </w:pPr>
    </w:p>
    <w:p w14:paraId="1664860E" w14:textId="014E2A9E" w:rsidR="00132654" w:rsidRPr="00F40808" w:rsidRDefault="00132654" w:rsidP="00132654">
      <w:pPr>
        <w:pBdr>
          <w:top w:val="nil"/>
          <w:left w:val="nil"/>
          <w:bottom w:val="nil"/>
          <w:right w:val="nil"/>
          <w:between w:val="nil"/>
        </w:pBdr>
        <w:contextualSpacing/>
        <w:rPr>
          <w:rFonts w:eastAsia="Palatino Linotype" w:cs="Palatino Linotype"/>
          <w:color w:val="000000"/>
          <w:szCs w:val="24"/>
        </w:rPr>
      </w:pPr>
      <w:r w:rsidRPr="00F40808">
        <w:rPr>
          <w:rFonts w:eastAsia="Palatino Linotype" w:cs="Palatino Linotype"/>
          <w:b/>
          <w:color w:val="000000"/>
          <w:szCs w:val="24"/>
        </w:rPr>
        <w:t>VISTO</w:t>
      </w:r>
      <w:r w:rsidRPr="00F40808">
        <w:rPr>
          <w:rFonts w:eastAsia="Palatino Linotype" w:cs="Palatino Linotype"/>
          <w:color w:val="000000"/>
          <w:szCs w:val="24"/>
        </w:rPr>
        <w:t xml:space="preserve"> el expediente electrónico formado con motivo del recurso de revisión número </w:t>
      </w:r>
      <w:r w:rsidRPr="00F40808">
        <w:rPr>
          <w:rFonts w:eastAsia="Palatino Linotype" w:cs="Palatino Linotype"/>
          <w:b/>
          <w:color w:val="000000"/>
          <w:szCs w:val="24"/>
        </w:rPr>
        <w:t>04820/INFOEM/IP/RR/2024</w:t>
      </w:r>
      <w:r w:rsidRPr="00F40808">
        <w:rPr>
          <w:rFonts w:eastAsia="Palatino Linotype" w:cs="Palatino Linotype"/>
          <w:color w:val="000000"/>
          <w:szCs w:val="24"/>
        </w:rPr>
        <w:t>, interpuesto por</w:t>
      </w:r>
      <w:r w:rsidRPr="00F40808">
        <w:rPr>
          <w:rFonts w:cs="Arial"/>
          <w:b/>
          <w:szCs w:val="24"/>
        </w:rPr>
        <w:t xml:space="preserve"> </w:t>
      </w:r>
      <w:r w:rsidR="005E522F" w:rsidRPr="00F40808">
        <w:rPr>
          <w:rFonts w:cs="Arial"/>
          <w:b/>
          <w:szCs w:val="24"/>
        </w:rPr>
        <w:t>XXXXXXXXXXXXXXXXXXXXXX</w:t>
      </w:r>
      <w:r w:rsidRPr="00F40808">
        <w:rPr>
          <w:rFonts w:cs="Arial"/>
          <w:szCs w:val="24"/>
        </w:rPr>
        <w:t xml:space="preserve">, </w:t>
      </w:r>
      <w:r w:rsidRPr="00F40808">
        <w:rPr>
          <w:rFonts w:eastAsia="Palatino Linotype" w:cs="Palatino Linotype"/>
          <w:color w:val="000000"/>
          <w:szCs w:val="24"/>
        </w:rPr>
        <w:t xml:space="preserve">en lo sucesivo la </w:t>
      </w:r>
      <w:r w:rsidRPr="00F40808">
        <w:rPr>
          <w:rFonts w:eastAsia="Palatino Linotype" w:cs="Palatino Linotype"/>
          <w:b/>
          <w:color w:val="000000"/>
          <w:szCs w:val="24"/>
        </w:rPr>
        <w:t>Recurrente</w:t>
      </w:r>
      <w:r w:rsidRPr="00F40808">
        <w:rPr>
          <w:rFonts w:eastAsia="Palatino Linotype" w:cs="Palatino Linotype"/>
          <w:color w:val="000000"/>
          <w:szCs w:val="24"/>
        </w:rPr>
        <w:t>, en contra de la respuesta del</w:t>
      </w:r>
      <w:r w:rsidRPr="00F40808">
        <w:rPr>
          <w:rFonts w:eastAsia="Palatino Linotype" w:cs="Palatino Linotype"/>
          <w:b/>
          <w:color w:val="000000"/>
          <w:szCs w:val="24"/>
        </w:rPr>
        <w:t xml:space="preserve"> </w:t>
      </w:r>
      <w:r w:rsidRPr="00F40808">
        <w:rPr>
          <w:b/>
          <w:bCs/>
          <w:color w:val="000000"/>
          <w:szCs w:val="24"/>
        </w:rPr>
        <w:t xml:space="preserve">Ayuntamiento de Tultepec, </w:t>
      </w:r>
      <w:r w:rsidRPr="00F40808">
        <w:rPr>
          <w:rFonts w:eastAsia="Palatino Linotype" w:cs="Palatino Linotype"/>
          <w:color w:val="000000"/>
          <w:szCs w:val="24"/>
        </w:rPr>
        <w:t>en lo subsecuente</w:t>
      </w:r>
      <w:r w:rsidRPr="00F40808">
        <w:rPr>
          <w:rFonts w:eastAsia="Palatino Linotype" w:cs="Palatino Linotype"/>
          <w:b/>
          <w:color w:val="000000"/>
          <w:szCs w:val="24"/>
        </w:rPr>
        <w:t xml:space="preserve"> </w:t>
      </w:r>
      <w:r w:rsidRPr="00F40808">
        <w:rPr>
          <w:rFonts w:eastAsia="Palatino Linotype" w:cs="Palatino Linotype"/>
          <w:color w:val="000000"/>
          <w:szCs w:val="24"/>
        </w:rPr>
        <w:t>el</w:t>
      </w:r>
      <w:r w:rsidRPr="00F40808">
        <w:rPr>
          <w:rFonts w:eastAsia="Palatino Linotype" w:cs="Palatino Linotype"/>
          <w:b/>
          <w:color w:val="000000"/>
          <w:szCs w:val="24"/>
        </w:rPr>
        <w:t xml:space="preserve"> Sujeto Obligado, </w:t>
      </w:r>
      <w:r w:rsidRPr="00F40808">
        <w:rPr>
          <w:rFonts w:eastAsia="Palatino Linotype" w:cs="Palatino Linotype"/>
          <w:color w:val="000000"/>
          <w:szCs w:val="24"/>
        </w:rPr>
        <w:t>se procede a dictar la presente resolución.</w:t>
      </w:r>
    </w:p>
    <w:p w14:paraId="297771DF" w14:textId="77777777" w:rsidR="00132654" w:rsidRPr="00F40808" w:rsidRDefault="00132654" w:rsidP="00132654">
      <w:pPr>
        <w:pBdr>
          <w:top w:val="nil"/>
          <w:left w:val="nil"/>
          <w:bottom w:val="nil"/>
          <w:right w:val="nil"/>
          <w:between w:val="nil"/>
        </w:pBdr>
        <w:contextualSpacing/>
        <w:rPr>
          <w:rFonts w:eastAsia="Palatino Linotype" w:cs="Palatino Linotype"/>
          <w:color w:val="000000"/>
          <w:szCs w:val="24"/>
        </w:rPr>
      </w:pPr>
    </w:p>
    <w:p w14:paraId="63A81C9E" w14:textId="21796E43" w:rsidR="00132654" w:rsidRPr="00F40808" w:rsidRDefault="00132654" w:rsidP="005A7EC5">
      <w:pPr>
        <w:pStyle w:val="Ttulo1"/>
        <w:jc w:val="center"/>
        <w:rPr>
          <w:rFonts w:ascii="Palatino Linotype" w:eastAsia="Palatino Linotype" w:hAnsi="Palatino Linotype"/>
          <w:b/>
          <w:bCs/>
          <w:color w:val="auto"/>
          <w:sz w:val="28"/>
          <w:szCs w:val="28"/>
        </w:rPr>
      </w:pPr>
      <w:r w:rsidRPr="00F40808">
        <w:rPr>
          <w:rFonts w:ascii="Palatino Linotype" w:eastAsia="Palatino Linotype" w:hAnsi="Palatino Linotype"/>
          <w:b/>
          <w:bCs/>
          <w:color w:val="auto"/>
          <w:sz w:val="28"/>
          <w:szCs w:val="28"/>
        </w:rPr>
        <w:t>A N T E C E D E N T E S</w:t>
      </w:r>
    </w:p>
    <w:p w14:paraId="435EC8E4" w14:textId="77777777" w:rsidR="00132654" w:rsidRPr="00F40808" w:rsidRDefault="00132654" w:rsidP="00132654">
      <w:pPr>
        <w:pStyle w:val="Ttulo2"/>
        <w:rPr>
          <w:rFonts w:eastAsia="Palatino Linotype"/>
          <w:b/>
          <w:bCs/>
        </w:rPr>
      </w:pPr>
      <w:r w:rsidRPr="00F40808">
        <w:rPr>
          <w:rFonts w:ascii="Palatino Linotype" w:eastAsia="Palatino Linotype" w:hAnsi="Palatino Linotype"/>
          <w:b/>
          <w:bCs/>
          <w:color w:val="auto"/>
          <w:sz w:val="24"/>
          <w:szCs w:val="24"/>
        </w:rPr>
        <w:t>PRIMERO. De la Solicitud de Información</w:t>
      </w:r>
      <w:r w:rsidRPr="00F40808">
        <w:rPr>
          <w:rFonts w:eastAsia="Palatino Linotype"/>
          <w:b/>
          <w:bCs/>
        </w:rPr>
        <w:t>.</w:t>
      </w:r>
    </w:p>
    <w:p w14:paraId="264DB775" w14:textId="070909A4" w:rsidR="00132654" w:rsidRPr="00F40808" w:rsidRDefault="00132654" w:rsidP="00132654">
      <w:pPr>
        <w:pBdr>
          <w:top w:val="nil"/>
          <w:left w:val="nil"/>
          <w:bottom w:val="nil"/>
          <w:right w:val="nil"/>
          <w:between w:val="nil"/>
        </w:pBdr>
        <w:contextualSpacing/>
        <w:rPr>
          <w:rFonts w:eastAsia="Palatino Linotype" w:cs="Palatino Linotype"/>
          <w:color w:val="000000"/>
          <w:szCs w:val="24"/>
        </w:rPr>
      </w:pPr>
      <w:r w:rsidRPr="00F40808">
        <w:rPr>
          <w:rFonts w:eastAsia="Palatino Linotype" w:cs="Palatino Linotype"/>
          <w:color w:val="000000"/>
          <w:szCs w:val="24"/>
        </w:rPr>
        <w:t xml:space="preserve">Con fecha cinco de agosto de dos mil veinticuatro, el Recurrente presentó mediante la Plataforma Nacional de Trasparencia (PNT), la cual guarda relación con el Sistema de Acceso a la Información Mexiquense (SAIMEX), solicitud de información registrada con el número de </w:t>
      </w:r>
      <w:r w:rsidRPr="00F40808">
        <w:rPr>
          <w:rFonts w:eastAsia="Palatino Linotype" w:cs="Palatino Linotype"/>
          <w:szCs w:val="24"/>
        </w:rPr>
        <w:t>expediente</w:t>
      </w:r>
      <w:r w:rsidRPr="00F40808">
        <w:rPr>
          <w:rFonts w:ascii="Verdana" w:hAnsi="Verdana"/>
          <w:b/>
          <w:bCs/>
          <w:color w:val="FF0000"/>
        </w:rPr>
        <w:t> </w:t>
      </w:r>
      <w:r w:rsidRPr="00F40808">
        <w:rPr>
          <w:b/>
          <w:bCs/>
          <w:szCs w:val="24"/>
        </w:rPr>
        <w:t>00093/TULTEPEC/IP/2024</w:t>
      </w:r>
      <w:r w:rsidRPr="00F40808">
        <w:rPr>
          <w:rFonts w:eastAsia="Palatino Linotype" w:cs="Palatino Linotype"/>
          <w:szCs w:val="24"/>
        </w:rPr>
        <w:t>,</w:t>
      </w:r>
      <w:r w:rsidRPr="00F40808">
        <w:rPr>
          <w:rFonts w:eastAsia="Palatino Linotype" w:cs="Palatino Linotype"/>
          <w:b/>
          <w:szCs w:val="24"/>
        </w:rPr>
        <w:t xml:space="preserve"> </w:t>
      </w:r>
      <w:r w:rsidRPr="00F40808">
        <w:rPr>
          <w:rFonts w:eastAsia="Palatino Linotype" w:cs="Palatino Linotype"/>
          <w:color w:val="000000"/>
          <w:szCs w:val="24"/>
        </w:rPr>
        <w:t>mediante la cual solicitó información en el tenor siguiente:</w:t>
      </w:r>
    </w:p>
    <w:p w14:paraId="0E83DB2C" w14:textId="77777777" w:rsidR="00132654" w:rsidRPr="00F40808" w:rsidRDefault="00132654" w:rsidP="00132654">
      <w:pPr>
        <w:pBdr>
          <w:top w:val="nil"/>
          <w:left w:val="nil"/>
          <w:bottom w:val="nil"/>
          <w:right w:val="nil"/>
          <w:between w:val="nil"/>
        </w:pBdr>
        <w:contextualSpacing/>
        <w:rPr>
          <w:rFonts w:eastAsia="Palatino Linotype" w:cs="Palatino Linotype"/>
          <w:color w:val="000000"/>
          <w:szCs w:val="24"/>
        </w:rPr>
      </w:pPr>
    </w:p>
    <w:p w14:paraId="737BEE63" w14:textId="622E5DB4" w:rsidR="00132654" w:rsidRPr="00F40808" w:rsidRDefault="00132654" w:rsidP="00132654">
      <w:pPr>
        <w:pStyle w:val="Fundamentos"/>
        <w:spacing w:line="360" w:lineRule="auto"/>
        <w:rPr>
          <w:sz w:val="24"/>
        </w:rPr>
      </w:pPr>
      <w:r w:rsidRPr="00F40808">
        <w:rPr>
          <w:sz w:val="24"/>
        </w:rPr>
        <w:t xml:space="preserve">“Solicito la siguiente </w:t>
      </w:r>
      <w:proofErr w:type="spellStart"/>
      <w:r w:rsidRPr="00F40808">
        <w:rPr>
          <w:sz w:val="24"/>
        </w:rPr>
        <w:t>informacion</w:t>
      </w:r>
      <w:proofErr w:type="spellEnd"/>
      <w:r w:rsidRPr="00F40808">
        <w:rPr>
          <w:sz w:val="24"/>
        </w:rPr>
        <w:t xml:space="preserve">: Lista de las obras publicas que se han realizado en el Municipio de Tultepec en la administración 2022- 2024. Lista de todas las licitaciones con el nombre de cada una de las empresas que participó en el concurso para obtener las construcciones de las obras publicas que se han realizado en el Municipio de Tultepec, en la administración 2022- 2024. Presupuesto para las Obras </w:t>
      </w:r>
      <w:r w:rsidRPr="00F40808">
        <w:rPr>
          <w:sz w:val="24"/>
        </w:rPr>
        <w:lastRenderedPageBreak/>
        <w:t xml:space="preserve">Públicas que se realizaron en el Municipio de Tultepec, en la administración 2022- 2024. Gasto real de cada una de las Obras Públicas que se realizaron en el Municipio de Tultepec, en la administración 2022- 2024. </w:t>
      </w:r>
      <w:proofErr w:type="gramStart"/>
      <w:r w:rsidRPr="00F40808">
        <w:rPr>
          <w:sz w:val="24"/>
        </w:rPr>
        <w:t>se</w:t>
      </w:r>
      <w:proofErr w:type="gramEnd"/>
      <w:r w:rsidRPr="00F40808">
        <w:rPr>
          <w:sz w:val="24"/>
        </w:rPr>
        <w:t xml:space="preserve"> informe cuantas empresas diferentes han realizado las obras</w:t>
      </w:r>
      <w:r w:rsidR="004A73A7" w:rsidRPr="00F40808">
        <w:rPr>
          <w:sz w:val="24"/>
        </w:rPr>
        <w:t xml:space="preserve"> </w:t>
      </w:r>
      <w:r w:rsidRPr="00F40808">
        <w:rPr>
          <w:sz w:val="24"/>
        </w:rPr>
        <w:t>publicas que se han realizado en el Municipio de Tultepec en la administración 2022- 2024, y se envíe listado de cada una de ellas.</w:t>
      </w:r>
      <w:r w:rsidRPr="00F40808">
        <w:rPr>
          <w:rFonts w:ascii="Verdana" w:hAnsi="Verdana"/>
          <w:sz w:val="14"/>
          <w:szCs w:val="14"/>
        </w:rPr>
        <w:t>.</w:t>
      </w:r>
      <w:r w:rsidRPr="00F40808">
        <w:rPr>
          <w:sz w:val="24"/>
        </w:rPr>
        <w:t>”  (Sic)</w:t>
      </w:r>
    </w:p>
    <w:p w14:paraId="74755023" w14:textId="77777777" w:rsidR="00132654" w:rsidRPr="00F40808" w:rsidRDefault="00132654" w:rsidP="00132654">
      <w:pPr>
        <w:pBdr>
          <w:top w:val="nil"/>
          <w:left w:val="nil"/>
          <w:bottom w:val="nil"/>
          <w:right w:val="nil"/>
          <w:between w:val="nil"/>
        </w:pBdr>
        <w:contextualSpacing/>
        <w:rPr>
          <w:rFonts w:eastAsia="Palatino Linotype" w:cs="Palatino Linotype"/>
          <w:color w:val="000000"/>
          <w:szCs w:val="24"/>
        </w:rPr>
      </w:pPr>
    </w:p>
    <w:p w14:paraId="53903870" w14:textId="110E4F09" w:rsidR="00132654" w:rsidRPr="00F40808" w:rsidRDefault="00132654" w:rsidP="00132654">
      <w:pPr>
        <w:pBdr>
          <w:top w:val="nil"/>
          <w:left w:val="nil"/>
          <w:bottom w:val="nil"/>
          <w:right w:val="nil"/>
          <w:between w:val="nil"/>
        </w:pBdr>
        <w:contextualSpacing/>
        <w:rPr>
          <w:rFonts w:eastAsia="Palatino Linotype" w:cs="Palatino Linotype"/>
          <w:b/>
          <w:color w:val="000000"/>
          <w:szCs w:val="24"/>
        </w:rPr>
      </w:pPr>
      <w:r w:rsidRPr="00F40808">
        <w:rPr>
          <w:rFonts w:eastAsia="Palatino Linotype" w:cs="Palatino Linotype"/>
          <w:color w:val="000000"/>
          <w:szCs w:val="24"/>
        </w:rPr>
        <w:t xml:space="preserve">Modalidad de entrega: </w:t>
      </w:r>
      <w:r w:rsidRPr="00F40808">
        <w:rPr>
          <w:rFonts w:eastAsia="Palatino Linotype" w:cs="Palatino Linotype"/>
          <w:b/>
          <w:bCs/>
          <w:color w:val="000000"/>
          <w:szCs w:val="24"/>
        </w:rPr>
        <w:t>Por correo electrónico y</w:t>
      </w:r>
      <w:r w:rsidRPr="00F40808">
        <w:rPr>
          <w:rFonts w:eastAsia="Palatino Linotype" w:cs="Palatino Linotype"/>
          <w:color w:val="000000"/>
          <w:szCs w:val="24"/>
        </w:rPr>
        <w:t xml:space="preserve"> </w:t>
      </w:r>
      <w:r w:rsidR="00CB2C93" w:rsidRPr="00F40808">
        <w:rPr>
          <w:rFonts w:eastAsia="Palatino Linotype" w:cs="Palatino Linotype"/>
          <w:b/>
          <w:color w:val="000000"/>
          <w:szCs w:val="24"/>
        </w:rPr>
        <w:t>copias simples</w:t>
      </w:r>
      <w:r w:rsidRPr="00F40808">
        <w:rPr>
          <w:rFonts w:eastAsia="Palatino Linotype" w:cs="Palatino Linotype"/>
          <w:color w:val="000000"/>
          <w:szCs w:val="24"/>
        </w:rPr>
        <w:t>.</w:t>
      </w:r>
    </w:p>
    <w:p w14:paraId="5ED205EA" w14:textId="77777777" w:rsidR="00132654" w:rsidRPr="00F40808" w:rsidRDefault="00132654" w:rsidP="00132654">
      <w:pPr>
        <w:pBdr>
          <w:top w:val="nil"/>
          <w:left w:val="nil"/>
          <w:bottom w:val="nil"/>
          <w:right w:val="nil"/>
          <w:between w:val="nil"/>
        </w:pBdr>
        <w:contextualSpacing/>
        <w:rPr>
          <w:rFonts w:eastAsia="Palatino Linotype" w:cs="Palatino Linotype"/>
          <w:color w:val="000000"/>
          <w:szCs w:val="24"/>
        </w:rPr>
      </w:pPr>
    </w:p>
    <w:p w14:paraId="3A39CB0F" w14:textId="77777777" w:rsidR="00132654" w:rsidRPr="00F40808" w:rsidRDefault="00132654" w:rsidP="00132654">
      <w:pPr>
        <w:pStyle w:val="Ttulo2"/>
        <w:rPr>
          <w:rFonts w:ascii="Palatino Linotype" w:eastAsia="Palatino Linotype" w:hAnsi="Palatino Linotype"/>
          <w:b/>
          <w:bCs/>
          <w:color w:val="auto"/>
          <w:sz w:val="28"/>
          <w:szCs w:val="28"/>
        </w:rPr>
      </w:pPr>
      <w:r w:rsidRPr="00F40808">
        <w:rPr>
          <w:rFonts w:ascii="Palatino Linotype" w:eastAsia="Palatino Linotype" w:hAnsi="Palatino Linotype"/>
          <w:b/>
          <w:bCs/>
          <w:color w:val="auto"/>
          <w:sz w:val="28"/>
          <w:szCs w:val="28"/>
        </w:rPr>
        <w:t>SEGUNDO. De la respuesta del Sujeto Obligado.</w:t>
      </w:r>
    </w:p>
    <w:p w14:paraId="02953710" w14:textId="5BF050D9" w:rsidR="00132654" w:rsidRPr="00F40808" w:rsidRDefault="00132654" w:rsidP="00132654">
      <w:pPr>
        <w:pBdr>
          <w:top w:val="nil"/>
          <w:left w:val="nil"/>
          <w:bottom w:val="nil"/>
          <w:right w:val="nil"/>
          <w:between w:val="nil"/>
        </w:pBdr>
        <w:contextualSpacing/>
        <w:rPr>
          <w:rFonts w:eastAsia="Palatino Linotype" w:cs="Palatino Linotype"/>
          <w:color w:val="000000"/>
          <w:szCs w:val="24"/>
        </w:rPr>
      </w:pPr>
      <w:r w:rsidRPr="00F40808">
        <w:rPr>
          <w:rFonts w:eastAsia="Palatino Linotype" w:cs="Palatino Linotype"/>
          <w:color w:val="000000"/>
          <w:szCs w:val="24"/>
        </w:rPr>
        <w:t>De las constancias que obran en el expediente electrónico, se observa que el día siete de marzo de dos mil veinticuatro, el Sujeto Obligado dio respuesta a la solicitud de información manifestando lo siguiente:</w:t>
      </w:r>
    </w:p>
    <w:tbl>
      <w:tblPr>
        <w:tblW w:w="8893" w:type="dxa"/>
        <w:jc w:val="center"/>
        <w:tblCellSpacing w:w="0" w:type="dxa"/>
        <w:tblCellMar>
          <w:left w:w="0" w:type="dxa"/>
          <w:right w:w="0" w:type="dxa"/>
        </w:tblCellMar>
        <w:tblLook w:val="04A0" w:firstRow="1" w:lastRow="0" w:firstColumn="1" w:lastColumn="0" w:noHBand="0" w:noVBand="1"/>
      </w:tblPr>
      <w:tblGrid>
        <w:gridCol w:w="8893"/>
      </w:tblGrid>
      <w:tr w:rsidR="00132654" w:rsidRPr="00F40808" w14:paraId="754E7670" w14:textId="77777777" w:rsidTr="006B0FBF">
        <w:trPr>
          <w:trHeight w:val="276"/>
          <w:tblCellSpacing w:w="0" w:type="dxa"/>
          <w:jc w:val="center"/>
        </w:trPr>
        <w:tc>
          <w:tcPr>
            <w:tcW w:w="0" w:type="auto"/>
            <w:vAlign w:val="center"/>
            <w:hideMark/>
          </w:tcPr>
          <w:p w14:paraId="7FBC4921" w14:textId="635C09AF" w:rsidR="00132654" w:rsidRPr="00F40808" w:rsidRDefault="00132654" w:rsidP="00132654">
            <w:pPr>
              <w:pBdr>
                <w:top w:val="nil"/>
                <w:left w:val="nil"/>
                <w:bottom w:val="nil"/>
                <w:right w:val="nil"/>
                <w:between w:val="nil"/>
              </w:pBdr>
              <w:contextualSpacing/>
              <w:jc w:val="right"/>
              <w:rPr>
                <w:rFonts w:eastAsia="Palatino Linotype" w:cs="Palatino Linotype"/>
                <w:i/>
                <w:iCs/>
                <w:color w:val="000000"/>
                <w:sz w:val="22"/>
                <w:lang w:val="es-MX"/>
              </w:rPr>
            </w:pPr>
            <w:r w:rsidRPr="00F40808">
              <w:rPr>
                <w:rFonts w:eastAsia="Palatino Linotype" w:cs="Palatino Linotype"/>
                <w:i/>
                <w:iCs/>
                <w:color w:val="000000"/>
                <w:sz w:val="22"/>
                <w:lang w:val="es-MX"/>
              </w:rPr>
              <w:t>Tultepec, México a 13 de Agosto de 2024</w:t>
            </w:r>
          </w:p>
        </w:tc>
      </w:tr>
      <w:tr w:rsidR="00132654" w:rsidRPr="00F40808" w14:paraId="72410C62" w14:textId="77777777" w:rsidTr="006B0FBF">
        <w:trPr>
          <w:trHeight w:val="276"/>
          <w:tblCellSpacing w:w="0" w:type="dxa"/>
          <w:jc w:val="center"/>
        </w:trPr>
        <w:tc>
          <w:tcPr>
            <w:tcW w:w="0" w:type="auto"/>
            <w:vAlign w:val="center"/>
            <w:hideMark/>
          </w:tcPr>
          <w:p w14:paraId="5E22A5D7" w14:textId="77777777" w:rsidR="00132654" w:rsidRPr="00F40808" w:rsidRDefault="00132654" w:rsidP="00132654">
            <w:pPr>
              <w:pBdr>
                <w:top w:val="nil"/>
                <w:left w:val="nil"/>
                <w:bottom w:val="nil"/>
                <w:right w:val="nil"/>
                <w:between w:val="nil"/>
              </w:pBdr>
              <w:contextualSpacing/>
              <w:jc w:val="right"/>
              <w:rPr>
                <w:rFonts w:eastAsia="Palatino Linotype" w:cs="Palatino Linotype"/>
                <w:i/>
                <w:iCs/>
                <w:color w:val="000000"/>
                <w:sz w:val="22"/>
                <w:lang w:val="es-MX"/>
              </w:rPr>
            </w:pPr>
            <w:r w:rsidRPr="00F40808">
              <w:rPr>
                <w:rFonts w:eastAsia="Palatino Linotype" w:cs="Palatino Linotype"/>
                <w:i/>
                <w:iCs/>
                <w:color w:val="000000"/>
                <w:sz w:val="22"/>
                <w:lang w:val="es-MX"/>
              </w:rPr>
              <w:t>Nombre del solicitante:</w:t>
            </w:r>
          </w:p>
        </w:tc>
      </w:tr>
      <w:tr w:rsidR="00132654" w:rsidRPr="00F40808" w14:paraId="3D42A51B" w14:textId="77777777" w:rsidTr="006B0FBF">
        <w:trPr>
          <w:trHeight w:val="276"/>
          <w:tblCellSpacing w:w="0" w:type="dxa"/>
          <w:jc w:val="center"/>
        </w:trPr>
        <w:tc>
          <w:tcPr>
            <w:tcW w:w="0" w:type="auto"/>
            <w:vAlign w:val="center"/>
            <w:hideMark/>
          </w:tcPr>
          <w:p w14:paraId="4484FF4A" w14:textId="77777777" w:rsidR="00132654" w:rsidRPr="00F40808" w:rsidRDefault="00132654" w:rsidP="00132654">
            <w:pPr>
              <w:pBdr>
                <w:top w:val="nil"/>
                <w:left w:val="nil"/>
                <w:bottom w:val="nil"/>
                <w:right w:val="nil"/>
                <w:between w:val="nil"/>
              </w:pBdr>
              <w:contextualSpacing/>
              <w:jc w:val="right"/>
              <w:rPr>
                <w:rFonts w:eastAsia="Palatino Linotype" w:cs="Palatino Linotype"/>
                <w:i/>
                <w:iCs/>
                <w:color w:val="000000"/>
                <w:sz w:val="22"/>
                <w:lang w:val="es-MX"/>
              </w:rPr>
            </w:pPr>
            <w:r w:rsidRPr="00F40808">
              <w:rPr>
                <w:rFonts w:eastAsia="Palatino Linotype" w:cs="Palatino Linotype"/>
                <w:i/>
                <w:iCs/>
                <w:color w:val="000000"/>
                <w:sz w:val="22"/>
                <w:lang w:val="es-MX"/>
              </w:rPr>
              <w:t>Folio de la solicitud: 00093/TULTEPEC/IP/2024</w:t>
            </w:r>
          </w:p>
        </w:tc>
      </w:tr>
      <w:tr w:rsidR="00233483" w:rsidRPr="00F40808" w14:paraId="7BBA21CF" w14:textId="77777777" w:rsidTr="006B0FBF">
        <w:trPr>
          <w:trHeight w:val="276"/>
          <w:tblCellSpacing w:w="0" w:type="dxa"/>
          <w:jc w:val="center"/>
        </w:trPr>
        <w:tc>
          <w:tcPr>
            <w:tcW w:w="0" w:type="auto"/>
            <w:vAlign w:val="center"/>
          </w:tcPr>
          <w:p w14:paraId="50983F1D" w14:textId="77777777" w:rsidR="00233483" w:rsidRPr="00F40808" w:rsidRDefault="00233483" w:rsidP="00233483">
            <w:pPr>
              <w:pBdr>
                <w:top w:val="nil"/>
                <w:left w:val="nil"/>
                <w:bottom w:val="nil"/>
                <w:right w:val="nil"/>
                <w:between w:val="nil"/>
              </w:pBdr>
              <w:contextualSpacing/>
              <w:rPr>
                <w:rFonts w:eastAsia="Palatino Linotype" w:cs="Palatino Linotype"/>
                <w:i/>
                <w:iCs/>
                <w:color w:val="000000"/>
                <w:sz w:val="22"/>
                <w:lang w:val="es-MX"/>
              </w:rPr>
            </w:pPr>
          </w:p>
        </w:tc>
      </w:tr>
      <w:tr w:rsidR="00132654" w:rsidRPr="00F40808" w14:paraId="1A818558" w14:textId="77777777" w:rsidTr="006B0FBF">
        <w:trPr>
          <w:trHeight w:val="138"/>
          <w:tblCellSpacing w:w="0" w:type="dxa"/>
          <w:jc w:val="center"/>
        </w:trPr>
        <w:tc>
          <w:tcPr>
            <w:tcW w:w="0" w:type="auto"/>
            <w:vAlign w:val="center"/>
            <w:hideMark/>
          </w:tcPr>
          <w:p w14:paraId="76865541" w14:textId="77777777" w:rsidR="00132654" w:rsidRPr="00F40808" w:rsidRDefault="00132654" w:rsidP="00132654">
            <w:pPr>
              <w:pBdr>
                <w:top w:val="nil"/>
                <w:left w:val="nil"/>
                <w:bottom w:val="nil"/>
                <w:right w:val="nil"/>
                <w:between w:val="nil"/>
              </w:pBdr>
              <w:contextualSpacing/>
              <w:rPr>
                <w:rFonts w:eastAsia="Palatino Linotype" w:cs="Palatino Linotype"/>
                <w:i/>
                <w:iCs/>
                <w:color w:val="000000"/>
                <w:sz w:val="22"/>
                <w:lang w:val="es-MX"/>
              </w:rPr>
            </w:pPr>
            <w:r w:rsidRPr="00F40808">
              <w:rPr>
                <w:rFonts w:eastAsia="Palatino Linotype" w:cs="Palatino Linotype"/>
                <w:i/>
                <w:iCs/>
                <w:color w:val="000000"/>
                <w:sz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132654" w:rsidRPr="00F40808" w14:paraId="7B6114E2" w14:textId="77777777" w:rsidTr="006B0FBF">
        <w:trPr>
          <w:trHeight w:val="138"/>
          <w:tblCellSpacing w:w="0" w:type="dxa"/>
          <w:jc w:val="center"/>
        </w:trPr>
        <w:tc>
          <w:tcPr>
            <w:tcW w:w="0" w:type="auto"/>
            <w:vAlign w:val="center"/>
            <w:hideMark/>
          </w:tcPr>
          <w:p w14:paraId="5DF782C8" w14:textId="2D5A8886" w:rsidR="00132654" w:rsidRPr="00F40808" w:rsidRDefault="00132654" w:rsidP="00132654">
            <w:pPr>
              <w:pBdr>
                <w:top w:val="nil"/>
                <w:left w:val="nil"/>
                <w:bottom w:val="nil"/>
                <w:right w:val="nil"/>
                <w:between w:val="nil"/>
              </w:pBdr>
              <w:contextualSpacing/>
              <w:rPr>
                <w:rFonts w:eastAsia="Palatino Linotype" w:cs="Palatino Linotype"/>
                <w:i/>
                <w:iCs/>
                <w:color w:val="000000"/>
                <w:sz w:val="22"/>
                <w:lang w:val="es-MX"/>
              </w:rPr>
            </w:pPr>
          </w:p>
        </w:tc>
      </w:tr>
    </w:tbl>
    <w:p w14:paraId="58B987FE" w14:textId="77777777" w:rsidR="00132654" w:rsidRPr="00F40808" w:rsidRDefault="00132654" w:rsidP="00132654">
      <w:pPr>
        <w:pBdr>
          <w:top w:val="nil"/>
          <w:left w:val="nil"/>
          <w:bottom w:val="nil"/>
          <w:right w:val="nil"/>
          <w:between w:val="nil"/>
        </w:pBdr>
        <w:contextualSpacing/>
        <w:rPr>
          <w:rFonts w:eastAsia="Palatino Linotype" w:cs="Palatino Linotype"/>
          <w:color w:val="000000"/>
          <w:szCs w:val="24"/>
        </w:rPr>
      </w:pPr>
    </w:p>
    <w:p w14:paraId="6800DB6D" w14:textId="75853CE9" w:rsidR="00132654" w:rsidRPr="00F40808" w:rsidRDefault="00132654" w:rsidP="00132654">
      <w:pPr>
        <w:pBdr>
          <w:top w:val="nil"/>
          <w:left w:val="nil"/>
          <w:bottom w:val="nil"/>
          <w:right w:val="nil"/>
          <w:between w:val="nil"/>
        </w:pBdr>
        <w:contextualSpacing/>
        <w:rPr>
          <w:rFonts w:eastAsia="Palatino Linotype" w:cs="Palatino Linotype"/>
          <w:color w:val="000000"/>
          <w:szCs w:val="24"/>
        </w:rPr>
      </w:pPr>
      <w:r w:rsidRPr="00F40808">
        <w:rPr>
          <w:rFonts w:eastAsia="Palatino Linotype" w:cs="Palatino Linotype"/>
          <w:color w:val="000000"/>
          <w:szCs w:val="24"/>
        </w:rPr>
        <w:t xml:space="preserve">Adicionalmente el Sujeto Obligado anexo </w:t>
      </w:r>
      <w:r w:rsidR="00233483" w:rsidRPr="00F40808">
        <w:rPr>
          <w:rFonts w:eastAsia="Palatino Linotype" w:cs="Palatino Linotype"/>
          <w:color w:val="000000"/>
          <w:szCs w:val="24"/>
        </w:rPr>
        <w:t xml:space="preserve">el </w:t>
      </w:r>
      <w:r w:rsidRPr="00F40808">
        <w:rPr>
          <w:rFonts w:eastAsia="Palatino Linotype" w:cs="Palatino Linotype"/>
          <w:color w:val="000000"/>
          <w:szCs w:val="24"/>
        </w:rPr>
        <w:t>document</w:t>
      </w:r>
      <w:r w:rsidR="00233483" w:rsidRPr="00F40808">
        <w:rPr>
          <w:rFonts w:eastAsia="Palatino Linotype" w:cs="Palatino Linotype"/>
          <w:color w:val="000000"/>
          <w:szCs w:val="24"/>
        </w:rPr>
        <w:t>o</w:t>
      </w:r>
      <w:r w:rsidRPr="00F40808">
        <w:rPr>
          <w:rFonts w:eastAsia="Palatino Linotype" w:cs="Palatino Linotype"/>
          <w:color w:val="000000"/>
          <w:szCs w:val="24"/>
        </w:rPr>
        <w:t xml:space="preserve"> electrónic</w:t>
      </w:r>
      <w:r w:rsidR="00233483" w:rsidRPr="00F40808">
        <w:rPr>
          <w:rFonts w:eastAsia="Palatino Linotype" w:cs="Palatino Linotype"/>
          <w:color w:val="000000"/>
          <w:szCs w:val="24"/>
        </w:rPr>
        <w:t>o</w:t>
      </w:r>
      <w:r w:rsidRPr="00F40808">
        <w:rPr>
          <w:rFonts w:eastAsia="Palatino Linotype" w:cs="Palatino Linotype"/>
          <w:color w:val="000000"/>
          <w:szCs w:val="24"/>
        </w:rPr>
        <w:t xml:space="preserve"> denominad</w:t>
      </w:r>
      <w:r w:rsidR="00233483" w:rsidRPr="00F40808">
        <w:rPr>
          <w:rFonts w:eastAsia="Palatino Linotype" w:cs="Palatino Linotype"/>
          <w:color w:val="000000"/>
          <w:szCs w:val="24"/>
        </w:rPr>
        <w:t>o “</w:t>
      </w:r>
      <w:r w:rsidR="00233483" w:rsidRPr="00F40808">
        <w:rPr>
          <w:rFonts w:eastAsia="Palatino Linotype" w:cs="Palatino Linotype"/>
          <w:b/>
          <w:bCs/>
          <w:i/>
          <w:iCs/>
          <w:color w:val="000000"/>
          <w:szCs w:val="24"/>
        </w:rPr>
        <w:t>00093TULTEPEC2024.zip</w:t>
      </w:r>
      <w:r w:rsidR="00233483" w:rsidRPr="00F40808">
        <w:rPr>
          <w:rFonts w:eastAsia="Palatino Linotype" w:cs="Palatino Linotype"/>
          <w:color w:val="000000"/>
          <w:szCs w:val="24"/>
        </w:rPr>
        <w:t>”el</w:t>
      </w:r>
      <w:r w:rsidRPr="00F40808">
        <w:rPr>
          <w:rFonts w:cs="Arial"/>
          <w:szCs w:val="24"/>
        </w:rPr>
        <w:t xml:space="preserve"> cual será analizado en el considerando respectivo. </w:t>
      </w:r>
    </w:p>
    <w:p w14:paraId="03EEE04F" w14:textId="77777777" w:rsidR="00132654" w:rsidRPr="00F40808" w:rsidRDefault="00132654" w:rsidP="00132654">
      <w:pPr>
        <w:pStyle w:val="Ttulo2"/>
        <w:rPr>
          <w:rFonts w:ascii="Palatino Linotype" w:eastAsia="Palatino Linotype" w:hAnsi="Palatino Linotype"/>
          <w:color w:val="auto"/>
          <w:sz w:val="28"/>
          <w:szCs w:val="28"/>
        </w:rPr>
      </w:pPr>
      <w:r w:rsidRPr="00F40808">
        <w:rPr>
          <w:rFonts w:ascii="Palatino Linotype" w:eastAsia="Palatino Linotype" w:hAnsi="Palatino Linotype"/>
          <w:b/>
          <w:bCs/>
          <w:color w:val="auto"/>
          <w:sz w:val="28"/>
          <w:szCs w:val="28"/>
        </w:rPr>
        <w:lastRenderedPageBreak/>
        <w:t>TERCERO. Del recurso de revisión</w:t>
      </w:r>
      <w:r w:rsidRPr="00F40808">
        <w:rPr>
          <w:rFonts w:ascii="Palatino Linotype" w:eastAsia="Palatino Linotype" w:hAnsi="Palatino Linotype"/>
          <w:color w:val="auto"/>
          <w:sz w:val="28"/>
          <w:szCs w:val="28"/>
        </w:rPr>
        <w:t>.</w:t>
      </w:r>
    </w:p>
    <w:p w14:paraId="7E1FE5E7" w14:textId="11FF29C3" w:rsidR="00132654" w:rsidRPr="00F40808" w:rsidRDefault="00132654" w:rsidP="00132654">
      <w:pPr>
        <w:pBdr>
          <w:top w:val="nil"/>
          <w:left w:val="nil"/>
          <w:bottom w:val="nil"/>
          <w:right w:val="nil"/>
          <w:between w:val="nil"/>
        </w:pBdr>
        <w:contextualSpacing/>
        <w:rPr>
          <w:rFonts w:eastAsia="Palatino Linotype" w:cs="Palatino Linotype"/>
          <w:color w:val="000000"/>
          <w:szCs w:val="24"/>
        </w:rPr>
      </w:pPr>
      <w:r w:rsidRPr="00F40808">
        <w:rPr>
          <w:rFonts w:eastAsia="Palatino Linotype" w:cs="Palatino Linotype"/>
          <w:color w:val="000000"/>
          <w:szCs w:val="24"/>
        </w:rPr>
        <w:t>Inconforme con la respuesta emitida por el Sujeto Obligado, el Recurrente interpuso el presente recurso de revisión el día</w:t>
      </w:r>
      <w:r w:rsidRPr="00F40808">
        <w:rPr>
          <w:rFonts w:eastAsia="Palatino Linotype" w:cs="Palatino Linotype"/>
          <w:b/>
          <w:color w:val="000000"/>
          <w:szCs w:val="24"/>
        </w:rPr>
        <w:t xml:space="preserve"> </w:t>
      </w:r>
      <w:r w:rsidR="00233483" w:rsidRPr="00F40808">
        <w:rPr>
          <w:rFonts w:eastAsia="Palatino Linotype" w:cs="Palatino Linotype"/>
          <w:b/>
          <w:color w:val="000000"/>
          <w:szCs w:val="24"/>
        </w:rPr>
        <w:t>trece de agosto</w:t>
      </w:r>
      <w:r w:rsidRPr="00F40808">
        <w:rPr>
          <w:rFonts w:eastAsia="Palatino Linotype" w:cs="Palatino Linotype"/>
          <w:b/>
          <w:color w:val="000000"/>
          <w:szCs w:val="24"/>
        </w:rPr>
        <w:t xml:space="preserve"> de dos mil veinticuatro</w:t>
      </w:r>
      <w:r w:rsidRPr="00F40808">
        <w:rPr>
          <w:rFonts w:eastAsia="Palatino Linotype" w:cs="Palatino Linotype"/>
          <w:color w:val="000000"/>
          <w:szCs w:val="24"/>
        </w:rPr>
        <w:t xml:space="preserve">, el cual se registró con el expediente número </w:t>
      </w:r>
      <w:r w:rsidRPr="00F40808">
        <w:rPr>
          <w:rFonts w:eastAsia="Palatino Linotype" w:cs="Palatino Linotype"/>
          <w:b/>
          <w:color w:val="000000"/>
          <w:szCs w:val="24"/>
        </w:rPr>
        <w:t>0</w:t>
      </w:r>
      <w:r w:rsidR="00233483" w:rsidRPr="00F40808">
        <w:rPr>
          <w:rFonts w:eastAsia="Palatino Linotype" w:cs="Palatino Linotype"/>
          <w:b/>
          <w:color w:val="000000"/>
          <w:szCs w:val="24"/>
        </w:rPr>
        <w:t>4820</w:t>
      </w:r>
      <w:r w:rsidRPr="00F40808">
        <w:rPr>
          <w:rFonts w:eastAsia="Palatino Linotype" w:cs="Palatino Linotype"/>
          <w:b/>
          <w:color w:val="000000"/>
          <w:szCs w:val="24"/>
        </w:rPr>
        <w:t>/INFOEM/IP/RR/2024</w:t>
      </w:r>
      <w:r w:rsidRPr="00F40808">
        <w:rPr>
          <w:rFonts w:eastAsia="Palatino Linotype" w:cs="Palatino Linotype"/>
          <w:color w:val="000000"/>
          <w:szCs w:val="24"/>
        </w:rPr>
        <w:t>, manifestando lo siguiente:</w:t>
      </w:r>
    </w:p>
    <w:p w14:paraId="28C3B965" w14:textId="77777777" w:rsidR="00132654" w:rsidRPr="00F40808" w:rsidRDefault="00132654" w:rsidP="00132654">
      <w:pPr>
        <w:pBdr>
          <w:top w:val="nil"/>
          <w:left w:val="nil"/>
          <w:bottom w:val="nil"/>
          <w:right w:val="nil"/>
          <w:between w:val="nil"/>
        </w:pBdr>
        <w:contextualSpacing/>
        <w:rPr>
          <w:rFonts w:eastAsia="Palatino Linotype" w:cs="Palatino Linotype"/>
          <w:color w:val="000000"/>
          <w:szCs w:val="24"/>
        </w:rPr>
      </w:pPr>
    </w:p>
    <w:p w14:paraId="77AC0F83" w14:textId="76F3A8CC" w:rsidR="00132654" w:rsidRPr="00F40808" w:rsidRDefault="00132654" w:rsidP="00132654">
      <w:pPr>
        <w:contextualSpacing/>
        <w:rPr>
          <w:rFonts w:eastAsia="Palatino Linotype" w:cs="Palatino Linotype"/>
          <w:b/>
        </w:rPr>
      </w:pPr>
      <w:r w:rsidRPr="00F40808">
        <w:rPr>
          <w:rFonts w:eastAsia="Palatino Linotype" w:cs="Palatino Linotype"/>
          <w:b/>
        </w:rPr>
        <w:t>Acto Impugnado</w:t>
      </w:r>
      <w:r w:rsidRPr="00F40808">
        <w:rPr>
          <w:rFonts w:eastAsia="Palatino Linotype" w:cs="Palatino Linotype"/>
        </w:rPr>
        <w:t>:</w:t>
      </w:r>
    </w:p>
    <w:p w14:paraId="1EDBFACB" w14:textId="771DFB52" w:rsidR="00132654" w:rsidRPr="00F40808" w:rsidRDefault="00132654" w:rsidP="00132654">
      <w:pPr>
        <w:pStyle w:val="Fundamentos"/>
        <w:rPr>
          <w:b/>
          <w:szCs w:val="22"/>
        </w:rPr>
      </w:pPr>
      <w:r w:rsidRPr="00F40808">
        <w:rPr>
          <w:color w:val="auto"/>
          <w:sz w:val="24"/>
        </w:rPr>
        <w:t>“</w:t>
      </w:r>
      <w:r w:rsidR="00233483" w:rsidRPr="00F40808">
        <w:rPr>
          <w:sz w:val="24"/>
        </w:rPr>
        <w:t>La información no es en absoluto nada clara, tratan de evadir su responsabilidad solo con la entrega documentación de la cual no se aprecia absolutamente nada de información</w:t>
      </w:r>
      <w:proofErr w:type="gramStart"/>
      <w:r w:rsidR="00233483" w:rsidRPr="00F40808">
        <w:rPr>
          <w:sz w:val="24"/>
        </w:rPr>
        <w:t>.</w:t>
      </w:r>
      <w:r w:rsidRPr="00F40808">
        <w:rPr>
          <w:sz w:val="24"/>
        </w:rPr>
        <w:t>.</w:t>
      </w:r>
      <w:r w:rsidRPr="00F40808">
        <w:rPr>
          <w:color w:val="auto"/>
          <w:sz w:val="24"/>
        </w:rPr>
        <w:t>”</w:t>
      </w:r>
      <w:proofErr w:type="gramEnd"/>
      <w:r w:rsidRPr="00F40808">
        <w:rPr>
          <w:color w:val="auto"/>
          <w:szCs w:val="22"/>
        </w:rPr>
        <w:t xml:space="preserve"> </w:t>
      </w:r>
      <w:r w:rsidRPr="00F40808">
        <w:rPr>
          <w:szCs w:val="22"/>
        </w:rPr>
        <w:t>Sic)</w:t>
      </w:r>
    </w:p>
    <w:p w14:paraId="78310E4A" w14:textId="77777777" w:rsidR="00132654" w:rsidRPr="00F40808" w:rsidRDefault="00132654" w:rsidP="00132654">
      <w:pPr>
        <w:pBdr>
          <w:top w:val="nil"/>
          <w:left w:val="nil"/>
          <w:bottom w:val="nil"/>
          <w:right w:val="nil"/>
          <w:between w:val="nil"/>
        </w:pBdr>
        <w:contextualSpacing/>
        <w:rPr>
          <w:rFonts w:eastAsia="Palatino Linotype" w:cs="Palatino Linotype"/>
          <w:color w:val="000000"/>
          <w:szCs w:val="24"/>
        </w:rPr>
      </w:pPr>
    </w:p>
    <w:p w14:paraId="0CFE3734" w14:textId="77777777" w:rsidR="00132654" w:rsidRPr="00F40808" w:rsidRDefault="00132654" w:rsidP="00132654">
      <w:pPr>
        <w:pStyle w:val="Ttulo2"/>
        <w:rPr>
          <w:rFonts w:ascii="Palatino Linotype" w:eastAsia="Palatino Linotype" w:hAnsi="Palatino Linotype"/>
          <w:b/>
          <w:bCs/>
          <w:color w:val="auto"/>
          <w:sz w:val="28"/>
          <w:szCs w:val="28"/>
        </w:rPr>
      </w:pPr>
      <w:r w:rsidRPr="00F40808">
        <w:rPr>
          <w:rFonts w:ascii="Palatino Linotype" w:eastAsia="Palatino Linotype" w:hAnsi="Palatino Linotype"/>
          <w:b/>
          <w:bCs/>
          <w:color w:val="auto"/>
          <w:sz w:val="28"/>
          <w:szCs w:val="28"/>
        </w:rPr>
        <w:t>CUARTO. Del turno y admisión del recurso de revisión.</w:t>
      </w:r>
    </w:p>
    <w:p w14:paraId="0F98855C" w14:textId="1DF700BB" w:rsidR="00132654" w:rsidRPr="00F40808" w:rsidRDefault="00132654" w:rsidP="00132654">
      <w:pPr>
        <w:pBdr>
          <w:top w:val="nil"/>
          <w:left w:val="nil"/>
          <w:bottom w:val="nil"/>
          <w:right w:val="nil"/>
          <w:between w:val="nil"/>
        </w:pBdr>
        <w:contextualSpacing/>
        <w:rPr>
          <w:rFonts w:eastAsia="Palatino Linotype" w:cs="Palatino Linotype"/>
          <w:color w:val="000000"/>
          <w:szCs w:val="24"/>
        </w:rPr>
      </w:pPr>
      <w:r w:rsidRPr="00F40808">
        <w:rPr>
          <w:rFonts w:eastAsia="Palatino Linotype" w:cs="Palatino Linotype"/>
          <w:color w:val="000000"/>
          <w:szCs w:val="24"/>
        </w:rPr>
        <w:t xml:space="preserve">Medio de impugnación que le fue turnado al </w:t>
      </w:r>
      <w:r w:rsidRPr="00F40808">
        <w:rPr>
          <w:rFonts w:eastAsia="Palatino Linotype" w:cs="Palatino Linotype"/>
          <w:b/>
          <w:color w:val="000000"/>
          <w:szCs w:val="24"/>
        </w:rPr>
        <w:t>Comisionado Presidente José Martínez Vilchis</w:t>
      </w:r>
      <w:r w:rsidRPr="00F40808">
        <w:rPr>
          <w:rFonts w:eastAsia="Palatino Linotype" w:cs="Palatino Linotype"/>
          <w:color w:val="000000"/>
          <w:szCs w:val="24"/>
        </w:rPr>
        <w:t>, por medio del sistema electrónico en términos del numeral 185 fracción I de la Ley de Transparencia y Acceso a la información Pública del Estado de México y Municipios, al cual recayó acuerdo de admisión de fecha</w:t>
      </w:r>
      <w:r w:rsidRPr="00F40808">
        <w:rPr>
          <w:rFonts w:eastAsia="Palatino Linotype" w:cs="Palatino Linotype"/>
          <w:b/>
          <w:bCs/>
          <w:color w:val="000000"/>
          <w:szCs w:val="24"/>
        </w:rPr>
        <w:t xml:space="preserve"> </w:t>
      </w:r>
      <w:r w:rsidR="00233483" w:rsidRPr="00F40808">
        <w:rPr>
          <w:rFonts w:eastAsia="Palatino Linotype" w:cs="Palatino Linotype"/>
          <w:b/>
          <w:bCs/>
          <w:color w:val="000000"/>
          <w:szCs w:val="24"/>
        </w:rPr>
        <w:t>diecinueve de agosto</w:t>
      </w:r>
      <w:r w:rsidRPr="00F40808">
        <w:rPr>
          <w:rFonts w:eastAsia="Palatino Linotype" w:cs="Palatino Linotype"/>
          <w:b/>
          <w:bCs/>
          <w:color w:val="000000"/>
          <w:szCs w:val="24"/>
        </w:rPr>
        <w:t xml:space="preserve"> de dos mil veinticuatro</w:t>
      </w:r>
      <w:r w:rsidRPr="00F40808">
        <w:rPr>
          <w:rFonts w:eastAsia="Palatino Linotype" w:cs="Palatino Linotype"/>
          <w:color w:val="000000"/>
          <w:szCs w:val="24"/>
        </w:rPr>
        <w:t xml:space="preserve">, </w:t>
      </w:r>
      <w:r w:rsidRPr="00F40808">
        <w:rPr>
          <w:rFonts w:eastAsia="Palatino Linotype" w:cs="Palatino Linotype"/>
          <w:szCs w:val="24"/>
        </w:rPr>
        <w:t>otorgándose</w:t>
      </w:r>
      <w:r w:rsidRPr="00F40808">
        <w:rPr>
          <w:rFonts w:eastAsia="Palatino Linotype" w:cs="Palatino Linotype"/>
          <w:color w:val="000000"/>
          <w:szCs w:val="24"/>
        </w:rPr>
        <w:t xml:space="preserve"> en él un plazo de siete días para que las partes manifestaran lo que a su derecho corresponda en términos del numeral ya citado.</w:t>
      </w:r>
    </w:p>
    <w:p w14:paraId="6940C820" w14:textId="77777777" w:rsidR="00132654" w:rsidRPr="00F40808" w:rsidRDefault="00132654" w:rsidP="00132654">
      <w:pPr>
        <w:pBdr>
          <w:top w:val="nil"/>
          <w:left w:val="nil"/>
          <w:bottom w:val="nil"/>
          <w:right w:val="nil"/>
          <w:between w:val="nil"/>
        </w:pBdr>
        <w:contextualSpacing/>
        <w:rPr>
          <w:rFonts w:eastAsia="Palatino Linotype" w:cs="Palatino Linotype"/>
          <w:color w:val="000000"/>
          <w:szCs w:val="24"/>
        </w:rPr>
      </w:pPr>
    </w:p>
    <w:p w14:paraId="754A6C2F" w14:textId="77777777" w:rsidR="00132654" w:rsidRPr="00F40808" w:rsidRDefault="00132654" w:rsidP="00132654">
      <w:pPr>
        <w:pStyle w:val="Ttulo2"/>
        <w:rPr>
          <w:rFonts w:ascii="Palatino Linotype" w:eastAsia="Palatino Linotype" w:hAnsi="Palatino Linotype"/>
          <w:b/>
          <w:bCs/>
          <w:color w:val="auto"/>
          <w:sz w:val="28"/>
          <w:szCs w:val="28"/>
        </w:rPr>
      </w:pPr>
      <w:r w:rsidRPr="00F40808">
        <w:rPr>
          <w:rFonts w:ascii="Palatino Linotype" w:eastAsia="Palatino Linotype" w:hAnsi="Palatino Linotype"/>
          <w:b/>
          <w:bCs/>
          <w:color w:val="auto"/>
          <w:sz w:val="28"/>
          <w:szCs w:val="28"/>
        </w:rPr>
        <w:t>QUINTO. De la etapa de instrucción.</w:t>
      </w:r>
    </w:p>
    <w:p w14:paraId="43252AE1" w14:textId="4243D6E2" w:rsidR="00132654" w:rsidRPr="00F40808" w:rsidRDefault="00132654" w:rsidP="00132654">
      <w:pPr>
        <w:pBdr>
          <w:top w:val="nil"/>
          <w:left w:val="nil"/>
          <w:bottom w:val="nil"/>
          <w:right w:val="nil"/>
          <w:between w:val="nil"/>
        </w:pBdr>
        <w:contextualSpacing/>
        <w:rPr>
          <w:rFonts w:eastAsia="Palatino Linotype" w:cs="Palatino Linotype"/>
          <w:color w:val="000000"/>
          <w:szCs w:val="24"/>
        </w:rPr>
      </w:pPr>
      <w:r w:rsidRPr="00F40808">
        <w:rPr>
          <w:rFonts w:eastAsia="Palatino Linotype" w:cs="Palatino Linotype"/>
          <w:color w:val="000000"/>
          <w:szCs w:val="24"/>
        </w:rPr>
        <w:t>Una vez abierta la etapa de instrucción, el Sujeto Obligado rindió su Informe Justificado</w:t>
      </w:r>
      <w:r w:rsidR="00233483" w:rsidRPr="00F40808">
        <w:rPr>
          <w:rFonts w:eastAsia="Palatino Linotype" w:cs="Palatino Linotype"/>
          <w:color w:val="000000"/>
          <w:szCs w:val="24"/>
        </w:rPr>
        <w:t xml:space="preserve"> en fecha veintidós de agosto de dos mil veinticuatro </w:t>
      </w:r>
      <w:r w:rsidRPr="00F40808">
        <w:rPr>
          <w:rFonts w:eastAsia="Palatino Linotype" w:cs="Palatino Linotype"/>
          <w:color w:val="000000"/>
          <w:szCs w:val="24"/>
        </w:rPr>
        <w:t>por medio de</w:t>
      </w:r>
      <w:r w:rsidR="00233483" w:rsidRPr="00F40808">
        <w:rPr>
          <w:rFonts w:eastAsia="Palatino Linotype" w:cs="Palatino Linotype"/>
          <w:color w:val="000000"/>
          <w:szCs w:val="24"/>
        </w:rPr>
        <w:t>l</w:t>
      </w:r>
      <w:r w:rsidRPr="00F40808">
        <w:rPr>
          <w:rFonts w:eastAsia="Palatino Linotype" w:cs="Palatino Linotype"/>
          <w:color w:val="000000"/>
          <w:szCs w:val="24"/>
        </w:rPr>
        <w:t xml:space="preserve"> archivo electrónico “</w:t>
      </w:r>
      <w:r w:rsidR="00233483" w:rsidRPr="00F40808">
        <w:rPr>
          <w:rFonts w:eastAsia="Palatino Linotype" w:cs="Palatino Linotype"/>
          <w:b/>
          <w:bCs/>
          <w:color w:val="000000"/>
          <w:szCs w:val="24"/>
        </w:rPr>
        <w:t>OBRAS 93-2024.pdf</w:t>
      </w:r>
      <w:r w:rsidRPr="00F40808">
        <w:rPr>
          <w:b/>
          <w:i/>
        </w:rPr>
        <w:t>”</w:t>
      </w:r>
      <w:r w:rsidRPr="00F40808">
        <w:t xml:space="preserve"> </w:t>
      </w:r>
      <w:r w:rsidR="00233483" w:rsidRPr="00F40808">
        <w:t>el</w:t>
      </w:r>
      <w:r w:rsidRPr="00F40808">
        <w:t xml:space="preserve"> cual fue puesto a la vista del recurrente</w:t>
      </w:r>
      <w:r w:rsidR="00233483" w:rsidRPr="00F40808">
        <w:t xml:space="preserve"> en fecha veintiocho de </w:t>
      </w:r>
      <w:r w:rsidR="00233483" w:rsidRPr="00F40808">
        <w:lastRenderedPageBreak/>
        <w:t>agosto de dos mil veinticuatro</w:t>
      </w:r>
      <w:r w:rsidRPr="00F40808">
        <w:rPr>
          <w:b/>
          <w:i/>
        </w:rPr>
        <w:t>.</w:t>
      </w:r>
      <w:r w:rsidRPr="00F40808">
        <w:t xml:space="preserve"> </w:t>
      </w:r>
      <w:r w:rsidRPr="00F40808">
        <w:rPr>
          <w:rFonts w:eastAsia="Palatino Linotype" w:cs="Palatino Linotype"/>
          <w:color w:val="000000"/>
          <w:szCs w:val="24"/>
        </w:rPr>
        <w:t xml:space="preserve">Por su parte, el Recurrente no realizó manifestaciones, vertió alegatos ni presentó pruebas que a su derecho convinieran. </w:t>
      </w:r>
    </w:p>
    <w:p w14:paraId="03EAD17C" w14:textId="77777777" w:rsidR="00132654" w:rsidRPr="00F40808" w:rsidRDefault="00132654" w:rsidP="00132654">
      <w:pPr>
        <w:pBdr>
          <w:top w:val="nil"/>
          <w:left w:val="nil"/>
          <w:bottom w:val="nil"/>
          <w:right w:val="nil"/>
          <w:between w:val="nil"/>
        </w:pBdr>
        <w:contextualSpacing/>
        <w:rPr>
          <w:rFonts w:eastAsia="Palatino Linotype" w:cs="Palatino Linotype"/>
          <w:color w:val="000000"/>
          <w:szCs w:val="24"/>
        </w:rPr>
      </w:pPr>
    </w:p>
    <w:p w14:paraId="62732A0F" w14:textId="77777777" w:rsidR="00132654" w:rsidRPr="00F40808" w:rsidRDefault="00132654" w:rsidP="00132654">
      <w:pPr>
        <w:pStyle w:val="Ttulo2"/>
        <w:rPr>
          <w:rFonts w:ascii="Palatino Linotype" w:eastAsia="Palatino Linotype" w:hAnsi="Palatino Linotype"/>
          <w:b/>
          <w:bCs/>
          <w:color w:val="auto"/>
          <w:sz w:val="28"/>
          <w:szCs w:val="28"/>
        </w:rPr>
      </w:pPr>
      <w:r w:rsidRPr="00F40808">
        <w:rPr>
          <w:rFonts w:ascii="Palatino Linotype" w:eastAsia="Palatino Linotype" w:hAnsi="Palatino Linotype"/>
          <w:b/>
          <w:bCs/>
          <w:color w:val="auto"/>
          <w:sz w:val="28"/>
          <w:szCs w:val="28"/>
        </w:rPr>
        <w:t>SEXTO. Del cierre de instrucción.</w:t>
      </w:r>
    </w:p>
    <w:p w14:paraId="77215B23" w14:textId="5CA5AE73" w:rsidR="00132654" w:rsidRPr="00F40808" w:rsidRDefault="00132654" w:rsidP="00132654">
      <w:pPr>
        <w:pBdr>
          <w:top w:val="nil"/>
          <w:left w:val="nil"/>
          <w:bottom w:val="nil"/>
          <w:right w:val="nil"/>
          <w:between w:val="nil"/>
        </w:pBdr>
        <w:contextualSpacing/>
        <w:rPr>
          <w:rFonts w:eastAsia="Palatino Linotype" w:cs="Palatino Linotype"/>
          <w:color w:val="000000"/>
          <w:szCs w:val="24"/>
        </w:rPr>
      </w:pPr>
      <w:r w:rsidRPr="00F40808">
        <w:rPr>
          <w:rFonts w:eastAsia="Palatino Linotype" w:cs="Palatino Linotype"/>
          <w:color w:val="000000"/>
          <w:szCs w:val="24"/>
        </w:rPr>
        <w:t>Así, una vez transcurrido el término legal, se decretó el cierre de instrucción en fecha</w:t>
      </w:r>
      <w:r w:rsidRPr="00F40808">
        <w:rPr>
          <w:rFonts w:eastAsia="Palatino Linotype" w:cs="Palatino Linotype"/>
          <w:b/>
          <w:color w:val="000000"/>
          <w:szCs w:val="24"/>
        </w:rPr>
        <w:t xml:space="preserve"> </w:t>
      </w:r>
      <w:r w:rsidR="00233483" w:rsidRPr="00F40808">
        <w:rPr>
          <w:rFonts w:eastAsia="Palatino Linotype" w:cs="Palatino Linotype"/>
          <w:b/>
          <w:color w:val="000000"/>
          <w:szCs w:val="24"/>
        </w:rPr>
        <w:t>tres de septiembre</w:t>
      </w:r>
      <w:r w:rsidRPr="00F40808">
        <w:rPr>
          <w:rFonts w:eastAsia="Palatino Linotype" w:cs="Palatino Linotype"/>
          <w:b/>
          <w:color w:val="000000"/>
          <w:szCs w:val="24"/>
        </w:rPr>
        <w:t xml:space="preserve"> de dos mil veinticuatro</w:t>
      </w:r>
      <w:r w:rsidRPr="00F40808">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55B237D0" w14:textId="77777777" w:rsidR="00132654" w:rsidRPr="00F40808" w:rsidRDefault="00132654" w:rsidP="00132654">
      <w:pPr>
        <w:pBdr>
          <w:top w:val="nil"/>
          <w:left w:val="nil"/>
          <w:bottom w:val="nil"/>
          <w:right w:val="nil"/>
          <w:between w:val="nil"/>
        </w:pBdr>
        <w:contextualSpacing/>
        <w:rPr>
          <w:rFonts w:eastAsiaTheme="minorHAnsi" w:cstheme="minorBidi"/>
          <w:szCs w:val="24"/>
          <w:lang w:eastAsia="en-US"/>
        </w:rPr>
      </w:pPr>
    </w:p>
    <w:p w14:paraId="31140832" w14:textId="77777777" w:rsidR="00132654" w:rsidRPr="00F40808" w:rsidRDefault="00132654" w:rsidP="00132654">
      <w:pPr>
        <w:pStyle w:val="Ttulo1"/>
        <w:jc w:val="center"/>
        <w:rPr>
          <w:rFonts w:ascii="Palatino Linotype" w:eastAsia="Palatino Linotype" w:hAnsi="Palatino Linotype"/>
          <w:b/>
          <w:bCs/>
          <w:color w:val="auto"/>
          <w:sz w:val="28"/>
          <w:szCs w:val="28"/>
        </w:rPr>
      </w:pPr>
      <w:r w:rsidRPr="00F40808">
        <w:rPr>
          <w:rFonts w:ascii="Palatino Linotype" w:eastAsia="Palatino Linotype" w:hAnsi="Palatino Linotype"/>
          <w:b/>
          <w:bCs/>
          <w:color w:val="auto"/>
          <w:sz w:val="28"/>
          <w:szCs w:val="28"/>
        </w:rPr>
        <w:t>C O N S I D E R A N D O</w:t>
      </w:r>
    </w:p>
    <w:p w14:paraId="4A87B3BE" w14:textId="77777777" w:rsidR="005A7EC5" w:rsidRPr="00F40808" w:rsidRDefault="005A7EC5" w:rsidP="005A7EC5"/>
    <w:p w14:paraId="688B33A3" w14:textId="77777777" w:rsidR="00132654" w:rsidRPr="00F40808" w:rsidRDefault="00132654" w:rsidP="00132654">
      <w:pPr>
        <w:pStyle w:val="Ttulo2"/>
        <w:rPr>
          <w:rFonts w:ascii="Palatino Linotype" w:eastAsia="Palatino Linotype" w:hAnsi="Palatino Linotype"/>
          <w:b/>
          <w:bCs/>
          <w:color w:val="auto"/>
          <w:sz w:val="28"/>
          <w:szCs w:val="28"/>
        </w:rPr>
      </w:pPr>
      <w:r w:rsidRPr="00F40808">
        <w:rPr>
          <w:rFonts w:ascii="Palatino Linotype" w:eastAsia="Palatino Linotype" w:hAnsi="Palatino Linotype"/>
          <w:b/>
          <w:bCs/>
          <w:color w:val="auto"/>
          <w:sz w:val="28"/>
          <w:szCs w:val="28"/>
        </w:rPr>
        <w:t>PRIMERO. De la competencia.</w:t>
      </w:r>
    </w:p>
    <w:p w14:paraId="3F48ED60" w14:textId="77777777" w:rsidR="00132654" w:rsidRPr="00F40808" w:rsidRDefault="00132654" w:rsidP="00132654">
      <w:pPr>
        <w:pBdr>
          <w:top w:val="nil"/>
          <w:left w:val="nil"/>
          <w:bottom w:val="nil"/>
          <w:right w:val="nil"/>
          <w:between w:val="nil"/>
        </w:pBdr>
        <w:contextualSpacing/>
        <w:rPr>
          <w:rFonts w:eastAsia="Palatino Linotype" w:cs="Palatino Linotype"/>
          <w:color w:val="000000"/>
          <w:szCs w:val="24"/>
        </w:rPr>
      </w:pPr>
      <w:r w:rsidRPr="00F40808">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w:t>
      </w:r>
      <w:r w:rsidRPr="00F40808">
        <w:rPr>
          <w:rFonts w:eastAsia="Palatino Linotype" w:cs="Palatino Linotype"/>
          <w:color w:val="000000"/>
          <w:szCs w:val="24"/>
        </w:rPr>
        <w:lastRenderedPageBreak/>
        <w:t>Información Pública y Protección de Datos Personales del Estado de México y Municipios.</w:t>
      </w:r>
    </w:p>
    <w:p w14:paraId="6BC74AB2" w14:textId="77777777" w:rsidR="00132654" w:rsidRPr="00F40808" w:rsidRDefault="00132654" w:rsidP="00132654">
      <w:pPr>
        <w:pBdr>
          <w:top w:val="nil"/>
          <w:left w:val="nil"/>
          <w:bottom w:val="nil"/>
          <w:right w:val="nil"/>
          <w:between w:val="nil"/>
        </w:pBdr>
        <w:contextualSpacing/>
        <w:rPr>
          <w:rFonts w:eastAsia="Palatino Linotype" w:cs="Palatino Linotype"/>
          <w:color w:val="000000"/>
          <w:szCs w:val="24"/>
        </w:rPr>
      </w:pPr>
    </w:p>
    <w:p w14:paraId="57899229" w14:textId="77777777" w:rsidR="00132654" w:rsidRPr="00F40808" w:rsidRDefault="00132654" w:rsidP="00132654">
      <w:pPr>
        <w:pStyle w:val="Ttulo2"/>
        <w:rPr>
          <w:rFonts w:ascii="Palatino Linotype" w:eastAsia="Palatino Linotype" w:hAnsi="Palatino Linotype"/>
          <w:b/>
          <w:bCs/>
          <w:color w:val="auto"/>
          <w:sz w:val="28"/>
          <w:szCs w:val="28"/>
        </w:rPr>
      </w:pPr>
      <w:r w:rsidRPr="00F40808">
        <w:rPr>
          <w:rFonts w:ascii="Palatino Linotype" w:eastAsia="Palatino Linotype" w:hAnsi="Palatino Linotype"/>
          <w:b/>
          <w:bCs/>
          <w:color w:val="auto"/>
          <w:sz w:val="28"/>
          <w:szCs w:val="28"/>
        </w:rPr>
        <w:t xml:space="preserve">SEGUNDO. Sobre los alcances del recurso de revisión. </w:t>
      </w:r>
    </w:p>
    <w:p w14:paraId="53B926B4" w14:textId="77777777" w:rsidR="00132654" w:rsidRPr="00F40808" w:rsidRDefault="00132654" w:rsidP="00132654">
      <w:r w:rsidRPr="00F40808">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10EB23E" w14:textId="77777777" w:rsidR="00132654" w:rsidRPr="00F40808" w:rsidRDefault="00132654" w:rsidP="00132654"/>
    <w:p w14:paraId="2BD8A8C0" w14:textId="77777777" w:rsidR="00132654" w:rsidRPr="00F40808" w:rsidRDefault="00132654" w:rsidP="00132654">
      <w:pPr>
        <w:autoSpaceDE w:val="0"/>
        <w:autoSpaceDN w:val="0"/>
        <w:adjustRightInd w:val="0"/>
        <w:spacing w:before="240" w:line="240" w:lineRule="auto"/>
        <w:rPr>
          <w:rFonts w:cs="Arial"/>
          <w:b/>
          <w:sz w:val="28"/>
        </w:rPr>
      </w:pPr>
      <w:r w:rsidRPr="00F40808">
        <w:rPr>
          <w:rFonts w:cs="Arial"/>
          <w:b/>
          <w:sz w:val="28"/>
        </w:rPr>
        <w:t>TERCERO. De las causas de improcedencia.</w:t>
      </w:r>
    </w:p>
    <w:p w14:paraId="31CE9862" w14:textId="77777777" w:rsidR="00132654" w:rsidRPr="00F40808" w:rsidRDefault="00132654" w:rsidP="00132654">
      <w:pPr>
        <w:pStyle w:val="Prrafodelista"/>
        <w:autoSpaceDE w:val="0"/>
        <w:autoSpaceDN w:val="0"/>
        <w:adjustRightInd w:val="0"/>
        <w:ind w:left="0"/>
        <w:rPr>
          <w:rFonts w:cs="Arial"/>
        </w:rPr>
      </w:pPr>
      <w:r w:rsidRPr="00F40808">
        <w:rPr>
          <w:rFonts w:cs="Arial"/>
        </w:rPr>
        <w:t xml:space="preserve">En el procedimiento de acceso a la información y de los medios de impugnación de la materia, se advierten diversos supuestos de </w:t>
      </w:r>
      <w:proofErr w:type="spellStart"/>
      <w:r w:rsidRPr="00F40808">
        <w:rPr>
          <w:rFonts w:cs="Arial"/>
        </w:rPr>
        <w:t>procedibilidad</w:t>
      </w:r>
      <w:proofErr w:type="spellEnd"/>
      <w:r w:rsidRPr="00F40808">
        <w:rPr>
          <w:rFonts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DB8A348" w14:textId="77777777" w:rsidR="00132654" w:rsidRPr="00F40808" w:rsidRDefault="00132654" w:rsidP="00132654">
      <w:pPr>
        <w:pStyle w:val="Prrafodelista"/>
        <w:autoSpaceDE w:val="0"/>
        <w:autoSpaceDN w:val="0"/>
        <w:adjustRightInd w:val="0"/>
        <w:ind w:left="0"/>
        <w:rPr>
          <w:rFonts w:cs="Arial"/>
        </w:rPr>
      </w:pPr>
    </w:p>
    <w:p w14:paraId="0F5CE1C8" w14:textId="77777777" w:rsidR="00132654" w:rsidRPr="00F40808" w:rsidRDefault="00132654" w:rsidP="00132654">
      <w:pPr>
        <w:pStyle w:val="Prrafodelista"/>
        <w:autoSpaceDE w:val="0"/>
        <w:autoSpaceDN w:val="0"/>
        <w:adjustRightInd w:val="0"/>
        <w:ind w:left="0"/>
        <w:rPr>
          <w:rFonts w:cs="Arial"/>
        </w:rPr>
      </w:pPr>
      <w:r w:rsidRPr="00F40808">
        <w:rPr>
          <w:rFonts w:cs="Arial"/>
        </w:rPr>
        <w:t xml:space="preserve">De lo anterior, el estudio de las causas de improcedencia que se hagan valer por las partes o que se advierta de oficio por este </w:t>
      </w:r>
      <w:proofErr w:type="spellStart"/>
      <w:r w:rsidRPr="00F40808">
        <w:rPr>
          <w:rFonts w:cs="Arial"/>
        </w:rPr>
        <w:t>Resolutor</w:t>
      </w:r>
      <w:proofErr w:type="spellEnd"/>
      <w:r w:rsidRPr="00F40808">
        <w:rPr>
          <w:rFonts w:cs="Arial"/>
        </w:rPr>
        <w:t xml:space="preserve"> debe ser objeto de análisis previo al estudio de fondo del asunto, ya que el estudio de los presupuestos procesales sobre el inicio o </w:t>
      </w:r>
      <w:r w:rsidRPr="00F40808">
        <w:rPr>
          <w:rFonts w:cs="Arial"/>
        </w:rPr>
        <w:lastRenderedPageBreak/>
        <w:t>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F40808">
        <w:rPr>
          <w:rStyle w:val="Refdenotaalpie"/>
          <w:rFonts w:cs="Arial"/>
        </w:rPr>
        <w:footnoteReference w:id="1"/>
      </w:r>
      <w:r w:rsidRPr="00F40808">
        <w:rPr>
          <w:rFonts w:cs="Arial"/>
        </w:rPr>
        <w:t>.</w:t>
      </w:r>
    </w:p>
    <w:p w14:paraId="794E5E90" w14:textId="77777777" w:rsidR="00132654" w:rsidRPr="00F40808" w:rsidRDefault="00132654" w:rsidP="00132654">
      <w:pPr>
        <w:pStyle w:val="Prrafodelista"/>
        <w:autoSpaceDE w:val="0"/>
        <w:autoSpaceDN w:val="0"/>
        <w:adjustRightInd w:val="0"/>
        <w:ind w:left="0"/>
        <w:rPr>
          <w:rFonts w:cs="Arial"/>
        </w:rPr>
      </w:pPr>
    </w:p>
    <w:p w14:paraId="4E8EC142" w14:textId="77777777" w:rsidR="00132654" w:rsidRPr="00F40808" w:rsidRDefault="00132654" w:rsidP="00132654">
      <w:pPr>
        <w:pStyle w:val="Prrafodelista"/>
        <w:autoSpaceDE w:val="0"/>
        <w:autoSpaceDN w:val="0"/>
        <w:adjustRightInd w:val="0"/>
        <w:ind w:left="0"/>
        <w:rPr>
          <w:rFonts w:cs="Arial"/>
        </w:rPr>
      </w:pPr>
      <w:r w:rsidRPr="00F40808">
        <w:rPr>
          <w:rFonts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5598E00F" w14:textId="77777777" w:rsidR="00132654" w:rsidRPr="00F40808" w:rsidRDefault="00132654" w:rsidP="00132654">
      <w:pPr>
        <w:pStyle w:val="Prrafodelista"/>
        <w:autoSpaceDE w:val="0"/>
        <w:autoSpaceDN w:val="0"/>
        <w:adjustRightInd w:val="0"/>
        <w:ind w:left="0"/>
        <w:rPr>
          <w:rFonts w:cs="Arial"/>
        </w:rPr>
      </w:pPr>
    </w:p>
    <w:p w14:paraId="64D88C8B" w14:textId="77777777" w:rsidR="00132654" w:rsidRPr="00F40808" w:rsidRDefault="00132654" w:rsidP="00132654">
      <w:pPr>
        <w:pStyle w:val="Ttulo2"/>
        <w:rPr>
          <w:rFonts w:ascii="Palatino Linotype" w:eastAsia="Palatino Linotype" w:hAnsi="Palatino Linotype"/>
          <w:b/>
          <w:bCs/>
          <w:color w:val="auto"/>
          <w:sz w:val="28"/>
          <w:szCs w:val="28"/>
        </w:rPr>
      </w:pPr>
      <w:r w:rsidRPr="00F40808">
        <w:rPr>
          <w:rFonts w:ascii="Palatino Linotype" w:eastAsia="Palatino Linotype" w:hAnsi="Palatino Linotype"/>
          <w:b/>
          <w:bCs/>
          <w:color w:val="auto"/>
          <w:sz w:val="28"/>
          <w:szCs w:val="28"/>
        </w:rPr>
        <w:lastRenderedPageBreak/>
        <w:t>CUARTO. Estudio y resolución del asunto.</w:t>
      </w:r>
    </w:p>
    <w:p w14:paraId="62949C51" w14:textId="77777777" w:rsidR="00132654" w:rsidRPr="00F40808" w:rsidRDefault="00132654" w:rsidP="00132654">
      <w:pPr>
        <w:pBdr>
          <w:top w:val="nil"/>
          <w:left w:val="nil"/>
          <w:bottom w:val="nil"/>
          <w:right w:val="nil"/>
          <w:between w:val="nil"/>
        </w:pBdr>
        <w:contextualSpacing/>
        <w:rPr>
          <w:rFonts w:eastAsia="Palatino Linotype" w:cs="Palatino Linotype"/>
          <w:color w:val="000000"/>
          <w:szCs w:val="24"/>
        </w:rPr>
      </w:pPr>
      <w:r w:rsidRPr="00F40808">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DC333B0" w14:textId="77777777" w:rsidR="004A73A7" w:rsidRPr="00F40808" w:rsidRDefault="004A73A7" w:rsidP="00132654">
      <w:pPr>
        <w:pBdr>
          <w:top w:val="nil"/>
          <w:left w:val="nil"/>
          <w:bottom w:val="nil"/>
          <w:right w:val="nil"/>
          <w:between w:val="nil"/>
        </w:pBdr>
        <w:contextualSpacing/>
        <w:rPr>
          <w:rFonts w:eastAsia="Palatino Linotype" w:cs="Palatino Linotype"/>
          <w:color w:val="000000"/>
          <w:szCs w:val="24"/>
        </w:rPr>
      </w:pPr>
    </w:p>
    <w:p w14:paraId="73945004" w14:textId="3EE7BEE5" w:rsidR="00132654" w:rsidRPr="00F40808" w:rsidRDefault="00132654" w:rsidP="00132654">
      <w:pPr>
        <w:pBdr>
          <w:top w:val="nil"/>
          <w:left w:val="nil"/>
          <w:bottom w:val="nil"/>
          <w:right w:val="nil"/>
          <w:between w:val="nil"/>
        </w:pBdr>
        <w:contextualSpacing/>
        <w:rPr>
          <w:rFonts w:eastAsia="Palatino Linotype" w:cs="Palatino Linotype"/>
          <w:color w:val="000000"/>
          <w:szCs w:val="24"/>
        </w:rPr>
      </w:pPr>
      <w:r w:rsidRPr="00F40808">
        <w:rPr>
          <w:rFonts w:eastAsia="Palatino Linotype" w:cs="Palatino Linotype"/>
          <w:color w:val="000000"/>
          <w:szCs w:val="24"/>
        </w:rPr>
        <w:t>Por tanto, es conveniente recordar que el hoy Recurrente requirió del Sujeto Obligado, de la actual administración, lo siguiente:</w:t>
      </w:r>
    </w:p>
    <w:p w14:paraId="0BC3BED9" w14:textId="77777777" w:rsidR="0080398F" w:rsidRPr="00F40808" w:rsidRDefault="0080398F" w:rsidP="0080398F">
      <w:pPr>
        <w:pStyle w:val="Prrafodelista"/>
        <w:numPr>
          <w:ilvl w:val="0"/>
          <w:numId w:val="9"/>
        </w:numPr>
        <w:pBdr>
          <w:top w:val="nil"/>
          <w:left w:val="nil"/>
          <w:bottom w:val="nil"/>
          <w:right w:val="nil"/>
          <w:between w:val="nil"/>
        </w:pBdr>
        <w:rPr>
          <w:rFonts w:eastAsia="Palatino Linotype" w:cs="Palatino Linotype"/>
          <w:color w:val="000000"/>
          <w:szCs w:val="24"/>
        </w:rPr>
      </w:pPr>
      <w:r w:rsidRPr="00F40808">
        <w:rPr>
          <w:rFonts w:eastAsia="Palatino Linotype" w:cs="Palatino Linotype"/>
          <w:color w:val="000000"/>
          <w:szCs w:val="24"/>
        </w:rPr>
        <w:t>Lista de las obras publicas que se han realizado en el Municipio de Tultepec en la administración 2022- 2024.</w:t>
      </w:r>
    </w:p>
    <w:p w14:paraId="2AF50ABF" w14:textId="77777777" w:rsidR="0080398F" w:rsidRPr="00F40808" w:rsidRDefault="0080398F" w:rsidP="0080398F">
      <w:pPr>
        <w:pStyle w:val="Prrafodelista"/>
        <w:numPr>
          <w:ilvl w:val="0"/>
          <w:numId w:val="9"/>
        </w:numPr>
        <w:pBdr>
          <w:top w:val="nil"/>
          <w:left w:val="nil"/>
          <w:bottom w:val="nil"/>
          <w:right w:val="nil"/>
          <w:between w:val="nil"/>
        </w:pBdr>
        <w:rPr>
          <w:rFonts w:eastAsia="Palatino Linotype" w:cs="Palatino Linotype"/>
          <w:color w:val="000000"/>
          <w:szCs w:val="24"/>
        </w:rPr>
      </w:pPr>
      <w:r w:rsidRPr="00F40808">
        <w:rPr>
          <w:rFonts w:eastAsia="Palatino Linotype" w:cs="Palatino Linotype"/>
          <w:color w:val="000000"/>
          <w:szCs w:val="24"/>
        </w:rPr>
        <w:t xml:space="preserve">Lista de todas las licitaciones con el nombre de cada una de las empresas que participó en el concurso para obtener las construcciones de las obras publicas que se han realizado en el Municipio de Tultepec, en la administración 2022- 2024. </w:t>
      </w:r>
    </w:p>
    <w:p w14:paraId="36B0169A" w14:textId="77777777" w:rsidR="0080398F" w:rsidRPr="00F40808" w:rsidRDefault="0080398F" w:rsidP="0080398F">
      <w:pPr>
        <w:pStyle w:val="Prrafodelista"/>
        <w:numPr>
          <w:ilvl w:val="0"/>
          <w:numId w:val="9"/>
        </w:numPr>
        <w:pBdr>
          <w:top w:val="nil"/>
          <w:left w:val="nil"/>
          <w:bottom w:val="nil"/>
          <w:right w:val="nil"/>
          <w:between w:val="nil"/>
        </w:pBdr>
        <w:rPr>
          <w:rFonts w:eastAsia="Palatino Linotype" w:cs="Palatino Linotype"/>
          <w:color w:val="000000"/>
          <w:szCs w:val="24"/>
        </w:rPr>
      </w:pPr>
      <w:r w:rsidRPr="00F40808">
        <w:rPr>
          <w:rFonts w:eastAsia="Palatino Linotype" w:cs="Palatino Linotype"/>
          <w:color w:val="000000"/>
          <w:szCs w:val="24"/>
        </w:rPr>
        <w:t xml:space="preserve">Presupuesto para las Obras Públicas que se realizaron en el Municipio de Tultepec, en la administración 2022- 2024. </w:t>
      </w:r>
    </w:p>
    <w:p w14:paraId="474660BB" w14:textId="77777777" w:rsidR="0080398F" w:rsidRPr="00F40808" w:rsidRDefault="0080398F" w:rsidP="0080398F">
      <w:pPr>
        <w:pStyle w:val="Prrafodelista"/>
        <w:numPr>
          <w:ilvl w:val="0"/>
          <w:numId w:val="9"/>
        </w:numPr>
        <w:pBdr>
          <w:top w:val="nil"/>
          <w:left w:val="nil"/>
          <w:bottom w:val="nil"/>
          <w:right w:val="nil"/>
          <w:between w:val="nil"/>
        </w:pBdr>
        <w:rPr>
          <w:rFonts w:eastAsia="Palatino Linotype" w:cs="Palatino Linotype"/>
          <w:color w:val="000000"/>
          <w:szCs w:val="24"/>
        </w:rPr>
      </w:pPr>
      <w:r w:rsidRPr="00F40808">
        <w:rPr>
          <w:rFonts w:eastAsia="Palatino Linotype" w:cs="Palatino Linotype"/>
          <w:color w:val="000000"/>
          <w:szCs w:val="24"/>
        </w:rPr>
        <w:t xml:space="preserve">Gasto real de cada una de las Obras Públicas que se realizaron en el Municipio de Tultepec, en la administración 2022- 2024. </w:t>
      </w:r>
    </w:p>
    <w:p w14:paraId="119D270C" w14:textId="387C8E60" w:rsidR="00B539DC" w:rsidRPr="00F40808" w:rsidRDefault="0080398F" w:rsidP="005A7EC5">
      <w:pPr>
        <w:pStyle w:val="Prrafodelista"/>
        <w:numPr>
          <w:ilvl w:val="0"/>
          <w:numId w:val="9"/>
        </w:numPr>
        <w:pBdr>
          <w:top w:val="nil"/>
          <w:left w:val="nil"/>
          <w:bottom w:val="nil"/>
          <w:right w:val="nil"/>
          <w:between w:val="nil"/>
        </w:pBdr>
        <w:rPr>
          <w:rFonts w:eastAsia="Palatino Linotype" w:cs="Palatino Linotype"/>
          <w:color w:val="000000"/>
          <w:szCs w:val="24"/>
        </w:rPr>
      </w:pPr>
      <w:r w:rsidRPr="00F40808">
        <w:rPr>
          <w:rFonts w:eastAsia="Palatino Linotype" w:cs="Palatino Linotype"/>
          <w:color w:val="000000"/>
          <w:szCs w:val="24"/>
        </w:rPr>
        <w:t>Empresas que han realizado las obras públicas que se han realizado en el Municipio de Tultepec en la administración 2022- 2024, y se envíe listado de cada una de ellas</w:t>
      </w:r>
    </w:p>
    <w:p w14:paraId="6E43B562" w14:textId="5950F393" w:rsidR="00132654" w:rsidRPr="00F40808" w:rsidRDefault="00132654" w:rsidP="005A7EC5">
      <w:pPr>
        <w:pBdr>
          <w:top w:val="nil"/>
          <w:left w:val="nil"/>
          <w:bottom w:val="nil"/>
          <w:right w:val="nil"/>
          <w:between w:val="nil"/>
        </w:pBdr>
        <w:contextualSpacing/>
        <w:rPr>
          <w:rFonts w:cs="Arial"/>
          <w:szCs w:val="24"/>
        </w:rPr>
      </w:pPr>
      <w:r w:rsidRPr="00F40808">
        <w:rPr>
          <w:rFonts w:eastAsia="Palatino Linotype" w:cs="Palatino Linotype"/>
          <w:color w:val="000000"/>
          <w:szCs w:val="24"/>
        </w:rPr>
        <w:lastRenderedPageBreak/>
        <w:t>Por lo que atento a la solicitud de información el Sujeto Obligado</w:t>
      </w:r>
      <w:r w:rsidRPr="00F40808">
        <w:t xml:space="preserve"> emitió su respuesta por medio de</w:t>
      </w:r>
      <w:r w:rsidR="0080398F" w:rsidRPr="00F40808">
        <w:t xml:space="preserve">l </w:t>
      </w:r>
      <w:r w:rsidRPr="00F40808">
        <w:t xml:space="preserve">archivo electrónico denominado </w:t>
      </w:r>
      <w:r w:rsidR="0080398F" w:rsidRPr="00F40808">
        <w:rPr>
          <w:b/>
          <w:bCs/>
        </w:rPr>
        <w:t xml:space="preserve">00093TULTEPEC2024.zip en </w:t>
      </w:r>
      <w:r w:rsidRPr="00F40808">
        <w:rPr>
          <w:rFonts w:cs="Arial"/>
          <w:szCs w:val="24"/>
        </w:rPr>
        <w:t>los términos siguientes;</w:t>
      </w:r>
    </w:p>
    <w:p w14:paraId="29678685" w14:textId="6D53C1DF" w:rsidR="0080398F" w:rsidRPr="00F40808" w:rsidRDefault="0080398F" w:rsidP="0080398F">
      <w:pPr>
        <w:pStyle w:val="Prrafodelista"/>
        <w:numPr>
          <w:ilvl w:val="0"/>
          <w:numId w:val="10"/>
        </w:numPr>
        <w:rPr>
          <w:rFonts w:cs="Arial"/>
          <w:b/>
          <w:bCs/>
          <w:szCs w:val="24"/>
        </w:rPr>
      </w:pPr>
      <w:r w:rsidRPr="00F40808">
        <w:rPr>
          <w:b/>
          <w:bCs/>
        </w:rPr>
        <w:t xml:space="preserve">00093TULTEPEC2024.zip </w:t>
      </w:r>
      <w:r w:rsidRPr="00F40808">
        <w:t xml:space="preserve">Documento que consta en una carpeta comprimida que contiene los siguientes documentos; </w:t>
      </w:r>
    </w:p>
    <w:p w14:paraId="3938C3E0" w14:textId="7A78EEAF" w:rsidR="0080398F" w:rsidRPr="00F40808" w:rsidRDefault="0080398F" w:rsidP="0080398F">
      <w:pPr>
        <w:pStyle w:val="Prrafodelista"/>
        <w:numPr>
          <w:ilvl w:val="0"/>
          <w:numId w:val="11"/>
        </w:numPr>
        <w:rPr>
          <w:rFonts w:cs="Arial"/>
          <w:b/>
          <w:bCs/>
          <w:szCs w:val="24"/>
        </w:rPr>
      </w:pPr>
      <w:r w:rsidRPr="00F40808">
        <w:rPr>
          <w:rFonts w:cs="Arial"/>
          <w:b/>
          <w:bCs/>
          <w:szCs w:val="24"/>
        </w:rPr>
        <w:t xml:space="preserve">00093TULTEPEC2024.PDF; </w:t>
      </w:r>
      <w:r w:rsidRPr="00F40808">
        <w:rPr>
          <w:rFonts w:cs="Arial"/>
          <w:szCs w:val="24"/>
        </w:rPr>
        <w:t xml:space="preserve">Documento que consta del acuse de la solicitud de información pública </w:t>
      </w:r>
    </w:p>
    <w:p w14:paraId="4ADD15D2" w14:textId="77777777" w:rsidR="0080398F" w:rsidRPr="00F40808" w:rsidRDefault="0080398F" w:rsidP="00B539DC">
      <w:pPr>
        <w:rPr>
          <w:rFonts w:cs="Arial"/>
          <w:b/>
          <w:bCs/>
          <w:szCs w:val="24"/>
        </w:rPr>
      </w:pPr>
    </w:p>
    <w:p w14:paraId="5F2BD661" w14:textId="3FE1E8FA" w:rsidR="0080398F" w:rsidRPr="00F40808" w:rsidRDefault="0080398F" w:rsidP="0080398F">
      <w:pPr>
        <w:pStyle w:val="Prrafodelista"/>
        <w:numPr>
          <w:ilvl w:val="0"/>
          <w:numId w:val="11"/>
        </w:numPr>
        <w:rPr>
          <w:rFonts w:cs="Arial"/>
          <w:b/>
          <w:bCs/>
          <w:szCs w:val="24"/>
        </w:rPr>
      </w:pPr>
      <w:r w:rsidRPr="00F40808">
        <w:rPr>
          <w:rFonts w:cs="Arial"/>
          <w:b/>
          <w:bCs/>
          <w:szCs w:val="24"/>
        </w:rPr>
        <w:t>ACUSE 00093TULTEPEC2024 (1).</w:t>
      </w:r>
      <w:proofErr w:type="spellStart"/>
      <w:r w:rsidRPr="00F40808">
        <w:rPr>
          <w:rFonts w:cs="Arial"/>
          <w:b/>
          <w:bCs/>
          <w:szCs w:val="24"/>
        </w:rPr>
        <w:t>pdf</w:t>
      </w:r>
      <w:proofErr w:type="spellEnd"/>
      <w:r w:rsidRPr="00F40808">
        <w:rPr>
          <w:rFonts w:cs="Arial"/>
          <w:b/>
          <w:bCs/>
          <w:szCs w:val="24"/>
        </w:rPr>
        <w:t xml:space="preserve">; </w:t>
      </w:r>
      <w:r w:rsidRPr="00F40808">
        <w:rPr>
          <w:rFonts w:cs="Arial"/>
          <w:szCs w:val="24"/>
        </w:rPr>
        <w:t xml:space="preserve">Documento que consta de una foja en formato PDF con número de oficio UT/00149/AGOSTO/2024 de fecha seis de agosto de dos mil veinticuatro por medio del cual el Titular de la Unidad de Transparencia turna la solicitud de información. </w:t>
      </w:r>
    </w:p>
    <w:p w14:paraId="2679F78C" w14:textId="77777777" w:rsidR="0080398F" w:rsidRPr="00F40808" w:rsidRDefault="0080398F" w:rsidP="0080398F">
      <w:pPr>
        <w:rPr>
          <w:rFonts w:cs="Arial"/>
          <w:b/>
          <w:bCs/>
          <w:szCs w:val="24"/>
        </w:rPr>
      </w:pPr>
    </w:p>
    <w:p w14:paraId="29A87571" w14:textId="09A368D8" w:rsidR="0080398F" w:rsidRPr="00F40808" w:rsidRDefault="0080398F" w:rsidP="0080398F">
      <w:pPr>
        <w:pStyle w:val="Prrafodelista"/>
        <w:numPr>
          <w:ilvl w:val="0"/>
          <w:numId w:val="11"/>
        </w:numPr>
        <w:rPr>
          <w:rFonts w:cs="Arial"/>
          <w:b/>
          <w:bCs/>
          <w:szCs w:val="24"/>
        </w:rPr>
      </w:pPr>
      <w:r w:rsidRPr="00F40808">
        <w:rPr>
          <w:rFonts w:cs="Arial"/>
          <w:b/>
          <w:bCs/>
          <w:szCs w:val="24"/>
        </w:rPr>
        <w:t>ACUSE 00093TULTEPEC2024 (2).</w:t>
      </w:r>
      <w:proofErr w:type="spellStart"/>
      <w:r w:rsidRPr="00F40808">
        <w:rPr>
          <w:rFonts w:cs="Arial"/>
          <w:b/>
          <w:bCs/>
          <w:szCs w:val="24"/>
        </w:rPr>
        <w:t>pdf</w:t>
      </w:r>
      <w:proofErr w:type="spellEnd"/>
      <w:r w:rsidR="00AA34E2" w:rsidRPr="00F40808">
        <w:rPr>
          <w:rFonts w:cs="Arial"/>
          <w:b/>
          <w:bCs/>
          <w:szCs w:val="24"/>
        </w:rPr>
        <w:t xml:space="preserve">; </w:t>
      </w:r>
      <w:r w:rsidR="00AA34E2" w:rsidRPr="00F40808">
        <w:rPr>
          <w:rFonts w:cs="Arial"/>
          <w:szCs w:val="24"/>
        </w:rPr>
        <w:t>Documento que consta de una foja en formato PDF con número de oficio UT/00148/AGOSTO/2024 de fecha seis de agosto de dos mil veinticuatro por medio del cual el Titular de la Unidad de Transparencia turna la solicitud de información.</w:t>
      </w:r>
    </w:p>
    <w:p w14:paraId="3DB43D89" w14:textId="77777777" w:rsidR="00AA34E2" w:rsidRPr="00F40808" w:rsidRDefault="00AA34E2" w:rsidP="005A7EC5">
      <w:pPr>
        <w:rPr>
          <w:rFonts w:cs="Arial"/>
          <w:b/>
          <w:bCs/>
          <w:szCs w:val="24"/>
        </w:rPr>
      </w:pPr>
    </w:p>
    <w:p w14:paraId="51CFD2C8" w14:textId="3112C096" w:rsidR="00AA34E2" w:rsidRPr="00F40808" w:rsidRDefault="0080398F" w:rsidP="005A7EC5">
      <w:pPr>
        <w:pStyle w:val="Prrafodelista"/>
        <w:numPr>
          <w:ilvl w:val="0"/>
          <w:numId w:val="11"/>
        </w:numPr>
        <w:rPr>
          <w:rFonts w:cs="Arial"/>
          <w:b/>
          <w:bCs/>
          <w:szCs w:val="24"/>
        </w:rPr>
      </w:pPr>
      <w:r w:rsidRPr="00F40808">
        <w:rPr>
          <w:rFonts w:cs="Arial"/>
          <w:b/>
          <w:bCs/>
          <w:szCs w:val="24"/>
        </w:rPr>
        <w:t>RESPUESTA 00093TULTEPEC2024 (1).</w:t>
      </w:r>
      <w:proofErr w:type="spellStart"/>
      <w:r w:rsidRPr="00F40808">
        <w:rPr>
          <w:rFonts w:cs="Arial"/>
          <w:b/>
          <w:bCs/>
          <w:szCs w:val="24"/>
        </w:rPr>
        <w:t>pdf</w:t>
      </w:r>
      <w:proofErr w:type="spellEnd"/>
      <w:r w:rsidR="00AA34E2" w:rsidRPr="00F40808">
        <w:rPr>
          <w:rFonts w:cs="Arial"/>
          <w:b/>
          <w:bCs/>
          <w:szCs w:val="24"/>
        </w:rPr>
        <w:t xml:space="preserve">; </w:t>
      </w:r>
      <w:r w:rsidR="00AA34E2" w:rsidRPr="00F40808">
        <w:rPr>
          <w:rFonts w:cs="Arial"/>
          <w:szCs w:val="24"/>
        </w:rPr>
        <w:t xml:space="preserve">Documento que consta de quince fojas en formato PDF con número de oficio DOP/08/0146/2024 de fecha nueve de agosto de dos mil veinticuatro por medio del cual el Director de Obras </w:t>
      </w:r>
      <w:r w:rsidR="00AE637F" w:rsidRPr="00F40808">
        <w:rPr>
          <w:rFonts w:cs="Arial"/>
          <w:szCs w:val="24"/>
        </w:rPr>
        <w:t>envía</w:t>
      </w:r>
      <w:r w:rsidR="00AA34E2" w:rsidRPr="00F40808">
        <w:rPr>
          <w:rFonts w:cs="Arial"/>
          <w:szCs w:val="24"/>
        </w:rPr>
        <w:t xml:space="preserve"> la relación de las obras públicas realizadas y su gasto erogado del ejercicio fiscal 2022, 2023 y 2024, la relación de las empresas participantes del ejercicio fiscal 2022, 2023 y 2024 </w:t>
      </w:r>
      <w:r w:rsidR="00B62477" w:rsidRPr="00F40808">
        <w:rPr>
          <w:rFonts w:cs="Arial"/>
          <w:szCs w:val="24"/>
        </w:rPr>
        <w:t>así</w:t>
      </w:r>
      <w:r w:rsidR="00AA34E2" w:rsidRPr="00F40808">
        <w:rPr>
          <w:rFonts w:cs="Arial"/>
          <w:szCs w:val="24"/>
        </w:rPr>
        <w:t xml:space="preserve"> como el presupuesto anual de obras de los ejercicios 2022, 2023 y 2024</w:t>
      </w:r>
      <w:r w:rsidR="00B62477" w:rsidRPr="00F40808">
        <w:rPr>
          <w:rFonts w:cs="Arial"/>
          <w:szCs w:val="24"/>
        </w:rPr>
        <w:t>.</w:t>
      </w:r>
    </w:p>
    <w:p w14:paraId="3DB7C8A4" w14:textId="77777777" w:rsidR="00B62477" w:rsidRPr="00F40808" w:rsidRDefault="00B62477" w:rsidP="00B62477">
      <w:pPr>
        <w:rPr>
          <w:rFonts w:cs="Arial"/>
          <w:b/>
          <w:bCs/>
          <w:szCs w:val="24"/>
        </w:rPr>
      </w:pPr>
    </w:p>
    <w:p w14:paraId="485816A5" w14:textId="5B51675A" w:rsidR="0080398F" w:rsidRPr="00F40808" w:rsidRDefault="0080398F" w:rsidP="0080398F">
      <w:pPr>
        <w:pStyle w:val="Prrafodelista"/>
        <w:numPr>
          <w:ilvl w:val="0"/>
          <w:numId w:val="11"/>
        </w:numPr>
        <w:rPr>
          <w:rFonts w:cs="Arial"/>
          <w:b/>
          <w:bCs/>
          <w:szCs w:val="24"/>
        </w:rPr>
      </w:pPr>
      <w:r w:rsidRPr="00F40808">
        <w:rPr>
          <w:rFonts w:cs="Arial"/>
          <w:b/>
          <w:bCs/>
          <w:szCs w:val="24"/>
        </w:rPr>
        <w:t>RESPUESTA 00093TULTEPEC2024 (2).</w:t>
      </w:r>
      <w:proofErr w:type="spellStart"/>
      <w:r w:rsidRPr="00F40808">
        <w:rPr>
          <w:rFonts w:cs="Arial"/>
          <w:b/>
          <w:bCs/>
          <w:szCs w:val="24"/>
        </w:rPr>
        <w:t>pdf</w:t>
      </w:r>
      <w:proofErr w:type="spellEnd"/>
      <w:r w:rsidR="00AA34E2" w:rsidRPr="00F40808">
        <w:rPr>
          <w:rFonts w:cs="Arial"/>
          <w:b/>
          <w:bCs/>
          <w:szCs w:val="24"/>
        </w:rPr>
        <w:t xml:space="preserve">; </w:t>
      </w:r>
      <w:r w:rsidR="00AA34E2" w:rsidRPr="00F40808">
        <w:rPr>
          <w:rFonts w:cs="Arial"/>
          <w:szCs w:val="24"/>
        </w:rPr>
        <w:t>Documento que consta de veintiséis fojas en formato PDF que consta del desglose de</w:t>
      </w:r>
      <w:r w:rsidR="004C613C" w:rsidRPr="00F40808">
        <w:rPr>
          <w:rFonts w:cs="Arial"/>
          <w:szCs w:val="24"/>
        </w:rPr>
        <w:t xml:space="preserve"> </w:t>
      </w:r>
      <w:r w:rsidR="00AA34E2" w:rsidRPr="00F40808">
        <w:rPr>
          <w:rFonts w:cs="Arial"/>
          <w:szCs w:val="24"/>
        </w:rPr>
        <w:t xml:space="preserve">las obras públicas realizadas en el Ayuntamiento de Tultepec </w:t>
      </w:r>
      <w:r w:rsidR="004C613C" w:rsidRPr="00F40808">
        <w:rPr>
          <w:rFonts w:cs="Arial"/>
          <w:szCs w:val="24"/>
        </w:rPr>
        <w:t>conforme el nombre de la obra, la clave, el presupuesto y la sección</w:t>
      </w:r>
      <w:r w:rsidR="00364FE4" w:rsidRPr="00F40808">
        <w:rPr>
          <w:rFonts w:cs="Arial"/>
          <w:szCs w:val="24"/>
        </w:rPr>
        <w:t>, de las cuales se advierte conforme la clave de la obra únicament</w:t>
      </w:r>
      <w:r w:rsidR="00FC3A1E" w:rsidRPr="00F40808">
        <w:rPr>
          <w:rFonts w:cs="Arial"/>
          <w:szCs w:val="24"/>
        </w:rPr>
        <w:t>e constan del ejercicio fiscal 2024.</w:t>
      </w:r>
    </w:p>
    <w:p w14:paraId="102A39B9" w14:textId="77777777" w:rsidR="004C613C" w:rsidRPr="00F40808" w:rsidRDefault="004C613C" w:rsidP="004C613C">
      <w:pPr>
        <w:rPr>
          <w:rFonts w:cs="Arial"/>
          <w:b/>
          <w:bCs/>
          <w:szCs w:val="24"/>
        </w:rPr>
      </w:pPr>
    </w:p>
    <w:p w14:paraId="1D87D4B9" w14:textId="4F6CC04F" w:rsidR="004C613C" w:rsidRPr="00F40808" w:rsidRDefault="0080398F" w:rsidP="004C613C">
      <w:pPr>
        <w:pStyle w:val="Prrafodelista"/>
        <w:numPr>
          <w:ilvl w:val="0"/>
          <w:numId w:val="11"/>
        </w:numPr>
        <w:rPr>
          <w:rFonts w:cs="Arial"/>
          <w:b/>
          <w:bCs/>
          <w:szCs w:val="24"/>
        </w:rPr>
      </w:pPr>
      <w:r w:rsidRPr="00F40808">
        <w:rPr>
          <w:rFonts w:cs="Arial"/>
          <w:b/>
          <w:bCs/>
          <w:szCs w:val="24"/>
        </w:rPr>
        <w:t>RESPUESTA 00093TULTEPEC2024 (3).</w:t>
      </w:r>
      <w:proofErr w:type="spellStart"/>
      <w:r w:rsidRPr="00F40808">
        <w:rPr>
          <w:rFonts w:cs="Arial"/>
          <w:b/>
          <w:bCs/>
          <w:szCs w:val="24"/>
        </w:rPr>
        <w:t>pdf</w:t>
      </w:r>
      <w:proofErr w:type="spellEnd"/>
      <w:r w:rsidR="004C613C" w:rsidRPr="00F40808">
        <w:rPr>
          <w:rFonts w:cs="Arial"/>
          <w:b/>
          <w:bCs/>
          <w:szCs w:val="24"/>
        </w:rPr>
        <w:t xml:space="preserve">; </w:t>
      </w:r>
      <w:r w:rsidR="004C613C" w:rsidRPr="00F40808">
        <w:rPr>
          <w:rFonts w:cs="Arial"/>
          <w:szCs w:val="24"/>
        </w:rPr>
        <w:t>Documento que consta de dieciséis fojas en formato PDF que consta del desglose de las obras públicas realizadas en el Ayuntamiento de Tultepec conforme el nombre de la obra, la clave, el presupuesto y la sección.</w:t>
      </w:r>
    </w:p>
    <w:p w14:paraId="02FA7435" w14:textId="77777777" w:rsidR="004C613C" w:rsidRPr="00F40808" w:rsidRDefault="004C613C" w:rsidP="004C613C">
      <w:pPr>
        <w:rPr>
          <w:rFonts w:cs="Arial"/>
          <w:b/>
          <w:bCs/>
          <w:szCs w:val="24"/>
        </w:rPr>
      </w:pPr>
    </w:p>
    <w:p w14:paraId="63460BEE" w14:textId="1AB6BDB3" w:rsidR="0080398F" w:rsidRPr="00F40808" w:rsidRDefault="0080398F" w:rsidP="0080398F">
      <w:pPr>
        <w:pStyle w:val="Prrafodelista"/>
        <w:numPr>
          <w:ilvl w:val="0"/>
          <w:numId w:val="11"/>
        </w:numPr>
        <w:rPr>
          <w:rFonts w:cs="Arial"/>
          <w:b/>
          <w:bCs/>
          <w:szCs w:val="24"/>
        </w:rPr>
      </w:pPr>
      <w:r w:rsidRPr="00F40808">
        <w:rPr>
          <w:rFonts w:cs="Arial"/>
          <w:b/>
          <w:bCs/>
          <w:szCs w:val="24"/>
        </w:rPr>
        <w:t>RESPUESTA 00093TULTEPEC2024 (4).</w:t>
      </w:r>
      <w:proofErr w:type="spellStart"/>
      <w:r w:rsidRPr="00F40808">
        <w:rPr>
          <w:rFonts w:cs="Arial"/>
          <w:b/>
          <w:bCs/>
          <w:szCs w:val="24"/>
        </w:rPr>
        <w:t>pdf</w:t>
      </w:r>
      <w:proofErr w:type="spellEnd"/>
      <w:r w:rsidR="004C613C" w:rsidRPr="00F40808">
        <w:rPr>
          <w:rFonts w:cs="Arial"/>
          <w:b/>
          <w:bCs/>
          <w:szCs w:val="24"/>
        </w:rPr>
        <w:t xml:space="preserve">: </w:t>
      </w:r>
      <w:r w:rsidR="004C613C" w:rsidRPr="00F40808">
        <w:rPr>
          <w:rFonts w:cs="Arial"/>
          <w:szCs w:val="24"/>
        </w:rPr>
        <w:t xml:space="preserve">Documento que consta de trece fojas en formato PDF ilegibles </w:t>
      </w:r>
    </w:p>
    <w:p w14:paraId="7826F1FB" w14:textId="77777777" w:rsidR="0080398F" w:rsidRPr="00F40808" w:rsidRDefault="0080398F" w:rsidP="00132654"/>
    <w:p w14:paraId="4F714473" w14:textId="2AB0B88A" w:rsidR="000F6296" w:rsidRPr="00F40808" w:rsidRDefault="00132654" w:rsidP="000F6296">
      <w:pPr>
        <w:pBdr>
          <w:top w:val="nil"/>
          <w:left w:val="nil"/>
          <w:bottom w:val="nil"/>
          <w:right w:val="nil"/>
          <w:between w:val="nil"/>
        </w:pBdr>
        <w:rPr>
          <w:rFonts w:eastAsia="Palatino Linotype" w:cs="Palatino Linotype"/>
          <w:color w:val="000000"/>
          <w:szCs w:val="24"/>
        </w:rPr>
      </w:pPr>
      <w:r w:rsidRPr="00F40808">
        <w:rPr>
          <w:rFonts w:eastAsia="Palatino Linotype" w:cs="Palatino Linotype"/>
          <w:color w:val="000000"/>
          <w:szCs w:val="24"/>
        </w:rPr>
        <w:t xml:space="preserve">Ante la respuesta emitida por el Sujeto Obligado, el Recurrente consideró que su derecho a la información pública había sido conculcado, por lo que interpuso el recurso de revisión al rubro citado, señalando como acto impugnado </w:t>
      </w:r>
      <w:r w:rsidRPr="00F40808">
        <w:rPr>
          <w:rFonts w:eastAsia="Palatino Linotype" w:cs="Palatino Linotype"/>
          <w:i/>
          <w:color w:val="000000"/>
          <w:szCs w:val="24"/>
        </w:rPr>
        <w:t>“</w:t>
      </w:r>
      <w:r w:rsidR="00FE3A6C" w:rsidRPr="00F40808">
        <w:rPr>
          <w:rFonts w:eastAsia="Palatino Linotype" w:cs="Palatino Linotype"/>
          <w:i/>
          <w:color w:val="000000"/>
          <w:szCs w:val="24"/>
        </w:rPr>
        <w:tab/>
        <w:t>L</w:t>
      </w:r>
      <w:r w:rsidR="004C613C" w:rsidRPr="00F40808">
        <w:rPr>
          <w:rFonts w:eastAsia="Palatino Linotype" w:cs="Palatino Linotype"/>
          <w:i/>
          <w:color w:val="000000"/>
          <w:szCs w:val="24"/>
        </w:rPr>
        <w:t>a información no es en absoluto nada clara, tratan de evadir su responsabilidad solo con la entrega documentación de la cual no se aprecia absolutamente nada de información</w:t>
      </w:r>
      <w:r w:rsidRPr="00F40808">
        <w:rPr>
          <w:i/>
          <w:color w:val="000000"/>
          <w:szCs w:val="24"/>
        </w:rPr>
        <w:t>.”</w:t>
      </w:r>
      <w:r w:rsidRPr="00F40808">
        <w:rPr>
          <w:i/>
          <w:iCs/>
          <w:color w:val="000000"/>
          <w:szCs w:val="24"/>
        </w:rPr>
        <w:t xml:space="preserve"> </w:t>
      </w:r>
      <w:r w:rsidRPr="00F40808">
        <w:rPr>
          <w:rFonts w:eastAsia="Palatino Linotype" w:cs="Palatino Linotype"/>
          <w:color w:val="000000"/>
          <w:szCs w:val="24"/>
        </w:rPr>
        <w:t xml:space="preserve">en este sentido el Recurrente considero que el </w:t>
      </w:r>
      <w:r w:rsidR="004C613C" w:rsidRPr="00F40808">
        <w:rPr>
          <w:rFonts w:eastAsia="Palatino Linotype" w:cs="Palatino Linotype"/>
          <w:color w:val="000000"/>
          <w:szCs w:val="24"/>
        </w:rPr>
        <w:t xml:space="preserve">Sujeto Obligado no le dio cuenta de </w:t>
      </w:r>
      <w:r w:rsidR="000F6296" w:rsidRPr="00F40808">
        <w:rPr>
          <w:rFonts w:eastAsia="Palatino Linotype" w:cs="Palatino Linotype"/>
          <w:color w:val="000000"/>
          <w:szCs w:val="24"/>
        </w:rPr>
        <w:t xml:space="preserve">la lista de las obras publicas que se han realizado en el Municipio de Tultepec, la lista de todas las licitaciones con el nombre de cada una de las empresas que participó en el concurso para obtener las construcciones de las obras publicas que se han realizado en el Municipio de Tultepec, el Presupuesto para </w:t>
      </w:r>
      <w:r w:rsidR="000F6296" w:rsidRPr="00F40808">
        <w:rPr>
          <w:rFonts w:eastAsia="Palatino Linotype" w:cs="Palatino Linotype"/>
          <w:color w:val="000000"/>
          <w:szCs w:val="24"/>
        </w:rPr>
        <w:lastRenderedPageBreak/>
        <w:t>las Obras Públicas que se realizaron en el Municipio de Tultepec, el Gasto real de cada una de las Obras Públicas que se realizaron en el Municipio de Tultepec, las Empresas que han realizado las obras públicas que se han realizado en el Municipio de Tultepec en la administración 2022- 2024, y se envíe listado de cada una de ellas.</w:t>
      </w:r>
    </w:p>
    <w:p w14:paraId="2A8FC42B" w14:textId="77777777" w:rsidR="00F818DA" w:rsidRPr="00F40808" w:rsidRDefault="00F818DA" w:rsidP="00132654">
      <w:pPr>
        <w:pBdr>
          <w:top w:val="nil"/>
          <w:left w:val="nil"/>
          <w:bottom w:val="nil"/>
          <w:right w:val="nil"/>
          <w:between w:val="nil"/>
        </w:pBdr>
        <w:contextualSpacing/>
      </w:pPr>
    </w:p>
    <w:p w14:paraId="6C445033" w14:textId="77777777" w:rsidR="00F818DA" w:rsidRPr="00F40808" w:rsidRDefault="00F818DA" w:rsidP="00F818DA">
      <w:pPr>
        <w:spacing w:before="240"/>
      </w:pPr>
      <w:r w:rsidRPr="00F40808">
        <w:t xml:space="preserve">De lo anterior no pasa por desapercibido por este órgano Garante que el derecho de acceso a la información estriba respecto de aquellos soportes documentales generados, poseídos o administrados por </w:t>
      </w:r>
      <w:r w:rsidRPr="00F40808">
        <w:rPr>
          <w:b/>
          <w:bCs/>
        </w:rPr>
        <w:t xml:space="preserve">El Sujeto Obligado </w:t>
      </w:r>
      <w:r w:rsidRPr="00F40808">
        <w:t>que se encuentren disponibles al momento de ejercer dicha prerrogativa, es decir, excluye los siguientes actos:</w:t>
      </w:r>
    </w:p>
    <w:p w14:paraId="13C592CA" w14:textId="77777777" w:rsidR="00F818DA" w:rsidRPr="00F40808" w:rsidRDefault="00F818DA" w:rsidP="00F818DA">
      <w:pPr>
        <w:pStyle w:val="Prrafodelista"/>
        <w:spacing w:before="240"/>
        <w:rPr>
          <w:sz w:val="22"/>
        </w:rPr>
      </w:pPr>
      <w:r w:rsidRPr="00F40808">
        <w:rPr>
          <w:b/>
          <w:bCs/>
          <w:sz w:val="22"/>
        </w:rPr>
        <w:t xml:space="preserve">Actos futuros inminentes: </w:t>
      </w:r>
      <w:r w:rsidRPr="00F40808">
        <w:rPr>
          <w:sz w:val="22"/>
        </w:rPr>
        <w:t xml:space="preserve">Son aquellos cuyo mandamiento ya se ha dictado y su ejecución puede realizarse de un momento a otro. </w:t>
      </w:r>
    </w:p>
    <w:p w14:paraId="1D9D1658" w14:textId="77777777" w:rsidR="00F818DA" w:rsidRPr="00F40808" w:rsidRDefault="00F818DA" w:rsidP="00F818DA">
      <w:pPr>
        <w:pStyle w:val="Prrafodelista"/>
        <w:spacing w:before="240"/>
        <w:rPr>
          <w:sz w:val="22"/>
        </w:rPr>
      </w:pPr>
      <w:r w:rsidRPr="00F40808">
        <w:rPr>
          <w:b/>
          <w:bCs/>
          <w:sz w:val="22"/>
        </w:rPr>
        <w:t xml:space="preserve">Actos futuros probables: </w:t>
      </w:r>
      <w:r w:rsidRPr="00F40808">
        <w:rPr>
          <w:sz w:val="22"/>
        </w:rPr>
        <w:t xml:space="preserve">Son aquellos que pueden o no suceder, es decir, son de remota realización. </w:t>
      </w:r>
    </w:p>
    <w:p w14:paraId="09A3CEE1" w14:textId="624A6952" w:rsidR="00F818DA" w:rsidRPr="00F40808" w:rsidRDefault="00F818DA" w:rsidP="007735D8">
      <w:pPr>
        <w:spacing w:before="240"/>
      </w:pPr>
      <w:r w:rsidRPr="00F40808">
        <w:t xml:space="preserve">En este sentido, al tomar en consideración que la solicitud de información </w:t>
      </w:r>
      <w:r w:rsidR="00FE3A6C" w:rsidRPr="00F40808">
        <w:t>versa sobre conocer información correspondiente a la administración 2022-2024  y que al no haberse fijado periodo respecto al 2024 no encontraríamos ante hechos futuros por lo que en atención a que el ejercicio al derecho de acceso a la información fue realizado el cinco de agosto de dos mil veinticuatro</w:t>
      </w:r>
      <w:r w:rsidRPr="00F40808">
        <w:t xml:space="preserve">, el requerimiento temporal será del 01 de enero de </w:t>
      </w:r>
      <w:r w:rsidR="00B62477" w:rsidRPr="00F40808">
        <w:t xml:space="preserve">dos mil veintidós </w:t>
      </w:r>
      <w:r w:rsidRPr="00F40808">
        <w:t xml:space="preserve"> al </w:t>
      </w:r>
      <w:r w:rsidR="00FE3A6C" w:rsidRPr="00F40808">
        <w:t>cinco de agosto de dos mil veinticuatro.</w:t>
      </w:r>
    </w:p>
    <w:p w14:paraId="696AB722" w14:textId="77777777" w:rsidR="00DF226E" w:rsidRPr="00F40808" w:rsidRDefault="00DF226E" w:rsidP="007735D8">
      <w:pPr>
        <w:spacing w:before="240"/>
      </w:pPr>
    </w:p>
    <w:p w14:paraId="33594F70" w14:textId="35090459" w:rsidR="00132654" w:rsidRPr="00F40808" w:rsidRDefault="00132654" w:rsidP="00FE3A6C">
      <w:pPr>
        <w:rPr>
          <w:rFonts w:eastAsia="Times New Roman" w:cs="Arial"/>
          <w:szCs w:val="24"/>
          <w:lang w:val="es-MX"/>
        </w:rPr>
      </w:pPr>
      <w:r w:rsidRPr="00F40808">
        <w:rPr>
          <w:szCs w:val="24"/>
        </w:rPr>
        <w:lastRenderedPageBreak/>
        <w:t xml:space="preserve">Se debe resaltar que a efecto de no violentar el derecho al acceso a la información el Sujeto Obligado emitió su informe justificado mediante </w:t>
      </w:r>
      <w:r w:rsidR="00FE3A6C" w:rsidRPr="00F40808">
        <w:rPr>
          <w:szCs w:val="24"/>
        </w:rPr>
        <w:t>el archivo electrónico</w:t>
      </w:r>
      <w:r w:rsidRPr="00F40808">
        <w:rPr>
          <w:szCs w:val="24"/>
        </w:rPr>
        <w:t xml:space="preserve"> </w:t>
      </w:r>
      <w:r w:rsidR="00FE3A6C" w:rsidRPr="00F40808">
        <w:rPr>
          <w:szCs w:val="24"/>
        </w:rPr>
        <w:t xml:space="preserve">denominado </w:t>
      </w:r>
      <w:r w:rsidR="00FE3A6C" w:rsidRPr="00F40808">
        <w:rPr>
          <w:rFonts w:cs="Arial"/>
          <w:b/>
          <w:bCs/>
          <w:color w:val="67C19D"/>
          <w:szCs w:val="24"/>
        </w:rPr>
        <w:br/>
      </w:r>
      <w:r w:rsidR="00FE3A6C" w:rsidRPr="00F40808">
        <w:rPr>
          <w:rFonts w:cs="Arial"/>
          <w:b/>
          <w:bCs/>
          <w:szCs w:val="24"/>
        </w:rPr>
        <w:t>OBRAS 93-2024.pdf</w:t>
      </w:r>
      <w:r w:rsidR="00FE3A6C" w:rsidRPr="00F40808">
        <w:rPr>
          <w:rFonts w:eastAsia="Times New Roman" w:cs="Arial"/>
          <w:szCs w:val="24"/>
          <w:lang w:val="es-MX"/>
        </w:rPr>
        <w:t xml:space="preserve"> </w:t>
      </w:r>
      <w:r w:rsidRPr="00F40808">
        <w:t xml:space="preserve">en los términos siguientes; </w:t>
      </w:r>
    </w:p>
    <w:p w14:paraId="04494199" w14:textId="77777777" w:rsidR="00132654" w:rsidRPr="00F40808" w:rsidRDefault="00132654" w:rsidP="00132654">
      <w:pPr>
        <w:pBdr>
          <w:top w:val="nil"/>
          <w:left w:val="nil"/>
          <w:bottom w:val="nil"/>
          <w:right w:val="nil"/>
          <w:between w:val="nil"/>
        </w:pBdr>
        <w:contextualSpacing/>
      </w:pPr>
    </w:p>
    <w:p w14:paraId="178BCB1A" w14:textId="12EAE249" w:rsidR="00FE3A6C" w:rsidRPr="00F40808" w:rsidRDefault="00EC02E6" w:rsidP="00113C62">
      <w:pPr>
        <w:pStyle w:val="Prrafodelista"/>
        <w:numPr>
          <w:ilvl w:val="0"/>
          <w:numId w:val="11"/>
        </w:numPr>
        <w:pBdr>
          <w:top w:val="nil"/>
          <w:left w:val="nil"/>
          <w:bottom w:val="nil"/>
          <w:right w:val="nil"/>
          <w:between w:val="nil"/>
        </w:pBdr>
        <w:rPr>
          <w:b/>
        </w:rPr>
      </w:pPr>
      <w:r w:rsidRPr="00F40808">
        <w:rPr>
          <w:rFonts w:cs="Arial"/>
          <w:b/>
          <w:bCs/>
          <w:szCs w:val="24"/>
        </w:rPr>
        <w:t xml:space="preserve">OBRAS 93-2024.pdf; </w:t>
      </w:r>
      <w:r w:rsidRPr="00F40808">
        <w:rPr>
          <w:rFonts w:cs="Arial"/>
          <w:szCs w:val="24"/>
        </w:rPr>
        <w:t xml:space="preserve">Documento que consta de ocho </w:t>
      </w:r>
      <w:r w:rsidR="00495393" w:rsidRPr="00F40808">
        <w:rPr>
          <w:rFonts w:cs="Arial"/>
          <w:szCs w:val="24"/>
        </w:rPr>
        <w:t>fojas</w:t>
      </w:r>
      <w:r w:rsidRPr="00F40808">
        <w:rPr>
          <w:rFonts w:cs="Arial"/>
          <w:szCs w:val="24"/>
        </w:rPr>
        <w:t xml:space="preserve"> en formato PDF parcialmente ilegibles de </w:t>
      </w:r>
      <w:r w:rsidR="00495393" w:rsidRPr="00F40808">
        <w:rPr>
          <w:rFonts w:cs="Arial"/>
          <w:szCs w:val="24"/>
        </w:rPr>
        <w:t>las</w:t>
      </w:r>
      <w:r w:rsidRPr="00F40808">
        <w:rPr>
          <w:rFonts w:cs="Arial"/>
          <w:szCs w:val="24"/>
        </w:rPr>
        <w:t xml:space="preserve"> que se advierte el Programa anual de obras</w:t>
      </w:r>
      <w:r w:rsidR="00970303" w:rsidRPr="00F40808">
        <w:rPr>
          <w:rFonts w:cs="Arial"/>
          <w:szCs w:val="24"/>
        </w:rPr>
        <w:t xml:space="preserve"> </w:t>
      </w:r>
      <w:r w:rsidR="00DB020E" w:rsidRPr="00F40808">
        <w:rPr>
          <w:rFonts w:cs="Arial"/>
          <w:szCs w:val="24"/>
        </w:rPr>
        <w:t xml:space="preserve"> del ejercicio fiscal 2024 </w:t>
      </w:r>
      <w:r w:rsidR="00970303" w:rsidRPr="00F40808">
        <w:rPr>
          <w:rFonts w:cs="Arial"/>
          <w:szCs w:val="24"/>
        </w:rPr>
        <w:t>en su formato PbRM- 07a</w:t>
      </w:r>
      <w:r w:rsidR="00113C62" w:rsidRPr="00F40808">
        <w:rPr>
          <w:rFonts w:cs="Arial"/>
          <w:szCs w:val="24"/>
        </w:rPr>
        <w:t>.</w:t>
      </w:r>
      <w:r w:rsidRPr="00F40808">
        <w:rPr>
          <w:rFonts w:cs="Arial"/>
          <w:szCs w:val="24"/>
        </w:rPr>
        <w:t xml:space="preserve"> </w:t>
      </w:r>
    </w:p>
    <w:p w14:paraId="56774EDA" w14:textId="77777777" w:rsidR="007119A8" w:rsidRPr="00F40808" w:rsidRDefault="007119A8" w:rsidP="007119A8">
      <w:pPr>
        <w:pStyle w:val="Prrafodelista"/>
        <w:pBdr>
          <w:top w:val="nil"/>
          <w:left w:val="nil"/>
          <w:bottom w:val="nil"/>
          <w:right w:val="nil"/>
          <w:between w:val="nil"/>
        </w:pBdr>
        <w:rPr>
          <w:b/>
        </w:rPr>
      </w:pPr>
    </w:p>
    <w:p w14:paraId="2C5CCA06" w14:textId="7F9C238D" w:rsidR="00132654" w:rsidRPr="00F40808" w:rsidRDefault="00132654" w:rsidP="005A7EC5">
      <w:pPr>
        <w:pStyle w:val="Prrafodelista"/>
        <w:tabs>
          <w:tab w:val="left" w:pos="426"/>
        </w:tabs>
        <w:spacing w:before="240" w:after="240"/>
        <w:ind w:left="0" w:right="51"/>
        <w:rPr>
          <w:color w:val="000000" w:themeColor="text1"/>
        </w:rPr>
      </w:pPr>
      <w:r w:rsidRPr="00F40808">
        <w:rPr>
          <w:lang w:val="es-ES"/>
        </w:rPr>
        <w:t xml:space="preserve">Previo a iniciar el análisis de la información solicitada, se considera </w:t>
      </w:r>
      <w:r w:rsidRPr="00F40808">
        <w:rPr>
          <w:color w:val="000000" w:themeColor="text1"/>
        </w:rPr>
        <w:t>esencial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(19) de octubre de dos mil once, cuyo rubro y texto dispone:</w:t>
      </w:r>
    </w:p>
    <w:p w14:paraId="7EBF0DC9" w14:textId="77777777" w:rsidR="00132654" w:rsidRPr="00F40808" w:rsidRDefault="00132654" w:rsidP="00132654">
      <w:pPr>
        <w:spacing w:line="276" w:lineRule="auto"/>
        <w:ind w:left="567" w:right="567"/>
        <w:rPr>
          <w:rFonts w:eastAsia="Palatino Linotype" w:cs="Palatino Linotype"/>
          <w:i/>
          <w:sz w:val="22"/>
        </w:rPr>
      </w:pPr>
      <w:r w:rsidRPr="00F40808">
        <w:rPr>
          <w:rFonts w:eastAsia="Palatino Linotype" w:cs="Palatino Linotype"/>
          <w:b/>
          <w:i/>
          <w:sz w:val="22"/>
        </w:rPr>
        <w:t>INFORMACIÓN PÚBLICA, CONCEPTO DE, EN MATERIA DE TRANSPARENCIA. INTERPRETACIÓN TEMÁTICA DE LOS ARTÍCULOS 2, FRACCIÓN V, XV, Y XVI, 3, 4,11 Y 41.</w:t>
      </w:r>
      <w:r w:rsidRPr="00F40808">
        <w:rPr>
          <w:rFonts w:eastAsia="Palatino Linotype" w:cs="Palatino Linotype"/>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280CE69" w14:textId="77777777" w:rsidR="00132654" w:rsidRPr="00F40808" w:rsidRDefault="00132654" w:rsidP="00132654">
      <w:pPr>
        <w:spacing w:line="276" w:lineRule="auto"/>
        <w:ind w:left="567" w:right="567"/>
        <w:rPr>
          <w:rFonts w:eastAsia="Palatino Linotype" w:cs="Palatino Linotype"/>
          <w:i/>
          <w:sz w:val="22"/>
        </w:rPr>
      </w:pPr>
      <w:r w:rsidRPr="00F40808">
        <w:rPr>
          <w:rFonts w:eastAsia="Palatino Linotype" w:cs="Palatino Linotype"/>
          <w:i/>
          <w:sz w:val="22"/>
        </w:rPr>
        <w:t>En consecuencia el acceso a la información se refiere a que se cumplan cualquiera de los siguientes tres supuestos:</w:t>
      </w:r>
    </w:p>
    <w:p w14:paraId="227B4553" w14:textId="77777777" w:rsidR="00132654" w:rsidRPr="00F40808" w:rsidRDefault="00132654" w:rsidP="00132654">
      <w:pPr>
        <w:spacing w:line="276" w:lineRule="auto"/>
        <w:ind w:left="567" w:right="567"/>
        <w:rPr>
          <w:rFonts w:eastAsia="Palatino Linotype" w:cs="Palatino Linotype"/>
          <w:i/>
          <w:sz w:val="22"/>
        </w:rPr>
      </w:pPr>
      <w:r w:rsidRPr="00F40808">
        <w:rPr>
          <w:rFonts w:eastAsia="Palatino Linotype" w:cs="Palatino Linotype"/>
          <w:i/>
          <w:sz w:val="22"/>
        </w:rPr>
        <w:t>Que se trate de información registrada en cualquier soporte documental, que en ejercicio de las atribuciones conferidas, sea generada por los Sujetos Obligados;</w:t>
      </w:r>
    </w:p>
    <w:p w14:paraId="6E1F36F3" w14:textId="77777777" w:rsidR="00132654" w:rsidRPr="00F40808" w:rsidRDefault="00132654" w:rsidP="00132654">
      <w:pPr>
        <w:spacing w:line="276" w:lineRule="auto"/>
        <w:ind w:left="567" w:right="567"/>
        <w:rPr>
          <w:rFonts w:eastAsia="Palatino Linotype" w:cs="Palatino Linotype"/>
          <w:i/>
          <w:sz w:val="22"/>
        </w:rPr>
      </w:pPr>
      <w:r w:rsidRPr="00F40808">
        <w:rPr>
          <w:rFonts w:eastAsia="Palatino Linotype" w:cs="Palatino Linotype"/>
          <w:i/>
          <w:sz w:val="22"/>
        </w:rPr>
        <w:t>Que se trate de información registrada en cualquier soporte documental, que en ejercicio de las atribuciones conferidas, sea administrada por los Sujetos Obligados, y</w:t>
      </w:r>
    </w:p>
    <w:p w14:paraId="3E8C0928" w14:textId="77777777" w:rsidR="00132654" w:rsidRPr="00F40808" w:rsidRDefault="00132654" w:rsidP="00132654">
      <w:pPr>
        <w:spacing w:line="276" w:lineRule="auto"/>
        <w:ind w:left="567" w:right="567"/>
        <w:rPr>
          <w:rFonts w:eastAsia="Palatino Linotype" w:cs="Palatino Linotype"/>
        </w:rPr>
      </w:pPr>
      <w:r w:rsidRPr="00F40808">
        <w:rPr>
          <w:rFonts w:eastAsia="Palatino Linotype" w:cs="Palatino Linotype"/>
          <w:i/>
          <w:sz w:val="22"/>
        </w:rPr>
        <w:lastRenderedPageBreak/>
        <w:t>Que se trate de información registrada en cualquier soporte documental, que en ejercicio de las atribuciones conferidas, se encuentre en posesión de los Sujetos Obligados.”</w:t>
      </w:r>
    </w:p>
    <w:p w14:paraId="1D480732" w14:textId="77777777" w:rsidR="00132654" w:rsidRPr="00F40808" w:rsidRDefault="00132654" w:rsidP="00132654">
      <w:pPr>
        <w:pStyle w:val="Prrafodelista"/>
        <w:tabs>
          <w:tab w:val="left" w:pos="426"/>
        </w:tabs>
        <w:spacing w:before="240" w:after="240"/>
        <w:ind w:left="0" w:right="51"/>
        <w:rPr>
          <w:color w:val="000000" w:themeColor="text1"/>
        </w:rPr>
      </w:pPr>
    </w:p>
    <w:p w14:paraId="54994FD4" w14:textId="608D474A" w:rsidR="00132654" w:rsidRPr="00F40808" w:rsidRDefault="00132654" w:rsidP="00113C62">
      <w:pPr>
        <w:pStyle w:val="Prrafodelista"/>
        <w:tabs>
          <w:tab w:val="left" w:pos="426"/>
        </w:tabs>
        <w:spacing w:before="240" w:after="240"/>
        <w:ind w:left="0" w:right="51"/>
        <w:rPr>
          <w:color w:val="000000" w:themeColor="text1"/>
        </w:rPr>
      </w:pPr>
      <w:r w:rsidRPr="00F40808">
        <w:rPr>
          <w:color w:val="000000" w:themeColor="text1"/>
        </w:rPr>
        <w:t xml:space="preserve">El </w:t>
      </w:r>
      <w:r w:rsidRPr="00F40808">
        <w:rPr>
          <w:rFonts w:eastAsia="Palatino Linotype" w:cs="Palatino Linotype"/>
          <w:color w:val="000000"/>
        </w:rPr>
        <w:t>derecho de acceso a la información encuentra su materia elemental en los documentos, y la Ley de Transparencia local nos brinda el siguiente concepto</w:t>
      </w:r>
      <w:r w:rsidRPr="00F40808">
        <w:rPr>
          <w:rFonts w:eastAsia="Palatino Linotype" w:cs="Palatino Linotype"/>
          <w:color w:val="000000"/>
          <w:vertAlign w:val="superscript"/>
        </w:rPr>
        <w:footnoteReference w:id="2"/>
      </w:r>
      <w:r w:rsidRPr="00F40808">
        <w:rPr>
          <w:rFonts w:eastAsia="Palatino Linotype" w:cs="Palatino Linotype"/>
          <w:color w:val="000000"/>
        </w:rPr>
        <w:t>, para darnos un mejor panorama:</w:t>
      </w:r>
    </w:p>
    <w:p w14:paraId="18984A84" w14:textId="77777777" w:rsidR="00132654" w:rsidRPr="00F40808" w:rsidRDefault="00132654" w:rsidP="00132654">
      <w:pPr>
        <w:spacing w:line="276" w:lineRule="auto"/>
        <w:ind w:left="567" w:right="567"/>
        <w:rPr>
          <w:rFonts w:eastAsia="Palatino Linotype" w:cs="Palatino Linotype"/>
          <w:i/>
          <w:sz w:val="22"/>
        </w:rPr>
      </w:pPr>
      <w:r w:rsidRPr="00F40808">
        <w:rPr>
          <w:rFonts w:eastAsia="Palatino Linotype" w:cs="Palatino Linotype"/>
          <w:b/>
          <w:i/>
          <w:sz w:val="22"/>
        </w:rPr>
        <w:t xml:space="preserve">“XI. Documento: </w:t>
      </w:r>
      <w:r w:rsidRPr="00F40808">
        <w:rPr>
          <w:rFonts w:eastAsia="Palatino Linotype" w:cs="Palatino Linotype"/>
          <w:b/>
          <w:bCs/>
          <w:i/>
          <w:sz w:val="22"/>
        </w:rPr>
        <w:t>Los expedientes, reportes, estudios,</w:t>
      </w:r>
      <w:r w:rsidRPr="00F40808">
        <w:rPr>
          <w:rFonts w:eastAsia="Palatino Linotype" w:cs="Palatino Linotype"/>
          <w:b/>
          <w:i/>
          <w:sz w:val="22"/>
        </w:rPr>
        <w:t xml:space="preserve"> actas, resoluciones, oficios, correspondencia, acuerdos, directivas, directrices, circulares, contratos, convenios, instructivos, notas, memorandos, estadísticas o</w:t>
      </w:r>
      <w:r w:rsidRPr="00F40808">
        <w:rPr>
          <w:rFonts w:eastAsia="Palatino Linotype" w:cs="Palatino Linotype"/>
          <w:i/>
          <w:sz w:val="22"/>
        </w:rPr>
        <w:t xml:space="preserve"> bien, </w:t>
      </w:r>
      <w:r w:rsidRPr="00F40808">
        <w:rPr>
          <w:rFonts w:eastAsia="Palatino Linotype" w:cs="Palatino Linotype"/>
          <w:b/>
          <w:bCs/>
          <w:i/>
          <w:sz w:val="22"/>
        </w:rPr>
        <w:t>cualquier</w:t>
      </w:r>
      <w:r w:rsidRPr="00F40808">
        <w:rPr>
          <w:rFonts w:eastAsia="Palatino Linotype" w:cs="Palatino Linotype"/>
          <w:i/>
          <w:sz w:val="22"/>
        </w:rPr>
        <w:t xml:space="preserve"> otro </w:t>
      </w:r>
      <w:r w:rsidRPr="00F40808">
        <w:rPr>
          <w:rFonts w:eastAsia="Palatino Linotype" w:cs="Palatino Linotype"/>
          <w:b/>
          <w:bCs/>
          <w:i/>
          <w:sz w:val="22"/>
        </w:rPr>
        <w:t>registro que documente el ejercicio de las facultades, funciones y competencias de los</w:t>
      </w:r>
      <w:r w:rsidRPr="00F40808">
        <w:rPr>
          <w:rFonts w:eastAsia="Palatino Linotype" w:cs="Palatino Linotype"/>
          <w:i/>
          <w:sz w:val="22"/>
        </w:rPr>
        <w:t xml:space="preserve"> </w:t>
      </w:r>
      <w:r w:rsidRPr="00F40808">
        <w:rPr>
          <w:rFonts w:eastAsia="Palatino Linotype" w:cs="Palatino Linotype"/>
          <w:b/>
          <w:i/>
          <w:sz w:val="22"/>
        </w:rPr>
        <w:t>sujetos obligados</w:t>
      </w:r>
      <w:r w:rsidRPr="00F40808">
        <w:rPr>
          <w:rFonts w:eastAsia="Palatino Linotype" w:cs="Palatino Linotype"/>
          <w:i/>
          <w:sz w:val="22"/>
        </w:rPr>
        <w:t xml:space="preserve">, sus </w:t>
      </w:r>
      <w:r w:rsidRPr="00F40808">
        <w:rPr>
          <w:rFonts w:eastAsia="Palatino Linotype" w:cs="Palatino Linotype"/>
          <w:bCs/>
          <w:i/>
          <w:sz w:val="22"/>
        </w:rPr>
        <w:t>servidores públicos</w:t>
      </w:r>
      <w:r w:rsidRPr="00F40808">
        <w:rPr>
          <w:rFonts w:eastAsia="Palatino Linotype" w:cs="Palatino Linotype"/>
          <w:i/>
          <w:sz w:val="22"/>
        </w:rPr>
        <w:t xml:space="preserve"> e integrantes, sin importar su fuente o fecha de elaboración. Los documentos podrán estar en cualquier medio, sea escrito, impreso,  sonoro, visual, electrónico, informático u holográfico;”</w:t>
      </w:r>
    </w:p>
    <w:p w14:paraId="256F5CE8" w14:textId="77777777" w:rsidR="00132654" w:rsidRPr="00F40808" w:rsidRDefault="00132654" w:rsidP="00132654">
      <w:pPr>
        <w:spacing w:line="276" w:lineRule="auto"/>
        <w:ind w:left="567" w:right="567"/>
        <w:rPr>
          <w:rFonts w:eastAsia="Palatino Linotype" w:cs="Palatino Linotype"/>
          <w:iCs/>
          <w:sz w:val="22"/>
        </w:rPr>
      </w:pPr>
      <w:r w:rsidRPr="00F40808">
        <w:rPr>
          <w:rFonts w:eastAsia="Palatino Linotype" w:cs="Palatino Linotype"/>
          <w:sz w:val="22"/>
        </w:rPr>
        <w:t>(Énfasis añadido)</w:t>
      </w:r>
    </w:p>
    <w:p w14:paraId="3C4BF78A" w14:textId="77777777" w:rsidR="00132654" w:rsidRPr="00F40808" w:rsidRDefault="00132654" w:rsidP="00132654">
      <w:pPr>
        <w:pStyle w:val="Prrafodelista"/>
        <w:tabs>
          <w:tab w:val="left" w:pos="426"/>
        </w:tabs>
        <w:spacing w:before="240" w:after="240"/>
        <w:ind w:left="0" w:right="51"/>
        <w:rPr>
          <w:color w:val="000000" w:themeColor="text1"/>
        </w:rPr>
      </w:pPr>
    </w:p>
    <w:p w14:paraId="24EBCD55" w14:textId="676E2721" w:rsidR="00132654" w:rsidRPr="00F40808" w:rsidRDefault="00132654" w:rsidP="00113C62">
      <w:pPr>
        <w:pStyle w:val="Prrafodelista"/>
        <w:tabs>
          <w:tab w:val="left" w:pos="426"/>
        </w:tabs>
        <w:spacing w:before="240" w:after="240"/>
        <w:ind w:left="0" w:right="51"/>
        <w:rPr>
          <w:color w:val="000000" w:themeColor="text1"/>
        </w:rPr>
      </w:pPr>
      <w:r w:rsidRPr="00F40808">
        <w:rPr>
          <w:color w:val="000000" w:themeColor="text1"/>
        </w:rPr>
        <w:t xml:space="preserve">Correlativo </w:t>
      </w:r>
      <w:r w:rsidRPr="00F40808">
        <w:rPr>
          <w:rFonts w:eastAsia="Palatino Linotype" w:cs="Palatino Linotype"/>
          <w:color w:val="000000"/>
        </w:rPr>
        <w:t>a lo anterior, debemos tomar en cuenta los artículos 4 y 12, de la Ley de Transparencia y Acceso a la Información Pública del Estado de México y Municipios, los cuales establecen lo siguiente:</w:t>
      </w:r>
    </w:p>
    <w:p w14:paraId="0530F3EC" w14:textId="77777777" w:rsidR="00132654" w:rsidRPr="00F40808" w:rsidRDefault="00132654" w:rsidP="00132654">
      <w:pPr>
        <w:spacing w:line="276" w:lineRule="auto"/>
        <w:ind w:left="567" w:right="567"/>
        <w:rPr>
          <w:rFonts w:eastAsia="Palatino Linotype" w:cs="Palatino Linotype"/>
          <w:i/>
          <w:sz w:val="22"/>
        </w:rPr>
      </w:pPr>
      <w:r w:rsidRPr="00F40808">
        <w:rPr>
          <w:rFonts w:eastAsia="Palatino Linotype" w:cs="Palatino Linotype"/>
          <w:b/>
          <w:i/>
          <w:sz w:val="22"/>
        </w:rPr>
        <w:t xml:space="preserve">“Artículo 4. </w:t>
      </w:r>
      <w:r w:rsidRPr="00F40808">
        <w:rPr>
          <w:rFonts w:eastAsia="Palatino Linotype" w:cs="Palatino Linotype"/>
          <w:i/>
          <w:sz w:val="22"/>
        </w:rPr>
        <w:t>El derecho humano de acceso a la información pública es la prerrogativa de las personas para buscar, difundir, investigar, recabar, recibir y solicitar información pública, sin necesidad de acreditar personalidad ni interés jurídico.</w:t>
      </w:r>
    </w:p>
    <w:p w14:paraId="420A677F" w14:textId="77777777" w:rsidR="00132654" w:rsidRPr="00F40808" w:rsidRDefault="00132654" w:rsidP="00132654">
      <w:pPr>
        <w:spacing w:line="276" w:lineRule="auto"/>
        <w:ind w:left="567" w:right="567"/>
        <w:rPr>
          <w:rFonts w:eastAsia="Palatino Linotype" w:cs="Palatino Linotype"/>
          <w:i/>
          <w:sz w:val="22"/>
        </w:rPr>
      </w:pPr>
      <w:r w:rsidRPr="00F40808">
        <w:rPr>
          <w:rFonts w:eastAsia="Palatino Linotype" w:cs="Palatino Linotype"/>
          <w:b/>
          <w:i/>
          <w:sz w:val="22"/>
        </w:rPr>
        <w:t>Toda la información generada, obtenida, adquirida, transformada, administrada o en posesión de los sujetos obligados es pública y accesible de manera permanente a cualquier persona</w:t>
      </w:r>
      <w:r w:rsidRPr="00F40808">
        <w:rPr>
          <w:rFonts w:eastAsia="Palatino Linotype" w:cs="Palatino Linotype"/>
          <w:i/>
          <w:sz w:val="22"/>
        </w:rPr>
        <w:t xml:space="preserve">, en los términos y condiciones que se establezcan en los tratados </w:t>
      </w:r>
      <w:r w:rsidRPr="00F40808">
        <w:rPr>
          <w:rFonts w:eastAsia="Palatino Linotype" w:cs="Palatino Linotype"/>
          <w:i/>
          <w:sz w:val="22"/>
        </w:rPr>
        <w:lastRenderedPageBreak/>
        <w:t>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43146E9" w14:textId="77777777" w:rsidR="00132654" w:rsidRPr="00F40808" w:rsidRDefault="00132654" w:rsidP="00132654">
      <w:pPr>
        <w:spacing w:line="276" w:lineRule="auto"/>
        <w:ind w:left="567" w:right="567"/>
        <w:rPr>
          <w:rFonts w:eastAsia="Palatino Linotype" w:cs="Palatino Linotype"/>
          <w:b/>
          <w:i/>
          <w:sz w:val="22"/>
        </w:rPr>
      </w:pPr>
      <w:r w:rsidRPr="00F40808">
        <w:rPr>
          <w:rFonts w:eastAsia="Palatino Linotype" w:cs="Palatino Linotype"/>
          <w:b/>
          <w:i/>
          <w:sz w:val="22"/>
        </w:rPr>
        <w:t>Los sujetos obligados deben poner en práctica, políticas y programas de acceso a la información que se apeguen a criterios de publicidad, veracidad, oportunidad, precisión y suficiencia en beneficio de los solicitantes.</w:t>
      </w:r>
    </w:p>
    <w:p w14:paraId="117A0EF9" w14:textId="77777777" w:rsidR="00132654" w:rsidRPr="00F40808" w:rsidRDefault="00132654" w:rsidP="00132654">
      <w:pPr>
        <w:spacing w:line="276" w:lineRule="auto"/>
        <w:ind w:right="567"/>
        <w:rPr>
          <w:rFonts w:eastAsia="Palatino Linotype" w:cs="Palatino Linotype"/>
          <w:i/>
          <w:color w:val="000000"/>
          <w:sz w:val="28"/>
          <w:szCs w:val="28"/>
        </w:rPr>
      </w:pPr>
    </w:p>
    <w:p w14:paraId="129D0E06" w14:textId="77777777" w:rsidR="00132654" w:rsidRPr="00F40808" w:rsidRDefault="00132654" w:rsidP="00132654">
      <w:pPr>
        <w:spacing w:line="276" w:lineRule="auto"/>
        <w:ind w:left="567" w:right="567"/>
        <w:rPr>
          <w:rFonts w:eastAsia="Palatino Linotype" w:cs="Palatino Linotype"/>
          <w:i/>
          <w:sz w:val="22"/>
        </w:rPr>
      </w:pPr>
      <w:r w:rsidRPr="00F40808">
        <w:rPr>
          <w:rFonts w:eastAsia="Palatino Linotype" w:cs="Palatino Linotype"/>
          <w:b/>
          <w:i/>
          <w:sz w:val="22"/>
        </w:rPr>
        <w:t>Artículo 12. Quienes generen, recopilen, administren, manejen, procesen, archiven o conserven información pública serán responsables de la misma en los términos de las disposiciones jurídicas aplicables</w:t>
      </w:r>
      <w:r w:rsidRPr="00F40808">
        <w:rPr>
          <w:rFonts w:eastAsia="Palatino Linotype" w:cs="Palatino Linotype"/>
          <w:i/>
          <w:sz w:val="22"/>
        </w:rPr>
        <w:t xml:space="preserve">. </w:t>
      </w:r>
    </w:p>
    <w:p w14:paraId="2E2FAC0F" w14:textId="77777777" w:rsidR="00132654" w:rsidRPr="00F40808" w:rsidRDefault="00132654" w:rsidP="00132654">
      <w:pPr>
        <w:spacing w:line="276" w:lineRule="auto"/>
        <w:ind w:left="567" w:right="567"/>
        <w:rPr>
          <w:rFonts w:eastAsia="Palatino Linotype" w:cs="Palatino Linotype"/>
          <w:i/>
          <w:sz w:val="22"/>
        </w:rPr>
      </w:pPr>
      <w:r w:rsidRPr="00F40808">
        <w:rPr>
          <w:rFonts w:eastAsia="Palatino Linotype" w:cs="Palatino Linotype"/>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5E897E8" w14:textId="77777777" w:rsidR="00132654" w:rsidRPr="00F40808" w:rsidRDefault="00132654" w:rsidP="00132654">
      <w:pPr>
        <w:spacing w:line="276" w:lineRule="auto"/>
        <w:ind w:left="567" w:right="567"/>
        <w:rPr>
          <w:rFonts w:eastAsia="Palatino Linotype" w:cs="Palatino Linotype"/>
          <w:sz w:val="22"/>
        </w:rPr>
      </w:pPr>
      <w:r w:rsidRPr="00F40808">
        <w:rPr>
          <w:rFonts w:eastAsia="Palatino Linotype" w:cs="Palatino Linotype"/>
          <w:sz w:val="22"/>
        </w:rPr>
        <w:t>(Énfasis añadido)</w:t>
      </w:r>
    </w:p>
    <w:p w14:paraId="7718A506" w14:textId="77777777" w:rsidR="00132654" w:rsidRPr="00F40808" w:rsidRDefault="00132654" w:rsidP="00132654">
      <w:pPr>
        <w:pStyle w:val="Prrafodelista"/>
        <w:tabs>
          <w:tab w:val="left" w:pos="426"/>
        </w:tabs>
        <w:spacing w:before="240" w:after="240"/>
        <w:ind w:left="0" w:right="51"/>
        <w:rPr>
          <w:color w:val="000000" w:themeColor="text1"/>
        </w:rPr>
      </w:pPr>
    </w:p>
    <w:p w14:paraId="077FE03A" w14:textId="77777777" w:rsidR="00132654" w:rsidRPr="00F40808" w:rsidRDefault="00132654" w:rsidP="00132654">
      <w:pPr>
        <w:pStyle w:val="Prrafodelista"/>
        <w:tabs>
          <w:tab w:val="left" w:pos="426"/>
        </w:tabs>
        <w:spacing w:before="240" w:after="240"/>
        <w:ind w:left="0" w:right="51"/>
        <w:rPr>
          <w:color w:val="000000" w:themeColor="text1"/>
        </w:rPr>
      </w:pPr>
      <w:r w:rsidRPr="00F40808">
        <w:rPr>
          <w:color w:val="000000" w:themeColor="text1"/>
        </w:rPr>
        <w:t xml:space="preserve">Es </w:t>
      </w:r>
      <w:r w:rsidRPr="00F40808">
        <w:rPr>
          <w:rFonts w:eastAsia="Palatino Linotype" w:cs="Palatino Linotype"/>
          <w:color w:val="000000"/>
        </w:rPr>
        <w:t>así como todos los actos de autoridad que realicen los Sujetos Obligados deben estar documentados y, bajo el más alto estándar de transparencia, deberán poner toda la información que se encuentre en su posesión, de manera permanente y actualizada, a disposición de los particulares que la soliciten.</w:t>
      </w:r>
    </w:p>
    <w:p w14:paraId="4FC9CD16" w14:textId="77777777" w:rsidR="00132654" w:rsidRPr="00F40808" w:rsidRDefault="00132654" w:rsidP="00132654">
      <w:pPr>
        <w:pStyle w:val="Prrafodelista"/>
        <w:tabs>
          <w:tab w:val="left" w:pos="426"/>
        </w:tabs>
        <w:spacing w:before="240" w:after="240"/>
        <w:ind w:left="0" w:right="51"/>
        <w:rPr>
          <w:color w:val="000000" w:themeColor="text1"/>
        </w:rPr>
      </w:pPr>
    </w:p>
    <w:p w14:paraId="0BCDB1CB" w14:textId="77777777" w:rsidR="00132654" w:rsidRPr="00F40808" w:rsidRDefault="00132654" w:rsidP="00132654">
      <w:pPr>
        <w:pStyle w:val="Prrafodelista"/>
        <w:tabs>
          <w:tab w:val="left" w:pos="426"/>
        </w:tabs>
        <w:spacing w:before="240" w:after="240"/>
        <w:ind w:left="0" w:right="51"/>
        <w:rPr>
          <w:color w:val="000000" w:themeColor="text1"/>
        </w:rPr>
      </w:pPr>
      <w:r w:rsidRPr="00F40808">
        <w:rPr>
          <w:color w:val="000000" w:themeColor="text1"/>
        </w:rPr>
        <w:t xml:space="preserve">Por </w:t>
      </w:r>
      <w:r w:rsidRPr="00F40808">
        <w:rPr>
          <w:rFonts w:eastAsia="Palatino Linotype" w:cs="Palatino Linotype"/>
          <w:color w:val="000000"/>
        </w:rPr>
        <w:t xml:space="preserve">otro lado, la Ley de Transparencia y Acceso a la Información Pública del Estado de México y Municipios, establece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w:t>
      </w:r>
      <w:r w:rsidRPr="00F40808">
        <w:rPr>
          <w:rFonts w:eastAsia="Palatino Linotype" w:cs="Palatino Linotype"/>
          <w:color w:val="000000"/>
        </w:rPr>
        <w:lastRenderedPageBreak/>
        <w:t>necesaria en una sociedad democrática, por lo que atenderá las necesidades del derecho de acceso a la información de toda persona</w:t>
      </w:r>
      <w:r w:rsidRPr="00F40808">
        <w:rPr>
          <w:rFonts w:eastAsia="Palatino Linotype" w:cs="Palatino Linotype"/>
          <w:color w:val="000000"/>
          <w:vertAlign w:val="superscript"/>
        </w:rPr>
        <w:footnoteReference w:id="3"/>
      </w:r>
      <w:r w:rsidRPr="00F40808">
        <w:rPr>
          <w:rFonts w:eastAsia="Palatino Linotype" w:cs="Palatino Linotype"/>
          <w:color w:val="000000"/>
        </w:rPr>
        <w:t>.</w:t>
      </w:r>
    </w:p>
    <w:p w14:paraId="6D2A6254" w14:textId="77777777" w:rsidR="00132654" w:rsidRPr="00F40808" w:rsidRDefault="00132654" w:rsidP="00132654">
      <w:pPr>
        <w:pStyle w:val="Prrafodelista"/>
        <w:tabs>
          <w:tab w:val="left" w:pos="426"/>
        </w:tabs>
        <w:spacing w:before="240" w:after="240"/>
        <w:ind w:left="0" w:right="51"/>
        <w:rPr>
          <w:color w:val="000000" w:themeColor="text1"/>
        </w:rPr>
      </w:pPr>
    </w:p>
    <w:p w14:paraId="0E0B2974" w14:textId="77777777" w:rsidR="00132654" w:rsidRPr="00F40808" w:rsidRDefault="00132654" w:rsidP="00132654">
      <w:pPr>
        <w:pStyle w:val="Prrafodelista"/>
        <w:tabs>
          <w:tab w:val="left" w:pos="426"/>
        </w:tabs>
        <w:spacing w:before="240" w:after="240"/>
        <w:ind w:left="0" w:right="51"/>
        <w:rPr>
          <w:color w:val="000000" w:themeColor="text1"/>
        </w:rPr>
      </w:pPr>
      <w:r w:rsidRPr="00F40808">
        <w:rPr>
          <w:color w:val="000000" w:themeColor="text1"/>
        </w:rPr>
        <w:t xml:space="preserve">En </w:t>
      </w:r>
      <w:r w:rsidRPr="00F40808">
        <w:rPr>
          <w:rFonts w:eastAsia="Palatino Linotype" w:cs="Palatino Linotype"/>
          <w:color w:val="000000"/>
        </w:rPr>
        <w:t>ese sentido,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F40808">
        <w:rPr>
          <w:rFonts w:eastAsia="Palatino Linotype" w:cs="Palatino Linotype"/>
          <w:color w:val="000000"/>
          <w:vertAlign w:val="superscript"/>
        </w:rPr>
        <w:footnoteReference w:id="4"/>
      </w:r>
      <w:r w:rsidRPr="00F40808">
        <w:rPr>
          <w:rFonts w:eastAsia="Palatino Linotype" w:cs="Palatino Linotype"/>
          <w:color w:val="000000"/>
        </w:rPr>
        <w:t xml:space="preserve"> y máxima publicidad; sobre éste último se debe poner mayor énfasis, puesto que establece que </w:t>
      </w:r>
      <w:r w:rsidRPr="00F40808">
        <w:rPr>
          <w:rFonts w:eastAsia="Palatino Linotype" w:cs="Palatino Linotype"/>
          <w:b/>
          <w:color w:val="000000"/>
          <w:u w:val="single"/>
        </w:rPr>
        <w:t>toda la información en posesión de los Sujetos Obligados será</w:t>
      </w:r>
      <w:r w:rsidRPr="00F40808">
        <w:rPr>
          <w:rFonts w:eastAsia="Palatino Linotype" w:cs="Palatino Linotype"/>
          <w:color w:val="000000"/>
        </w:rPr>
        <w:t xml:space="preserve"> pública, completa, </w:t>
      </w:r>
      <w:r w:rsidRPr="00F40808">
        <w:rPr>
          <w:rFonts w:eastAsia="Palatino Linotype" w:cs="Palatino Linotype"/>
          <w:b/>
          <w:color w:val="000000"/>
          <w:u w:val="single"/>
        </w:rPr>
        <w:t>oportuna</w:t>
      </w:r>
      <w:r w:rsidRPr="00F40808">
        <w:rPr>
          <w:rFonts w:eastAsia="Palatino Linotype" w:cs="Palatino Linotype"/>
          <w:color w:val="000000"/>
        </w:rPr>
        <w:t xml:space="preserve"> y </w:t>
      </w:r>
      <w:r w:rsidRPr="00F40808">
        <w:rPr>
          <w:rFonts w:eastAsia="Palatino Linotype" w:cs="Palatino Linotype"/>
          <w:b/>
          <w:color w:val="000000"/>
          <w:u w:val="single"/>
        </w:rPr>
        <w:t>accesible</w:t>
      </w:r>
      <w:r w:rsidRPr="00F40808">
        <w:rPr>
          <w:rFonts w:eastAsia="Palatino Linotype" w:cs="Palatino Linotype"/>
          <w:color w:val="000000"/>
        </w:rPr>
        <w:t xml:space="preserve">, </w:t>
      </w:r>
      <w:r w:rsidRPr="00F40808">
        <w:rPr>
          <w:rFonts w:eastAsia="Palatino Linotype" w:cs="Palatino Linotype"/>
          <w:b/>
          <w:color w:val="000000"/>
        </w:rPr>
        <w:t>lo que permite que la ciudadanía tenga un amplio acceso sobre lo que es el actuar de las autoridades</w:t>
      </w:r>
      <w:r w:rsidRPr="00F40808">
        <w:rPr>
          <w:rFonts w:eastAsia="Palatino Linotype" w:cs="Palatino Linotype"/>
          <w:color w:val="000000"/>
        </w:rPr>
        <w:t>.</w:t>
      </w:r>
    </w:p>
    <w:p w14:paraId="0911842A" w14:textId="77777777" w:rsidR="00132654" w:rsidRPr="00F40808" w:rsidRDefault="00132654" w:rsidP="00132654">
      <w:pPr>
        <w:pStyle w:val="Prrafodelista"/>
        <w:tabs>
          <w:tab w:val="left" w:pos="426"/>
        </w:tabs>
        <w:spacing w:before="240" w:after="240"/>
        <w:ind w:left="0" w:right="51"/>
        <w:rPr>
          <w:color w:val="000000" w:themeColor="text1"/>
        </w:rPr>
      </w:pPr>
    </w:p>
    <w:p w14:paraId="0008010D" w14:textId="77777777" w:rsidR="00132654" w:rsidRPr="00F40808" w:rsidRDefault="00132654" w:rsidP="00132654">
      <w:pPr>
        <w:pStyle w:val="Prrafodelista"/>
        <w:tabs>
          <w:tab w:val="left" w:pos="426"/>
        </w:tabs>
        <w:spacing w:before="240" w:after="240"/>
        <w:ind w:left="0" w:right="51"/>
        <w:rPr>
          <w:color w:val="000000" w:themeColor="text1"/>
        </w:rPr>
      </w:pPr>
      <w:r w:rsidRPr="00F40808">
        <w:rPr>
          <w:color w:val="000000" w:themeColor="text1"/>
        </w:rPr>
        <w:t xml:space="preserve">Tal y como se ha señalado, </w:t>
      </w:r>
      <w:r w:rsidRPr="00F40808">
        <w:rPr>
          <w:b/>
          <w:bCs/>
          <w:color w:val="000000" w:themeColor="text1"/>
        </w:rPr>
        <w:t>el derecho de acceso a la información se basa en permitir que la ciudadanía conozca de primera mano toda aquella información que se encuentra en posesión de los Sujetos Obligados</w:t>
      </w:r>
      <w:r w:rsidRPr="00F40808">
        <w:rPr>
          <w:color w:val="000000" w:themeColor="text1"/>
        </w:rPr>
        <w:t xml:space="preserve">, ya sea porque la genera, posee o administra; </w:t>
      </w:r>
      <w:r w:rsidRPr="00F40808">
        <w:rPr>
          <w:b/>
          <w:bCs/>
          <w:color w:val="000000" w:themeColor="text1"/>
        </w:rPr>
        <w:t>toda vez que</w:t>
      </w:r>
      <w:r w:rsidRPr="00F40808">
        <w:rPr>
          <w:color w:val="000000" w:themeColor="text1"/>
        </w:rPr>
        <w:t xml:space="preserve">, a través de dicha acción, </w:t>
      </w:r>
      <w:r w:rsidRPr="00F40808">
        <w:rPr>
          <w:b/>
          <w:color w:val="000000" w:themeColor="text1"/>
        </w:rPr>
        <w:t>permite que las personas ejerzan un medio de control sobre las acciones que se están ejerciendo y evaluar su desempeño</w:t>
      </w:r>
      <w:r w:rsidRPr="00F40808">
        <w:rPr>
          <w:color w:val="000000" w:themeColor="text1"/>
        </w:rPr>
        <w:t>.</w:t>
      </w:r>
    </w:p>
    <w:p w14:paraId="4E1CEF44" w14:textId="77777777" w:rsidR="00132654" w:rsidRPr="00F40808" w:rsidRDefault="00132654" w:rsidP="00132654">
      <w:pPr>
        <w:pBdr>
          <w:top w:val="nil"/>
          <w:left w:val="nil"/>
          <w:bottom w:val="nil"/>
          <w:right w:val="nil"/>
          <w:between w:val="nil"/>
        </w:pBdr>
        <w:contextualSpacing/>
      </w:pPr>
    </w:p>
    <w:p w14:paraId="4713EF9A" w14:textId="77777777" w:rsidR="00132654" w:rsidRPr="00F40808" w:rsidRDefault="00132654" w:rsidP="00132654">
      <w:pPr>
        <w:rPr>
          <w:rFonts w:eastAsia="Times New Roman" w:cs="Arial"/>
        </w:rPr>
      </w:pPr>
      <w:r w:rsidRPr="00F40808">
        <w:rPr>
          <w:rFonts w:eastAsia="Times New Roman" w:cs="Arial"/>
        </w:rPr>
        <w:lastRenderedPageBreak/>
        <w:t xml:space="preserve">Expuesto lo anterior, se procede al análisis de la totalidad de las constancias que integran el expediente electrónico del </w:t>
      </w:r>
      <w:r w:rsidRPr="00F40808">
        <w:rPr>
          <w:rFonts w:eastAsia="Times New Roman" w:cs="Arial"/>
          <w:b/>
        </w:rPr>
        <w:t>SAIMEX</w:t>
      </w:r>
      <w:r w:rsidRPr="00F40808">
        <w:rPr>
          <w:rFonts w:eastAsia="Times New Roman" w:cs="Arial"/>
        </w:rPr>
        <w:t xml:space="preserve">, a efecto de determinar si con la información remitida por </w:t>
      </w:r>
      <w:r w:rsidRPr="00F40808">
        <w:rPr>
          <w:rFonts w:eastAsia="Times New Roman" w:cs="Arial"/>
          <w:b/>
        </w:rPr>
        <w:t>El Sujeto Obligado</w:t>
      </w:r>
      <w:r w:rsidRPr="00F40808">
        <w:rPr>
          <w:rFonts w:eastAsia="Times New Roman" w:cs="Arial"/>
        </w:rPr>
        <w:t xml:space="preserve"> a través de su respuesta se colma lo requerido en dicha solicitud.</w:t>
      </w:r>
    </w:p>
    <w:p w14:paraId="16036951" w14:textId="49512F7A" w:rsidR="00014F59" w:rsidRPr="00F40808" w:rsidRDefault="00014F59" w:rsidP="00EB4FC2">
      <w:pPr>
        <w:pBdr>
          <w:top w:val="nil"/>
          <w:left w:val="nil"/>
          <w:bottom w:val="nil"/>
          <w:right w:val="nil"/>
          <w:between w:val="nil"/>
        </w:pBdr>
        <w:contextualSpacing/>
        <w:rPr>
          <w:szCs w:val="24"/>
        </w:rPr>
      </w:pPr>
    </w:p>
    <w:p w14:paraId="356645BE" w14:textId="476ADBBF" w:rsidR="005336F4" w:rsidRPr="00F40808" w:rsidRDefault="00132654" w:rsidP="00EB4FC2">
      <w:pPr>
        <w:pBdr>
          <w:top w:val="nil"/>
          <w:left w:val="nil"/>
          <w:bottom w:val="nil"/>
          <w:right w:val="nil"/>
          <w:between w:val="nil"/>
        </w:pBdr>
        <w:contextualSpacing/>
        <w:rPr>
          <w:szCs w:val="24"/>
        </w:rPr>
      </w:pPr>
      <w:r w:rsidRPr="00F40808">
        <w:rPr>
          <w:szCs w:val="24"/>
        </w:rPr>
        <w:t>De lo anterior, resulta pertinente</w:t>
      </w:r>
      <w:r w:rsidR="005A7EC5" w:rsidRPr="00F40808">
        <w:rPr>
          <w:szCs w:val="24"/>
        </w:rPr>
        <w:t xml:space="preserve"> traer a colación los</w:t>
      </w:r>
      <w:r w:rsidRPr="00F40808">
        <w:rPr>
          <w:szCs w:val="24"/>
        </w:rPr>
        <w:t xml:space="preserve"> artículo</w:t>
      </w:r>
      <w:r w:rsidR="005A7EC5" w:rsidRPr="00F40808">
        <w:rPr>
          <w:szCs w:val="24"/>
        </w:rPr>
        <w:t>s</w:t>
      </w:r>
      <w:r w:rsidRPr="00F40808">
        <w:rPr>
          <w:szCs w:val="24"/>
        </w:rPr>
        <w:t xml:space="preserve"> </w:t>
      </w:r>
      <w:r w:rsidR="00EB4FC2" w:rsidRPr="00F40808">
        <w:rPr>
          <w:szCs w:val="24"/>
        </w:rPr>
        <w:t xml:space="preserve">36, 185 y 186 fracciones I, II, </w:t>
      </w:r>
      <w:r w:rsidR="005336F4" w:rsidRPr="00F40808">
        <w:rPr>
          <w:szCs w:val="24"/>
        </w:rPr>
        <w:t>VI, IX, XXIV y XXV del Bando Municipal del Sujeto Obligado en los cuales se describen que la unidad administrativa de nuestro interés es la Dirección de Obras Públicas pues esta se encarga de planear y coordinar los proyectos de obras públicas, vigilar que se cumplan y lleven a cabo los programas de construcción y mantenimiento de obras públicas así como formular las bases y expedir la convocatoria a los concursos para la realización de las obras públicas municipales, una vez que se cumplan los requisitos de licitación y otros que determine la ley de la materia</w:t>
      </w:r>
      <w:r w:rsidR="00014F59" w:rsidRPr="00F40808">
        <w:rPr>
          <w:szCs w:val="24"/>
        </w:rPr>
        <w:t xml:space="preserve"> conforme lo siguiente; </w:t>
      </w:r>
    </w:p>
    <w:p w14:paraId="253E3ED0" w14:textId="77777777" w:rsidR="00B62477" w:rsidRPr="00F40808" w:rsidRDefault="00B62477" w:rsidP="00EB4FC2">
      <w:pPr>
        <w:pBdr>
          <w:top w:val="nil"/>
          <w:left w:val="nil"/>
          <w:bottom w:val="nil"/>
          <w:right w:val="nil"/>
          <w:between w:val="nil"/>
        </w:pBdr>
        <w:contextualSpacing/>
        <w:rPr>
          <w:szCs w:val="24"/>
        </w:rPr>
      </w:pPr>
    </w:p>
    <w:p w14:paraId="7B593BFA" w14:textId="3A7FD0EC" w:rsidR="005A7EC5" w:rsidRPr="00F40808" w:rsidRDefault="005A7EC5" w:rsidP="005A7EC5">
      <w:pPr>
        <w:pBdr>
          <w:top w:val="nil"/>
          <w:left w:val="nil"/>
          <w:bottom w:val="nil"/>
          <w:right w:val="nil"/>
          <w:between w:val="nil"/>
        </w:pBdr>
        <w:ind w:left="708"/>
        <w:contextualSpacing/>
        <w:jc w:val="center"/>
        <w:rPr>
          <w:b/>
          <w:i/>
          <w:sz w:val="22"/>
        </w:rPr>
      </w:pPr>
      <w:r w:rsidRPr="00F40808">
        <w:rPr>
          <w:b/>
          <w:i/>
          <w:sz w:val="22"/>
        </w:rPr>
        <w:t>CAPÍTULO II DE LA ADMINISTRACIÓN PÚBLICA CENTRALIZADA</w:t>
      </w:r>
    </w:p>
    <w:p w14:paraId="35D444A5" w14:textId="77777777" w:rsidR="00EB4FC2" w:rsidRPr="00F40808" w:rsidRDefault="005A7EC5" w:rsidP="005A7EC5">
      <w:pPr>
        <w:pBdr>
          <w:top w:val="nil"/>
          <w:left w:val="nil"/>
          <w:bottom w:val="nil"/>
          <w:right w:val="nil"/>
          <w:between w:val="nil"/>
        </w:pBdr>
        <w:ind w:left="708"/>
        <w:contextualSpacing/>
        <w:rPr>
          <w:i/>
          <w:sz w:val="22"/>
        </w:rPr>
      </w:pPr>
      <w:r w:rsidRPr="00F40808">
        <w:rPr>
          <w:b/>
          <w:i/>
          <w:sz w:val="22"/>
        </w:rPr>
        <w:t>ARTÍCULO 36</w:t>
      </w:r>
      <w:r w:rsidRPr="00F40808">
        <w:rPr>
          <w:i/>
          <w:sz w:val="22"/>
        </w:rPr>
        <w:t>.- Para el estudio, planeación y despacho de los asuntos en los diversos ramos de la Administración Pública Municipal, el Ayunt</w:t>
      </w:r>
      <w:r w:rsidR="00EB4FC2" w:rsidRPr="00F40808">
        <w:rPr>
          <w:i/>
          <w:sz w:val="22"/>
        </w:rPr>
        <w:t>amiento se auxiliará de las si</w:t>
      </w:r>
      <w:r w:rsidRPr="00F40808">
        <w:rPr>
          <w:i/>
          <w:sz w:val="22"/>
        </w:rPr>
        <w:t xml:space="preserve">guientes dependencias que integran la Administración Pública Centralizada: </w:t>
      </w:r>
    </w:p>
    <w:p w14:paraId="596D13D4" w14:textId="77777777" w:rsidR="00EB4FC2" w:rsidRPr="00F40808" w:rsidRDefault="005A7EC5" w:rsidP="00EB4FC2">
      <w:pPr>
        <w:pBdr>
          <w:top w:val="nil"/>
          <w:left w:val="nil"/>
          <w:bottom w:val="nil"/>
          <w:right w:val="nil"/>
          <w:between w:val="nil"/>
        </w:pBdr>
        <w:ind w:left="1416"/>
        <w:contextualSpacing/>
        <w:rPr>
          <w:i/>
          <w:sz w:val="22"/>
        </w:rPr>
      </w:pPr>
      <w:r w:rsidRPr="00F40808">
        <w:rPr>
          <w:i/>
          <w:sz w:val="22"/>
        </w:rPr>
        <w:t xml:space="preserve">V.- </w:t>
      </w:r>
      <w:r w:rsidRPr="00F40808">
        <w:rPr>
          <w:b/>
          <w:i/>
          <w:sz w:val="22"/>
        </w:rPr>
        <w:t>Dirección de Obras Públicas;</w:t>
      </w:r>
      <w:r w:rsidRPr="00F40808">
        <w:rPr>
          <w:i/>
          <w:sz w:val="22"/>
        </w:rPr>
        <w:t xml:space="preserve"> </w:t>
      </w:r>
    </w:p>
    <w:p w14:paraId="26040BEA" w14:textId="77777777" w:rsidR="00EB4FC2" w:rsidRPr="00F40808" w:rsidRDefault="00EB4FC2" w:rsidP="00132654">
      <w:pPr>
        <w:rPr>
          <w:rFonts w:eastAsia="Times New Roman" w:cs="Tahoma"/>
          <w:bCs/>
          <w:i/>
          <w:sz w:val="22"/>
          <w:lang w:eastAsia="es-ES"/>
        </w:rPr>
      </w:pPr>
    </w:p>
    <w:p w14:paraId="533768B3" w14:textId="77777777" w:rsidR="009C603E" w:rsidRPr="00F40808" w:rsidRDefault="009C603E" w:rsidP="00132654">
      <w:pPr>
        <w:rPr>
          <w:rFonts w:eastAsia="Times New Roman" w:cs="Tahoma"/>
          <w:bCs/>
          <w:i/>
          <w:sz w:val="22"/>
          <w:lang w:eastAsia="es-ES"/>
        </w:rPr>
      </w:pPr>
    </w:p>
    <w:p w14:paraId="29EF0FB0" w14:textId="77777777" w:rsidR="00EB4FC2" w:rsidRPr="00F40808" w:rsidRDefault="00EB4FC2" w:rsidP="00EB4FC2">
      <w:pPr>
        <w:ind w:left="708"/>
        <w:jc w:val="center"/>
        <w:rPr>
          <w:b/>
          <w:i/>
          <w:sz w:val="22"/>
        </w:rPr>
      </w:pPr>
      <w:r w:rsidRPr="00F40808">
        <w:rPr>
          <w:b/>
          <w:i/>
          <w:sz w:val="22"/>
        </w:rPr>
        <w:t>CAPÍTULO ÚNICO DE LAS OBRAS PÚBLICAS</w:t>
      </w:r>
    </w:p>
    <w:p w14:paraId="1E29D18D" w14:textId="53399A7E" w:rsidR="00EB4FC2" w:rsidRPr="00F40808" w:rsidRDefault="00EB4FC2" w:rsidP="00EB4FC2">
      <w:pPr>
        <w:ind w:left="708"/>
        <w:rPr>
          <w:i/>
          <w:sz w:val="22"/>
        </w:rPr>
      </w:pPr>
      <w:r w:rsidRPr="00F40808">
        <w:rPr>
          <w:i/>
          <w:sz w:val="22"/>
        </w:rPr>
        <w:t xml:space="preserve"> </w:t>
      </w:r>
      <w:r w:rsidRPr="00F40808">
        <w:rPr>
          <w:b/>
          <w:i/>
          <w:sz w:val="22"/>
        </w:rPr>
        <w:t>ARTÍCULO 185</w:t>
      </w:r>
      <w:r w:rsidRPr="00F40808">
        <w:rPr>
          <w:i/>
          <w:sz w:val="22"/>
        </w:rPr>
        <w:t>.- Se considera obra pública todo trabajo que tenga por objeto crear, construir, demoler, conservar o modificar bienes inmuebles de propiedad pública, que por su naturaleza o disposición legal sean destinados a un servicio público, al uso común o privativo.</w:t>
      </w:r>
    </w:p>
    <w:p w14:paraId="7AD4CD22" w14:textId="77777777" w:rsidR="00EB4FC2" w:rsidRPr="00F40808" w:rsidRDefault="00EB4FC2" w:rsidP="00EB4FC2">
      <w:pPr>
        <w:ind w:left="708"/>
        <w:rPr>
          <w:i/>
          <w:sz w:val="22"/>
        </w:rPr>
      </w:pPr>
    </w:p>
    <w:p w14:paraId="0449E727" w14:textId="06498A14" w:rsidR="00EB4FC2" w:rsidRPr="00F40808" w:rsidRDefault="00EB4FC2" w:rsidP="00EB4FC2">
      <w:pPr>
        <w:ind w:left="708"/>
        <w:rPr>
          <w:rFonts w:eastAsia="Times New Roman" w:cs="Tahoma"/>
          <w:bCs/>
          <w:i/>
          <w:sz w:val="22"/>
          <w:lang w:eastAsia="es-ES"/>
        </w:rPr>
      </w:pPr>
      <w:r w:rsidRPr="00F40808">
        <w:rPr>
          <w:i/>
          <w:sz w:val="22"/>
        </w:rPr>
        <w:t xml:space="preserve"> </w:t>
      </w:r>
      <w:r w:rsidRPr="00F40808">
        <w:rPr>
          <w:b/>
          <w:i/>
          <w:sz w:val="22"/>
        </w:rPr>
        <w:t>ARTICULO 186</w:t>
      </w:r>
      <w:r w:rsidRPr="00F40808">
        <w:rPr>
          <w:i/>
          <w:sz w:val="22"/>
        </w:rPr>
        <w:t>.- Con estricto apego a las normas establecidas en el Libro Décimo Segundo del Código Administrativo del Estado de México y su Reglamento y en las disposiciones administrativas aplicables, la Dirección de Obras Públicas, está encargada de:</w:t>
      </w:r>
    </w:p>
    <w:p w14:paraId="5F210F6B" w14:textId="77777777" w:rsidR="00EB4FC2" w:rsidRPr="00F40808" w:rsidRDefault="00EB4FC2" w:rsidP="00132654">
      <w:pPr>
        <w:rPr>
          <w:rFonts w:eastAsia="Times New Roman" w:cs="Tahoma"/>
          <w:bCs/>
          <w:i/>
          <w:sz w:val="22"/>
          <w:lang w:eastAsia="es-ES"/>
        </w:rPr>
      </w:pPr>
    </w:p>
    <w:p w14:paraId="125954BD" w14:textId="19F59305" w:rsidR="00EB4FC2" w:rsidRPr="00F40808" w:rsidRDefault="00EB4FC2" w:rsidP="00EB4FC2">
      <w:pPr>
        <w:ind w:left="708"/>
        <w:rPr>
          <w:rFonts w:eastAsia="Times New Roman" w:cs="Tahoma"/>
          <w:bCs/>
          <w:i/>
          <w:sz w:val="22"/>
          <w:lang w:eastAsia="es-ES"/>
        </w:rPr>
      </w:pPr>
      <w:r w:rsidRPr="00F40808">
        <w:rPr>
          <w:i/>
          <w:sz w:val="22"/>
        </w:rPr>
        <w:t xml:space="preserve">I. </w:t>
      </w:r>
      <w:r w:rsidRPr="00F40808">
        <w:rPr>
          <w:i/>
          <w:sz w:val="22"/>
          <w:u w:val="single"/>
        </w:rPr>
        <w:t>Realizar la programación y ejecución de las obras públicas y servicios relacionados, que por orden expresa del Ayuntamiento requieran prioridad;</w:t>
      </w:r>
    </w:p>
    <w:p w14:paraId="08149A79" w14:textId="70B96832" w:rsidR="00EB4FC2" w:rsidRPr="00F40808" w:rsidRDefault="00EB4FC2" w:rsidP="00EB4FC2">
      <w:pPr>
        <w:ind w:left="708"/>
        <w:rPr>
          <w:rFonts w:eastAsia="Times New Roman" w:cs="Tahoma"/>
          <w:b/>
          <w:bCs/>
          <w:i/>
          <w:sz w:val="22"/>
          <w:lang w:eastAsia="es-ES"/>
        </w:rPr>
      </w:pPr>
      <w:r w:rsidRPr="00F40808">
        <w:rPr>
          <w:i/>
          <w:sz w:val="22"/>
        </w:rPr>
        <w:t xml:space="preserve">II. </w:t>
      </w:r>
      <w:r w:rsidRPr="00F40808">
        <w:rPr>
          <w:b/>
          <w:i/>
          <w:sz w:val="22"/>
        </w:rPr>
        <w:t>Planear y coordinar los proyectos de obras públicas y servicios relacionados con las mismas que autorice el Ayuntamiento,</w:t>
      </w:r>
      <w:r w:rsidRPr="00F40808">
        <w:rPr>
          <w:i/>
          <w:sz w:val="22"/>
        </w:rPr>
        <w:t xml:space="preserve"> </w:t>
      </w:r>
      <w:r w:rsidRPr="00F40808">
        <w:rPr>
          <w:b/>
          <w:i/>
          <w:sz w:val="22"/>
        </w:rPr>
        <w:t>una vez que se cumplan los requisitos de licitación y otros que determine la ley de la materia;</w:t>
      </w:r>
    </w:p>
    <w:p w14:paraId="76D9E7EF" w14:textId="633D9A85" w:rsidR="00EB4FC2" w:rsidRPr="00F40808" w:rsidRDefault="00EB4FC2" w:rsidP="00132654">
      <w:pPr>
        <w:rPr>
          <w:i/>
          <w:sz w:val="22"/>
        </w:rPr>
      </w:pPr>
      <w:r w:rsidRPr="00F40808">
        <w:rPr>
          <w:i/>
          <w:sz w:val="22"/>
        </w:rPr>
        <w:tab/>
        <w:t>(...)</w:t>
      </w:r>
    </w:p>
    <w:p w14:paraId="7F040584" w14:textId="02D93FA8" w:rsidR="00EB4FC2" w:rsidRPr="00F40808" w:rsidRDefault="00EB4FC2" w:rsidP="00EB4FC2">
      <w:pPr>
        <w:ind w:left="708"/>
        <w:rPr>
          <w:i/>
          <w:sz w:val="22"/>
        </w:rPr>
      </w:pPr>
      <w:r w:rsidRPr="00F40808">
        <w:rPr>
          <w:i/>
          <w:sz w:val="22"/>
        </w:rPr>
        <w:t>VI. Vigilar que se cumplan y lleven a cabo los programas de construcción y mantenimiento de obras públicas y servicios relacionados;</w:t>
      </w:r>
    </w:p>
    <w:p w14:paraId="636BD005" w14:textId="47809A17" w:rsidR="00EB4FC2" w:rsidRPr="00F40808" w:rsidRDefault="00EB4FC2" w:rsidP="00132654">
      <w:pPr>
        <w:rPr>
          <w:rFonts w:eastAsia="Times New Roman" w:cs="Tahoma"/>
          <w:bCs/>
          <w:i/>
          <w:sz w:val="22"/>
          <w:lang w:eastAsia="es-ES"/>
        </w:rPr>
      </w:pPr>
      <w:r w:rsidRPr="00F40808">
        <w:rPr>
          <w:rFonts w:eastAsia="Times New Roman" w:cs="Tahoma"/>
          <w:bCs/>
          <w:i/>
          <w:sz w:val="22"/>
          <w:lang w:eastAsia="es-ES"/>
        </w:rPr>
        <w:tab/>
        <w:t>(…)</w:t>
      </w:r>
    </w:p>
    <w:p w14:paraId="3A182E4E" w14:textId="7FDCA239" w:rsidR="00EB4FC2" w:rsidRPr="00F40808" w:rsidRDefault="00EB4FC2" w:rsidP="00EB4FC2">
      <w:pPr>
        <w:ind w:left="705"/>
        <w:rPr>
          <w:i/>
          <w:sz w:val="22"/>
        </w:rPr>
      </w:pPr>
      <w:r w:rsidRPr="00F40808">
        <w:rPr>
          <w:i/>
          <w:sz w:val="22"/>
        </w:rPr>
        <w:t>IX. Administrar y ejercer, en el ámbito de su competencia, de manera coordinada con la Tesorera o Tesorero municipal, los recursos públicos destinados a la planeación, programación, presupuestación, adjudicación, contratación, ejecución y control de la obra pública, conforme a las disposiciones legales aplicables y en congruencia con los planes, programas, especificaciones técnicas, controles y procedimientos administrativos aprobados;</w:t>
      </w:r>
    </w:p>
    <w:p w14:paraId="72DC9D12" w14:textId="61931CBC" w:rsidR="00EB4FC2" w:rsidRPr="00F40808" w:rsidRDefault="00EB4FC2" w:rsidP="00EB4FC2">
      <w:pPr>
        <w:ind w:left="705"/>
        <w:rPr>
          <w:rFonts w:eastAsia="Times New Roman" w:cs="Tahoma"/>
          <w:bCs/>
          <w:i/>
          <w:sz w:val="22"/>
          <w:lang w:eastAsia="es-ES"/>
        </w:rPr>
      </w:pPr>
      <w:r w:rsidRPr="00F40808">
        <w:rPr>
          <w:rFonts w:eastAsia="Times New Roman" w:cs="Tahoma"/>
          <w:bCs/>
          <w:i/>
          <w:sz w:val="22"/>
          <w:lang w:eastAsia="es-ES"/>
        </w:rPr>
        <w:t>(…)</w:t>
      </w:r>
    </w:p>
    <w:p w14:paraId="63C243D1" w14:textId="0A05C155" w:rsidR="00EB4FC2" w:rsidRPr="00F40808" w:rsidRDefault="00EB4FC2" w:rsidP="00EB4FC2">
      <w:pPr>
        <w:ind w:left="705"/>
        <w:rPr>
          <w:i/>
          <w:sz w:val="22"/>
        </w:rPr>
      </w:pPr>
      <w:r w:rsidRPr="00F40808">
        <w:rPr>
          <w:i/>
          <w:sz w:val="22"/>
        </w:rPr>
        <w:t>XXIV. Integrar y autorizar con su firma, la documentación que, en materia de obra pública, deba presentarse al Órgano Superior de Fiscalización del Estado de México;</w:t>
      </w:r>
    </w:p>
    <w:p w14:paraId="4E486D87" w14:textId="48FF5730" w:rsidR="00EB4FC2" w:rsidRPr="00F40808" w:rsidRDefault="00EB4FC2" w:rsidP="00EB4FC2">
      <w:pPr>
        <w:ind w:left="705"/>
        <w:rPr>
          <w:i/>
          <w:sz w:val="22"/>
        </w:rPr>
      </w:pPr>
      <w:r w:rsidRPr="00F40808">
        <w:rPr>
          <w:i/>
          <w:sz w:val="22"/>
        </w:rPr>
        <w:t xml:space="preserve"> XXV. Formular las bases y expedir la convocatoria a los concursos para la realización de las obras públicas municipales, de acuerdo con los requisitos que para dichos actos señale la legislación y normatividad respectiva, vigilando su correcta ejecución;</w:t>
      </w:r>
    </w:p>
    <w:p w14:paraId="571911DE" w14:textId="77777777" w:rsidR="005336F4" w:rsidRPr="00F40808" w:rsidRDefault="005336F4" w:rsidP="005336F4">
      <w:pPr>
        <w:rPr>
          <w:rFonts w:eastAsia="Times New Roman" w:cs="Tahoma"/>
          <w:bCs/>
          <w:sz w:val="22"/>
          <w:lang w:eastAsia="es-ES"/>
        </w:rPr>
      </w:pPr>
    </w:p>
    <w:p w14:paraId="71A336F4" w14:textId="07F852F4" w:rsidR="005336F4" w:rsidRPr="00F40808" w:rsidRDefault="005336F4" w:rsidP="005336F4">
      <w:r w:rsidRPr="00F40808">
        <w:lastRenderedPageBreak/>
        <w:t>En este tenor, en alusión a los requerimientos formulados por el particular, resulta oportuno traer a colación los artículos 24, fracción XII y 92, fracción XXXVI de la Ley de Transparencia y Acceso a la Información Pública del Estado de México y Municipios, dispositivos jurídicos que disponen a la literalidad lo siguiente:</w:t>
      </w:r>
    </w:p>
    <w:p w14:paraId="0F5DD469" w14:textId="77777777" w:rsidR="005336F4" w:rsidRPr="00F40808" w:rsidRDefault="005336F4" w:rsidP="005336F4"/>
    <w:p w14:paraId="26511FE3" w14:textId="77777777" w:rsidR="00CD1609" w:rsidRPr="00F40808" w:rsidRDefault="00CD1609" w:rsidP="00CD1609">
      <w:pPr>
        <w:ind w:left="708"/>
        <w:rPr>
          <w:i/>
          <w:sz w:val="22"/>
        </w:rPr>
      </w:pPr>
      <w:r w:rsidRPr="00F40808">
        <w:rPr>
          <w:i/>
          <w:sz w:val="22"/>
        </w:rPr>
        <w:t xml:space="preserve">“Artículo 24. Para el cumplimiento de los objetivos de esta Ley, los sujetos obligados deberán cumplir con las siguientes obligaciones, según corresponda, de acuerdo a su naturaleza: </w:t>
      </w:r>
    </w:p>
    <w:p w14:paraId="07128844" w14:textId="77777777" w:rsidR="00CD1609" w:rsidRPr="00F40808" w:rsidRDefault="00CD1609" w:rsidP="00CD1609">
      <w:pPr>
        <w:ind w:left="1416"/>
        <w:rPr>
          <w:i/>
          <w:sz w:val="22"/>
        </w:rPr>
      </w:pPr>
      <w:r w:rsidRPr="00F40808">
        <w:rPr>
          <w:b/>
          <w:i/>
          <w:sz w:val="22"/>
        </w:rPr>
        <w:t>XII.</w:t>
      </w:r>
      <w:r w:rsidRPr="00F40808">
        <w:rPr>
          <w:i/>
          <w:sz w:val="22"/>
        </w:rPr>
        <w:t xml:space="preserve"> Publicar y mantener actualizada la información relativa a las obligaciones generales de transparencia previstas en la presente Ley o determinadas así por el Instituto, y en general aquella que sea de interés público;</w:t>
      </w:r>
    </w:p>
    <w:p w14:paraId="0DA9E172" w14:textId="77777777" w:rsidR="00CD1609" w:rsidRPr="00F40808" w:rsidRDefault="00CD1609" w:rsidP="00CD1609">
      <w:pPr>
        <w:ind w:left="708"/>
        <w:rPr>
          <w:i/>
          <w:sz w:val="22"/>
        </w:rPr>
      </w:pPr>
    </w:p>
    <w:p w14:paraId="31E86C7E" w14:textId="7EC57019" w:rsidR="005336F4" w:rsidRPr="00F40808" w:rsidRDefault="00CD1609" w:rsidP="00CD1609">
      <w:pPr>
        <w:ind w:left="708"/>
        <w:rPr>
          <w:i/>
          <w:sz w:val="22"/>
        </w:rPr>
      </w:pPr>
      <w:r w:rsidRPr="00F40808">
        <w:rPr>
          <w:i/>
          <w:sz w:val="22"/>
        </w:rPr>
        <w:t xml:space="preserve"> 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C96E2B5" w14:textId="6D62B4F8" w:rsidR="005336F4" w:rsidRPr="00F40808" w:rsidRDefault="00CD1609" w:rsidP="00CD1609">
      <w:pPr>
        <w:ind w:left="708" w:firstLine="708"/>
        <w:rPr>
          <w:b/>
          <w:i/>
          <w:sz w:val="22"/>
        </w:rPr>
      </w:pPr>
      <w:r w:rsidRPr="00F40808">
        <w:rPr>
          <w:b/>
          <w:i/>
          <w:sz w:val="22"/>
        </w:rPr>
        <w:t>XXXVI. Padrón de proveedores y contratistas;</w:t>
      </w:r>
    </w:p>
    <w:p w14:paraId="038417CB" w14:textId="77777777" w:rsidR="005336F4" w:rsidRPr="00F40808" w:rsidRDefault="005336F4" w:rsidP="005336F4"/>
    <w:p w14:paraId="76777945" w14:textId="1F28FE19" w:rsidR="00CD1609" w:rsidRPr="00F40808" w:rsidRDefault="00CD1609" w:rsidP="005336F4">
      <w:r w:rsidRPr="00F40808">
        <w:t>De lo anterior, se desprende que los Sujetos Obligados están obligados a poner a disposición del público de manera constante y actualizada, de forma sencilla, precisa y entendible, en los respectivos medios electrónicos, la información referente al padrón de proveedores y contratistas, sus montos, así como el origen de los recursos.</w:t>
      </w:r>
    </w:p>
    <w:p w14:paraId="53F86D88" w14:textId="77777777" w:rsidR="00DF226E" w:rsidRPr="00F40808" w:rsidRDefault="00DF226E" w:rsidP="005336F4"/>
    <w:p w14:paraId="2AE1A547" w14:textId="39083608" w:rsidR="00B62477" w:rsidRPr="00F40808" w:rsidRDefault="00CD1609" w:rsidP="005336F4">
      <w:r w:rsidRPr="00F40808">
        <w:t>A mayor abundamiento, debe observarse lo establecido en los artículos 1, fracción III, 20, 21, 22, 23, 24, 26, 27 y 39 de la Ley de Contratación Pública del Estado de México y Municipios, los cuales se transcriben a continuación:</w:t>
      </w:r>
    </w:p>
    <w:p w14:paraId="0240371A" w14:textId="77777777" w:rsidR="008A366E" w:rsidRPr="00F40808" w:rsidRDefault="008A366E" w:rsidP="005336F4"/>
    <w:p w14:paraId="5537A5A2" w14:textId="77777777" w:rsidR="00B62477" w:rsidRPr="00F40808" w:rsidRDefault="00B62477" w:rsidP="00B62477">
      <w:pPr>
        <w:ind w:left="416"/>
        <w:rPr>
          <w:i/>
          <w:sz w:val="22"/>
        </w:rPr>
      </w:pPr>
      <w:r w:rsidRPr="00F40808">
        <w:rPr>
          <w:i/>
          <w:sz w:val="22"/>
        </w:rPr>
        <w:t>“</w:t>
      </w:r>
      <w:r w:rsidRPr="00F40808">
        <w:rPr>
          <w:b/>
          <w:i/>
          <w:sz w:val="22"/>
        </w:rPr>
        <w:t>Artículo 1</w:t>
      </w:r>
      <w:r w:rsidRPr="00F40808">
        <w:rPr>
          <w:i/>
          <w:sz w:val="22"/>
        </w:rPr>
        <w:t xml:space="preserve">.- Esta Ley tiene por objeto regular los actos relativos a la planeación, programación, presupuestación, ejecución y control </w:t>
      </w:r>
      <w:r w:rsidRPr="00F40808">
        <w:rPr>
          <w:b/>
          <w:i/>
          <w:sz w:val="22"/>
          <w:u w:val="single"/>
        </w:rPr>
        <w:t>de la adquisición, enajenación y arrendamiento de bienes, y la contratación de servicios de cualquier naturaleza, que realicen</w:t>
      </w:r>
      <w:r w:rsidRPr="00F40808">
        <w:rPr>
          <w:i/>
          <w:sz w:val="22"/>
        </w:rPr>
        <w:t xml:space="preserve">: </w:t>
      </w:r>
    </w:p>
    <w:p w14:paraId="52DA1789" w14:textId="77777777" w:rsidR="00B62477" w:rsidRPr="00F40808" w:rsidRDefault="00B62477" w:rsidP="00B62477">
      <w:pPr>
        <w:ind w:left="416" w:firstLine="292"/>
        <w:rPr>
          <w:i/>
          <w:sz w:val="22"/>
        </w:rPr>
      </w:pPr>
      <w:r w:rsidRPr="00F40808">
        <w:rPr>
          <w:i/>
          <w:sz w:val="22"/>
        </w:rPr>
        <w:t xml:space="preserve">… </w:t>
      </w:r>
    </w:p>
    <w:p w14:paraId="13C5BAE3" w14:textId="77777777" w:rsidR="00B62477" w:rsidRPr="00F40808" w:rsidRDefault="00B62477" w:rsidP="00B62477">
      <w:pPr>
        <w:ind w:left="416" w:firstLine="292"/>
      </w:pPr>
      <w:r w:rsidRPr="00F40808">
        <w:rPr>
          <w:i/>
          <w:sz w:val="22"/>
        </w:rPr>
        <w:t>III. Los ayuntamientos de los municipios del Estado</w:t>
      </w:r>
      <w:r w:rsidRPr="00F40808">
        <w:t xml:space="preserve">. </w:t>
      </w:r>
    </w:p>
    <w:p w14:paraId="239F6152" w14:textId="77777777" w:rsidR="00B62477" w:rsidRPr="00F40808" w:rsidRDefault="00B62477" w:rsidP="00B62477">
      <w:pPr>
        <w:ind w:left="416" w:firstLine="292"/>
      </w:pPr>
    </w:p>
    <w:p w14:paraId="34654BE0" w14:textId="77777777" w:rsidR="00B62477" w:rsidRPr="00F40808" w:rsidRDefault="00B62477" w:rsidP="00B62477">
      <w:pPr>
        <w:ind w:left="416"/>
        <w:rPr>
          <w:i/>
          <w:sz w:val="22"/>
        </w:rPr>
      </w:pPr>
      <w:r w:rsidRPr="00F40808">
        <w:rPr>
          <w:b/>
          <w:i/>
          <w:sz w:val="22"/>
        </w:rPr>
        <w:t>Artículo 20</w:t>
      </w:r>
      <w:r w:rsidRPr="00F40808">
        <w:rPr>
          <w:i/>
          <w:sz w:val="22"/>
        </w:rPr>
        <w:t xml:space="preserve">.- La Secretaría y los ayuntamientos establecerán y operarán el catálogo de bienes y servicios, de acuerdo con la reglamentación respectiva. </w:t>
      </w:r>
      <w:r w:rsidRPr="00F40808">
        <w:rPr>
          <w:b/>
          <w:i/>
          <w:sz w:val="22"/>
        </w:rPr>
        <w:t xml:space="preserve">Establecerán y operarán también el catálogo de bienes y servicios específicos que sean susceptibles de ser adquiridos o contratados </w:t>
      </w:r>
      <w:r w:rsidRPr="00F40808">
        <w:rPr>
          <w:i/>
          <w:sz w:val="22"/>
        </w:rPr>
        <w:t xml:space="preserve">bajo la modalidad de subasta inversa, los cuales deberán describirse genéricamente y determinarse sus especificaciones técnicas comerciales, y en su caso, sus equivalentes. Dicho catálogo deberá publicarse en el COMPRAMEX y en el portal de internet de la propia Secretaría y, en su caso, en el de los ayuntamientos. </w:t>
      </w:r>
    </w:p>
    <w:p w14:paraId="2D1C95FC" w14:textId="77777777" w:rsidR="00B62477" w:rsidRPr="00F40808" w:rsidRDefault="00B62477" w:rsidP="00B62477">
      <w:pPr>
        <w:ind w:left="416"/>
      </w:pPr>
    </w:p>
    <w:p w14:paraId="3CB2B492" w14:textId="77777777" w:rsidR="00B62477" w:rsidRPr="00F40808" w:rsidRDefault="00B62477" w:rsidP="00B62477">
      <w:pPr>
        <w:ind w:left="416"/>
        <w:rPr>
          <w:b/>
          <w:i/>
          <w:sz w:val="22"/>
        </w:rPr>
      </w:pPr>
      <w:r w:rsidRPr="00F40808">
        <w:rPr>
          <w:b/>
          <w:i/>
          <w:sz w:val="22"/>
        </w:rPr>
        <w:t>Artículo 21.-</w:t>
      </w:r>
      <w:r w:rsidRPr="00F40808">
        <w:rPr>
          <w:i/>
          <w:sz w:val="22"/>
        </w:rPr>
        <w:t xml:space="preserve"> </w:t>
      </w:r>
      <w:r w:rsidRPr="00F40808">
        <w:rPr>
          <w:b/>
          <w:i/>
          <w:sz w:val="22"/>
        </w:rPr>
        <w:t>A fin de conocer la capacidad administrativa, financiera, legal y técnica de las fuentes de suministro</w:t>
      </w:r>
      <w:r w:rsidRPr="00F40808">
        <w:rPr>
          <w:i/>
          <w:sz w:val="22"/>
        </w:rPr>
        <w:t xml:space="preserve">, la Secretaría y </w:t>
      </w:r>
      <w:r w:rsidRPr="00F40808">
        <w:rPr>
          <w:b/>
          <w:i/>
          <w:sz w:val="22"/>
        </w:rPr>
        <w:t xml:space="preserve">los ayuntamientos integrarán un catálogo de proveedores y de prestadores de servicios. </w:t>
      </w:r>
    </w:p>
    <w:p w14:paraId="2EC61E94" w14:textId="77777777" w:rsidR="00B62477" w:rsidRPr="00F40808" w:rsidRDefault="00B62477" w:rsidP="00B62477">
      <w:pPr>
        <w:ind w:left="416"/>
        <w:rPr>
          <w:i/>
          <w:sz w:val="22"/>
        </w:rPr>
      </w:pPr>
    </w:p>
    <w:p w14:paraId="018FEFEE" w14:textId="77777777" w:rsidR="00B62477" w:rsidRPr="00F40808" w:rsidRDefault="00B62477" w:rsidP="00B62477">
      <w:pPr>
        <w:ind w:left="416"/>
        <w:rPr>
          <w:i/>
          <w:sz w:val="22"/>
        </w:rPr>
      </w:pPr>
      <w:r w:rsidRPr="00F40808">
        <w:rPr>
          <w:i/>
          <w:sz w:val="22"/>
        </w:rPr>
        <w:t xml:space="preserve">Las personas que deseen inscribirse en el catálogo deberán cumplir con los requisitos que establezca el reglamento respectivo. En todo caso, deberán estar inscritos en el Registro Único de Personas Acreditadas del Estado de México, en los términos de la Ley de Medios Electrónicos, los proveedores y prestadores de servicios que deseen participar en los procedimientos que deban desahogarse por conducto del COMPRAMEX. </w:t>
      </w:r>
    </w:p>
    <w:p w14:paraId="09F440FA" w14:textId="77777777" w:rsidR="00B62477" w:rsidRPr="00F40808" w:rsidRDefault="00B62477" w:rsidP="00B62477">
      <w:pPr>
        <w:ind w:left="416"/>
        <w:rPr>
          <w:i/>
          <w:sz w:val="22"/>
        </w:rPr>
      </w:pPr>
    </w:p>
    <w:p w14:paraId="7A6D5D2E" w14:textId="77777777" w:rsidR="00B62477" w:rsidRPr="00F40808" w:rsidRDefault="00B62477" w:rsidP="00B62477">
      <w:pPr>
        <w:ind w:left="416"/>
        <w:rPr>
          <w:i/>
          <w:sz w:val="22"/>
        </w:rPr>
      </w:pPr>
      <w:r w:rsidRPr="00F40808">
        <w:rPr>
          <w:b/>
          <w:i/>
          <w:sz w:val="22"/>
        </w:rPr>
        <w:lastRenderedPageBreak/>
        <w:t>Artículo 22.-</w:t>
      </w:r>
      <w:r w:rsidRPr="00F40808">
        <w:rPr>
          <w:i/>
          <w:sz w:val="22"/>
        </w:rPr>
        <w:t xml:space="preserve"> Lo</w:t>
      </w:r>
      <w:r w:rsidRPr="00F40808">
        <w:rPr>
          <w:b/>
          <w:i/>
          <w:sz w:val="22"/>
        </w:rPr>
        <w:t>s comités son órganos colegiados con facultades de opinión, que tienen por objeto auxiliar a</w:t>
      </w:r>
      <w:r w:rsidRPr="00F40808">
        <w:rPr>
          <w:i/>
          <w:sz w:val="22"/>
        </w:rPr>
        <w:t xml:space="preserve"> la Secretaría, entidades, tribunales administrativos y </w:t>
      </w:r>
      <w:r w:rsidRPr="00F40808">
        <w:rPr>
          <w:b/>
          <w:i/>
          <w:sz w:val="22"/>
        </w:rPr>
        <w:t>ayuntamientos</w:t>
      </w:r>
      <w:r w:rsidRPr="00F40808">
        <w:rPr>
          <w:i/>
          <w:sz w:val="22"/>
        </w:rPr>
        <w:t xml:space="preserve">, en la substanciación de los procedimientos de adquisiciones y de servicios, de conformidad con el Reglamento y los manuales de operación. En la Secretaría, en cada entidad, tribunal administrativo y ayuntamiento se constituirá un comité de adquisiciones y servicios. La Secretaría, las entidades, los tribunales administrativos y </w:t>
      </w:r>
      <w:r w:rsidRPr="00F40808">
        <w:rPr>
          <w:b/>
          <w:i/>
          <w:sz w:val="22"/>
        </w:rPr>
        <w:t>los ayuntamientos se auxiliarán de un comité de arrendamientos, adquisiciones de inmuebles y enajenaciones.”</w:t>
      </w:r>
      <w:r w:rsidRPr="00F40808">
        <w:rPr>
          <w:i/>
          <w:sz w:val="22"/>
        </w:rPr>
        <w:t xml:space="preserve"> </w:t>
      </w:r>
    </w:p>
    <w:p w14:paraId="4C02B274" w14:textId="77777777" w:rsidR="00286A83" w:rsidRPr="00F40808" w:rsidRDefault="00286A83" w:rsidP="00B62477">
      <w:pPr>
        <w:ind w:left="416"/>
        <w:rPr>
          <w:i/>
          <w:sz w:val="22"/>
        </w:rPr>
      </w:pPr>
    </w:p>
    <w:p w14:paraId="509CB96A" w14:textId="77777777" w:rsidR="00B62477" w:rsidRPr="00F40808" w:rsidRDefault="00B62477" w:rsidP="00B62477">
      <w:pPr>
        <w:ind w:left="416"/>
        <w:rPr>
          <w:i/>
          <w:sz w:val="22"/>
        </w:rPr>
      </w:pPr>
    </w:p>
    <w:p w14:paraId="2781F7F1" w14:textId="77777777" w:rsidR="00B62477" w:rsidRPr="00F40808" w:rsidRDefault="00B62477" w:rsidP="00B62477">
      <w:pPr>
        <w:ind w:left="416"/>
        <w:rPr>
          <w:i/>
          <w:sz w:val="22"/>
        </w:rPr>
      </w:pPr>
      <w:r w:rsidRPr="00F40808">
        <w:rPr>
          <w:b/>
          <w:i/>
          <w:sz w:val="22"/>
        </w:rPr>
        <w:t>Artículo 23.- Los comités de adquisiciones y de servicios tendrán las funciones siguientes</w:t>
      </w:r>
      <w:r w:rsidRPr="00F40808">
        <w:rPr>
          <w:i/>
          <w:sz w:val="22"/>
        </w:rPr>
        <w:t xml:space="preserve">: </w:t>
      </w:r>
    </w:p>
    <w:p w14:paraId="4011A9A0" w14:textId="77777777" w:rsidR="00B62477" w:rsidRPr="00F40808" w:rsidRDefault="00B62477" w:rsidP="00B62477">
      <w:pPr>
        <w:pStyle w:val="Prrafodelista"/>
        <w:numPr>
          <w:ilvl w:val="0"/>
          <w:numId w:val="14"/>
        </w:numPr>
        <w:rPr>
          <w:i/>
          <w:sz w:val="22"/>
        </w:rPr>
      </w:pPr>
      <w:r w:rsidRPr="00F40808">
        <w:rPr>
          <w:i/>
          <w:sz w:val="22"/>
        </w:rPr>
        <w:t xml:space="preserve">Dictaminar sobre la procedencia de los casos de excepción al procedimiento de licitación pública. </w:t>
      </w:r>
    </w:p>
    <w:p w14:paraId="00A52723" w14:textId="77777777" w:rsidR="00B62477" w:rsidRPr="00F40808" w:rsidRDefault="00B62477" w:rsidP="00B62477">
      <w:pPr>
        <w:pStyle w:val="Prrafodelista"/>
        <w:numPr>
          <w:ilvl w:val="0"/>
          <w:numId w:val="14"/>
        </w:numPr>
        <w:rPr>
          <w:i/>
          <w:sz w:val="22"/>
        </w:rPr>
      </w:pPr>
      <w:r w:rsidRPr="00F40808">
        <w:rPr>
          <w:b/>
          <w:i/>
          <w:sz w:val="22"/>
        </w:rPr>
        <w:t>Participar en los procedimientos de licitación</w:t>
      </w:r>
      <w:r w:rsidRPr="00F40808">
        <w:rPr>
          <w:i/>
          <w:sz w:val="22"/>
        </w:rPr>
        <w:t xml:space="preserve">, invitación restringida y adjudicación directa, hasta dejarlos en estado de dictar el fallo correspondiente, incluidos los que tengan que desahogarse bajo la modalidad de subasta inversa. </w:t>
      </w:r>
    </w:p>
    <w:p w14:paraId="5ADB0C2E" w14:textId="77777777" w:rsidR="00B62477" w:rsidRPr="00F40808" w:rsidRDefault="00B62477" w:rsidP="00B62477">
      <w:pPr>
        <w:pStyle w:val="Prrafodelista"/>
        <w:numPr>
          <w:ilvl w:val="0"/>
          <w:numId w:val="14"/>
        </w:numPr>
        <w:rPr>
          <w:i/>
          <w:sz w:val="22"/>
        </w:rPr>
      </w:pPr>
      <w:r w:rsidRPr="00F40808">
        <w:rPr>
          <w:i/>
          <w:sz w:val="22"/>
        </w:rPr>
        <w:t xml:space="preserve">Emitir los dictámenes de adjudicación. </w:t>
      </w:r>
    </w:p>
    <w:p w14:paraId="206F2FD5" w14:textId="77777777" w:rsidR="00B62477" w:rsidRPr="00F40808" w:rsidRDefault="00B62477" w:rsidP="00B62477">
      <w:pPr>
        <w:pStyle w:val="Prrafodelista"/>
        <w:numPr>
          <w:ilvl w:val="0"/>
          <w:numId w:val="14"/>
        </w:numPr>
        <w:rPr>
          <w:i/>
          <w:sz w:val="22"/>
        </w:rPr>
      </w:pPr>
      <w:r w:rsidRPr="00F40808">
        <w:rPr>
          <w:i/>
          <w:sz w:val="22"/>
        </w:rPr>
        <w:t xml:space="preserve"> Las demás que establezca el reglamento de esta Ley.” </w:t>
      </w:r>
    </w:p>
    <w:p w14:paraId="648ACBA1" w14:textId="77777777" w:rsidR="00B62477" w:rsidRPr="00F40808" w:rsidRDefault="00B62477" w:rsidP="00B62477">
      <w:pPr>
        <w:ind w:left="416"/>
        <w:rPr>
          <w:i/>
          <w:sz w:val="22"/>
        </w:rPr>
      </w:pPr>
    </w:p>
    <w:p w14:paraId="6C88B391" w14:textId="77777777" w:rsidR="00286A83" w:rsidRPr="00F40808" w:rsidRDefault="00286A83" w:rsidP="00B62477">
      <w:pPr>
        <w:ind w:left="416"/>
        <w:rPr>
          <w:b/>
          <w:i/>
          <w:sz w:val="22"/>
        </w:rPr>
      </w:pPr>
    </w:p>
    <w:p w14:paraId="3BB2C3BE" w14:textId="1E84ED1A" w:rsidR="00B62477" w:rsidRPr="00F40808" w:rsidRDefault="00B62477" w:rsidP="00B62477">
      <w:pPr>
        <w:ind w:left="416"/>
        <w:rPr>
          <w:i/>
          <w:sz w:val="22"/>
        </w:rPr>
      </w:pPr>
      <w:r w:rsidRPr="00F40808">
        <w:rPr>
          <w:b/>
          <w:i/>
          <w:sz w:val="22"/>
        </w:rPr>
        <w:t>Artículo 24.-</w:t>
      </w:r>
      <w:r w:rsidRPr="00F40808">
        <w:rPr>
          <w:i/>
          <w:sz w:val="22"/>
        </w:rPr>
        <w:t xml:space="preserve"> El comité de arrendamientos, adquisiciones de inmuebles y enajenaciones tendrá las funciones siguientes: </w:t>
      </w:r>
    </w:p>
    <w:p w14:paraId="540C2B36" w14:textId="77777777" w:rsidR="00B62477" w:rsidRPr="00F40808" w:rsidRDefault="00B62477" w:rsidP="00B62477">
      <w:pPr>
        <w:pStyle w:val="Prrafodelista"/>
        <w:numPr>
          <w:ilvl w:val="0"/>
          <w:numId w:val="15"/>
        </w:numPr>
        <w:rPr>
          <w:i/>
          <w:sz w:val="22"/>
        </w:rPr>
      </w:pPr>
      <w:r w:rsidRPr="00F40808">
        <w:rPr>
          <w:i/>
          <w:sz w:val="22"/>
        </w:rPr>
        <w:t>Dictaminar sobre la procedencia de los casos de excepción al procedimiento de licitación pública, tratándose de adquisición de inmuebles y arrendamientos.</w:t>
      </w:r>
    </w:p>
    <w:p w14:paraId="71E292A0" w14:textId="77777777" w:rsidR="00B62477" w:rsidRPr="00F40808" w:rsidRDefault="00B62477" w:rsidP="00B62477">
      <w:pPr>
        <w:pStyle w:val="Prrafodelista"/>
        <w:numPr>
          <w:ilvl w:val="0"/>
          <w:numId w:val="15"/>
        </w:numPr>
        <w:rPr>
          <w:i/>
          <w:sz w:val="22"/>
        </w:rPr>
      </w:pPr>
      <w:r w:rsidRPr="00F40808">
        <w:rPr>
          <w:i/>
          <w:sz w:val="22"/>
        </w:rPr>
        <w:t xml:space="preserve"> Participar en los procedimientos de licitación, invitación restringida y adjudicación directa, hasta dejarlos en estado de dictar el fallo correspondiente, tratándose de adquisición de inmuebles y arrendamientos. </w:t>
      </w:r>
    </w:p>
    <w:p w14:paraId="1C20066E" w14:textId="77777777" w:rsidR="00B62477" w:rsidRPr="00F40808" w:rsidRDefault="00B62477" w:rsidP="00B62477">
      <w:pPr>
        <w:pStyle w:val="Prrafodelista"/>
        <w:numPr>
          <w:ilvl w:val="0"/>
          <w:numId w:val="15"/>
        </w:numPr>
        <w:rPr>
          <w:i/>
          <w:sz w:val="22"/>
        </w:rPr>
      </w:pPr>
      <w:r w:rsidRPr="00F40808">
        <w:rPr>
          <w:i/>
          <w:sz w:val="22"/>
        </w:rPr>
        <w:lastRenderedPageBreak/>
        <w:t xml:space="preserve">Emitir los dictámenes de adjudicación, tratándose de adquisiciones de inmuebles y arrendamientos. </w:t>
      </w:r>
    </w:p>
    <w:p w14:paraId="13A358A5" w14:textId="77777777" w:rsidR="00B62477" w:rsidRPr="00F40808" w:rsidRDefault="00B62477" w:rsidP="00B62477">
      <w:pPr>
        <w:pStyle w:val="Prrafodelista"/>
        <w:numPr>
          <w:ilvl w:val="0"/>
          <w:numId w:val="15"/>
        </w:numPr>
        <w:rPr>
          <w:i/>
          <w:sz w:val="22"/>
        </w:rPr>
      </w:pPr>
      <w:r w:rsidRPr="00F40808">
        <w:rPr>
          <w:i/>
          <w:sz w:val="22"/>
        </w:rPr>
        <w:t xml:space="preserve">Participar en los procedimientos de subasta pública, hasta dejarlos en estado de dictar el fallo de adjudicación. </w:t>
      </w:r>
    </w:p>
    <w:p w14:paraId="7C8C6BA2" w14:textId="77777777" w:rsidR="00B62477" w:rsidRPr="00F40808" w:rsidRDefault="00B62477" w:rsidP="00B62477">
      <w:pPr>
        <w:pStyle w:val="Prrafodelista"/>
        <w:numPr>
          <w:ilvl w:val="0"/>
          <w:numId w:val="15"/>
        </w:numPr>
        <w:rPr>
          <w:i/>
          <w:sz w:val="22"/>
        </w:rPr>
      </w:pPr>
      <w:r w:rsidRPr="00F40808">
        <w:rPr>
          <w:i/>
          <w:sz w:val="22"/>
        </w:rPr>
        <w:t xml:space="preserve">Las demás que establezca el reglamento de esta Ley.” </w:t>
      </w:r>
    </w:p>
    <w:p w14:paraId="320A20CF" w14:textId="77777777" w:rsidR="00B62477" w:rsidRPr="00F40808" w:rsidRDefault="00B62477" w:rsidP="00B62477">
      <w:pPr>
        <w:ind w:left="416"/>
        <w:rPr>
          <w:i/>
          <w:sz w:val="22"/>
        </w:rPr>
      </w:pPr>
    </w:p>
    <w:p w14:paraId="4DA494C4" w14:textId="77777777" w:rsidR="00286A83" w:rsidRPr="00F40808" w:rsidRDefault="00286A83" w:rsidP="00B62477">
      <w:pPr>
        <w:ind w:left="416"/>
        <w:rPr>
          <w:b/>
          <w:i/>
          <w:sz w:val="22"/>
        </w:rPr>
      </w:pPr>
    </w:p>
    <w:p w14:paraId="499981E3" w14:textId="535DB98F" w:rsidR="00B62477" w:rsidRPr="00F40808" w:rsidRDefault="00B62477" w:rsidP="00B62477">
      <w:pPr>
        <w:ind w:left="416"/>
        <w:rPr>
          <w:i/>
          <w:sz w:val="22"/>
        </w:rPr>
      </w:pPr>
      <w:r w:rsidRPr="00F40808">
        <w:rPr>
          <w:b/>
          <w:i/>
          <w:sz w:val="22"/>
        </w:rPr>
        <w:t>Artículo 26</w:t>
      </w:r>
      <w:r w:rsidRPr="00F40808">
        <w:rPr>
          <w:i/>
          <w:sz w:val="22"/>
        </w:rPr>
        <w:t xml:space="preserve">.- </w:t>
      </w:r>
      <w:r w:rsidRPr="00F40808">
        <w:rPr>
          <w:b/>
          <w:i/>
          <w:sz w:val="22"/>
        </w:rPr>
        <w:t>Las adquisiciones, arrendamientos y servicios se adjudicarán a través de licitaciones públicas, mediante convocatoria pública</w:t>
      </w:r>
    </w:p>
    <w:p w14:paraId="2118AF64" w14:textId="77777777" w:rsidR="00B62477" w:rsidRPr="00F40808" w:rsidRDefault="00B62477" w:rsidP="00B62477">
      <w:pPr>
        <w:rPr>
          <w:rFonts w:eastAsia="Times New Roman" w:cs="Tahoma"/>
          <w:bCs/>
          <w:i/>
          <w:sz w:val="22"/>
          <w:lang w:eastAsia="es-ES"/>
        </w:rPr>
      </w:pPr>
    </w:p>
    <w:p w14:paraId="20D6067D" w14:textId="77777777" w:rsidR="00286A83" w:rsidRPr="00F40808" w:rsidRDefault="00286A83" w:rsidP="00B62477">
      <w:pPr>
        <w:ind w:left="416"/>
        <w:rPr>
          <w:b/>
          <w:i/>
          <w:sz w:val="22"/>
        </w:rPr>
      </w:pPr>
    </w:p>
    <w:p w14:paraId="4B0D6592" w14:textId="3DEBF9AC" w:rsidR="00B62477" w:rsidRPr="00F40808" w:rsidRDefault="00B62477" w:rsidP="00B62477">
      <w:pPr>
        <w:ind w:left="416"/>
        <w:rPr>
          <w:i/>
          <w:sz w:val="22"/>
        </w:rPr>
      </w:pPr>
      <w:r w:rsidRPr="00F40808">
        <w:rPr>
          <w:b/>
          <w:i/>
          <w:sz w:val="22"/>
        </w:rPr>
        <w:t>Artículo 27</w:t>
      </w:r>
      <w:r w:rsidRPr="00F40808">
        <w:rPr>
          <w:i/>
          <w:sz w:val="22"/>
        </w:rPr>
        <w:t>.- La Secretaría, las entidades, los tribunales administrativos y los ayuntamientos podrán adjudicar adquisiciones, arrendamientos y servicios, mediante las excepciones al procedimiento de licitación que a continuación se señalan:</w:t>
      </w:r>
    </w:p>
    <w:p w14:paraId="5BFE6E80" w14:textId="77777777" w:rsidR="00B62477" w:rsidRPr="00F40808" w:rsidRDefault="00B62477" w:rsidP="00B62477">
      <w:pPr>
        <w:pStyle w:val="Prrafodelista"/>
        <w:numPr>
          <w:ilvl w:val="0"/>
          <w:numId w:val="16"/>
        </w:numPr>
        <w:rPr>
          <w:i/>
          <w:sz w:val="22"/>
        </w:rPr>
      </w:pPr>
      <w:r w:rsidRPr="00F40808">
        <w:rPr>
          <w:i/>
          <w:sz w:val="22"/>
        </w:rPr>
        <w:t>Invitación restringida.</w:t>
      </w:r>
    </w:p>
    <w:p w14:paraId="4AE203E2" w14:textId="77777777" w:rsidR="00B62477" w:rsidRPr="00F40808" w:rsidRDefault="00B62477" w:rsidP="00B62477">
      <w:pPr>
        <w:pStyle w:val="Prrafodelista"/>
        <w:numPr>
          <w:ilvl w:val="0"/>
          <w:numId w:val="16"/>
        </w:numPr>
        <w:rPr>
          <w:i/>
          <w:sz w:val="22"/>
        </w:rPr>
      </w:pPr>
      <w:r w:rsidRPr="00F40808">
        <w:rPr>
          <w:i/>
          <w:sz w:val="22"/>
        </w:rPr>
        <w:t xml:space="preserve"> Adjudicación directa. </w:t>
      </w:r>
    </w:p>
    <w:p w14:paraId="5BBBD7B5" w14:textId="77777777" w:rsidR="00B62477" w:rsidRPr="00F40808" w:rsidRDefault="00B62477" w:rsidP="00B62477">
      <w:pPr>
        <w:ind w:left="416"/>
        <w:rPr>
          <w:sz w:val="22"/>
        </w:rPr>
      </w:pPr>
    </w:p>
    <w:p w14:paraId="6920ABB0" w14:textId="77777777" w:rsidR="00286A83" w:rsidRPr="00F40808" w:rsidRDefault="00286A83" w:rsidP="00B62477">
      <w:pPr>
        <w:ind w:left="416"/>
        <w:rPr>
          <w:b/>
          <w:i/>
          <w:sz w:val="22"/>
        </w:rPr>
      </w:pPr>
    </w:p>
    <w:p w14:paraId="4F44D997" w14:textId="0E47C9C8" w:rsidR="00B62477" w:rsidRPr="00F40808" w:rsidRDefault="00B62477" w:rsidP="007119A8">
      <w:pPr>
        <w:ind w:left="416"/>
        <w:rPr>
          <w:rFonts w:eastAsia="Times New Roman" w:cs="Tahoma"/>
          <w:bCs/>
          <w:i/>
          <w:sz w:val="22"/>
          <w:lang w:eastAsia="es-ES"/>
        </w:rPr>
      </w:pPr>
      <w:r w:rsidRPr="00F40808">
        <w:rPr>
          <w:b/>
          <w:i/>
          <w:sz w:val="22"/>
        </w:rPr>
        <w:t>Artículo 39.-</w:t>
      </w:r>
      <w:r w:rsidRPr="00F40808">
        <w:rPr>
          <w:i/>
          <w:sz w:val="22"/>
        </w:rPr>
        <w:t xml:space="preserve"> Para cada uno de los actos del procedimiento adquisitivo se levantará el acta respectiva, la cual será firmada por los participantes, sin que la falta de firma de alguno de ellos invalide su contenido y efectos.</w:t>
      </w:r>
    </w:p>
    <w:p w14:paraId="7C9A9241" w14:textId="77A2AB77" w:rsidR="00CD1609" w:rsidRPr="00F40808" w:rsidRDefault="00132654" w:rsidP="00132654">
      <w:pPr>
        <w:rPr>
          <w:rFonts w:eastAsia="Times New Roman" w:cs="Tahoma"/>
          <w:bCs/>
          <w:szCs w:val="24"/>
          <w:lang w:eastAsia="es-ES"/>
        </w:rPr>
      </w:pPr>
      <w:r w:rsidRPr="00F40808">
        <w:rPr>
          <w:rFonts w:eastAsia="Times New Roman" w:cs="Tahoma"/>
          <w:bCs/>
          <w:szCs w:val="24"/>
          <w:lang w:eastAsia="es-ES"/>
        </w:rPr>
        <w:t xml:space="preserve">Al respecto, se trae a colación la Ley de Fiscalización Superior del Estado de México, que señala que son sujetos de fiscalización los Municipios del Estado de México, además, en su artículo 2, fracciones VIII y XI, establece lo que es la Cuenta Pública y los Informes </w:t>
      </w:r>
      <w:r w:rsidR="00B62477" w:rsidRPr="00F40808">
        <w:rPr>
          <w:rFonts w:eastAsia="Times New Roman" w:cs="Tahoma"/>
          <w:bCs/>
          <w:szCs w:val="24"/>
          <w:lang w:eastAsia="es-ES"/>
        </w:rPr>
        <w:t>trimestrales</w:t>
      </w:r>
      <w:r w:rsidRPr="00F40808">
        <w:rPr>
          <w:rFonts w:eastAsia="Times New Roman" w:cs="Tahoma"/>
          <w:bCs/>
          <w:szCs w:val="24"/>
          <w:lang w:eastAsia="es-ES"/>
        </w:rPr>
        <w:t xml:space="preserve">, tal </w:t>
      </w:r>
      <w:r w:rsidR="00CD1609" w:rsidRPr="00F40808">
        <w:rPr>
          <w:rFonts w:eastAsia="Times New Roman" w:cs="Tahoma"/>
          <w:bCs/>
          <w:szCs w:val="24"/>
          <w:lang w:eastAsia="es-ES"/>
        </w:rPr>
        <w:t>como se precisa a continuación:</w:t>
      </w:r>
    </w:p>
    <w:p w14:paraId="7FC58689" w14:textId="77777777" w:rsidR="00B62477" w:rsidRPr="00F40808" w:rsidRDefault="00B62477" w:rsidP="00132654">
      <w:pPr>
        <w:rPr>
          <w:rFonts w:eastAsia="Times New Roman" w:cs="Tahoma"/>
          <w:bCs/>
          <w:szCs w:val="24"/>
          <w:lang w:eastAsia="es-ES"/>
        </w:rPr>
      </w:pPr>
    </w:p>
    <w:p w14:paraId="5C36B08A" w14:textId="0B79E068" w:rsidR="00CD1609" w:rsidRPr="00F40808" w:rsidRDefault="00B62477" w:rsidP="00B62477">
      <w:pPr>
        <w:ind w:firstLine="708"/>
        <w:rPr>
          <w:rFonts w:eastAsia="Times New Roman" w:cs="Tahoma"/>
          <w:b/>
          <w:i/>
          <w:iCs/>
          <w:sz w:val="22"/>
          <w:lang w:eastAsia="es-ES"/>
        </w:rPr>
      </w:pPr>
      <w:r w:rsidRPr="00F40808">
        <w:rPr>
          <w:rFonts w:eastAsia="Times New Roman" w:cs="Tahoma"/>
          <w:b/>
          <w:i/>
          <w:iCs/>
          <w:sz w:val="22"/>
          <w:lang w:eastAsia="es-ES"/>
        </w:rPr>
        <w:lastRenderedPageBreak/>
        <w:t>Artículo 2. Para los efectos de la presente Ley, se entenderá por:</w:t>
      </w:r>
    </w:p>
    <w:p w14:paraId="25BE1A2C" w14:textId="454060A3" w:rsidR="00B62477" w:rsidRPr="00F40808" w:rsidRDefault="00B62477" w:rsidP="00B62477">
      <w:pPr>
        <w:ind w:left="708"/>
        <w:rPr>
          <w:rFonts w:eastAsia="Times New Roman" w:cs="Tahoma"/>
          <w:bCs/>
          <w:i/>
          <w:iCs/>
          <w:sz w:val="22"/>
          <w:lang w:eastAsia="es-ES"/>
        </w:rPr>
      </w:pPr>
      <w:r w:rsidRPr="00F40808">
        <w:rPr>
          <w:rFonts w:eastAsia="Times New Roman" w:cs="Tahoma"/>
          <w:bCs/>
          <w:i/>
          <w:iCs/>
          <w:sz w:val="22"/>
          <w:lang w:eastAsia="es-ES"/>
        </w:rPr>
        <w:t>VIII. Cuenta Pública: Los informes que rinden anualmente a la Legislatura, el Gobernador y los Presidentes Municipales, respecto de los resultados y la situación financiera del ejercicio fiscal inmediato anterior según corresponda;</w:t>
      </w:r>
    </w:p>
    <w:p w14:paraId="719A7C6A" w14:textId="77777777" w:rsidR="00B62477" w:rsidRPr="00F40808" w:rsidRDefault="00B62477" w:rsidP="00B62477">
      <w:pPr>
        <w:ind w:left="708"/>
        <w:rPr>
          <w:rFonts w:eastAsia="Times New Roman" w:cs="Tahoma"/>
          <w:bCs/>
          <w:i/>
          <w:iCs/>
          <w:sz w:val="22"/>
          <w:lang w:eastAsia="es-ES"/>
        </w:rPr>
      </w:pPr>
    </w:p>
    <w:p w14:paraId="02DE444C" w14:textId="5EF40542" w:rsidR="00B62477" w:rsidRPr="00F40808" w:rsidRDefault="00B62477" w:rsidP="00B62477">
      <w:pPr>
        <w:ind w:left="708"/>
        <w:rPr>
          <w:rFonts w:eastAsia="Times New Roman" w:cs="Tahoma"/>
          <w:bCs/>
          <w:i/>
          <w:iCs/>
          <w:sz w:val="22"/>
          <w:lang w:eastAsia="es-ES"/>
        </w:rPr>
      </w:pPr>
      <w:r w:rsidRPr="00F40808">
        <w:rPr>
          <w:rFonts w:eastAsia="Times New Roman" w:cs="Tahoma"/>
          <w:bCs/>
          <w:i/>
          <w:iCs/>
          <w:sz w:val="22"/>
          <w:lang w:eastAsia="es-ES"/>
        </w:rPr>
        <w:t>XI. Informe Trimestral: Al documento físico o electrónico que trimestralmente presentan las entidades fiscalizables, a través de las tesorerías municipales y de la Secretaría de Finanzas o equivalentes, sobre la situación económica, las finanzas públicas y, en su caso, respecto a la deuda pública, para su análisis por el Órgano Superior;</w:t>
      </w:r>
    </w:p>
    <w:p w14:paraId="50EEB0B6" w14:textId="77777777" w:rsidR="00B62477" w:rsidRPr="00F40808" w:rsidRDefault="00B62477" w:rsidP="00B62477">
      <w:pPr>
        <w:ind w:left="708"/>
        <w:rPr>
          <w:rFonts w:eastAsia="Times New Roman" w:cs="Tahoma"/>
          <w:bCs/>
          <w:szCs w:val="24"/>
          <w:lang w:eastAsia="es-ES"/>
        </w:rPr>
      </w:pPr>
    </w:p>
    <w:p w14:paraId="391F8E27" w14:textId="4EB83434" w:rsidR="00CD1609" w:rsidRPr="00F40808" w:rsidRDefault="00014F59" w:rsidP="00132654">
      <w:pPr>
        <w:rPr>
          <w:szCs w:val="24"/>
        </w:rPr>
      </w:pPr>
      <w:r w:rsidRPr="00F40808">
        <w:rPr>
          <w:szCs w:val="24"/>
        </w:rPr>
        <w:t>De lo anterior, se advierte que el Sujeto Obligado, cuenta con la competencia para regular los actos relativos a la planeación, programación, presupuestación, ejecución y control de la adquisición y arrendamiento de bienes, así como la contratación de servicios de cualquier naturaleza; para tales efectos, se auxilia de los comités de arrendamientos y de adquisiciones de inmuebles y enajenaciones, quienes, entre otras funciones, emiten los dictámenes correspondientes a la adjudicación, debiendo levantar para cada procedimiento adquisitivo el acta respectiva.</w:t>
      </w:r>
    </w:p>
    <w:p w14:paraId="3E77C373" w14:textId="77777777" w:rsidR="00014F59" w:rsidRPr="00F40808" w:rsidRDefault="00014F59" w:rsidP="00132654"/>
    <w:p w14:paraId="1391DEFC" w14:textId="55DB5BC6" w:rsidR="00014F59" w:rsidRPr="00F40808" w:rsidRDefault="00014F59" w:rsidP="00132654">
      <w:r w:rsidRPr="00F40808">
        <w:t>Es conveniente remitirnos 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que al respecto señalan:</w:t>
      </w:r>
    </w:p>
    <w:p w14:paraId="348C9B2E" w14:textId="77777777" w:rsidR="00014F59" w:rsidRPr="00F40808" w:rsidRDefault="00014F59" w:rsidP="00014F59">
      <w:pPr>
        <w:ind w:left="416"/>
        <w:rPr>
          <w:b/>
          <w:i/>
        </w:rPr>
      </w:pPr>
      <w:proofErr w:type="spellStart"/>
      <w:r w:rsidRPr="00F40808">
        <w:rPr>
          <w:b/>
          <w:i/>
        </w:rPr>
        <w:lastRenderedPageBreak/>
        <w:t>XXXIII.Los</w:t>
      </w:r>
      <w:proofErr w:type="spellEnd"/>
      <w:r w:rsidRPr="00F40808">
        <w:rPr>
          <w:b/>
          <w:i/>
        </w:rPr>
        <w:t xml:space="preserve"> convenios de coordinación de concertación con los sectores social y privado</w:t>
      </w:r>
    </w:p>
    <w:p w14:paraId="6A0EEC75" w14:textId="77777777" w:rsidR="00014F59" w:rsidRPr="00F40808" w:rsidRDefault="00014F59" w:rsidP="00014F59"/>
    <w:p w14:paraId="5B5CA121" w14:textId="16AF9C61" w:rsidR="00014F59" w:rsidRPr="00F40808" w:rsidRDefault="00014F59" w:rsidP="00014F59">
      <w:r w:rsidRPr="00F40808">
        <w:t>Los sujetos obligados deberán publicar la información relativa a cualquier convenio de coordinación que suscriban para lograr los objetivos de la planeación nacional del desarrollo</w:t>
      </w:r>
    </w:p>
    <w:p w14:paraId="0B9E65E7" w14:textId="77777777" w:rsidR="00014F59" w:rsidRPr="00F40808" w:rsidRDefault="00014F59" w:rsidP="00132654">
      <w:pPr>
        <w:rPr>
          <w:rFonts w:eastAsia="Times New Roman" w:cs="Tahoma"/>
          <w:bCs/>
          <w:szCs w:val="24"/>
          <w:lang w:eastAsia="es-ES"/>
        </w:rPr>
      </w:pPr>
    </w:p>
    <w:p w14:paraId="3FB70631" w14:textId="632D82D4" w:rsidR="00452400" w:rsidRPr="00F40808" w:rsidRDefault="00452400" w:rsidP="00132654">
      <w:r w:rsidRPr="00F40808">
        <w:rPr>
          <w:rFonts w:eastAsia="Times New Roman" w:cs="Tahoma"/>
          <w:bCs/>
          <w:szCs w:val="24"/>
          <w:lang w:eastAsia="es-ES"/>
        </w:rPr>
        <w:t xml:space="preserve">De lo anterior la Ley de Transparencia en su numeral 92 en su fracción XXIX establece como obligación de transparencia común la información sobre los procesos y resultados de procedimientos de adjudicación </w:t>
      </w:r>
      <w:r w:rsidRPr="00F40808">
        <w:t xml:space="preserve">recta, invitación restringida y licitación de cualquier naturaleza, en los términos siguientes; </w:t>
      </w:r>
    </w:p>
    <w:p w14:paraId="718A677B" w14:textId="77777777" w:rsidR="00286A83" w:rsidRPr="00F40808" w:rsidRDefault="00286A83" w:rsidP="00132654">
      <w:pPr>
        <w:rPr>
          <w:rFonts w:eastAsia="Times New Roman" w:cs="Tahoma"/>
          <w:bCs/>
          <w:szCs w:val="24"/>
          <w:lang w:eastAsia="es-ES"/>
        </w:rPr>
      </w:pPr>
    </w:p>
    <w:p w14:paraId="6F311926" w14:textId="697C5DF6" w:rsidR="00452400" w:rsidRPr="00F40808" w:rsidRDefault="00452400" w:rsidP="00452400">
      <w:pPr>
        <w:ind w:left="416"/>
        <w:jc w:val="center"/>
        <w:rPr>
          <w:b/>
          <w:i/>
          <w:sz w:val="22"/>
        </w:rPr>
      </w:pPr>
      <w:r w:rsidRPr="00F40808">
        <w:rPr>
          <w:b/>
          <w:i/>
          <w:sz w:val="22"/>
        </w:rPr>
        <w:t>Capítulo II De las Obligaciones de Transparencia Comunes</w:t>
      </w:r>
    </w:p>
    <w:p w14:paraId="5AA20E17" w14:textId="499EBB18" w:rsidR="00014F59" w:rsidRPr="00F40808" w:rsidRDefault="00452400" w:rsidP="00452400">
      <w:pPr>
        <w:ind w:left="416"/>
        <w:rPr>
          <w:i/>
          <w:sz w:val="22"/>
        </w:rPr>
      </w:pPr>
      <w:r w:rsidRPr="00F40808">
        <w:rPr>
          <w:i/>
          <w:sz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8787D5D" w14:textId="77777777" w:rsidR="00452400" w:rsidRPr="00F40808" w:rsidRDefault="00452400" w:rsidP="00132654">
      <w:pPr>
        <w:rPr>
          <w:rFonts w:eastAsia="Times New Roman" w:cs="Tahoma"/>
          <w:bCs/>
          <w:szCs w:val="24"/>
          <w:lang w:eastAsia="es-ES"/>
        </w:rPr>
      </w:pPr>
    </w:p>
    <w:p w14:paraId="6400DE66" w14:textId="4A67E278" w:rsidR="00452400" w:rsidRPr="00F40808" w:rsidRDefault="00452400" w:rsidP="00452400">
      <w:pPr>
        <w:ind w:left="416"/>
        <w:rPr>
          <w:i/>
          <w:sz w:val="22"/>
        </w:rPr>
      </w:pPr>
      <w:r w:rsidRPr="00F40808">
        <w:rPr>
          <w:i/>
          <w:sz w:val="22"/>
        </w:rPr>
        <w:t>XXIX.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w:t>
      </w:r>
    </w:p>
    <w:p w14:paraId="0E680551" w14:textId="77777777" w:rsidR="00452400" w:rsidRPr="00F40808" w:rsidRDefault="00452400" w:rsidP="00132654">
      <w:pPr>
        <w:rPr>
          <w:i/>
          <w:sz w:val="22"/>
        </w:rPr>
      </w:pPr>
    </w:p>
    <w:p w14:paraId="3B414780" w14:textId="77777777" w:rsidR="00452400" w:rsidRPr="00F40808" w:rsidRDefault="00452400" w:rsidP="00452400">
      <w:pPr>
        <w:ind w:left="416"/>
        <w:rPr>
          <w:i/>
          <w:sz w:val="22"/>
        </w:rPr>
      </w:pPr>
      <w:r w:rsidRPr="00F40808">
        <w:rPr>
          <w:b/>
          <w:i/>
          <w:sz w:val="22"/>
        </w:rPr>
        <w:t xml:space="preserve">a) De licitaciones públicas </w:t>
      </w:r>
      <w:r w:rsidRPr="00F40808">
        <w:rPr>
          <w:i/>
          <w:sz w:val="22"/>
        </w:rPr>
        <w:t xml:space="preserve">o procedimientos de invitación restringida: </w:t>
      </w:r>
    </w:p>
    <w:p w14:paraId="685BF97B" w14:textId="77777777" w:rsidR="00452400" w:rsidRPr="00F40808" w:rsidRDefault="00452400" w:rsidP="00452400">
      <w:pPr>
        <w:ind w:left="708"/>
        <w:rPr>
          <w:i/>
          <w:sz w:val="22"/>
        </w:rPr>
      </w:pPr>
      <w:r w:rsidRPr="00F40808">
        <w:rPr>
          <w:i/>
          <w:sz w:val="22"/>
        </w:rPr>
        <w:t xml:space="preserve">1) La convocatoria o invitación emitida, así como los fundamentos legales aplicados para llevarla a cabo; </w:t>
      </w:r>
    </w:p>
    <w:p w14:paraId="3C27A217" w14:textId="77777777" w:rsidR="00452400" w:rsidRPr="00F40808" w:rsidRDefault="00452400" w:rsidP="00452400">
      <w:pPr>
        <w:ind w:left="708"/>
        <w:rPr>
          <w:i/>
          <w:sz w:val="22"/>
        </w:rPr>
      </w:pPr>
      <w:r w:rsidRPr="00F40808">
        <w:rPr>
          <w:i/>
          <w:sz w:val="22"/>
        </w:rPr>
        <w:lastRenderedPageBreak/>
        <w:t xml:space="preserve">2) Los nombres de los participantes o invitados; </w:t>
      </w:r>
    </w:p>
    <w:p w14:paraId="337F4630" w14:textId="77777777" w:rsidR="00452400" w:rsidRPr="00F40808" w:rsidRDefault="00452400" w:rsidP="00452400">
      <w:pPr>
        <w:ind w:left="708"/>
        <w:rPr>
          <w:i/>
          <w:sz w:val="22"/>
        </w:rPr>
      </w:pPr>
      <w:r w:rsidRPr="00F40808">
        <w:rPr>
          <w:i/>
          <w:sz w:val="22"/>
        </w:rPr>
        <w:t xml:space="preserve">3) El nombre del ganador y las razones que lo justifican; </w:t>
      </w:r>
    </w:p>
    <w:p w14:paraId="07C34B51" w14:textId="77777777" w:rsidR="00452400" w:rsidRPr="00F40808" w:rsidRDefault="00452400" w:rsidP="00452400">
      <w:pPr>
        <w:ind w:left="708"/>
        <w:rPr>
          <w:i/>
          <w:sz w:val="22"/>
        </w:rPr>
      </w:pPr>
      <w:r w:rsidRPr="00F40808">
        <w:rPr>
          <w:i/>
          <w:sz w:val="22"/>
        </w:rPr>
        <w:t xml:space="preserve">4) El área solicitante y la responsable de su ejecución; </w:t>
      </w:r>
    </w:p>
    <w:p w14:paraId="60407E7C" w14:textId="77777777" w:rsidR="00452400" w:rsidRPr="00F40808" w:rsidRDefault="00452400" w:rsidP="00452400">
      <w:pPr>
        <w:ind w:left="708"/>
        <w:rPr>
          <w:i/>
          <w:sz w:val="22"/>
        </w:rPr>
      </w:pPr>
      <w:r w:rsidRPr="00F40808">
        <w:rPr>
          <w:i/>
          <w:sz w:val="22"/>
        </w:rPr>
        <w:t xml:space="preserve">5) Las convocatorias e invitaciones emitidas; </w:t>
      </w:r>
    </w:p>
    <w:p w14:paraId="47A0A13C" w14:textId="254132F1" w:rsidR="00452400" w:rsidRPr="00F40808" w:rsidRDefault="00452400" w:rsidP="00452400">
      <w:pPr>
        <w:ind w:left="708"/>
        <w:rPr>
          <w:rFonts w:eastAsia="Times New Roman" w:cs="Tahoma"/>
          <w:bCs/>
          <w:i/>
          <w:sz w:val="22"/>
          <w:lang w:eastAsia="es-ES"/>
        </w:rPr>
      </w:pPr>
      <w:r w:rsidRPr="00F40808">
        <w:rPr>
          <w:i/>
          <w:sz w:val="22"/>
        </w:rPr>
        <w:t>6) Los dictámenes y fallo de adjudicación;</w:t>
      </w:r>
    </w:p>
    <w:p w14:paraId="1060D1AA" w14:textId="3B226140" w:rsidR="00452400" w:rsidRPr="00F40808" w:rsidRDefault="00452400" w:rsidP="00452400">
      <w:pPr>
        <w:ind w:firstLine="416"/>
        <w:rPr>
          <w:i/>
          <w:sz w:val="22"/>
        </w:rPr>
      </w:pPr>
      <w:r w:rsidRPr="00F40808">
        <w:rPr>
          <w:i/>
          <w:sz w:val="22"/>
        </w:rPr>
        <w:t>b) De las adjudicaciones directas:</w:t>
      </w:r>
    </w:p>
    <w:p w14:paraId="30F99AD5" w14:textId="4AE7F50E" w:rsidR="00452400" w:rsidRPr="00F40808" w:rsidRDefault="00452400" w:rsidP="00452400">
      <w:pPr>
        <w:ind w:firstLine="416"/>
        <w:rPr>
          <w:i/>
          <w:sz w:val="22"/>
        </w:rPr>
      </w:pPr>
      <w:r w:rsidRPr="00F40808">
        <w:rPr>
          <w:i/>
          <w:sz w:val="22"/>
        </w:rPr>
        <w:t>(…)</w:t>
      </w:r>
    </w:p>
    <w:p w14:paraId="735646E2" w14:textId="77777777" w:rsidR="00132654" w:rsidRPr="00F40808" w:rsidRDefault="00132654" w:rsidP="00132654">
      <w:pPr>
        <w:rPr>
          <w:rFonts w:eastAsia="Times New Roman" w:cs="Tahoma"/>
          <w:bCs/>
          <w:szCs w:val="24"/>
          <w:lang w:eastAsia="es-ES"/>
        </w:rPr>
      </w:pPr>
    </w:p>
    <w:p w14:paraId="4FEA537F" w14:textId="77777777" w:rsidR="00132654" w:rsidRPr="00F40808" w:rsidRDefault="00132654" w:rsidP="00132654">
      <w:pPr>
        <w:rPr>
          <w:rFonts w:eastAsia="Times New Roman" w:cs="Tahoma"/>
          <w:bCs/>
          <w:szCs w:val="24"/>
          <w:lang w:eastAsia="es-ES"/>
        </w:rPr>
      </w:pPr>
      <w:r w:rsidRPr="00F40808">
        <w:rPr>
          <w:rFonts w:eastAsia="Times New Roman" w:cs="Tahoma"/>
          <w:bCs/>
          <w:szCs w:val="24"/>
          <w:lang w:eastAsia="es-ES"/>
        </w:rPr>
        <w:t xml:space="preserve">Por su parte, el artículo 8 de la Ley de Fiscalización Superior del Estado de México, señala que dentro de las atribuciones con las que cuenta el Órgano Superior de Fiscalización, está la de fiscalizar, en todo momento, respecto del año inmediato anterior, los ingresos y egresos de las entidades fiscalizables a efecto de comprobar que su recaudación, administración, desempeño, niveles de deuda y aplicación se apegue a las disposiciones legales, administrativas, presupuestales, financieras y de planeación aplicables, revisar las cuentas públicas de las entidades fiscalizables y entregar a la Legislatura, a través de la Comisión, el informe de resultados y los informes de auditorías que correspondan, requerir a las entidades fiscalizables la información, documentos físicos y/o electrónicos necesarios para los actos de fiscalización, así como, solicitar a otras autoridades el auxilio o colaboración para el cumplimiento de sus atribuciones. </w:t>
      </w:r>
    </w:p>
    <w:p w14:paraId="0090B496" w14:textId="77777777" w:rsidR="00452400" w:rsidRPr="00F40808" w:rsidRDefault="00452400" w:rsidP="00132654">
      <w:pPr>
        <w:rPr>
          <w:rFonts w:eastAsia="Times New Roman" w:cs="Tahoma"/>
          <w:bCs/>
          <w:szCs w:val="24"/>
          <w:lang w:eastAsia="es-ES"/>
        </w:rPr>
      </w:pPr>
    </w:p>
    <w:p w14:paraId="6B9211AA" w14:textId="0363E835" w:rsidR="00132654" w:rsidRPr="00F40808" w:rsidRDefault="00132654" w:rsidP="00132654">
      <w:pPr>
        <w:tabs>
          <w:tab w:val="left" w:pos="1470"/>
        </w:tabs>
        <w:ind w:right="-28"/>
        <w:rPr>
          <w:rFonts w:cs="Tahoma"/>
          <w:bCs/>
          <w:color w:val="000000"/>
        </w:rPr>
      </w:pPr>
      <w:r w:rsidRPr="00F40808">
        <w:rPr>
          <w:rFonts w:cs="Tahoma"/>
          <w:color w:val="0D0D0D" w:themeColor="text1" w:themeTint="F2"/>
          <w:szCs w:val="24"/>
        </w:rPr>
        <w:t xml:space="preserve">En razón de lo anterior, se desprende que la información solicitada es generada por los Municipios, en este caso, por el Ayuntamiento de </w:t>
      </w:r>
      <w:r w:rsidR="00B62477" w:rsidRPr="00F40808">
        <w:rPr>
          <w:rFonts w:cs="Tahoma"/>
          <w:color w:val="0D0D0D" w:themeColor="text1" w:themeTint="F2"/>
          <w:szCs w:val="24"/>
        </w:rPr>
        <w:t>Tultepec</w:t>
      </w:r>
      <w:r w:rsidRPr="00F40808">
        <w:rPr>
          <w:rFonts w:cs="Tahoma"/>
          <w:color w:val="0D0D0D" w:themeColor="text1" w:themeTint="F2"/>
          <w:szCs w:val="24"/>
        </w:rPr>
        <w:t xml:space="preserve"> por lo que, </w:t>
      </w:r>
      <w:r w:rsidRPr="00F40808">
        <w:rPr>
          <w:rFonts w:eastAsia="Times New Roman" w:cs="Tahoma"/>
          <w:bCs/>
          <w:iCs/>
          <w:color w:val="000000"/>
          <w:lang w:eastAsia="es-ES"/>
        </w:rPr>
        <w:t>se trae a colación</w:t>
      </w:r>
      <w:r w:rsidRPr="00F40808">
        <w:rPr>
          <w:rFonts w:cs="Tahoma"/>
          <w:bCs/>
          <w:color w:val="000000"/>
        </w:rPr>
        <w:t xml:space="preserve">, el Manual para la Planeación, Programación y Presupuesto de Egresos Municipal para el </w:t>
      </w:r>
      <w:r w:rsidRPr="00F40808">
        <w:rPr>
          <w:rFonts w:cs="Tahoma"/>
          <w:bCs/>
          <w:color w:val="000000"/>
        </w:rPr>
        <w:lastRenderedPageBreak/>
        <w:t>ejercicio fiscal dos mil ve</w:t>
      </w:r>
      <w:r w:rsidR="00BA00CA" w:rsidRPr="00F40808">
        <w:rPr>
          <w:rFonts w:cs="Tahoma"/>
          <w:bCs/>
          <w:color w:val="000000"/>
        </w:rPr>
        <w:t>inticuatro</w:t>
      </w:r>
      <w:r w:rsidR="007119A8" w:rsidRPr="00F40808">
        <w:rPr>
          <w:rStyle w:val="Refdenotaalpie"/>
          <w:rFonts w:cs="Tahoma"/>
          <w:bCs/>
          <w:color w:val="000000"/>
        </w:rPr>
        <w:footnoteReference w:id="5"/>
      </w:r>
      <w:r w:rsidRPr="00F40808">
        <w:rPr>
          <w:rFonts w:cs="Tahoma"/>
          <w:bCs/>
          <w:color w:val="000000"/>
        </w:rPr>
        <w:t xml:space="preserve">, que establecen que su propósito es apoyar a los Ayuntamientos y entidades públicas municipales, para integrar el Anteproyecto y Proyecto de Presupuesto de Egresos Municipal. </w:t>
      </w:r>
    </w:p>
    <w:p w14:paraId="5DBCA17D" w14:textId="77777777" w:rsidR="00132654" w:rsidRPr="00F40808" w:rsidRDefault="00132654" w:rsidP="00132654">
      <w:pPr>
        <w:tabs>
          <w:tab w:val="left" w:pos="1470"/>
        </w:tabs>
        <w:ind w:right="-28"/>
        <w:rPr>
          <w:rFonts w:cs="Tahoma"/>
          <w:bCs/>
          <w:color w:val="000000"/>
        </w:rPr>
      </w:pPr>
    </w:p>
    <w:p w14:paraId="23B2CFBF" w14:textId="77348DC0" w:rsidR="00132654" w:rsidRPr="00F40808" w:rsidRDefault="00132654" w:rsidP="00132654">
      <w:pPr>
        <w:tabs>
          <w:tab w:val="left" w:pos="1470"/>
        </w:tabs>
        <w:ind w:right="-28"/>
        <w:rPr>
          <w:rFonts w:cs="Tahoma"/>
          <w:bCs/>
          <w:color w:val="000000"/>
        </w:rPr>
      </w:pPr>
      <w:r w:rsidRPr="00F40808">
        <w:rPr>
          <w:rFonts w:cs="Tahoma"/>
          <w:bCs/>
          <w:color w:val="000000"/>
        </w:rPr>
        <w:t xml:space="preserve">Señala que para la integración del Anteproyecto de Presupuesto de Egresos Municipal, además de los formatos PbRM, que integran el Programa Anual los cuales son PbRM-01a Identificación de la Dimensión Administrativa del Gasto; PbRM-01b Descripción del Programa; </w:t>
      </w:r>
      <w:r w:rsidRPr="00F40808">
        <w:rPr>
          <w:rFonts w:cs="Tahoma"/>
          <w:b/>
          <w:bCs/>
          <w:color w:val="000000"/>
        </w:rPr>
        <w:t>PbRM-01c Metas de actividad por Proyecto;</w:t>
      </w:r>
      <w:r w:rsidRPr="00F40808">
        <w:rPr>
          <w:rFonts w:cs="Tahoma"/>
          <w:bCs/>
          <w:color w:val="000000"/>
        </w:rPr>
        <w:t xml:space="preserve"> </w:t>
      </w:r>
      <w:r w:rsidRPr="00F40808">
        <w:rPr>
          <w:rFonts w:cs="Tahoma"/>
          <w:b/>
          <w:bCs/>
          <w:color w:val="000000"/>
        </w:rPr>
        <w:t>PbRM-01d Ficha técnica de diseño de indicadores estratégicos o de gestión</w:t>
      </w:r>
      <w:r w:rsidRPr="00F40808">
        <w:rPr>
          <w:rFonts w:cs="Tahoma"/>
          <w:bCs/>
          <w:color w:val="000000"/>
        </w:rPr>
        <w:t xml:space="preserve"> y PbRM-01e Matriz de Indicadores para Resultados por Programa presupuestario, en los que se deben definir las necesidades y oportunidades del municipio, mismas que deben coincidir con el Plan de Desarrollo Municipal para ser traducidas en proyectos y acciones concretas a desarrollarse en el periodo presupuestal determinado.</w:t>
      </w:r>
    </w:p>
    <w:p w14:paraId="415426B4" w14:textId="77777777" w:rsidR="007119A8" w:rsidRPr="00F40808" w:rsidRDefault="007119A8" w:rsidP="00132654">
      <w:pPr>
        <w:tabs>
          <w:tab w:val="left" w:pos="1470"/>
        </w:tabs>
        <w:ind w:right="-28"/>
        <w:rPr>
          <w:rFonts w:cs="Tahoma"/>
          <w:bCs/>
          <w:color w:val="000000"/>
        </w:rPr>
      </w:pPr>
    </w:p>
    <w:p w14:paraId="1B00CE01" w14:textId="1C40F782" w:rsidR="00132654" w:rsidRPr="00F40808" w:rsidRDefault="00132654" w:rsidP="007119A8">
      <w:pPr>
        <w:tabs>
          <w:tab w:val="left" w:pos="1470"/>
        </w:tabs>
        <w:ind w:right="-28"/>
      </w:pPr>
      <w:r w:rsidRPr="00F40808">
        <w:rPr>
          <w:rFonts w:cs="Tahoma"/>
          <w:bCs/>
          <w:color w:val="000000"/>
        </w:rPr>
        <w:t xml:space="preserve">De los cuales el llenado es responsabilidad de los Titulares de las </w:t>
      </w:r>
      <w:r w:rsidRPr="00F40808">
        <w:t>Dependencias Generales, Auxiliares y Organismos Municipales ejecutores de los programas, el proceso de coordinación corresponde a la UIPPE municipal o su equivalente, quienes deberán de realizar esta actividad de manera conjunta.</w:t>
      </w:r>
    </w:p>
    <w:p w14:paraId="549DBC08" w14:textId="77777777" w:rsidR="00B43071" w:rsidRPr="00F40808" w:rsidRDefault="00B43071" w:rsidP="007119A8">
      <w:pPr>
        <w:tabs>
          <w:tab w:val="left" w:pos="1470"/>
        </w:tabs>
        <w:ind w:right="-28"/>
        <w:rPr>
          <w:rFonts w:cs="Tahoma"/>
          <w:bCs/>
          <w:color w:val="000000"/>
        </w:rPr>
      </w:pPr>
    </w:p>
    <w:p w14:paraId="08EBC951" w14:textId="77777777" w:rsidR="00132654" w:rsidRPr="00F40808" w:rsidRDefault="00132654" w:rsidP="00132654">
      <w:pPr>
        <w:tabs>
          <w:tab w:val="left" w:pos="1470"/>
        </w:tabs>
        <w:ind w:right="-28"/>
        <w:rPr>
          <w:rFonts w:cs="Tahoma"/>
          <w:bCs/>
          <w:color w:val="000000"/>
        </w:rPr>
      </w:pPr>
      <w:r w:rsidRPr="00F40808">
        <w:rPr>
          <w:rFonts w:cs="Tahoma"/>
          <w:bCs/>
          <w:color w:val="000000"/>
        </w:rPr>
        <w:t xml:space="preserve">En virtud de lo anterior, para la realización del </w:t>
      </w:r>
      <w:r w:rsidRPr="00F40808">
        <w:rPr>
          <w:rFonts w:cs="Tahoma"/>
          <w:b/>
          <w:bCs/>
          <w:color w:val="000000"/>
        </w:rPr>
        <w:t xml:space="preserve">Presupuesto de Egresos Municipal </w:t>
      </w:r>
      <w:r w:rsidRPr="00F40808">
        <w:rPr>
          <w:rFonts w:cs="Tahoma"/>
          <w:bCs/>
          <w:color w:val="000000"/>
        </w:rPr>
        <w:t xml:space="preserve">se considera la información de los formatos que conforman el Programa Anual (PbRM-01a, </w:t>
      </w:r>
      <w:r w:rsidRPr="00F40808">
        <w:rPr>
          <w:rFonts w:cs="Tahoma"/>
          <w:bCs/>
          <w:color w:val="000000"/>
        </w:rPr>
        <w:lastRenderedPageBreak/>
        <w:t>PbRM-01b, PbRM-01c, PbRM-01d, PbRM-01e), así como del Presupuesto de Egresos Detallado (PBRM04a), formato en el que se deberá registrar los proyectos por partida de gasto los cuales tendrán que coincidir en estructura programática y gasto estimado por proyecto, con los formatos PbRM 01a y PbRM 01c. Al contar con un presupuesto definido se deben corroborar las metas de actividad a realizar e identificar los tiempos de su ejecución por lo que para este fin se requisita el formato PbRM-02a “Calendarización de Metas de actividad”, el cual tiene por objeto identificar trimestralmente las cantidades de las metas programadas anuales por proyecto, mismas que fueron planteadas en el formato PbR-01c; en este formato se identifica el compromiso de fechas en que se realizarán las metas.</w:t>
      </w:r>
    </w:p>
    <w:p w14:paraId="0C28DE2E" w14:textId="77777777" w:rsidR="00244609" w:rsidRPr="00F40808" w:rsidRDefault="00244609" w:rsidP="00132654">
      <w:pPr>
        <w:tabs>
          <w:tab w:val="left" w:pos="1470"/>
        </w:tabs>
        <w:ind w:right="-28"/>
        <w:rPr>
          <w:rFonts w:cs="Tahoma"/>
          <w:bCs/>
          <w:color w:val="000000"/>
        </w:rPr>
      </w:pPr>
    </w:p>
    <w:p w14:paraId="07DE930C" w14:textId="4DD9B7BE" w:rsidR="009F48D6" w:rsidRPr="00F40808" w:rsidRDefault="00244609" w:rsidP="00132654">
      <w:pPr>
        <w:tabs>
          <w:tab w:val="left" w:pos="1470"/>
        </w:tabs>
        <w:ind w:right="-28"/>
        <w:rPr>
          <w:rFonts w:cs="Tahoma"/>
          <w:bCs/>
          <w:color w:val="000000"/>
        </w:rPr>
      </w:pPr>
      <w:r w:rsidRPr="00F40808">
        <w:rPr>
          <w:rFonts w:cs="Tahoma"/>
          <w:bCs/>
          <w:color w:val="000000"/>
        </w:rPr>
        <w:t xml:space="preserve">Respecto el </w:t>
      </w:r>
      <w:r w:rsidRPr="00F40808">
        <w:rPr>
          <w:rFonts w:cs="Tahoma"/>
          <w:b/>
          <w:color w:val="000000"/>
        </w:rPr>
        <w:t>PbRM 07a corresponde al Programa Anual de Obras</w:t>
      </w:r>
      <w:r w:rsidRPr="00F40808">
        <w:rPr>
          <w:rFonts w:cs="Tahoma"/>
          <w:bCs/>
          <w:color w:val="000000"/>
        </w:rPr>
        <w:t xml:space="preserve"> </w:t>
      </w:r>
      <w:r w:rsidR="007808D3" w:rsidRPr="00F40808">
        <w:rPr>
          <w:rFonts w:cs="Tahoma"/>
          <w:bCs/>
          <w:color w:val="000000"/>
        </w:rPr>
        <w:t>y e</w:t>
      </w:r>
      <w:r w:rsidR="007808D3" w:rsidRPr="00F40808">
        <w:rPr>
          <w:rFonts w:cs="Tahoma"/>
          <w:b/>
          <w:color w:val="000000"/>
        </w:rPr>
        <w:t>l PbR</w:t>
      </w:r>
      <w:r w:rsidR="005D6093" w:rsidRPr="00F40808">
        <w:rPr>
          <w:rFonts w:cs="Tahoma"/>
          <w:b/>
          <w:color w:val="000000"/>
        </w:rPr>
        <w:t>M. 07b correspondiente al Programa Anual de Obras (reparaciones y mantenimiento)</w:t>
      </w:r>
      <w:r w:rsidR="00E30FDD" w:rsidRPr="00F40808">
        <w:rPr>
          <w:rFonts w:cs="Tahoma"/>
          <w:b/>
          <w:color w:val="000000"/>
        </w:rPr>
        <w:t xml:space="preserve">. </w:t>
      </w:r>
      <w:r w:rsidR="00E30FDD" w:rsidRPr="00F40808">
        <w:rPr>
          <w:rFonts w:cs="Tahoma"/>
          <w:bCs/>
          <w:color w:val="000000"/>
        </w:rPr>
        <w:t xml:space="preserve">Deberán corresponder al importe del </w:t>
      </w:r>
      <w:r w:rsidR="00E30FDD" w:rsidRPr="00F40808">
        <w:rPr>
          <w:rFonts w:cs="Tahoma"/>
          <w:b/>
          <w:color w:val="000000"/>
        </w:rPr>
        <w:t>Capítulo 6000</w:t>
      </w:r>
      <w:r w:rsidR="00E30FDD" w:rsidRPr="00F40808">
        <w:rPr>
          <w:rFonts w:cs="Tahoma"/>
          <w:bCs/>
          <w:color w:val="000000"/>
        </w:rPr>
        <w:t xml:space="preserve"> Inversión Pública contenido en la Carátula de Presupuesto de Egresos (PbRM- 04d), </w:t>
      </w:r>
      <w:r w:rsidR="007261C9" w:rsidRPr="00F40808">
        <w:rPr>
          <w:rFonts w:cs="Tahoma"/>
          <w:bCs/>
          <w:color w:val="000000"/>
        </w:rPr>
        <w:t xml:space="preserve">los cuales tienen el propósito de que los entes municipales tengan mayor facilidad en el manejo de los documentos que integran la Ley de Ingresos Municipal y el Presupuesto de Egresos Municipal, adicionalmente a la información impresa se deberá anexar información en archivos electrónicos atendiendo los lineamientos y disposiciones que establezca el OSFEM, </w:t>
      </w:r>
      <w:r w:rsidR="007F7A8D" w:rsidRPr="00F40808">
        <w:rPr>
          <w:rFonts w:cs="Tahoma"/>
          <w:bCs/>
          <w:color w:val="000000"/>
        </w:rPr>
        <w:t>los</w:t>
      </w:r>
      <w:r w:rsidR="009F48D6" w:rsidRPr="00F40808">
        <w:rPr>
          <w:rFonts w:cs="Tahoma"/>
          <w:bCs/>
          <w:color w:val="000000"/>
        </w:rPr>
        <w:t xml:space="preserve"> cual</w:t>
      </w:r>
      <w:r w:rsidR="007F7A8D" w:rsidRPr="00F40808">
        <w:rPr>
          <w:rFonts w:cs="Tahoma"/>
          <w:bCs/>
          <w:color w:val="000000"/>
        </w:rPr>
        <w:t>es</w:t>
      </w:r>
      <w:r w:rsidR="009F48D6" w:rsidRPr="00F40808">
        <w:rPr>
          <w:rFonts w:cs="Tahoma"/>
          <w:bCs/>
          <w:color w:val="000000"/>
        </w:rPr>
        <w:t xml:space="preserve"> debe</w:t>
      </w:r>
      <w:r w:rsidR="007F7A8D" w:rsidRPr="00F40808">
        <w:rPr>
          <w:rFonts w:cs="Tahoma"/>
          <w:bCs/>
          <w:color w:val="000000"/>
        </w:rPr>
        <w:t>n</w:t>
      </w:r>
      <w:r w:rsidR="009F48D6" w:rsidRPr="00F40808">
        <w:rPr>
          <w:rFonts w:cs="Tahoma"/>
          <w:bCs/>
          <w:color w:val="000000"/>
        </w:rPr>
        <w:t xml:space="preserve"> contar con las siguientes características; </w:t>
      </w:r>
    </w:p>
    <w:p w14:paraId="66CCFD72" w14:textId="77777777" w:rsidR="009F48D6" w:rsidRPr="00F40808" w:rsidRDefault="009F48D6" w:rsidP="00132654">
      <w:pPr>
        <w:tabs>
          <w:tab w:val="left" w:pos="1470"/>
        </w:tabs>
        <w:ind w:right="-28"/>
        <w:rPr>
          <w:rFonts w:cs="Tahoma"/>
          <w:bCs/>
          <w:color w:val="000000"/>
        </w:rPr>
      </w:pPr>
    </w:p>
    <w:p w14:paraId="37686492" w14:textId="3C2AAE3A" w:rsidR="009F48D6" w:rsidRPr="00F40808" w:rsidRDefault="00267F20" w:rsidP="00267F20">
      <w:pPr>
        <w:tabs>
          <w:tab w:val="left" w:pos="1470"/>
        </w:tabs>
        <w:ind w:right="-28"/>
        <w:jc w:val="center"/>
        <w:rPr>
          <w:rFonts w:cs="Tahoma"/>
          <w:bCs/>
          <w:color w:val="000000"/>
        </w:rPr>
      </w:pPr>
      <w:r w:rsidRPr="00F40808">
        <w:rPr>
          <w:rFonts w:cs="Tahoma"/>
          <w:bCs/>
          <w:noProof/>
          <w:color w:val="000000"/>
          <w:lang w:val="es-MX"/>
        </w:rPr>
        <w:lastRenderedPageBreak/>
        <w:drawing>
          <wp:inline distT="0" distB="0" distL="0" distR="0" wp14:anchorId="4C6AB2F9" wp14:editId="24D3D876">
            <wp:extent cx="5227100" cy="3465195"/>
            <wp:effectExtent l="0" t="0" r="0" b="1905"/>
            <wp:docPr id="167446855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468551" name="Imagen 1" descr="Imagen que contiene Interfaz de usuario gráfica&#10;&#10;Descripción generada automáticamente"/>
                    <pic:cNvPicPr/>
                  </pic:nvPicPr>
                  <pic:blipFill>
                    <a:blip r:embed="rId8"/>
                    <a:stretch>
                      <a:fillRect/>
                    </a:stretch>
                  </pic:blipFill>
                  <pic:spPr>
                    <a:xfrm>
                      <a:off x="0" y="0"/>
                      <a:ext cx="5246223" cy="3477872"/>
                    </a:xfrm>
                    <a:prstGeom prst="rect">
                      <a:avLst/>
                    </a:prstGeom>
                  </pic:spPr>
                </pic:pic>
              </a:graphicData>
            </a:graphic>
          </wp:inline>
        </w:drawing>
      </w:r>
    </w:p>
    <w:p w14:paraId="38930203" w14:textId="77777777" w:rsidR="009E7C5C" w:rsidRPr="00F40808" w:rsidRDefault="009E7C5C" w:rsidP="009E7C5C">
      <w:pPr>
        <w:rPr>
          <w:rFonts w:cs="Tahoma"/>
          <w:bCs/>
          <w:color w:val="000000"/>
        </w:rPr>
      </w:pPr>
    </w:p>
    <w:p w14:paraId="21F65652" w14:textId="49A559EF" w:rsidR="00E35EF9" w:rsidRPr="00F40808" w:rsidRDefault="00E35EF9" w:rsidP="00E35EF9">
      <w:pPr>
        <w:jc w:val="center"/>
        <w:rPr>
          <w:rFonts w:cs="Tahoma"/>
          <w:bCs/>
          <w:color w:val="000000"/>
        </w:rPr>
      </w:pPr>
      <w:r w:rsidRPr="00F40808">
        <w:rPr>
          <w:rFonts w:cs="Tahoma"/>
          <w:bCs/>
          <w:noProof/>
          <w:color w:val="000000"/>
          <w:lang w:val="es-MX"/>
        </w:rPr>
        <w:drawing>
          <wp:inline distT="0" distB="0" distL="0" distR="0" wp14:anchorId="6778116B" wp14:editId="2C4F70C4">
            <wp:extent cx="5253874" cy="3148330"/>
            <wp:effectExtent l="0" t="0" r="4445" b="0"/>
            <wp:docPr id="1521205696" name="Imagen 1" descr="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205696" name="Imagen 1" descr="Aplicación, Tabla&#10;&#10;Descripción generada automáticamente"/>
                    <pic:cNvPicPr/>
                  </pic:nvPicPr>
                  <pic:blipFill>
                    <a:blip r:embed="rId9"/>
                    <a:stretch>
                      <a:fillRect/>
                    </a:stretch>
                  </pic:blipFill>
                  <pic:spPr>
                    <a:xfrm>
                      <a:off x="0" y="0"/>
                      <a:ext cx="5257125" cy="3150278"/>
                    </a:xfrm>
                    <a:prstGeom prst="rect">
                      <a:avLst/>
                    </a:prstGeom>
                  </pic:spPr>
                </pic:pic>
              </a:graphicData>
            </a:graphic>
          </wp:inline>
        </w:drawing>
      </w:r>
    </w:p>
    <w:p w14:paraId="58072C60" w14:textId="77777777" w:rsidR="00BF5ED9" w:rsidRPr="00F40808" w:rsidRDefault="009E7C5C" w:rsidP="007F7A8D">
      <w:pPr>
        <w:tabs>
          <w:tab w:val="left" w:pos="1200"/>
        </w:tabs>
        <w:rPr>
          <w:rFonts w:cs="Tahoma"/>
        </w:rPr>
      </w:pPr>
      <w:r w:rsidRPr="00F40808">
        <w:rPr>
          <w:rFonts w:cs="Tahoma"/>
        </w:rPr>
        <w:tab/>
      </w:r>
    </w:p>
    <w:p w14:paraId="3EB05805" w14:textId="77777777" w:rsidR="00BF5ED9" w:rsidRPr="00F40808" w:rsidRDefault="00BF5ED9" w:rsidP="007F7A8D">
      <w:pPr>
        <w:tabs>
          <w:tab w:val="left" w:pos="1200"/>
        </w:tabs>
        <w:rPr>
          <w:rFonts w:cs="Tahoma"/>
        </w:rPr>
      </w:pPr>
    </w:p>
    <w:p w14:paraId="04FD4E6C" w14:textId="2C4610C4" w:rsidR="00BF5ED9" w:rsidRPr="00F40808" w:rsidRDefault="00BF5ED9" w:rsidP="00BF5ED9">
      <w:pPr>
        <w:tabs>
          <w:tab w:val="left" w:pos="1200"/>
        </w:tabs>
        <w:jc w:val="center"/>
        <w:rPr>
          <w:rFonts w:cs="Tahoma"/>
        </w:rPr>
      </w:pPr>
      <w:r w:rsidRPr="00F40808">
        <w:rPr>
          <w:rFonts w:cs="Tahoma"/>
          <w:noProof/>
          <w:lang w:val="es-MX"/>
        </w:rPr>
        <w:drawing>
          <wp:inline distT="0" distB="0" distL="0" distR="0" wp14:anchorId="16FDF1AB" wp14:editId="2B8D0012">
            <wp:extent cx="5033010" cy="3313909"/>
            <wp:effectExtent l="0" t="0" r="0" b="1270"/>
            <wp:docPr id="1782199585"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199585" name="Imagen 1" descr="Texto&#10;&#10;Descripción generada automáticamente con confianza media"/>
                    <pic:cNvPicPr/>
                  </pic:nvPicPr>
                  <pic:blipFill>
                    <a:blip r:embed="rId10"/>
                    <a:stretch>
                      <a:fillRect/>
                    </a:stretch>
                  </pic:blipFill>
                  <pic:spPr>
                    <a:xfrm>
                      <a:off x="0" y="0"/>
                      <a:ext cx="5035033" cy="3315241"/>
                    </a:xfrm>
                    <a:prstGeom prst="rect">
                      <a:avLst/>
                    </a:prstGeom>
                  </pic:spPr>
                </pic:pic>
              </a:graphicData>
            </a:graphic>
          </wp:inline>
        </w:drawing>
      </w:r>
    </w:p>
    <w:p w14:paraId="2C4FB081" w14:textId="77777777" w:rsidR="00BF5ED9" w:rsidRPr="00F40808" w:rsidRDefault="00BF5ED9" w:rsidP="007F7A8D">
      <w:pPr>
        <w:tabs>
          <w:tab w:val="left" w:pos="1200"/>
        </w:tabs>
        <w:rPr>
          <w:rFonts w:cs="Tahoma"/>
        </w:rPr>
      </w:pPr>
    </w:p>
    <w:p w14:paraId="7EB3B67F" w14:textId="46F1261B" w:rsidR="00BC3E28" w:rsidRPr="00F40808" w:rsidRDefault="009E7C5C" w:rsidP="00BF5ED9">
      <w:pPr>
        <w:tabs>
          <w:tab w:val="left" w:pos="1200"/>
        </w:tabs>
        <w:jc w:val="center"/>
        <w:rPr>
          <w:rFonts w:cs="Tahoma"/>
        </w:rPr>
      </w:pPr>
      <w:r w:rsidRPr="00F40808">
        <w:rPr>
          <w:rFonts w:cs="Tahoma"/>
          <w:noProof/>
          <w:lang w:val="es-MX"/>
        </w:rPr>
        <w:drawing>
          <wp:inline distT="0" distB="0" distL="0" distR="0" wp14:anchorId="38A5F3E6" wp14:editId="01463718">
            <wp:extent cx="4670575" cy="3049283"/>
            <wp:effectExtent l="0" t="0" r="0" b="0"/>
            <wp:docPr id="1158089453" name="Imagen 1" descr="Interfaz de usuario gráfica,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089453" name="Imagen 1" descr="Interfaz de usuario gráfica, Tabla&#10;&#10;Descripción generada automáticamente con confianza media"/>
                    <pic:cNvPicPr/>
                  </pic:nvPicPr>
                  <pic:blipFill>
                    <a:blip r:embed="rId11"/>
                    <a:stretch>
                      <a:fillRect/>
                    </a:stretch>
                  </pic:blipFill>
                  <pic:spPr>
                    <a:xfrm>
                      <a:off x="0" y="0"/>
                      <a:ext cx="4680825" cy="3055975"/>
                    </a:xfrm>
                    <a:prstGeom prst="rect">
                      <a:avLst/>
                    </a:prstGeom>
                  </pic:spPr>
                </pic:pic>
              </a:graphicData>
            </a:graphic>
          </wp:inline>
        </w:drawing>
      </w:r>
    </w:p>
    <w:p w14:paraId="13104F55" w14:textId="77777777" w:rsidR="009E7C5C" w:rsidRPr="00F40808" w:rsidRDefault="009E7C5C" w:rsidP="00132654">
      <w:pPr>
        <w:tabs>
          <w:tab w:val="left" w:pos="1470"/>
        </w:tabs>
        <w:ind w:right="-28"/>
        <w:rPr>
          <w:rFonts w:cs="Tahoma"/>
          <w:bCs/>
          <w:color w:val="000000"/>
        </w:rPr>
      </w:pPr>
    </w:p>
    <w:p w14:paraId="07B727BE" w14:textId="77777777" w:rsidR="00132654" w:rsidRPr="00F40808" w:rsidRDefault="00132654" w:rsidP="00132654">
      <w:pPr>
        <w:rPr>
          <w:rFonts w:eastAsia="Times New Roman" w:cs="Tahoma"/>
          <w:bCs/>
          <w:szCs w:val="24"/>
          <w:lang w:val="es-ES" w:eastAsia="es-ES"/>
        </w:rPr>
      </w:pPr>
      <w:r w:rsidRPr="00F40808">
        <w:lastRenderedPageBreak/>
        <w:t xml:space="preserve">Atento a lo anterior, el </w:t>
      </w:r>
      <w:r w:rsidRPr="00F40808">
        <w:rPr>
          <w:rFonts w:eastAsia="Times New Roman" w:cs="Tahoma"/>
          <w:bCs/>
          <w:szCs w:val="24"/>
          <w:lang w:val="es-ES" w:eastAsia="es-ES"/>
        </w:rPr>
        <w:t xml:space="preserve">artículo 4° de la Ley de Transparencia y Acceso a la Información Pública del Estado de México y Municipios, establece que </w:t>
      </w:r>
      <w:r w:rsidRPr="00F40808">
        <w:rPr>
          <w:rFonts w:eastAsia="Times New Roman" w:cs="Tahoma"/>
          <w:b/>
          <w:bCs/>
          <w:szCs w:val="24"/>
          <w:lang w:val="es-ES" w:eastAsia="es-ES"/>
        </w:rPr>
        <w:t>toda la información que sea generada, obtenida, adquirida, transformada, administrada o se encuentre en posesión de los Sujetos Obligados, reviste el carácter de pública y, por tanto, debe ser accesible a cualquier persona</w:t>
      </w:r>
      <w:r w:rsidRPr="00F40808">
        <w:rPr>
          <w:rFonts w:eastAsia="Times New Roman" w:cs="Tahoma"/>
          <w:bCs/>
          <w:szCs w:val="24"/>
          <w:lang w:val="es-ES" w:eastAsia="es-ES"/>
        </w:rPr>
        <w:t>.</w:t>
      </w:r>
    </w:p>
    <w:p w14:paraId="2FF818C2" w14:textId="77777777" w:rsidR="00132654" w:rsidRPr="00F40808" w:rsidRDefault="00132654" w:rsidP="00132654">
      <w:pPr>
        <w:rPr>
          <w:rFonts w:eastAsia="Times New Roman" w:cs="Tahoma"/>
          <w:bCs/>
          <w:szCs w:val="24"/>
          <w:lang w:val="es-ES" w:eastAsia="es-ES"/>
        </w:rPr>
      </w:pPr>
    </w:p>
    <w:p w14:paraId="5BDA9CF9" w14:textId="77777777" w:rsidR="00132654" w:rsidRPr="00F40808" w:rsidRDefault="00132654" w:rsidP="00132654">
      <w:pPr>
        <w:rPr>
          <w:rFonts w:eastAsia="Times New Roman" w:cs="Tahoma"/>
          <w:bCs/>
          <w:szCs w:val="24"/>
          <w:lang w:val="es-ES" w:eastAsia="es-ES"/>
        </w:rPr>
      </w:pPr>
      <w:r w:rsidRPr="00F40808">
        <w:rPr>
          <w:rFonts w:eastAsia="Times New Roman" w:cs="Tahoma"/>
          <w:bCs/>
          <w:szCs w:val="24"/>
          <w:lang w:val="es-ES" w:eastAsia="es-ES"/>
        </w:rPr>
        <w:t>Además, el artículo 18 de la Ley de Transparencia y Acceso a la Información Pública del Estado de México y Municipios, contempla que los sujetos obligados deberán documentar todo acto que derive del ejercicio de sus facultades, competencias o funciones.</w:t>
      </w:r>
    </w:p>
    <w:p w14:paraId="6CC4D5C5" w14:textId="77777777" w:rsidR="00132654" w:rsidRPr="00F40808" w:rsidRDefault="00132654" w:rsidP="00132654">
      <w:pPr>
        <w:rPr>
          <w:rFonts w:eastAsia="Times New Roman" w:cs="Tahoma"/>
          <w:bCs/>
          <w:szCs w:val="24"/>
          <w:lang w:val="es-ES" w:eastAsia="es-ES"/>
        </w:rPr>
      </w:pPr>
    </w:p>
    <w:p w14:paraId="2BB9773B" w14:textId="05DAE094" w:rsidR="00D70A72" w:rsidRPr="00F40808" w:rsidRDefault="00D70A72" w:rsidP="00D70A72">
      <w:pPr>
        <w:rPr>
          <w:rFonts w:eastAsia="Palatino Linotype" w:cs="Palatino Linotype"/>
        </w:rPr>
      </w:pPr>
      <w:r w:rsidRPr="00F40808">
        <w:rPr>
          <w:rFonts w:eastAsia="Palatino Linotype" w:cs="Palatino Linotype"/>
        </w:rPr>
        <w:t>Respecto el requerimiento del “</w:t>
      </w:r>
      <w:r w:rsidRPr="00F40808">
        <w:rPr>
          <w:rFonts w:eastAsia="Palatino Linotype" w:cs="Palatino Linotype"/>
          <w:i/>
        </w:rPr>
        <w:t>gasto real</w:t>
      </w:r>
      <w:r w:rsidRPr="00F40808">
        <w:rPr>
          <w:rFonts w:eastAsia="Palatino Linotype" w:cs="Palatino Linotype"/>
        </w:rPr>
        <w:t>”, se debe establecer que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para el Proceso de Planeación, Programación, Presupuestación y Evaluación en la Administración Pública”</w:t>
      </w:r>
      <w:r w:rsidRPr="00F40808">
        <w:rPr>
          <w:rFonts w:eastAsia="Palatino Linotype" w:cs="Palatino Linotype"/>
          <w:vertAlign w:val="superscript"/>
        </w:rPr>
        <w:footnoteReference w:id="6"/>
      </w:r>
      <w:r w:rsidRPr="00F40808">
        <w:rPr>
          <w:rFonts w:eastAsia="Palatino Linotype" w:cs="Palatino Linotype"/>
        </w:rPr>
        <w:t>,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0089D533" w14:textId="7C8D1FF4" w:rsidR="00D70A72" w:rsidRPr="00F40808" w:rsidRDefault="00D70A72" w:rsidP="00D70A72">
      <w:pPr>
        <w:ind w:left="567" w:right="616" w:hanging="9"/>
        <w:rPr>
          <w:rFonts w:eastAsia="Palatino Linotype" w:cs="Palatino Linotype"/>
          <w:i/>
          <w:sz w:val="22"/>
        </w:rPr>
      </w:pPr>
      <w:r w:rsidRPr="00F40808">
        <w:rPr>
          <w:rFonts w:eastAsia="Palatino Linotype" w:cs="Palatino Linotype"/>
          <w:b/>
          <w:i/>
          <w:sz w:val="22"/>
        </w:rPr>
        <w:lastRenderedPageBreak/>
        <w:t xml:space="preserve">“REGISTRO CONTABLE </w:t>
      </w:r>
      <w:r w:rsidRPr="00F40808">
        <w:rPr>
          <w:rFonts w:eastAsia="Palatino Linotype" w:cs="Palatino Linotype"/>
          <w:i/>
          <w:sz w:val="22"/>
        </w:rPr>
        <w:t>Asiento que se realiza en los libros de contabilidad de las actividades relacionadas con el ingreso y egresos de un ente económico.”</w:t>
      </w:r>
    </w:p>
    <w:p w14:paraId="4D0FCE86" w14:textId="77777777" w:rsidR="00D70A72" w:rsidRPr="00F40808" w:rsidRDefault="00D70A72" w:rsidP="00D70A72">
      <w:pPr>
        <w:ind w:left="567" w:right="616" w:hanging="9"/>
        <w:rPr>
          <w:rFonts w:eastAsia="Palatino Linotype" w:cs="Palatino Linotype"/>
          <w:b/>
          <w:i/>
          <w:sz w:val="22"/>
        </w:rPr>
      </w:pPr>
    </w:p>
    <w:p w14:paraId="11058103" w14:textId="3748FB3B" w:rsidR="00D70A72" w:rsidRPr="00F40808" w:rsidRDefault="00D70A72" w:rsidP="00D70A72">
      <w:pPr>
        <w:ind w:left="567" w:right="616" w:hanging="9"/>
        <w:rPr>
          <w:rFonts w:eastAsia="Palatino Linotype" w:cs="Palatino Linotype"/>
          <w:b/>
          <w:i/>
          <w:sz w:val="22"/>
        </w:rPr>
      </w:pPr>
      <w:r w:rsidRPr="00F40808">
        <w:rPr>
          <w:rFonts w:eastAsia="Palatino Linotype" w:cs="Palatino Linotype"/>
          <w:b/>
          <w:i/>
          <w:sz w:val="22"/>
        </w:rPr>
        <w:t xml:space="preserve">“REGISTRO PRESUPUESTARIO </w:t>
      </w:r>
      <w:r w:rsidRPr="00F40808">
        <w:rPr>
          <w:rFonts w:eastAsia="Palatino Linotype" w:cs="Palatino Linotype"/>
          <w:i/>
          <w:sz w:val="22"/>
        </w:rPr>
        <w:t>Asiento contable de las erogaciones realizadas por las dependencias y entidades con relación a la asignación, modificación y ejercicio de los recursos presupuestarios que se les hayan autorizado.”</w:t>
      </w:r>
    </w:p>
    <w:p w14:paraId="1B330EF5" w14:textId="77777777" w:rsidR="00D70A72" w:rsidRPr="00F40808" w:rsidRDefault="00D70A72" w:rsidP="00D70A72">
      <w:pPr>
        <w:ind w:right="51"/>
        <w:rPr>
          <w:rFonts w:eastAsia="Palatino Linotype" w:cs="Palatino Linotype"/>
        </w:rPr>
      </w:pPr>
    </w:p>
    <w:p w14:paraId="10D18FB1" w14:textId="77777777" w:rsidR="00D70A72" w:rsidRPr="00F40808" w:rsidRDefault="00D70A72" w:rsidP="00D70A72">
      <w:pPr>
        <w:ind w:right="51"/>
        <w:rPr>
          <w:rFonts w:eastAsia="Palatino Linotype" w:cs="Palatino Linotype"/>
        </w:rPr>
      </w:pPr>
      <w:r w:rsidRPr="00F40808">
        <w:rPr>
          <w:rFonts w:eastAsia="Palatino Linotype" w:cs="Palatino Linotype"/>
        </w:rPr>
        <w:t>Como bien se desprende de las definiciones, los registros contables y presupuestarios son asientos o anotaciones contables que se realizan tanto de los ingresos como de los egresos, a decir se trata de un control financiero en el que se reconoce la obligación del Tesorero de llevar dicho registro.</w:t>
      </w:r>
    </w:p>
    <w:p w14:paraId="5282461A" w14:textId="77777777" w:rsidR="00D70A72" w:rsidRPr="00F40808" w:rsidRDefault="00D70A72" w:rsidP="00D70A72">
      <w:pPr>
        <w:rPr>
          <w:rFonts w:eastAsia="Palatino Linotype" w:cs="Palatino Linotype"/>
        </w:rPr>
      </w:pPr>
    </w:p>
    <w:p w14:paraId="7AAFFE15" w14:textId="7195F965" w:rsidR="00D70A72" w:rsidRPr="00F40808" w:rsidRDefault="00D70A72" w:rsidP="00D70A72">
      <w:pPr>
        <w:rPr>
          <w:rFonts w:eastAsia="Palatino Linotype" w:cs="Palatino Linotype"/>
        </w:rPr>
      </w:pPr>
      <w:r w:rsidRPr="00F40808">
        <w:rPr>
          <w:rFonts w:eastAsia="Palatino Linotype" w:cs="Palatino Linotype"/>
        </w:rPr>
        <w:t xml:space="preserve">Por otra parte, se establece que el sistema de contabilidad sobre base acumulativa total se sustentará en los principios de contabilidad gubernamental. 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 </w:t>
      </w:r>
    </w:p>
    <w:p w14:paraId="4CB36F81" w14:textId="77777777" w:rsidR="00D70A72" w:rsidRPr="00F40808" w:rsidRDefault="00D70A72" w:rsidP="00132654">
      <w:pPr>
        <w:rPr>
          <w:rFonts w:eastAsia="Times New Roman" w:cs="Tahoma"/>
          <w:bCs/>
          <w:szCs w:val="24"/>
          <w:lang w:val="es-ES" w:eastAsia="es-ES"/>
        </w:rPr>
      </w:pPr>
    </w:p>
    <w:p w14:paraId="1AC975B7" w14:textId="41BC2A20" w:rsidR="00D70A72" w:rsidRPr="00F40808" w:rsidRDefault="00D70A72" w:rsidP="00132654">
      <w:pPr>
        <w:rPr>
          <w:rFonts w:cs="Tahoma"/>
          <w:color w:val="000000"/>
        </w:rPr>
      </w:pPr>
      <w:r w:rsidRPr="00F40808">
        <w:rPr>
          <w:rFonts w:eastAsia="Times New Roman" w:cs="Tahoma"/>
          <w:bCs/>
          <w:szCs w:val="24"/>
          <w:lang w:val="es-ES" w:eastAsia="es-ES"/>
        </w:rPr>
        <w:t xml:space="preserve">En este sentido el </w:t>
      </w:r>
      <w:r w:rsidR="008E3D6F" w:rsidRPr="00F40808">
        <w:rPr>
          <w:rFonts w:eastAsia="Times New Roman" w:cs="Tahoma"/>
          <w:bCs/>
          <w:szCs w:val="24"/>
          <w:lang w:val="es-ES" w:eastAsia="es-ES"/>
        </w:rPr>
        <w:t>presupuesto aprobado en el</w:t>
      </w:r>
      <w:r w:rsidRPr="00F40808">
        <w:rPr>
          <w:rFonts w:eastAsia="Times New Roman" w:cs="Tahoma"/>
          <w:bCs/>
          <w:szCs w:val="24"/>
          <w:lang w:val="es-ES" w:eastAsia="es-ES"/>
        </w:rPr>
        <w:t xml:space="preserve"> </w:t>
      </w:r>
      <w:r w:rsidRPr="00F40808">
        <w:rPr>
          <w:rFonts w:cs="Tahoma"/>
          <w:b/>
          <w:color w:val="000000"/>
        </w:rPr>
        <w:t xml:space="preserve">PbRM 07a </w:t>
      </w:r>
      <w:r w:rsidRPr="00F40808">
        <w:rPr>
          <w:rFonts w:cs="Tahoma"/>
          <w:color w:val="000000"/>
        </w:rPr>
        <w:t xml:space="preserve">corresponde al </w:t>
      </w:r>
      <w:r w:rsidR="008E3D6F" w:rsidRPr="00F40808">
        <w:rPr>
          <w:rFonts w:cs="Tahoma"/>
          <w:color w:val="000000"/>
        </w:rPr>
        <w:t>“</w:t>
      </w:r>
      <w:r w:rsidRPr="00F40808">
        <w:rPr>
          <w:rFonts w:cs="Tahoma"/>
          <w:color w:val="000000"/>
        </w:rPr>
        <w:t>gasto proyectado</w:t>
      </w:r>
      <w:r w:rsidR="008E3D6F" w:rsidRPr="00F40808">
        <w:rPr>
          <w:rFonts w:cs="Tahoma"/>
          <w:color w:val="000000"/>
        </w:rPr>
        <w:t>”</w:t>
      </w:r>
      <w:r w:rsidRPr="00F40808">
        <w:rPr>
          <w:rFonts w:cs="Tahoma"/>
          <w:color w:val="000000"/>
        </w:rPr>
        <w:t xml:space="preserve"> por el Ayuntamiento para realizar obras sin embargo ocasionalmente dicho gasto supera lo proyectado en el Programa Anual de Obras por lo que es  de recordarse que el requerimiento del recurrente corresponde al </w:t>
      </w:r>
      <w:r w:rsidRPr="00F40808">
        <w:rPr>
          <w:rFonts w:cs="Tahoma"/>
          <w:color w:val="000000"/>
          <w:u w:val="single"/>
        </w:rPr>
        <w:t>gasto final</w:t>
      </w:r>
      <w:r w:rsidRPr="00F40808">
        <w:rPr>
          <w:rFonts w:cs="Tahoma"/>
          <w:color w:val="000000"/>
        </w:rPr>
        <w:t xml:space="preserve"> que se efectuó para las </w:t>
      </w:r>
      <w:r w:rsidRPr="00F40808">
        <w:rPr>
          <w:rFonts w:cs="Tahoma"/>
          <w:color w:val="000000"/>
        </w:rPr>
        <w:lastRenderedPageBreak/>
        <w:t xml:space="preserve">obras realizadas por el Ayuntamiento. Entonces resulta oportuno traer a colación el Criterio 016/2017 emitido por el Máximo Órgano Garante en los términos siguientes; </w:t>
      </w:r>
    </w:p>
    <w:p w14:paraId="7FCE3F3D" w14:textId="77777777" w:rsidR="00D70A72" w:rsidRPr="00F40808" w:rsidRDefault="00D70A72" w:rsidP="00132654">
      <w:pPr>
        <w:rPr>
          <w:rFonts w:eastAsia="Times New Roman" w:cs="Tahoma"/>
          <w:bCs/>
          <w:szCs w:val="24"/>
          <w:lang w:val="es-ES" w:eastAsia="es-ES"/>
        </w:rPr>
      </w:pPr>
    </w:p>
    <w:p w14:paraId="4DE7925C" w14:textId="77777777" w:rsidR="00D70A72" w:rsidRPr="00F40808" w:rsidRDefault="00D70A72" w:rsidP="00D70A72">
      <w:pPr>
        <w:spacing w:line="240" w:lineRule="auto"/>
        <w:ind w:left="708"/>
        <w:rPr>
          <w:rFonts w:cs="Arial"/>
          <w:i/>
          <w:sz w:val="22"/>
        </w:rPr>
      </w:pPr>
      <w:r w:rsidRPr="00F40808">
        <w:rPr>
          <w:rFonts w:cs="Arial"/>
          <w:b/>
          <w:bCs/>
          <w:i/>
          <w:sz w:val="22"/>
        </w:rPr>
        <w:t xml:space="preserve">Expresión documental. </w:t>
      </w:r>
      <w:r w:rsidRPr="00F40808">
        <w:rPr>
          <w:rFonts w:cs="Arial"/>
          <w:bCs/>
          <w:i/>
          <w:sz w:val="22"/>
        </w:rPr>
        <w:t>Cuando</w:t>
      </w:r>
      <w:r w:rsidRPr="00F40808">
        <w:rPr>
          <w:rFonts w:cs="Arial"/>
          <w:i/>
          <w:color w:val="000000" w:themeColor="text1"/>
          <w:sz w:val="22"/>
          <w:lang w:val="es-ES"/>
        </w:rPr>
        <w:t xml:space="preserve"> los particulares presenten solicitudes de acceso a la información sin identificar de forma precisa la documentación que pudiera contener la información de su interés, </w:t>
      </w:r>
      <w:r w:rsidRPr="00F40808">
        <w:rPr>
          <w:rFonts w:cs="Arial"/>
          <w:i/>
          <w:sz w:val="22"/>
        </w:rPr>
        <w:t>o bien, la solicitud constituya una consulta,</w:t>
      </w:r>
      <w:r w:rsidRPr="00F40808">
        <w:rPr>
          <w:rFonts w:cs="Arial"/>
          <w:i/>
          <w:color w:val="000000" w:themeColor="text1"/>
          <w:sz w:val="22"/>
          <w:lang w:val="es-ES"/>
        </w:rPr>
        <w:t xml:space="preserve"> pero la respuesta pudiera obrar en algún documento en poder de los sujetos obligados, éstos deben dar a dichas solicitudes una interpretación que les otorgue una expresión documental. </w:t>
      </w:r>
    </w:p>
    <w:p w14:paraId="374365DD" w14:textId="77777777" w:rsidR="00D70A72" w:rsidRPr="00F40808" w:rsidRDefault="00D70A72" w:rsidP="00D70A72">
      <w:pPr>
        <w:spacing w:line="240" w:lineRule="auto"/>
        <w:rPr>
          <w:rFonts w:cs="Arial"/>
          <w:i/>
          <w:color w:val="000000"/>
          <w:sz w:val="22"/>
        </w:rPr>
      </w:pPr>
    </w:p>
    <w:p w14:paraId="2FA7A1C8" w14:textId="77777777" w:rsidR="00D70A72" w:rsidRPr="00F40808" w:rsidRDefault="00D70A72" w:rsidP="00D70A72">
      <w:pPr>
        <w:ind w:firstLine="708"/>
        <w:rPr>
          <w:rFonts w:cs="Arial"/>
          <w:b/>
          <w:i/>
          <w:sz w:val="22"/>
        </w:rPr>
      </w:pPr>
      <w:r w:rsidRPr="00F40808">
        <w:rPr>
          <w:rFonts w:cs="Arial"/>
          <w:b/>
          <w:i/>
          <w:sz w:val="22"/>
        </w:rPr>
        <w:t>Precedentes:</w:t>
      </w:r>
    </w:p>
    <w:p w14:paraId="4CF64EF8" w14:textId="77777777" w:rsidR="00D70A72" w:rsidRPr="00F40808" w:rsidRDefault="00D70A72" w:rsidP="00D70A72">
      <w:pPr>
        <w:pStyle w:val="Prrafodelista"/>
        <w:numPr>
          <w:ilvl w:val="0"/>
          <w:numId w:val="19"/>
        </w:numPr>
        <w:spacing w:line="240" w:lineRule="auto"/>
        <w:rPr>
          <w:rFonts w:cs="Arial"/>
          <w:i/>
          <w:color w:val="000000"/>
          <w:sz w:val="22"/>
        </w:rPr>
      </w:pPr>
      <w:r w:rsidRPr="00F40808">
        <w:rPr>
          <w:rFonts w:cs="Arial"/>
          <w:i/>
          <w:color w:val="000000" w:themeColor="text1"/>
          <w:sz w:val="22"/>
        </w:rPr>
        <w:t xml:space="preserve">Acceso a la información pública. RRA 0774/16. Sesión del 31 de agosto de 2016. Votación por unanimidad. </w:t>
      </w:r>
      <w:r w:rsidRPr="00F40808">
        <w:rPr>
          <w:rFonts w:eastAsia="Arial" w:cs="Arial"/>
          <w:i/>
          <w:sz w:val="22"/>
        </w:rPr>
        <w:t>Sin votos disidentes o particulares.</w:t>
      </w:r>
      <w:r w:rsidRPr="00F40808">
        <w:rPr>
          <w:rFonts w:cs="Arial"/>
          <w:i/>
          <w:color w:val="000000" w:themeColor="text1"/>
          <w:sz w:val="22"/>
        </w:rPr>
        <w:t xml:space="preserve"> Secretaría de Salud. Comisionada Ponente María Patricia </w:t>
      </w:r>
      <w:proofErr w:type="spellStart"/>
      <w:r w:rsidRPr="00F40808">
        <w:rPr>
          <w:rFonts w:cs="Arial"/>
          <w:i/>
          <w:color w:val="000000" w:themeColor="text1"/>
          <w:sz w:val="22"/>
        </w:rPr>
        <w:t>Kurczyn</w:t>
      </w:r>
      <w:proofErr w:type="spellEnd"/>
      <w:r w:rsidRPr="00F40808">
        <w:rPr>
          <w:rFonts w:cs="Arial"/>
          <w:i/>
          <w:color w:val="000000" w:themeColor="text1"/>
          <w:sz w:val="22"/>
        </w:rPr>
        <w:t xml:space="preserve"> Villalobos.</w:t>
      </w:r>
    </w:p>
    <w:p w14:paraId="20406DB7" w14:textId="77777777" w:rsidR="00D70A72" w:rsidRPr="00F40808" w:rsidRDefault="00D70A72" w:rsidP="00D70A72">
      <w:pPr>
        <w:pStyle w:val="Prrafodelista"/>
        <w:numPr>
          <w:ilvl w:val="0"/>
          <w:numId w:val="19"/>
        </w:numPr>
        <w:spacing w:line="240" w:lineRule="auto"/>
        <w:rPr>
          <w:rFonts w:cs="Arial"/>
          <w:i/>
          <w:color w:val="000000"/>
          <w:sz w:val="22"/>
        </w:rPr>
      </w:pPr>
      <w:r w:rsidRPr="00F40808">
        <w:rPr>
          <w:rFonts w:cs="Arial"/>
          <w:i/>
          <w:color w:val="000000" w:themeColor="text1"/>
          <w:sz w:val="22"/>
        </w:rPr>
        <w:t xml:space="preserve">Acceso a la información pública. RRA 0143/17. Sesión del 22 de febrero de 2017. Votación por unanimidad. </w:t>
      </w:r>
      <w:r w:rsidRPr="00F40808">
        <w:rPr>
          <w:rFonts w:eastAsia="Arial" w:cs="Arial"/>
          <w:i/>
          <w:sz w:val="22"/>
        </w:rPr>
        <w:t>Sin votos disidentes o particulares.</w:t>
      </w:r>
      <w:r w:rsidRPr="00F40808">
        <w:rPr>
          <w:rFonts w:cs="Arial"/>
          <w:i/>
          <w:color w:val="000000" w:themeColor="text1"/>
          <w:sz w:val="22"/>
        </w:rPr>
        <w:t xml:space="preserve"> Universidad Autónoma Agraria Antonio Narro. Comisionado Ponente Oscar Mauricio Guerra Ford. </w:t>
      </w:r>
    </w:p>
    <w:p w14:paraId="62BDD55A" w14:textId="77777777" w:rsidR="00D70A72" w:rsidRPr="00F40808" w:rsidRDefault="00D70A72" w:rsidP="00D70A72">
      <w:pPr>
        <w:pStyle w:val="Prrafodelista"/>
        <w:numPr>
          <w:ilvl w:val="0"/>
          <w:numId w:val="19"/>
        </w:numPr>
        <w:spacing w:line="240" w:lineRule="auto"/>
        <w:ind w:left="714" w:hanging="357"/>
        <w:rPr>
          <w:rFonts w:cs="Arial"/>
          <w:i/>
          <w:color w:val="000000"/>
          <w:sz w:val="22"/>
        </w:rPr>
      </w:pPr>
      <w:r w:rsidRPr="00F40808">
        <w:rPr>
          <w:rFonts w:cs="Arial"/>
          <w:i/>
          <w:color w:val="000000" w:themeColor="text1"/>
          <w:sz w:val="22"/>
        </w:rPr>
        <w:t xml:space="preserve">Acceso a la información pública. RRA 0540/17. Sesión del 08 de marzo del 2017. Votación por unanimidad. </w:t>
      </w:r>
      <w:r w:rsidRPr="00F40808">
        <w:rPr>
          <w:rFonts w:eastAsia="Arial" w:cs="Arial"/>
          <w:i/>
          <w:sz w:val="22"/>
        </w:rPr>
        <w:t>Sin votos disidentes o particulares.</w:t>
      </w:r>
      <w:r w:rsidRPr="00F40808">
        <w:rPr>
          <w:rFonts w:cs="Arial"/>
          <w:i/>
          <w:color w:val="000000" w:themeColor="text1"/>
          <w:sz w:val="22"/>
        </w:rPr>
        <w:t xml:space="preserve"> Secretaría de Economía. Comisionado Ponente Francisco Javier Acuña Llamas. </w:t>
      </w:r>
    </w:p>
    <w:p w14:paraId="5D75DC8C" w14:textId="77777777" w:rsidR="00D70A72" w:rsidRPr="00F40808" w:rsidRDefault="00D70A72" w:rsidP="00132654">
      <w:pPr>
        <w:rPr>
          <w:rFonts w:eastAsia="Times New Roman" w:cs="Tahoma"/>
          <w:bCs/>
          <w:szCs w:val="24"/>
          <w:lang w:val="es-ES" w:eastAsia="es-ES"/>
        </w:rPr>
      </w:pPr>
    </w:p>
    <w:p w14:paraId="3C4FA090" w14:textId="77777777" w:rsidR="00D70A72" w:rsidRPr="00F40808" w:rsidRDefault="00D70A72" w:rsidP="00D70A72">
      <w:pPr>
        <w:rPr>
          <w:rFonts w:eastAsia="Palatino Linotype" w:cs="Palatino Linotype"/>
        </w:rPr>
      </w:pPr>
      <w:r w:rsidRPr="00F40808">
        <w:rPr>
          <w:rFonts w:eastAsia="Palatino Linotype" w:cs="Palatino Linotype"/>
        </w:rPr>
        <w:t xml:space="preserve">Correlativo a lo anterior, es preciso referir una definición de </w:t>
      </w:r>
      <w:r w:rsidRPr="00F40808">
        <w:rPr>
          <w:rFonts w:eastAsia="Palatino Linotype" w:cs="Palatino Linotype"/>
          <w:i/>
        </w:rPr>
        <w:t>póliza contable</w:t>
      </w:r>
      <w:r w:rsidRPr="00F40808">
        <w:rPr>
          <w:rFonts w:eastAsia="Palatino Linotype" w:cs="Palatino Linotype"/>
        </w:rPr>
        <w:t>, la cual, primeramente, no está definida en el Código Financiero del Estado de México y Municipios; no obstante, el ya mencionado Glosario la define como:</w:t>
      </w:r>
    </w:p>
    <w:p w14:paraId="55CF7786" w14:textId="77777777" w:rsidR="00D70A72" w:rsidRPr="00F40808" w:rsidRDefault="00D70A72" w:rsidP="00D70A72">
      <w:pPr>
        <w:rPr>
          <w:rFonts w:asciiTheme="minorHAnsi" w:hAnsiTheme="minorHAnsi"/>
          <w:sz w:val="22"/>
        </w:rPr>
      </w:pPr>
    </w:p>
    <w:p w14:paraId="2CC60984" w14:textId="75AA3B48" w:rsidR="00D70A72" w:rsidRPr="00F40808" w:rsidRDefault="00D70A72" w:rsidP="008478D4">
      <w:pPr>
        <w:ind w:left="567" w:right="616"/>
        <w:rPr>
          <w:rFonts w:eastAsia="Palatino Linotype" w:cs="Palatino Linotype"/>
          <w:b/>
          <w:i/>
          <w:sz w:val="22"/>
        </w:rPr>
      </w:pPr>
      <w:r w:rsidRPr="00F40808">
        <w:rPr>
          <w:rFonts w:eastAsia="Palatino Linotype" w:cs="Palatino Linotype"/>
          <w:i/>
          <w:sz w:val="22"/>
        </w:rPr>
        <w:t>“</w:t>
      </w:r>
      <w:r w:rsidR="008478D4" w:rsidRPr="00F40808">
        <w:rPr>
          <w:rFonts w:eastAsia="Palatino Linotype" w:cs="Palatino Linotype"/>
          <w:b/>
          <w:i/>
          <w:sz w:val="22"/>
        </w:rPr>
        <w:t xml:space="preserve">PÓLIZA CONTABLE </w:t>
      </w:r>
      <w:r w:rsidRPr="00F40808">
        <w:rPr>
          <w:rFonts w:eastAsia="Palatino Linotype" w:cs="Palatino Linotype"/>
          <w:i/>
          <w:sz w:val="22"/>
        </w:rPr>
        <w:t xml:space="preserve">Documento en el cual se asientan en forma individual todas y cada una de las operaciones desarrolladas por una institución, así como la información necesaria para la identificación de dichas operaciones.” </w:t>
      </w:r>
    </w:p>
    <w:p w14:paraId="4467DD20" w14:textId="77777777" w:rsidR="00D70A72" w:rsidRPr="00F40808" w:rsidRDefault="00D70A72" w:rsidP="00D70A72">
      <w:pPr>
        <w:rPr>
          <w:rFonts w:eastAsia="Palatino Linotype" w:cs="Palatino Linotype"/>
        </w:rPr>
      </w:pPr>
    </w:p>
    <w:p w14:paraId="5F9AFC19" w14:textId="77777777" w:rsidR="00D70A72" w:rsidRPr="00F40808" w:rsidRDefault="00D70A72" w:rsidP="00D70A72">
      <w:pPr>
        <w:rPr>
          <w:rFonts w:eastAsia="Palatino Linotype" w:cs="Palatino Linotype"/>
          <w:i/>
          <w:sz w:val="22"/>
        </w:rPr>
      </w:pPr>
      <w:r w:rsidRPr="00F40808">
        <w:rPr>
          <w:rFonts w:eastAsia="Palatino Linotype" w:cs="Palatino Linotype"/>
        </w:rPr>
        <w:t xml:space="preserve">Así, se advierte que la </w:t>
      </w:r>
      <w:r w:rsidRPr="00F40808">
        <w:rPr>
          <w:rFonts w:eastAsia="Palatino Linotype" w:cs="Palatino Linotype"/>
          <w:i/>
        </w:rPr>
        <w:t>póliza contable</w:t>
      </w:r>
      <w:r w:rsidRPr="00F40808">
        <w:rPr>
          <w:rFonts w:eastAsia="Palatino Linotype" w:cs="Palatino Linotype"/>
        </w:rPr>
        <w:t xml:space="preserve"> constituye un registro contable y presupuestal con el que cuentan los Municipios para el registro de operaciones relacionadas con </w:t>
      </w:r>
      <w:r w:rsidRPr="00F40808">
        <w:rPr>
          <w:rFonts w:eastAsia="Palatino Linotype" w:cs="Palatino Linotype"/>
          <w:b/>
          <w:u w:val="single"/>
        </w:rPr>
        <w:t xml:space="preserve">ingresos </w:t>
      </w:r>
      <w:r w:rsidRPr="00F40808">
        <w:rPr>
          <w:rFonts w:eastAsia="Palatino Linotype" w:cs="Palatino Linotype"/>
          <w:b/>
          <w:u w:val="single"/>
        </w:rPr>
        <w:lastRenderedPageBreak/>
        <w:t>y egresos</w:t>
      </w:r>
      <w:r w:rsidRPr="00F40808">
        <w:rPr>
          <w:rFonts w:eastAsia="Palatino Linotype" w:cs="Palatino Linotype"/>
        </w:rPr>
        <w:t xml:space="preserve"> y se anexan los documentos o comprobantes que justifiquen las anotaciones y cantidades en ellas registradas, lo que permite la identificación plena de dichas operaciones.</w:t>
      </w:r>
    </w:p>
    <w:p w14:paraId="57C6455D" w14:textId="77777777" w:rsidR="00D70A72" w:rsidRPr="00F40808" w:rsidRDefault="00D70A72" w:rsidP="00D70A72">
      <w:pPr>
        <w:rPr>
          <w:rFonts w:eastAsia="Palatino Linotype" w:cs="Palatino Linotype"/>
        </w:rPr>
      </w:pPr>
    </w:p>
    <w:p w14:paraId="6C5FEB68" w14:textId="29D0F0C2" w:rsidR="00D70A72" w:rsidRPr="00F40808" w:rsidRDefault="00D70A72" w:rsidP="00D70A72">
      <w:pPr>
        <w:rPr>
          <w:rFonts w:eastAsia="Palatino Linotype" w:cs="Palatino Linotype"/>
        </w:rPr>
      </w:pPr>
      <w:r w:rsidRPr="00F40808">
        <w:rPr>
          <w:rFonts w:eastAsia="Palatino Linotype" w:cs="Palatino Linotype"/>
        </w:rPr>
        <w:t xml:space="preserve">En este sentido, </w:t>
      </w:r>
      <w:r w:rsidR="008478D4" w:rsidRPr="00F40808">
        <w:rPr>
          <w:rFonts w:eastAsia="Palatino Linotype" w:cs="Palatino Linotype"/>
        </w:rPr>
        <w:t xml:space="preserve">este Instituto advierte de manera enunciativa mas no limitativa que </w:t>
      </w:r>
      <w:r w:rsidRPr="00F40808">
        <w:rPr>
          <w:rFonts w:eastAsia="Palatino Linotype" w:cs="Palatino Linotype"/>
        </w:rPr>
        <w:t xml:space="preserve">existen diversos tipos de pólizas contables de acuerdo a las operaciones realizadas, dentro de las cuales, encontramos las </w:t>
      </w:r>
      <w:r w:rsidRPr="00F40808">
        <w:rPr>
          <w:rFonts w:eastAsia="Palatino Linotype" w:cs="Palatino Linotype"/>
          <w:b/>
          <w:i/>
        </w:rPr>
        <w:t>pólizas de egresos</w:t>
      </w:r>
      <w:r w:rsidRPr="00F40808">
        <w:rPr>
          <w:rFonts w:eastAsia="Palatino Linotype" w:cs="Palatino Linotype"/>
          <w:i/>
        </w:rPr>
        <w:t xml:space="preserve"> e ingresos</w:t>
      </w:r>
      <w:r w:rsidRPr="00F40808">
        <w:rPr>
          <w:rFonts w:eastAsia="Palatino Linotype" w:cs="Palatino Linotype"/>
        </w:rPr>
        <w:t xml:space="preserve">, </w:t>
      </w:r>
      <w:r w:rsidRPr="00F40808">
        <w:rPr>
          <w:rFonts w:eastAsia="Palatino Linotype" w:cs="Palatino Linotype"/>
          <w:b/>
        </w:rPr>
        <w:t xml:space="preserve">las primeras son aquellas en las cuales </w:t>
      </w:r>
      <w:r w:rsidRPr="00F40808">
        <w:rPr>
          <w:rFonts w:eastAsia="Palatino Linotype" w:cs="Palatino Linotype"/>
          <w:b/>
          <w:u w:val="single"/>
        </w:rPr>
        <w:t>se anotan diariamente las operaciones que representan gastos, es decir, salidas de dinero</w:t>
      </w:r>
      <w:r w:rsidRPr="00F40808">
        <w:rPr>
          <w:rFonts w:eastAsia="Palatino Linotype" w:cs="Palatino Linotype"/>
        </w:rPr>
        <w:t xml:space="preserve"> para el </w:t>
      </w:r>
      <w:r w:rsidRPr="00F40808">
        <w:rPr>
          <w:rFonts w:eastAsia="Palatino Linotype" w:cs="Palatino Linotype"/>
          <w:b/>
        </w:rPr>
        <w:t>Sujeto Obligado</w:t>
      </w:r>
      <w:r w:rsidR="008478D4" w:rsidRPr="00F40808">
        <w:rPr>
          <w:rFonts w:eastAsia="Palatino Linotype" w:cs="Palatino Linotype"/>
          <w:b/>
        </w:rPr>
        <w:t xml:space="preserve"> </w:t>
      </w:r>
      <w:r w:rsidR="008478D4" w:rsidRPr="00F40808">
        <w:rPr>
          <w:rFonts w:eastAsia="Palatino Linotype" w:cs="Palatino Linotype"/>
        </w:rPr>
        <w:t xml:space="preserve"> siendo </w:t>
      </w:r>
      <w:r w:rsidR="008E3D6F" w:rsidRPr="00F40808">
        <w:rPr>
          <w:rFonts w:eastAsia="Palatino Linotype" w:cs="Palatino Linotype"/>
        </w:rPr>
        <w:t>estás</w:t>
      </w:r>
      <w:r w:rsidR="008478D4" w:rsidRPr="00F40808">
        <w:rPr>
          <w:rFonts w:eastAsia="Palatino Linotype" w:cs="Palatino Linotype"/>
        </w:rPr>
        <w:t xml:space="preserve"> el soporte documental que podría colmar las pretensiones del recurrente</w:t>
      </w:r>
      <w:r w:rsidRPr="00F40808">
        <w:rPr>
          <w:rFonts w:eastAsia="Palatino Linotype" w:cs="Palatino Linotype"/>
          <w:b/>
        </w:rPr>
        <w:t>,</w:t>
      </w:r>
      <w:r w:rsidR="008478D4" w:rsidRPr="00F40808">
        <w:rPr>
          <w:rFonts w:eastAsia="Palatino Linotype" w:cs="Palatino Linotype"/>
          <w:b/>
        </w:rPr>
        <w:t xml:space="preserve"> </w:t>
      </w:r>
      <w:r w:rsidR="008478D4" w:rsidRPr="00F40808">
        <w:rPr>
          <w:rFonts w:eastAsia="Palatino Linotype" w:cs="Palatino Linotype"/>
        </w:rPr>
        <w:t>pues</w:t>
      </w:r>
      <w:r w:rsidR="008478D4" w:rsidRPr="00F40808">
        <w:rPr>
          <w:rFonts w:eastAsia="Palatino Linotype" w:cs="Palatino Linotype"/>
          <w:b/>
        </w:rPr>
        <w:t xml:space="preserve"> </w:t>
      </w:r>
      <w:r w:rsidRPr="00F40808">
        <w:rPr>
          <w:rFonts w:eastAsia="Palatino Linotype" w:cs="Palatino Linotype"/>
        </w:rPr>
        <w:t xml:space="preserve">además, </w:t>
      </w:r>
      <w:r w:rsidRPr="00F40808">
        <w:rPr>
          <w:rFonts w:eastAsia="Palatino Linotype" w:cs="Palatino Linotype"/>
          <w:b/>
        </w:rPr>
        <w:t>deben encontrarse acompañadas de las documentales que sirven de soporte de dicho movimiento</w:t>
      </w:r>
      <w:r w:rsidRPr="00F40808">
        <w:rPr>
          <w:rFonts w:eastAsia="Palatino Linotype" w:cs="Palatino Linotype"/>
        </w:rPr>
        <w:t>, en atención a las segundas, registran todas la entradas de dinero independientemente de la modalidad, ya sea en efectivo, transferencia, cheque o pagaré, mediante la expedición de facturas.</w:t>
      </w:r>
    </w:p>
    <w:p w14:paraId="36D6E0D4" w14:textId="77777777" w:rsidR="00D70A72" w:rsidRPr="00F40808" w:rsidRDefault="00D70A72" w:rsidP="00D70A72">
      <w:pPr>
        <w:ind w:right="51"/>
        <w:rPr>
          <w:rFonts w:eastAsia="Palatino Linotype" w:cs="Palatino Linotype"/>
        </w:rPr>
      </w:pPr>
    </w:p>
    <w:p w14:paraId="6C7BFC28" w14:textId="77777777" w:rsidR="00D70A72" w:rsidRPr="00F40808" w:rsidRDefault="00D70A72" w:rsidP="00D70A72">
      <w:pPr>
        <w:ind w:right="51"/>
        <w:rPr>
          <w:rFonts w:eastAsia="Palatino Linotype" w:cs="Palatino Linotype"/>
        </w:rPr>
      </w:pPr>
      <w:r w:rsidRPr="00F40808">
        <w:rPr>
          <w:rFonts w:eastAsia="Palatino Linotype" w:cs="Palatino Linotype"/>
        </w:rPr>
        <w:t xml:space="preserve">Atento a lo anterior, como ya ha sido mencionado en la normatividad antes citada, todo registro contable y presupuestal deberá estar soportado con los documentos comprobatorios originales, como lo son las facturas o comprobantes fiscales digitales por internet, mismos que deberán permanecer en custodia y conservación de la Unidad Administrativa correspondiente y a disposición del Órgano Superior de Fiscalización del Estado de México; por un término de cinco años contados a partir del ejercicio presupuestal siguiente al que corresponda, tal y como se establece en el Código Financiero del Estado de México. </w:t>
      </w:r>
    </w:p>
    <w:p w14:paraId="0DC03AE9" w14:textId="77777777" w:rsidR="00D70A72" w:rsidRPr="00F40808" w:rsidRDefault="00D70A72" w:rsidP="00132654">
      <w:pPr>
        <w:rPr>
          <w:rFonts w:eastAsia="Times New Roman" w:cs="Tahoma"/>
          <w:bCs/>
          <w:szCs w:val="24"/>
          <w:lang w:val="es-ES" w:eastAsia="es-ES"/>
        </w:rPr>
      </w:pPr>
    </w:p>
    <w:p w14:paraId="1B4B3B8A" w14:textId="77777777" w:rsidR="001B6577" w:rsidRPr="00F40808" w:rsidRDefault="001B6577" w:rsidP="001B6577">
      <w:r w:rsidRPr="00F40808">
        <w:lastRenderedPageBreak/>
        <w:t xml:space="preserve">De lo establecido con anterioridad este Instituto en harás de garantizar el Derecho al Acceso a la Información del Recurrente determino analizar por medio de un cuadro de análisis la respuesta brindada por el Sujeto Obligado en los términos siguientes; </w:t>
      </w:r>
    </w:p>
    <w:p w14:paraId="5475D667" w14:textId="77777777" w:rsidR="00576420" w:rsidRPr="00F40808" w:rsidRDefault="00576420" w:rsidP="001B6577"/>
    <w:tbl>
      <w:tblPr>
        <w:tblStyle w:val="Tablaconcuadrcula"/>
        <w:tblW w:w="0" w:type="auto"/>
        <w:tblLook w:val="04A0" w:firstRow="1" w:lastRow="0" w:firstColumn="1" w:lastColumn="0" w:noHBand="0" w:noVBand="1"/>
      </w:tblPr>
      <w:tblGrid>
        <w:gridCol w:w="3681"/>
        <w:gridCol w:w="3544"/>
        <w:gridCol w:w="2119"/>
      </w:tblGrid>
      <w:tr w:rsidR="001B6577" w:rsidRPr="00F40808" w14:paraId="7C0C62BB" w14:textId="77777777" w:rsidTr="00837B4F">
        <w:tc>
          <w:tcPr>
            <w:tcW w:w="3681" w:type="dxa"/>
            <w:shd w:val="clear" w:color="auto" w:fill="ADADAD" w:themeFill="background2" w:themeFillShade="BF"/>
          </w:tcPr>
          <w:p w14:paraId="7AFF9F9C" w14:textId="4F11EB9C" w:rsidR="001B6577" w:rsidRPr="00F40808" w:rsidRDefault="00576420" w:rsidP="002B752D">
            <w:pPr>
              <w:jc w:val="center"/>
              <w:rPr>
                <w:b/>
                <w:bCs/>
                <w:i/>
                <w:iCs/>
                <w:sz w:val="22"/>
              </w:rPr>
            </w:pPr>
            <w:r w:rsidRPr="00F40808">
              <w:rPr>
                <w:b/>
                <w:bCs/>
                <w:i/>
                <w:iCs/>
                <w:sz w:val="22"/>
              </w:rPr>
              <w:t>Requerimientos</w:t>
            </w:r>
          </w:p>
        </w:tc>
        <w:tc>
          <w:tcPr>
            <w:tcW w:w="3544" w:type="dxa"/>
            <w:shd w:val="clear" w:color="auto" w:fill="ADADAD" w:themeFill="background2" w:themeFillShade="BF"/>
          </w:tcPr>
          <w:p w14:paraId="3B9B114B" w14:textId="2187B7D6" w:rsidR="001B6577" w:rsidRPr="00F40808" w:rsidRDefault="00576420" w:rsidP="002B752D">
            <w:pPr>
              <w:jc w:val="center"/>
              <w:rPr>
                <w:b/>
                <w:bCs/>
                <w:i/>
                <w:iCs/>
                <w:sz w:val="22"/>
              </w:rPr>
            </w:pPr>
            <w:r w:rsidRPr="00F40808">
              <w:rPr>
                <w:b/>
                <w:bCs/>
                <w:i/>
                <w:iCs/>
                <w:sz w:val="22"/>
              </w:rPr>
              <w:t>Respuesta</w:t>
            </w:r>
          </w:p>
        </w:tc>
        <w:tc>
          <w:tcPr>
            <w:tcW w:w="2119" w:type="dxa"/>
            <w:shd w:val="clear" w:color="auto" w:fill="ADADAD" w:themeFill="background2" w:themeFillShade="BF"/>
          </w:tcPr>
          <w:p w14:paraId="46F33A32" w14:textId="6E57436C" w:rsidR="001B6577" w:rsidRPr="00F40808" w:rsidRDefault="00576420" w:rsidP="002B752D">
            <w:pPr>
              <w:jc w:val="center"/>
              <w:rPr>
                <w:b/>
                <w:bCs/>
                <w:i/>
                <w:iCs/>
                <w:sz w:val="22"/>
              </w:rPr>
            </w:pPr>
            <w:r w:rsidRPr="00F40808">
              <w:rPr>
                <w:b/>
                <w:bCs/>
                <w:i/>
                <w:iCs/>
                <w:sz w:val="22"/>
              </w:rPr>
              <w:t>Colma</w:t>
            </w:r>
          </w:p>
        </w:tc>
      </w:tr>
      <w:tr w:rsidR="001B6577" w:rsidRPr="00F40808" w14:paraId="2912269E" w14:textId="77777777" w:rsidTr="00837B4F">
        <w:tc>
          <w:tcPr>
            <w:tcW w:w="3681" w:type="dxa"/>
          </w:tcPr>
          <w:p w14:paraId="0234A695" w14:textId="35422EB0" w:rsidR="001B6577" w:rsidRPr="00F40808" w:rsidRDefault="0071300B" w:rsidP="0071300B">
            <w:pPr>
              <w:pBdr>
                <w:top w:val="nil"/>
                <w:left w:val="nil"/>
                <w:bottom w:val="nil"/>
                <w:right w:val="nil"/>
                <w:between w:val="nil"/>
              </w:pBdr>
              <w:rPr>
                <w:rFonts w:eastAsia="Palatino Linotype" w:cs="Palatino Linotype"/>
                <w:color w:val="000000"/>
                <w:sz w:val="22"/>
              </w:rPr>
            </w:pPr>
            <w:r w:rsidRPr="00F40808">
              <w:rPr>
                <w:rFonts w:eastAsia="Palatino Linotype" w:cs="Palatino Linotype"/>
                <w:color w:val="000000"/>
                <w:sz w:val="22"/>
              </w:rPr>
              <w:t>Lista de las obras publicas que se han realizado en el Municipio de Tultepec en la administración 2022- 2024.</w:t>
            </w:r>
          </w:p>
        </w:tc>
        <w:tc>
          <w:tcPr>
            <w:tcW w:w="3544" w:type="dxa"/>
          </w:tcPr>
          <w:p w14:paraId="38E76557" w14:textId="30FAAECB" w:rsidR="001B6577" w:rsidRPr="00F40808" w:rsidRDefault="00516675" w:rsidP="00132654">
            <w:pPr>
              <w:rPr>
                <w:sz w:val="22"/>
              </w:rPr>
            </w:pPr>
            <w:r w:rsidRPr="00F40808">
              <w:rPr>
                <w:rFonts w:cs="Arial"/>
                <w:sz w:val="22"/>
              </w:rPr>
              <w:t xml:space="preserve">Envía el desglose de las obras públicas realizadas en el Ayuntamiento de Tultepec conforme el nombre de la obra, la clave, el presupuesto y la sección, de las cuales </w:t>
            </w:r>
            <w:r w:rsidRPr="00F40808">
              <w:rPr>
                <w:rFonts w:cs="Arial"/>
                <w:sz w:val="22"/>
                <w:u w:val="single"/>
              </w:rPr>
              <w:t xml:space="preserve">se advierte conforme la clave de la obra únicamente constan del ejercicio fiscal </w:t>
            </w:r>
            <w:r w:rsidR="00B43071" w:rsidRPr="00F40808">
              <w:rPr>
                <w:rFonts w:cs="Arial"/>
                <w:sz w:val="22"/>
                <w:u w:val="single"/>
              </w:rPr>
              <w:t xml:space="preserve">2023 y </w:t>
            </w:r>
            <w:r w:rsidRPr="00F40808">
              <w:rPr>
                <w:rFonts w:cs="Arial"/>
                <w:sz w:val="22"/>
                <w:u w:val="single"/>
              </w:rPr>
              <w:t>2024</w:t>
            </w:r>
            <w:r w:rsidRPr="00F40808">
              <w:rPr>
                <w:rFonts w:cs="Arial"/>
                <w:sz w:val="22"/>
              </w:rPr>
              <w:t>.</w:t>
            </w:r>
          </w:p>
        </w:tc>
        <w:tc>
          <w:tcPr>
            <w:tcW w:w="2119" w:type="dxa"/>
          </w:tcPr>
          <w:p w14:paraId="202791D4" w14:textId="37B89084" w:rsidR="001B6577" w:rsidRPr="00F40808" w:rsidRDefault="002B752D" w:rsidP="002B752D">
            <w:pPr>
              <w:jc w:val="center"/>
              <w:rPr>
                <w:b/>
                <w:bCs/>
                <w:sz w:val="22"/>
              </w:rPr>
            </w:pPr>
            <w:r w:rsidRPr="00F40808">
              <w:rPr>
                <w:b/>
                <w:bCs/>
                <w:sz w:val="22"/>
              </w:rPr>
              <w:t>Parcialmente</w:t>
            </w:r>
          </w:p>
        </w:tc>
      </w:tr>
      <w:tr w:rsidR="001B6577" w:rsidRPr="00F40808" w14:paraId="17673B1A" w14:textId="77777777" w:rsidTr="00837B4F">
        <w:tc>
          <w:tcPr>
            <w:tcW w:w="3681" w:type="dxa"/>
          </w:tcPr>
          <w:p w14:paraId="38604282" w14:textId="4420250A" w:rsidR="001B6577" w:rsidRPr="00F40808" w:rsidRDefault="0071300B" w:rsidP="0071300B">
            <w:pPr>
              <w:pBdr>
                <w:top w:val="nil"/>
                <w:left w:val="nil"/>
                <w:bottom w:val="nil"/>
                <w:right w:val="nil"/>
                <w:between w:val="nil"/>
              </w:pBdr>
              <w:rPr>
                <w:rFonts w:eastAsia="Palatino Linotype" w:cs="Palatino Linotype"/>
                <w:color w:val="000000"/>
                <w:sz w:val="22"/>
              </w:rPr>
            </w:pPr>
            <w:r w:rsidRPr="00F40808">
              <w:rPr>
                <w:rFonts w:eastAsia="Palatino Linotype" w:cs="Palatino Linotype"/>
                <w:color w:val="000000"/>
                <w:sz w:val="22"/>
              </w:rPr>
              <w:t xml:space="preserve">Lista de todas las licitaciones con el nombre de cada una de las empresas que participó en el concurso para obtener las construcciones de las obras publicas que se han realizado en el Municipio de Tultepec, en la administración 2022- 2024. </w:t>
            </w:r>
          </w:p>
        </w:tc>
        <w:tc>
          <w:tcPr>
            <w:tcW w:w="3544" w:type="dxa"/>
          </w:tcPr>
          <w:p w14:paraId="5FE43729" w14:textId="76F4C400" w:rsidR="001B6577" w:rsidRPr="00F40808" w:rsidRDefault="004D4C06" w:rsidP="00132654">
            <w:pPr>
              <w:rPr>
                <w:sz w:val="22"/>
              </w:rPr>
            </w:pPr>
            <w:r w:rsidRPr="00F40808">
              <w:rPr>
                <w:sz w:val="22"/>
              </w:rPr>
              <w:t>Envía</w:t>
            </w:r>
            <w:r w:rsidR="00603C8A" w:rsidRPr="00F40808">
              <w:rPr>
                <w:sz w:val="22"/>
              </w:rPr>
              <w:t xml:space="preserve"> una lista que consta de </w:t>
            </w:r>
            <w:r w:rsidRPr="00F40808">
              <w:rPr>
                <w:sz w:val="22"/>
              </w:rPr>
              <w:t>doce empresas</w:t>
            </w:r>
            <w:r w:rsidR="00B43071" w:rsidRPr="00F40808">
              <w:rPr>
                <w:sz w:val="22"/>
              </w:rPr>
              <w:t xml:space="preserve">, las cuales se advierte se encuentran en el archivo electrónico que comprende las </w:t>
            </w:r>
            <w:r w:rsidR="00BE4AEE" w:rsidRPr="00F40808">
              <w:rPr>
                <w:sz w:val="22"/>
              </w:rPr>
              <w:t>obras del 2024</w:t>
            </w:r>
            <w:r w:rsidR="00AD3B38" w:rsidRPr="00F40808">
              <w:rPr>
                <w:sz w:val="22"/>
              </w:rPr>
              <w:t>, por lo que fue omiso de pronunciarse respecto el 2022 y 2023</w:t>
            </w:r>
          </w:p>
        </w:tc>
        <w:tc>
          <w:tcPr>
            <w:tcW w:w="2119" w:type="dxa"/>
          </w:tcPr>
          <w:p w14:paraId="51251A1A" w14:textId="2A64CF98" w:rsidR="001B6577" w:rsidRPr="00F40808" w:rsidRDefault="00B43071" w:rsidP="002B752D">
            <w:pPr>
              <w:jc w:val="center"/>
              <w:rPr>
                <w:b/>
                <w:bCs/>
                <w:sz w:val="22"/>
              </w:rPr>
            </w:pPr>
            <w:r w:rsidRPr="00F40808">
              <w:rPr>
                <w:b/>
                <w:bCs/>
                <w:sz w:val="22"/>
              </w:rPr>
              <w:t>Parcialmente</w:t>
            </w:r>
          </w:p>
        </w:tc>
      </w:tr>
      <w:tr w:rsidR="001B6577" w:rsidRPr="00F40808" w14:paraId="4A561FA2" w14:textId="77777777" w:rsidTr="00837B4F">
        <w:tc>
          <w:tcPr>
            <w:tcW w:w="3681" w:type="dxa"/>
          </w:tcPr>
          <w:p w14:paraId="6E531E3F" w14:textId="47777D0D" w:rsidR="001B6577" w:rsidRPr="00F40808" w:rsidRDefault="0071300B" w:rsidP="00132654">
            <w:pPr>
              <w:rPr>
                <w:sz w:val="22"/>
              </w:rPr>
            </w:pPr>
            <w:r w:rsidRPr="00F40808">
              <w:rPr>
                <w:rFonts w:eastAsia="Palatino Linotype" w:cs="Palatino Linotype"/>
                <w:color w:val="000000"/>
                <w:sz w:val="22"/>
              </w:rPr>
              <w:t xml:space="preserve">Presupuesto para las Obras Públicas que se realizaron en el </w:t>
            </w:r>
            <w:r w:rsidRPr="00F40808">
              <w:rPr>
                <w:rFonts w:eastAsia="Palatino Linotype" w:cs="Palatino Linotype"/>
                <w:color w:val="000000"/>
                <w:sz w:val="22"/>
              </w:rPr>
              <w:lastRenderedPageBreak/>
              <w:t>Municipio de Tultepec, en la administración 2022- 2024</w:t>
            </w:r>
          </w:p>
        </w:tc>
        <w:tc>
          <w:tcPr>
            <w:tcW w:w="3544" w:type="dxa"/>
          </w:tcPr>
          <w:p w14:paraId="05BC53DF" w14:textId="4EE345FF" w:rsidR="001B6577" w:rsidRPr="00F40808" w:rsidRDefault="00C44AC7" w:rsidP="00132654">
            <w:pPr>
              <w:rPr>
                <w:sz w:val="22"/>
              </w:rPr>
            </w:pPr>
            <w:r w:rsidRPr="00F40808">
              <w:rPr>
                <w:sz w:val="22"/>
              </w:rPr>
              <w:lastRenderedPageBreak/>
              <w:t>Envía</w:t>
            </w:r>
            <w:r w:rsidR="00CB7BA2" w:rsidRPr="00F40808">
              <w:rPr>
                <w:sz w:val="22"/>
              </w:rPr>
              <w:t xml:space="preserve"> </w:t>
            </w:r>
            <w:r w:rsidRPr="00F40808">
              <w:rPr>
                <w:sz w:val="22"/>
              </w:rPr>
              <w:t>el Formato PbRM 07</w:t>
            </w:r>
            <w:r w:rsidR="00941BA0" w:rsidRPr="00F40808">
              <w:rPr>
                <w:sz w:val="22"/>
              </w:rPr>
              <w:t>a</w:t>
            </w:r>
            <w:r w:rsidR="00EA627E" w:rsidRPr="00F40808">
              <w:rPr>
                <w:sz w:val="22"/>
              </w:rPr>
              <w:t xml:space="preserve"> parcialmente </w:t>
            </w:r>
            <w:r w:rsidR="0089021E" w:rsidRPr="00F40808">
              <w:rPr>
                <w:sz w:val="22"/>
              </w:rPr>
              <w:t>ilegible</w:t>
            </w:r>
            <w:r w:rsidR="00EA627E" w:rsidRPr="00F40808">
              <w:rPr>
                <w:sz w:val="22"/>
              </w:rPr>
              <w:t xml:space="preserve"> </w:t>
            </w:r>
          </w:p>
        </w:tc>
        <w:tc>
          <w:tcPr>
            <w:tcW w:w="2119" w:type="dxa"/>
          </w:tcPr>
          <w:p w14:paraId="24EA4497" w14:textId="3E531F5F" w:rsidR="001B6577" w:rsidRPr="00F40808" w:rsidRDefault="002B752D" w:rsidP="002B752D">
            <w:pPr>
              <w:jc w:val="center"/>
              <w:rPr>
                <w:b/>
                <w:bCs/>
                <w:sz w:val="22"/>
              </w:rPr>
            </w:pPr>
            <w:r w:rsidRPr="00F40808">
              <w:rPr>
                <w:b/>
                <w:bCs/>
                <w:sz w:val="22"/>
              </w:rPr>
              <w:t>Parcialmente</w:t>
            </w:r>
          </w:p>
        </w:tc>
      </w:tr>
      <w:tr w:rsidR="001B6577" w:rsidRPr="00F40808" w14:paraId="2870F2DA" w14:textId="77777777" w:rsidTr="00837B4F">
        <w:tc>
          <w:tcPr>
            <w:tcW w:w="3681" w:type="dxa"/>
          </w:tcPr>
          <w:p w14:paraId="65086E54" w14:textId="6618F56F" w:rsidR="001B6577" w:rsidRPr="00F40808" w:rsidRDefault="0071300B" w:rsidP="0071300B">
            <w:pPr>
              <w:pBdr>
                <w:top w:val="nil"/>
                <w:left w:val="nil"/>
                <w:bottom w:val="nil"/>
                <w:right w:val="nil"/>
                <w:between w:val="nil"/>
              </w:pBdr>
              <w:rPr>
                <w:rFonts w:eastAsia="Palatino Linotype" w:cs="Palatino Linotype"/>
                <w:color w:val="000000"/>
                <w:sz w:val="22"/>
              </w:rPr>
            </w:pPr>
            <w:r w:rsidRPr="00F40808">
              <w:rPr>
                <w:rFonts w:eastAsia="Palatino Linotype" w:cs="Palatino Linotype"/>
                <w:color w:val="000000"/>
                <w:sz w:val="22"/>
              </w:rPr>
              <w:t xml:space="preserve">Gasto real de cada una de las Obras Públicas que se realizaron en el Municipio de Tultepec, en la administración 2022- 2024. </w:t>
            </w:r>
          </w:p>
        </w:tc>
        <w:tc>
          <w:tcPr>
            <w:tcW w:w="3544" w:type="dxa"/>
          </w:tcPr>
          <w:p w14:paraId="0F7D7C9D" w14:textId="7253142A" w:rsidR="001B6577" w:rsidRPr="00F40808" w:rsidRDefault="00941BA0" w:rsidP="00132654">
            <w:pPr>
              <w:rPr>
                <w:sz w:val="22"/>
              </w:rPr>
            </w:pPr>
            <w:r w:rsidRPr="00F40808">
              <w:rPr>
                <w:sz w:val="22"/>
              </w:rPr>
              <w:t>Envía el Formato PbRM 07a parcialmente ilegible</w:t>
            </w:r>
          </w:p>
        </w:tc>
        <w:tc>
          <w:tcPr>
            <w:tcW w:w="2119" w:type="dxa"/>
          </w:tcPr>
          <w:p w14:paraId="5C223C52" w14:textId="63DACBB7" w:rsidR="001B6577" w:rsidRPr="00F40808" w:rsidRDefault="002B752D" w:rsidP="002B752D">
            <w:pPr>
              <w:jc w:val="center"/>
              <w:rPr>
                <w:b/>
                <w:bCs/>
                <w:sz w:val="22"/>
              </w:rPr>
            </w:pPr>
            <w:r w:rsidRPr="00F40808">
              <w:rPr>
                <w:b/>
                <w:bCs/>
                <w:sz w:val="22"/>
              </w:rPr>
              <w:t>Parcialmente</w:t>
            </w:r>
          </w:p>
        </w:tc>
      </w:tr>
      <w:tr w:rsidR="001B6577" w:rsidRPr="00F40808" w14:paraId="0E95E516" w14:textId="77777777" w:rsidTr="00837B4F">
        <w:tc>
          <w:tcPr>
            <w:tcW w:w="3681" w:type="dxa"/>
          </w:tcPr>
          <w:p w14:paraId="10215F9A" w14:textId="5BF8C175" w:rsidR="001B6577" w:rsidRPr="00F40808" w:rsidRDefault="0071300B" w:rsidP="0071300B">
            <w:pPr>
              <w:pBdr>
                <w:top w:val="nil"/>
                <w:left w:val="nil"/>
                <w:bottom w:val="nil"/>
                <w:right w:val="nil"/>
                <w:between w:val="nil"/>
              </w:pBdr>
              <w:rPr>
                <w:rFonts w:eastAsia="Palatino Linotype" w:cs="Palatino Linotype"/>
                <w:color w:val="000000"/>
                <w:sz w:val="22"/>
              </w:rPr>
            </w:pPr>
            <w:r w:rsidRPr="00F40808">
              <w:rPr>
                <w:rFonts w:eastAsia="Palatino Linotype" w:cs="Palatino Linotype"/>
                <w:color w:val="000000"/>
                <w:sz w:val="22"/>
              </w:rPr>
              <w:t>Empresas que han realizado las obras públicas que se han realizado en el Municipio de Tultepec en la administración 2022- 2024, y se envíe listado de cada una de ellas.</w:t>
            </w:r>
          </w:p>
        </w:tc>
        <w:tc>
          <w:tcPr>
            <w:tcW w:w="3544" w:type="dxa"/>
          </w:tcPr>
          <w:p w14:paraId="6B5D5895" w14:textId="0BC9D313" w:rsidR="001B6577" w:rsidRPr="00F40808" w:rsidRDefault="00F52292" w:rsidP="00132654">
            <w:pPr>
              <w:rPr>
                <w:sz w:val="22"/>
              </w:rPr>
            </w:pPr>
            <w:r w:rsidRPr="00F40808">
              <w:rPr>
                <w:sz w:val="22"/>
              </w:rPr>
              <w:t>Envía una lista que consta de doce empresas</w:t>
            </w:r>
            <w:r w:rsidR="00BE4AEE" w:rsidRPr="00F40808">
              <w:rPr>
                <w:sz w:val="22"/>
              </w:rPr>
              <w:t>, las cuales se advierte se encuentran en el archivo electrónico que comprende las obras del 2024</w:t>
            </w:r>
            <w:r w:rsidR="00AD3B38" w:rsidRPr="00F40808">
              <w:rPr>
                <w:sz w:val="22"/>
              </w:rPr>
              <w:t>, por lo que fue omiso de pronunciarse respecto el 2022 y 2023</w:t>
            </w:r>
          </w:p>
        </w:tc>
        <w:tc>
          <w:tcPr>
            <w:tcW w:w="2119" w:type="dxa"/>
          </w:tcPr>
          <w:p w14:paraId="771C2A76" w14:textId="2AB6597F" w:rsidR="001B6577" w:rsidRPr="00F40808" w:rsidRDefault="00BE4AEE" w:rsidP="002B752D">
            <w:pPr>
              <w:jc w:val="center"/>
              <w:rPr>
                <w:b/>
                <w:bCs/>
                <w:sz w:val="22"/>
              </w:rPr>
            </w:pPr>
            <w:r w:rsidRPr="00F40808">
              <w:rPr>
                <w:b/>
                <w:bCs/>
                <w:sz w:val="22"/>
              </w:rPr>
              <w:t>Parcialmente</w:t>
            </w:r>
          </w:p>
        </w:tc>
      </w:tr>
    </w:tbl>
    <w:p w14:paraId="0FE426E4" w14:textId="77777777" w:rsidR="0071300B" w:rsidRPr="00F40808" w:rsidRDefault="0071300B" w:rsidP="00132654">
      <w:pPr>
        <w:pBdr>
          <w:top w:val="nil"/>
          <w:left w:val="nil"/>
          <w:bottom w:val="nil"/>
          <w:right w:val="nil"/>
          <w:between w:val="nil"/>
        </w:pBdr>
      </w:pPr>
    </w:p>
    <w:p w14:paraId="68EFE091" w14:textId="041EC830" w:rsidR="00413339" w:rsidRPr="00F40808" w:rsidRDefault="00132654" w:rsidP="00132654">
      <w:pPr>
        <w:pBdr>
          <w:top w:val="nil"/>
          <w:left w:val="nil"/>
          <w:bottom w:val="nil"/>
          <w:right w:val="nil"/>
          <w:between w:val="nil"/>
        </w:pBdr>
        <w:rPr>
          <w:rFonts w:cs="Tahoma"/>
          <w:bCs/>
          <w:color w:val="000000"/>
        </w:rPr>
      </w:pPr>
      <w:r w:rsidRPr="00F40808">
        <w:t>Establecido lo anterior de la respuesta emitida</w:t>
      </w:r>
      <w:r w:rsidR="001C4B10" w:rsidRPr="00F40808">
        <w:t xml:space="preserve"> en respuesta primigenia</w:t>
      </w:r>
      <w:r w:rsidRPr="00F40808">
        <w:t xml:space="preserve"> por el Sujeto Obligado del </w:t>
      </w:r>
      <w:r w:rsidRPr="00F40808">
        <w:rPr>
          <w:color w:val="000000"/>
          <w:szCs w:val="24"/>
        </w:rPr>
        <w:t>Formato PbRM-0</w:t>
      </w:r>
      <w:r w:rsidR="00CD24A8" w:rsidRPr="00F40808">
        <w:rPr>
          <w:color w:val="000000"/>
          <w:szCs w:val="24"/>
        </w:rPr>
        <w:t>7a</w:t>
      </w:r>
      <w:r w:rsidRPr="00F40808">
        <w:rPr>
          <w:color w:val="000000"/>
          <w:szCs w:val="24"/>
        </w:rPr>
        <w:t xml:space="preserve"> </w:t>
      </w:r>
      <w:r w:rsidR="001C4B10" w:rsidRPr="00F40808">
        <w:rPr>
          <w:color w:val="000000"/>
          <w:szCs w:val="24"/>
        </w:rPr>
        <w:t xml:space="preserve">de los ejercicios fiscales 2022, 2023 y 2024 </w:t>
      </w:r>
      <w:r w:rsidR="00E05E82" w:rsidRPr="00F40808">
        <w:rPr>
          <w:color w:val="000000"/>
          <w:szCs w:val="24"/>
        </w:rPr>
        <w:t xml:space="preserve">que </w:t>
      </w:r>
      <w:r w:rsidR="00CD24A8" w:rsidRPr="00F40808">
        <w:rPr>
          <w:rFonts w:cs="Tahoma"/>
          <w:bCs/>
          <w:color w:val="000000"/>
        </w:rPr>
        <w:t>corresponde al Programa Anual de Obras</w:t>
      </w:r>
      <w:r w:rsidR="00E05E82" w:rsidRPr="00F40808">
        <w:rPr>
          <w:rFonts w:cs="Tahoma"/>
          <w:bCs/>
          <w:color w:val="000000"/>
        </w:rPr>
        <w:t xml:space="preserve"> se advierte que la información enviada </w:t>
      </w:r>
      <w:r w:rsidR="00EE6437" w:rsidRPr="00F40808">
        <w:rPr>
          <w:rFonts w:cs="Tahoma"/>
          <w:bCs/>
          <w:color w:val="000000"/>
        </w:rPr>
        <w:t xml:space="preserve">se </w:t>
      </w:r>
      <w:r w:rsidR="00413339" w:rsidRPr="00F40808">
        <w:rPr>
          <w:rFonts w:cs="Tahoma"/>
          <w:bCs/>
          <w:color w:val="000000"/>
        </w:rPr>
        <w:t>advierte</w:t>
      </w:r>
      <w:r w:rsidR="00EE6437" w:rsidRPr="00F40808">
        <w:rPr>
          <w:rFonts w:cs="Tahoma"/>
          <w:bCs/>
          <w:color w:val="000000"/>
        </w:rPr>
        <w:t xml:space="preserve"> que </w:t>
      </w:r>
      <w:r w:rsidR="00AD50E4" w:rsidRPr="00F40808">
        <w:rPr>
          <w:rFonts w:cs="Tahoma"/>
          <w:bCs/>
          <w:color w:val="000000"/>
        </w:rPr>
        <w:t xml:space="preserve"> están </w:t>
      </w:r>
      <w:r w:rsidR="00EE6437" w:rsidRPr="00F40808">
        <w:rPr>
          <w:rFonts w:cs="Tahoma"/>
          <w:bCs/>
          <w:color w:val="000000"/>
        </w:rPr>
        <w:t>parcialmente</w:t>
      </w:r>
      <w:r w:rsidR="00AD50E4" w:rsidRPr="00F40808">
        <w:rPr>
          <w:rFonts w:cs="Tahoma"/>
          <w:bCs/>
          <w:color w:val="000000"/>
        </w:rPr>
        <w:t xml:space="preserve"> </w:t>
      </w:r>
      <w:r w:rsidR="00EE6437" w:rsidRPr="00F40808">
        <w:rPr>
          <w:rFonts w:cs="Tahoma"/>
          <w:bCs/>
          <w:color w:val="000000"/>
        </w:rPr>
        <w:t xml:space="preserve"> ilegible</w:t>
      </w:r>
      <w:r w:rsidR="00AD50E4" w:rsidRPr="00F40808">
        <w:rPr>
          <w:rFonts w:cs="Tahoma"/>
          <w:bCs/>
          <w:color w:val="000000"/>
        </w:rPr>
        <w:t>s</w:t>
      </w:r>
      <w:r w:rsidR="001C4B10" w:rsidRPr="00F40808">
        <w:rPr>
          <w:rFonts w:cs="Tahoma"/>
          <w:bCs/>
          <w:color w:val="000000"/>
        </w:rPr>
        <w:t xml:space="preserve">, sin embargo no pasa por desapercibido por este Instituto que si bien en informe justificado hizo entrega del </w:t>
      </w:r>
      <w:r w:rsidR="001C4B10" w:rsidRPr="00F40808">
        <w:rPr>
          <w:color w:val="000000"/>
          <w:szCs w:val="24"/>
        </w:rPr>
        <w:t xml:space="preserve">Formato PbRM-07a del ejercicio fiscal 2024 legible, </w:t>
      </w:r>
      <w:r w:rsidR="001C4B10" w:rsidRPr="00F40808">
        <w:rPr>
          <w:rFonts w:cs="Tahoma"/>
          <w:bCs/>
          <w:color w:val="000000"/>
        </w:rPr>
        <w:t xml:space="preserve"> </w:t>
      </w:r>
      <w:r w:rsidR="00EE6437" w:rsidRPr="00F40808">
        <w:rPr>
          <w:rFonts w:cs="Tahoma"/>
          <w:bCs/>
          <w:color w:val="000000"/>
        </w:rPr>
        <w:t xml:space="preserve">en dicho documento no se aprecian las firmas </w:t>
      </w:r>
      <w:r w:rsidR="00413339" w:rsidRPr="00F40808">
        <w:rPr>
          <w:color w:val="000000"/>
          <w:szCs w:val="24"/>
        </w:rPr>
        <w:t xml:space="preserve">de las cuales </w:t>
      </w:r>
      <w:r w:rsidR="00413339" w:rsidRPr="00F40808">
        <w:t xml:space="preserve">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w:t>
      </w:r>
      <w:r w:rsidR="00413339" w:rsidRPr="00F40808">
        <w:rPr>
          <w:b/>
          <w:bCs/>
        </w:rPr>
        <w:t>estribando entonces en un requisito de validez</w:t>
      </w:r>
      <w:r w:rsidR="00413339" w:rsidRPr="00F40808">
        <w:t>.</w:t>
      </w:r>
    </w:p>
    <w:p w14:paraId="3687504E" w14:textId="77777777" w:rsidR="00413339" w:rsidRPr="00F40808" w:rsidRDefault="00413339" w:rsidP="00132654">
      <w:pPr>
        <w:pBdr>
          <w:top w:val="nil"/>
          <w:left w:val="nil"/>
          <w:bottom w:val="nil"/>
          <w:right w:val="nil"/>
          <w:between w:val="nil"/>
        </w:pBdr>
      </w:pPr>
    </w:p>
    <w:p w14:paraId="5CB9B3D2" w14:textId="26FF5473" w:rsidR="00885699" w:rsidRPr="00F40808" w:rsidRDefault="00413339" w:rsidP="00132654">
      <w:pPr>
        <w:pBdr>
          <w:top w:val="nil"/>
          <w:left w:val="nil"/>
          <w:bottom w:val="nil"/>
          <w:right w:val="nil"/>
          <w:between w:val="nil"/>
        </w:pBdr>
      </w:pPr>
      <w:r w:rsidRPr="00F40808">
        <w:t xml:space="preserve"> Por tanto, la firma de los servidores públicos vinculada al ejercicio de la función pública es información pública, dado que documenta y rinde cuentas sobre el debido ejercicio de sus atribuciones con motivo del empleo, cargo o comisión que le han sido encomendados.</w:t>
      </w:r>
      <w:r w:rsidR="009F5371" w:rsidRPr="00F40808">
        <w:t xml:space="preserve"> </w:t>
      </w:r>
      <w:r w:rsidR="00885699" w:rsidRPr="00F40808">
        <w:t xml:space="preserve">En el mismo sentido no resulta visible la Justificación o la Población Beneficiada, datos que resultan </w:t>
      </w:r>
      <w:r w:rsidR="0055215F" w:rsidRPr="00F40808">
        <w:t>circunstanciales</w:t>
      </w:r>
      <w:r w:rsidR="00885699" w:rsidRPr="00F40808">
        <w:t xml:space="preserve"> para la realización de obras </w:t>
      </w:r>
      <w:r w:rsidR="0055215F" w:rsidRPr="00F40808">
        <w:t>públicas</w:t>
      </w:r>
      <w:r w:rsidR="00885699" w:rsidRPr="00F40808">
        <w:t xml:space="preserve"> y </w:t>
      </w:r>
      <w:r w:rsidR="0055215F" w:rsidRPr="00F40808">
        <w:t>así</w:t>
      </w:r>
      <w:r w:rsidR="00885699" w:rsidRPr="00F40808">
        <w:t xml:space="preserve"> mismo abonan a la transparencia pues la </w:t>
      </w:r>
      <w:r w:rsidR="0055215F" w:rsidRPr="00F40808">
        <w:t>justificación</w:t>
      </w:r>
      <w:r w:rsidR="00885699" w:rsidRPr="00F40808">
        <w:t xml:space="preserve"> </w:t>
      </w:r>
      <w:r w:rsidR="0055215F" w:rsidRPr="00F40808">
        <w:t xml:space="preserve">permite validar a través de las pautas metodológicas del Sujeto Obligado la necesidad de la realización de dicha obra. </w:t>
      </w:r>
    </w:p>
    <w:p w14:paraId="64604BD1" w14:textId="77777777" w:rsidR="00413339" w:rsidRPr="00F40808" w:rsidRDefault="00413339" w:rsidP="00132654">
      <w:pPr>
        <w:pBdr>
          <w:top w:val="nil"/>
          <w:left w:val="nil"/>
          <w:bottom w:val="nil"/>
          <w:right w:val="nil"/>
          <w:between w:val="nil"/>
        </w:pBdr>
        <w:rPr>
          <w:color w:val="000000"/>
          <w:szCs w:val="24"/>
        </w:rPr>
      </w:pPr>
    </w:p>
    <w:p w14:paraId="6F9C21CA" w14:textId="2C5780F7" w:rsidR="00132654" w:rsidRPr="00F40808" w:rsidRDefault="00CD24A8" w:rsidP="00132654">
      <w:pPr>
        <w:pBdr>
          <w:top w:val="nil"/>
          <w:left w:val="nil"/>
          <w:bottom w:val="nil"/>
          <w:right w:val="nil"/>
          <w:between w:val="nil"/>
        </w:pBdr>
        <w:rPr>
          <w:rFonts w:cs="Tahoma"/>
          <w:bCs/>
          <w:color w:val="000000"/>
        </w:rPr>
      </w:pPr>
      <w:r w:rsidRPr="00F40808">
        <w:rPr>
          <w:rFonts w:cs="Tahoma"/>
          <w:bCs/>
          <w:color w:val="000000"/>
        </w:rPr>
        <w:t>Respecto e</w:t>
      </w:r>
      <w:r w:rsidRPr="00F40808">
        <w:rPr>
          <w:rFonts w:cs="Tahoma"/>
          <w:b/>
          <w:color w:val="000000"/>
        </w:rPr>
        <w:t>l PbRM. 07b correspondiente al Programa Anual de Obras (reparaciones y mantenimiento)</w:t>
      </w:r>
      <w:r w:rsidR="0055215F" w:rsidRPr="00F40808">
        <w:rPr>
          <w:rFonts w:cs="Tahoma"/>
          <w:b/>
          <w:color w:val="000000"/>
        </w:rPr>
        <w:t xml:space="preserve">, </w:t>
      </w:r>
      <w:r w:rsidR="0055215F" w:rsidRPr="00F40808">
        <w:rPr>
          <w:rFonts w:cs="Tahoma"/>
          <w:bCs/>
          <w:color w:val="000000"/>
        </w:rPr>
        <w:t xml:space="preserve">resulta importante destacar que </w:t>
      </w:r>
      <w:r w:rsidR="00E256DC" w:rsidRPr="00F40808">
        <w:rPr>
          <w:rFonts w:cs="Tahoma"/>
          <w:bCs/>
          <w:color w:val="000000"/>
        </w:rPr>
        <w:t xml:space="preserve">en respuesta </w:t>
      </w:r>
      <w:r w:rsidR="00E80155" w:rsidRPr="00F40808">
        <w:rPr>
          <w:rFonts w:cs="Tahoma"/>
          <w:bCs/>
          <w:color w:val="000000"/>
        </w:rPr>
        <w:t xml:space="preserve">se aprecia que el Sujeto Obligado destino recursos para la rehabilitación, mantenimiento e incluso reforzamiento de diversas obras públicas por lo que dicho formato </w:t>
      </w:r>
      <w:r w:rsidR="008A63B9" w:rsidRPr="00F40808">
        <w:rPr>
          <w:rFonts w:cs="Tahoma"/>
          <w:bCs/>
          <w:color w:val="000000"/>
        </w:rPr>
        <w:t xml:space="preserve">comparte importancia para los requerimientos planteados por el Recurrente, pues </w:t>
      </w:r>
      <w:r w:rsidR="00D42690" w:rsidRPr="00F40808">
        <w:rPr>
          <w:rFonts w:cs="Tahoma"/>
          <w:bCs/>
          <w:color w:val="000000"/>
        </w:rPr>
        <w:t>para el</w:t>
      </w:r>
      <w:r w:rsidR="008A63B9" w:rsidRPr="00F40808">
        <w:rPr>
          <w:rFonts w:cs="Tahoma"/>
          <w:bCs/>
          <w:color w:val="000000"/>
        </w:rPr>
        <w:t xml:space="preserve"> </w:t>
      </w:r>
      <w:r w:rsidR="00D42690" w:rsidRPr="00F40808">
        <w:rPr>
          <w:rFonts w:cs="Tahoma"/>
          <w:bCs/>
          <w:color w:val="000000"/>
        </w:rPr>
        <w:t xml:space="preserve">cinco de agosto del dos mil veinticuatro se realizó por medio de la designación del presupuesto </w:t>
      </w:r>
      <w:r w:rsidR="00AC68CD" w:rsidRPr="00F40808">
        <w:rPr>
          <w:rFonts w:cs="Tahoma"/>
          <w:bCs/>
          <w:color w:val="000000"/>
        </w:rPr>
        <w:t>dicho gastos</w:t>
      </w:r>
      <w:r w:rsidR="004E3618" w:rsidRPr="00F40808">
        <w:rPr>
          <w:rFonts w:cs="Tahoma"/>
          <w:bCs/>
          <w:color w:val="000000"/>
        </w:rPr>
        <w:t>. De lo anterior estableciendo que uno de los objetivos del presupuesto es optimizar la ejecución de la planeación, mediante la asignación del presupuesto de forma analítica, considerando que las actividades prioritarias que el gobierno municipal programe</w:t>
      </w:r>
      <w:r w:rsidR="00C839AD" w:rsidRPr="00F40808">
        <w:rPr>
          <w:rFonts w:cs="Tahoma"/>
          <w:bCs/>
          <w:color w:val="000000"/>
        </w:rPr>
        <w:t>.</w:t>
      </w:r>
    </w:p>
    <w:p w14:paraId="7DE6F40A" w14:textId="77777777" w:rsidR="001C4B10" w:rsidRPr="00F40808" w:rsidRDefault="001C4B10" w:rsidP="00132654">
      <w:pPr>
        <w:pBdr>
          <w:top w:val="nil"/>
          <w:left w:val="nil"/>
          <w:bottom w:val="nil"/>
          <w:right w:val="nil"/>
          <w:between w:val="nil"/>
        </w:pBdr>
        <w:rPr>
          <w:rFonts w:cs="Tahoma"/>
          <w:bCs/>
          <w:color w:val="000000"/>
        </w:rPr>
      </w:pPr>
    </w:p>
    <w:p w14:paraId="695D79CD" w14:textId="2CFF8CE4" w:rsidR="00C606AE" w:rsidRPr="00F40808" w:rsidRDefault="00132654" w:rsidP="00132654">
      <w:pPr>
        <w:pBdr>
          <w:top w:val="nil"/>
          <w:left w:val="nil"/>
          <w:bottom w:val="nil"/>
          <w:right w:val="nil"/>
          <w:between w:val="nil"/>
        </w:pBdr>
      </w:pPr>
      <w:r w:rsidRPr="00F40808">
        <w:t xml:space="preserve">De lo anterior se desprende que </w:t>
      </w:r>
      <w:r w:rsidR="00AA472C" w:rsidRPr="00F40808">
        <w:t xml:space="preserve"> la </w:t>
      </w:r>
      <w:r w:rsidR="00AA472C" w:rsidRPr="00F40808">
        <w:rPr>
          <w:b/>
          <w:bCs/>
        </w:rPr>
        <w:t>limitación del gasto público</w:t>
      </w:r>
      <w:r w:rsidR="00AA472C" w:rsidRPr="00F40808">
        <w:t xml:space="preserve"> consiste en establecer criterios sobre la contención del gasto público y disciplina financiera, para mantener el balance presupuestario sostenible manteniendo en perspectiva el comportamiento económico a nivel internacional, nacional y estatal</w:t>
      </w:r>
      <w:r w:rsidR="00784152" w:rsidRPr="00F40808">
        <w:t xml:space="preserve">, siendo </w:t>
      </w:r>
      <w:r w:rsidR="002830DE" w:rsidRPr="00F40808">
        <w:t>e</w:t>
      </w:r>
      <w:r w:rsidR="00C606AE" w:rsidRPr="00F40808">
        <w:t xml:space="preserve">l Capítulo 6000  correspondiente a la </w:t>
      </w:r>
      <w:r w:rsidR="00C606AE" w:rsidRPr="00F40808">
        <w:rPr>
          <w:b/>
          <w:bCs/>
        </w:rPr>
        <w:t>Inversión Pública</w:t>
      </w:r>
      <w:r w:rsidR="00C606AE" w:rsidRPr="00F40808">
        <w:t xml:space="preserve"> en el que se establecen los recursos de inversión </w:t>
      </w:r>
      <w:r w:rsidR="00C606AE" w:rsidRPr="00F40808">
        <w:lastRenderedPageBreak/>
        <w:t xml:space="preserve">para obra pública, los cuales serán asignados a las unidades responsables de la ejecución de obras y/o servicios que conforman el gobierno municipal, quienes lo programarán para un ejercicio con estricto apego a la normatividad en la materia; para ello, elaborarán un Programa Anual de Obras específico, alineado al Plan de Desarrollo Municipal. </w:t>
      </w:r>
    </w:p>
    <w:p w14:paraId="6A29AA9A" w14:textId="77777777" w:rsidR="007506F7" w:rsidRPr="00F40808" w:rsidRDefault="007506F7" w:rsidP="00132654">
      <w:pPr>
        <w:pBdr>
          <w:top w:val="nil"/>
          <w:left w:val="nil"/>
          <w:bottom w:val="nil"/>
          <w:right w:val="nil"/>
          <w:between w:val="nil"/>
        </w:pBdr>
      </w:pPr>
    </w:p>
    <w:p w14:paraId="217FFBC5" w14:textId="642B6347" w:rsidR="002E3D0E" w:rsidRPr="00F40808" w:rsidRDefault="00C606AE" w:rsidP="00132654">
      <w:pPr>
        <w:pBdr>
          <w:top w:val="nil"/>
          <w:left w:val="nil"/>
          <w:bottom w:val="nil"/>
          <w:right w:val="nil"/>
          <w:between w:val="nil"/>
        </w:pBdr>
      </w:pPr>
      <w:r w:rsidRPr="00F40808">
        <w:t xml:space="preserve">En el caso de que se presupueste la ejecución de obras públicas mediante convenios con otros sectores públicos y privados, se deberá identificar el estimado de recursos que se aportarán por cada uno de los sectores. Los recursos de inversión que se autoricen se destinarán principalmente a: </w:t>
      </w:r>
    </w:p>
    <w:p w14:paraId="3E449FC4" w14:textId="77777777" w:rsidR="00920D71" w:rsidRPr="00F40808" w:rsidRDefault="00C606AE" w:rsidP="00920D71">
      <w:pPr>
        <w:pBdr>
          <w:top w:val="nil"/>
          <w:left w:val="nil"/>
          <w:bottom w:val="nil"/>
          <w:right w:val="nil"/>
          <w:between w:val="nil"/>
        </w:pBdr>
        <w:ind w:left="708"/>
      </w:pPr>
      <w:r w:rsidRPr="00F40808">
        <w:t xml:space="preserve">• La terminación de las obras públicas en proceso. </w:t>
      </w:r>
    </w:p>
    <w:p w14:paraId="6A981541" w14:textId="77777777" w:rsidR="00920D71" w:rsidRPr="00F40808" w:rsidRDefault="00C606AE" w:rsidP="00920D71">
      <w:pPr>
        <w:pBdr>
          <w:top w:val="nil"/>
          <w:left w:val="nil"/>
          <w:bottom w:val="nil"/>
          <w:right w:val="nil"/>
          <w:between w:val="nil"/>
        </w:pBdr>
        <w:ind w:left="708"/>
      </w:pPr>
      <w:r w:rsidRPr="00F40808">
        <w:t xml:space="preserve">• La asignación de recursos a nuevos proyectos se fundamentará en criterios que garanticen el cumplimiento de las demandas de la sociedad establecidas en el Plan de Desarrollo Municipal, o bien, por nuevos requerimientos que apruebe el Ayuntamiento. </w:t>
      </w:r>
    </w:p>
    <w:p w14:paraId="0FCF8050" w14:textId="33FB5E9F" w:rsidR="00920D71" w:rsidRPr="00F40808" w:rsidRDefault="00C606AE" w:rsidP="009F5371">
      <w:pPr>
        <w:pBdr>
          <w:top w:val="nil"/>
          <w:left w:val="nil"/>
          <w:bottom w:val="nil"/>
          <w:right w:val="nil"/>
          <w:between w:val="nil"/>
        </w:pBdr>
        <w:ind w:left="708"/>
      </w:pPr>
      <w:r w:rsidRPr="00F40808">
        <w:t xml:space="preserve">• Los proyectos de obra pública deberán ser evaluados social y económicamente para identificar la relación costo-beneficio de los mismos y señalar posibles fuentes financieras de acuerdo a sus características, así como la justificación de su prioridad. </w:t>
      </w:r>
    </w:p>
    <w:p w14:paraId="6F8C8C15" w14:textId="77777777" w:rsidR="001C4B10" w:rsidRPr="00F40808" w:rsidRDefault="001C4B10" w:rsidP="001958CC">
      <w:pPr>
        <w:pBdr>
          <w:top w:val="nil"/>
          <w:left w:val="nil"/>
          <w:bottom w:val="nil"/>
          <w:right w:val="nil"/>
          <w:between w:val="nil"/>
        </w:pBdr>
      </w:pPr>
    </w:p>
    <w:p w14:paraId="3D93597B" w14:textId="4EB09924" w:rsidR="002E3D0E" w:rsidRPr="00F40808" w:rsidRDefault="00C606AE" w:rsidP="001958CC">
      <w:pPr>
        <w:pBdr>
          <w:top w:val="nil"/>
          <w:left w:val="nil"/>
          <w:bottom w:val="nil"/>
          <w:right w:val="nil"/>
          <w:between w:val="nil"/>
        </w:pBdr>
        <w:rPr>
          <w:rFonts w:eastAsia="Palatino Linotype" w:cs="Palatino Linotype"/>
          <w:color w:val="000000"/>
          <w:szCs w:val="24"/>
        </w:rPr>
      </w:pPr>
      <w:r w:rsidRPr="00F40808">
        <w:t>Cuando existan obras cuya ejecución requiera varios ejercicios presupuestarios, las dependencias deberán presentar a la Tesorería, el programa de ejecución de la obra en donde se establezcan claramente los plazos para su ejecución, identificando la fase a realizar en el presente año. Dicho documento, servirá para integrar el expediente técnico</w:t>
      </w:r>
      <w:r w:rsidR="00FE4B11" w:rsidRPr="00F40808">
        <w:t xml:space="preserve">, por lo que el formato </w:t>
      </w:r>
      <w:r w:rsidR="00FE4B11" w:rsidRPr="00F40808">
        <w:rPr>
          <w:color w:val="000000"/>
          <w:szCs w:val="24"/>
        </w:rPr>
        <w:t xml:space="preserve">PbRM-07a así como el formato </w:t>
      </w:r>
      <w:r w:rsidR="00FE4B11" w:rsidRPr="00F40808">
        <w:rPr>
          <w:rFonts w:cs="Tahoma"/>
          <w:bCs/>
          <w:color w:val="000000"/>
        </w:rPr>
        <w:t>PbRM. 07b</w:t>
      </w:r>
      <w:r w:rsidR="00617234" w:rsidRPr="00F40808">
        <w:rPr>
          <w:rFonts w:cs="Tahoma"/>
          <w:bCs/>
          <w:color w:val="000000"/>
        </w:rPr>
        <w:t xml:space="preserve"> representan en su </w:t>
      </w:r>
      <w:r w:rsidR="00617234" w:rsidRPr="00F40808">
        <w:rPr>
          <w:rFonts w:cs="Tahoma"/>
          <w:bCs/>
          <w:color w:val="000000"/>
        </w:rPr>
        <w:lastRenderedPageBreak/>
        <w:t xml:space="preserve">conjunto el </w:t>
      </w:r>
      <w:r w:rsidR="00617234" w:rsidRPr="00F40808">
        <w:t>g</w:t>
      </w:r>
      <w:r w:rsidR="00617234" w:rsidRPr="00F40808">
        <w:rPr>
          <w:rFonts w:eastAsia="Palatino Linotype" w:cs="Palatino Linotype"/>
          <w:color w:val="000000"/>
          <w:szCs w:val="24"/>
        </w:rPr>
        <w:t>asto de cada una de las Obras Públicas que se realizaron en el Municipio de Tultepec</w:t>
      </w:r>
      <w:r w:rsidR="006A4910" w:rsidRPr="00F40808">
        <w:rPr>
          <w:rFonts w:eastAsia="Palatino Linotype" w:cs="Palatino Linotype"/>
          <w:color w:val="000000"/>
          <w:szCs w:val="24"/>
        </w:rPr>
        <w:t xml:space="preserve"> además en estos se pueden advertir las obras que se han realizado, pues como se describió en líneas anteriores forman parte de </w:t>
      </w:r>
      <w:r w:rsidR="00397FDF" w:rsidRPr="00F40808">
        <w:rPr>
          <w:rFonts w:eastAsia="Palatino Linotype" w:cs="Palatino Linotype"/>
          <w:color w:val="000000"/>
          <w:szCs w:val="24"/>
        </w:rPr>
        <w:t xml:space="preserve">las programaciones presupuestales designadas por el Sujeto Obligado. </w:t>
      </w:r>
    </w:p>
    <w:p w14:paraId="1552A317" w14:textId="77777777" w:rsidR="004307AA" w:rsidRPr="00F40808" w:rsidRDefault="004307AA" w:rsidP="001958CC">
      <w:pPr>
        <w:pBdr>
          <w:top w:val="nil"/>
          <w:left w:val="nil"/>
          <w:bottom w:val="nil"/>
          <w:right w:val="nil"/>
          <w:between w:val="nil"/>
        </w:pBdr>
        <w:rPr>
          <w:szCs w:val="24"/>
        </w:rPr>
      </w:pPr>
    </w:p>
    <w:p w14:paraId="4B401ACB" w14:textId="1E9C09EB" w:rsidR="0059344A" w:rsidRPr="00F40808" w:rsidRDefault="00132654" w:rsidP="0059344A">
      <w:pPr>
        <w:pStyle w:val="INFOEM"/>
        <w:ind w:left="0" w:right="0"/>
        <w:rPr>
          <w:i w:val="0"/>
          <w:sz w:val="24"/>
          <w:szCs w:val="24"/>
        </w:rPr>
      </w:pPr>
      <w:r w:rsidRPr="00F40808">
        <w:rPr>
          <w:rFonts w:eastAsia="Palatino Linotype" w:cs="Palatino Linotype"/>
          <w:i w:val="0"/>
          <w:sz w:val="24"/>
          <w:szCs w:val="24"/>
        </w:rPr>
        <w:t xml:space="preserve">Por lo señalado anteriormente y en virtud de que las pretensiones del Recurrente fueron colmadas parcialmente, este Órgano Garante estima que las razones o motivos de inconformidad planteados en el recurso de revisión devienen fundados, por lo que es dable ordenar la entrega </w:t>
      </w:r>
      <w:r w:rsidR="001958CC" w:rsidRPr="00F40808">
        <w:rPr>
          <w:rFonts w:eastAsia="Palatino Linotype" w:cs="Palatino Linotype"/>
          <w:i w:val="0"/>
          <w:sz w:val="24"/>
          <w:szCs w:val="24"/>
        </w:rPr>
        <w:t>de ser procedente en versión pública el f</w:t>
      </w:r>
      <w:r w:rsidR="001958CC" w:rsidRPr="00F40808">
        <w:rPr>
          <w:rFonts w:eastAsia="Palatino Linotype" w:cs="Palatino Linotype"/>
          <w:i w:val="0"/>
          <w:iCs/>
          <w:sz w:val="24"/>
          <w:szCs w:val="24"/>
        </w:rPr>
        <w:t xml:space="preserve">ormato </w:t>
      </w:r>
      <w:r w:rsidR="001958CC" w:rsidRPr="00F40808">
        <w:rPr>
          <w:rFonts w:cs="Tahoma"/>
          <w:i w:val="0"/>
          <w:iCs/>
          <w:color w:val="000000"/>
          <w:sz w:val="24"/>
          <w:szCs w:val="24"/>
        </w:rPr>
        <w:t>PbRM 07a corresponde al Programa Anual de Obras</w:t>
      </w:r>
      <w:r w:rsidR="00AC172E" w:rsidRPr="00F40808">
        <w:rPr>
          <w:rFonts w:cs="Tahoma"/>
          <w:i w:val="0"/>
          <w:iCs/>
          <w:color w:val="000000"/>
          <w:sz w:val="24"/>
          <w:szCs w:val="24"/>
        </w:rPr>
        <w:t xml:space="preserve"> </w:t>
      </w:r>
      <w:r w:rsidR="001958CC" w:rsidRPr="00F40808">
        <w:rPr>
          <w:i w:val="0"/>
          <w:iCs/>
          <w:sz w:val="24"/>
          <w:szCs w:val="24"/>
        </w:rPr>
        <w:t xml:space="preserve">así como el </w:t>
      </w:r>
      <w:r w:rsidR="001958CC" w:rsidRPr="00F40808">
        <w:rPr>
          <w:rFonts w:cs="Tahoma"/>
          <w:i w:val="0"/>
          <w:iCs/>
          <w:color w:val="000000"/>
          <w:sz w:val="24"/>
          <w:szCs w:val="24"/>
        </w:rPr>
        <w:t>f</w:t>
      </w:r>
      <w:r w:rsidR="003C62EA" w:rsidRPr="00F40808">
        <w:rPr>
          <w:rFonts w:cs="Tahoma"/>
          <w:i w:val="0"/>
          <w:iCs/>
          <w:color w:val="000000"/>
          <w:sz w:val="24"/>
          <w:szCs w:val="24"/>
        </w:rPr>
        <w:t>ormato PbRM</w:t>
      </w:r>
      <w:r w:rsidR="001958CC" w:rsidRPr="00F40808">
        <w:rPr>
          <w:rFonts w:cs="Tahoma"/>
          <w:i w:val="0"/>
          <w:iCs/>
          <w:color w:val="000000"/>
          <w:sz w:val="24"/>
          <w:szCs w:val="24"/>
        </w:rPr>
        <w:t xml:space="preserve"> 07b correspondiente al Programa Anual de Obras (reparaciones y mantenimiento</w:t>
      </w:r>
      <w:r w:rsidR="00AC172E" w:rsidRPr="00F40808">
        <w:rPr>
          <w:rFonts w:cs="Tahoma"/>
          <w:i w:val="0"/>
          <w:iCs/>
          <w:color w:val="000000"/>
          <w:sz w:val="24"/>
          <w:szCs w:val="24"/>
        </w:rPr>
        <w:t>)</w:t>
      </w:r>
      <w:r w:rsidR="001958CC" w:rsidRPr="00F40808">
        <w:rPr>
          <w:rFonts w:cs="Tahoma"/>
          <w:i w:val="0"/>
          <w:iCs/>
          <w:color w:val="000000"/>
          <w:sz w:val="24"/>
          <w:szCs w:val="24"/>
        </w:rPr>
        <w:t xml:space="preserve"> </w:t>
      </w:r>
      <w:r w:rsidR="001958CC" w:rsidRPr="00F40808">
        <w:rPr>
          <w:rFonts w:eastAsia="Palatino Linotype" w:cs="Palatino Linotype"/>
          <w:i w:val="0"/>
          <w:sz w:val="24"/>
          <w:szCs w:val="24"/>
        </w:rPr>
        <w:t xml:space="preserve">de los ejercicios fiscales 2022, 2023 y 2024 </w:t>
      </w:r>
      <w:r w:rsidR="001C4B10" w:rsidRPr="00F40808">
        <w:rPr>
          <w:rFonts w:eastAsia="Palatino Linotype" w:cs="Palatino Linotype"/>
          <w:i w:val="0"/>
          <w:sz w:val="24"/>
          <w:szCs w:val="24"/>
        </w:rPr>
        <w:t xml:space="preserve">así como de las obras públicas realizadas por el Municipio del primero de enero del dos mil veintidós al </w:t>
      </w:r>
      <w:r w:rsidR="00E86263" w:rsidRPr="00F40808">
        <w:rPr>
          <w:rFonts w:eastAsia="Palatino Linotype" w:cs="Palatino Linotype"/>
          <w:i w:val="0"/>
          <w:sz w:val="24"/>
          <w:szCs w:val="24"/>
        </w:rPr>
        <w:t>treinta y uno de diciembre de dos mil veint</w:t>
      </w:r>
      <w:r w:rsidR="00096455" w:rsidRPr="00F40808">
        <w:rPr>
          <w:rFonts w:eastAsia="Palatino Linotype" w:cs="Palatino Linotype"/>
          <w:i w:val="0"/>
          <w:sz w:val="24"/>
          <w:szCs w:val="24"/>
        </w:rPr>
        <w:t>itrés</w:t>
      </w:r>
      <w:r w:rsidR="001C4B10" w:rsidRPr="00F40808">
        <w:rPr>
          <w:rFonts w:eastAsia="Palatino Linotype" w:cs="Palatino Linotype"/>
          <w:i w:val="0"/>
          <w:sz w:val="24"/>
          <w:szCs w:val="24"/>
        </w:rPr>
        <w:t>, las empresas que participaron en el proceso de licitación así como las empresas que han realizado obras públicas</w:t>
      </w:r>
      <w:r w:rsidR="007B6915" w:rsidRPr="00F40808">
        <w:rPr>
          <w:i w:val="0"/>
          <w:sz w:val="24"/>
          <w:szCs w:val="24"/>
        </w:rPr>
        <w:t xml:space="preserve">; </w:t>
      </w:r>
      <w:r w:rsidR="001958CC" w:rsidRPr="00F40808">
        <w:rPr>
          <w:i w:val="0"/>
          <w:sz w:val="24"/>
          <w:szCs w:val="24"/>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001958CC" w:rsidRPr="00F40808">
        <w:rPr>
          <w:bCs/>
          <w:i w:val="0"/>
          <w:sz w:val="24"/>
          <w:szCs w:val="24"/>
        </w:rPr>
        <w:t>Recurrente</w:t>
      </w:r>
      <w:r w:rsidR="001958CC" w:rsidRPr="00F40808">
        <w:rPr>
          <w:i w:val="0"/>
          <w:sz w:val="24"/>
          <w:szCs w:val="24"/>
        </w:rPr>
        <w:t>.</w:t>
      </w:r>
    </w:p>
    <w:p w14:paraId="1A4CBC7D" w14:textId="77777777" w:rsidR="0059344A" w:rsidRPr="00F40808" w:rsidRDefault="0059344A" w:rsidP="0059344A">
      <w:pPr>
        <w:pStyle w:val="INFOEM"/>
        <w:ind w:left="0" w:right="0"/>
        <w:rPr>
          <w:i w:val="0"/>
          <w:sz w:val="24"/>
          <w:szCs w:val="24"/>
        </w:rPr>
      </w:pPr>
      <w:r w:rsidRPr="00F40808">
        <w:rPr>
          <w:rFonts w:eastAsia="Palatino Linotype" w:cs="Palatino Linotype"/>
          <w:i w:val="0"/>
          <w:sz w:val="24"/>
          <w:szCs w:val="24"/>
        </w:rPr>
        <w:t>Ahora bien, no pasa desapercibido para este Instituto que el Particular por una parte señaló que requería la información en copias simples.</w:t>
      </w:r>
    </w:p>
    <w:p w14:paraId="7AE0DB6C" w14:textId="32E51B15" w:rsidR="0059344A" w:rsidRPr="00F40808" w:rsidRDefault="0059344A" w:rsidP="0059344A">
      <w:pPr>
        <w:pStyle w:val="INFOEM"/>
        <w:ind w:left="0" w:right="0"/>
        <w:rPr>
          <w:i w:val="0"/>
          <w:sz w:val="24"/>
          <w:szCs w:val="24"/>
        </w:rPr>
      </w:pPr>
      <w:r w:rsidRPr="00F40808">
        <w:rPr>
          <w:rFonts w:eastAsia="Palatino Linotype" w:cs="Palatino Linotype"/>
          <w:i w:val="0"/>
          <w:sz w:val="24"/>
          <w:szCs w:val="24"/>
        </w:rPr>
        <w:lastRenderedPageBreak/>
        <w:t xml:space="preserve">Al respecto, este Instituto considera, que ordenar entregar dicha información en copia simple, causaría un perjuicio al derecho de acceso a la información del Solicitante, apartándose de los </w:t>
      </w:r>
      <w:r w:rsidRPr="00F40808">
        <w:rPr>
          <w:rFonts w:eastAsia="Palatino Linotype" w:cs="Palatino Linotype"/>
          <w:b/>
          <w:bCs/>
          <w:i w:val="0"/>
          <w:sz w:val="24"/>
          <w:szCs w:val="24"/>
        </w:rPr>
        <w:t>principios de sencillez, rapidez y gratuidad</w:t>
      </w:r>
      <w:r w:rsidRPr="00F40808">
        <w:rPr>
          <w:rFonts w:eastAsia="Palatino Linotype" w:cs="Palatino Linotype"/>
          <w:i w:val="0"/>
          <w:sz w:val="24"/>
          <w:szCs w:val="24"/>
        </w:rPr>
        <w:t xml:space="preserve"> establecidos por la Ley de Transparencia y Acceso a la Información Pública del Estado de México y Municipios, toda vez que demoraría los plazos del procedimiento y generaría una carga adicional al Sujeto Obligado.</w:t>
      </w:r>
    </w:p>
    <w:p w14:paraId="67FC0FF1" w14:textId="5F725F7E" w:rsidR="0059344A" w:rsidRPr="00F40808" w:rsidRDefault="0059344A" w:rsidP="0059344A">
      <w:pPr>
        <w:pStyle w:val="INFOEM"/>
        <w:ind w:left="0" w:right="0"/>
        <w:rPr>
          <w:rFonts w:eastAsia="Palatino Linotype" w:cs="Palatino Linotype"/>
          <w:i w:val="0"/>
          <w:sz w:val="24"/>
          <w:szCs w:val="24"/>
        </w:rPr>
      </w:pPr>
      <w:r w:rsidRPr="00F40808">
        <w:rPr>
          <w:rFonts w:eastAsia="Palatino Linotype" w:cs="Palatino Linotype"/>
          <w:i w:val="0"/>
          <w:sz w:val="24"/>
          <w:szCs w:val="24"/>
        </w:rPr>
        <w:t xml:space="preserve"> Asimismo, cabe precisar que la copia simple, equivale a la reproducción literal de un documento, situación que de la misma manera sería la digitalización de este, por lo que, al obtener la información requerida través Sistema de Acceso a la Información Mexiquense (SAIMEX), el Recurrente puede imprimir dicha documentación para tenerla en el formato requerido, así, se considera procedente ordenar la entrega del punto requerido en dicho Portal.</w:t>
      </w:r>
    </w:p>
    <w:p w14:paraId="6DBBBA70" w14:textId="77777777" w:rsidR="0059344A" w:rsidRPr="00F40808" w:rsidRDefault="0059344A" w:rsidP="0059344A">
      <w:pPr>
        <w:pStyle w:val="INFOEM"/>
        <w:ind w:left="0" w:right="0"/>
        <w:rPr>
          <w:rFonts w:eastAsia="Palatino Linotype" w:cs="Palatino Linotype"/>
          <w:i w:val="0"/>
          <w:sz w:val="24"/>
          <w:szCs w:val="24"/>
        </w:rPr>
      </w:pPr>
    </w:p>
    <w:p w14:paraId="1D5F6AFB" w14:textId="77777777" w:rsidR="00132654" w:rsidRPr="00F40808" w:rsidRDefault="00132654" w:rsidP="00132654">
      <w:pPr>
        <w:autoSpaceDE w:val="0"/>
        <w:autoSpaceDN w:val="0"/>
        <w:adjustRightInd w:val="0"/>
        <w:contextualSpacing/>
        <w:rPr>
          <w:rFonts w:eastAsia="Times New Roman" w:cs="Arial"/>
          <w:b/>
          <w:i/>
          <w:sz w:val="28"/>
          <w:szCs w:val="24"/>
          <w:lang w:val="es-ES" w:eastAsia="es-ES"/>
        </w:rPr>
      </w:pPr>
      <w:r w:rsidRPr="00F40808">
        <w:rPr>
          <w:rFonts w:eastAsia="Times New Roman" w:cs="Arial"/>
          <w:b/>
          <w:i/>
          <w:sz w:val="28"/>
          <w:szCs w:val="24"/>
          <w:lang w:val="es-ES" w:eastAsia="es-ES"/>
        </w:rPr>
        <w:t xml:space="preserve">De la versión pública </w:t>
      </w:r>
    </w:p>
    <w:p w14:paraId="7097D1E9" w14:textId="77777777" w:rsidR="00132654" w:rsidRPr="00F40808" w:rsidRDefault="00132654" w:rsidP="00132654">
      <w:pPr>
        <w:rPr>
          <w:rFonts w:cs="Arial"/>
          <w:szCs w:val="24"/>
        </w:rPr>
      </w:pPr>
      <w:r w:rsidRPr="00F40808">
        <w:rPr>
          <w:rFonts w:cs="Arial"/>
          <w:szCs w:val="24"/>
        </w:rPr>
        <w:t xml:space="preserve">Toda vez que los documentos referidos anteriormente son elaborados por quincenas y atendiendo al requerimiento del ciudadano, este Órgano Garante determina ordenar que la entrega de la información al </w:t>
      </w:r>
      <w:r w:rsidRPr="00F40808">
        <w:rPr>
          <w:rFonts w:cs="Arial"/>
          <w:b/>
          <w:szCs w:val="24"/>
        </w:rPr>
        <w:t>Recurrente</w:t>
      </w:r>
      <w:r w:rsidRPr="00F40808">
        <w:rPr>
          <w:rFonts w:cs="Arial"/>
          <w:szCs w:val="24"/>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0B5CC75E" w14:textId="77777777" w:rsidR="00132654" w:rsidRPr="00F40808" w:rsidRDefault="00132654" w:rsidP="00132654">
      <w:pPr>
        <w:rPr>
          <w:rFonts w:cs="Arial"/>
          <w:szCs w:val="24"/>
        </w:rPr>
      </w:pPr>
    </w:p>
    <w:p w14:paraId="01590E09" w14:textId="77777777" w:rsidR="00132654" w:rsidRPr="00F40808" w:rsidRDefault="00132654" w:rsidP="00132654">
      <w:pPr>
        <w:rPr>
          <w:rFonts w:cs="Arial"/>
          <w:szCs w:val="24"/>
        </w:rPr>
      </w:pPr>
      <w:r w:rsidRPr="00F40808">
        <w:rPr>
          <w:rFonts w:cs="Arial"/>
          <w:szCs w:val="24"/>
        </w:rPr>
        <w:lastRenderedPageBreak/>
        <w:t>A este respecto, los artículos 3, fracciones IX, XX, XXI y XLV; 51 y 52, de la Ley de Transparencia y Acceso a la Información Pública del Estado de México y Municipios establecen:</w:t>
      </w:r>
    </w:p>
    <w:p w14:paraId="507C1B2D" w14:textId="77777777" w:rsidR="00132654" w:rsidRPr="00F40808" w:rsidRDefault="00132654" w:rsidP="00132654">
      <w:pPr>
        <w:spacing w:line="276" w:lineRule="auto"/>
        <w:ind w:left="567" w:right="567"/>
        <w:rPr>
          <w:rFonts w:cs="Arial"/>
          <w:i/>
          <w:sz w:val="22"/>
        </w:rPr>
      </w:pPr>
      <w:r w:rsidRPr="00F40808">
        <w:rPr>
          <w:rFonts w:cs="Arial"/>
          <w:i/>
          <w:sz w:val="22"/>
        </w:rPr>
        <w:t>“</w:t>
      </w:r>
      <w:r w:rsidRPr="00F40808">
        <w:rPr>
          <w:rFonts w:cs="Arial"/>
          <w:b/>
          <w:i/>
          <w:sz w:val="22"/>
        </w:rPr>
        <w:t>Artículo 3.</w:t>
      </w:r>
      <w:r w:rsidRPr="00F40808">
        <w:rPr>
          <w:rFonts w:cs="Arial"/>
          <w:i/>
          <w:sz w:val="22"/>
        </w:rPr>
        <w:t xml:space="preserve"> Para los efectos de la presente Ley se entenderá por: </w:t>
      </w:r>
    </w:p>
    <w:p w14:paraId="442B781F" w14:textId="77777777" w:rsidR="00132654" w:rsidRPr="00F40808" w:rsidRDefault="00132654" w:rsidP="00132654">
      <w:pPr>
        <w:spacing w:line="276" w:lineRule="auto"/>
        <w:ind w:left="567" w:right="567"/>
        <w:rPr>
          <w:rFonts w:cs="Arial"/>
          <w:i/>
          <w:sz w:val="22"/>
        </w:rPr>
      </w:pPr>
      <w:r w:rsidRPr="00F40808">
        <w:rPr>
          <w:rFonts w:cs="Arial"/>
          <w:i/>
          <w:sz w:val="22"/>
        </w:rPr>
        <w:t>…</w:t>
      </w:r>
    </w:p>
    <w:p w14:paraId="52AC1C58" w14:textId="77777777" w:rsidR="00132654" w:rsidRPr="00F40808" w:rsidRDefault="00132654" w:rsidP="00132654">
      <w:pPr>
        <w:spacing w:line="276" w:lineRule="auto"/>
        <w:ind w:left="567" w:right="567"/>
        <w:rPr>
          <w:rFonts w:cs="Arial"/>
          <w:i/>
          <w:sz w:val="22"/>
        </w:rPr>
      </w:pPr>
      <w:r w:rsidRPr="00F40808">
        <w:rPr>
          <w:rFonts w:cs="Arial"/>
          <w:b/>
          <w:i/>
          <w:sz w:val="22"/>
        </w:rPr>
        <w:t>IX</w:t>
      </w:r>
      <w:r w:rsidRPr="00F40808">
        <w:rPr>
          <w:rFonts w:cs="Arial"/>
          <w:i/>
          <w:sz w:val="22"/>
        </w:rPr>
        <w:t xml:space="preserve">. </w:t>
      </w:r>
      <w:r w:rsidRPr="00F40808">
        <w:rPr>
          <w:rFonts w:cs="Arial"/>
          <w:b/>
          <w:i/>
          <w:sz w:val="22"/>
        </w:rPr>
        <w:t>Datos personales:</w:t>
      </w:r>
      <w:r w:rsidRPr="00F40808">
        <w:rPr>
          <w:rFonts w:cs="Arial"/>
          <w:i/>
          <w:sz w:val="22"/>
        </w:rPr>
        <w:t xml:space="preserve"> La información concerniente a una persona, identificada o identificable según lo dispuesto por la Ley de Protección de Datos Personales del Estado de México; </w:t>
      </w:r>
    </w:p>
    <w:p w14:paraId="2FC84911" w14:textId="77777777" w:rsidR="00132654" w:rsidRPr="00F40808" w:rsidRDefault="00132654" w:rsidP="00132654">
      <w:pPr>
        <w:spacing w:line="276" w:lineRule="auto"/>
        <w:ind w:left="567" w:right="567"/>
        <w:rPr>
          <w:rFonts w:cs="Arial"/>
          <w:i/>
          <w:sz w:val="22"/>
        </w:rPr>
      </w:pPr>
    </w:p>
    <w:p w14:paraId="31A7D6A3" w14:textId="77777777" w:rsidR="00132654" w:rsidRPr="00F40808" w:rsidRDefault="00132654" w:rsidP="00132654">
      <w:pPr>
        <w:spacing w:line="276" w:lineRule="auto"/>
        <w:ind w:left="567" w:right="567"/>
        <w:rPr>
          <w:rFonts w:cs="Arial"/>
          <w:i/>
          <w:sz w:val="22"/>
        </w:rPr>
      </w:pPr>
      <w:r w:rsidRPr="00F40808">
        <w:rPr>
          <w:rFonts w:cs="Arial"/>
          <w:b/>
          <w:i/>
          <w:sz w:val="22"/>
        </w:rPr>
        <w:t>XX. Información clasificada:</w:t>
      </w:r>
      <w:r w:rsidRPr="00F40808">
        <w:rPr>
          <w:rFonts w:cs="Arial"/>
          <w:i/>
          <w:sz w:val="22"/>
        </w:rPr>
        <w:t xml:space="preserve"> Aquella considerada por la presente Ley como reservada o confidencial; </w:t>
      </w:r>
    </w:p>
    <w:p w14:paraId="0EE1ED4E" w14:textId="77777777" w:rsidR="00132654" w:rsidRPr="00F40808" w:rsidRDefault="00132654" w:rsidP="00132654">
      <w:pPr>
        <w:spacing w:line="276" w:lineRule="auto"/>
        <w:ind w:left="567" w:right="567"/>
        <w:rPr>
          <w:rFonts w:cs="Arial"/>
          <w:i/>
          <w:sz w:val="22"/>
        </w:rPr>
      </w:pPr>
    </w:p>
    <w:p w14:paraId="0C5984C2" w14:textId="77777777" w:rsidR="00132654" w:rsidRPr="00F40808" w:rsidRDefault="00132654" w:rsidP="00132654">
      <w:pPr>
        <w:spacing w:line="276" w:lineRule="auto"/>
        <w:ind w:left="567" w:right="567"/>
        <w:rPr>
          <w:rFonts w:cs="Arial"/>
          <w:i/>
          <w:sz w:val="22"/>
        </w:rPr>
      </w:pPr>
      <w:r w:rsidRPr="00F40808">
        <w:rPr>
          <w:rFonts w:cs="Arial"/>
          <w:b/>
          <w:i/>
          <w:sz w:val="22"/>
        </w:rPr>
        <w:t>XXI. Información confidencial:</w:t>
      </w:r>
      <w:r w:rsidRPr="00F40808">
        <w:rPr>
          <w:rFonts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146BB86" w14:textId="77777777" w:rsidR="00132654" w:rsidRPr="00F40808" w:rsidRDefault="00132654" w:rsidP="00132654">
      <w:pPr>
        <w:spacing w:line="276" w:lineRule="auto"/>
        <w:ind w:left="567" w:right="567"/>
        <w:rPr>
          <w:rFonts w:cs="Arial"/>
          <w:i/>
          <w:sz w:val="22"/>
        </w:rPr>
      </w:pPr>
      <w:r w:rsidRPr="00F40808">
        <w:rPr>
          <w:rFonts w:cs="Arial"/>
          <w:b/>
          <w:i/>
          <w:sz w:val="22"/>
        </w:rPr>
        <w:t>XLV. Versión pública:</w:t>
      </w:r>
      <w:r w:rsidRPr="00F40808">
        <w:rPr>
          <w:rFonts w:cs="Arial"/>
          <w:i/>
          <w:sz w:val="22"/>
        </w:rPr>
        <w:t xml:space="preserve"> Documento en el que se elimine, suprime o borra la información clasificada como reservada o confidencial para permitir su acceso. </w:t>
      </w:r>
    </w:p>
    <w:p w14:paraId="7194F498" w14:textId="77777777" w:rsidR="00132654" w:rsidRPr="00F40808" w:rsidRDefault="00132654" w:rsidP="00132654">
      <w:pPr>
        <w:spacing w:line="276" w:lineRule="auto"/>
        <w:ind w:left="567" w:right="567"/>
        <w:rPr>
          <w:rFonts w:cs="Arial"/>
          <w:i/>
          <w:sz w:val="22"/>
        </w:rPr>
      </w:pPr>
    </w:p>
    <w:p w14:paraId="7A786127" w14:textId="77777777" w:rsidR="00132654" w:rsidRPr="00F40808" w:rsidRDefault="00132654" w:rsidP="00132654">
      <w:pPr>
        <w:spacing w:line="276" w:lineRule="auto"/>
        <w:ind w:left="567" w:right="567"/>
        <w:rPr>
          <w:rFonts w:cs="Arial"/>
          <w:i/>
          <w:sz w:val="22"/>
        </w:rPr>
      </w:pPr>
      <w:r w:rsidRPr="00F40808">
        <w:rPr>
          <w:rFonts w:cs="Arial"/>
          <w:b/>
          <w:i/>
          <w:sz w:val="22"/>
        </w:rPr>
        <w:t xml:space="preserve">Artículo 51. </w:t>
      </w:r>
      <w:r w:rsidRPr="00F40808">
        <w:rPr>
          <w:rFonts w:cs="Arial"/>
          <w:i/>
          <w:sz w:val="22"/>
        </w:rPr>
        <w:t xml:space="preserve">Los sujetos obligados designaran a un responsable para atender la Unidad de Transparencia, quien fungirá como enlace entre éstos y los solicitantes. Dicha Unidad será la encargada de tramitar internamente la solicitud de información </w:t>
      </w:r>
      <w:r w:rsidRPr="00F40808">
        <w:rPr>
          <w:rFonts w:cs="Arial"/>
          <w:b/>
          <w:i/>
          <w:sz w:val="22"/>
        </w:rPr>
        <w:t>y tendrá la responsabilidad de verificar en cada caso que la misma no sea confidencial o reservada</w:t>
      </w:r>
      <w:r w:rsidRPr="00F40808">
        <w:rPr>
          <w:rFonts w:cs="Arial"/>
          <w:i/>
          <w:sz w:val="22"/>
        </w:rPr>
        <w:t xml:space="preserve">. Dicha Unidad contará con las facultades internas necesarias para gestionar la atención a las solicitudes de información en los términos de la Ley General y la presente Ley. </w:t>
      </w:r>
    </w:p>
    <w:p w14:paraId="773411C5" w14:textId="77777777" w:rsidR="00132654" w:rsidRPr="00F40808" w:rsidRDefault="00132654" w:rsidP="00132654">
      <w:pPr>
        <w:spacing w:line="276" w:lineRule="auto"/>
        <w:ind w:left="567" w:right="567"/>
        <w:rPr>
          <w:rFonts w:cs="Arial"/>
          <w:i/>
          <w:sz w:val="22"/>
        </w:rPr>
      </w:pPr>
    </w:p>
    <w:p w14:paraId="239AB578" w14:textId="77777777" w:rsidR="00132654" w:rsidRPr="00F40808" w:rsidRDefault="00132654" w:rsidP="00132654">
      <w:pPr>
        <w:spacing w:line="276" w:lineRule="auto"/>
        <w:ind w:left="567" w:right="567"/>
        <w:rPr>
          <w:rFonts w:cs="Arial"/>
          <w:i/>
          <w:sz w:val="22"/>
        </w:rPr>
      </w:pPr>
      <w:r w:rsidRPr="00F40808">
        <w:rPr>
          <w:rFonts w:cs="Arial"/>
          <w:b/>
          <w:i/>
          <w:sz w:val="22"/>
        </w:rPr>
        <w:t>Artículo 52.</w:t>
      </w:r>
      <w:r w:rsidRPr="00F40808">
        <w:rPr>
          <w:rFonts w:cs="Arial"/>
          <w:i/>
          <w:sz w:val="22"/>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18E3F6B1" w14:textId="77777777" w:rsidR="001958CC" w:rsidRPr="00F40808" w:rsidRDefault="001958CC" w:rsidP="00132654">
      <w:pPr>
        <w:rPr>
          <w:rFonts w:cs="Arial"/>
          <w:szCs w:val="24"/>
        </w:rPr>
      </w:pPr>
    </w:p>
    <w:p w14:paraId="01307CA9" w14:textId="6C050D81" w:rsidR="00132654" w:rsidRPr="00F40808" w:rsidRDefault="00132654" w:rsidP="00132654">
      <w:pPr>
        <w:rPr>
          <w:rFonts w:cs="Arial"/>
          <w:szCs w:val="24"/>
        </w:rPr>
      </w:pPr>
      <w:r w:rsidRPr="00F40808">
        <w:rPr>
          <w:rFonts w:cs="Arial"/>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3C2B1E7C" w14:textId="77777777" w:rsidR="00132654" w:rsidRPr="00F40808" w:rsidRDefault="00132654" w:rsidP="00132654">
      <w:pPr>
        <w:rPr>
          <w:rFonts w:cs="Arial"/>
          <w:sz w:val="22"/>
        </w:rPr>
      </w:pPr>
    </w:p>
    <w:p w14:paraId="5D3D52A3" w14:textId="77777777" w:rsidR="00132654" w:rsidRPr="00F40808" w:rsidRDefault="00132654" w:rsidP="00132654">
      <w:pPr>
        <w:spacing w:line="276" w:lineRule="auto"/>
        <w:ind w:left="567" w:right="567"/>
        <w:rPr>
          <w:rFonts w:cs="Arial"/>
          <w:i/>
          <w:sz w:val="22"/>
        </w:rPr>
      </w:pPr>
      <w:r w:rsidRPr="00F40808">
        <w:rPr>
          <w:rFonts w:cs="Arial"/>
          <w:i/>
          <w:sz w:val="22"/>
        </w:rPr>
        <w:t>“</w:t>
      </w:r>
      <w:r w:rsidRPr="00F40808">
        <w:rPr>
          <w:rFonts w:cs="Arial"/>
          <w:b/>
          <w:i/>
          <w:sz w:val="22"/>
        </w:rPr>
        <w:t>Artículo 22.</w:t>
      </w:r>
      <w:r w:rsidRPr="00F40808">
        <w:rPr>
          <w:rFonts w:cs="Arial"/>
          <w:i/>
          <w:sz w:val="22"/>
        </w:rPr>
        <w:t xml:space="preserve"> Todo tratamiento de datos personales que efectúe el responsable deberá estar justificado por finalidades concretas, lícitas, explícitas y legítimas, relacionadas con las atribuciones que la normatividad aplicable les confiera.</w:t>
      </w:r>
    </w:p>
    <w:p w14:paraId="1498297C" w14:textId="77777777" w:rsidR="00132654" w:rsidRPr="00F40808" w:rsidRDefault="00132654" w:rsidP="00132654">
      <w:pPr>
        <w:spacing w:line="276" w:lineRule="auto"/>
        <w:ind w:left="567" w:right="567"/>
        <w:rPr>
          <w:rFonts w:cs="Arial"/>
          <w:i/>
          <w:sz w:val="22"/>
        </w:rPr>
      </w:pPr>
    </w:p>
    <w:p w14:paraId="2C7C2D99" w14:textId="77777777" w:rsidR="00132654" w:rsidRPr="00F40808" w:rsidRDefault="00132654" w:rsidP="00132654">
      <w:pPr>
        <w:spacing w:line="276" w:lineRule="auto"/>
        <w:ind w:left="567" w:right="567"/>
        <w:rPr>
          <w:rFonts w:cs="Arial"/>
          <w:i/>
          <w:sz w:val="22"/>
        </w:rPr>
      </w:pPr>
      <w:r w:rsidRPr="00F40808">
        <w:rPr>
          <w:rFonts w:cs="Arial"/>
          <w:i/>
          <w:sz w:val="22"/>
        </w:rPr>
        <w:t>El responsable podrá tratar datos personales para finalidades distintas a aquéllas establecidas en el aviso de privacidad, en los casos siguientes:</w:t>
      </w:r>
    </w:p>
    <w:p w14:paraId="32EE1F39" w14:textId="77777777" w:rsidR="00132654" w:rsidRPr="00F40808" w:rsidRDefault="00132654" w:rsidP="00132654">
      <w:pPr>
        <w:spacing w:line="276" w:lineRule="auto"/>
        <w:ind w:left="567" w:right="567"/>
        <w:rPr>
          <w:rFonts w:cs="Arial"/>
          <w:i/>
          <w:sz w:val="22"/>
        </w:rPr>
      </w:pPr>
    </w:p>
    <w:p w14:paraId="7430A2F9" w14:textId="77777777" w:rsidR="00132654" w:rsidRPr="00F40808" w:rsidRDefault="00132654" w:rsidP="00132654">
      <w:pPr>
        <w:spacing w:line="276" w:lineRule="auto"/>
        <w:ind w:left="567" w:right="567"/>
        <w:rPr>
          <w:rFonts w:cs="Arial"/>
          <w:i/>
          <w:sz w:val="22"/>
        </w:rPr>
      </w:pPr>
      <w:r w:rsidRPr="00F40808">
        <w:rPr>
          <w:rFonts w:cs="Arial"/>
          <w:i/>
          <w:sz w:val="22"/>
        </w:rPr>
        <w:t>I. Cuente con atribuciones conferidas en ley y medie el consentimiento del titular.</w:t>
      </w:r>
    </w:p>
    <w:p w14:paraId="08E91F6C" w14:textId="77777777" w:rsidR="00132654" w:rsidRPr="00F40808" w:rsidRDefault="00132654" w:rsidP="00132654">
      <w:pPr>
        <w:spacing w:line="276" w:lineRule="auto"/>
        <w:ind w:left="567" w:right="567"/>
        <w:rPr>
          <w:rFonts w:cs="Arial"/>
          <w:i/>
          <w:sz w:val="22"/>
        </w:rPr>
      </w:pPr>
      <w:r w:rsidRPr="00F40808">
        <w:rPr>
          <w:rFonts w:cs="Arial"/>
          <w:i/>
          <w:sz w:val="22"/>
        </w:rPr>
        <w:t>II. Se trate de una persona reportada como desaparecida, en los términos previstos en la presente Ley y demás disposiciones legales aplicables...</w:t>
      </w:r>
    </w:p>
    <w:p w14:paraId="72673A8A" w14:textId="77777777" w:rsidR="00132654" w:rsidRPr="00F40808" w:rsidRDefault="00132654" w:rsidP="00132654">
      <w:pPr>
        <w:spacing w:line="276" w:lineRule="auto"/>
        <w:ind w:left="567" w:right="567"/>
        <w:rPr>
          <w:rFonts w:cs="Arial"/>
          <w:i/>
          <w:sz w:val="22"/>
        </w:rPr>
      </w:pPr>
    </w:p>
    <w:p w14:paraId="7D3DA4D5" w14:textId="77777777" w:rsidR="00132654" w:rsidRPr="00F40808" w:rsidRDefault="00132654" w:rsidP="00132654">
      <w:pPr>
        <w:spacing w:line="276" w:lineRule="auto"/>
        <w:ind w:left="567" w:right="567"/>
        <w:rPr>
          <w:rFonts w:cs="Arial"/>
          <w:i/>
          <w:sz w:val="22"/>
        </w:rPr>
      </w:pPr>
      <w:r w:rsidRPr="00F40808">
        <w:rPr>
          <w:rFonts w:cs="Arial"/>
          <w:b/>
          <w:i/>
          <w:sz w:val="22"/>
        </w:rPr>
        <w:t>Artículo 38.</w:t>
      </w:r>
      <w:r w:rsidRPr="00F40808">
        <w:rPr>
          <w:rFonts w:cs="Arial"/>
          <w:i/>
          <w:sz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40E98460" w14:textId="77777777" w:rsidR="00132654" w:rsidRPr="00F40808" w:rsidRDefault="00132654" w:rsidP="00132654">
      <w:pPr>
        <w:spacing w:line="276" w:lineRule="auto"/>
        <w:ind w:left="567" w:right="567"/>
        <w:rPr>
          <w:rFonts w:cs="Arial"/>
          <w:i/>
          <w:sz w:val="22"/>
        </w:rPr>
      </w:pPr>
    </w:p>
    <w:p w14:paraId="59884099" w14:textId="77777777" w:rsidR="00132654" w:rsidRPr="00F40808" w:rsidRDefault="00132654" w:rsidP="00132654">
      <w:pPr>
        <w:rPr>
          <w:rFonts w:cs="Arial"/>
          <w:szCs w:val="24"/>
        </w:rPr>
      </w:pPr>
      <w:r w:rsidRPr="00F40808">
        <w:rPr>
          <w:rFonts w:cs="Arial"/>
          <w:szCs w:val="24"/>
        </w:rPr>
        <w:lastRenderedPageBreak/>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5B2312BC" w14:textId="77777777" w:rsidR="00132654" w:rsidRPr="00F40808" w:rsidRDefault="00132654" w:rsidP="00132654">
      <w:pPr>
        <w:rPr>
          <w:rFonts w:cs="Arial"/>
          <w:szCs w:val="24"/>
        </w:rPr>
      </w:pPr>
    </w:p>
    <w:p w14:paraId="6B929860" w14:textId="77777777" w:rsidR="00132654" w:rsidRPr="00F40808" w:rsidRDefault="00132654" w:rsidP="00132654">
      <w:pPr>
        <w:rPr>
          <w:rFonts w:cs="Arial"/>
          <w:szCs w:val="24"/>
        </w:rPr>
      </w:pPr>
      <w:r w:rsidRPr="00F40808">
        <w:rPr>
          <w:rFonts w:cs="Arial"/>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71EC9228" w14:textId="77777777" w:rsidR="00132654" w:rsidRPr="00F40808" w:rsidRDefault="00132654" w:rsidP="00132654">
      <w:pPr>
        <w:rPr>
          <w:rFonts w:cs="Arial"/>
          <w:szCs w:val="24"/>
        </w:rPr>
      </w:pPr>
    </w:p>
    <w:p w14:paraId="1BB00F54" w14:textId="77777777" w:rsidR="00132654" w:rsidRPr="00F40808" w:rsidRDefault="00132654" w:rsidP="00132654">
      <w:pPr>
        <w:rPr>
          <w:rFonts w:cs="Arial"/>
          <w:szCs w:val="24"/>
        </w:rPr>
      </w:pPr>
      <w:r w:rsidRPr="00F40808">
        <w:rPr>
          <w:rFonts w:cs="Arial"/>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F40808">
        <w:rPr>
          <w:rFonts w:cs="Arial"/>
          <w:b/>
          <w:szCs w:val="24"/>
        </w:rPr>
        <w:t>Lineamientos Generales en Materia de Clasificación y Desclasificación de la Información, así como para la Elaboración de Versiones Públicas</w:t>
      </w:r>
      <w:r w:rsidRPr="00F40808">
        <w:rPr>
          <w:rFonts w:cs="Arial"/>
          <w:szCs w:val="24"/>
        </w:rPr>
        <w:t xml:space="preserve">, publicados en el Diario Oficial de la Federación en fecha quince de abril del año dos mil dieciséis, </w:t>
      </w:r>
      <w:r w:rsidRPr="00F40808">
        <w:rPr>
          <w:rFonts w:cs="Arial"/>
          <w:szCs w:val="24"/>
        </w:rPr>
        <w:lastRenderedPageBreak/>
        <w:t>mediante Acuerdo del Consejo Nacional del Sistema Nacional de Transparencia, Acceso a la Información Pública y Protección de Datos Personales.</w:t>
      </w:r>
    </w:p>
    <w:p w14:paraId="4C48DAAA" w14:textId="77777777" w:rsidR="00132654" w:rsidRPr="00F40808" w:rsidRDefault="00132654" w:rsidP="00132654">
      <w:pPr>
        <w:rPr>
          <w:rFonts w:cs="Arial"/>
          <w:szCs w:val="24"/>
        </w:rPr>
      </w:pPr>
    </w:p>
    <w:p w14:paraId="21F97ABC" w14:textId="77777777" w:rsidR="00132654" w:rsidRPr="00F40808" w:rsidRDefault="00132654" w:rsidP="00132654">
      <w:pPr>
        <w:rPr>
          <w:rFonts w:cs="Arial"/>
          <w:szCs w:val="24"/>
        </w:rPr>
      </w:pPr>
      <w:r w:rsidRPr="00F40808">
        <w:rPr>
          <w:rFonts w:cs="Arial"/>
          <w:szCs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7AE64301" w14:textId="77777777" w:rsidR="00132654" w:rsidRPr="00F40808" w:rsidRDefault="00132654" w:rsidP="00132654">
      <w:pPr>
        <w:rPr>
          <w:szCs w:val="24"/>
        </w:rPr>
      </w:pPr>
    </w:p>
    <w:p w14:paraId="6EA56CDB" w14:textId="77777777" w:rsidR="00132654" w:rsidRPr="00F40808" w:rsidRDefault="00132654" w:rsidP="00132654">
      <w:pPr>
        <w:rPr>
          <w:szCs w:val="24"/>
        </w:rPr>
      </w:pPr>
      <w:r w:rsidRPr="00F40808">
        <w:rPr>
          <w:szCs w:val="24"/>
        </w:rPr>
        <w:t xml:space="preserve">Por cuanto hace a la </w:t>
      </w:r>
      <w:r w:rsidRPr="00F40808">
        <w:rPr>
          <w:b/>
          <w:szCs w:val="24"/>
        </w:rPr>
        <w:t xml:space="preserve">Clave Única de Registro de Población, </w:t>
      </w:r>
      <w:r w:rsidRPr="00F40808">
        <w:rPr>
          <w:szCs w:val="24"/>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5B4DF230" w14:textId="77777777" w:rsidR="00132654" w:rsidRPr="00F40808" w:rsidRDefault="00132654" w:rsidP="00132654">
      <w:pPr>
        <w:rPr>
          <w:szCs w:val="24"/>
        </w:rPr>
      </w:pPr>
    </w:p>
    <w:p w14:paraId="348DFA16" w14:textId="128A8F99" w:rsidR="00132654" w:rsidRPr="00F40808" w:rsidRDefault="00132654" w:rsidP="00622889">
      <w:pPr>
        <w:rPr>
          <w:szCs w:val="24"/>
        </w:rPr>
      </w:pPr>
      <w:r w:rsidRPr="00F40808">
        <w:rPr>
          <w:szCs w:val="24"/>
        </w:rPr>
        <w:t>Lo anterior, tiene sustento en los artículos 86 y 91, de la Ley General de Población, la cual señala lo siguiente:</w:t>
      </w:r>
    </w:p>
    <w:p w14:paraId="45BFF7AE" w14:textId="77777777" w:rsidR="00132654" w:rsidRPr="00F40808" w:rsidRDefault="00132654" w:rsidP="00132654">
      <w:pPr>
        <w:spacing w:line="240" w:lineRule="auto"/>
        <w:ind w:left="709" w:right="757"/>
        <w:rPr>
          <w:rFonts w:cs="Arial"/>
          <w:i/>
          <w:sz w:val="22"/>
        </w:rPr>
      </w:pPr>
      <w:r w:rsidRPr="00F40808">
        <w:rPr>
          <w:rFonts w:cs="Arial,Bold"/>
          <w:b/>
          <w:bCs/>
          <w:i/>
          <w:sz w:val="22"/>
        </w:rPr>
        <w:t xml:space="preserve">Artículo 86. </w:t>
      </w:r>
      <w:r w:rsidRPr="00F40808">
        <w:rPr>
          <w:rFonts w:cs="Arial"/>
          <w:i/>
          <w:sz w:val="22"/>
        </w:rPr>
        <w:t>El Registro Nacional de Población tiene como finalidad registrar a cada una de las personas que integran la población del país, con los datos que permitan certificar y acreditar fehacientemente su identidad.</w:t>
      </w:r>
    </w:p>
    <w:p w14:paraId="708DB84F" w14:textId="77777777" w:rsidR="00132654" w:rsidRPr="00F40808" w:rsidRDefault="00132654" w:rsidP="00132654">
      <w:pPr>
        <w:spacing w:line="240" w:lineRule="auto"/>
        <w:ind w:left="709" w:right="757"/>
        <w:rPr>
          <w:rFonts w:cs="Arial"/>
          <w:i/>
          <w:sz w:val="22"/>
        </w:rPr>
      </w:pPr>
    </w:p>
    <w:p w14:paraId="07E49056" w14:textId="77777777" w:rsidR="00132654" w:rsidRPr="00F40808" w:rsidRDefault="00132654" w:rsidP="00132654">
      <w:pPr>
        <w:spacing w:line="240" w:lineRule="auto"/>
        <w:ind w:left="709" w:right="757"/>
        <w:rPr>
          <w:rFonts w:cs="Arial"/>
          <w:i/>
          <w:sz w:val="22"/>
        </w:rPr>
      </w:pPr>
      <w:r w:rsidRPr="00F40808">
        <w:rPr>
          <w:rFonts w:cs="Arial,Bold"/>
          <w:b/>
          <w:bCs/>
          <w:i/>
          <w:sz w:val="22"/>
        </w:rPr>
        <w:t xml:space="preserve">Artículo 91. </w:t>
      </w:r>
      <w:r w:rsidRPr="00F40808">
        <w:rPr>
          <w:rFonts w:cs="Arial"/>
          <w:i/>
          <w:sz w:val="22"/>
        </w:rPr>
        <w:t>Al incorporar a una persona en el Registro Nacional de Población, se le asignará una clave que se denominará Clave Única de Registro de Población. Esta servirá para registrarla e identificarla en forma individual.</w:t>
      </w:r>
    </w:p>
    <w:p w14:paraId="6681DA6D" w14:textId="77777777" w:rsidR="00132654" w:rsidRPr="00F40808" w:rsidRDefault="00132654" w:rsidP="00132654">
      <w:pPr>
        <w:rPr>
          <w:szCs w:val="24"/>
        </w:rPr>
      </w:pPr>
    </w:p>
    <w:p w14:paraId="1EA587BA" w14:textId="77777777" w:rsidR="00132654" w:rsidRPr="00F40808" w:rsidRDefault="00132654" w:rsidP="00132654">
      <w:pPr>
        <w:rPr>
          <w:szCs w:val="24"/>
        </w:rPr>
      </w:pPr>
      <w:r w:rsidRPr="00F40808">
        <w:rPr>
          <w:szCs w:val="24"/>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w:t>
      </w:r>
      <w:r w:rsidRPr="00F40808">
        <w:rPr>
          <w:szCs w:val="24"/>
        </w:rPr>
        <w:lastRenderedPageBreak/>
        <w:t xml:space="preserve">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4F54B546" w14:textId="77777777" w:rsidR="00132654" w:rsidRPr="00F40808" w:rsidRDefault="00132654" w:rsidP="00132654">
      <w:pPr>
        <w:rPr>
          <w:szCs w:val="24"/>
        </w:rPr>
      </w:pPr>
    </w:p>
    <w:p w14:paraId="482BBA67" w14:textId="10306442" w:rsidR="00132654" w:rsidRPr="00F40808" w:rsidRDefault="00132654" w:rsidP="00132654">
      <w:pPr>
        <w:rPr>
          <w:szCs w:val="24"/>
        </w:rPr>
      </w:pPr>
      <w:r w:rsidRPr="00F40808">
        <w:rPr>
          <w:szCs w:val="24"/>
        </w:rPr>
        <w:t>Al respecto, el Instituto Nacional de Transparencia, Acceso a la Información y Protección de Datos Personales (INAI) a través del Criterio 18/17, señala literalmente lo siguiente:</w:t>
      </w:r>
    </w:p>
    <w:p w14:paraId="509AD0C4" w14:textId="77777777" w:rsidR="00132654" w:rsidRPr="00F40808" w:rsidRDefault="00132654" w:rsidP="00132654">
      <w:pPr>
        <w:spacing w:line="240" w:lineRule="auto"/>
        <w:ind w:left="567" w:right="616"/>
        <w:rPr>
          <w:i/>
          <w:sz w:val="22"/>
        </w:rPr>
      </w:pPr>
      <w:r w:rsidRPr="00F40808">
        <w:rPr>
          <w:b/>
          <w:i/>
          <w:sz w:val="22"/>
        </w:rPr>
        <w:t>Clave Única de Registro de Población (CURP)</w:t>
      </w:r>
      <w:r w:rsidRPr="00F40808">
        <w:rPr>
          <w:i/>
          <w:sz w:val="22"/>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E47D6C1" w14:textId="77777777" w:rsidR="00132654" w:rsidRPr="00F40808" w:rsidRDefault="00132654" w:rsidP="00132654">
      <w:pPr>
        <w:ind w:right="616"/>
        <w:rPr>
          <w:rFonts w:cs="Arial"/>
          <w:bCs/>
          <w:i/>
          <w:szCs w:val="24"/>
        </w:rPr>
      </w:pPr>
    </w:p>
    <w:p w14:paraId="05068501" w14:textId="77777777" w:rsidR="00132654" w:rsidRPr="00F40808" w:rsidRDefault="00132654" w:rsidP="00132654">
      <w:pPr>
        <w:rPr>
          <w:szCs w:val="24"/>
        </w:rPr>
      </w:pPr>
      <w:r w:rsidRPr="00F40808">
        <w:rPr>
          <w:szCs w:val="24"/>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66293780" w14:textId="77777777" w:rsidR="00132654" w:rsidRPr="00F40808" w:rsidRDefault="00132654" w:rsidP="00132654">
      <w:pPr>
        <w:rPr>
          <w:rFonts w:cs="Arial"/>
          <w:szCs w:val="24"/>
        </w:rPr>
      </w:pPr>
    </w:p>
    <w:p w14:paraId="564315EC" w14:textId="77777777" w:rsidR="00132654" w:rsidRPr="00F40808" w:rsidRDefault="00132654" w:rsidP="00132654">
      <w:pPr>
        <w:rPr>
          <w:rFonts w:cs="Arial"/>
          <w:szCs w:val="24"/>
        </w:rPr>
      </w:pPr>
      <w:r w:rsidRPr="00F40808">
        <w:rPr>
          <w:rFonts w:cs="Arial"/>
          <w:szCs w:val="24"/>
        </w:rPr>
        <w:t xml:space="preserve">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w:t>
      </w:r>
      <w:r w:rsidRPr="00F40808">
        <w:rPr>
          <w:rFonts w:cs="Arial"/>
          <w:szCs w:val="24"/>
        </w:rPr>
        <w:lastRenderedPageBreak/>
        <w:t>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66ACD234" w14:textId="77777777" w:rsidR="00132654" w:rsidRPr="00F40808" w:rsidRDefault="00132654" w:rsidP="00132654">
      <w:pPr>
        <w:rPr>
          <w:rFonts w:cs="Arial"/>
          <w:szCs w:val="24"/>
        </w:rPr>
      </w:pPr>
    </w:p>
    <w:p w14:paraId="66BAF695" w14:textId="2304F8DF" w:rsidR="00132654" w:rsidRPr="00F40808" w:rsidRDefault="00132654" w:rsidP="00132654">
      <w:pPr>
        <w:rPr>
          <w:rFonts w:cs="Arial"/>
          <w:szCs w:val="24"/>
        </w:rPr>
      </w:pPr>
      <w:r w:rsidRPr="00F40808">
        <w:rPr>
          <w:rFonts w:cs="Arial"/>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D92AD3D" w14:textId="77777777" w:rsidR="00132654" w:rsidRPr="00F40808" w:rsidRDefault="00132654" w:rsidP="00132654">
      <w:pPr>
        <w:spacing w:line="276" w:lineRule="auto"/>
        <w:ind w:left="567" w:right="567"/>
        <w:rPr>
          <w:rFonts w:cs="Arial"/>
          <w:i/>
          <w:sz w:val="22"/>
        </w:rPr>
      </w:pPr>
      <w:r w:rsidRPr="00F40808">
        <w:rPr>
          <w:rFonts w:cs="Arial"/>
          <w:i/>
          <w:sz w:val="22"/>
        </w:rPr>
        <w:t>“</w:t>
      </w:r>
      <w:r w:rsidRPr="00F40808">
        <w:rPr>
          <w:rFonts w:cs="Arial"/>
          <w:b/>
          <w:i/>
          <w:sz w:val="22"/>
        </w:rPr>
        <w:t>Artículo 49.</w:t>
      </w:r>
      <w:r w:rsidRPr="00F40808">
        <w:rPr>
          <w:rFonts w:cs="Arial"/>
          <w:i/>
          <w:sz w:val="22"/>
        </w:rPr>
        <w:t xml:space="preserve"> Los Comités de Transparencia tendrán las siguientes atribuciones:</w:t>
      </w:r>
    </w:p>
    <w:p w14:paraId="6F0CC158" w14:textId="77777777" w:rsidR="00132654" w:rsidRPr="00F40808" w:rsidRDefault="00132654" w:rsidP="00132654">
      <w:pPr>
        <w:spacing w:line="276" w:lineRule="auto"/>
        <w:ind w:left="567" w:right="567"/>
        <w:rPr>
          <w:rFonts w:cs="Arial"/>
          <w:i/>
          <w:sz w:val="22"/>
        </w:rPr>
      </w:pPr>
      <w:r w:rsidRPr="00F40808">
        <w:rPr>
          <w:rFonts w:cs="Arial"/>
          <w:i/>
          <w:sz w:val="22"/>
        </w:rPr>
        <w:t>…</w:t>
      </w:r>
    </w:p>
    <w:p w14:paraId="5762320C" w14:textId="77777777" w:rsidR="00132654" w:rsidRPr="00F40808" w:rsidRDefault="00132654" w:rsidP="00132654">
      <w:pPr>
        <w:spacing w:line="276" w:lineRule="auto"/>
        <w:ind w:left="567" w:right="567"/>
        <w:rPr>
          <w:rFonts w:cs="Arial"/>
          <w:i/>
          <w:sz w:val="22"/>
        </w:rPr>
      </w:pPr>
      <w:r w:rsidRPr="00F40808">
        <w:rPr>
          <w:rFonts w:cs="Arial"/>
          <w:b/>
          <w:i/>
          <w:sz w:val="22"/>
        </w:rPr>
        <w:t>VIII</w:t>
      </w:r>
      <w:r w:rsidRPr="00F40808">
        <w:rPr>
          <w:rFonts w:cs="Arial"/>
          <w:i/>
          <w:sz w:val="22"/>
        </w:rPr>
        <w:t>. Aprobar, modificar o revocar la clasificación de la información;</w:t>
      </w:r>
    </w:p>
    <w:p w14:paraId="6D26D18B" w14:textId="77777777" w:rsidR="00132654" w:rsidRPr="00F40808" w:rsidRDefault="00132654" w:rsidP="00132654">
      <w:pPr>
        <w:spacing w:line="276" w:lineRule="auto"/>
        <w:ind w:left="567" w:right="567"/>
        <w:rPr>
          <w:rFonts w:cs="Arial"/>
          <w:i/>
          <w:sz w:val="22"/>
        </w:rPr>
      </w:pPr>
      <w:r w:rsidRPr="00F40808">
        <w:rPr>
          <w:rFonts w:cs="Arial"/>
          <w:b/>
          <w:i/>
          <w:sz w:val="22"/>
        </w:rPr>
        <w:t>Artículo 132.</w:t>
      </w:r>
      <w:r w:rsidRPr="00F40808">
        <w:rPr>
          <w:rFonts w:cs="Arial"/>
          <w:i/>
          <w:sz w:val="22"/>
        </w:rPr>
        <w:t xml:space="preserve"> La clasificación de la información se llevará a cabo en el momento en que:</w:t>
      </w:r>
    </w:p>
    <w:p w14:paraId="0541C3E0" w14:textId="77777777" w:rsidR="00132654" w:rsidRPr="00F40808" w:rsidRDefault="00132654" w:rsidP="00132654">
      <w:pPr>
        <w:spacing w:line="276" w:lineRule="auto"/>
        <w:ind w:left="567" w:right="567"/>
        <w:rPr>
          <w:rFonts w:cs="Arial"/>
          <w:i/>
          <w:sz w:val="22"/>
        </w:rPr>
      </w:pPr>
      <w:r w:rsidRPr="00F40808">
        <w:rPr>
          <w:rFonts w:cs="Arial"/>
          <w:i/>
          <w:sz w:val="22"/>
        </w:rPr>
        <w:t>I. Se reciba una solicitud de acceso a la información;</w:t>
      </w:r>
    </w:p>
    <w:p w14:paraId="47041DF3" w14:textId="77777777" w:rsidR="00132654" w:rsidRPr="00F40808" w:rsidRDefault="00132654" w:rsidP="00132654">
      <w:pPr>
        <w:spacing w:line="276" w:lineRule="auto"/>
        <w:ind w:left="567" w:right="567"/>
        <w:rPr>
          <w:rFonts w:cs="Arial"/>
          <w:i/>
          <w:sz w:val="22"/>
        </w:rPr>
      </w:pPr>
      <w:r w:rsidRPr="00F40808">
        <w:rPr>
          <w:rFonts w:cs="Arial"/>
          <w:i/>
          <w:sz w:val="22"/>
        </w:rPr>
        <w:t>II. Se determine mediante resolución de autoridad competente; o</w:t>
      </w:r>
    </w:p>
    <w:p w14:paraId="03FDC840" w14:textId="77777777" w:rsidR="00132654" w:rsidRPr="00F40808" w:rsidRDefault="00132654" w:rsidP="00132654">
      <w:pPr>
        <w:spacing w:line="276" w:lineRule="auto"/>
        <w:ind w:left="567" w:right="567"/>
        <w:rPr>
          <w:rFonts w:cs="Arial"/>
          <w:i/>
          <w:sz w:val="22"/>
        </w:rPr>
      </w:pPr>
      <w:r w:rsidRPr="00F40808">
        <w:rPr>
          <w:rFonts w:cs="Arial"/>
          <w:i/>
          <w:sz w:val="22"/>
        </w:rPr>
        <w:t>III. Se generen versiones públicas para dar cumplimiento a las obligaciones de transparencia previstas en esta Ley.”</w:t>
      </w:r>
    </w:p>
    <w:p w14:paraId="39F7F1FA" w14:textId="77777777" w:rsidR="00132654" w:rsidRPr="00F40808" w:rsidRDefault="00132654" w:rsidP="00132654">
      <w:pPr>
        <w:spacing w:line="276" w:lineRule="auto"/>
        <w:ind w:left="567" w:right="567"/>
        <w:rPr>
          <w:rFonts w:cs="Arial"/>
          <w:i/>
          <w:sz w:val="22"/>
        </w:rPr>
      </w:pPr>
      <w:r w:rsidRPr="00F40808">
        <w:rPr>
          <w:rFonts w:cs="Arial"/>
          <w:i/>
          <w:sz w:val="22"/>
        </w:rPr>
        <w:t>“</w:t>
      </w:r>
      <w:r w:rsidRPr="00F40808">
        <w:rPr>
          <w:rFonts w:cs="Arial"/>
          <w:b/>
          <w:i/>
          <w:sz w:val="22"/>
        </w:rPr>
        <w:t>Segundo</w:t>
      </w:r>
      <w:r w:rsidRPr="00F40808">
        <w:rPr>
          <w:rFonts w:cs="Arial"/>
          <w:i/>
          <w:sz w:val="22"/>
        </w:rPr>
        <w:t>.- Para efectos de los presentes Lineamientos Generales, se entenderá por:</w:t>
      </w:r>
    </w:p>
    <w:p w14:paraId="780ADC88" w14:textId="77777777" w:rsidR="00132654" w:rsidRPr="00F40808" w:rsidRDefault="00132654" w:rsidP="00132654">
      <w:pPr>
        <w:spacing w:line="276" w:lineRule="auto"/>
        <w:ind w:left="567" w:right="567"/>
        <w:rPr>
          <w:rFonts w:cs="Arial"/>
          <w:i/>
          <w:sz w:val="22"/>
        </w:rPr>
      </w:pPr>
      <w:r w:rsidRPr="00F40808">
        <w:rPr>
          <w:rFonts w:cs="Arial"/>
          <w:i/>
          <w:sz w:val="22"/>
        </w:rPr>
        <w:t>…</w:t>
      </w:r>
    </w:p>
    <w:p w14:paraId="53BB5001" w14:textId="77777777" w:rsidR="00132654" w:rsidRPr="00F40808" w:rsidRDefault="00132654" w:rsidP="00132654">
      <w:pPr>
        <w:spacing w:line="276" w:lineRule="auto"/>
        <w:ind w:left="567" w:right="567"/>
        <w:rPr>
          <w:rFonts w:cs="Arial"/>
          <w:i/>
          <w:sz w:val="22"/>
        </w:rPr>
      </w:pPr>
      <w:r w:rsidRPr="00F40808">
        <w:rPr>
          <w:rFonts w:cs="Arial"/>
          <w:b/>
          <w:i/>
          <w:sz w:val="22"/>
        </w:rPr>
        <w:t>XVIII</w:t>
      </w:r>
      <w:r w:rsidRPr="00F40808">
        <w:rPr>
          <w:rFonts w:cs="Arial"/>
          <w:i/>
          <w:sz w:val="22"/>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3F92748" w14:textId="77777777" w:rsidR="00132654" w:rsidRPr="00F40808" w:rsidRDefault="00132654" w:rsidP="00132654">
      <w:pPr>
        <w:spacing w:line="276" w:lineRule="auto"/>
        <w:ind w:left="567" w:right="567"/>
        <w:rPr>
          <w:rFonts w:cs="Arial"/>
          <w:i/>
          <w:sz w:val="22"/>
        </w:rPr>
      </w:pPr>
      <w:r w:rsidRPr="00F40808">
        <w:rPr>
          <w:rFonts w:cs="Arial"/>
          <w:b/>
          <w:i/>
          <w:sz w:val="22"/>
        </w:rPr>
        <w:lastRenderedPageBreak/>
        <w:t>Cuarto</w:t>
      </w:r>
      <w:r w:rsidRPr="00F40808">
        <w:rPr>
          <w:rFonts w:cs="Arial"/>
          <w:i/>
          <w:sz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864C4BC" w14:textId="77777777" w:rsidR="00132654" w:rsidRPr="00F40808" w:rsidRDefault="00132654" w:rsidP="00132654">
      <w:pPr>
        <w:spacing w:line="276" w:lineRule="auto"/>
        <w:ind w:left="567" w:right="567"/>
        <w:rPr>
          <w:rFonts w:cs="Arial"/>
          <w:i/>
          <w:sz w:val="22"/>
        </w:rPr>
      </w:pPr>
      <w:r w:rsidRPr="00F40808">
        <w:rPr>
          <w:rFonts w:cs="Arial"/>
          <w:i/>
          <w:sz w:val="22"/>
        </w:rPr>
        <w:t>Los Sujetos Obligados deberán aplicar, de manera estricta, las excepciones al derecho de acceso a la información y sólo podrán invocarlas cuando acrediten su procedencia.</w:t>
      </w:r>
    </w:p>
    <w:p w14:paraId="6CDC1006" w14:textId="77777777" w:rsidR="00132654" w:rsidRPr="00F40808" w:rsidRDefault="00132654" w:rsidP="00132654">
      <w:pPr>
        <w:spacing w:line="276" w:lineRule="auto"/>
        <w:ind w:left="567" w:right="567"/>
        <w:rPr>
          <w:rFonts w:cs="Arial"/>
          <w:i/>
          <w:sz w:val="22"/>
        </w:rPr>
      </w:pPr>
    </w:p>
    <w:p w14:paraId="515FAB11" w14:textId="77777777" w:rsidR="00132654" w:rsidRPr="00F40808" w:rsidRDefault="00132654" w:rsidP="00132654">
      <w:pPr>
        <w:spacing w:line="276" w:lineRule="auto"/>
        <w:ind w:left="567" w:right="567"/>
        <w:rPr>
          <w:rFonts w:cs="Arial"/>
          <w:i/>
          <w:sz w:val="22"/>
        </w:rPr>
      </w:pPr>
      <w:r w:rsidRPr="00F40808">
        <w:rPr>
          <w:rFonts w:cs="Arial"/>
          <w:b/>
          <w:i/>
          <w:sz w:val="22"/>
        </w:rPr>
        <w:t>Quinto</w:t>
      </w:r>
      <w:r w:rsidRPr="00F40808">
        <w:rPr>
          <w:rFonts w:cs="Arial"/>
          <w:i/>
          <w:sz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E3292CD" w14:textId="77777777" w:rsidR="00132654" w:rsidRPr="00F40808" w:rsidRDefault="00132654" w:rsidP="00132654">
      <w:pPr>
        <w:spacing w:line="276" w:lineRule="auto"/>
        <w:ind w:left="567" w:right="567"/>
        <w:rPr>
          <w:rFonts w:cs="Arial"/>
          <w:i/>
          <w:sz w:val="22"/>
        </w:rPr>
      </w:pPr>
    </w:p>
    <w:p w14:paraId="5536A454" w14:textId="77777777" w:rsidR="00132654" w:rsidRPr="00F40808" w:rsidRDefault="00132654" w:rsidP="00132654">
      <w:pPr>
        <w:spacing w:line="276" w:lineRule="auto"/>
        <w:ind w:left="567" w:right="567"/>
        <w:rPr>
          <w:rFonts w:cs="Arial"/>
          <w:i/>
          <w:sz w:val="22"/>
        </w:rPr>
      </w:pPr>
      <w:r w:rsidRPr="00F40808">
        <w:rPr>
          <w:rFonts w:cs="Arial"/>
          <w:b/>
          <w:i/>
          <w:sz w:val="22"/>
        </w:rPr>
        <w:t>Sexto</w:t>
      </w:r>
      <w:r w:rsidRPr="00F40808">
        <w:rPr>
          <w:rFonts w:cs="Arial"/>
          <w:i/>
          <w:sz w:val="22"/>
        </w:rPr>
        <w:t>. Los Sujetos Obligados no podrán emitir acuerdos de carácter general ni particular que clasifiquen documentos o expedientes como reservados, ni clasificar documentos antes de que se genere la información o cuando éstos no obren en sus archivos.</w:t>
      </w:r>
    </w:p>
    <w:p w14:paraId="2C4B0CE6" w14:textId="77777777" w:rsidR="00132654" w:rsidRPr="00F40808" w:rsidRDefault="00132654" w:rsidP="00132654">
      <w:pPr>
        <w:spacing w:line="276" w:lineRule="auto"/>
        <w:ind w:left="567" w:right="567"/>
        <w:rPr>
          <w:rFonts w:cs="Arial"/>
          <w:i/>
          <w:sz w:val="22"/>
        </w:rPr>
      </w:pPr>
      <w:r w:rsidRPr="00F40808">
        <w:rPr>
          <w:rFonts w:cs="Arial"/>
          <w:i/>
          <w:sz w:val="22"/>
        </w:rPr>
        <w:t>La clasificación de información se realizará conforme a un análisis caso por caso, mediante la aplicación de la prueba de daño y de interés público.</w:t>
      </w:r>
    </w:p>
    <w:p w14:paraId="563A99FC" w14:textId="77777777" w:rsidR="00132654" w:rsidRPr="00F40808" w:rsidRDefault="00132654" w:rsidP="00132654">
      <w:pPr>
        <w:spacing w:line="276" w:lineRule="auto"/>
        <w:ind w:left="567" w:right="567"/>
        <w:rPr>
          <w:rFonts w:cs="Arial"/>
          <w:i/>
          <w:sz w:val="22"/>
        </w:rPr>
      </w:pPr>
    </w:p>
    <w:p w14:paraId="21324EDC" w14:textId="77777777" w:rsidR="00132654" w:rsidRPr="00F40808" w:rsidRDefault="00132654" w:rsidP="00132654">
      <w:pPr>
        <w:spacing w:line="276" w:lineRule="auto"/>
        <w:ind w:left="567" w:right="567"/>
        <w:rPr>
          <w:rFonts w:cs="Arial"/>
          <w:i/>
          <w:sz w:val="22"/>
        </w:rPr>
      </w:pPr>
      <w:r w:rsidRPr="00F40808">
        <w:rPr>
          <w:rFonts w:cs="Arial"/>
          <w:b/>
          <w:i/>
          <w:sz w:val="22"/>
        </w:rPr>
        <w:t>Séptimo</w:t>
      </w:r>
      <w:r w:rsidRPr="00F40808">
        <w:rPr>
          <w:rFonts w:cs="Arial"/>
          <w:i/>
          <w:sz w:val="22"/>
        </w:rPr>
        <w:t>. La clasificación de la información se llevará a cabo en el momento en que:</w:t>
      </w:r>
    </w:p>
    <w:p w14:paraId="2208207F" w14:textId="77777777" w:rsidR="00132654" w:rsidRPr="00F40808" w:rsidRDefault="00132654" w:rsidP="00132654">
      <w:pPr>
        <w:spacing w:line="276" w:lineRule="auto"/>
        <w:ind w:left="567" w:right="567"/>
        <w:rPr>
          <w:rFonts w:cs="Arial"/>
          <w:i/>
          <w:sz w:val="22"/>
        </w:rPr>
      </w:pPr>
      <w:r w:rsidRPr="00F40808">
        <w:rPr>
          <w:rFonts w:cs="Arial"/>
          <w:b/>
          <w:i/>
          <w:sz w:val="22"/>
        </w:rPr>
        <w:t>I.</w:t>
      </w:r>
      <w:r w:rsidRPr="00F40808">
        <w:rPr>
          <w:rFonts w:cs="Arial"/>
          <w:i/>
          <w:sz w:val="22"/>
        </w:rPr>
        <w:t xml:space="preserve"> Se reciba una solicitud de acceso a la información;</w:t>
      </w:r>
    </w:p>
    <w:p w14:paraId="2CD3620F" w14:textId="77777777" w:rsidR="00132654" w:rsidRPr="00F40808" w:rsidRDefault="00132654" w:rsidP="00132654">
      <w:pPr>
        <w:spacing w:line="276" w:lineRule="auto"/>
        <w:ind w:left="567" w:right="567"/>
        <w:rPr>
          <w:rFonts w:cs="Arial"/>
          <w:i/>
          <w:sz w:val="22"/>
        </w:rPr>
      </w:pPr>
      <w:r w:rsidRPr="00F40808">
        <w:rPr>
          <w:rFonts w:cs="Arial"/>
          <w:b/>
          <w:i/>
          <w:sz w:val="22"/>
        </w:rPr>
        <w:t>II</w:t>
      </w:r>
      <w:r w:rsidRPr="00F40808">
        <w:rPr>
          <w:rFonts w:cs="Arial"/>
          <w:i/>
          <w:sz w:val="22"/>
        </w:rPr>
        <w:t>. Se determine mediante resolución de autoridad competente, o</w:t>
      </w:r>
    </w:p>
    <w:p w14:paraId="44659C96" w14:textId="77777777" w:rsidR="00132654" w:rsidRPr="00F40808" w:rsidRDefault="00132654" w:rsidP="00132654">
      <w:pPr>
        <w:spacing w:line="276" w:lineRule="auto"/>
        <w:ind w:left="567" w:right="567"/>
        <w:rPr>
          <w:rFonts w:cs="Arial"/>
          <w:i/>
          <w:sz w:val="22"/>
        </w:rPr>
      </w:pPr>
      <w:r w:rsidRPr="00F40808">
        <w:rPr>
          <w:rFonts w:cs="Arial"/>
          <w:b/>
          <w:i/>
          <w:sz w:val="22"/>
        </w:rPr>
        <w:t>III</w:t>
      </w:r>
      <w:r w:rsidRPr="00F40808">
        <w:rPr>
          <w:rFonts w:cs="Arial"/>
          <w:i/>
          <w:sz w:val="22"/>
        </w:rPr>
        <w:t>. Se generen versiones públicas para dar cumplimiento a las obligaciones de transparencia previstas en la Ley General, la Ley Federal y las correspondientes de las entidades federativas.</w:t>
      </w:r>
    </w:p>
    <w:p w14:paraId="0934F6BE" w14:textId="77777777" w:rsidR="00132654" w:rsidRPr="00F40808" w:rsidRDefault="00132654" w:rsidP="00132654">
      <w:pPr>
        <w:spacing w:line="276" w:lineRule="auto"/>
        <w:ind w:left="567" w:right="567"/>
        <w:rPr>
          <w:rFonts w:cs="Arial"/>
          <w:i/>
          <w:sz w:val="22"/>
        </w:rPr>
      </w:pPr>
      <w:r w:rsidRPr="00F40808">
        <w:rPr>
          <w:rFonts w:cs="Arial"/>
          <w:i/>
          <w:sz w:val="22"/>
        </w:rPr>
        <w:t>Los titulares de las áreas deberán revisar la clasificación al momento de la recepción de una solicitud de acceso a la información, para verificar si encuadra en una causal de reserva o de confidencialidad.</w:t>
      </w:r>
    </w:p>
    <w:p w14:paraId="4FEA9F1B" w14:textId="77777777" w:rsidR="00132654" w:rsidRPr="00F40808" w:rsidRDefault="00132654" w:rsidP="00132654">
      <w:pPr>
        <w:spacing w:line="276" w:lineRule="auto"/>
        <w:ind w:left="567" w:right="567"/>
        <w:rPr>
          <w:rFonts w:cs="Arial"/>
          <w:i/>
          <w:sz w:val="22"/>
        </w:rPr>
      </w:pPr>
      <w:r w:rsidRPr="00F40808">
        <w:rPr>
          <w:rFonts w:cs="Arial"/>
          <w:b/>
          <w:i/>
          <w:sz w:val="22"/>
        </w:rPr>
        <w:t>Octavo</w:t>
      </w:r>
      <w:r w:rsidRPr="00F40808">
        <w:rPr>
          <w:rFonts w:cs="Arial"/>
          <w:i/>
          <w:sz w:val="22"/>
        </w:rPr>
        <w:t>. Para fundar la clasificación de la información se debe señalar el artículo, fracción, inciso, párrafo o numeral de la ley o tratado internacional suscrito por el Estado mexicano que expresamente le otorga el carácter de reservada o confidencial.</w:t>
      </w:r>
    </w:p>
    <w:p w14:paraId="76E69E9B" w14:textId="77777777" w:rsidR="00132654" w:rsidRPr="00F40808" w:rsidRDefault="00132654" w:rsidP="00132654">
      <w:pPr>
        <w:spacing w:line="276" w:lineRule="auto"/>
        <w:ind w:left="567" w:right="567"/>
        <w:rPr>
          <w:rFonts w:cs="Arial"/>
          <w:i/>
          <w:sz w:val="22"/>
        </w:rPr>
      </w:pPr>
      <w:r w:rsidRPr="00F40808">
        <w:rPr>
          <w:rFonts w:cs="Arial"/>
          <w:i/>
          <w:sz w:val="22"/>
        </w:rPr>
        <w:lastRenderedPageBreak/>
        <w:t>Para motivar la clasificación se deberán señalar las razones o circunstancias especiales que lo llevaron a concluir que el caso particular se ajusta al supuesto previsto por la norma legal invocada como fundamento.</w:t>
      </w:r>
    </w:p>
    <w:p w14:paraId="085F8B4F" w14:textId="77777777" w:rsidR="00132654" w:rsidRPr="00F40808" w:rsidRDefault="00132654" w:rsidP="00132654">
      <w:pPr>
        <w:spacing w:line="276" w:lineRule="auto"/>
        <w:ind w:left="567" w:right="567"/>
        <w:rPr>
          <w:rFonts w:cs="Arial"/>
          <w:i/>
          <w:sz w:val="22"/>
        </w:rPr>
      </w:pPr>
      <w:r w:rsidRPr="00F40808">
        <w:rPr>
          <w:rFonts w:cs="Arial"/>
          <w:i/>
          <w:sz w:val="22"/>
        </w:rPr>
        <w:t>En caso de referirse a información reservada, la motivación de la clasificación también deberá comprender las circunstancias que justifican el establecimiento de determinado plazo de reserva.</w:t>
      </w:r>
    </w:p>
    <w:p w14:paraId="547017DC" w14:textId="77777777" w:rsidR="00132654" w:rsidRPr="00F40808" w:rsidRDefault="00132654" w:rsidP="00132654">
      <w:pPr>
        <w:spacing w:line="276" w:lineRule="auto"/>
        <w:ind w:left="567" w:right="567"/>
        <w:rPr>
          <w:rFonts w:cs="Arial"/>
          <w:i/>
          <w:sz w:val="22"/>
        </w:rPr>
      </w:pPr>
      <w:r w:rsidRPr="00F40808">
        <w:rPr>
          <w:rFonts w:cs="Arial"/>
          <w:i/>
          <w:sz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6B503BAB" w14:textId="77777777" w:rsidR="00132654" w:rsidRPr="00F40808" w:rsidRDefault="00132654" w:rsidP="00132654">
      <w:pPr>
        <w:spacing w:line="276" w:lineRule="auto"/>
        <w:ind w:left="567" w:right="567"/>
        <w:rPr>
          <w:rFonts w:cs="Arial"/>
          <w:i/>
          <w:sz w:val="22"/>
        </w:rPr>
      </w:pPr>
      <w:r w:rsidRPr="00F40808">
        <w:rPr>
          <w:rFonts w:cs="Arial"/>
          <w:i/>
          <w:sz w:val="22"/>
        </w:rPr>
        <w:t>Los documentos contenidos en los archivos históricos y los identificados como históricos confidenciales no serán susceptibles de clasificación como reservados.</w:t>
      </w:r>
    </w:p>
    <w:p w14:paraId="000E0CC8" w14:textId="77777777" w:rsidR="00132654" w:rsidRPr="00F40808" w:rsidRDefault="00132654" w:rsidP="00132654">
      <w:pPr>
        <w:spacing w:line="276" w:lineRule="auto"/>
        <w:ind w:left="567" w:right="567"/>
        <w:rPr>
          <w:rFonts w:cs="Arial"/>
          <w:i/>
          <w:sz w:val="22"/>
        </w:rPr>
      </w:pPr>
    </w:p>
    <w:p w14:paraId="360CF94C" w14:textId="77777777" w:rsidR="00132654" w:rsidRPr="00F40808" w:rsidRDefault="00132654" w:rsidP="00132654">
      <w:pPr>
        <w:spacing w:line="276" w:lineRule="auto"/>
        <w:ind w:left="567" w:right="567"/>
        <w:rPr>
          <w:rFonts w:cs="Arial"/>
          <w:i/>
          <w:sz w:val="22"/>
        </w:rPr>
      </w:pPr>
      <w:r w:rsidRPr="00F40808">
        <w:rPr>
          <w:rFonts w:cs="Arial"/>
          <w:b/>
          <w:i/>
          <w:sz w:val="22"/>
        </w:rPr>
        <w:t>Noveno</w:t>
      </w:r>
      <w:r w:rsidRPr="00F40808">
        <w:rPr>
          <w:rFonts w:cs="Arial"/>
          <w:i/>
          <w:sz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AC4ABA2" w14:textId="77777777" w:rsidR="00132654" w:rsidRPr="00F40808" w:rsidRDefault="00132654" w:rsidP="00132654">
      <w:pPr>
        <w:spacing w:line="276" w:lineRule="auto"/>
        <w:ind w:left="567" w:right="567"/>
        <w:rPr>
          <w:rFonts w:cs="Arial"/>
          <w:i/>
          <w:sz w:val="22"/>
        </w:rPr>
      </w:pPr>
    </w:p>
    <w:p w14:paraId="55F930DB" w14:textId="77777777" w:rsidR="00132654" w:rsidRPr="00F40808" w:rsidRDefault="00132654" w:rsidP="00132654">
      <w:pPr>
        <w:spacing w:line="276" w:lineRule="auto"/>
        <w:ind w:left="567" w:right="567"/>
        <w:rPr>
          <w:rFonts w:cs="Arial"/>
          <w:i/>
          <w:sz w:val="22"/>
        </w:rPr>
      </w:pPr>
      <w:r w:rsidRPr="00F40808">
        <w:rPr>
          <w:rFonts w:cs="Arial"/>
          <w:b/>
          <w:i/>
          <w:sz w:val="22"/>
        </w:rPr>
        <w:t>Décimo</w:t>
      </w:r>
      <w:r w:rsidRPr="00F40808">
        <w:rPr>
          <w:rFonts w:cs="Arial"/>
          <w:i/>
          <w:sz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53D41494" w14:textId="77777777" w:rsidR="00132654" w:rsidRPr="00F40808" w:rsidRDefault="00132654" w:rsidP="00132654">
      <w:pPr>
        <w:spacing w:line="276" w:lineRule="auto"/>
        <w:ind w:left="567" w:right="567"/>
        <w:rPr>
          <w:rFonts w:cs="Arial"/>
          <w:i/>
          <w:sz w:val="22"/>
        </w:rPr>
      </w:pPr>
    </w:p>
    <w:p w14:paraId="0A265580" w14:textId="77777777" w:rsidR="00132654" w:rsidRPr="00F40808" w:rsidRDefault="00132654" w:rsidP="00132654">
      <w:pPr>
        <w:spacing w:line="276" w:lineRule="auto"/>
        <w:ind w:left="567" w:right="567"/>
        <w:rPr>
          <w:rFonts w:cs="Arial"/>
          <w:i/>
          <w:sz w:val="22"/>
        </w:rPr>
      </w:pPr>
      <w:r w:rsidRPr="00F40808">
        <w:rPr>
          <w:rFonts w:cs="Arial"/>
          <w:i/>
          <w:sz w:val="22"/>
        </w:rPr>
        <w:t>En ausencia de los titulares de las áreas, la información será clasificada o desclasificada por la persona que lo supla, en términos de la normativa que rija la actuación del sujeto obligado.</w:t>
      </w:r>
    </w:p>
    <w:p w14:paraId="7BAAB9E8" w14:textId="77777777" w:rsidR="00132654" w:rsidRPr="00F40808" w:rsidRDefault="00132654" w:rsidP="00132654">
      <w:pPr>
        <w:spacing w:line="276" w:lineRule="auto"/>
        <w:ind w:left="567" w:right="567"/>
        <w:rPr>
          <w:rFonts w:cs="Arial"/>
          <w:i/>
          <w:sz w:val="22"/>
        </w:rPr>
      </w:pPr>
    </w:p>
    <w:p w14:paraId="5FAAF224" w14:textId="77777777" w:rsidR="00132654" w:rsidRPr="00F40808" w:rsidRDefault="00132654" w:rsidP="00132654">
      <w:pPr>
        <w:spacing w:line="276" w:lineRule="auto"/>
        <w:ind w:left="567" w:right="567"/>
        <w:rPr>
          <w:rFonts w:cs="Arial"/>
          <w:i/>
          <w:sz w:val="22"/>
        </w:rPr>
      </w:pPr>
      <w:r w:rsidRPr="00F40808">
        <w:rPr>
          <w:rFonts w:cs="Arial"/>
          <w:b/>
          <w:i/>
          <w:sz w:val="22"/>
        </w:rPr>
        <w:t>Décimo primero.</w:t>
      </w:r>
      <w:r w:rsidRPr="00F40808">
        <w:rPr>
          <w:rFonts w:cs="Arial"/>
          <w:i/>
          <w:sz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C182878" w14:textId="77777777" w:rsidR="00132654" w:rsidRPr="00F40808" w:rsidRDefault="00132654" w:rsidP="00132654">
      <w:pPr>
        <w:rPr>
          <w:rFonts w:cs="Arial"/>
          <w:sz w:val="22"/>
        </w:rPr>
      </w:pPr>
    </w:p>
    <w:p w14:paraId="05D551D3" w14:textId="77777777" w:rsidR="00132654" w:rsidRPr="00F40808" w:rsidRDefault="00132654" w:rsidP="00132654">
      <w:pPr>
        <w:rPr>
          <w:rFonts w:cs="Arial"/>
          <w:szCs w:val="24"/>
        </w:rPr>
      </w:pPr>
      <w:r w:rsidRPr="00F40808">
        <w:rPr>
          <w:rFonts w:cs="Arial"/>
          <w:szCs w:val="24"/>
        </w:rPr>
        <w:t xml:space="preserve">De este modo, como ha sido señalado en la presente resolución, en armonía entre los principios constitucionales de máxima publicidad y de protección de datos personales, la </w:t>
      </w:r>
      <w:r w:rsidRPr="00F40808">
        <w:rPr>
          <w:rFonts w:cs="Arial"/>
          <w:szCs w:val="24"/>
        </w:rPr>
        <w:lastRenderedPageBreak/>
        <w:t>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63B0B10A" w14:textId="77777777" w:rsidR="00132654" w:rsidRPr="00F40808" w:rsidRDefault="00132654" w:rsidP="00132654">
      <w:pPr>
        <w:rPr>
          <w:rFonts w:cs="Arial"/>
          <w:szCs w:val="24"/>
        </w:rPr>
      </w:pPr>
    </w:p>
    <w:p w14:paraId="5B9F3757" w14:textId="471E3A3E" w:rsidR="00132654" w:rsidRPr="00F40808" w:rsidRDefault="00132654" w:rsidP="00132654">
      <w:pPr>
        <w:rPr>
          <w:rFonts w:cs="Arial"/>
          <w:szCs w:val="24"/>
        </w:rPr>
      </w:pPr>
      <w:r w:rsidRPr="00F40808">
        <w:rPr>
          <w:rFonts w:cs="Arial"/>
          <w:szCs w:val="24"/>
        </w:rPr>
        <w:t>Por tanto, la fundamentación y motivación consiste en la obligación que tiene todo ente público de expresar los preceptos jurídicos aplicables al asunto motivo del acto y las razones o argumentos de su actuar.</w:t>
      </w:r>
    </w:p>
    <w:p w14:paraId="4F087644" w14:textId="00F4E9AD" w:rsidR="00132654" w:rsidRPr="00F40808" w:rsidRDefault="00132654" w:rsidP="00132654">
      <w:pPr>
        <w:rPr>
          <w:rFonts w:cs="Arial"/>
          <w:szCs w:val="24"/>
        </w:rPr>
      </w:pPr>
      <w:r w:rsidRPr="00F40808">
        <w:rPr>
          <w:rFonts w:cs="Arial"/>
          <w:szCs w:val="24"/>
        </w:rPr>
        <w:t>Al respecto, el máximo tribunal del país ha establecido jurisprudencia respecto a qué debe entenderse por fundamentación y motivación, en los siguientes términos:</w:t>
      </w:r>
    </w:p>
    <w:p w14:paraId="12AE0026" w14:textId="77777777" w:rsidR="00132654" w:rsidRPr="00F40808" w:rsidRDefault="00132654" w:rsidP="00132654">
      <w:pPr>
        <w:spacing w:line="276" w:lineRule="auto"/>
        <w:ind w:left="567" w:right="567"/>
        <w:rPr>
          <w:rFonts w:cs="Arial"/>
          <w:i/>
          <w:sz w:val="22"/>
        </w:rPr>
      </w:pPr>
      <w:r w:rsidRPr="00F40808">
        <w:rPr>
          <w:rFonts w:cs="Arial"/>
          <w:b/>
          <w:i/>
          <w:sz w:val="22"/>
        </w:rPr>
        <w:t>FUNDAMENTACIÓN Y MOTIVACIÓN</w:t>
      </w:r>
      <w:r w:rsidRPr="00F40808">
        <w:rPr>
          <w:rFonts w:cs="Arial"/>
          <w:i/>
          <w:sz w:val="22"/>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848656E" w14:textId="77777777" w:rsidR="00132654" w:rsidRPr="00F40808" w:rsidRDefault="00132654" w:rsidP="00132654">
      <w:pPr>
        <w:rPr>
          <w:rFonts w:cs="Arial"/>
          <w:szCs w:val="24"/>
        </w:rPr>
      </w:pPr>
    </w:p>
    <w:p w14:paraId="4C680C92" w14:textId="77777777" w:rsidR="00132654" w:rsidRPr="00F40808" w:rsidRDefault="00132654" w:rsidP="00132654">
      <w:pPr>
        <w:rPr>
          <w:rFonts w:cs="Arial"/>
          <w:szCs w:val="24"/>
        </w:rPr>
      </w:pPr>
      <w:r w:rsidRPr="00F40808">
        <w:rPr>
          <w:rFonts w:cs="Arial"/>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EB70E30" w14:textId="77777777" w:rsidR="00132654" w:rsidRPr="00F40808" w:rsidRDefault="00132654" w:rsidP="00132654">
      <w:pPr>
        <w:rPr>
          <w:rFonts w:cs="Arial"/>
          <w:szCs w:val="24"/>
        </w:rPr>
      </w:pPr>
    </w:p>
    <w:p w14:paraId="4E70A537" w14:textId="1AFD6F3F" w:rsidR="00132654" w:rsidRPr="00F40808" w:rsidRDefault="00132654" w:rsidP="005F3144">
      <w:pPr>
        <w:rPr>
          <w:rFonts w:cs="Arial"/>
          <w:szCs w:val="24"/>
        </w:rPr>
      </w:pPr>
      <w:r w:rsidRPr="00F40808">
        <w:rPr>
          <w:rFonts w:cs="Arial"/>
          <w:szCs w:val="24"/>
        </w:rPr>
        <w:lastRenderedPageBreak/>
        <w:t>Más aún, a través de diversa jurisprudencia dictada por el Poder Judicial de la Federación se sostiene que la finalidad de la fundamentación o motivación es la de explicar, justificar, posibilitar la defensa y comunicar la decisión de la autoridad:</w:t>
      </w:r>
    </w:p>
    <w:p w14:paraId="527F1E79" w14:textId="77777777" w:rsidR="00132654" w:rsidRPr="00F40808" w:rsidRDefault="00132654" w:rsidP="00132654">
      <w:pPr>
        <w:spacing w:line="276" w:lineRule="auto"/>
        <w:ind w:left="567" w:right="567"/>
        <w:rPr>
          <w:rFonts w:cs="Arial"/>
          <w:i/>
          <w:sz w:val="22"/>
        </w:rPr>
      </w:pPr>
      <w:r w:rsidRPr="00F40808">
        <w:rPr>
          <w:rFonts w:cs="Arial"/>
          <w:b/>
          <w:i/>
          <w:sz w:val="22"/>
        </w:rPr>
        <w:t>FUNDAMENTACIÓN Y MOTIVACIÓN. EL ASPECTO FORMAL DE LA GARANTÍA Y SU FINALIDAD SE TRADUCEN EN EXPLICAR, JUSTIFICAR, POSIBILITAR LA DEFENSA Y COMUNICAR LA DECISIÓN.</w:t>
      </w:r>
      <w:r w:rsidRPr="00F40808">
        <w:rPr>
          <w:rFonts w:cs="Arial"/>
          <w:i/>
          <w:sz w:val="22"/>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71C0EC95" w14:textId="77777777" w:rsidR="00132654" w:rsidRPr="00F40808" w:rsidRDefault="00132654" w:rsidP="00132654">
      <w:pPr>
        <w:spacing w:line="276" w:lineRule="auto"/>
        <w:rPr>
          <w:rFonts w:cs="Arial"/>
          <w:sz w:val="22"/>
        </w:rPr>
      </w:pPr>
    </w:p>
    <w:p w14:paraId="11410E29" w14:textId="77777777" w:rsidR="00132654" w:rsidRPr="00F40808" w:rsidRDefault="00132654" w:rsidP="00132654">
      <w:pPr>
        <w:rPr>
          <w:rFonts w:cs="Arial"/>
          <w:szCs w:val="24"/>
        </w:rPr>
      </w:pPr>
      <w:r w:rsidRPr="00F40808">
        <w:rPr>
          <w:rFonts w:cs="Arial"/>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07C90274" w14:textId="77777777" w:rsidR="00132654" w:rsidRPr="00F40808" w:rsidRDefault="00132654" w:rsidP="00132654">
      <w:pPr>
        <w:rPr>
          <w:rFonts w:cs="Arial"/>
          <w:szCs w:val="24"/>
        </w:rPr>
      </w:pPr>
    </w:p>
    <w:p w14:paraId="456FE186" w14:textId="77777777" w:rsidR="00132654" w:rsidRPr="00F40808" w:rsidRDefault="00132654" w:rsidP="00132654">
      <w:pPr>
        <w:rPr>
          <w:rFonts w:cs="Arial"/>
          <w:szCs w:val="24"/>
        </w:rPr>
      </w:pPr>
      <w:r w:rsidRPr="00F40808">
        <w:rPr>
          <w:rFonts w:cs="Arial"/>
          <w:szCs w:val="24"/>
        </w:rPr>
        <w:t xml:space="preserve">Por lo tanto, la entrega de documentos en su versión pública debe acompañarse necesariamente del Acuerdo del Comité de Transparencia del Sujeto Obligado que la </w:t>
      </w:r>
      <w:r w:rsidRPr="00F40808">
        <w:rPr>
          <w:rFonts w:cs="Arial"/>
          <w:szCs w:val="24"/>
        </w:rPr>
        <w:lastRenderedPageBreak/>
        <w:t>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702BB329" w14:textId="77777777" w:rsidR="00132654" w:rsidRPr="00F40808" w:rsidRDefault="00132654" w:rsidP="00132654">
      <w:pPr>
        <w:rPr>
          <w:rFonts w:eastAsia="Times New Roman" w:cs="Times New Roman"/>
          <w:szCs w:val="24"/>
          <w:lang w:eastAsia="es-ES"/>
        </w:rPr>
      </w:pPr>
    </w:p>
    <w:p w14:paraId="578511CC" w14:textId="10A50844" w:rsidR="00132654" w:rsidRPr="00F40808" w:rsidRDefault="00132654" w:rsidP="00132654">
      <w:pPr>
        <w:rPr>
          <w:rFonts w:cs="Arial"/>
          <w:szCs w:val="24"/>
        </w:rPr>
      </w:pPr>
      <w:r w:rsidRPr="00F40808">
        <w:rPr>
          <w:rFonts w:eastAsia="Times New Roman" w:cs="Times New Roman"/>
          <w:szCs w:val="24"/>
          <w:lang w:eastAsia="es-ES"/>
        </w:rPr>
        <w:t xml:space="preserve">En mérito de lo expuesto en líneas anteriores, resultan fundados los motivos de inconformidad que arguye </w:t>
      </w:r>
      <w:r w:rsidRPr="00F40808">
        <w:rPr>
          <w:rFonts w:eastAsia="Times New Roman" w:cs="Times New Roman"/>
          <w:bCs/>
          <w:szCs w:val="24"/>
          <w:lang w:eastAsia="es-ES"/>
        </w:rPr>
        <w:t>el</w:t>
      </w:r>
      <w:r w:rsidRPr="00F40808">
        <w:rPr>
          <w:rFonts w:eastAsia="Times New Roman" w:cs="Times New Roman"/>
          <w:b/>
          <w:bCs/>
          <w:szCs w:val="24"/>
          <w:lang w:eastAsia="es-ES"/>
        </w:rPr>
        <w:t xml:space="preserve"> Recurrente </w:t>
      </w:r>
      <w:r w:rsidRPr="00F40808">
        <w:rPr>
          <w:rFonts w:eastAsia="Times New Roman" w:cs="Times New Roman"/>
          <w:szCs w:val="24"/>
          <w:lang w:eastAsia="es-ES"/>
        </w:rPr>
        <w:t xml:space="preserve">en su medio de impugnación que fue materia de estudio, por ello </w:t>
      </w:r>
      <w:r w:rsidRPr="00F40808">
        <w:rPr>
          <w:rFonts w:eastAsia="Times New Roman" w:cs="Arial"/>
          <w:szCs w:val="24"/>
          <w:lang w:eastAsia="es-ES"/>
        </w:rPr>
        <w:t>con fundamento en la</w:t>
      </w:r>
      <w:r w:rsidRPr="00F40808">
        <w:rPr>
          <w:rFonts w:eastAsia="Times New Roman" w:cs="Arial"/>
          <w:b/>
          <w:szCs w:val="24"/>
          <w:lang w:eastAsia="es-ES"/>
        </w:rPr>
        <w:t xml:space="preserve"> </w:t>
      </w:r>
      <w:r w:rsidRPr="00F40808">
        <w:rPr>
          <w:rFonts w:eastAsia="Times New Roman" w:cs="Arial"/>
          <w:b/>
          <w:bCs/>
          <w:i/>
          <w:szCs w:val="24"/>
          <w:lang w:eastAsia="es-ES"/>
        </w:rPr>
        <w:t>segunda hipótesis</w:t>
      </w:r>
      <w:r w:rsidRPr="00F40808">
        <w:rPr>
          <w:rFonts w:eastAsia="Times New Roman" w:cs="Arial"/>
          <w:b/>
          <w:szCs w:val="24"/>
          <w:lang w:eastAsia="es-ES"/>
        </w:rPr>
        <w:t xml:space="preserve"> </w:t>
      </w:r>
      <w:r w:rsidRPr="00F40808">
        <w:rPr>
          <w:rFonts w:eastAsia="Times New Roman" w:cs="Arial"/>
          <w:szCs w:val="24"/>
          <w:lang w:eastAsia="es-ES"/>
        </w:rPr>
        <w:t>de la fracción</w:t>
      </w:r>
      <w:r w:rsidRPr="00F40808">
        <w:rPr>
          <w:rFonts w:eastAsia="Times New Roman" w:cs="Arial"/>
          <w:b/>
          <w:szCs w:val="24"/>
          <w:lang w:eastAsia="es-ES"/>
        </w:rPr>
        <w:t xml:space="preserve"> </w:t>
      </w:r>
      <w:r w:rsidRPr="00F40808">
        <w:rPr>
          <w:rFonts w:eastAsia="Times New Roman" w:cs="Arial"/>
          <w:szCs w:val="24"/>
          <w:lang w:eastAsia="es-ES"/>
        </w:rPr>
        <w:t>III, del artículo 186,</w:t>
      </w:r>
      <w:r w:rsidRPr="00F40808">
        <w:rPr>
          <w:rFonts w:eastAsia="Times New Roman" w:cs="Arial"/>
          <w:b/>
          <w:szCs w:val="24"/>
          <w:lang w:eastAsia="es-ES"/>
        </w:rPr>
        <w:t xml:space="preserve"> </w:t>
      </w:r>
      <w:r w:rsidRPr="00F40808">
        <w:rPr>
          <w:rFonts w:eastAsia="Times New Roman" w:cs="Arial"/>
          <w:szCs w:val="24"/>
          <w:lang w:eastAsia="es-ES"/>
        </w:rPr>
        <w:t xml:space="preserve">de la Ley de Transparencia y Acceso a la Información Pública del Estado de México y Municipios, se </w:t>
      </w:r>
      <w:r w:rsidRPr="00F40808">
        <w:rPr>
          <w:rFonts w:eastAsia="Times New Roman" w:cs="Arial"/>
          <w:b/>
          <w:szCs w:val="24"/>
          <w:lang w:eastAsia="es-ES"/>
        </w:rPr>
        <w:t xml:space="preserve">MODIFICA </w:t>
      </w:r>
      <w:r w:rsidRPr="00F40808">
        <w:rPr>
          <w:rFonts w:eastAsia="Times New Roman" w:cs="Arial"/>
          <w:szCs w:val="24"/>
          <w:lang w:eastAsia="es-ES"/>
        </w:rPr>
        <w:t>la respuesta a la solicitud de información número</w:t>
      </w:r>
      <w:r w:rsidRPr="00F40808">
        <w:rPr>
          <w:rFonts w:eastAsia="Times New Roman" w:cs="Times New Roman"/>
          <w:b/>
          <w:szCs w:val="24"/>
          <w:lang w:eastAsia="es-ES"/>
        </w:rPr>
        <w:t xml:space="preserve"> </w:t>
      </w:r>
      <w:r w:rsidR="005F3144" w:rsidRPr="00F40808">
        <w:rPr>
          <w:b/>
          <w:bCs/>
        </w:rPr>
        <w:t xml:space="preserve">00093/TULTEPEC/IP/2024 </w:t>
      </w:r>
      <w:r w:rsidRPr="00F40808">
        <w:rPr>
          <w:rFonts w:cs="Arial"/>
          <w:szCs w:val="24"/>
        </w:rPr>
        <w:t xml:space="preserve">que  ha sido materia del presente fallo. </w:t>
      </w:r>
    </w:p>
    <w:p w14:paraId="27089A26" w14:textId="77777777" w:rsidR="00132654" w:rsidRPr="00F40808" w:rsidRDefault="00132654" w:rsidP="00132654">
      <w:pPr>
        <w:rPr>
          <w:rFonts w:cs="Arial"/>
          <w:szCs w:val="24"/>
        </w:rPr>
      </w:pPr>
    </w:p>
    <w:p w14:paraId="100E71E2" w14:textId="77777777" w:rsidR="00132654" w:rsidRPr="00F40808" w:rsidRDefault="00132654" w:rsidP="00132654">
      <w:pPr>
        <w:rPr>
          <w:rFonts w:eastAsia="Times New Roman" w:cs="Times New Roman"/>
          <w:szCs w:val="24"/>
          <w:lang w:eastAsia="es-ES"/>
        </w:rPr>
      </w:pPr>
      <w:r w:rsidRPr="00F40808">
        <w:rPr>
          <w:rFonts w:eastAsia="Times New Roman" w:cs="Times New Roman"/>
          <w:szCs w:val="24"/>
          <w:lang w:eastAsia="es-ES"/>
        </w:rPr>
        <w:t>Por lo antes expuesto y fundado es de resolverse y,</w:t>
      </w:r>
    </w:p>
    <w:p w14:paraId="1533A8EC" w14:textId="77777777" w:rsidR="00132654" w:rsidRPr="00F40808" w:rsidRDefault="00132654" w:rsidP="00132654">
      <w:pPr>
        <w:spacing w:before="240" w:after="240"/>
        <w:jc w:val="center"/>
        <w:rPr>
          <w:b/>
          <w:spacing w:val="60"/>
          <w:sz w:val="28"/>
          <w:szCs w:val="24"/>
        </w:rPr>
      </w:pPr>
      <w:r w:rsidRPr="00F40808">
        <w:rPr>
          <w:b/>
          <w:spacing w:val="60"/>
          <w:sz w:val="28"/>
          <w:szCs w:val="24"/>
        </w:rPr>
        <w:t>S E RESUELVE</w:t>
      </w:r>
    </w:p>
    <w:p w14:paraId="79E41396" w14:textId="77777777" w:rsidR="00132654" w:rsidRPr="00F40808" w:rsidRDefault="00132654" w:rsidP="00132654">
      <w:pPr>
        <w:rPr>
          <w:rFonts w:cs="Arial"/>
        </w:rPr>
      </w:pPr>
      <w:r w:rsidRPr="00F40808">
        <w:rPr>
          <w:rFonts w:cs="Arial"/>
          <w:b/>
          <w:sz w:val="28"/>
          <w:szCs w:val="28"/>
        </w:rPr>
        <w:t>PRIMERO</w:t>
      </w:r>
      <w:r w:rsidRPr="00F40808">
        <w:rPr>
          <w:rFonts w:cs="Arial"/>
          <w:sz w:val="32"/>
          <w:szCs w:val="28"/>
        </w:rPr>
        <w:t>.</w:t>
      </w:r>
      <w:r w:rsidRPr="00F40808">
        <w:rPr>
          <w:rFonts w:cs="Arial"/>
        </w:rPr>
        <w:t xml:space="preserve"> Resultan </w:t>
      </w:r>
      <w:r w:rsidRPr="00F40808">
        <w:rPr>
          <w:rFonts w:cs="Arial"/>
          <w:b/>
        </w:rPr>
        <w:t>fundadas</w:t>
      </w:r>
      <w:r w:rsidRPr="00F40808">
        <w:rPr>
          <w:rFonts w:cs="Arial"/>
        </w:rPr>
        <w:t xml:space="preserve"> las razones o motivos de inconformidad planteadas por </w:t>
      </w:r>
      <w:r w:rsidRPr="00F40808">
        <w:rPr>
          <w:b/>
          <w:szCs w:val="17"/>
          <w:lang w:eastAsia="es-ES_tradnl"/>
        </w:rPr>
        <w:t>EL</w:t>
      </w:r>
      <w:r w:rsidRPr="00F40808">
        <w:rPr>
          <w:rFonts w:cs="Arial"/>
          <w:b/>
        </w:rPr>
        <w:t xml:space="preserve"> RECURRENTE</w:t>
      </w:r>
      <w:r w:rsidRPr="00F40808">
        <w:rPr>
          <w:rFonts w:cs="Arial"/>
        </w:rPr>
        <w:t xml:space="preserve">, en términos del Considerando </w:t>
      </w:r>
      <w:r w:rsidRPr="00F40808">
        <w:rPr>
          <w:rFonts w:cs="Arial"/>
          <w:b/>
        </w:rPr>
        <w:t>CUARTO</w:t>
      </w:r>
      <w:r w:rsidRPr="00F40808">
        <w:rPr>
          <w:rFonts w:cs="Arial"/>
        </w:rPr>
        <w:t xml:space="preserve"> de la presente resolución.</w:t>
      </w:r>
    </w:p>
    <w:p w14:paraId="3DD067FD" w14:textId="77777777" w:rsidR="00132654" w:rsidRPr="00F40808" w:rsidRDefault="00132654" w:rsidP="00132654">
      <w:pPr>
        <w:rPr>
          <w:rFonts w:cs="Arial"/>
          <w:b/>
          <w:szCs w:val="28"/>
          <w:lang w:val="es-ES"/>
        </w:rPr>
      </w:pPr>
    </w:p>
    <w:p w14:paraId="25758F01" w14:textId="603C2A17" w:rsidR="001C4B10" w:rsidRPr="00F40808" w:rsidRDefault="00132654" w:rsidP="001C4B10">
      <w:pPr>
        <w:ind w:right="49"/>
        <w:rPr>
          <w:rFonts w:cs="Arial"/>
          <w:color w:val="000000" w:themeColor="text1"/>
        </w:rPr>
      </w:pPr>
      <w:r w:rsidRPr="00F40808">
        <w:rPr>
          <w:rFonts w:cs="Arial"/>
          <w:b/>
          <w:sz w:val="28"/>
          <w:szCs w:val="28"/>
          <w:lang w:val="es-ES"/>
        </w:rPr>
        <w:lastRenderedPageBreak/>
        <w:t>SEGUNDO</w:t>
      </w:r>
      <w:r w:rsidRPr="00F40808">
        <w:rPr>
          <w:rFonts w:cs="Arial"/>
          <w:sz w:val="28"/>
          <w:szCs w:val="28"/>
          <w:lang w:val="es-ES"/>
        </w:rPr>
        <w:t>.</w:t>
      </w:r>
      <w:r w:rsidRPr="00F40808">
        <w:rPr>
          <w:rFonts w:cs="Arial"/>
          <w:lang w:val="es-ES"/>
        </w:rPr>
        <w:t xml:space="preserve"> </w:t>
      </w:r>
      <w:r w:rsidRPr="00F40808">
        <w:rPr>
          <w:rFonts w:cs="Arial"/>
          <w:szCs w:val="24"/>
        </w:rPr>
        <w:t xml:space="preserve">Se </w:t>
      </w:r>
      <w:r w:rsidRPr="00F40808">
        <w:rPr>
          <w:rFonts w:cs="Arial"/>
          <w:b/>
          <w:szCs w:val="24"/>
        </w:rPr>
        <w:t xml:space="preserve">MODIFICA </w:t>
      </w:r>
      <w:r w:rsidRPr="00F40808">
        <w:rPr>
          <w:rFonts w:cs="Arial"/>
          <w:szCs w:val="24"/>
        </w:rPr>
        <w:t xml:space="preserve">la respuesta proporcionada por </w:t>
      </w:r>
      <w:r w:rsidRPr="00F40808">
        <w:rPr>
          <w:rFonts w:cs="Arial"/>
          <w:b/>
          <w:szCs w:val="24"/>
        </w:rPr>
        <w:t xml:space="preserve">EL SUJETO OBLIGADO </w:t>
      </w:r>
      <w:r w:rsidRPr="00F40808">
        <w:rPr>
          <w:rFonts w:cs="Arial"/>
          <w:szCs w:val="24"/>
        </w:rPr>
        <w:t>en la solicitud de información número</w:t>
      </w:r>
      <w:r w:rsidRPr="00F40808">
        <w:rPr>
          <w:rFonts w:cs="Arial"/>
          <w:b/>
        </w:rPr>
        <w:t xml:space="preserve"> </w:t>
      </w:r>
      <w:r w:rsidR="00AC172E" w:rsidRPr="00F40808">
        <w:rPr>
          <w:b/>
          <w:bCs/>
        </w:rPr>
        <w:t xml:space="preserve">00093/TULTEPEC/IP/2024 </w:t>
      </w:r>
      <w:r w:rsidRPr="00F40808">
        <w:rPr>
          <w:rFonts w:cs="Arial"/>
          <w:szCs w:val="24"/>
        </w:rPr>
        <w:t xml:space="preserve">y se </w:t>
      </w:r>
      <w:r w:rsidRPr="00F40808">
        <w:rPr>
          <w:rFonts w:cs="Arial"/>
          <w:b/>
          <w:szCs w:val="24"/>
        </w:rPr>
        <w:t>ORDENA</w:t>
      </w:r>
      <w:r w:rsidRPr="00F40808">
        <w:rPr>
          <w:rFonts w:cs="Arial"/>
          <w:b/>
          <w:sz w:val="28"/>
          <w:szCs w:val="24"/>
        </w:rPr>
        <w:t xml:space="preserve"> </w:t>
      </w:r>
      <w:r w:rsidRPr="00F40808">
        <w:rPr>
          <w:rFonts w:cs="Arial"/>
        </w:rPr>
        <w:t xml:space="preserve">al </w:t>
      </w:r>
      <w:r w:rsidRPr="00F40808">
        <w:rPr>
          <w:rFonts w:cs="Arial"/>
          <w:b/>
        </w:rPr>
        <w:t>Sujeto Obligado</w:t>
      </w:r>
      <w:r w:rsidRPr="00F40808">
        <w:rPr>
          <w:rFonts w:cs="Arial"/>
        </w:rPr>
        <w:t xml:space="preserve">, </w:t>
      </w:r>
      <w:r w:rsidR="00AD3B38" w:rsidRPr="00F40808">
        <w:rPr>
          <w:rFonts w:cs="Arial"/>
        </w:rPr>
        <w:t xml:space="preserve">a través del Sistema de Acceso a la Información Mexiquense (SAIMEX) y por correo electrónico </w:t>
      </w:r>
      <w:r w:rsidRPr="00F40808">
        <w:rPr>
          <w:rFonts w:cs="Arial"/>
        </w:rPr>
        <w:t xml:space="preserve">en términos del considerando </w:t>
      </w:r>
      <w:r w:rsidRPr="00F40808">
        <w:rPr>
          <w:rFonts w:cs="Arial"/>
          <w:b/>
        </w:rPr>
        <w:t xml:space="preserve">CUARTO </w:t>
      </w:r>
      <w:r w:rsidRPr="00F40808">
        <w:rPr>
          <w:rFonts w:cs="Arial"/>
        </w:rPr>
        <w:t xml:space="preserve">de esta resolución, haga entrega de ser procedente en versión pública </w:t>
      </w:r>
      <w:r w:rsidR="00AC172E" w:rsidRPr="00F40808">
        <w:rPr>
          <w:rFonts w:cs="Arial"/>
        </w:rPr>
        <w:t xml:space="preserve">de los ejercicios 2022, 2023 y </w:t>
      </w:r>
      <w:r w:rsidR="00DF226E" w:rsidRPr="00F40808">
        <w:rPr>
          <w:rFonts w:cs="Arial"/>
        </w:rPr>
        <w:t>del primero de enero al cinco de agosto del dos mil veinticuatro</w:t>
      </w:r>
      <w:r w:rsidR="00AC172E" w:rsidRPr="00F40808">
        <w:rPr>
          <w:rFonts w:cs="Arial"/>
        </w:rPr>
        <w:t xml:space="preserve"> </w:t>
      </w:r>
      <w:r w:rsidRPr="00F40808">
        <w:rPr>
          <w:rFonts w:cs="Arial"/>
        </w:rPr>
        <w:t>de lo siguiente</w:t>
      </w:r>
      <w:r w:rsidRPr="00F40808">
        <w:rPr>
          <w:bCs/>
        </w:rPr>
        <w:t>:</w:t>
      </w:r>
    </w:p>
    <w:p w14:paraId="6DE1BAB0" w14:textId="77777777" w:rsidR="00AC172E" w:rsidRPr="00F40808" w:rsidRDefault="00AC172E" w:rsidP="00132654">
      <w:pPr>
        <w:pStyle w:val="Citas"/>
        <w:numPr>
          <w:ilvl w:val="0"/>
          <w:numId w:val="7"/>
        </w:numPr>
        <w:ind w:left="426" w:right="332"/>
        <w:rPr>
          <w:rFonts w:eastAsia="Times New Roman"/>
          <w:bCs/>
          <w:i w:val="0"/>
          <w:sz w:val="24"/>
          <w:szCs w:val="24"/>
          <w:lang w:val="es-ES_tradnl"/>
        </w:rPr>
      </w:pPr>
      <w:r w:rsidRPr="00F40808">
        <w:rPr>
          <w:rFonts w:cs="Tahoma"/>
          <w:i w:val="0"/>
          <w:iCs/>
          <w:color w:val="000000"/>
          <w:sz w:val="24"/>
          <w:szCs w:val="24"/>
        </w:rPr>
        <w:t xml:space="preserve">El formato PbRM 07a corresponde al Programa Anual de Obras </w:t>
      </w:r>
    </w:p>
    <w:p w14:paraId="3DE35625" w14:textId="245F6E76" w:rsidR="00AC172E" w:rsidRPr="00F40808" w:rsidRDefault="00AC172E" w:rsidP="00132654">
      <w:pPr>
        <w:pStyle w:val="Citas"/>
        <w:numPr>
          <w:ilvl w:val="0"/>
          <w:numId w:val="7"/>
        </w:numPr>
        <w:ind w:left="426" w:right="332"/>
        <w:rPr>
          <w:rFonts w:eastAsia="Times New Roman"/>
          <w:bCs/>
          <w:i w:val="0"/>
          <w:sz w:val="24"/>
          <w:szCs w:val="24"/>
          <w:lang w:val="es-ES_tradnl"/>
        </w:rPr>
      </w:pPr>
      <w:r w:rsidRPr="00F40808">
        <w:rPr>
          <w:i w:val="0"/>
          <w:iCs/>
          <w:sz w:val="24"/>
          <w:szCs w:val="24"/>
        </w:rPr>
        <w:t xml:space="preserve">El </w:t>
      </w:r>
      <w:r w:rsidRPr="00F40808">
        <w:rPr>
          <w:rFonts w:cs="Tahoma"/>
          <w:i w:val="0"/>
          <w:iCs/>
          <w:color w:val="000000"/>
          <w:sz w:val="24"/>
          <w:szCs w:val="24"/>
        </w:rPr>
        <w:t>f</w:t>
      </w:r>
      <w:r w:rsidR="00960402" w:rsidRPr="00F40808">
        <w:rPr>
          <w:rFonts w:cs="Tahoma"/>
          <w:i w:val="0"/>
          <w:iCs/>
          <w:color w:val="000000"/>
          <w:sz w:val="24"/>
          <w:szCs w:val="24"/>
        </w:rPr>
        <w:t>ormato PbRM</w:t>
      </w:r>
      <w:r w:rsidRPr="00F40808">
        <w:rPr>
          <w:rFonts w:cs="Tahoma"/>
          <w:i w:val="0"/>
          <w:iCs/>
          <w:color w:val="000000"/>
          <w:sz w:val="24"/>
          <w:szCs w:val="24"/>
        </w:rPr>
        <w:t xml:space="preserve"> 07b correspondiente al Programa Anual de Obras (reparaciones y mantenimiento)</w:t>
      </w:r>
    </w:p>
    <w:p w14:paraId="2D910388" w14:textId="77777777" w:rsidR="00A41E4A" w:rsidRPr="00F40808" w:rsidRDefault="008478D4" w:rsidP="00A41E4A">
      <w:pPr>
        <w:pStyle w:val="Citas"/>
        <w:numPr>
          <w:ilvl w:val="0"/>
          <w:numId w:val="7"/>
        </w:numPr>
        <w:ind w:left="426" w:right="332"/>
        <w:rPr>
          <w:rFonts w:eastAsia="Times New Roman"/>
          <w:bCs/>
          <w:i w:val="0"/>
          <w:sz w:val="24"/>
          <w:szCs w:val="24"/>
          <w:lang w:val="es-ES_tradnl"/>
        </w:rPr>
      </w:pPr>
      <w:r w:rsidRPr="00F40808">
        <w:rPr>
          <w:rFonts w:cs="Tahoma"/>
          <w:i w:val="0"/>
          <w:iCs/>
          <w:color w:val="000000"/>
          <w:sz w:val="24"/>
          <w:szCs w:val="24"/>
        </w:rPr>
        <w:t>El o los documentos que den cuenta del gasto final de las obras públicas realizadas por el Sujeto Obligado</w:t>
      </w:r>
    </w:p>
    <w:p w14:paraId="0F0E411F" w14:textId="6FBCB447" w:rsidR="00A41E4A" w:rsidRPr="00F40808" w:rsidRDefault="00A41E4A" w:rsidP="00A41E4A">
      <w:pPr>
        <w:pStyle w:val="Citas"/>
        <w:numPr>
          <w:ilvl w:val="0"/>
          <w:numId w:val="7"/>
        </w:numPr>
        <w:ind w:left="426" w:right="332"/>
        <w:rPr>
          <w:rFonts w:eastAsia="Times New Roman"/>
          <w:bCs/>
          <w:i w:val="0"/>
          <w:sz w:val="24"/>
          <w:szCs w:val="24"/>
          <w:lang w:val="es-ES_tradnl"/>
        </w:rPr>
      </w:pPr>
      <w:r w:rsidRPr="00F40808">
        <w:rPr>
          <w:rFonts w:eastAsia="Palatino Linotype" w:cs="Palatino Linotype"/>
          <w:i w:val="0"/>
          <w:sz w:val="24"/>
          <w:szCs w:val="24"/>
        </w:rPr>
        <w:t>De l</w:t>
      </w:r>
      <w:r w:rsidR="003C62EA" w:rsidRPr="00F40808">
        <w:rPr>
          <w:rFonts w:eastAsia="Palatino Linotype" w:cs="Palatino Linotype"/>
          <w:i w:val="0"/>
          <w:sz w:val="24"/>
          <w:szCs w:val="24"/>
        </w:rPr>
        <w:t>as obras públicas realizadas por el Municipio</w:t>
      </w:r>
      <w:r w:rsidR="00AD3B38" w:rsidRPr="00F40808">
        <w:rPr>
          <w:rFonts w:eastAsia="Palatino Linotype" w:cs="Palatino Linotype"/>
          <w:i w:val="0"/>
          <w:sz w:val="24"/>
          <w:szCs w:val="24"/>
        </w:rPr>
        <w:t xml:space="preserve"> del primero de enero de dos mil veintidós al treinta y uno de diciembre de dos mil veintitrés</w:t>
      </w:r>
      <w:r w:rsidR="003C62EA" w:rsidRPr="00F40808">
        <w:rPr>
          <w:rFonts w:eastAsia="Palatino Linotype" w:cs="Palatino Linotype"/>
          <w:i w:val="0"/>
          <w:sz w:val="24"/>
          <w:szCs w:val="24"/>
        </w:rPr>
        <w:t xml:space="preserve"> </w:t>
      </w:r>
      <w:r w:rsidR="008478D4" w:rsidRPr="00F40808">
        <w:rPr>
          <w:rFonts w:eastAsia="Palatino Linotype" w:cs="Palatino Linotype"/>
          <w:i w:val="0"/>
          <w:sz w:val="24"/>
          <w:szCs w:val="24"/>
        </w:rPr>
        <w:t xml:space="preserve">el o los documentos que den cuenta de </w:t>
      </w:r>
      <w:r w:rsidR="00495D0D" w:rsidRPr="00F40808">
        <w:rPr>
          <w:rFonts w:eastAsia="Palatino Linotype" w:cs="Palatino Linotype"/>
          <w:i w:val="0"/>
          <w:sz w:val="24"/>
          <w:szCs w:val="24"/>
        </w:rPr>
        <w:t>lo siguiente;</w:t>
      </w:r>
      <w:r w:rsidR="003C62EA" w:rsidRPr="00F40808">
        <w:rPr>
          <w:rFonts w:eastAsia="Palatino Linotype" w:cs="Palatino Linotype"/>
          <w:i w:val="0"/>
          <w:sz w:val="24"/>
          <w:szCs w:val="24"/>
        </w:rPr>
        <w:t xml:space="preserve"> </w:t>
      </w:r>
    </w:p>
    <w:p w14:paraId="5FD80846" w14:textId="77777777" w:rsidR="00102920" w:rsidRPr="00F40808" w:rsidRDefault="00A41E4A" w:rsidP="00102920">
      <w:pPr>
        <w:pStyle w:val="Citas"/>
        <w:numPr>
          <w:ilvl w:val="2"/>
          <w:numId w:val="7"/>
        </w:numPr>
        <w:ind w:left="1843" w:right="332"/>
        <w:rPr>
          <w:rFonts w:eastAsia="Times New Roman"/>
          <w:bCs/>
          <w:i w:val="0"/>
          <w:sz w:val="24"/>
          <w:szCs w:val="24"/>
          <w:lang w:val="es-ES_tradnl"/>
        </w:rPr>
      </w:pPr>
      <w:r w:rsidRPr="00F40808">
        <w:rPr>
          <w:rFonts w:eastAsia="Palatino Linotype" w:cs="Palatino Linotype"/>
          <w:i w:val="0"/>
          <w:sz w:val="24"/>
          <w:szCs w:val="24"/>
        </w:rPr>
        <w:t xml:space="preserve">Las empresas que participaron en el proceso de licitación </w:t>
      </w:r>
    </w:p>
    <w:p w14:paraId="7824E621" w14:textId="7DC252BF" w:rsidR="00A41E4A" w:rsidRPr="00F40808" w:rsidRDefault="00A41E4A" w:rsidP="00102920">
      <w:pPr>
        <w:pStyle w:val="Citas"/>
        <w:numPr>
          <w:ilvl w:val="2"/>
          <w:numId w:val="7"/>
        </w:numPr>
        <w:ind w:left="1843" w:right="332"/>
        <w:rPr>
          <w:rFonts w:eastAsia="Times New Roman"/>
          <w:bCs/>
          <w:i w:val="0"/>
          <w:sz w:val="24"/>
          <w:szCs w:val="24"/>
          <w:lang w:val="es-ES_tradnl"/>
        </w:rPr>
      </w:pPr>
      <w:r w:rsidRPr="00F40808">
        <w:rPr>
          <w:rFonts w:eastAsia="Palatino Linotype" w:cs="Palatino Linotype"/>
          <w:i w:val="0"/>
          <w:sz w:val="24"/>
          <w:szCs w:val="24"/>
        </w:rPr>
        <w:t>Las empresas que han realizado obras públicas</w:t>
      </w:r>
    </w:p>
    <w:p w14:paraId="5E1B69F5" w14:textId="7A161B64" w:rsidR="00132654" w:rsidRPr="00F40808" w:rsidRDefault="00132654" w:rsidP="005243E3">
      <w:pPr>
        <w:pStyle w:val="INFOEM"/>
      </w:pPr>
      <w:r w:rsidRPr="00F40808">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F40808">
        <w:rPr>
          <w:b/>
        </w:rPr>
        <w:t>Recurrente</w:t>
      </w:r>
      <w:r w:rsidRPr="00F40808">
        <w:t>.</w:t>
      </w:r>
    </w:p>
    <w:p w14:paraId="5CBCBE15" w14:textId="6EEF4652" w:rsidR="00132654" w:rsidRPr="00F40808" w:rsidRDefault="00132654" w:rsidP="00132654">
      <w:pPr>
        <w:autoSpaceDE w:val="0"/>
        <w:autoSpaceDN w:val="0"/>
        <w:adjustRightInd w:val="0"/>
        <w:ind w:right="49"/>
        <w:rPr>
          <w:rFonts w:cs="Arial"/>
        </w:rPr>
      </w:pPr>
      <w:r w:rsidRPr="00F40808">
        <w:rPr>
          <w:rFonts w:cs="Arial"/>
          <w:b/>
          <w:sz w:val="28"/>
          <w:szCs w:val="28"/>
        </w:rPr>
        <w:lastRenderedPageBreak/>
        <w:t>TERCERO.</w:t>
      </w:r>
      <w:r w:rsidRPr="00F40808">
        <w:rPr>
          <w:rFonts w:cs="Arial"/>
          <w:b/>
        </w:rPr>
        <w:t xml:space="preserve"> NOTIFÍQUESE</w:t>
      </w:r>
      <w:r w:rsidRPr="00F40808">
        <w:rPr>
          <w:rFonts w:cs="Arial"/>
          <w:i/>
        </w:rPr>
        <w:t xml:space="preserve"> </w:t>
      </w:r>
      <w:r w:rsidRPr="00F40808">
        <w:rPr>
          <w:rFonts w:cs="Arial"/>
        </w:rPr>
        <w:t>la presente resolución al Titular de la Unidad de Transparencia del</w:t>
      </w:r>
      <w:r w:rsidRPr="00F40808">
        <w:rPr>
          <w:rFonts w:cs="Arial"/>
          <w:b/>
        </w:rPr>
        <w:t xml:space="preserve"> Sujeto Obligado</w:t>
      </w:r>
      <w:r w:rsidRPr="00F40808">
        <w:rPr>
          <w:rFonts w:cs="Arial"/>
        </w:rPr>
        <w:t xml:space="preserve">, </w:t>
      </w:r>
      <w:r w:rsidR="00AD3B38" w:rsidRPr="00F40808">
        <w:rPr>
          <w:rFonts w:cs="Arial"/>
        </w:rPr>
        <w:t xml:space="preserve">a través del Sistema de Acceso a la Información Mexiquense (SAIMEX) </w:t>
      </w:r>
      <w:r w:rsidRPr="00F40808">
        <w:rPr>
          <w:rFonts w:cs="Arial"/>
        </w:rPr>
        <w:t xml:space="preserve">para que conforme al artículo 186 último párrafo, 189 segundo párrafo y 194 de la Ley de Transparencia y Acceso a la Información Pública del Estado de México y Municipios; dé cumplimiento a lo ordenado dentro del plazo de 10 (diez) días hábiles, debiendo informar a este Instituto en un plazo de tres días hábiles siguientes sobre el cumplimiento dado a la presente </w:t>
      </w:r>
      <w:r w:rsidRPr="00F40808">
        <w:rPr>
          <w:rFonts w:cs="Arial"/>
          <w:b/>
          <w:szCs w:val="32"/>
        </w:rPr>
        <w:t>y</w:t>
      </w:r>
      <w:r w:rsidRPr="00F40808">
        <w:rPr>
          <w:rFonts w:cs="Arial"/>
          <w:szCs w:val="32"/>
        </w:rPr>
        <w:t xml:space="preserve"> </w:t>
      </w:r>
      <w:r w:rsidRPr="00F40808">
        <w:rPr>
          <w:rFonts w:eastAsia="Palatino Linotype" w:cs="Palatino Linotype"/>
          <w:b/>
          <w:color w:val="000000"/>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FD522EA" w14:textId="77777777" w:rsidR="00132654" w:rsidRPr="00F40808" w:rsidRDefault="00132654" w:rsidP="00132654">
      <w:pPr>
        <w:autoSpaceDE w:val="0"/>
        <w:autoSpaceDN w:val="0"/>
        <w:adjustRightInd w:val="0"/>
        <w:ind w:right="49"/>
        <w:rPr>
          <w:rFonts w:cs="Arial"/>
        </w:rPr>
      </w:pPr>
    </w:p>
    <w:p w14:paraId="3EA94B71" w14:textId="77777777" w:rsidR="00132654" w:rsidRPr="00F40808" w:rsidRDefault="00132654" w:rsidP="00132654">
      <w:pPr>
        <w:autoSpaceDE w:val="0"/>
        <w:autoSpaceDN w:val="0"/>
        <w:adjustRightInd w:val="0"/>
        <w:rPr>
          <w:rFonts w:cs="Arial"/>
        </w:rPr>
      </w:pPr>
      <w:r w:rsidRPr="00F40808">
        <w:rPr>
          <w:rFonts w:cs="Arial"/>
          <w:b/>
          <w:sz w:val="28"/>
          <w:szCs w:val="28"/>
        </w:rPr>
        <w:t>CUARTO.</w:t>
      </w:r>
      <w:r w:rsidRPr="00F40808">
        <w:rPr>
          <w:rFonts w:cs="Arial"/>
          <w:b/>
        </w:rPr>
        <w:t xml:space="preserve"> </w:t>
      </w:r>
      <w:r w:rsidRPr="00F40808">
        <w:rPr>
          <w:rFonts w:cs="Arial"/>
        </w:rPr>
        <w:t xml:space="preserve">De conformidad con el artículo 198 de la Ley de Transparencia y Acceso a la Información Pública del Estado de México y Municipios, de considerarlo procedente, el </w:t>
      </w:r>
      <w:r w:rsidRPr="00F40808">
        <w:rPr>
          <w:rFonts w:cs="Arial"/>
          <w:b/>
        </w:rPr>
        <w:t>Sujeto Obligado</w:t>
      </w:r>
      <w:r w:rsidRPr="00F40808">
        <w:rPr>
          <w:rFonts w:cs="Arial"/>
        </w:rPr>
        <w:t xml:space="preserve"> de manera fundada y motivada, podrá solicitar una ampliación de plazo para el cumplimiento de la presente resolución.</w:t>
      </w:r>
    </w:p>
    <w:p w14:paraId="7FBFFF1F" w14:textId="77777777" w:rsidR="00132654" w:rsidRPr="00F40808" w:rsidRDefault="00132654" w:rsidP="00132654">
      <w:pPr>
        <w:autoSpaceDE w:val="0"/>
        <w:autoSpaceDN w:val="0"/>
        <w:adjustRightInd w:val="0"/>
        <w:rPr>
          <w:rFonts w:cs="Arial"/>
        </w:rPr>
      </w:pPr>
    </w:p>
    <w:p w14:paraId="5A5BADC1" w14:textId="0A2239EC" w:rsidR="00132654" w:rsidRPr="00F40808" w:rsidRDefault="00132654" w:rsidP="00132654">
      <w:pPr>
        <w:autoSpaceDE w:val="0"/>
        <w:autoSpaceDN w:val="0"/>
        <w:adjustRightInd w:val="0"/>
        <w:rPr>
          <w:rFonts w:cs="Arial"/>
        </w:rPr>
      </w:pPr>
      <w:r w:rsidRPr="00F40808">
        <w:rPr>
          <w:b/>
          <w:sz w:val="28"/>
          <w:szCs w:val="28"/>
        </w:rPr>
        <w:t>QUINTO.</w:t>
      </w:r>
      <w:r w:rsidRPr="00F40808">
        <w:rPr>
          <w:b/>
        </w:rPr>
        <w:t xml:space="preserve"> </w:t>
      </w:r>
      <w:r w:rsidRPr="00F40808">
        <w:rPr>
          <w:rFonts w:cs="Arial"/>
          <w:b/>
        </w:rPr>
        <w:t>NOTIFÍQUESE</w:t>
      </w:r>
      <w:r w:rsidRPr="00F40808">
        <w:rPr>
          <w:rFonts w:cs="Arial"/>
        </w:rPr>
        <w:t xml:space="preserve"> a través del Sistema de Acceso a la Información Mexiquense (SAIMEX)</w:t>
      </w:r>
      <w:r w:rsidR="00B43071" w:rsidRPr="00F40808">
        <w:rPr>
          <w:rFonts w:cs="Arial"/>
        </w:rPr>
        <w:t xml:space="preserve"> y por correo electrónico</w:t>
      </w:r>
      <w:r w:rsidRPr="00F40808">
        <w:rPr>
          <w:rFonts w:cs="Arial"/>
        </w:rPr>
        <w:t xml:space="preserve">, al </w:t>
      </w:r>
      <w:r w:rsidRPr="00F40808">
        <w:rPr>
          <w:rFonts w:cs="Arial"/>
          <w:b/>
        </w:rPr>
        <w:t>Recurrente</w:t>
      </w:r>
      <w:r w:rsidRPr="00F40808">
        <w:rPr>
          <w:rFonts w:cs="Arial"/>
        </w:rPr>
        <w:t xml:space="preserve"> y hágasele del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648B778E" w14:textId="3C060295" w:rsidR="00132654" w:rsidRPr="00F40808" w:rsidRDefault="00132654" w:rsidP="00132654">
      <w:pPr>
        <w:rPr>
          <w:rFonts w:cs="Arial"/>
          <w:szCs w:val="24"/>
        </w:rPr>
      </w:pPr>
      <w:r w:rsidRPr="00F40808">
        <w:rPr>
          <w:rFonts w:cs="Arial"/>
          <w:szCs w:val="24"/>
        </w:rPr>
        <w:lastRenderedPageBreak/>
        <w:t xml:space="preserve">ASÍ LO RESUELVE, POR </w:t>
      </w:r>
      <w:r w:rsidRPr="00F40808">
        <w:rPr>
          <w:rFonts w:cs="Arial"/>
          <w:b/>
          <w:szCs w:val="24"/>
        </w:rPr>
        <w:t>UNANIMIDAD DE VOTOS</w:t>
      </w:r>
      <w:r w:rsidRPr="00F40808">
        <w:rPr>
          <w:rFonts w:cs="Arial"/>
          <w:szCs w:val="24"/>
        </w:rPr>
        <w:t xml:space="preserve"> EL PLENO DEL</w:t>
      </w:r>
      <w:r w:rsidRPr="00F40808">
        <w:rPr>
          <w:rFonts w:eastAsia="Arial Unicode MS" w:cs="Arial"/>
          <w:szCs w:val="24"/>
        </w:rPr>
        <w:t xml:space="preserve"> INSTITUTO DE TRANSPARENCIA, ACCESO A LA INFORMACIÓN PÚBLICA Y PROTECCIÓN DE DATOS PERSONALES DEL ESTADO DE MÉXICO Y MUNICIPIOS</w:t>
      </w:r>
      <w:r w:rsidRPr="00F40808">
        <w:rPr>
          <w:rFonts w:cs="Arial"/>
          <w:szCs w:val="24"/>
        </w:rPr>
        <w:t>, CONFORMADO POR LOS COMISIONADOS JOSÉ MARTÍNEZ VILCHIS, MARÍA DEL ROSARIO MEJÍA AYALA, SHARON CRISTINA MORALES MARTÍNEZ, LUIS GUSTAVO PARRA NORIEGA</w:t>
      </w:r>
      <w:r w:rsidR="00AF55A7" w:rsidRPr="00F40808">
        <w:rPr>
          <w:rFonts w:cs="Arial"/>
          <w:szCs w:val="24"/>
        </w:rPr>
        <w:t xml:space="preserve"> </w:t>
      </w:r>
      <w:r w:rsidR="000E1D73" w:rsidRPr="00F40808">
        <w:rPr>
          <w:rFonts w:cs="Arial"/>
          <w:szCs w:val="24"/>
        </w:rPr>
        <w:t>(</w:t>
      </w:r>
      <w:r w:rsidR="00AF55A7" w:rsidRPr="00F40808">
        <w:rPr>
          <w:rFonts w:cs="Arial"/>
          <w:szCs w:val="24"/>
        </w:rPr>
        <w:t xml:space="preserve">EMITIENDO </w:t>
      </w:r>
      <w:r w:rsidR="000E1D73" w:rsidRPr="00F40808">
        <w:rPr>
          <w:rFonts w:cs="Arial"/>
          <w:szCs w:val="24"/>
        </w:rPr>
        <w:t>VOTO PARTICULAR)</w:t>
      </w:r>
      <w:r w:rsidRPr="00F40808">
        <w:rPr>
          <w:rFonts w:cs="Arial"/>
          <w:szCs w:val="24"/>
        </w:rPr>
        <w:t xml:space="preserve"> Y GUADALUPE RAMÍREZ PEÑA, EN LA </w:t>
      </w:r>
      <w:r w:rsidR="000E1D73" w:rsidRPr="00F40808">
        <w:rPr>
          <w:rFonts w:cs="Arial"/>
          <w:b/>
          <w:szCs w:val="24"/>
        </w:rPr>
        <w:t xml:space="preserve">TRIGÉSMIA CUARTA </w:t>
      </w:r>
      <w:r w:rsidRPr="00F40808">
        <w:rPr>
          <w:rFonts w:cs="Arial"/>
          <w:b/>
          <w:szCs w:val="24"/>
        </w:rPr>
        <w:t xml:space="preserve">SESIÓN ORDINARIA CELEBRADA EL </w:t>
      </w:r>
      <w:r w:rsidR="000E1D73" w:rsidRPr="00F40808">
        <w:rPr>
          <w:rFonts w:cs="Arial"/>
          <w:b/>
          <w:szCs w:val="24"/>
        </w:rPr>
        <w:t>VEINTICINCO DE SEPTIEMBRE</w:t>
      </w:r>
      <w:r w:rsidRPr="00F40808">
        <w:rPr>
          <w:rFonts w:cs="Arial"/>
          <w:b/>
          <w:szCs w:val="24"/>
        </w:rPr>
        <w:t xml:space="preserve"> DE DOS MIL </w:t>
      </w:r>
      <w:r w:rsidRPr="00F40808">
        <w:rPr>
          <w:rFonts w:cs="Arial"/>
          <w:b/>
          <w:szCs w:val="24"/>
          <w:lang w:val="es-419"/>
        </w:rPr>
        <w:t>VEINTICUATRO</w:t>
      </w:r>
      <w:r w:rsidRPr="00F40808">
        <w:rPr>
          <w:rFonts w:cs="Arial"/>
          <w:szCs w:val="24"/>
        </w:rPr>
        <w:t>, ANTE EL SECRETARIO TÉCNICO D</w:t>
      </w:r>
      <w:r w:rsidR="00AF55A7" w:rsidRPr="00F40808">
        <w:rPr>
          <w:rFonts w:cs="Arial"/>
          <w:szCs w:val="24"/>
        </w:rPr>
        <w:t>EL PLENO, ALEXIS TAPIA RAMÍREZ.</w:t>
      </w:r>
      <w:r w:rsidRPr="00F40808">
        <w:rPr>
          <w:rFonts w:cs="Arial"/>
          <w:szCs w:val="24"/>
        </w:rPr>
        <w:t>-----------------------------------------------------------------------------------------------------------------------------------------------------------------------------------</w:t>
      </w:r>
      <w:r w:rsidR="00AF55A7" w:rsidRPr="00F40808">
        <w:rPr>
          <w:rFonts w:cs="Arial"/>
          <w:szCs w:val="24"/>
        </w:rPr>
        <w:t xml:space="preserve"> ---------------------------------------------------------------------------------------------------------------------</w:t>
      </w:r>
    </w:p>
    <w:p w14:paraId="55766F3B" w14:textId="3CDE161E" w:rsidR="00132654" w:rsidRPr="00F40808" w:rsidRDefault="00132654" w:rsidP="00132654">
      <w:pPr>
        <w:rPr>
          <w:rFonts w:cs="Arial"/>
          <w:szCs w:val="24"/>
        </w:rPr>
      </w:pPr>
      <w:r w:rsidRPr="00F40808">
        <w:rPr>
          <w:rFonts w:cs="Arial"/>
          <w:szCs w:val="24"/>
        </w:rPr>
        <w:t>---------------------------------------------------------------------------------------------------------------------</w:t>
      </w:r>
      <w:r w:rsidR="00AF55A7" w:rsidRPr="00F40808">
        <w:rPr>
          <w:rFonts w:cs="Arial"/>
          <w:szCs w:val="24"/>
        </w:rPr>
        <w:t>---------------------------------------------------------------------------------------------------------------------------------------------------------------------------------------------------------------------------------------------------------------------------------------------------------------------------------------------------------------------------------------------------------------------------------------------------------------------------------------------------------------------------------------------------------------------------------------------------------------------------------------------------------------------------------------------------------------------------------------------------------------------------------------------------------------------------------------------------------------------------------------------------------------------------------------------------------------------------------------------------------------------------------------------------------------------------------------------------------------------------------------------------------------------------------------------------------------------------------------------------------------------------------------------------------------------------------------</w:t>
      </w:r>
    </w:p>
    <w:p w14:paraId="075C6A04" w14:textId="77777777" w:rsidR="00132654" w:rsidRDefault="00132654" w:rsidP="00132654">
      <w:pPr>
        <w:rPr>
          <w:rFonts w:cs="Arial"/>
          <w:sz w:val="20"/>
        </w:rPr>
      </w:pPr>
      <w:r w:rsidRPr="00F40808">
        <w:rPr>
          <w:rFonts w:cs="Arial"/>
          <w:sz w:val="20"/>
        </w:rPr>
        <w:t>JMV/CCR/NJMB</w:t>
      </w:r>
      <w:bookmarkStart w:id="1" w:name="_GoBack"/>
      <w:bookmarkEnd w:id="1"/>
    </w:p>
    <w:p w14:paraId="7F5BD49F" w14:textId="77777777" w:rsidR="00132654" w:rsidRDefault="00132654" w:rsidP="00132654">
      <w:pPr>
        <w:rPr>
          <w:rFonts w:cs="Arial"/>
          <w:sz w:val="20"/>
        </w:rPr>
      </w:pPr>
    </w:p>
    <w:p w14:paraId="00F8C84F" w14:textId="77777777" w:rsidR="00132654" w:rsidRDefault="00132654" w:rsidP="00132654">
      <w:pPr>
        <w:rPr>
          <w:rFonts w:cs="Arial"/>
          <w:sz w:val="20"/>
        </w:rPr>
      </w:pPr>
    </w:p>
    <w:p w14:paraId="63292B94" w14:textId="77777777" w:rsidR="00132654" w:rsidRPr="004B7011" w:rsidRDefault="00132654" w:rsidP="00132654">
      <w:pPr>
        <w:pBdr>
          <w:top w:val="nil"/>
          <w:left w:val="nil"/>
          <w:bottom w:val="nil"/>
          <w:right w:val="nil"/>
          <w:between w:val="nil"/>
        </w:pBdr>
        <w:contextualSpacing/>
        <w:rPr>
          <w:rFonts w:eastAsia="Palatino Linotype" w:cs="Palatino Linotype"/>
          <w:color w:val="000000"/>
          <w:sz w:val="20"/>
          <w:szCs w:val="20"/>
        </w:rPr>
      </w:pPr>
    </w:p>
    <w:p w14:paraId="3D79C567" w14:textId="77777777" w:rsidR="00132654" w:rsidRPr="004B7011" w:rsidRDefault="00132654" w:rsidP="00132654">
      <w:pPr>
        <w:pBdr>
          <w:top w:val="nil"/>
          <w:left w:val="nil"/>
          <w:bottom w:val="nil"/>
          <w:right w:val="nil"/>
          <w:between w:val="nil"/>
        </w:pBdr>
        <w:contextualSpacing/>
        <w:rPr>
          <w:rFonts w:eastAsia="Palatino Linotype" w:cs="Palatino Linotype"/>
          <w:color w:val="000000"/>
          <w:sz w:val="20"/>
          <w:szCs w:val="20"/>
        </w:rPr>
      </w:pPr>
    </w:p>
    <w:p w14:paraId="0396D04C" w14:textId="77777777" w:rsidR="00132654" w:rsidRPr="004B7011" w:rsidRDefault="00132654" w:rsidP="00132654">
      <w:pPr>
        <w:pBdr>
          <w:top w:val="nil"/>
          <w:left w:val="nil"/>
          <w:bottom w:val="nil"/>
          <w:right w:val="nil"/>
          <w:between w:val="nil"/>
        </w:pBdr>
        <w:contextualSpacing/>
        <w:rPr>
          <w:rFonts w:eastAsia="Palatino Linotype" w:cs="Palatino Linotype"/>
          <w:color w:val="000000"/>
          <w:sz w:val="20"/>
          <w:szCs w:val="20"/>
        </w:rPr>
      </w:pPr>
    </w:p>
    <w:p w14:paraId="4BC198D9" w14:textId="77777777" w:rsidR="00132654" w:rsidRPr="004B7011" w:rsidRDefault="00132654" w:rsidP="00132654">
      <w:pPr>
        <w:pBdr>
          <w:top w:val="nil"/>
          <w:left w:val="nil"/>
          <w:bottom w:val="nil"/>
          <w:right w:val="nil"/>
          <w:between w:val="nil"/>
        </w:pBdr>
        <w:contextualSpacing/>
        <w:rPr>
          <w:rFonts w:eastAsia="Palatino Linotype" w:cs="Palatino Linotype"/>
          <w:color w:val="000000"/>
          <w:sz w:val="20"/>
          <w:szCs w:val="20"/>
        </w:rPr>
      </w:pPr>
    </w:p>
    <w:p w14:paraId="5D11A13C" w14:textId="77777777" w:rsidR="00132654" w:rsidRPr="004B7011" w:rsidRDefault="00132654" w:rsidP="00132654">
      <w:pPr>
        <w:pBdr>
          <w:top w:val="nil"/>
          <w:left w:val="nil"/>
          <w:bottom w:val="nil"/>
          <w:right w:val="nil"/>
          <w:between w:val="nil"/>
        </w:pBdr>
        <w:contextualSpacing/>
        <w:rPr>
          <w:rFonts w:eastAsia="Palatino Linotype" w:cs="Palatino Linotype"/>
          <w:color w:val="000000"/>
          <w:sz w:val="20"/>
          <w:szCs w:val="20"/>
        </w:rPr>
      </w:pPr>
    </w:p>
    <w:p w14:paraId="086363ED" w14:textId="77777777" w:rsidR="00132654" w:rsidRPr="004B7011" w:rsidRDefault="00132654" w:rsidP="00132654">
      <w:pPr>
        <w:pBdr>
          <w:top w:val="nil"/>
          <w:left w:val="nil"/>
          <w:bottom w:val="nil"/>
          <w:right w:val="nil"/>
          <w:between w:val="nil"/>
        </w:pBdr>
        <w:contextualSpacing/>
        <w:rPr>
          <w:rFonts w:eastAsia="Palatino Linotype" w:cs="Palatino Linotype"/>
          <w:color w:val="000000"/>
          <w:sz w:val="20"/>
          <w:szCs w:val="20"/>
        </w:rPr>
      </w:pPr>
    </w:p>
    <w:p w14:paraId="67FD2881" w14:textId="77777777" w:rsidR="00132654" w:rsidRPr="004B7011" w:rsidRDefault="00132654" w:rsidP="00132654">
      <w:pPr>
        <w:pBdr>
          <w:top w:val="nil"/>
          <w:left w:val="nil"/>
          <w:bottom w:val="nil"/>
          <w:right w:val="nil"/>
          <w:between w:val="nil"/>
        </w:pBdr>
        <w:contextualSpacing/>
        <w:rPr>
          <w:rFonts w:eastAsia="Palatino Linotype" w:cs="Palatino Linotype"/>
          <w:color w:val="000000"/>
          <w:sz w:val="20"/>
          <w:szCs w:val="20"/>
        </w:rPr>
      </w:pPr>
    </w:p>
    <w:p w14:paraId="7607B98C" w14:textId="77777777" w:rsidR="00132654" w:rsidRPr="004B7011" w:rsidRDefault="00132654" w:rsidP="00132654">
      <w:pPr>
        <w:pBdr>
          <w:top w:val="nil"/>
          <w:left w:val="nil"/>
          <w:bottom w:val="nil"/>
          <w:right w:val="nil"/>
          <w:between w:val="nil"/>
        </w:pBdr>
        <w:contextualSpacing/>
        <w:rPr>
          <w:rFonts w:eastAsia="Palatino Linotype" w:cs="Palatino Linotype"/>
          <w:color w:val="000000"/>
          <w:sz w:val="20"/>
          <w:szCs w:val="20"/>
        </w:rPr>
      </w:pPr>
    </w:p>
    <w:p w14:paraId="21662426" w14:textId="77777777" w:rsidR="00132654" w:rsidRPr="004B7011" w:rsidRDefault="00132654" w:rsidP="00132654">
      <w:pPr>
        <w:pBdr>
          <w:top w:val="nil"/>
          <w:left w:val="nil"/>
          <w:bottom w:val="nil"/>
          <w:right w:val="nil"/>
          <w:between w:val="nil"/>
        </w:pBdr>
        <w:contextualSpacing/>
        <w:rPr>
          <w:rFonts w:eastAsia="Palatino Linotype" w:cs="Palatino Linotype"/>
          <w:color w:val="000000"/>
          <w:sz w:val="20"/>
          <w:szCs w:val="20"/>
        </w:rPr>
      </w:pPr>
    </w:p>
    <w:p w14:paraId="66859C0C" w14:textId="77777777" w:rsidR="00132654" w:rsidRPr="004B7011" w:rsidRDefault="00132654" w:rsidP="00132654"/>
    <w:p w14:paraId="2EC054D2" w14:textId="77777777" w:rsidR="00132654" w:rsidRDefault="00132654" w:rsidP="00132654"/>
    <w:p w14:paraId="2382DBAD" w14:textId="77777777" w:rsidR="00132654" w:rsidRDefault="00132654" w:rsidP="00132654"/>
    <w:p w14:paraId="6E323816" w14:textId="77777777" w:rsidR="00132654" w:rsidRDefault="00132654" w:rsidP="00132654"/>
    <w:p w14:paraId="179EA5B2" w14:textId="77777777" w:rsidR="00132654" w:rsidRDefault="00132654" w:rsidP="00132654"/>
    <w:p w14:paraId="3C476153" w14:textId="77777777" w:rsidR="00132654" w:rsidRDefault="00132654" w:rsidP="00132654"/>
    <w:p w14:paraId="2CC58470" w14:textId="77777777" w:rsidR="00132654" w:rsidRDefault="00132654"/>
    <w:sectPr w:rsidR="00132654" w:rsidSect="00132654">
      <w:headerReference w:type="even" r:id="rId12"/>
      <w:headerReference w:type="default" r:id="rId13"/>
      <w:footerReference w:type="default" r:id="rId14"/>
      <w:headerReference w:type="first" r:id="rId15"/>
      <w:footerReference w:type="first" r:id="rId16"/>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7436E" w14:textId="77777777" w:rsidR="00C67C0A" w:rsidRDefault="00C67C0A" w:rsidP="00132654">
      <w:pPr>
        <w:spacing w:line="240" w:lineRule="auto"/>
      </w:pPr>
      <w:r>
        <w:separator/>
      </w:r>
    </w:p>
  </w:endnote>
  <w:endnote w:type="continuationSeparator" w:id="0">
    <w:p w14:paraId="6E1A50B1" w14:textId="77777777" w:rsidR="00C67C0A" w:rsidRDefault="00C67C0A" w:rsidP="001326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
    <w:charset w:val="00"/>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15B44" w14:textId="77777777" w:rsidR="00D70A72" w:rsidRPr="00871A91" w:rsidRDefault="00D70A72" w:rsidP="005336F4">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40808">
      <w:rPr>
        <w:rFonts w:ascii="Palatino Linotype" w:hAnsi="Palatino Linotype"/>
        <w:b/>
        <w:bCs/>
        <w:noProof/>
        <w:sz w:val="20"/>
      </w:rPr>
      <w:t>51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40808">
      <w:rPr>
        <w:rFonts w:ascii="Palatino Linotype" w:hAnsi="Palatino Linotype"/>
        <w:b/>
        <w:bCs/>
        <w:noProof/>
        <w:sz w:val="20"/>
      </w:rPr>
      <w:t>52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9F393" w14:textId="77777777" w:rsidR="00D70A72" w:rsidRPr="00871A91" w:rsidRDefault="00D70A72" w:rsidP="005336F4">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40808">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40808">
      <w:rPr>
        <w:rFonts w:ascii="Palatino Linotype" w:hAnsi="Palatino Linotype"/>
        <w:b/>
        <w:bCs/>
        <w:noProof/>
        <w:sz w:val="20"/>
      </w:rPr>
      <w:t>52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2D826" w14:textId="77777777" w:rsidR="00C67C0A" w:rsidRDefault="00C67C0A" w:rsidP="00132654">
      <w:pPr>
        <w:spacing w:line="240" w:lineRule="auto"/>
      </w:pPr>
      <w:r>
        <w:separator/>
      </w:r>
    </w:p>
  </w:footnote>
  <w:footnote w:type="continuationSeparator" w:id="0">
    <w:p w14:paraId="740B19D1" w14:textId="77777777" w:rsidR="00C67C0A" w:rsidRDefault="00C67C0A" w:rsidP="00132654">
      <w:pPr>
        <w:spacing w:line="240" w:lineRule="auto"/>
      </w:pPr>
      <w:r>
        <w:continuationSeparator/>
      </w:r>
    </w:p>
  </w:footnote>
  <w:footnote w:id="1">
    <w:p w14:paraId="2D3D28F6" w14:textId="77777777" w:rsidR="00D70A72" w:rsidRPr="00481AAF" w:rsidRDefault="00D70A72" w:rsidP="00132654">
      <w:pPr>
        <w:spacing w:line="240" w:lineRule="auto"/>
        <w:rPr>
          <w:rFonts w:eastAsia="Times New Roman"/>
          <w:b/>
          <w:bCs/>
          <w:i/>
          <w:sz w:val="20"/>
          <w:szCs w:val="20"/>
        </w:rPr>
      </w:pPr>
      <w:r>
        <w:rPr>
          <w:rStyle w:val="Refdenotaalpie"/>
        </w:rPr>
        <w:footnoteRef/>
      </w:r>
      <w:r>
        <w:t xml:space="preserve"> </w:t>
      </w:r>
      <w:r w:rsidRPr="00946E1F">
        <w:rPr>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b/>
          <w:bCs/>
          <w:i/>
          <w:sz w:val="20"/>
          <w:szCs w:val="20"/>
        </w:rPr>
        <w:t>DERECHOS HUMANOS.</w:t>
      </w:r>
    </w:p>
    <w:p w14:paraId="1E593B9D" w14:textId="77777777" w:rsidR="00D70A72" w:rsidRPr="00946E1F" w:rsidRDefault="00D70A72" w:rsidP="00132654">
      <w:pPr>
        <w:spacing w:line="240" w:lineRule="auto"/>
        <w:rPr>
          <w:i/>
          <w:sz w:val="20"/>
          <w:szCs w:val="20"/>
        </w:rPr>
      </w:pPr>
      <w:r w:rsidRPr="00481AAF">
        <w:rPr>
          <w:i/>
          <w:sz w:val="20"/>
          <w:szCs w:val="20"/>
        </w:rPr>
        <w:t>Del examen de compatibilidad de los artículos</w:t>
      </w:r>
      <w:r w:rsidRPr="00481AAF">
        <w:rPr>
          <w:rStyle w:val="apple-converted-space"/>
          <w:i/>
          <w:sz w:val="20"/>
          <w:szCs w:val="20"/>
        </w:rPr>
        <w:t> </w:t>
      </w:r>
      <w:hyperlink r:id="rId1" w:history="1">
        <w:r w:rsidRPr="00481AAF">
          <w:rPr>
            <w:rStyle w:val="Hipervnculo"/>
            <w:i/>
          </w:rPr>
          <w:t>73 y 74 de la Ley de Amparo</w:t>
        </w:r>
      </w:hyperlink>
      <w:r w:rsidRPr="00481AAF">
        <w:rPr>
          <w:rStyle w:val="apple-converted-space"/>
          <w:i/>
          <w:sz w:val="20"/>
          <w:szCs w:val="20"/>
        </w:rPr>
        <w:t> </w:t>
      </w:r>
      <w:r w:rsidRPr="00481AAF">
        <w:rPr>
          <w:i/>
          <w:sz w:val="20"/>
          <w:szCs w:val="20"/>
        </w:rPr>
        <w:t>con el artículo</w:t>
      </w:r>
      <w:r w:rsidRPr="00481AAF">
        <w:rPr>
          <w:rStyle w:val="apple-converted-space"/>
          <w:i/>
          <w:sz w:val="20"/>
          <w:szCs w:val="20"/>
        </w:rPr>
        <w:t> </w:t>
      </w:r>
      <w:hyperlink r:id="rId2" w:history="1">
        <w:r w:rsidRPr="00481AAF">
          <w:rPr>
            <w:rStyle w:val="Hipervnculo"/>
            <w:i/>
          </w:rPr>
          <w:t>25.1 de la Convención Americana sobre Derechos Humanos</w:t>
        </w:r>
      </w:hyperlink>
      <w:r w:rsidRPr="00481AAF">
        <w:rPr>
          <w:rStyle w:val="apple-converted-space"/>
          <w:i/>
          <w:sz w:val="20"/>
          <w:szCs w:val="20"/>
        </w:rPr>
        <w:t> </w:t>
      </w:r>
      <w:r w:rsidRPr="00481AAF">
        <w:rPr>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b/>
          <w:i/>
          <w:sz w:val="20"/>
          <w:szCs w:val="20"/>
          <w:u w:val="single"/>
        </w:rPr>
        <w:t>de amparo,</w:t>
      </w:r>
      <w:r w:rsidRPr="00946E1F">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i/>
          <w:sz w:val="20"/>
          <w:szCs w:val="20"/>
        </w:rPr>
        <w:t>concesoria</w:t>
      </w:r>
      <w:proofErr w:type="spellEnd"/>
      <w:r w:rsidRPr="00946E1F">
        <w:rPr>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83FD990" w14:textId="77777777" w:rsidR="00D70A72" w:rsidRDefault="00D70A72" w:rsidP="0013265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 fracción XI, Ley de Transparencia y Acceso a la Información Pública del Estado de México y Municipios.</w:t>
      </w:r>
    </w:p>
  </w:footnote>
  <w:footnote w:id="3">
    <w:p w14:paraId="248A3D02" w14:textId="77777777" w:rsidR="00D70A72" w:rsidRDefault="00D70A72" w:rsidP="0013265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 Ley de Transparencia y Acceso a la Información Pública del Estado de México y Municipios.</w:t>
      </w:r>
    </w:p>
  </w:footnote>
  <w:footnote w:id="4">
    <w:p w14:paraId="66534B71" w14:textId="77777777" w:rsidR="00D70A72" w:rsidRDefault="00D70A72" w:rsidP="00132654">
      <w:pPr>
        <w:pBdr>
          <w:top w:val="nil"/>
          <w:left w:val="nil"/>
          <w:bottom w:val="nil"/>
          <w:right w:val="nil"/>
          <w:between w:val="nil"/>
        </w:pBdr>
        <w:rPr>
          <w:rFonts w:eastAsia="Palatino Linotype" w:cs="Palatino Linotype"/>
          <w:color w:val="000000"/>
          <w:sz w:val="18"/>
          <w:szCs w:val="18"/>
        </w:rPr>
      </w:pPr>
      <w:r>
        <w:rPr>
          <w:vertAlign w:val="superscript"/>
        </w:rPr>
        <w:footnoteRef/>
      </w:r>
      <w:r>
        <w:rPr>
          <w:color w:val="000000"/>
          <w:sz w:val="20"/>
          <w:szCs w:val="20"/>
        </w:rPr>
        <w:t xml:space="preserve"> </w:t>
      </w:r>
      <w:r>
        <w:rPr>
          <w:rFonts w:eastAsia="Palatino Linotype" w:cs="Palatino Linotype"/>
          <w:color w:val="000000"/>
          <w:sz w:val="18"/>
          <w:szCs w:val="18"/>
        </w:rPr>
        <w:t xml:space="preserve">Ley de Transparencia y Acceso a la Información Pública del Estado de México y Municipios. </w:t>
      </w:r>
    </w:p>
    <w:p w14:paraId="24822676" w14:textId="77777777" w:rsidR="00D70A72" w:rsidRDefault="00D70A72" w:rsidP="00132654">
      <w:pPr>
        <w:pBdr>
          <w:top w:val="nil"/>
          <w:left w:val="nil"/>
          <w:bottom w:val="nil"/>
          <w:right w:val="nil"/>
          <w:between w:val="nil"/>
        </w:pBdr>
        <w:rPr>
          <w:rFonts w:eastAsia="Palatino Linotype" w:cs="Palatino Linotype"/>
          <w:color w:val="000000"/>
          <w:sz w:val="18"/>
          <w:szCs w:val="18"/>
        </w:rPr>
      </w:pPr>
      <w:r>
        <w:rPr>
          <w:rFonts w:eastAsia="Palatino Linotype" w:cs="Palatino Linotype"/>
          <w:color w:val="000000"/>
          <w:sz w:val="18"/>
          <w:szCs w:val="18"/>
        </w:rPr>
        <w:t>“Artículo 9</w:t>
      </w:r>
      <w:proofErr w:type="gramStart"/>
      <w:r>
        <w:rPr>
          <w:rFonts w:eastAsia="Palatino Linotype" w:cs="Palatino Linotype"/>
          <w:color w:val="000000"/>
          <w:sz w:val="18"/>
          <w:szCs w:val="18"/>
        </w:rPr>
        <w:t>.(</w:t>
      </w:r>
      <w:proofErr w:type="gramEnd"/>
      <w:r>
        <w:rPr>
          <w:rFonts w:eastAsia="Palatino Linotype" w:cs="Palatino Linotype"/>
          <w:color w:val="000000"/>
          <w:sz w:val="18"/>
          <w:szCs w:val="18"/>
        </w:rPr>
        <w:t>…)</w:t>
      </w:r>
    </w:p>
    <w:p w14:paraId="300A52BC" w14:textId="77777777" w:rsidR="00D70A72" w:rsidRDefault="00D70A72" w:rsidP="00132654">
      <w:pPr>
        <w:pBdr>
          <w:top w:val="nil"/>
          <w:left w:val="nil"/>
          <w:bottom w:val="nil"/>
          <w:right w:val="nil"/>
          <w:between w:val="nil"/>
        </w:pBdr>
        <w:rPr>
          <w:rFonts w:eastAsia="Palatino Linotype" w:cs="Palatino Linotype"/>
          <w:color w:val="000000"/>
          <w:sz w:val="18"/>
          <w:szCs w:val="18"/>
        </w:rPr>
      </w:pPr>
      <w:r>
        <w:rPr>
          <w:rFonts w:eastAsia="Palatino Linotype" w:cs="Palatino Linotype"/>
          <w:color w:val="000000"/>
          <w:sz w:val="18"/>
          <w:szCs w:val="18"/>
        </w:rPr>
        <w:t>II. Eficacia: Obligación del Instituto para tutelar, de manera efectiva, el derecho de acceso a la información;</w:t>
      </w:r>
    </w:p>
    <w:p w14:paraId="1714D648" w14:textId="77777777" w:rsidR="00D70A72" w:rsidRDefault="00D70A72" w:rsidP="00132654">
      <w:pPr>
        <w:pBdr>
          <w:top w:val="nil"/>
          <w:left w:val="nil"/>
          <w:bottom w:val="nil"/>
          <w:right w:val="nil"/>
          <w:between w:val="nil"/>
        </w:pBdr>
        <w:rPr>
          <w:color w:val="000000"/>
          <w:sz w:val="20"/>
          <w:szCs w:val="20"/>
        </w:rPr>
      </w:pPr>
      <w:r>
        <w:rPr>
          <w:color w:val="000000"/>
          <w:sz w:val="20"/>
          <w:szCs w:val="20"/>
        </w:rPr>
        <w:t>(…)”</w:t>
      </w:r>
    </w:p>
  </w:footnote>
  <w:footnote w:id="5">
    <w:p w14:paraId="2ACFF2A7" w14:textId="2EF02CC0" w:rsidR="00D70A72" w:rsidRPr="007119A8" w:rsidRDefault="00D70A72">
      <w:pPr>
        <w:pStyle w:val="Textonotapie"/>
        <w:rPr>
          <w:lang w:val="es-MX"/>
        </w:rPr>
      </w:pPr>
      <w:r>
        <w:rPr>
          <w:rStyle w:val="Refdenotaalpie"/>
        </w:rPr>
        <w:footnoteRef/>
      </w:r>
      <w:r>
        <w:t xml:space="preserve"> </w:t>
      </w:r>
      <w:hyperlink r:id="rId3" w:history="1">
        <w:r w:rsidRPr="00650DDD">
          <w:rPr>
            <w:rStyle w:val="Hipervnculo"/>
          </w:rPr>
          <w:t>https://legislacion.edomex.gob.mx/sites/legislacion.edomex.gob.mx/files/files/pdf/gct/2023/noviembre/nov012/nov012a.pdf</w:t>
        </w:r>
      </w:hyperlink>
      <w:r>
        <w:t xml:space="preserve"> </w:t>
      </w:r>
    </w:p>
  </w:footnote>
  <w:footnote w:id="6">
    <w:p w14:paraId="415E28C1" w14:textId="77777777" w:rsidR="00D70A72" w:rsidRDefault="00D70A72" w:rsidP="00D70A72">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Consultable en: </w:t>
      </w:r>
    </w:p>
    <w:p w14:paraId="544E4D80" w14:textId="77777777" w:rsidR="00D70A72" w:rsidRDefault="00F40808" w:rsidP="00D70A72">
      <w:pPr>
        <w:pBdr>
          <w:top w:val="nil"/>
          <w:left w:val="nil"/>
          <w:bottom w:val="nil"/>
          <w:right w:val="nil"/>
          <w:between w:val="nil"/>
        </w:pBdr>
        <w:rPr>
          <w:rFonts w:eastAsia="Palatino Linotype" w:cs="Palatino Linotype"/>
          <w:color w:val="000000"/>
          <w:sz w:val="16"/>
          <w:szCs w:val="16"/>
        </w:rPr>
      </w:pPr>
      <w:hyperlink r:id="rId4">
        <w:r w:rsidR="00D70A72">
          <w:rPr>
            <w:rFonts w:eastAsia="Palatino Linotype" w:cs="Palatino Linotype"/>
            <w:color w:val="0000FF"/>
            <w:sz w:val="16"/>
            <w:szCs w:val="16"/>
            <w:u w:val="single"/>
          </w:rPr>
          <w:t>https://www.indetec.gob.mx/delivery?srv=0&amp;sl=3&amp;path=/biblioteca/Especiales/386_Glosario_Terminos_Proceso_Planeacion.pdf</w:t>
        </w:r>
      </w:hyperlink>
      <w:r w:rsidR="00D70A72">
        <w:rPr>
          <w:rFonts w:eastAsia="Palatino Linotype" w:cs="Palatino Linotype"/>
          <w:color w:val="000000"/>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B54E9" w14:textId="77777777" w:rsidR="00D70A72" w:rsidRDefault="00F40808">
    <w:pPr>
      <w:pStyle w:val="Encabezado"/>
    </w:pPr>
    <w:r>
      <w:rPr>
        <w:noProof/>
        <w:lang w:val="es-MX" w:eastAsia="es-MX"/>
      </w:rPr>
      <w:pict w14:anchorId="156D5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8752;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temporary/>
      <w:showingPlcHdr/>
      <w15:appearance w15:val="hidden"/>
    </w:sdtPr>
    <w:sdtEndPr/>
    <w:sdtContent>
      <w:p w14:paraId="1005C7BD" w14:textId="77777777" w:rsidR="00D70A72" w:rsidRDefault="00D70A72">
        <w:pPr>
          <w:pStyle w:val="Encabezado"/>
        </w:pPr>
        <w:r>
          <w:t>[Escriba aquí]</w:t>
        </w:r>
      </w:p>
    </w:sdtContent>
  </w:sdt>
  <w:tbl>
    <w:tblPr>
      <w:tblW w:w="9498" w:type="dxa"/>
      <w:tblLayout w:type="fixed"/>
      <w:tblCellMar>
        <w:left w:w="70" w:type="dxa"/>
        <w:right w:w="70" w:type="dxa"/>
      </w:tblCellMar>
      <w:tblLook w:val="04A0" w:firstRow="1" w:lastRow="0" w:firstColumn="1" w:lastColumn="0" w:noHBand="0" w:noVBand="1"/>
    </w:tblPr>
    <w:tblGrid>
      <w:gridCol w:w="5103"/>
      <w:gridCol w:w="4395"/>
    </w:tblGrid>
    <w:tr w:rsidR="00D70A72" w:rsidRPr="00B17577" w14:paraId="68ABCDDB" w14:textId="77777777" w:rsidTr="005336F4">
      <w:trPr>
        <w:trHeight w:val="227"/>
      </w:trPr>
      <w:tc>
        <w:tcPr>
          <w:tcW w:w="5103" w:type="dxa"/>
          <w:hideMark/>
        </w:tcPr>
        <w:p w14:paraId="48CC5854" w14:textId="77777777" w:rsidR="00D70A72" w:rsidRPr="00096248" w:rsidRDefault="00D70A72" w:rsidP="005336F4">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626570F8" w14:textId="44AAA85F" w:rsidR="00D70A72" w:rsidRPr="00096248" w:rsidRDefault="00D70A72" w:rsidP="005336F4">
          <w:pPr>
            <w:spacing w:after="120" w:line="240" w:lineRule="auto"/>
            <w:ind w:right="71"/>
            <w:jc w:val="right"/>
            <w:rPr>
              <w:rFonts w:cs="Arial"/>
              <w:b/>
              <w:szCs w:val="24"/>
            </w:rPr>
          </w:pPr>
          <w:r>
            <w:rPr>
              <w:rFonts w:cs="Arial"/>
              <w:b/>
              <w:bCs/>
              <w:szCs w:val="24"/>
            </w:rPr>
            <w:t>04820</w:t>
          </w:r>
          <w:r w:rsidRPr="00096248">
            <w:rPr>
              <w:rFonts w:cs="Arial"/>
              <w:b/>
              <w:bCs/>
              <w:szCs w:val="24"/>
            </w:rPr>
            <w:t>/INFOEM/IP/RR/202</w:t>
          </w:r>
          <w:r>
            <w:rPr>
              <w:rFonts w:cs="Arial"/>
              <w:b/>
              <w:bCs/>
              <w:szCs w:val="24"/>
            </w:rPr>
            <w:t>4</w:t>
          </w:r>
        </w:p>
      </w:tc>
    </w:tr>
    <w:tr w:rsidR="00D70A72" w14:paraId="7D3BDD6C" w14:textId="77777777" w:rsidTr="005336F4">
      <w:trPr>
        <w:trHeight w:val="242"/>
      </w:trPr>
      <w:tc>
        <w:tcPr>
          <w:tcW w:w="5103" w:type="dxa"/>
          <w:hideMark/>
        </w:tcPr>
        <w:p w14:paraId="22053CC0" w14:textId="77777777" w:rsidR="00D70A72" w:rsidRPr="00096248" w:rsidRDefault="00D70A72" w:rsidP="005336F4">
          <w:pPr>
            <w:spacing w:after="120" w:line="240" w:lineRule="auto"/>
            <w:ind w:right="69"/>
            <w:jc w:val="right"/>
            <w:rPr>
              <w:rFonts w:cs="Arial"/>
              <w:b/>
              <w:szCs w:val="24"/>
            </w:rPr>
          </w:pPr>
          <w:r w:rsidRPr="00096248">
            <w:rPr>
              <w:rFonts w:cs="Arial"/>
              <w:b/>
              <w:szCs w:val="24"/>
            </w:rPr>
            <w:t>Sujeto Obligado:</w:t>
          </w:r>
        </w:p>
      </w:tc>
      <w:tc>
        <w:tcPr>
          <w:tcW w:w="4395" w:type="dxa"/>
          <w:hideMark/>
        </w:tcPr>
        <w:p w14:paraId="3DF864B2" w14:textId="01DC92A5" w:rsidR="00D70A72" w:rsidRPr="00096248" w:rsidRDefault="00D70A72" w:rsidP="005336F4">
          <w:pPr>
            <w:spacing w:after="120" w:line="240" w:lineRule="auto"/>
            <w:ind w:left="-81" w:right="71"/>
            <w:jc w:val="right"/>
            <w:rPr>
              <w:rFonts w:cs="Arial"/>
              <w:szCs w:val="24"/>
            </w:rPr>
          </w:pPr>
          <w:r w:rsidRPr="00132654">
            <w:rPr>
              <w:b/>
              <w:bCs/>
              <w:color w:val="000000"/>
              <w:szCs w:val="24"/>
            </w:rPr>
            <w:t>Ayuntamiento de Tultepec</w:t>
          </w:r>
        </w:p>
      </w:tc>
    </w:tr>
    <w:tr w:rsidR="00D70A72" w:rsidRPr="00F63239" w14:paraId="0C85B22B" w14:textId="77777777" w:rsidTr="005336F4">
      <w:trPr>
        <w:trHeight w:val="342"/>
      </w:trPr>
      <w:tc>
        <w:tcPr>
          <w:tcW w:w="5103" w:type="dxa"/>
          <w:hideMark/>
        </w:tcPr>
        <w:p w14:paraId="7CAA737D" w14:textId="77777777" w:rsidR="00D70A72" w:rsidRPr="00096248" w:rsidRDefault="00D70A72" w:rsidP="005336F4">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321D7AF9" w14:textId="77777777" w:rsidR="00D70A72" w:rsidRDefault="00D70A72" w:rsidP="005336F4">
          <w:pPr>
            <w:spacing w:after="120" w:line="240" w:lineRule="auto"/>
            <w:ind w:left="-486" w:right="71" w:firstLine="567"/>
            <w:jc w:val="right"/>
            <w:rPr>
              <w:rFonts w:cs="Arial"/>
              <w:szCs w:val="24"/>
            </w:rPr>
          </w:pPr>
          <w:r w:rsidRPr="00096248">
            <w:rPr>
              <w:rFonts w:cs="Arial"/>
              <w:szCs w:val="24"/>
            </w:rPr>
            <w:t>José Martínez Vilchis</w:t>
          </w:r>
        </w:p>
        <w:p w14:paraId="30035FF9" w14:textId="77777777" w:rsidR="00D70A72" w:rsidRPr="00711916" w:rsidRDefault="00D70A72" w:rsidP="005336F4">
          <w:pPr>
            <w:spacing w:after="120" w:line="240" w:lineRule="auto"/>
            <w:ind w:left="-486" w:right="71" w:firstLine="567"/>
            <w:jc w:val="right"/>
            <w:rPr>
              <w:rFonts w:cs="Arial"/>
              <w:sz w:val="2"/>
              <w:szCs w:val="2"/>
            </w:rPr>
          </w:pPr>
        </w:p>
      </w:tc>
    </w:tr>
  </w:tbl>
  <w:p w14:paraId="0010E5E1" w14:textId="77777777" w:rsidR="00D70A72" w:rsidRPr="00871A91" w:rsidRDefault="00F40808">
    <w:pPr>
      <w:pStyle w:val="Encabezado"/>
      <w:rPr>
        <w:sz w:val="2"/>
      </w:rPr>
    </w:pPr>
    <w:r>
      <w:rPr>
        <w:noProof/>
        <w:lang w:val="es-MX" w:eastAsia="es-MX"/>
      </w:rPr>
      <w:pict w14:anchorId="1E80B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4pt;margin-top:-141.3pt;width:609.4pt;height:793.75pt;z-index:-251657728;mso-wrap-edited:f;mso-width-percent:0;mso-height-percent:0;mso-position-horizontal-relative:margin;mso-position-vertical-relative:margin;mso-width-percent:0;mso-height-percent:0" o:allowincell="f">
          <v:imagedata r:id="rId1" o:title="infoe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B59BF" w14:textId="77777777" w:rsidR="00D70A72" w:rsidRDefault="00D70A72">
    <w:pPr>
      <w:pStyle w:val="Encabezado"/>
    </w:pPr>
  </w:p>
  <w:tbl>
    <w:tblPr>
      <w:tblW w:w="9356" w:type="dxa"/>
      <w:tblLayout w:type="fixed"/>
      <w:tblCellMar>
        <w:left w:w="70" w:type="dxa"/>
        <w:right w:w="70" w:type="dxa"/>
      </w:tblCellMar>
      <w:tblLook w:val="04A0" w:firstRow="1" w:lastRow="0" w:firstColumn="1" w:lastColumn="0" w:noHBand="0" w:noVBand="1"/>
    </w:tblPr>
    <w:tblGrid>
      <w:gridCol w:w="5103"/>
      <w:gridCol w:w="4253"/>
    </w:tblGrid>
    <w:tr w:rsidR="00D70A72" w14:paraId="71B0573C" w14:textId="77777777" w:rsidTr="005336F4">
      <w:trPr>
        <w:trHeight w:val="227"/>
      </w:trPr>
      <w:tc>
        <w:tcPr>
          <w:tcW w:w="5103" w:type="dxa"/>
          <w:hideMark/>
        </w:tcPr>
        <w:p w14:paraId="407EC6CF" w14:textId="77777777" w:rsidR="00D70A72" w:rsidRPr="00663A37" w:rsidRDefault="00D70A72" w:rsidP="005336F4">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253" w:type="dxa"/>
          <w:hideMark/>
        </w:tcPr>
        <w:p w14:paraId="5A9DC58B" w14:textId="50836884" w:rsidR="00D70A72" w:rsidRPr="00C81ECD" w:rsidRDefault="00D70A72" w:rsidP="005336F4">
          <w:pPr>
            <w:spacing w:after="120" w:line="240" w:lineRule="auto"/>
            <w:ind w:left="-486" w:right="68" w:firstLine="558"/>
            <w:jc w:val="right"/>
            <w:rPr>
              <w:rFonts w:cs="Arial"/>
              <w:b/>
              <w:szCs w:val="24"/>
            </w:rPr>
          </w:pPr>
          <w:r>
            <w:rPr>
              <w:rFonts w:cs="Arial"/>
              <w:b/>
              <w:bCs/>
              <w:szCs w:val="24"/>
            </w:rPr>
            <w:t>04820/INFOEM/IP/RR/2024</w:t>
          </w:r>
        </w:p>
      </w:tc>
    </w:tr>
    <w:tr w:rsidR="00D70A72" w14:paraId="181678D6" w14:textId="77777777" w:rsidTr="005336F4">
      <w:trPr>
        <w:trHeight w:val="227"/>
      </w:trPr>
      <w:tc>
        <w:tcPr>
          <w:tcW w:w="5103" w:type="dxa"/>
        </w:tcPr>
        <w:p w14:paraId="150F8EA9" w14:textId="77777777" w:rsidR="00D70A72" w:rsidRDefault="00D70A72" w:rsidP="005336F4">
          <w:pPr>
            <w:spacing w:after="120" w:line="240" w:lineRule="auto"/>
            <w:ind w:right="68"/>
            <w:jc w:val="right"/>
            <w:rPr>
              <w:rFonts w:cs="Arial"/>
              <w:b/>
              <w:szCs w:val="24"/>
            </w:rPr>
          </w:pPr>
          <w:r w:rsidRPr="00663A37">
            <w:rPr>
              <w:rFonts w:cs="Arial"/>
              <w:b/>
              <w:szCs w:val="24"/>
            </w:rPr>
            <w:t>Recurrente:</w:t>
          </w:r>
          <w:r>
            <w:rPr>
              <w:rFonts w:cs="Arial"/>
              <w:b/>
              <w:szCs w:val="24"/>
            </w:rPr>
            <w:t xml:space="preserve">     </w:t>
          </w:r>
        </w:p>
      </w:tc>
      <w:tc>
        <w:tcPr>
          <w:tcW w:w="4253" w:type="dxa"/>
        </w:tcPr>
        <w:p w14:paraId="10E0B899" w14:textId="39B7C8C7" w:rsidR="00D70A72" w:rsidRDefault="005E522F" w:rsidP="00132654">
          <w:pPr>
            <w:spacing w:after="120" w:line="240" w:lineRule="auto"/>
            <w:ind w:left="-486" w:right="68" w:firstLine="558"/>
            <w:jc w:val="center"/>
            <w:rPr>
              <w:rFonts w:cs="Arial"/>
              <w:b/>
              <w:bCs/>
              <w:szCs w:val="24"/>
            </w:rPr>
          </w:pPr>
          <w:r>
            <w:rPr>
              <w:rFonts w:cs="Arial"/>
              <w:b/>
              <w:bCs/>
              <w:szCs w:val="24"/>
            </w:rPr>
            <w:t>XXXXXXXXXXXXXXXXXX</w:t>
          </w:r>
          <w:r w:rsidR="00D70A72">
            <w:rPr>
              <w:rFonts w:cs="Arial"/>
              <w:b/>
              <w:bCs/>
              <w:szCs w:val="24"/>
            </w:rPr>
            <w:t xml:space="preserve"> </w:t>
          </w:r>
        </w:p>
      </w:tc>
    </w:tr>
    <w:tr w:rsidR="00D70A72" w14:paraId="4EA96049" w14:textId="77777777" w:rsidTr="005336F4">
      <w:trPr>
        <w:trHeight w:val="242"/>
      </w:trPr>
      <w:tc>
        <w:tcPr>
          <w:tcW w:w="5103" w:type="dxa"/>
          <w:hideMark/>
        </w:tcPr>
        <w:p w14:paraId="31266683" w14:textId="77777777" w:rsidR="00D70A72" w:rsidRPr="00663A37" w:rsidRDefault="00D70A72" w:rsidP="005336F4">
          <w:pPr>
            <w:spacing w:after="120" w:line="240" w:lineRule="auto"/>
            <w:ind w:right="68"/>
            <w:jc w:val="right"/>
            <w:rPr>
              <w:rFonts w:cs="Arial"/>
              <w:b/>
              <w:szCs w:val="24"/>
            </w:rPr>
          </w:pPr>
          <w:r w:rsidRPr="00663A37">
            <w:rPr>
              <w:rFonts w:cs="Arial"/>
              <w:b/>
              <w:szCs w:val="24"/>
            </w:rPr>
            <w:t>Sujeto Obligado:</w:t>
          </w:r>
        </w:p>
      </w:tc>
      <w:tc>
        <w:tcPr>
          <w:tcW w:w="4253" w:type="dxa"/>
          <w:hideMark/>
        </w:tcPr>
        <w:p w14:paraId="29376EFB" w14:textId="46757225" w:rsidR="00D70A72" w:rsidRPr="00F77945" w:rsidRDefault="00D70A72" w:rsidP="00132654">
          <w:pPr>
            <w:spacing w:after="120" w:line="240" w:lineRule="auto"/>
            <w:ind w:left="498" w:right="68"/>
            <w:jc w:val="right"/>
            <w:rPr>
              <w:rFonts w:cs="Arial"/>
              <w:szCs w:val="24"/>
            </w:rPr>
          </w:pPr>
          <w:r>
            <w:rPr>
              <w:bCs/>
              <w:color w:val="000000"/>
              <w:szCs w:val="24"/>
            </w:rPr>
            <w:t xml:space="preserve">           </w:t>
          </w:r>
          <w:r w:rsidRPr="00132654">
            <w:rPr>
              <w:b/>
              <w:bCs/>
              <w:color w:val="000000"/>
              <w:szCs w:val="24"/>
            </w:rPr>
            <w:t>Ayuntamiento de Tultepec</w:t>
          </w:r>
        </w:p>
      </w:tc>
    </w:tr>
    <w:tr w:rsidR="00D70A72" w14:paraId="2FEDCA40" w14:textId="77777777" w:rsidTr="005336F4">
      <w:trPr>
        <w:trHeight w:val="342"/>
      </w:trPr>
      <w:tc>
        <w:tcPr>
          <w:tcW w:w="5103" w:type="dxa"/>
          <w:hideMark/>
        </w:tcPr>
        <w:p w14:paraId="52DFA6D6" w14:textId="77777777" w:rsidR="00D70A72" w:rsidRPr="00663A37" w:rsidRDefault="00D70A72" w:rsidP="005336F4">
          <w:pPr>
            <w:tabs>
              <w:tab w:val="left" w:pos="4892"/>
            </w:tabs>
            <w:spacing w:after="120" w:line="240" w:lineRule="auto"/>
            <w:ind w:right="68"/>
            <w:jc w:val="right"/>
            <w:rPr>
              <w:rFonts w:cs="Arial"/>
              <w:b/>
              <w:szCs w:val="24"/>
            </w:rPr>
          </w:pPr>
          <w:r w:rsidRPr="00663A37">
            <w:rPr>
              <w:rFonts w:cs="Arial"/>
              <w:b/>
              <w:szCs w:val="24"/>
            </w:rPr>
            <w:t>Comisionado Ponente:</w:t>
          </w:r>
        </w:p>
      </w:tc>
      <w:tc>
        <w:tcPr>
          <w:tcW w:w="4253" w:type="dxa"/>
          <w:hideMark/>
        </w:tcPr>
        <w:p w14:paraId="6910432B" w14:textId="77777777" w:rsidR="00D70A72" w:rsidRPr="00663A37" w:rsidRDefault="00D70A72" w:rsidP="005336F4">
          <w:pPr>
            <w:spacing w:after="120" w:line="240" w:lineRule="auto"/>
            <w:ind w:left="-486" w:right="68" w:firstLine="567"/>
            <w:jc w:val="right"/>
            <w:rPr>
              <w:rFonts w:cs="Arial"/>
              <w:szCs w:val="24"/>
            </w:rPr>
          </w:pPr>
          <w:r w:rsidRPr="00663A37">
            <w:rPr>
              <w:rFonts w:cs="Arial"/>
              <w:szCs w:val="24"/>
            </w:rPr>
            <w:t>José Martínez Vilchis</w:t>
          </w:r>
        </w:p>
      </w:tc>
    </w:tr>
  </w:tbl>
  <w:p w14:paraId="5074B5DE" w14:textId="77777777" w:rsidR="00D70A72" w:rsidRPr="00871A91" w:rsidRDefault="00D70A72">
    <w:pPr>
      <w:pStyle w:val="Encabezado"/>
      <w:rPr>
        <w:sz w:val="2"/>
      </w:rPr>
    </w:pPr>
    <w:r>
      <w:rPr>
        <w:noProof/>
        <w:sz w:val="2"/>
        <w:lang w:val="es-MX" w:eastAsia="es-MX"/>
        <w14:ligatures w14:val="standardContextual"/>
      </w:rPr>
      <w:drawing>
        <wp:anchor distT="0" distB="0" distL="114300" distR="114300" simplePos="0" relativeHeight="251656704" behindDoc="1" locked="0" layoutInCell="0" allowOverlap="1" wp14:anchorId="4DFACB91" wp14:editId="296057CA">
          <wp:simplePos x="0" y="0"/>
          <wp:positionH relativeFrom="margin">
            <wp:posOffset>-883285</wp:posOffset>
          </wp:positionH>
          <wp:positionV relativeFrom="margin">
            <wp:posOffset>-1663065</wp:posOffset>
          </wp:positionV>
          <wp:extent cx="5690235" cy="7411720"/>
          <wp:effectExtent l="0" t="0" r="5715" b="0"/>
          <wp:wrapNone/>
          <wp:docPr id="8972545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0235" cy="74117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0AD1"/>
    <w:multiLevelType w:val="hybridMultilevel"/>
    <w:tmpl w:val="6AF4AB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407251"/>
    <w:multiLevelType w:val="hybridMultilevel"/>
    <w:tmpl w:val="B8A88990"/>
    <w:lvl w:ilvl="0" w:tplc="080A0001">
      <w:start w:val="1"/>
      <w:numFmt w:val="bullet"/>
      <w:lvlText w:val=""/>
      <w:lvlJc w:val="left"/>
      <w:pPr>
        <w:ind w:left="776" w:hanging="360"/>
      </w:pPr>
      <w:rPr>
        <w:rFonts w:ascii="Symbol" w:hAnsi="Symbol"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15:restartNumberingAfterBreak="0">
    <w:nsid w:val="23970D53"/>
    <w:multiLevelType w:val="hybridMultilevel"/>
    <w:tmpl w:val="6B82B210"/>
    <w:lvl w:ilvl="0" w:tplc="DC400AD8">
      <w:start w:val="1"/>
      <w:numFmt w:val="bullet"/>
      <w:lvlText w:val="-"/>
      <w:lvlJc w:val="left"/>
      <w:pPr>
        <w:ind w:left="720" w:hanging="360"/>
      </w:pPr>
      <w:rPr>
        <w:rFonts w:ascii="Palatino Linotype" w:eastAsia="Calibr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43755"/>
    <w:multiLevelType w:val="hybridMultilevel"/>
    <w:tmpl w:val="65A25B28"/>
    <w:lvl w:ilvl="0" w:tplc="993AE2D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3016917"/>
    <w:multiLevelType w:val="hybridMultilevel"/>
    <w:tmpl w:val="B5AAD7E6"/>
    <w:lvl w:ilvl="0" w:tplc="080A001B">
      <w:start w:val="1"/>
      <w:numFmt w:val="lowerRoman"/>
      <w:lvlText w:val="%1."/>
      <w:lvlJc w:val="right"/>
      <w:pPr>
        <w:ind w:left="4500" w:hanging="360"/>
      </w:pPr>
    </w:lvl>
    <w:lvl w:ilvl="1" w:tplc="080A0019" w:tentative="1">
      <w:start w:val="1"/>
      <w:numFmt w:val="lowerLetter"/>
      <w:lvlText w:val="%2."/>
      <w:lvlJc w:val="left"/>
      <w:pPr>
        <w:ind w:left="5220" w:hanging="360"/>
      </w:pPr>
    </w:lvl>
    <w:lvl w:ilvl="2" w:tplc="080A001B" w:tentative="1">
      <w:start w:val="1"/>
      <w:numFmt w:val="lowerRoman"/>
      <w:lvlText w:val="%3."/>
      <w:lvlJc w:val="right"/>
      <w:pPr>
        <w:ind w:left="5940" w:hanging="180"/>
      </w:pPr>
    </w:lvl>
    <w:lvl w:ilvl="3" w:tplc="080A000F" w:tentative="1">
      <w:start w:val="1"/>
      <w:numFmt w:val="decimal"/>
      <w:lvlText w:val="%4."/>
      <w:lvlJc w:val="left"/>
      <w:pPr>
        <w:ind w:left="6660" w:hanging="360"/>
      </w:pPr>
    </w:lvl>
    <w:lvl w:ilvl="4" w:tplc="080A0019" w:tentative="1">
      <w:start w:val="1"/>
      <w:numFmt w:val="lowerLetter"/>
      <w:lvlText w:val="%5."/>
      <w:lvlJc w:val="left"/>
      <w:pPr>
        <w:ind w:left="7380" w:hanging="360"/>
      </w:pPr>
    </w:lvl>
    <w:lvl w:ilvl="5" w:tplc="080A001B" w:tentative="1">
      <w:start w:val="1"/>
      <w:numFmt w:val="lowerRoman"/>
      <w:lvlText w:val="%6."/>
      <w:lvlJc w:val="right"/>
      <w:pPr>
        <w:ind w:left="8100" w:hanging="180"/>
      </w:pPr>
    </w:lvl>
    <w:lvl w:ilvl="6" w:tplc="080A000F" w:tentative="1">
      <w:start w:val="1"/>
      <w:numFmt w:val="decimal"/>
      <w:lvlText w:val="%7."/>
      <w:lvlJc w:val="left"/>
      <w:pPr>
        <w:ind w:left="8820" w:hanging="360"/>
      </w:pPr>
    </w:lvl>
    <w:lvl w:ilvl="7" w:tplc="080A0019" w:tentative="1">
      <w:start w:val="1"/>
      <w:numFmt w:val="lowerLetter"/>
      <w:lvlText w:val="%8."/>
      <w:lvlJc w:val="left"/>
      <w:pPr>
        <w:ind w:left="9540" w:hanging="360"/>
      </w:pPr>
    </w:lvl>
    <w:lvl w:ilvl="8" w:tplc="080A001B" w:tentative="1">
      <w:start w:val="1"/>
      <w:numFmt w:val="lowerRoman"/>
      <w:lvlText w:val="%9."/>
      <w:lvlJc w:val="right"/>
      <w:pPr>
        <w:ind w:left="10260" w:hanging="180"/>
      </w:pPr>
    </w:lvl>
  </w:abstractNum>
  <w:abstractNum w:abstractNumId="6" w15:restartNumberingAfterBreak="0">
    <w:nsid w:val="444601D9"/>
    <w:multiLevelType w:val="hybridMultilevel"/>
    <w:tmpl w:val="7FE63E8C"/>
    <w:lvl w:ilvl="0" w:tplc="D19CF9C6">
      <w:start w:val="1"/>
      <w:numFmt w:val="decimal"/>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945949"/>
    <w:multiLevelType w:val="hybridMultilevel"/>
    <w:tmpl w:val="B22CEDDA"/>
    <w:lvl w:ilvl="0" w:tplc="4C1AD8F4">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8" w15:restartNumberingAfterBreak="0">
    <w:nsid w:val="53716D11"/>
    <w:multiLevelType w:val="hybridMultilevel"/>
    <w:tmpl w:val="98C2B91A"/>
    <w:lvl w:ilvl="0" w:tplc="AAB46538">
      <w:start w:val="1"/>
      <w:numFmt w:val="decimal"/>
      <w:lvlText w:val="%1."/>
      <w:lvlJc w:val="left"/>
      <w:pPr>
        <w:ind w:left="720" w:hanging="360"/>
      </w:pPr>
      <w:rPr>
        <w:rFonts w:ascii="Palatino Linotype" w:eastAsia="Palatino Linotype" w:hAnsi="Palatino Linotype" w:cs="Palatino Linotype"/>
        <w:i/>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BB032A"/>
    <w:multiLevelType w:val="hybridMultilevel"/>
    <w:tmpl w:val="D92C16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1A0C0F"/>
    <w:multiLevelType w:val="hybridMultilevel"/>
    <w:tmpl w:val="3514B4D0"/>
    <w:lvl w:ilvl="0" w:tplc="BE24E178">
      <w:start w:val="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B36D75"/>
    <w:multiLevelType w:val="hybridMultilevel"/>
    <w:tmpl w:val="D92C16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911ACD"/>
    <w:multiLevelType w:val="hybridMultilevel"/>
    <w:tmpl w:val="098A674E"/>
    <w:lvl w:ilvl="0" w:tplc="7766128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62180C6B"/>
    <w:multiLevelType w:val="hybridMultilevel"/>
    <w:tmpl w:val="5C72D854"/>
    <w:lvl w:ilvl="0" w:tplc="A55C409E">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6F6D7B89"/>
    <w:multiLevelType w:val="hybridMultilevel"/>
    <w:tmpl w:val="FD044B4C"/>
    <w:lvl w:ilvl="0" w:tplc="080A000F">
      <w:start w:val="1"/>
      <w:numFmt w:val="decimal"/>
      <w:lvlText w:val="%1."/>
      <w:lvlJc w:val="left"/>
      <w:pPr>
        <w:ind w:left="2880" w:hanging="360"/>
      </w:pPr>
    </w:lvl>
    <w:lvl w:ilvl="1" w:tplc="080A0019">
      <w:start w:val="1"/>
      <w:numFmt w:val="lowerLetter"/>
      <w:lvlText w:val="%2."/>
      <w:lvlJc w:val="left"/>
      <w:pPr>
        <w:ind w:left="3600" w:hanging="360"/>
      </w:pPr>
    </w:lvl>
    <w:lvl w:ilvl="2" w:tplc="080A001B">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5" w15:restartNumberingAfterBreak="0">
    <w:nsid w:val="73D046F1"/>
    <w:multiLevelType w:val="hybridMultilevel"/>
    <w:tmpl w:val="B6C2E1B0"/>
    <w:lvl w:ilvl="0" w:tplc="8A86BC4E">
      <w:start w:val="1"/>
      <w:numFmt w:val="bullet"/>
      <w:lvlText w:val="-"/>
      <w:lvlJc w:val="left"/>
      <w:pPr>
        <w:ind w:left="1080" w:hanging="360"/>
      </w:pPr>
      <w:rPr>
        <w:rFonts w:ascii="Palatino Linotype" w:eastAsia="Calibri"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5993586"/>
    <w:multiLevelType w:val="hybridMultilevel"/>
    <w:tmpl w:val="7C30B5EA"/>
    <w:lvl w:ilvl="0" w:tplc="810E8F5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7B443C23"/>
    <w:multiLevelType w:val="hybridMultilevel"/>
    <w:tmpl w:val="DF100C40"/>
    <w:lvl w:ilvl="0" w:tplc="3580ED9A">
      <w:start w:val="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9D6002"/>
    <w:multiLevelType w:val="hybridMultilevel"/>
    <w:tmpl w:val="D92C16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CF470BE"/>
    <w:multiLevelType w:val="hybridMultilevel"/>
    <w:tmpl w:val="B002EE2A"/>
    <w:lvl w:ilvl="0" w:tplc="BC14DAA6">
      <w:start w:val="1"/>
      <w:numFmt w:val="upperRoman"/>
      <w:lvlText w:val="%1."/>
      <w:lvlJc w:val="left"/>
      <w:pPr>
        <w:ind w:left="1196" w:hanging="720"/>
      </w:pPr>
      <w:rPr>
        <w:rFonts w:hint="default"/>
      </w:rPr>
    </w:lvl>
    <w:lvl w:ilvl="1" w:tplc="080A0019" w:tentative="1">
      <w:start w:val="1"/>
      <w:numFmt w:val="lowerLetter"/>
      <w:lvlText w:val="%2."/>
      <w:lvlJc w:val="left"/>
      <w:pPr>
        <w:ind w:left="1556" w:hanging="360"/>
      </w:pPr>
    </w:lvl>
    <w:lvl w:ilvl="2" w:tplc="080A001B" w:tentative="1">
      <w:start w:val="1"/>
      <w:numFmt w:val="lowerRoman"/>
      <w:lvlText w:val="%3."/>
      <w:lvlJc w:val="right"/>
      <w:pPr>
        <w:ind w:left="2276" w:hanging="180"/>
      </w:pPr>
    </w:lvl>
    <w:lvl w:ilvl="3" w:tplc="080A000F" w:tentative="1">
      <w:start w:val="1"/>
      <w:numFmt w:val="decimal"/>
      <w:lvlText w:val="%4."/>
      <w:lvlJc w:val="left"/>
      <w:pPr>
        <w:ind w:left="2996" w:hanging="360"/>
      </w:pPr>
    </w:lvl>
    <w:lvl w:ilvl="4" w:tplc="080A0019" w:tentative="1">
      <w:start w:val="1"/>
      <w:numFmt w:val="lowerLetter"/>
      <w:lvlText w:val="%5."/>
      <w:lvlJc w:val="left"/>
      <w:pPr>
        <w:ind w:left="3716" w:hanging="360"/>
      </w:pPr>
    </w:lvl>
    <w:lvl w:ilvl="5" w:tplc="080A001B" w:tentative="1">
      <w:start w:val="1"/>
      <w:numFmt w:val="lowerRoman"/>
      <w:lvlText w:val="%6."/>
      <w:lvlJc w:val="right"/>
      <w:pPr>
        <w:ind w:left="4436" w:hanging="180"/>
      </w:pPr>
    </w:lvl>
    <w:lvl w:ilvl="6" w:tplc="080A000F" w:tentative="1">
      <w:start w:val="1"/>
      <w:numFmt w:val="decimal"/>
      <w:lvlText w:val="%7."/>
      <w:lvlJc w:val="left"/>
      <w:pPr>
        <w:ind w:left="5156" w:hanging="360"/>
      </w:pPr>
    </w:lvl>
    <w:lvl w:ilvl="7" w:tplc="080A0019" w:tentative="1">
      <w:start w:val="1"/>
      <w:numFmt w:val="lowerLetter"/>
      <w:lvlText w:val="%8."/>
      <w:lvlJc w:val="left"/>
      <w:pPr>
        <w:ind w:left="5876" w:hanging="360"/>
      </w:pPr>
    </w:lvl>
    <w:lvl w:ilvl="8" w:tplc="080A001B" w:tentative="1">
      <w:start w:val="1"/>
      <w:numFmt w:val="lowerRoman"/>
      <w:lvlText w:val="%9."/>
      <w:lvlJc w:val="right"/>
      <w:pPr>
        <w:ind w:left="6596" w:hanging="180"/>
      </w:pPr>
    </w:lvl>
  </w:abstractNum>
  <w:num w:numId="1">
    <w:abstractNumId w:val="17"/>
  </w:num>
  <w:num w:numId="2">
    <w:abstractNumId w:val="15"/>
  </w:num>
  <w:num w:numId="3">
    <w:abstractNumId w:val="6"/>
  </w:num>
  <w:num w:numId="4">
    <w:abstractNumId w:val="2"/>
  </w:num>
  <w:num w:numId="5">
    <w:abstractNumId w:val="13"/>
  </w:num>
  <w:num w:numId="6">
    <w:abstractNumId w:val="0"/>
  </w:num>
  <w:num w:numId="7">
    <w:abstractNumId w:val="14"/>
  </w:num>
  <w:num w:numId="8">
    <w:abstractNumId w:val="7"/>
  </w:num>
  <w:num w:numId="9">
    <w:abstractNumId w:val="11"/>
  </w:num>
  <w:num w:numId="10">
    <w:abstractNumId w:val="3"/>
  </w:num>
  <w:num w:numId="11">
    <w:abstractNumId w:val="10"/>
  </w:num>
  <w:num w:numId="12">
    <w:abstractNumId w:val="9"/>
  </w:num>
  <w:num w:numId="13">
    <w:abstractNumId w:val="12"/>
  </w:num>
  <w:num w:numId="14">
    <w:abstractNumId w:val="4"/>
  </w:num>
  <w:num w:numId="15">
    <w:abstractNumId w:val="16"/>
  </w:num>
  <w:num w:numId="16">
    <w:abstractNumId w:val="19"/>
  </w:num>
  <w:num w:numId="17">
    <w:abstractNumId w:val="18"/>
  </w:num>
  <w:num w:numId="18">
    <w:abstractNumId w:val="8"/>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54"/>
    <w:rsid w:val="000119F4"/>
    <w:rsid w:val="00013060"/>
    <w:rsid w:val="00014F59"/>
    <w:rsid w:val="0002054B"/>
    <w:rsid w:val="00062748"/>
    <w:rsid w:val="00096455"/>
    <w:rsid w:val="00097E6C"/>
    <w:rsid w:val="000B7915"/>
    <w:rsid w:val="000C5FA1"/>
    <w:rsid w:val="000E1D73"/>
    <w:rsid w:val="000F6296"/>
    <w:rsid w:val="000F73F8"/>
    <w:rsid w:val="00102920"/>
    <w:rsid w:val="00113C62"/>
    <w:rsid w:val="00132654"/>
    <w:rsid w:val="001958CC"/>
    <w:rsid w:val="001A7B92"/>
    <w:rsid w:val="001B6577"/>
    <w:rsid w:val="001C0A69"/>
    <w:rsid w:val="001C4B10"/>
    <w:rsid w:val="001D2A7B"/>
    <w:rsid w:val="001E3971"/>
    <w:rsid w:val="001F7CEE"/>
    <w:rsid w:val="00205057"/>
    <w:rsid w:val="00233483"/>
    <w:rsid w:val="00244609"/>
    <w:rsid w:val="00264060"/>
    <w:rsid w:val="00267F20"/>
    <w:rsid w:val="002830DE"/>
    <w:rsid w:val="00286A83"/>
    <w:rsid w:val="002B752D"/>
    <w:rsid w:val="002D52F2"/>
    <w:rsid w:val="002E3D0E"/>
    <w:rsid w:val="003423DC"/>
    <w:rsid w:val="00364FE4"/>
    <w:rsid w:val="00397FDF"/>
    <w:rsid w:val="003C62EA"/>
    <w:rsid w:val="003D2669"/>
    <w:rsid w:val="003E6B5F"/>
    <w:rsid w:val="00405FE3"/>
    <w:rsid w:val="00413339"/>
    <w:rsid w:val="004307AA"/>
    <w:rsid w:val="00440DEC"/>
    <w:rsid w:val="00452400"/>
    <w:rsid w:val="00495393"/>
    <w:rsid w:val="00495D0D"/>
    <w:rsid w:val="004A73A7"/>
    <w:rsid w:val="004C613C"/>
    <w:rsid w:val="004D4C06"/>
    <w:rsid w:val="004E3618"/>
    <w:rsid w:val="004E7183"/>
    <w:rsid w:val="00514A35"/>
    <w:rsid w:val="00516675"/>
    <w:rsid w:val="005243E3"/>
    <w:rsid w:val="005336F4"/>
    <w:rsid w:val="0055215F"/>
    <w:rsid w:val="00576420"/>
    <w:rsid w:val="0059344A"/>
    <w:rsid w:val="005A7EC5"/>
    <w:rsid w:val="005D6093"/>
    <w:rsid w:val="005E42D4"/>
    <w:rsid w:val="005E522F"/>
    <w:rsid w:val="005F3144"/>
    <w:rsid w:val="00603C8A"/>
    <w:rsid w:val="00615C83"/>
    <w:rsid w:val="00617234"/>
    <w:rsid w:val="00622889"/>
    <w:rsid w:val="006817AF"/>
    <w:rsid w:val="006A4910"/>
    <w:rsid w:val="006B0FBF"/>
    <w:rsid w:val="006E68E0"/>
    <w:rsid w:val="007119A8"/>
    <w:rsid w:val="0071300B"/>
    <w:rsid w:val="007261C9"/>
    <w:rsid w:val="007506F7"/>
    <w:rsid w:val="007735D8"/>
    <w:rsid w:val="007808D3"/>
    <w:rsid w:val="00784152"/>
    <w:rsid w:val="007B6915"/>
    <w:rsid w:val="007F7A8D"/>
    <w:rsid w:val="0080398F"/>
    <w:rsid w:val="00837B4F"/>
    <w:rsid w:val="008478D4"/>
    <w:rsid w:val="00885699"/>
    <w:rsid w:val="0089021E"/>
    <w:rsid w:val="008A366E"/>
    <w:rsid w:val="008A6251"/>
    <w:rsid w:val="008A63B9"/>
    <w:rsid w:val="008E3D6F"/>
    <w:rsid w:val="00920D71"/>
    <w:rsid w:val="00933F24"/>
    <w:rsid w:val="00941BA0"/>
    <w:rsid w:val="00960402"/>
    <w:rsid w:val="00970303"/>
    <w:rsid w:val="00971889"/>
    <w:rsid w:val="00981548"/>
    <w:rsid w:val="009C603E"/>
    <w:rsid w:val="009D361F"/>
    <w:rsid w:val="009E7C5C"/>
    <w:rsid w:val="009F48D6"/>
    <w:rsid w:val="009F5371"/>
    <w:rsid w:val="009F7EE2"/>
    <w:rsid w:val="00A11162"/>
    <w:rsid w:val="00A41E4A"/>
    <w:rsid w:val="00A6593B"/>
    <w:rsid w:val="00AA34E2"/>
    <w:rsid w:val="00AA472C"/>
    <w:rsid w:val="00AB589F"/>
    <w:rsid w:val="00AC172E"/>
    <w:rsid w:val="00AC68CD"/>
    <w:rsid w:val="00AD3B38"/>
    <w:rsid w:val="00AD50E4"/>
    <w:rsid w:val="00AE637F"/>
    <w:rsid w:val="00AF55A7"/>
    <w:rsid w:val="00B044F6"/>
    <w:rsid w:val="00B42CC6"/>
    <w:rsid w:val="00B43071"/>
    <w:rsid w:val="00B539DC"/>
    <w:rsid w:val="00B62477"/>
    <w:rsid w:val="00B83821"/>
    <w:rsid w:val="00BA00CA"/>
    <w:rsid w:val="00BC3E28"/>
    <w:rsid w:val="00BE4AEE"/>
    <w:rsid w:val="00BF5974"/>
    <w:rsid w:val="00BF5ED9"/>
    <w:rsid w:val="00C44AC7"/>
    <w:rsid w:val="00C606AE"/>
    <w:rsid w:val="00C67C0A"/>
    <w:rsid w:val="00C839AD"/>
    <w:rsid w:val="00CA4DB0"/>
    <w:rsid w:val="00CB2C93"/>
    <w:rsid w:val="00CB7BA2"/>
    <w:rsid w:val="00CD1609"/>
    <w:rsid w:val="00CD24A8"/>
    <w:rsid w:val="00CE3E5C"/>
    <w:rsid w:val="00CE4A04"/>
    <w:rsid w:val="00D319FC"/>
    <w:rsid w:val="00D42690"/>
    <w:rsid w:val="00D70A72"/>
    <w:rsid w:val="00DA4D48"/>
    <w:rsid w:val="00DB020E"/>
    <w:rsid w:val="00DF226E"/>
    <w:rsid w:val="00E05E82"/>
    <w:rsid w:val="00E1114A"/>
    <w:rsid w:val="00E256DC"/>
    <w:rsid w:val="00E30FDD"/>
    <w:rsid w:val="00E35DB2"/>
    <w:rsid w:val="00E35EF9"/>
    <w:rsid w:val="00E36FCC"/>
    <w:rsid w:val="00E80155"/>
    <w:rsid w:val="00E82F7F"/>
    <w:rsid w:val="00E86263"/>
    <w:rsid w:val="00EA627E"/>
    <w:rsid w:val="00EB4FC2"/>
    <w:rsid w:val="00EC02E6"/>
    <w:rsid w:val="00EE6437"/>
    <w:rsid w:val="00EF3277"/>
    <w:rsid w:val="00F40808"/>
    <w:rsid w:val="00F52292"/>
    <w:rsid w:val="00F55B38"/>
    <w:rsid w:val="00F74666"/>
    <w:rsid w:val="00F818DA"/>
    <w:rsid w:val="00F82CB1"/>
    <w:rsid w:val="00FC3A1E"/>
    <w:rsid w:val="00FE3A6C"/>
    <w:rsid w:val="00FE4B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3435E8"/>
  <w15:chartTrackingRefBased/>
  <w15:docId w15:val="{E5659A39-8FA3-44F2-839E-F5B2E751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654"/>
    <w:pPr>
      <w:spacing w:after="0" w:line="360" w:lineRule="auto"/>
      <w:jc w:val="both"/>
    </w:pPr>
    <w:rPr>
      <w:rFonts w:ascii="Palatino Linotype" w:eastAsia="Calibri" w:hAnsi="Palatino Linotype" w:cs="Calibri"/>
      <w:kern w:val="0"/>
      <w:szCs w:val="22"/>
      <w:lang w:val="es-ES_tradnl" w:eastAsia="es-MX"/>
      <w14:ligatures w14:val="none"/>
    </w:rPr>
  </w:style>
  <w:style w:type="paragraph" w:styleId="Ttulo1">
    <w:name w:val="heading 1"/>
    <w:aliases w:val="Título Res"/>
    <w:basedOn w:val="Normal"/>
    <w:next w:val="Normal"/>
    <w:link w:val="Ttulo1Car"/>
    <w:uiPriority w:val="9"/>
    <w:qFormat/>
    <w:rsid w:val="001326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Subtítulos"/>
    <w:basedOn w:val="Normal"/>
    <w:next w:val="Normal"/>
    <w:link w:val="Ttulo2Car"/>
    <w:uiPriority w:val="9"/>
    <w:unhideWhenUsed/>
    <w:qFormat/>
    <w:rsid w:val="001326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3265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3265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3265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3265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3265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3265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3265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132654"/>
    <w:rPr>
      <w:rFonts w:asciiTheme="majorHAnsi" w:eastAsiaTheme="majorEastAsia" w:hAnsiTheme="majorHAnsi" w:cstheme="majorBidi"/>
      <w:color w:val="0F4761" w:themeColor="accent1" w:themeShade="BF"/>
      <w:sz w:val="40"/>
      <w:szCs w:val="40"/>
    </w:rPr>
  </w:style>
  <w:style w:type="character" w:customStyle="1" w:styleId="Ttulo2Car">
    <w:name w:val="Título 2 Car"/>
    <w:aliases w:val="Subtítulos Car"/>
    <w:basedOn w:val="Fuentedeprrafopredeter"/>
    <w:link w:val="Ttulo2"/>
    <w:uiPriority w:val="9"/>
    <w:rsid w:val="0013265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3265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3265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3265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3265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326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326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32654"/>
    <w:rPr>
      <w:rFonts w:eastAsiaTheme="majorEastAsia" w:cstheme="majorBidi"/>
      <w:color w:val="272727" w:themeColor="text1" w:themeTint="D8"/>
    </w:rPr>
  </w:style>
  <w:style w:type="paragraph" w:styleId="Puesto">
    <w:name w:val="Title"/>
    <w:basedOn w:val="Normal"/>
    <w:next w:val="Normal"/>
    <w:link w:val="PuestoCar"/>
    <w:uiPriority w:val="10"/>
    <w:qFormat/>
    <w:rsid w:val="001326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1326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326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326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32654"/>
    <w:pPr>
      <w:spacing w:before="160"/>
      <w:jc w:val="center"/>
    </w:pPr>
    <w:rPr>
      <w:i/>
      <w:iCs/>
      <w:color w:val="404040" w:themeColor="text1" w:themeTint="BF"/>
    </w:rPr>
  </w:style>
  <w:style w:type="character" w:customStyle="1" w:styleId="CitaCar">
    <w:name w:val="Cita Car"/>
    <w:basedOn w:val="Fuentedeprrafopredeter"/>
    <w:link w:val="Cita"/>
    <w:uiPriority w:val="29"/>
    <w:rsid w:val="00132654"/>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32654"/>
    <w:pPr>
      <w:ind w:left="720"/>
      <w:contextualSpacing/>
    </w:pPr>
  </w:style>
  <w:style w:type="character" w:styleId="nfasisintenso">
    <w:name w:val="Intense Emphasis"/>
    <w:basedOn w:val="Fuentedeprrafopredeter"/>
    <w:uiPriority w:val="21"/>
    <w:qFormat/>
    <w:rsid w:val="00132654"/>
    <w:rPr>
      <w:i/>
      <w:iCs/>
      <w:color w:val="0F4761" w:themeColor="accent1" w:themeShade="BF"/>
    </w:rPr>
  </w:style>
  <w:style w:type="paragraph" w:styleId="Citadestacada">
    <w:name w:val="Intense Quote"/>
    <w:basedOn w:val="Normal"/>
    <w:next w:val="Normal"/>
    <w:link w:val="CitadestacadaCar"/>
    <w:uiPriority w:val="30"/>
    <w:qFormat/>
    <w:rsid w:val="001326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32654"/>
    <w:rPr>
      <w:i/>
      <w:iCs/>
      <w:color w:val="0F4761" w:themeColor="accent1" w:themeShade="BF"/>
    </w:rPr>
  </w:style>
  <w:style w:type="character" w:styleId="Referenciaintensa">
    <w:name w:val="Intense Reference"/>
    <w:basedOn w:val="Fuentedeprrafopredeter"/>
    <w:uiPriority w:val="32"/>
    <w:qFormat/>
    <w:rsid w:val="00132654"/>
    <w:rPr>
      <w:b/>
      <w:bCs/>
      <w:smallCaps/>
      <w:color w:val="0F4761" w:themeColor="accent1" w:themeShade="BF"/>
      <w:spacing w:val="5"/>
    </w:rPr>
  </w:style>
  <w:style w:type="paragraph" w:styleId="Encabezado">
    <w:name w:val="header"/>
    <w:basedOn w:val="Normal"/>
    <w:link w:val="EncabezadoCar"/>
    <w:uiPriority w:val="99"/>
    <w:unhideWhenUsed/>
    <w:rsid w:val="00132654"/>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132654"/>
    <w:rPr>
      <w:rFonts w:ascii="Times New Roman" w:eastAsia="Calibri" w:hAnsi="Times New Roman" w:cs="Times New Roman"/>
      <w:kern w:val="0"/>
      <w:lang w:val="es-ES" w:eastAsia="es-ES"/>
      <w14:ligatures w14:val="none"/>
    </w:rPr>
  </w:style>
  <w:style w:type="paragraph" w:styleId="Piedepgina">
    <w:name w:val="footer"/>
    <w:basedOn w:val="Normal"/>
    <w:link w:val="PiedepginaCar"/>
    <w:uiPriority w:val="99"/>
    <w:unhideWhenUsed/>
    <w:rsid w:val="00132654"/>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132654"/>
    <w:rPr>
      <w:rFonts w:ascii="Times New Roman" w:eastAsia="Calibri" w:hAnsi="Times New Roman" w:cs="Times New Roman"/>
      <w:kern w:val="0"/>
      <w:lang w:val="es-ES"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32654"/>
  </w:style>
  <w:style w:type="character" w:customStyle="1" w:styleId="apple-converted-space">
    <w:name w:val="apple-converted-space"/>
    <w:basedOn w:val="Fuentedeprrafopredeter"/>
    <w:rsid w:val="00132654"/>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13265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132654"/>
    <w:rPr>
      <w:color w:val="467886" w:themeColor="hyperlink"/>
      <w:u w:val="single"/>
    </w:rPr>
  </w:style>
  <w:style w:type="paragraph" w:customStyle="1" w:styleId="Fundamentos">
    <w:name w:val="Fundamentos"/>
    <w:basedOn w:val="Normal"/>
    <w:qFormat/>
    <w:rsid w:val="00132654"/>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32654"/>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32654"/>
    <w:rPr>
      <w:rFonts w:ascii="Palatino Linotype" w:eastAsia="Calibri" w:hAnsi="Palatino Linotype" w:cs="Calibri"/>
      <w:kern w:val="0"/>
      <w:sz w:val="20"/>
      <w:szCs w:val="20"/>
      <w:lang w:val="es-ES_tradnl" w:eastAsia="es-MX"/>
      <w14:ligatures w14:val="none"/>
    </w:rPr>
  </w:style>
  <w:style w:type="paragraph" w:styleId="Sinespaciado">
    <w:name w:val="No Spacing"/>
    <w:aliases w:val="Francesa,INAI"/>
    <w:link w:val="SinespaciadoCar"/>
    <w:uiPriority w:val="1"/>
    <w:qFormat/>
    <w:rsid w:val="00132654"/>
    <w:pPr>
      <w:spacing w:after="0" w:line="240" w:lineRule="auto"/>
    </w:pPr>
    <w:rPr>
      <w:rFonts w:ascii="Times New Roman" w:eastAsia="Times New Roman" w:hAnsi="Times New Roman" w:cs="Times New Roman"/>
      <w:kern w:val="0"/>
      <w:lang w:eastAsia="es-ES"/>
      <w14:ligatures w14:val="none"/>
    </w:rPr>
  </w:style>
  <w:style w:type="character" w:customStyle="1" w:styleId="SinespaciadoCar">
    <w:name w:val="Sin espaciado Car"/>
    <w:aliases w:val="Francesa Car,INAI Car"/>
    <w:link w:val="Sinespaciado"/>
    <w:uiPriority w:val="1"/>
    <w:locked/>
    <w:rsid w:val="00132654"/>
    <w:rPr>
      <w:rFonts w:ascii="Times New Roman" w:eastAsia="Times New Roman" w:hAnsi="Times New Roman" w:cs="Times New Roman"/>
      <w:kern w:val="0"/>
      <w:lang w:eastAsia="es-ES"/>
      <w14:ligatures w14:val="none"/>
    </w:rPr>
  </w:style>
  <w:style w:type="paragraph" w:customStyle="1" w:styleId="INFOEM">
    <w:name w:val="INFOEM"/>
    <w:basedOn w:val="Normal"/>
    <w:qFormat/>
    <w:rsid w:val="00132654"/>
    <w:pPr>
      <w:spacing w:before="240" w:after="160"/>
      <w:ind w:left="851" w:right="851"/>
    </w:pPr>
    <w:rPr>
      <w:rFonts w:eastAsiaTheme="minorHAnsi" w:cstheme="minorBidi"/>
      <w:i/>
      <w:sz w:val="22"/>
      <w:szCs w:val="14"/>
      <w:lang w:val="es-MX" w:eastAsia="en-US"/>
    </w:rPr>
  </w:style>
  <w:style w:type="paragraph" w:customStyle="1" w:styleId="Citas">
    <w:name w:val="Citas"/>
    <w:basedOn w:val="Normal"/>
    <w:qFormat/>
    <w:rsid w:val="00132654"/>
    <w:pPr>
      <w:spacing w:before="240" w:after="160"/>
      <w:ind w:left="851" w:right="851"/>
    </w:pPr>
    <w:rPr>
      <w:rFonts w:eastAsiaTheme="minorHAnsi" w:cs="Arial"/>
      <w:i/>
      <w:sz w:val="22"/>
      <w:lang w:val="es-MX" w:eastAsia="en-US"/>
    </w:rPr>
  </w:style>
  <w:style w:type="character" w:customStyle="1" w:styleId="Mencinsinresolver1">
    <w:name w:val="Mención sin resolver1"/>
    <w:basedOn w:val="Fuentedeprrafopredeter"/>
    <w:uiPriority w:val="99"/>
    <w:semiHidden/>
    <w:unhideWhenUsed/>
    <w:rsid w:val="00233483"/>
    <w:rPr>
      <w:color w:val="605E5C"/>
      <w:shd w:val="clear" w:color="auto" w:fill="E1DFDD"/>
    </w:rPr>
  </w:style>
  <w:style w:type="table" w:styleId="Tablaconcuadrcula">
    <w:name w:val="Table Grid"/>
    <w:basedOn w:val="Tablanormal"/>
    <w:uiPriority w:val="39"/>
    <w:rsid w:val="001B6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11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09009">
      <w:bodyDiv w:val="1"/>
      <w:marLeft w:val="0"/>
      <w:marRight w:val="0"/>
      <w:marTop w:val="0"/>
      <w:marBottom w:val="0"/>
      <w:divBdr>
        <w:top w:val="none" w:sz="0" w:space="0" w:color="auto"/>
        <w:left w:val="none" w:sz="0" w:space="0" w:color="auto"/>
        <w:bottom w:val="none" w:sz="0" w:space="0" w:color="auto"/>
        <w:right w:val="none" w:sz="0" w:space="0" w:color="auto"/>
      </w:divBdr>
    </w:div>
    <w:div w:id="468060287">
      <w:bodyDiv w:val="1"/>
      <w:marLeft w:val="0"/>
      <w:marRight w:val="0"/>
      <w:marTop w:val="0"/>
      <w:marBottom w:val="0"/>
      <w:divBdr>
        <w:top w:val="none" w:sz="0" w:space="0" w:color="auto"/>
        <w:left w:val="none" w:sz="0" w:space="0" w:color="auto"/>
        <w:bottom w:val="none" w:sz="0" w:space="0" w:color="auto"/>
        <w:right w:val="none" w:sz="0" w:space="0" w:color="auto"/>
      </w:divBdr>
    </w:div>
    <w:div w:id="576210164">
      <w:bodyDiv w:val="1"/>
      <w:marLeft w:val="0"/>
      <w:marRight w:val="0"/>
      <w:marTop w:val="0"/>
      <w:marBottom w:val="0"/>
      <w:divBdr>
        <w:top w:val="none" w:sz="0" w:space="0" w:color="auto"/>
        <w:left w:val="none" w:sz="0" w:space="0" w:color="auto"/>
        <w:bottom w:val="none" w:sz="0" w:space="0" w:color="auto"/>
        <w:right w:val="none" w:sz="0" w:space="0" w:color="auto"/>
      </w:divBdr>
    </w:div>
    <w:div w:id="1248272457">
      <w:bodyDiv w:val="1"/>
      <w:marLeft w:val="0"/>
      <w:marRight w:val="0"/>
      <w:marTop w:val="0"/>
      <w:marBottom w:val="0"/>
      <w:divBdr>
        <w:top w:val="none" w:sz="0" w:space="0" w:color="auto"/>
        <w:left w:val="none" w:sz="0" w:space="0" w:color="auto"/>
        <w:bottom w:val="none" w:sz="0" w:space="0" w:color="auto"/>
        <w:right w:val="none" w:sz="0" w:space="0" w:color="auto"/>
      </w:divBdr>
    </w:div>
    <w:div w:id="1409113937">
      <w:bodyDiv w:val="1"/>
      <w:marLeft w:val="0"/>
      <w:marRight w:val="0"/>
      <w:marTop w:val="0"/>
      <w:marBottom w:val="0"/>
      <w:divBdr>
        <w:top w:val="none" w:sz="0" w:space="0" w:color="auto"/>
        <w:left w:val="none" w:sz="0" w:space="0" w:color="auto"/>
        <w:bottom w:val="none" w:sz="0" w:space="0" w:color="auto"/>
        <w:right w:val="none" w:sz="0" w:space="0" w:color="auto"/>
      </w:divBdr>
    </w:div>
    <w:div w:id="1591237381">
      <w:bodyDiv w:val="1"/>
      <w:marLeft w:val="0"/>
      <w:marRight w:val="0"/>
      <w:marTop w:val="0"/>
      <w:marBottom w:val="0"/>
      <w:divBdr>
        <w:top w:val="none" w:sz="0" w:space="0" w:color="auto"/>
        <w:left w:val="none" w:sz="0" w:space="0" w:color="auto"/>
        <w:bottom w:val="none" w:sz="0" w:space="0" w:color="auto"/>
        <w:right w:val="none" w:sz="0" w:space="0" w:color="auto"/>
      </w:divBdr>
    </w:div>
    <w:div w:id="185553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egislacion.edomex.gob.mx/sites/legislacion.edomex.gob.mx/files/files/pdf/gct/2023/noviembre/nov012/nov012a.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 Id="rId4" Type="http://schemas.openxmlformats.org/officeDocument/2006/relationships/hyperlink" Target="https://www.indetec.gob.mx/delivery?srv=0&amp;sl=3&amp;path=/biblioteca/Especiales/386_Glosario_Terminos_Proceso_Plane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3C36B-1F8E-4443-BCAD-D1700D3FA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52</Pages>
  <Words>12238</Words>
  <Characters>67311</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INFOEM492</cp:lastModifiedBy>
  <cp:revision>5</cp:revision>
  <dcterms:created xsi:type="dcterms:W3CDTF">2024-09-25T22:35:00Z</dcterms:created>
  <dcterms:modified xsi:type="dcterms:W3CDTF">2024-11-08T18:27:00Z</dcterms:modified>
</cp:coreProperties>
</file>