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85AB1" w14:textId="129F25A4" w:rsidR="00AD18E2" w:rsidRPr="00415E43" w:rsidRDefault="00AD18E2" w:rsidP="00AD18E2">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w:t>
      </w:r>
      <w:r w:rsidRPr="00D21472">
        <w:rPr>
          <w:rFonts w:ascii="Palatino Linotype" w:eastAsia="Times New Roman" w:hAnsi="Palatino Linotype" w:cs="Arial"/>
          <w:color w:val="000000"/>
          <w:sz w:val="24"/>
          <w:szCs w:val="24"/>
          <w:lang w:eastAsia="es-MX"/>
        </w:rPr>
        <w:t xml:space="preserve">Municipios, con domicilio en Metepec, Estado de México, a </w:t>
      </w:r>
      <w:r w:rsidR="00915C1B">
        <w:rPr>
          <w:rFonts w:ascii="Palatino Linotype" w:eastAsia="Times New Roman" w:hAnsi="Palatino Linotype" w:cs="Arial"/>
          <w:color w:val="000000"/>
          <w:sz w:val="24"/>
          <w:szCs w:val="24"/>
          <w:lang w:eastAsia="es-MX"/>
        </w:rPr>
        <w:t>nueve</w:t>
      </w:r>
      <w:r w:rsidR="00D21472" w:rsidRPr="00D21472">
        <w:rPr>
          <w:rFonts w:ascii="Palatino Linotype" w:eastAsia="Times New Roman" w:hAnsi="Palatino Linotype" w:cs="Arial"/>
          <w:color w:val="000000"/>
          <w:sz w:val="24"/>
          <w:szCs w:val="24"/>
          <w:lang w:eastAsia="es-MX"/>
        </w:rPr>
        <w:t xml:space="preserve"> de octubre de dos mil veinticuatro</w:t>
      </w:r>
      <w:r w:rsidR="00D44708" w:rsidRPr="00D21472">
        <w:rPr>
          <w:rFonts w:ascii="Palatino Linotype" w:eastAsia="Times New Roman" w:hAnsi="Palatino Linotype" w:cs="Arial"/>
          <w:color w:val="000000"/>
          <w:sz w:val="24"/>
          <w:szCs w:val="24"/>
          <w:lang w:eastAsia="es-MX"/>
        </w:rPr>
        <w:t>.</w:t>
      </w:r>
      <w:r w:rsidR="00D44708">
        <w:rPr>
          <w:rFonts w:ascii="Palatino Linotype" w:eastAsia="Times New Roman" w:hAnsi="Palatino Linotype" w:cs="Arial"/>
          <w:color w:val="000000"/>
          <w:sz w:val="24"/>
          <w:szCs w:val="24"/>
          <w:lang w:eastAsia="es-MX"/>
        </w:rPr>
        <w:t xml:space="preserve"> </w:t>
      </w:r>
      <w:r w:rsidRPr="00415E43">
        <w:rPr>
          <w:rFonts w:ascii="Palatino Linotype" w:eastAsia="Times New Roman" w:hAnsi="Palatino Linotype" w:cs="Arial"/>
          <w:color w:val="000000"/>
          <w:sz w:val="24"/>
          <w:szCs w:val="24"/>
          <w:lang w:eastAsia="es-MX"/>
        </w:rPr>
        <w:t xml:space="preserve">    </w:t>
      </w:r>
    </w:p>
    <w:p w14:paraId="6342F716" w14:textId="4BE07DCF" w:rsidR="00D21472" w:rsidRPr="00C24CA5"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b/>
          <w:sz w:val="24"/>
        </w:rPr>
        <w:t>VISTOS</w:t>
      </w:r>
      <w:r w:rsidRPr="00415E43">
        <w:rPr>
          <w:rFonts w:ascii="Palatino Linotype" w:hAnsi="Palatino Linotype" w:cs="Arial"/>
          <w:sz w:val="24"/>
        </w:rPr>
        <w:t xml:space="preserve"> los expedientes electrónicos formados con motivo de los recursos de revisión números </w:t>
      </w:r>
      <w:r w:rsidR="00D21472">
        <w:rPr>
          <w:rFonts w:ascii="Palatino Linotype" w:hAnsi="Palatino Linotype" w:cs="Arial"/>
          <w:b/>
          <w:bCs/>
          <w:sz w:val="24"/>
        </w:rPr>
        <w:t xml:space="preserve">05710/INFOEM/IP/RR/2024, 05711/INFOEM/IP/RR/2024 y 05712/INFOEM/IP/RR/2024, </w:t>
      </w:r>
      <w:r w:rsidR="00D21472">
        <w:rPr>
          <w:rFonts w:ascii="Palatino Linotype" w:hAnsi="Palatino Linotype" w:cs="Arial"/>
          <w:sz w:val="24"/>
        </w:rPr>
        <w:t xml:space="preserve">interpuestos por el </w:t>
      </w:r>
      <w:r w:rsidR="00D21472">
        <w:rPr>
          <w:rFonts w:ascii="Palatino Linotype" w:hAnsi="Palatino Linotype" w:cs="Arial"/>
          <w:b/>
          <w:bCs/>
          <w:sz w:val="24"/>
        </w:rPr>
        <w:t xml:space="preserve">C. </w:t>
      </w:r>
      <w:r w:rsidR="00F30E45">
        <w:rPr>
          <w:rFonts w:ascii="Palatino Linotype" w:hAnsi="Palatino Linotype" w:cs="Arial"/>
          <w:b/>
          <w:bCs/>
          <w:sz w:val="24"/>
        </w:rPr>
        <w:t>XXXXXXXXXXXXXXXXXXX</w:t>
      </w:r>
      <w:r w:rsidR="00D21472">
        <w:rPr>
          <w:rFonts w:ascii="Palatino Linotype" w:hAnsi="Palatino Linotype" w:cs="Arial"/>
          <w:b/>
          <w:bCs/>
          <w:sz w:val="24"/>
        </w:rPr>
        <w:t xml:space="preserve"> </w:t>
      </w:r>
      <w:r w:rsidR="00F30E45">
        <w:rPr>
          <w:rFonts w:ascii="Palatino Linotype" w:hAnsi="Palatino Linotype" w:cs="Arial"/>
          <w:b/>
          <w:bCs/>
          <w:sz w:val="24"/>
        </w:rPr>
        <w:t>XXXX</w:t>
      </w:r>
      <w:bookmarkStart w:id="1" w:name="_GoBack"/>
      <w:bookmarkEnd w:id="1"/>
      <w:r w:rsidR="00D21472">
        <w:rPr>
          <w:rFonts w:ascii="Palatino Linotype" w:hAnsi="Palatino Linotype" w:cs="Arial"/>
          <w:b/>
          <w:bCs/>
          <w:sz w:val="24"/>
        </w:rPr>
        <w:t xml:space="preserve">, </w:t>
      </w:r>
      <w:r w:rsidR="00C24CA5">
        <w:rPr>
          <w:rFonts w:ascii="Palatino Linotype" w:hAnsi="Palatino Linotype" w:cs="Arial"/>
          <w:sz w:val="24"/>
        </w:rPr>
        <w:t xml:space="preserve">en lo sucesivo </w:t>
      </w:r>
      <w:r w:rsidR="00C24CA5">
        <w:rPr>
          <w:rFonts w:ascii="Palatino Linotype" w:hAnsi="Palatino Linotype" w:cs="Arial"/>
          <w:b/>
          <w:bCs/>
          <w:sz w:val="24"/>
        </w:rPr>
        <w:t xml:space="preserve">El Recurrente, </w:t>
      </w:r>
      <w:r w:rsidR="00C24CA5">
        <w:rPr>
          <w:rFonts w:ascii="Palatino Linotype" w:hAnsi="Palatino Linotype" w:cs="Arial"/>
          <w:sz w:val="24"/>
        </w:rPr>
        <w:t xml:space="preserve">en contra de la respuesta del </w:t>
      </w:r>
      <w:r w:rsidR="00C24CA5">
        <w:rPr>
          <w:rFonts w:ascii="Palatino Linotype" w:hAnsi="Palatino Linotype" w:cs="Arial"/>
          <w:b/>
          <w:bCs/>
          <w:sz w:val="24"/>
        </w:rPr>
        <w:t xml:space="preserve">Ayuntamiento de Acambay de Ruíz Castañeda, </w:t>
      </w:r>
      <w:r w:rsidR="00C24CA5">
        <w:rPr>
          <w:rFonts w:ascii="Palatino Linotype" w:hAnsi="Palatino Linotype" w:cs="Arial"/>
          <w:sz w:val="24"/>
        </w:rPr>
        <w:t xml:space="preserve">en lo subsecuente </w:t>
      </w:r>
      <w:r w:rsidR="00C24CA5">
        <w:rPr>
          <w:rFonts w:ascii="Palatino Linotype" w:hAnsi="Palatino Linotype" w:cs="Arial"/>
          <w:b/>
          <w:bCs/>
          <w:sz w:val="24"/>
        </w:rPr>
        <w:t xml:space="preserve">El Sujeto Obligado, </w:t>
      </w:r>
      <w:r w:rsidR="00C24CA5">
        <w:rPr>
          <w:rFonts w:ascii="Palatino Linotype" w:hAnsi="Palatino Linotype" w:cs="Arial"/>
          <w:sz w:val="24"/>
        </w:rPr>
        <w:t xml:space="preserve">se procede a dictar la presente resolución. </w:t>
      </w:r>
    </w:p>
    <w:p w14:paraId="766AA9D8" w14:textId="77777777" w:rsidR="00C24CA5" w:rsidRDefault="00C24CA5" w:rsidP="00415E43">
      <w:pPr>
        <w:spacing w:before="240" w:line="360" w:lineRule="auto"/>
        <w:jc w:val="center"/>
        <w:rPr>
          <w:rFonts w:ascii="Palatino Linotype" w:hAnsi="Palatino Linotype"/>
          <w:b/>
          <w:sz w:val="28"/>
        </w:rPr>
      </w:pPr>
    </w:p>
    <w:p w14:paraId="14E0AAC1" w14:textId="2B8708D5" w:rsidR="00AD18E2" w:rsidRPr="00415E43" w:rsidRDefault="00AD18E2" w:rsidP="00415E43">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0A037992" w14:textId="77777777" w:rsidR="00AD18E2" w:rsidRPr="00415E43" w:rsidRDefault="00AD18E2" w:rsidP="00AD18E2">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5176819B" w14:textId="10878075" w:rsidR="00D44708"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sz w:val="24"/>
        </w:rPr>
        <w:t xml:space="preserve">Con fecha </w:t>
      </w:r>
      <w:r w:rsidR="00C24CA5">
        <w:rPr>
          <w:rFonts w:ascii="Palatino Linotype" w:hAnsi="Palatino Linotype" w:cs="Arial"/>
          <w:b/>
          <w:bCs/>
          <w:sz w:val="24"/>
        </w:rPr>
        <w:t xml:space="preserve">veintiocho de agosto de dos mil veinticuatro, El Recurrente, </w:t>
      </w:r>
      <w:r w:rsidR="00C24CA5" w:rsidRPr="00415E43">
        <w:rPr>
          <w:rFonts w:ascii="Palatino Linotype" w:hAnsi="Palatino Linotype" w:cs="Arial"/>
          <w:sz w:val="24"/>
        </w:rPr>
        <w:t>presentó a través del Sistema de Acceso a la Información Mexiquense (</w:t>
      </w:r>
      <w:r w:rsidR="00C24CA5" w:rsidRPr="00415E43">
        <w:rPr>
          <w:rFonts w:ascii="Palatino Linotype" w:hAnsi="Palatino Linotype" w:cs="Arial"/>
          <w:b/>
          <w:sz w:val="24"/>
        </w:rPr>
        <w:t>SAIMEX)</w:t>
      </w:r>
      <w:r w:rsidR="00C24CA5" w:rsidRPr="00415E43">
        <w:rPr>
          <w:rFonts w:ascii="Palatino Linotype" w:hAnsi="Palatino Linotype" w:cs="Arial"/>
          <w:sz w:val="24"/>
        </w:rPr>
        <w:t xml:space="preserve"> ante </w:t>
      </w:r>
      <w:r w:rsidR="00C24CA5" w:rsidRPr="00415E43">
        <w:rPr>
          <w:rFonts w:ascii="Palatino Linotype" w:hAnsi="Palatino Linotype" w:cs="Arial"/>
          <w:b/>
          <w:sz w:val="24"/>
        </w:rPr>
        <w:t>El Sujeto Obligado</w:t>
      </w:r>
      <w:r w:rsidR="00C24CA5" w:rsidRPr="00415E43">
        <w:rPr>
          <w:rFonts w:ascii="Palatino Linotype" w:hAnsi="Palatino Linotype" w:cs="Arial"/>
          <w:sz w:val="24"/>
        </w:rPr>
        <w:t>, las solicitudes de acceso a la información pública, registradas bajo los números de expediente</w:t>
      </w:r>
      <w:r w:rsidR="00C24CA5">
        <w:rPr>
          <w:rFonts w:ascii="Palatino Linotype" w:hAnsi="Palatino Linotype" w:cs="Arial"/>
          <w:sz w:val="24"/>
        </w:rPr>
        <w:t xml:space="preserve"> </w:t>
      </w:r>
      <w:r w:rsidR="00C24CA5">
        <w:rPr>
          <w:rFonts w:ascii="Palatino Linotype" w:hAnsi="Palatino Linotype" w:cs="Arial"/>
          <w:b/>
          <w:bCs/>
          <w:sz w:val="24"/>
        </w:rPr>
        <w:t xml:space="preserve">00116/ACAMBAY/IP/2024, 00115/ACAMBAY/IP/2024 y 00114/ACAMBAY/IP/2024, </w:t>
      </w:r>
      <w:r w:rsidR="00D44708">
        <w:rPr>
          <w:rFonts w:ascii="Palatino Linotype" w:hAnsi="Palatino Linotype" w:cs="Arial"/>
          <w:sz w:val="24"/>
        </w:rPr>
        <w:t>mediante las cuales solicitó información en el tenor siguiente:</w:t>
      </w:r>
    </w:p>
    <w:p w14:paraId="01F80396" w14:textId="77777777" w:rsidR="00C24CA5" w:rsidRDefault="00C24CA5" w:rsidP="00AD18E2">
      <w:pPr>
        <w:spacing w:before="240" w:line="360" w:lineRule="auto"/>
        <w:jc w:val="both"/>
        <w:rPr>
          <w:rFonts w:ascii="Palatino Linotype" w:hAnsi="Palatino Linotype" w:cs="Arial"/>
          <w:b/>
          <w:bCs/>
          <w:sz w:val="24"/>
        </w:rPr>
      </w:pPr>
      <w:r>
        <w:rPr>
          <w:rFonts w:ascii="Palatino Linotype" w:hAnsi="Palatino Linotype" w:cs="Arial"/>
          <w:b/>
          <w:bCs/>
          <w:sz w:val="24"/>
        </w:rPr>
        <w:lastRenderedPageBreak/>
        <w:t>00116/ACAMBAY/IP/2024</w:t>
      </w:r>
    </w:p>
    <w:p w14:paraId="0F6E143E" w14:textId="3EF4D41B" w:rsidR="00C24CA5" w:rsidRPr="00C24CA5" w:rsidRDefault="00C24CA5" w:rsidP="00C24CA5">
      <w:pPr>
        <w:pStyle w:val="Citas"/>
        <w:rPr>
          <w:b/>
          <w:bCs/>
        </w:rPr>
      </w:pPr>
      <w:r>
        <w:t>“</w:t>
      </w:r>
      <w:r w:rsidRPr="00C24CA5">
        <w:t>Balanza de Comprobación detallada de los meses de enero a agosto de 2024 en formato XLS</w:t>
      </w:r>
      <w:r>
        <w:t xml:space="preserve">” </w:t>
      </w:r>
      <w:r>
        <w:rPr>
          <w:b/>
          <w:bCs/>
        </w:rPr>
        <w:t>(Sic)</w:t>
      </w:r>
    </w:p>
    <w:p w14:paraId="5A9E238B" w14:textId="77777777" w:rsidR="00C24CA5" w:rsidRDefault="00C24CA5" w:rsidP="00AD18E2">
      <w:pPr>
        <w:spacing w:before="240" w:line="360" w:lineRule="auto"/>
        <w:jc w:val="both"/>
        <w:rPr>
          <w:rFonts w:ascii="Palatino Linotype" w:hAnsi="Palatino Linotype" w:cs="Arial"/>
          <w:b/>
          <w:bCs/>
          <w:sz w:val="24"/>
        </w:rPr>
      </w:pPr>
      <w:r>
        <w:rPr>
          <w:rFonts w:ascii="Palatino Linotype" w:hAnsi="Palatino Linotype" w:cs="Arial"/>
          <w:b/>
          <w:bCs/>
          <w:sz w:val="24"/>
        </w:rPr>
        <w:t xml:space="preserve">00115/ACAMBAY/IP/2024 </w:t>
      </w:r>
    </w:p>
    <w:p w14:paraId="79BFF630" w14:textId="687275C6" w:rsidR="00C24CA5" w:rsidRPr="00C24CA5" w:rsidRDefault="00C24CA5" w:rsidP="00C24CA5">
      <w:pPr>
        <w:pStyle w:val="Citas"/>
        <w:rPr>
          <w:b/>
          <w:bCs/>
        </w:rPr>
      </w:pPr>
      <w:r>
        <w:t>“</w:t>
      </w:r>
      <w:r w:rsidRPr="00C24CA5">
        <w:t>Balanza de Comprobación detallada de los meses de enero a diciembre de 2023 en formato XLS</w:t>
      </w:r>
      <w:r>
        <w:t xml:space="preserve">” </w:t>
      </w:r>
      <w:r>
        <w:rPr>
          <w:b/>
          <w:bCs/>
        </w:rPr>
        <w:t>(Sic)</w:t>
      </w:r>
    </w:p>
    <w:p w14:paraId="56D171B3" w14:textId="7FC6693B" w:rsidR="00C24CA5" w:rsidRDefault="00C24CA5" w:rsidP="00AD18E2">
      <w:pPr>
        <w:spacing w:before="240" w:line="360" w:lineRule="auto"/>
        <w:jc w:val="both"/>
        <w:rPr>
          <w:rFonts w:ascii="Palatino Linotype" w:hAnsi="Palatino Linotype" w:cs="Arial"/>
          <w:sz w:val="24"/>
        </w:rPr>
      </w:pPr>
      <w:r>
        <w:rPr>
          <w:rFonts w:ascii="Palatino Linotype" w:hAnsi="Palatino Linotype" w:cs="Arial"/>
          <w:b/>
          <w:bCs/>
          <w:sz w:val="24"/>
        </w:rPr>
        <w:t xml:space="preserve"> 00114/ACAMBAY/IP/2024</w:t>
      </w:r>
    </w:p>
    <w:p w14:paraId="78A4ACCC" w14:textId="1F363988" w:rsidR="00C24CA5" w:rsidRPr="00C24CA5" w:rsidRDefault="00C24CA5" w:rsidP="00C24CA5">
      <w:pPr>
        <w:pStyle w:val="Citas"/>
        <w:rPr>
          <w:b/>
          <w:bCs/>
        </w:rPr>
      </w:pPr>
      <w:r>
        <w:t>“</w:t>
      </w:r>
      <w:r w:rsidRPr="00C24CA5">
        <w:t>Balanza de Comprobación detallada de los meses de enero a diciembre de 2022 en formato XLS</w:t>
      </w:r>
      <w:r>
        <w:t xml:space="preserve">” </w:t>
      </w:r>
      <w:r>
        <w:rPr>
          <w:b/>
          <w:bCs/>
        </w:rPr>
        <w:t>(Sic)</w:t>
      </w:r>
    </w:p>
    <w:p w14:paraId="46D5716B" w14:textId="27F64603" w:rsidR="00AD18E2" w:rsidRPr="00415E43" w:rsidRDefault="00AD18E2" w:rsidP="00AD18E2">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 xml:space="preserve">A través del SAIMEX, en los </w:t>
      </w:r>
      <w:r w:rsidR="00C24CA5">
        <w:rPr>
          <w:rFonts w:ascii="Palatino Linotype" w:eastAsia="Times New Roman" w:hAnsi="Palatino Linotype" w:cs="Times New Roman"/>
          <w:sz w:val="24"/>
          <w:szCs w:val="24"/>
          <w:lang w:eastAsia="es-ES"/>
        </w:rPr>
        <w:t>tres</w:t>
      </w:r>
      <w:r w:rsidR="00D44708">
        <w:rPr>
          <w:rFonts w:ascii="Palatino Linotype" w:eastAsia="Times New Roman" w:hAnsi="Palatino Linotype" w:cs="Times New Roman"/>
          <w:sz w:val="24"/>
          <w:szCs w:val="24"/>
          <w:lang w:eastAsia="es-ES"/>
        </w:rPr>
        <w:t xml:space="preserve"> casos. </w:t>
      </w:r>
    </w:p>
    <w:p w14:paraId="056CEF31" w14:textId="77777777" w:rsidR="00AD18E2" w:rsidRPr="00AD18E2" w:rsidRDefault="00AD18E2" w:rsidP="00AD18E2">
      <w:pPr>
        <w:spacing w:before="240" w:line="360" w:lineRule="auto"/>
        <w:ind w:right="850"/>
        <w:jc w:val="both"/>
        <w:rPr>
          <w:rFonts w:ascii="Palatino Linotype" w:eastAsia="Times New Roman" w:hAnsi="Palatino Linotype" w:cs="Times New Roman"/>
          <w:sz w:val="24"/>
          <w:szCs w:val="24"/>
          <w:highlight w:val="yellow"/>
          <w:lang w:eastAsia="es-ES"/>
        </w:rPr>
      </w:pPr>
    </w:p>
    <w:p w14:paraId="3F20CBB2" w14:textId="77777777" w:rsidR="00AD18E2" w:rsidRPr="00415E43" w:rsidRDefault="00AD18E2" w:rsidP="00AD18E2">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SEGUNDO. </w:t>
      </w:r>
      <w:r w:rsidRPr="00415E43">
        <w:rPr>
          <w:rFonts w:ascii="Palatino Linotype" w:hAnsi="Palatino Linotype" w:cs="Arial"/>
          <w:b/>
          <w:sz w:val="28"/>
          <w:szCs w:val="20"/>
        </w:rPr>
        <w:t>De la respuesta del Sujeto Obligado.</w:t>
      </w:r>
    </w:p>
    <w:p w14:paraId="6FFDD2D5" w14:textId="2B0C2560" w:rsidR="00C24CA5"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 xml:space="preserve">emitió respuestas coincidentes a las solicitudes de información, en fecha </w:t>
      </w:r>
      <w:r w:rsidR="00C24CA5">
        <w:rPr>
          <w:rFonts w:ascii="Palatino Linotype" w:hAnsi="Palatino Linotype" w:cs="Arial"/>
          <w:b/>
          <w:bCs/>
          <w:lang w:val="es-MX"/>
        </w:rPr>
        <w:t xml:space="preserve">dieciocho de septiembre de dos mil veinticuatro, </w:t>
      </w:r>
      <w:r w:rsidR="00C24CA5">
        <w:rPr>
          <w:rFonts w:ascii="Palatino Linotype" w:hAnsi="Palatino Linotype" w:cs="Arial"/>
          <w:lang w:val="es-MX"/>
        </w:rPr>
        <w:t>resultando de nuestro interés lo siguiente:</w:t>
      </w:r>
    </w:p>
    <w:p w14:paraId="41EB4381" w14:textId="69225C3F" w:rsidR="00C24CA5" w:rsidRPr="00C24CA5" w:rsidRDefault="00C24CA5" w:rsidP="00C24CA5">
      <w:pPr>
        <w:pStyle w:val="Citas"/>
        <w:rPr>
          <w:b/>
          <w:bCs/>
        </w:rPr>
      </w:pPr>
      <w:r>
        <w:t>“</w:t>
      </w:r>
      <w:r w:rsidRPr="00C24CA5">
        <w:t xml:space="preserve">En atención a su solicitud de información No.00116/ACAMBAY/IP/2024 recibida por esta dependencia vía Sistema Electrónico Denominado Sistema de Acceso a la Información Mexiquense (SAIMEX) de fecha 28 de agosto de 2024, dirigida al </w:t>
      </w:r>
      <w:r w:rsidRPr="00C24CA5">
        <w:lastRenderedPageBreak/>
        <w:t>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de la Tesorería Munidcipal de Acambay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r>
        <w:t xml:space="preserve">” </w:t>
      </w:r>
      <w:r>
        <w:rPr>
          <w:b/>
          <w:bCs/>
        </w:rPr>
        <w:t>(Sic)</w:t>
      </w:r>
    </w:p>
    <w:p w14:paraId="4F82AAF9" w14:textId="77777777" w:rsidR="00C24CA5" w:rsidRDefault="00C24CA5" w:rsidP="00AD18E2">
      <w:pPr>
        <w:pStyle w:val="Citas"/>
        <w:ind w:left="0" w:right="-18"/>
        <w:rPr>
          <w:i w:val="0"/>
          <w:iCs/>
          <w:sz w:val="24"/>
          <w:szCs w:val="24"/>
        </w:rPr>
      </w:pPr>
    </w:p>
    <w:p w14:paraId="6A370FF0" w14:textId="6639B932" w:rsidR="00AD18E2" w:rsidRPr="00415E43" w:rsidRDefault="00AD18E2" w:rsidP="00AD18E2">
      <w:pPr>
        <w:pStyle w:val="Citas"/>
        <w:ind w:left="0" w:right="-18"/>
        <w:rPr>
          <w:i w:val="0"/>
          <w:iCs/>
          <w:sz w:val="24"/>
          <w:szCs w:val="24"/>
        </w:rPr>
      </w:pPr>
      <w:r w:rsidRPr="00415E43">
        <w:rPr>
          <w:i w:val="0"/>
          <w:iCs/>
          <w:sz w:val="24"/>
          <w:szCs w:val="24"/>
        </w:rPr>
        <w:t xml:space="preserve">De forma complementaria, en los expedientes electrónicos de las solicitudes de información, </w:t>
      </w:r>
      <w:r w:rsidRPr="00415E43">
        <w:rPr>
          <w:b/>
          <w:bCs/>
          <w:i w:val="0"/>
          <w:iCs/>
          <w:sz w:val="24"/>
          <w:szCs w:val="24"/>
        </w:rPr>
        <w:t xml:space="preserve">El Sujeto Obligado </w:t>
      </w:r>
      <w:r w:rsidRPr="00415E43">
        <w:rPr>
          <w:i w:val="0"/>
          <w:iCs/>
          <w:sz w:val="24"/>
          <w:szCs w:val="24"/>
        </w:rPr>
        <w:t>adjuntó lo siguiente:</w:t>
      </w:r>
    </w:p>
    <w:tbl>
      <w:tblPr>
        <w:tblStyle w:val="Tablaconcuadrcula"/>
        <w:tblW w:w="0" w:type="auto"/>
        <w:tblLook w:val="04A0" w:firstRow="1" w:lastRow="0" w:firstColumn="1" w:lastColumn="0" w:noHBand="0" w:noVBand="1"/>
      </w:tblPr>
      <w:tblGrid>
        <w:gridCol w:w="3159"/>
        <w:gridCol w:w="5903"/>
      </w:tblGrid>
      <w:tr w:rsidR="00AD18E2" w:rsidRPr="00AD18E2" w14:paraId="5983EF84" w14:textId="77777777" w:rsidTr="00BC2597">
        <w:tc>
          <w:tcPr>
            <w:tcW w:w="3159" w:type="dxa"/>
            <w:tcBorders>
              <w:right w:val="single" w:sz="12" w:space="0" w:color="FFFFFF" w:themeColor="background1"/>
            </w:tcBorders>
            <w:shd w:val="clear" w:color="auto" w:fill="000000" w:themeFill="text1"/>
          </w:tcPr>
          <w:p w14:paraId="778ACD4C" w14:textId="77777777" w:rsidR="00AD18E2" w:rsidRPr="00415E43" w:rsidRDefault="00AD18E2" w:rsidP="00BC2597">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Solicitud de información</w:t>
            </w:r>
          </w:p>
        </w:tc>
        <w:tc>
          <w:tcPr>
            <w:tcW w:w="5903" w:type="dxa"/>
            <w:tcBorders>
              <w:left w:val="single" w:sz="12" w:space="0" w:color="FFFFFF" w:themeColor="background1"/>
            </w:tcBorders>
            <w:shd w:val="clear" w:color="auto" w:fill="000000" w:themeFill="text1"/>
          </w:tcPr>
          <w:p w14:paraId="22F2D938" w14:textId="77777777" w:rsidR="00AD18E2" w:rsidRPr="00415E43" w:rsidRDefault="00AD18E2" w:rsidP="00BC2597">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Anexos</w:t>
            </w:r>
          </w:p>
        </w:tc>
      </w:tr>
      <w:tr w:rsidR="00AD18E2" w:rsidRPr="00AD18E2" w14:paraId="6B2F6D6D" w14:textId="77777777" w:rsidTr="00BC2597">
        <w:tc>
          <w:tcPr>
            <w:tcW w:w="3159" w:type="dxa"/>
            <w:vAlign w:val="center"/>
          </w:tcPr>
          <w:p w14:paraId="3588814E" w14:textId="08217FC9" w:rsidR="00AD18E2" w:rsidRPr="00415E43" w:rsidRDefault="00C24CA5"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00116/ACAMBAY/IP/2024</w:t>
            </w:r>
          </w:p>
        </w:tc>
        <w:tc>
          <w:tcPr>
            <w:tcW w:w="5903" w:type="dxa"/>
          </w:tcPr>
          <w:p w14:paraId="26963301" w14:textId="538169FD" w:rsidR="00AD18E2" w:rsidRPr="00415E43" w:rsidRDefault="00AD18E2" w:rsidP="007A6FE3">
            <w:pPr>
              <w:pStyle w:val="Prrafodelista"/>
              <w:numPr>
                <w:ilvl w:val="0"/>
                <w:numId w:val="3"/>
              </w:numPr>
              <w:spacing w:after="240" w:line="360" w:lineRule="auto"/>
              <w:jc w:val="both"/>
              <w:rPr>
                <w:rFonts w:ascii="Palatino Linotype" w:hAnsi="Palatino Linotype" w:cs="Arial"/>
                <w:b/>
                <w:bCs/>
                <w:lang w:val="es-MX"/>
              </w:rPr>
            </w:pPr>
            <w:r w:rsidRPr="00415E43">
              <w:rPr>
                <w:rFonts w:ascii="Palatino Linotype" w:hAnsi="Palatino Linotype" w:cs="Arial"/>
                <w:b/>
                <w:bCs/>
                <w:lang w:val="es-MX"/>
              </w:rPr>
              <w:t>“</w:t>
            </w:r>
            <w:r w:rsidR="00C24CA5">
              <w:rPr>
                <w:rFonts w:ascii="Palatino Linotype" w:hAnsi="Palatino Linotype" w:cs="Arial"/>
                <w:b/>
                <w:bCs/>
                <w:lang w:val="es-MX"/>
              </w:rPr>
              <w:t>contestación 116.pdf”</w:t>
            </w:r>
          </w:p>
        </w:tc>
      </w:tr>
      <w:tr w:rsidR="00AD18E2" w:rsidRPr="00AD18E2" w14:paraId="16730900" w14:textId="77777777" w:rsidTr="00BC2597">
        <w:tc>
          <w:tcPr>
            <w:tcW w:w="3159" w:type="dxa"/>
            <w:vAlign w:val="center"/>
          </w:tcPr>
          <w:p w14:paraId="1585D40E" w14:textId="6116D651" w:rsidR="00AD18E2" w:rsidRPr="00415E43" w:rsidRDefault="00C24CA5"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00115/ACAMBAY/IP/2024</w:t>
            </w:r>
          </w:p>
        </w:tc>
        <w:tc>
          <w:tcPr>
            <w:tcW w:w="5903" w:type="dxa"/>
            <w:vAlign w:val="center"/>
          </w:tcPr>
          <w:p w14:paraId="0111799C" w14:textId="56F89980" w:rsidR="00AD18E2" w:rsidRPr="00415E43" w:rsidRDefault="00AD18E2" w:rsidP="007A6FE3">
            <w:pPr>
              <w:pStyle w:val="Prrafodelista"/>
              <w:numPr>
                <w:ilvl w:val="0"/>
                <w:numId w:val="3"/>
              </w:numPr>
              <w:spacing w:after="240" w:line="360" w:lineRule="auto"/>
              <w:rPr>
                <w:rFonts w:ascii="Palatino Linotype" w:hAnsi="Palatino Linotype" w:cs="Arial"/>
                <w:b/>
                <w:bCs/>
                <w:lang w:val="es-MX"/>
              </w:rPr>
            </w:pPr>
            <w:r w:rsidRPr="00415E43">
              <w:rPr>
                <w:rFonts w:ascii="Palatino Linotype" w:hAnsi="Palatino Linotype" w:cs="Arial"/>
                <w:b/>
                <w:bCs/>
                <w:lang w:val="es-MX"/>
              </w:rPr>
              <w:t>“</w:t>
            </w:r>
            <w:r w:rsidR="00C24CA5">
              <w:rPr>
                <w:rFonts w:ascii="Palatino Linotype" w:hAnsi="Palatino Linotype" w:cs="Arial"/>
                <w:b/>
                <w:bCs/>
                <w:lang w:val="es-MX"/>
              </w:rPr>
              <w:t>contestación 115.pdf”</w:t>
            </w:r>
          </w:p>
        </w:tc>
      </w:tr>
      <w:tr w:rsidR="00415E43" w:rsidRPr="00AD18E2" w14:paraId="473255DF" w14:textId="77777777" w:rsidTr="00BC2597">
        <w:tc>
          <w:tcPr>
            <w:tcW w:w="3159" w:type="dxa"/>
            <w:vAlign w:val="center"/>
          </w:tcPr>
          <w:p w14:paraId="7D943F69" w14:textId="3ECC5160" w:rsidR="00415E43" w:rsidRPr="00415E43" w:rsidRDefault="00C24CA5"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00114/ACAMBAY/IP/2024</w:t>
            </w:r>
          </w:p>
        </w:tc>
        <w:tc>
          <w:tcPr>
            <w:tcW w:w="5903" w:type="dxa"/>
            <w:vAlign w:val="center"/>
          </w:tcPr>
          <w:p w14:paraId="3B51ABA3" w14:textId="2069BDBA" w:rsidR="00415E43" w:rsidRPr="00415E43" w:rsidRDefault="00415E43" w:rsidP="007A6FE3">
            <w:pPr>
              <w:pStyle w:val="Prrafodelista"/>
              <w:numPr>
                <w:ilvl w:val="0"/>
                <w:numId w:val="3"/>
              </w:numPr>
              <w:spacing w:after="240" w:line="360" w:lineRule="auto"/>
              <w:rPr>
                <w:rFonts w:ascii="Palatino Linotype" w:hAnsi="Palatino Linotype" w:cs="Arial"/>
                <w:b/>
                <w:bCs/>
                <w:lang w:val="es-MX"/>
              </w:rPr>
            </w:pPr>
            <w:r>
              <w:rPr>
                <w:rFonts w:ascii="Palatino Linotype" w:hAnsi="Palatino Linotype" w:cs="Arial"/>
                <w:b/>
                <w:bCs/>
                <w:lang w:val="es-MX"/>
              </w:rPr>
              <w:t>“</w:t>
            </w:r>
            <w:r w:rsidR="00C24CA5">
              <w:rPr>
                <w:rFonts w:ascii="Palatino Linotype" w:hAnsi="Palatino Linotype" w:cs="Arial"/>
                <w:b/>
                <w:bCs/>
                <w:lang w:val="es-MX"/>
              </w:rPr>
              <w:t>contestación 114.pdf”</w:t>
            </w:r>
          </w:p>
        </w:tc>
      </w:tr>
    </w:tbl>
    <w:p w14:paraId="2C3373ED" w14:textId="77777777" w:rsidR="00C24CA5" w:rsidRDefault="00C24CA5" w:rsidP="00AD18E2">
      <w:pPr>
        <w:pStyle w:val="Prrafodelista"/>
        <w:spacing w:after="240" w:line="360" w:lineRule="auto"/>
        <w:ind w:left="0"/>
        <w:jc w:val="both"/>
        <w:rPr>
          <w:rFonts w:ascii="Palatino Linotype" w:hAnsi="Palatino Linotype" w:cs="Arial"/>
          <w:lang w:val="es-MX"/>
        </w:rPr>
      </w:pPr>
    </w:p>
    <w:p w14:paraId="18B5016F" w14:textId="62E5FD4E" w:rsidR="00AD18E2" w:rsidRPr="00415E43"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Soportes documentales en cita que serán materia de análisis en el considerando respectivo. </w:t>
      </w:r>
    </w:p>
    <w:p w14:paraId="16A55023" w14:textId="77777777" w:rsidR="00AD18E2" w:rsidRPr="00415E43" w:rsidRDefault="00AD18E2" w:rsidP="00AD18E2">
      <w:pPr>
        <w:spacing w:before="240" w:line="360" w:lineRule="auto"/>
        <w:jc w:val="both"/>
        <w:rPr>
          <w:rFonts w:ascii="Palatino Linotype" w:hAnsi="Palatino Linotype" w:cs="Arial"/>
          <w:b/>
          <w:sz w:val="28"/>
        </w:rPr>
      </w:pPr>
      <w:r w:rsidRPr="00415E43">
        <w:rPr>
          <w:rFonts w:ascii="Palatino Linotype" w:hAnsi="Palatino Linotype" w:cs="Arial"/>
          <w:b/>
          <w:sz w:val="28"/>
        </w:rPr>
        <w:lastRenderedPageBreak/>
        <w:t xml:space="preserve">TERCERO. </w:t>
      </w:r>
      <w:r w:rsidRPr="00415E43">
        <w:rPr>
          <w:rFonts w:ascii="Palatino Linotype" w:hAnsi="Palatino Linotype"/>
          <w:b/>
          <w:sz w:val="28"/>
        </w:rPr>
        <w:t>Del recurso de revisión.</w:t>
      </w:r>
    </w:p>
    <w:p w14:paraId="077BB98E" w14:textId="6F94102C" w:rsidR="00F003D2" w:rsidRPr="00F003D2" w:rsidRDefault="00AD18E2" w:rsidP="00AD18E2">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 xml:space="preserve">Inconforme con las respuestas notificadas por </w:t>
      </w:r>
      <w:r w:rsidRPr="00415E43">
        <w:rPr>
          <w:rFonts w:ascii="Palatino Linotype" w:hAnsi="Palatino Linotype" w:cs="Arial"/>
          <w:b/>
          <w:sz w:val="24"/>
          <w:szCs w:val="24"/>
        </w:rPr>
        <w:t xml:space="preserve">El Sujeto Obligado, </w:t>
      </w:r>
      <w:r w:rsidR="00F003D2">
        <w:rPr>
          <w:rFonts w:ascii="Palatino Linotype" w:hAnsi="Palatino Linotype" w:cs="Arial"/>
          <w:b/>
          <w:sz w:val="24"/>
          <w:szCs w:val="24"/>
        </w:rPr>
        <w:t>El</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sidR="00415E43">
        <w:rPr>
          <w:rFonts w:ascii="Palatino Linotype" w:hAnsi="Palatino Linotype" w:cs="Arial"/>
          <w:sz w:val="24"/>
          <w:szCs w:val="24"/>
        </w:rPr>
        <w:t xml:space="preserve"> </w:t>
      </w:r>
      <w:r w:rsidR="00C24CA5">
        <w:rPr>
          <w:rFonts w:ascii="Palatino Linotype" w:hAnsi="Palatino Linotype" w:cs="Arial"/>
          <w:b/>
          <w:bCs/>
          <w:sz w:val="24"/>
          <w:szCs w:val="24"/>
        </w:rPr>
        <w:t xml:space="preserve">dieciocho de septiembre de dos mil veinticuatro, </w:t>
      </w:r>
      <w:r w:rsidR="00C24CA5">
        <w:rPr>
          <w:rFonts w:ascii="Palatino Linotype" w:hAnsi="Palatino Linotype" w:cs="Arial"/>
          <w:sz w:val="24"/>
          <w:szCs w:val="24"/>
        </w:rPr>
        <w:t xml:space="preserve">los cuales fueron registrados en el sistema electrónico con los expedientes </w:t>
      </w:r>
      <w:r w:rsidR="00C24CA5">
        <w:rPr>
          <w:rFonts w:ascii="Palatino Linotype" w:hAnsi="Palatino Linotype" w:cs="Arial"/>
          <w:b/>
          <w:bCs/>
          <w:sz w:val="24"/>
          <w:szCs w:val="24"/>
        </w:rPr>
        <w:t xml:space="preserve">05710/INFOEM/IP/RR/2024, 05711/INFOEM/IP/RR/2024 y 05712/INFOEM/IP/RR/2024, </w:t>
      </w:r>
      <w:r w:rsidR="00F003D2">
        <w:rPr>
          <w:rFonts w:ascii="Palatino Linotype" w:hAnsi="Palatino Linotype" w:cs="Arial"/>
          <w:sz w:val="24"/>
        </w:rPr>
        <w:t xml:space="preserve">en los cuales arguye las siguientes manifestaciones: </w:t>
      </w:r>
    </w:p>
    <w:p w14:paraId="51CAE49B" w14:textId="3CCD253E" w:rsidR="00C24CA5" w:rsidRPr="00C24CA5" w:rsidRDefault="00C24CA5" w:rsidP="00C24CA5">
      <w:pPr>
        <w:pStyle w:val="Citas"/>
        <w:ind w:left="0"/>
        <w:rPr>
          <w:b/>
          <w:bCs/>
          <w:i w:val="0"/>
          <w:iCs/>
          <w:sz w:val="24"/>
          <w:szCs w:val="24"/>
        </w:rPr>
      </w:pPr>
      <w:r w:rsidRPr="00C24CA5">
        <w:rPr>
          <w:b/>
          <w:bCs/>
          <w:i w:val="0"/>
          <w:iCs/>
          <w:sz w:val="24"/>
          <w:szCs w:val="24"/>
        </w:rPr>
        <w:t>05710/INFOEM/IP/RR/2024</w:t>
      </w:r>
    </w:p>
    <w:p w14:paraId="2A8AAB80" w14:textId="3A39ADBC" w:rsidR="00C24CA5" w:rsidRPr="00C24CA5" w:rsidRDefault="00C24CA5" w:rsidP="00C24CA5">
      <w:pPr>
        <w:pStyle w:val="Citas"/>
        <w:ind w:left="0"/>
        <w:rPr>
          <w:b/>
          <w:bCs/>
          <w:i w:val="0"/>
          <w:iCs/>
          <w:sz w:val="24"/>
          <w:szCs w:val="24"/>
        </w:rPr>
      </w:pPr>
      <w:r w:rsidRPr="00C24CA5">
        <w:rPr>
          <w:b/>
          <w:bCs/>
          <w:i w:val="0"/>
          <w:iCs/>
          <w:sz w:val="24"/>
          <w:szCs w:val="24"/>
        </w:rPr>
        <w:t xml:space="preserve">Acto impugnado: </w:t>
      </w:r>
    </w:p>
    <w:p w14:paraId="4466C196" w14:textId="0D929ED9" w:rsidR="00F003D2" w:rsidRPr="00C24CA5" w:rsidRDefault="00C24CA5" w:rsidP="00C24CA5">
      <w:pPr>
        <w:pStyle w:val="Citas"/>
        <w:rPr>
          <w:b/>
          <w:bCs/>
        </w:rPr>
      </w:pPr>
      <w:r w:rsidRPr="00C24CA5">
        <w:t xml:space="preserve">“SE ENTREGÓ INFORMACIÓN INCOMPLETA” </w:t>
      </w:r>
      <w:r w:rsidRPr="00C24CA5">
        <w:rPr>
          <w:b/>
          <w:bCs/>
        </w:rPr>
        <w:t>(Sic)</w:t>
      </w:r>
    </w:p>
    <w:p w14:paraId="2EBE904C" w14:textId="25A7A0F2" w:rsidR="00C24CA5" w:rsidRPr="00C24CA5" w:rsidRDefault="00C24CA5" w:rsidP="00AD18E2">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5F428DF3" w14:textId="589DD678" w:rsidR="00C24CA5" w:rsidRPr="00C24CA5" w:rsidRDefault="00C24CA5" w:rsidP="00C24CA5">
      <w:pPr>
        <w:pStyle w:val="Citas"/>
        <w:rPr>
          <w:b/>
          <w:bCs/>
        </w:rPr>
      </w:pPr>
      <w:r w:rsidRPr="00C24CA5">
        <w:t xml:space="preserve">“En atención a la respuesta recibida respecto a mi solicitud de información sobre la Balanza de Comprobación detallada de los meses de enero a agosto de 2024 en formato XLS, y en la que se expone que la información solicitada contiene datos sensibles y confidenciales, me permito presentar la siguiente réplica con fundamento en las disposiciones legales aplicables: 1. Del derecho de acceso a la información pública: El artículo 6 de la Constitución Política de los Estados Unidos Mexicanos establece el derecho de toda persona al acceso a la información pública. Asimismo, el artículo 1 de la Ley de Transparencia y Acceso a la Información Pública del Estado de México y Municipios consagra que la información en posesión de los sujetos obligados es pública, salvo las excepciones expresamente previstas. 2. Información financiera como de carácter público: La Ley de Transparencia del Estado de México dispone en </w:t>
      </w:r>
      <w:r w:rsidRPr="00C24CA5">
        <w:lastRenderedPageBreak/>
        <w:t xml:space="preserve">su artículo 13, fracción XI, que es información pública toda aquella relacionada con "el ejercicio del gasto público y las cuentas públicas" de los sujetos obligados, como lo es la balanza de comprobación, siendo esta un instrumento clave para la rendición de cuentas de las entidades públicas. 3. Información confidencial: Entiendo la preocupación por la protección de datos personales, tal como lo señala el artículo 143, fracción I de la citada ley, sin embargo, el objetivo de mi solicitud no es obtener nombres de clientes, proveedores o información bancaria, sino simplemente la información financiera relacionada con el gasto público. En virtud de esto, solicito que los datos personales sensibles sean debidamente anonimizados de conformidad con los principios de confidencialidad y protección de datos personales previstos en la Ley de Protección de Datos Personales en Posesión de Sujetos Obligados del Estado de México y Municipios. 4. Proporcionalidad y acceso parcial: El artículo 144 de la misma ley establece el principio de proporcionalidad y acceso parcial, mediante el cual los sujetos obligados deben entregar la información solicitada excluyendo la que sea confidencial o reservada. Por lo tanto, en este caso, puede proporcionarse la balanza de comprobación sin los datos personales protegidos. 5. Solicitud de anonimización: De acuerdo con lo anterior, reitero mi solicitud para obtener la balanza de comprobación detallada, pero anonimizando o eliminando cualquier información confidencial (como nombres, cuentas bancarias o datos de contacto), de conformidad con las leyes antes mencionadas. Agradezco de antemano su atención a la presente y quedo a la espera de la entrega de la información solicitada de acuerdo con los términos de la legislación vigente. Es importante mencionar que en la solicitud se mencionó que el documento se requiere en el formato XML, sin embargo, si la información en ese formato imposibilita testar cierta información, la información puede ser proporcionada en otro formato como PDF” </w:t>
      </w:r>
      <w:r w:rsidRPr="00C24CA5">
        <w:rPr>
          <w:b/>
          <w:bCs/>
        </w:rPr>
        <w:t>(Sic)</w:t>
      </w:r>
    </w:p>
    <w:p w14:paraId="2CB2F072" w14:textId="5A940066" w:rsidR="00C24CA5" w:rsidRPr="00915C1B" w:rsidRDefault="00C24CA5" w:rsidP="00AD18E2">
      <w:pPr>
        <w:pStyle w:val="Citas"/>
        <w:ind w:left="0" w:right="72"/>
        <w:rPr>
          <w:rFonts w:ascii="Verdana" w:hAnsi="Verdana"/>
          <w:i w:val="0"/>
          <w:iCs/>
          <w:color w:val="000000"/>
          <w:sz w:val="14"/>
          <w:szCs w:val="14"/>
          <w:highlight w:val="yellow"/>
        </w:rPr>
      </w:pPr>
      <w:r w:rsidRPr="00915C1B">
        <w:rPr>
          <w:b/>
          <w:bCs/>
          <w:i w:val="0"/>
          <w:iCs/>
          <w:sz w:val="24"/>
          <w:szCs w:val="24"/>
        </w:rPr>
        <w:lastRenderedPageBreak/>
        <w:t>05711/INFOEM/IP/RR/2024</w:t>
      </w:r>
    </w:p>
    <w:p w14:paraId="0498F201" w14:textId="78CC9F78" w:rsidR="00C24CA5" w:rsidRPr="00C24CA5" w:rsidRDefault="00C24CA5" w:rsidP="00AD18E2">
      <w:pPr>
        <w:pStyle w:val="Citas"/>
        <w:ind w:left="0" w:right="72"/>
        <w:rPr>
          <w:b/>
          <w:bCs/>
          <w:i w:val="0"/>
          <w:iCs/>
          <w:color w:val="000000"/>
          <w:sz w:val="24"/>
          <w:szCs w:val="24"/>
        </w:rPr>
      </w:pPr>
      <w:r w:rsidRPr="00C24CA5">
        <w:rPr>
          <w:b/>
          <w:bCs/>
          <w:i w:val="0"/>
          <w:iCs/>
          <w:color w:val="000000"/>
          <w:sz w:val="24"/>
          <w:szCs w:val="24"/>
        </w:rPr>
        <w:t xml:space="preserve">Acto impugnado: </w:t>
      </w:r>
    </w:p>
    <w:p w14:paraId="68A3CC6E" w14:textId="104FE16C" w:rsidR="00C24CA5" w:rsidRPr="00C24CA5" w:rsidRDefault="00C24CA5" w:rsidP="00C24CA5">
      <w:pPr>
        <w:pStyle w:val="Citas"/>
        <w:rPr>
          <w:b/>
          <w:bCs/>
        </w:rPr>
      </w:pPr>
      <w:r w:rsidRPr="00C24CA5">
        <w:t xml:space="preserve">“SE ENTREGÓ INFORMACIÓN INCOMPLETA” </w:t>
      </w:r>
      <w:r w:rsidRPr="00C24CA5">
        <w:rPr>
          <w:b/>
          <w:bCs/>
        </w:rPr>
        <w:t>(Sic)</w:t>
      </w:r>
    </w:p>
    <w:p w14:paraId="31A9F00D" w14:textId="77777777" w:rsidR="00C24CA5" w:rsidRPr="00C24CA5" w:rsidRDefault="00C24CA5" w:rsidP="00C24CA5">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6398DA70" w14:textId="7232E57C" w:rsidR="00C24CA5" w:rsidRPr="00C24CA5" w:rsidRDefault="00C24CA5" w:rsidP="00C24CA5">
      <w:pPr>
        <w:pStyle w:val="Citas"/>
      </w:pPr>
      <w:r w:rsidRPr="00C24CA5">
        <w:t xml:space="preserve">En atención a la respuesta recibida respecto a mi solicitud de información sobre la Balanza de Comprobación detallada de los meses de enero a diciembre de 2023 en formato XLS, y en la que se expone que la información solicitada contiene datos sensibles y confidenciales, me permito presentar la siguiente réplica con fundamento en las disposiciones legales aplicables: 1. Del derecho de acceso a la información pública: El artículo 6 de la Constitución Política de los Estados Unidos Mexicanos establece el derecho de toda persona al acceso a la información pública. Asimismo, el artículo 1 de la Ley de Transparencia y Acceso a la Información Pública del Estado de México y Municipios consagra que la información en posesión de los sujetos obligados es pública, salvo las excepciones expresamente previstas. 2. Información financiera como de carácter público: La Ley de Transparencia del Estado de México dispone en su artículo 13, fracción XI, que es información pública toda aquella relacionada con "el ejercicio del gasto público y las cuentas públicas" de los sujetos obligados, como lo es la balanza de comprobación, siendo esta un instrumento clave para la rendición de cuentas de las entidades públicas. 3. Información confidencial: Entiendo la preocupación por la protección de datos personales, tal como lo señala el artículo 143, fracción I de la citada ley, sin embargo, el objetivo de mi solicitud no es obtener nombres de clientes, proveedores o información bancaria, sino simplemente </w:t>
      </w:r>
      <w:r w:rsidRPr="00C24CA5">
        <w:lastRenderedPageBreak/>
        <w:t>la información financiera relacionada con el gasto público. En virtud de esto, solicito que los datos personales sensibles sean debidamente anonimizados de conformidad con los principios de confidencialidad y protección de datos personales previstos en la Ley de Protección de Datos Personales en Posesión de Sujetos Obligados del Estado de México y Municipios. 4. Proporcionalidad y acceso parcial: El artículo 144 de la misma ley establece el principio de proporcionalidad y acceso parcial, mediante el cual los sujetos obligados deben entregar la información solicitada excluyendo la que sea confidencial o reservada. Por lo tanto, en este caso, puede proporcionarse la balanza de comprobación sin los datos personales protegidos. 5. Solicitud de anonimización: De acuerdo con lo anterior, reitero mi solicitud para obtener la balanza de comprobación detallada, pero anonimizando o eliminando cualquier información confidencial (como nombres, cuentas bancarias o datos de contacto), de conformidad con las leyes antes mencionadas. Agradezco de antemano su atención a la presente y quedo a la espera de la entrega de la información solicitada de acuerdo con los términos de la legislación vigente. Es importante mencionar que en la solicitud se mencionó que el documento se requiere en el formato XML, sin embargo, si la información en ese formato imposibilita testar cierta información, la información puede ser proporcionada en otro formato como PDF</w:t>
      </w:r>
    </w:p>
    <w:p w14:paraId="603EBC48" w14:textId="77777777" w:rsidR="00C24CA5" w:rsidRDefault="00C24CA5" w:rsidP="00AD18E2">
      <w:pPr>
        <w:pStyle w:val="Citas"/>
        <w:ind w:left="0" w:right="72"/>
        <w:rPr>
          <w:rFonts w:ascii="Verdana" w:hAnsi="Verdana"/>
          <w:color w:val="000000"/>
          <w:sz w:val="14"/>
          <w:szCs w:val="14"/>
          <w:highlight w:val="yellow"/>
        </w:rPr>
      </w:pPr>
    </w:p>
    <w:p w14:paraId="1C142F49" w14:textId="2CA5DF6B" w:rsidR="00C24CA5" w:rsidRPr="00C24CA5" w:rsidRDefault="00C24CA5" w:rsidP="00AD18E2">
      <w:pPr>
        <w:pStyle w:val="Citas"/>
        <w:ind w:left="0" w:right="72"/>
        <w:rPr>
          <w:b/>
          <w:bCs/>
          <w:i w:val="0"/>
          <w:iCs/>
          <w:color w:val="000000"/>
          <w:sz w:val="24"/>
          <w:szCs w:val="24"/>
        </w:rPr>
      </w:pPr>
      <w:r w:rsidRPr="00C24CA5">
        <w:rPr>
          <w:b/>
          <w:bCs/>
          <w:i w:val="0"/>
          <w:iCs/>
          <w:color w:val="000000"/>
          <w:sz w:val="24"/>
          <w:szCs w:val="24"/>
        </w:rPr>
        <w:t>05712/INFOEM/IP/RR/2024</w:t>
      </w:r>
    </w:p>
    <w:p w14:paraId="745BA950" w14:textId="0432F4EC" w:rsidR="00C24CA5" w:rsidRPr="00C24CA5" w:rsidRDefault="00C24CA5" w:rsidP="00AD18E2">
      <w:pPr>
        <w:pStyle w:val="Citas"/>
        <w:ind w:left="0" w:right="72"/>
        <w:rPr>
          <w:b/>
          <w:bCs/>
          <w:i w:val="0"/>
          <w:iCs/>
          <w:color w:val="000000"/>
          <w:sz w:val="24"/>
          <w:szCs w:val="24"/>
        </w:rPr>
      </w:pPr>
      <w:r w:rsidRPr="00C24CA5">
        <w:rPr>
          <w:b/>
          <w:bCs/>
          <w:i w:val="0"/>
          <w:iCs/>
          <w:color w:val="000000"/>
          <w:sz w:val="24"/>
          <w:szCs w:val="24"/>
        </w:rPr>
        <w:t xml:space="preserve">Acto impugnado: </w:t>
      </w:r>
    </w:p>
    <w:p w14:paraId="4BC2602C" w14:textId="490ED27B" w:rsidR="00C24CA5" w:rsidRPr="00C24CA5" w:rsidRDefault="00C24CA5" w:rsidP="00C24CA5">
      <w:pPr>
        <w:pStyle w:val="Citas"/>
        <w:rPr>
          <w:b/>
          <w:bCs/>
        </w:rPr>
      </w:pPr>
      <w:r w:rsidRPr="00C24CA5">
        <w:t xml:space="preserve">“SE ENTREGÓ INFORMACIÓN INCOMPLETA” </w:t>
      </w:r>
      <w:r w:rsidRPr="00C24CA5">
        <w:rPr>
          <w:b/>
          <w:bCs/>
        </w:rPr>
        <w:t>(Sic)</w:t>
      </w:r>
    </w:p>
    <w:p w14:paraId="68C54129" w14:textId="77777777" w:rsidR="00C24CA5" w:rsidRDefault="00C24CA5" w:rsidP="00AD18E2">
      <w:pPr>
        <w:pStyle w:val="Citas"/>
        <w:ind w:left="0" w:right="72"/>
        <w:rPr>
          <w:rFonts w:ascii="Verdana" w:hAnsi="Verdana"/>
          <w:color w:val="000000"/>
          <w:sz w:val="14"/>
          <w:szCs w:val="14"/>
          <w:highlight w:val="yellow"/>
        </w:rPr>
      </w:pPr>
    </w:p>
    <w:p w14:paraId="1A9F485A" w14:textId="77777777" w:rsidR="00C24CA5" w:rsidRPr="00C24CA5" w:rsidRDefault="00C24CA5" w:rsidP="00C24CA5">
      <w:pPr>
        <w:pStyle w:val="Citas"/>
        <w:ind w:left="0" w:right="72"/>
        <w:rPr>
          <w:b/>
          <w:bCs/>
          <w:i w:val="0"/>
          <w:iCs/>
          <w:color w:val="000000"/>
          <w:sz w:val="24"/>
          <w:szCs w:val="24"/>
        </w:rPr>
      </w:pPr>
      <w:r w:rsidRPr="00C24CA5">
        <w:rPr>
          <w:b/>
          <w:bCs/>
          <w:i w:val="0"/>
          <w:iCs/>
          <w:color w:val="000000"/>
          <w:sz w:val="24"/>
          <w:szCs w:val="24"/>
        </w:rPr>
        <w:lastRenderedPageBreak/>
        <w:t xml:space="preserve">Razones o motivos de la inconformidad: </w:t>
      </w:r>
    </w:p>
    <w:p w14:paraId="2BA7E786" w14:textId="14CE81D6" w:rsidR="00C24CA5" w:rsidRPr="00C24CA5" w:rsidRDefault="00C24CA5" w:rsidP="00C24CA5">
      <w:pPr>
        <w:pStyle w:val="Citas"/>
        <w:rPr>
          <w:b/>
          <w:bCs/>
        </w:rPr>
      </w:pPr>
      <w:r>
        <w:t>“</w:t>
      </w:r>
      <w:r w:rsidRPr="00C24CA5">
        <w:t xml:space="preserve">En atención a la respuesta recibida respecto a mi solicitud de información sobre la Balanza de Comprobación detallada de los meses de enero a diciembre de 2022 en formato XLS, y en la que se expone que la información solicitada contiene datos sensibles y confidenciales, me permito presentar la siguiente réplica con fundamento en las disposiciones legales aplicables: 1. Del derecho de acceso a la información pública: El artículo 6 de la Constitución Política de los Estados Unidos Mexicanos establece el derecho de toda persona al acceso a la información pública. Asimismo, el artículo 1 de la Ley de Transparencia y Acceso a la Información Pública del Estado de México y Municipios consagra que la información en posesión de los sujetos obligados es pública, salvo las excepciones expresamente previstas. 2. Información financiera como de carácter público: La Ley de Transparencia del Estado de México dispone en su artículo 13, fracción XI, que es información pública toda aquella relacionada con "el ejercicio del gasto público y las cuentas públicas" de los sujetos obligados, como lo es la balanza de comprobación, siendo esta un instrumento clave para la rendición de cuentas de las entidades públicas. 3. Información confidencial: Entiendo la preocupación por la protección de datos personales, tal como lo señala el artículo 143, fracción I de la citada ley, sin embargo, el objetivo de mi solicitud no es obtener nombres de clientes, proveedores o información bancaria, sino simplemente la información financiera relacionada con el gasto público. En virtud de esto, solicito que los datos personales sensibles sean debidamente anonimizados de conformidad con los principios de confidencialidad y protección de datos personales previstos en la Ley de Protección de Datos Personales en Posesión de Sujetos Obligados del Estado de México y Municipios. 4. Proporcionalidad y acceso parcial: El artículo 144 </w:t>
      </w:r>
      <w:r w:rsidRPr="00C24CA5">
        <w:lastRenderedPageBreak/>
        <w:t>de la misma ley establece el principio de proporcionalidad y acceso parcial, mediante el cual los sujetos obligados deben entregar la información solicitada excluyendo la que sea confidencial o reservada. Por lo tanto, en este caso, puede proporcionarse la balanza de comprobación sin los datos personales protegidos. 5. Solicitud de anonimización: De acuerdo con lo anterior, reitero mi solicitud para obtener la balanza de comprobación detallada, pero anonimizando o eliminando cualquier información confidencial (como nombres, cuentas bancarias o datos de contacto), de conformidad con las leyes antes mencionadas. Agradezco de antemano su atención a la presente y quedo a la espera de la entrega de la información solicitada de acuerdo con los términos de la legislación vigente. Es importante mencionar que en la solicitud se mencionó que el documento se requiere en el formato XML, sin embargo, si la información en ese formato imposibilita testar cierta información, la información puede ser proporcionada en otro formato como PDF</w:t>
      </w:r>
      <w:r>
        <w:t xml:space="preserve">” </w:t>
      </w:r>
      <w:r>
        <w:rPr>
          <w:b/>
          <w:bCs/>
        </w:rPr>
        <w:t>(Sic)</w:t>
      </w:r>
    </w:p>
    <w:p w14:paraId="322989E9" w14:textId="77777777" w:rsidR="00C24CA5" w:rsidRDefault="00C24CA5" w:rsidP="00AD18E2">
      <w:pPr>
        <w:pStyle w:val="Citas"/>
        <w:ind w:left="0" w:right="72"/>
        <w:rPr>
          <w:rFonts w:ascii="Verdana" w:hAnsi="Verdana"/>
          <w:color w:val="000000"/>
          <w:sz w:val="14"/>
          <w:szCs w:val="14"/>
          <w:highlight w:val="yellow"/>
        </w:rPr>
      </w:pPr>
    </w:p>
    <w:p w14:paraId="2575C33D" w14:textId="77777777" w:rsidR="00AD18E2" w:rsidRPr="00415E43" w:rsidRDefault="00AD18E2" w:rsidP="00AD18E2">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CUARTO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Del turno del recurso de revisión.</w:t>
      </w:r>
    </w:p>
    <w:p w14:paraId="31CFCA6F" w14:textId="42F90775" w:rsidR="00AD18E2" w:rsidRPr="00415E43"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 los Comisionados José Martínez Vilchis</w:t>
      </w:r>
      <w:r w:rsidR="00415E43">
        <w:rPr>
          <w:rFonts w:ascii="Palatino Linotype" w:hAnsi="Palatino Linotype" w:cs="Arial"/>
          <w:lang w:val="es-MX"/>
        </w:rPr>
        <w:t xml:space="preserve">, </w:t>
      </w:r>
      <w:r w:rsidR="00C24CA5">
        <w:rPr>
          <w:rFonts w:ascii="Palatino Linotype" w:hAnsi="Palatino Linotype" w:cs="Arial"/>
          <w:lang w:val="es-MX"/>
        </w:rPr>
        <w:t xml:space="preserve">Luis Gustavo Parra Noriega y Sharon Cristina Morales Martínez y, </w:t>
      </w:r>
      <w:r w:rsidR="00C24CA5" w:rsidRPr="00415E43">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w:t>
      </w:r>
      <w:r w:rsidR="00D674E4">
        <w:rPr>
          <w:rFonts w:ascii="Palatino Linotype" w:hAnsi="Palatino Linotype" w:cs="Arial"/>
          <w:lang w:val="es-MX"/>
        </w:rPr>
        <w:t xml:space="preserve">s </w:t>
      </w:r>
      <w:r w:rsidR="00D674E4">
        <w:rPr>
          <w:rFonts w:ascii="Palatino Linotype" w:hAnsi="Palatino Linotype" w:cs="Arial"/>
          <w:b/>
          <w:bCs/>
          <w:lang w:val="es-MX"/>
        </w:rPr>
        <w:t xml:space="preserve">diecinueve y veintitrés de septiembre de dos mil veinticuatro,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0B95E4E9" w14:textId="77777777" w:rsidR="00AD18E2" w:rsidRPr="00AD18E2" w:rsidRDefault="00AD18E2" w:rsidP="00AD18E2">
      <w:pPr>
        <w:pStyle w:val="Prrafodelista"/>
        <w:spacing w:line="360" w:lineRule="auto"/>
        <w:ind w:left="0"/>
        <w:jc w:val="both"/>
        <w:rPr>
          <w:rFonts w:ascii="Palatino Linotype" w:hAnsi="Palatino Linotype" w:cs="Arial"/>
          <w:highlight w:val="yellow"/>
          <w:lang w:val="es-MX"/>
        </w:rPr>
      </w:pPr>
    </w:p>
    <w:p w14:paraId="107B774B" w14:textId="77777777" w:rsidR="00AD18E2" w:rsidRPr="00415E43" w:rsidRDefault="00AD18E2" w:rsidP="00AD18E2">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lastRenderedPageBreak/>
        <w:t>QUINTO</w:t>
      </w:r>
      <w:r w:rsidRPr="00415E43">
        <w:rPr>
          <w:rFonts w:ascii="Palatino Linotype" w:hAnsi="Palatino Linotype" w:cs="Arial"/>
          <w:b/>
          <w:sz w:val="28"/>
          <w:szCs w:val="28"/>
          <w:lang w:val="es-MX"/>
        </w:rPr>
        <w:t>. De la acumulación.</w:t>
      </w:r>
    </w:p>
    <w:p w14:paraId="6B9C3802" w14:textId="75AD93CC" w:rsidR="00AD18E2" w:rsidRPr="00415E43"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 xml:space="preserve">Posteriormente por acuerdo del Pleno del Instituto, en la </w:t>
      </w:r>
      <w:r w:rsidR="00D674E4">
        <w:rPr>
          <w:rFonts w:ascii="Palatino Linotype" w:hAnsi="Palatino Linotype" w:cs="Arial"/>
          <w:lang w:val="es-MX"/>
        </w:rPr>
        <w:t xml:space="preserve">Trigésima quinta sesión ordinaria celebrada el </w:t>
      </w:r>
      <w:r w:rsidR="00D674E4">
        <w:rPr>
          <w:rFonts w:ascii="Palatino Linotype" w:hAnsi="Palatino Linotype" w:cs="Arial"/>
          <w:b/>
          <w:bCs/>
          <w:lang w:val="es-MX"/>
        </w:rPr>
        <w:t xml:space="preserve">tres de octubre de dos mil veinticuatro, </w:t>
      </w:r>
      <w:r w:rsidR="00D20265">
        <w:rPr>
          <w:rFonts w:ascii="Palatino Linotype" w:hAnsi="Palatino Linotype" w:cs="Arial"/>
          <w:lang w:val="es-MX"/>
        </w:rPr>
        <w:t xml:space="preserve">se determinó acumular los </w:t>
      </w:r>
      <w:r w:rsidRPr="00415E43">
        <w:rPr>
          <w:rFonts w:ascii="Palatino Linotype" w:hAnsi="Palatino Linotype" w:cs="Arial"/>
          <w:lang w:val="es-MX"/>
        </w:rPr>
        <w:t xml:space="preserve">recursos de revisión en estudio, ya que existe identidad del solicitante, del sujeto obligado y similitud de causas y objeto de solicitud. </w:t>
      </w:r>
    </w:p>
    <w:p w14:paraId="631D94AB" w14:textId="77777777" w:rsidR="00AD18E2" w:rsidRPr="00415E43" w:rsidRDefault="00AD18E2" w:rsidP="00AD18E2">
      <w:pPr>
        <w:pStyle w:val="Prrafodelista"/>
        <w:spacing w:line="360" w:lineRule="auto"/>
        <w:ind w:left="0"/>
        <w:jc w:val="both"/>
        <w:rPr>
          <w:rFonts w:ascii="Palatino Linotype" w:hAnsi="Palatino Linotype" w:cs="Arial"/>
          <w:lang w:val="es-MX"/>
        </w:rPr>
      </w:pPr>
    </w:p>
    <w:p w14:paraId="00DD4C5A" w14:textId="77777777" w:rsidR="00AD18E2" w:rsidRPr="00415E43" w:rsidRDefault="00AD18E2" w:rsidP="00AD18E2">
      <w:pPr>
        <w:spacing w:after="0" w:line="360" w:lineRule="auto"/>
        <w:jc w:val="both"/>
        <w:rPr>
          <w:rFonts w:ascii="Palatino Linotype" w:hAnsi="Palatino Linotype"/>
          <w:sz w:val="24"/>
          <w:szCs w:val="24"/>
        </w:rPr>
      </w:pPr>
      <w:r w:rsidRPr="00415E4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4C6BF35"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17A23C09"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45E5D3CD" w14:textId="77777777" w:rsidR="00AD18E2" w:rsidRPr="00415E43" w:rsidRDefault="00AD18E2" w:rsidP="00AD18E2">
      <w:pPr>
        <w:spacing w:before="240" w:line="360" w:lineRule="auto"/>
        <w:ind w:left="851" w:right="851"/>
        <w:jc w:val="both"/>
        <w:rPr>
          <w:rFonts w:ascii="Palatino Linotype" w:hAnsi="Palatino Linotype"/>
          <w:i/>
        </w:rPr>
      </w:pPr>
    </w:p>
    <w:p w14:paraId="1CFB3199"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Código de Procedimientos Administrativos del Estado de México</w:t>
      </w:r>
    </w:p>
    <w:p w14:paraId="6BAA710D"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 xml:space="preserve">cuando las partes o los actos administrativos sean iguales, se trate de actos conexos o resulte conveniente </w:t>
      </w:r>
      <w:r w:rsidRPr="00415E43">
        <w:rPr>
          <w:rFonts w:ascii="Palatino Linotype" w:hAnsi="Palatino Linotype"/>
          <w:b/>
          <w:i/>
          <w:u w:val="single"/>
        </w:rPr>
        <w:lastRenderedPageBreak/>
        <w:t>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04C001F4" w14:textId="77777777" w:rsidR="00AD18E2" w:rsidRPr="00AD18E2" w:rsidRDefault="00AD18E2" w:rsidP="00AD18E2">
      <w:pPr>
        <w:spacing w:before="240" w:line="360" w:lineRule="auto"/>
        <w:jc w:val="both"/>
        <w:rPr>
          <w:rFonts w:ascii="Palatino Linotype" w:hAnsi="Palatino Linotype" w:cs="Arial"/>
          <w:b/>
          <w:sz w:val="28"/>
          <w:highlight w:val="yellow"/>
        </w:rPr>
      </w:pPr>
    </w:p>
    <w:p w14:paraId="5517956D" w14:textId="77777777" w:rsidR="00AD18E2" w:rsidRPr="00415E43" w:rsidRDefault="00AD18E2" w:rsidP="00AD18E2">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04CC61C0" w14:textId="4F8E84D6" w:rsidR="00AD18E2" w:rsidRPr="00415E43" w:rsidRDefault="00AD18E2" w:rsidP="00AD18E2">
      <w:pPr>
        <w:spacing w:before="240" w:line="360" w:lineRule="auto"/>
        <w:jc w:val="both"/>
        <w:rPr>
          <w:rFonts w:ascii="Palatino Linotype" w:hAnsi="Palatino Linotype" w:cs="Arial"/>
          <w:b/>
          <w:bCs/>
          <w:sz w:val="24"/>
          <w:szCs w:val="24"/>
        </w:rPr>
      </w:pPr>
      <w:r w:rsidRPr="00415E43">
        <w:rPr>
          <w:rFonts w:ascii="Palatino Linotype" w:hAnsi="Palatino Linotype" w:cs="Arial"/>
          <w:sz w:val="24"/>
          <w:szCs w:val="24"/>
        </w:rPr>
        <w:t xml:space="preserve">Así, una vez transcurrido el término legal referido, se advierte en los expedientes electrónicos </w:t>
      </w:r>
      <w:r w:rsidRPr="00415E43">
        <w:rPr>
          <w:rFonts w:ascii="Palatino Linotype" w:hAnsi="Palatino Linotype" w:cs="Arial"/>
          <w:b/>
          <w:bCs/>
          <w:sz w:val="24"/>
          <w:szCs w:val="24"/>
        </w:rPr>
        <w:t>E</w:t>
      </w:r>
      <w:r w:rsidR="00415E43" w:rsidRPr="00415E43">
        <w:rPr>
          <w:rFonts w:ascii="Palatino Linotype" w:hAnsi="Palatino Linotype" w:cs="Arial"/>
          <w:b/>
          <w:bCs/>
          <w:sz w:val="24"/>
          <w:szCs w:val="24"/>
        </w:rPr>
        <w:t>l</w:t>
      </w:r>
      <w:r w:rsidRPr="00415E43">
        <w:rPr>
          <w:rFonts w:ascii="Palatino Linotype" w:hAnsi="Palatino Linotype" w:cs="Arial"/>
          <w:b/>
          <w:bCs/>
          <w:sz w:val="24"/>
          <w:szCs w:val="24"/>
        </w:rPr>
        <w:t xml:space="preserve"> Sujeto Obligado </w:t>
      </w:r>
      <w:r w:rsidR="00415E43" w:rsidRPr="00415E43">
        <w:rPr>
          <w:rFonts w:ascii="Palatino Linotype" w:hAnsi="Palatino Linotype" w:cs="Arial"/>
          <w:sz w:val="24"/>
          <w:szCs w:val="24"/>
        </w:rPr>
        <w:t xml:space="preserve">fue omiso en rendir sus informes justificados. </w:t>
      </w:r>
    </w:p>
    <w:p w14:paraId="2FCEAC7D" w14:textId="58F27BE2" w:rsidR="00AD18E2" w:rsidRDefault="00AD18E2" w:rsidP="00AD18E2">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Por lo que una vez transcurrido el plazo establecido para que las partes manifestaran lo que a su derecho conviniera, en fecha</w:t>
      </w:r>
      <w:r w:rsidR="00D20265">
        <w:rPr>
          <w:rFonts w:ascii="Palatino Linotype" w:hAnsi="Palatino Linotype" w:cs="Arial"/>
          <w:sz w:val="24"/>
          <w:szCs w:val="24"/>
        </w:rPr>
        <w:t xml:space="preserve"> </w:t>
      </w:r>
      <w:r w:rsidR="00D674E4">
        <w:rPr>
          <w:rFonts w:ascii="Palatino Linotype" w:hAnsi="Palatino Linotype" w:cs="Arial"/>
          <w:b/>
          <w:bCs/>
          <w:sz w:val="24"/>
          <w:szCs w:val="24"/>
        </w:rPr>
        <w:t xml:space="preserve">cuatro de octubre de los corrientes, </w:t>
      </w:r>
      <w:r w:rsidRPr="00415E43">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Default="00A452EB" w:rsidP="00870B18">
      <w:pPr>
        <w:spacing w:before="240" w:line="360" w:lineRule="auto"/>
        <w:jc w:val="center"/>
        <w:rPr>
          <w:rFonts w:ascii="Palatino Linotype" w:hAnsi="Palatino Linotype" w:cs="Arial"/>
          <w:b/>
          <w:sz w:val="24"/>
        </w:rPr>
      </w:pPr>
    </w:p>
    <w:p w14:paraId="34D2D0F1" w14:textId="3820CF2E"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1FF8B4A4" w14:textId="77777777" w:rsidR="0040360C" w:rsidRPr="00F6461C" w:rsidRDefault="0040360C" w:rsidP="0040360C">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bCs/>
        </w:rPr>
        <w:t>la</w:t>
      </w:r>
      <w:r w:rsidRPr="00F6461C">
        <w:rPr>
          <w:rFonts w:ascii="Palatino Linotype" w:hAnsi="Palatino Linotype" w:cs="Arial"/>
          <w:bCs/>
        </w:rPr>
        <w:t xml:space="preserve"> ahora Recurrente, conforme a lo dispuesto en los artículos 6, apartado A, fracción IV de la Constitución Política de los </w:t>
      </w:r>
      <w:r w:rsidRPr="00F6461C">
        <w:rPr>
          <w:rFonts w:ascii="Palatino Linotype" w:hAnsi="Palatino Linotype" w:cs="Arial"/>
          <w:bCs/>
        </w:rPr>
        <w:lastRenderedPageBreak/>
        <w:t>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6CB5C554" w14:textId="77777777" w:rsidR="0040360C" w:rsidRDefault="0040360C"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FF67365"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010DF4F" w14:textId="77777777" w:rsidR="008D7E56" w:rsidRDefault="008D7E56" w:rsidP="00E50179">
      <w:pPr>
        <w:spacing w:after="0" w:line="360" w:lineRule="auto"/>
        <w:jc w:val="both"/>
        <w:rPr>
          <w:rFonts w:ascii="Palatino Linotype" w:hAnsi="Palatino Linotype" w:cs="Arial"/>
          <w:b/>
          <w:sz w:val="28"/>
        </w:rPr>
      </w:pPr>
    </w:p>
    <w:p w14:paraId="26E9B063" w14:textId="77777777" w:rsidR="00D674E4" w:rsidRPr="007822E6" w:rsidRDefault="00D674E4" w:rsidP="00D674E4">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6E20940A" w14:textId="77777777" w:rsidR="00D674E4" w:rsidRPr="007822E6" w:rsidRDefault="00D674E4" w:rsidP="00D674E4">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2DC27CF" w14:textId="77777777" w:rsidR="00D674E4" w:rsidRPr="007822E6" w:rsidRDefault="00D674E4" w:rsidP="00D674E4">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xml:space="preserve">. Así las cosas, del análisis de los </w:t>
      </w:r>
      <w:r w:rsidRPr="007822E6">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31E2EA5E" w14:textId="77777777" w:rsidR="00D674E4" w:rsidRDefault="00D674E4" w:rsidP="000C7274">
      <w:pPr>
        <w:tabs>
          <w:tab w:val="left" w:pos="709"/>
        </w:tabs>
        <w:spacing w:before="240" w:line="360" w:lineRule="auto"/>
        <w:ind w:right="51"/>
        <w:jc w:val="both"/>
        <w:rPr>
          <w:rFonts w:ascii="Palatino Linotype" w:hAnsi="Palatino Linotype"/>
          <w:b/>
          <w:sz w:val="28"/>
          <w:szCs w:val="28"/>
        </w:rPr>
      </w:pPr>
    </w:p>
    <w:p w14:paraId="3D0D57A4" w14:textId="3BD33D49" w:rsidR="000C7274" w:rsidRPr="009A0D0A"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3E80DAA"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60F97E" w14:textId="77777777" w:rsidR="000C7274" w:rsidRPr="002869E1" w:rsidRDefault="000C7274" w:rsidP="000C727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02EDDC4F" w14:textId="77777777" w:rsidR="000C7274" w:rsidRPr="006010FE"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29681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8B065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7D12487"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732163" w14:textId="77777777" w:rsidR="000C7274"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4D4C4B4" w14:textId="77777777" w:rsidR="000C7274" w:rsidRDefault="000C7274" w:rsidP="000C7274">
      <w:pPr>
        <w:spacing w:after="0" w:line="360" w:lineRule="auto"/>
        <w:jc w:val="both"/>
        <w:rPr>
          <w:rFonts w:ascii="Palatino Linotype" w:eastAsia="Times New Roman" w:hAnsi="Palatino Linotype" w:cs="Times New Roman"/>
          <w:sz w:val="24"/>
          <w:szCs w:val="24"/>
          <w:lang w:eastAsia="es-ES"/>
        </w:rPr>
      </w:pPr>
    </w:p>
    <w:p w14:paraId="218B2368" w14:textId="77777777" w:rsidR="000C7274" w:rsidRPr="006010FE" w:rsidRDefault="000C7274" w:rsidP="000C727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1DA038D" w14:textId="77777777" w:rsidR="000C7274" w:rsidRDefault="000C7274" w:rsidP="000C7274">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1927A2" w14:textId="77777777" w:rsidR="00CD4E49" w:rsidRDefault="00CD4E49" w:rsidP="000C7274">
      <w:pPr>
        <w:autoSpaceDE w:val="0"/>
        <w:autoSpaceDN w:val="0"/>
        <w:adjustRightInd w:val="0"/>
        <w:spacing w:before="240" w:line="360" w:lineRule="auto"/>
        <w:jc w:val="both"/>
        <w:rPr>
          <w:rFonts w:ascii="Palatino Linotype" w:hAnsi="Palatino Linotype" w:cs="Arial"/>
          <w:sz w:val="24"/>
          <w:szCs w:val="24"/>
        </w:rPr>
      </w:pPr>
    </w:p>
    <w:p w14:paraId="23D95290" w14:textId="5588B37C" w:rsidR="00D674E4" w:rsidRPr="00D674E4" w:rsidRDefault="000C7274" w:rsidP="00210D86">
      <w:pPr>
        <w:autoSpaceDE w:val="0"/>
        <w:autoSpaceDN w:val="0"/>
        <w:adjustRightInd w:val="0"/>
        <w:spacing w:before="240" w:line="360" w:lineRule="auto"/>
        <w:jc w:val="both"/>
        <w:rPr>
          <w:rFonts w:ascii="Palatino Linotype" w:hAnsi="Palatino Linotype" w:cs="Arial"/>
          <w:sz w:val="24"/>
        </w:rPr>
      </w:pPr>
      <w:r w:rsidRPr="008028E9">
        <w:rPr>
          <w:rFonts w:ascii="Palatino Linotype" w:hAnsi="Palatino Linotype" w:cs="Arial"/>
          <w:sz w:val="24"/>
          <w:szCs w:val="24"/>
        </w:rPr>
        <w:t>En una aproximación inicial</w:t>
      </w:r>
      <w:r>
        <w:rPr>
          <w:rFonts w:ascii="Palatino Linotype" w:hAnsi="Palatino Linotype" w:cs="Arial"/>
          <w:sz w:val="24"/>
          <w:szCs w:val="24"/>
        </w:rPr>
        <w:t>, con relación a la</w:t>
      </w:r>
      <w:r w:rsidR="00415E43">
        <w:rPr>
          <w:rFonts w:ascii="Palatino Linotype" w:hAnsi="Palatino Linotype" w:cs="Arial"/>
          <w:sz w:val="24"/>
          <w:szCs w:val="24"/>
        </w:rPr>
        <w:t>s</w:t>
      </w:r>
      <w:r>
        <w:rPr>
          <w:rFonts w:ascii="Palatino Linotype" w:hAnsi="Palatino Linotype" w:cs="Arial"/>
          <w:sz w:val="24"/>
          <w:szCs w:val="24"/>
        </w:rPr>
        <w:t xml:space="preserve"> solicitud</w:t>
      </w:r>
      <w:r w:rsidR="00415E43">
        <w:rPr>
          <w:rFonts w:ascii="Palatino Linotype" w:hAnsi="Palatino Linotype" w:cs="Arial"/>
          <w:sz w:val="24"/>
          <w:szCs w:val="24"/>
        </w:rPr>
        <w:t>es</w:t>
      </w:r>
      <w:r>
        <w:rPr>
          <w:rFonts w:ascii="Palatino Linotype" w:hAnsi="Palatino Linotype" w:cs="Arial"/>
          <w:sz w:val="24"/>
          <w:szCs w:val="24"/>
        </w:rPr>
        <w:t xml:space="preserve"> de información </w:t>
      </w:r>
      <w:r w:rsidR="00D674E4">
        <w:rPr>
          <w:rFonts w:ascii="Palatino Linotype" w:hAnsi="Palatino Linotype" w:cs="Arial"/>
          <w:b/>
          <w:bCs/>
          <w:sz w:val="24"/>
        </w:rPr>
        <w:t xml:space="preserve">00116/ACAMBAY/IP/2024, 00115/ACAMBAY/IP/2024 y 00114/ACAMBAY/IP/2024 </w:t>
      </w:r>
      <w:r w:rsidR="00D674E4">
        <w:rPr>
          <w:rFonts w:ascii="Palatino Linotype" w:hAnsi="Palatino Linotype" w:cs="Arial"/>
          <w:sz w:val="24"/>
        </w:rPr>
        <w:t xml:space="preserve">se desprenden las siguientes consideraciones: </w:t>
      </w:r>
    </w:p>
    <w:p w14:paraId="2A1AFD5B" w14:textId="77777777" w:rsidR="00D674E4" w:rsidRPr="006C0923" w:rsidRDefault="00D674E4" w:rsidP="007A6FE3">
      <w:pPr>
        <w:pStyle w:val="Prrafodelista"/>
        <w:numPr>
          <w:ilvl w:val="0"/>
          <w:numId w:val="2"/>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6C0923">
        <w:rPr>
          <w:rFonts w:ascii="Palatino Linotype" w:hAnsi="Palatino Linotype" w:cs="Arial"/>
          <w:b/>
          <w:bCs/>
          <w:lang w:val="es-MX"/>
        </w:rPr>
        <w:t xml:space="preserve">Sujetos Obligados. </w:t>
      </w:r>
    </w:p>
    <w:p w14:paraId="1552E3B9" w14:textId="6D34BDFA" w:rsidR="00D674E4" w:rsidRPr="00D674E4" w:rsidRDefault="00D674E4" w:rsidP="007A6FE3">
      <w:pPr>
        <w:pStyle w:val="Prrafodelista"/>
        <w:numPr>
          <w:ilvl w:val="0"/>
          <w:numId w:val="1"/>
        </w:numPr>
        <w:autoSpaceDE w:val="0"/>
        <w:autoSpaceDN w:val="0"/>
        <w:adjustRightInd w:val="0"/>
        <w:spacing w:before="240" w:line="360" w:lineRule="auto"/>
        <w:jc w:val="both"/>
        <w:rPr>
          <w:rFonts w:ascii="Palatino Linotype" w:hAnsi="Palatino Linotype"/>
          <w:color w:val="000000"/>
          <w:lang w:val="es-MX"/>
        </w:rPr>
      </w:pPr>
      <w:r w:rsidRPr="006C0923">
        <w:rPr>
          <w:rFonts w:ascii="Palatino Linotype" w:hAnsi="Palatino Linotype" w:cs="Arial"/>
          <w:lang w:val="es-MX"/>
        </w:rPr>
        <w:t xml:space="preserve">Que, de una interpretación literal a la solicitud de información, se advierte que fueron formulados </w:t>
      </w:r>
      <w:r>
        <w:rPr>
          <w:rFonts w:ascii="Palatino Linotype" w:hAnsi="Palatino Linotype" w:cs="Arial"/>
          <w:b/>
          <w:bCs/>
          <w:lang w:val="es-MX"/>
        </w:rPr>
        <w:t xml:space="preserve">3 -tres- </w:t>
      </w:r>
      <w:r>
        <w:rPr>
          <w:rFonts w:ascii="Palatino Linotype" w:hAnsi="Palatino Linotype" w:cs="Arial"/>
          <w:lang w:val="es-MX"/>
        </w:rPr>
        <w:t xml:space="preserve">requerimientos, que giran entorno a la balanza de comprobación detallada. </w:t>
      </w:r>
    </w:p>
    <w:p w14:paraId="51D95818" w14:textId="6BCF2A28" w:rsidR="00D674E4" w:rsidRPr="00D674E4" w:rsidRDefault="00D674E4" w:rsidP="007A6FE3">
      <w:pPr>
        <w:pStyle w:val="Prrafodelista"/>
        <w:numPr>
          <w:ilvl w:val="0"/>
          <w:numId w:val="1"/>
        </w:numPr>
        <w:autoSpaceDE w:val="0"/>
        <w:autoSpaceDN w:val="0"/>
        <w:adjustRightInd w:val="0"/>
        <w:spacing w:before="240" w:line="360" w:lineRule="auto"/>
        <w:jc w:val="both"/>
        <w:rPr>
          <w:rFonts w:ascii="Palatino Linotype" w:hAnsi="Palatino Linotype"/>
        </w:rPr>
      </w:pPr>
      <w:r w:rsidRPr="00D674E4">
        <w:rPr>
          <w:rFonts w:ascii="Palatino Linotype" w:hAnsi="Palatino Linotype"/>
          <w:color w:val="000000"/>
          <w:lang w:val="es-MX"/>
        </w:rPr>
        <w:t xml:space="preserve">Que respecto del requerimiento </w:t>
      </w:r>
      <w:r w:rsidRPr="00D674E4">
        <w:rPr>
          <w:rFonts w:ascii="Palatino Linotype" w:hAnsi="Palatino Linotype"/>
          <w:b/>
          <w:bCs/>
          <w:color w:val="000000"/>
          <w:lang w:val="es-MX"/>
        </w:rPr>
        <w:t xml:space="preserve">1 -uno-, </w:t>
      </w:r>
      <w:r w:rsidRPr="00D674E4">
        <w:rPr>
          <w:rFonts w:ascii="Palatino Linotype" w:hAnsi="Palatino Linotype"/>
          <w:color w:val="000000"/>
          <w:lang w:val="es-MX"/>
        </w:rPr>
        <w:t xml:space="preserve">fue señalada como temporalidad </w:t>
      </w:r>
      <w:r w:rsidRPr="00D674E4">
        <w:rPr>
          <w:rFonts w:ascii="Palatino Linotype" w:hAnsi="Palatino Linotype"/>
          <w:i/>
          <w:iCs/>
          <w:color w:val="000000"/>
          <w:lang w:val="es-MX"/>
        </w:rPr>
        <w:t xml:space="preserve">“de los meses de enero a agosto de 2024”, </w:t>
      </w:r>
      <w:r w:rsidRPr="00D674E4">
        <w:rPr>
          <w:rFonts w:ascii="Palatino Linotype" w:hAnsi="Palatino Linotype"/>
          <w:color w:val="000000"/>
          <w:lang w:val="es-MX"/>
        </w:rPr>
        <w:t xml:space="preserve">se destaca que el derecho de </w:t>
      </w:r>
      <w:r w:rsidRPr="00D674E4">
        <w:rPr>
          <w:rFonts w:ascii="Palatino Linotype" w:hAnsi="Palatino Linotype"/>
        </w:rPr>
        <w:t xml:space="preserve">acceso a la información estriba respecto de aquellos soportes documentales generados, poseídos o administrados por </w:t>
      </w:r>
      <w:r w:rsidRPr="00D674E4">
        <w:rPr>
          <w:rFonts w:ascii="Palatino Linotype" w:hAnsi="Palatino Linotype"/>
          <w:b/>
          <w:bCs/>
        </w:rPr>
        <w:t xml:space="preserve">El Sujeto Obligado </w:t>
      </w:r>
      <w:r w:rsidRPr="00D674E4">
        <w:rPr>
          <w:rFonts w:ascii="Palatino Linotype" w:hAnsi="Palatino Linotype"/>
        </w:rPr>
        <w:t>que se encuentren disponibles al momento de ejercer dicha prerrogativa, es decir, excluye los siguientes actos:</w:t>
      </w:r>
    </w:p>
    <w:p w14:paraId="1A1581F0" w14:textId="77777777" w:rsidR="00D674E4" w:rsidRPr="00203D96" w:rsidRDefault="00D674E4" w:rsidP="007A6FE3">
      <w:pPr>
        <w:pStyle w:val="Prrafodelista"/>
        <w:numPr>
          <w:ilvl w:val="0"/>
          <w:numId w:val="1"/>
        </w:numPr>
        <w:spacing w:before="240" w:line="360" w:lineRule="auto"/>
        <w:jc w:val="both"/>
        <w:rPr>
          <w:rFonts w:ascii="Palatino Linotype" w:hAnsi="Palatino Linotype"/>
        </w:rPr>
      </w:pPr>
      <w:r w:rsidRPr="00203D96">
        <w:rPr>
          <w:rFonts w:ascii="Palatino Linotype" w:hAnsi="Palatino Linotype"/>
          <w:b/>
          <w:bCs/>
        </w:rPr>
        <w:lastRenderedPageBreak/>
        <w:t xml:space="preserve">Actos futuros inminentes: </w:t>
      </w:r>
      <w:r w:rsidRPr="00203D96">
        <w:rPr>
          <w:rFonts w:ascii="Palatino Linotype" w:hAnsi="Palatino Linotype"/>
        </w:rPr>
        <w:t xml:space="preserve">Son aquellos cuyo mandamiento ya se ha dictado y su ejecución puede realizarse de un momento a otro. </w:t>
      </w:r>
    </w:p>
    <w:p w14:paraId="46269945" w14:textId="77777777" w:rsidR="00D674E4" w:rsidRDefault="00D674E4" w:rsidP="007A6FE3">
      <w:pPr>
        <w:pStyle w:val="Prrafodelista"/>
        <w:numPr>
          <w:ilvl w:val="0"/>
          <w:numId w:val="1"/>
        </w:numPr>
        <w:spacing w:before="240" w:line="360" w:lineRule="auto"/>
        <w:jc w:val="both"/>
        <w:rPr>
          <w:rFonts w:ascii="Palatino Linotype" w:hAnsi="Palatino Linotype"/>
        </w:rPr>
      </w:pPr>
      <w:r w:rsidRPr="00203D96">
        <w:rPr>
          <w:rFonts w:ascii="Palatino Linotype" w:hAnsi="Palatino Linotype"/>
          <w:b/>
          <w:bCs/>
        </w:rPr>
        <w:t xml:space="preserve">Actos futuros probables: </w:t>
      </w:r>
      <w:r w:rsidRPr="00203D96">
        <w:rPr>
          <w:rFonts w:ascii="Palatino Linotype" w:hAnsi="Palatino Linotype"/>
        </w:rPr>
        <w:t xml:space="preserve">Son aquellos que pueden o no suceder, es decir, son de remota realización. </w:t>
      </w:r>
    </w:p>
    <w:p w14:paraId="0D044111" w14:textId="713E5BB4" w:rsidR="00D674E4" w:rsidRDefault="00D674E4" w:rsidP="00D674E4">
      <w:pPr>
        <w:pStyle w:val="Prrafodelista"/>
        <w:spacing w:before="240" w:line="360" w:lineRule="auto"/>
        <w:ind w:left="720"/>
        <w:jc w:val="both"/>
        <w:rPr>
          <w:rFonts w:ascii="Palatino Linotype" w:hAnsi="Palatino Linotype"/>
        </w:rPr>
      </w:pPr>
      <w:r>
        <w:rPr>
          <w:rFonts w:ascii="Palatino Linotype" w:hAnsi="Palatino Linotype"/>
        </w:rPr>
        <w:t xml:space="preserve">En este sentido, respecto del requerimiento </w:t>
      </w:r>
      <w:r>
        <w:rPr>
          <w:rFonts w:ascii="Palatino Linotype" w:hAnsi="Palatino Linotype"/>
          <w:b/>
          <w:bCs/>
        </w:rPr>
        <w:t xml:space="preserve">1 -uno-, </w:t>
      </w:r>
      <w:r>
        <w:rPr>
          <w:rFonts w:ascii="Palatino Linotype" w:hAnsi="Palatino Linotype"/>
        </w:rPr>
        <w:t xml:space="preserve">se precisa que el plazo de conclusión para efectos de búsqueda de la información debe de ser fijado al veintiocho de agosto de dos mil veinticuatro, al corresponder a la fecha en que se ejerció la multicitada prerrogativa constitucional. En contraste, respecto de los requerimientos </w:t>
      </w:r>
      <w:r>
        <w:rPr>
          <w:rFonts w:ascii="Palatino Linotype" w:hAnsi="Palatino Linotype"/>
          <w:b/>
          <w:bCs/>
        </w:rPr>
        <w:t xml:space="preserve">2 -dos- </w:t>
      </w:r>
      <w:r>
        <w:rPr>
          <w:rFonts w:ascii="Palatino Linotype" w:hAnsi="Palatino Linotype"/>
        </w:rPr>
        <w:t xml:space="preserve">y </w:t>
      </w:r>
      <w:r>
        <w:rPr>
          <w:rFonts w:ascii="Palatino Linotype" w:hAnsi="Palatino Linotype"/>
          <w:b/>
          <w:bCs/>
        </w:rPr>
        <w:t xml:space="preserve">3 -tres-, </w:t>
      </w:r>
      <w:r>
        <w:rPr>
          <w:rFonts w:ascii="Palatino Linotype" w:hAnsi="Palatino Linotype"/>
        </w:rPr>
        <w:t xml:space="preserve">la temporalidad se </w:t>
      </w:r>
      <w:r w:rsidR="00C716A0">
        <w:rPr>
          <w:rFonts w:ascii="Palatino Linotype" w:hAnsi="Palatino Linotype"/>
        </w:rPr>
        <w:t xml:space="preserve">fijó de forma diligente. </w:t>
      </w:r>
    </w:p>
    <w:p w14:paraId="12186F54" w14:textId="77777777" w:rsidR="00C716A0" w:rsidRDefault="00C716A0" w:rsidP="00C716A0">
      <w:pPr>
        <w:spacing w:before="240" w:line="360" w:lineRule="auto"/>
        <w:jc w:val="both"/>
        <w:rPr>
          <w:rFonts w:ascii="Palatino Linotype" w:hAnsi="Palatino Linotype"/>
        </w:rPr>
      </w:pPr>
    </w:p>
    <w:p w14:paraId="09598D9B" w14:textId="77777777" w:rsidR="00C716A0" w:rsidRPr="0051062B" w:rsidRDefault="00C716A0" w:rsidP="00C716A0">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4B9A389E" w14:textId="77777777" w:rsidR="00C716A0" w:rsidRPr="0051062B" w:rsidRDefault="00C716A0" w:rsidP="00C716A0">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67ADFE9" w14:textId="77777777" w:rsidR="00C716A0" w:rsidRPr="0051062B" w:rsidRDefault="00C716A0" w:rsidP="00C716A0">
      <w:pPr>
        <w:pStyle w:val="Citas"/>
        <w:rPr>
          <w:b/>
        </w:rPr>
      </w:pPr>
      <w:r w:rsidRPr="0051062B">
        <w:rPr>
          <w:b/>
        </w:rPr>
        <w:t xml:space="preserve">Artículo 181. … </w:t>
      </w:r>
    </w:p>
    <w:p w14:paraId="62ECD7AB" w14:textId="77777777" w:rsidR="00C716A0" w:rsidRDefault="00C716A0" w:rsidP="00C716A0">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7D3F48D" w14:textId="77777777" w:rsidR="00C716A0" w:rsidRDefault="00C716A0" w:rsidP="00C716A0">
      <w:pPr>
        <w:spacing w:before="240" w:line="360" w:lineRule="auto"/>
        <w:jc w:val="both"/>
        <w:rPr>
          <w:rFonts w:ascii="Palatino Linotype" w:hAnsi="Palatino Linotype"/>
        </w:rPr>
      </w:pPr>
    </w:p>
    <w:p w14:paraId="0B0CBE94" w14:textId="77777777" w:rsidR="00C716A0" w:rsidRDefault="00C716A0" w:rsidP="00C716A0">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5E4EA4FA" w14:textId="7AF7AF4A" w:rsidR="00C716A0" w:rsidRPr="00C716A0" w:rsidRDefault="00C716A0" w:rsidP="007A6FE3">
      <w:pPr>
        <w:pStyle w:val="Prrafodelista"/>
        <w:numPr>
          <w:ilvl w:val="0"/>
          <w:numId w:val="4"/>
        </w:numPr>
        <w:spacing w:before="240" w:line="360" w:lineRule="auto"/>
        <w:jc w:val="both"/>
        <w:rPr>
          <w:rFonts w:ascii="Palatino Linotype" w:hAnsi="Palatino Linotype"/>
        </w:rPr>
      </w:pPr>
      <w:r>
        <w:rPr>
          <w:rFonts w:ascii="Palatino Linotype" w:hAnsi="Palatino Linotype"/>
        </w:rPr>
        <w:t>Balanza de comprobación detallada</w:t>
      </w:r>
      <w:r w:rsidR="008863CF">
        <w:rPr>
          <w:rFonts w:ascii="Palatino Linotype" w:hAnsi="Palatino Linotype"/>
        </w:rPr>
        <w:t xml:space="preserve"> y/o equivalente</w:t>
      </w:r>
      <w:r>
        <w:rPr>
          <w:rFonts w:ascii="Palatino Linotype" w:hAnsi="Palatino Linotype"/>
        </w:rPr>
        <w:t xml:space="preserve">, en formato XLS o aquel en el que haya sido generada la información, del periodo comprendido del uno de enero de dos mil veintidós al veintiocho de agosto de dos mil veinticuatro. </w:t>
      </w:r>
    </w:p>
    <w:p w14:paraId="6EF7C0C6" w14:textId="77777777" w:rsidR="00D674E4" w:rsidRPr="00D674E4" w:rsidRDefault="00D674E4" w:rsidP="00D674E4">
      <w:pPr>
        <w:pStyle w:val="Prrafodelista"/>
        <w:spacing w:before="240" w:line="360" w:lineRule="auto"/>
        <w:ind w:left="720"/>
        <w:jc w:val="both"/>
        <w:rPr>
          <w:rFonts w:ascii="Palatino Linotype" w:hAnsi="Palatino Linotype"/>
        </w:rPr>
      </w:pPr>
    </w:p>
    <w:p w14:paraId="17E79B24" w14:textId="77777777" w:rsidR="00C716A0" w:rsidRDefault="00C716A0" w:rsidP="00C716A0">
      <w:pPr>
        <w:spacing w:after="0" w:line="360" w:lineRule="auto"/>
        <w:jc w:val="both"/>
        <w:rPr>
          <w:rFonts w:ascii="Palatino Linotype" w:hAnsi="Palatino Linotype" w:cs="Arial"/>
          <w:noProof/>
          <w:color w:val="000000"/>
          <w:sz w:val="24"/>
          <w:lang w:eastAsia="es-MX"/>
        </w:rPr>
      </w:pPr>
      <w:bookmarkStart w:id="2" w:name="_Hlk152065703"/>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B378407" w14:textId="77777777" w:rsidR="00C716A0" w:rsidRPr="009535E0" w:rsidRDefault="00C716A0" w:rsidP="00C716A0">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BD0D31E" w14:textId="77777777" w:rsidR="00C716A0" w:rsidRPr="009535E0" w:rsidRDefault="00C716A0" w:rsidP="00C716A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53FDFD1" w14:textId="77777777" w:rsidR="00C716A0" w:rsidRPr="00C231A5" w:rsidRDefault="00C716A0" w:rsidP="00C716A0">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5E7A3E6C" w14:textId="77777777" w:rsidR="00C716A0" w:rsidRPr="009535E0" w:rsidRDefault="00C716A0" w:rsidP="00C716A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9535E0">
        <w:rPr>
          <w:rFonts w:ascii="Palatino Linotype" w:hAnsi="Palatino Linotype"/>
          <w:i/>
        </w:rPr>
        <w:lastRenderedPageBreak/>
        <w:t>social, según corresponda, la información, por lo menos, de los temas, documentos y políticas que a continuación se señalan:</w:t>
      </w:r>
    </w:p>
    <w:p w14:paraId="12B9ABD9" w14:textId="77777777" w:rsidR="00C716A0" w:rsidRDefault="00C716A0" w:rsidP="00C716A0">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8026BE9" w14:textId="77777777" w:rsidR="00C716A0" w:rsidRDefault="00C716A0" w:rsidP="00C716A0">
      <w:pPr>
        <w:pStyle w:val="INFOEM"/>
        <w:rPr>
          <w:b/>
        </w:rPr>
      </w:pPr>
      <w:r>
        <w:t xml:space="preserve"> (…)” </w:t>
      </w:r>
      <w:r>
        <w:rPr>
          <w:b/>
        </w:rPr>
        <w:t xml:space="preserve">[Sic] </w:t>
      </w:r>
    </w:p>
    <w:p w14:paraId="0FF2BFCF" w14:textId="77777777" w:rsidR="00C716A0" w:rsidRDefault="00C716A0" w:rsidP="00C716A0">
      <w:pPr>
        <w:spacing w:before="240" w:line="360" w:lineRule="auto"/>
        <w:jc w:val="both"/>
        <w:rPr>
          <w:rFonts w:ascii="Palatino Linotype" w:hAnsi="Palatino Linotype"/>
          <w:sz w:val="24"/>
          <w:szCs w:val="24"/>
        </w:rPr>
      </w:pPr>
    </w:p>
    <w:p w14:paraId="2F9671A0" w14:textId="4F88EF26" w:rsidR="0040360C" w:rsidRDefault="004F7AEE" w:rsidP="00C716A0">
      <w:pPr>
        <w:pStyle w:val="CitasINFOEM"/>
        <w:ind w:left="0"/>
        <w:rPr>
          <w:i w:val="0"/>
          <w:iCs/>
          <w:sz w:val="24"/>
        </w:rPr>
      </w:pPr>
      <w:r>
        <w:rPr>
          <w:i w:val="0"/>
          <w:iCs/>
          <w:noProof/>
          <w:sz w:val="24"/>
          <w:lang w:eastAsia="es-MX"/>
        </w:rPr>
        <w:drawing>
          <wp:anchor distT="0" distB="0" distL="114300" distR="114300" simplePos="0" relativeHeight="251660288" behindDoc="0" locked="0" layoutInCell="1" allowOverlap="1" wp14:anchorId="1298A6F4" wp14:editId="67AB9640">
            <wp:simplePos x="0" y="0"/>
            <wp:positionH relativeFrom="page">
              <wp:align>center</wp:align>
            </wp:positionH>
            <wp:positionV relativeFrom="paragraph">
              <wp:posOffset>701675</wp:posOffset>
            </wp:positionV>
            <wp:extent cx="5759450" cy="3508375"/>
            <wp:effectExtent l="19050" t="19050" r="12700" b="15875"/>
            <wp:wrapThrough wrapText="bothSides">
              <wp:wrapPolygon edited="0">
                <wp:start x="-71" y="-117"/>
                <wp:lineTo x="-71" y="21580"/>
                <wp:lineTo x="21576" y="21580"/>
                <wp:lineTo x="21576" y="-117"/>
                <wp:lineTo x="-71" y="-117"/>
              </wp:wrapPolygon>
            </wp:wrapThrough>
            <wp:docPr id="2010321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508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716A0" w:rsidRPr="00C716A0">
        <w:rPr>
          <w:i w:val="0"/>
          <w:iCs/>
          <w:sz w:val="24"/>
        </w:rPr>
        <w:t>Sirven de sustento las siguientes imágenes ilustrativas</w:t>
      </w:r>
      <w:r w:rsidR="00C716A0">
        <w:rPr>
          <w:i w:val="0"/>
          <w:iCs/>
          <w:sz w:val="24"/>
        </w:rPr>
        <w:t xml:space="preserve">: </w:t>
      </w:r>
    </w:p>
    <w:p w14:paraId="5965E9E2" w14:textId="0D37B6E1" w:rsidR="00C716A0" w:rsidRDefault="004F7AEE" w:rsidP="00C716A0">
      <w:pPr>
        <w:pStyle w:val="CitasINFOEM"/>
        <w:ind w:left="0"/>
        <w:rPr>
          <w:i w:val="0"/>
          <w:iCs/>
          <w:sz w:val="24"/>
        </w:rPr>
      </w:pPr>
      <w:r>
        <w:rPr>
          <w:i w:val="0"/>
          <w:iCs/>
          <w:noProof/>
          <w:sz w:val="24"/>
          <w:lang w:eastAsia="es-MX"/>
        </w:rPr>
        <w:lastRenderedPageBreak/>
        <w:drawing>
          <wp:anchor distT="0" distB="0" distL="114300" distR="114300" simplePos="0" relativeHeight="251661312" behindDoc="0" locked="0" layoutInCell="1" allowOverlap="1" wp14:anchorId="780B1AE6" wp14:editId="05EAD6CC">
            <wp:simplePos x="0" y="0"/>
            <wp:positionH relativeFrom="margin">
              <wp:align>center</wp:align>
            </wp:positionH>
            <wp:positionV relativeFrom="paragraph">
              <wp:posOffset>19050</wp:posOffset>
            </wp:positionV>
            <wp:extent cx="3677920" cy="641350"/>
            <wp:effectExtent l="19050" t="19050" r="17780" b="25400"/>
            <wp:wrapThrough wrapText="bothSides">
              <wp:wrapPolygon edited="0">
                <wp:start x="-112" y="-642"/>
                <wp:lineTo x="-112" y="21814"/>
                <wp:lineTo x="21593" y="21814"/>
                <wp:lineTo x="21593" y="-642"/>
                <wp:lineTo x="-112" y="-642"/>
              </wp:wrapPolygon>
            </wp:wrapThrough>
            <wp:docPr id="807620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7920" cy="641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B2C2DB" w14:textId="6C54D336" w:rsidR="00C716A0" w:rsidRDefault="00C716A0" w:rsidP="00C716A0">
      <w:pPr>
        <w:pStyle w:val="CitasINFOEM"/>
        <w:ind w:left="0"/>
        <w:rPr>
          <w:i w:val="0"/>
          <w:iCs/>
          <w:sz w:val="24"/>
        </w:rPr>
      </w:pPr>
    </w:p>
    <w:p w14:paraId="7B1B51DC" w14:textId="7BD52CFB" w:rsidR="00C716A0" w:rsidRDefault="00C716A0" w:rsidP="00C716A0">
      <w:pPr>
        <w:pStyle w:val="CitasINFOEM"/>
        <w:ind w:left="0"/>
        <w:rPr>
          <w:i w:val="0"/>
          <w:iCs/>
          <w:sz w:val="24"/>
        </w:rPr>
      </w:pPr>
    </w:p>
    <w:p w14:paraId="53392215" w14:textId="1B3EB3EB" w:rsidR="004F7AEE" w:rsidRPr="004F7AEE" w:rsidRDefault="004F7AEE" w:rsidP="004F7AEE">
      <w:pPr>
        <w:pStyle w:val="Sinespaciado"/>
        <w:spacing w:line="360" w:lineRule="auto"/>
        <w:jc w:val="both"/>
        <w:rPr>
          <w:rFonts w:ascii="Palatino Linotype" w:hAnsi="Palatino Linotype" w:cs="Arial"/>
        </w:rPr>
      </w:pPr>
      <w:r>
        <w:rPr>
          <w:rFonts w:ascii="Palatino Linotype" w:hAnsi="Palatino Linotype" w:cs="Arial"/>
        </w:rPr>
        <w:t xml:space="preserve">En este sentido, resulta oportuno traer a colación el artículo 95 de la Ley Orgánica Municipal del Estado de México; así como los numerales 76 y 77 del Bando municipal del </w:t>
      </w:r>
      <w:r>
        <w:rPr>
          <w:rFonts w:ascii="Palatino Linotype" w:hAnsi="Palatino Linotype" w:cs="Arial"/>
          <w:b/>
          <w:bCs/>
        </w:rPr>
        <w:t xml:space="preserve">Sujeto Obligado, </w:t>
      </w:r>
      <w:r>
        <w:rPr>
          <w:rFonts w:ascii="Palatino Linotype" w:hAnsi="Palatino Linotype" w:cs="Arial"/>
        </w:rPr>
        <w:t>porciones normativas que disponen a la literalidad lo siguiente:</w:t>
      </w:r>
    </w:p>
    <w:p w14:paraId="170B2AFD" w14:textId="7DBDE7BF" w:rsidR="004F7AEE" w:rsidRPr="00541A81" w:rsidRDefault="004F7AEE" w:rsidP="004F7AEE">
      <w:pPr>
        <w:pStyle w:val="Citas"/>
        <w:jc w:val="center"/>
        <w:rPr>
          <w:b/>
          <w:i w:val="0"/>
          <w:iCs/>
        </w:rPr>
      </w:pPr>
      <w:r w:rsidRPr="00541A81">
        <w:rPr>
          <w:b/>
          <w:i w:val="0"/>
          <w:iCs/>
        </w:rPr>
        <w:t>LEY ORGÁNICA MUNICIPAL DEL ESTADO DE MÉXICO</w:t>
      </w:r>
    </w:p>
    <w:p w14:paraId="227CE5FB" w14:textId="77777777" w:rsidR="004F7AEE" w:rsidRDefault="004F7AEE" w:rsidP="004F7AEE">
      <w:pPr>
        <w:pStyle w:val="Citas"/>
      </w:pPr>
      <w:r>
        <w:t>“Artículo 95.- Son atribuciones del tesorero municipal:</w:t>
      </w:r>
    </w:p>
    <w:p w14:paraId="2C8F9F42" w14:textId="77777777" w:rsidR="004F7AEE" w:rsidRDefault="004F7AEE" w:rsidP="004F7AEE">
      <w:pPr>
        <w:pStyle w:val="Citas"/>
      </w:pPr>
      <w:r>
        <w:t>I. Administrar la hacienda pública municipal, de conformidad con las disposiciones legales aplicables;</w:t>
      </w:r>
    </w:p>
    <w:p w14:paraId="1CDD6EFC" w14:textId="77777777" w:rsidR="004F7AEE" w:rsidRDefault="004F7AEE" w:rsidP="004F7AEE">
      <w:pPr>
        <w:pStyle w:val="Citas"/>
      </w:pPr>
      <w:r>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75F78260" w14:textId="77777777" w:rsidR="004F7AEE" w:rsidRDefault="004F7AEE" w:rsidP="004F7AEE">
      <w:pPr>
        <w:pStyle w:val="Citas"/>
      </w:pPr>
      <w:r>
        <w:t>(…)</w:t>
      </w:r>
    </w:p>
    <w:p w14:paraId="33518BFF" w14:textId="77777777" w:rsidR="004F7AEE" w:rsidRDefault="004F7AEE" w:rsidP="004F7AEE">
      <w:pPr>
        <w:pStyle w:val="Citas"/>
      </w:pPr>
      <w:r>
        <w:t>IV. Llevar los registros contables, financieros y administrativos de los ingresos, egresos, e inventarios;</w:t>
      </w:r>
    </w:p>
    <w:p w14:paraId="5A74777F" w14:textId="77777777" w:rsidR="004F7AEE" w:rsidRPr="002B5479" w:rsidRDefault="004F7AEE" w:rsidP="004F7AEE">
      <w:pPr>
        <w:pStyle w:val="Citas"/>
        <w:rPr>
          <w:b/>
        </w:rPr>
      </w:pPr>
      <w:r>
        <w:t xml:space="preserve">(…)” </w:t>
      </w:r>
      <w:r>
        <w:rPr>
          <w:b/>
        </w:rPr>
        <w:t>(Sic)</w:t>
      </w:r>
    </w:p>
    <w:p w14:paraId="4D2119FC" w14:textId="7C4EFBF3" w:rsidR="00C716A0" w:rsidRPr="004F7AEE" w:rsidRDefault="004F7AEE" w:rsidP="004F7AEE">
      <w:pPr>
        <w:pStyle w:val="Citas"/>
        <w:jc w:val="center"/>
        <w:rPr>
          <w:b/>
          <w:bCs/>
          <w:i w:val="0"/>
          <w:iCs/>
          <w:sz w:val="24"/>
          <w:szCs w:val="24"/>
        </w:rPr>
      </w:pPr>
      <w:r w:rsidRPr="004F7AEE">
        <w:rPr>
          <w:b/>
          <w:bCs/>
          <w:i w:val="0"/>
          <w:iCs/>
          <w:sz w:val="24"/>
          <w:szCs w:val="24"/>
        </w:rPr>
        <w:lastRenderedPageBreak/>
        <w:t>BANDO MUNICIPAL DE ACAMBAY DE RUIZ CASTAÑEDA 2024</w:t>
      </w:r>
    </w:p>
    <w:p w14:paraId="66F9BAD0" w14:textId="0E444DA7" w:rsidR="004F7AEE" w:rsidRPr="004F7AEE" w:rsidRDefault="004F7AEE" w:rsidP="0040360C">
      <w:pPr>
        <w:pStyle w:val="CitasINFOEM"/>
      </w:pPr>
      <w:r w:rsidRPr="004F7AEE">
        <w:t xml:space="preserve">“Artículo 76. La Tesorería es el órgano encargado de la recaudación de los ingresos municipales y responsable de realizar las erogaciones que haga el Ayuntamiento. </w:t>
      </w:r>
    </w:p>
    <w:p w14:paraId="70F22C5E" w14:textId="71EB3268" w:rsidR="00C716A0" w:rsidRPr="004F7AEE" w:rsidRDefault="004F7AEE" w:rsidP="0040360C">
      <w:pPr>
        <w:pStyle w:val="CitasINFOEM"/>
      </w:pPr>
      <w:r w:rsidRPr="004F7AEE">
        <w:t>Artículo 77. Son atribuciones de la persona titular de la Tesorería Municipal:</w:t>
      </w:r>
    </w:p>
    <w:p w14:paraId="02B88B06" w14:textId="18E17F2B" w:rsidR="004F7AEE" w:rsidRPr="004F7AEE" w:rsidRDefault="004F7AEE" w:rsidP="0040360C">
      <w:pPr>
        <w:pStyle w:val="CitasINFOEM"/>
      </w:pPr>
      <w:r w:rsidRPr="004F7AEE">
        <w:t>(…)</w:t>
      </w:r>
    </w:p>
    <w:p w14:paraId="0FB13D78" w14:textId="3762BAEF" w:rsidR="004F7AEE" w:rsidRPr="004F7AEE" w:rsidRDefault="004F7AEE" w:rsidP="0040360C">
      <w:pPr>
        <w:pStyle w:val="CitasINFOEM"/>
      </w:pPr>
      <w:r w:rsidRPr="004F7AEE">
        <w:t>XV. Administrar a su inmediato antecesor todos los datos oficiales que se le solicite, para contestar los pliegos de observaciones y alcances que formule y deduzca el Órgano Superior de Fiscalización del Estado de México;</w:t>
      </w:r>
    </w:p>
    <w:p w14:paraId="56FAA975" w14:textId="1979A0E5" w:rsidR="004F7AEE" w:rsidRPr="004F7AEE" w:rsidRDefault="004F7AEE" w:rsidP="0040360C">
      <w:pPr>
        <w:pStyle w:val="CitasINFOEM"/>
      </w:pPr>
      <w:r w:rsidRPr="004F7AEE">
        <w:t>(…)</w:t>
      </w:r>
    </w:p>
    <w:p w14:paraId="25205B60" w14:textId="77777777" w:rsidR="004F7AEE" w:rsidRPr="004F7AEE" w:rsidRDefault="004F7AEE" w:rsidP="0040360C">
      <w:pPr>
        <w:pStyle w:val="CitasINFOEM"/>
      </w:pPr>
      <w:r w:rsidRPr="004F7AEE">
        <w:t xml:space="preserve">XVIII. Contestar oportunamente los pliegos de observaciones y responsabilidad que haga el Órgano Superior de Fiscalización del Estado de México, así como atender en tiempo y forma las solicitudes de información que éste requiera, informando al Ayuntamiento; </w:t>
      </w:r>
    </w:p>
    <w:p w14:paraId="777A182E" w14:textId="6A1E3D3E" w:rsidR="004F7AEE" w:rsidRPr="004F7AEE" w:rsidRDefault="004F7AEE" w:rsidP="0040360C">
      <w:pPr>
        <w:pStyle w:val="CitasINFOEM"/>
      </w:pPr>
      <w:r w:rsidRPr="004F7AEE">
        <w:t>XIX. Expedir copias certificadas de los documentos a su cuidado, por acuerdo expreso del Ayuntamiento y cuando se trate de documentación presentada ante el Órgano Superior de Fiscalización del Estado de México;</w:t>
      </w:r>
    </w:p>
    <w:p w14:paraId="6C214D72" w14:textId="0486F2E6" w:rsidR="004F7AEE" w:rsidRPr="004F7AEE" w:rsidRDefault="004F7AEE" w:rsidP="0040360C">
      <w:pPr>
        <w:pStyle w:val="CitasINFOEM"/>
      </w:pPr>
      <w:r w:rsidRPr="004F7AEE">
        <w:t>(…)</w:t>
      </w:r>
    </w:p>
    <w:p w14:paraId="37A0EC0C" w14:textId="7FF58233" w:rsidR="004F7AEE" w:rsidRPr="004F7AEE" w:rsidRDefault="004F7AEE" w:rsidP="0040360C">
      <w:pPr>
        <w:pStyle w:val="CitasINFOEM"/>
      </w:pPr>
      <w:r w:rsidRPr="004F7AEE">
        <w:lastRenderedPageBreak/>
        <w:t>XXII. Entregar oportunamente al Síndico, el informe mensual que corresponda, a fin de que se revise, y de ser necesario, para que se formulen las observaciones respectivas;</w:t>
      </w:r>
    </w:p>
    <w:p w14:paraId="25E20F59" w14:textId="777CE339" w:rsidR="004F7AEE" w:rsidRPr="004F7AEE" w:rsidRDefault="004F7AEE" w:rsidP="0040360C">
      <w:pPr>
        <w:pStyle w:val="CitasINFOEM"/>
        <w:rPr>
          <w:b/>
          <w:bCs/>
        </w:rPr>
      </w:pPr>
      <w:r>
        <w:rPr>
          <w:b/>
          <w:bCs/>
        </w:rPr>
        <w:t xml:space="preserve">(…)” </w:t>
      </w:r>
      <w:r w:rsidRPr="004F7AEE">
        <w:rPr>
          <w:b/>
          <w:bCs/>
        </w:rPr>
        <w:t>(Sic)</w:t>
      </w:r>
    </w:p>
    <w:p w14:paraId="5E7D3198" w14:textId="77777777" w:rsidR="00C716A0" w:rsidRDefault="00C716A0" w:rsidP="0040360C">
      <w:pPr>
        <w:pStyle w:val="CitasINFOEM"/>
        <w:rPr>
          <w:b/>
          <w:bCs/>
        </w:rPr>
      </w:pPr>
    </w:p>
    <w:p w14:paraId="75C731B0" w14:textId="77777777" w:rsidR="004F7AEE" w:rsidRDefault="004F7AEE" w:rsidP="004F7AEE">
      <w:pPr>
        <w:spacing w:after="240" w:line="360" w:lineRule="auto"/>
        <w:jc w:val="both"/>
        <w:rPr>
          <w:rFonts w:ascii="Palatino Linotype" w:hAnsi="Palatino Linotype"/>
          <w:sz w:val="24"/>
          <w:szCs w:val="24"/>
        </w:rPr>
      </w:pPr>
      <w:r w:rsidRPr="009A7912">
        <w:rPr>
          <w:rFonts w:ascii="Palatino Linotype" w:hAnsi="Palatino Linotype" w:cs="Arial"/>
          <w:sz w:val="24"/>
          <w:szCs w:val="24"/>
        </w:rPr>
        <w:t xml:space="preserve">Bajo este contexto, a toda luz se desprende que la tesorería municipal </w:t>
      </w:r>
      <w:r>
        <w:rPr>
          <w:rFonts w:ascii="Palatino Linotype" w:hAnsi="Palatino Linotype" w:cs="Arial"/>
          <w:sz w:val="24"/>
          <w:szCs w:val="24"/>
        </w:rPr>
        <w:t xml:space="preserve">y su departamento de catastro </w:t>
      </w:r>
      <w:r w:rsidRPr="009A7912">
        <w:rPr>
          <w:rFonts w:ascii="Palatino Linotype" w:hAnsi="Palatino Linotype"/>
          <w:sz w:val="24"/>
          <w:szCs w:val="24"/>
        </w:rPr>
        <w:t>se encarga</w:t>
      </w:r>
      <w:r>
        <w:rPr>
          <w:rFonts w:ascii="Palatino Linotype" w:hAnsi="Palatino Linotype"/>
          <w:sz w:val="24"/>
          <w:szCs w:val="24"/>
        </w:rPr>
        <w:t>n</w:t>
      </w:r>
      <w:r w:rsidRPr="009A7912">
        <w:rPr>
          <w:rFonts w:ascii="Palatino Linotype" w:hAnsi="Palatino Linotype"/>
          <w:sz w:val="24"/>
          <w:szCs w:val="24"/>
        </w:rPr>
        <w:t xml:space="preserve"> de</w:t>
      </w:r>
      <w:r>
        <w:rPr>
          <w:rFonts w:ascii="Palatino Linotype" w:hAnsi="Palatino Linotype"/>
          <w:sz w:val="24"/>
          <w:szCs w:val="24"/>
        </w:rPr>
        <w:t>:</w:t>
      </w:r>
    </w:p>
    <w:p w14:paraId="75CA1CE1" w14:textId="77777777" w:rsidR="004F7AEE" w:rsidRDefault="004F7AEE" w:rsidP="007A6FE3">
      <w:pPr>
        <w:pStyle w:val="Prrafodelista"/>
        <w:numPr>
          <w:ilvl w:val="0"/>
          <w:numId w:val="5"/>
        </w:numPr>
        <w:spacing w:after="240" w:line="360" w:lineRule="auto"/>
        <w:jc w:val="both"/>
        <w:rPr>
          <w:rFonts w:ascii="Palatino Linotype" w:hAnsi="Palatino Linotype"/>
        </w:rPr>
      </w:pPr>
      <w:r>
        <w:rPr>
          <w:rFonts w:ascii="Palatino Linotype" w:hAnsi="Palatino Linotype"/>
        </w:rPr>
        <w:t>Recaudar de los impuestos y demás contribuciones de los particulares</w:t>
      </w:r>
    </w:p>
    <w:p w14:paraId="65C2CBF6" w14:textId="77777777" w:rsidR="004F7AEE" w:rsidRDefault="004F7AEE" w:rsidP="007A6FE3">
      <w:pPr>
        <w:pStyle w:val="Prrafodelista"/>
        <w:numPr>
          <w:ilvl w:val="0"/>
          <w:numId w:val="5"/>
        </w:numPr>
        <w:spacing w:after="240" w:line="360" w:lineRule="auto"/>
        <w:jc w:val="both"/>
        <w:rPr>
          <w:rFonts w:ascii="Palatino Linotype" w:hAnsi="Palatino Linotype"/>
        </w:rPr>
      </w:pPr>
      <w:r>
        <w:rPr>
          <w:rFonts w:ascii="Palatino Linotype" w:hAnsi="Palatino Linotype"/>
        </w:rPr>
        <w:t>Administrar registros contables, financieros y administrativos de los ingresos y egresos del municipio.</w:t>
      </w:r>
    </w:p>
    <w:p w14:paraId="7D178FAE" w14:textId="77777777" w:rsidR="004F7AEE" w:rsidRDefault="004F7AEE" w:rsidP="007A6FE3">
      <w:pPr>
        <w:pStyle w:val="Prrafodelista"/>
        <w:numPr>
          <w:ilvl w:val="0"/>
          <w:numId w:val="5"/>
        </w:numPr>
        <w:spacing w:after="240" w:line="360" w:lineRule="auto"/>
        <w:jc w:val="both"/>
        <w:rPr>
          <w:rFonts w:ascii="Palatino Linotype" w:hAnsi="Palatino Linotype"/>
        </w:rPr>
      </w:pPr>
      <w:r>
        <w:rPr>
          <w:rFonts w:ascii="Palatino Linotype" w:hAnsi="Palatino Linotype"/>
        </w:rPr>
        <w:t xml:space="preserve">Elaborar el anteproyecto del presupuesto de egresos. </w:t>
      </w:r>
    </w:p>
    <w:p w14:paraId="0BEFF4F5" w14:textId="77777777" w:rsidR="004F7AEE" w:rsidRDefault="004F7AEE" w:rsidP="007A6FE3">
      <w:pPr>
        <w:pStyle w:val="Prrafodelista"/>
        <w:numPr>
          <w:ilvl w:val="0"/>
          <w:numId w:val="5"/>
        </w:numPr>
        <w:spacing w:after="240" w:line="360" w:lineRule="auto"/>
        <w:jc w:val="both"/>
        <w:rPr>
          <w:rFonts w:ascii="Palatino Linotype" w:hAnsi="Palatino Linotype"/>
        </w:rPr>
      </w:pPr>
      <w:r w:rsidRPr="004F7AEE">
        <w:rPr>
          <w:rFonts w:ascii="Palatino Linotype" w:hAnsi="Palatino Linotype"/>
        </w:rPr>
        <w:t xml:space="preserve">Controlar, coordinar y supervisar las funciones de catastro municipal. </w:t>
      </w:r>
    </w:p>
    <w:p w14:paraId="698E33AF" w14:textId="129D129C" w:rsidR="004F7AEE" w:rsidRPr="0033189B" w:rsidRDefault="004F7AEE" w:rsidP="007A6FE3">
      <w:pPr>
        <w:pStyle w:val="Prrafodelista"/>
        <w:numPr>
          <w:ilvl w:val="0"/>
          <w:numId w:val="5"/>
        </w:numPr>
        <w:spacing w:after="240" w:line="360" w:lineRule="auto"/>
        <w:jc w:val="both"/>
        <w:rPr>
          <w:rFonts w:ascii="Palatino Linotype" w:hAnsi="Palatino Linotype"/>
          <w:b/>
          <w:bCs/>
          <w:u w:val="single"/>
        </w:rPr>
      </w:pPr>
      <w:r w:rsidRPr="0033189B">
        <w:rPr>
          <w:rFonts w:ascii="Palatino Linotype" w:hAnsi="Palatino Linotype"/>
          <w:b/>
          <w:bCs/>
          <w:u w:val="single"/>
        </w:rPr>
        <w:t xml:space="preserve">Contestar pliegos de observaciones y expedir copias de los documentos a su resguardo, ambos respecto de la documentación presentada ante el Órgano Superior de Fiscalización del Estado de México. </w:t>
      </w:r>
    </w:p>
    <w:p w14:paraId="6FE8A9E4" w14:textId="77777777" w:rsidR="00C716A0" w:rsidRPr="004F7AEE" w:rsidRDefault="00C716A0" w:rsidP="004F7AEE">
      <w:pPr>
        <w:pStyle w:val="CitasINFOEM"/>
        <w:ind w:left="0"/>
        <w:rPr>
          <w:b/>
          <w:bCs/>
          <w:lang w:val="es-ES"/>
        </w:rPr>
      </w:pPr>
    </w:p>
    <w:p w14:paraId="7307C2B3" w14:textId="77777777" w:rsidR="004F7AEE" w:rsidRPr="0033189B" w:rsidRDefault="004F7AEE" w:rsidP="004F7AEE">
      <w:pPr>
        <w:tabs>
          <w:tab w:val="right" w:leader="dot" w:pos="8505"/>
        </w:tabs>
        <w:spacing w:before="240" w:after="240" w:line="360" w:lineRule="auto"/>
        <w:jc w:val="both"/>
        <w:rPr>
          <w:rStyle w:val="apple-style-span"/>
          <w:rFonts w:ascii="Palatino Linotype" w:hAnsi="Palatino Linotype"/>
          <w:color w:val="000000"/>
          <w:sz w:val="24"/>
          <w:szCs w:val="24"/>
        </w:rPr>
      </w:pPr>
      <w:r w:rsidRPr="0033189B">
        <w:rPr>
          <w:rFonts w:ascii="Palatino Linotype" w:hAnsi="Palatino Linotype"/>
          <w:sz w:val="24"/>
          <w:szCs w:val="24"/>
        </w:rPr>
        <w:lastRenderedPageBreak/>
        <w:t xml:space="preserve">Por otra parte, con relación </w:t>
      </w:r>
      <w:r w:rsidRPr="0033189B">
        <w:rPr>
          <w:rFonts w:ascii="Palatino Linotype" w:hAnsi="Palatino Linotype"/>
          <w:sz w:val="24"/>
        </w:rPr>
        <w:t xml:space="preserve">a la balanza de comprobación detallada requerida, </w:t>
      </w:r>
      <w:r w:rsidRPr="0033189B">
        <w:rPr>
          <w:rFonts w:ascii="Palatino Linotype" w:hAnsi="Palatino Linotype"/>
          <w:color w:val="000000"/>
          <w:sz w:val="24"/>
          <w:szCs w:val="24"/>
        </w:rPr>
        <w:t xml:space="preserve">es necesario señalar </w:t>
      </w:r>
      <w:r w:rsidRPr="0033189B">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0BC542AB" w14:textId="77777777" w:rsidR="004F7AEE" w:rsidRPr="00F975C8" w:rsidRDefault="004F7AEE" w:rsidP="004F7AEE">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299B547E" w14:textId="77777777" w:rsidR="004F7AEE" w:rsidRPr="00F975C8" w:rsidRDefault="004F7AEE" w:rsidP="004F7AEE">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47052C5B" w14:textId="77777777" w:rsidR="004F7AEE" w:rsidRPr="000A0968" w:rsidRDefault="004F7AEE" w:rsidP="007A6FE3">
      <w:pPr>
        <w:numPr>
          <w:ilvl w:val="0"/>
          <w:numId w:val="6"/>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2C837CF2" w14:textId="77777777" w:rsidR="004F7AEE" w:rsidRDefault="004F7AEE" w:rsidP="004F7AEE">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4B5D1A3E" w14:textId="77777777" w:rsidR="004F7AEE" w:rsidRPr="007658D5" w:rsidRDefault="004F7AEE" w:rsidP="004F7AEE">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4DC49D8E" w14:textId="77777777" w:rsidR="004F7AEE" w:rsidRPr="003E0BC5" w:rsidRDefault="004F7AEE" w:rsidP="004F7AEE">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0ADD330C" w14:textId="77777777" w:rsidR="004F7AEE" w:rsidRPr="00F975C8" w:rsidRDefault="004F7AEE" w:rsidP="004F7AEE">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62FBFA65" w14:textId="77777777" w:rsidR="004F7AEE" w:rsidRPr="00F975C8" w:rsidRDefault="004F7AEE" w:rsidP="004F7AEE">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Pr>
          <w:rFonts w:ascii="Palatino Linotype" w:hAnsi="Palatino Linotype" w:cs="Arial"/>
          <w:i/>
        </w:rPr>
        <w:t>”</w:t>
      </w:r>
      <w:r w:rsidRPr="00EC7A70">
        <w:rPr>
          <w:rStyle w:val="apple-style-span"/>
          <w:rFonts w:ascii="Palatino Linotype" w:hAnsi="Palatino Linotype" w:cs="Arial"/>
          <w:b/>
          <w:i/>
          <w:color w:val="000000"/>
        </w:rPr>
        <w:t xml:space="preserve"> </w:t>
      </w:r>
      <w:r w:rsidRPr="003E0BC5">
        <w:rPr>
          <w:rStyle w:val="apple-style-span"/>
          <w:rFonts w:ascii="Palatino Linotype" w:hAnsi="Palatino Linotype" w:cs="Arial"/>
          <w:b/>
          <w:i/>
          <w:color w:val="000000"/>
        </w:rPr>
        <w:t>[Sic]</w:t>
      </w:r>
    </w:p>
    <w:p w14:paraId="77C1E6E1" w14:textId="77777777" w:rsidR="004F7AEE" w:rsidRPr="003E0BC5" w:rsidRDefault="004F7AEE" w:rsidP="004F7AEE">
      <w:pPr>
        <w:autoSpaceDE w:val="0"/>
        <w:autoSpaceDN w:val="0"/>
        <w:adjustRightInd w:val="0"/>
        <w:ind w:left="567" w:right="618"/>
        <w:jc w:val="both"/>
        <w:rPr>
          <w:rStyle w:val="apple-style-span"/>
          <w:rFonts w:ascii="Palatino Linotype" w:hAnsi="Palatino Linotype" w:cs="Arial"/>
          <w:b/>
          <w:bCs/>
          <w:i/>
          <w:color w:val="000000"/>
        </w:rPr>
      </w:pPr>
    </w:p>
    <w:p w14:paraId="40B979DB" w14:textId="77777777" w:rsidR="005867D2" w:rsidRPr="003E0BC5" w:rsidRDefault="004F7AEE" w:rsidP="005867D2">
      <w:pPr>
        <w:spacing w:line="360" w:lineRule="auto"/>
        <w:jc w:val="both"/>
        <w:rPr>
          <w:rFonts w:ascii="Palatino Linotype" w:hAnsi="Palatino Linotype"/>
          <w:sz w:val="24"/>
          <w:szCs w:val="24"/>
        </w:rPr>
      </w:pPr>
      <w:r w:rsidRPr="00DE2103">
        <w:rPr>
          <w:rFonts w:ascii="Palatino Linotype" w:hAnsi="Palatino Linotype"/>
          <w:sz w:val="24"/>
          <w:szCs w:val="24"/>
        </w:rPr>
        <w:t xml:space="preserve">De esta forma, el Órgano Superior de Fiscalización del Estado de México (OSFEM),  emite anualmente los Lineamientos para definir los criterios, formatos y </w:t>
      </w:r>
      <w:r w:rsidRPr="00DE2103">
        <w:rPr>
          <w:rFonts w:ascii="Palatino Linotype" w:hAnsi="Palatino Linotype"/>
          <w:sz w:val="24"/>
          <w:szCs w:val="24"/>
        </w:rPr>
        <w:lastRenderedPageBreak/>
        <w:t>documentación necesaria para presentar los informes mensuales,  dentro de los cuales destacan –en relación con el análisis que nos ocupa-,</w:t>
      </w:r>
      <w:r w:rsidRPr="00DE2103">
        <w:rPr>
          <w:rFonts w:ascii="Palatino Linotype" w:hAnsi="Palatino Linotype"/>
          <w:sz w:val="24"/>
        </w:rPr>
        <w:t xml:space="preserve"> el Disco </w:t>
      </w:r>
      <w:r w:rsidR="005867D2" w:rsidRPr="00DE2103">
        <w:rPr>
          <w:rFonts w:ascii="Palatino Linotype" w:hAnsi="Palatino Linotype"/>
          <w:sz w:val="24"/>
        </w:rPr>
        <w:t xml:space="preserve">1 relativo a la información contable y financiera. </w:t>
      </w:r>
      <w:r w:rsidR="005867D2" w:rsidRPr="00DE2103">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w:t>
      </w:r>
      <w:r w:rsidR="005867D2" w:rsidRPr="003E0BC5">
        <w:rPr>
          <w:rFonts w:ascii="Palatino Linotype" w:hAnsi="Palatino Linotype"/>
          <w:sz w:val="24"/>
          <w:szCs w:val="24"/>
        </w:rPr>
        <w:t xml:space="preserve"> dice:</w:t>
      </w:r>
    </w:p>
    <w:p w14:paraId="26848C8B" w14:textId="77777777" w:rsidR="005867D2" w:rsidRPr="00F975C8" w:rsidRDefault="005867D2" w:rsidP="005867D2">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6107CFF" w14:textId="77777777" w:rsidR="005867D2" w:rsidRPr="00A535E3" w:rsidRDefault="005867D2" w:rsidP="005867D2">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01982DF0" w14:textId="77777777" w:rsidR="005867D2" w:rsidRPr="00F975C8" w:rsidRDefault="005867D2" w:rsidP="005867D2">
      <w:pPr>
        <w:ind w:left="851" w:right="758"/>
        <w:jc w:val="both"/>
        <w:rPr>
          <w:rFonts w:ascii="Palatino Linotype" w:hAnsi="Palatino Linotype"/>
          <w:i/>
        </w:rPr>
      </w:pPr>
    </w:p>
    <w:p w14:paraId="7F81D9AD" w14:textId="00811CF2" w:rsidR="005867D2" w:rsidRDefault="005867D2" w:rsidP="005867D2">
      <w:pPr>
        <w:spacing w:before="240" w:after="240" w:line="360" w:lineRule="auto"/>
        <w:ind w:right="-91"/>
        <w:jc w:val="both"/>
        <w:rPr>
          <w:rFonts w:ascii="Palatino Linotype" w:hAnsi="Palatino Linotype" w:cs="Arial"/>
          <w:sz w:val="24"/>
          <w:szCs w:val="24"/>
          <w:lang w:val="es-ES"/>
        </w:rPr>
      </w:pPr>
      <w:r w:rsidRPr="00DE2103">
        <w:rPr>
          <w:rFonts w:ascii="Palatino Linotype" w:hAnsi="Palatino Linotype"/>
          <w:sz w:val="24"/>
          <w:szCs w:val="24"/>
        </w:rPr>
        <w:t xml:space="preserve">La información </w:t>
      </w:r>
      <w:r w:rsidRPr="00DE2103">
        <w:rPr>
          <w:rFonts w:ascii="Palatino Linotype" w:hAnsi="Palatino Linotype"/>
          <w:b/>
          <w:sz w:val="24"/>
          <w:szCs w:val="24"/>
        </w:rPr>
        <w:t>documental comprobatoria</w:t>
      </w:r>
      <w:r w:rsidRPr="00DE2103">
        <w:rPr>
          <w:rFonts w:ascii="Palatino Linotype" w:hAnsi="Palatino Linotype"/>
          <w:sz w:val="24"/>
          <w:szCs w:val="24"/>
        </w:rPr>
        <w:t xml:space="preserve">, </w:t>
      </w:r>
      <w:r w:rsidRPr="00DE2103">
        <w:rPr>
          <w:rFonts w:ascii="Palatino Linotype" w:hAnsi="Palatino Linotype"/>
          <w:b/>
          <w:sz w:val="24"/>
          <w:szCs w:val="24"/>
          <w:u w:val="single"/>
        </w:rPr>
        <w:t>deberá conservarse en los archivos de la entidad fiscalizada –Municipio</w:t>
      </w:r>
      <w:r w:rsidRPr="00DE2103">
        <w:rPr>
          <w:rFonts w:ascii="Palatino Linotype" w:hAnsi="Palatino Linotype"/>
          <w:sz w:val="24"/>
          <w:szCs w:val="24"/>
        </w:rPr>
        <w:t xml:space="preserve">-, en original y debidamente integrada en términos de los lineamientos de referencia, pues son susceptibles de revisión directa por el órgano </w:t>
      </w:r>
      <w:r w:rsidRPr="00DE2103">
        <w:rPr>
          <w:rFonts w:ascii="Palatino Linotype" w:hAnsi="Palatino Linotype"/>
          <w:sz w:val="24"/>
          <w:szCs w:val="24"/>
        </w:rPr>
        <w:lastRenderedPageBreak/>
        <w:t>Superior de Fiscalización.</w:t>
      </w:r>
      <w:r>
        <w:rPr>
          <w:i/>
          <w:iCs/>
          <w:sz w:val="24"/>
        </w:rPr>
        <w:t xml:space="preserve"> </w:t>
      </w:r>
      <w:r w:rsidRPr="003E0BC5">
        <w:rPr>
          <w:rFonts w:ascii="Palatino Linotype" w:hAnsi="Palatino Linotype" w:cs="Arial"/>
          <w:sz w:val="24"/>
          <w:szCs w:val="24"/>
          <w:lang w:val="es-ES"/>
        </w:rPr>
        <w:t xml:space="preserve">Una vez puntualizado esto, se advierte que la </w:t>
      </w:r>
      <w:r>
        <w:rPr>
          <w:rFonts w:ascii="Palatino Linotype" w:hAnsi="Palatino Linotype" w:cs="Arial"/>
          <w:sz w:val="24"/>
          <w:szCs w:val="24"/>
          <w:lang w:val="es-ES"/>
        </w:rPr>
        <w:t xml:space="preserve">balanza de comprobación detallada tiene como finalidad </w:t>
      </w:r>
      <w:r w:rsidR="00C01059" w:rsidRPr="005867D2">
        <w:rPr>
          <w:rFonts w:ascii="Palatino Linotype" w:hAnsi="Palatino Linotype" w:cs="Arial"/>
          <w:sz w:val="24"/>
          <w:szCs w:val="24"/>
        </w:rPr>
        <w:t>clasificar</w:t>
      </w:r>
      <w:r w:rsidRPr="005867D2">
        <w:rPr>
          <w:rFonts w:ascii="Palatino Linotype" w:hAnsi="Palatino Linotype" w:cs="Arial"/>
          <w:sz w:val="24"/>
          <w:szCs w:val="24"/>
        </w:rPr>
        <w:t xml:space="preserve"> las operaciones por cuenta y subcuentas; estas se presentarán hasta quinto nivel de tal manera que se pueda conocer el movimiento y saldo de cada una de ellas y así garantizar la veracidad de la contabilidad</w:t>
      </w:r>
      <w:r w:rsidR="0033189B">
        <w:rPr>
          <w:rFonts w:ascii="Palatino Linotype" w:hAnsi="Palatino Linotype" w:cs="Arial"/>
          <w:sz w:val="24"/>
          <w:szCs w:val="24"/>
        </w:rPr>
        <w:t xml:space="preserve">. </w:t>
      </w:r>
    </w:p>
    <w:p w14:paraId="3218EE64" w14:textId="190C866F" w:rsidR="00C01059" w:rsidRDefault="00C01059" w:rsidP="005867D2">
      <w:pPr>
        <w:spacing w:before="240" w:after="240" w:line="360" w:lineRule="auto"/>
        <w:ind w:right="-91"/>
        <w:jc w:val="both"/>
        <w:rPr>
          <w:rFonts w:ascii="Palatino Linotype" w:hAnsi="Palatino Linotype"/>
          <w:color w:val="000000"/>
          <w:sz w:val="24"/>
          <w:szCs w:val="24"/>
          <w:lang w:val="es-ES"/>
        </w:rPr>
      </w:pPr>
      <w:r w:rsidRPr="00AD7848">
        <w:rPr>
          <w:rFonts w:ascii="Palatino Linotype" w:hAnsi="Palatino Linotype"/>
          <w:sz w:val="24"/>
          <w:szCs w:val="24"/>
        </w:rPr>
        <w:t xml:space="preserve">Aunado a lo anterior, </w:t>
      </w:r>
      <w:r w:rsidRPr="00AD7848">
        <w:rPr>
          <w:rFonts w:ascii="Palatino Linotype" w:hAnsi="Palatino Linotype" w:cs="Arial"/>
          <w:color w:val="000000"/>
          <w:sz w:val="24"/>
          <w:szCs w:val="24"/>
          <w:lang w:val="es-ES"/>
        </w:rPr>
        <w:t>l</w:t>
      </w:r>
      <w:r w:rsidRPr="00AD7848">
        <w:rPr>
          <w:rFonts w:ascii="Palatino Linotype" w:hAnsi="Palatino Linotype"/>
          <w:color w:val="000000"/>
          <w:sz w:val="24"/>
          <w:szCs w:val="24"/>
          <w:lang w:val="es-ES"/>
        </w:rPr>
        <w:t>os Lineamientos para la Integración del Informe Trimestral, visibles en la página</w:t>
      </w:r>
      <w:r w:rsidRPr="003E0BC5">
        <w:rPr>
          <w:rFonts w:ascii="Palatino Linotype" w:hAnsi="Palatino Linotype"/>
          <w:color w:val="000000"/>
          <w:sz w:val="24"/>
          <w:szCs w:val="24"/>
          <w:lang w:val="es-ES"/>
        </w:rPr>
        <w:t xml:space="preserve"> oficial del Órgano Superior de Fiscalización del Estado de México (OSFEM) </w:t>
      </w:r>
      <w:r>
        <w:rPr>
          <w:rFonts w:ascii="Palatino Linotype" w:hAnsi="Palatino Linotype"/>
          <w:color w:val="000000"/>
          <w:sz w:val="24"/>
          <w:szCs w:val="24"/>
          <w:lang w:val="es-ES"/>
        </w:rPr>
        <w:t>disponen los parámetros de la balanza de comprobación detallada, tal como se demuestra en las siguientes imágenes ilustrativas:</w:t>
      </w:r>
    </w:p>
    <w:p w14:paraId="36D23781" w14:textId="09B9D70E" w:rsidR="00C01059" w:rsidRDefault="00C01059" w:rsidP="005867D2">
      <w:pPr>
        <w:spacing w:before="240" w:after="240" w:line="360" w:lineRule="auto"/>
        <w:ind w:right="-91"/>
        <w:jc w:val="both"/>
        <w:rPr>
          <w:rFonts w:ascii="Palatino Linotype" w:hAnsi="Palatino Linotype"/>
          <w:color w:val="000000"/>
          <w:sz w:val="24"/>
          <w:szCs w:val="24"/>
          <w:lang w:val="es-ES"/>
        </w:rPr>
      </w:pPr>
      <w:r>
        <w:rPr>
          <w:rFonts w:ascii="Palatino Linotype" w:hAnsi="Palatino Linotype"/>
          <w:noProof/>
          <w:color w:val="000000"/>
          <w:sz w:val="24"/>
          <w:szCs w:val="24"/>
          <w:lang w:eastAsia="es-MX"/>
        </w:rPr>
        <mc:AlternateContent>
          <mc:Choice Requires="wps">
            <w:drawing>
              <wp:anchor distT="0" distB="0" distL="114300" distR="114300" simplePos="0" relativeHeight="251662336" behindDoc="0" locked="0" layoutInCell="1" allowOverlap="1" wp14:anchorId="397BE850" wp14:editId="69E6D24F">
                <wp:simplePos x="0" y="0"/>
                <wp:positionH relativeFrom="column">
                  <wp:posOffset>-56553</wp:posOffset>
                </wp:positionH>
                <wp:positionV relativeFrom="paragraph">
                  <wp:posOffset>1859</wp:posOffset>
                </wp:positionV>
                <wp:extent cx="5991367" cy="4203510"/>
                <wp:effectExtent l="0" t="0" r="28575" b="26035"/>
                <wp:wrapNone/>
                <wp:docPr id="1832331233" name="Straight Connector 4"/>
                <wp:cNvGraphicFramePr/>
                <a:graphic xmlns:a="http://schemas.openxmlformats.org/drawingml/2006/main">
                  <a:graphicData uri="http://schemas.microsoft.com/office/word/2010/wordprocessingShape">
                    <wps:wsp>
                      <wps:cNvCnPr/>
                      <wps:spPr>
                        <a:xfrm>
                          <a:off x="0" y="0"/>
                          <a:ext cx="5991367" cy="4203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C3EAD6"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5pt" to="467.3pt,3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" strokecolor="#5b9bd5 [3204]" strokeweight=".5pt">
                <v:stroke joinstyle="miter"/>
              </v:line>
            </w:pict>
          </mc:Fallback>
        </mc:AlternateContent>
      </w:r>
    </w:p>
    <w:p w14:paraId="7FDF57E4" w14:textId="77777777" w:rsidR="00C01059" w:rsidRDefault="00C01059" w:rsidP="005867D2">
      <w:pPr>
        <w:spacing w:before="240" w:after="240" w:line="360" w:lineRule="auto"/>
        <w:ind w:right="-91"/>
        <w:jc w:val="both"/>
        <w:rPr>
          <w:rFonts w:ascii="Palatino Linotype" w:hAnsi="Palatino Linotype"/>
          <w:color w:val="000000"/>
          <w:sz w:val="24"/>
          <w:szCs w:val="24"/>
          <w:lang w:val="es-ES"/>
        </w:rPr>
      </w:pPr>
    </w:p>
    <w:p w14:paraId="2E962DBD" w14:textId="77777777" w:rsidR="00C01059" w:rsidRDefault="00C01059" w:rsidP="005867D2">
      <w:pPr>
        <w:spacing w:before="240" w:after="240" w:line="360" w:lineRule="auto"/>
        <w:ind w:right="-91"/>
        <w:jc w:val="both"/>
        <w:rPr>
          <w:rFonts w:ascii="Palatino Linotype" w:hAnsi="Palatino Linotype"/>
          <w:color w:val="000000"/>
          <w:sz w:val="24"/>
          <w:szCs w:val="24"/>
          <w:lang w:val="es-ES"/>
        </w:rPr>
      </w:pPr>
    </w:p>
    <w:p w14:paraId="1C40AB5B" w14:textId="77777777" w:rsidR="00C01059" w:rsidRDefault="00C01059" w:rsidP="005867D2">
      <w:pPr>
        <w:spacing w:before="240" w:after="240" w:line="360" w:lineRule="auto"/>
        <w:ind w:right="-91"/>
        <w:jc w:val="both"/>
        <w:rPr>
          <w:rFonts w:ascii="Palatino Linotype" w:hAnsi="Palatino Linotype"/>
          <w:color w:val="000000"/>
          <w:sz w:val="24"/>
          <w:szCs w:val="24"/>
          <w:lang w:val="es-ES"/>
        </w:rPr>
      </w:pPr>
    </w:p>
    <w:p w14:paraId="5F5EF039" w14:textId="77777777" w:rsidR="00C01059" w:rsidRDefault="00C01059" w:rsidP="005867D2">
      <w:pPr>
        <w:spacing w:before="240" w:after="240" w:line="360" w:lineRule="auto"/>
        <w:ind w:right="-91"/>
        <w:jc w:val="both"/>
        <w:rPr>
          <w:rFonts w:ascii="Palatino Linotype" w:hAnsi="Palatino Linotype"/>
          <w:color w:val="000000"/>
          <w:sz w:val="24"/>
          <w:szCs w:val="24"/>
          <w:lang w:val="es-ES"/>
        </w:rPr>
      </w:pPr>
    </w:p>
    <w:p w14:paraId="2A5F2F2B" w14:textId="77777777" w:rsidR="00C01059" w:rsidRDefault="00C01059" w:rsidP="005867D2">
      <w:pPr>
        <w:spacing w:before="240" w:after="240" w:line="360" w:lineRule="auto"/>
        <w:ind w:right="-91"/>
        <w:jc w:val="both"/>
        <w:rPr>
          <w:rFonts w:ascii="Palatino Linotype" w:hAnsi="Palatino Linotype"/>
          <w:color w:val="000000"/>
          <w:sz w:val="24"/>
          <w:szCs w:val="24"/>
          <w:lang w:val="es-ES"/>
        </w:rPr>
      </w:pPr>
    </w:p>
    <w:p w14:paraId="658456A5" w14:textId="77777777" w:rsidR="00C01059" w:rsidRDefault="00C01059" w:rsidP="005867D2">
      <w:pPr>
        <w:spacing w:before="240" w:after="240" w:line="360" w:lineRule="auto"/>
        <w:ind w:right="-91"/>
        <w:jc w:val="both"/>
        <w:rPr>
          <w:rFonts w:ascii="Palatino Linotype" w:hAnsi="Palatino Linotype"/>
          <w:color w:val="000000"/>
          <w:sz w:val="24"/>
          <w:szCs w:val="24"/>
          <w:lang w:val="es-ES"/>
        </w:rPr>
      </w:pPr>
    </w:p>
    <w:p w14:paraId="237DB87A" w14:textId="77777777" w:rsidR="00C01059" w:rsidRDefault="00C01059" w:rsidP="005867D2">
      <w:pPr>
        <w:spacing w:before="240" w:after="240" w:line="360" w:lineRule="auto"/>
        <w:ind w:right="-91"/>
        <w:jc w:val="both"/>
        <w:rPr>
          <w:rFonts w:ascii="Palatino Linotype" w:hAnsi="Palatino Linotype"/>
          <w:color w:val="000000"/>
          <w:sz w:val="24"/>
          <w:szCs w:val="24"/>
          <w:lang w:val="es-ES"/>
        </w:rPr>
      </w:pPr>
    </w:p>
    <w:p w14:paraId="64374B0F" w14:textId="77777777" w:rsidR="00C01059" w:rsidRDefault="00C01059" w:rsidP="005867D2">
      <w:pPr>
        <w:spacing w:before="240" w:after="240" w:line="360" w:lineRule="auto"/>
        <w:ind w:right="-91"/>
        <w:jc w:val="both"/>
        <w:rPr>
          <w:rFonts w:ascii="Palatino Linotype" w:hAnsi="Palatino Linotype"/>
          <w:color w:val="000000"/>
          <w:sz w:val="24"/>
          <w:szCs w:val="24"/>
          <w:lang w:val="es-ES"/>
        </w:rPr>
      </w:pPr>
    </w:p>
    <w:p w14:paraId="5AC2B5A4" w14:textId="5C98961C" w:rsidR="00C01059" w:rsidRDefault="00DE2103" w:rsidP="005867D2">
      <w:pPr>
        <w:spacing w:before="240" w:after="240" w:line="360" w:lineRule="auto"/>
        <w:ind w:right="-91"/>
        <w:jc w:val="both"/>
        <w:rPr>
          <w:rFonts w:ascii="Palatino Linotype" w:hAnsi="Palatino Linotype"/>
          <w:color w:val="000000"/>
          <w:sz w:val="24"/>
          <w:szCs w:val="24"/>
          <w:lang w:val="es-ES"/>
        </w:rPr>
      </w:pPr>
      <w:r>
        <w:rPr>
          <w:rFonts w:ascii="Palatino Linotype" w:hAnsi="Palatino Linotype"/>
          <w:noProof/>
          <w:color w:val="000000"/>
          <w:sz w:val="24"/>
          <w:szCs w:val="24"/>
          <w:lang w:eastAsia="es-MX"/>
        </w:rPr>
        <w:lastRenderedPageBreak/>
        <w:drawing>
          <wp:anchor distT="0" distB="0" distL="114300" distR="114300" simplePos="0" relativeHeight="251665408" behindDoc="0" locked="0" layoutInCell="1" allowOverlap="1" wp14:anchorId="13625A7D" wp14:editId="18AE3F98">
            <wp:simplePos x="0" y="0"/>
            <wp:positionH relativeFrom="page">
              <wp:align>center</wp:align>
            </wp:positionH>
            <wp:positionV relativeFrom="paragraph">
              <wp:posOffset>19382</wp:posOffset>
            </wp:positionV>
            <wp:extent cx="5759450" cy="7134225"/>
            <wp:effectExtent l="19050" t="19050" r="12700" b="28575"/>
            <wp:wrapThrough wrapText="bothSides">
              <wp:wrapPolygon edited="0">
                <wp:start x="-71" y="-58"/>
                <wp:lineTo x="-71" y="21629"/>
                <wp:lineTo x="21576" y="21629"/>
                <wp:lineTo x="21576" y="-58"/>
                <wp:lineTo x="-71" y="-58"/>
              </wp:wrapPolygon>
            </wp:wrapThrough>
            <wp:docPr id="973616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134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4D0F0D" w14:textId="13FB97AD" w:rsidR="00C01059" w:rsidRDefault="00DE2103" w:rsidP="005867D2">
      <w:pPr>
        <w:spacing w:before="240" w:after="240" w:line="360" w:lineRule="auto"/>
        <w:ind w:right="-91"/>
        <w:jc w:val="both"/>
        <w:rPr>
          <w:rFonts w:ascii="Palatino Linotype" w:hAnsi="Palatino Linotype"/>
          <w:color w:val="000000"/>
          <w:sz w:val="24"/>
          <w:szCs w:val="24"/>
          <w:lang w:val="es-ES"/>
        </w:rPr>
      </w:pPr>
      <w:r>
        <w:rPr>
          <w:rFonts w:ascii="Palatino Linotype" w:hAnsi="Palatino Linotype"/>
          <w:noProof/>
          <w:color w:val="000000"/>
          <w:sz w:val="24"/>
          <w:szCs w:val="24"/>
          <w:lang w:eastAsia="es-MX"/>
        </w:rPr>
        <w:lastRenderedPageBreak/>
        <w:drawing>
          <wp:anchor distT="0" distB="0" distL="114300" distR="114300" simplePos="0" relativeHeight="251666432" behindDoc="0" locked="0" layoutInCell="1" allowOverlap="1" wp14:anchorId="316895A0" wp14:editId="08C22170">
            <wp:simplePos x="0" y="0"/>
            <wp:positionH relativeFrom="margin">
              <wp:align>left</wp:align>
            </wp:positionH>
            <wp:positionV relativeFrom="paragraph">
              <wp:posOffset>19050</wp:posOffset>
            </wp:positionV>
            <wp:extent cx="5759450" cy="7105650"/>
            <wp:effectExtent l="19050" t="19050" r="12700" b="19050"/>
            <wp:wrapThrough wrapText="bothSides">
              <wp:wrapPolygon edited="0">
                <wp:start x="-71" y="-58"/>
                <wp:lineTo x="-71" y="21600"/>
                <wp:lineTo x="21576" y="21600"/>
                <wp:lineTo x="21576" y="-58"/>
                <wp:lineTo x="-71" y="-58"/>
              </wp:wrapPolygon>
            </wp:wrapThrough>
            <wp:docPr id="1305791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105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95C014" w14:textId="0D74083E" w:rsidR="00C01059" w:rsidRDefault="00DE2103" w:rsidP="005867D2">
      <w:pPr>
        <w:spacing w:before="240" w:after="240" w:line="360" w:lineRule="auto"/>
        <w:ind w:right="-91"/>
        <w:jc w:val="both"/>
        <w:rPr>
          <w:rFonts w:ascii="Palatino Linotype" w:hAnsi="Palatino Linotype"/>
          <w:color w:val="000000"/>
          <w:sz w:val="24"/>
          <w:szCs w:val="24"/>
          <w:lang w:val="es-ES"/>
        </w:rPr>
      </w:pPr>
      <w:r>
        <w:rPr>
          <w:rFonts w:ascii="Palatino Linotype" w:hAnsi="Palatino Linotype"/>
          <w:noProof/>
          <w:color w:val="000000"/>
          <w:sz w:val="24"/>
          <w:szCs w:val="24"/>
          <w:lang w:eastAsia="es-MX"/>
        </w:rPr>
        <w:lastRenderedPageBreak/>
        <w:drawing>
          <wp:inline distT="0" distB="0" distL="0" distR="0" wp14:anchorId="121639A2" wp14:editId="7EDA7E47">
            <wp:extent cx="5752465" cy="7143750"/>
            <wp:effectExtent l="19050" t="19050" r="19685" b="19050"/>
            <wp:docPr id="9418008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7143750"/>
                    </a:xfrm>
                    <a:prstGeom prst="rect">
                      <a:avLst/>
                    </a:prstGeom>
                    <a:noFill/>
                    <a:ln>
                      <a:solidFill>
                        <a:schemeClr val="tx1"/>
                      </a:solidFill>
                    </a:ln>
                  </pic:spPr>
                </pic:pic>
              </a:graphicData>
            </a:graphic>
          </wp:inline>
        </w:drawing>
      </w:r>
    </w:p>
    <w:p w14:paraId="0AEE78CB" w14:textId="076F5DDB" w:rsidR="00DE2103" w:rsidRDefault="00DE2103" w:rsidP="00DE2103">
      <w:pPr>
        <w:spacing w:before="240" w:after="240" w:line="360" w:lineRule="auto"/>
        <w:jc w:val="both"/>
        <w:rPr>
          <w:rFonts w:ascii="Palatino Linotype" w:hAnsi="Palatino Linotype" w:cs="Arial"/>
          <w:b/>
          <w:bCs/>
          <w:sz w:val="24"/>
          <w:szCs w:val="24"/>
          <w:lang w:val="es-ES"/>
        </w:rPr>
      </w:pPr>
      <w:r>
        <w:rPr>
          <w:rFonts w:ascii="Palatino Linotype" w:hAnsi="Palatino Linotype"/>
          <w:i/>
          <w:noProof/>
          <w:sz w:val="24"/>
          <w:szCs w:val="24"/>
          <w:lang w:eastAsia="es-MX"/>
        </w:rPr>
        <w:lastRenderedPageBreak/>
        <mc:AlternateContent>
          <mc:Choice Requires="wps">
            <w:drawing>
              <wp:anchor distT="0" distB="0" distL="114300" distR="114300" simplePos="0" relativeHeight="251664384" behindDoc="0" locked="0" layoutInCell="1" allowOverlap="1" wp14:anchorId="34CA8862" wp14:editId="58DED80A">
                <wp:simplePos x="0" y="0"/>
                <wp:positionH relativeFrom="column">
                  <wp:posOffset>316865</wp:posOffset>
                </wp:positionH>
                <wp:positionV relativeFrom="paragraph">
                  <wp:posOffset>8944610</wp:posOffset>
                </wp:positionV>
                <wp:extent cx="4724400" cy="2762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0F583DC" id="Rectángulo 8" o:spid="_x0000_s1026" style="position:absolute;margin-left:24.95pt;margin-top:704.3pt;width:372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la Balanza de Comprobación Detallada Acumulada Trimestral, en consecuencia, la información solicitada debe obrar en los archivos del </w:t>
      </w:r>
      <w:r>
        <w:rPr>
          <w:rFonts w:ascii="Palatino Linotype" w:hAnsi="Palatino Linotype" w:cs="Arial"/>
          <w:b/>
          <w:bCs/>
          <w:sz w:val="24"/>
          <w:szCs w:val="24"/>
          <w:lang w:val="es-ES"/>
        </w:rPr>
        <w:t xml:space="preserve">Sujeto Obligado. </w:t>
      </w:r>
    </w:p>
    <w:p w14:paraId="2FD36B7A" w14:textId="70F0D7BA" w:rsidR="00DE2103" w:rsidRPr="00B272A6" w:rsidRDefault="00DE2103" w:rsidP="00DE2103">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w:t>
      </w:r>
      <w:r>
        <w:rPr>
          <w:rFonts w:ascii="Palatino Linotype" w:hAnsi="Palatino Linotype" w:cs="Arial"/>
          <w:bCs/>
          <w:sz w:val="24"/>
          <w:szCs w:val="24"/>
          <w:lang w:val="es-ES"/>
        </w:rPr>
        <w:t>ejercidos</w:t>
      </w:r>
      <w:r w:rsidRPr="00B272A6">
        <w:rPr>
          <w:rFonts w:ascii="Palatino Linotype" w:hAnsi="Palatino Linotype" w:cs="Arial"/>
          <w:bCs/>
          <w:sz w:val="24"/>
          <w:szCs w:val="24"/>
          <w:lang w:val="es-ES"/>
        </w:rPr>
        <w:t xml:space="preserve"> y con ello transparentar la forma, términos, causas y finalidad en la disposición de esos recursos; ya que, este precepto legal, como ya fue citado, establece: </w:t>
      </w:r>
    </w:p>
    <w:p w14:paraId="5CCEF2D9" w14:textId="77777777" w:rsidR="00DE2103" w:rsidRPr="00F975C8" w:rsidRDefault="00DE2103" w:rsidP="00DE2103">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0A474C45" w14:textId="77777777" w:rsidR="00DE2103" w:rsidRPr="00F975C8" w:rsidRDefault="00DE2103" w:rsidP="00DE2103">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6C45B9F2" w14:textId="77777777" w:rsidR="00DE2103" w:rsidRPr="00B272A6" w:rsidRDefault="00DE2103" w:rsidP="00DE2103">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5CB15875" w14:textId="77777777" w:rsidR="0033189B" w:rsidRDefault="0033189B" w:rsidP="00DE2103">
      <w:pPr>
        <w:spacing w:before="240" w:after="240" w:line="360" w:lineRule="auto"/>
        <w:jc w:val="both"/>
        <w:rPr>
          <w:rFonts w:ascii="Palatino Linotype" w:hAnsi="Palatino Linotype" w:cs="Arial"/>
          <w:sz w:val="24"/>
          <w:szCs w:val="24"/>
          <w:lang w:val="es-ES"/>
        </w:rPr>
      </w:pPr>
    </w:p>
    <w:p w14:paraId="293F31EA" w14:textId="74402AA8" w:rsidR="00DE2103" w:rsidRPr="00B272A6" w:rsidRDefault="00DE2103" w:rsidP="00DE2103">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 xml:space="preserve">La </w:t>
      </w:r>
      <w:r w:rsidRPr="00B272A6">
        <w:rPr>
          <w:rFonts w:ascii="Palatino Linotype" w:hAnsi="Palatino Linotype" w:cs="Arial"/>
          <w:b/>
          <w:color w:val="000000"/>
          <w:sz w:val="24"/>
          <w:szCs w:val="24"/>
          <w:lang w:eastAsia="es-MX"/>
        </w:rPr>
        <w:t>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786A9A8C" w14:textId="77777777" w:rsidR="00DE2103" w:rsidRDefault="00DE2103" w:rsidP="00DE2103">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2CB7E412" w14:textId="77777777" w:rsidR="00DE2103" w:rsidRPr="00F975C8" w:rsidRDefault="00DE2103" w:rsidP="00DE2103">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25B56015" w14:textId="77777777" w:rsidR="00DE2103" w:rsidRPr="00F975C8" w:rsidRDefault="00DE2103" w:rsidP="00DE2103">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w:t>
      </w:r>
      <w:r w:rsidRPr="00F975C8">
        <w:rPr>
          <w:rFonts w:ascii="Palatino Linotype" w:hAnsi="Palatino Linotype" w:cs="Arial"/>
          <w:i/>
          <w:lang w:val="es-ES"/>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A33BB6E" w14:textId="77777777" w:rsidR="00DE2103" w:rsidRPr="00F975C8" w:rsidRDefault="00DE2103" w:rsidP="00DE2103">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6DAA2E78" w14:textId="77777777" w:rsidR="00DE2103" w:rsidRPr="0039245A" w:rsidRDefault="00DE2103" w:rsidP="00DE2103">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34C5A4AF" w14:textId="77777777" w:rsidR="00DE2103" w:rsidRPr="00F975C8" w:rsidRDefault="00DE2103" w:rsidP="00DE2103">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1D4BA76A" w14:textId="77777777" w:rsidR="00DE2103" w:rsidRPr="00B272A6" w:rsidRDefault="00DE2103" w:rsidP="00DE2103">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7A625F2D" w14:textId="77777777" w:rsidR="00DE2103" w:rsidRDefault="00DE2103" w:rsidP="00DE2103">
      <w:pPr>
        <w:spacing w:after="240" w:line="360" w:lineRule="auto"/>
        <w:jc w:val="both"/>
        <w:rPr>
          <w:rFonts w:ascii="Palatino Linotype" w:hAnsi="Palatino Linotype" w:cs="Arial"/>
          <w:sz w:val="24"/>
          <w:szCs w:val="24"/>
        </w:rPr>
      </w:pPr>
    </w:p>
    <w:p w14:paraId="2AEA411A" w14:textId="1D022730" w:rsidR="00DE2103" w:rsidRPr="0068677F" w:rsidRDefault="00DE2103" w:rsidP="00DE2103">
      <w:pPr>
        <w:spacing w:after="240" w:line="360" w:lineRule="auto"/>
        <w:jc w:val="both"/>
        <w:rPr>
          <w:rFonts w:ascii="Palatino Linotype" w:hAnsi="Palatino Linotype" w:cs="Arial"/>
          <w:b/>
          <w:sz w:val="24"/>
          <w:szCs w:val="24"/>
        </w:rPr>
      </w:pPr>
      <w:r w:rsidRPr="0068677F">
        <w:rPr>
          <w:rFonts w:ascii="Palatino Linotype" w:hAnsi="Palatino Linotype" w:cs="Arial"/>
          <w:sz w:val="24"/>
          <w:szCs w:val="24"/>
        </w:rPr>
        <w:t xml:space="preserve">Atento a lo anterior, resulta claro que existe la obligación del </w:t>
      </w:r>
      <w:r w:rsidRPr="0068677F">
        <w:rPr>
          <w:rFonts w:ascii="Palatino Linotype" w:hAnsi="Palatino Linotype" w:cs="Arial"/>
          <w:b/>
          <w:sz w:val="24"/>
          <w:szCs w:val="24"/>
        </w:rPr>
        <w:t>Sujeto Obligado</w:t>
      </w:r>
      <w:r w:rsidRPr="0068677F">
        <w:rPr>
          <w:rFonts w:ascii="Palatino Linotype" w:hAnsi="Palatino Linotype" w:cs="Arial"/>
          <w:sz w:val="24"/>
          <w:szCs w:val="24"/>
        </w:rPr>
        <w:t xml:space="preserve">, de entregar los informes trimestrales al Órgano Superior de Fiscalización del Estado de México, en los cuales se incluye la información relativa </w:t>
      </w:r>
      <w:r>
        <w:rPr>
          <w:rFonts w:ascii="Palatino Linotype" w:hAnsi="Palatino Linotype" w:cs="Arial"/>
          <w:sz w:val="24"/>
          <w:szCs w:val="24"/>
        </w:rPr>
        <w:t xml:space="preserve">a la </w:t>
      </w:r>
      <w:r>
        <w:rPr>
          <w:rFonts w:ascii="Palatino Linotype" w:hAnsi="Palatino Linotype"/>
          <w:color w:val="000000"/>
          <w:sz w:val="24"/>
          <w:szCs w:val="24"/>
          <w:lang w:val="es-ES"/>
        </w:rPr>
        <w:t xml:space="preserve">balanza de comprobación </w:t>
      </w:r>
      <w:r>
        <w:rPr>
          <w:rFonts w:ascii="Palatino Linotype" w:hAnsi="Palatino Linotype"/>
          <w:color w:val="000000"/>
          <w:sz w:val="24"/>
          <w:szCs w:val="24"/>
          <w:lang w:val="es-ES"/>
        </w:rPr>
        <w:lastRenderedPageBreak/>
        <w:t>detallada</w:t>
      </w:r>
      <w:r w:rsidR="006C0AFD">
        <w:rPr>
          <w:rFonts w:ascii="Palatino Linotype" w:hAnsi="Palatino Linotype"/>
          <w:color w:val="000000"/>
          <w:sz w:val="24"/>
          <w:szCs w:val="24"/>
          <w:lang w:val="es-ES"/>
        </w:rPr>
        <w:t xml:space="preserve">; </w:t>
      </w:r>
      <w:r w:rsidRPr="0068677F">
        <w:rPr>
          <w:rFonts w:ascii="Palatino Linotype" w:hAnsi="Palatino Linotype" w:cs="Arial"/>
          <w:sz w:val="24"/>
          <w:szCs w:val="24"/>
        </w:rPr>
        <w:t xml:space="preserve">en </w:t>
      </w:r>
      <w:r w:rsidR="0033189B" w:rsidRPr="0068677F">
        <w:rPr>
          <w:rFonts w:ascii="Palatino Linotype" w:hAnsi="Palatino Linotype" w:cs="Arial"/>
          <w:sz w:val="24"/>
          <w:szCs w:val="24"/>
        </w:rPr>
        <w:t>consecuencia,</w:t>
      </w:r>
      <w:r w:rsidRPr="0068677F">
        <w:rPr>
          <w:rFonts w:ascii="Palatino Linotype" w:hAnsi="Palatino Linotype" w:cs="Arial"/>
          <w:sz w:val="24"/>
          <w:szCs w:val="24"/>
        </w:rPr>
        <w:t xml:space="preserve"> la información solicitada por </w:t>
      </w:r>
      <w:r>
        <w:rPr>
          <w:rFonts w:ascii="Palatino Linotype" w:hAnsi="Palatino Linotype" w:cs="Arial"/>
          <w:b/>
          <w:sz w:val="24"/>
          <w:szCs w:val="24"/>
        </w:rPr>
        <w:t>La</w:t>
      </w:r>
      <w:r w:rsidRPr="0068677F">
        <w:rPr>
          <w:rFonts w:ascii="Palatino Linotype" w:hAnsi="Palatino Linotype" w:cs="Arial"/>
          <w:b/>
          <w:sz w:val="24"/>
          <w:szCs w:val="24"/>
        </w:rPr>
        <w:t xml:space="preserve"> Recurrente </w:t>
      </w:r>
      <w:r w:rsidRPr="0068677F">
        <w:rPr>
          <w:rFonts w:ascii="Palatino Linotype" w:hAnsi="Palatino Linotype" w:cs="Arial"/>
          <w:sz w:val="24"/>
          <w:szCs w:val="24"/>
        </w:rPr>
        <w:t xml:space="preserve">debe obrar en los archivos del </w:t>
      </w:r>
      <w:r w:rsidRPr="0068677F">
        <w:rPr>
          <w:rFonts w:ascii="Palatino Linotype" w:hAnsi="Palatino Linotype" w:cs="Arial"/>
          <w:b/>
          <w:sz w:val="24"/>
          <w:szCs w:val="24"/>
        </w:rPr>
        <w:t xml:space="preserve">Sujeto Obligado. </w:t>
      </w:r>
    </w:p>
    <w:p w14:paraId="7A6B7D7E" w14:textId="6AEAE61A" w:rsidR="006C0AFD" w:rsidRDefault="006C0AFD" w:rsidP="006C0AFD">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segundo, </w:t>
      </w:r>
      <w:r w:rsidRPr="00114DCB">
        <w:rPr>
          <w:rFonts w:ascii="Palatino Linotype" w:hAnsi="Palatino Linotype" w:cs="Arial"/>
          <w:b/>
          <w:color w:val="000000"/>
          <w:sz w:val="24"/>
          <w:lang w:val="es-ES_tradnl"/>
        </w:rPr>
        <w:t xml:space="preserve">El Sujeto Obligado </w:t>
      </w:r>
      <w:r w:rsidRPr="00AD7848">
        <w:rPr>
          <w:rFonts w:ascii="Palatino Linotype" w:hAnsi="Palatino Linotype" w:cs="Arial"/>
          <w:color w:val="000000"/>
          <w:sz w:val="24"/>
          <w:lang w:val="es-ES_tradnl"/>
        </w:rPr>
        <w:t xml:space="preserve">en fecha </w:t>
      </w:r>
      <w:r>
        <w:rPr>
          <w:rFonts w:ascii="Palatino Linotype" w:hAnsi="Palatino Linotype" w:cs="Arial"/>
          <w:b/>
          <w:bCs/>
          <w:color w:val="000000"/>
          <w:sz w:val="24"/>
          <w:lang w:val="es-ES_tradnl"/>
        </w:rPr>
        <w:t xml:space="preserve">dieciocho de septiembre de dos mil veinticuatro, </w:t>
      </w:r>
      <w:r>
        <w:rPr>
          <w:rFonts w:ascii="Palatino Linotype" w:hAnsi="Palatino Linotype" w:cs="Arial"/>
          <w:color w:val="000000"/>
          <w:sz w:val="24"/>
          <w:lang w:val="es-ES_tradnl"/>
        </w:rPr>
        <w:t>rindió sus respuestas a las solicitudes de información formuladas por el particular, adjuntando para tal efecto lo siguiente:</w:t>
      </w:r>
    </w:p>
    <w:p w14:paraId="66140C0F" w14:textId="32F83AA6" w:rsidR="006C0AFD" w:rsidRDefault="006C0AFD" w:rsidP="006C0AFD">
      <w:pPr>
        <w:spacing w:after="240" w:line="360" w:lineRule="auto"/>
        <w:jc w:val="both"/>
        <w:rPr>
          <w:rFonts w:ascii="Palatino Linotype" w:hAnsi="Palatino Linotype" w:cs="Arial"/>
          <w:b/>
          <w:bCs/>
        </w:rPr>
      </w:pPr>
      <w:r>
        <w:rPr>
          <w:rFonts w:ascii="Palatino Linotype" w:hAnsi="Palatino Linotype" w:cs="Arial"/>
          <w:b/>
          <w:bCs/>
        </w:rPr>
        <w:t>00116/ACAMBAY/IP/2024</w:t>
      </w:r>
    </w:p>
    <w:p w14:paraId="1ECFBC7A" w14:textId="78D9AD4C" w:rsidR="006C0AFD" w:rsidRPr="00B7282C" w:rsidRDefault="00F43EE1" w:rsidP="007A6FE3">
      <w:pPr>
        <w:pStyle w:val="Prrafodelista"/>
        <w:numPr>
          <w:ilvl w:val="0"/>
          <w:numId w:val="7"/>
        </w:numPr>
        <w:spacing w:after="240" w:line="360" w:lineRule="auto"/>
        <w:jc w:val="both"/>
        <w:rPr>
          <w:rFonts w:ascii="Palatino Linotype" w:hAnsi="Palatino Linotype" w:cs="Arial"/>
          <w:b/>
          <w:bCs/>
        </w:rPr>
      </w:pPr>
      <w:r>
        <w:rPr>
          <w:rFonts w:ascii="Palatino Linotype" w:hAnsi="Palatino Linotype" w:cs="Arial"/>
          <w:b/>
          <w:bCs/>
        </w:rPr>
        <w:t xml:space="preserve">“contestación 116.pdf”: </w:t>
      </w:r>
      <w:r w:rsidR="00B7282C">
        <w:rPr>
          <w:rFonts w:ascii="Palatino Linotype" w:hAnsi="Palatino Linotype" w:cs="Arial"/>
        </w:rPr>
        <w:t xml:space="preserve">Oficio número </w:t>
      </w:r>
      <w:r w:rsidR="00B7282C">
        <w:rPr>
          <w:rFonts w:ascii="Palatino Linotype" w:hAnsi="Palatino Linotype" w:cs="Arial"/>
          <w:b/>
          <w:bCs/>
        </w:rPr>
        <w:t xml:space="preserve">TM/I/356/2024 </w:t>
      </w:r>
      <w:r w:rsidR="00B7282C">
        <w:rPr>
          <w:rFonts w:ascii="Palatino Linotype" w:hAnsi="Palatino Linotype" w:cs="Arial"/>
        </w:rPr>
        <w:t xml:space="preserve">signado por la tesorera municipal y dirigido a la titular de la unidad de transparencia, de fecha nueve de septiembre de dos mil veinticuatro, refiere que la información requerida refleja nombres de clientes y proveedores, cantidades pagadas y cuentas bancarias, luego entonces, desde su óptica se encuentra imposibilitada para difundir la información. </w:t>
      </w:r>
    </w:p>
    <w:p w14:paraId="4439D9A2" w14:textId="77777777" w:rsidR="00B7282C" w:rsidRPr="00F43EE1" w:rsidRDefault="00B7282C" w:rsidP="00B7282C">
      <w:pPr>
        <w:pStyle w:val="Prrafodelista"/>
        <w:spacing w:after="240" w:line="360" w:lineRule="auto"/>
        <w:ind w:left="720"/>
        <w:jc w:val="both"/>
        <w:rPr>
          <w:rFonts w:ascii="Palatino Linotype" w:hAnsi="Palatino Linotype" w:cs="Arial"/>
          <w:b/>
          <w:bCs/>
        </w:rPr>
      </w:pPr>
    </w:p>
    <w:p w14:paraId="6612FB0D" w14:textId="6F626E93" w:rsidR="006C0AFD" w:rsidRDefault="006C0AFD" w:rsidP="006C0AFD">
      <w:pPr>
        <w:spacing w:after="240" w:line="360" w:lineRule="auto"/>
        <w:jc w:val="both"/>
        <w:rPr>
          <w:rFonts w:ascii="Palatino Linotype" w:hAnsi="Palatino Linotype" w:cs="Arial"/>
          <w:b/>
          <w:bCs/>
        </w:rPr>
      </w:pPr>
      <w:r>
        <w:rPr>
          <w:rFonts w:ascii="Palatino Linotype" w:hAnsi="Palatino Linotype" w:cs="Arial"/>
          <w:b/>
          <w:bCs/>
        </w:rPr>
        <w:t>00115/ACAMBAY/IP/2024</w:t>
      </w:r>
    </w:p>
    <w:p w14:paraId="0335C3C9" w14:textId="441082C0" w:rsidR="00B7282C" w:rsidRPr="002F7973" w:rsidRDefault="00B7282C" w:rsidP="007A6FE3">
      <w:pPr>
        <w:pStyle w:val="Prrafodelista"/>
        <w:numPr>
          <w:ilvl w:val="0"/>
          <w:numId w:val="8"/>
        </w:numPr>
        <w:spacing w:after="240" w:line="360" w:lineRule="auto"/>
        <w:jc w:val="both"/>
        <w:rPr>
          <w:rFonts w:ascii="Palatino Linotype" w:hAnsi="Palatino Linotype" w:cs="Arial"/>
          <w:b/>
          <w:bCs/>
        </w:rPr>
      </w:pPr>
      <w:r w:rsidRPr="00B7282C">
        <w:rPr>
          <w:rFonts w:ascii="Palatino Linotype" w:hAnsi="Palatino Linotype" w:cs="Arial"/>
          <w:b/>
          <w:bCs/>
        </w:rPr>
        <w:t xml:space="preserve">“contestación 115.pdf”: </w:t>
      </w:r>
      <w:r w:rsidRPr="00B7282C">
        <w:rPr>
          <w:rFonts w:ascii="Palatino Linotype" w:hAnsi="Palatino Linotype" w:cs="Arial"/>
        </w:rPr>
        <w:t xml:space="preserve">Oficio número </w:t>
      </w:r>
      <w:r w:rsidRPr="00B7282C">
        <w:rPr>
          <w:rFonts w:ascii="Palatino Linotype" w:hAnsi="Palatino Linotype" w:cs="Arial"/>
          <w:b/>
          <w:bCs/>
        </w:rPr>
        <w:t>TM/I/</w:t>
      </w:r>
      <w:r>
        <w:rPr>
          <w:rFonts w:ascii="Palatino Linotype" w:hAnsi="Palatino Linotype" w:cs="Arial"/>
          <w:b/>
          <w:bCs/>
        </w:rPr>
        <w:t>355</w:t>
      </w:r>
      <w:r w:rsidRPr="00B7282C">
        <w:rPr>
          <w:rFonts w:ascii="Palatino Linotype" w:hAnsi="Palatino Linotype" w:cs="Arial"/>
          <w:b/>
          <w:bCs/>
        </w:rPr>
        <w:t xml:space="preserve">/2024 </w:t>
      </w:r>
      <w:r w:rsidRPr="00B7282C">
        <w:rPr>
          <w:rFonts w:ascii="Palatino Linotype" w:hAnsi="Palatino Linotype" w:cs="Arial"/>
        </w:rPr>
        <w:t xml:space="preserve">signado por la tesorera municipal y dirigido a la titular de la unidad de transparencia, de fecha nueve de septiembre de dos mil veinticuatro, refiere que la información requerida refleja nombres de clientes y proveedores, cantidades pagadas y cuentas </w:t>
      </w:r>
      <w:r w:rsidRPr="00B7282C">
        <w:rPr>
          <w:rFonts w:ascii="Palatino Linotype" w:hAnsi="Palatino Linotype" w:cs="Arial"/>
        </w:rPr>
        <w:lastRenderedPageBreak/>
        <w:t xml:space="preserve">bancarias, luego entonces, desde su óptica se encuentra imposibilitada para difundir la información. </w:t>
      </w:r>
    </w:p>
    <w:p w14:paraId="19F8CBF0" w14:textId="77777777" w:rsidR="002F7973" w:rsidRPr="00B7282C" w:rsidRDefault="002F7973" w:rsidP="002F7973">
      <w:pPr>
        <w:pStyle w:val="Prrafodelista"/>
        <w:spacing w:after="240" w:line="360" w:lineRule="auto"/>
        <w:ind w:left="720"/>
        <w:jc w:val="both"/>
        <w:rPr>
          <w:rFonts w:ascii="Palatino Linotype" w:hAnsi="Palatino Linotype" w:cs="Arial"/>
          <w:b/>
          <w:bCs/>
        </w:rPr>
      </w:pPr>
    </w:p>
    <w:p w14:paraId="47451379" w14:textId="1BD64093" w:rsidR="006C0AFD" w:rsidRPr="006C0AFD" w:rsidRDefault="006C0AFD" w:rsidP="006C0AFD">
      <w:pPr>
        <w:spacing w:after="240" w:line="360" w:lineRule="auto"/>
        <w:jc w:val="both"/>
        <w:rPr>
          <w:rFonts w:ascii="Palatino Linotype" w:hAnsi="Palatino Linotype" w:cs="Arial"/>
          <w:color w:val="000000"/>
          <w:sz w:val="24"/>
          <w:lang w:val="es-ES_tradnl"/>
        </w:rPr>
      </w:pPr>
      <w:r>
        <w:rPr>
          <w:rFonts w:ascii="Palatino Linotype" w:hAnsi="Palatino Linotype" w:cs="Arial"/>
          <w:b/>
          <w:bCs/>
        </w:rPr>
        <w:t>00114/ACAMBAY/IP/2024</w:t>
      </w:r>
    </w:p>
    <w:p w14:paraId="042C9B6E" w14:textId="2AFA1F8E" w:rsidR="004210A8" w:rsidRPr="004210A8" w:rsidRDefault="00B7282C" w:rsidP="007A6FE3">
      <w:pPr>
        <w:pStyle w:val="Prrafodelista"/>
        <w:numPr>
          <w:ilvl w:val="0"/>
          <w:numId w:val="9"/>
        </w:numPr>
        <w:spacing w:after="240" w:line="360" w:lineRule="auto"/>
        <w:jc w:val="both"/>
        <w:rPr>
          <w:rFonts w:ascii="Palatino Linotype" w:hAnsi="Palatino Linotype" w:cs="Arial"/>
          <w:b/>
          <w:bCs/>
        </w:rPr>
      </w:pPr>
      <w:r w:rsidRPr="004210A8">
        <w:rPr>
          <w:rFonts w:ascii="Palatino Linotype" w:hAnsi="Palatino Linotype" w:cs="Arial"/>
          <w:b/>
          <w:bCs/>
          <w:color w:val="000000"/>
          <w:lang w:val="es-ES_tradnl"/>
        </w:rPr>
        <w:t>“</w:t>
      </w:r>
      <w:r w:rsidR="004210A8" w:rsidRPr="004210A8">
        <w:rPr>
          <w:rFonts w:ascii="Palatino Linotype" w:hAnsi="Palatino Linotype" w:cs="Arial"/>
          <w:b/>
          <w:bCs/>
          <w:color w:val="000000"/>
          <w:lang w:val="es-ES_tradnl"/>
        </w:rPr>
        <w:t xml:space="preserve">contestacion 114.pdf”: </w:t>
      </w:r>
      <w:r w:rsidR="004210A8" w:rsidRPr="004210A8">
        <w:rPr>
          <w:rFonts w:ascii="Palatino Linotype" w:hAnsi="Palatino Linotype" w:cs="Arial"/>
        </w:rPr>
        <w:t xml:space="preserve">Oficio número </w:t>
      </w:r>
      <w:r w:rsidR="004210A8" w:rsidRPr="004210A8">
        <w:rPr>
          <w:rFonts w:ascii="Palatino Linotype" w:hAnsi="Palatino Linotype" w:cs="Arial"/>
          <w:b/>
          <w:bCs/>
        </w:rPr>
        <w:t>TM/I/35</w:t>
      </w:r>
      <w:r w:rsidR="004210A8">
        <w:rPr>
          <w:rFonts w:ascii="Palatino Linotype" w:hAnsi="Palatino Linotype" w:cs="Arial"/>
          <w:b/>
          <w:bCs/>
        </w:rPr>
        <w:t>4</w:t>
      </w:r>
      <w:r w:rsidR="004210A8" w:rsidRPr="004210A8">
        <w:rPr>
          <w:rFonts w:ascii="Palatino Linotype" w:hAnsi="Palatino Linotype" w:cs="Arial"/>
          <w:b/>
          <w:bCs/>
        </w:rPr>
        <w:t xml:space="preserve">/2024 </w:t>
      </w:r>
      <w:r w:rsidR="004210A8" w:rsidRPr="004210A8">
        <w:rPr>
          <w:rFonts w:ascii="Palatino Linotype" w:hAnsi="Palatino Linotype" w:cs="Arial"/>
        </w:rPr>
        <w:t xml:space="preserve">signado por la tesorera municipal y dirigido a la titular de la unidad de transparencia, de fecha nueve de septiembre de dos mil veinticuatro, refiere que la información requerida refleja nombres de clientes y proveedores, cantidades pagadas y cuentas bancarias, luego entonces, desde su óptica se encuentra imposibilitada para difundir la información. </w:t>
      </w:r>
    </w:p>
    <w:p w14:paraId="21E91263" w14:textId="77777777" w:rsidR="004210A8" w:rsidRDefault="004210A8" w:rsidP="004210A8">
      <w:pPr>
        <w:spacing w:after="240" w:line="360" w:lineRule="auto"/>
        <w:jc w:val="both"/>
        <w:rPr>
          <w:rFonts w:ascii="Palatino Linotype" w:hAnsi="Palatino Linotype" w:cs="Arial"/>
          <w:color w:val="000000"/>
          <w:lang w:val="es-ES_tradnl"/>
        </w:rPr>
      </w:pPr>
    </w:p>
    <w:p w14:paraId="16F7F9D2" w14:textId="77777777" w:rsidR="004210A8" w:rsidRPr="002F7973" w:rsidRDefault="004210A8" w:rsidP="004210A8">
      <w:pPr>
        <w:spacing w:line="360" w:lineRule="auto"/>
        <w:jc w:val="both"/>
        <w:rPr>
          <w:rFonts w:ascii="Palatino Linotype" w:hAnsi="Palatino Linotype" w:cs="Arial"/>
          <w:color w:val="000000"/>
          <w:sz w:val="24"/>
          <w:szCs w:val="24"/>
          <w:lang w:val="es-ES_tradnl"/>
        </w:rPr>
      </w:pPr>
      <w:r w:rsidRPr="002F7973">
        <w:rPr>
          <w:rFonts w:ascii="Palatino Linotype" w:hAnsi="Palatino Linotype" w:cs="Arial"/>
          <w:color w:val="000000"/>
          <w:sz w:val="24"/>
          <w:szCs w:val="24"/>
          <w:lang w:val="es-ES_tradnl"/>
        </w:rPr>
        <w:t xml:space="preserve">Con relación a la problemática expuesta, es conveniente acotar que </w:t>
      </w:r>
      <w:r w:rsidRPr="002F7973">
        <w:rPr>
          <w:rFonts w:ascii="Palatino Linotype" w:hAnsi="Palatino Linotype" w:cs="Arial"/>
          <w:b/>
          <w:bCs/>
          <w:color w:val="000000"/>
          <w:sz w:val="24"/>
          <w:szCs w:val="24"/>
          <w:lang w:val="es-ES_tradnl"/>
        </w:rPr>
        <w:t xml:space="preserve">El Sujeto Obligado </w:t>
      </w:r>
      <w:r w:rsidRPr="002F7973">
        <w:rPr>
          <w:rFonts w:ascii="Palatino Linotype" w:hAnsi="Palatino Linotype" w:cs="Arial"/>
          <w:color w:val="000000"/>
          <w:sz w:val="24"/>
          <w:szCs w:val="24"/>
          <w:lang w:val="es-ES_tradnl"/>
        </w:rPr>
        <w:t>observó el numeral 162 de la Ley de Transparencia y Acceso a la Información del Estado de México y Municipios, cuyo contenido dispone a la literalidad lo siguiente:</w:t>
      </w:r>
    </w:p>
    <w:p w14:paraId="42379FF1" w14:textId="77777777" w:rsidR="004210A8" w:rsidRDefault="004210A8" w:rsidP="004210A8">
      <w:pPr>
        <w:pStyle w:val="Citas"/>
        <w:rPr>
          <w:b/>
          <w:bCs/>
        </w:rPr>
      </w:pPr>
      <w:r>
        <w:t>“</w:t>
      </w:r>
      <w:r w:rsidRPr="004229BD">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64FCA3BC" w14:textId="77777777" w:rsidR="004210A8" w:rsidRDefault="004210A8" w:rsidP="004210A8">
      <w:pPr>
        <w:spacing w:after="240" w:line="360" w:lineRule="auto"/>
        <w:jc w:val="both"/>
        <w:rPr>
          <w:iCs/>
          <w:sz w:val="24"/>
          <w:szCs w:val="24"/>
        </w:rPr>
      </w:pPr>
    </w:p>
    <w:p w14:paraId="06AAF8E2" w14:textId="77777777" w:rsidR="00654F5E" w:rsidRPr="008863CF" w:rsidRDefault="004210A8" w:rsidP="004210A8">
      <w:pPr>
        <w:spacing w:after="240" w:line="360" w:lineRule="auto"/>
        <w:jc w:val="both"/>
        <w:rPr>
          <w:rFonts w:ascii="Palatino Linotype" w:hAnsi="Palatino Linotype"/>
          <w:iCs/>
          <w:sz w:val="24"/>
          <w:szCs w:val="24"/>
        </w:rPr>
      </w:pPr>
      <w:r w:rsidRPr="008863CF">
        <w:rPr>
          <w:rFonts w:ascii="Palatino Linotype" w:hAnsi="Palatino Linotype"/>
          <w:iCs/>
          <w:sz w:val="24"/>
          <w:szCs w:val="24"/>
        </w:rPr>
        <w:lastRenderedPageBreak/>
        <w:t xml:space="preserve">Ahora bien, respecto del pronunciamiento del </w:t>
      </w:r>
      <w:r w:rsidRPr="008863CF">
        <w:rPr>
          <w:rFonts w:ascii="Palatino Linotype" w:hAnsi="Palatino Linotype"/>
          <w:b/>
          <w:bCs/>
          <w:iCs/>
          <w:sz w:val="24"/>
          <w:szCs w:val="24"/>
        </w:rPr>
        <w:t xml:space="preserve">Sujeto Obligado </w:t>
      </w:r>
      <w:r w:rsidRPr="008863CF">
        <w:rPr>
          <w:rFonts w:ascii="Palatino Linotype" w:hAnsi="Palatino Linotype"/>
          <w:iCs/>
          <w:sz w:val="24"/>
          <w:szCs w:val="24"/>
        </w:rPr>
        <w:t xml:space="preserve">relativo a </w:t>
      </w:r>
      <w:r w:rsidRPr="002F7973">
        <w:rPr>
          <w:rFonts w:ascii="Palatino Linotype" w:hAnsi="Palatino Linotype"/>
          <w:i/>
          <w:sz w:val="24"/>
          <w:szCs w:val="24"/>
        </w:rPr>
        <w:t>“la información solicitada contiene nombres de clientes y proveedores”</w:t>
      </w:r>
      <w:r w:rsidRPr="008863CF">
        <w:rPr>
          <w:rFonts w:ascii="Palatino Linotype" w:hAnsi="Palatino Linotype"/>
          <w:iCs/>
          <w:sz w:val="24"/>
          <w:szCs w:val="24"/>
        </w:rPr>
        <w:t xml:space="preserve"> resulta oportuno señalar </w:t>
      </w:r>
      <w:r w:rsidR="00654F5E" w:rsidRPr="008863CF">
        <w:rPr>
          <w:rFonts w:ascii="Palatino Linotype" w:hAnsi="Palatino Linotype"/>
          <w:iCs/>
          <w:sz w:val="24"/>
          <w:szCs w:val="24"/>
        </w:rPr>
        <w:t>que los sujetos obligados deberán publicar la información relativa a las personas físicas y morales con las que celebren contratos de adquisiciones, pedidos, arrendamientos, servicios, obras públicas y/o servicios relacionados con las mismas durante el periodo que se informa, dicho listado o padrón deberá actualizarse por lo menos cada tres meses.</w:t>
      </w:r>
    </w:p>
    <w:p w14:paraId="5837851B" w14:textId="77777777" w:rsidR="00654F5E" w:rsidRPr="008863CF" w:rsidRDefault="00654F5E" w:rsidP="004210A8">
      <w:pPr>
        <w:spacing w:after="240" w:line="360" w:lineRule="auto"/>
        <w:jc w:val="both"/>
        <w:rPr>
          <w:rFonts w:ascii="Palatino Linotype" w:hAnsi="Palatino Linotype"/>
          <w:iCs/>
          <w:sz w:val="24"/>
          <w:szCs w:val="24"/>
        </w:rPr>
      </w:pPr>
      <w:r w:rsidRPr="008863CF">
        <w:rPr>
          <w:rFonts w:ascii="Palatino Linotype" w:hAnsi="Palatino Linotype"/>
          <w:iCs/>
          <w:sz w:val="24"/>
          <w:szCs w:val="24"/>
        </w:rPr>
        <w:t>Corrobora lo anterior, el artículo 92, fracción XXXVI de la Ley de Transparencia local, que se cita continuación para pronta referencia:</w:t>
      </w:r>
    </w:p>
    <w:p w14:paraId="23EE9640" w14:textId="77777777" w:rsidR="00654F5E" w:rsidRPr="007B2C5B" w:rsidRDefault="00654F5E" w:rsidP="00654F5E">
      <w:pPr>
        <w:pStyle w:val="Citas"/>
        <w:rPr>
          <w:lang w:eastAsia="es-ES"/>
        </w:rPr>
      </w:pPr>
      <w:r w:rsidRPr="007B2C5B">
        <w:rPr>
          <w:lang w:val="es-ES_tradnl" w:eastAsia="es-ES"/>
        </w:rPr>
        <w:t>“</w:t>
      </w:r>
      <w:r w:rsidRPr="007B2C5B">
        <w:rPr>
          <w:b/>
          <w:lang w:eastAsia="es-ES"/>
        </w:rPr>
        <w:t>Artículo 92.</w:t>
      </w:r>
      <w:r w:rsidRPr="007B2C5B">
        <w:rPr>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7C4353" w14:textId="77777777" w:rsidR="00654F5E" w:rsidRDefault="00654F5E" w:rsidP="00654F5E">
      <w:pPr>
        <w:pStyle w:val="Citas"/>
        <w:rPr>
          <w:lang w:eastAsia="es-ES"/>
        </w:rPr>
      </w:pPr>
      <w:r w:rsidRPr="00F64933">
        <w:rPr>
          <w:lang w:eastAsia="es-ES"/>
        </w:rPr>
        <w:t>XXXVI. Padrón de proveedores y contratistas;</w:t>
      </w:r>
    </w:p>
    <w:p w14:paraId="56E5E10B" w14:textId="77777777" w:rsidR="00654F5E" w:rsidRPr="008863CF" w:rsidRDefault="00654F5E" w:rsidP="008863CF">
      <w:pPr>
        <w:pStyle w:val="Citas"/>
        <w:rPr>
          <w:b/>
          <w:bCs/>
        </w:rPr>
      </w:pPr>
      <w:r w:rsidRPr="008863CF">
        <w:rPr>
          <w:b/>
          <w:bCs/>
        </w:rPr>
        <w:t>(Sic)</w:t>
      </w:r>
    </w:p>
    <w:p w14:paraId="2EE25801" w14:textId="35B41287" w:rsidR="004210A8" w:rsidRDefault="004210A8" w:rsidP="004210A8">
      <w:pPr>
        <w:spacing w:after="240" w:line="360" w:lineRule="auto"/>
        <w:jc w:val="both"/>
        <w:rPr>
          <w:iCs/>
          <w:sz w:val="24"/>
          <w:szCs w:val="24"/>
        </w:rPr>
      </w:pPr>
      <w:r>
        <w:rPr>
          <w:iCs/>
          <w:sz w:val="24"/>
          <w:szCs w:val="24"/>
        </w:rPr>
        <w:t xml:space="preserve"> </w:t>
      </w:r>
    </w:p>
    <w:p w14:paraId="44D4DB4B" w14:textId="77CB7C77" w:rsidR="005F0B24" w:rsidRPr="008863CF" w:rsidRDefault="005F0B24" w:rsidP="004210A8">
      <w:pPr>
        <w:spacing w:after="240" w:line="360" w:lineRule="auto"/>
        <w:jc w:val="both"/>
        <w:rPr>
          <w:rFonts w:ascii="Palatino Linotype" w:hAnsi="Palatino Linotype"/>
          <w:iCs/>
          <w:sz w:val="24"/>
          <w:szCs w:val="24"/>
        </w:rPr>
      </w:pPr>
      <w:r w:rsidRPr="008863CF">
        <w:rPr>
          <w:rFonts w:ascii="Palatino Linotype" w:hAnsi="Palatino Linotype"/>
          <w:iCs/>
          <w:color w:val="000000"/>
          <w:sz w:val="24"/>
          <w:szCs w:val="24"/>
        </w:rPr>
        <w:t xml:space="preserve">Por otra parte, con relación a dicha obligación de transparencia, los </w:t>
      </w:r>
      <w:r w:rsidRPr="008863CF">
        <w:rPr>
          <w:rFonts w:ascii="Palatino Linotype" w:hAnsi="Palatino Linotype"/>
          <w:b/>
          <w:bCs/>
          <w:iCs/>
          <w:color w:val="000000"/>
          <w:sz w:val="24"/>
          <w:szCs w:val="24"/>
          <w:u w:val="single"/>
        </w:rPr>
        <w:t>“</w:t>
      </w:r>
      <w:r w:rsidRPr="008863CF">
        <w:rPr>
          <w:rFonts w:ascii="Palatino Linotype" w:hAnsi="Palatino Linotype"/>
          <w:b/>
          <w:bCs/>
          <w:iCs/>
          <w:sz w:val="24"/>
          <w:szCs w:val="24"/>
          <w:u w:val="single"/>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w:t>
      </w:r>
      <w:r w:rsidRPr="008863CF">
        <w:rPr>
          <w:rFonts w:ascii="Palatino Linotype" w:hAnsi="Palatino Linotype"/>
          <w:b/>
          <w:bCs/>
          <w:iCs/>
          <w:sz w:val="24"/>
          <w:szCs w:val="24"/>
          <w:u w:val="single"/>
        </w:rPr>
        <w:lastRenderedPageBreak/>
        <w:t>Pública, que deben de difundir los sujetos obligados en los portales de Internet y en la Plataforma Nacional de Transparencia”</w:t>
      </w:r>
      <w:r w:rsidRPr="008863CF">
        <w:rPr>
          <w:rFonts w:ascii="Palatino Linotype" w:hAnsi="Palatino Linotype"/>
          <w:sz w:val="24"/>
          <w:szCs w:val="24"/>
        </w:rPr>
        <w:t xml:space="preserve"> </w:t>
      </w:r>
      <w:r w:rsidRPr="008863CF">
        <w:rPr>
          <w:rFonts w:ascii="Palatino Linotype" w:hAnsi="Palatino Linotype"/>
          <w:iCs/>
          <w:sz w:val="24"/>
          <w:szCs w:val="24"/>
        </w:rPr>
        <w:t>disponen como criterio sustantivo de contenido de la fracción “XXXII. Padrón de proveedores” el relativo a:</w:t>
      </w:r>
    </w:p>
    <w:p w14:paraId="57B20050" w14:textId="234A1567" w:rsidR="005F0B24" w:rsidRPr="008863CF" w:rsidRDefault="008863CF" w:rsidP="008863CF">
      <w:pPr>
        <w:pStyle w:val="Citas"/>
        <w:rPr>
          <w:b/>
          <w:bCs/>
        </w:rPr>
      </w:pPr>
      <w:r>
        <w:t>“</w:t>
      </w:r>
      <w:r w:rsidR="005F0B24" w:rsidRPr="005F0B24">
        <w:t>Criterio 4 Nombre (nombre[s], primer apellido, segundo apellido), de la persona física proveedora o contratista</w:t>
      </w:r>
      <w:r w:rsidR="005F0B24">
        <w:t>.</w:t>
      </w:r>
      <w:r>
        <w:t xml:space="preserve">” </w:t>
      </w:r>
      <w:r>
        <w:rPr>
          <w:b/>
          <w:bCs/>
        </w:rPr>
        <w:t>(Sic)</w:t>
      </w:r>
    </w:p>
    <w:p w14:paraId="27F188BC" w14:textId="77777777" w:rsidR="005F0B24" w:rsidRDefault="005F0B24" w:rsidP="004210A8">
      <w:pPr>
        <w:spacing w:after="240" w:line="360" w:lineRule="auto"/>
        <w:jc w:val="both"/>
        <w:rPr>
          <w:iCs/>
          <w:sz w:val="24"/>
          <w:szCs w:val="24"/>
        </w:rPr>
      </w:pPr>
    </w:p>
    <w:p w14:paraId="573110DE" w14:textId="25D200C5" w:rsidR="005F0B24" w:rsidRPr="008863CF" w:rsidRDefault="002F7973" w:rsidP="004210A8">
      <w:pPr>
        <w:spacing w:after="240" w:line="360" w:lineRule="auto"/>
        <w:jc w:val="both"/>
        <w:rPr>
          <w:rFonts w:ascii="Palatino Linotype" w:hAnsi="Palatino Linotype"/>
          <w:sz w:val="24"/>
          <w:szCs w:val="24"/>
        </w:rPr>
      </w:pPr>
      <w:r>
        <w:rPr>
          <w:rFonts w:ascii="Palatino Linotype" w:hAnsi="Palatino Linotype"/>
          <w:iCs/>
          <w:sz w:val="24"/>
          <w:szCs w:val="24"/>
        </w:rPr>
        <w:t>De forma complementaria</w:t>
      </w:r>
      <w:r w:rsidR="005F0B24" w:rsidRPr="008863CF">
        <w:rPr>
          <w:rFonts w:ascii="Palatino Linotype" w:hAnsi="Palatino Linotype"/>
          <w:iCs/>
          <w:sz w:val="24"/>
          <w:szCs w:val="24"/>
        </w:rPr>
        <w:t>, es conveniente acotar la naturaleza del número de cuenta bancario</w:t>
      </w:r>
      <w:r>
        <w:rPr>
          <w:rFonts w:ascii="Palatino Linotype" w:hAnsi="Palatino Linotype"/>
          <w:iCs/>
          <w:sz w:val="24"/>
          <w:szCs w:val="24"/>
        </w:rPr>
        <w:t>,</w:t>
      </w:r>
      <w:r w:rsidR="005F0B24" w:rsidRPr="008863CF">
        <w:rPr>
          <w:rFonts w:ascii="Palatino Linotype" w:hAnsi="Palatino Linotype"/>
          <w:iCs/>
          <w:sz w:val="24"/>
          <w:szCs w:val="24"/>
        </w:rPr>
        <w:t xml:space="preserve"> concebido como el  </w:t>
      </w:r>
      <w:r w:rsidR="005F0B24" w:rsidRPr="008863CF">
        <w:rPr>
          <w:rFonts w:ascii="Palatino Linotype" w:hAnsi="Palatino Linotype"/>
          <w:sz w:val="24"/>
          <w:szCs w:val="24"/>
        </w:rPr>
        <w:t>conjunto de dígitos relacionados con el patrimonio de una persona física identificada que únicamente le incumbe a su titular o personas autorizadas para el acceso o consulta de información patrimonial, así como para la realización de operaciones bancarias, y que al divulgarlo pondría en riesgo el patrimonio del individuo.</w:t>
      </w:r>
    </w:p>
    <w:p w14:paraId="35876257" w14:textId="61318566" w:rsidR="005F0B24" w:rsidRPr="008863CF" w:rsidRDefault="005F0B24" w:rsidP="004210A8">
      <w:pPr>
        <w:spacing w:after="240" w:line="360" w:lineRule="auto"/>
        <w:jc w:val="both"/>
        <w:rPr>
          <w:rFonts w:ascii="Palatino Linotype" w:hAnsi="Palatino Linotype"/>
          <w:sz w:val="24"/>
          <w:szCs w:val="24"/>
        </w:rPr>
      </w:pPr>
      <w:r w:rsidRPr="008863CF">
        <w:rPr>
          <w:rFonts w:ascii="Palatino Linotype" w:hAnsi="Palatino Linotype"/>
          <w:sz w:val="24"/>
          <w:szCs w:val="24"/>
        </w:rPr>
        <w:t xml:space="preserve">Al respecto, el criterio </w:t>
      </w:r>
      <w:r w:rsidRPr="002F7973">
        <w:rPr>
          <w:rFonts w:ascii="Palatino Linotype" w:hAnsi="Palatino Linotype"/>
          <w:b/>
          <w:bCs/>
          <w:sz w:val="24"/>
          <w:szCs w:val="24"/>
        </w:rPr>
        <w:t>10/17</w:t>
      </w:r>
      <w:r w:rsidRPr="008863CF">
        <w:rPr>
          <w:rFonts w:ascii="Palatino Linotype" w:hAnsi="Palatino Linotype"/>
          <w:sz w:val="24"/>
          <w:szCs w:val="24"/>
        </w:rPr>
        <w:t xml:space="preserve"> emitido por el Pleno del Órgano garante nacional dispone a la literalidad lo siguiente:</w:t>
      </w:r>
    </w:p>
    <w:p w14:paraId="5EACAACB" w14:textId="623BC73F" w:rsidR="008863CF" w:rsidRDefault="008863CF" w:rsidP="008863CF">
      <w:pPr>
        <w:pStyle w:val="Citas"/>
      </w:pPr>
      <w:r>
        <w:rPr>
          <w:b/>
          <w:bCs/>
        </w:rPr>
        <w:t>“</w:t>
      </w:r>
      <w:r w:rsidRPr="00884B26">
        <w:rPr>
          <w:b/>
          <w:bCs/>
        </w:rPr>
        <w:t>CUENTAS BANCARIAS Y/O CLABE INTERBANCARIA DE PERSONAS FÍSICAS Y MORALES PRIVADAS.</w:t>
      </w:r>
      <w:r w:rsidRPr="00884B26">
        <w:t xml:space="preserve"> </w:t>
      </w:r>
    </w:p>
    <w:p w14:paraId="48210300" w14:textId="6C0032E0" w:rsidR="005F0B24" w:rsidRPr="00884B26" w:rsidRDefault="005F0B24" w:rsidP="008863CF">
      <w:pPr>
        <w:pStyle w:val="Citas"/>
      </w:pPr>
      <w:r w:rsidRPr="00884B26">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884B26">
        <w:lastRenderedPageBreak/>
        <w:t>fundamento en los artículos 116 de la Ley General de Transparencia y Acceso a la Información Pública y 113 de la Ley Federal de Transparencia y Acceso a la Información Pública.</w:t>
      </w:r>
    </w:p>
    <w:p w14:paraId="20F7992F" w14:textId="77777777" w:rsidR="005F0B24" w:rsidRPr="001E0273" w:rsidRDefault="005F0B24" w:rsidP="008863CF">
      <w:pPr>
        <w:pStyle w:val="Citas"/>
        <w:rPr>
          <w:b/>
        </w:rPr>
      </w:pPr>
      <w:r>
        <w:rPr>
          <w:b/>
        </w:rPr>
        <w:t>Precedentes</w:t>
      </w:r>
      <w:r w:rsidRPr="001E0273">
        <w:rPr>
          <w:b/>
        </w:rPr>
        <w:t>:</w:t>
      </w:r>
    </w:p>
    <w:p w14:paraId="55BC6681" w14:textId="77777777" w:rsidR="005F0B24" w:rsidRPr="00A4388A" w:rsidRDefault="005F0B24" w:rsidP="007A6FE3">
      <w:pPr>
        <w:pStyle w:val="Citas"/>
        <w:numPr>
          <w:ilvl w:val="0"/>
          <w:numId w:val="12"/>
        </w:numPr>
        <w:rPr>
          <w:color w:val="000000"/>
        </w:rPr>
      </w:pPr>
      <w:r w:rsidRPr="523CFAD4">
        <w:t xml:space="preserve">Acceso a la información pública. RRA 1276/16. Sesión del 01 de noviembre de 2016. Votación por unanimidad. </w:t>
      </w:r>
      <w:r w:rsidRPr="523CFAD4">
        <w:rPr>
          <w:rFonts w:eastAsia="Arial"/>
        </w:rPr>
        <w:t>Sin votos disidentes o particulares.</w:t>
      </w:r>
      <w:r w:rsidRPr="523CFAD4">
        <w:t xml:space="preserve"> Grupo Aeroportuario de la Ciudad de México. S.A. de C.V. Comisionada Ponente Areli Cano Guadiana. </w:t>
      </w:r>
    </w:p>
    <w:p w14:paraId="37B5592D" w14:textId="77777777" w:rsidR="005F0B24" w:rsidRPr="00A4388A" w:rsidRDefault="005F0B24" w:rsidP="007A6FE3">
      <w:pPr>
        <w:pStyle w:val="Citas"/>
        <w:numPr>
          <w:ilvl w:val="0"/>
          <w:numId w:val="12"/>
        </w:numPr>
        <w:rPr>
          <w:color w:val="000000"/>
        </w:rPr>
      </w:pPr>
      <w:r w:rsidRPr="523CFAD4">
        <w:t xml:space="preserve">Acceso a la información pública. RRA 3527/16. Sesión del 07 de diciembre de 2016. Votación por unanimidad. </w:t>
      </w:r>
      <w:r w:rsidRPr="523CFAD4">
        <w:rPr>
          <w:rFonts w:eastAsia="Arial"/>
        </w:rPr>
        <w:t>Sin votos disidentes o particulares.</w:t>
      </w:r>
      <w:r w:rsidRPr="523CFAD4">
        <w:t xml:space="preserve"> Servicio de Administración Tributaria. Comisionada Ponente Ximena Puente de la Mora. </w:t>
      </w:r>
    </w:p>
    <w:p w14:paraId="3EFB4208" w14:textId="440671F2" w:rsidR="005F0B24" w:rsidRPr="005F0B24" w:rsidRDefault="005F0B24" w:rsidP="007A6FE3">
      <w:pPr>
        <w:pStyle w:val="Citas"/>
        <w:numPr>
          <w:ilvl w:val="0"/>
          <w:numId w:val="12"/>
        </w:numPr>
        <w:rPr>
          <w:b/>
          <w:bCs/>
        </w:rPr>
      </w:pPr>
      <w:r w:rsidRPr="523CFAD4">
        <w:t xml:space="preserve">Acceso a la información pública. RRA 4404/16. Sesión del 01 de febrero de 2017. Votación por unanimidad. </w:t>
      </w:r>
      <w:r w:rsidRPr="523CFAD4">
        <w:rPr>
          <w:rFonts w:eastAsia="Arial"/>
        </w:rPr>
        <w:t xml:space="preserve">Sin votos disidentes o particulares. </w:t>
      </w:r>
      <w:r w:rsidRPr="523CFAD4">
        <w:t>Partido del Trabajo. Comisionado Ponente Francisco Acuña Llamas</w:t>
      </w:r>
      <w:r w:rsidR="008863CF">
        <w:t xml:space="preserve">” </w:t>
      </w:r>
      <w:r w:rsidR="008863CF">
        <w:rPr>
          <w:b/>
          <w:bCs/>
        </w:rPr>
        <w:t>(Sic)</w:t>
      </w:r>
    </w:p>
    <w:p w14:paraId="7EE0DDAD" w14:textId="77777777" w:rsidR="008863CF" w:rsidRDefault="008863CF" w:rsidP="004210A8">
      <w:pPr>
        <w:spacing w:after="240" w:line="360" w:lineRule="auto"/>
        <w:jc w:val="both"/>
        <w:rPr>
          <w:rFonts w:ascii="Palatino Linotype" w:hAnsi="Palatino Linotype"/>
        </w:rPr>
      </w:pPr>
    </w:p>
    <w:p w14:paraId="63C09161" w14:textId="118F4019" w:rsidR="005F0B24" w:rsidRPr="008863CF" w:rsidRDefault="005F0B24" w:rsidP="004210A8">
      <w:pPr>
        <w:spacing w:after="240" w:line="360" w:lineRule="auto"/>
        <w:jc w:val="both"/>
        <w:rPr>
          <w:rFonts w:ascii="Palatino Linotype" w:hAnsi="Palatino Linotype"/>
          <w:sz w:val="24"/>
          <w:szCs w:val="24"/>
        </w:rPr>
      </w:pPr>
      <w:r w:rsidRPr="008863CF">
        <w:rPr>
          <w:rFonts w:ascii="Palatino Linotype" w:hAnsi="Palatino Linotype"/>
          <w:sz w:val="24"/>
          <w:szCs w:val="24"/>
        </w:rPr>
        <w:t xml:space="preserve">En relación con la idea anterior, se comprende que los números de cuentas referidos en el balance de comprobación detallada se encuentran administrados por </w:t>
      </w:r>
      <w:r w:rsidRPr="008863CF">
        <w:rPr>
          <w:rFonts w:ascii="Palatino Linotype" w:hAnsi="Palatino Linotype"/>
          <w:b/>
          <w:bCs/>
          <w:sz w:val="24"/>
          <w:szCs w:val="24"/>
        </w:rPr>
        <w:t xml:space="preserve">El Sujeto Obligado, </w:t>
      </w:r>
      <w:r w:rsidRPr="008863CF">
        <w:rPr>
          <w:rFonts w:ascii="Palatino Linotype" w:hAnsi="Palatino Linotype"/>
          <w:sz w:val="24"/>
          <w:szCs w:val="24"/>
        </w:rPr>
        <w:t>dicho en otras palabras, se encuentran inmersos en el interés general y el alcance público</w:t>
      </w:r>
      <w:r w:rsidR="002F7973">
        <w:rPr>
          <w:rFonts w:ascii="Palatino Linotype" w:hAnsi="Palatino Linotype"/>
          <w:sz w:val="24"/>
          <w:szCs w:val="24"/>
        </w:rPr>
        <w:t xml:space="preserve">, al dar cuenta del origen y destino de recursos públicos. </w:t>
      </w:r>
    </w:p>
    <w:p w14:paraId="16D370E6" w14:textId="1164CB0D" w:rsidR="005F0B24" w:rsidRPr="008863CF" w:rsidRDefault="005F0B24" w:rsidP="005F0B24">
      <w:pPr>
        <w:spacing w:line="360" w:lineRule="auto"/>
        <w:jc w:val="both"/>
        <w:rPr>
          <w:rFonts w:ascii="Palatino Linotype" w:hAnsi="Palatino Linotype" w:cs="Arial"/>
          <w:color w:val="000000"/>
          <w:sz w:val="24"/>
          <w:szCs w:val="24"/>
          <w:lang w:val="es-ES_tradnl"/>
        </w:rPr>
      </w:pPr>
      <w:r w:rsidRPr="008863CF">
        <w:rPr>
          <w:rFonts w:ascii="Palatino Linotype" w:hAnsi="Palatino Linotype" w:cs="Arial"/>
          <w:color w:val="000000"/>
          <w:sz w:val="24"/>
          <w:szCs w:val="24"/>
          <w:lang w:val="es-ES_tradnl"/>
        </w:rPr>
        <w:lastRenderedPageBreak/>
        <w:t>Hasta aquí lo expuesto, se concluye en que la</w:t>
      </w:r>
      <w:r w:rsidR="008863CF" w:rsidRPr="008863CF">
        <w:rPr>
          <w:rFonts w:ascii="Palatino Linotype" w:hAnsi="Palatino Linotype" w:cs="Arial"/>
          <w:color w:val="000000"/>
          <w:sz w:val="24"/>
          <w:szCs w:val="24"/>
          <w:lang w:val="es-ES_tradnl"/>
        </w:rPr>
        <w:t>s</w:t>
      </w:r>
      <w:r w:rsidRPr="008863CF">
        <w:rPr>
          <w:rFonts w:ascii="Palatino Linotype" w:hAnsi="Palatino Linotype" w:cs="Arial"/>
          <w:color w:val="000000"/>
          <w:sz w:val="24"/>
          <w:szCs w:val="24"/>
          <w:lang w:val="es-ES_tradnl"/>
        </w:rPr>
        <w:t xml:space="preserve"> respuesta</w:t>
      </w:r>
      <w:r w:rsidR="008863CF" w:rsidRPr="008863CF">
        <w:rPr>
          <w:rFonts w:ascii="Palatino Linotype" w:hAnsi="Palatino Linotype" w:cs="Arial"/>
          <w:color w:val="000000"/>
          <w:sz w:val="24"/>
          <w:szCs w:val="24"/>
          <w:lang w:val="es-ES_tradnl"/>
        </w:rPr>
        <w:t>s</w:t>
      </w:r>
      <w:r w:rsidRPr="008863CF">
        <w:rPr>
          <w:rFonts w:ascii="Palatino Linotype" w:hAnsi="Palatino Linotype" w:cs="Arial"/>
          <w:color w:val="000000"/>
          <w:sz w:val="24"/>
          <w:szCs w:val="24"/>
          <w:lang w:val="es-ES_tradnl"/>
        </w:rPr>
        <w:t xml:space="preserve"> primigenia</w:t>
      </w:r>
      <w:r w:rsidR="008863CF" w:rsidRPr="008863CF">
        <w:rPr>
          <w:rFonts w:ascii="Palatino Linotype" w:hAnsi="Palatino Linotype" w:cs="Arial"/>
          <w:color w:val="000000"/>
          <w:sz w:val="24"/>
          <w:szCs w:val="24"/>
          <w:lang w:val="es-ES_tradnl"/>
        </w:rPr>
        <w:t>s</w:t>
      </w:r>
      <w:r w:rsidRPr="008863CF">
        <w:rPr>
          <w:rFonts w:ascii="Palatino Linotype" w:hAnsi="Palatino Linotype" w:cs="Arial"/>
          <w:color w:val="000000"/>
          <w:sz w:val="24"/>
          <w:szCs w:val="24"/>
          <w:lang w:val="es-ES_tradnl"/>
        </w:rPr>
        <w:t xml:space="preserve"> no </w:t>
      </w:r>
      <w:r w:rsidR="008863CF" w:rsidRPr="008863CF">
        <w:rPr>
          <w:rFonts w:ascii="Palatino Linotype" w:hAnsi="Palatino Linotype" w:cs="Arial"/>
          <w:color w:val="000000"/>
          <w:sz w:val="24"/>
          <w:szCs w:val="24"/>
          <w:lang w:val="es-ES_tradnl"/>
        </w:rPr>
        <w:t>son</w:t>
      </w:r>
      <w:r w:rsidRPr="008863CF">
        <w:rPr>
          <w:rFonts w:ascii="Palatino Linotype" w:hAnsi="Palatino Linotype" w:cs="Arial"/>
          <w:color w:val="000000"/>
          <w:sz w:val="24"/>
          <w:szCs w:val="24"/>
          <w:lang w:val="es-ES_tradnl"/>
        </w:rPr>
        <w:t xml:space="preserve"> susceptible</w:t>
      </w:r>
      <w:r w:rsidR="008863CF" w:rsidRPr="008863CF">
        <w:rPr>
          <w:rFonts w:ascii="Palatino Linotype" w:hAnsi="Palatino Linotype" w:cs="Arial"/>
          <w:color w:val="000000"/>
          <w:sz w:val="24"/>
          <w:szCs w:val="24"/>
          <w:lang w:val="es-ES_tradnl"/>
        </w:rPr>
        <w:t>s</w:t>
      </w:r>
      <w:r w:rsidRPr="008863CF">
        <w:rPr>
          <w:rFonts w:ascii="Palatino Linotype" w:hAnsi="Palatino Linotype" w:cs="Arial"/>
          <w:color w:val="000000"/>
          <w:sz w:val="24"/>
          <w:szCs w:val="24"/>
          <w:lang w:val="es-ES_tradnl"/>
        </w:rPr>
        <w:t xml:space="preserve"> de atender el derecho de acceso a la información pública, </w:t>
      </w:r>
      <w:r w:rsidR="008863CF" w:rsidRPr="008863CF">
        <w:rPr>
          <w:rFonts w:ascii="Palatino Linotype" w:hAnsi="Palatino Linotype" w:cs="Arial"/>
          <w:color w:val="000000"/>
          <w:sz w:val="24"/>
          <w:szCs w:val="24"/>
          <w:lang w:val="es-ES_tradnl"/>
        </w:rPr>
        <w:t xml:space="preserve">al tomar en consideración que </w:t>
      </w:r>
      <w:r w:rsidR="008863CF" w:rsidRPr="008863CF">
        <w:rPr>
          <w:rFonts w:ascii="Palatino Linotype" w:hAnsi="Palatino Linotype" w:cs="Arial"/>
          <w:b/>
          <w:bCs/>
          <w:color w:val="000000"/>
          <w:sz w:val="24"/>
          <w:szCs w:val="24"/>
          <w:lang w:val="es-ES_tradnl"/>
        </w:rPr>
        <w:t xml:space="preserve">El Sujeto Obligado </w:t>
      </w:r>
      <w:r w:rsidR="008863CF" w:rsidRPr="008863CF">
        <w:rPr>
          <w:rFonts w:ascii="Palatino Linotype" w:hAnsi="Palatino Linotype" w:cs="Arial"/>
          <w:color w:val="000000"/>
          <w:sz w:val="24"/>
          <w:szCs w:val="24"/>
          <w:lang w:val="es-ES_tradnl"/>
        </w:rPr>
        <w:t>estimó erróneamente como confidencial diversos atributos de la balanza de comprobación detallada</w:t>
      </w:r>
      <w:r w:rsidR="002F7973">
        <w:rPr>
          <w:rFonts w:ascii="Palatino Linotype" w:hAnsi="Palatino Linotype" w:cs="Arial"/>
          <w:color w:val="000000"/>
          <w:sz w:val="24"/>
          <w:szCs w:val="24"/>
          <w:lang w:val="es-ES_tradnl"/>
        </w:rPr>
        <w:t xml:space="preserve"> y/o equivalente. </w:t>
      </w:r>
    </w:p>
    <w:p w14:paraId="19B8D8F6" w14:textId="750BA8D5" w:rsidR="004416EB" w:rsidRDefault="004416EB" w:rsidP="004416EB">
      <w:pPr>
        <w:spacing w:line="360" w:lineRule="auto"/>
        <w:jc w:val="both"/>
        <w:rPr>
          <w:rFonts w:ascii="Palatino Linotype" w:hAnsi="Palatino Linotype"/>
          <w:b/>
          <w:i/>
          <w:sz w:val="24"/>
          <w:szCs w:val="24"/>
        </w:rPr>
      </w:pPr>
      <w:r w:rsidRPr="006A31E8">
        <w:rPr>
          <w:rFonts w:ascii="Palatino Linotype" w:hAnsi="Palatino Linotype" w:cs="Arial"/>
          <w:bCs/>
          <w:sz w:val="24"/>
          <w:szCs w:val="24"/>
        </w:rPr>
        <w:t>Es así como, derivado de la</w:t>
      </w:r>
      <w:r w:rsidR="008863CF">
        <w:rPr>
          <w:rFonts w:ascii="Palatino Linotype" w:hAnsi="Palatino Linotype" w:cs="Arial"/>
          <w:bCs/>
          <w:sz w:val="24"/>
          <w:szCs w:val="24"/>
        </w:rPr>
        <w:t>s</w:t>
      </w:r>
      <w:r w:rsidRPr="006A31E8">
        <w:rPr>
          <w:rFonts w:ascii="Palatino Linotype" w:hAnsi="Palatino Linotype" w:cs="Arial"/>
          <w:bCs/>
          <w:sz w:val="24"/>
          <w:szCs w:val="24"/>
        </w:rPr>
        <w:t xml:space="preserve"> respuesta</w:t>
      </w:r>
      <w:r w:rsidR="00B11F85">
        <w:rPr>
          <w:rFonts w:ascii="Palatino Linotype" w:hAnsi="Palatino Linotype" w:cs="Arial"/>
          <w:bCs/>
          <w:sz w:val="24"/>
          <w:szCs w:val="24"/>
        </w:rPr>
        <w:t>s</w:t>
      </w:r>
      <w:r w:rsidRPr="006A31E8">
        <w:rPr>
          <w:rFonts w:ascii="Palatino Linotype" w:hAnsi="Palatino Linotype" w:cs="Arial"/>
          <w:bCs/>
          <w:sz w:val="24"/>
          <w:szCs w:val="24"/>
        </w:rPr>
        <w:t xml:space="preserve"> emitida</w:t>
      </w:r>
      <w:r w:rsidR="008863CF">
        <w:rPr>
          <w:rFonts w:ascii="Palatino Linotype" w:hAnsi="Palatino Linotype" w:cs="Arial"/>
          <w:bCs/>
          <w:sz w:val="24"/>
          <w:szCs w:val="24"/>
        </w:rPr>
        <w:t>s</w:t>
      </w:r>
      <w:r w:rsidRPr="006A31E8">
        <w:rPr>
          <w:rFonts w:ascii="Palatino Linotype" w:hAnsi="Palatino Linotype" w:cs="Arial"/>
          <w:bCs/>
          <w:sz w:val="24"/>
          <w:szCs w:val="24"/>
        </w:rPr>
        <w:t xml:space="preserve"> por </w:t>
      </w:r>
      <w:r w:rsidRPr="006A31E8">
        <w:rPr>
          <w:rFonts w:ascii="Palatino Linotype" w:hAnsi="Palatino Linotype" w:cs="Arial"/>
          <w:b/>
          <w:bCs/>
          <w:sz w:val="24"/>
          <w:szCs w:val="24"/>
        </w:rPr>
        <w:t>El Sujeto Obligado</w:t>
      </w:r>
      <w:r w:rsidRPr="006A31E8">
        <w:rPr>
          <w:rFonts w:ascii="Palatino Linotype" w:hAnsi="Palatino Linotype" w:cs="Arial"/>
          <w:bCs/>
          <w:sz w:val="24"/>
          <w:szCs w:val="24"/>
        </w:rPr>
        <w:t xml:space="preserve">, </w:t>
      </w:r>
      <w:r>
        <w:rPr>
          <w:rFonts w:ascii="Palatino Linotype" w:hAnsi="Palatino Linotype" w:cs="Arial"/>
          <w:b/>
          <w:bCs/>
          <w:sz w:val="24"/>
          <w:szCs w:val="24"/>
        </w:rPr>
        <w:t>El</w:t>
      </w:r>
      <w:r w:rsidRPr="006A31E8">
        <w:rPr>
          <w:rFonts w:ascii="Palatino Linotype" w:hAnsi="Palatino Linotype" w:cs="Arial"/>
          <w:b/>
          <w:bCs/>
          <w:sz w:val="24"/>
          <w:szCs w:val="24"/>
        </w:rPr>
        <w:t xml:space="preserve"> Recurrente</w:t>
      </w:r>
      <w:r w:rsidRPr="006A31E8">
        <w:rPr>
          <w:rFonts w:ascii="Palatino Linotype" w:hAnsi="Palatino Linotype" w:cs="Arial"/>
          <w:bCs/>
          <w:sz w:val="24"/>
          <w:szCs w:val="24"/>
        </w:rPr>
        <w:t xml:space="preserve">, interpuso </w:t>
      </w:r>
      <w:r w:rsidR="008863CF">
        <w:rPr>
          <w:rFonts w:ascii="Palatino Linotype" w:hAnsi="Palatino Linotype" w:cs="Arial"/>
          <w:bCs/>
          <w:sz w:val="24"/>
          <w:szCs w:val="24"/>
        </w:rPr>
        <w:t>los</w:t>
      </w:r>
      <w:r w:rsidRPr="006A31E8">
        <w:rPr>
          <w:rFonts w:ascii="Palatino Linotype" w:hAnsi="Palatino Linotype" w:cs="Arial"/>
          <w:bCs/>
          <w:sz w:val="24"/>
          <w:szCs w:val="24"/>
        </w:rPr>
        <w:t xml:space="preserve"> presente</w:t>
      </w:r>
      <w:r w:rsidR="008863CF">
        <w:rPr>
          <w:rFonts w:ascii="Palatino Linotype" w:hAnsi="Palatino Linotype" w:cs="Arial"/>
          <w:bCs/>
          <w:sz w:val="24"/>
          <w:szCs w:val="24"/>
        </w:rPr>
        <w:t>s</w:t>
      </w:r>
      <w:r w:rsidRPr="006A31E8">
        <w:rPr>
          <w:rFonts w:ascii="Palatino Linotype" w:hAnsi="Palatino Linotype" w:cs="Arial"/>
          <w:bCs/>
          <w:sz w:val="24"/>
          <w:szCs w:val="24"/>
        </w:rPr>
        <w:t xml:space="preserve"> recurso</w:t>
      </w:r>
      <w:r w:rsidR="008863CF">
        <w:rPr>
          <w:rFonts w:ascii="Palatino Linotype" w:hAnsi="Palatino Linotype" w:cs="Arial"/>
          <w:bCs/>
          <w:sz w:val="24"/>
          <w:szCs w:val="24"/>
        </w:rPr>
        <w:t>s</w:t>
      </w:r>
      <w:r w:rsidRPr="006A31E8">
        <w:rPr>
          <w:rFonts w:ascii="Palatino Linotype" w:hAnsi="Palatino Linotype" w:cs="Arial"/>
          <w:bCs/>
          <w:sz w:val="24"/>
          <w:szCs w:val="24"/>
        </w:rPr>
        <w:t xml:space="preserve"> de revisión, señalando sustancialmente como sus razones o motivos de inconformidad, lo siguiente:</w:t>
      </w:r>
      <w:r w:rsidRPr="006A31E8" w:rsidDel="00107C3B">
        <w:rPr>
          <w:rFonts w:ascii="Palatino Linotype" w:hAnsi="Palatino Linotype"/>
          <w:b/>
          <w:i/>
          <w:sz w:val="24"/>
          <w:szCs w:val="24"/>
        </w:rPr>
        <w:t xml:space="preserve"> </w:t>
      </w:r>
    </w:p>
    <w:p w14:paraId="1D1892DE" w14:textId="77777777" w:rsidR="008863CF" w:rsidRPr="00C24CA5" w:rsidRDefault="008863CF" w:rsidP="008863CF">
      <w:pPr>
        <w:pStyle w:val="Citas"/>
        <w:ind w:left="0"/>
        <w:rPr>
          <w:b/>
          <w:bCs/>
          <w:i w:val="0"/>
          <w:iCs/>
          <w:sz w:val="24"/>
          <w:szCs w:val="24"/>
        </w:rPr>
      </w:pPr>
      <w:r w:rsidRPr="00C24CA5">
        <w:rPr>
          <w:b/>
          <w:bCs/>
          <w:i w:val="0"/>
          <w:iCs/>
          <w:sz w:val="24"/>
          <w:szCs w:val="24"/>
        </w:rPr>
        <w:t xml:space="preserve">Acto impugnado: </w:t>
      </w:r>
    </w:p>
    <w:p w14:paraId="52C720C5" w14:textId="77777777" w:rsidR="008863CF" w:rsidRPr="00C24CA5" w:rsidRDefault="008863CF" w:rsidP="008863CF">
      <w:pPr>
        <w:pStyle w:val="Citas"/>
        <w:rPr>
          <w:b/>
          <w:bCs/>
        </w:rPr>
      </w:pPr>
      <w:r w:rsidRPr="00C24CA5">
        <w:t xml:space="preserve">“SE ENTREGÓ INFORMACIÓN INCOMPLETA” </w:t>
      </w:r>
      <w:r w:rsidRPr="00C24CA5">
        <w:rPr>
          <w:b/>
          <w:bCs/>
        </w:rPr>
        <w:t>(Sic)</w:t>
      </w:r>
    </w:p>
    <w:p w14:paraId="3C410267" w14:textId="77777777" w:rsidR="008863CF" w:rsidRPr="00C24CA5" w:rsidRDefault="008863CF" w:rsidP="008863CF">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25060548" w14:textId="77777777" w:rsidR="008863CF" w:rsidRPr="00C24CA5" w:rsidRDefault="008863CF" w:rsidP="008863CF">
      <w:pPr>
        <w:pStyle w:val="Citas"/>
        <w:rPr>
          <w:b/>
          <w:bCs/>
        </w:rPr>
      </w:pPr>
      <w:r w:rsidRPr="00C24CA5">
        <w:t xml:space="preserve">“En atención a la respuesta recibida respecto a mi solicitud de información sobre la Balanza de Comprobación detallada de los meses de enero a agosto de 2024 en formato XLS, y en la que se expone que la información solicitada contiene datos sensibles y confidenciales, me permito presentar la siguiente réplica con fundamento en las disposiciones legales aplicables: 1. Del derecho de acceso a la información pública: El artículo 6 de la Constitución Política de los Estados Unidos Mexicanos establece el derecho de toda persona al acceso a la información pública. Asimismo, el artículo 1 de la Ley de Transparencia y Acceso a la Información Pública del Estado de México y Municipios consagra que la información en posesión de los sujetos obligados es pública, salvo las excepciones expresamente previstas. 2. Información financiera como de carácter público: La Ley de Transparencia del Estado de México dispone en su artículo 13, fracción XI, que es información pública toda aquella relacionada con </w:t>
      </w:r>
      <w:r w:rsidRPr="00C24CA5">
        <w:lastRenderedPageBreak/>
        <w:t xml:space="preserve">"el ejercicio del gasto público y las cuentas públicas" de los sujetos obligados, como lo es la balanza de comprobación, siendo esta un instrumento clave para la rendición de cuentas de las entidades públicas. 3. Información confidencial: Entiendo la preocupación por la protección de datos personales, tal como lo señala el artículo 143, fracción I de la citada ley, sin embargo, el objetivo de mi solicitud no es obtener nombres de clientes, proveedores o información bancaria, sino simplemente la información financiera relacionada con el gasto público. En virtud de esto, solicito que los datos personales sensibles sean debidamente anonimizados de conformidad con los principios de confidencialidad y protección de datos personales previstos en la Ley de Protección de Datos Personales en Posesión de Sujetos Obligados del Estado de México y Municipios. 4. Proporcionalidad y acceso parcial: El artículo 144 de la misma ley establece el principio de proporcionalidad y acceso parcial, mediante el cual los sujetos obligados deben entregar la información solicitada excluyendo la que sea confidencial o reservada. Por lo tanto, en este caso, puede proporcionarse la balanza de comprobación sin los datos personales protegidos. 5. Solicitud de anonimización: De acuerdo con lo anterior, reitero mi solicitud para obtener la balanza de comprobación detallada, pero anonimizando o eliminando cualquier información confidencial (como nombres, cuentas bancarias o datos de contacto), de conformidad con las leyes antes mencionadas. Agradezco de antemano su atención a la presente y quedo a la espera de la entrega de la información solicitada de acuerdo con los términos de la legislación vigente. Es importante mencionar que en la solicitud se mencionó que el documento se requiere en el formato XML, sin embargo, si la información en ese formato imposibilita testar cierta información, la información puede ser proporcionada en otro formato como PDF” </w:t>
      </w:r>
      <w:r w:rsidRPr="00C24CA5">
        <w:rPr>
          <w:b/>
          <w:bCs/>
        </w:rPr>
        <w:t>(Sic)</w:t>
      </w:r>
    </w:p>
    <w:p w14:paraId="65B8DD86" w14:textId="6249515D" w:rsidR="00BA1B53" w:rsidRPr="0037314A" w:rsidRDefault="00BA1B53" w:rsidP="00BA1B53">
      <w:pPr>
        <w:pStyle w:val="infoemcitas"/>
        <w:tabs>
          <w:tab w:val="left" w:pos="7655"/>
        </w:tabs>
        <w:ind w:left="0" w:right="0"/>
        <w:rPr>
          <w:rFonts w:cs="Arial"/>
          <w:i w:val="0"/>
          <w:color w:val="000000"/>
          <w:sz w:val="24"/>
          <w:lang w:eastAsia="es-MX"/>
        </w:rPr>
      </w:pPr>
      <w:r w:rsidRPr="0037314A">
        <w:rPr>
          <w:i w:val="0"/>
          <w:sz w:val="24"/>
          <w:szCs w:val="24"/>
        </w:rPr>
        <w:lastRenderedPageBreak/>
        <w:t xml:space="preserve">Así las cosas, hasta aquí lo expuesto, resulta inconcuso que los motivos de inconformidad esgrimidos por el particular encuadran dentro del artículo 179, </w:t>
      </w:r>
      <w:r>
        <w:rPr>
          <w:i w:val="0"/>
          <w:sz w:val="24"/>
          <w:szCs w:val="24"/>
        </w:rPr>
        <w:t xml:space="preserve">fracciones I y </w:t>
      </w:r>
      <w:r w:rsidR="008863CF">
        <w:rPr>
          <w:i w:val="0"/>
          <w:sz w:val="24"/>
          <w:szCs w:val="24"/>
        </w:rPr>
        <w:t>II</w:t>
      </w:r>
      <w:r w:rsidRPr="0037314A">
        <w:rPr>
          <w:i w:val="0"/>
          <w:sz w:val="24"/>
          <w:szCs w:val="24"/>
        </w:rPr>
        <w:t xml:space="preserve"> de la </w:t>
      </w:r>
      <w:r w:rsidRPr="0037314A">
        <w:rPr>
          <w:rFonts w:cs="Arial"/>
          <w:i w:val="0"/>
          <w:color w:val="000000"/>
          <w:sz w:val="24"/>
          <w:lang w:eastAsia="es-MX"/>
        </w:rPr>
        <w:t xml:space="preserve">Ley de Transparencia y Acceso a la Información Pública del Estado de México y Municipios, cuyo contenido literal es el siguiente: </w:t>
      </w:r>
    </w:p>
    <w:p w14:paraId="0017422A" w14:textId="77777777" w:rsidR="00BA1B53" w:rsidRPr="0037314A" w:rsidRDefault="00BA1B53" w:rsidP="00BA1B53">
      <w:pPr>
        <w:pStyle w:val="Citas"/>
      </w:pPr>
      <w:r w:rsidRPr="0037314A">
        <w:t xml:space="preserve"> “Artículo 179. El recurso de revisión es un medio de protección que la Ley otorga a los particulares, para hacer valer su derecho de acceso a la información pública, y procederá en contra de las siguientes causas:</w:t>
      </w:r>
    </w:p>
    <w:p w14:paraId="1751E8A0" w14:textId="77777777" w:rsidR="00BA1B53" w:rsidRDefault="00BA1B53" w:rsidP="00BA1B53">
      <w:pPr>
        <w:pStyle w:val="Citas"/>
      </w:pPr>
      <w:r w:rsidRPr="0037314A">
        <w:t>I. La negativa a la información solicitada;</w:t>
      </w:r>
    </w:p>
    <w:p w14:paraId="03228BF7" w14:textId="4BD34AD4" w:rsidR="00BA1B53" w:rsidRDefault="008863CF" w:rsidP="00BA1B53">
      <w:pPr>
        <w:pStyle w:val="Citas"/>
      </w:pPr>
      <w:r w:rsidRPr="008863CF">
        <w:t>II. La clasificación de la información;</w:t>
      </w:r>
    </w:p>
    <w:p w14:paraId="3C5611C7" w14:textId="0524E6AC" w:rsidR="00BA1B53" w:rsidRDefault="00BA1B53" w:rsidP="00BA1B53">
      <w:pPr>
        <w:pStyle w:val="Citas"/>
        <w:rPr>
          <w:b/>
          <w:bCs/>
        </w:rPr>
      </w:pPr>
      <w:r>
        <w:t xml:space="preserve">(…)” </w:t>
      </w:r>
      <w:r>
        <w:rPr>
          <w:b/>
          <w:bCs/>
        </w:rPr>
        <w:t>(Sic)</w:t>
      </w:r>
    </w:p>
    <w:p w14:paraId="69BBD3CA" w14:textId="77777777" w:rsidR="00BA1B53" w:rsidRDefault="00BA1B53" w:rsidP="004416EB">
      <w:pPr>
        <w:spacing w:line="360" w:lineRule="auto"/>
        <w:jc w:val="both"/>
        <w:rPr>
          <w:rFonts w:ascii="Palatino Linotype" w:hAnsi="Palatino Linotype"/>
          <w:b/>
          <w:i/>
          <w:sz w:val="24"/>
          <w:szCs w:val="24"/>
        </w:rPr>
      </w:pPr>
    </w:p>
    <w:p w14:paraId="02E7897B" w14:textId="3EB7E5C1" w:rsidR="008863CF" w:rsidRDefault="004416EB" w:rsidP="004416EB">
      <w:pPr>
        <w:spacing w:line="360" w:lineRule="auto"/>
        <w:jc w:val="both"/>
        <w:rPr>
          <w:rFonts w:ascii="Palatino Linotype" w:hAnsi="Palatino Linotype"/>
          <w:bCs/>
          <w:iCs/>
          <w:sz w:val="24"/>
          <w:szCs w:val="24"/>
        </w:rPr>
      </w:pPr>
      <w:r w:rsidRPr="006A31E8">
        <w:rPr>
          <w:rFonts w:ascii="Palatino Linotype" w:hAnsi="Palatino Linotype"/>
          <w:sz w:val="24"/>
          <w:szCs w:val="24"/>
          <w:lang w:val="es-ES_tradnl"/>
        </w:rPr>
        <w:t xml:space="preserve">Asimismo, en la etapa de manifestaciones </w:t>
      </w:r>
      <w:r w:rsidRPr="006A31E8">
        <w:rPr>
          <w:rFonts w:ascii="Palatino Linotype" w:hAnsi="Palatino Linotype"/>
          <w:sz w:val="24"/>
          <w:szCs w:val="24"/>
        </w:rPr>
        <w:t xml:space="preserve">se advierte que el </w:t>
      </w:r>
      <w:r w:rsidRPr="006A31E8">
        <w:rPr>
          <w:rFonts w:ascii="Palatino Linotype" w:hAnsi="Palatino Linotype"/>
          <w:b/>
          <w:sz w:val="24"/>
          <w:szCs w:val="24"/>
        </w:rPr>
        <w:t xml:space="preserve">Sujeto </w:t>
      </w:r>
      <w:r>
        <w:rPr>
          <w:rFonts w:ascii="Palatino Linotype" w:hAnsi="Palatino Linotype"/>
          <w:b/>
          <w:sz w:val="24"/>
          <w:szCs w:val="24"/>
        </w:rPr>
        <w:t xml:space="preserve">Obligado </w:t>
      </w:r>
      <w:r>
        <w:rPr>
          <w:rFonts w:ascii="Palatino Linotype" w:hAnsi="Palatino Linotype"/>
          <w:bCs/>
          <w:sz w:val="24"/>
          <w:szCs w:val="24"/>
        </w:rPr>
        <w:t>fue omiso en rendir sus informes justificados</w:t>
      </w:r>
      <w:r w:rsidR="00B11F85">
        <w:rPr>
          <w:rFonts w:ascii="Palatino Linotype" w:hAnsi="Palatino Linotype"/>
          <w:bCs/>
          <w:sz w:val="24"/>
          <w:szCs w:val="24"/>
        </w:rPr>
        <w:t xml:space="preserve">, es decir, no subsanó la violación al derecho de acceso a la información pública. </w:t>
      </w:r>
      <w:r w:rsidR="00BA1B53">
        <w:rPr>
          <w:rFonts w:ascii="Palatino Linotype" w:hAnsi="Palatino Linotype"/>
          <w:bCs/>
          <w:iCs/>
          <w:sz w:val="24"/>
          <w:szCs w:val="24"/>
        </w:rPr>
        <w:t>En las generalizaciones anteriores</w:t>
      </w:r>
      <w:r>
        <w:rPr>
          <w:rFonts w:ascii="Palatino Linotype" w:hAnsi="Palatino Linotype"/>
          <w:bCs/>
          <w:iCs/>
          <w:sz w:val="24"/>
          <w:szCs w:val="24"/>
        </w:rPr>
        <w:t xml:space="preserve">, a efecto de dirimir la controversia planteada, resulta </w:t>
      </w:r>
      <w:r w:rsidR="008863CF">
        <w:rPr>
          <w:rFonts w:ascii="Palatino Linotype" w:hAnsi="Palatino Linotype"/>
          <w:bCs/>
          <w:iCs/>
          <w:sz w:val="24"/>
          <w:szCs w:val="24"/>
        </w:rPr>
        <w:t>procedente ordenar la entrega</w:t>
      </w:r>
      <w:r w:rsidR="002F7973">
        <w:rPr>
          <w:rFonts w:ascii="Palatino Linotype" w:hAnsi="Palatino Linotype"/>
          <w:bCs/>
          <w:iCs/>
          <w:sz w:val="24"/>
          <w:szCs w:val="24"/>
        </w:rPr>
        <w:t xml:space="preserve">, </w:t>
      </w:r>
      <w:r w:rsidR="002F7973" w:rsidRPr="002F7973">
        <w:rPr>
          <w:rFonts w:ascii="Palatino Linotype" w:hAnsi="Palatino Linotype"/>
          <w:b/>
          <w:iCs/>
          <w:sz w:val="24"/>
          <w:szCs w:val="24"/>
          <w:u w:val="single"/>
        </w:rPr>
        <w:t>en versión íntegra,</w:t>
      </w:r>
      <w:r w:rsidR="002F7973">
        <w:rPr>
          <w:rFonts w:ascii="Palatino Linotype" w:hAnsi="Palatino Linotype"/>
          <w:bCs/>
          <w:iCs/>
          <w:sz w:val="24"/>
          <w:szCs w:val="24"/>
        </w:rPr>
        <w:t xml:space="preserve"> de</w:t>
      </w:r>
      <w:r w:rsidR="008863CF">
        <w:rPr>
          <w:rFonts w:ascii="Palatino Linotype" w:hAnsi="Palatino Linotype"/>
          <w:bCs/>
          <w:iCs/>
          <w:sz w:val="24"/>
          <w:szCs w:val="24"/>
        </w:rPr>
        <w:t xml:space="preserve"> la siguiente información: </w:t>
      </w:r>
    </w:p>
    <w:p w14:paraId="5454D5EC" w14:textId="77777777" w:rsidR="008863CF" w:rsidRPr="008863CF" w:rsidRDefault="008863CF" w:rsidP="007A6FE3">
      <w:pPr>
        <w:pStyle w:val="Prrafodelista"/>
        <w:numPr>
          <w:ilvl w:val="0"/>
          <w:numId w:val="10"/>
        </w:numPr>
        <w:spacing w:before="240" w:line="360" w:lineRule="auto"/>
        <w:jc w:val="both"/>
        <w:rPr>
          <w:rFonts w:ascii="Palatino Linotype" w:hAnsi="Palatino Linotype"/>
        </w:rPr>
      </w:pPr>
      <w:r w:rsidRPr="008863CF">
        <w:rPr>
          <w:rFonts w:ascii="Palatino Linotype" w:hAnsi="Palatino Linotype"/>
        </w:rPr>
        <w:t xml:space="preserve">Balanza de comprobación detallada y/o equivalente, en formato XLS o aquel en el que haya sido generada la información, del periodo comprendido del uno de enero de dos mil veintidós al veintiocho de agosto de dos mil veinticuatro. </w:t>
      </w:r>
    </w:p>
    <w:p w14:paraId="0440F75B" w14:textId="77777777" w:rsidR="008863CF" w:rsidRPr="008863CF" w:rsidRDefault="008863CF" w:rsidP="004416EB">
      <w:pPr>
        <w:spacing w:line="360" w:lineRule="auto"/>
        <w:jc w:val="both"/>
        <w:rPr>
          <w:rFonts w:ascii="Palatino Linotype" w:hAnsi="Palatino Linotype"/>
          <w:bCs/>
          <w:iCs/>
          <w:sz w:val="24"/>
          <w:szCs w:val="24"/>
          <w:lang w:val="es-ES"/>
        </w:rPr>
      </w:pPr>
    </w:p>
    <w:bookmarkEnd w:id="2"/>
    <w:p w14:paraId="65EC605B" w14:textId="74AC0505" w:rsidR="009104CA" w:rsidRPr="009104CA" w:rsidRDefault="009104CA" w:rsidP="009104CA">
      <w:pPr>
        <w:tabs>
          <w:tab w:val="left" w:pos="709"/>
        </w:tabs>
        <w:spacing w:before="240" w:line="360" w:lineRule="auto"/>
        <w:ind w:right="51"/>
        <w:jc w:val="both"/>
        <w:rPr>
          <w:rFonts w:ascii="Palatino Linotype" w:eastAsia="Times New Roman" w:hAnsi="Palatino Linotype" w:cs="Arial"/>
          <w:sz w:val="24"/>
          <w:szCs w:val="24"/>
          <w:lang w:eastAsia="es-ES"/>
        </w:rPr>
      </w:pPr>
      <w:r w:rsidRPr="000F5B7E">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REVOCA</w:t>
      </w:r>
      <w:r>
        <w:rPr>
          <w:rFonts w:ascii="Palatino Linotype" w:eastAsia="Times New Roman" w:hAnsi="Palatino Linotype" w:cs="Arial"/>
          <w:b/>
          <w:sz w:val="24"/>
          <w:szCs w:val="24"/>
          <w:lang w:eastAsia="es-ES"/>
        </w:rPr>
        <w:t xml:space="preserve">N </w:t>
      </w:r>
      <w:r>
        <w:rPr>
          <w:rFonts w:ascii="Palatino Linotype" w:eastAsia="Times New Roman" w:hAnsi="Palatino Linotype" w:cs="Arial"/>
          <w:bCs/>
          <w:sz w:val="24"/>
          <w:szCs w:val="24"/>
          <w:lang w:eastAsia="es-ES"/>
        </w:rPr>
        <w:t xml:space="preserve">las respuestas a las solicitudes de información números </w:t>
      </w:r>
      <w:r w:rsidR="00B11F85">
        <w:rPr>
          <w:rFonts w:ascii="Palatino Linotype" w:hAnsi="Palatino Linotype" w:cs="Arial"/>
          <w:b/>
          <w:bCs/>
          <w:sz w:val="24"/>
        </w:rPr>
        <w:t xml:space="preserve">00116/ACAMBAY/IP/2024, 00115/ACAMBAY/IP/2024 y 00114/ACAMBAY/IP/2024, </w:t>
      </w:r>
      <w:r>
        <w:rPr>
          <w:rFonts w:ascii="Palatino Linotype" w:hAnsi="Palatino Linotype" w:cs="Arial"/>
          <w:sz w:val="24"/>
        </w:rPr>
        <w:t xml:space="preserve">que han sido materia del presente fallo. </w:t>
      </w:r>
    </w:p>
    <w:p w14:paraId="49C076D7" w14:textId="08B221FC" w:rsidR="009104CA" w:rsidRDefault="009104CA" w:rsidP="007A6FE3">
      <w:pPr>
        <w:pStyle w:val="Prrafodelista"/>
        <w:spacing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1DFB8D3A" w14:textId="77777777" w:rsidR="007A6FE3" w:rsidRPr="007A6FE3" w:rsidRDefault="007A6FE3" w:rsidP="007A6FE3">
      <w:pPr>
        <w:pStyle w:val="Prrafodelista"/>
        <w:spacing w:line="360" w:lineRule="auto"/>
        <w:ind w:left="0"/>
        <w:jc w:val="both"/>
        <w:rPr>
          <w:rFonts w:ascii="Palatino Linotype" w:hAnsi="Palatino Linotype"/>
        </w:rPr>
      </w:pPr>
    </w:p>
    <w:p w14:paraId="779BFA6E" w14:textId="77777777" w:rsidR="009104CA" w:rsidRPr="007A6FE3" w:rsidRDefault="009104CA" w:rsidP="007A6FE3">
      <w:pPr>
        <w:spacing w:after="0" w:line="360" w:lineRule="auto"/>
        <w:jc w:val="center"/>
        <w:rPr>
          <w:rFonts w:ascii="Palatino Linotype" w:eastAsia="Times New Roman" w:hAnsi="Palatino Linotype"/>
          <w:b/>
          <w:bCs/>
          <w:spacing w:val="60"/>
          <w:sz w:val="28"/>
          <w:szCs w:val="24"/>
          <w:lang w:val="es-ES_tradnl"/>
        </w:rPr>
      </w:pPr>
      <w:r w:rsidRPr="007A6FE3">
        <w:rPr>
          <w:rFonts w:ascii="Palatino Linotype" w:eastAsia="Times New Roman" w:hAnsi="Palatino Linotype"/>
          <w:b/>
          <w:bCs/>
          <w:spacing w:val="60"/>
          <w:sz w:val="28"/>
          <w:szCs w:val="24"/>
          <w:lang w:val="es-ES_tradnl"/>
        </w:rPr>
        <w:t>SE    RESUELVE</w:t>
      </w:r>
    </w:p>
    <w:p w14:paraId="35E3567B" w14:textId="4B39D436" w:rsidR="009104CA" w:rsidRDefault="009104CA" w:rsidP="009104CA">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REVOCA</w:t>
      </w:r>
      <w:r>
        <w:rPr>
          <w:rFonts w:ascii="Palatino Linotype" w:hAnsi="Palatino Linotype" w:cs="Arial"/>
          <w:b/>
          <w:sz w:val="24"/>
          <w:szCs w:val="24"/>
        </w:rPr>
        <w:t xml:space="preserve">N </w:t>
      </w:r>
      <w:r>
        <w:rPr>
          <w:rFonts w:ascii="Palatino Linotype" w:hAnsi="Palatino Linotype" w:cs="Arial"/>
          <w:bCs/>
          <w:sz w:val="24"/>
          <w:szCs w:val="24"/>
        </w:rPr>
        <w:t xml:space="preserve">las respuestas entregadas por </w:t>
      </w:r>
      <w:r>
        <w:rPr>
          <w:rFonts w:ascii="Palatino Linotype" w:hAnsi="Palatino Linotype" w:cs="Arial"/>
          <w:b/>
          <w:sz w:val="24"/>
          <w:szCs w:val="24"/>
        </w:rPr>
        <w:t xml:space="preserve">EL SUJETO OBLIGADO, </w:t>
      </w:r>
      <w:r>
        <w:rPr>
          <w:rFonts w:ascii="Palatino Linotype" w:hAnsi="Palatino Linotype" w:cs="Arial"/>
          <w:bCs/>
          <w:sz w:val="24"/>
          <w:szCs w:val="24"/>
        </w:rPr>
        <w:t xml:space="preserve">a las solicitudes de información números </w:t>
      </w:r>
      <w:r w:rsidR="008863CF">
        <w:rPr>
          <w:rFonts w:ascii="Palatino Linotype" w:hAnsi="Palatino Linotype" w:cs="Arial"/>
          <w:b/>
          <w:bCs/>
          <w:sz w:val="24"/>
        </w:rPr>
        <w:t xml:space="preserve">00116/ACAMBAY/IP/2024, 00115/ACAMBAY/IP/2024 y 00114/ACAMBAY/IP/2024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B596C16" w14:textId="77777777" w:rsidR="00B11F85" w:rsidRDefault="00B11F85" w:rsidP="009104CA">
      <w:pPr>
        <w:spacing w:before="240" w:line="360" w:lineRule="auto"/>
        <w:jc w:val="both"/>
        <w:rPr>
          <w:rFonts w:ascii="Palatino Linotype" w:hAnsi="Palatino Linotype" w:cs="Arial"/>
          <w:sz w:val="24"/>
          <w:szCs w:val="24"/>
        </w:rPr>
      </w:pPr>
    </w:p>
    <w:p w14:paraId="69E59774" w14:textId="7A00588B" w:rsidR="009104CA" w:rsidRDefault="009104CA" w:rsidP="009104CA">
      <w:pPr>
        <w:autoSpaceDE w:val="0"/>
        <w:autoSpaceDN w:val="0"/>
        <w:adjustRightInd w:val="0"/>
        <w:spacing w:before="240" w:line="360" w:lineRule="auto"/>
        <w:ind w:right="49"/>
        <w:jc w:val="both"/>
        <w:rPr>
          <w:rFonts w:ascii="Palatino Linotype" w:hAnsi="Palatino Linotype" w:cs="Arial"/>
          <w:sz w:val="24"/>
          <w:szCs w:val="24"/>
        </w:rPr>
      </w:pPr>
      <w:r w:rsidRPr="00570FBC">
        <w:rPr>
          <w:rFonts w:ascii="Palatino Linotype" w:hAnsi="Palatino Linotype" w:cs="Arial"/>
          <w:b/>
          <w:sz w:val="28"/>
          <w:szCs w:val="28"/>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w:t>
      </w:r>
      <w:r w:rsidR="008863CF">
        <w:rPr>
          <w:rFonts w:ascii="Palatino Linotype" w:hAnsi="Palatino Linotype" w:cs="Arial"/>
          <w:sz w:val="24"/>
          <w:szCs w:val="24"/>
        </w:rPr>
        <w:t>hacer entrega</w:t>
      </w:r>
      <w:r w:rsidRPr="00AF17B1">
        <w:rPr>
          <w:rFonts w:ascii="Palatino Linotype" w:hAnsi="Palatino Linotype" w:cs="Arial"/>
          <w:sz w:val="24"/>
          <w:szCs w:val="24"/>
        </w:rPr>
        <w:t xml:space="preserve"> al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002F7973" w:rsidRPr="002F7973">
        <w:rPr>
          <w:rFonts w:ascii="Palatino Linotype" w:hAnsi="Palatino Linotype" w:cs="Arial"/>
          <w:sz w:val="24"/>
          <w:szCs w:val="24"/>
        </w:rPr>
        <w:t>de forma íntegra,</w:t>
      </w:r>
      <w:r w:rsidR="002F7973">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de lo siguiente:</w:t>
      </w:r>
    </w:p>
    <w:p w14:paraId="552CDA3C" w14:textId="77777777" w:rsidR="008863CF" w:rsidRPr="008863CF" w:rsidRDefault="008863CF" w:rsidP="007A6FE3">
      <w:pPr>
        <w:pStyle w:val="Prrafodelista"/>
        <w:numPr>
          <w:ilvl w:val="0"/>
          <w:numId w:val="11"/>
        </w:numPr>
        <w:spacing w:before="240" w:line="360" w:lineRule="auto"/>
        <w:ind w:left="851" w:right="567" w:firstLine="0"/>
        <w:jc w:val="both"/>
        <w:rPr>
          <w:rFonts w:ascii="Palatino Linotype" w:hAnsi="Palatino Linotype"/>
          <w:i/>
          <w:iCs/>
        </w:rPr>
      </w:pPr>
      <w:r w:rsidRPr="008863CF">
        <w:rPr>
          <w:rFonts w:ascii="Palatino Linotype" w:hAnsi="Palatino Linotype"/>
          <w:i/>
          <w:iCs/>
        </w:rPr>
        <w:lastRenderedPageBreak/>
        <w:t xml:space="preserve">Balanza de comprobación detallada y/o equivalente, en formato XLS o aquel en el que haya sido generada la información, del periodo comprendido del uno de enero de dos mil veintidós al veintiocho de agosto de dos mil veinticuatro. </w:t>
      </w:r>
    </w:p>
    <w:p w14:paraId="633DF999" w14:textId="77777777" w:rsidR="008863CF" w:rsidRPr="008863CF" w:rsidRDefault="008863CF" w:rsidP="008863CF">
      <w:pPr>
        <w:pStyle w:val="Prrafodelista"/>
        <w:spacing w:line="360" w:lineRule="auto"/>
        <w:ind w:left="1428" w:right="567"/>
        <w:jc w:val="both"/>
        <w:rPr>
          <w:rFonts w:ascii="Palatino Linotype" w:hAnsi="Palatino Linotype"/>
          <w:i/>
        </w:rPr>
      </w:pPr>
    </w:p>
    <w:p w14:paraId="3EBCD00E" w14:textId="77777777" w:rsidR="009104CA" w:rsidRPr="00DC5E29" w:rsidRDefault="009104CA" w:rsidP="009104CA">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7A6FE3">
        <w:rPr>
          <w:rFonts w:ascii="Palatino Linotype" w:hAnsi="Palatino Linotype" w:cs="Tahoma"/>
          <w:b/>
          <w:sz w:val="24"/>
        </w:rPr>
        <w:t xml:space="preserve">NOTIFÍQUESE </w:t>
      </w:r>
      <w:r w:rsidRPr="007A6FE3">
        <w:rPr>
          <w:rFonts w:ascii="Palatino Linotype" w:hAnsi="Palatino Linotype" w:cs="Arial"/>
          <w:sz w:val="24"/>
        </w:rPr>
        <w:t xml:space="preserve">a través del Sistema de Acceso a la Información Mexiquense </w:t>
      </w:r>
      <w:r w:rsidRPr="007A6FE3">
        <w:rPr>
          <w:rFonts w:ascii="Palatino Linotype" w:hAnsi="Palatino Linotype" w:cs="Arial"/>
          <w:b/>
          <w:sz w:val="24"/>
        </w:rPr>
        <w:t>(SAIMEX)</w:t>
      </w:r>
      <w:r w:rsidRPr="007A6FE3">
        <w:rPr>
          <w:rFonts w:ascii="Palatino Linotype" w:hAnsi="Palatino Linotype" w:cs="Arial"/>
          <w:sz w:val="24"/>
        </w:rPr>
        <w:t xml:space="preserve">, </w:t>
      </w:r>
      <w:r w:rsidRPr="007A6FE3">
        <w:rPr>
          <w:rFonts w:ascii="Palatino Linotype" w:hAnsi="Palatino Linotype" w:cs="Tahoma"/>
          <w:sz w:val="24"/>
        </w:rPr>
        <w:t xml:space="preserve">la presente Resolución al Titular de la Unidad de Transparencia del </w:t>
      </w:r>
      <w:r w:rsidRPr="007A6FE3">
        <w:rPr>
          <w:rFonts w:ascii="Palatino Linotype" w:hAnsi="Palatino Linotype" w:cs="Tahoma"/>
          <w:b/>
          <w:sz w:val="24"/>
        </w:rPr>
        <w:t>Sujeto Obligado</w:t>
      </w:r>
      <w:r w:rsidRPr="007A6FE3">
        <w:rPr>
          <w:rFonts w:ascii="Palatino Linotype" w:hAnsi="Palatino Linotype" w:cs="Tahoma"/>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7A6FE3">
        <w:rPr>
          <w:rFonts w:ascii="Palatino Linotype" w:eastAsia="Palatino Linotype" w:hAnsi="Palatino Linotype" w:cs="Palatino Linotype"/>
          <w:bCs/>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C867E94" w14:textId="77777777" w:rsidR="009104CA" w:rsidRPr="00DC5E29" w:rsidRDefault="009104CA" w:rsidP="009104CA">
      <w:pPr>
        <w:spacing w:line="360" w:lineRule="auto"/>
        <w:ind w:right="-595"/>
        <w:jc w:val="both"/>
        <w:rPr>
          <w:rFonts w:ascii="Palatino Linotype" w:hAnsi="Palatino Linotype" w:cs="Tahoma"/>
          <w:bCs/>
        </w:rPr>
      </w:pPr>
    </w:p>
    <w:p w14:paraId="7EB2D744" w14:textId="77777777" w:rsidR="009104CA" w:rsidRDefault="009104CA" w:rsidP="009104CA">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7A6FE3">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7A6FE3">
        <w:rPr>
          <w:rFonts w:ascii="Palatino Linotype" w:hAnsi="Palatino Linotype" w:cs="Arial"/>
          <w:b/>
          <w:sz w:val="24"/>
        </w:rPr>
        <w:t>Sujeto Obligado</w:t>
      </w:r>
      <w:r w:rsidRPr="007A6FE3">
        <w:rPr>
          <w:rFonts w:ascii="Palatino Linotype" w:hAnsi="Palatino Linotype" w:cs="Arial"/>
          <w:sz w:val="24"/>
        </w:rPr>
        <w:t xml:space="preserve"> de manera fundada y motivada, podrá solicitar una ampliación de plazo para el cumplimiento de la presente resolución.</w:t>
      </w:r>
    </w:p>
    <w:p w14:paraId="2DF9544D" w14:textId="77777777" w:rsidR="009104CA" w:rsidRDefault="009104CA" w:rsidP="009104CA">
      <w:pPr>
        <w:autoSpaceDE w:val="0"/>
        <w:autoSpaceDN w:val="0"/>
        <w:adjustRightInd w:val="0"/>
        <w:spacing w:line="360" w:lineRule="auto"/>
        <w:jc w:val="both"/>
        <w:rPr>
          <w:rFonts w:ascii="Palatino Linotype" w:hAnsi="Palatino Linotype" w:cs="Arial"/>
        </w:rPr>
      </w:pPr>
    </w:p>
    <w:p w14:paraId="5123C68B" w14:textId="77777777" w:rsidR="009104CA" w:rsidRDefault="009104CA" w:rsidP="009104CA">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lastRenderedPageBreak/>
        <w:t>QUINTO</w:t>
      </w:r>
      <w:r w:rsidRPr="00DC5E29">
        <w:rPr>
          <w:rFonts w:ascii="Palatino Linotype" w:hAnsi="Palatino Linotype"/>
          <w:b/>
        </w:rPr>
        <w:t xml:space="preserve">. </w:t>
      </w:r>
      <w:r w:rsidRPr="007A6FE3">
        <w:rPr>
          <w:rFonts w:ascii="Palatino Linotype" w:hAnsi="Palatino Linotype" w:cs="Arial"/>
          <w:b/>
          <w:sz w:val="24"/>
        </w:rPr>
        <w:t>NOTIFÍQUESE</w:t>
      </w:r>
      <w:r w:rsidRPr="007A6FE3">
        <w:rPr>
          <w:rFonts w:ascii="Palatino Linotype" w:hAnsi="Palatino Linotype" w:cs="Arial"/>
          <w:sz w:val="24"/>
        </w:rPr>
        <w:t xml:space="preserve"> a través del Sistema de Acceso a la Información Mexiquense (SAIMEX), al </w:t>
      </w:r>
      <w:r w:rsidRPr="007A6FE3">
        <w:rPr>
          <w:rFonts w:ascii="Palatino Linotype" w:hAnsi="Palatino Linotype" w:cs="Arial"/>
          <w:b/>
          <w:sz w:val="24"/>
        </w:rPr>
        <w:t>RECURRENTE</w:t>
      </w:r>
      <w:r w:rsidRPr="007A6FE3">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23C5B23" w14:textId="77777777" w:rsidR="009104CA" w:rsidRPr="009104CA" w:rsidRDefault="009104CA" w:rsidP="006C1237">
      <w:pPr>
        <w:pStyle w:val="Sinespaciado"/>
        <w:spacing w:line="360" w:lineRule="auto"/>
        <w:jc w:val="both"/>
        <w:rPr>
          <w:rFonts w:ascii="Palatino Linotype" w:hAnsi="Palatino Linotype" w:cs="Arial"/>
        </w:rPr>
      </w:pPr>
    </w:p>
    <w:p w14:paraId="6B007139" w14:textId="0E0F9CF2" w:rsidR="00210D86" w:rsidRPr="007A6FE3" w:rsidRDefault="00210D86" w:rsidP="00210D86">
      <w:pPr>
        <w:spacing w:line="360" w:lineRule="auto"/>
        <w:jc w:val="both"/>
        <w:rPr>
          <w:rFonts w:ascii="Palatino Linotype" w:hAnsi="Palatino Linotype" w:cs="Arial"/>
          <w:sz w:val="24"/>
        </w:rPr>
      </w:pPr>
      <w:r w:rsidRPr="007A6FE3">
        <w:rPr>
          <w:rFonts w:ascii="Palatino Linotype" w:hAnsi="Palatino Linotype" w:cs="Arial"/>
          <w:sz w:val="24"/>
        </w:rPr>
        <w:t>ASÍ LO RESUELVE, POR UNANIMIDAD DE VOTOS EL PLENO DEL</w:t>
      </w:r>
      <w:r w:rsidRPr="007A6FE3">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7A6FE3">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TRIGÉSIMA </w:t>
      </w:r>
      <w:r w:rsidR="00915C1B" w:rsidRPr="007A6FE3">
        <w:rPr>
          <w:rFonts w:ascii="Palatino Linotype" w:hAnsi="Palatino Linotype" w:cs="Arial"/>
          <w:sz w:val="24"/>
        </w:rPr>
        <w:t>SEXTA</w:t>
      </w:r>
      <w:r w:rsidR="002F7973" w:rsidRPr="007A6FE3">
        <w:rPr>
          <w:rFonts w:ascii="Palatino Linotype" w:hAnsi="Palatino Linotype" w:cs="Arial"/>
          <w:sz w:val="24"/>
        </w:rPr>
        <w:t xml:space="preserve"> </w:t>
      </w:r>
      <w:r w:rsidRPr="007A6FE3">
        <w:rPr>
          <w:rFonts w:ascii="Palatino Linotype" w:hAnsi="Palatino Linotype" w:cs="Arial"/>
          <w:sz w:val="24"/>
        </w:rPr>
        <w:t xml:space="preserve">SESIÓN ORDINARIA CELEBRADA EL </w:t>
      </w:r>
      <w:r w:rsidR="00915C1B" w:rsidRPr="007A6FE3">
        <w:rPr>
          <w:rFonts w:ascii="Palatino Linotype" w:hAnsi="Palatino Linotype" w:cs="Arial"/>
          <w:sz w:val="24"/>
        </w:rPr>
        <w:t>NUEVE</w:t>
      </w:r>
      <w:r w:rsidR="002F7973" w:rsidRPr="007A6FE3">
        <w:rPr>
          <w:rFonts w:ascii="Palatino Linotype" w:hAnsi="Palatino Linotype" w:cs="Arial"/>
          <w:sz w:val="24"/>
        </w:rPr>
        <w:t xml:space="preserve"> DE OCTUBRE </w:t>
      </w:r>
      <w:r w:rsidRPr="007A6FE3">
        <w:rPr>
          <w:rFonts w:ascii="Palatino Linotype" w:hAnsi="Palatino Linotype" w:cs="Arial"/>
          <w:sz w:val="24"/>
        </w:rPr>
        <w:t xml:space="preserve">DE DOS MIL VEINTICUATRO, ANTE EL SECRETARIO TÉCNICO DEL PLENO, ALEXIS TAPIA RAMÍREZ. </w:t>
      </w:r>
    </w:p>
    <w:p w14:paraId="1301B5AA" w14:textId="0804AB90" w:rsidR="00154C5F" w:rsidRDefault="007A6FE3" w:rsidP="00210D86">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5E7A0CE1" wp14:editId="14B8702E">
                <wp:simplePos x="0" y="0"/>
                <wp:positionH relativeFrom="margin">
                  <wp:align>left</wp:align>
                </wp:positionH>
                <wp:positionV relativeFrom="paragraph">
                  <wp:posOffset>264160</wp:posOffset>
                </wp:positionV>
                <wp:extent cx="5572125" cy="1581150"/>
                <wp:effectExtent l="0" t="0" r="28575" b="19050"/>
                <wp:wrapNone/>
                <wp:docPr id="489084395" name="Straight Connector 1"/>
                <wp:cNvGraphicFramePr/>
                <a:graphic xmlns:a="http://schemas.openxmlformats.org/drawingml/2006/main">
                  <a:graphicData uri="http://schemas.microsoft.com/office/word/2010/wordprocessingShape">
                    <wps:wsp>
                      <wps:cNvCnPr/>
                      <wps:spPr>
                        <a:xfrm>
                          <a:off x="0" y="0"/>
                          <a:ext cx="5572125" cy="158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EAB1B" id="Straight Connector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8pt" to="438.75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" strokecolor="#5b9bd5 [3204]" strokeweight=".5pt">
                <v:stroke joinstyle="miter"/>
                <w10:wrap anchorx="margin"/>
              </v:line>
            </w:pict>
          </mc:Fallback>
        </mc:AlternateContent>
      </w:r>
      <w:r w:rsidR="00210D86" w:rsidRPr="004A7293">
        <w:rPr>
          <w:rFonts w:ascii="Palatino Linotype" w:hAnsi="Palatino Linotype" w:cs="Arial"/>
          <w:sz w:val="20"/>
          <w:szCs w:val="20"/>
        </w:rPr>
        <w:t>CCR/JCMA</w:t>
      </w:r>
    </w:p>
    <w:p w14:paraId="7263DA32" w14:textId="256D5FFD" w:rsidR="003E3072" w:rsidRDefault="003E3072" w:rsidP="00B436EA">
      <w:pPr>
        <w:spacing w:before="240" w:line="360" w:lineRule="auto"/>
        <w:jc w:val="both"/>
        <w:rPr>
          <w:rFonts w:ascii="Palatino Linotype" w:hAnsi="Palatino Linotype"/>
          <w:sz w:val="24"/>
          <w:szCs w:val="24"/>
        </w:rPr>
      </w:pPr>
    </w:p>
    <w:p w14:paraId="27A4D9D6" w14:textId="760ADEFB"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p w14:paraId="064A2ED6" w14:textId="77777777" w:rsidR="00E86CD6" w:rsidRDefault="00E86CD6" w:rsidP="00B436EA">
      <w:pPr>
        <w:spacing w:before="240" w:line="360" w:lineRule="auto"/>
        <w:jc w:val="both"/>
        <w:rPr>
          <w:rFonts w:ascii="Palatino Linotype" w:hAnsi="Palatino Linotype"/>
          <w:sz w:val="24"/>
          <w:szCs w:val="24"/>
        </w:rPr>
      </w:pPr>
    </w:p>
    <w:p w14:paraId="26DBF8BB" w14:textId="77777777" w:rsidR="00E86CD6" w:rsidRDefault="00E86CD6" w:rsidP="00B436EA">
      <w:pPr>
        <w:spacing w:before="240" w:line="360" w:lineRule="auto"/>
        <w:jc w:val="both"/>
        <w:rPr>
          <w:rFonts w:ascii="Palatino Linotype" w:hAnsi="Palatino Linotype"/>
          <w:sz w:val="24"/>
          <w:szCs w:val="24"/>
        </w:rPr>
      </w:pPr>
    </w:p>
    <w:p w14:paraId="79AC26F4" w14:textId="77777777" w:rsidR="00E86CD6" w:rsidRDefault="00E86CD6" w:rsidP="00B436EA">
      <w:pPr>
        <w:spacing w:before="240" w:line="360" w:lineRule="auto"/>
        <w:jc w:val="both"/>
        <w:rPr>
          <w:rFonts w:ascii="Palatino Linotype" w:hAnsi="Palatino Linotype"/>
          <w:sz w:val="24"/>
          <w:szCs w:val="24"/>
        </w:rPr>
      </w:pPr>
    </w:p>
    <w:p w14:paraId="5144FC1C" w14:textId="77777777" w:rsidR="00E86CD6" w:rsidRDefault="00E86CD6" w:rsidP="00B436EA">
      <w:pPr>
        <w:spacing w:before="240" w:line="360" w:lineRule="auto"/>
        <w:jc w:val="both"/>
        <w:rPr>
          <w:rFonts w:ascii="Palatino Linotype" w:hAnsi="Palatino Linotype"/>
          <w:sz w:val="24"/>
          <w:szCs w:val="24"/>
        </w:rPr>
      </w:pPr>
    </w:p>
    <w:sectPr w:rsidR="00E86CD6"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AE874" w14:textId="77777777" w:rsidR="009B35E4" w:rsidRDefault="009B35E4" w:rsidP="006168E4">
      <w:pPr>
        <w:spacing w:after="0" w:line="240" w:lineRule="auto"/>
      </w:pPr>
      <w:r>
        <w:separator/>
      </w:r>
    </w:p>
  </w:endnote>
  <w:endnote w:type="continuationSeparator" w:id="0">
    <w:p w14:paraId="1F4D7F22" w14:textId="77777777" w:rsidR="009B35E4" w:rsidRDefault="009B35E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0E4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0E45">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0E4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0E45">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FF73F" w14:textId="77777777" w:rsidR="009B35E4" w:rsidRDefault="009B35E4" w:rsidP="006168E4">
      <w:pPr>
        <w:spacing w:after="0" w:line="240" w:lineRule="auto"/>
      </w:pPr>
      <w:r>
        <w:separator/>
      </w:r>
    </w:p>
  </w:footnote>
  <w:footnote w:type="continuationSeparator" w:id="0">
    <w:p w14:paraId="2CCE00A3" w14:textId="77777777" w:rsidR="009B35E4" w:rsidRDefault="009B35E4" w:rsidP="006168E4">
      <w:pPr>
        <w:spacing w:after="0" w:line="240" w:lineRule="auto"/>
      </w:pPr>
      <w:r>
        <w:continuationSeparator/>
      </w:r>
    </w:p>
  </w:footnote>
  <w:footnote w:id="1">
    <w:p w14:paraId="02F02ADC" w14:textId="77777777" w:rsidR="00D674E4" w:rsidRPr="007822E6" w:rsidRDefault="00D674E4" w:rsidP="00D674E4">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2A8FABC" w14:textId="77777777" w:rsidR="00D674E4" w:rsidRPr="005552A8" w:rsidRDefault="00D674E4" w:rsidP="00D674E4">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0B722401"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21472">
            <w:rPr>
              <w:rFonts w:ascii="Palatino Linotype" w:hAnsi="Palatino Linotype" w:cs="Arial"/>
              <w:bCs/>
              <w:sz w:val="24"/>
              <w:lang w:eastAsia="es-MX"/>
            </w:rPr>
            <w:t>5710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r w:rsidR="008D7E56">
            <w:rPr>
              <w:rFonts w:ascii="Palatino Linotype" w:hAnsi="Palatino Linotype" w:cs="Arial"/>
              <w:bCs/>
              <w:sz w:val="24"/>
              <w:lang w:eastAsia="es-MX"/>
            </w:rPr>
            <w:t>y acumulados</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C864569" w:rsidR="00C70B4A" w:rsidRPr="00F06FED" w:rsidRDefault="00D4470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D21472">
            <w:rPr>
              <w:rFonts w:ascii="Palatino Linotype" w:hAnsi="Palatino Linotype" w:cs="Arial"/>
              <w:szCs w:val="20"/>
            </w:rPr>
            <w:t>Acambay de Ruíz Castañeda</w:t>
          </w:r>
          <w:r>
            <w:rPr>
              <w:rFonts w:ascii="Palatino Linotype" w:hAnsi="Palatino Linotype" w:cs="Arial"/>
              <w:szCs w:val="20"/>
            </w:rPr>
            <w:t xml:space="preserve"> </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2728BD56"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21472">
            <w:rPr>
              <w:rFonts w:ascii="Palatino Linotype" w:hAnsi="Palatino Linotype" w:cs="Arial"/>
              <w:bCs/>
              <w:sz w:val="24"/>
              <w:lang w:eastAsia="es-MX"/>
            </w:rPr>
            <w:t>5710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r w:rsidR="008D7E56">
            <w:rPr>
              <w:rFonts w:ascii="Palatino Linotype" w:hAnsi="Palatino Linotype" w:cs="Arial"/>
              <w:bCs/>
              <w:sz w:val="24"/>
              <w:lang w:eastAsia="es-MX"/>
            </w:rPr>
            <w:t>y acumulados</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B8847C7" w:rsidR="00C70B4A" w:rsidRPr="00F06FED" w:rsidRDefault="00F30E45" w:rsidP="00F30E45">
          <w:pPr>
            <w:spacing w:after="120" w:line="256" w:lineRule="auto"/>
            <w:ind w:left="637" w:right="214"/>
            <w:jc w:val="both"/>
            <w:rPr>
              <w:rFonts w:ascii="Palatino Linotype" w:hAnsi="Palatino Linotype" w:cs="Arial"/>
            </w:rPr>
          </w:pPr>
          <w:r>
            <w:rPr>
              <w:rFonts w:ascii="Palatino Linotype" w:hAnsi="Palatino Linotype" w:cs="Arial"/>
            </w:rPr>
            <w:t>XXXXXXXXXXXXXXXXXXXXXXX</w:t>
          </w:r>
          <w:r w:rsidR="00D21472">
            <w:rPr>
              <w:rFonts w:ascii="Palatino Linotype" w:hAnsi="Palatino Linotype" w:cs="Arial"/>
            </w:rPr>
            <w:t xml:space="preserve"> </w:t>
          </w:r>
          <w:r>
            <w:rPr>
              <w:rFonts w:ascii="Palatino Linotype" w:hAnsi="Palatino Linotype" w:cs="Arial"/>
            </w:rPr>
            <w:t>XXXXXXX</w:t>
          </w:r>
          <w:r w:rsidR="00D21472">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D8E8231" w:rsidR="00C70B4A" w:rsidRDefault="00D44708"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D21472">
            <w:rPr>
              <w:rFonts w:ascii="Palatino Linotype" w:hAnsi="Palatino Linotype" w:cs="Arial"/>
              <w:szCs w:val="20"/>
            </w:rPr>
            <w:t>Acambay de Ruíz Castañeda</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22043"/>
    <w:multiLevelType w:val="hybridMultilevel"/>
    <w:tmpl w:val="C2A4B56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563B76"/>
    <w:multiLevelType w:val="hybridMultilevel"/>
    <w:tmpl w:val="C538AF9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EF702B"/>
    <w:multiLevelType w:val="hybridMultilevel"/>
    <w:tmpl w:val="03ECDE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6DFE015E"/>
    <w:multiLevelType w:val="hybridMultilevel"/>
    <w:tmpl w:val="33302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5D79AC"/>
    <w:multiLevelType w:val="hybridMultilevel"/>
    <w:tmpl w:val="4154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2A456F4"/>
    <w:multiLevelType w:val="hybridMultilevel"/>
    <w:tmpl w:val="39A60958"/>
    <w:lvl w:ilvl="0" w:tplc="2AF21044">
      <w:start w:val="1"/>
      <w:numFmt w:val="upperRoman"/>
      <w:lvlText w:val="%1."/>
      <w:lvlJc w:val="right"/>
      <w:pPr>
        <w:ind w:left="1428" w:hanging="360"/>
      </w:pPr>
      <w:rPr>
        <w:rFonts w:hint="default"/>
        <w:lang w:val="es-MX"/>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B723B3"/>
    <w:multiLevelType w:val="hybridMultilevel"/>
    <w:tmpl w:val="874CE8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9562AB"/>
    <w:multiLevelType w:val="hybridMultilevel"/>
    <w:tmpl w:val="229E79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3"/>
  </w:num>
  <w:num w:numId="5">
    <w:abstractNumId w:val="6"/>
  </w:num>
  <w:num w:numId="6">
    <w:abstractNumId w:val="5"/>
  </w:num>
  <w:num w:numId="7">
    <w:abstractNumId w:val="11"/>
  </w:num>
  <w:num w:numId="8">
    <w:abstractNumId w:val="10"/>
  </w:num>
  <w:num w:numId="9">
    <w:abstractNumId w:val="0"/>
  </w:num>
  <w:num w:numId="10">
    <w:abstractNumId w:val="7"/>
  </w:num>
  <w:num w:numId="11">
    <w:abstractNumId w:val="8"/>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91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7739D"/>
    <w:rsid w:val="00081988"/>
    <w:rsid w:val="000848D6"/>
    <w:rsid w:val="0008582E"/>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4B51"/>
    <w:rsid w:val="000B6FE9"/>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5FE"/>
    <w:rsid w:val="000E0655"/>
    <w:rsid w:val="000E0A71"/>
    <w:rsid w:val="000E686B"/>
    <w:rsid w:val="000F110B"/>
    <w:rsid w:val="000F3EDB"/>
    <w:rsid w:val="000F3EE7"/>
    <w:rsid w:val="000F68B1"/>
    <w:rsid w:val="000F6F19"/>
    <w:rsid w:val="000F7AC2"/>
    <w:rsid w:val="00100E19"/>
    <w:rsid w:val="00102B4F"/>
    <w:rsid w:val="00102D69"/>
    <w:rsid w:val="00110EDB"/>
    <w:rsid w:val="00111DCD"/>
    <w:rsid w:val="001129EB"/>
    <w:rsid w:val="0011365C"/>
    <w:rsid w:val="00114CF9"/>
    <w:rsid w:val="0011564C"/>
    <w:rsid w:val="001167AA"/>
    <w:rsid w:val="00117157"/>
    <w:rsid w:val="00123898"/>
    <w:rsid w:val="00124855"/>
    <w:rsid w:val="00124EC6"/>
    <w:rsid w:val="001254F5"/>
    <w:rsid w:val="001336D3"/>
    <w:rsid w:val="00133C5A"/>
    <w:rsid w:val="001364AA"/>
    <w:rsid w:val="00136FAD"/>
    <w:rsid w:val="00140579"/>
    <w:rsid w:val="00143D5F"/>
    <w:rsid w:val="00144B4A"/>
    <w:rsid w:val="00146F0A"/>
    <w:rsid w:val="00146FFD"/>
    <w:rsid w:val="00147B36"/>
    <w:rsid w:val="00150196"/>
    <w:rsid w:val="00150A4C"/>
    <w:rsid w:val="00150D1D"/>
    <w:rsid w:val="00152124"/>
    <w:rsid w:val="00152C2B"/>
    <w:rsid w:val="00153323"/>
    <w:rsid w:val="001542FC"/>
    <w:rsid w:val="00154C5F"/>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8782B"/>
    <w:rsid w:val="00190579"/>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1519"/>
    <w:rsid w:val="001B1BC8"/>
    <w:rsid w:val="001B1F55"/>
    <w:rsid w:val="001B7B88"/>
    <w:rsid w:val="001C0BAD"/>
    <w:rsid w:val="001C0DA5"/>
    <w:rsid w:val="001C1E07"/>
    <w:rsid w:val="001C7319"/>
    <w:rsid w:val="001C7D87"/>
    <w:rsid w:val="001D299A"/>
    <w:rsid w:val="001D3E87"/>
    <w:rsid w:val="001D5F16"/>
    <w:rsid w:val="001D6FAB"/>
    <w:rsid w:val="001E0EC8"/>
    <w:rsid w:val="001E108D"/>
    <w:rsid w:val="001E1D18"/>
    <w:rsid w:val="001E2C0F"/>
    <w:rsid w:val="001E668A"/>
    <w:rsid w:val="001E6A63"/>
    <w:rsid w:val="001E7204"/>
    <w:rsid w:val="001F0A4F"/>
    <w:rsid w:val="001F2A14"/>
    <w:rsid w:val="001F3F0E"/>
    <w:rsid w:val="001F4ADC"/>
    <w:rsid w:val="001F4D04"/>
    <w:rsid w:val="001F51DC"/>
    <w:rsid w:val="001F5597"/>
    <w:rsid w:val="001F71ED"/>
    <w:rsid w:val="0020194E"/>
    <w:rsid w:val="00203D3A"/>
    <w:rsid w:val="00203FF3"/>
    <w:rsid w:val="002044B4"/>
    <w:rsid w:val="00207086"/>
    <w:rsid w:val="00210B06"/>
    <w:rsid w:val="00210D86"/>
    <w:rsid w:val="00211D60"/>
    <w:rsid w:val="0021501E"/>
    <w:rsid w:val="0021546A"/>
    <w:rsid w:val="0021572A"/>
    <w:rsid w:val="002203CC"/>
    <w:rsid w:val="002205C0"/>
    <w:rsid w:val="0022494A"/>
    <w:rsid w:val="00225507"/>
    <w:rsid w:val="00232223"/>
    <w:rsid w:val="0023373D"/>
    <w:rsid w:val="00233D7E"/>
    <w:rsid w:val="00233EF7"/>
    <w:rsid w:val="0023423C"/>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6AE6"/>
    <w:rsid w:val="00267C18"/>
    <w:rsid w:val="0027225D"/>
    <w:rsid w:val="00273D0E"/>
    <w:rsid w:val="002764D6"/>
    <w:rsid w:val="00280B8B"/>
    <w:rsid w:val="00282235"/>
    <w:rsid w:val="0029026C"/>
    <w:rsid w:val="00292350"/>
    <w:rsid w:val="00292DC0"/>
    <w:rsid w:val="00293C29"/>
    <w:rsid w:val="00294345"/>
    <w:rsid w:val="00297EF9"/>
    <w:rsid w:val="002A0E16"/>
    <w:rsid w:val="002A2034"/>
    <w:rsid w:val="002A24F4"/>
    <w:rsid w:val="002A38BF"/>
    <w:rsid w:val="002A429A"/>
    <w:rsid w:val="002A597E"/>
    <w:rsid w:val="002A7069"/>
    <w:rsid w:val="002A76AC"/>
    <w:rsid w:val="002A79A4"/>
    <w:rsid w:val="002B0FB9"/>
    <w:rsid w:val="002B4382"/>
    <w:rsid w:val="002B5DBD"/>
    <w:rsid w:val="002B72F9"/>
    <w:rsid w:val="002B7D92"/>
    <w:rsid w:val="002C498D"/>
    <w:rsid w:val="002C4FE1"/>
    <w:rsid w:val="002C6DA4"/>
    <w:rsid w:val="002C72D2"/>
    <w:rsid w:val="002D1B28"/>
    <w:rsid w:val="002D2F00"/>
    <w:rsid w:val="002D79E2"/>
    <w:rsid w:val="002D7A5D"/>
    <w:rsid w:val="002E0A4A"/>
    <w:rsid w:val="002E0BC4"/>
    <w:rsid w:val="002E21B4"/>
    <w:rsid w:val="002E2D7B"/>
    <w:rsid w:val="002E5E6A"/>
    <w:rsid w:val="002E6FBB"/>
    <w:rsid w:val="002F0FBF"/>
    <w:rsid w:val="002F22FA"/>
    <w:rsid w:val="002F37BE"/>
    <w:rsid w:val="002F41CA"/>
    <w:rsid w:val="002F4C6A"/>
    <w:rsid w:val="002F527C"/>
    <w:rsid w:val="002F70F6"/>
    <w:rsid w:val="002F7973"/>
    <w:rsid w:val="00300D0B"/>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189B"/>
    <w:rsid w:val="0033580E"/>
    <w:rsid w:val="00337F09"/>
    <w:rsid w:val="00343D1E"/>
    <w:rsid w:val="0035054D"/>
    <w:rsid w:val="00353779"/>
    <w:rsid w:val="00354258"/>
    <w:rsid w:val="00355593"/>
    <w:rsid w:val="00357548"/>
    <w:rsid w:val="00357E0E"/>
    <w:rsid w:val="003601B2"/>
    <w:rsid w:val="00360249"/>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1A3B"/>
    <w:rsid w:val="003A2246"/>
    <w:rsid w:val="003A2658"/>
    <w:rsid w:val="003A4CF6"/>
    <w:rsid w:val="003A61F9"/>
    <w:rsid w:val="003A6975"/>
    <w:rsid w:val="003B0793"/>
    <w:rsid w:val="003B0D66"/>
    <w:rsid w:val="003B11BA"/>
    <w:rsid w:val="003B1208"/>
    <w:rsid w:val="003B1E88"/>
    <w:rsid w:val="003B5E96"/>
    <w:rsid w:val="003B6792"/>
    <w:rsid w:val="003C0DF8"/>
    <w:rsid w:val="003C394C"/>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360C"/>
    <w:rsid w:val="0040673A"/>
    <w:rsid w:val="004069EB"/>
    <w:rsid w:val="00410ACB"/>
    <w:rsid w:val="00411E6F"/>
    <w:rsid w:val="00412600"/>
    <w:rsid w:val="004150FE"/>
    <w:rsid w:val="00415E43"/>
    <w:rsid w:val="00415FC1"/>
    <w:rsid w:val="004207A7"/>
    <w:rsid w:val="004210A8"/>
    <w:rsid w:val="00421D09"/>
    <w:rsid w:val="00422ED2"/>
    <w:rsid w:val="00423213"/>
    <w:rsid w:val="0042416D"/>
    <w:rsid w:val="00424487"/>
    <w:rsid w:val="00424EA1"/>
    <w:rsid w:val="00435290"/>
    <w:rsid w:val="00436802"/>
    <w:rsid w:val="00437E68"/>
    <w:rsid w:val="004416EB"/>
    <w:rsid w:val="00442E45"/>
    <w:rsid w:val="00443AD4"/>
    <w:rsid w:val="0044438E"/>
    <w:rsid w:val="00445C0F"/>
    <w:rsid w:val="00446A26"/>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975F9"/>
    <w:rsid w:val="004A0517"/>
    <w:rsid w:val="004A114B"/>
    <w:rsid w:val="004A2363"/>
    <w:rsid w:val="004A290F"/>
    <w:rsid w:val="004A55D8"/>
    <w:rsid w:val="004A5FFD"/>
    <w:rsid w:val="004A6A62"/>
    <w:rsid w:val="004A7CE2"/>
    <w:rsid w:val="004B031A"/>
    <w:rsid w:val="004B1236"/>
    <w:rsid w:val="004B1ACE"/>
    <w:rsid w:val="004B234F"/>
    <w:rsid w:val="004B34F6"/>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4F7AEE"/>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1E57"/>
    <w:rsid w:val="005230F0"/>
    <w:rsid w:val="00525093"/>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867D2"/>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7BF"/>
    <w:rsid w:val="005C2E14"/>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0B24"/>
    <w:rsid w:val="005F1744"/>
    <w:rsid w:val="005F2047"/>
    <w:rsid w:val="005F2C76"/>
    <w:rsid w:val="005F57F0"/>
    <w:rsid w:val="00601010"/>
    <w:rsid w:val="006028C9"/>
    <w:rsid w:val="0060676C"/>
    <w:rsid w:val="00606B79"/>
    <w:rsid w:val="00606FC5"/>
    <w:rsid w:val="0060721D"/>
    <w:rsid w:val="0061042F"/>
    <w:rsid w:val="00614EE0"/>
    <w:rsid w:val="006168E4"/>
    <w:rsid w:val="00621F47"/>
    <w:rsid w:val="00622359"/>
    <w:rsid w:val="0062421A"/>
    <w:rsid w:val="0062497C"/>
    <w:rsid w:val="00625200"/>
    <w:rsid w:val="006255AA"/>
    <w:rsid w:val="00630846"/>
    <w:rsid w:val="00631806"/>
    <w:rsid w:val="00636FD7"/>
    <w:rsid w:val="00637512"/>
    <w:rsid w:val="00640EE4"/>
    <w:rsid w:val="006448CE"/>
    <w:rsid w:val="006456FA"/>
    <w:rsid w:val="006466F5"/>
    <w:rsid w:val="00646C24"/>
    <w:rsid w:val="00652BC5"/>
    <w:rsid w:val="00654F5E"/>
    <w:rsid w:val="00656060"/>
    <w:rsid w:val="00661753"/>
    <w:rsid w:val="0066216F"/>
    <w:rsid w:val="00663A16"/>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0AFD"/>
    <w:rsid w:val="006C1157"/>
    <w:rsid w:val="006C1237"/>
    <w:rsid w:val="006C17FD"/>
    <w:rsid w:val="006C1884"/>
    <w:rsid w:val="006C28CA"/>
    <w:rsid w:val="006C350D"/>
    <w:rsid w:val="006C5E56"/>
    <w:rsid w:val="006C66E4"/>
    <w:rsid w:val="006D23FC"/>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4816"/>
    <w:rsid w:val="00737175"/>
    <w:rsid w:val="00737605"/>
    <w:rsid w:val="007404D5"/>
    <w:rsid w:val="00740BDD"/>
    <w:rsid w:val="007417C8"/>
    <w:rsid w:val="00743FE4"/>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30EC"/>
    <w:rsid w:val="00793CFD"/>
    <w:rsid w:val="00794589"/>
    <w:rsid w:val="0079486A"/>
    <w:rsid w:val="00794F80"/>
    <w:rsid w:val="007A00E9"/>
    <w:rsid w:val="007A0454"/>
    <w:rsid w:val="007A0AE8"/>
    <w:rsid w:val="007A0E44"/>
    <w:rsid w:val="007A1C9E"/>
    <w:rsid w:val="007A4CA1"/>
    <w:rsid w:val="007A5DFD"/>
    <w:rsid w:val="007A5F49"/>
    <w:rsid w:val="007A6FE3"/>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1205"/>
    <w:rsid w:val="00812C48"/>
    <w:rsid w:val="00814097"/>
    <w:rsid w:val="008146F9"/>
    <w:rsid w:val="00814727"/>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4054"/>
    <w:rsid w:val="008863CF"/>
    <w:rsid w:val="00890B7A"/>
    <w:rsid w:val="00890C62"/>
    <w:rsid w:val="0089173B"/>
    <w:rsid w:val="008939E8"/>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7453"/>
    <w:rsid w:val="008D7E56"/>
    <w:rsid w:val="008E012F"/>
    <w:rsid w:val="008E6375"/>
    <w:rsid w:val="008E6B54"/>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759E"/>
    <w:rsid w:val="009104CA"/>
    <w:rsid w:val="009104D1"/>
    <w:rsid w:val="00911863"/>
    <w:rsid w:val="00913133"/>
    <w:rsid w:val="0091317A"/>
    <w:rsid w:val="009131C3"/>
    <w:rsid w:val="0091475B"/>
    <w:rsid w:val="00914DC8"/>
    <w:rsid w:val="00915C1B"/>
    <w:rsid w:val="00915DB9"/>
    <w:rsid w:val="0092120C"/>
    <w:rsid w:val="00921AC3"/>
    <w:rsid w:val="00921D0C"/>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320D"/>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411C"/>
    <w:rsid w:val="009855E2"/>
    <w:rsid w:val="00987C03"/>
    <w:rsid w:val="00990E3D"/>
    <w:rsid w:val="00992977"/>
    <w:rsid w:val="00992B07"/>
    <w:rsid w:val="0099557F"/>
    <w:rsid w:val="009A148F"/>
    <w:rsid w:val="009A3511"/>
    <w:rsid w:val="009A686F"/>
    <w:rsid w:val="009A7912"/>
    <w:rsid w:val="009B0094"/>
    <w:rsid w:val="009B2777"/>
    <w:rsid w:val="009B28E9"/>
    <w:rsid w:val="009B33A8"/>
    <w:rsid w:val="009B3487"/>
    <w:rsid w:val="009B35E4"/>
    <w:rsid w:val="009B390A"/>
    <w:rsid w:val="009B42AE"/>
    <w:rsid w:val="009B7C61"/>
    <w:rsid w:val="009C22B1"/>
    <w:rsid w:val="009C3793"/>
    <w:rsid w:val="009C552E"/>
    <w:rsid w:val="009C62BD"/>
    <w:rsid w:val="009C68AC"/>
    <w:rsid w:val="009D26AD"/>
    <w:rsid w:val="009D341C"/>
    <w:rsid w:val="009D349B"/>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C0"/>
    <w:rsid w:val="00A036BE"/>
    <w:rsid w:val="00A0575E"/>
    <w:rsid w:val="00A068CE"/>
    <w:rsid w:val="00A06A16"/>
    <w:rsid w:val="00A10F77"/>
    <w:rsid w:val="00A12205"/>
    <w:rsid w:val="00A139AF"/>
    <w:rsid w:val="00A17BE7"/>
    <w:rsid w:val="00A20113"/>
    <w:rsid w:val="00A24AA9"/>
    <w:rsid w:val="00A24B7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6457"/>
    <w:rsid w:val="00A47E33"/>
    <w:rsid w:val="00A50182"/>
    <w:rsid w:val="00A50B14"/>
    <w:rsid w:val="00A51024"/>
    <w:rsid w:val="00A51109"/>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428"/>
    <w:rsid w:val="00AD3604"/>
    <w:rsid w:val="00AD3AA2"/>
    <w:rsid w:val="00AD43B8"/>
    <w:rsid w:val="00AD4B1A"/>
    <w:rsid w:val="00AD5295"/>
    <w:rsid w:val="00AE008F"/>
    <w:rsid w:val="00AE4896"/>
    <w:rsid w:val="00AF0161"/>
    <w:rsid w:val="00AF2A1F"/>
    <w:rsid w:val="00AF2D9B"/>
    <w:rsid w:val="00AF352C"/>
    <w:rsid w:val="00B00628"/>
    <w:rsid w:val="00B011F5"/>
    <w:rsid w:val="00B0749B"/>
    <w:rsid w:val="00B10050"/>
    <w:rsid w:val="00B10A1E"/>
    <w:rsid w:val="00B11866"/>
    <w:rsid w:val="00B11E08"/>
    <w:rsid w:val="00B11F85"/>
    <w:rsid w:val="00B12FF9"/>
    <w:rsid w:val="00B14039"/>
    <w:rsid w:val="00B149FA"/>
    <w:rsid w:val="00B177F4"/>
    <w:rsid w:val="00B22242"/>
    <w:rsid w:val="00B2232C"/>
    <w:rsid w:val="00B2330D"/>
    <w:rsid w:val="00B23384"/>
    <w:rsid w:val="00B25008"/>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280E"/>
    <w:rsid w:val="00B7282C"/>
    <w:rsid w:val="00B73FE9"/>
    <w:rsid w:val="00B7701B"/>
    <w:rsid w:val="00B87D50"/>
    <w:rsid w:val="00B91BCB"/>
    <w:rsid w:val="00B9223B"/>
    <w:rsid w:val="00B94AAC"/>
    <w:rsid w:val="00B94AE7"/>
    <w:rsid w:val="00B953BD"/>
    <w:rsid w:val="00B95905"/>
    <w:rsid w:val="00B95E96"/>
    <w:rsid w:val="00B97286"/>
    <w:rsid w:val="00B97421"/>
    <w:rsid w:val="00BA1B53"/>
    <w:rsid w:val="00BA2A94"/>
    <w:rsid w:val="00BA4D1F"/>
    <w:rsid w:val="00BA5339"/>
    <w:rsid w:val="00BA6226"/>
    <w:rsid w:val="00BA7AD1"/>
    <w:rsid w:val="00BB0F3F"/>
    <w:rsid w:val="00BB1091"/>
    <w:rsid w:val="00BB2250"/>
    <w:rsid w:val="00BB3132"/>
    <w:rsid w:val="00BB5448"/>
    <w:rsid w:val="00BB68CA"/>
    <w:rsid w:val="00BB721B"/>
    <w:rsid w:val="00BC0FDD"/>
    <w:rsid w:val="00BC130D"/>
    <w:rsid w:val="00BC22E0"/>
    <w:rsid w:val="00BC2A46"/>
    <w:rsid w:val="00BC3FA4"/>
    <w:rsid w:val="00BC5BA0"/>
    <w:rsid w:val="00BD004A"/>
    <w:rsid w:val="00BD352C"/>
    <w:rsid w:val="00BD3723"/>
    <w:rsid w:val="00BD5023"/>
    <w:rsid w:val="00BD5133"/>
    <w:rsid w:val="00BD58AB"/>
    <w:rsid w:val="00BE28ED"/>
    <w:rsid w:val="00BE2E30"/>
    <w:rsid w:val="00BE3339"/>
    <w:rsid w:val="00BF1D3A"/>
    <w:rsid w:val="00C008B2"/>
    <w:rsid w:val="00C01059"/>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4CA5"/>
    <w:rsid w:val="00C25084"/>
    <w:rsid w:val="00C274BE"/>
    <w:rsid w:val="00C274C6"/>
    <w:rsid w:val="00C27A37"/>
    <w:rsid w:val="00C310B6"/>
    <w:rsid w:val="00C321D9"/>
    <w:rsid w:val="00C3330D"/>
    <w:rsid w:val="00C34654"/>
    <w:rsid w:val="00C347FE"/>
    <w:rsid w:val="00C357BE"/>
    <w:rsid w:val="00C4006D"/>
    <w:rsid w:val="00C419E1"/>
    <w:rsid w:val="00C4530E"/>
    <w:rsid w:val="00C45C21"/>
    <w:rsid w:val="00C503EB"/>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6A0"/>
    <w:rsid w:val="00C71CD1"/>
    <w:rsid w:val="00C73143"/>
    <w:rsid w:val="00C7338F"/>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A0B"/>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D4E49"/>
    <w:rsid w:val="00CE0E72"/>
    <w:rsid w:val="00CE2ADF"/>
    <w:rsid w:val="00CE367D"/>
    <w:rsid w:val="00CE3B78"/>
    <w:rsid w:val="00CE4289"/>
    <w:rsid w:val="00CE4560"/>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66B"/>
    <w:rsid w:val="00D17789"/>
    <w:rsid w:val="00D20265"/>
    <w:rsid w:val="00D21472"/>
    <w:rsid w:val="00D21565"/>
    <w:rsid w:val="00D2277C"/>
    <w:rsid w:val="00D22F7D"/>
    <w:rsid w:val="00D257C6"/>
    <w:rsid w:val="00D25BEE"/>
    <w:rsid w:val="00D27079"/>
    <w:rsid w:val="00D2737E"/>
    <w:rsid w:val="00D274A9"/>
    <w:rsid w:val="00D302CF"/>
    <w:rsid w:val="00D31397"/>
    <w:rsid w:val="00D31EFF"/>
    <w:rsid w:val="00D32644"/>
    <w:rsid w:val="00D33619"/>
    <w:rsid w:val="00D36C02"/>
    <w:rsid w:val="00D400F4"/>
    <w:rsid w:val="00D43CF1"/>
    <w:rsid w:val="00D44708"/>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674E4"/>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97009"/>
    <w:rsid w:val="00DA0DF2"/>
    <w:rsid w:val="00DA1152"/>
    <w:rsid w:val="00DA3D5F"/>
    <w:rsid w:val="00DA41D7"/>
    <w:rsid w:val="00DA494B"/>
    <w:rsid w:val="00DA4A90"/>
    <w:rsid w:val="00DA58E1"/>
    <w:rsid w:val="00DA5B72"/>
    <w:rsid w:val="00DB0265"/>
    <w:rsid w:val="00DB0CE0"/>
    <w:rsid w:val="00DB4EE4"/>
    <w:rsid w:val="00DB5C0A"/>
    <w:rsid w:val="00DC0220"/>
    <w:rsid w:val="00DC0A85"/>
    <w:rsid w:val="00DC6B33"/>
    <w:rsid w:val="00DC6FF8"/>
    <w:rsid w:val="00DD01FC"/>
    <w:rsid w:val="00DD13E2"/>
    <w:rsid w:val="00DD435C"/>
    <w:rsid w:val="00DE2103"/>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173D"/>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5A17"/>
    <w:rsid w:val="00E86CD6"/>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02D"/>
    <w:rsid w:val="00EB117B"/>
    <w:rsid w:val="00EB2BEB"/>
    <w:rsid w:val="00EB40D6"/>
    <w:rsid w:val="00EB4222"/>
    <w:rsid w:val="00EB5F75"/>
    <w:rsid w:val="00EB79CD"/>
    <w:rsid w:val="00EC2F75"/>
    <w:rsid w:val="00EC52A5"/>
    <w:rsid w:val="00ED4C91"/>
    <w:rsid w:val="00ED5985"/>
    <w:rsid w:val="00ED7401"/>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07D"/>
    <w:rsid w:val="00EF1553"/>
    <w:rsid w:val="00EF1925"/>
    <w:rsid w:val="00EF1FAF"/>
    <w:rsid w:val="00EF2489"/>
    <w:rsid w:val="00EF4EF0"/>
    <w:rsid w:val="00EF697A"/>
    <w:rsid w:val="00F003D2"/>
    <w:rsid w:val="00F0128E"/>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E45"/>
    <w:rsid w:val="00F30F82"/>
    <w:rsid w:val="00F31FEE"/>
    <w:rsid w:val="00F342B2"/>
    <w:rsid w:val="00F367F2"/>
    <w:rsid w:val="00F370A2"/>
    <w:rsid w:val="00F403EA"/>
    <w:rsid w:val="00F407C8"/>
    <w:rsid w:val="00F42452"/>
    <w:rsid w:val="00F42753"/>
    <w:rsid w:val="00F42E10"/>
    <w:rsid w:val="00F43EE1"/>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3E8"/>
    <w:rsid w:val="00F858D5"/>
    <w:rsid w:val="00F909A9"/>
    <w:rsid w:val="00F919F5"/>
    <w:rsid w:val="00F91AEE"/>
    <w:rsid w:val="00F979AF"/>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6B234-7EFF-4B75-8AC0-B1CE64647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44</Pages>
  <Words>7950</Words>
  <Characters>43729</Characters>
  <Application>Microsoft Office Word</Application>
  <DocSecurity>0</DocSecurity>
  <Lines>364</Lines>
  <Paragraphs>103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54</cp:revision>
  <cp:lastPrinted>2019-11-07T00:56:00Z</cp:lastPrinted>
  <dcterms:created xsi:type="dcterms:W3CDTF">2024-06-10T16:14:00Z</dcterms:created>
  <dcterms:modified xsi:type="dcterms:W3CDTF">2024-11-05T19:47:00Z</dcterms:modified>
</cp:coreProperties>
</file>