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A41BB6" w14:textId="77777777" w:rsidR="00E31311" w:rsidRDefault="00E31311">
      <w:pPr>
        <w:widowControl w:val="0"/>
        <w:pBdr>
          <w:top w:val="nil"/>
          <w:left w:val="nil"/>
          <w:bottom w:val="nil"/>
          <w:right w:val="nil"/>
          <w:between w:val="nil"/>
        </w:pBdr>
        <w:spacing w:line="276" w:lineRule="auto"/>
      </w:pPr>
    </w:p>
    <w:p w14:paraId="02C7CA78" w14:textId="77777777" w:rsidR="00E31311" w:rsidRDefault="00DF6EAE">
      <w:pPr>
        <w:tabs>
          <w:tab w:val="left" w:pos="3465"/>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 veintiuno (21) de agosto de dos mil veinticuatro.</w:t>
      </w:r>
    </w:p>
    <w:p w14:paraId="45AF1DA8" w14:textId="77777777" w:rsidR="00E31311" w:rsidRDefault="00E31311">
      <w:pPr>
        <w:tabs>
          <w:tab w:val="left" w:pos="3465"/>
        </w:tabs>
        <w:spacing w:line="360" w:lineRule="auto"/>
        <w:jc w:val="both"/>
        <w:rPr>
          <w:rFonts w:ascii="Palatino Linotype" w:eastAsia="Palatino Linotype" w:hAnsi="Palatino Linotype" w:cs="Palatino Linotype"/>
        </w:rPr>
      </w:pPr>
    </w:p>
    <w:p w14:paraId="6A119B7C" w14:textId="2BE59CF3" w:rsidR="00E31311" w:rsidRDefault="00DF6EA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electrónico formado con motivo del recurso de revisión </w:t>
      </w:r>
      <w:r>
        <w:rPr>
          <w:rFonts w:ascii="Palatino Linotype" w:eastAsia="Palatino Linotype" w:hAnsi="Palatino Linotype" w:cs="Palatino Linotype"/>
          <w:b/>
        </w:rPr>
        <w:t xml:space="preserve">02248/INFOEM/IP/RR/2024, </w:t>
      </w:r>
      <w:r>
        <w:rPr>
          <w:rFonts w:ascii="Palatino Linotype" w:eastAsia="Palatino Linotype" w:hAnsi="Palatino Linotype" w:cs="Palatino Linotype"/>
        </w:rPr>
        <w:t>promovido por</w:t>
      </w:r>
      <w:r>
        <w:rPr>
          <w:rFonts w:ascii="Palatino Linotype" w:eastAsia="Palatino Linotype" w:hAnsi="Palatino Linotype" w:cs="Palatino Linotype"/>
          <w:b/>
        </w:rPr>
        <w:t xml:space="preserve"> </w:t>
      </w:r>
      <w:r w:rsidR="00714247">
        <w:rPr>
          <w:rFonts w:ascii="Palatino Linotype" w:eastAsia="Palatino Linotype" w:hAnsi="Palatino Linotype" w:cs="Palatino Linotype"/>
          <w:b/>
        </w:rPr>
        <w:t xml:space="preserve">XXX </w:t>
      </w:r>
      <w:proofErr w:type="spellStart"/>
      <w:r w:rsidR="00714247">
        <w:rPr>
          <w:rFonts w:ascii="Palatino Linotype" w:eastAsia="Palatino Linotype" w:hAnsi="Palatino Linotype" w:cs="Palatino Linotype"/>
          <w:b/>
        </w:rPr>
        <w:t>XXX</w:t>
      </w:r>
      <w:proofErr w:type="spellEnd"/>
      <w:r>
        <w:rPr>
          <w:rFonts w:ascii="Palatino Linotype" w:eastAsia="Palatino Linotype" w:hAnsi="Palatino Linotype" w:cs="Palatino Linotype"/>
          <w:b/>
        </w:rPr>
        <w:t>,</w:t>
      </w:r>
      <w:r>
        <w:rPr>
          <w:rFonts w:ascii="Palatino Linotype" w:eastAsia="Palatino Linotype" w:hAnsi="Palatino Linotype" w:cs="Palatino Linotype"/>
        </w:rPr>
        <w:t xml:space="preserve"> a quien en lo sucesivo se le identificará como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en contra de la respuesta del </w:t>
      </w:r>
      <w:r>
        <w:rPr>
          <w:rFonts w:ascii="Palatino Linotype" w:eastAsia="Palatino Linotype" w:hAnsi="Palatino Linotype" w:cs="Palatino Linotype"/>
          <w:b/>
        </w:rPr>
        <w:t xml:space="preserve">Ayuntamiento de Metepec, </w:t>
      </w:r>
      <w:r>
        <w:rPr>
          <w:rFonts w:ascii="Palatino Linotype" w:eastAsia="Palatino Linotype" w:hAnsi="Palatino Linotype" w:cs="Palatino Linotype"/>
        </w:rPr>
        <w:t>en adelante el</w:t>
      </w:r>
      <w:r>
        <w:rPr>
          <w:rFonts w:ascii="Palatino Linotype" w:eastAsia="Palatino Linotype" w:hAnsi="Palatino Linotype" w:cs="Palatino Linotype"/>
          <w:b/>
        </w:rPr>
        <w:t xml:space="preserve"> SUJETO OBLIGADO</w:t>
      </w:r>
      <w:r>
        <w:rPr>
          <w:rFonts w:ascii="Palatino Linotype" w:eastAsia="Palatino Linotype" w:hAnsi="Palatino Linotype" w:cs="Palatino Linotype"/>
        </w:rPr>
        <w:t>, se procede a dictar la presente resolución, con base en los siguientes:</w:t>
      </w:r>
    </w:p>
    <w:p w14:paraId="4086D2A4" w14:textId="77777777" w:rsidR="00E31311" w:rsidRDefault="00E31311">
      <w:pPr>
        <w:spacing w:line="360" w:lineRule="auto"/>
        <w:jc w:val="both"/>
        <w:rPr>
          <w:rFonts w:ascii="Palatino Linotype" w:eastAsia="Palatino Linotype" w:hAnsi="Palatino Linotype" w:cs="Palatino Linotype"/>
          <w:b/>
        </w:rPr>
      </w:pPr>
    </w:p>
    <w:p w14:paraId="0F4BBB51" w14:textId="77777777" w:rsidR="00E31311" w:rsidRDefault="00DF6EAE">
      <w:pPr>
        <w:pStyle w:val="Ttulo1"/>
        <w:spacing w:before="0" w:line="360" w:lineRule="auto"/>
        <w:jc w:val="center"/>
        <w:rPr>
          <w:rFonts w:ascii="Palatino Linotype" w:eastAsia="Palatino Linotype" w:hAnsi="Palatino Linotype" w:cs="Palatino Linotype"/>
          <w:b/>
          <w:color w:val="000000"/>
          <w:sz w:val="24"/>
          <w:szCs w:val="24"/>
        </w:rPr>
      </w:pPr>
      <w:bookmarkStart w:id="0" w:name="_heading=h.gjdgxs" w:colFirst="0" w:colLast="0"/>
      <w:bookmarkEnd w:id="0"/>
      <w:r>
        <w:rPr>
          <w:rFonts w:ascii="Palatino Linotype" w:eastAsia="Palatino Linotype" w:hAnsi="Palatino Linotype" w:cs="Palatino Linotype"/>
          <w:b/>
          <w:color w:val="000000"/>
          <w:sz w:val="24"/>
          <w:szCs w:val="24"/>
        </w:rPr>
        <w:t>A N T E C E D E N T E S</w:t>
      </w:r>
    </w:p>
    <w:p w14:paraId="675DCED1" w14:textId="77777777" w:rsidR="00E31311" w:rsidRDefault="00E31311"/>
    <w:p w14:paraId="14D41134" w14:textId="77777777" w:rsidR="00E31311" w:rsidRDefault="00DF6EAE">
      <w:pPr>
        <w:numPr>
          <w:ilvl w:val="0"/>
          <w:numId w:val="3"/>
        </w:numPr>
        <w:pBdr>
          <w:top w:val="nil"/>
          <w:left w:val="nil"/>
          <w:bottom w:val="nil"/>
          <w:right w:val="nil"/>
          <w:between w:val="nil"/>
        </w:pBdr>
        <w:spacing w:line="360" w:lineRule="auto"/>
        <w:ind w:left="141" w:firstLine="0"/>
        <w:jc w:val="both"/>
        <w:rPr>
          <w:color w:val="000000"/>
        </w:rPr>
      </w:pPr>
      <w:r>
        <w:rPr>
          <w:rFonts w:ascii="Palatino Linotype" w:eastAsia="Palatino Linotype" w:hAnsi="Palatino Linotype" w:cs="Palatino Linotype"/>
          <w:color w:val="000000"/>
        </w:rPr>
        <w:t>El día</w:t>
      </w:r>
      <w:r>
        <w:rPr>
          <w:rFonts w:ascii="Palatino Linotype" w:eastAsia="Palatino Linotype" w:hAnsi="Palatino Linotype" w:cs="Palatino Linotype"/>
          <w:b/>
          <w:color w:val="000000"/>
        </w:rPr>
        <w:t xml:space="preserve"> diecinueve de marzo de dos mil veinticuatro, </w:t>
      </w:r>
      <w:r>
        <w:rPr>
          <w:rFonts w:ascii="Palatino Linotype" w:eastAsia="Palatino Linotype" w:hAnsi="Palatino Linotype" w:cs="Palatino Linotype"/>
          <w:color w:val="000000"/>
        </w:rPr>
        <w:t xml:space="preserve">se presentó ante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vía Plataforma Nacional de Transparencia (PNT), la solicitud de información pública registrada con el número</w:t>
      </w:r>
      <w:r>
        <w:rPr>
          <w:rFonts w:ascii="Palatino Linotype" w:eastAsia="Palatino Linotype" w:hAnsi="Palatino Linotype" w:cs="Palatino Linotype"/>
          <w:b/>
          <w:color w:val="000000"/>
        </w:rPr>
        <w:t xml:space="preserve">  00145/METEPEC/IP/2024; </w:t>
      </w:r>
      <w:r>
        <w:rPr>
          <w:rFonts w:ascii="Palatino Linotype" w:eastAsia="Palatino Linotype" w:hAnsi="Palatino Linotype" w:cs="Palatino Linotype"/>
        </w:rPr>
        <w:t xml:space="preserve">en la que </w:t>
      </w:r>
      <w:r>
        <w:rPr>
          <w:rFonts w:ascii="Palatino Linotype" w:eastAsia="Palatino Linotype" w:hAnsi="Palatino Linotype" w:cs="Palatino Linotype"/>
          <w:color w:val="000000"/>
        </w:rPr>
        <w:t>se solicitó la siguiente información:</w:t>
      </w:r>
    </w:p>
    <w:p w14:paraId="26A4B33C" w14:textId="77777777" w:rsidR="00E31311" w:rsidRDefault="00E31311">
      <w:pPr>
        <w:pBdr>
          <w:top w:val="nil"/>
          <w:left w:val="nil"/>
          <w:bottom w:val="nil"/>
          <w:right w:val="nil"/>
          <w:between w:val="nil"/>
        </w:pBdr>
        <w:spacing w:line="360" w:lineRule="auto"/>
        <w:ind w:left="360"/>
        <w:jc w:val="both"/>
        <w:rPr>
          <w:rFonts w:ascii="Palatino Linotype" w:eastAsia="Palatino Linotype" w:hAnsi="Palatino Linotype" w:cs="Palatino Linotype"/>
          <w:color w:val="000000"/>
        </w:rPr>
      </w:pPr>
    </w:p>
    <w:p w14:paraId="177CD93E" w14:textId="77777777" w:rsidR="00E31311" w:rsidRDefault="00DF6EAE">
      <w:pPr>
        <w:pBdr>
          <w:top w:val="nil"/>
          <w:left w:val="nil"/>
          <w:bottom w:val="nil"/>
          <w:right w:val="nil"/>
          <w:between w:val="nil"/>
        </w:pBdr>
        <w:spacing w:line="360" w:lineRule="auto"/>
        <w:ind w:left="426" w:right="476"/>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“SE DESCRIBA DETALLADAMENTE CALLES, AVENIDAS Y CUALQUIER VIALIDAD, Y SUS RESPECTIVOS TRAMOS, ASÍ COMO LOS HORARIOS SI FUERA EL CASO, EN LOS QUE ESTÉ RESTRINGIDA LA CIRCULACIÓN A VEHÍCULOS DE CARGA DE 3.5 TONELADAS O MÁS CARGA EN UN MAPA VIAL SEÑALAR DICHAS VIALIDADES Y SUS RESPECTIVOS TRAMOS SEÑALAR SU FUNDAMENTO LEGAL.”</w:t>
      </w:r>
    </w:p>
    <w:p w14:paraId="2BA6EE33" w14:textId="77777777" w:rsidR="00E31311" w:rsidRDefault="00E31311">
      <w:pPr>
        <w:pBdr>
          <w:top w:val="nil"/>
          <w:left w:val="nil"/>
          <w:bottom w:val="nil"/>
          <w:right w:val="nil"/>
          <w:between w:val="nil"/>
        </w:pBdr>
        <w:spacing w:line="360" w:lineRule="auto"/>
        <w:ind w:left="851" w:right="34"/>
        <w:jc w:val="both"/>
        <w:rPr>
          <w:rFonts w:ascii="Palatino Linotype" w:eastAsia="Palatino Linotype" w:hAnsi="Palatino Linotype" w:cs="Palatino Linotype"/>
          <w:color w:val="000000"/>
        </w:rPr>
      </w:pPr>
    </w:p>
    <w:p w14:paraId="3E0CE9BA" w14:textId="77777777" w:rsidR="00E31311" w:rsidRDefault="00DF6EAE">
      <w:pPr>
        <w:numPr>
          <w:ilvl w:val="0"/>
          <w:numId w:val="4"/>
        </w:numPr>
        <w:pBdr>
          <w:top w:val="nil"/>
          <w:left w:val="nil"/>
          <w:bottom w:val="nil"/>
          <w:right w:val="nil"/>
          <w:between w:val="nil"/>
        </w:pBdr>
        <w:spacing w:line="360" w:lineRule="auto"/>
        <w:ind w:left="851" w:right="34"/>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Se eligió como medio para recibir información o notificaciones Correo electrónico</w:t>
      </w:r>
    </w:p>
    <w:p w14:paraId="106F5E30" w14:textId="77777777" w:rsidR="00E31311" w:rsidRDefault="00E31311">
      <w:pPr>
        <w:pBdr>
          <w:top w:val="nil"/>
          <w:left w:val="nil"/>
          <w:bottom w:val="nil"/>
          <w:right w:val="nil"/>
          <w:between w:val="nil"/>
        </w:pBdr>
        <w:tabs>
          <w:tab w:val="left" w:pos="0"/>
        </w:tabs>
        <w:spacing w:line="360" w:lineRule="auto"/>
        <w:ind w:left="360" w:right="51"/>
        <w:jc w:val="both"/>
        <w:rPr>
          <w:rFonts w:ascii="Palatino Linotype" w:eastAsia="Palatino Linotype" w:hAnsi="Palatino Linotype" w:cs="Palatino Linotype"/>
          <w:color w:val="000000"/>
        </w:rPr>
      </w:pPr>
    </w:p>
    <w:p w14:paraId="1B7D1435" w14:textId="77777777" w:rsidR="00E31311" w:rsidRDefault="00DF6EAE">
      <w:pPr>
        <w:numPr>
          <w:ilvl w:val="0"/>
          <w:numId w:val="3"/>
        </w:numPr>
        <w:pBdr>
          <w:top w:val="nil"/>
          <w:left w:val="nil"/>
          <w:bottom w:val="nil"/>
          <w:right w:val="nil"/>
          <w:between w:val="nil"/>
        </w:pBdr>
        <w:tabs>
          <w:tab w:val="left" w:pos="0"/>
        </w:tabs>
        <w:spacing w:line="360" w:lineRule="auto"/>
        <w:ind w:right="51"/>
        <w:jc w:val="both"/>
        <w:rPr>
          <w:color w:val="000000"/>
        </w:rPr>
      </w:pPr>
      <w:r>
        <w:rPr>
          <w:rFonts w:ascii="Palatino Linotype" w:eastAsia="Palatino Linotype" w:hAnsi="Palatino Linotype" w:cs="Palatino Linotype"/>
          <w:color w:val="000000"/>
        </w:rPr>
        <w:t xml:space="preserve">En fecha veintidós (21) de marzo de dos mil veinticuatro el Sujeto Obligado realizó requerimiento al Servidor </w:t>
      </w:r>
      <w:r>
        <w:rPr>
          <w:rFonts w:ascii="Palatino Linotype" w:eastAsia="Palatino Linotype" w:hAnsi="Palatino Linotype" w:cs="Palatino Linotype"/>
        </w:rPr>
        <w:t>Público</w:t>
      </w:r>
      <w:r>
        <w:rPr>
          <w:rFonts w:ascii="Palatino Linotype" w:eastAsia="Palatino Linotype" w:hAnsi="Palatino Linotype" w:cs="Palatino Linotype"/>
          <w:color w:val="000000"/>
        </w:rPr>
        <w:t xml:space="preserve"> Habilitado.</w:t>
      </w:r>
    </w:p>
    <w:p w14:paraId="287CF4A5" w14:textId="77777777" w:rsidR="00E31311" w:rsidRDefault="00E31311">
      <w:pPr>
        <w:pBdr>
          <w:top w:val="nil"/>
          <w:left w:val="nil"/>
          <w:bottom w:val="nil"/>
          <w:right w:val="nil"/>
          <w:between w:val="nil"/>
        </w:pBdr>
        <w:tabs>
          <w:tab w:val="left" w:pos="0"/>
        </w:tabs>
        <w:spacing w:line="360" w:lineRule="auto"/>
        <w:ind w:left="360" w:right="51"/>
        <w:jc w:val="both"/>
        <w:rPr>
          <w:rFonts w:ascii="Palatino Linotype" w:eastAsia="Palatino Linotype" w:hAnsi="Palatino Linotype" w:cs="Palatino Linotype"/>
          <w:color w:val="000000"/>
        </w:rPr>
      </w:pPr>
    </w:p>
    <w:p w14:paraId="5CC22B0B" w14:textId="77777777" w:rsidR="00E31311" w:rsidRDefault="00DF6EAE">
      <w:pPr>
        <w:numPr>
          <w:ilvl w:val="0"/>
          <w:numId w:val="3"/>
        </w:numPr>
        <w:pBdr>
          <w:top w:val="nil"/>
          <w:left w:val="nil"/>
          <w:bottom w:val="nil"/>
          <w:right w:val="nil"/>
          <w:between w:val="nil"/>
        </w:pBdr>
        <w:tabs>
          <w:tab w:val="left" w:pos="0"/>
        </w:tabs>
        <w:spacing w:line="360" w:lineRule="auto"/>
        <w:ind w:right="51"/>
        <w:jc w:val="both"/>
        <w:rPr>
          <w:color w:val="000000"/>
        </w:rPr>
      </w:pPr>
      <w:r>
        <w:rPr>
          <w:rFonts w:ascii="Palatino Linotype" w:eastAsia="Palatino Linotype" w:hAnsi="Palatino Linotype" w:cs="Palatino Linotype"/>
          <w:color w:val="000000"/>
        </w:rPr>
        <w:t xml:space="preserve">El dieciséis  (16) de abril de dos mil veinticuatro  el Sujeto Obligado </w:t>
      </w:r>
      <w:r>
        <w:rPr>
          <w:rFonts w:ascii="Palatino Linotype" w:eastAsia="Palatino Linotype" w:hAnsi="Palatino Linotype" w:cs="Palatino Linotype"/>
        </w:rPr>
        <w:t>solicitó</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una prórroga</w:t>
      </w:r>
      <w:r>
        <w:rPr>
          <w:rFonts w:ascii="Palatino Linotype" w:eastAsia="Palatino Linotype" w:hAnsi="Palatino Linotype" w:cs="Palatino Linotype"/>
          <w:color w:val="000000"/>
        </w:rPr>
        <w:t>.</w:t>
      </w:r>
    </w:p>
    <w:p w14:paraId="1FFA1B51" w14:textId="77777777" w:rsidR="00E31311" w:rsidRDefault="00DF6EAE">
      <w:pPr>
        <w:pBdr>
          <w:top w:val="nil"/>
          <w:left w:val="nil"/>
          <w:bottom w:val="nil"/>
          <w:right w:val="nil"/>
          <w:between w:val="nil"/>
        </w:pBdr>
        <w:tabs>
          <w:tab w:val="left" w:pos="0"/>
        </w:tabs>
        <w:spacing w:line="360" w:lineRule="auto"/>
        <w:ind w:left="360" w:right="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METEPEC, ESTADO DE MEXICO, ABRIL DEL 2024 ASUNTO: EL QUE SE INDICA A QUIEN CORRESPONDA P R E S E N T E. Por este conducto y con fundamento en lo dispuesto por los artículos 53, fracción VI y 163 de la Ley de Transparencia y Acceso a la Información Pública del Estado de México y Municipios, me permito notificarle la ampliación del plazo por siete días hábiles, aprobado por el Comité de Transparencia del Ayuntamiento de Metepec, Estado de México, mediante la Centésima Vigésima Tercera Sesión Extraordinaria. Sin más por el momento quedo a sus órdenes. ATENTAMENTE GERARDO ARTURO OZUNA MARTÍNEZ DIRECTOR DE TRANSPARENCIA Y GOBIERNO ABIERTO</w:t>
      </w:r>
    </w:p>
    <w:p w14:paraId="58F6AF7E" w14:textId="77777777" w:rsidR="00E31311" w:rsidRDefault="00E31311">
      <w:pPr>
        <w:pBdr>
          <w:top w:val="nil"/>
          <w:left w:val="nil"/>
          <w:bottom w:val="nil"/>
          <w:right w:val="nil"/>
          <w:between w:val="nil"/>
        </w:pBdr>
        <w:tabs>
          <w:tab w:val="left" w:pos="0"/>
        </w:tabs>
        <w:spacing w:line="360" w:lineRule="auto"/>
        <w:ind w:left="360" w:right="51"/>
        <w:jc w:val="both"/>
        <w:rPr>
          <w:rFonts w:ascii="Palatino Linotype" w:eastAsia="Palatino Linotype" w:hAnsi="Palatino Linotype" w:cs="Palatino Linotype"/>
          <w:i/>
          <w:color w:val="000000"/>
          <w:sz w:val="22"/>
          <w:szCs w:val="22"/>
        </w:rPr>
      </w:pPr>
    </w:p>
    <w:p w14:paraId="0AB7500A" w14:textId="77777777" w:rsidR="00E31311" w:rsidRDefault="00DF6EAE">
      <w:pPr>
        <w:pBdr>
          <w:top w:val="nil"/>
          <w:left w:val="nil"/>
          <w:bottom w:val="nil"/>
          <w:right w:val="nil"/>
          <w:between w:val="nil"/>
        </w:pBdr>
        <w:tabs>
          <w:tab w:val="left" w:pos="0"/>
        </w:tabs>
        <w:spacing w:line="360" w:lineRule="auto"/>
        <w:ind w:left="360" w:right="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Lic. Gerardo Arturo Ozuna Martínez</w:t>
      </w:r>
    </w:p>
    <w:p w14:paraId="35864C40" w14:textId="77777777" w:rsidR="00E31311" w:rsidRDefault="00DF6EAE">
      <w:pPr>
        <w:pBdr>
          <w:top w:val="nil"/>
          <w:left w:val="nil"/>
          <w:bottom w:val="nil"/>
          <w:right w:val="nil"/>
          <w:between w:val="nil"/>
        </w:pBdr>
        <w:tabs>
          <w:tab w:val="left" w:pos="0"/>
        </w:tabs>
        <w:spacing w:line="360" w:lineRule="auto"/>
        <w:ind w:left="360" w:right="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Responsable de la Unidad de Transparencia</w:t>
      </w:r>
    </w:p>
    <w:p w14:paraId="7C280B10" w14:textId="77777777" w:rsidR="00E31311" w:rsidRDefault="00E31311">
      <w:pPr>
        <w:pBdr>
          <w:top w:val="nil"/>
          <w:left w:val="nil"/>
          <w:bottom w:val="nil"/>
          <w:right w:val="nil"/>
          <w:between w:val="nil"/>
        </w:pBdr>
        <w:tabs>
          <w:tab w:val="left" w:pos="0"/>
        </w:tabs>
        <w:spacing w:line="360" w:lineRule="auto"/>
        <w:ind w:left="360" w:right="51"/>
        <w:jc w:val="both"/>
        <w:rPr>
          <w:rFonts w:ascii="Palatino Linotype" w:eastAsia="Palatino Linotype" w:hAnsi="Palatino Linotype" w:cs="Palatino Linotype"/>
          <w:i/>
          <w:color w:val="000000"/>
        </w:rPr>
      </w:pPr>
    </w:p>
    <w:p w14:paraId="273D6085" w14:textId="77777777" w:rsidR="00E31311" w:rsidRDefault="00DF6EAE">
      <w:pPr>
        <w:numPr>
          <w:ilvl w:val="0"/>
          <w:numId w:val="3"/>
        </w:numPr>
        <w:pBdr>
          <w:top w:val="nil"/>
          <w:left w:val="nil"/>
          <w:bottom w:val="nil"/>
          <w:right w:val="nil"/>
          <w:between w:val="nil"/>
        </w:pBdr>
        <w:tabs>
          <w:tab w:val="left" w:pos="0"/>
        </w:tabs>
        <w:spacing w:line="360" w:lineRule="auto"/>
        <w:ind w:right="51"/>
        <w:jc w:val="both"/>
        <w:rPr>
          <w:color w:val="000000"/>
        </w:rPr>
      </w:pPr>
      <w:r>
        <w:rPr>
          <w:rFonts w:ascii="Palatino Linotype" w:eastAsia="Palatino Linotype" w:hAnsi="Palatino Linotype" w:cs="Palatino Linotype"/>
          <w:color w:val="000000"/>
        </w:rPr>
        <w:t xml:space="preserve">El veinticinco  (25) de abril de dos mil veinticuatro,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dio respuesta a la solicitud:</w:t>
      </w:r>
    </w:p>
    <w:p w14:paraId="78ACA3F5" w14:textId="77777777" w:rsidR="00E31311" w:rsidRDefault="00E31311">
      <w:pPr>
        <w:pBdr>
          <w:top w:val="nil"/>
          <w:left w:val="nil"/>
          <w:bottom w:val="nil"/>
          <w:right w:val="nil"/>
          <w:between w:val="nil"/>
        </w:pBdr>
        <w:tabs>
          <w:tab w:val="left" w:pos="0"/>
        </w:tabs>
        <w:spacing w:line="360" w:lineRule="auto"/>
        <w:ind w:left="360" w:right="51"/>
        <w:jc w:val="both"/>
        <w:rPr>
          <w:rFonts w:ascii="Palatino Linotype" w:eastAsia="Palatino Linotype" w:hAnsi="Palatino Linotype" w:cs="Palatino Linotype"/>
          <w:i/>
          <w:color w:val="000000"/>
        </w:rPr>
      </w:pPr>
    </w:p>
    <w:p w14:paraId="121ADF73" w14:textId="77777777" w:rsidR="00E31311" w:rsidRDefault="00DF6EAE">
      <w:pPr>
        <w:spacing w:line="360" w:lineRule="auto"/>
        <w:ind w:left="851" w:right="33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C. SOLICITANTE P R E S E N T E. En respuesta a la solicitud recibida por medio del Sistema de Acceso a la Información Mexiquense (SAIMEX). Al respecto, le informo que esta Dirección de Transparencia y Gobierno Abierto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se anexa la respuesta del servidor público habilitado. Lo anterior con fundamento en lo establecido por los artículos 12, 18, 19, 53 fracción VI, 160 y 162 de la Ley de Transparencia y Acceso a la Información Pública del Estado de México. Asimismo, se hace de su conocimiento que cuenta con un plazo de 15 (quince) días hábiles a partir de la fecha de respuesta a su solicitud, para interponer el recurso de revisión conforme a los artículos 176, 177 y 178 de la Ley de Transparencia y Acceso a la Información Pública del Estado de México y Municipios. Sin más por el momento, me despido de usted, reiterando estar a sus órdenes. ATENTAMENTE SILVIA KARINA MONTES DE OCA ACEVEDO ENCARGADA DEL DESPACHO DE LA DIRECCIÓN DE TRANSPARENCIA Y GOBIERNO ABIERTO</w:t>
      </w:r>
    </w:p>
    <w:p w14:paraId="2BFAF28E" w14:textId="77777777" w:rsidR="00E31311" w:rsidRDefault="00E31311">
      <w:pPr>
        <w:spacing w:line="360" w:lineRule="auto"/>
        <w:ind w:left="851" w:right="333"/>
        <w:jc w:val="both"/>
        <w:rPr>
          <w:rFonts w:ascii="Palatino Linotype" w:eastAsia="Palatino Linotype" w:hAnsi="Palatino Linotype" w:cs="Palatino Linotype"/>
          <w:i/>
          <w:color w:val="000000"/>
          <w:sz w:val="22"/>
          <w:szCs w:val="22"/>
        </w:rPr>
      </w:pPr>
    </w:p>
    <w:p w14:paraId="5537F8C4" w14:textId="77777777" w:rsidR="00E31311" w:rsidRDefault="00DF6EAE">
      <w:pPr>
        <w:spacing w:line="360" w:lineRule="auto"/>
        <w:ind w:left="851" w:right="33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ATENTAMENTE</w:t>
      </w:r>
    </w:p>
    <w:p w14:paraId="5F4F6678" w14:textId="77777777" w:rsidR="00E31311" w:rsidRDefault="00DF6EAE">
      <w:pPr>
        <w:spacing w:line="360" w:lineRule="auto"/>
        <w:ind w:left="851" w:right="33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Mtra. Silvia Karina Montes de Oca Acevedo</w:t>
      </w:r>
    </w:p>
    <w:p w14:paraId="041AFFAF" w14:textId="77777777" w:rsidR="00E31311" w:rsidRDefault="00E31311">
      <w:pPr>
        <w:spacing w:line="360" w:lineRule="auto"/>
        <w:ind w:left="851" w:right="333"/>
        <w:jc w:val="both"/>
        <w:rPr>
          <w:rFonts w:ascii="Palatino Linotype" w:eastAsia="Palatino Linotype" w:hAnsi="Palatino Linotype" w:cs="Palatino Linotype"/>
          <w:i/>
          <w:color w:val="000000"/>
          <w:sz w:val="22"/>
          <w:szCs w:val="22"/>
        </w:rPr>
      </w:pPr>
    </w:p>
    <w:p w14:paraId="1ACF9A3E" w14:textId="77777777" w:rsidR="00E31311" w:rsidRDefault="00DF6EAE">
      <w:pPr>
        <w:spacing w:line="360" w:lineRule="auto"/>
        <w:ind w:left="851" w:right="333"/>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A su respuesta Adjunto el siguiente archivo electrónico cuyo contenido es el siguiente: </w:t>
      </w:r>
    </w:p>
    <w:p w14:paraId="295D02CF" w14:textId="77777777" w:rsidR="00E31311" w:rsidRDefault="00E31311">
      <w:pPr>
        <w:spacing w:line="360" w:lineRule="auto"/>
        <w:ind w:left="851" w:right="333"/>
        <w:jc w:val="both"/>
        <w:rPr>
          <w:rFonts w:ascii="Palatino Linotype" w:eastAsia="Palatino Linotype" w:hAnsi="Palatino Linotype" w:cs="Palatino Linotype"/>
          <w:color w:val="000000"/>
          <w:sz w:val="22"/>
          <w:szCs w:val="22"/>
        </w:rPr>
      </w:pPr>
    </w:p>
    <w:p w14:paraId="70418135" w14:textId="77777777" w:rsidR="00E31311" w:rsidRDefault="00A574A4">
      <w:pPr>
        <w:pBdr>
          <w:top w:val="nil"/>
          <w:left w:val="nil"/>
          <w:bottom w:val="nil"/>
          <w:right w:val="nil"/>
          <w:between w:val="nil"/>
        </w:pBdr>
        <w:tabs>
          <w:tab w:val="left" w:pos="0"/>
        </w:tabs>
        <w:spacing w:line="360" w:lineRule="auto"/>
        <w:ind w:left="709" w:right="51"/>
        <w:jc w:val="both"/>
        <w:rPr>
          <w:rFonts w:ascii="Palatino Linotype" w:eastAsia="Palatino Linotype" w:hAnsi="Palatino Linotype" w:cs="Palatino Linotype"/>
          <w:color w:val="000000"/>
          <w:sz w:val="22"/>
          <w:szCs w:val="22"/>
        </w:rPr>
      </w:pPr>
      <w:hyperlink r:id="rId8">
        <w:r w:rsidR="00DF6EAE">
          <w:rPr>
            <w:rFonts w:ascii="Palatino Linotype" w:eastAsia="Palatino Linotype" w:hAnsi="Palatino Linotype" w:cs="Palatino Linotype"/>
            <w:b/>
            <w:i/>
            <w:color w:val="000000"/>
            <w:sz w:val="22"/>
            <w:szCs w:val="22"/>
          </w:rPr>
          <w:t>F. 00145.METEPEC.IP.2024.pdf</w:t>
        </w:r>
      </w:hyperlink>
      <w:r w:rsidR="00DF6EAE">
        <w:rPr>
          <w:rFonts w:ascii="Palatino Linotype" w:eastAsia="Palatino Linotype" w:hAnsi="Palatino Linotype" w:cs="Palatino Linotype"/>
          <w:b/>
          <w:i/>
          <w:color w:val="000000"/>
          <w:sz w:val="22"/>
          <w:szCs w:val="22"/>
        </w:rPr>
        <w:t>:</w:t>
      </w:r>
      <w:r w:rsidR="00DF6EAE">
        <w:rPr>
          <w:rFonts w:ascii="Palatino Linotype" w:eastAsia="Palatino Linotype" w:hAnsi="Palatino Linotype" w:cs="Palatino Linotype"/>
          <w:i/>
          <w:color w:val="000000"/>
          <w:sz w:val="22"/>
          <w:szCs w:val="22"/>
        </w:rPr>
        <w:t xml:space="preserve"> </w:t>
      </w:r>
      <w:r w:rsidR="00DF6EAE">
        <w:rPr>
          <w:rFonts w:ascii="Palatino Linotype" w:eastAsia="Palatino Linotype" w:hAnsi="Palatino Linotype" w:cs="Palatino Linotype"/>
          <w:color w:val="000000"/>
          <w:sz w:val="22"/>
          <w:szCs w:val="22"/>
        </w:rPr>
        <w:t xml:space="preserve">Oficio suscrito por JESÚS ALBERTO RAMÍREZ MANZUR DIRECTOR DE </w:t>
      </w:r>
      <w:r w:rsidR="00DF6EAE">
        <w:rPr>
          <w:rFonts w:ascii="Palatino Linotype" w:eastAsia="Palatino Linotype" w:hAnsi="Palatino Linotype" w:cs="Palatino Linotype"/>
          <w:color w:val="000000"/>
          <w:sz w:val="22"/>
          <w:szCs w:val="22"/>
        </w:rPr>
        <w:lastRenderedPageBreak/>
        <w:t>SEGURIDAD PÚBLICA DE METEPEC, ESTADO DE MÉXICO en el cual refiere .lo siguiente: “… mediante el presente oficio esta unidad administrativa da por atendida la solicitud en mención, por considerar que se trata de un documento con las características requeridas a interés del solicitante y no se cumplen los requisitos de una solicitud de información.”</w:t>
      </w:r>
    </w:p>
    <w:p w14:paraId="1C06CF6F" w14:textId="77777777" w:rsidR="00E31311" w:rsidRDefault="00E31311">
      <w:pPr>
        <w:pBdr>
          <w:top w:val="nil"/>
          <w:left w:val="nil"/>
          <w:bottom w:val="nil"/>
          <w:right w:val="nil"/>
          <w:between w:val="nil"/>
        </w:pBdr>
        <w:tabs>
          <w:tab w:val="left" w:pos="0"/>
        </w:tabs>
        <w:spacing w:line="360" w:lineRule="auto"/>
        <w:ind w:left="709" w:right="51"/>
        <w:jc w:val="both"/>
        <w:rPr>
          <w:rFonts w:ascii="Palatino Linotype" w:eastAsia="Palatino Linotype" w:hAnsi="Palatino Linotype" w:cs="Palatino Linotype"/>
          <w:color w:val="000000"/>
        </w:rPr>
      </w:pPr>
    </w:p>
    <w:p w14:paraId="4C508E7E" w14:textId="77777777" w:rsidR="00E31311" w:rsidRDefault="00DF6EAE">
      <w:pPr>
        <w:numPr>
          <w:ilvl w:val="0"/>
          <w:numId w:val="3"/>
        </w:numPr>
        <w:pBdr>
          <w:top w:val="nil"/>
          <w:left w:val="nil"/>
          <w:bottom w:val="nil"/>
          <w:right w:val="nil"/>
          <w:between w:val="nil"/>
        </w:pBdr>
        <w:tabs>
          <w:tab w:val="left" w:pos="0"/>
        </w:tabs>
        <w:spacing w:line="360" w:lineRule="auto"/>
        <w:ind w:left="0" w:right="49" w:firstLine="0"/>
        <w:jc w:val="both"/>
        <w:rPr>
          <w:color w:val="000000"/>
        </w:rPr>
      </w:pPr>
      <w:r>
        <w:rPr>
          <w:rFonts w:ascii="Palatino Linotype" w:eastAsia="Palatino Linotype" w:hAnsi="Palatino Linotype" w:cs="Palatino Linotype"/>
          <w:color w:val="000000"/>
        </w:rPr>
        <w:t>El</w:t>
      </w:r>
      <w:r>
        <w:rPr>
          <w:rFonts w:ascii="Palatino Linotype" w:eastAsia="Palatino Linotype" w:hAnsi="Palatino Linotype" w:cs="Palatino Linotype"/>
          <w:b/>
          <w:color w:val="000000"/>
        </w:rPr>
        <w:t xml:space="preserve"> veinticinco de abril  de dos mil veinticuatro</w:t>
      </w:r>
      <w:r>
        <w:rPr>
          <w:rFonts w:ascii="Palatino Linotype" w:eastAsia="Palatino Linotype" w:hAnsi="Palatino Linotype" w:cs="Palatino Linotype"/>
          <w:color w:val="000000"/>
        </w:rPr>
        <w:t>, el particular interpuso el recurso de revisión en contra de la respuesta, manifestando las siguientes razones o motivos de inconformidad:</w:t>
      </w:r>
    </w:p>
    <w:p w14:paraId="49776851" w14:textId="77777777" w:rsidR="00E31311" w:rsidRDefault="00DF6EAE">
      <w:pPr>
        <w:numPr>
          <w:ilvl w:val="0"/>
          <w:numId w:val="4"/>
        </w:numPr>
        <w:pBdr>
          <w:top w:val="nil"/>
          <w:left w:val="nil"/>
          <w:bottom w:val="nil"/>
          <w:right w:val="nil"/>
          <w:between w:val="nil"/>
        </w:pBdr>
        <w:spacing w:line="360" w:lineRule="auto"/>
        <w:ind w:left="567" w:right="152"/>
        <w:jc w:val="both"/>
        <w:rPr>
          <w:rFonts w:ascii="Palatino Linotype" w:eastAsia="Palatino Linotype" w:hAnsi="Palatino Linotype" w:cs="Palatino Linotype"/>
          <w:i/>
          <w:color w:val="000000"/>
          <w:sz w:val="22"/>
          <w:szCs w:val="22"/>
        </w:rPr>
      </w:pPr>
      <w:bookmarkStart w:id="1" w:name="_heading=h.30j0zll" w:colFirst="0" w:colLast="0"/>
      <w:bookmarkEnd w:id="1"/>
      <w:r>
        <w:rPr>
          <w:rFonts w:ascii="Palatino Linotype" w:eastAsia="Palatino Linotype" w:hAnsi="Palatino Linotype" w:cs="Palatino Linotype"/>
          <w:b/>
          <w:color w:val="000000"/>
          <w:sz w:val="22"/>
          <w:szCs w:val="22"/>
        </w:rPr>
        <w:t xml:space="preserve">Acto impugnado: </w:t>
      </w:r>
      <w:r>
        <w:rPr>
          <w:rFonts w:ascii="Palatino Linotype" w:eastAsia="Palatino Linotype" w:hAnsi="Palatino Linotype" w:cs="Palatino Linotype"/>
          <w:i/>
          <w:color w:val="000000"/>
          <w:sz w:val="22"/>
          <w:szCs w:val="22"/>
        </w:rPr>
        <w:t>“La respuesta a mi solicitud de información 00145/METEPEC/IP/2024.”</w:t>
      </w:r>
    </w:p>
    <w:p w14:paraId="04E9BE86" w14:textId="77777777" w:rsidR="00E31311" w:rsidRDefault="00DF6EAE">
      <w:pPr>
        <w:numPr>
          <w:ilvl w:val="0"/>
          <w:numId w:val="4"/>
        </w:numPr>
        <w:pBdr>
          <w:top w:val="nil"/>
          <w:left w:val="nil"/>
          <w:bottom w:val="nil"/>
          <w:right w:val="nil"/>
          <w:between w:val="nil"/>
        </w:pBdr>
        <w:spacing w:line="360" w:lineRule="auto"/>
        <w:ind w:left="567" w:right="15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color w:val="000000"/>
          <w:sz w:val="22"/>
          <w:szCs w:val="22"/>
        </w:rPr>
        <w:t>Razones o Motivos de Inconformidad:</w:t>
      </w:r>
      <w:r>
        <w:rPr>
          <w:rFonts w:ascii="Palatino Linotype" w:eastAsia="Palatino Linotype" w:hAnsi="Palatino Linotype" w:cs="Palatino Linotype"/>
          <w:i/>
          <w:color w:val="000000"/>
          <w:sz w:val="22"/>
          <w:szCs w:val="22"/>
        </w:rPr>
        <w:t xml:space="preserve"> “SE ME DEJA EN TOTAL INDEFENSIÓN ANTE EL ACTUAR DE LA POLICÍA DE TRÁNSITO MUNICIPAL, YA QUE PARA ELLOS SI EXISTEN VIALIDADES CON RESTRICCIÓN DE CIRCULACIÓN DE VEHÍCULOS DE CARGA, LO QUE DA MOTIVO A GENERAR INFRACCIONES O EXTORSIONES POR CIRCULAR SOBRE SUPUESTAS VÍAS CON RESTRICCIÓN DE CARGA. SOLICITO ENTONCES, CONFORME AL ARTÍCULO 12 ALUDIDO, DE LA LEY DE TRANSPARENCIA Y ACCESO A LA INFORMACIÓN PÚBLICA DEL ESTADO DE MÉXICO Y MUNICIPIOS, SE ME PROPORCIONE LA INFORMACIÓN QUE OBRE EN SUS ARCHIVOS Y EN ESTADO EN QUE SE ENCUENTRE, SOBRE LA INFORMACIÓN SOLICITADA, ASÍ COMO SU FUNDAMENTO LEGAL; O EN SU CASO SE ME INFORME SI NO EXISTE RESTRICCIÓN DE CIRCULACIÓN PARA VEHÍCULOS DE CARGA EN CALLES, AVENIDAS O LAS VIALIDADES DENTRO DEL TERRITORIO MUNICIPAL.”</w:t>
      </w:r>
    </w:p>
    <w:p w14:paraId="163EDF04" w14:textId="77777777" w:rsidR="00E31311" w:rsidRDefault="00E31311">
      <w:pPr>
        <w:spacing w:line="360" w:lineRule="auto"/>
        <w:jc w:val="both"/>
        <w:rPr>
          <w:rFonts w:ascii="Palatino Linotype" w:eastAsia="Palatino Linotype" w:hAnsi="Palatino Linotype" w:cs="Palatino Linotype"/>
          <w:i/>
          <w:color w:val="000000"/>
        </w:rPr>
      </w:pPr>
    </w:p>
    <w:p w14:paraId="04FE691C" w14:textId="77777777" w:rsidR="00E31311" w:rsidRDefault="00DF6EAE">
      <w:pPr>
        <w:numPr>
          <w:ilvl w:val="0"/>
          <w:numId w:val="3"/>
        </w:numPr>
        <w:pBdr>
          <w:top w:val="nil"/>
          <w:left w:val="nil"/>
          <w:bottom w:val="nil"/>
          <w:right w:val="nil"/>
          <w:between w:val="nil"/>
        </w:pBdr>
        <w:spacing w:line="360" w:lineRule="auto"/>
        <w:ind w:left="0" w:firstLine="0"/>
        <w:jc w:val="both"/>
        <w:rPr>
          <w:color w:val="000000"/>
        </w:rPr>
      </w:pPr>
      <w:r>
        <w:rPr>
          <w:rFonts w:ascii="Palatino Linotype" w:eastAsia="Palatino Linotype" w:hAnsi="Palatino Linotype" w:cs="Palatino Linotype"/>
          <w:color w:val="000000"/>
        </w:rPr>
        <w:t>La Comisionada Ponente con fundamento en lo dispuesto por el artículo 185 fracción II de la ley de la materia, a través del acuerdo de admisión de fecha tres</w:t>
      </w:r>
      <w:r>
        <w:rPr>
          <w:rFonts w:ascii="Palatino Linotype" w:eastAsia="Palatino Linotype" w:hAnsi="Palatino Linotype" w:cs="Palatino Linotype"/>
          <w:b/>
          <w:color w:val="000000"/>
        </w:rPr>
        <w:t xml:space="preserve"> de </w:t>
      </w:r>
      <w:r>
        <w:rPr>
          <w:rFonts w:ascii="Palatino Linotype" w:eastAsia="Palatino Linotype" w:hAnsi="Palatino Linotype" w:cs="Palatino Linotype"/>
          <w:b/>
          <w:color w:val="000000"/>
        </w:rPr>
        <w:lastRenderedPageBreak/>
        <w:t>mayo de dos mil veinticuatro</w:t>
      </w:r>
      <w:r>
        <w:rPr>
          <w:rFonts w:ascii="Palatino Linotype" w:eastAsia="Palatino Linotype" w:hAnsi="Palatino Linotype" w:cs="Palatino Linotype"/>
          <w:color w:val="000000"/>
        </w:rPr>
        <w:t xml:space="preserve">, puso a disposición de las partes el expediente electrónico vía </w:t>
      </w:r>
      <w:r>
        <w:rPr>
          <w:rFonts w:ascii="Palatino Linotype" w:eastAsia="Palatino Linotype" w:hAnsi="Palatino Linotype" w:cs="Palatino Linotype"/>
          <w:b/>
          <w:color w:val="000000"/>
        </w:rPr>
        <w:t xml:space="preserve">SAIMEX </w:t>
      </w:r>
      <w:r>
        <w:rPr>
          <w:rFonts w:ascii="Palatino Linotype" w:eastAsia="Palatino Linotype" w:hAnsi="Palatino Linotype" w:cs="Palatino Linotype"/>
          <w:color w:val="000000"/>
        </w:rPr>
        <w:t xml:space="preserve">a efecto de que en un plazo máximo de siete días </w:t>
      </w:r>
      <w:r>
        <w:rPr>
          <w:rFonts w:ascii="Palatino Linotype" w:eastAsia="Palatino Linotype" w:hAnsi="Palatino Linotype" w:cs="Palatino Linotype"/>
        </w:rPr>
        <w:t>manifestara</w:t>
      </w:r>
      <w:r>
        <w:rPr>
          <w:rFonts w:ascii="Palatino Linotype" w:eastAsia="Palatino Linotype" w:hAnsi="Palatino Linotype" w:cs="Palatino Linotype"/>
          <w:color w:val="000000"/>
        </w:rPr>
        <w:t xml:space="preserve"> lo que a su derecho conviniera, </w:t>
      </w:r>
      <w:r>
        <w:rPr>
          <w:rFonts w:ascii="Palatino Linotype" w:eastAsia="Palatino Linotype" w:hAnsi="Palatino Linotype" w:cs="Palatino Linotype"/>
        </w:rPr>
        <w:t>ofreciera</w:t>
      </w:r>
      <w:r>
        <w:rPr>
          <w:rFonts w:ascii="Palatino Linotype" w:eastAsia="Palatino Linotype" w:hAnsi="Palatino Linotype" w:cs="Palatino Linotype"/>
          <w:color w:val="000000"/>
        </w:rPr>
        <w:t xml:space="preserve"> pruebas y alegatos según corresponda a los casos concretos, y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presentará el Informe Justificado procedente.</w:t>
      </w:r>
    </w:p>
    <w:p w14:paraId="2F1303AE" w14:textId="77777777" w:rsidR="00E31311" w:rsidRDefault="00E31311">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7810002" w14:textId="77777777" w:rsidR="00E31311" w:rsidRDefault="00DF6EAE">
      <w:pPr>
        <w:numPr>
          <w:ilvl w:val="0"/>
          <w:numId w:val="3"/>
        </w:numPr>
        <w:pBdr>
          <w:top w:val="nil"/>
          <w:left w:val="nil"/>
          <w:bottom w:val="nil"/>
          <w:right w:val="nil"/>
          <w:between w:val="nil"/>
        </w:pBdr>
        <w:spacing w:line="360" w:lineRule="auto"/>
        <w:ind w:left="141" w:firstLine="0"/>
        <w:jc w:val="both"/>
        <w:rPr>
          <w:color w:val="000000"/>
        </w:rPr>
      </w:pPr>
      <w:r>
        <w:rPr>
          <w:rFonts w:ascii="Palatino Linotype" w:eastAsia="Palatino Linotype" w:hAnsi="Palatino Linotype" w:cs="Palatino Linotype"/>
          <w:color w:val="000000"/>
        </w:rPr>
        <w:t xml:space="preserve">De lo anterior,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en fecha dieciséis y veinte de mayo de dos mil veinticuatro rindió Informe Justificado a través de los siguientes archivos electrónicos:</w:t>
      </w:r>
    </w:p>
    <w:p w14:paraId="7AE9FF60" w14:textId="77777777" w:rsidR="00E31311" w:rsidRDefault="00DF6EAE">
      <w:pPr>
        <w:pBdr>
          <w:top w:val="nil"/>
          <w:left w:val="nil"/>
          <w:bottom w:val="nil"/>
          <w:right w:val="nil"/>
          <w:between w:val="nil"/>
        </w:pBdr>
        <w:ind w:left="72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00145-SEGURIDAD PUBLICA.PDF</w:t>
      </w:r>
      <w:r>
        <w:rPr>
          <w:rFonts w:ascii="Palatino Linotype" w:eastAsia="Palatino Linotype" w:hAnsi="Palatino Linotype" w:cs="Palatino Linotype"/>
          <w:color w:val="000000"/>
          <w:sz w:val="22"/>
          <w:szCs w:val="22"/>
        </w:rPr>
        <w:t xml:space="preserve"> Oficio mediante el cual la Encargada de Despacho de la Dirección de Transparencia y Gobierno Abierto,  solicita al  Director de Seguridad Pública envíe la información que considere conveniente </w:t>
      </w:r>
      <w:r>
        <w:rPr>
          <w:rFonts w:ascii="Palatino Linotype" w:eastAsia="Palatino Linotype" w:hAnsi="Palatino Linotype" w:cs="Palatino Linotype"/>
          <w:sz w:val="22"/>
          <w:szCs w:val="22"/>
        </w:rPr>
        <w:t>para</w:t>
      </w:r>
      <w:r>
        <w:rPr>
          <w:rFonts w:ascii="Palatino Linotype" w:eastAsia="Palatino Linotype" w:hAnsi="Palatino Linotype" w:cs="Palatino Linotype"/>
          <w:color w:val="000000"/>
          <w:sz w:val="22"/>
          <w:szCs w:val="22"/>
        </w:rPr>
        <w:t xml:space="preserve"> remitir el Informe Justificado.</w:t>
      </w:r>
    </w:p>
    <w:p w14:paraId="7DF6FDFB" w14:textId="77777777" w:rsidR="00E31311" w:rsidRDefault="00E31311">
      <w:pPr>
        <w:pBdr>
          <w:top w:val="nil"/>
          <w:left w:val="nil"/>
          <w:bottom w:val="nil"/>
          <w:right w:val="nil"/>
          <w:between w:val="nil"/>
        </w:pBdr>
        <w:ind w:left="720"/>
        <w:jc w:val="both"/>
        <w:rPr>
          <w:rFonts w:ascii="Palatino Linotype" w:eastAsia="Palatino Linotype" w:hAnsi="Palatino Linotype" w:cs="Palatino Linotype"/>
          <w:color w:val="000000"/>
          <w:sz w:val="22"/>
          <w:szCs w:val="22"/>
        </w:rPr>
      </w:pPr>
    </w:p>
    <w:p w14:paraId="077A8CFC" w14:textId="77777777" w:rsidR="00E31311" w:rsidRDefault="00DF6EAE">
      <w:pPr>
        <w:pBdr>
          <w:top w:val="nil"/>
          <w:left w:val="nil"/>
          <w:bottom w:val="nil"/>
          <w:right w:val="nil"/>
          <w:between w:val="nil"/>
        </w:pBdr>
        <w:ind w:left="72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 xml:space="preserve">145-24.pdf:  </w:t>
      </w:r>
      <w:r>
        <w:rPr>
          <w:rFonts w:ascii="Palatino Linotype" w:eastAsia="Palatino Linotype" w:hAnsi="Palatino Linotype" w:cs="Palatino Linotype"/>
          <w:color w:val="000000"/>
          <w:sz w:val="22"/>
          <w:szCs w:val="22"/>
        </w:rPr>
        <w:t xml:space="preserve">Oficio suscrito por el Comisario Jesús Alberto Ramírez Manzur, </w:t>
      </w:r>
      <w:proofErr w:type="gramStart"/>
      <w:r>
        <w:rPr>
          <w:rFonts w:ascii="Palatino Linotype" w:eastAsia="Palatino Linotype" w:hAnsi="Palatino Linotype" w:cs="Palatino Linotype"/>
          <w:color w:val="000000"/>
          <w:sz w:val="22"/>
          <w:szCs w:val="22"/>
        </w:rPr>
        <w:t>Director</w:t>
      </w:r>
      <w:proofErr w:type="gramEnd"/>
      <w:r>
        <w:rPr>
          <w:rFonts w:ascii="Palatino Linotype" w:eastAsia="Palatino Linotype" w:hAnsi="Palatino Linotype" w:cs="Palatino Linotype"/>
          <w:color w:val="000000"/>
          <w:sz w:val="22"/>
          <w:szCs w:val="22"/>
        </w:rPr>
        <w:t xml:space="preserve"> de Seguridad Pública de Metepec, Estado de México mediante el cual confirma la respuesta emitida.</w:t>
      </w:r>
    </w:p>
    <w:p w14:paraId="037F4A56" w14:textId="77777777" w:rsidR="00E31311" w:rsidRDefault="00E31311">
      <w:pPr>
        <w:pBdr>
          <w:top w:val="nil"/>
          <w:left w:val="nil"/>
          <w:bottom w:val="nil"/>
          <w:right w:val="nil"/>
          <w:between w:val="nil"/>
        </w:pBdr>
        <w:spacing w:line="360" w:lineRule="auto"/>
        <w:ind w:left="360"/>
        <w:jc w:val="both"/>
        <w:rPr>
          <w:rFonts w:ascii="Palatino Linotype" w:eastAsia="Palatino Linotype" w:hAnsi="Palatino Linotype" w:cs="Palatino Linotype"/>
          <w:color w:val="000000"/>
        </w:rPr>
      </w:pPr>
    </w:p>
    <w:p w14:paraId="45536DDA" w14:textId="77777777" w:rsidR="00E31311" w:rsidRDefault="00E31311">
      <w:pPr>
        <w:pBdr>
          <w:top w:val="nil"/>
          <w:left w:val="nil"/>
          <w:bottom w:val="nil"/>
          <w:right w:val="nil"/>
          <w:between w:val="nil"/>
        </w:pBdr>
        <w:ind w:left="720"/>
        <w:rPr>
          <w:rFonts w:ascii="Palatino Linotype" w:eastAsia="Palatino Linotype" w:hAnsi="Palatino Linotype" w:cs="Palatino Linotype"/>
          <w:b/>
          <w:color w:val="000000"/>
        </w:rPr>
      </w:pPr>
    </w:p>
    <w:p w14:paraId="2CAA2F45" w14:textId="77777777" w:rsidR="00E31311" w:rsidRDefault="00DF6EAE">
      <w:pPr>
        <w:numPr>
          <w:ilvl w:val="0"/>
          <w:numId w:val="3"/>
        </w:numPr>
        <w:pBdr>
          <w:top w:val="nil"/>
          <w:left w:val="nil"/>
          <w:bottom w:val="nil"/>
          <w:right w:val="nil"/>
          <w:between w:val="nil"/>
        </w:pBdr>
        <w:spacing w:line="360" w:lineRule="auto"/>
        <w:ind w:left="0" w:firstLine="0"/>
        <w:jc w:val="both"/>
        <w:rPr>
          <w:color w:val="000000"/>
        </w:rPr>
      </w:pPr>
      <w:r>
        <w:rPr>
          <w:rFonts w:ascii="Palatino Linotype" w:eastAsia="Palatino Linotype" w:hAnsi="Palatino Linotype" w:cs="Palatino Linotype"/>
          <w:b/>
          <w:color w:val="000000"/>
        </w:rPr>
        <w:t xml:space="preserve">Por su parte el RECURRENTE </w:t>
      </w:r>
      <w:r>
        <w:rPr>
          <w:rFonts w:ascii="Palatino Linotype" w:eastAsia="Palatino Linotype" w:hAnsi="Palatino Linotype" w:cs="Palatino Linotype"/>
          <w:color w:val="000000"/>
        </w:rPr>
        <w:t xml:space="preserve">dejó de realizar manifestaciones que a su derecho conviniera y asistiera. </w:t>
      </w:r>
    </w:p>
    <w:p w14:paraId="17E43333" w14:textId="77777777" w:rsidR="00E31311" w:rsidRDefault="00E31311">
      <w:pPr>
        <w:pBdr>
          <w:top w:val="nil"/>
          <w:left w:val="nil"/>
          <w:bottom w:val="nil"/>
          <w:right w:val="nil"/>
          <w:between w:val="nil"/>
        </w:pBdr>
        <w:ind w:left="720"/>
        <w:rPr>
          <w:rFonts w:ascii="Palatino Linotype" w:eastAsia="Palatino Linotype" w:hAnsi="Palatino Linotype" w:cs="Palatino Linotype"/>
          <w:color w:val="000000"/>
        </w:rPr>
      </w:pPr>
    </w:p>
    <w:p w14:paraId="288CE9CB" w14:textId="77777777" w:rsidR="00E31311" w:rsidRDefault="00DF6EAE">
      <w:pPr>
        <w:numPr>
          <w:ilvl w:val="0"/>
          <w:numId w:val="3"/>
        </w:numPr>
        <w:pBdr>
          <w:top w:val="nil"/>
          <w:left w:val="nil"/>
          <w:bottom w:val="nil"/>
          <w:right w:val="nil"/>
          <w:between w:val="nil"/>
        </w:pBdr>
        <w:tabs>
          <w:tab w:val="left" w:pos="-5"/>
        </w:tabs>
        <w:spacing w:line="360" w:lineRule="auto"/>
        <w:ind w:left="0" w:firstLine="0"/>
        <w:jc w:val="both"/>
        <w:rPr>
          <w:rFonts w:ascii="Palatino Linotype" w:eastAsia="Palatino Linotype" w:hAnsi="Palatino Linotype" w:cs="Palatino Linotype"/>
          <w:b/>
          <w:color w:val="000000"/>
        </w:rPr>
      </w:pPr>
      <w:r>
        <w:rPr>
          <w:rFonts w:ascii="Palatino Linotype" w:eastAsia="Palatino Linotype" w:hAnsi="Palatino Linotype" w:cs="Palatino Linotype"/>
          <w:color w:val="222222"/>
        </w:rPr>
        <w:t>El once (11) de junio de  dos mil veinticuatro, se amplió el término para resolver, al respecto es necesario realizar las siguientes precisiones.</w:t>
      </w:r>
    </w:p>
    <w:p w14:paraId="40F1E86A" w14:textId="77777777" w:rsidR="00E31311" w:rsidRDefault="00E31311">
      <w:pPr>
        <w:tabs>
          <w:tab w:val="left" w:pos="284"/>
        </w:tabs>
        <w:spacing w:line="360" w:lineRule="auto"/>
        <w:jc w:val="both"/>
        <w:rPr>
          <w:rFonts w:ascii="Palatino Linotype" w:eastAsia="Palatino Linotype" w:hAnsi="Palatino Linotype" w:cs="Palatino Linotype"/>
          <w:b/>
        </w:rPr>
      </w:pPr>
    </w:p>
    <w:p w14:paraId="1B6DF1EB" w14:textId="77777777" w:rsidR="00E31311" w:rsidRDefault="00DF6EAE">
      <w:pPr>
        <w:numPr>
          <w:ilvl w:val="0"/>
          <w:numId w:val="2"/>
        </w:numP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De previo y especial pronunciamiento. Argumentos a considerar en las resoluciones a los recursos de revisión para justificar los fallos emitidos fuera del plazo legal de 45 días.</w:t>
      </w:r>
    </w:p>
    <w:p w14:paraId="63E67BD1" w14:textId="77777777" w:rsidR="00E31311" w:rsidRDefault="00DF6EAE">
      <w:pPr>
        <w:numPr>
          <w:ilvl w:val="0"/>
          <w:numId w:val="3"/>
        </w:numPr>
        <w:pBdr>
          <w:top w:val="nil"/>
          <w:left w:val="nil"/>
          <w:bottom w:val="nil"/>
          <w:right w:val="nil"/>
          <w:between w:val="nil"/>
        </w:pBdr>
        <w:spacing w:line="360" w:lineRule="auto"/>
        <w:ind w:left="0" w:firstLine="0"/>
        <w:jc w:val="both"/>
        <w:rPr>
          <w:color w:val="000000"/>
        </w:rPr>
      </w:pPr>
      <w:r>
        <w:rPr>
          <w:rFonts w:ascii="Palatino Linotype" w:eastAsia="Palatino Linotype" w:hAnsi="Palatino Linotype" w:cs="Palatino Linotype"/>
          <w:color w:val="000000"/>
        </w:rPr>
        <w:lastRenderedPageBreak/>
        <w:t>Este organismo garante no pasa por alto justificar, que la dilación en la resolución del presente asunto encuentra justificación en el alto número de recursos de revisión recibidos se ha incrementado el número de medios de impugnación que deben resolverse por este Instituto, circunstancia atípica que ha rebasado las capacidades técnicas y humanas del personal encargado de la proyección de las resoluciones a dichos medios de impugnación.</w:t>
      </w:r>
    </w:p>
    <w:p w14:paraId="1C28EAA7" w14:textId="77777777" w:rsidR="00E31311" w:rsidRDefault="00E31311">
      <w:pPr>
        <w:spacing w:line="360" w:lineRule="auto"/>
        <w:jc w:val="both"/>
        <w:rPr>
          <w:rFonts w:ascii="Palatino Linotype" w:eastAsia="Palatino Linotype" w:hAnsi="Palatino Linotype" w:cs="Palatino Linotype"/>
        </w:rPr>
      </w:pPr>
    </w:p>
    <w:p w14:paraId="68BEC775" w14:textId="77777777" w:rsidR="00E31311" w:rsidRDefault="00DF6EAE">
      <w:pPr>
        <w:numPr>
          <w:ilvl w:val="0"/>
          <w:numId w:val="3"/>
        </w:numPr>
        <w:spacing w:line="360" w:lineRule="auto"/>
        <w:ind w:left="0" w:firstLine="0"/>
        <w:jc w:val="both"/>
      </w:pPr>
      <w:r>
        <w:rPr>
          <w:rFonts w:ascii="Palatino Linotype" w:eastAsia="Palatino Linotype" w:hAnsi="Palatino Linotype" w:cs="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79F6B595" w14:textId="77777777" w:rsidR="00E31311" w:rsidRDefault="00E31311">
      <w:pPr>
        <w:spacing w:line="360" w:lineRule="auto"/>
        <w:ind w:left="720"/>
        <w:rPr>
          <w:rFonts w:ascii="Palatino Linotype" w:eastAsia="Palatino Linotype" w:hAnsi="Palatino Linotype" w:cs="Palatino Linotype"/>
        </w:rPr>
      </w:pPr>
    </w:p>
    <w:p w14:paraId="08A10C6B" w14:textId="77777777" w:rsidR="00E31311" w:rsidRDefault="00DF6EAE">
      <w:pPr>
        <w:numPr>
          <w:ilvl w:val="0"/>
          <w:numId w:val="3"/>
        </w:numPr>
        <w:spacing w:line="360" w:lineRule="auto"/>
        <w:ind w:left="0" w:firstLine="0"/>
        <w:jc w:val="both"/>
      </w:pPr>
      <w:r>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5661EF1" w14:textId="77777777" w:rsidR="00E31311" w:rsidRDefault="00E31311">
      <w:pPr>
        <w:spacing w:line="360" w:lineRule="auto"/>
        <w:ind w:left="720"/>
        <w:rPr>
          <w:rFonts w:ascii="Palatino Linotype" w:eastAsia="Palatino Linotype" w:hAnsi="Palatino Linotype" w:cs="Palatino Linotype"/>
        </w:rPr>
      </w:pPr>
    </w:p>
    <w:p w14:paraId="59BDD49F" w14:textId="77777777" w:rsidR="00E31311" w:rsidRDefault="00DF6EAE">
      <w:pPr>
        <w:numPr>
          <w:ilvl w:val="0"/>
          <w:numId w:val="3"/>
        </w:numPr>
        <w:spacing w:line="360" w:lineRule="auto"/>
        <w:ind w:left="0" w:firstLine="0"/>
        <w:jc w:val="both"/>
      </w:pPr>
      <w:r>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292C621" w14:textId="77777777" w:rsidR="00E31311" w:rsidRDefault="00E31311">
      <w:pPr>
        <w:spacing w:line="360" w:lineRule="auto"/>
        <w:ind w:left="720"/>
        <w:rPr>
          <w:rFonts w:ascii="Palatino Linotype" w:eastAsia="Palatino Linotype" w:hAnsi="Palatino Linotype" w:cs="Palatino Linotype"/>
        </w:rPr>
      </w:pPr>
    </w:p>
    <w:p w14:paraId="33C7CF2F" w14:textId="77777777" w:rsidR="00E31311" w:rsidRDefault="00DF6EAE">
      <w:pPr>
        <w:numPr>
          <w:ilvl w:val="0"/>
          <w:numId w:val="3"/>
        </w:numPr>
        <w:spacing w:line="360" w:lineRule="auto"/>
        <w:ind w:left="0" w:firstLine="0"/>
        <w:jc w:val="both"/>
      </w:pPr>
      <w:r>
        <w:rPr>
          <w:rFonts w:ascii="Palatino Linotype" w:eastAsia="Palatino Linotype" w:hAnsi="Palatino Linotype" w:cs="Palatino Linotype"/>
        </w:rPr>
        <w:lastRenderedPageBreak/>
        <w:t xml:space="preserve">Por ello, excepcionalmente, si un asunto es resuelto con posterioridad a los plazos señalados por la norma debe analizarse la razonabilidad de dicha dilación atendiendo a los siguientes criterios:   </w:t>
      </w:r>
    </w:p>
    <w:p w14:paraId="136406D5" w14:textId="77777777" w:rsidR="00E31311" w:rsidRDefault="00DF6EAE">
      <w:pPr>
        <w:numPr>
          <w:ilvl w:val="0"/>
          <w:numId w:val="5"/>
        </w:numPr>
        <w:spacing w:line="360" w:lineRule="auto"/>
        <w:ind w:right="152"/>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Complejidad del asunto: La complejidad de la prueba, la pluralidad de sujetos procesales, el tiempo transcurrido, las características y contexto del recurso. </w:t>
      </w:r>
    </w:p>
    <w:p w14:paraId="7F66DB2A" w14:textId="77777777" w:rsidR="00E31311" w:rsidRDefault="00DF6EAE">
      <w:pPr>
        <w:numPr>
          <w:ilvl w:val="0"/>
          <w:numId w:val="5"/>
        </w:numPr>
        <w:spacing w:line="360" w:lineRule="auto"/>
        <w:ind w:right="152"/>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Actividad Procesal del interesado. Acciones u omisiones del interesado.</w:t>
      </w:r>
    </w:p>
    <w:p w14:paraId="27F2C688" w14:textId="77777777" w:rsidR="00E31311" w:rsidRDefault="00DF6EAE">
      <w:pPr>
        <w:numPr>
          <w:ilvl w:val="0"/>
          <w:numId w:val="5"/>
        </w:numPr>
        <w:spacing w:line="360" w:lineRule="auto"/>
        <w:ind w:right="152"/>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Conducta de la Autoridad: Las Acciones u omisiones realizadas en el procedimiento. Así como si la autoridad actuó con la debida diligencia.</w:t>
      </w:r>
    </w:p>
    <w:p w14:paraId="27B71504" w14:textId="77777777" w:rsidR="00E31311" w:rsidRDefault="00DF6EAE">
      <w:pPr>
        <w:spacing w:line="360" w:lineRule="auto"/>
        <w:ind w:left="851" w:right="152" w:hanging="284"/>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 La afectación generada en la situación jurídica de la persona involucrada en el proceso: Violación a sus derechos humanos.</w:t>
      </w:r>
    </w:p>
    <w:p w14:paraId="35AE0A7A" w14:textId="77777777" w:rsidR="00E31311" w:rsidRDefault="00E31311">
      <w:pPr>
        <w:spacing w:line="360" w:lineRule="auto"/>
        <w:ind w:left="851" w:hanging="284"/>
        <w:jc w:val="both"/>
        <w:rPr>
          <w:rFonts w:ascii="Palatino Linotype" w:eastAsia="Palatino Linotype" w:hAnsi="Palatino Linotype" w:cs="Palatino Linotype"/>
        </w:rPr>
      </w:pPr>
    </w:p>
    <w:p w14:paraId="70D4C3DB" w14:textId="77777777" w:rsidR="00E31311" w:rsidRDefault="00DF6EAE">
      <w:pPr>
        <w:numPr>
          <w:ilvl w:val="0"/>
          <w:numId w:val="3"/>
        </w:numPr>
        <w:spacing w:line="360" w:lineRule="auto"/>
        <w:ind w:left="0" w:firstLine="0"/>
        <w:jc w:val="both"/>
      </w:pPr>
      <w:r>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D6AAB16" w14:textId="77777777" w:rsidR="00E31311" w:rsidRDefault="00E31311">
      <w:pPr>
        <w:spacing w:line="360" w:lineRule="auto"/>
        <w:jc w:val="both"/>
        <w:rPr>
          <w:rFonts w:ascii="Palatino Linotype" w:eastAsia="Palatino Linotype" w:hAnsi="Palatino Linotype" w:cs="Palatino Linotype"/>
        </w:rPr>
      </w:pPr>
    </w:p>
    <w:p w14:paraId="70322EA6" w14:textId="77777777" w:rsidR="00E31311" w:rsidRDefault="00DF6EAE">
      <w:pPr>
        <w:numPr>
          <w:ilvl w:val="0"/>
          <w:numId w:val="3"/>
        </w:numPr>
        <w:spacing w:line="360" w:lineRule="auto"/>
        <w:ind w:left="0" w:firstLine="0"/>
        <w:jc w:val="both"/>
        <w:rPr>
          <w:rFonts w:ascii="Palatino Linotype" w:eastAsia="Palatino Linotype" w:hAnsi="Palatino Linotype" w:cs="Palatino Linotype"/>
          <w:b/>
        </w:rPr>
      </w:pPr>
      <w:r>
        <w:rPr>
          <w:rFonts w:ascii="Palatino Linotype" w:eastAsia="Palatino Linotype" w:hAnsi="Palatino Linotype" w:cs="Palatino Linotype"/>
        </w:rPr>
        <w:t xml:space="preserve">Argumento que encuentra sustento en la jurisprudencia P./J. 32/92 emitida por el Pleno de la Suprema Corte de Justicia de la Nación del rubro </w:t>
      </w:r>
      <w:r>
        <w:rPr>
          <w:rFonts w:ascii="Palatino Linotype" w:eastAsia="Palatino Linotype" w:hAnsi="Palatino Linotype" w:cs="Palatino Linotype"/>
          <w:i/>
        </w:rPr>
        <w:t xml:space="preserve">“TÉRMINOS PROCESALES. PARA DETERMINAR SI UN FUNCIONARIO JUDICIAL ACTUÓ </w:t>
      </w:r>
      <w:r>
        <w:rPr>
          <w:rFonts w:ascii="Palatino Linotype" w:eastAsia="Palatino Linotype" w:hAnsi="Palatino Linotype" w:cs="Palatino Linotype"/>
        </w:rPr>
        <w:t>INDEBIDAMENTE</w:t>
      </w:r>
      <w:r>
        <w:rPr>
          <w:rFonts w:ascii="Palatino Linotype" w:eastAsia="Palatino Linotype" w:hAnsi="Palatino Linotype" w:cs="Palatino Linotype"/>
          <w:i/>
        </w:rPr>
        <w:t xml:space="preserve"> POR NO RESPETARLOS SE DEBE ATENDER AL PRESUPUESTO QUE CONSIDERÓ EL LEGISLADOR AL FIJARLOS Y LAS CARACTERÍSTICAS DEL CASO.”</w:t>
      </w:r>
      <w:r>
        <w:rPr>
          <w:rFonts w:ascii="Palatino Linotype" w:eastAsia="Palatino Linotype" w:hAnsi="Palatino Linotype" w:cs="Palatino Linotype"/>
        </w:rPr>
        <w:t>, visible en la Gaceta del Semanario Judicial de la Federación con el registro digital 205635.</w:t>
      </w:r>
    </w:p>
    <w:p w14:paraId="50349755" w14:textId="77777777" w:rsidR="00E31311" w:rsidRDefault="00E31311">
      <w:pPr>
        <w:spacing w:line="360" w:lineRule="auto"/>
        <w:jc w:val="both"/>
        <w:rPr>
          <w:rFonts w:ascii="Palatino Linotype" w:eastAsia="Palatino Linotype" w:hAnsi="Palatino Linotype" w:cs="Palatino Linotype"/>
        </w:rPr>
      </w:pPr>
    </w:p>
    <w:p w14:paraId="0C9E69A1" w14:textId="77777777" w:rsidR="00E31311" w:rsidRDefault="00DF6EAE">
      <w:pPr>
        <w:numPr>
          <w:ilvl w:val="0"/>
          <w:numId w:val="3"/>
        </w:numPr>
        <w:spacing w:line="360" w:lineRule="auto"/>
        <w:ind w:left="0" w:firstLine="0"/>
        <w:jc w:val="both"/>
      </w:pPr>
      <w:r>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446FF7C" w14:textId="77777777" w:rsidR="00E31311" w:rsidRDefault="00E31311">
      <w:pPr>
        <w:spacing w:line="360" w:lineRule="auto"/>
        <w:ind w:left="720"/>
        <w:rPr>
          <w:rFonts w:ascii="Palatino Linotype" w:eastAsia="Palatino Linotype" w:hAnsi="Palatino Linotype" w:cs="Palatino Linotype"/>
        </w:rPr>
      </w:pPr>
    </w:p>
    <w:p w14:paraId="22C40227" w14:textId="77777777" w:rsidR="00E31311" w:rsidRDefault="00DF6EAE">
      <w:pPr>
        <w:numPr>
          <w:ilvl w:val="0"/>
          <w:numId w:val="3"/>
        </w:numPr>
        <w:spacing w:line="360" w:lineRule="auto"/>
        <w:ind w:left="0" w:firstLine="0"/>
        <w:jc w:val="both"/>
      </w:pPr>
      <w:r>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54935E4B" w14:textId="77777777" w:rsidR="00E31311" w:rsidRDefault="00E31311">
      <w:pPr>
        <w:spacing w:line="360" w:lineRule="auto"/>
        <w:jc w:val="both"/>
        <w:rPr>
          <w:rFonts w:ascii="Palatino Linotype" w:eastAsia="Palatino Linotype" w:hAnsi="Palatino Linotype" w:cs="Palatino Linotype"/>
        </w:rPr>
      </w:pPr>
    </w:p>
    <w:p w14:paraId="34955211" w14:textId="77777777" w:rsidR="00E31311" w:rsidRDefault="00DF6EAE">
      <w:pPr>
        <w:numPr>
          <w:ilvl w:val="0"/>
          <w:numId w:val="3"/>
        </w:numPr>
        <w:spacing w:line="360" w:lineRule="auto"/>
        <w:ind w:left="0" w:firstLine="0"/>
        <w:jc w:val="both"/>
      </w:pPr>
      <w:r>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5F7A2274" w14:textId="77777777" w:rsidR="00E31311" w:rsidRDefault="00E31311">
      <w:pPr>
        <w:spacing w:line="360" w:lineRule="auto"/>
        <w:jc w:val="both"/>
        <w:rPr>
          <w:rFonts w:ascii="Palatino Linotype" w:eastAsia="Palatino Linotype" w:hAnsi="Palatino Linotype" w:cs="Palatino Linotype"/>
        </w:rPr>
      </w:pPr>
    </w:p>
    <w:p w14:paraId="6B889288" w14:textId="77777777" w:rsidR="00E31311" w:rsidRDefault="00DF6EAE">
      <w:pPr>
        <w:spacing w:line="360" w:lineRule="auto"/>
        <w:ind w:left="425" w:right="476"/>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i/>
          <w:sz w:val="22"/>
          <w:szCs w:val="22"/>
        </w:rPr>
        <w:t>“PLAZO RAZONABLE PARA RESOLVER. DIMENSIÓN Y EFECTOS DE ESTE CONCEPTO CUANDO SE ADUCE EXCESIVA CARGA DE TRABAJO.”</w:t>
      </w:r>
      <w:r>
        <w:rPr>
          <w:rFonts w:ascii="Palatino Linotype" w:eastAsia="Palatino Linotype" w:hAnsi="Palatino Linotype" w:cs="Palatino Linotype"/>
          <w:sz w:val="22"/>
          <w:szCs w:val="22"/>
        </w:rPr>
        <w:t xml:space="preserve"> consultable en el Seminario Judicial de la Federación y su gaceta, con el registro digital 2002351.</w:t>
      </w:r>
    </w:p>
    <w:p w14:paraId="716A55CD" w14:textId="77777777" w:rsidR="00E31311" w:rsidRDefault="00E31311">
      <w:pPr>
        <w:spacing w:line="360" w:lineRule="auto"/>
        <w:ind w:left="425" w:right="476"/>
        <w:jc w:val="both"/>
        <w:rPr>
          <w:rFonts w:ascii="Palatino Linotype" w:eastAsia="Palatino Linotype" w:hAnsi="Palatino Linotype" w:cs="Palatino Linotype"/>
          <w:b/>
          <w:sz w:val="22"/>
          <w:szCs w:val="22"/>
        </w:rPr>
      </w:pPr>
    </w:p>
    <w:p w14:paraId="176A96FB" w14:textId="77777777" w:rsidR="00E31311" w:rsidRDefault="00DF6EAE">
      <w:pPr>
        <w:spacing w:line="360" w:lineRule="auto"/>
        <w:ind w:left="425" w:right="476"/>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lastRenderedPageBreak/>
        <w:t>“PLAZO RAZONABLE PARA RESOLVER. CONCEPTO Y ELEMENTOS QUE LO INTEGRAN A LA LUZ DEL DERECHO INTERNACIONAL DE LOS DERECHOS HUMANOS.”</w:t>
      </w:r>
      <w:r>
        <w:rPr>
          <w:rFonts w:ascii="Palatino Linotype" w:eastAsia="Palatino Linotype" w:hAnsi="Palatino Linotype" w:cs="Palatino Linotype"/>
          <w:sz w:val="22"/>
          <w:szCs w:val="22"/>
        </w:rPr>
        <w:t>, visible en el Seminario Judicial de la Federación y su gaceta, con el registro digital 2002350.”</w:t>
      </w:r>
    </w:p>
    <w:p w14:paraId="6F2ED83F" w14:textId="77777777" w:rsidR="00E31311" w:rsidRDefault="00E31311">
      <w:pPr>
        <w:spacing w:line="360" w:lineRule="auto"/>
        <w:rPr>
          <w:rFonts w:ascii="Palatino Linotype" w:eastAsia="Palatino Linotype" w:hAnsi="Palatino Linotype" w:cs="Palatino Linotype"/>
        </w:rPr>
      </w:pPr>
    </w:p>
    <w:p w14:paraId="732AEA83" w14:textId="77777777" w:rsidR="00E31311" w:rsidRDefault="00DF6EAE">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bookmarkStart w:id="2" w:name="_heading=h.1fob9te" w:colFirst="0" w:colLast="0"/>
      <w:bookmarkEnd w:id="2"/>
      <w:r>
        <w:rPr>
          <w:rFonts w:ascii="Palatino Linotype" w:eastAsia="Palatino Linotype" w:hAnsi="Palatino Linotype" w:cs="Palatino Linotype"/>
          <w:color w:val="000000"/>
        </w:rPr>
        <w:t>Seguidamente, mediante acuerdo de fecha trece de agosto de dos mil veinticuatro se decretó el cierre de instrucción, por lo que no habiendo más que hacer constar, y------------------------------------------------------------------------------------------</w:t>
      </w:r>
    </w:p>
    <w:p w14:paraId="507386B8" w14:textId="77777777" w:rsidR="00E31311" w:rsidRDefault="00E31311">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p>
    <w:p w14:paraId="7B0426AB" w14:textId="77777777" w:rsidR="00E31311" w:rsidRDefault="00DF6EAE">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 O N S I D E R A N D O</w:t>
      </w:r>
    </w:p>
    <w:p w14:paraId="694C688D" w14:textId="77777777" w:rsidR="00E31311" w:rsidRDefault="00E31311">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p>
    <w:p w14:paraId="3353E1EF" w14:textId="77777777" w:rsidR="00E31311" w:rsidRDefault="00DF6EAE">
      <w:pPr>
        <w:pStyle w:val="Ttulo2"/>
        <w:spacing w:before="0" w:line="360" w:lineRule="auto"/>
        <w:rPr>
          <w:rFonts w:ascii="Palatino Linotype" w:eastAsia="Palatino Linotype" w:hAnsi="Palatino Linotype" w:cs="Palatino Linotype"/>
          <w:b/>
          <w:color w:val="000000"/>
          <w:sz w:val="24"/>
          <w:szCs w:val="24"/>
        </w:rPr>
      </w:pPr>
      <w:bookmarkStart w:id="3" w:name="_heading=h.3znysh7" w:colFirst="0" w:colLast="0"/>
      <w:bookmarkEnd w:id="3"/>
      <w:r>
        <w:rPr>
          <w:rFonts w:ascii="Palatino Linotype" w:eastAsia="Palatino Linotype" w:hAnsi="Palatino Linotype" w:cs="Palatino Linotype"/>
          <w:b/>
          <w:color w:val="000000"/>
          <w:sz w:val="24"/>
          <w:szCs w:val="24"/>
        </w:rPr>
        <w:t>PRIMERO. De la competencia</w:t>
      </w:r>
    </w:p>
    <w:p w14:paraId="340F5934" w14:textId="77777777" w:rsidR="00E31311" w:rsidRDefault="00DF6EAE">
      <w:pPr>
        <w:numPr>
          <w:ilvl w:val="0"/>
          <w:numId w:val="3"/>
        </w:numPr>
        <w:pBdr>
          <w:top w:val="nil"/>
          <w:left w:val="nil"/>
          <w:bottom w:val="nil"/>
          <w:right w:val="nil"/>
          <w:between w:val="nil"/>
        </w:pBdr>
        <w:spacing w:line="360" w:lineRule="auto"/>
        <w:ind w:left="0" w:firstLine="0"/>
        <w:jc w:val="both"/>
        <w:rPr>
          <w:color w:val="000000"/>
        </w:rPr>
      </w:pPr>
      <w:r>
        <w:rPr>
          <w:rFonts w:ascii="Palatino Linotype" w:eastAsia="Palatino Linotype" w:hAnsi="Palatino Linotype" w:cs="Palatino Linotype"/>
          <w:color w:val="000000"/>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XXIII, y 11 del Reglamento Interior del Instituto de Transparencia, Acceso a la Información Pública y Protección de Datos Personales del Estado de México y Municipios.</w:t>
      </w:r>
    </w:p>
    <w:p w14:paraId="4BDDEF64" w14:textId="77777777" w:rsidR="00E31311" w:rsidRDefault="00E31311">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1C359E74" w14:textId="77777777" w:rsidR="00E31311" w:rsidRDefault="00DF6EAE">
      <w:pPr>
        <w:pStyle w:val="Ttulo2"/>
        <w:spacing w:before="0" w:line="360" w:lineRule="auto"/>
        <w:rPr>
          <w:rFonts w:ascii="Palatino Linotype" w:eastAsia="Palatino Linotype" w:hAnsi="Palatino Linotype" w:cs="Palatino Linotype"/>
          <w:b/>
          <w:color w:val="000000"/>
          <w:sz w:val="24"/>
          <w:szCs w:val="24"/>
        </w:rPr>
      </w:pPr>
      <w:bookmarkStart w:id="4" w:name="_heading=h.2et92p0" w:colFirst="0" w:colLast="0"/>
      <w:bookmarkEnd w:id="4"/>
      <w:r>
        <w:rPr>
          <w:rFonts w:ascii="Palatino Linotype" w:eastAsia="Palatino Linotype" w:hAnsi="Palatino Linotype" w:cs="Palatino Linotype"/>
          <w:b/>
          <w:color w:val="000000"/>
          <w:sz w:val="24"/>
          <w:szCs w:val="24"/>
        </w:rPr>
        <w:lastRenderedPageBreak/>
        <w:t>SEGUNDO. De la oportunidad y procedencia.</w:t>
      </w:r>
    </w:p>
    <w:p w14:paraId="500C9AC9" w14:textId="77777777" w:rsidR="00E31311" w:rsidRDefault="00DF6EAE">
      <w:pPr>
        <w:numPr>
          <w:ilvl w:val="0"/>
          <w:numId w:val="3"/>
        </w:numPr>
        <w:pBdr>
          <w:top w:val="nil"/>
          <w:left w:val="nil"/>
          <w:bottom w:val="nil"/>
          <w:right w:val="nil"/>
          <w:between w:val="nil"/>
        </w:pBdr>
        <w:spacing w:line="360" w:lineRule="auto"/>
        <w:ind w:left="0" w:firstLine="0"/>
        <w:jc w:val="both"/>
        <w:rPr>
          <w:color w:val="000000"/>
        </w:rPr>
      </w:pPr>
      <w:r>
        <w:rPr>
          <w:rFonts w:ascii="Palatino Linotype" w:eastAsia="Palatino Linotype" w:hAnsi="Palatino Linotype" w:cs="Palatino Linotype"/>
          <w:color w:val="000000"/>
        </w:rPr>
        <w:t xml:space="preserve">El medio de impugnación fue presentado a través del </w:t>
      </w:r>
      <w:r>
        <w:rPr>
          <w:rFonts w:ascii="Palatino Linotype" w:eastAsia="Palatino Linotype" w:hAnsi="Palatino Linotype" w:cs="Palatino Linotype"/>
          <w:b/>
          <w:color w:val="000000"/>
        </w:rPr>
        <w:t>SAIMEX,</w:t>
      </w:r>
      <w:r>
        <w:rPr>
          <w:rFonts w:ascii="Palatino Linotype" w:eastAsia="Palatino Linotype" w:hAnsi="Palatino Linotype" w:cs="Palatino Linotype"/>
          <w:color w:val="000000"/>
        </w:rPr>
        <w:t xml:space="preserve"> en el formato previamente aprobado para tal efecto y dentro del plazo legal de quince días hábiles otorgados; para el caso en particular es de señalar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entregó su respuesta el veinticinco de abril  de dos mil veinticuatro, de tal forma que el plazo para interponer el recurso de revisión transcurrió del día veintiséis de abril al veinte de mayo de dos mil veinticuatro; en consecuencia, el ahora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presentó su inconformidad el día veinticuatro de abril de dos mil veinticuatro; por lo que se estima que la inconformidad se presentó dentro del lapso legalmente establecido para tal efecto.</w:t>
      </w:r>
    </w:p>
    <w:p w14:paraId="0E9AF846" w14:textId="77777777" w:rsidR="00E31311" w:rsidRDefault="00E31311">
      <w:pPr>
        <w:rPr>
          <w:rFonts w:ascii="Palatino Linotype" w:eastAsia="Palatino Linotype" w:hAnsi="Palatino Linotype" w:cs="Palatino Linotype"/>
        </w:rPr>
      </w:pPr>
    </w:p>
    <w:p w14:paraId="6A335471" w14:textId="77777777" w:rsidR="00E31311" w:rsidRDefault="00DF6EAE">
      <w:pPr>
        <w:numPr>
          <w:ilvl w:val="0"/>
          <w:numId w:val="3"/>
        </w:numPr>
        <w:spacing w:line="360" w:lineRule="auto"/>
        <w:ind w:left="0" w:firstLine="0"/>
        <w:jc w:val="both"/>
      </w:pPr>
      <w:r>
        <w:rPr>
          <w:rFonts w:ascii="Palatino Linotype" w:eastAsia="Palatino Linotype" w:hAnsi="Palatino Linotype" w:cs="Palatino Linotype"/>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4E3B6A09" w14:textId="77777777" w:rsidR="00E31311" w:rsidRDefault="00E31311">
      <w:pPr>
        <w:pBdr>
          <w:top w:val="nil"/>
          <w:left w:val="nil"/>
          <w:bottom w:val="nil"/>
          <w:right w:val="nil"/>
          <w:between w:val="nil"/>
        </w:pBdr>
        <w:spacing w:line="360" w:lineRule="auto"/>
        <w:rPr>
          <w:rFonts w:ascii="Palatino Linotype" w:eastAsia="Palatino Linotype" w:hAnsi="Palatino Linotype" w:cs="Palatino Linotype"/>
          <w:color w:val="000000"/>
        </w:rPr>
      </w:pPr>
    </w:p>
    <w:p w14:paraId="585FC631" w14:textId="77777777" w:rsidR="00E31311" w:rsidRDefault="00DF6EAE">
      <w:pPr>
        <w:pStyle w:val="Ttulo1"/>
        <w:spacing w:before="0" w:line="360" w:lineRule="auto"/>
        <w:rPr>
          <w:rFonts w:ascii="Palatino Linotype" w:eastAsia="Palatino Linotype" w:hAnsi="Palatino Linotype" w:cs="Palatino Linotype"/>
          <w:b/>
          <w:color w:val="000000"/>
          <w:sz w:val="24"/>
          <w:szCs w:val="24"/>
        </w:rPr>
      </w:pPr>
      <w:bookmarkStart w:id="5" w:name="_heading=h.tyjcwt" w:colFirst="0" w:colLast="0"/>
      <w:bookmarkEnd w:id="5"/>
      <w:r>
        <w:rPr>
          <w:rFonts w:ascii="Palatino Linotype" w:eastAsia="Palatino Linotype" w:hAnsi="Palatino Linotype" w:cs="Palatino Linotype"/>
          <w:b/>
          <w:color w:val="000000"/>
          <w:sz w:val="24"/>
          <w:szCs w:val="24"/>
        </w:rPr>
        <w:t xml:space="preserve">TERCERO. Del planteamiento de la </w:t>
      </w:r>
      <w:r>
        <w:rPr>
          <w:rFonts w:ascii="Palatino Linotype" w:eastAsia="Palatino Linotype" w:hAnsi="Palatino Linotype" w:cs="Palatino Linotype"/>
          <w:b/>
          <w:i/>
          <w:color w:val="000000"/>
          <w:sz w:val="24"/>
          <w:szCs w:val="24"/>
        </w:rPr>
        <w:t>Litis</w:t>
      </w:r>
      <w:r>
        <w:rPr>
          <w:rFonts w:ascii="Palatino Linotype" w:eastAsia="Palatino Linotype" w:hAnsi="Palatino Linotype" w:cs="Palatino Linotype"/>
          <w:b/>
          <w:color w:val="000000"/>
          <w:sz w:val="24"/>
          <w:szCs w:val="24"/>
        </w:rPr>
        <w:t>.</w:t>
      </w:r>
    </w:p>
    <w:p w14:paraId="6D43275B" w14:textId="77777777" w:rsidR="00E31311" w:rsidRDefault="00DF6EAE">
      <w:pPr>
        <w:numPr>
          <w:ilvl w:val="0"/>
          <w:numId w:val="3"/>
        </w:numPr>
        <w:pBdr>
          <w:top w:val="nil"/>
          <w:left w:val="nil"/>
          <w:bottom w:val="nil"/>
          <w:right w:val="nil"/>
          <w:between w:val="nil"/>
        </w:pBdr>
        <w:spacing w:line="360" w:lineRule="auto"/>
        <w:ind w:left="0" w:firstLine="0"/>
        <w:jc w:val="both"/>
        <w:rPr>
          <w:color w:val="000000"/>
        </w:rPr>
      </w:pPr>
      <w:r>
        <w:rPr>
          <w:rFonts w:ascii="Palatino Linotype" w:eastAsia="Palatino Linotype" w:hAnsi="Palatino Linotype" w:cs="Palatino Linotype"/>
          <w:color w:val="000000"/>
        </w:rPr>
        <w:t>Se solicitó tener acceso, a la información que a continuación se desagrega:</w:t>
      </w:r>
    </w:p>
    <w:p w14:paraId="4449BAEE" w14:textId="77777777" w:rsidR="00E31311" w:rsidRDefault="00E31311">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5B951374" w14:textId="77777777" w:rsidR="00E31311" w:rsidRDefault="00DF6EAE">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DESCRIPCIÓN DETALLADA DE  CALLES, AVENIDAS Y  VIALIDAD, Y SUS RESPECTIVOS TRAMOS</w:t>
      </w:r>
    </w:p>
    <w:p w14:paraId="01181E90" w14:textId="77777777" w:rsidR="00E31311" w:rsidRDefault="00DF6EAE">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HORARIOS SI FUERA EL CASO, EN LOS QUE ESTÉ RESTRINGIDA LA CIRCULACIÓN A VEHÍCULOS DE CARGA DE 3.5 TONELADAS O MÁS CARGA </w:t>
      </w:r>
    </w:p>
    <w:p w14:paraId="1559307D" w14:textId="77777777" w:rsidR="00E31311" w:rsidRDefault="00DF6EAE">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EN UN MAPA VIAL SEÑALAR DICHAS VIALIDADES Y SUS RESPECTIVOS TRAMOS : Y</w:t>
      </w:r>
    </w:p>
    <w:p w14:paraId="19A5EB67" w14:textId="77777777" w:rsidR="00E31311" w:rsidRDefault="00DF6EAE">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i/>
          <w:color w:val="000000"/>
          <w:sz w:val="22"/>
          <w:szCs w:val="22"/>
        </w:rPr>
        <w:t>FUNDAMENTO LEGAL.</w:t>
      </w:r>
    </w:p>
    <w:p w14:paraId="0D44920B" w14:textId="77777777" w:rsidR="00E31311" w:rsidRDefault="00E31311">
      <w:pPr>
        <w:pBdr>
          <w:top w:val="nil"/>
          <w:left w:val="nil"/>
          <w:bottom w:val="nil"/>
          <w:right w:val="nil"/>
          <w:between w:val="nil"/>
        </w:pBdr>
        <w:spacing w:line="360" w:lineRule="auto"/>
        <w:ind w:left="778"/>
        <w:jc w:val="both"/>
        <w:rPr>
          <w:rFonts w:ascii="Palatino Linotype" w:eastAsia="Palatino Linotype" w:hAnsi="Palatino Linotype" w:cs="Palatino Linotype"/>
          <w:b/>
          <w:color w:val="000000"/>
        </w:rPr>
      </w:pPr>
    </w:p>
    <w:p w14:paraId="1AA373FF" w14:textId="77777777" w:rsidR="00E31311" w:rsidRDefault="00DF6EAE">
      <w:pPr>
        <w:numPr>
          <w:ilvl w:val="0"/>
          <w:numId w:val="3"/>
        </w:numPr>
        <w:spacing w:line="360" w:lineRule="auto"/>
        <w:ind w:left="0" w:firstLine="0"/>
        <w:jc w:val="both"/>
      </w:pPr>
      <w:r>
        <w:rPr>
          <w:rFonts w:ascii="Palatino Linotype" w:eastAsia="Palatino Linotype" w:hAnsi="Palatino Linotype" w:cs="Palatino Linotype"/>
        </w:rPr>
        <w:t xml:space="preserve">En respuesta,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refirió que la unidad administrativa da por atendida la solicitud </w:t>
      </w:r>
      <w:r>
        <w:rPr>
          <w:rFonts w:ascii="Palatino Linotype" w:eastAsia="Palatino Linotype" w:hAnsi="Palatino Linotype" w:cs="Palatino Linotype"/>
          <w:color w:val="000000"/>
        </w:rPr>
        <w:t>por considerar que se trata de un documento con las características requeridas a interés del solicitante y no se cumplen los requisitos de una solicitud de información.</w:t>
      </w:r>
    </w:p>
    <w:p w14:paraId="0BA5BE1E" w14:textId="77777777" w:rsidR="00E31311" w:rsidRDefault="00E31311">
      <w:pPr>
        <w:spacing w:line="360" w:lineRule="auto"/>
        <w:jc w:val="both"/>
        <w:rPr>
          <w:rFonts w:ascii="Palatino Linotype" w:eastAsia="Palatino Linotype" w:hAnsi="Palatino Linotype" w:cs="Palatino Linotype"/>
        </w:rPr>
      </w:pPr>
    </w:p>
    <w:p w14:paraId="707B30C4" w14:textId="77777777" w:rsidR="00E31311" w:rsidRDefault="00DF6EAE">
      <w:pPr>
        <w:numPr>
          <w:ilvl w:val="0"/>
          <w:numId w:val="3"/>
        </w:numPr>
        <w:spacing w:line="360" w:lineRule="auto"/>
        <w:ind w:left="0" w:firstLine="0"/>
        <w:jc w:val="both"/>
      </w:pPr>
      <w:r>
        <w:rPr>
          <w:rFonts w:ascii="Palatino Linotype" w:eastAsia="Palatino Linotype" w:hAnsi="Palatino Linotype" w:cs="Palatino Linotype"/>
          <w:color w:val="000000"/>
        </w:rPr>
        <w:t>El RECURRENTE se inconformó por: SE ME DEJA EN TOTAL INDEFENSIÓN ANTE EL ACTUAR DE LA POLICÍA DE TRÁNSITO MUNICIPAL, YA QUE PARA ELLOS SI EXISTEN VIALIDADES CON RESTRICCIÓN DE CIRCULACIÓN DE VEHÍCULOS DE CARGA, LO QUE DA MOTIVO A GENERAR INFRACCIONES O EXTORSIONES POR CIRCULAR SOBRE SUPUESTAS VÍAS CON RESTRICCIÓN DE CARGA. SOLICITO ENTONCES, CONFORME AL ARTÍCULO 12 ALUDIDO, DE LA LEY DE TRANSPARENCIA Y ACCESO A LA INFORMACIÓN PÚBLICA DEL ESTADO DE MÉXICO Y MUNICIPIOS, SE ME PROPORCIONE LA INFORMACIÓN QUE OBRE EN SUS ARCHIVOS Y EN ESTADO EN QUE SE ENCUENTRE, SOBRE LA INFORMACIÓN SOLICITADA, ASÍ COMO SU FUNDAMENTO LEGAL; O EN SU CASO SE ME INFORME SI NO EXISTE RESTRICCIÓN DE CIRCULACIÓN PARA VEHÍCULOS DE CARGA EN CALLES, AVENIDAS O LAS VIALIDADES DENTRO DEL TERRITORIO MUNICIPAL</w:t>
      </w:r>
    </w:p>
    <w:p w14:paraId="410AC9AC" w14:textId="77777777" w:rsidR="00E31311" w:rsidRDefault="00E31311">
      <w:pPr>
        <w:pBdr>
          <w:top w:val="nil"/>
          <w:left w:val="nil"/>
          <w:bottom w:val="nil"/>
          <w:right w:val="nil"/>
          <w:between w:val="nil"/>
        </w:pBdr>
        <w:tabs>
          <w:tab w:val="left" w:pos="0"/>
        </w:tabs>
        <w:ind w:left="709" w:right="616"/>
        <w:jc w:val="both"/>
        <w:rPr>
          <w:rFonts w:ascii="Palatino Linotype" w:eastAsia="Palatino Linotype" w:hAnsi="Palatino Linotype" w:cs="Palatino Linotype"/>
          <w:i/>
          <w:color w:val="000000"/>
        </w:rPr>
      </w:pPr>
    </w:p>
    <w:p w14:paraId="55E7B475" w14:textId="77777777" w:rsidR="00E31311" w:rsidRDefault="00E31311">
      <w:pPr>
        <w:tabs>
          <w:tab w:val="left" w:pos="933"/>
        </w:tabs>
        <w:spacing w:line="360" w:lineRule="auto"/>
        <w:jc w:val="both"/>
        <w:rPr>
          <w:rFonts w:ascii="Palatino Linotype" w:eastAsia="Palatino Linotype" w:hAnsi="Palatino Linotype" w:cs="Palatino Linotype"/>
        </w:rPr>
      </w:pPr>
    </w:p>
    <w:p w14:paraId="3502D8B4" w14:textId="77777777" w:rsidR="00E31311" w:rsidRDefault="00DF6EAE">
      <w:pPr>
        <w:numPr>
          <w:ilvl w:val="0"/>
          <w:numId w:val="3"/>
        </w:numPr>
        <w:spacing w:line="360" w:lineRule="auto"/>
        <w:ind w:left="0" w:firstLine="0"/>
        <w:jc w:val="both"/>
      </w:pPr>
      <w:r>
        <w:rPr>
          <w:rFonts w:ascii="Palatino Linotype" w:eastAsia="Palatino Linotype" w:hAnsi="Palatino Linotype" w:cs="Palatino Linotype"/>
        </w:rPr>
        <w:lastRenderedPageBreak/>
        <w:t xml:space="preserve">En dichas condiciones, la </w:t>
      </w:r>
      <w:r>
        <w:rPr>
          <w:rFonts w:ascii="Palatino Linotype" w:eastAsia="Palatino Linotype" w:hAnsi="Palatino Linotype" w:cs="Palatino Linotype"/>
          <w:i/>
        </w:rPr>
        <w:t>Litis</w:t>
      </w:r>
      <w:r>
        <w:rPr>
          <w:rFonts w:ascii="Palatino Linotype" w:eastAsia="Palatino Linotype" w:hAnsi="Palatino Linotype" w:cs="Palatino Linotype"/>
        </w:rPr>
        <w:t xml:space="preserve"> a resolver en este recurso se circunscribe a determinar si se actualiza la causal de procedencia prevista en el artículo 179, </w:t>
      </w:r>
      <w:r>
        <w:rPr>
          <w:rFonts w:ascii="Palatino Linotype" w:eastAsia="Palatino Linotype" w:hAnsi="Palatino Linotype" w:cs="Palatino Linotype"/>
          <w:b/>
        </w:rPr>
        <w:t xml:space="preserve">fracción I </w:t>
      </w:r>
      <w:r>
        <w:rPr>
          <w:rFonts w:ascii="Palatino Linotype" w:eastAsia="Palatino Linotype" w:hAnsi="Palatino Linotype" w:cs="Palatino Linotype"/>
        </w:rPr>
        <w:t xml:space="preserve">de la </w:t>
      </w:r>
      <w:r>
        <w:rPr>
          <w:rFonts w:ascii="Palatino Linotype" w:eastAsia="Palatino Linotype" w:hAnsi="Palatino Linotype" w:cs="Palatino Linotype"/>
          <w:b/>
        </w:rPr>
        <w:t xml:space="preserve">Ley de Transparencia y Acceso a la Información Pública del Estado de </w:t>
      </w:r>
      <w:r>
        <w:rPr>
          <w:rFonts w:ascii="Palatino Linotype" w:eastAsia="Palatino Linotype" w:hAnsi="Palatino Linotype" w:cs="Palatino Linotype"/>
        </w:rPr>
        <w:t>México</w:t>
      </w:r>
      <w:r>
        <w:rPr>
          <w:rFonts w:ascii="Palatino Linotype" w:eastAsia="Palatino Linotype" w:hAnsi="Palatino Linotype" w:cs="Palatino Linotype"/>
          <w:b/>
        </w:rPr>
        <w:t xml:space="preserve"> y </w:t>
      </w:r>
      <w:r>
        <w:rPr>
          <w:rFonts w:ascii="Palatino Linotype" w:eastAsia="Palatino Linotype" w:hAnsi="Palatino Linotype" w:cs="Palatino Linotype"/>
        </w:rPr>
        <w:t xml:space="preserve">Municipios; </w:t>
      </w:r>
      <w:r>
        <w:rPr>
          <w:rFonts w:ascii="Palatino Linotype" w:eastAsia="Palatino Linotype" w:hAnsi="Palatino Linotype" w:cs="Palatino Linotype"/>
          <w:color w:val="000000"/>
        </w:rPr>
        <w:t xml:space="preserve">fracción que determina la hipótesis jurídica relativa a la negativa a la información solicitada; </w:t>
      </w:r>
      <w:r>
        <w:rPr>
          <w:rFonts w:ascii="Palatino Linotype" w:eastAsia="Palatino Linotype" w:hAnsi="Palatino Linotype" w:cs="Palatino Linotype"/>
        </w:rPr>
        <w:t xml:space="preserve">contexto del cual se dolió </w:t>
      </w:r>
      <w:r>
        <w:rPr>
          <w:rFonts w:ascii="Palatino Linotype" w:eastAsia="Palatino Linotype" w:hAnsi="Palatino Linotype" w:cs="Palatino Linotype"/>
          <w:b/>
        </w:rPr>
        <w:t xml:space="preserve">EL RECURRENTE </w:t>
      </w:r>
      <w:r>
        <w:rPr>
          <w:rFonts w:ascii="Palatino Linotype" w:eastAsia="Palatino Linotype" w:hAnsi="Palatino Linotype" w:cs="Palatino Linotype"/>
        </w:rPr>
        <w:t>al momento de interponer su inconformidad.</w:t>
      </w:r>
    </w:p>
    <w:p w14:paraId="49402FF5" w14:textId="77777777" w:rsidR="00E31311" w:rsidRDefault="00E31311">
      <w:pPr>
        <w:spacing w:line="360" w:lineRule="auto"/>
        <w:jc w:val="both"/>
        <w:rPr>
          <w:rFonts w:ascii="Palatino Linotype" w:eastAsia="Palatino Linotype" w:hAnsi="Palatino Linotype" w:cs="Palatino Linotype"/>
        </w:rPr>
      </w:pPr>
    </w:p>
    <w:p w14:paraId="3E7C972E" w14:textId="77777777" w:rsidR="00E31311" w:rsidRDefault="00DF6EAE">
      <w:pPr>
        <w:numPr>
          <w:ilvl w:val="0"/>
          <w:numId w:val="3"/>
        </w:numPr>
        <w:spacing w:line="360" w:lineRule="auto"/>
        <w:ind w:left="0" w:firstLine="0"/>
        <w:jc w:val="both"/>
      </w:pPr>
      <w:r>
        <w:rPr>
          <w:rFonts w:ascii="Palatino Linotype" w:eastAsia="Palatino Linotype" w:hAnsi="Palatino Linotype" w:cs="Palatino Linotype"/>
          <w:color w:val="000000"/>
        </w:rPr>
        <w:t xml:space="preserve">De modo tal que el presente recurso de revisión se </w:t>
      </w:r>
      <w:r>
        <w:rPr>
          <w:rFonts w:ascii="Palatino Linotype" w:eastAsia="Palatino Linotype" w:hAnsi="Palatino Linotype" w:cs="Palatino Linotype"/>
        </w:rPr>
        <w:t>abocará</w:t>
      </w:r>
      <w:r>
        <w:rPr>
          <w:rFonts w:ascii="Palatino Linotype" w:eastAsia="Palatino Linotype" w:hAnsi="Palatino Linotype" w:cs="Palatino Linotype"/>
          <w:color w:val="000000"/>
        </w:rPr>
        <w:t xml:space="preserve"> en determinar si el </w:t>
      </w:r>
      <w:r>
        <w:rPr>
          <w:rFonts w:ascii="Palatino Linotype" w:eastAsia="Palatino Linotype" w:hAnsi="Palatino Linotype" w:cs="Palatino Linotype"/>
          <w:b/>
          <w:color w:val="000000"/>
        </w:rPr>
        <w:t>SUJETO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OBLIGADO</w:t>
      </w:r>
      <w:r>
        <w:rPr>
          <w:rFonts w:ascii="Palatino Linotype" w:eastAsia="Palatino Linotype" w:hAnsi="Palatino Linotype" w:cs="Palatino Linotype"/>
          <w:color w:val="000000"/>
        </w:rPr>
        <w:t xml:space="preserve"> con su respuesta ciertamente actualiza la causal de procedencia</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antes señalada. </w:t>
      </w:r>
    </w:p>
    <w:p w14:paraId="4CC09CFF" w14:textId="77777777" w:rsidR="00E31311" w:rsidRDefault="00E31311">
      <w:pPr>
        <w:spacing w:line="360" w:lineRule="auto"/>
        <w:jc w:val="both"/>
        <w:rPr>
          <w:rFonts w:ascii="Palatino Linotype" w:eastAsia="Palatino Linotype" w:hAnsi="Palatino Linotype" w:cs="Palatino Linotype"/>
          <w:color w:val="000000"/>
        </w:rPr>
      </w:pPr>
    </w:p>
    <w:p w14:paraId="1453C1F3" w14:textId="77777777" w:rsidR="00E31311" w:rsidRDefault="00DF6EAE">
      <w:pPr>
        <w:pStyle w:val="Ttulo2"/>
        <w:spacing w:before="0" w:line="360" w:lineRule="auto"/>
        <w:rPr>
          <w:rFonts w:ascii="Palatino Linotype" w:eastAsia="Palatino Linotype" w:hAnsi="Palatino Linotype" w:cs="Palatino Linotype"/>
          <w:b/>
          <w:color w:val="000000"/>
          <w:sz w:val="24"/>
          <w:szCs w:val="24"/>
        </w:rPr>
      </w:pPr>
      <w:bookmarkStart w:id="6" w:name="_heading=h.3dy6vkm" w:colFirst="0" w:colLast="0"/>
      <w:bookmarkEnd w:id="6"/>
      <w:r>
        <w:rPr>
          <w:rFonts w:ascii="Palatino Linotype" w:eastAsia="Palatino Linotype" w:hAnsi="Palatino Linotype" w:cs="Palatino Linotype"/>
          <w:b/>
          <w:color w:val="000000"/>
          <w:sz w:val="24"/>
          <w:szCs w:val="24"/>
        </w:rPr>
        <w:t>CUARTO. Del estudio y resolución del asunto.</w:t>
      </w:r>
    </w:p>
    <w:p w14:paraId="6C443C8D" w14:textId="77777777" w:rsidR="00E31311" w:rsidRDefault="00DF6EAE">
      <w:pPr>
        <w:numPr>
          <w:ilvl w:val="0"/>
          <w:numId w:val="3"/>
        </w:numPr>
        <w:spacing w:line="360" w:lineRule="auto"/>
        <w:ind w:left="0" w:firstLine="0"/>
        <w:jc w:val="both"/>
        <w:rPr>
          <w:color w:val="000000"/>
        </w:rPr>
      </w:pPr>
      <w:r>
        <w:rPr>
          <w:rFonts w:ascii="Palatino Linotype" w:eastAsia="Palatino Linotype" w:hAnsi="Palatino Linotype" w:cs="Palatino Linotype"/>
          <w:color w:val="000000"/>
        </w:rPr>
        <w:t xml:space="preserve">Acotada la </w:t>
      </w:r>
      <w:r>
        <w:rPr>
          <w:rFonts w:ascii="Palatino Linotype" w:eastAsia="Palatino Linotype" w:hAnsi="Palatino Linotype" w:cs="Palatino Linotype"/>
          <w:i/>
          <w:color w:val="000000"/>
        </w:rPr>
        <w:t>Litis</w:t>
      </w:r>
      <w:r>
        <w:rPr>
          <w:rFonts w:ascii="Palatino Linotype" w:eastAsia="Palatino Linotype" w:hAnsi="Palatino Linotype" w:cs="Palatino Linotype"/>
          <w:color w:val="000000"/>
        </w:rPr>
        <w:t xml:space="preserve">, se procede a analizar el contenido íntegro de las </w:t>
      </w:r>
      <w:r>
        <w:rPr>
          <w:rFonts w:ascii="Palatino Linotype" w:eastAsia="Palatino Linotype" w:hAnsi="Palatino Linotype" w:cs="Palatino Linotype"/>
        </w:rPr>
        <w:t>actuaciones</w:t>
      </w:r>
      <w:r>
        <w:rPr>
          <w:rFonts w:ascii="Palatino Linotype" w:eastAsia="Palatino Linotype" w:hAnsi="Palatino Linotype" w:cs="Palatino Linotype"/>
          <w:color w:val="000000"/>
        </w:rPr>
        <w:t xml:space="preserve">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Ley de Transparencia y Acceso a la Información Pública del Estado de México y Municipios.</w:t>
      </w:r>
    </w:p>
    <w:p w14:paraId="10D3CCAF" w14:textId="77777777" w:rsidR="00E31311" w:rsidRDefault="00E31311">
      <w:pPr>
        <w:spacing w:line="360" w:lineRule="auto"/>
        <w:jc w:val="both"/>
        <w:rPr>
          <w:rFonts w:ascii="Palatino Linotype" w:eastAsia="Palatino Linotype" w:hAnsi="Palatino Linotype" w:cs="Palatino Linotype"/>
          <w:color w:val="000000"/>
        </w:rPr>
      </w:pPr>
    </w:p>
    <w:p w14:paraId="286018F0" w14:textId="77777777" w:rsidR="00E31311" w:rsidRDefault="00DF6EAE">
      <w:pPr>
        <w:numPr>
          <w:ilvl w:val="0"/>
          <w:numId w:val="3"/>
        </w:numPr>
        <w:spacing w:line="360" w:lineRule="auto"/>
        <w:ind w:left="0" w:firstLine="0"/>
        <w:jc w:val="both"/>
        <w:rPr>
          <w:color w:val="000000"/>
        </w:rPr>
      </w:pPr>
      <w:r>
        <w:rPr>
          <w:rFonts w:ascii="Palatino Linotype" w:eastAsia="Palatino Linotype" w:hAnsi="Palatino Linotype" w:cs="Palatino Linotype"/>
          <w:color w:val="000000"/>
        </w:rPr>
        <w:t xml:space="preserve">Por ello, es importante recordar que el hoy </w:t>
      </w:r>
      <w:r>
        <w:rPr>
          <w:rFonts w:ascii="Palatino Linotype" w:eastAsia="Palatino Linotype" w:hAnsi="Palatino Linotype" w:cs="Palatino Linotype"/>
          <w:b/>
          <w:color w:val="000000"/>
        </w:rPr>
        <w:t xml:space="preserve">RECURRENTE, </w:t>
      </w:r>
      <w:r>
        <w:rPr>
          <w:rFonts w:ascii="Palatino Linotype" w:eastAsia="Palatino Linotype" w:hAnsi="Palatino Linotype" w:cs="Palatino Linotype"/>
          <w:color w:val="000000"/>
        </w:rPr>
        <w:t>solicitó lo siguiente</w:t>
      </w:r>
      <w:r>
        <w:rPr>
          <w:rFonts w:ascii="Palatino Linotype" w:eastAsia="Palatino Linotype" w:hAnsi="Palatino Linotype" w:cs="Palatino Linotype"/>
          <w:b/>
          <w:color w:val="000000"/>
        </w:rPr>
        <w:t xml:space="preserve">: </w:t>
      </w:r>
    </w:p>
    <w:p w14:paraId="09A96DFB" w14:textId="77777777" w:rsidR="00E31311" w:rsidRDefault="00DF6EAE">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DESCRIPCIÓN DETALLADA DE  CALLES, AVENIDAS Y  VIALIDAD, Y SUS RESPECTIVOS TRAMOS</w:t>
      </w:r>
    </w:p>
    <w:p w14:paraId="43ECF1E7" w14:textId="77777777" w:rsidR="00E31311" w:rsidRDefault="00DF6EAE">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HORARIOS SI FUERA EL CASO, EN LOS QUE ESTÉ RESTRINGIDA LA CIRCULACIÓN A VEHÍCULOS DE CARGA DE 3.5 TONELADAS O MÁS CARGA </w:t>
      </w:r>
    </w:p>
    <w:p w14:paraId="7408FBD6" w14:textId="77777777" w:rsidR="00E31311" w:rsidRDefault="00DF6EAE">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EN UN MAPA VIAL SEÑALAR DICHAS VIALIDADES Y SUS RESPECTIVOS TRAMOS : Y</w:t>
      </w:r>
    </w:p>
    <w:p w14:paraId="17B2478A" w14:textId="77777777" w:rsidR="00E31311" w:rsidRDefault="00DF6EAE">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i/>
          <w:color w:val="000000"/>
          <w:sz w:val="22"/>
          <w:szCs w:val="22"/>
        </w:rPr>
        <w:t>FUNDAMENTO LEGAL.</w:t>
      </w:r>
    </w:p>
    <w:p w14:paraId="2D6F4A48" w14:textId="77777777" w:rsidR="00E31311" w:rsidRDefault="00E31311">
      <w:pPr>
        <w:pBdr>
          <w:top w:val="nil"/>
          <w:left w:val="nil"/>
          <w:bottom w:val="nil"/>
          <w:right w:val="nil"/>
          <w:between w:val="nil"/>
        </w:pBdr>
        <w:spacing w:line="360" w:lineRule="auto"/>
        <w:ind w:left="851" w:right="426"/>
        <w:jc w:val="both"/>
        <w:rPr>
          <w:rFonts w:ascii="Palatino Linotype" w:eastAsia="Palatino Linotype" w:hAnsi="Palatino Linotype" w:cs="Palatino Linotype"/>
          <w:b/>
          <w:color w:val="000000"/>
        </w:rPr>
      </w:pPr>
    </w:p>
    <w:p w14:paraId="21817B22" w14:textId="77777777" w:rsidR="00E31311" w:rsidRDefault="00DF6EAE">
      <w:pPr>
        <w:numPr>
          <w:ilvl w:val="0"/>
          <w:numId w:val="3"/>
        </w:numPr>
        <w:spacing w:line="360" w:lineRule="auto"/>
        <w:ind w:left="0" w:firstLine="0"/>
        <w:jc w:val="both"/>
      </w:pPr>
      <w:r>
        <w:rPr>
          <w:rFonts w:ascii="Palatino Linotype" w:eastAsia="Palatino Linotype" w:hAnsi="Palatino Linotype" w:cs="Palatino Linotype"/>
          <w:color w:val="000000"/>
        </w:rPr>
        <w:t xml:space="preserve">De lo anterior,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indicó que </w:t>
      </w:r>
      <w:r>
        <w:rPr>
          <w:rFonts w:ascii="Palatino Linotype" w:eastAsia="Palatino Linotype" w:hAnsi="Palatino Linotype" w:cs="Palatino Linotype"/>
        </w:rPr>
        <w:t xml:space="preserve">la unidad administrativa da por atendida la solicitud </w:t>
      </w:r>
      <w:r>
        <w:rPr>
          <w:rFonts w:ascii="Palatino Linotype" w:eastAsia="Palatino Linotype" w:hAnsi="Palatino Linotype" w:cs="Palatino Linotype"/>
          <w:color w:val="000000"/>
        </w:rPr>
        <w:t>por considerar que se trata de un documento con las características requeridas a interés del solicitante y no se cumplen los requisitos de una solicitud de información.</w:t>
      </w:r>
    </w:p>
    <w:p w14:paraId="7F5D8C0F" w14:textId="77777777" w:rsidR="00E31311" w:rsidRDefault="00E31311">
      <w:pPr>
        <w:spacing w:line="360" w:lineRule="auto"/>
        <w:jc w:val="both"/>
        <w:rPr>
          <w:rFonts w:ascii="Palatino Linotype" w:eastAsia="Palatino Linotype" w:hAnsi="Palatino Linotype" w:cs="Palatino Linotype"/>
          <w:i/>
          <w:color w:val="000000"/>
        </w:rPr>
      </w:pPr>
    </w:p>
    <w:p w14:paraId="42D30AF1" w14:textId="77777777" w:rsidR="00E31311" w:rsidRDefault="00DF6EAE">
      <w:pPr>
        <w:numPr>
          <w:ilvl w:val="0"/>
          <w:numId w:val="3"/>
        </w:numPr>
        <w:spacing w:line="360" w:lineRule="auto"/>
        <w:ind w:left="0" w:firstLine="0"/>
        <w:jc w:val="both"/>
      </w:pPr>
      <w:r>
        <w:rPr>
          <w:rFonts w:ascii="Palatino Linotype" w:eastAsia="Palatino Linotype" w:hAnsi="Palatino Linotype" w:cs="Palatino Linotype"/>
          <w:color w:val="000000"/>
        </w:rPr>
        <w:t>Derivado de la respuesta el RECURRENTE, interpuso el recurso de revisión, manifestando el Acto Impugnado siguiente: SE ME DEJA EN TOTAL INDEFENSIÓN ANTE EL ACTUAR DE LA POLICÍA DE TRÁNSITO MUNICIPAL, YA QUE PARA ELLOS SI EXISTEN VIALIDADES CON RESTRICCIÓN DE CIRCULACIÓN DE VEHÍCULOS DE CARGA, LO QUE DA MOTIVO A GENERAR INFRACCIONES O EXTORSIONES POR CIRCULAR SOBRE SUPUESTAS VÍAS CON RESTRICCIÓN DE CARGA. SOLICITO ENTONCES, CONFORME AL ARTÍCULO 12 ALUDIDO, DE LA LEY DE TRANSPARENCIA Y ACCESO A LA INFORMACIÓN PÚBLICA DEL ESTADO DE MÉXICO Y MUNICIPIOS, SE ME PROPORCIONE LA INFORMACIÓN QUE OBRE EN SUS ARCHIVOS Y EN ESTADO EN QUE SE ENCUENTRE, SOBRE LA INFORMACIÓN SOLICITADA, ASÍ COMO SU FUNDAMENTO LEGAL; O EN SU CASO SE ME INFORME SI NO EXISTE RESTRICCIÓN DE CIRCULACIÓN PARA VEHÍCULOS DE CARGA EN CALLES, AVENIDAS O LAS VIALIDADES DENTRO DEL TERRITORIO MUNICIPAL</w:t>
      </w:r>
    </w:p>
    <w:p w14:paraId="3557A42E" w14:textId="77777777" w:rsidR="00E31311" w:rsidRDefault="00E31311">
      <w:pPr>
        <w:spacing w:line="360" w:lineRule="auto"/>
        <w:jc w:val="both"/>
        <w:rPr>
          <w:rFonts w:ascii="Palatino Linotype" w:eastAsia="Palatino Linotype" w:hAnsi="Palatino Linotype" w:cs="Palatino Linotype"/>
          <w:b/>
        </w:rPr>
      </w:pPr>
    </w:p>
    <w:p w14:paraId="7E425060" w14:textId="77777777" w:rsidR="00E31311" w:rsidRDefault="00E31311">
      <w:pPr>
        <w:pBdr>
          <w:top w:val="nil"/>
          <w:left w:val="nil"/>
          <w:bottom w:val="nil"/>
          <w:right w:val="nil"/>
          <w:between w:val="nil"/>
        </w:pBdr>
        <w:ind w:left="720"/>
        <w:rPr>
          <w:rFonts w:ascii="Palatino Linotype" w:eastAsia="Palatino Linotype" w:hAnsi="Palatino Linotype" w:cs="Palatino Linotype"/>
          <w:color w:val="000000"/>
        </w:rPr>
      </w:pPr>
    </w:p>
    <w:p w14:paraId="511260A5" w14:textId="77777777" w:rsidR="00E31311" w:rsidRDefault="00DF6EAE">
      <w:pPr>
        <w:numPr>
          <w:ilvl w:val="0"/>
          <w:numId w:val="3"/>
        </w:numPr>
        <w:spacing w:line="360" w:lineRule="auto"/>
        <w:ind w:left="0" w:firstLine="0"/>
        <w:jc w:val="both"/>
      </w:pPr>
      <w:r>
        <w:rPr>
          <w:rFonts w:ascii="Palatino Linotype" w:eastAsia="Palatino Linotype" w:hAnsi="Palatino Linotype" w:cs="Palatino Linotype"/>
        </w:rPr>
        <w:t>Derivado de la naturaleza de la información requerida, es conveniente traer a contexto lo dispuesto en el Reglamento de Tránsito del Estado de México en su artículo 69 y 71 los cuales señalan lo siguiente:</w:t>
      </w:r>
    </w:p>
    <w:p w14:paraId="491277D4" w14:textId="77777777" w:rsidR="00E31311" w:rsidRDefault="00DF6EAE">
      <w:pPr>
        <w:tabs>
          <w:tab w:val="left" w:pos="567"/>
        </w:tabs>
        <w:spacing w:line="360" w:lineRule="auto"/>
        <w:ind w:left="567" w:right="42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69</w:t>
      </w:r>
      <w:r>
        <w:rPr>
          <w:rFonts w:ascii="Palatino Linotype" w:eastAsia="Palatino Linotype" w:hAnsi="Palatino Linotype" w:cs="Palatino Linotype"/>
          <w:i/>
          <w:sz w:val="22"/>
          <w:szCs w:val="22"/>
        </w:rPr>
        <w:t>. Los vehículos destinados al transporte de carga dentro de los perímetros de las poblaciones únicamente podrán circular en los horarios y rutas que determinen las autoridades competentes, debiendo hacerlo siempre por el carril derecho; asimismo, se abstendrán de realizar maniobras de carga y descarga que entorpezcan el flujo de peatones y automotores.</w:t>
      </w:r>
    </w:p>
    <w:p w14:paraId="648BCA58" w14:textId="77777777" w:rsidR="00E31311" w:rsidRDefault="00DF6EAE">
      <w:pPr>
        <w:tabs>
          <w:tab w:val="left" w:pos="567"/>
        </w:tabs>
        <w:spacing w:line="360" w:lineRule="auto"/>
        <w:ind w:left="567" w:right="42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71.-</w:t>
      </w:r>
      <w:r>
        <w:rPr>
          <w:rFonts w:ascii="Palatino Linotype" w:eastAsia="Palatino Linotype" w:hAnsi="Palatino Linotype" w:cs="Palatino Linotype"/>
          <w:i/>
          <w:sz w:val="22"/>
          <w:szCs w:val="22"/>
        </w:rPr>
        <w:t xml:space="preserve"> Los vehículos de transporte de carga de explosivos, de materias inflamables y corrosivas, y en general de materiales peligrosos, solo podrán circular con los contenedores y tanques especiales para cada caso y por las vialidades que se determinen.</w:t>
      </w:r>
    </w:p>
    <w:p w14:paraId="61DE7300" w14:textId="77777777" w:rsidR="00E31311" w:rsidRDefault="00E31311">
      <w:pPr>
        <w:tabs>
          <w:tab w:val="left" w:pos="567"/>
        </w:tabs>
        <w:spacing w:line="360" w:lineRule="auto"/>
        <w:ind w:left="567" w:right="426"/>
        <w:jc w:val="both"/>
        <w:rPr>
          <w:rFonts w:ascii="Palatino Linotype" w:eastAsia="Palatino Linotype" w:hAnsi="Palatino Linotype" w:cs="Palatino Linotype"/>
          <w:i/>
          <w:sz w:val="22"/>
          <w:szCs w:val="22"/>
        </w:rPr>
      </w:pPr>
    </w:p>
    <w:p w14:paraId="2DEEA975" w14:textId="77777777" w:rsidR="00E31311" w:rsidRDefault="00DF6EAE">
      <w:pPr>
        <w:tabs>
          <w:tab w:val="left" w:pos="567"/>
        </w:tabs>
        <w:spacing w:line="360" w:lineRule="auto"/>
        <w:ind w:left="567" w:right="42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107</w:t>
      </w:r>
      <w:r>
        <w:rPr>
          <w:rFonts w:ascii="Palatino Linotype" w:eastAsia="Palatino Linotype" w:hAnsi="Palatino Linotype" w:cs="Palatino Linotype"/>
          <w:i/>
          <w:sz w:val="22"/>
          <w:szCs w:val="22"/>
        </w:rPr>
        <w:t xml:space="preserve">.- Es obligación de las autoridades de tránsito, en coordinación con las que sean competentes, crear y desarrollar programas de educación vial dirigidos a: </w:t>
      </w:r>
    </w:p>
    <w:p w14:paraId="37E7BAE8" w14:textId="77777777" w:rsidR="00E31311" w:rsidRDefault="00DF6EAE">
      <w:pPr>
        <w:pBdr>
          <w:top w:val="nil"/>
          <w:left w:val="nil"/>
          <w:bottom w:val="nil"/>
          <w:right w:val="nil"/>
          <w:between w:val="nil"/>
        </w:pBdr>
        <w:tabs>
          <w:tab w:val="left" w:pos="567"/>
        </w:tabs>
        <w:spacing w:line="360" w:lineRule="auto"/>
        <w:ind w:left="1287" w:right="42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 Estudiantes de todos los niveles educacionales en el Estado; </w:t>
      </w:r>
    </w:p>
    <w:p w14:paraId="4FFA221C" w14:textId="77777777" w:rsidR="00E31311" w:rsidRDefault="00DF6EAE">
      <w:pPr>
        <w:pBdr>
          <w:top w:val="nil"/>
          <w:left w:val="nil"/>
          <w:bottom w:val="nil"/>
          <w:right w:val="nil"/>
          <w:between w:val="nil"/>
        </w:pBdr>
        <w:tabs>
          <w:tab w:val="left" w:pos="567"/>
        </w:tabs>
        <w:spacing w:line="360" w:lineRule="auto"/>
        <w:ind w:left="1287" w:right="42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II. Aspirantes a obtener una licencia o permiso para conducir automotores;</w:t>
      </w:r>
    </w:p>
    <w:p w14:paraId="49FB5F1E" w14:textId="77777777" w:rsidR="00E31311" w:rsidRDefault="00DF6EAE">
      <w:pPr>
        <w:pBdr>
          <w:top w:val="nil"/>
          <w:left w:val="nil"/>
          <w:bottom w:val="nil"/>
          <w:right w:val="nil"/>
          <w:between w:val="nil"/>
        </w:pBdr>
        <w:tabs>
          <w:tab w:val="left" w:pos="567"/>
        </w:tabs>
        <w:spacing w:line="360" w:lineRule="auto"/>
        <w:ind w:left="1287" w:right="42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 III. Conductores de vehículos de uso particular o comercial; </w:t>
      </w:r>
    </w:p>
    <w:p w14:paraId="4B7CDEA9" w14:textId="77777777" w:rsidR="00E31311" w:rsidRDefault="00DF6EAE">
      <w:pPr>
        <w:pBdr>
          <w:top w:val="nil"/>
          <w:left w:val="nil"/>
          <w:bottom w:val="nil"/>
          <w:right w:val="nil"/>
          <w:between w:val="nil"/>
        </w:pBdr>
        <w:tabs>
          <w:tab w:val="left" w:pos="567"/>
        </w:tabs>
        <w:spacing w:line="360" w:lineRule="auto"/>
        <w:ind w:left="1287" w:right="42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IV. Conductores de servicio público, tanto de pasajeros como de carga y especializados; </w:t>
      </w:r>
    </w:p>
    <w:p w14:paraId="1076CE4B" w14:textId="77777777" w:rsidR="00E31311" w:rsidRDefault="00DF6EAE">
      <w:pPr>
        <w:pBdr>
          <w:top w:val="nil"/>
          <w:left w:val="nil"/>
          <w:bottom w:val="nil"/>
          <w:right w:val="nil"/>
          <w:between w:val="nil"/>
        </w:pBdr>
        <w:tabs>
          <w:tab w:val="left" w:pos="567"/>
        </w:tabs>
        <w:spacing w:line="360" w:lineRule="auto"/>
        <w:ind w:left="1287" w:right="42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V. Amas de casa, madres de menores estudiantes y profesores para preservar la seguridad de los educandos;</w:t>
      </w:r>
    </w:p>
    <w:p w14:paraId="38D4BF01" w14:textId="77777777" w:rsidR="00E31311" w:rsidRDefault="00DF6EAE">
      <w:pPr>
        <w:pBdr>
          <w:top w:val="nil"/>
          <w:left w:val="nil"/>
          <w:bottom w:val="nil"/>
          <w:right w:val="nil"/>
          <w:between w:val="nil"/>
        </w:pBdr>
        <w:tabs>
          <w:tab w:val="left" w:pos="567"/>
        </w:tabs>
        <w:spacing w:line="360" w:lineRule="auto"/>
        <w:ind w:left="1287" w:right="42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 VI. Infractores de las disposiciones. de tránsito en el momento de cubrir el importe de las multas; y </w:t>
      </w:r>
    </w:p>
    <w:p w14:paraId="54B06633" w14:textId="77777777" w:rsidR="00E31311" w:rsidRDefault="00DF6EAE">
      <w:pPr>
        <w:pBdr>
          <w:top w:val="nil"/>
          <w:left w:val="nil"/>
          <w:bottom w:val="nil"/>
          <w:right w:val="nil"/>
          <w:between w:val="nil"/>
        </w:pBdr>
        <w:tabs>
          <w:tab w:val="left" w:pos="567"/>
        </w:tabs>
        <w:spacing w:line="360" w:lineRule="auto"/>
        <w:ind w:left="1287" w:right="42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VII. Personal operativo y administrativo de tránsito, para que se actualicen en materia de educación vial. </w:t>
      </w:r>
    </w:p>
    <w:p w14:paraId="0E4D8E65" w14:textId="77777777" w:rsidR="00E31311" w:rsidRDefault="00DF6EAE">
      <w:pPr>
        <w:pBdr>
          <w:top w:val="nil"/>
          <w:left w:val="nil"/>
          <w:bottom w:val="nil"/>
          <w:right w:val="nil"/>
          <w:between w:val="nil"/>
        </w:pBdr>
        <w:tabs>
          <w:tab w:val="left" w:pos="567"/>
        </w:tabs>
        <w:spacing w:line="360" w:lineRule="auto"/>
        <w:ind w:left="1287" w:right="42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 xml:space="preserve">Los programas de educación vial que se impartan en el Estado, deberán referirse cuando menos a los siguientes temas: </w:t>
      </w:r>
    </w:p>
    <w:p w14:paraId="505C6054" w14:textId="77777777" w:rsidR="00E31311" w:rsidRDefault="00DF6EAE">
      <w:pPr>
        <w:pBdr>
          <w:top w:val="nil"/>
          <w:left w:val="nil"/>
          <w:bottom w:val="nil"/>
          <w:right w:val="nil"/>
          <w:between w:val="nil"/>
        </w:pBdr>
        <w:tabs>
          <w:tab w:val="left" w:pos="567"/>
        </w:tabs>
        <w:spacing w:line="360" w:lineRule="auto"/>
        <w:ind w:left="1287" w:right="42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 Uso adecuado de las vialidades; </w:t>
      </w:r>
    </w:p>
    <w:p w14:paraId="02E853BB" w14:textId="77777777" w:rsidR="00E31311" w:rsidRDefault="00DF6EAE">
      <w:pPr>
        <w:pBdr>
          <w:top w:val="nil"/>
          <w:left w:val="nil"/>
          <w:bottom w:val="nil"/>
          <w:right w:val="nil"/>
          <w:between w:val="nil"/>
        </w:pBdr>
        <w:tabs>
          <w:tab w:val="left" w:pos="567"/>
        </w:tabs>
        <w:spacing w:line="360" w:lineRule="auto"/>
        <w:ind w:left="1287" w:right="42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b).- Comportamiento del peatón en la vía pública; </w:t>
      </w:r>
    </w:p>
    <w:p w14:paraId="25E0DEEA" w14:textId="77777777" w:rsidR="00E31311" w:rsidRDefault="00DF6EAE">
      <w:pPr>
        <w:pBdr>
          <w:top w:val="nil"/>
          <w:left w:val="nil"/>
          <w:bottom w:val="nil"/>
          <w:right w:val="nil"/>
          <w:between w:val="nil"/>
        </w:pBdr>
        <w:tabs>
          <w:tab w:val="left" w:pos="567"/>
        </w:tabs>
        <w:spacing w:line="360" w:lineRule="auto"/>
        <w:ind w:left="1287" w:right="42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c).- Comportamiento y normatividad para el conductor; </w:t>
      </w:r>
    </w:p>
    <w:p w14:paraId="3ED47068" w14:textId="77777777" w:rsidR="00E31311" w:rsidRDefault="00DF6EAE">
      <w:pPr>
        <w:pBdr>
          <w:top w:val="nil"/>
          <w:left w:val="nil"/>
          <w:bottom w:val="nil"/>
          <w:right w:val="nil"/>
          <w:between w:val="nil"/>
        </w:pBdr>
        <w:tabs>
          <w:tab w:val="left" w:pos="567"/>
        </w:tabs>
        <w:spacing w:line="360" w:lineRule="auto"/>
        <w:ind w:left="1287" w:right="42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d).- Prevención de accidentes y primeros auxilios</w:t>
      </w:r>
    </w:p>
    <w:p w14:paraId="76E91580" w14:textId="77777777" w:rsidR="00E31311" w:rsidRDefault="00DF6EAE">
      <w:pPr>
        <w:pBdr>
          <w:top w:val="nil"/>
          <w:left w:val="nil"/>
          <w:bottom w:val="nil"/>
          <w:right w:val="nil"/>
          <w:between w:val="nil"/>
        </w:pBdr>
        <w:tabs>
          <w:tab w:val="left" w:pos="567"/>
        </w:tabs>
        <w:spacing w:line="360" w:lineRule="auto"/>
        <w:ind w:left="1287" w:right="42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 Señales humanas, verticales y horizontales, preventivas, restrictivas e informativas; y</w:t>
      </w:r>
    </w:p>
    <w:p w14:paraId="66EAD9E4" w14:textId="77777777" w:rsidR="00E31311" w:rsidRDefault="00DF6EAE">
      <w:pPr>
        <w:pBdr>
          <w:top w:val="nil"/>
          <w:left w:val="nil"/>
          <w:bottom w:val="nil"/>
          <w:right w:val="nil"/>
          <w:between w:val="nil"/>
        </w:pBdr>
        <w:tabs>
          <w:tab w:val="left" w:pos="567"/>
        </w:tabs>
        <w:spacing w:line="360" w:lineRule="auto"/>
        <w:ind w:left="1287" w:right="42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f).- Conocimiento y aplicación de las leyes de tránsito, reglamentos y otras disposiciones legales en la materia.</w:t>
      </w:r>
    </w:p>
    <w:p w14:paraId="5AB5EC8C" w14:textId="77777777" w:rsidR="00E31311" w:rsidRDefault="00E31311">
      <w:pPr>
        <w:pBdr>
          <w:top w:val="nil"/>
          <w:left w:val="nil"/>
          <w:bottom w:val="nil"/>
          <w:right w:val="nil"/>
          <w:between w:val="nil"/>
        </w:pBdr>
        <w:tabs>
          <w:tab w:val="left" w:pos="567"/>
        </w:tabs>
        <w:spacing w:line="360" w:lineRule="auto"/>
        <w:ind w:left="1287" w:right="426"/>
        <w:jc w:val="both"/>
        <w:rPr>
          <w:rFonts w:ascii="Palatino Linotype" w:eastAsia="Palatino Linotype" w:hAnsi="Palatino Linotype" w:cs="Palatino Linotype"/>
          <w:i/>
          <w:color w:val="000000"/>
        </w:rPr>
      </w:pPr>
    </w:p>
    <w:p w14:paraId="1040A635" w14:textId="77777777" w:rsidR="00E31311" w:rsidRDefault="00DF6EAE">
      <w:pPr>
        <w:numPr>
          <w:ilvl w:val="0"/>
          <w:numId w:val="3"/>
        </w:numPr>
        <w:spacing w:line="360" w:lineRule="auto"/>
        <w:ind w:left="0" w:firstLine="0"/>
        <w:jc w:val="both"/>
      </w:pPr>
      <w:r>
        <w:rPr>
          <w:rFonts w:ascii="Palatino Linotype" w:eastAsia="Palatino Linotype" w:hAnsi="Palatino Linotype" w:cs="Palatino Linotype"/>
        </w:rPr>
        <w:t>Ahora bien el Programa Integral de Movilidad Urbana sustentable PIMUS METEPEC en su numeral 4.2.4 señala lo siguiente:</w:t>
      </w:r>
    </w:p>
    <w:p w14:paraId="1B34EF96" w14:textId="77777777" w:rsidR="00E31311" w:rsidRDefault="00DF6EAE">
      <w:pPr>
        <w:tabs>
          <w:tab w:val="left" w:pos="567"/>
        </w:tabs>
        <w:spacing w:line="360" w:lineRule="auto"/>
        <w:ind w:left="567" w:right="42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4.2.4. Transporte de carga </w:t>
      </w:r>
    </w:p>
    <w:p w14:paraId="58D80709" w14:textId="77777777" w:rsidR="00E31311" w:rsidRDefault="00DF6EAE">
      <w:pPr>
        <w:tabs>
          <w:tab w:val="left" w:pos="567"/>
        </w:tabs>
        <w:spacing w:line="360" w:lineRule="auto"/>
        <w:ind w:left="567" w:right="42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Se realizó un análisis sobre el transporte de carga (de más de tres y media toneladas) que transita por el municipio de Metepec. El análisis se realizó a través de dos fuentes de información: </w:t>
      </w:r>
    </w:p>
    <w:p w14:paraId="7292D14A" w14:textId="77777777" w:rsidR="00E31311" w:rsidRDefault="00DF6EAE">
      <w:pPr>
        <w:tabs>
          <w:tab w:val="left" w:pos="567"/>
        </w:tabs>
        <w:spacing w:line="360" w:lineRule="auto"/>
        <w:ind w:left="567" w:right="426"/>
        <w:jc w:val="both"/>
        <w:rPr>
          <w:rFonts w:ascii="Palatino Linotype" w:eastAsia="Palatino Linotype" w:hAnsi="Palatino Linotype" w:cs="Palatino Linotype"/>
          <w:i/>
          <w:sz w:val="22"/>
          <w:szCs w:val="22"/>
        </w:rPr>
      </w:pPr>
      <w:r>
        <w:rPr>
          <w:rFonts w:ascii="Symbol" w:eastAsia="Symbol" w:hAnsi="Symbol" w:cs="Symbol"/>
          <w:i/>
          <w:sz w:val="22"/>
          <w:szCs w:val="22"/>
        </w:rPr>
        <w:t>∙</w:t>
      </w:r>
      <w:r>
        <w:rPr>
          <w:rFonts w:ascii="Palatino Linotype" w:eastAsia="Palatino Linotype" w:hAnsi="Palatino Linotype" w:cs="Palatino Linotype"/>
          <w:i/>
          <w:sz w:val="22"/>
          <w:szCs w:val="22"/>
        </w:rPr>
        <w:t xml:space="preserve"> Información proporcionada por la Junta de Caminos del Estado de México referente a un estudio realizado a través de estaciones de aforo automático que se establecieron en el municipio de Metepec; dichos aforos se realizaron con contadores neumáticos que se utilizan para obtener conteos vehiculares en lugares situados a mitad de cuadra o en tramos continuos.</w:t>
      </w:r>
    </w:p>
    <w:p w14:paraId="0573E8BD" w14:textId="77777777" w:rsidR="00E31311" w:rsidRDefault="00DF6EAE">
      <w:pPr>
        <w:tabs>
          <w:tab w:val="left" w:pos="567"/>
        </w:tabs>
        <w:spacing w:line="360" w:lineRule="auto"/>
        <w:ind w:left="567" w:right="42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r>
        <w:rPr>
          <w:rFonts w:ascii="Symbol" w:eastAsia="Symbol" w:hAnsi="Symbol" w:cs="Symbol"/>
          <w:i/>
          <w:sz w:val="22"/>
          <w:szCs w:val="22"/>
        </w:rPr>
        <w:t>∙</w:t>
      </w:r>
      <w:r>
        <w:rPr>
          <w:rFonts w:ascii="Palatino Linotype" w:eastAsia="Palatino Linotype" w:hAnsi="Palatino Linotype" w:cs="Palatino Linotype"/>
          <w:i/>
          <w:sz w:val="22"/>
          <w:szCs w:val="22"/>
        </w:rPr>
        <w:t xml:space="preserve"> Aforos direccionales realizados en campo en la Ciudad Típica de Metepec. </w:t>
      </w:r>
    </w:p>
    <w:p w14:paraId="4AB46104" w14:textId="77777777" w:rsidR="00E31311" w:rsidRDefault="00E31311">
      <w:pPr>
        <w:tabs>
          <w:tab w:val="left" w:pos="567"/>
        </w:tabs>
        <w:spacing w:line="360" w:lineRule="auto"/>
        <w:ind w:left="567" w:right="426"/>
        <w:jc w:val="both"/>
        <w:rPr>
          <w:rFonts w:ascii="Palatino Linotype" w:eastAsia="Palatino Linotype" w:hAnsi="Palatino Linotype" w:cs="Palatino Linotype"/>
          <w:i/>
          <w:sz w:val="22"/>
          <w:szCs w:val="22"/>
        </w:rPr>
      </w:pPr>
    </w:p>
    <w:p w14:paraId="04FAC5CD" w14:textId="77777777" w:rsidR="00E31311" w:rsidRDefault="00DF6EAE">
      <w:pPr>
        <w:tabs>
          <w:tab w:val="left" w:pos="567"/>
        </w:tabs>
        <w:spacing w:line="360" w:lineRule="auto"/>
        <w:ind w:left="567" w:right="42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Respecto a la información proporcionada por la Junta de Caminos del Estado de México, las estaciones ubicadas dentro del municipio, son las que se presentan en la siguiente tabla:</w:t>
      </w:r>
    </w:p>
    <w:p w14:paraId="2382F9CE" w14:textId="77777777" w:rsidR="00E31311" w:rsidRDefault="00E31311">
      <w:pPr>
        <w:tabs>
          <w:tab w:val="left" w:pos="567"/>
        </w:tabs>
        <w:spacing w:line="360" w:lineRule="auto"/>
        <w:ind w:left="567" w:right="426"/>
        <w:jc w:val="both"/>
        <w:rPr>
          <w:rFonts w:ascii="Palatino Linotype" w:eastAsia="Palatino Linotype" w:hAnsi="Palatino Linotype" w:cs="Palatino Linotype"/>
          <w:i/>
        </w:rPr>
      </w:pPr>
    </w:p>
    <w:p w14:paraId="72B60D61" w14:textId="77777777" w:rsidR="00E31311" w:rsidRDefault="00DF6EAE">
      <w:pPr>
        <w:tabs>
          <w:tab w:val="left" w:pos="567"/>
        </w:tabs>
        <w:spacing w:line="360" w:lineRule="auto"/>
        <w:ind w:left="567" w:right="426"/>
        <w:jc w:val="center"/>
        <w:rPr>
          <w:rFonts w:ascii="Palatino Linotype" w:eastAsia="Palatino Linotype" w:hAnsi="Palatino Linotype" w:cs="Palatino Linotype"/>
          <w:i/>
        </w:rPr>
      </w:pPr>
      <w:r>
        <w:rPr>
          <w:rFonts w:ascii="Palatino Linotype" w:eastAsia="Palatino Linotype" w:hAnsi="Palatino Linotype" w:cs="Palatino Linotype"/>
          <w:i/>
        </w:rPr>
        <w:t>Tabla 27. Puntos de aforo de conteo automático</w:t>
      </w:r>
    </w:p>
    <w:p w14:paraId="4D2C2F42" w14:textId="77777777" w:rsidR="00E31311" w:rsidRDefault="00DF6EAE">
      <w:pPr>
        <w:tabs>
          <w:tab w:val="left" w:pos="567"/>
        </w:tabs>
        <w:spacing w:line="360" w:lineRule="auto"/>
        <w:ind w:left="567" w:right="426"/>
        <w:jc w:val="both"/>
        <w:rPr>
          <w:rFonts w:ascii="Palatino Linotype" w:eastAsia="Palatino Linotype" w:hAnsi="Palatino Linotype" w:cs="Palatino Linotype"/>
          <w:i/>
        </w:rPr>
      </w:pPr>
      <w:r>
        <w:rPr>
          <w:rFonts w:ascii="Palatino Linotype" w:eastAsia="Palatino Linotype" w:hAnsi="Palatino Linotype" w:cs="Palatino Linotype"/>
          <w:i/>
          <w:noProof/>
          <w:lang w:val="es-MX" w:eastAsia="es-MX"/>
        </w:rPr>
        <w:drawing>
          <wp:inline distT="0" distB="0" distL="0" distR="0" wp14:anchorId="273A4116" wp14:editId="00DFA47D">
            <wp:extent cx="4953691" cy="2295845"/>
            <wp:effectExtent l="0" t="0" r="0" b="0"/>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4953691" cy="2295845"/>
                    </a:xfrm>
                    <a:prstGeom prst="rect">
                      <a:avLst/>
                    </a:prstGeom>
                    <a:ln/>
                  </pic:spPr>
                </pic:pic>
              </a:graphicData>
            </a:graphic>
          </wp:inline>
        </w:drawing>
      </w:r>
    </w:p>
    <w:p w14:paraId="331DDBE8" w14:textId="77777777" w:rsidR="00E31311" w:rsidRDefault="00DF6EAE">
      <w:pPr>
        <w:tabs>
          <w:tab w:val="left" w:pos="567"/>
        </w:tabs>
        <w:spacing w:line="360" w:lineRule="auto"/>
        <w:ind w:left="567" w:right="426"/>
        <w:jc w:val="both"/>
        <w:rPr>
          <w:rFonts w:ascii="Palatino Linotype" w:eastAsia="Palatino Linotype" w:hAnsi="Palatino Linotype" w:cs="Palatino Linotype"/>
          <w:i/>
        </w:rPr>
      </w:pPr>
      <w:r>
        <w:rPr>
          <w:rFonts w:ascii="Palatino Linotype" w:eastAsia="Palatino Linotype" w:hAnsi="Palatino Linotype" w:cs="Palatino Linotype"/>
          <w:i/>
          <w:noProof/>
          <w:lang w:val="es-MX" w:eastAsia="es-MX"/>
        </w:rPr>
        <w:drawing>
          <wp:inline distT="0" distB="0" distL="0" distR="0" wp14:anchorId="1EB60B6E" wp14:editId="48E14165">
            <wp:extent cx="4867954" cy="1286054"/>
            <wp:effectExtent l="0" t="0" r="0" b="0"/>
            <wp:docPr id="1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4867954" cy="1286054"/>
                    </a:xfrm>
                    <a:prstGeom prst="rect">
                      <a:avLst/>
                    </a:prstGeom>
                    <a:ln/>
                  </pic:spPr>
                </pic:pic>
              </a:graphicData>
            </a:graphic>
          </wp:inline>
        </w:drawing>
      </w:r>
    </w:p>
    <w:p w14:paraId="1B8A2076" w14:textId="77777777" w:rsidR="00E31311" w:rsidRDefault="00DF6EAE">
      <w:pPr>
        <w:tabs>
          <w:tab w:val="left" w:pos="567"/>
        </w:tabs>
        <w:spacing w:line="360" w:lineRule="auto"/>
        <w:ind w:left="567" w:right="42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Anexo 12. Aforo automático de conteo del tránsito y clasificación vehicular de carga </w:t>
      </w:r>
    </w:p>
    <w:p w14:paraId="1D0C05CB" w14:textId="77777777" w:rsidR="00E31311" w:rsidRDefault="00E31311">
      <w:pPr>
        <w:tabs>
          <w:tab w:val="left" w:pos="567"/>
        </w:tabs>
        <w:spacing w:line="360" w:lineRule="auto"/>
        <w:ind w:left="567" w:right="426"/>
        <w:jc w:val="both"/>
        <w:rPr>
          <w:rFonts w:ascii="Palatino Linotype" w:eastAsia="Palatino Linotype" w:hAnsi="Palatino Linotype" w:cs="Palatino Linotype"/>
          <w:i/>
          <w:sz w:val="22"/>
          <w:szCs w:val="22"/>
        </w:rPr>
      </w:pPr>
    </w:p>
    <w:p w14:paraId="7146F5B0" w14:textId="77777777" w:rsidR="00E31311" w:rsidRDefault="00DF6EAE">
      <w:pPr>
        <w:tabs>
          <w:tab w:val="left" w:pos="567"/>
        </w:tabs>
        <w:spacing w:line="360" w:lineRule="auto"/>
        <w:ind w:left="567" w:right="42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Así mismo para una mayor ubicación de las estaciones se muestra el siguiente esquema por punto de aforo.</w:t>
      </w:r>
    </w:p>
    <w:p w14:paraId="4A4C62F0" w14:textId="77777777" w:rsidR="00E31311" w:rsidRDefault="00E31311">
      <w:pPr>
        <w:tabs>
          <w:tab w:val="left" w:pos="567"/>
        </w:tabs>
        <w:spacing w:line="360" w:lineRule="auto"/>
        <w:ind w:left="567" w:right="426"/>
        <w:jc w:val="both"/>
        <w:rPr>
          <w:rFonts w:ascii="Palatino Linotype" w:eastAsia="Palatino Linotype" w:hAnsi="Palatino Linotype" w:cs="Palatino Linotype"/>
          <w:i/>
        </w:rPr>
      </w:pPr>
    </w:p>
    <w:p w14:paraId="6F7C70B8" w14:textId="77777777" w:rsidR="00E31311" w:rsidRDefault="00DF6EAE">
      <w:pPr>
        <w:tabs>
          <w:tab w:val="left" w:pos="567"/>
        </w:tabs>
        <w:spacing w:line="360" w:lineRule="auto"/>
        <w:ind w:left="567" w:right="426"/>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Esquema 18. Ubicación de las estaciones de aforo automático</w:t>
      </w:r>
    </w:p>
    <w:p w14:paraId="13FD3364" w14:textId="77777777" w:rsidR="00E31311" w:rsidRDefault="00DF6EAE">
      <w:pPr>
        <w:tabs>
          <w:tab w:val="left" w:pos="567"/>
        </w:tabs>
        <w:spacing w:line="360" w:lineRule="auto"/>
        <w:ind w:left="567" w:right="426"/>
        <w:jc w:val="center"/>
        <w:rPr>
          <w:rFonts w:ascii="Palatino Linotype" w:eastAsia="Palatino Linotype" w:hAnsi="Palatino Linotype" w:cs="Palatino Linotype"/>
          <w:i/>
        </w:rPr>
      </w:pPr>
      <w:r>
        <w:rPr>
          <w:rFonts w:ascii="Palatino Linotype" w:eastAsia="Palatino Linotype" w:hAnsi="Palatino Linotype" w:cs="Palatino Linotype"/>
          <w:i/>
          <w:noProof/>
          <w:lang w:val="es-MX" w:eastAsia="es-MX"/>
        </w:rPr>
        <w:lastRenderedPageBreak/>
        <w:drawing>
          <wp:inline distT="0" distB="0" distL="0" distR="0" wp14:anchorId="04969B25" wp14:editId="20CA9556">
            <wp:extent cx="3820058" cy="3391373"/>
            <wp:effectExtent l="0" t="0" r="0" b="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3820058" cy="3391373"/>
                    </a:xfrm>
                    <a:prstGeom prst="rect">
                      <a:avLst/>
                    </a:prstGeom>
                    <a:ln/>
                  </pic:spPr>
                </pic:pic>
              </a:graphicData>
            </a:graphic>
          </wp:inline>
        </w:drawing>
      </w:r>
    </w:p>
    <w:p w14:paraId="73A93035" w14:textId="77777777" w:rsidR="00E31311" w:rsidRDefault="00DF6EAE">
      <w:pPr>
        <w:tabs>
          <w:tab w:val="left" w:pos="567"/>
        </w:tabs>
        <w:spacing w:line="360" w:lineRule="auto"/>
        <w:ind w:left="567" w:right="426"/>
        <w:jc w:val="center"/>
        <w:rPr>
          <w:rFonts w:ascii="Palatino Linotype" w:eastAsia="Palatino Linotype" w:hAnsi="Palatino Linotype" w:cs="Palatino Linotype"/>
          <w:i/>
        </w:rPr>
      </w:pPr>
      <w:r>
        <w:rPr>
          <w:rFonts w:ascii="Palatino Linotype" w:eastAsia="Palatino Linotype" w:hAnsi="Palatino Linotype" w:cs="Palatino Linotype"/>
          <w:i/>
          <w:noProof/>
          <w:lang w:val="es-MX" w:eastAsia="es-MX"/>
        </w:rPr>
        <w:drawing>
          <wp:inline distT="0" distB="0" distL="0" distR="0" wp14:anchorId="16CFD53E" wp14:editId="3E346C90">
            <wp:extent cx="3620005" cy="2238687"/>
            <wp:effectExtent l="0" t="0" r="0" b="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3620005" cy="2238687"/>
                    </a:xfrm>
                    <a:prstGeom prst="rect">
                      <a:avLst/>
                    </a:prstGeom>
                    <a:ln/>
                  </pic:spPr>
                </pic:pic>
              </a:graphicData>
            </a:graphic>
          </wp:inline>
        </w:drawing>
      </w:r>
    </w:p>
    <w:p w14:paraId="3CAB59E4" w14:textId="77777777" w:rsidR="00E31311" w:rsidRDefault="00E31311">
      <w:pPr>
        <w:tabs>
          <w:tab w:val="left" w:pos="567"/>
        </w:tabs>
        <w:spacing w:line="360" w:lineRule="auto"/>
        <w:ind w:left="567" w:right="426"/>
        <w:jc w:val="both"/>
        <w:rPr>
          <w:rFonts w:ascii="Palatino Linotype" w:eastAsia="Palatino Linotype" w:hAnsi="Palatino Linotype" w:cs="Palatino Linotype"/>
          <w:i/>
        </w:rPr>
      </w:pPr>
    </w:p>
    <w:p w14:paraId="14A44464" w14:textId="77777777" w:rsidR="00E31311" w:rsidRDefault="00DF6EAE">
      <w:pPr>
        <w:tabs>
          <w:tab w:val="left" w:pos="567"/>
        </w:tabs>
        <w:spacing w:line="360" w:lineRule="auto"/>
        <w:ind w:left="567" w:right="426"/>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Anexo 13 y 14: Aforo Transporte de Carga en el Centro Histórico de Metepec y Aforo Transporte de Carga en el municipio de Metepec</w:t>
      </w:r>
    </w:p>
    <w:p w14:paraId="7CE06B85" w14:textId="77777777" w:rsidR="00E31311" w:rsidRDefault="00E31311">
      <w:pPr>
        <w:tabs>
          <w:tab w:val="left" w:pos="567"/>
        </w:tabs>
        <w:spacing w:line="360" w:lineRule="auto"/>
        <w:ind w:left="567" w:right="426"/>
        <w:jc w:val="both"/>
        <w:rPr>
          <w:rFonts w:ascii="Palatino Linotype" w:eastAsia="Palatino Linotype" w:hAnsi="Palatino Linotype" w:cs="Palatino Linotype"/>
          <w:i/>
          <w:sz w:val="22"/>
          <w:szCs w:val="22"/>
        </w:rPr>
      </w:pPr>
    </w:p>
    <w:p w14:paraId="4889BA30" w14:textId="77777777" w:rsidR="00E31311" w:rsidRDefault="00DF6EAE">
      <w:pPr>
        <w:tabs>
          <w:tab w:val="left" w:pos="567"/>
        </w:tabs>
        <w:spacing w:line="360" w:lineRule="auto"/>
        <w:ind w:left="567" w:right="42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cuanto a la clasificación vehicular utilizada en los aforos, la Secretaría de Comunicaciones y Transportes establece una clasificación de vehículos de carga de acuerdo </w:t>
      </w:r>
      <w:r>
        <w:rPr>
          <w:rFonts w:ascii="Palatino Linotype" w:eastAsia="Palatino Linotype" w:hAnsi="Palatino Linotype" w:cs="Palatino Linotype"/>
          <w:i/>
          <w:sz w:val="22"/>
          <w:szCs w:val="22"/>
        </w:rPr>
        <w:lastRenderedPageBreak/>
        <w:t xml:space="preserve">a su capacidad, en la NORMA Oficial Mexicana NOM-012-SCT-2-2014, sobre el peso y dimensiones máximas con los que pueden circular los vehículos de autotransporte que transitan en las vías generales de comunicación de jurisdicción federal. </w:t>
      </w:r>
    </w:p>
    <w:p w14:paraId="66B89A6D" w14:textId="77777777" w:rsidR="00E31311" w:rsidRDefault="00E31311">
      <w:pPr>
        <w:tabs>
          <w:tab w:val="left" w:pos="567"/>
        </w:tabs>
        <w:spacing w:line="360" w:lineRule="auto"/>
        <w:ind w:left="567" w:right="426"/>
        <w:jc w:val="both"/>
        <w:rPr>
          <w:rFonts w:ascii="Palatino Linotype" w:eastAsia="Palatino Linotype" w:hAnsi="Palatino Linotype" w:cs="Palatino Linotype"/>
          <w:i/>
          <w:sz w:val="22"/>
          <w:szCs w:val="22"/>
        </w:rPr>
      </w:pPr>
    </w:p>
    <w:p w14:paraId="53094361" w14:textId="77777777" w:rsidR="00E31311" w:rsidRDefault="00DF6EAE">
      <w:pPr>
        <w:tabs>
          <w:tab w:val="left" w:pos="567"/>
        </w:tabs>
        <w:spacing w:line="360" w:lineRule="auto"/>
        <w:ind w:left="567" w:right="42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Dicha clasificación se muestra a continuación de acuerdo a los vehículos que transitan por el municipio. </w:t>
      </w:r>
    </w:p>
    <w:p w14:paraId="256ABCC7" w14:textId="77777777" w:rsidR="00E31311" w:rsidRDefault="00E31311">
      <w:pPr>
        <w:tabs>
          <w:tab w:val="left" w:pos="567"/>
        </w:tabs>
        <w:spacing w:line="360" w:lineRule="auto"/>
        <w:ind w:left="567" w:right="426"/>
        <w:jc w:val="both"/>
        <w:rPr>
          <w:rFonts w:ascii="Palatino Linotype" w:eastAsia="Palatino Linotype" w:hAnsi="Palatino Linotype" w:cs="Palatino Linotype"/>
          <w:i/>
          <w:sz w:val="22"/>
          <w:szCs w:val="22"/>
        </w:rPr>
      </w:pPr>
    </w:p>
    <w:p w14:paraId="0AD8DE49" w14:textId="77777777" w:rsidR="00E31311" w:rsidRDefault="00DF6EAE">
      <w:pPr>
        <w:tabs>
          <w:tab w:val="left" w:pos="567"/>
        </w:tabs>
        <w:spacing w:line="360" w:lineRule="auto"/>
        <w:ind w:left="567" w:right="426"/>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Tabla 28. Clasificación por tipo de vehículo (nom-012-sct-2-2014)</w:t>
      </w:r>
    </w:p>
    <w:p w14:paraId="3CD44EA4" w14:textId="77777777" w:rsidR="00E31311" w:rsidRDefault="00DF6EAE">
      <w:pPr>
        <w:tabs>
          <w:tab w:val="left" w:pos="567"/>
        </w:tabs>
        <w:spacing w:line="360" w:lineRule="auto"/>
        <w:ind w:left="567" w:right="426"/>
        <w:jc w:val="center"/>
        <w:rPr>
          <w:rFonts w:ascii="Palatino Linotype" w:eastAsia="Palatino Linotype" w:hAnsi="Palatino Linotype" w:cs="Palatino Linotype"/>
          <w:i/>
          <w:sz w:val="22"/>
          <w:szCs w:val="22"/>
        </w:rPr>
      </w:pPr>
      <w:r>
        <w:rPr>
          <w:rFonts w:ascii="Palatino Linotype" w:eastAsia="Palatino Linotype" w:hAnsi="Palatino Linotype" w:cs="Palatino Linotype"/>
          <w:i/>
          <w:noProof/>
          <w:sz w:val="22"/>
          <w:szCs w:val="22"/>
          <w:lang w:val="es-MX" w:eastAsia="es-MX"/>
        </w:rPr>
        <w:drawing>
          <wp:inline distT="0" distB="0" distL="0" distR="0" wp14:anchorId="7C359D43" wp14:editId="2FDF0216">
            <wp:extent cx="4887007" cy="2019582"/>
            <wp:effectExtent l="0" t="0" r="0" b="0"/>
            <wp:docPr id="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4887007" cy="2019582"/>
                    </a:xfrm>
                    <a:prstGeom prst="rect">
                      <a:avLst/>
                    </a:prstGeom>
                    <a:ln/>
                  </pic:spPr>
                </pic:pic>
              </a:graphicData>
            </a:graphic>
          </wp:inline>
        </w:drawing>
      </w:r>
    </w:p>
    <w:p w14:paraId="37D9C54B" w14:textId="77777777" w:rsidR="00E31311" w:rsidRDefault="00DF6EAE">
      <w:pPr>
        <w:tabs>
          <w:tab w:val="left" w:pos="567"/>
        </w:tabs>
        <w:spacing w:line="360" w:lineRule="auto"/>
        <w:ind w:left="567" w:right="426"/>
        <w:jc w:val="center"/>
        <w:rPr>
          <w:rFonts w:ascii="Palatino Linotype" w:eastAsia="Palatino Linotype" w:hAnsi="Palatino Linotype" w:cs="Palatino Linotype"/>
          <w:i/>
          <w:sz w:val="22"/>
          <w:szCs w:val="22"/>
        </w:rPr>
      </w:pPr>
      <w:r>
        <w:rPr>
          <w:rFonts w:ascii="Palatino Linotype" w:eastAsia="Palatino Linotype" w:hAnsi="Palatino Linotype" w:cs="Palatino Linotype"/>
          <w:i/>
          <w:noProof/>
          <w:sz w:val="22"/>
          <w:szCs w:val="22"/>
          <w:lang w:val="es-MX" w:eastAsia="es-MX"/>
        </w:rPr>
        <w:drawing>
          <wp:inline distT="0" distB="0" distL="0" distR="0" wp14:anchorId="195FCB74" wp14:editId="0B0CE33B">
            <wp:extent cx="4877481" cy="809738"/>
            <wp:effectExtent l="0" t="0" r="0" b="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4877481" cy="809738"/>
                    </a:xfrm>
                    <a:prstGeom prst="rect">
                      <a:avLst/>
                    </a:prstGeom>
                    <a:ln/>
                  </pic:spPr>
                </pic:pic>
              </a:graphicData>
            </a:graphic>
          </wp:inline>
        </w:drawing>
      </w:r>
    </w:p>
    <w:p w14:paraId="38728E50" w14:textId="77777777" w:rsidR="00E31311" w:rsidRDefault="00E31311">
      <w:pPr>
        <w:tabs>
          <w:tab w:val="left" w:pos="567"/>
        </w:tabs>
        <w:spacing w:line="360" w:lineRule="auto"/>
        <w:ind w:left="567" w:right="426"/>
        <w:jc w:val="both"/>
        <w:rPr>
          <w:rFonts w:ascii="Palatino Linotype" w:eastAsia="Palatino Linotype" w:hAnsi="Palatino Linotype" w:cs="Palatino Linotype"/>
          <w:i/>
          <w:sz w:val="22"/>
          <w:szCs w:val="22"/>
        </w:rPr>
      </w:pPr>
    </w:p>
    <w:p w14:paraId="1DCA5228" w14:textId="77777777" w:rsidR="00E31311" w:rsidRDefault="00DF6EAE">
      <w:pPr>
        <w:tabs>
          <w:tab w:val="left" w:pos="567"/>
        </w:tabs>
        <w:spacing w:line="360" w:lineRule="auto"/>
        <w:ind w:left="567" w:right="42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De acuerdo con este estudio se registró un total 29,130 vehículos de carga que transitan por la zona, de ellos 15,652 corresponden al tipo C2 (Camión Unitario, 2 ejes); 9,708 al tipo C3 (Camión Unitario, 3 ejes); 2,505 al tipo T3S2 (Tractocamión Articulado, 5 ejes) y 1,265 al tipo T3S3 (Tractocamión Articulado, 6 ejes). De esta manera se clasificaron las vías por donde transitaron de acuerdo al volumen de vehículos. </w:t>
      </w:r>
    </w:p>
    <w:p w14:paraId="75BE79C2" w14:textId="77777777" w:rsidR="00E31311" w:rsidRDefault="00E31311">
      <w:pPr>
        <w:tabs>
          <w:tab w:val="left" w:pos="567"/>
        </w:tabs>
        <w:spacing w:line="360" w:lineRule="auto"/>
        <w:ind w:left="567" w:right="426"/>
        <w:jc w:val="both"/>
        <w:rPr>
          <w:rFonts w:ascii="Palatino Linotype" w:eastAsia="Palatino Linotype" w:hAnsi="Palatino Linotype" w:cs="Palatino Linotype"/>
          <w:i/>
          <w:sz w:val="22"/>
          <w:szCs w:val="22"/>
        </w:rPr>
      </w:pPr>
    </w:p>
    <w:p w14:paraId="2751EE48" w14:textId="77777777" w:rsidR="00E31311" w:rsidRDefault="00DF6EAE">
      <w:pPr>
        <w:tabs>
          <w:tab w:val="left" w:pos="567"/>
        </w:tabs>
        <w:spacing w:line="360" w:lineRule="auto"/>
        <w:ind w:left="567" w:right="42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Con relación a lo anterior se obtuvo un porcentaje mayoritario del 54% para los vehículos (camiones) de 2 ejes que circulan en el municipio de Metepec; seguido por el 33% de vehículos de 3 ejes, el 9% para tractocamiones articulados de 5 ejes y el 4% para tractocamiones articulados de 6 ejes respectivamente.</w:t>
      </w:r>
    </w:p>
    <w:p w14:paraId="0D2EFBBA" w14:textId="77777777" w:rsidR="00E31311" w:rsidRDefault="00E31311">
      <w:pPr>
        <w:tabs>
          <w:tab w:val="left" w:pos="567"/>
        </w:tabs>
        <w:spacing w:line="360" w:lineRule="auto"/>
        <w:ind w:left="567" w:right="426"/>
        <w:jc w:val="both"/>
        <w:rPr>
          <w:rFonts w:ascii="Palatino Linotype" w:eastAsia="Palatino Linotype" w:hAnsi="Palatino Linotype" w:cs="Palatino Linotype"/>
          <w:i/>
          <w:sz w:val="22"/>
          <w:szCs w:val="22"/>
        </w:rPr>
      </w:pPr>
    </w:p>
    <w:p w14:paraId="5E7BD18E" w14:textId="77777777" w:rsidR="00E31311" w:rsidRDefault="00DF6EAE">
      <w:pPr>
        <w:tabs>
          <w:tab w:val="left" w:pos="567"/>
        </w:tabs>
        <w:spacing w:line="360" w:lineRule="auto"/>
        <w:ind w:left="567" w:right="426"/>
        <w:jc w:val="center"/>
        <w:rPr>
          <w:rFonts w:ascii="Palatino Linotype" w:eastAsia="Palatino Linotype" w:hAnsi="Palatino Linotype" w:cs="Palatino Linotype"/>
          <w:i/>
          <w:sz w:val="22"/>
          <w:szCs w:val="22"/>
        </w:rPr>
      </w:pPr>
      <w:r>
        <w:rPr>
          <w:rFonts w:ascii="Palatino Linotype" w:eastAsia="Palatino Linotype" w:hAnsi="Palatino Linotype" w:cs="Palatino Linotype"/>
          <w:i/>
          <w:noProof/>
          <w:sz w:val="22"/>
          <w:szCs w:val="22"/>
          <w:lang w:val="es-MX" w:eastAsia="es-MX"/>
        </w:rPr>
        <w:drawing>
          <wp:inline distT="0" distB="0" distL="0" distR="0" wp14:anchorId="087609DB" wp14:editId="3364CB9C">
            <wp:extent cx="4867954" cy="3057952"/>
            <wp:effectExtent l="0" t="0" r="0" b="0"/>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4867954" cy="3057952"/>
                    </a:xfrm>
                    <a:prstGeom prst="rect">
                      <a:avLst/>
                    </a:prstGeom>
                    <a:ln/>
                  </pic:spPr>
                </pic:pic>
              </a:graphicData>
            </a:graphic>
          </wp:inline>
        </w:drawing>
      </w:r>
    </w:p>
    <w:p w14:paraId="4F231D43" w14:textId="77777777" w:rsidR="00E31311" w:rsidRDefault="00E31311">
      <w:pPr>
        <w:tabs>
          <w:tab w:val="left" w:pos="567"/>
        </w:tabs>
        <w:spacing w:line="360" w:lineRule="auto"/>
        <w:ind w:left="567" w:right="426"/>
        <w:jc w:val="both"/>
        <w:rPr>
          <w:rFonts w:ascii="Palatino Linotype" w:eastAsia="Palatino Linotype" w:hAnsi="Palatino Linotype" w:cs="Palatino Linotype"/>
          <w:i/>
          <w:sz w:val="22"/>
          <w:szCs w:val="22"/>
        </w:rPr>
      </w:pPr>
    </w:p>
    <w:p w14:paraId="112663AB" w14:textId="77777777" w:rsidR="00E31311" w:rsidRDefault="00DF6EAE">
      <w:pPr>
        <w:tabs>
          <w:tab w:val="left" w:pos="567"/>
        </w:tabs>
        <w:spacing w:line="360" w:lineRule="auto"/>
        <w:ind w:left="567" w:right="42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Cabe señalar que las cifras y porcentajes obtenidos en el estudio, tienen el fin de establecer el TDPS (Tránsito Diario Promedio Semanal) del transporte de carga en las principales vialidades del municipio.</w:t>
      </w:r>
    </w:p>
    <w:p w14:paraId="08CA3FD0" w14:textId="77777777" w:rsidR="00E31311" w:rsidRDefault="00DF6EAE">
      <w:pPr>
        <w:tabs>
          <w:tab w:val="left" w:pos="567"/>
        </w:tabs>
        <w:spacing w:line="360" w:lineRule="auto"/>
        <w:ind w:left="567" w:right="42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Por otra parte, en la Ciudad Típica de Metepec se realizó un estudio para identificar el movimiento del transporte de carga mediante un aforo vehicular en 15 intersecciones; en dicho aforo se establecieron los horarios de mayor afluencia es decir de 07:00 a 10:00 y de 12:00 a 15:00 </w:t>
      </w:r>
      <w:proofErr w:type="spellStart"/>
      <w:r>
        <w:rPr>
          <w:rFonts w:ascii="Palatino Linotype" w:eastAsia="Palatino Linotype" w:hAnsi="Palatino Linotype" w:cs="Palatino Linotype"/>
          <w:i/>
          <w:sz w:val="22"/>
          <w:szCs w:val="22"/>
        </w:rPr>
        <w:t>hrs</w:t>
      </w:r>
      <w:proofErr w:type="spellEnd"/>
      <w:r>
        <w:rPr>
          <w:rFonts w:ascii="Palatino Linotype" w:eastAsia="Palatino Linotype" w:hAnsi="Palatino Linotype" w:cs="Palatino Linotype"/>
          <w:i/>
          <w:sz w:val="22"/>
          <w:szCs w:val="22"/>
        </w:rPr>
        <w:t xml:space="preserve">; a su vez para tener un conteo con mayor exactitud, los registros de aforo se realizaron en intervalos de quince minutos. </w:t>
      </w:r>
    </w:p>
    <w:p w14:paraId="51FEB3E0" w14:textId="77777777" w:rsidR="00E31311" w:rsidRDefault="00E31311">
      <w:pPr>
        <w:tabs>
          <w:tab w:val="left" w:pos="567"/>
        </w:tabs>
        <w:spacing w:line="360" w:lineRule="auto"/>
        <w:ind w:left="567" w:right="426"/>
        <w:jc w:val="both"/>
        <w:rPr>
          <w:rFonts w:ascii="Palatino Linotype" w:eastAsia="Palatino Linotype" w:hAnsi="Palatino Linotype" w:cs="Palatino Linotype"/>
          <w:i/>
          <w:sz w:val="22"/>
          <w:szCs w:val="22"/>
        </w:rPr>
      </w:pPr>
    </w:p>
    <w:p w14:paraId="334783C0" w14:textId="77777777" w:rsidR="00E31311" w:rsidRDefault="00DF6EAE">
      <w:pPr>
        <w:tabs>
          <w:tab w:val="left" w:pos="567"/>
        </w:tabs>
        <w:spacing w:line="360" w:lineRule="auto"/>
        <w:ind w:left="567" w:right="42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A continuación, se muestran los puntos aforados. Tabla 29. Puntos de aforo por intersección</w:t>
      </w:r>
    </w:p>
    <w:p w14:paraId="59961B64" w14:textId="77777777" w:rsidR="00E31311" w:rsidRDefault="00E31311">
      <w:pPr>
        <w:tabs>
          <w:tab w:val="left" w:pos="567"/>
        </w:tabs>
        <w:spacing w:line="360" w:lineRule="auto"/>
        <w:ind w:left="567" w:right="426"/>
        <w:jc w:val="both"/>
        <w:rPr>
          <w:rFonts w:ascii="Palatino Linotype" w:eastAsia="Palatino Linotype" w:hAnsi="Palatino Linotype" w:cs="Palatino Linotype"/>
          <w:i/>
          <w:sz w:val="22"/>
          <w:szCs w:val="22"/>
        </w:rPr>
      </w:pPr>
    </w:p>
    <w:p w14:paraId="6EA59F78" w14:textId="77777777" w:rsidR="00E31311" w:rsidRDefault="00DF6EAE">
      <w:pPr>
        <w:tabs>
          <w:tab w:val="left" w:pos="567"/>
        </w:tabs>
        <w:spacing w:line="360" w:lineRule="auto"/>
        <w:ind w:left="567" w:right="426"/>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Tabla 29. Puntos de aforo por intersección</w:t>
      </w:r>
    </w:p>
    <w:p w14:paraId="62E3BE1F" w14:textId="77777777" w:rsidR="00E31311" w:rsidRDefault="00DF6EAE">
      <w:pPr>
        <w:tabs>
          <w:tab w:val="left" w:pos="567"/>
        </w:tabs>
        <w:spacing w:line="360" w:lineRule="auto"/>
        <w:ind w:left="567" w:right="426"/>
        <w:jc w:val="center"/>
        <w:rPr>
          <w:rFonts w:ascii="Palatino Linotype" w:eastAsia="Palatino Linotype" w:hAnsi="Palatino Linotype" w:cs="Palatino Linotype"/>
          <w:i/>
          <w:sz w:val="22"/>
          <w:szCs w:val="22"/>
        </w:rPr>
      </w:pPr>
      <w:r>
        <w:rPr>
          <w:rFonts w:ascii="Palatino Linotype" w:eastAsia="Palatino Linotype" w:hAnsi="Palatino Linotype" w:cs="Palatino Linotype"/>
          <w:i/>
          <w:noProof/>
          <w:sz w:val="22"/>
          <w:szCs w:val="22"/>
          <w:lang w:val="es-MX" w:eastAsia="es-MX"/>
        </w:rPr>
        <w:drawing>
          <wp:inline distT="0" distB="0" distL="0" distR="0" wp14:anchorId="3CE3EA3A" wp14:editId="0E9D82A6">
            <wp:extent cx="4010585" cy="2715004"/>
            <wp:effectExtent l="0" t="0" r="0" b="0"/>
            <wp:docPr id="2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4010585" cy="2715004"/>
                    </a:xfrm>
                    <a:prstGeom prst="rect">
                      <a:avLst/>
                    </a:prstGeom>
                    <a:ln/>
                  </pic:spPr>
                </pic:pic>
              </a:graphicData>
            </a:graphic>
          </wp:inline>
        </w:drawing>
      </w:r>
    </w:p>
    <w:p w14:paraId="56018B18" w14:textId="77777777" w:rsidR="00E31311" w:rsidRDefault="00DF6EAE">
      <w:pPr>
        <w:tabs>
          <w:tab w:val="left" w:pos="567"/>
        </w:tabs>
        <w:spacing w:line="360" w:lineRule="auto"/>
        <w:ind w:left="567" w:right="426"/>
        <w:jc w:val="center"/>
        <w:rPr>
          <w:rFonts w:ascii="Palatino Linotype" w:eastAsia="Palatino Linotype" w:hAnsi="Palatino Linotype" w:cs="Palatino Linotype"/>
          <w:i/>
          <w:sz w:val="22"/>
          <w:szCs w:val="22"/>
        </w:rPr>
      </w:pPr>
      <w:r>
        <w:rPr>
          <w:rFonts w:ascii="Palatino Linotype" w:eastAsia="Palatino Linotype" w:hAnsi="Palatino Linotype" w:cs="Palatino Linotype"/>
          <w:i/>
          <w:noProof/>
          <w:sz w:val="22"/>
          <w:szCs w:val="22"/>
          <w:lang w:val="es-MX" w:eastAsia="es-MX"/>
        </w:rPr>
        <w:drawing>
          <wp:inline distT="0" distB="0" distL="0" distR="0" wp14:anchorId="4BA9CA09" wp14:editId="4BB889CB">
            <wp:extent cx="5249008" cy="2915057"/>
            <wp:effectExtent l="0" t="0" r="0" b="0"/>
            <wp:docPr id="2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5249008" cy="2915057"/>
                    </a:xfrm>
                    <a:prstGeom prst="rect">
                      <a:avLst/>
                    </a:prstGeom>
                    <a:ln/>
                  </pic:spPr>
                </pic:pic>
              </a:graphicData>
            </a:graphic>
          </wp:inline>
        </w:drawing>
      </w:r>
    </w:p>
    <w:p w14:paraId="1441FDC6" w14:textId="77777777" w:rsidR="00E31311" w:rsidRDefault="00E31311">
      <w:pPr>
        <w:tabs>
          <w:tab w:val="left" w:pos="567"/>
        </w:tabs>
        <w:spacing w:line="360" w:lineRule="auto"/>
        <w:ind w:left="567" w:right="426"/>
        <w:jc w:val="both"/>
        <w:rPr>
          <w:rFonts w:ascii="Palatino Linotype" w:eastAsia="Palatino Linotype" w:hAnsi="Palatino Linotype" w:cs="Palatino Linotype"/>
          <w:i/>
          <w:sz w:val="22"/>
          <w:szCs w:val="22"/>
        </w:rPr>
      </w:pPr>
    </w:p>
    <w:p w14:paraId="42B1578B" w14:textId="77777777" w:rsidR="00E31311" w:rsidRDefault="00DF6EAE">
      <w:pPr>
        <w:tabs>
          <w:tab w:val="left" w:pos="567"/>
        </w:tabs>
        <w:spacing w:line="360" w:lineRule="auto"/>
        <w:ind w:left="567" w:right="42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El estudio dio como resultado un total 1,238 vehículos de carga que circularon en la zona centro de Metepec en un lapso de 6 horas. </w:t>
      </w:r>
    </w:p>
    <w:p w14:paraId="28783555" w14:textId="77777777" w:rsidR="00E31311" w:rsidRDefault="00E31311">
      <w:pPr>
        <w:tabs>
          <w:tab w:val="left" w:pos="567"/>
        </w:tabs>
        <w:spacing w:line="360" w:lineRule="auto"/>
        <w:ind w:left="567" w:right="426"/>
        <w:jc w:val="both"/>
        <w:rPr>
          <w:rFonts w:ascii="Palatino Linotype" w:eastAsia="Palatino Linotype" w:hAnsi="Palatino Linotype" w:cs="Palatino Linotype"/>
          <w:i/>
          <w:sz w:val="22"/>
          <w:szCs w:val="22"/>
        </w:rPr>
      </w:pPr>
    </w:p>
    <w:p w14:paraId="26A2BC72" w14:textId="77777777" w:rsidR="00E31311" w:rsidRDefault="00DF6EAE">
      <w:pPr>
        <w:tabs>
          <w:tab w:val="left" w:pos="567"/>
        </w:tabs>
        <w:spacing w:line="360" w:lineRule="auto"/>
        <w:ind w:left="567" w:right="42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Por otra parte, y de acuerdo con los puntos aforados, se identificaron las intersecciones de mayor, moderado y menor tránsito de vehículos de carga; las cuales se presentan en la siguiente tabla: Tabla 30. </w:t>
      </w:r>
    </w:p>
    <w:p w14:paraId="4C242E97" w14:textId="77777777" w:rsidR="00E31311" w:rsidRDefault="00E31311">
      <w:pPr>
        <w:tabs>
          <w:tab w:val="left" w:pos="567"/>
        </w:tabs>
        <w:spacing w:line="360" w:lineRule="auto"/>
        <w:ind w:left="567" w:right="426"/>
        <w:jc w:val="both"/>
        <w:rPr>
          <w:rFonts w:ascii="Palatino Linotype" w:eastAsia="Palatino Linotype" w:hAnsi="Palatino Linotype" w:cs="Palatino Linotype"/>
          <w:i/>
          <w:sz w:val="22"/>
          <w:szCs w:val="22"/>
        </w:rPr>
      </w:pPr>
    </w:p>
    <w:p w14:paraId="231C3425" w14:textId="77777777" w:rsidR="00E31311" w:rsidRDefault="00E31311">
      <w:pPr>
        <w:tabs>
          <w:tab w:val="left" w:pos="567"/>
        </w:tabs>
        <w:spacing w:line="360" w:lineRule="auto"/>
        <w:ind w:left="567" w:right="426"/>
        <w:jc w:val="both"/>
        <w:rPr>
          <w:rFonts w:ascii="Palatino Linotype" w:eastAsia="Palatino Linotype" w:hAnsi="Palatino Linotype" w:cs="Palatino Linotype"/>
          <w:i/>
          <w:sz w:val="22"/>
          <w:szCs w:val="22"/>
        </w:rPr>
      </w:pPr>
    </w:p>
    <w:p w14:paraId="0C092864" w14:textId="77777777" w:rsidR="00E31311" w:rsidRDefault="00E31311">
      <w:pPr>
        <w:tabs>
          <w:tab w:val="left" w:pos="567"/>
        </w:tabs>
        <w:spacing w:line="360" w:lineRule="auto"/>
        <w:ind w:left="567" w:right="426"/>
        <w:jc w:val="both"/>
        <w:rPr>
          <w:rFonts w:ascii="Palatino Linotype" w:eastAsia="Palatino Linotype" w:hAnsi="Palatino Linotype" w:cs="Palatino Linotype"/>
          <w:i/>
          <w:sz w:val="22"/>
          <w:szCs w:val="22"/>
        </w:rPr>
      </w:pPr>
    </w:p>
    <w:p w14:paraId="565F399A" w14:textId="77777777" w:rsidR="00E31311" w:rsidRDefault="00E31311">
      <w:pPr>
        <w:tabs>
          <w:tab w:val="left" w:pos="567"/>
        </w:tabs>
        <w:spacing w:line="360" w:lineRule="auto"/>
        <w:ind w:left="567" w:right="426"/>
        <w:jc w:val="both"/>
        <w:rPr>
          <w:rFonts w:ascii="Palatino Linotype" w:eastAsia="Palatino Linotype" w:hAnsi="Palatino Linotype" w:cs="Palatino Linotype"/>
          <w:i/>
          <w:sz w:val="22"/>
          <w:szCs w:val="22"/>
        </w:rPr>
      </w:pPr>
    </w:p>
    <w:p w14:paraId="1E31A868" w14:textId="77777777" w:rsidR="00E31311" w:rsidRDefault="00E31311">
      <w:pPr>
        <w:tabs>
          <w:tab w:val="left" w:pos="567"/>
        </w:tabs>
        <w:spacing w:line="360" w:lineRule="auto"/>
        <w:ind w:left="567" w:right="426"/>
        <w:jc w:val="both"/>
        <w:rPr>
          <w:rFonts w:ascii="Palatino Linotype" w:eastAsia="Palatino Linotype" w:hAnsi="Palatino Linotype" w:cs="Palatino Linotype"/>
          <w:i/>
          <w:sz w:val="22"/>
          <w:szCs w:val="22"/>
        </w:rPr>
      </w:pPr>
    </w:p>
    <w:p w14:paraId="721660FD" w14:textId="77777777" w:rsidR="00E31311" w:rsidRDefault="00E31311">
      <w:pPr>
        <w:tabs>
          <w:tab w:val="left" w:pos="567"/>
        </w:tabs>
        <w:spacing w:line="360" w:lineRule="auto"/>
        <w:ind w:left="567" w:right="426"/>
        <w:jc w:val="both"/>
        <w:rPr>
          <w:rFonts w:ascii="Palatino Linotype" w:eastAsia="Palatino Linotype" w:hAnsi="Palatino Linotype" w:cs="Palatino Linotype"/>
          <w:i/>
          <w:sz w:val="22"/>
          <w:szCs w:val="22"/>
        </w:rPr>
      </w:pPr>
    </w:p>
    <w:p w14:paraId="5F93C77D" w14:textId="77777777" w:rsidR="00E31311" w:rsidRDefault="00E31311">
      <w:pPr>
        <w:tabs>
          <w:tab w:val="left" w:pos="567"/>
        </w:tabs>
        <w:spacing w:line="360" w:lineRule="auto"/>
        <w:ind w:left="567" w:right="426"/>
        <w:jc w:val="both"/>
        <w:rPr>
          <w:rFonts w:ascii="Palatino Linotype" w:eastAsia="Palatino Linotype" w:hAnsi="Palatino Linotype" w:cs="Palatino Linotype"/>
          <w:i/>
          <w:sz w:val="22"/>
          <w:szCs w:val="22"/>
        </w:rPr>
      </w:pPr>
    </w:p>
    <w:p w14:paraId="4358F0BC" w14:textId="77777777" w:rsidR="00E31311" w:rsidRDefault="00E31311">
      <w:pPr>
        <w:tabs>
          <w:tab w:val="left" w:pos="567"/>
        </w:tabs>
        <w:spacing w:line="360" w:lineRule="auto"/>
        <w:ind w:left="567" w:right="426"/>
        <w:jc w:val="both"/>
        <w:rPr>
          <w:rFonts w:ascii="Palatino Linotype" w:eastAsia="Palatino Linotype" w:hAnsi="Palatino Linotype" w:cs="Palatino Linotype"/>
          <w:i/>
          <w:sz w:val="22"/>
          <w:szCs w:val="22"/>
        </w:rPr>
      </w:pPr>
    </w:p>
    <w:p w14:paraId="46182C78" w14:textId="77777777" w:rsidR="00E31311" w:rsidRDefault="00E31311">
      <w:pPr>
        <w:tabs>
          <w:tab w:val="left" w:pos="567"/>
        </w:tabs>
        <w:spacing w:line="360" w:lineRule="auto"/>
        <w:ind w:left="567" w:right="426"/>
        <w:jc w:val="both"/>
        <w:rPr>
          <w:rFonts w:ascii="Palatino Linotype" w:eastAsia="Palatino Linotype" w:hAnsi="Palatino Linotype" w:cs="Palatino Linotype"/>
          <w:i/>
          <w:sz w:val="22"/>
          <w:szCs w:val="22"/>
        </w:rPr>
      </w:pPr>
    </w:p>
    <w:p w14:paraId="286EDF12" w14:textId="77777777" w:rsidR="00E31311" w:rsidRDefault="00DF6EAE">
      <w:pPr>
        <w:tabs>
          <w:tab w:val="left" w:pos="567"/>
        </w:tabs>
        <w:spacing w:line="360" w:lineRule="auto"/>
        <w:ind w:left="567" w:right="426"/>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Vehículos de carga en las intersecciones</w:t>
      </w:r>
    </w:p>
    <w:p w14:paraId="40708976" w14:textId="77777777" w:rsidR="00E31311" w:rsidRDefault="00DF6EAE">
      <w:pPr>
        <w:tabs>
          <w:tab w:val="left" w:pos="567"/>
        </w:tabs>
        <w:spacing w:line="360" w:lineRule="auto"/>
        <w:ind w:left="567" w:right="426"/>
        <w:jc w:val="center"/>
        <w:rPr>
          <w:rFonts w:ascii="Palatino Linotype" w:eastAsia="Palatino Linotype" w:hAnsi="Palatino Linotype" w:cs="Palatino Linotype"/>
          <w:i/>
          <w:sz w:val="22"/>
          <w:szCs w:val="22"/>
        </w:rPr>
      </w:pPr>
      <w:r>
        <w:rPr>
          <w:rFonts w:ascii="Palatino Linotype" w:eastAsia="Palatino Linotype" w:hAnsi="Palatino Linotype" w:cs="Palatino Linotype"/>
          <w:i/>
          <w:noProof/>
          <w:sz w:val="22"/>
          <w:szCs w:val="22"/>
          <w:lang w:val="es-MX" w:eastAsia="es-MX"/>
        </w:rPr>
        <w:drawing>
          <wp:inline distT="0" distB="0" distL="0" distR="0" wp14:anchorId="018B1860" wp14:editId="5032D65E">
            <wp:extent cx="4896533" cy="2372056"/>
            <wp:effectExtent l="0" t="0" r="0" b="0"/>
            <wp:docPr id="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4896533" cy="2372056"/>
                    </a:xfrm>
                    <a:prstGeom prst="rect">
                      <a:avLst/>
                    </a:prstGeom>
                    <a:ln/>
                  </pic:spPr>
                </pic:pic>
              </a:graphicData>
            </a:graphic>
          </wp:inline>
        </w:drawing>
      </w:r>
    </w:p>
    <w:p w14:paraId="38563821" w14:textId="77777777" w:rsidR="00E31311" w:rsidRDefault="00DF6EAE">
      <w:pPr>
        <w:tabs>
          <w:tab w:val="left" w:pos="567"/>
        </w:tabs>
        <w:spacing w:line="360" w:lineRule="auto"/>
        <w:ind w:left="567" w:right="426"/>
        <w:jc w:val="center"/>
        <w:rPr>
          <w:rFonts w:ascii="Palatino Linotype" w:eastAsia="Palatino Linotype" w:hAnsi="Palatino Linotype" w:cs="Palatino Linotype"/>
          <w:i/>
          <w:sz w:val="22"/>
          <w:szCs w:val="22"/>
        </w:rPr>
      </w:pPr>
      <w:r>
        <w:rPr>
          <w:rFonts w:ascii="Palatino Linotype" w:eastAsia="Palatino Linotype" w:hAnsi="Palatino Linotype" w:cs="Palatino Linotype"/>
          <w:i/>
          <w:noProof/>
          <w:sz w:val="22"/>
          <w:szCs w:val="22"/>
          <w:lang w:val="es-MX" w:eastAsia="es-MX"/>
        </w:rPr>
        <w:lastRenderedPageBreak/>
        <w:drawing>
          <wp:inline distT="0" distB="0" distL="0" distR="0" wp14:anchorId="4956B688" wp14:editId="1EA5514E">
            <wp:extent cx="4848902" cy="724001"/>
            <wp:effectExtent l="0" t="0" r="0" b="0"/>
            <wp:docPr id="2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4848902" cy="724001"/>
                    </a:xfrm>
                    <a:prstGeom prst="rect">
                      <a:avLst/>
                    </a:prstGeom>
                    <a:ln/>
                  </pic:spPr>
                </pic:pic>
              </a:graphicData>
            </a:graphic>
          </wp:inline>
        </w:drawing>
      </w:r>
    </w:p>
    <w:p w14:paraId="5EB40FAC" w14:textId="77777777" w:rsidR="00E31311" w:rsidRDefault="00E31311">
      <w:pPr>
        <w:tabs>
          <w:tab w:val="left" w:pos="567"/>
        </w:tabs>
        <w:spacing w:line="360" w:lineRule="auto"/>
        <w:ind w:left="567" w:right="426"/>
        <w:jc w:val="both"/>
        <w:rPr>
          <w:rFonts w:ascii="Palatino Linotype" w:eastAsia="Palatino Linotype" w:hAnsi="Palatino Linotype" w:cs="Palatino Linotype"/>
          <w:i/>
          <w:sz w:val="22"/>
          <w:szCs w:val="22"/>
        </w:rPr>
      </w:pPr>
    </w:p>
    <w:p w14:paraId="3CCA107A" w14:textId="77777777" w:rsidR="00E31311" w:rsidRDefault="00DF6EAE">
      <w:pPr>
        <w:tabs>
          <w:tab w:val="left" w:pos="567"/>
        </w:tabs>
        <w:spacing w:line="360" w:lineRule="auto"/>
        <w:ind w:left="567" w:right="42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Con base en los estudios de la zona centro de Metepec, así como en otros puntos del resto del municipio, se pudieron identificar las vialidades por donde mayormente transita el transporte de carga, las cuales se presentan en el siguiente mapa: </w:t>
      </w:r>
    </w:p>
    <w:p w14:paraId="2EE6EDBD" w14:textId="77777777" w:rsidR="00E31311" w:rsidRDefault="00E31311">
      <w:pPr>
        <w:tabs>
          <w:tab w:val="left" w:pos="567"/>
        </w:tabs>
        <w:spacing w:line="360" w:lineRule="auto"/>
        <w:ind w:left="567" w:right="426"/>
        <w:jc w:val="both"/>
        <w:rPr>
          <w:rFonts w:ascii="Palatino Linotype" w:eastAsia="Palatino Linotype" w:hAnsi="Palatino Linotype" w:cs="Palatino Linotype"/>
          <w:i/>
          <w:sz w:val="22"/>
          <w:szCs w:val="22"/>
        </w:rPr>
      </w:pPr>
    </w:p>
    <w:p w14:paraId="6C3B4832" w14:textId="77777777" w:rsidR="00E31311" w:rsidRDefault="00E31311">
      <w:pPr>
        <w:tabs>
          <w:tab w:val="left" w:pos="567"/>
        </w:tabs>
        <w:spacing w:line="360" w:lineRule="auto"/>
        <w:ind w:left="567" w:right="426"/>
        <w:jc w:val="both"/>
        <w:rPr>
          <w:rFonts w:ascii="Palatino Linotype" w:eastAsia="Palatino Linotype" w:hAnsi="Palatino Linotype" w:cs="Palatino Linotype"/>
          <w:i/>
          <w:sz w:val="22"/>
          <w:szCs w:val="22"/>
        </w:rPr>
      </w:pPr>
    </w:p>
    <w:p w14:paraId="394D8C84" w14:textId="77777777" w:rsidR="00E31311" w:rsidRDefault="00E31311">
      <w:pPr>
        <w:tabs>
          <w:tab w:val="left" w:pos="567"/>
        </w:tabs>
        <w:spacing w:line="360" w:lineRule="auto"/>
        <w:ind w:left="567" w:right="426"/>
        <w:jc w:val="both"/>
        <w:rPr>
          <w:rFonts w:ascii="Palatino Linotype" w:eastAsia="Palatino Linotype" w:hAnsi="Palatino Linotype" w:cs="Palatino Linotype"/>
          <w:i/>
          <w:sz w:val="22"/>
          <w:szCs w:val="22"/>
        </w:rPr>
      </w:pPr>
    </w:p>
    <w:p w14:paraId="6F148296" w14:textId="77777777" w:rsidR="00E31311" w:rsidRDefault="00E31311">
      <w:pPr>
        <w:tabs>
          <w:tab w:val="left" w:pos="567"/>
        </w:tabs>
        <w:spacing w:line="360" w:lineRule="auto"/>
        <w:ind w:left="567" w:right="426"/>
        <w:jc w:val="both"/>
        <w:rPr>
          <w:rFonts w:ascii="Palatino Linotype" w:eastAsia="Palatino Linotype" w:hAnsi="Palatino Linotype" w:cs="Palatino Linotype"/>
          <w:i/>
          <w:sz w:val="22"/>
          <w:szCs w:val="22"/>
        </w:rPr>
      </w:pPr>
    </w:p>
    <w:p w14:paraId="00E29E25" w14:textId="77777777" w:rsidR="00E31311" w:rsidRDefault="00E31311">
      <w:pPr>
        <w:tabs>
          <w:tab w:val="left" w:pos="567"/>
        </w:tabs>
        <w:spacing w:line="360" w:lineRule="auto"/>
        <w:ind w:left="567" w:right="426"/>
        <w:jc w:val="both"/>
        <w:rPr>
          <w:rFonts w:ascii="Palatino Linotype" w:eastAsia="Palatino Linotype" w:hAnsi="Palatino Linotype" w:cs="Palatino Linotype"/>
          <w:i/>
          <w:sz w:val="22"/>
          <w:szCs w:val="22"/>
        </w:rPr>
      </w:pPr>
    </w:p>
    <w:p w14:paraId="10D9A96B" w14:textId="77777777" w:rsidR="00E31311" w:rsidRDefault="00E31311">
      <w:pPr>
        <w:tabs>
          <w:tab w:val="left" w:pos="567"/>
        </w:tabs>
        <w:spacing w:line="360" w:lineRule="auto"/>
        <w:ind w:left="567" w:right="426"/>
        <w:jc w:val="both"/>
        <w:rPr>
          <w:rFonts w:ascii="Palatino Linotype" w:eastAsia="Palatino Linotype" w:hAnsi="Palatino Linotype" w:cs="Palatino Linotype"/>
          <w:i/>
          <w:sz w:val="22"/>
          <w:szCs w:val="22"/>
        </w:rPr>
      </w:pPr>
    </w:p>
    <w:p w14:paraId="0945154A" w14:textId="77777777" w:rsidR="00E31311" w:rsidRDefault="00E31311">
      <w:pPr>
        <w:tabs>
          <w:tab w:val="left" w:pos="567"/>
        </w:tabs>
        <w:spacing w:line="360" w:lineRule="auto"/>
        <w:ind w:left="567" w:right="426"/>
        <w:jc w:val="both"/>
        <w:rPr>
          <w:rFonts w:ascii="Palatino Linotype" w:eastAsia="Palatino Linotype" w:hAnsi="Palatino Linotype" w:cs="Palatino Linotype"/>
          <w:i/>
          <w:sz w:val="22"/>
          <w:szCs w:val="22"/>
        </w:rPr>
      </w:pPr>
    </w:p>
    <w:p w14:paraId="3A4E6554" w14:textId="77777777" w:rsidR="00E31311" w:rsidRDefault="00E31311">
      <w:pPr>
        <w:tabs>
          <w:tab w:val="left" w:pos="567"/>
        </w:tabs>
        <w:spacing w:line="360" w:lineRule="auto"/>
        <w:ind w:left="567" w:right="426"/>
        <w:jc w:val="both"/>
        <w:rPr>
          <w:rFonts w:ascii="Palatino Linotype" w:eastAsia="Palatino Linotype" w:hAnsi="Palatino Linotype" w:cs="Palatino Linotype"/>
          <w:i/>
          <w:sz w:val="22"/>
          <w:szCs w:val="22"/>
        </w:rPr>
      </w:pPr>
    </w:p>
    <w:p w14:paraId="6C921481" w14:textId="77777777" w:rsidR="00E31311" w:rsidRDefault="00E31311">
      <w:pPr>
        <w:tabs>
          <w:tab w:val="left" w:pos="567"/>
        </w:tabs>
        <w:spacing w:line="360" w:lineRule="auto"/>
        <w:ind w:left="567" w:right="426"/>
        <w:jc w:val="both"/>
        <w:rPr>
          <w:rFonts w:ascii="Palatino Linotype" w:eastAsia="Palatino Linotype" w:hAnsi="Palatino Linotype" w:cs="Palatino Linotype"/>
          <w:i/>
          <w:sz w:val="22"/>
          <w:szCs w:val="22"/>
        </w:rPr>
      </w:pPr>
    </w:p>
    <w:p w14:paraId="3B2977DF" w14:textId="77777777" w:rsidR="00E31311" w:rsidRDefault="00DF6EAE">
      <w:pPr>
        <w:tabs>
          <w:tab w:val="left" w:pos="567"/>
        </w:tabs>
        <w:spacing w:line="360" w:lineRule="auto"/>
        <w:ind w:left="567" w:right="426"/>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Mapa D - 10. Vialidades con mayor tránsito de transporte de carga</w:t>
      </w:r>
    </w:p>
    <w:p w14:paraId="40E88C24" w14:textId="77777777" w:rsidR="00E31311" w:rsidRDefault="00DF6EAE">
      <w:pPr>
        <w:tabs>
          <w:tab w:val="left" w:pos="567"/>
        </w:tabs>
        <w:spacing w:line="360" w:lineRule="auto"/>
        <w:ind w:left="567" w:right="426"/>
        <w:jc w:val="center"/>
        <w:rPr>
          <w:rFonts w:ascii="Palatino Linotype" w:eastAsia="Palatino Linotype" w:hAnsi="Palatino Linotype" w:cs="Palatino Linotype"/>
          <w:i/>
          <w:sz w:val="22"/>
          <w:szCs w:val="22"/>
        </w:rPr>
      </w:pPr>
      <w:r>
        <w:rPr>
          <w:rFonts w:ascii="Palatino Linotype" w:eastAsia="Palatino Linotype" w:hAnsi="Palatino Linotype" w:cs="Palatino Linotype"/>
          <w:i/>
          <w:noProof/>
          <w:sz w:val="22"/>
          <w:szCs w:val="22"/>
          <w:lang w:val="es-MX" w:eastAsia="es-MX"/>
        </w:rPr>
        <w:lastRenderedPageBreak/>
        <w:drawing>
          <wp:inline distT="0" distB="0" distL="0" distR="0" wp14:anchorId="472CE544" wp14:editId="206449EE">
            <wp:extent cx="4791744" cy="3286584"/>
            <wp:effectExtent l="0" t="0" r="0" b="0"/>
            <wp:docPr id="2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a:off x="0" y="0"/>
                      <a:ext cx="4791744" cy="3286584"/>
                    </a:xfrm>
                    <a:prstGeom prst="rect">
                      <a:avLst/>
                    </a:prstGeom>
                    <a:ln/>
                  </pic:spPr>
                </pic:pic>
              </a:graphicData>
            </a:graphic>
          </wp:inline>
        </w:drawing>
      </w:r>
    </w:p>
    <w:p w14:paraId="34550AA9" w14:textId="77777777" w:rsidR="00E31311" w:rsidRDefault="00DF6EAE">
      <w:pPr>
        <w:tabs>
          <w:tab w:val="left" w:pos="567"/>
        </w:tabs>
        <w:spacing w:line="360" w:lineRule="auto"/>
        <w:ind w:left="567" w:right="42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Respecto a las operaciones de carga y descarga el Bando Municipal de Metepec 2018, establece en el artículo 151 que dichas actividades se sujetarán al siguiente horario: de las 05:00 a las 08:00 horas y de las 20:00 a las 22:00 horas, de martes a sábado, no se permitirá la carga y descarga de vehículos de alto tonelaje dentro de la Ciudad Típica de Metepec. </w:t>
      </w:r>
    </w:p>
    <w:p w14:paraId="3D86B71B" w14:textId="77777777" w:rsidR="00E31311" w:rsidRDefault="00E31311">
      <w:pPr>
        <w:tabs>
          <w:tab w:val="left" w:pos="567"/>
        </w:tabs>
        <w:spacing w:line="360" w:lineRule="auto"/>
        <w:ind w:left="567" w:right="426"/>
        <w:jc w:val="both"/>
        <w:rPr>
          <w:rFonts w:ascii="Palatino Linotype" w:eastAsia="Palatino Linotype" w:hAnsi="Palatino Linotype" w:cs="Palatino Linotype"/>
          <w:i/>
          <w:sz w:val="22"/>
          <w:szCs w:val="22"/>
        </w:rPr>
      </w:pPr>
    </w:p>
    <w:p w14:paraId="742B6C1C" w14:textId="77777777" w:rsidR="00E31311" w:rsidRDefault="00DF6EAE">
      <w:pPr>
        <w:tabs>
          <w:tab w:val="left" w:pos="567"/>
        </w:tabs>
        <w:spacing w:line="360" w:lineRule="auto"/>
        <w:ind w:left="567" w:right="42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No obstante, se observó que no se cumple lo dispuesto en el Bando Municipal, ya que algunos comercios realizan maniobras de carga y descarga dentro de la Zona Típica y en horarios no permitidos.</w:t>
      </w:r>
    </w:p>
    <w:p w14:paraId="40DF5E31" w14:textId="77777777" w:rsidR="00E31311" w:rsidRDefault="00E31311">
      <w:pPr>
        <w:tabs>
          <w:tab w:val="left" w:pos="567"/>
        </w:tabs>
        <w:spacing w:line="360" w:lineRule="auto"/>
        <w:ind w:left="567" w:right="426"/>
        <w:jc w:val="both"/>
        <w:rPr>
          <w:rFonts w:ascii="Palatino Linotype" w:eastAsia="Palatino Linotype" w:hAnsi="Palatino Linotype" w:cs="Palatino Linotype"/>
          <w:i/>
          <w:sz w:val="22"/>
          <w:szCs w:val="22"/>
        </w:rPr>
      </w:pPr>
    </w:p>
    <w:p w14:paraId="542D468E" w14:textId="77777777" w:rsidR="00E31311" w:rsidRDefault="00DF6EAE">
      <w:pPr>
        <w:tabs>
          <w:tab w:val="left" w:pos="567"/>
        </w:tabs>
        <w:spacing w:line="360" w:lineRule="auto"/>
        <w:ind w:left="567" w:right="426"/>
        <w:jc w:val="center"/>
        <w:rPr>
          <w:rFonts w:ascii="Palatino Linotype" w:eastAsia="Palatino Linotype" w:hAnsi="Palatino Linotype" w:cs="Palatino Linotype"/>
          <w:i/>
          <w:sz w:val="22"/>
          <w:szCs w:val="22"/>
        </w:rPr>
      </w:pPr>
      <w:r>
        <w:rPr>
          <w:rFonts w:ascii="Palatino Linotype" w:eastAsia="Palatino Linotype" w:hAnsi="Palatino Linotype" w:cs="Palatino Linotype"/>
          <w:i/>
          <w:noProof/>
          <w:sz w:val="22"/>
          <w:szCs w:val="22"/>
          <w:lang w:val="es-MX" w:eastAsia="es-MX"/>
        </w:rPr>
        <w:lastRenderedPageBreak/>
        <w:drawing>
          <wp:inline distT="0" distB="0" distL="0" distR="0" wp14:anchorId="4274FC56" wp14:editId="1D015705">
            <wp:extent cx="4896533" cy="4439270"/>
            <wp:effectExtent l="0" t="0" r="0" b="0"/>
            <wp:docPr id="2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4896533" cy="4439270"/>
                    </a:xfrm>
                    <a:prstGeom prst="rect">
                      <a:avLst/>
                    </a:prstGeom>
                    <a:ln/>
                  </pic:spPr>
                </pic:pic>
              </a:graphicData>
            </a:graphic>
          </wp:inline>
        </w:drawing>
      </w:r>
    </w:p>
    <w:p w14:paraId="67F89DBC" w14:textId="77777777" w:rsidR="00E31311" w:rsidRDefault="00DF6EAE">
      <w:pPr>
        <w:tabs>
          <w:tab w:val="left" w:pos="567"/>
        </w:tabs>
        <w:spacing w:line="360" w:lineRule="auto"/>
        <w:ind w:left="567" w:right="42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Finalmente, en cuanto al funcionamiento del tianguis se menciona en el artículo 152 que el horario general de funcionamiento del comercio en los tianguis, será el siguiente:</w:t>
      </w:r>
    </w:p>
    <w:p w14:paraId="47C82191" w14:textId="77777777" w:rsidR="00E31311" w:rsidRDefault="00E31311">
      <w:pPr>
        <w:tabs>
          <w:tab w:val="left" w:pos="567"/>
        </w:tabs>
        <w:spacing w:line="360" w:lineRule="auto"/>
        <w:ind w:left="567" w:right="426"/>
        <w:jc w:val="both"/>
        <w:rPr>
          <w:rFonts w:ascii="Palatino Linotype" w:eastAsia="Palatino Linotype" w:hAnsi="Palatino Linotype" w:cs="Palatino Linotype"/>
          <w:i/>
          <w:sz w:val="22"/>
          <w:szCs w:val="22"/>
        </w:rPr>
      </w:pPr>
    </w:p>
    <w:p w14:paraId="63BCA392" w14:textId="77777777" w:rsidR="00E31311" w:rsidRDefault="00DF6EAE">
      <w:pPr>
        <w:tabs>
          <w:tab w:val="left" w:pos="567"/>
        </w:tabs>
        <w:spacing w:line="360" w:lineRule="auto"/>
        <w:ind w:left="567" w:right="42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r>
        <w:rPr>
          <w:rFonts w:ascii="Symbol" w:eastAsia="Symbol" w:hAnsi="Symbol" w:cs="Symbol"/>
          <w:i/>
          <w:sz w:val="22"/>
          <w:szCs w:val="22"/>
        </w:rPr>
        <w:t>∙</w:t>
      </w:r>
      <w:r>
        <w:rPr>
          <w:rFonts w:ascii="Palatino Linotype" w:eastAsia="Palatino Linotype" w:hAnsi="Palatino Linotype" w:cs="Palatino Linotype"/>
          <w:i/>
          <w:sz w:val="22"/>
          <w:szCs w:val="22"/>
        </w:rPr>
        <w:t xml:space="preserve"> De 05:00 a 07:30 horas, para descarga e instalación; </w:t>
      </w:r>
    </w:p>
    <w:p w14:paraId="56DC0775" w14:textId="77777777" w:rsidR="00E31311" w:rsidRDefault="00DF6EAE">
      <w:pPr>
        <w:tabs>
          <w:tab w:val="left" w:pos="567"/>
        </w:tabs>
        <w:spacing w:line="360" w:lineRule="auto"/>
        <w:ind w:left="567" w:right="426"/>
        <w:jc w:val="both"/>
        <w:rPr>
          <w:rFonts w:ascii="Palatino Linotype" w:eastAsia="Palatino Linotype" w:hAnsi="Palatino Linotype" w:cs="Palatino Linotype"/>
          <w:i/>
          <w:sz w:val="22"/>
          <w:szCs w:val="22"/>
        </w:rPr>
      </w:pPr>
      <w:r>
        <w:rPr>
          <w:rFonts w:ascii="Symbol" w:eastAsia="Symbol" w:hAnsi="Symbol" w:cs="Symbol"/>
          <w:i/>
          <w:sz w:val="22"/>
          <w:szCs w:val="22"/>
        </w:rPr>
        <w:t>∙</w:t>
      </w:r>
      <w:r>
        <w:rPr>
          <w:rFonts w:ascii="Palatino Linotype" w:eastAsia="Palatino Linotype" w:hAnsi="Palatino Linotype" w:cs="Palatino Linotype"/>
          <w:i/>
          <w:sz w:val="22"/>
          <w:szCs w:val="22"/>
        </w:rPr>
        <w:t xml:space="preserve"> A partir de su instalación y hasta las 18:00 horas, para el ejercicio de la actividad comercial; y</w:t>
      </w:r>
    </w:p>
    <w:p w14:paraId="5216F12A" w14:textId="77777777" w:rsidR="00E31311" w:rsidRDefault="00DF6EAE">
      <w:pPr>
        <w:tabs>
          <w:tab w:val="left" w:pos="567"/>
        </w:tabs>
        <w:spacing w:line="360" w:lineRule="auto"/>
        <w:ind w:left="567" w:right="42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r>
        <w:rPr>
          <w:rFonts w:ascii="Symbol" w:eastAsia="Symbol" w:hAnsi="Symbol" w:cs="Symbol"/>
          <w:i/>
          <w:sz w:val="22"/>
          <w:szCs w:val="22"/>
        </w:rPr>
        <w:t>∙</w:t>
      </w:r>
      <w:r>
        <w:rPr>
          <w:rFonts w:ascii="Palatino Linotype" w:eastAsia="Palatino Linotype" w:hAnsi="Palatino Linotype" w:cs="Palatino Linotype"/>
          <w:i/>
          <w:sz w:val="22"/>
          <w:szCs w:val="22"/>
        </w:rPr>
        <w:t xml:space="preserve"> De 18:00 a 20:00 horas para el retiro de los puestos y limpieza de la zona utilizada por el comerciante, teniendo la obligación de colocar en bolsas los desechos sólidos que genere, de manera que no se dispersen-</w:t>
      </w:r>
    </w:p>
    <w:p w14:paraId="552EB40B" w14:textId="77777777" w:rsidR="00E31311" w:rsidRDefault="00E31311">
      <w:pPr>
        <w:tabs>
          <w:tab w:val="left" w:pos="567"/>
        </w:tabs>
        <w:spacing w:line="360" w:lineRule="auto"/>
        <w:ind w:left="567" w:right="426"/>
        <w:jc w:val="both"/>
        <w:rPr>
          <w:rFonts w:ascii="Palatino Linotype" w:eastAsia="Palatino Linotype" w:hAnsi="Palatino Linotype" w:cs="Palatino Linotype"/>
          <w:i/>
          <w:sz w:val="22"/>
          <w:szCs w:val="22"/>
        </w:rPr>
      </w:pPr>
    </w:p>
    <w:p w14:paraId="7BBDF763" w14:textId="77777777" w:rsidR="00E31311" w:rsidRDefault="00DF6EAE">
      <w:pPr>
        <w:tabs>
          <w:tab w:val="left" w:pos="567"/>
        </w:tabs>
        <w:spacing w:line="360" w:lineRule="auto"/>
        <w:ind w:left="567" w:right="42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Conclusiones: </w:t>
      </w:r>
    </w:p>
    <w:p w14:paraId="41C898A9" w14:textId="77777777" w:rsidR="00E31311" w:rsidRDefault="00E31311">
      <w:pPr>
        <w:tabs>
          <w:tab w:val="left" w:pos="567"/>
        </w:tabs>
        <w:spacing w:line="360" w:lineRule="auto"/>
        <w:ind w:left="567" w:right="426"/>
        <w:jc w:val="both"/>
        <w:rPr>
          <w:rFonts w:ascii="Palatino Linotype" w:eastAsia="Palatino Linotype" w:hAnsi="Palatino Linotype" w:cs="Palatino Linotype"/>
          <w:i/>
          <w:sz w:val="22"/>
          <w:szCs w:val="22"/>
        </w:rPr>
      </w:pPr>
    </w:p>
    <w:p w14:paraId="4795636F" w14:textId="77777777" w:rsidR="00E31311" w:rsidRDefault="00DF6EAE">
      <w:pPr>
        <w:tabs>
          <w:tab w:val="left" w:pos="567"/>
        </w:tabs>
        <w:spacing w:line="360" w:lineRule="auto"/>
        <w:ind w:left="567" w:right="42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importancia del transporte de carga se asocia con las actividades económicas, ya que se requiere llevar bienes de un lado a otro, ligado a la logística que consiste en llevar dichos bienes en el destino deseado y en el momento exacto, de esta forma el volumen de transporte de carga sobre las vialidades que atraviesan el municipio de Metepec, se relaciona con la conexión regional de éstas con los otros municipios de la Zona Metropolitana, así como con el tipo de actividades económicas que existen en el centro de Metepec y el resto del municipio.</w:t>
      </w:r>
    </w:p>
    <w:p w14:paraId="49148393" w14:textId="77777777" w:rsidR="00E31311" w:rsidRDefault="00E31311">
      <w:pPr>
        <w:tabs>
          <w:tab w:val="left" w:pos="567"/>
        </w:tabs>
        <w:spacing w:line="360" w:lineRule="auto"/>
        <w:jc w:val="both"/>
      </w:pPr>
    </w:p>
    <w:p w14:paraId="3308679C" w14:textId="77777777" w:rsidR="00E31311" w:rsidRDefault="00DF6EAE">
      <w:pPr>
        <w:numPr>
          <w:ilvl w:val="0"/>
          <w:numId w:val="3"/>
        </w:numPr>
        <w:spacing w:line="360" w:lineRule="auto"/>
        <w:ind w:left="0" w:firstLine="0"/>
        <w:jc w:val="both"/>
      </w:pPr>
      <w:r>
        <w:rPr>
          <w:rFonts w:ascii="Palatino Linotype" w:eastAsia="Palatino Linotype" w:hAnsi="Palatino Linotype" w:cs="Palatino Linotype"/>
        </w:rPr>
        <w:t>El Bando Municipal de Metepec en sus artículos 15, 65, 89 y 185   señala lo siguiente:</w:t>
      </w:r>
    </w:p>
    <w:p w14:paraId="647B90E7" w14:textId="77777777" w:rsidR="00E31311" w:rsidRDefault="00DF6EAE">
      <w:pPr>
        <w:spacing w:line="360" w:lineRule="auto"/>
        <w:ind w:left="567" w:right="42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15</w:t>
      </w:r>
      <w:r>
        <w:rPr>
          <w:rFonts w:ascii="Palatino Linotype" w:eastAsia="Palatino Linotype" w:hAnsi="Palatino Linotype" w:cs="Palatino Linotype"/>
          <w:i/>
          <w:sz w:val="22"/>
          <w:szCs w:val="22"/>
        </w:rPr>
        <w:t xml:space="preserve">.- El Municipio de Metepec, para su organización territorial, está integrado por: </w:t>
      </w:r>
    </w:p>
    <w:p w14:paraId="7372E7D3" w14:textId="77777777" w:rsidR="00E31311" w:rsidRDefault="00DF6EAE">
      <w:pPr>
        <w:spacing w:line="360" w:lineRule="auto"/>
        <w:ind w:left="567" w:right="42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 Cabecera Municipal, denominada: </w:t>
      </w:r>
      <w:r>
        <w:rPr>
          <w:rFonts w:ascii="Palatino Linotype" w:eastAsia="Palatino Linotype" w:hAnsi="Palatino Linotype" w:cs="Palatino Linotype"/>
          <w:b/>
          <w:i/>
          <w:sz w:val="22"/>
          <w:szCs w:val="22"/>
        </w:rPr>
        <w:t>“Ciudad Típica de Metepec”,</w:t>
      </w:r>
      <w:r>
        <w:rPr>
          <w:rFonts w:ascii="Palatino Linotype" w:eastAsia="Palatino Linotype" w:hAnsi="Palatino Linotype" w:cs="Palatino Linotype"/>
          <w:i/>
          <w:sz w:val="22"/>
          <w:szCs w:val="22"/>
        </w:rPr>
        <w:t xml:space="preserve"> con seis Barrios; </w:t>
      </w:r>
    </w:p>
    <w:p w14:paraId="1A3477CD" w14:textId="77777777" w:rsidR="00E31311" w:rsidRDefault="00DF6EAE">
      <w:pPr>
        <w:spacing w:line="360" w:lineRule="auto"/>
        <w:ind w:left="567" w:right="42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9E4A78C" w14:textId="77777777" w:rsidR="00E31311" w:rsidRDefault="00E31311">
      <w:pPr>
        <w:spacing w:line="360" w:lineRule="auto"/>
        <w:jc w:val="both"/>
        <w:rPr>
          <w:sz w:val="22"/>
          <w:szCs w:val="22"/>
        </w:rPr>
      </w:pPr>
    </w:p>
    <w:p w14:paraId="03FC88EB" w14:textId="77777777" w:rsidR="00E31311" w:rsidRDefault="00DF6EAE">
      <w:pPr>
        <w:tabs>
          <w:tab w:val="left" w:pos="567"/>
        </w:tabs>
        <w:spacing w:line="360"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65.-</w:t>
      </w:r>
      <w:r>
        <w:rPr>
          <w:rFonts w:ascii="Palatino Linotype" w:eastAsia="Palatino Linotype" w:hAnsi="Palatino Linotype" w:cs="Palatino Linotype"/>
          <w:i/>
          <w:sz w:val="22"/>
          <w:szCs w:val="22"/>
        </w:rPr>
        <w:t xml:space="preserve"> Son atribuciones de la Dirección de Seguridad Pública, las siguientes:</w:t>
      </w:r>
    </w:p>
    <w:p w14:paraId="0A1D57CC" w14:textId="77777777" w:rsidR="00E31311" w:rsidRDefault="00DF6EAE">
      <w:pPr>
        <w:tabs>
          <w:tab w:val="left" w:pos="567"/>
        </w:tabs>
        <w:spacing w:line="360"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22BDD7F8" w14:textId="77777777" w:rsidR="00E31311" w:rsidRDefault="00DF6EAE">
      <w:pPr>
        <w:tabs>
          <w:tab w:val="left" w:pos="567"/>
        </w:tabs>
        <w:spacing w:line="360"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VI. Emitir las disposiciones relativas a la regulación de seguridad pública, así como de tránsito en el territorio municipal;</w:t>
      </w:r>
      <w:r>
        <w:rPr>
          <w:rFonts w:ascii="Palatino Linotype" w:eastAsia="Palatino Linotype" w:hAnsi="Palatino Linotype" w:cs="Palatino Linotype"/>
          <w:b/>
          <w:i/>
          <w:sz w:val="22"/>
          <w:szCs w:val="22"/>
        </w:rPr>
        <w:tab/>
      </w:r>
    </w:p>
    <w:p w14:paraId="68131B09" w14:textId="77777777" w:rsidR="00E31311" w:rsidRDefault="00DF6EAE">
      <w:pPr>
        <w:tabs>
          <w:tab w:val="left" w:pos="567"/>
        </w:tabs>
        <w:spacing w:line="360"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14:paraId="40010F39" w14:textId="77777777" w:rsidR="00E31311" w:rsidRDefault="00E31311">
      <w:pPr>
        <w:tabs>
          <w:tab w:val="left" w:pos="567"/>
        </w:tabs>
        <w:spacing w:line="360" w:lineRule="auto"/>
        <w:ind w:left="567" w:right="567"/>
        <w:jc w:val="both"/>
        <w:rPr>
          <w:rFonts w:ascii="Palatino Linotype" w:eastAsia="Palatino Linotype" w:hAnsi="Palatino Linotype" w:cs="Palatino Linotype"/>
          <w:b/>
          <w:i/>
          <w:sz w:val="22"/>
          <w:szCs w:val="22"/>
        </w:rPr>
      </w:pPr>
    </w:p>
    <w:p w14:paraId="03B1C737" w14:textId="77777777" w:rsidR="00E31311" w:rsidRDefault="00DF6EAE">
      <w:pPr>
        <w:tabs>
          <w:tab w:val="left" w:pos="567"/>
        </w:tabs>
        <w:spacing w:line="360"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89.- </w:t>
      </w:r>
      <w:r>
        <w:rPr>
          <w:rFonts w:ascii="Palatino Linotype" w:eastAsia="Palatino Linotype" w:hAnsi="Palatino Linotype" w:cs="Palatino Linotype"/>
          <w:i/>
          <w:sz w:val="22"/>
          <w:szCs w:val="22"/>
        </w:rPr>
        <w:t xml:space="preserve">La Ciudad Típica se considera al casco viejo de la Cabecera del Municipio de Metepec, denominado Pueblo Mágico, con sus seis barrios: Santiaguito, Espíritu Santo, Santa Cruz, San Miguel, San Mateo y </w:t>
      </w:r>
      <w:proofErr w:type="spellStart"/>
      <w:r>
        <w:rPr>
          <w:rFonts w:ascii="Palatino Linotype" w:eastAsia="Palatino Linotype" w:hAnsi="Palatino Linotype" w:cs="Palatino Linotype"/>
          <w:i/>
          <w:sz w:val="22"/>
          <w:szCs w:val="22"/>
        </w:rPr>
        <w:t>Coaxustenco</w:t>
      </w:r>
      <w:proofErr w:type="spellEnd"/>
      <w:r>
        <w:rPr>
          <w:rFonts w:ascii="Palatino Linotype" w:eastAsia="Palatino Linotype" w:hAnsi="Palatino Linotype" w:cs="Palatino Linotype"/>
          <w:i/>
          <w:sz w:val="22"/>
          <w:szCs w:val="22"/>
        </w:rPr>
        <w:t>.</w:t>
      </w:r>
    </w:p>
    <w:p w14:paraId="563443B9" w14:textId="77777777" w:rsidR="00E31311" w:rsidRDefault="00DF6EAE">
      <w:pPr>
        <w:tabs>
          <w:tab w:val="left" w:pos="567"/>
        </w:tabs>
        <w:spacing w:line="360"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w:t>
      </w:r>
    </w:p>
    <w:p w14:paraId="2E16F9A2" w14:textId="77777777" w:rsidR="00E31311" w:rsidRDefault="00E31311">
      <w:pPr>
        <w:tabs>
          <w:tab w:val="left" w:pos="567"/>
        </w:tabs>
        <w:spacing w:line="360" w:lineRule="auto"/>
        <w:ind w:right="567"/>
        <w:jc w:val="both"/>
        <w:rPr>
          <w:rFonts w:ascii="Palatino Linotype" w:eastAsia="Palatino Linotype" w:hAnsi="Palatino Linotype" w:cs="Palatino Linotype"/>
          <w:b/>
          <w:i/>
          <w:sz w:val="22"/>
          <w:szCs w:val="22"/>
        </w:rPr>
      </w:pPr>
    </w:p>
    <w:p w14:paraId="42738522" w14:textId="77777777" w:rsidR="00E31311" w:rsidRDefault="00DF6EAE">
      <w:pPr>
        <w:spacing w:after="160" w:line="259"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185.-</w:t>
      </w:r>
      <w:r>
        <w:rPr>
          <w:rFonts w:ascii="Palatino Linotype" w:eastAsia="Palatino Linotype" w:hAnsi="Palatino Linotype" w:cs="Palatino Linotype"/>
          <w:i/>
          <w:sz w:val="22"/>
          <w:szCs w:val="22"/>
        </w:rPr>
        <w:t xml:space="preserve"> Son infracciones en materia de tránsito y vialidad, además de las contempladas en el Código Administrativo del Estado de México y el Reglamento de Tránsito del Estado de México y Código de Reglamentación Municipal, las siguientes:</w:t>
      </w:r>
    </w:p>
    <w:p w14:paraId="64C7358D" w14:textId="77777777" w:rsidR="00E31311" w:rsidRDefault="00E31311">
      <w:pPr>
        <w:spacing w:after="160" w:line="259" w:lineRule="auto"/>
        <w:ind w:left="567" w:right="567"/>
        <w:jc w:val="both"/>
        <w:rPr>
          <w:rFonts w:ascii="Palatino Linotype" w:eastAsia="Palatino Linotype" w:hAnsi="Palatino Linotype" w:cs="Palatino Linotype"/>
          <w:i/>
          <w:sz w:val="22"/>
          <w:szCs w:val="22"/>
        </w:rPr>
      </w:pPr>
    </w:p>
    <w:p w14:paraId="495E5802" w14:textId="77777777" w:rsidR="00E31311" w:rsidRDefault="00DF6EAE">
      <w:pPr>
        <w:spacing w:after="160" w:line="259"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363333F" w14:textId="77777777" w:rsidR="00E31311" w:rsidRDefault="00DF6EAE">
      <w:pPr>
        <w:spacing w:after="160" w:line="259"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IV. Circular por la Ciudad Típica de Metepec con vehículos de carga con capacidad de tres y media toneladas en adelante, en horarios no permitidos;</w:t>
      </w:r>
    </w:p>
    <w:p w14:paraId="4FB1CEA7" w14:textId="77777777" w:rsidR="00E31311" w:rsidRDefault="00DF6EAE">
      <w:pPr>
        <w:spacing w:after="160" w:line="259"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14:paraId="7351C38B" w14:textId="77777777" w:rsidR="00E31311" w:rsidRDefault="00DF6EAE">
      <w:pPr>
        <w:spacing w:after="160" w:line="259"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XVII. Circular en vehículos que presten servicio de autotransporte de carga, articulados o doblemente articulados, que no respeten el horario establecido, o que no circulen por las vías autorizadas para ello, y/o que pongan en riesgo la movilidad y seguridad de los usuarios; y</w:t>
      </w:r>
    </w:p>
    <w:p w14:paraId="22C79466" w14:textId="77777777" w:rsidR="00E31311" w:rsidRDefault="00DF6EAE">
      <w:pPr>
        <w:tabs>
          <w:tab w:val="left" w:pos="567"/>
        </w:tabs>
        <w:spacing w:line="360"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D94CBEB" w14:textId="77777777" w:rsidR="00E31311" w:rsidRDefault="00E31311">
      <w:pPr>
        <w:tabs>
          <w:tab w:val="left" w:pos="567"/>
        </w:tabs>
        <w:spacing w:line="360" w:lineRule="auto"/>
        <w:jc w:val="both"/>
      </w:pPr>
    </w:p>
    <w:p w14:paraId="305FDF6C" w14:textId="77777777" w:rsidR="00E31311" w:rsidRDefault="00DF6EAE">
      <w:pPr>
        <w:numPr>
          <w:ilvl w:val="0"/>
          <w:numId w:val="3"/>
        </w:numPr>
        <w:spacing w:line="360" w:lineRule="auto"/>
        <w:ind w:left="0" w:firstLine="0"/>
        <w:jc w:val="both"/>
      </w:pPr>
      <w:r>
        <w:rPr>
          <w:rFonts w:ascii="Palatino Linotype" w:eastAsia="Palatino Linotype" w:hAnsi="Palatino Linotype" w:cs="Palatino Linotype"/>
        </w:rPr>
        <w:t>Ahora bien el Ayuntamiento de Metepec en su Bando Municipal señala en su artículo 185 fracción IV</w:t>
      </w:r>
      <w:r w:rsidRPr="0007156C">
        <w:rPr>
          <w:rFonts w:ascii="Palatino Linotype" w:eastAsia="Palatino Linotype" w:hAnsi="Palatino Linotype" w:cs="Palatino Linotype"/>
        </w:rPr>
        <w:t>, que es una infracción en materia de tránsito y vialidad, circular por la Ciudad Típica de Metepec, con vehículos de carga con capacidad de carga de tres y media toneladas en adelante,</w:t>
      </w:r>
      <w:r>
        <w:rPr>
          <w:rFonts w:ascii="Palatino Linotype" w:eastAsia="Palatino Linotype" w:hAnsi="Palatino Linotype" w:cs="Palatino Linotype"/>
        </w:rPr>
        <w:t xml:space="preserve"> por lo que con dicha regulación resulta una obligación del Sujeto Obligado establecer las vialidades y horarios por los cuales podrá transitar el transporte de carga de 3.5 toneladas por la Ciudad Típica de Metepec, entendiéndose esta como lo señala el artículo 89 </w:t>
      </w:r>
      <w:r>
        <w:rPr>
          <w:rFonts w:ascii="Palatino Linotype" w:eastAsia="Palatino Linotype" w:hAnsi="Palatino Linotype" w:cs="Palatino Linotype"/>
          <w:i/>
        </w:rPr>
        <w:t xml:space="preserve"> </w:t>
      </w:r>
      <w:r>
        <w:rPr>
          <w:rFonts w:ascii="Palatino Linotype" w:eastAsia="Palatino Linotype" w:hAnsi="Palatino Linotype" w:cs="Palatino Linotype"/>
        </w:rPr>
        <w:t xml:space="preserve">al casco viejo de la Cabecera del Municipio de Metepec, denominado Pueblo Mágico, con sus seis barrios: Santiaguito, Espíritu Santo, Santa Cruz, San Miguel, San Mateo y </w:t>
      </w:r>
      <w:proofErr w:type="spellStart"/>
      <w:r>
        <w:rPr>
          <w:rFonts w:ascii="Palatino Linotype" w:eastAsia="Palatino Linotype" w:hAnsi="Palatino Linotype" w:cs="Palatino Linotype"/>
        </w:rPr>
        <w:t>Coaxustenco</w:t>
      </w:r>
      <w:proofErr w:type="spellEnd"/>
      <w:r>
        <w:rPr>
          <w:rFonts w:ascii="Palatino Linotype" w:eastAsia="Palatino Linotype" w:hAnsi="Palatino Linotype" w:cs="Palatino Linotype"/>
        </w:rPr>
        <w:t>.</w:t>
      </w:r>
    </w:p>
    <w:p w14:paraId="690AFF09" w14:textId="77777777" w:rsidR="00E31311" w:rsidRDefault="00E31311">
      <w:pPr>
        <w:spacing w:line="360" w:lineRule="auto"/>
        <w:jc w:val="both"/>
      </w:pPr>
    </w:p>
    <w:p w14:paraId="65E6DD13" w14:textId="77777777" w:rsidR="00E31311" w:rsidRDefault="00DF6EAE">
      <w:pPr>
        <w:numPr>
          <w:ilvl w:val="0"/>
          <w:numId w:val="3"/>
        </w:numPr>
        <w:spacing w:line="360" w:lineRule="auto"/>
        <w:ind w:left="0" w:firstLine="0"/>
        <w:jc w:val="both"/>
        <w:rPr>
          <w:color w:val="000000"/>
        </w:rPr>
      </w:pPr>
      <w:r>
        <w:rPr>
          <w:rFonts w:ascii="Palatino Linotype" w:eastAsia="Palatino Linotype" w:hAnsi="Palatino Linotype" w:cs="Palatino Linotype"/>
        </w:rPr>
        <w:lastRenderedPageBreak/>
        <w:t xml:space="preserve">Es por lo anterior que este Órgano Garante determina que los agravios hechos valer por el RECURRENTE en su recurso de revisión son FUNDADOS, por lo que resulta procedente REVOCAR la respuesta del Sujeto Obligado y ORDENAR la entrega de ser el caso en versión pública  el documento donde consten </w:t>
      </w:r>
      <w:r>
        <w:rPr>
          <w:rFonts w:ascii="Palatino Linotype" w:eastAsia="Palatino Linotype" w:hAnsi="Palatino Linotype" w:cs="Palatino Linotype"/>
          <w:color w:val="000000"/>
        </w:rPr>
        <w:t>las calles, avenidas y  vialidad, y sus respectivos tramos, horarios en los que esté restringida la circulación a vehículos de carga de 3.5 toneladas o más carga, mapa vial de las  vialidades y sus respectivos tramos y fundamento legal.</w:t>
      </w:r>
    </w:p>
    <w:p w14:paraId="64BC15D1" w14:textId="77777777" w:rsidR="00E31311" w:rsidRDefault="00E31311">
      <w:pPr>
        <w:spacing w:line="360" w:lineRule="auto"/>
        <w:jc w:val="both"/>
        <w:rPr>
          <w:rFonts w:ascii="Palatino Linotype" w:eastAsia="Palatino Linotype" w:hAnsi="Palatino Linotype" w:cs="Palatino Linotype"/>
          <w:color w:val="000000"/>
        </w:rPr>
      </w:pPr>
    </w:p>
    <w:p w14:paraId="1E9DCCB1" w14:textId="77777777" w:rsidR="00E31311" w:rsidRDefault="00DF6EAE">
      <w:pPr>
        <w:numPr>
          <w:ilvl w:val="0"/>
          <w:numId w:val="3"/>
        </w:numPr>
        <w:spacing w:line="360" w:lineRule="auto"/>
        <w:ind w:left="0" w:firstLine="0"/>
        <w:jc w:val="both"/>
      </w:pPr>
      <w:r>
        <w:rPr>
          <w:rFonts w:ascii="Palatino Linotype" w:eastAsia="Palatino Linotype" w:hAnsi="Palatino Linotype" w:cs="Palatino Linotype"/>
        </w:rPr>
        <w:t>Asimismo, toda vez que la persona solicitante requirió la entrega de la información a través de copias simples, se estima que dicha modalidad quedará atendida mediante la entrega de la información a través del SAIMEX, la cual al momento de ser reproducida o impresa en papel, hace las veces de copias simple en el entendido que esta corresponde  únicamente a una reproducción de un documento original.</w:t>
      </w:r>
    </w:p>
    <w:p w14:paraId="26C26D02" w14:textId="77777777" w:rsidR="00E31311" w:rsidRDefault="00DF6EAE">
      <w:pPr>
        <w:pStyle w:val="Ttulo1"/>
        <w:rPr>
          <w:rFonts w:ascii="Palatino Linotype" w:eastAsia="Palatino Linotype" w:hAnsi="Palatino Linotype" w:cs="Palatino Linotype"/>
          <w:b/>
          <w:color w:val="000000"/>
          <w:sz w:val="24"/>
          <w:szCs w:val="24"/>
        </w:rPr>
      </w:pPr>
      <w:bookmarkStart w:id="7" w:name="_heading=h.1t3h5sf" w:colFirst="0" w:colLast="0"/>
      <w:bookmarkEnd w:id="7"/>
      <w:r>
        <w:rPr>
          <w:rFonts w:ascii="Palatino Linotype" w:eastAsia="Palatino Linotype" w:hAnsi="Palatino Linotype" w:cs="Palatino Linotype"/>
          <w:b/>
          <w:color w:val="000000"/>
          <w:sz w:val="24"/>
          <w:szCs w:val="24"/>
        </w:rPr>
        <w:t>QUINTO. De la versión pública.</w:t>
      </w:r>
    </w:p>
    <w:p w14:paraId="0BDC9CE1" w14:textId="77777777" w:rsidR="00E31311" w:rsidRDefault="00DF6EAE">
      <w:pPr>
        <w:pStyle w:val="Ttulo1"/>
        <w:numPr>
          <w:ilvl w:val="0"/>
          <w:numId w:val="1"/>
        </w:numPr>
        <w:tabs>
          <w:tab w:val="left" w:pos="284"/>
        </w:tabs>
        <w:spacing w:before="0" w:line="360" w:lineRule="auto"/>
        <w:ind w:left="0" w:firstLine="0"/>
        <w:rPr>
          <w:rFonts w:ascii="Palatino Linotype" w:eastAsia="Palatino Linotype" w:hAnsi="Palatino Linotype" w:cs="Palatino Linotype"/>
          <w:b/>
          <w:color w:val="000000"/>
          <w:sz w:val="24"/>
          <w:szCs w:val="24"/>
        </w:rPr>
      </w:pPr>
      <w:bookmarkStart w:id="8" w:name="_heading=h.4d34og8" w:colFirst="0" w:colLast="0"/>
      <w:bookmarkEnd w:id="8"/>
      <w:r>
        <w:rPr>
          <w:rFonts w:ascii="Palatino Linotype" w:eastAsia="Palatino Linotype" w:hAnsi="Palatino Linotype" w:cs="Palatino Linotype"/>
          <w:b/>
          <w:color w:val="000000"/>
          <w:sz w:val="24"/>
          <w:szCs w:val="24"/>
        </w:rPr>
        <w:t xml:space="preserve">Nociones generales. </w:t>
      </w:r>
    </w:p>
    <w:p w14:paraId="297B0B3A" w14:textId="77777777" w:rsidR="00E31311" w:rsidRDefault="00DF6EAE">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b/>
        </w:rPr>
        <w:t>39</w:t>
      </w:r>
      <w:r>
        <w:rPr>
          <w:rFonts w:ascii="Palatino Linotype" w:eastAsia="Palatino Linotype" w:hAnsi="Palatino Linotype" w:cs="Palatino Linotype"/>
        </w:rPr>
        <w:t xml:space="preserve">. </w:t>
      </w:r>
      <w:r>
        <w:rPr>
          <w:rFonts w:ascii="Palatino Linotype" w:eastAsia="Palatino Linotype" w:hAnsi="Palatino Linotype" w:cs="Palatino Linotype"/>
          <w:color w:val="000000"/>
        </w:rPr>
        <w:t>Debe destacarse que, debido a la naturaleza de la información solicitada</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eventualmente pudiera obrar datos personales susceptibles de protegerse, así como información susceptible de clasificarse como reservada,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deberá de hacer la adecuada versión pública, protegiendo los datos que no son susceptibles de ser proporcionados. </w:t>
      </w:r>
    </w:p>
    <w:p w14:paraId="706A7F58" w14:textId="77777777" w:rsidR="00E31311" w:rsidRDefault="00DF6EAE">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40.</w:t>
      </w:r>
      <w:r>
        <w:rPr>
          <w:rFonts w:ascii="Palatino Linotype" w:eastAsia="Palatino Linotype" w:hAnsi="Palatino Linotype" w:cs="Palatino Linotype"/>
        </w:rPr>
        <w:t xml:space="preserve"> </w:t>
      </w:r>
      <w:r>
        <w:rPr>
          <w:rFonts w:ascii="Palatino Linotype" w:eastAsia="Palatino Linotype" w:hAnsi="Palatino Linotype" w:cs="Palatino Linotype"/>
          <w:color w:val="000000"/>
        </w:rPr>
        <w:t xml:space="preserve">Resultando dable primeramente señalar que por lo que hace a nombre de personas o </w:t>
      </w:r>
      <w:r>
        <w:rPr>
          <w:rFonts w:ascii="Palatino Linotype" w:eastAsia="Palatino Linotype" w:hAnsi="Palatino Linotype" w:cs="Palatino Linotype"/>
          <w:i/>
          <w:color w:val="000000"/>
        </w:rPr>
        <w:t>personalidades</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sólo</w:t>
      </w:r>
      <w:r>
        <w:rPr>
          <w:rFonts w:ascii="Palatino Linotype" w:eastAsia="Palatino Linotype" w:hAnsi="Palatino Linotype" w:cs="Palatino Linotype"/>
          <w:color w:val="000000"/>
        </w:rPr>
        <w:t xml:space="preserve"> es dable dar a conocer aquellas que al momento de que eventualmente haya entregado su aportación tuvieran el carácter de servidor </w:t>
      </w:r>
      <w:r>
        <w:rPr>
          <w:rFonts w:ascii="Palatino Linotype" w:eastAsia="Palatino Linotype" w:hAnsi="Palatino Linotype" w:cs="Palatino Linotype"/>
          <w:color w:val="000000"/>
        </w:rPr>
        <w:lastRenderedPageBreak/>
        <w:t>público, caso contrario,</w:t>
      </w:r>
      <w:r>
        <w:rPr>
          <w:rFonts w:ascii="Palatino Linotype" w:eastAsia="Palatino Linotype" w:hAnsi="Palatino Linotype" w:cs="Palatino Linotype"/>
          <w:b/>
          <w:color w:val="000000"/>
        </w:rPr>
        <w:t xml:space="preserve"> los nombres de los particulares</w:t>
      </w:r>
      <w:r>
        <w:rPr>
          <w:rFonts w:ascii="Palatino Linotype" w:eastAsia="Palatino Linotype" w:hAnsi="Palatino Linotype" w:cs="Palatino Linotype"/>
          <w:color w:val="000000"/>
        </w:rPr>
        <w:t>, son datos personales que no pueden ser remitidos en respuesta, de ser el caso en el soporte documental donde consten u obren deberán ser clasificados como confidenciales.</w:t>
      </w:r>
    </w:p>
    <w:p w14:paraId="40A4338D" w14:textId="77777777" w:rsidR="00E31311" w:rsidRDefault="00E31311">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rPr>
      </w:pPr>
    </w:p>
    <w:p w14:paraId="765A874E" w14:textId="77777777" w:rsidR="00E31311" w:rsidRDefault="00DF6EAE">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b/>
        </w:rPr>
        <w:t xml:space="preserve">41. </w:t>
      </w:r>
      <w:r>
        <w:rPr>
          <w:rFonts w:ascii="Palatino Linotype" w:eastAsia="Palatino Linotype" w:hAnsi="Palatino Linotype" w:cs="Palatino Linotype"/>
          <w:color w:val="000000"/>
        </w:rPr>
        <w:t xml:space="preserve">No pasa desapercibido para este Órgano Garante que los </w:t>
      </w:r>
      <w:r>
        <w:rPr>
          <w:rFonts w:ascii="Palatino Linotype" w:eastAsia="Palatino Linotype" w:hAnsi="Palatino Linotype" w:cs="Palatino Linotype"/>
          <w:b/>
          <w:color w:val="000000"/>
        </w:rPr>
        <w:t xml:space="preserve">Sujetos Obligados </w:t>
      </w:r>
      <w:r>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0A05A86F" w14:textId="77777777" w:rsidR="00E31311" w:rsidRDefault="00E31311">
      <w:pPr>
        <w:tabs>
          <w:tab w:val="left" w:pos="284"/>
        </w:tabs>
        <w:spacing w:line="360" w:lineRule="auto"/>
        <w:ind w:right="49"/>
        <w:jc w:val="both"/>
        <w:rPr>
          <w:rFonts w:ascii="Palatino Linotype" w:eastAsia="Palatino Linotype" w:hAnsi="Palatino Linotype" w:cs="Palatino Linotype"/>
          <w:color w:val="000000"/>
        </w:rPr>
      </w:pPr>
    </w:p>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8"/>
        <w:gridCol w:w="6990"/>
      </w:tblGrid>
      <w:tr w:rsidR="00E31311" w14:paraId="1BC91157" w14:textId="77777777" w:rsidTr="00E313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61B6FC9" w14:textId="77777777" w:rsidR="00E31311" w:rsidRDefault="00DF6EAE">
            <w:pPr>
              <w:tabs>
                <w:tab w:val="left" w:pos="284"/>
              </w:tabs>
              <w:spacing w:line="360" w:lineRule="auto"/>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 Requisitos previos.</w:t>
            </w:r>
          </w:p>
        </w:tc>
        <w:tc>
          <w:tcPr>
            <w:tcW w:w="6990" w:type="dxa"/>
          </w:tcPr>
          <w:p w14:paraId="359C341B" w14:textId="77777777" w:rsidR="00E31311" w:rsidRDefault="00DF6EAE">
            <w:pPr>
              <w:tabs>
                <w:tab w:val="left" w:pos="284"/>
              </w:tabs>
              <w:spacing w:line="360" w:lineRule="auto"/>
              <w:ind w:right="49"/>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sz w:val="20"/>
                <w:szCs w:val="20"/>
              </w:rPr>
            </w:pPr>
            <w:r>
              <w:rPr>
                <w:rFonts w:ascii="Palatino Linotype" w:eastAsia="Palatino Linotype" w:hAnsi="Palatino Linotype" w:cs="Palatino Linotype"/>
                <w:b w:val="0"/>
                <w:color w:val="000000"/>
                <w:sz w:val="20"/>
                <w:szCs w:val="2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4487D197" w14:textId="77777777" w:rsidR="00E31311" w:rsidRDefault="00DF6EAE">
            <w:pPr>
              <w:tabs>
                <w:tab w:val="left" w:pos="284"/>
              </w:tabs>
              <w:spacing w:line="360" w:lineRule="auto"/>
              <w:ind w:right="49"/>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sz w:val="20"/>
                <w:szCs w:val="20"/>
              </w:rPr>
            </w:pPr>
            <w:r>
              <w:rPr>
                <w:rFonts w:ascii="Palatino Linotype" w:eastAsia="Palatino Linotype" w:hAnsi="Palatino Linotype" w:cs="Palatino Linotype"/>
                <w:b w:val="0"/>
                <w:color w:val="000000"/>
                <w:sz w:val="20"/>
                <w:szCs w:val="20"/>
              </w:rPr>
              <w:t>Al hacerlo tienen que precisar de qué información se trata, señalando el supuesto de clasificación (confidencialidad o reserva).</w:t>
            </w:r>
          </w:p>
          <w:p w14:paraId="29806945" w14:textId="77777777" w:rsidR="00E31311" w:rsidRDefault="00DF6EAE">
            <w:pPr>
              <w:tabs>
                <w:tab w:val="left" w:pos="284"/>
              </w:tabs>
              <w:spacing w:line="360" w:lineRule="auto"/>
              <w:ind w:right="49"/>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sz w:val="20"/>
                <w:szCs w:val="20"/>
              </w:rPr>
            </w:pPr>
            <w:r>
              <w:rPr>
                <w:rFonts w:ascii="Palatino Linotype" w:eastAsia="Palatino Linotype" w:hAnsi="Palatino Linotype" w:cs="Palatino Linotype"/>
                <w:b w:val="0"/>
                <w:color w:val="000000"/>
                <w:sz w:val="20"/>
                <w:szCs w:val="20"/>
              </w:rPr>
              <w:t>Además, se debe señalar el procedimiento, de los tres que establecen los artículos 132 y 106 de la Ley Estatal y General, respectivamente.</w:t>
            </w:r>
          </w:p>
          <w:p w14:paraId="3E53469F" w14:textId="77777777" w:rsidR="00E31311" w:rsidRDefault="00DF6EAE">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Pr>
                <w:rFonts w:ascii="Palatino Linotype" w:eastAsia="Palatino Linotype" w:hAnsi="Palatino Linotype" w:cs="Palatino Linotype"/>
                <w:b w:val="0"/>
                <w:color w:val="000000"/>
                <w:sz w:val="20"/>
                <w:szCs w:val="20"/>
              </w:rPr>
              <w:t xml:space="preserve">El último de estos requisitos previos consiste en que no se pueden emitir acuerdos de carácter general ni particular, esto es, </w:t>
            </w:r>
            <w:r>
              <w:rPr>
                <w:rFonts w:ascii="Palatino Linotype" w:eastAsia="Palatino Linotype" w:hAnsi="Palatino Linotype" w:cs="Palatino Linotype"/>
                <w:b w:val="0"/>
                <w:color w:val="000000"/>
                <w:sz w:val="20"/>
                <w:szCs w:val="20"/>
                <w:u w:val="single"/>
              </w:rPr>
              <w:t>no se puede hacer un acuerdo para clasificar de manera general todos los documentos de un expediente o área, sin</w:t>
            </w:r>
            <w:r>
              <w:rPr>
                <w:rFonts w:ascii="Palatino Linotype" w:eastAsia="Palatino Linotype" w:hAnsi="Palatino Linotype" w:cs="Palatino Linotype"/>
                <w:b w:val="0"/>
                <w:color w:val="000000"/>
                <w:sz w:val="20"/>
                <w:szCs w:val="20"/>
              </w:rPr>
              <w:t xml:space="preserve"> individualizar su análisis y tampoco se puede hacer un acuerdo por cada dato que se vaya a clasificar dentro de un documento con diez datos, por ejemplo, susceptibles de ser clasificados.</w:t>
            </w:r>
          </w:p>
        </w:tc>
      </w:tr>
      <w:tr w:rsidR="00E31311" w14:paraId="64C1CC64" w14:textId="77777777" w:rsidTr="00E313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BAAE657" w14:textId="77777777" w:rsidR="00E31311" w:rsidRDefault="00DF6EAE">
            <w:pPr>
              <w:tabs>
                <w:tab w:val="left" w:pos="284"/>
              </w:tabs>
              <w:spacing w:line="360" w:lineRule="auto"/>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b) Supuestos de clasificación.</w:t>
            </w:r>
          </w:p>
        </w:tc>
        <w:tc>
          <w:tcPr>
            <w:tcW w:w="6990" w:type="dxa"/>
          </w:tcPr>
          <w:p w14:paraId="36533FC5" w14:textId="77777777" w:rsidR="00E31311" w:rsidRDefault="00DF6EAE">
            <w:pPr>
              <w:tabs>
                <w:tab w:val="left" w:pos="284"/>
              </w:tabs>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Las disposiciones constitucionales y legales en la materia establecen los dos supuestos generales para clasificar la información: por reserva y por confidencialidad.</w:t>
            </w:r>
          </w:p>
          <w:p w14:paraId="32C229D5" w14:textId="77777777" w:rsidR="00E31311" w:rsidRDefault="00DF6EAE">
            <w:pPr>
              <w:tabs>
                <w:tab w:val="left" w:pos="284"/>
              </w:tabs>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5DCB8BDF" w14:textId="77777777" w:rsidR="00E31311" w:rsidRDefault="00DF6EAE">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Pr>
                <w:rFonts w:ascii="Palatino Linotype" w:eastAsia="Palatino Linotype" w:hAnsi="Palatino Linotype" w:cs="Palatino Linotype"/>
                <w:color w:val="000000"/>
                <w:sz w:val="20"/>
                <w:szCs w:val="20"/>
              </w:rPr>
              <w:t xml:space="preserve">El </w:t>
            </w:r>
            <w:r>
              <w:rPr>
                <w:rFonts w:ascii="Palatino Linotype" w:eastAsia="Palatino Linotype" w:hAnsi="Palatino Linotype" w:cs="Palatino Linotype"/>
                <w:b/>
                <w:color w:val="000000"/>
                <w:sz w:val="20"/>
                <w:szCs w:val="20"/>
              </w:rPr>
              <w:t>Sujeto Obligado</w:t>
            </w:r>
            <w:r>
              <w:rPr>
                <w:rFonts w:ascii="Palatino Linotype" w:eastAsia="Palatino Linotype" w:hAnsi="Palatino Linotype" w:cs="Palatino Linotype"/>
                <w:color w:val="000000"/>
                <w:sz w:val="20"/>
                <w:szCs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E31311" w14:paraId="149172EC" w14:textId="77777777" w:rsidTr="00E31311">
        <w:tc>
          <w:tcPr>
            <w:cnfStyle w:val="001000000000" w:firstRow="0" w:lastRow="0" w:firstColumn="1" w:lastColumn="0" w:oddVBand="0" w:evenVBand="0" w:oddHBand="0" w:evenHBand="0" w:firstRowFirstColumn="0" w:firstRowLastColumn="0" w:lastRowFirstColumn="0" w:lastRowLastColumn="0"/>
            <w:tcW w:w="1838" w:type="dxa"/>
          </w:tcPr>
          <w:p w14:paraId="79CB051F" w14:textId="77777777" w:rsidR="00E31311" w:rsidRDefault="00DF6EAE">
            <w:pPr>
              <w:tabs>
                <w:tab w:val="left" w:pos="284"/>
              </w:tabs>
              <w:spacing w:line="360" w:lineRule="auto"/>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c) Formalidades para emitir el acuerdo de clasificación.</w:t>
            </w:r>
          </w:p>
        </w:tc>
        <w:tc>
          <w:tcPr>
            <w:tcW w:w="6990" w:type="dxa"/>
          </w:tcPr>
          <w:p w14:paraId="7C906C92" w14:textId="77777777" w:rsidR="00E31311" w:rsidRDefault="00DF6EAE">
            <w:pPr>
              <w:tabs>
                <w:tab w:val="left" w:pos="284"/>
              </w:tabs>
              <w:spacing w:line="360" w:lineRule="auto"/>
              <w:ind w:right="49"/>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El Comité de Transparencia, según lo dispuesto en los artículos cuenta con las facultades para aprobar, modificar o revocar la clasificación de la información que haya propuesto. </w:t>
            </w:r>
          </w:p>
          <w:p w14:paraId="4BA2160C" w14:textId="77777777" w:rsidR="00E31311" w:rsidRDefault="00DF6EAE">
            <w:pPr>
              <w:tabs>
                <w:tab w:val="left" w:pos="284"/>
              </w:tabs>
              <w:spacing w:line="360" w:lineRule="auto"/>
              <w:ind w:right="49"/>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Es necesario que </w:t>
            </w:r>
            <w:r>
              <w:rPr>
                <w:rFonts w:ascii="Palatino Linotype" w:eastAsia="Palatino Linotype" w:hAnsi="Palatino Linotype" w:cs="Palatino Linotype"/>
                <w:b/>
                <w:color w:val="000000"/>
                <w:sz w:val="20"/>
                <w:szCs w:val="20"/>
                <w:u w:val="single"/>
              </w:rPr>
              <w:t>el acto reúna con los requisitos elementales</w:t>
            </w:r>
            <w:r>
              <w:rPr>
                <w:rFonts w:ascii="Palatino Linotype" w:eastAsia="Palatino Linotype" w:hAnsi="Palatino Linotype" w:cs="Palatino Linotype"/>
                <w:color w:val="000000"/>
                <w:sz w:val="20"/>
                <w:szCs w:val="20"/>
              </w:rPr>
              <w:t>, entre ellos, que la autoridad que va a emitir el acto de autoridad sea la legalmente facultada para ello.</w:t>
            </w:r>
          </w:p>
          <w:p w14:paraId="2434B1B0" w14:textId="77777777" w:rsidR="00E31311" w:rsidRDefault="00DF6EAE">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Pr>
                <w:rFonts w:ascii="Palatino Linotype" w:eastAsia="Palatino Linotype" w:hAnsi="Palatino Linotype" w:cs="Palatino Linotype"/>
                <w:color w:val="000000"/>
                <w:sz w:val="20"/>
                <w:szCs w:val="2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E31311" w14:paraId="6C0E16BA" w14:textId="77777777" w:rsidTr="00E313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AF2943D" w14:textId="77777777" w:rsidR="00E31311" w:rsidRDefault="00E31311">
            <w:pPr>
              <w:tabs>
                <w:tab w:val="left" w:pos="284"/>
              </w:tabs>
              <w:spacing w:line="360" w:lineRule="auto"/>
              <w:rPr>
                <w:rFonts w:ascii="Palatino Linotype" w:eastAsia="Palatino Linotype" w:hAnsi="Palatino Linotype" w:cs="Palatino Linotype"/>
                <w:sz w:val="20"/>
                <w:szCs w:val="20"/>
              </w:rPr>
            </w:pPr>
          </w:p>
          <w:p w14:paraId="372DAD18" w14:textId="77777777" w:rsidR="00E31311" w:rsidRDefault="00DF6EAE">
            <w:pPr>
              <w:tabs>
                <w:tab w:val="left" w:pos="284"/>
              </w:tabs>
              <w:spacing w:line="360"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color w:val="000000"/>
                <w:sz w:val="20"/>
                <w:szCs w:val="20"/>
              </w:rPr>
              <w:t xml:space="preserve">d) Requisitos de fondo del acuerdo de clasificación. </w:t>
            </w:r>
          </w:p>
        </w:tc>
        <w:tc>
          <w:tcPr>
            <w:tcW w:w="6990" w:type="dxa"/>
          </w:tcPr>
          <w:p w14:paraId="6E564FC0" w14:textId="77777777" w:rsidR="00E31311" w:rsidRDefault="00DF6EAE">
            <w:pPr>
              <w:tabs>
                <w:tab w:val="left" w:pos="284"/>
              </w:tabs>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Pr>
                <w:rFonts w:ascii="Palatino Linotype" w:eastAsia="Palatino Linotype" w:hAnsi="Palatino Linotype" w:cs="Palatino Linotype"/>
                <w:b/>
                <w:color w:val="000000"/>
                <w:sz w:val="20"/>
                <w:szCs w:val="20"/>
              </w:rPr>
              <w:t>Sujetos Obligados</w:t>
            </w:r>
            <w:r>
              <w:rPr>
                <w:rFonts w:ascii="Palatino Linotype" w:eastAsia="Palatino Linotype" w:hAnsi="Palatino Linotype" w:cs="Palatino Linotype"/>
                <w:color w:val="000000"/>
                <w:sz w:val="20"/>
                <w:szCs w:val="20"/>
              </w:rPr>
              <w:t xml:space="preserve">, por lo que deberán fundar y motivar debidamente la clasificación. </w:t>
            </w:r>
          </w:p>
          <w:p w14:paraId="003E7762" w14:textId="77777777" w:rsidR="00E31311" w:rsidRDefault="00DF6EAE">
            <w:pPr>
              <w:tabs>
                <w:tab w:val="left" w:pos="284"/>
              </w:tabs>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De lo anterior, se desprende que para una correcta </w:t>
            </w:r>
            <w:r>
              <w:rPr>
                <w:rFonts w:ascii="Palatino Linotype" w:eastAsia="Palatino Linotype" w:hAnsi="Palatino Linotype" w:cs="Palatino Linotype"/>
                <w:b/>
                <w:color w:val="000000"/>
                <w:sz w:val="20"/>
                <w:szCs w:val="20"/>
              </w:rPr>
              <w:t>clasificación total o parcial</w:t>
            </w:r>
            <w:r>
              <w:rPr>
                <w:rFonts w:ascii="Palatino Linotype" w:eastAsia="Palatino Linotype" w:hAnsi="Palatino Linotype" w:cs="Palatino Linotype"/>
                <w:color w:val="000000"/>
                <w:sz w:val="20"/>
                <w:szCs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7769D2D" w14:textId="77777777" w:rsidR="00E31311" w:rsidRDefault="00DF6EAE">
            <w:pPr>
              <w:tabs>
                <w:tab w:val="left" w:pos="284"/>
              </w:tabs>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1C78B87E" w14:textId="77777777" w:rsidR="00E31311" w:rsidRDefault="00DF6EAE">
            <w:pPr>
              <w:tabs>
                <w:tab w:val="left" w:pos="284"/>
              </w:tabs>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En ese mismo sentido, el numeral trigésimo tercero fracción V de los Lineamientos Generales, precisa que para motivar la clasificación se deben acreditar las circunstancias de tiempo, modo y lugar.</w:t>
            </w:r>
          </w:p>
          <w:p w14:paraId="5E4A8646" w14:textId="77777777" w:rsidR="00E31311" w:rsidRDefault="00DF6EAE">
            <w:pPr>
              <w:tabs>
                <w:tab w:val="left" w:pos="284"/>
              </w:tabs>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Ahora bien, </w:t>
            </w:r>
            <w:r>
              <w:rPr>
                <w:rFonts w:ascii="Palatino Linotype" w:eastAsia="Palatino Linotype" w:hAnsi="Palatino Linotype" w:cs="Palatino Linotype"/>
                <w:b/>
                <w:color w:val="000000"/>
                <w:sz w:val="20"/>
                <w:szCs w:val="20"/>
                <w:u w:val="single"/>
              </w:rPr>
              <w:t>para cada caso además de fundar y motivar</w:t>
            </w:r>
            <w:r>
              <w:rPr>
                <w:rFonts w:ascii="Palatino Linotype" w:eastAsia="Palatino Linotype" w:hAnsi="Palatino Linotype" w:cs="Palatino Linotype"/>
                <w:color w:val="000000"/>
                <w:sz w:val="20"/>
                <w:szCs w:val="20"/>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E31311" w14:paraId="22C12154" w14:textId="77777777" w:rsidTr="00E31311">
        <w:tc>
          <w:tcPr>
            <w:cnfStyle w:val="001000000000" w:firstRow="0" w:lastRow="0" w:firstColumn="1" w:lastColumn="0" w:oddVBand="0" w:evenVBand="0" w:oddHBand="0" w:evenHBand="0" w:firstRowFirstColumn="0" w:firstRowLastColumn="0" w:lastRowFirstColumn="0" w:lastRowLastColumn="0"/>
            <w:tcW w:w="1838" w:type="dxa"/>
          </w:tcPr>
          <w:p w14:paraId="738ABB9A" w14:textId="77777777" w:rsidR="00E31311" w:rsidRDefault="00DF6EAE">
            <w:pPr>
              <w:tabs>
                <w:tab w:val="left" w:pos="284"/>
              </w:tabs>
              <w:spacing w:line="360" w:lineRule="auto"/>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b w:val="0"/>
                <w:sz w:val="20"/>
                <w:szCs w:val="20"/>
              </w:rPr>
              <w:lastRenderedPageBreak/>
              <w:t>e</w:t>
            </w:r>
            <w:r>
              <w:rPr>
                <w:rFonts w:ascii="Palatino Linotype" w:eastAsia="Palatino Linotype" w:hAnsi="Palatino Linotype" w:cs="Palatino Linotype"/>
                <w:sz w:val="20"/>
                <w:szCs w:val="20"/>
              </w:rPr>
              <w:t xml:space="preserve">) Condiciones especiales de la clasificación de la información como confidencial. </w:t>
            </w:r>
          </w:p>
        </w:tc>
        <w:tc>
          <w:tcPr>
            <w:tcW w:w="6990" w:type="dxa"/>
          </w:tcPr>
          <w:p w14:paraId="2C4C01A7" w14:textId="77777777" w:rsidR="00E31311" w:rsidRDefault="00DF6EAE">
            <w:pPr>
              <w:tabs>
                <w:tab w:val="left" w:pos="284"/>
              </w:tabs>
              <w:spacing w:line="360" w:lineRule="auto"/>
              <w:ind w:right="49"/>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Los artículos 148 y 120 de la Ley Estatal y de la Ley General, respectivamente, establecen que aun tratándose de datos personales, se podrán proporcionar, incluso sin solicitar el consentimiento de su titular. </w:t>
            </w:r>
          </w:p>
          <w:p w14:paraId="7AE81D22" w14:textId="77777777" w:rsidR="00E31311" w:rsidRDefault="00DF6EAE">
            <w:pPr>
              <w:tabs>
                <w:tab w:val="left" w:pos="284"/>
              </w:tabs>
              <w:spacing w:line="360" w:lineRule="auto"/>
              <w:ind w:right="49"/>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35B2ADC5" w14:textId="77777777" w:rsidR="00E31311" w:rsidRDefault="00DF6EAE">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Pr>
                <w:rFonts w:ascii="Palatino Linotype" w:eastAsia="Palatino Linotype" w:hAnsi="Palatino Linotype" w:cs="Palatino Linotype"/>
                <w:color w:val="000000"/>
                <w:sz w:val="20"/>
                <w:szCs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66286749" w14:textId="77777777" w:rsidR="00E31311" w:rsidRDefault="00E31311">
      <w:pPr>
        <w:pBdr>
          <w:top w:val="nil"/>
          <w:left w:val="nil"/>
          <w:bottom w:val="nil"/>
          <w:right w:val="nil"/>
          <w:between w:val="nil"/>
        </w:pBdr>
        <w:tabs>
          <w:tab w:val="left" w:pos="284"/>
        </w:tabs>
        <w:rPr>
          <w:rFonts w:ascii="Palatino Linotype" w:eastAsia="Palatino Linotype" w:hAnsi="Palatino Linotype" w:cs="Palatino Linotype"/>
          <w:color w:val="000000"/>
        </w:rPr>
      </w:pPr>
    </w:p>
    <w:p w14:paraId="370F3835" w14:textId="77777777" w:rsidR="00E31311" w:rsidRDefault="00DF6EAE">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rPr>
        <w:t xml:space="preserve">42. </w:t>
      </w:r>
      <w:r>
        <w:rPr>
          <w:rFonts w:ascii="Palatino Linotype" w:eastAsia="Palatino Linotype" w:hAnsi="Palatino Linotype" w:cs="Palatino Linotype"/>
          <w:color w:val="000000"/>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5DEC172E" w14:textId="77777777" w:rsidR="00E31311" w:rsidRDefault="00E31311">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b/>
          <w:color w:val="000000"/>
        </w:rPr>
      </w:pPr>
    </w:p>
    <w:p w14:paraId="454215F4" w14:textId="77777777" w:rsidR="00E31311" w:rsidRDefault="00DF6EAE">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222222"/>
        </w:rPr>
        <w:t xml:space="preserve">43. </w:t>
      </w:r>
      <w:r>
        <w:rPr>
          <w:rFonts w:ascii="Palatino Linotype" w:eastAsia="Palatino Linotype" w:hAnsi="Palatino Linotype" w:cs="Palatino Linotype"/>
          <w:color w:val="222222"/>
        </w:rPr>
        <w:t xml:space="preserve">Por lo anteriormente expuesto y fundado, este </w:t>
      </w:r>
      <w:r>
        <w:rPr>
          <w:rFonts w:ascii="Palatino Linotype" w:eastAsia="Palatino Linotype" w:hAnsi="Palatino Linotype" w:cs="Palatino Linotype"/>
          <w:b/>
          <w:color w:val="222222"/>
        </w:rPr>
        <w:t>ÓRGANO GARANTE</w:t>
      </w:r>
      <w:r>
        <w:rPr>
          <w:rFonts w:ascii="Palatino Linotype" w:eastAsia="Palatino Linotype" w:hAnsi="Palatino Linotype" w:cs="Palatino Linotype"/>
          <w:color w:val="222222"/>
        </w:rPr>
        <w:t xml:space="preserve"> emite los siguientes:</w:t>
      </w:r>
    </w:p>
    <w:p w14:paraId="2796DAD5" w14:textId="77777777" w:rsidR="00E31311" w:rsidRDefault="00E31311" w:rsidP="003A51AB">
      <w:pPr>
        <w:spacing w:line="360" w:lineRule="auto"/>
        <w:rPr>
          <w:rFonts w:ascii="Palatino Linotype" w:eastAsia="Palatino Linotype" w:hAnsi="Palatino Linotype" w:cs="Palatino Linotype"/>
          <w:b/>
        </w:rPr>
      </w:pPr>
    </w:p>
    <w:p w14:paraId="6155D99F" w14:textId="77777777" w:rsidR="00E31311" w:rsidRDefault="00E31311">
      <w:pPr>
        <w:spacing w:line="360" w:lineRule="auto"/>
        <w:jc w:val="center"/>
        <w:rPr>
          <w:rFonts w:ascii="Palatino Linotype" w:eastAsia="Palatino Linotype" w:hAnsi="Palatino Linotype" w:cs="Palatino Linotype"/>
          <w:b/>
        </w:rPr>
      </w:pPr>
    </w:p>
    <w:p w14:paraId="358A841A" w14:textId="77777777" w:rsidR="00E31311" w:rsidRDefault="00DF6EAE">
      <w:pPr>
        <w:spacing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 E S O L U T I V O S</w:t>
      </w:r>
    </w:p>
    <w:p w14:paraId="1DFA9D08" w14:textId="77777777" w:rsidR="00E31311" w:rsidRDefault="00E31311">
      <w:pPr>
        <w:spacing w:line="360" w:lineRule="auto"/>
        <w:jc w:val="both"/>
        <w:rPr>
          <w:rFonts w:ascii="Palatino Linotype" w:eastAsia="Palatino Linotype" w:hAnsi="Palatino Linotype" w:cs="Palatino Linotype"/>
          <w:b/>
          <w:color w:val="000000"/>
        </w:rPr>
      </w:pPr>
    </w:p>
    <w:p w14:paraId="32670F9A" w14:textId="77777777" w:rsidR="00E31311" w:rsidRDefault="00DF6EAE">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PRIMERO.</w:t>
      </w:r>
      <w:r>
        <w:rPr>
          <w:rFonts w:ascii="Palatino Linotype" w:eastAsia="Palatino Linotype" w:hAnsi="Palatino Linotype" w:cs="Palatino Linotype"/>
          <w:color w:val="000000"/>
        </w:rPr>
        <w:t xml:space="preserve"> Resulta fundada las razones o motivos de inconformidad hechos valer en el Recurso de Revisión </w:t>
      </w:r>
      <w:r>
        <w:rPr>
          <w:rFonts w:ascii="Palatino Linotype" w:eastAsia="Palatino Linotype" w:hAnsi="Palatino Linotype" w:cs="Palatino Linotype"/>
          <w:b/>
          <w:color w:val="000000"/>
        </w:rPr>
        <w:t>02248/INFOEM/IP/RR/2024</w:t>
      </w:r>
      <w:r>
        <w:rPr>
          <w:rFonts w:ascii="Palatino Linotype" w:eastAsia="Palatino Linotype" w:hAnsi="Palatino Linotype" w:cs="Palatino Linotype"/>
          <w:color w:val="000000"/>
        </w:rPr>
        <w:t xml:space="preserve">, en términos del Considerando  </w:t>
      </w:r>
      <w:r>
        <w:rPr>
          <w:rFonts w:ascii="Palatino Linotype" w:eastAsia="Palatino Linotype" w:hAnsi="Palatino Linotype" w:cs="Palatino Linotype"/>
          <w:b/>
          <w:color w:val="000000"/>
        </w:rPr>
        <w:t>CUARTO Y  QUINTO</w:t>
      </w:r>
      <w:r>
        <w:rPr>
          <w:rFonts w:ascii="Palatino Linotype" w:eastAsia="Palatino Linotype" w:hAnsi="Palatino Linotype" w:cs="Palatino Linotype"/>
          <w:color w:val="000000"/>
        </w:rPr>
        <w:t xml:space="preserve"> de la presente resolución. </w:t>
      </w:r>
    </w:p>
    <w:p w14:paraId="36CE5CAA" w14:textId="77777777" w:rsidR="00E31311" w:rsidRDefault="00E31311">
      <w:pPr>
        <w:spacing w:line="360" w:lineRule="auto"/>
        <w:jc w:val="both"/>
        <w:rPr>
          <w:rFonts w:ascii="Palatino Linotype" w:eastAsia="Palatino Linotype" w:hAnsi="Palatino Linotype" w:cs="Palatino Linotype"/>
          <w:color w:val="000000"/>
        </w:rPr>
      </w:pPr>
    </w:p>
    <w:p w14:paraId="25C5B7CE" w14:textId="793BD675" w:rsidR="00E31311" w:rsidRDefault="00DF6EAE">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SEGUNDO</w:t>
      </w:r>
      <w:r>
        <w:rPr>
          <w:rFonts w:ascii="Palatino Linotype" w:eastAsia="Palatino Linotype" w:hAnsi="Palatino Linotype" w:cs="Palatino Linotype"/>
          <w:color w:val="000000"/>
        </w:rPr>
        <w:t xml:space="preserve">. Se </w:t>
      </w:r>
      <w:r w:rsidRPr="00073FAF">
        <w:rPr>
          <w:rFonts w:ascii="Palatino Linotype" w:eastAsia="Palatino Linotype" w:hAnsi="Palatino Linotype" w:cs="Palatino Linotype"/>
          <w:b/>
          <w:color w:val="000000"/>
        </w:rPr>
        <w:t>REVOCA</w:t>
      </w:r>
      <w:r w:rsidRPr="00073FAF">
        <w:rPr>
          <w:rFonts w:ascii="Palatino Linotype" w:eastAsia="Palatino Linotype" w:hAnsi="Palatino Linotype" w:cs="Palatino Linotype"/>
          <w:color w:val="000000"/>
        </w:rPr>
        <w:t xml:space="preserve"> la respuesta emitida por el Ayuntamiento de Metepec y se </w:t>
      </w:r>
      <w:r w:rsidRPr="00073FAF">
        <w:rPr>
          <w:rFonts w:ascii="Palatino Linotype" w:eastAsia="Palatino Linotype" w:hAnsi="Palatino Linotype" w:cs="Palatino Linotype"/>
          <w:b/>
          <w:color w:val="000000"/>
        </w:rPr>
        <w:t>ORDENA</w:t>
      </w:r>
      <w:r w:rsidRPr="00073FAF">
        <w:rPr>
          <w:rFonts w:ascii="Palatino Linotype" w:eastAsia="Palatino Linotype" w:hAnsi="Palatino Linotype" w:cs="Palatino Linotype"/>
          <w:color w:val="000000"/>
        </w:rPr>
        <w:t xml:space="preserve"> entregar </w:t>
      </w:r>
      <w:r w:rsidR="00141693" w:rsidRPr="00073FAF">
        <w:rPr>
          <w:rFonts w:ascii="Palatino Linotype" w:eastAsia="Palatino Linotype" w:hAnsi="Palatino Linotype" w:cs="Palatino Linotype"/>
          <w:color w:val="000000"/>
        </w:rPr>
        <w:t>vía correo electrónico y</w:t>
      </w:r>
      <w:r w:rsidRPr="00073FAF">
        <w:rPr>
          <w:rFonts w:ascii="Palatino Linotype" w:eastAsia="Palatino Linotype" w:hAnsi="Palatino Linotype" w:cs="Palatino Linotype"/>
          <w:color w:val="000000"/>
        </w:rPr>
        <w:t xml:space="preserve"> Sistema de Acceso a la Información Mexiquense (SAIMEX), de</w:t>
      </w:r>
      <w:r w:rsidR="0007156C" w:rsidRPr="00073FAF">
        <w:rPr>
          <w:rFonts w:ascii="Palatino Linotype" w:eastAsia="Palatino Linotype" w:hAnsi="Palatino Linotype" w:cs="Palatino Linotype"/>
          <w:color w:val="000000"/>
        </w:rPr>
        <w:t xml:space="preserve"> ser el caso en versión pública,</w:t>
      </w:r>
      <w:r w:rsidR="00492E9C" w:rsidRPr="00073FAF">
        <w:rPr>
          <w:rFonts w:ascii="Palatino Linotype" w:eastAsia="Palatino Linotype" w:hAnsi="Palatino Linotype" w:cs="Palatino Linotype"/>
          <w:color w:val="000000"/>
        </w:rPr>
        <w:t xml:space="preserve"> </w:t>
      </w:r>
      <w:r w:rsidR="0007156C" w:rsidRPr="00073FAF">
        <w:rPr>
          <w:rFonts w:ascii="Palatino Linotype" w:eastAsia="Palatino Linotype" w:hAnsi="Palatino Linotype" w:cs="Palatino Linotype"/>
          <w:color w:val="000000"/>
        </w:rPr>
        <w:t>de la restricción de circulación a vehículos de carga de 3.5 toneladas o más, la siguiente información</w:t>
      </w:r>
      <w:r w:rsidR="00717387" w:rsidRPr="00073FAF">
        <w:rPr>
          <w:rFonts w:ascii="Palatino Linotype" w:eastAsia="Palatino Linotype" w:hAnsi="Palatino Linotype" w:cs="Palatino Linotype"/>
          <w:color w:val="000000"/>
        </w:rPr>
        <w:t xml:space="preserve"> vigente al diecinueve de marzo de dos mil veinticuatro</w:t>
      </w:r>
      <w:r w:rsidR="0007156C" w:rsidRPr="00073FAF">
        <w:rPr>
          <w:rFonts w:ascii="Palatino Linotype" w:eastAsia="Palatino Linotype" w:hAnsi="Palatino Linotype" w:cs="Palatino Linotype"/>
          <w:color w:val="000000"/>
        </w:rPr>
        <w:t>:</w:t>
      </w:r>
    </w:p>
    <w:p w14:paraId="2D292FB5" w14:textId="77777777" w:rsidR="00E31311" w:rsidRPr="00073FAF" w:rsidRDefault="00E31311">
      <w:pPr>
        <w:spacing w:line="360" w:lineRule="auto"/>
        <w:jc w:val="both"/>
        <w:rPr>
          <w:rFonts w:ascii="Palatino Linotype" w:eastAsia="Palatino Linotype" w:hAnsi="Palatino Linotype" w:cs="Palatino Linotype"/>
          <w:color w:val="000000"/>
          <w:sz w:val="10"/>
        </w:rPr>
      </w:pPr>
    </w:p>
    <w:p w14:paraId="2017EC60" w14:textId="77777777" w:rsidR="00E31311" w:rsidRPr="00717387" w:rsidRDefault="00DF6EAE">
      <w:pPr>
        <w:spacing w:line="360" w:lineRule="auto"/>
        <w:ind w:left="993"/>
        <w:jc w:val="both"/>
        <w:rPr>
          <w:rFonts w:ascii="Palatino Linotype" w:eastAsia="Palatino Linotype" w:hAnsi="Palatino Linotype" w:cs="Palatino Linotype"/>
          <w:color w:val="000000"/>
        </w:rPr>
      </w:pPr>
      <w:r w:rsidRPr="00717387">
        <w:rPr>
          <w:rFonts w:ascii="Palatino Linotype" w:eastAsia="Palatino Linotype" w:hAnsi="Palatino Linotype" w:cs="Palatino Linotype"/>
        </w:rPr>
        <w:t>1. C</w:t>
      </w:r>
      <w:r w:rsidRPr="00717387">
        <w:rPr>
          <w:rFonts w:ascii="Palatino Linotype" w:eastAsia="Palatino Linotype" w:hAnsi="Palatino Linotype" w:cs="Palatino Linotype"/>
          <w:color w:val="000000"/>
        </w:rPr>
        <w:t xml:space="preserve">alles, avenidas y  vialidad, y sus respectivos tramos de </w:t>
      </w:r>
      <w:r w:rsidR="0007156C" w:rsidRPr="00717387">
        <w:rPr>
          <w:rFonts w:ascii="Palatino Linotype" w:eastAsia="Palatino Linotype" w:hAnsi="Palatino Linotype" w:cs="Palatino Linotype"/>
          <w:color w:val="000000"/>
        </w:rPr>
        <w:t>circulación</w:t>
      </w:r>
    </w:p>
    <w:p w14:paraId="50D3EC80" w14:textId="77777777" w:rsidR="0007156C" w:rsidRPr="00717387" w:rsidRDefault="0007156C">
      <w:pPr>
        <w:spacing w:line="360" w:lineRule="auto"/>
        <w:ind w:left="993"/>
        <w:jc w:val="both"/>
        <w:rPr>
          <w:rFonts w:ascii="Palatino Linotype" w:eastAsia="Palatino Linotype" w:hAnsi="Palatino Linotype" w:cs="Palatino Linotype"/>
          <w:color w:val="000000"/>
        </w:rPr>
      </w:pPr>
      <w:r w:rsidRPr="00717387">
        <w:rPr>
          <w:rFonts w:ascii="Palatino Linotype" w:eastAsia="Palatino Linotype" w:hAnsi="Palatino Linotype" w:cs="Palatino Linotype"/>
          <w:color w:val="000000"/>
        </w:rPr>
        <w:t>2. Horarios de restricción.</w:t>
      </w:r>
    </w:p>
    <w:p w14:paraId="6D24CB3B" w14:textId="77777777" w:rsidR="00E31311" w:rsidRPr="00717387" w:rsidRDefault="0007156C">
      <w:pPr>
        <w:spacing w:line="360" w:lineRule="auto"/>
        <w:ind w:left="993"/>
        <w:jc w:val="both"/>
        <w:rPr>
          <w:rFonts w:ascii="Palatino Linotype" w:eastAsia="Palatino Linotype" w:hAnsi="Palatino Linotype" w:cs="Palatino Linotype"/>
          <w:color w:val="000000"/>
        </w:rPr>
      </w:pPr>
      <w:r w:rsidRPr="00717387">
        <w:rPr>
          <w:rFonts w:ascii="Palatino Linotype" w:eastAsia="Palatino Linotype" w:hAnsi="Palatino Linotype" w:cs="Palatino Linotype"/>
          <w:color w:val="000000"/>
        </w:rPr>
        <w:t>3</w:t>
      </w:r>
      <w:r w:rsidR="00DF6EAE" w:rsidRPr="00717387">
        <w:rPr>
          <w:rFonts w:ascii="Palatino Linotype" w:eastAsia="Palatino Linotype" w:hAnsi="Palatino Linotype" w:cs="Palatino Linotype"/>
          <w:color w:val="000000"/>
        </w:rPr>
        <w:t xml:space="preserve">. Mapa vial de las  vialidades y sus respectivos tramos </w:t>
      </w:r>
    </w:p>
    <w:p w14:paraId="7DDDFE45" w14:textId="414E2FFC" w:rsidR="00E31311" w:rsidRPr="003A51AB" w:rsidRDefault="0007156C" w:rsidP="003A51AB">
      <w:pPr>
        <w:spacing w:line="360" w:lineRule="auto"/>
        <w:ind w:left="993"/>
        <w:jc w:val="both"/>
        <w:rPr>
          <w:rFonts w:ascii="Palatino Linotype" w:eastAsia="Palatino Linotype" w:hAnsi="Palatino Linotype" w:cs="Palatino Linotype"/>
          <w:color w:val="000000"/>
        </w:rPr>
      </w:pPr>
      <w:r w:rsidRPr="00717387">
        <w:rPr>
          <w:rFonts w:ascii="Palatino Linotype" w:eastAsia="Palatino Linotype" w:hAnsi="Palatino Linotype" w:cs="Palatino Linotype"/>
          <w:color w:val="000000"/>
        </w:rPr>
        <w:t>4</w:t>
      </w:r>
      <w:r w:rsidR="00DF6EAE" w:rsidRPr="00717387">
        <w:rPr>
          <w:rFonts w:ascii="Palatino Linotype" w:eastAsia="Palatino Linotype" w:hAnsi="Palatino Linotype" w:cs="Palatino Linotype"/>
          <w:color w:val="000000"/>
        </w:rPr>
        <w:t>. Fundamento legal.</w:t>
      </w:r>
    </w:p>
    <w:p w14:paraId="48709BB2" w14:textId="77777777" w:rsidR="00E31311" w:rsidRPr="00073FAF" w:rsidRDefault="00E31311">
      <w:pPr>
        <w:pBdr>
          <w:top w:val="nil"/>
          <w:left w:val="nil"/>
          <w:bottom w:val="nil"/>
          <w:right w:val="nil"/>
          <w:between w:val="nil"/>
        </w:pBdr>
        <w:spacing w:line="360" w:lineRule="auto"/>
        <w:ind w:left="851" w:right="426"/>
        <w:jc w:val="both"/>
        <w:rPr>
          <w:rFonts w:ascii="Palatino Linotype" w:eastAsia="Palatino Linotype" w:hAnsi="Palatino Linotype" w:cs="Palatino Linotype"/>
          <w:color w:val="000000"/>
          <w:sz w:val="8"/>
        </w:rPr>
      </w:pPr>
    </w:p>
    <w:p w14:paraId="2311D49B" w14:textId="77777777" w:rsidR="00E31311" w:rsidRDefault="00DF6EAE">
      <w:pPr>
        <w:pBdr>
          <w:top w:val="nil"/>
          <w:left w:val="nil"/>
          <w:bottom w:val="nil"/>
          <w:right w:val="nil"/>
          <w:between w:val="nil"/>
        </w:pBdr>
        <w:spacing w:line="360" w:lineRule="auto"/>
        <w:ind w:right="40"/>
        <w:jc w:val="both"/>
        <w:rPr>
          <w:rFonts w:ascii="Palatino Linotype" w:eastAsia="Palatino Linotype" w:hAnsi="Palatino Linotype" w:cs="Palatino Linotype"/>
        </w:rPr>
      </w:pPr>
      <w:r>
        <w:rPr>
          <w:rFonts w:ascii="Palatino Linotype" w:eastAsia="Palatino Linotype" w:hAnsi="Palatino Linotype" w:cs="Palatino Linotype"/>
        </w:rPr>
        <w:t>De ser procedente, 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de los documentos que se ordenan, los que se deberán poner a disposición de la parte Recurrente.</w:t>
      </w:r>
    </w:p>
    <w:p w14:paraId="7E160915" w14:textId="77777777" w:rsidR="00E31311" w:rsidRPr="00073FAF" w:rsidRDefault="00E31311">
      <w:pPr>
        <w:pBdr>
          <w:top w:val="nil"/>
          <w:left w:val="nil"/>
          <w:bottom w:val="nil"/>
          <w:right w:val="nil"/>
          <w:between w:val="nil"/>
        </w:pBdr>
        <w:spacing w:line="360" w:lineRule="auto"/>
        <w:ind w:left="778"/>
        <w:jc w:val="both"/>
        <w:rPr>
          <w:rFonts w:ascii="Palatino Linotype" w:eastAsia="Palatino Linotype" w:hAnsi="Palatino Linotype" w:cs="Palatino Linotype"/>
          <w:b/>
          <w:color w:val="000000"/>
          <w:sz w:val="10"/>
        </w:rPr>
      </w:pPr>
    </w:p>
    <w:p w14:paraId="2E677579" w14:textId="77777777" w:rsidR="00E31311" w:rsidRDefault="00DF6EAE">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TERCERO. NOTIFÍQUESE</w:t>
      </w:r>
      <w:r>
        <w:rPr>
          <w:rFonts w:ascii="Palatino Linotype" w:eastAsia="Palatino Linotype" w:hAnsi="Palatino Linotype" w:cs="Palatino Linotype"/>
          <w:color w:val="000000"/>
        </w:rPr>
        <w:t>, la presente resolución al Titular de la Unidad de Transparencia del Sujeto Obligado vía SAIMEX, para que conforme al artículo 186 último párrafo, 189 segundo párrafo y 194 de la Ley de Transparencia y Acceso a la Información Pública del Estado de México y Municipios;</w:t>
      </w:r>
      <w:r>
        <w:rPr>
          <w:rFonts w:ascii="Palatino Linotype" w:eastAsia="Palatino Linotype" w:hAnsi="Palatino Linotype" w:cs="Palatino Linotype"/>
          <w:b/>
          <w:color w:val="000000"/>
        </w:rPr>
        <w:t xml:space="preserve"> dé cumplimiento a lo ordenado dentro del plazo de diez días hábiles,</w:t>
      </w:r>
      <w:r>
        <w:rPr>
          <w:rFonts w:ascii="Palatino Linotype" w:eastAsia="Palatino Linotype" w:hAnsi="Palatino Linotype" w:cs="Palatino Linotype"/>
          <w:color w:val="000000"/>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w:t>
      </w:r>
      <w:r>
        <w:rPr>
          <w:rFonts w:ascii="Palatino Linotype" w:eastAsia="Palatino Linotype" w:hAnsi="Palatino Linotype" w:cs="Palatino Linotype"/>
          <w:color w:val="000000"/>
        </w:rPr>
        <w:lastRenderedPageBreak/>
        <w:t>los artículos 198, 200, fracción III; 214, 215 y 216 de la Ley  de Transparencia y Acceso a la Información Pública del Estado de México y Municipios.</w:t>
      </w:r>
    </w:p>
    <w:p w14:paraId="52126CC3" w14:textId="77777777" w:rsidR="00E31311" w:rsidRPr="00073FAF" w:rsidRDefault="00E31311">
      <w:pPr>
        <w:spacing w:line="360" w:lineRule="auto"/>
        <w:jc w:val="both"/>
        <w:rPr>
          <w:rFonts w:ascii="Palatino Linotype" w:eastAsia="Palatino Linotype" w:hAnsi="Palatino Linotype" w:cs="Palatino Linotype"/>
          <w:color w:val="000000"/>
          <w:sz w:val="16"/>
        </w:rPr>
      </w:pPr>
    </w:p>
    <w:p w14:paraId="27E34B75" w14:textId="77777777" w:rsidR="00E31311" w:rsidRDefault="00DF6EAE">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CUARTO. </w:t>
      </w:r>
      <w:r>
        <w:rPr>
          <w:rFonts w:ascii="Palatino Linotype" w:eastAsia="Palatino Linotype" w:hAnsi="Palatino Linotype" w:cs="Palatino Linotype"/>
          <w:color w:val="000000"/>
        </w:rPr>
        <w:t xml:space="preserve">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de manera fundada y motivada, podrá solicitar una ampliación de plazo para el cumplimiento de la presente resolución.</w:t>
      </w:r>
    </w:p>
    <w:p w14:paraId="55D2A071" w14:textId="77777777" w:rsidR="00E31311" w:rsidRPr="00073FAF" w:rsidRDefault="00E31311">
      <w:pPr>
        <w:spacing w:line="360" w:lineRule="auto"/>
        <w:jc w:val="both"/>
        <w:rPr>
          <w:rFonts w:ascii="Palatino Linotype" w:eastAsia="Palatino Linotype" w:hAnsi="Palatino Linotype" w:cs="Palatino Linotype"/>
          <w:color w:val="000000"/>
          <w:sz w:val="16"/>
        </w:rPr>
      </w:pPr>
    </w:p>
    <w:p w14:paraId="0C620032" w14:textId="77777777" w:rsidR="00E31311" w:rsidRDefault="00DF6EAE">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QUINTO.</w:t>
      </w:r>
      <w:r>
        <w:rPr>
          <w:rFonts w:ascii="Palatino Linotype" w:eastAsia="Palatino Linotype" w:hAnsi="Palatino Linotype" w:cs="Palatino Linotype"/>
          <w:color w:val="000000"/>
        </w:rPr>
        <w:t xml:space="preserve"> Notifíquese a </w:t>
      </w:r>
      <w:r>
        <w:rPr>
          <w:rFonts w:ascii="Palatino Linotype" w:eastAsia="Palatino Linotype" w:hAnsi="Palatino Linotype" w:cs="Palatino Linotype"/>
          <w:b/>
          <w:color w:val="000000"/>
        </w:rPr>
        <w:t>EL RECURRENTE</w:t>
      </w:r>
      <w:r>
        <w:rPr>
          <w:rFonts w:ascii="Palatino Linotype" w:eastAsia="Palatino Linotype" w:hAnsi="Palatino Linotype" w:cs="Palatino Linotype"/>
          <w:color w:val="000000"/>
        </w:rPr>
        <w:t xml:space="preserve"> la presente resolución, vía </w:t>
      </w:r>
      <w:r>
        <w:rPr>
          <w:rFonts w:ascii="Palatino Linotype" w:eastAsia="Palatino Linotype" w:hAnsi="Palatino Linotype" w:cs="Palatino Linotype"/>
          <w:b/>
          <w:color w:val="000000"/>
        </w:rPr>
        <w:t xml:space="preserve">SAIMEX </w:t>
      </w:r>
      <w:r>
        <w:rPr>
          <w:rFonts w:ascii="Palatino Linotype" w:eastAsia="Palatino Linotype" w:hAnsi="Palatino Linotype" w:cs="Palatino Linotype"/>
          <w:color w:val="000000"/>
        </w:rPr>
        <w:t>y correo electrónico.</w:t>
      </w:r>
    </w:p>
    <w:p w14:paraId="26AE3C48" w14:textId="77777777" w:rsidR="00E31311" w:rsidRPr="00073FAF" w:rsidRDefault="00E31311">
      <w:pPr>
        <w:spacing w:line="360" w:lineRule="auto"/>
        <w:jc w:val="both"/>
        <w:rPr>
          <w:rFonts w:ascii="Palatino Linotype" w:eastAsia="Palatino Linotype" w:hAnsi="Palatino Linotype" w:cs="Palatino Linotype"/>
          <w:color w:val="000000"/>
          <w:sz w:val="16"/>
        </w:rPr>
      </w:pPr>
    </w:p>
    <w:p w14:paraId="054B5FE4" w14:textId="77777777" w:rsidR="00E31311" w:rsidRDefault="00DF6EAE">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SEXTO.</w:t>
      </w:r>
      <w:r>
        <w:rPr>
          <w:rFonts w:ascii="Palatino Linotype" w:eastAsia="Palatino Linotype" w:hAnsi="Palatino Linotype" w:cs="Palatino Linotype"/>
          <w:color w:val="000000"/>
        </w:rPr>
        <w:t xml:space="preserve"> Se hace del conocimiento de </w:t>
      </w:r>
      <w:r>
        <w:rPr>
          <w:rFonts w:ascii="Palatino Linotype" w:eastAsia="Palatino Linotype" w:hAnsi="Palatino Linotype" w:cs="Palatino Linotype"/>
          <w:b/>
          <w:color w:val="000000"/>
        </w:rPr>
        <w:t>EL RECURRENTE</w:t>
      </w:r>
      <w:r>
        <w:rPr>
          <w:rFonts w:ascii="Palatino Linotype" w:eastAsia="Palatino Linotype" w:hAnsi="Palatino Linotype" w:cs="Palatino Linotype"/>
          <w:color w:val="000000"/>
        </w:rPr>
        <w:t xml:space="preserve"> que, de conformidad con lo establecido en el artículo 196 de la Ley de Transparencia y Acceso a la Información Pública del Estado de México y Municipios, en caso de que considere que la resolución le cause algún perjuicio podrá </w:t>
      </w:r>
      <w:r>
        <w:rPr>
          <w:rFonts w:ascii="Palatino Linotype" w:eastAsia="Palatino Linotype" w:hAnsi="Palatino Linotype" w:cs="Palatino Linotype"/>
        </w:rPr>
        <w:t>impugnar vía</w:t>
      </w:r>
      <w:r>
        <w:rPr>
          <w:rFonts w:ascii="Palatino Linotype" w:eastAsia="Palatino Linotype" w:hAnsi="Palatino Linotype" w:cs="Palatino Linotype"/>
          <w:color w:val="000000"/>
        </w:rPr>
        <w:t xml:space="preserve"> juicio de amparo en los términos de las leyes aplicables.</w:t>
      </w:r>
    </w:p>
    <w:p w14:paraId="37AA571D" w14:textId="77777777" w:rsidR="00E31311" w:rsidRPr="00073FAF" w:rsidRDefault="00E31311">
      <w:pPr>
        <w:spacing w:line="360" w:lineRule="auto"/>
        <w:jc w:val="both"/>
        <w:rPr>
          <w:rFonts w:ascii="Palatino Linotype" w:eastAsia="Palatino Linotype" w:hAnsi="Palatino Linotype" w:cs="Palatino Linotype"/>
          <w:color w:val="000000"/>
          <w:sz w:val="18"/>
        </w:rPr>
      </w:pPr>
    </w:p>
    <w:p w14:paraId="65073797" w14:textId="77777777" w:rsidR="003A51AB" w:rsidRPr="003C7186" w:rsidRDefault="003A51AB" w:rsidP="003A51AB">
      <w:pPr>
        <w:spacing w:line="360" w:lineRule="auto"/>
        <w:ind w:firstLine="1"/>
        <w:jc w:val="both"/>
        <w:rPr>
          <w:rFonts w:ascii="Palatino Linotype" w:hAnsi="Palatino Linotype"/>
        </w:rPr>
      </w:pPr>
      <w:r w:rsidRPr="003C7186">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Pr>
          <w:rFonts w:ascii="Palatino Linotype" w:hAnsi="Palatino Linotype"/>
        </w:rPr>
        <w:t xml:space="preserve"> </w:t>
      </w:r>
      <w:r w:rsidRPr="003C7186">
        <w:rPr>
          <w:rFonts w:ascii="Palatino Linotype" w:hAnsi="Palatino Linotype"/>
        </w:rPr>
        <w:t xml:space="preserve">Y GUADALUPE RAMÍREZ PEÑA EN LA </w:t>
      </w:r>
      <w:r>
        <w:rPr>
          <w:rFonts w:ascii="Palatino Linotype" w:hAnsi="Palatino Linotype"/>
        </w:rPr>
        <w:t>VIGÉ</w:t>
      </w:r>
      <w:r w:rsidRPr="003C7186">
        <w:rPr>
          <w:rFonts w:ascii="Palatino Linotype" w:hAnsi="Palatino Linotype"/>
        </w:rPr>
        <w:t xml:space="preserve">SIMA </w:t>
      </w:r>
      <w:r>
        <w:rPr>
          <w:rFonts w:ascii="Palatino Linotype" w:hAnsi="Palatino Linotype"/>
        </w:rPr>
        <w:t>NOVENA</w:t>
      </w:r>
      <w:r w:rsidRPr="003C7186">
        <w:rPr>
          <w:rFonts w:ascii="Palatino Linotype" w:hAnsi="Palatino Linotype"/>
        </w:rPr>
        <w:t xml:space="preserve"> SESIÓN ORDINARIA CELEBRADA EL </w:t>
      </w:r>
      <w:r>
        <w:rPr>
          <w:rFonts w:ascii="Palatino Linotype" w:hAnsi="Palatino Linotype"/>
        </w:rPr>
        <w:t>VEINTIUNO</w:t>
      </w:r>
      <w:r w:rsidRPr="003C7186">
        <w:rPr>
          <w:rFonts w:ascii="Palatino Linotype" w:hAnsi="Palatino Linotype"/>
        </w:rPr>
        <w:t xml:space="preserve"> </w:t>
      </w:r>
      <w:r>
        <w:rPr>
          <w:rFonts w:ascii="Palatino Linotype" w:hAnsi="Palatino Linotype"/>
        </w:rPr>
        <w:t>(21) DE AGOSTO</w:t>
      </w:r>
      <w:r w:rsidRPr="003C7186">
        <w:rPr>
          <w:rFonts w:ascii="Palatino Linotype" w:hAnsi="Palatino Linotype"/>
        </w:rPr>
        <w:t xml:space="preserve"> DE DOS MIL VEINTICUATRO, ANTE EL SECRETARIO TÉCNICO DEL PLENO ALEXIS TAPIA RAMÍREZ. </w:t>
      </w:r>
    </w:p>
    <w:p w14:paraId="5D05D3DB" w14:textId="77777777" w:rsidR="00E31311" w:rsidRDefault="00E31311">
      <w:pPr>
        <w:spacing w:line="360" w:lineRule="auto"/>
        <w:jc w:val="both"/>
        <w:rPr>
          <w:rFonts w:ascii="Palatino Linotype" w:eastAsia="Palatino Linotype" w:hAnsi="Palatino Linotype" w:cs="Palatino Linotype"/>
        </w:rPr>
      </w:pPr>
    </w:p>
    <w:p w14:paraId="439D5D44" w14:textId="77777777" w:rsidR="00E31311" w:rsidRDefault="00E31311">
      <w:pPr>
        <w:spacing w:line="360" w:lineRule="auto"/>
        <w:jc w:val="both"/>
        <w:rPr>
          <w:rFonts w:ascii="Palatino Linotype" w:eastAsia="Palatino Linotype" w:hAnsi="Palatino Linotype" w:cs="Palatino Linotype"/>
        </w:rPr>
      </w:pPr>
    </w:p>
    <w:p w14:paraId="070FC05D" w14:textId="77777777" w:rsidR="00E31311" w:rsidRDefault="00E31311">
      <w:pPr>
        <w:spacing w:line="360" w:lineRule="auto"/>
        <w:jc w:val="both"/>
        <w:rPr>
          <w:rFonts w:ascii="Palatino Linotype" w:eastAsia="Palatino Linotype" w:hAnsi="Palatino Linotype" w:cs="Palatino Linotype"/>
        </w:rPr>
      </w:pPr>
    </w:p>
    <w:p w14:paraId="02536E48" w14:textId="77777777" w:rsidR="00E31311" w:rsidRDefault="00E31311">
      <w:pPr>
        <w:spacing w:line="360" w:lineRule="auto"/>
        <w:jc w:val="both"/>
        <w:rPr>
          <w:rFonts w:ascii="Palatino Linotype" w:eastAsia="Palatino Linotype" w:hAnsi="Palatino Linotype" w:cs="Palatino Linotype"/>
        </w:rPr>
      </w:pPr>
    </w:p>
    <w:p w14:paraId="55BA6000" w14:textId="77777777" w:rsidR="00E31311" w:rsidRDefault="00E31311">
      <w:pPr>
        <w:spacing w:line="360" w:lineRule="auto"/>
        <w:jc w:val="both"/>
        <w:rPr>
          <w:rFonts w:ascii="Palatino Linotype" w:eastAsia="Palatino Linotype" w:hAnsi="Palatino Linotype" w:cs="Palatino Linotype"/>
        </w:rPr>
      </w:pPr>
    </w:p>
    <w:p w14:paraId="6A01C168" w14:textId="77777777" w:rsidR="00E31311" w:rsidRDefault="00E31311">
      <w:pPr>
        <w:spacing w:line="360" w:lineRule="auto"/>
        <w:jc w:val="both"/>
        <w:rPr>
          <w:rFonts w:ascii="Palatino Linotype" w:eastAsia="Palatino Linotype" w:hAnsi="Palatino Linotype" w:cs="Palatino Linotype"/>
        </w:rPr>
      </w:pPr>
    </w:p>
    <w:p w14:paraId="6065A8B7" w14:textId="77777777" w:rsidR="00E31311" w:rsidRDefault="00E31311">
      <w:pPr>
        <w:spacing w:line="360" w:lineRule="auto"/>
        <w:rPr>
          <w:rFonts w:ascii="Palatino Linotype" w:eastAsia="Palatino Linotype" w:hAnsi="Palatino Linotype" w:cs="Palatino Linotype"/>
        </w:rPr>
      </w:pPr>
    </w:p>
    <w:p w14:paraId="370670F0" w14:textId="77777777" w:rsidR="00E31311" w:rsidRDefault="00E31311">
      <w:pPr>
        <w:spacing w:line="360" w:lineRule="auto"/>
        <w:rPr>
          <w:rFonts w:ascii="Palatino Linotype" w:eastAsia="Palatino Linotype" w:hAnsi="Palatino Linotype" w:cs="Palatino Linotype"/>
        </w:rPr>
      </w:pPr>
    </w:p>
    <w:p w14:paraId="0D2775B7" w14:textId="77777777" w:rsidR="00E31311" w:rsidRDefault="00E31311">
      <w:pPr>
        <w:spacing w:line="360" w:lineRule="auto"/>
        <w:rPr>
          <w:rFonts w:ascii="Palatino Linotype" w:eastAsia="Palatino Linotype" w:hAnsi="Palatino Linotype" w:cs="Palatino Linotype"/>
        </w:rPr>
      </w:pPr>
    </w:p>
    <w:p w14:paraId="3DDBAEBE" w14:textId="77777777" w:rsidR="00E31311" w:rsidRDefault="00E31311">
      <w:pPr>
        <w:spacing w:line="360" w:lineRule="auto"/>
        <w:rPr>
          <w:rFonts w:ascii="Palatino Linotype" w:eastAsia="Palatino Linotype" w:hAnsi="Palatino Linotype" w:cs="Palatino Linotype"/>
        </w:rPr>
      </w:pPr>
    </w:p>
    <w:p w14:paraId="2FCB90E2" w14:textId="77777777" w:rsidR="00E31311" w:rsidRDefault="00E31311">
      <w:pPr>
        <w:spacing w:line="360" w:lineRule="auto"/>
        <w:rPr>
          <w:rFonts w:ascii="Palatino Linotype" w:eastAsia="Palatino Linotype" w:hAnsi="Palatino Linotype" w:cs="Palatino Linotype"/>
        </w:rPr>
      </w:pPr>
    </w:p>
    <w:p w14:paraId="2F81EA1F" w14:textId="77777777" w:rsidR="00E31311" w:rsidRDefault="00E31311">
      <w:pPr>
        <w:spacing w:line="360" w:lineRule="auto"/>
        <w:rPr>
          <w:rFonts w:ascii="Palatino Linotype" w:eastAsia="Palatino Linotype" w:hAnsi="Palatino Linotype" w:cs="Palatino Linotype"/>
        </w:rPr>
      </w:pPr>
    </w:p>
    <w:p w14:paraId="25FF6DB2" w14:textId="77777777" w:rsidR="00E31311" w:rsidRDefault="00E31311">
      <w:pPr>
        <w:spacing w:line="360" w:lineRule="auto"/>
        <w:rPr>
          <w:rFonts w:ascii="Palatino Linotype" w:eastAsia="Palatino Linotype" w:hAnsi="Palatino Linotype" w:cs="Palatino Linotype"/>
        </w:rPr>
      </w:pPr>
    </w:p>
    <w:p w14:paraId="5320159D" w14:textId="77777777" w:rsidR="00E31311" w:rsidRDefault="00DF6EAE">
      <w:pPr>
        <w:tabs>
          <w:tab w:val="left" w:pos="3374"/>
        </w:tabs>
        <w:spacing w:line="360" w:lineRule="auto"/>
        <w:rPr>
          <w:rFonts w:ascii="Palatino Linotype" w:eastAsia="Palatino Linotype" w:hAnsi="Palatino Linotype" w:cs="Palatino Linotype"/>
        </w:rPr>
      </w:pPr>
      <w:r>
        <w:rPr>
          <w:rFonts w:ascii="Palatino Linotype" w:eastAsia="Palatino Linotype" w:hAnsi="Palatino Linotype" w:cs="Palatino Linotype"/>
        </w:rPr>
        <w:tab/>
      </w:r>
    </w:p>
    <w:p w14:paraId="10E9FA9C" w14:textId="77777777" w:rsidR="00E31311" w:rsidRDefault="00E31311">
      <w:pPr>
        <w:tabs>
          <w:tab w:val="left" w:pos="3374"/>
        </w:tabs>
        <w:spacing w:line="360" w:lineRule="auto"/>
        <w:rPr>
          <w:rFonts w:ascii="Palatino Linotype" w:eastAsia="Palatino Linotype" w:hAnsi="Palatino Linotype" w:cs="Palatino Linotype"/>
        </w:rPr>
      </w:pPr>
    </w:p>
    <w:p w14:paraId="7B3FEC97" w14:textId="77777777" w:rsidR="00E31311" w:rsidRDefault="00E31311">
      <w:pPr>
        <w:tabs>
          <w:tab w:val="left" w:pos="3374"/>
        </w:tabs>
        <w:spacing w:line="360" w:lineRule="auto"/>
        <w:rPr>
          <w:rFonts w:ascii="Palatino Linotype" w:eastAsia="Palatino Linotype" w:hAnsi="Palatino Linotype" w:cs="Palatino Linotype"/>
        </w:rPr>
      </w:pPr>
    </w:p>
    <w:p w14:paraId="5E64465A" w14:textId="77777777" w:rsidR="00E31311" w:rsidRDefault="00E31311">
      <w:pPr>
        <w:tabs>
          <w:tab w:val="left" w:pos="3374"/>
        </w:tabs>
        <w:spacing w:line="360" w:lineRule="auto"/>
        <w:rPr>
          <w:rFonts w:ascii="Palatino Linotype" w:eastAsia="Palatino Linotype" w:hAnsi="Palatino Linotype" w:cs="Palatino Linotype"/>
        </w:rPr>
      </w:pPr>
    </w:p>
    <w:p w14:paraId="47EBE14E" w14:textId="77777777" w:rsidR="00E31311" w:rsidRDefault="00E31311">
      <w:pPr>
        <w:tabs>
          <w:tab w:val="left" w:pos="3374"/>
        </w:tabs>
        <w:spacing w:line="360" w:lineRule="auto"/>
        <w:rPr>
          <w:rFonts w:ascii="Palatino Linotype" w:eastAsia="Palatino Linotype" w:hAnsi="Palatino Linotype" w:cs="Palatino Linotype"/>
        </w:rPr>
      </w:pPr>
    </w:p>
    <w:p w14:paraId="3F2F5BC8" w14:textId="77777777" w:rsidR="00E31311" w:rsidRDefault="00E31311">
      <w:pPr>
        <w:tabs>
          <w:tab w:val="left" w:pos="3374"/>
        </w:tabs>
        <w:spacing w:line="360" w:lineRule="auto"/>
        <w:rPr>
          <w:rFonts w:ascii="Palatino Linotype" w:eastAsia="Palatino Linotype" w:hAnsi="Palatino Linotype" w:cs="Palatino Linotype"/>
        </w:rPr>
      </w:pPr>
    </w:p>
    <w:p w14:paraId="16E0D775" w14:textId="77777777" w:rsidR="00E31311" w:rsidRDefault="00E31311">
      <w:pPr>
        <w:tabs>
          <w:tab w:val="left" w:pos="3374"/>
        </w:tabs>
        <w:spacing w:line="360" w:lineRule="auto"/>
        <w:rPr>
          <w:rFonts w:ascii="Palatino Linotype" w:eastAsia="Palatino Linotype" w:hAnsi="Palatino Linotype" w:cs="Palatino Linotype"/>
        </w:rPr>
      </w:pPr>
    </w:p>
    <w:p w14:paraId="4AB66823" w14:textId="77777777" w:rsidR="00E31311" w:rsidRDefault="00E31311">
      <w:pPr>
        <w:tabs>
          <w:tab w:val="left" w:pos="3374"/>
        </w:tabs>
        <w:spacing w:line="360" w:lineRule="auto"/>
        <w:rPr>
          <w:rFonts w:ascii="Palatino Linotype" w:eastAsia="Palatino Linotype" w:hAnsi="Palatino Linotype" w:cs="Palatino Linotype"/>
        </w:rPr>
      </w:pPr>
    </w:p>
    <w:p w14:paraId="52C5EF3D" w14:textId="77777777" w:rsidR="00E31311" w:rsidRDefault="00E31311">
      <w:pPr>
        <w:tabs>
          <w:tab w:val="left" w:pos="3374"/>
        </w:tabs>
        <w:spacing w:line="360" w:lineRule="auto"/>
        <w:rPr>
          <w:rFonts w:ascii="Palatino Linotype" w:eastAsia="Palatino Linotype" w:hAnsi="Palatino Linotype" w:cs="Palatino Linotype"/>
        </w:rPr>
      </w:pPr>
    </w:p>
    <w:p w14:paraId="5C759DF9" w14:textId="77777777" w:rsidR="00E31311" w:rsidRDefault="00E31311"/>
    <w:sectPr w:rsidR="00E31311">
      <w:headerReference w:type="even" r:id="rId22"/>
      <w:headerReference w:type="default" r:id="rId23"/>
      <w:footerReference w:type="default" r:id="rId24"/>
      <w:headerReference w:type="first" r:id="rId25"/>
      <w:footerReference w:type="first" r:id="rId26"/>
      <w:pgSz w:w="12240" w:h="15840"/>
      <w:pgMar w:top="2268" w:right="1608" w:bottom="1702"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09C1F9" w14:textId="77777777" w:rsidR="00A574A4" w:rsidRDefault="00A574A4">
      <w:r>
        <w:separator/>
      </w:r>
    </w:p>
  </w:endnote>
  <w:endnote w:type="continuationSeparator" w:id="0">
    <w:p w14:paraId="1F2298B6" w14:textId="77777777" w:rsidR="00A574A4" w:rsidRDefault="00A574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08856" w14:textId="77777777" w:rsidR="00E31311" w:rsidRDefault="00DF6EAE">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073FAF">
      <w:rPr>
        <w:rFonts w:ascii="Palatino Linotype" w:eastAsia="Palatino Linotype" w:hAnsi="Palatino Linotype" w:cs="Palatino Linotype"/>
        <w:noProof/>
        <w:color w:val="000000"/>
        <w:sz w:val="20"/>
        <w:szCs w:val="20"/>
      </w:rPr>
      <w:t>32</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073FAF">
      <w:rPr>
        <w:rFonts w:ascii="Palatino Linotype" w:eastAsia="Palatino Linotype" w:hAnsi="Palatino Linotype" w:cs="Palatino Linotype"/>
        <w:noProof/>
        <w:color w:val="000000"/>
        <w:sz w:val="20"/>
        <w:szCs w:val="20"/>
      </w:rPr>
      <w:t>34</w:t>
    </w:r>
    <w:r>
      <w:rPr>
        <w:rFonts w:ascii="Palatino Linotype" w:eastAsia="Palatino Linotype" w:hAnsi="Palatino Linotype" w:cs="Palatino Linotype"/>
        <w:color w:val="000000"/>
        <w:sz w:val="20"/>
        <w:szCs w:val="20"/>
      </w:rPr>
      <w:fldChar w:fldCharType="end"/>
    </w:r>
  </w:p>
  <w:p w14:paraId="078B1726" w14:textId="77777777" w:rsidR="00E31311" w:rsidRDefault="00E31311">
    <w:pPr>
      <w:pBdr>
        <w:top w:val="nil"/>
        <w:left w:val="nil"/>
        <w:bottom w:val="nil"/>
        <w:right w:val="nil"/>
        <w:between w:val="nil"/>
      </w:pBdr>
      <w:tabs>
        <w:tab w:val="center" w:pos="4419"/>
        <w:tab w:val="right" w:pos="8838"/>
      </w:tabs>
      <w:rPr>
        <w:rFonts w:eastAsia="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235EB" w14:textId="77777777" w:rsidR="00E31311" w:rsidRDefault="00DF6EAE">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073FAF">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073FAF">
      <w:rPr>
        <w:rFonts w:ascii="Palatino Linotype" w:eastAsia="Palatino Linotype" w:hAnsi="Palatino Linotype" w:cs="Palatino Linotype"/>
        <w:noProof/>
        <w:color w:val="000000"/>
        <w:sz w:val="20"/>
        <w:szCs w:val="20"/>
      </w:rPr>
      <w:t>34</w:t>
    </w:r>
    <w:r>
      <w:rPr>
        <w:rFonts w:ascii="Palatino Linotype" w:eastAsia="Palatino Linotype" w:hAnsi="Palatino Linotype" w:cs="Palatino Linotype"/>
        <w:color w:val="000000"/>
        <w:sz w:val="20"/>
        <w:szCs w:val="20"/>
      </w:rPr>
      <w:fldChar w:fldCharType="end"/>
    </w:r>
  </w:p>
  <w:p w14:paraId="403B5A9A" w14:textId="77777777" w:rsidR="00E31311" w:rsidRDefault="00E31311">
    <w:pPr>
      <w:pBdr>
        <w:top w:val="nil"/>
        <w:left w:val="nil"/>
        <w:bottom w:val="nil"/>
        <w:right w:val="nil"/>
        <w:between w:val="nil"/>
      </w:pBdr>
      <w:tabs>
        <w:tab w:val="center" w:pos="4419"/>
        <w:tab w:val="right" w:pos="8838"/>
      </w:tabs>
      <w:rPr>
        <w:rFonts w:eastAsia="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00C2CA" w14:textId="77777777" w:rsidR="00A574A4" w:rsidRDefault="00A574A4">
      <w:r>
        <w:separator/>
      </w:r>
    </w:p>
  </w:footnote>
  <w:footnote w:type="continuationSeparator" w:id="0">
    <w:p w14:paraId="02863DF2" w14:textId="77777777" w:rsidR="00A574A4" w:rsidRDefault="00A574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FDE97" w14:textId="77777777" w:rsidR="00E31311" w:rsidRDefault="00A574A4">
    <w:pPr>
      <w:pBdr>
        <w:top w:val="nil"/>
        <w:left w:val="nil"/>
        <w:bottom w:val="nil"/>
        <w:right w:val="nil"/>
        <w:between w:val="nil"/>
      </w:pBdr>
      <w:tabs>
        <w:tab w:val="center" w:pos="4419"/>
        <w:tab w:val="right" w:pos="8838"/>
      </w:tabs>
      <w:rPr>
        <w:rFonts w:eastAsia="Calibri"/>
        <w:color w:val="000000"/>
      </w:rPr>
    </w:pPr>
    <w:r>
      <w:rPr>
        <w:rFonts w:eastAsia="Calibri"/>
        <w:color w:val="000000"/>
      </w:rPr>
      <w:pict w14:anchorId="2B751D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609.4pt;height:793.75pt;z-index:-251657728;mso-position-horizontal:center;mso-position-horizontal-relative:margin;mso-position-vertical:center;mso-position-vertical-relative:margin">
          <v:imagedata r:id="rId1" o:title="image1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91727" w14:textId="77777777" w:rsidR="00E31311" w:rsidRDefault="00E31311">
    <w:pPr>
      <w:widowControl w:val="0"/>
      <w:pBdr>
        <w:top w:val="nil"/>
        <w:left w:val="nil"/>
        <w:bottom w:val="nil"/>
        <w:right w:val="nil"/>
        <w:between w:val="nil"/>
      </w:pBdr>
      <w:spacing w:line="276" w:lineRule="auto"/>
      <w:rPr>
        <w:rFonts w:eastAsia="Calibri"/>
        <w:color w:val="000000"/>
      </w:rPr>
    </w:pPr>
  </w:p>
  <w:tbl>
    <w:tblPr>
      <w:tblStyle w:val="a0"/>
      <w:tblW w:w="6519" w:type="dxa"/>
      <w:tblInd w:w="2694" w:type="dxa"/>
      <w:tblLayout w:type="fixed"/>
      <w:tblLook w:val="0400" w:firstRow="0" w:lastRow="0" w:firstColumn="0" w:lastColumn="0" w:noHBand="0" w:noVBand="1"/>
    </w:tblPr>
    <w:tblGrid>
      <w:gridCol w:w="2976"/>
      <w:gridCol w:w="3543"/>
    </w:tblGrid>
    <w:tr w:rsidR="00E31311" w14:paraId="344086D3" w14:textId="77777777">
      <w:trPr>
        <w:trHeight w:val="227"/>
      </w:trPr>
      <w:tc>
        <w:tcPr>
          <w:tcW w:w="2976" w:type="dxa"/>
          <w:vAlign w:val="center"/>
        </w:tcPr>
        <w:p w14:paraId="1269F781" w14:textId="77777777" w:rsidR="00E31311" w:rsidRDefault="00DF6EAE">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543" w:type="dxa"/>
          <w:vAlign w:val="center"/>
        </w:tcPr>
        <w:p w14:paraId="0648DC85" w14:textId="77777777" w:rsidR="00E31311" w:rsidRDefault="00DF6EAE">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02248/INFOEM/IP/RR/2024</w:t>
          </w:r>
        </w:p>
      </w:tc>
    </w:tr>
    <w:tr w:rsidR="00E31311" w14:paraId="79CE75B4" w14:textId="77777777">
      <w:trPr>
        <w:trHeight w:val="242"/>
      </w:trPr>
      <w:tc>
        <w:tcPr>
          <w:tcW w:w="2976" w:type="dxa"/>
          <w:vAlign w:val="center"/>
        </w:tcPr>
        <w:p w14:paraId="2A812272" w14:textId="77777777" w:rsidR="00E31311" w:rsidRDefault="00DF6EAE">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543" w:type="dxa"/>
          <w:vAlign w:val="center"/>
        </w:tcPr>
        <w:p w14:paraId="3713486E" w14:textId="77777777" w:rsidR="00E31311" w:rsidRDefault="00DF6EAE">
          <w:pPr>
            <w:pBdr>
              <w:top w:val="nil"/>
              <w:left w:val="nil"/>
              <w:bottom w:val="nil"/>
              <w:right w:val="nil"/>
              <w:between w:val="nil"/>
            </w:pBdr>
            <w:tabs>
              <w:tab w:val="center" w:pos="4419"/>
              <w:tab w:val="right" w:pos="8838"/>
            </w:tabs>
            <w:jc w:val="both"/>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Ayuntamiento de Metepec</w:t>
          </w:r>
        </w:p>
      </w:tc>
    </w:tr>
    <w:tr w:rsidR="00E31311" w14:paraId="7148C272" w14:textId="77777777">
      <w:trPr>
        <w:trHeight w:val="342"/>
      </w:trPr>
      <w:tc>
        <w:tcPr>
          <w:tcW w:w="2976" w:type="dxa"/>
          <w:vAlign w:val="center"/>
        </w:tcPr>
        <w:p w14:paraId="0086811E" w14:textId="77777777" w:rsidR="00E31311" w:rsidRDefault="00DF6EAE">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543" w:type="dxa"/>
          <w:vAlign w:val="center"/>
        </w:tcPr>
        <w:p w14:paraId="4313FFCA" w14:textId="77777777" w:rsidR="00E31311" w:rsidRDefault="00DF6EAE">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María del Rosario Mejía Ayala</w:t>
          </w:r>
        </w:p>
      </w:tc>
    </w:tr>
  </w:tbl>
  <w:p w14:paraId="0F588175" w14:textId="77777777" w:rsidR="00E31311" w:rsidRDefault="00A574A4">
    <w:pPr>
      <w:pBdr>
        <w:top w:val="nil"/>
        <w:left w:val="nil"/>
        <w:bottom w:val="nil"/>
        <w:right w:val="nil"/>
        <w:between w:val="nil"/>
      </w:pBdr>
      <w:tabs>
        <w:tab w:val="center" w:pos="4419"/>
        <w:tab w:val="right" w:pos="8838"/>
        <w:tab w:val="left" w:pos="6005"/>
      </w:tabs>
      <w:rPr>
        <w:rFonts w:eastAsia="Calibri"/>
        <w:color w:val="000000"/>
        <w:sz w:val="14"/>
        <w:szCs w:val="14"/>
      </w:rPr>
    </w:pPr>
    <w:r>
      <w:rPr>
        <w:rFonts w:eastAsia="Calibri"/>
        <w:color w:val="000000"/>
        <w:sz w:val="14"/>
        <w:szCs w:val="14"/>
      </w:rPr>
      <w:pict w14:anchorId="46F460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 style="position:absolute;margin-left:-82.3pt;margin-top:-110.1pt;width:609.4pt;height:793.75pt;z-index:-251659776;mso-position-horizontal:absolute;mso-position-horizontal-relative:margin;mso-position-vertical:absolute;mso-position-vertical-relative:margin">
          <v:imagedata r:id="rId1" o:title="image14"/>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73BB2" w14:textId="77777777" w:rsidR="00E31311" w:rsidRDefault="00E31311">
    <w:pPr>
      <w:widowControl w:val="0"/>
      <w:pBdr>
        <w:top w:val="nil"/>
        <w:left w:val="nil"/>
        <w:bottom w:val="nil"/>
        <w:right w:val="nil"/>
        <w:between w:val="nil"/>
      </w:pBdr>
      <w:spacing w:line="276" w:lineRule="auto"/>
      <w:rPr>
        <w:rFonts w:eastAsia="Calibri"/>
        <w:color w:val="000000"/>
        <w:sz w:val="14"/>
        <w:szCs w:val="14"/>
      </w:rPr>
    </w:pPr>
  </w:p>
  <w:tbl>
    <w:tblPr>
      <w:tblStyle w:val="a1"/>
      <w:tblW w:w="6660" w:type="dxa"/>
      <w:tblInd w:w="2552" w:type="dxa"/>
      <w:tblLayout w:type="fixed"/>
      <w:tblLook w:val="0400" w:firstRow="0" w:lastRow="0" w:firstColumn="0" w:lastColumn="0" w:noHBand="0" w:noVBand="1"/>
    </w:tblPr>
    <w:tblGrid>
      <w:gridCol w:w="2977"/>
      <w:gridCol w:w="3683"/>
    </w:tblGrid>
    <w:tr w:rsidR="00E31311" w14:paraId="65AB629C" w14:textId="77777777">
      <w:trPr>
        <w:trHeight w:val="227"/>
      </w:trPr>
      <w:tc>
        <w:tcPr>
          <w:tcW w:w="2977" w:type="dxa"/>
          <w:vAlign w:val="center"/>
        </w:tcPr>
        <w:p w14:paraId="57BA175F" w14:textId="77777777" w:rsidR="00E31311" w:rsidRDefault="00DF6EAE">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4" w:type="dxa"/>
          <w:vAlign w:val="center"/>
        </w:tcPr>
        <w:p w14:paraId="191F6D28" w14:textId="77777777" w:rsidR="00E31311" w:rsidRDefault="00DF6EAE">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02248/INFOEM/IP/RR/2024</w:t>
          </w:r>
        </w:p>
      </w:tc>
    </w:tr>
    <w:tr w:rsidR="00E31311" w14:paraId="1EABF283" w14:textId="77777777">
      <w:trPr>
        <w:trHeight w:val="242"/>
      </w:trPr>
      <w:tc>
        <w:tcPr>
          <w:tcW w:w="2977" w:type="dxa"/>
          <w:vAlign w:val="center"/>
        </w:tcPr>
        <w:p w14:paraId="7AF2D4A8" w14:textId="77777777" w:rsidR="00E31311" w:rsidRDefault="00DF6EAE">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4" w:type="dxa"/>
        </w:tcPr>
        <w:p w14:paraId="50D53701" w14:textId="6B1B5145" w:rsidR="00E31311" w:rsidRDefault="00714247">
          <w:pPr>
            <w:pBdr>
              <w:top w:val="nil"/>
              <w:left w:val="nil"/>
              <w:bottom w:val="nil"/>
              <w:right w:val="nil"/>
              <w:between w:val="nil"/>
            </w:pBdr>
            <w:tabs>
              <w:tab w:val="center" w:pos="4419"/>
              <w:tab w:val="right" w:pos="8838"/>
              <w:tab w:val="left" w:pos="521"/>
            </w:tabs>
            <w:rPr>
              <w:rFonts w:ascii="Palatino Linotype" w:eastAsia="Palatino Linotype" w:hAnsi="Palatino Linotype" w:cs="Palatino Linotype"/>
              <w:sz w:val="22"/>
              <w:szCs w:val="22"/>
              <w:highlight w:val="green"/>
            </w:rPr>
          </w:pPr>
          <w:r>
            <w:rPr>
              <w:rFonts w:ascii="Palatino Linotype" w:eastAsia="Palatino Linotype" w:hAnsi="Palatino Linotype" w:cs="Palatino Linotype"/>
              <w:sz w:val="22"/>
              <w:szCs w:val="22"/>
            </w:rPr>
            <w:t xml:space="preserve">XXX </w:t>
          </w:r>
          <w:proofErr w:type="spellStart"/>
          <w:r>
            <w:rPr>
              <w:rFonts w:ascii="Palatino Linotype" w:eastAsia="Palatino Linotype" w:hAnsi="Palatino Linotype" w:cs="Palatino Linotype"/>
              <w:sz w:val="22"/>
              <w:szCs w:val="22"/>
            </w:rPr>
            <w:t>XXX</w:t>
          </w:r>
          <w:proofErr w:type="spellEnd"/>
        </w:p>
      </w:tc>
    </w:tr>
    <w:tr w:rsidR="00E31311" w14:paraId="49116C18" w14:textId="77777777">
      <w:trPr>
        <w:trHeight w:val="342"/>
      </w:trPr>
      <w:tc>
        <w:tcPr>
          <w:tcW w:w="2977" w:type="dxa"/>
          <w:vAlign w:val="center"/>
        </w:tcPr>
        <w:p w14:paraId="45835A90" w14:textId="77777777" w:rsidR="00E31311" w:rsidRDefault="00DF6EAE">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4" w:type="dxa"/>
          <w:vAlign w:val="center"/>
        </w:tcPr>
        <w:p w14:paraId="5B363162" w14:textId="77777777" w:rsidR="00E31311" w:rsidRDefault="00DF6EAE">
          <w:pPr>
            <w:pBdr>
              <w:top w:val="nil"/>
              <w:left w:val="nil"/>
              <w:bottom w:val="nil"/>
              <w:right w:val="nil"/>
              <w:between w:val="nil"/>
            </w:pBdr>
            <w:tabs>
              <w:tab w:val="center" w:pos="4419"/>
              <w:tab w:val="right" w:pos="8838"/>
            </w:tabs>
            <w:jc w:val="both"/>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Ayuntamiento de Metepec</w:t>
          </w:r>
        </w:p>
      </w:tc>
    </w:tr>
    <w:tr w:rsidR="00E31311" w14:paraId="1355BE69" w14:textId="77777777">
      <w:trPr>
        <w:trHeight w:val="342"/>
      </w:trPr>
      <w:tc>
        <w:tcPr>
          <w:tcW w:w="2977" w:type="dxa"/>
          <w:vAlign w:val="center"/>
        </w:tcPr>
        <w:p w14:paraId="3C6CB959" w14:textId="77777777" w:rsidR="00E31311" w:rsidRDefault="00DF6EAE">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4" w:type="dxa"/>
          <w:vAlign w:val="center"/>
        </w:tcPr>
        <w:p w14:paraId="320F6300" w14:textId="77777777" w:rsidR="00E31311" w:rsidRDefault="00DF6EAE">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María del Rosario Mejía Ayala</w:t>
          </w:r>
        </w:p>
      </w:tc>
    </w:tr>
  </w:tbl>
  <w:p w14:paraId="5B767997" w14:textId="77777777" w:rsidR="00E31311" w:rsidRDefault="00A574A4">
    <w:pPr>
      <w:pBdr>
        <w:top w:val="nil"/>
        <w:left w:val="nil"/>
        <w:bottom w:val="nil"/>
        <w:right w:val="nil"/>
        <w:between w:val="nil"/>
      </w:pBdr>
      <w:tabs>
        <w:tab w:val="center" w:pos="4419"/>
        <w:tab w:val="right" w:pos="8838"/>
      </w:tabs>
      <w:rPr>
        <w:rFonts w:eastAsia="Calibri"/>
        <w:color w:val="000000"/>
        <w:sz w:val="16"/>
        <w:szCs w:val="16"/>
      </w:rPr>
    </w:pPr>
    <w:r>
      <w:rPr>
        <w:rFonts w:eastAsia="Calibri"/>
        <w:color w:val="000000"/>
        <w:sz w:val="16"/>
        <w:szCs w:val="16"/>
      </w:rPr>
      <w:pict w14:anchorId="2817FE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 style="position:absolute;margin-left:-84.55pt;margin-top:-132.2pt;width:609.4pt;height:793.75pt;z-index:-251658752;mso-position-horizontal:absolute;mso-position-horizontal-relative:margin;mso-position-vertical:absolute;mso-position-vertical-relative:margin">
          <v:imagedata r:id="rId1" o:title="image1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5D3A1E"/>
    <w:multiLevelType w:val="multilevel"/>
    <w:tmpl w:val="8698D6BA"/>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28365323"/>
    <w:multiLevelType w:val="multilevel"/>
    <w:tmpl w:val="4434E6B8"/>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90B3B35"/>
    <w:multiLevelType w:val="multilevel"/>
    <w:tmpl w:val="551200D6"/>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3" w15:restartNumberingAfterBreak="0">
    <w:nsid w:val="61A9686B"/>
    <w:multiLevelType w:val="multilevel"/>
    <w:tmpl w:val="4064CE7E"/>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4" w15:restartNumberingAfterBreak="0">
    <w:nsid w:val="75C26308"/>
    <w:multiLevelType w:val="multilevel"/>
    <w:tmpl w:val="CC5CA2F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05050930">
    <w:abstractNumId w:val="4"/>
  </w:num>
  <w:num w:numId="2" w16cid:durableId="1855994304">
    <w:abstractNumId w:val="2"/>
  </w:num>
  <w:num w:numId="3" w16cid:durableId="1837570914">
    <w:abstractNumId w:val="1"/>
  </w:num>
  <w:num w:numId="4" w16cid:durableId="1794905922">
    <w:abstractNumId w:val="3"/>
  </w:num>
  <w:num w:numId="5" w16cid:durableId="11219960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1311"/>
    <w:rsid w:val="0007156C"/>
    <w:rsid w:val="00073FAF"/>
    <w:rsid w:val="00087612"/>
    <w:rsid w:val="00141693"/>
    <w:rsid w:val="00383965"/>
    <w:rsid w:val="003A51AB"/>
    <w:rsid w:val="00492E9C"/>
    <w:rsid w:val="00714247"/>
    <w:rsid w:val="00717387"/>
    <w:rsid w:val="00734F0D"/>
    <w:rsid w:val="00775C3A"/>
    <w:rsid w:val="008108AB"/>
    <w:rsid w:val="00A574A4"/>
    <w:rsid w:val="00DF6EAE"/>
    <w:rsid w:val="00E3131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083D3A"/>
  <w15:docId w15:val="{0AD45E22-F306-495E-BA3A-0420B7B5A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31B4"/>
    <w:rPr>
      <w:rFonts w:eastAsiaTheme="minorEastAsia"/>
      <w:lang w:eastAsia="es-ES"/>
    </w:rPr>
  </w:style>
  <w:style w:type="paragraph" w:styleId="Ttulo1">
    <w:name w:val="heading 1"/>
    <w:basedOn w:val="Normal"/>
    <w:next w:val="Normal"/>
    <w:link w:val="Ttulo1Car"/>
    <w:uiPriority w:val="1"/>
    <w:qFormat/>
    <w:rsid w:val="0094261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4261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character" w:customStyle="1" w:styleId="Ttulo1Car">
    <w:name w:val="Título 1 Car"/>
    <w:basedOn w:val="Fuentedeprrafopredeter"/>
    <w:link w:val="Ttulo1"/>
    <w:uiPriority w:val="9"/>
    <w:rsid w:val="00942616"/>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link w:val="Ttulo2"/>
    <w:uiPriority w:val="9"/>
    <w:rsid w:val="00942616"/>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2616"/>
    <w:pPr>
      <w:tabs>
        <w:tab w:val="center" w:pos="4419"/>
        <w:tab w:val="right" w:pos="8838"/>
      </w:tabs>
    </w:pPr>
  </w:style>
  <w:style w:type="character" w:customStyle="1" w:styleId="EncabezadoCar">
    <w:name w:val="Encabezado Car"/>
    <w:basedOn w:val="Fuentedeprrafopredeter"/>
    <w:link w:val="Encabezado"/>
    <w:uiPriority w:val="99"/>
    <w:rsid w:val="00942616"/>
    <w:rPr>
      <w:rFonts w:eastAsiaTheme="minorEastAsia"/>
      <w:sz w:val="24"/>
      <w:szCs w:val="24"/>
      <w:lang w:val="es-ES_tradnl" w:eastAsia="es-ES"/>
    </w:rPr>
  </w:style>
  <w:style w:type="paragraph" w:styleId="Piedepgina">
    <w:name w:val="footer"/>
    <w:basedOn w:val="Normal"/>
    <w:link w:val="PiedepginaCar"/>
    <w:uiPriority w:val="99"/>
    <w:unhideWhenUsed/>
    <w:rsid w:val="00942616"/>
    <w:pPr>
      <w:tabs>
        <w:tab w:val="center" w:pos="4419"/>
        <w:tab w:val="right" w:pos="8838"/>
      </w:tabs>
    </w:pPr>
  </w:style>
  <w:style w:type="character" w:customStyle="1" w:styleId="PiedepginaCar">
    <w:name w:val="Pie de página Car"/>
    <w:basedOn w:val="Fuentedeprrafopredeter"/>
    <w:link w:val="Piedepgina"/>
    <w:uiPriority w:val="99"/>
    <w:rsid w:val="00942616"/>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942616"/>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42616"/>
    <w:rPr>
      <w:rFonts w:eastAsiaTheme="minorHAnsi"/>
      <w:sz w:val="20"/>
      <w:szCs w:val="20"/>
      <w:lang w:val="es-MX" w:eastAsia="en-US"/>
    </w:rPr>
  </w:style>
  <w:style w:type="character" w:customStyle="1" w:styleId="TextonotapieCar1">
    <w:name w:val="Texto nota pie Car1"/>
    <w:basedOn w:val="Fuentedeprrafopredeter"/>
    <w:uiPriority w:val="99"/>
    <w:semiHidden/>
    <w:rsid w:val="00942616"/>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942616"/>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261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2616"/>
    <w:rPr>
      <w:rFonts w:eastAsiaTheme="minorEastAsia"/>
      <w:sz w:val="24"/>
      <w:szCs w:val="24"/>
      <w:lang w:val="es-ES_tradnl" w:eastAsia="es-ES"/>
    </w:rPr>
  </w:style>
  <w:style w:type="table" w:styleId="Tablanormal1">
    <w:name w:val="Plain Table 1"/>
    <w:basedOn w:val="Tablanormal"/>
    <w:uiPriority w:val="41"/>
    <w:rsid w:val="0094261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aliases w:val="Hipervínculo1,Hipervínculo11,Hipervínculo12,Hipervínculo13,Hipervínculo14,Hipervínculo15"/>
    <w:basedOn w:val="Fuentedeprrafopredeter"/>
    <w:uiPriority w:val="99"/>
    <w:unhideWhenUsed/>
    <w:qFormat/>
    <w:rsid w:val="004D1B9C"/>
    <w:rPr>
      <w:color w:val="0563C1" w:themeColor="hyperlink"/>
      <w:u w:val="single"/>
    </w:rPr>
  </w:style>
  <w:style w:type="table" w:styleId="Tablaconcuadrcula">
    <w:name w:val="Table Grid"/>
    <w:basedOn w:val="Tablanormal"/>
    <w:uiPriority w:val="39"/>
    <w:rsid w:val="00284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nhideWhenUsed/>
    <w:rsid w:val="004C20DC"/>
    <w:pPr>
      <w:spacing w:before="120" w:after="120"/>
      <w:ind w:left="283"/>
      <w:jc w:val="center"/>
    </w:pPr>
    <w:rPr>
      <w:rFonts w:eastAsia="Calibri" w:cs="Times New Roman"/>
      <w:sz w:val="22"/>
      <w:szCs w:val="22"/>
      <w:lang w:val="x-none" w:eastAsia="en-US"/>
    </w:rPr>
  </w:style>
  <w:style w:type="character" w:customStyle="1" w:styleId="SangradetextonormalCar">
    <w:name w:val="Sangría de texto normal Car"/>
    <w:basedOn w:val="Fuentedeprrafopredeter"/>
    <w:link w:val="Sangradetextonormal"/>
    <w:rsid w:val="004C20DC"/>
    <w:rPr>
      <w:rFonts w:ascii="Calibri" w:eastAsia="Calibri" w:hAnsi="Calibri" w:cs="Times New Roman"/>
      <w:lang w:val="x-non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077711.page"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xtir3TVLr3cTl888M9WsI9OyqA==">CgMxLjAyCGguZ2pkZ3hzMgloLjMwajB6bGwyCWguMWZvYjl0ZTIJaC4zem55c2g3MgloLjJldDkycDAyCGgudHlqY3d0MgloLjNkeTZ2a20yCWguMXQzaDVzZjIJaC40ZDM0b2c4OAByITFPc2MtYUNmaC1NV0NnRXBOSVZuN2R3UEFKbW5sRTU0SQ==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34</Pages>
  <Words>6139</Words>
  <Characters>33765</Characters>
  <Application>Microsoft Office Word</Application>
  <DocSecurity>0</DocSecurity>
  <Lines>281</Lines>
  <Paragraphs>79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39825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Belen Sanchez Estrada</dc:creator>
  <cp:lastModifiedBy>inf03m612@outlook.com</cp:lastModifiedBy>
  <cp:revision>6</cp:revision>
  <cp:lastPrinted>2024-08-22T17:32:00Z</cp:lastPrinted>
  <dcterms:created xsi:type="dcterms:W3CDTF">2024-08-19T19:21:00Z</dcterms:created>
  <dcterms:modified xsi:type="dcterms:W3CDTF">2024-08-28T17:11:00Z</dcterms:modified>
</cp:coreProperties>
</file>