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8FC1" w14:textId="00FE779F" w:rsidR="00CE58A5" w:rsidRPr="00795BFE" w:rsidRDefault="00CE4466" w:rsidP="0060503B">
      <w:pPr>
        <w:spacing w:after="0" w:line="360" w:lineRule="auto"/>
      </w:pPr>
      <w:r w:rsidRPr="00795BFE">
        <w:t xml:space="preserve">Resolución del Pleno del Instituto de Transparencia, Acceso a la Información Pública y Protección de Datos Personales del Estado de México y Municipios, con domicilio en Metepec, Estado de México, de fecha </w:t>
      </w:r>
      <w:r w:rsidR="00431F7B" w:rsidRPr="00795BFE">
        <w:t>veintisiete de noviembre</w:t>
      </w:r>
      <w:r w:rsidRPr="00795BFE">
        <w:t xml:space="preserve"> de dos mil veinticuatro.</w:t>
      </w:r>
    </w:p>
    <w:p w14:paraId="5B1FA2B3" w14:textId="77777777" w:rsidR="00CE58A5" w:rsidRPr="00795BFE" w:rsidRDefault="00CE58A5" w:rsidP="0060503B">
      <w:pPr>
        <w:spacing w:after="0" w:line="360" w:lineRule="auto"/>
        <w:rPr>
          <w:b/>
        </w:rPr>
      </w:pPr>
    </w:p>
    <w:p w14:paraId="67B180B8" w14:textId="0DADC876" w:rsidR="00CE58A5" w:rsidRPr="00795BFE" w:rsidRDefault="00CE4466" w:rsidP="0060503B">
      <w:pPr>
        <w:spacing w:after="0" w:line="360" w:lineRule="auto"/>
      </w:pPr>
      <w:r w:rsidRPr="00795BFE">
        <w:rPr>
          <w:b/>
        </w:rPr>
        <w:t>VISTO</w:t>
      </w:r>
      <w:r w:rsidRPr="00795BFE">
        <w:t xml:space="preserve"> el expediente conformado con motivo del Recurso de Revisión </w:t>
      </w:r>
      <w:r w:rsidR="00875233" w:rsidRPr="00A432FA">
        <w:rPr>
          <w:b/>
        </w:rPr>
        <w:t>06676</w:t>
      </w:r>
      <w:r w:rsidR="006D4068" w:rsidRPr="00A432FA">
        <w:rPr>
          <w:b/>
        </w:rPr>
        <w:t>/INFOEM/IP/RR/2024</w:t>
      </w:r>
      <w:r w:rsidRPr="00A432FA">
        <w:rPr>
          <w:b/>
        </w:rPr>
        <w:t>,</w:t>
      </w:r>
      <w:r w:rsidRPr="00795BFE">
        <w:t xml:space="preserve"> interpuesto </w:t>
      </w:r>
      <w:r w:rsidR="001A54EF" w:rsidRPr="00795BFE">
        <w:t xml:space="preserve">por </w:t>
      </w:r>
      <w:r w:rsidR="006B0679" w:rsidRPr="00795BFE">
        <w:t>el</w:t>
      </w:r>
      <w:r w:rsidR="006D4068" w:rsidRPr="00795BFE">
        <w:t xml:space="preserve"> </w:t>
      </w:r>
      <w:r w:rsidRPr="00795BFE">
        <w:t xml:space="preserve">Recurrente o Particular, en contra de la respuesta del Sujeto Obligado, </w:t>
      </w:r>
      <w:bookmarkStart w:id="0" w:name="_GoBack"/>
      <w:r w:rsidRPr="00A432FA">
        <w:rPr>
          <w:b/>
        </w:rPr>
        <w:t xml:space="preserve">Ayuntamiento de </w:t>
      </w:r>
      <w:r w:rsidR="006B0679" w:rsidRPr="00A432FA">
        <w:rPr>
          <w:b/>
        </w:rPr>
        <w:t>Temamatla</w:t>
      </w:r>
      <w:r w:rsidRPr="00A432FA">
        <w:rPr>
          <w:b/>
        </w:rPr>
        <w:t>,</w:t>
      </w:r>
      <w:r w:rsidRPr="00795BFE">
        <w:t xml:space="preserve"> </w:t>
      </w:r>
      <w:bookmarkEnd w:id="0"/>
      <w:r w:rsidRPr="00795BFE">
        <w:t xml:space="preserve">a la solicitud de acceso a la información </w:t>
      </w:r>
      <w:r w:rsidR="00875233" w:rsidRPr="00795BFE">
        <w:rPr>
          <w:color w:val="0D0D0D"/>
        </w:rPr>
        <w:t>00462/TEMAMATL/IP/2024</w:t>
      </w:r>
      <w:r w:rsidRPr="00795BFE">
        <w:rPr>
          <w:bCs/>
        </w:rPr>
        <w:t>, se emite la presente</w:t>
      </w:r>
      <w:r w:rsidRPr="00795BFE">
        <w:t xml:space="preserve"> Resolución, con base en los Antecedentes y Considerandos que se exponen a continuación:</w:t>
      </w:r>
    </w:p>
    <w:p w14:paraId="73DD6C24" w14:textId="6D4C9EA9" w:rsidR="00CE58A5" w:rsidRPr="00795BFE" w:rsidRDefault="00CE4466" w:rsidP="0060503B">
      <w:pPr>
        <w:pStyle w:val="Ttulo1"/>
        <w:spacing w:before="0" w:after="0"/>
      </w:pPr>
      <w:bookmarkStart w:id="1" w:name="_Toc179975594"/>
      <w:bookmarkStart w:id="2" w:name="_Toc179976882"/>
      <w:r w:rsidRPr="00795BFE">
        <w:t>A N T E C E D E N T E S</w:t>
      </w:r>
      <w:bookmarkEnd w:id="1"/>
      <w:bookmarkEnd w:id="2"/>
    </w:p>
    <w:p w14:paraId="30C1BFAF" w14:textId="34BE2403" w:rsidR="00CE58A5" w:rsidRPr="00795BFE" w:rsidRDefault="00CE4466" w:rsidP="0060503B">
      <w:pPr>
        <w:pStyle w:val="Ttulo2"/>
        <w:spacing w:before="0" w:after="0"/>
      </w:pPr>
      <w:bookmarkStart w:id="3" w:name="_Toc179975595"/>
      <w:bookmarkStart w:id="4" w:name="_Toc179976883"/>
      <w:r w:rsidRPr="00795BFE">
        <w:t>I. Presentación</w:t>
      </w:r>
      <w:bookmarkEnd w:id="3"/>
      <w:r w:rsidRPr="00795BFE">
        <w:t xml:space="preserve"> </w:t>
      </w:r>
      <w:r w:rsidR="00E57161" w:rsidRPr="00795BFE">
        <w:t>de la solicitud</w:t>
      </w:r>
      <w:bookmarkEnd w:id="4"/>
    </w:p>
    <w:p w14:paraId="13E36A34" w14:textId="77777777" w:rsidR="00CE58A5" w:rsidRPr="00795BFE" w:rsidRDefault="00CE58A5" w:rsidP="0060503B">
      <w:pPr>
        <w:tabs>
          <w:tab w:val="left" w:pos="567"/>
        </w:tabs>
        <w:spacing w:after="0" w:line="360" w:lineRule="auto"/>
      </w:pPr>
    </w:p>
    <w:p w14:paraId="166E0743" w14:textId="7FE1AE79" w:rsidR="00CE58A5" w:rsidRPr="00795BFE" w:rsidRDefault="00CE4466" w:rsidP="0060503B">
      <w:pPr>
        <w:spacing w:after="0" w:line="360" w:lineRule="auto"/>
      </w:pPr>
      <w:r w:rsidRPr="00795BFE">
        <w:t xml:space="preserve">Con fecha </w:t>
      </w:r>
      <w:r w:rsidR="00875233" w:rsidRPr="00795BFE">
        <w:t xml:space="preserve">dos de octubre </w:t>
      </w:r>
      <w:r w:rsidR="006D4068" w:rsidRPr="00795BFE">
        <w:t xml:space="preserve"> de dos mil veinticuatro</w:t>
      </w:r>
      <w:r w:rsidR="00153BA5" w:rsidRPr="00795BFE">
        <w:t xml:space="preserve"> </w:t>
      </w:r>
      <w:r w:rsidR="005301CC" w:rsidRPr="00795BFE">
        <w:t>(ya que si bien se registr</w:t>
      </w:r>
      <w:r w:rsidR="00153BA5" w:rsidRPr="00795BFE">
        <w:t>ó el</w:t>
      </w:r>
      <w:r w:rsidR="00153BA5" w:rsidRPr="00795BFE">
        <w:br/>
        <w:t>primero de dicho mes y año, este fue inhábil, por lo que se tuvo por</w:t>
      </w:r>
      <w:r w:rsidR="00153BA5" w:rsidRPr="00795BFE">
        <w:br/>
        <w:t>presentado el día hábil siguiente</w:t>
      </w:r>
      <w:r w:rsidR="005301CC" w:rsidRPr="00795BFE">
        <w:t>)</w:t>
      </w:r>
      <w:r w:rsidRPr="00795BFE">
        <w:t>, el Particular presentó una solicitud de acceso a la información pública</w:t>
      </w:r>
      <w:r w:rsidR="001A54EF" w:rsidRPr="00795BFE">
        <w:t xml:space="preserve"> </w:t>
      </w:r>
      <w:r w:rsidRPr="00795BFE">
        <w:t xml:space="preserve"> a través del Sistema de Acceso a la Información Mexiquense (SAIMEX), ante el Ayuntamiento de </w:t>
      </w:r>
      <w:r w:rsidR="00875233" w:rsidRPr="00795BFE">
        <w:t>Temamatla</w:t>
      </w:r>
      <w:r w:rsidRPr="00795BFE">
        <w:t xml:space="preserve">, en los siguientes términos: </w:t>
      </w:r>
    </w:p>
    <w:p w14:paraId="16195BED" w14:textId="77777777" w:rsidR="00CE58A5" w:rsidRPr="00795BFE" w:rsidRDefault="00CE58A5" w:rsidP="0060503B">
      <w:pPr>
        <w:spacing w:after="0" w:line="360" w:lineRule="auto"/>
      </w:pPr>
    </w:p>
    <w:p w14:paraId="65E84A9E" w14:textId="77777777" w:rsidR="00CE58A5" w:rsidRPr="00795BFE" w:rsidRDefault="00CE4466" w:rsidP="0060503B">
      <w:pPr>
        <w:tabs>
          <w:tab w:val="left" w:pos="4667"/>
        </w:tabs>
        <w:spacing w:after="0" w:line="360" w:lineRule="auto"/>
        <w:ind w:left="567" w:right="567"/>
        <w:rPr>
          <w:b/>
          <w:i/>
          <w:sz w:val="20"/>
          <w:szCs w:val="20"/>
        </w:rPr>
      </w:pPr>
      <w:r w:rsidRPr="00795BFE">
        <w:rPr>
          <w:b/>
          <w:i/>
          <w:sz w:val="20"/>
          <w:szCs w:val="20"/>
        </w:rPr>
        <w:t>“DESCRIPCIÓN CLARA Y PRECISA DE LA INFORMACIÓN SOLICITADA.</w:t>
      </w:r>
    </w:p>
    <w:p w14:paraId="1B838018" w14:textId="15F2F441" w:rsidR="00CE58A5" w:rsidRPr="00795BFE" w:rsidRDefault="003000F7" w:rsidP="0060503B">
      <w:pPr>
        <w:tabs>
          <w:tab w:val="left" w:pos="4667"/>
        </w:tabs>
        <w:spacing w:after="0" w:line="360" w:lineRule="auto"/>
        <w:ind w:left="567" w:right="567"/>
        <w:rPr>
          <w:i/>
          <w:sz w:val="20"/>
          <w:szCs w:val="20"/>
        </w:rPr>
      </w:pPr>
      <w:r w:rsidRPr="00795BFE">
        <w:rPr>
          <w:i/>
          <w:sz w:val="20"/>
          <w:szCs w:val="20"/>
        </w:rPr>
        <w:t>Cuantas licencias de construcción se expidieron mensualmente y cual fue el importe de la recaudación mensual, durante la administración 2022 2024</w:t>
      </w:r>
      <w:r w:rsidR="006D4068" w:rsidRPr="00795BFE">
        <w:rPr>
          <w:i/>
          <w:sz w:val="20"/>
          <w:szCs w:val="20"/>
        </w:rPr>
        <w:t>.</w:t>
      </w:r>
      <w:r w:rsidR="001A54EF" w:rsidRPr="00795BFE">
        <w:rPr>
          <w:i/>
          <w:sz w:val="20"/>
          <w:szCs w:val="20"/>
        </w:rPr>
        <w:t xml:space="preserve">” </w:t>
      </w:r>
      <w:r w:rsidR="001A54EF" w:rsidRPr="00795BFE">
        <w:rPr>
          <w:i/>
          <w:sz w:val="16"/>
          <w:szCs w:val="16"/>
        </w:rPr>
        <w:t>(</w:t>
      </w:r>
      <w:r w:rsidR="001A54EF" w:rsidRPr="00795BFE">
        <w:rPr>
          <w:i/>
          <w:sz w:val="20"/>
          <w:szCs w:val="20"/>
        </w:rPr>
        <w:t xml:space="preserve">Sic) </w:t>
      </w:r>
    </w:p>
    <w:p w14:paraId="039CE69D" w14:textId="77777777" w:rsidR="001A54EF" w:rsidRPr="00795BFE" w:rsidRDefault="001A54EF" w:rsidP="0060503B">
      <w:pPr>
        <w:tabs>
          <w:tab w:val="left" w:pos="4667"/>
        </w:tabs>
        <w:spacing w:after="0" w:line="360" w:lineRule="auto"/>
        <w:ind w:left="567" w:right="567"/>
        <w:rPr>
          <w:b/>
          <w:i/>
          <w:sz w:val="20"/>
          <w:szCs w:val="20"/>
        </w:rPr>
      </w:pPr>
    </w:p>
    <w:p w14:paraId="0C1B5F6D" w14:textId="77777777" w:rsidR="00CE58A5" w:rsidRPr="00795BFE" w:rsidRDefault="00CE4466" w:rsidP="0060503B">
      <w:pPr>
        <w:tabs>
          <w:tab w:val="left" w:pos="4667"/>
        </w:tabs>
        <w:spacing w:after="0" w:line="360" w:lineRule="auto"/>
        <w:ind w:left="567" w:right="567"/>
        <w:rPr>
          <w:b/>
          <w:i/>
          <w:sz w:val="20"/>
          <w:szCs w:val="20"/>
        </w:rPr>
      </w:pPr>
      <w:r w:rsidRPr="00795BFE">
        <w:rPr>
          <w:b/>
          <w:i/>
          <w:sz w:val="20"/>
          <w:szCs w:val="20"/>
        </w:rPr>
        <w:t>“MODALIDAD DE ENTREGA</w:t>
      </w:r>
    </w:p>
    <w:p w14:paraId="11287FA3" w14:textId="77777777" w:rsidR="00CE58A5" w:rsidRPr="00795BFE" w:rsidRDefault="00CE4466" w:rsidP="0060503B">
      <w:pPr>
        <w:spacing w:after="0" w:line="360" w:lineRule="auto"/>
        <w:ind w:left="567" w:right="567"/>
        <w:rPr>
          <w:i/>
          <w:sz w:val="20"/>
          <w:szCs w:val="20"/>
        </w:rPr>
      </w:pPr>
      <w:r w:rsidRPr="00795BFE">
        <w:rPr>
          <w:i/>
          <w:sz w:val="20"/>
          <w:szCs w:val="20"/>
        </w:rPr>
        <w:t>A través del SAIMEX”</w:t>
      </w:r>
    </w:p>
    <w:p w14:paraId="59B55C0B" w14:textId="77777777" w:rsidR="00CE58A5" w:rsidRPr="00795BFE" w:rsidRDefault="00CE58A5" w:rsidP="0060503B">
      <w:pPr>
        <w:spacing w:after="0" w:line="360" w:lineRule="auto"/>
        <w:rPr>
          <w:b/>
        </w:rPr>
      </w:pPr>
    </w:p>
    <w:p w14:paraId="1D98E4F2" w14:textId="42494019" w:rsidR="00CE58A5" w:rsidRPr="00795BFE" w:rsidRDefault="001A54EF" w:rsidP="0060503B">
      <w:pPr>
        <w:pStyle w:val="Ttulo2"/>
        <w:spacing w:before="0" w:after="0"/>
      </w:pPr>
      <w:bookmarkStart w:id="5" w:name="_Toc179975597"/>
      <w:bookmarkStart w:id="6" w:name="_Toc179976885"/>
      <w:r w:rsidRPr="00795BFE">
        <w:lastRenderedPageBreak/>
        <w:t>II. Respuesta del Sujeto Obligado</w:t>
      </w:r>
      <w:bookmarkEnd w:id="5"/>
      <w:bookmarkEnd w:id="6"/>
    </w:p>
    <w:p w14:paraId="0D93CE51" w14:textId="77777777" w:rsidR="00CE58A5" w:rsidRPr="00795BFE" w:rsidRDefault="00CE58A5" w:rsidP="0060503B">
      <w:pPr>
        <w:spacing w:after="0" w:line="360" w:lineRule="auto"/>
        <w:rPr>
          <w:b/>
        </w:rPr>
      </w:pPr>
    </w:p>
    <w:p w14:paraId="7A5EA7F4" w14:textId="68BCC2AA" w:rsidR="00CE58A5" w:rsidRPr="00795BFE" w:rsidRDefault="00CE4466" w:rsidP="0060503B">
      <w:pPr>
        <w:spacing w:after="0" w:line="360" w:lineRule="auto"/>
      </w:pPr>
      <w:r w:rsidRPr="00795BFE">
        <w:t xml:space="preserve">Con fecha </w:t>
      </w:r>
      <w:r w:rsidR="003000F7" w:rsidRPr="00795BFE">
        <w:t>veintidós</w:t>
      </w:r>
      <w:r w:rsidR="006B0679" w:rsidRPr="00795BFE">
        <w:t xml:space="preserve"> de octubre</w:t>
      </w:r>
      <w:r w:rsidR="00BD76D4" w:rsidRPr="00795BFE">
        <w:t xml:space="preserve"> de dos mil veinticuatro</w:t>
      </w:r>
      <w:r w:rsidRPr="00795BFE">
        <w:t xml:space="preserve">, el Sujeto Obligado notificó, a través del Sistema de Acceso a la Información Mexiquense (SAIMEX), la respuesta a la solicitud de acceso a la información pública, </w:t>
      </w:r>
      <w:r w:rsidR="00EE1C8D" w:rsidRPr="00795BFE">
        <w:t xml:space="preserve">mediante la remisión de los siguientes documentos: </w:t>
      </w:r>
    </w:p>
    <w:p w14:paraId="0F09AE9C" w14:textId="6B046B3A" w:rsidR="00EE1C8D" w:rsidRPr="00795BFE" w:rsidRDefault="00EE1C8D" w:rsidP="0060503B">
      <w:pPr>
        <w:spacing w:after="0" w:line="360" w:lineRule="auto"/>
      </w:pPr>
    </w:p>
    <w:p w14:paraId="017C614E" w14:textId="162104A5" w:rsidR="00EE1C8D" w:rsidRPr="00795BFE" w:rsidRDefault="00EE1C8D" w:rsidP="0060503B">
      <w:pPr>
        <w:pStyle w:val="Prrafodelista"/>
        <w:numPr>
          <w:ilvl w:val="0"/>
          <w:numId w:val="25"/>
        </w:numPr>
        <w:spacing w:line="360" w:lineRule="auto"/>
      </w:pPr>
      <w:r w:rsidRPr="00795BFE">
        <w:t xml:space="preserve">Digitalización del oficio </w:t>
      </w:r>
      <w:r w:rsidR="003000F7" w:rsidRPr="00795BFE">
        <w:t>DDUYE/098/2024</w:t>
      </w:r>
      <w:r w:rsidRPr="00795BFE">
        <w:t xml:space="preserve"> </w:t>
      </w:r>
      <w:r w:rsidR="003000F7" w:rsidRPr="00795BFE">
        <w:t>del Director de Desarrollo Urbano y Ecología</w:t>
      </w:r>
      <w:r w:rsidRPr="00795BFE">
        <w:t xml:space="preserve">, donde </w:t>
      </w:r>
      <w:r w:rsidR="004D36C3" w:rsidRPr="00795BFE">
        <w:t>solicitó</w:t>
      </w:r>
      <w:r w:rsidR="00486255" w:rsidRPr="00795BFE">
        <w:t xml:space="preserve"> el cambio de modalidad a consulta directa</w:t>
      </w:r>
      <w:r w:rsidR="000E03ED" w:rsidRPr="00795BFE">
        <w:t>.</w:t>
      </w:r>
    </w:p>
    <w:p w14:paraId="6E250BDA" w14:textId="03C6718C" w:rsidR="0036629A" w:rsidRPr="00795BFE" w:rsidRDefault="0036629A" w:rsidP="0060503B">
      <w:pPr>
        <w:pStyle w:val="Prrafodelista"/>
        <w:numPr>
          <w:ilvl w:val="0"/>
          <w:numId w:val="25"/>
        </w:numPr>
        <w:spacing w:line="360" w:lineRule="auto"/>
      </w:pPr>
      <w:r w:rsidRPr="00795BFE">
        <w:t>Digital</w:t>
      </w:r>
      <w:r w:rsidR="00486255" w:rsidRPr="00795BFE">
        <w:t>ización de la Octogésima Cuarta</w:t>
      </w:r>
      <w:r w:rsidRPr="00795BFE">
        <w:t xml:space="preserve"> Sesión Ordinaria del Comité de Transparencia, donde se aprobó el cambio de modalidad </w:t>
      </w:r>
      <w:r w:rsidR="00CF3A29" w:rsidRPr="00795BFE">
        <w:t xml:space="preserve">a consulta directa </w:t>
      </w:r>
      <w:r w:rsidRPr="00795BFE">
        <w:t xml:space="preserve">en la entrega de la información de diversas solicitudes de información, incluida la </w:t>
      </w:r>
      <w:r w:rsidR="00CF3A29" w:rsidRPr="00795BFE">
        <w:t xml:space="preserve">solicitud </w:t>
      </w:r>
      <w:r w:rsidR="00E84D5E" w:rsidRPr="00795BFE">
        <w:t xml:space="preserve">presente </w:t>
      </w:r>
      <w:r w:rsidR="00486255" w:rsidRPr="00795BFE">
        <w:rPr>
          <w:b/>
        </w:rPr>
        <w:t>00462/TEMAMATL/IP/2024</w:t>
      </w:r>
      <w:r w:rsidR="00CF3A29" w:rsidRPr="00795BFE">
        <w:t>.</w:t>
      </w:r>
    </w:p>
    <w:p w14:paraId="1B84C446" w14:textId="26272694" w:rsidR="000A5247" w:rsidRPr="00795BFE" w:rsidRDefault="000A5247" w:rsidP="0060503B">
      <w:pPr>
        <w:spacing w:after="0" w:line="360" w:lineRule="auto"/>
      </w:pPr>
    </w:p>
    <w:p w14:paraId="2FA06B09" w14:textId="66EBE1D7" w:rsidR="00CE58A5" w:rsidRPr="00795BFE" w:rsidRDefault="00CE4466" w:rsidP="0060503B">
      <w:pPr>
        <w:pStyle w:val="Ttulo2"/>
        <w:spacing w:before="0" w:after="0"/>
      </w:pPr>
      <w:bookmarkStart w:id="7" w:name="_Toc179975598"/>
      <w:bookmarkStart w:id="8" w:name="_Toc179976886"/>
      <w:r w:rsidRPr="00795BFE">
        <w:t>I</w:t>
      </w:r>
      <w:r w:rsidR="00A50615" w:rsidRPr="00795BFE">
        <w:t>V</w:t>
      </w:r>
      <w:r w:rsidRPr="00795BFE">
        <w:t>. Interposición del Recurso de Revisión</w:t>
      </w:r>
      <w:bookmarkEnd w:id="7"/>
      <w:bookmarkEnd w:id="8"/>
    </w:p>
    <w:p w14:paraId="3837109C" w14:textId="77777777" w:rsidR="00CE58A5" w:rsidRPr="00795BFE" w:rsidRDefault="00CE58A5" w:rsidP="0060503B">
      <w:pPr>
        <w:spacing w:after="0" w:line="360" w:lineRule="auto"/>
        <w:rPr>
          <w:b/>
        </w:rPr>
      </w:pPr>
    </w:p>
    <w:p w14:paraId="3385106E" w14:textId="7CDE3573" w:rsidR="00CE58A5" w:rsidRPr="00795BFE" w:rsidRDefault="00CE4466" w:rsidP="0060503B">
      <w:pPr>
        <w:spacing w:after="0" w:line="360" w:lineRule="auto"/>
      </w:pPr>
      <w:r w:rsidRPr="00795BFE">
        <w:t>Con fecha</w:t>
      </w:r>
      <w:r w:rsidR="00B55470" w:rsidRPr="00795BFE">
        <w:t xml:space="preserve"> veinticinco</w:t>
      </w:r>
      <w:r w:rsidR="00CF3A29" w:rsidRPr="00795BFE">
        <w:t xml:space="preserve"> de octubre </w:t>
      </w:r>
      <w:r w:rsidR="00DD7C00" w:rsidRPr="00795BFE">
        <w:t xml:space="preserve"> de dos mil veinticuatro</w:t>
      </w:r>
      <w:r w:rsidRPr="00795BFE">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795BFE" w:rsidRDefault="00CE58A5" w:rsidP="0060503B">
      <w:pPr>
        <w:spacing w:after="0" w:line="360" w:lineRule="auto"/>
      </w:pPr>
    </w:p>
    <w:p w14:paraId="70843217" w14:textId="77777777" w:rsidR="00CE58A5" w:rsidRPr="00795BFE" w:rsidRDefault="00CE4466" w:rsidP="0060503B">
      <w:pPr>
        <w:spacing w:after="0" w:line="360" w:lineRule="auto"/>
        <w:ind w:left="567" w:right="567"/>
        <w:rPr>
          <w:i/>
          <w:sz w:val="20"/>
          <w:szCs w:val="20"/>
        </w:rPr>
      </w:pPr>
      <w:r w:rsidRPr="00795BFE">
        <w:rPr>
          <w:b/>
          <w:i/>
          <w:sz w:val="20"/>
          <w:szCs w:val="20"/>
        </w:rPr>
        <w:t>“ACTO IMPUGNADO”</w:t>
      </w:r>
    </w:p>
    <w:p w14:paraId="1A82882E" w14:textId="5B42893C" w:rsidR="00CE58A5" w:rsidRPr="00795BFE" w:rsidRDefault="00CF3A29" w:rsidP="0060503B">
      <w:pPr>
        <w:spacing w:after="0" w:line="360" w:lineRule="auto"/>
        <w:ind w:left="567" w:right="567"/>
        <w:rPr>
          <w:i/>
          <w:sz w:val="20"/>
          <w:szCs w:val="20"/>
        </w:rPr>
      </w:pPr>
      <w:r w:rsidRPr="00795BFE">
        <w:rPr>
          <w:i/>
          <w:color w:val="000000"/>
          <w:sz w:val="20"/>
          <w:szCs w:val="20"/>
        </w:rPr>
        <w:t xml:space="preserve">RESPUESTA </w:t>
      </w:r>
      <w:r w:rsidR="00B55470" w:rsidRPr="00795BFE">
        <w:rPr>
          <w:i/>
          <w:color w:val="000000"/>
          <w:sz w:val="20"/>
          <w:szCs w:val="20"/>
        </w:rPr>
        <w:t>OTORGADA</w:t>
      </w:r>
      <w:r w:rsidR="00791585" w:rsidRPr="00795BFE">
        <w:rPr>
          <w:i/>
          <w:sz w:val="20"/>
          <w:szCs w:val="20"/>
        </w:rPr>
        <w:t>” (Sic.)</w:t>
      </w:r>
    </w:p>
    <w:p w14:paraId="1CAF0EE0" w14:textId="77777777" w:rsidR="00CE58A5" w:rsidRPr="00795BFE" w:rsidRDefault="00CE58A5" w:rsidP="0060503B">
      <w:pPr>
        <w:spacing w:after="0" w:line="360" w:lineRule="auto"/>
        <w:ind w:left="567" w:right="567"/>
        <w:rPr>
          <w:i/>
          <w:sz w:val="20"/>
          <w:szCs w:val="20"/>
        </w:rPr>
      </w:pPr>
    </w:p>
    <w:p w14:paraId="02DA69C4" w14:textId="77777777" w:rsidR="00CE58A5" w:rsidRPr="00795BFE" w:rsidRDefault="00CE4466" w:rsidP="0060503B">
      <w:pPr>
        <w:spacing w:after="0" w:line="360" w:lineRule="auto"/>
        <w:ind w:left="567" w:right="567"/>
        <w:rPr>
          <w:b/>
          <w:i/>
          <w:sz w:val="20"/>
          <w:szCs w:val="20"/>
        </w:rPr>
      </w:pPr>
      <w:r w:rsidRPr="00795BFE">
        <w:rPr>
          <w:b/>
          <w:i/>
          <w:sz w:val="20"/>
          <w:szCs w:val="20"/>
        </w:rPr>
        <w:t>“RAZONES O MOTIVOS DE LA INCONFORMIDAD”</w:t>
      </w:r>
    </w:p>
    <w:p w14:paraId="10183522" w14:textId="472E2FBA" w:rsidR="00CE58A5" w:rsidRPr="00795BFE" w:rsidRDefault="00B55470" w:rsidP="0060503B">
      <w:pPr>
        <w:spacing w:after="0" w:line="360" w:lineRule="auto"/>
        <w:ind w:left="567" w:right="567"/>
        <w:rPr>
          <w:i/>
          <w:sz w:val="20"/>
          <w:szCs w:val="20"/>
        </w:rPr>
      </w:pPr>
      <w:r w:rsidRPr="00795BFE">
        <w:rPr>
          <w:i/>
          <w:color w:val="000000"/>
          <w:sz w:val="20"/>
          <w:szCs w:val="20"/>
        </w:rPr>
        <w:t xml:space="preserve">EL SUJETO OBLIGADO MANIFIESTA QUE LA ENTREGA DE INFORMACION SERA MEDIANTE CONSULTA DIRECTA EN UNA FECHA Y UN HORARIO IGUAL AL ESTABLECIDO EN LAS SOLICITUDES 438, 441, 442, 445, 446, 448, ,449, ,450, 451,452,454,455,456,458,459, 460,461,462,463,464,465,466,467,468,470, 471, 472, 473, 474,480, </w:t>
      </w:r>
      <w:r w:rsidRPr="00795BFE">
        <w:rPr>
          <w:i/>
          <w:color w:val="000000"/>
          <w:sz w:val="20"/>
          <w:szCs w:val="20"/>
        </w:rPr>
        <w:lastRenderedPageBreak/>
        <w:t>481,482,483, 493, 498,499,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00DD7C00" w:rsidRPr="00795BFE">
        <w:rPr>
          <w:i/>
          <w:color w:val="000000"/>
          <w:sz w:val="20"/>
          <w:szCs w:val="20"/>
        </w:rPr>
        <w:t>.</w:t>
      </w:r>
      <w:r w:rsidR="00791585" w:rsidRPr="00795BFE">
        <w:rPr>
          <w:i/>
          <w:sz w:val="20"/>
          <w:szCs w:val="20"/>
        </w:rPr>
        <w:t>” (Sic.)</w:t>
      </w:r>
    </w:p>
    <w:p w14:paraId="0BBB2449" w14:textId="77777777" w:rsidR="00CE58A5" w:rsidRPr="00795BFE" w:rsidRDefault="00CE58A5" w:rsidP="0060503B">
      <w:pPr>
        <w:spacing w:after="0" w:line="360" w:lineRule="auto"/>
      </w:pPr>
    </w:p>
    <w:p w14:paraId="256BC137" w14:textId="0243D312" w:rsidR="00CE58A5" w:rsidRPr="00795BFE" w:rsidRDefault="00CE4466" w:rsidP="0060503B">
      <w:pPr>
        <w:pStyle w:val="Ttulo2"/>
        <w:spacing w:before="0" w:after="0"/>
      </w:pPr>
      <w:bookmarkStart w:id="9" w:name="_Toc179975599"/>
      <w:bookmarkStart w:id="10" w:name="_Toc179976887"/>
      <w:r w:rsidRPr="00795BFE">
        <w:t>V. Trámite del Recurso de Revisión ante este Instituto</w:t>
      </w:r>
      <w:bookmarkEnd w:id="9"/>
      <w:bookmarkEnd w:id="10"/>
    </w:p>
    <w:p w14:paraId="08451C4E" w14:textId="77777777" w:rsidR="001A54EF" w:rsidRPr="00795BFE" w:rsidRDefault="001A54EF" w:rsidP="0060503B">
      <w:pPr>
        <w:spacing w:after="0" w:line="360" w:lineRule="auto"/>
        <w:rPr>
          <w:b/>
        </w:rPr>
      </w:pPr>
    </w:p>
    <w:p w14:paraId="31E01367" w14:textId="7C430461" w:rsidR="00CE58A5" w:rsidRPr="00795BFE" w:rsidRDefault="00CE4466" w:rsidP="0060503B">
      <w:pPr>
        <w:spacing w:after="0" w:line="360" w:lineRule="auto"/>
        <w:rPr>
          <w:b/>
        </w:rPr>
      </w:pPr>
      <w:r w:rsidRPr="00795BFE">
        <w:rPr>
          <w:b/>
        </w:rPr>
        <w:t>a) Turno del Medio de Impugnación.</w:t>
      </w:r>
      <w:r w:rsidRPr="00795BFE">
        <w:t xml:space="preserve"> El </w:t>
      </w:r>
      <w:r w:rsidR="00B55470" w:rsidRPr="00795BFE">
        <w:t>veinticinco</w:t>
      </w:r>
      <w:r w:rsidR="00A148A4" w:rsidRPr="00795BFE">
        <w:t xml:space="preserve"> de octubre  de dos mil veinticuatro</w:t>
      </w:r>
      <w:r w:rsidRPr="00795BFE">
        <w:t xml:space="preserve">, el Sistema de Acceso a la Información Mexiquense (SAIMEX), asignó el número de expediente </w:t>
      </w:r>
      <w:r w:rsidR="00B55470" w:rsidRPr="00795BFE">
        <w:rPr>
          <w:b/>
        </w:rPr>
        <w:t>06676</w:t>
      </w:r>
      <w:r w:rsidR="00FB2C05" w:rsidRPr="00795BFE">
        <w:rPr>
          <w:b/>
        </w:rPr>
        <w:t xml:space="preserve"> </w:t>
      </w:r>
      <w:r w:rsidR="006D4068" w:rsidRPr="00795BFE">
        <w:rPr>
          <w:b/>
        </w:rPr>
        <w:t>/INFOEM/IP/RR/2024</w:t>
      </w:r>
      <w:r w:rsidRPr="00795BFE">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795BFE" w:rsidRDefault="00CE58A5" w:rsidP="0060503B">
      <w:pPr>
        <w:spacing w:after="0" w:line="360" w:lineRule="auto"/>
      </w:pPr>
    </w:p>
    <w:p w14:paraId="69DE9485" w14:textId="62C7CB36" w:rsidR="00CE58A5" w:rsidRPr="00795BFE" w:rsidRDefault="00CE4466" w:rsidP="0060503B">
      <w:pPr>
        <w:spacing w:after="0" w:line="360" w:lineRule="auto"/>
      </w:pPr>
      <w:r w:rsidRPr="00795BFE">
        <w:rPr>
          <w:b/>
        </w:rPr>
        <w:t>b) Admisión del Recurso de Revisión.</w:t>
      </w:r>
      <w:r w:rsidRPr="00795BFE">
        <w:t xml:space="preserve"> El </w:t>
      </w:r>
      <w:r w:rsidR="00B55470" w:rsidRPr="00795BFE">
        <w:t>treinta</w:t>
      </w:r>
      <w:r w:rsidR="00FB2C05" w:rsidRPr="00795BFE">
        <w:t xml:space="preserve"> de octubre</w:t>
      </w:r>
      <w:r w:rsidR="00DD7C00" w:rsidRPr="00795BFE">
        <w:t xml:space="preserve"> de dos mil veinticuatro</w:t>
      </w:r>
      <w:r w:rsidRPr="00795BFE">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795BFE">
        <w:t>once</w:t>
      </w:r>
      <w:r w:rsidRPr="00795BFE">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795BFE" w:rsidRDefault="00CE58A5" w:rsidP="0060503B">
      <w:pPr>
        <w:spacing w:after="0" w:line="360" w:lineRule="auto"/>
        <w:rPr>
          <w:b/>
        </w:rPr>
      </w:pPr>
    </w:p>
    <w:p w14:paraId="3590ED0A" w14:textId="11DD05F2" w:rsidR="00CE58A5" w:rsidRPr="00795BFE" w:rsidRDefault="00CE4466" w:rsidP="0060503B">
      <w:pPr>
        <w:spacing w:after="0" w:line="360" w:lineRule="auto"/>
      </w:pPr>
      <w:r w:rsidRPr="00795BFE">
        <w:rPr>
          <w:b/>
          <w:color w:val="000000"/>
        </w:rPr>
        <w:lastRenderedPageBreak/>
        <w:t xml:space="preserve">c) </w:t>
      </w:r>
      <w:r w:rsidRPr="00795BFE">
        <w:rPr>
          <w:b/>
        </w:rPr>
        <w:t xml:space="preserve">Informe Justificado o Manifestaciones. </w:t>
      </w:r>
      <w:r w:rsidR="00372769" w:rsidRPr="00795BFE">
        <w:t xml:space="preserve">El </w:t>
      </w:r>
      <w:r w:rsidR="00FB2C05" w:rsidRPr="00795BFE">
        <w:t>Sujeto Obligado fue omiso en rendir su informe justificado</w:t>
      </w:r>
      <w:r w:rsidR="00372769" w:rsidRPr="00795BFE">
        <w:t xml:space="preserve">. Por su parte la particular </w:t>
      </w:r>
      <w:r w:rsidR="00FB2C05" w:rsidRPr="00795BFE">
        <w:t xml:space="preserve">omitió realizar </w:t>
      </w:r>
      <w:r w:rsidR="0090536E" w:rsidRPr="00795BFE">
        <w:t>manifestación</w:t>
      </w:r>
      <w:r w:rsidR="00FB2C05" w:rsidRPr="00795BFE">
        <w:t xml:space="preserve"> alguna que a su derecho </w:t>
      </w:r>
      <w:r w:rsidR="0090536E" w:rsidRPr="00795BFE">
        <w:t xml:space="preserve">asistiera. </w:t>
      </w:r>
      <w:r w:rsidR="00372769" w:rsidRPr="00795BFE">
        <w:t xml:space="preserve"> </w:t>
      </w:r>
    </w:p>
    <w:p w14:paraId="56789300" w14:textId="77777777" w:rsidR="00372769" w:rsidRPr="00795BFE" w:rsidRDefault="00372769" w:rsidP="0060503B">
      <w:pPr>
        <w:spacing w:after="0" w:line="360" w:lineRule="auto"/>
      </w:pPr>
    </w:p>
    <w:p w14:paraId="13E25C12" w14:textId="74B3F0D7" w:rsidR="00CE58A5" w:rsidRPr="00795BFE" w:rsidRDefault="00E84D5E" w:rsidP="0060503B">
      <w:pPr>
        <w:spacing w:after="0" w:line="360" w:lineRule="auto"/>
        <w:rPr>
          <w:b/>
        </w:rPr>
      </w:pPr>
      <w:r w:rsidRPr="00795BFE">
        <w:rPr>
          <w:b/>
        </w:rPr>
        <w:t>d</w:t>
      </w:r>
      <w:r w:rsidR="00791585" w:rsidRPr="00795BFE">
        <w:rPr>
          <w:b/>
        </w:rPr>
        <w:t>) Cierre de instrucción.</w:t>
      </w:r>
      <w:r w:rsidR="00791585" w:rsidRPr="00795BFE">
        <w:t xml:space="preserve"> El </w:t>
      </w:r>
      <w:r w:rsidR="00192C6E" w:rsidRPr="00795BFE">
        <w:t>doce</w:t>
      </w:r>
      <w:r w:rsidR="0090536E" w:rsidRPr="00795BFE">
        <w:t xml:space="preserve"> de noviembre</w:t>
      </w:r>
      <w:r w:rsidR="00791585" w:rsidRPr="00795BFE">
        <w:t xml:space="preserv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w:t>
      </w:r>
      <w:r w:rsidR="00192C6E" w:rsidRPr="00795BFE">
        <w:t>xiquense (SAIMEX), el trece del mismo mes y año.</w:t>
      </w:r>
    </w:p>
    <w:p w14:paraId="6DF2E44B" w14:textId="77777777" w:rsidR="00CE58A5" w:rsidRPr="00795BFE" w:rsidRDefault="00CE58A5" w:rsidP="0060503B">
      <w:pPr>
        <w:spacing w:after="0" w:line="360" w:lineRule="auto"/>
      </w:pPr>
    </w:p>
    <w:p w14:paraId="1A2D1592" w14:textId="77777777" w:rsidR="00CE58A5" w:rsidRPr="00795BFE" w:rsidRDefault="00CE4466" w:rsidP="0060503B">
      <w:pPr>
        <w:spacing w:after="0" w:line="360" w:lineRule="auto"/>
      </w:pPr>
      <w:r w:rsidRPr="00795BFE">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795BFE" w:rsidRDefault="00CE58A5" w:rsidP="0060503B">
      <w:pPr>
        <w:spacing w:after="0" w:line="360" w:lineRule="auto"/>
      </w:pPr>
    </w:p>
    <w:p w14:paraId="1E06E728" w14:textId="69856E54" w:rsidR="00CE58A5" w:rsidRPr="00795BFE" w:rsidRDefault="00CE4466" w:rsidP="0060503B">
      <w:pPr>
        <w:pStyle w:val="Ttulo1"/>
        <w:spacing w:before="0" w:after="0"/>
      </w:pPr>
      <w:bookmarkStart w:id="11" w:name="_Toc179975600"/>
      <w:bookmarkStart w:id="12" w:name="_Toc179976888"/>
      <w:r w:rsidRPr="00795BFE">
        <w:t>C O N S I D E R A N D O S</w:t>
      </w:r>
      <w:bookmarkEnd w:id="11"/>
      <w:bookmarkEnd w:id="12"/>
    </w:p>
    <w:p w14:paraId="09DEA601" w14:textId="77777777" w:rsidR="00CE58A5" w:rsidRPr="00795BFE" w:rsidRDefault="00CE58A5" w:rsidP="0060503B">
      <w:pPr>
        <w:spacing w:after="0" w:line="360" w:lineRule="auto"/>
        <w:rPr>
          <w:b/>
        </w:rPr>
      </w:pPr>
    </w:p>
    <w:p w14:paraId="3D9317E1" w14:textId="77777777" w:rsidR="00CE58A5" w:rsidRPr="00795BFE" w:rsidRDefault="00CE4466" w:rsidP="0060503B">
      <w:pPr>
        <w:pStyle w:val="Ttulo2"/>
        <w:spacing w:before="0" w:after="0"/>
      </w:pPr>
      <w:bookmarkStart w:id="13" w:name="_Toc179975601"/>
      <w:bookmarkStart w:id="14" w:name="_Toc179976889"/>
      <w:r w:rsidRPr="00795BFE">
        <w:t>PRIMERO. Competencia</w:t>
      </w:r>
      <w:bookmarkEnd w:id="13"/>
      <w:bookmarkEnd w:id="14"/>
    </w:p>
    <w:p w14:paraId="4F07F053" w14:textId="77777777" w:rsidR="00CE58A5" w:rsidRPr="00795BFE" w:rsidRDefault="00CE58A5" w:rsidP="0060503B">
      <w:pPr>
        <w:spacing w:after="0" w:line="360" w:lineRule="auto"/>
        <w:rPr>
          <w:b/>
        </w:rPr>
      </w:pPr>
    </w:p>
    <w:p w14:paraId="7E9B74F8" w14:textId="77777777" w:rsidR="00CE58A5" w:rsidRPr="00795BFE" w:rsidRDefault="00CE4466" w:rsidP="0060503B">
      <w:pPr>
        <w:spacing w:after="0" w:line="360" w:lineRule="auto"/>
      </w:pPr>
      <w:r w:rsidRPr="00795BFE">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795BFE">
        <w:rPr>
          <w:color w:val="000000"/>
        </w:rPr>
        <w:t>trigésimo segundo, trigésimo tercero y trigésimo cuarto</w:t>
      </w:r>
      <w:r w:rsidRPr="00795BFE">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w:t>
      </w:r>
      <w:r w:rsidRPr="00795BFE">
        <w:lastRenderedPageBreak/>
        <w:t>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795BFE" w:rsidRDefault="00CE58A5" w:rsidP="0060503B">
      <w:pPr>
        <w:spacing w:after="0" w:line="360" w:lineRule="auto"/>
      </w:pPr>
    </w:p>
    <w:p w14:paraId="250C24B5" w14:textId="77777777" w:rsidR="00CE58A5" w:rsidRPr="00795BFE" w:rsidRDefault="00CE4466" w:rsidP="0060503B">
      <w:pPr>
        <w:pStyle w:val="Ttulo2"/>
        <w:spacing w:before="0" w:after="0"/>
      </w:pPr>
      <w:bookmarkStart w:id="15" w:name="_Toc179975602"/>
      <w:bookmarkStart w:id="16" w:name="_Toc179976890"/>
      <w:r w:rsidRPr="00795BFE">
        <w:t>SEGUNDO. Causales de improcedencia y sobreseimiento</w:t>
      </w:r>
      <w:bookmarkEnd w:id="15"/>
      <w:bookmarkEnd w:id="16"/>
    </w:p>
    <w:p w14:paraId="5DE8EFD8" w14:textId="77777777" w:rsidR="00CE58A5" w:rsidRPr="00795BFE" w:rsidRDefault="00CE58A5" w:rsidP="0060503B">
      <w:pPr>
        <w:spacing w:after="0" w:line="360" w:lineRule="auto"/>
      </w:pPr>
    </w:p>
    <w:p w14:paraId="4C46253C" w14:textId="77777777" w:rsidR="00CE58A5" w:rsidRPr="00795BFE" w:rsidRDefault="00CE4466" w:rsidP="0060503B">
      <w:pPr>
        <w:spacing w:after="0" w:line="360" w:lineRule="auto"/>
      </w:pPr>
      <w:r w:rsidRPr="00795BFE">
        <w:t xml:space="preserve">De las constancias que forma parte del Recurso de Revisión que se analiza, se advierte que previo al estudio del fondo de la </w:t>
      </w:r>
      <w:r w:rsidRPr="00795BFE">
        <w:rPr>
          <w:i/>
        </w:rPr>
        <w:t>litis</w:t>
      </w:r>
      <w:r w:rsidRPr="00795BFE">
        <w:t>, es necesario estudiar las causales de improcedencia y sobreseimiento que se adviertan, para determinar lo que en Derecho proceda.</w:t>
      </w:r>
    </w:p>
    <w:p w14:paraId="3A0F3AA0" w14:textId="77777777" w:rsidR="00CE58A5" w:rsidRPr="00795BFE" w:rsidRDefault="00CE58A5" w:rsidP="0060503B">
      <w:pPr>
        <w:spacing w:after="0" w:line="360" w:lineRule="auto"/>
      </w:pPr>
    </w:p>
    <w:p w14:paraId="7548DF11" w14:textId="77777777" w:rsidR="00CE58A5" w:rsidRPr="00795BFE" w:rsidRDefault="00CE4466" w:rsidP="0060503B">
      <w:pPr>
        <w:spacing w:after="0" w:line="360" w:lineRule="auto"/>
      </w:pPr>
      <w:r w:rsidRPr="00795BFE">
        <w:rPr>
          <w:b/>
        </w:rPr>
        <w:t>Causales de improcedencia</w:t>
      </w:r>
    </w:p>
    <w:p w14:paraId="02D368DF" w14:textId="77777777" w:rsidR="00CE58A5" w:rsidRPr="00795BFE" w:rsidRDefault="00CE4466" w:rsidP="0060503B">
      <w:pPr>
        <w:spacing w:after="0" w:line="360" w:lineRule="auto"/>
      </w:pPr>
      <w:r w:rsidRPr="00795BFE">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795BFE">
        <w:rPr>
          <w:b/>
        </w:rPr>
        <w:t xml:space="preserve"> </w:t>
      </w:r>
      <w:r w:rsidRPr="00795BFE">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795BFE" w:rsidRDefault="00CE58A5" w:rsidP="0060503B">
      <w:pPr>
        <w:spacing w:after="0" w:line="360" w:lineRule="auto"/>
      </w:pPr>
    </w:p>
    <w:p w14:paraId="35F10868" w14:textId="77777777" w:rsidR="00CE58A5" w:rsidRPr="00795BFE" w:rsidRDefault="00CE4466" w:rsidP="0060503B">
      <w:pPr>
        <w:spacing w:after="0" w:line="360" w:lineRule="auto"/>
      </w:pPr>
      <w:r w:rsidRPr="00795BFE">
        <w:t xml:space="preserve">En el presente caso, </w:t>
      </w:r>
      <w:r w:rsidRPr="00795BFE">
        <w:rPr>
          <w:b/>
        </w:rPr>
        <w:t>no se actualiza ninguna de las causales de improcedencia</w:t>
      </w:r>
      <w:r w:rsidRPr="00795BFE">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795BFE" w:rsidRDefault="00CE58A5" w:rsidP="0060503B">
      <w:pPr>
        <w:spacing w:after="0" w:line="360" w:lineRule="auto"/>
        <w:rPr>
          <w:b/>
        </w:rPr>
      </w:pPr>
    </w:p>
    <w:p w14:paraId="701A6972" w14:textId="7E395BBF" w:rsidR="00CE58A5" w:rsidRPr="00795BFE" w:rsidRDefault="00CE4466" w:rsidP="0060503B">
      <w:pPr>
        <w:spacing w:after="0" w:line="360" w:lineRule="auto"/>
      </w:pPr>
      <w:r w:rsidRPr="00795BFE">
        <w:lastRenderedPageBreak/>
        <w:t>Asimismo, se actualiza la causal de procedencia del Recurso de Revisión señal</w:t>
      </w:r>
      <w:r w:rsidR="00D52F9F" w:rsidRPr="00795BFE">
        <w:t>ada en el</w:t>
      </w:r>
      <w:r w:rsidR="00AA513D" w:rsidRPr="00795BFE">
        <w:t xml:space="preserve"> artículo 179, </w:t>
      </w:r>
      <w:r w:rsidR="00B176CD" w:rsidRPr="00795BFE">
        <w:t>fracciones VIII</w:t>
      </w:r>
      <w:r w:rsidRPr="00795BFE">
        <w:t xml:space="preserve">, de la Ley en cita, pues la Recurrente se inconformó </w:t>
      </w:r>
      <w:r w:rsidR="0044182E" w:rsidRPr="00795BFE">
        <w:t>del cambio de modalidad.</w:t>
      </w:r>
    </w:p>
    <w:p w14:paraId="404C2A95" w14:textId="77777777" w:rsidR="00CE58A5" w:rsidRPr="00795BFE" w:rsidRDefault="00CE58A5" w:rsidP="0060503B">
      <w:pPr>
        <w:spacing w:after="0" w:line="360" w:lineRule="auto"/>
        <w:rPr>
          <w:b/>
        </w:rPr>
      </w:pPr>
    </w:p>
    <w:p w14:paraId="74D31774" w14:textId="77777777" w:rsidR="00922619" w:rsidRPr="00795BFE" w:rsidRDefault="00922619" w:rsidP="0060503B">
      <w:pPr>
        <w:spacing w:after="0" w:line="360" w:lineRule="auto"/>
        <w:ind w:right="-28"/>
        <w:contextualSpacing/>
        <w:rPr>
          <w:rFonts w:eastAsia="Calibri" w:cs="Tahoma"/>
          <w:b/>
          <w:color w:val="auto"/>
          <w:lang w:val="es-ES" w:eastAsia="es-ES_tradnl"/>
        </w:rPr>
      </w:pPr>
      <w:r w:rsidRPr="00795BFE">
        <w:rPr>
          <w:rFonts w:eastAsia="Calibri" w:cs="Tahoma"/>
          <w:b/>
          <w:color w:val="auto"/>
          <w:lang w:val="es-ES" w:eastAsia="es-ES_tradnl"/>
        </w:rPr>
        <w:t>Causales de sobreseimiento.</w:t>
      </w:r>
    </w:p>
    <w:p w14:paraId="6137A151" w14:textId="77777777" w:rsidR="00922619" w:rsidRPr="00795BFE" w:rsidRDefault="00922619" w:rsidP="0060503B">
      <w:pPr>
        <w:spacing w:after="0" w:line="360" w:lineRule="auto"/>
        <w:ind w:right="-28"/>
        <w:contextualSpacing/>
        <w:rPr>
          <w:rFonts w:eastAsia="Calibri" w:cs="Tahoma"/>
          <w:color w:val="auto"/>
          <w:lang w:val="es-ES" w:eastAsia="es-ES_tradnl"/>
        </w:rPr>
      </w:pPr>
    </w:p>
    <w:p w14:paraId="2E349B16" w14:textId="77777777" w:rsidR="00922619" w:rsidRPr="00795BFE" w:rsidRDefault="00922619" w:rsidP="0060503B">
      <w:pPr>
        <w:spacing w:after="0" w:line="360" w:lineRule="auto"/>
        <w:contextualSpacing/>
        <w:rPr>
          <w:rFonts w:eastAsia="Times New Roman" w:cs="Tahoma"/>
          <w:color w:val="auto"/>
          <w:szCs w:val="24"/>
          <w:lang w:eastAsia="es-ES"/>
        </w:rPr>
      </w:pPr>
      <w:r w:rsidRPr="00795BFE">
        <w:rPr>
          <w:rFonts w:eastAsia="Times New Roman" w:cs="Tahoma"/>
          <w:color w:val="auto"/>
          <w:szCs w:val="24"/>
          <w:lang w:eastAsia="es-ES"/>
        </w:rPr>
        <w:t>Por ser de previo y especial pronunciamiento, este Instituto analiza si se actualiza alguna causal de sobreseimiento.</w:t>
      </w:r>
    </w:p>
    <w:p w14:paraId="332E5BBB" w14:textId="77777777" w:rsidR="00922619" w:rsidRPr="00795BFE" w:rsidRDefault="00922619" w:rsidP="0060503B">
      <w:pPr>
        <w:spacing w:after="0" w:line="360" w:lineRule="auto"/>
        <w:contextualSpacing/>
        <w:rPr>
          <w:rFonts w:eastAsia="Times New Roman" w:cs="Tahoma"/>
          <w:color w:val="auto"/>
          <w:szCs w:val="24"/>
          <w:lang w:eastAsia="es-ES"/>
        </w:rPr>
      </w:pPr>
    </w:p>
    <w:p w14:paraId="1481EC61" w14:textId="06DFA40F" w:rsidR="00922619" w:rsidRPr="00795BFE" w:rsidRDefault="00922619" w:rsidP="0060503B">
      <w:pPr>
        <w:spacing w:after="0" w:line="360" w:lineRule="auto"/>
        <w:rPr>
          <w:rFonts w:eastAsia="Calibri" w:cs="Tahoma"/>
          <w:color w:val="0D0D0D" w:themeColor="text1" w:themeTint="F2"/>
          <w:lang w:eastAsia="es-ES_tradnl"/>
        </w:rPr>
      </w:pPr>
      <w:r w:rsidRPr="00795BFE">
        <w:rPr>
          <w:rFonts w:eastAsia="Times New Roman" w:cs="Tahoma"/>
          <w:color w:val="0D0D0D" w:themeColor="text1" w:themeTint="F2"/>
          <w:lang w:eastAsia="es-ES"/>
        </w:rPr>
        <w:t xml:space="preserve">El artículo 192 de la </w:t>
      </w:r>
      <w:r w:rsidRPr="00795BFE">
        <w:rPr>
          <w:rFonts w:eastAsia="Calibri" w:cs="Tahoma"/>
          <w:bCs/>
          <w:color w:val="0D0D0D" w:themeColor="text1" w:themeTint="F2"/>
          <w:lang w:eastAsia="es-ES_tradnl"/>
        </w:rPr>
        <w:t xml:space="preserve">Ley Transparencia y Acceso a la Información Pública del Estado de México y Municipios, señala las causales por las cuales se puede sobreseer en todo o en parte el Recurso de Revisión; así, </w:t>
      </w:r>
      <w:r w:rsidRPr="00795BFE">
        <w:rPr>
          <w:rFonts w:eastAsia="Calibri" w:cs="Tahoma"/>
          <w:color w:val="0D0D0D" w:themeColor="text1" w:themeTint="F2"/>
          <w:lang w:eastAsia="es-ES_tradnl"/>
        </w:rPr>
        <w:t>del análisis realizado por este Instituto, se advierte que</w:t>
      </w:r>
      <w:r w:rsidRPr="00795BFE">
        <w:rPr>
          <w:rFonts w:eastAsia="Calibri" w:cs="Tahoma"/>
          <w:b/>
          <w:color w:val="0D0D0D" w:themeColor="text1" w:themeTint="F2"/>
          <w:lang w:eastAsia="es-ES_tradnl"/>
        </w:rPr>
        <w:t xml:space="preserve"> no se configuran las causales establecidas en las fracciones I, II, III, </w:t>
      </w:r>
      <w:r w:rsidR="0090345F" w:rsidRPr="00795BFE">
        <w:rPr>
          <w:rFonts w:eastAsia="Calibri" w:cs="Tahoma"/>
          <w:b/>
          <w:color w:val="0D0D0D" w:themeColor="text1" w:themeTint="F2"/>
          <w:lang w:eastAsia="es-ES_tradnl"/>
        </w:rPr>
        <w:t xml:space="preserve">IV </w:t>
      </w:r>
      <w:r w:rsidRPr="00795BFE">
        <w:rPr>
          <w:rFonts w:eastAsia="Calibri" w:cs="Tahoma"/>
          <w:b/>
          <w:color w:val="0D0D0D" w:themeColor="text1" w:themeTint="F2"/>
          <w:lang w:eastAsia="es-ES_tradnl"/>
        </w:rPr>
        <w:t xml:space="preserve">y V, </w:t>
      </w:r>
      <w:r w:rsidRPr="00795BFE">
        <w:rPr>
          <w:rFonts w:eastAsia="Calibri" w:cs="Tahoma"/>
          <w:color w:val="0D0D0D" w:themeColor="text1" w:themeTint="F2"/>
          <w:lang w:eastAsia="es-ES_tradnl"/>
        </w:rPr>
        <w:t>toda vez que no hay constancias en el expediente en que se actúa, de que la Recurrente se haya desistido, fallecido, que el Sujeto Obligado hubiese modificado o revocado el acto impugnado o bien,</w:t>
      </w:r>
      <w:r w:rsidR="0090345F" w:rsidRPr="00795BFE">
        <w:t xml:space="preserve"> </w:t>
      </w:r>
      <w:r w:rsidR="0090345F" w:rsidRPr="00795BFE">
        <w:rPr>
          <w:rFonts w:eastAsia="Calibri" w:cs="Tahoma"/>
          <w:color w:val="0D0D0D" w:themeColor="text1" w:themeTint="F2"/>
          <w:lang w:eastAsia="es-ES_tradnl"/>
        </w:rPr>
        <w:t>que admitido una vez admitido el Recurso de Revisión, aparezca alguna causal de improcedencia o</w:t>
      </w:r>
      <w:r w:rsidRPr="00795BFE">
        <w:rPr>
          <w:rFonts w:eastAsia="Calibri" w:cs="Tahoma"/>
          <w:color w:val="0D0D0D" w:themeColor="text1" w:themeTint="F2"/>
          <w:lang w:eastAsia="es-ES_tradnl"/>
        </w:rPr>
        <w:t xml:space="preserve"> haya quedado sin materia.</w:t>
      </w:r>
    </w:p>
    <w:p w14:paraId="5755F7BD" w14:textId="77777777" w:rsidR="00922619" w:rsidRPr="00795BFE" w:rsidRDefault="00922619" w:rsidP="0060503B">
      <w:pPr>
        <w:spacing w:after="0" w:line="360" w:lineRule="auto"/>
        <w:contextualSpacing/>
        <w:rPr>
          <w:rFonts w:eastAsia="Times New Roman" w:cs="Tahoma"/>
          <w:color w:val="auto"/>
          <w:szCs w:val="24"/>
          <w:lang w:eastAsia="es-ES"/>
        </w:rPr>
      </w:pPr>
    </w:p>
    <w:p w14:paraId="1E0EBBE3" w14:textId="16BEF304" w:rsidR="00CE58A5" w:rsidRPr="00795BFE" w:rsidRDefault="00CE4466" w:rsidP="0060503B">
      <w:pPr>
        <w:pStyle w:val="Ttulo2"/>
        <w:spacing w:before="0" w:after="0"/>
      </w:pPr>
      <w:bookmarkStart w:id="17" w:name="_Toc179975603"/>
      <w:bookmarkStart w:id="18" w:name="_Toc179976891"/>
      <w:r w:rsidRPr="00795BFE">
        <w:t>TERCERO. Determinación de la Controversia</w:t>
      </w:r>
      <w:bookmarkEnd w:id="17"/>
      <w:bookmarkEnd w:id="18"/>
    </w:p>
    <w:p w14:paraId="364AB4CE" w14:textId="77777777" w:rsidR="00CE58A5" w:rsidRPr="00795BFE" w:rsidRDefault="00CE58A5" w:rsidP="0060503B">
      <w:pPr>
        <w:spacing w:after="0" w:line="360" w:lineRule="auto"/>
        <w:rPr>
          <w:b/>
        </w:rPr>
      </w:pPr>
    </w:p>
    <w:p w14:paraId="7E2AD326" w14:textId="7D2F5E66" w:rsidR="0044182E" w:rsidRPr="00795BFE" w:rsidRDefault="00CE4466" w:rsidP="0060503B">
      <w:pPr>
        <w:widowControl w:val="0"/>
        <w:spacing w:after="0" w:line="360" w:lineRule="auto"/>
        <w:rPr>
          <w:color w:val="000000"/>
        </w:rPr>
      </w:pPr>
      <w:r w:rsidRPr="00795BFE">
        <w:t xml:space="preserve">Una vez realizado el estudio de las constancias que integran el expediente en que se actúa, se desprende que el Recurrente </w:t>
      </w:r>
      <w:r w:rsidR="000A5247" w:rsidRPr="00795BFE">
        <w:t>requirió</w:t>
      </w:r>
      <w:r w:rsidR="000A5247" w:rsidRPr="00795BFE">
        <w:rPr>
          <w:color w:val="000000"/>
        </w:rPr>
        <w:t xml:space="preserve"> </w:t>
      </w:r>
      <w:r w:rsidR="003D3C6D" w:rsidRPr="00795BFE">
        <w:rPr>
          <w:color w:val="000000"/>
        </w:rPr>
        <w:t xml:space="preserve">el número de </w:t>
      </w:r>
      <w:r w:rsidR="0044182E" w:rsidRPr="00795BFE">
        <w:rPr>
          <w:color w:val="000000"/>
        </w:rPr>
        <w:t xml:space="preserve">licencias de construcción </w:t>
      </w:r>
      <w:r w:rsidR="003D3C6D" w:rsidRPr="00795BFE">
        <w:rPr>
          <w:color w:val="000000"/>
        </w:rPr>
        <w:t>expedidas por mes</w:t>
      </w:r>
      <w:r w:rsidR="0044182E" w:rsidRPr="00795BFE">
        <w:rPr>
          <w:color w:val="000000"/>
        </w:rPr>
        <w:t xml:space="preserve"> y cual fue el importe de la recaudación mensual, </w:t>
      </w:r>
      <w:r w:rsidR="008B787A" w:rsidRPr="00795BFE">
        <w:rPr>
          <w:color w:val="000000"/>
        </w:rPr>
        <w:t>del periodo</w:t>
      </w:r>
      <w:r w:rsidR="003D3C6D" w:rsidRPr="00795BFE">
        <w:rPr>
          <w:color w:val="000000"/>
        </w:rPr>
        <w:t xml:space="preserve"> dos mil veintidós </w:t>
      </w:r>
      <w:r w:rsidR="008B787A" w:rsidRPr="00795BFE">
        <w:rPr>
          <w:color w:val="000000"/>
        </w:rPr>
        <w:t xml:space="preserve">a </w:t>
      </w:r>
      <w:r w:rsidR="003D3C6D" w:rsidRPr="00795BFE">
        <w:rPr>
          <w:color w:val="000000"/>
        </w:rPr>
        <w:t>dos mil veinticuatro.</w:t>
      </w:r>
    </w:p>
    <w:p w14:paraId="4B4A3DAE" w14:textId="77777777" w:rsidR="00B335E4" w:rsidRPr="00795BFE" w:rsidRDefault="00B335E4" w:rsidP="0060503B">
      <w:pPr>
        <w:spacing w:after="0" w:line="360" w:lineRule="auto"/>
        <w:ind w:right="-28"/>
        <w:rPr>
          <w:color w:val="000000"/>
        </w:rPr>
      </w:pPr>
    </w:p>
    <w:p w14:paraId="7ED7BBD1" w14:textId="3B1AF322" w:rsidR="00CE58A5" w:rsidRPr="00795BFE" w:rsidRDefault="00CE4466" w:rsidP="0060503B">
      <w:pPr>
        <w:spacing w:after="0" w:line="360" w:lineRule="auto"/>
        <w:ind w:right="-28"/>
        <w:rPr>
          <w:color w:val="000000"/>
        </w:rPr>
      </w:pPr>
      <w:r w:rsidRPr="00795BFE">
        <w:rPr>
          <w:color w:val="000000"/>
        </w:rPr>
        <w:t>En respuesta</w:t>
      </w:r>
      <w:r w:rsidR="00B335E4" w:rsidRPr="00795BFE">
        <w:rPr>
          <w:color w:val="000000"/>
        </w:rPr>
        <w:t xml:space="preserve">, el Sujeto Obligado a través </w:t>
      </w:r>
      <w:r w:rsidR="00AB6F09" w:rsidRPr="00795BFE">
        <w:rPr>
          <w:color w:val="000000"/>
        </w:rPr>
        <w:t>del Director de Des</w:t>
      </w:r>
      <w:r w:rsidR="00B335E4" w:rsidRPr="00795BFE">
        <w:rPr>
          <w:color w:val="000000"/>
        </w:rPr>
        <w:t>arrollo Urbano y Ecología,  solicitó</w:t>
      </w:r>
      <w:r w:rsidR="00AB6F09" w:rsidRPr="00795BFE">
        <w:rPr>
          <w:color w:val="000000"/>
        </w:rPr>
        <w:t xml:space="preserve"> el cambio </w:t>
      </w:r>
      <w:r w:rsidR="00B335E4" w:rsidRPr="00795BFE">
        <w:rPr>
          <w:color w:val="000000"/>
        </w:rPr>
        <w:t xml:space="preserve">de modalidad a consulta directa e informó que por lo que respecta a la recaudación </w:t>
      </w:r>
      <w:r w:rsidR="00B335E4" w:rsidRPr="00795BFE">
        <w:rPr>
          <w:color w:val="000000"/>
        </w:rPr>
        <w:lastRenderedPageBreak/>
        <w:t>monetaria, es competencia de la Tesorería municipal.</w:t>
      </w:r>
      <w:r w:rsidR="008B787A" w:rsidRPr="00795BFE">
        <w:rPr>
          <w:color w:val="000000"/>
        </w:rPr>
        <w:t xml:space="preserve"> </w:t>
      </w:r>
      <w:r w:rsidR="008126BA" w:rsidRPr="00795BFE">
        <w:rPr>
          <w:color w:val="000000"/>
        </w:rPr>
        <w:t>Así mismo</w:t>
      </w:r>
      <w:r w:rsidR="00B335E4" w:rsidRPr="00795BFE">
        <w:rPr>
          <w:color w:val="000000"/>
        </w:rPr>
        <w:t xml:space="preserve">, se </w:t>
      </w:r>
      <w:r w:rsidR="008126BA" w:rsidRPr="00795BFE">
        <w:rPr>
          <w:color w:val="000000"/>
        </w:rPr>
        <w:t xml:space="preserve"> </w:t>
      </w:r>
      <w:r w:rsidR="00C91CC8" w:rsidRPr="00795BFE">
        <w:rPr>
          <w:color w:val="000000"/>
        </w:rPr>
        <w:t>remitió</w:t>
      </w:r>
      <w:r w:rsidR="008126BA" w:rsidRPr="00795BFE">
        <w:rPr>
          <w:color w:val="000000"/>
        </w:rPr>
        <w:t xml:space="preserve"> el acuerdo del Comité de </w:t>
      </w:r>
      <w:r w:rsidR="00C91CC8" w:rsidRPr="00795BFE">
        <w:rPr>
          <w:color w:val="000000"/>
        </w:rPr>
        <w:t>Transparencia</w:t>
      </w:r>
      <w:r w:rsidR="008126BA" w:rsidRPr="00795BFE">
        <w:rPr>
          <w:color w:val="000000"/>
        </w:rPr>
        <w:t xml:space="preserve">, donde </w:t>
      </w:r>
      <w:r w:rsidR="00A727EC" w:rsidRPr="00795BFE">
        <w:rPr>
          <w:color w:val="000000"/>
        </w:rPr>
        <w:t>aprobó</w:t>
      </w:r>
      <w:r w:rsidR="008126BA" w:rsidRPr="00795BFE">
        <w:rPr>
          <w:color w:val="000000"/>
        </w:rPr>
        <w:t xml:space="preserve"> el cambio de modalidad en la entrega de la información a consulta directa</w:t>
      </w:r>
      <w:r w:rsidR="00A7495B" w:rsidRPr="00795BFE">
        <w:rPr>
          <w:color w:val="000000"/>
        </w:rPr>
        <w:t>; ante dicha respuesta, el Particular se inconformó de</w:t>
      </w:r>
      <w:r w:rsidR="00A727EC" w:rsidRPr="00795BFE">
        <w:rPr>
          <w:color w:val="000000"/>
        </w:rPr>
        <w:t>l cambio de modalidad en  la entrega, reiterando su deseo de recibir la información vía  SAIMEX</w:t>
      </w:r>
      <w:r w:rsidR="00AB379E" w:rsidRPr="00795BFE">
        <w:rPr>
          <w:color w:val="000000"/>
        </w:rPr>
        <w:t xml:space="preserve">, </w:t>
      </w:r>
      <w:r w:rsidR="00A727EC" w:rsidRPr="00795BFE">
        <w:rPr>
          <w:color w:val="000000"/>
        </w:rPr>
        <w:t>lo cual actualiza el supuesto de procedencia establecido</w:t>
      </w:r>
      <w:r w:rsidR="00A7495B" w:rsidRPr="00795BFE">
        <w:rPr>
          <w:color w:val="000000"/>
        </w:rPr>
        <w:t xml:space="preserve"> en </w:t>
      </w:r>
      <w:r w:rsidR="00A727EC" w:rsidRPr="00795BFE">
        <w:rPr>
          <w:color w:val="000000"/>
        </w:rPr>
        <w:t>el artículo 179, fracción</w:t>
      </w:r>
      <w:r w:rsidR="00AB379E" w:rsidRPr="00795BFE">
        <w:rPr>
          <w:color w:val="000000"/>
        </w:rPr>
        <w:t xml:space="preserve"> </w:t>
      </w:r>
      <w:r w:rsidR="00BF1C9F" w:rsidRPr="00795BFE">
        <w:rPr>
          <w:color w:val="000000"/>
        </w:rPr>
        <w:t xml:space="preserve"> VIII</w:t>
      </w:r>
      <w:r w:rsidR="00AB379E" w:rsidRPr="00795BFE">
        <w:rPr>
          <w:color w:val="000000"/>
        </w:rPr>
        <w:t xml:space="preserve"> </w:t>
      </w:r>
      <w:r w:rsidR="00A7495B" w:rsidRPr="00795BFE">
        <w:rPr>
          <w:color w:val="000000"/>
        </w:rPr>
        <w:t xml:space="preserve">de la Ley de </w:t>
      </w:r>
      <w:r w:rsidR="00400449" w:rsidRPr="00795BFE">
        <w:rPr>
          <w:color w:val="000000"/>
        </w:rPr>
        <w:t>trasparencia</w:t>
      </w:r>
      <w:r w:rsidR="00A7495B" w:rsidRPr="00795BFE">
        <w:rPr>
          <w:color w:val="000000"/>
        </w:rPr>
        <w:t xml:space="preserve"> local. </w:t>
      </w:r>
      <w:r w:rsidRPr="00795BFE">
        <w:rPr>
          <w:color w:val="000000"/>
        </w:rPr>
        <w:t xml:space="preserve">Así las cosas, una vez admitido y notificado el Recurso de Revisión a las partes, </w:t>
      </w:r>
      <w:r w:rsidR="00400449" w:rsidRPr="00795BFE">
        <w:rPr>
          <w:color w:val="000000"/>
        </w:rPr>
        <w:t xml:space="preserve">el Sujeto Obligado </w:t>
      </w:r>
      <w:r w:rsidR="00AB379E" w:rsidRPr="00795BFE">
        <w:rPr>
          <w:color w:val="000000"/>
        </w:rPr>
        <w:t>fue omiso en remitir su informe justificado.</w:t>
      </w:r>
    </w:p>
    <w:p w14:paraId="354D33B8" w14:textId="77777777" w:rsidR="00CE58A5" w:rsidRPr="00795BFE" w:rsidRDefault="00CE58A5" w:rsidP="0060503B">
      <w:pPr>
        <w:spacing w:after="0" w:line="360" w:lineRule="auto"/>
      </w:pPr>
    </w:p>
    <w:p w14:paraId="6DC5D7CF" w14:textId="27B9BC18" w:rsidR="00CE58A5" w:rsidRPr="00795BFE" w:rsidRDefault="00CE4466" w:rsidP="0060503B">
      <w:pPr>
        <w:spacing w:after="0" w:line="360" w:lineRule="auto"/>
      </w:pPr>
      <w:r w:rsidRPr="00795BFE">
        <w:t>Lo anterior, se desprende de las documentales que obran en los expedientes de referencia, materia de la presente resolución, consistente en: la solicitud de acceso a la información; la</w:t>
      </w:r>
      <w:r w:rsidR="00951E4D" w:rsidRPr="00795BFE">
        <w:t xml:space="preserve"> respuesta del Sujeto Obligado y </w:t>
      </w:r>
      <w:r w:rsidRPr="00795BFE">
        <w:t>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59F5025B" w14:textId="77777777" w:rsidR="00CE58A5" w:rsidRPr="00795BFE" w:rsidRDefault="00CE58A5" w:rsidP="0060503B">
      <w:pPr>
        <w:spacing w:after="0" w:line="360" w:lineRule="auto"/>
      </w:pPr>
    </w:p>
    <w:p w14:paraId="276834F4" w14:textId="2C1ED29F" w:rsidR="00CE58A5" w:rsidRPr="00795BFE" w:rsidRDefault="00CE4466" w:rsidP="0060503B">
      <w:pPr>
        <w:pStyle w:val="Ttulo2"/>
        <w:spacing w:before="0" w:after="0"/>
      </w:pPr>
      <w:bookmarkStart w:id="19" w:name="_Toc179975604"/>
      <w:bookmarkStart w:id="20" w:name="_Toc179976892"/>
      <w:r w:rsidRPr="00795BFE">
        <w:t>CUARTO. Marco normativo aplicable en materia de transparencia y acceso a la información pública</w:t>
      </w:r>
      <w:bookmarkEnd w:id="19"/>
      <w:bookmarkEnd w:id="20"/>
    </w:p>
    <w:p w14:paraId="63C42A96" w14:textId="77777777" w:rsidR="00CE58A5" w:rsidRPr="00795BFE" w:rsidRDefault="00CE58A5" w:rsidP="0060503B">
      <w:pPr>
        <w:spacing w:after="0" w:line="360" w:lineRule="auto"/>
        <w:rPr>
          <w:color w:val="000000"/>
        </w:rPr>
      </w:pPr>
    </w:p>
    <w:p w14:paraId="77A2B44D" w14:textId="77777777" w:rsidR="00CE58A5" w:rsidRPr="00795BFE" w:rsidRDefault="00CE4466" w:rsidP="0060503B">
      <w:pPr>
        <w:spacing w:after="0" w:line="360" w:lineRule="auto"/>
        <w:rPr>
          <w:color w:val="000000"/>
        </w:rPr>
      </w:pPr>
      <w:r w:rsidRPr="00795BFE">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795BFE" w:rsidRDefault="00CE58A5" w:rsidP="0060503B">
      <w:pPr>
        <w:spacing w:after="0" w:line="360" w:lineRule="auto"/>
        <w:rPr>
          <w:color w:val="000000"/>
        </w:rPr>
      </w:pPr>
    </w:p>
    <w:p w14:paraId="6DE9CAE0" w14:textId="77777777" w:rsidR="00CE58A5" w:rsidRPr="00795BFE" w:rsidRDefault="00CE4466" w:rsidP="0060503B">
      <w:pPr>
        <w:spacing w:after="0" w:line="360" w:lineRule="auto"/>
        <w:rPr>
          <w:color w:val="000000"/>
        </w:rPr>
      </w:pPr>
      <w:r w:rsidRPr="00795BFE">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795BFE" w:rsidRDefault="00922619" w:rsidP="0060503B">
      <w:pPr>
        <w:spacing w:after="0" w:line="360" w:lineRule="auto"/>
        <w:rPr>
          <w:color w:val="000000"/>
        </w:rPr>
      </w:pPr>
    </w:p>
    <w:p w14:paraId="7EFDC0B0" w14:textId="5473D89C" w:rsidR="00CE58A5" w:rsidRPr="00795BFE" w:rsidRDefault="00CE4466" w:rsidP="0060503B">
      <w:pPr>
        <w:spacing w:after="0" w:line="360" w:lineRule="auto"/>
        <w:rPr>
          <w:color w:val="000000"/>
        </w:rPr>
      </w:pPr>
      <w:r w:rsidRPr="00795BFE">
        <w:rPr>
          <w:color w:val="000000"/>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795BFE" w:rsidRDefault="00CE58A5" w:rsidP="0060503B">
      <w:pPr>
        <w:spacing w:after="0" w:line="360" w:lineRule="auto"/>
        <w:rPr>
          <w:color w:val="000000"/>
        </w:rPr>
      </w:pPr>
    </w:p>
    <w:p w14:paraId="1B6E0455" w14:textId="77777777" w:rsidR="00CE58A5" w:rsidRPr="00795BFE" w:rsidRDefault="00CE4466" w:rsidP="0060503B">
      <w:pPr>
        <w:spacing w:after="0" w:line="360" w:lineRule="auto"/>
        <w:rPr>
          <w:color w:val="000000"/>
        </w:rPr>
      </w:pPr>
      <w:r w:rsidRPr="00795BFE">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795BFE" w:rsidRDefault="00CE58A5" w:rsidP="0060503B">
      <w:pPr>
        <w:spacing w:after="0" w:line="360" w:lineRule="auto"/>
        <w:rPr>
          <w:color w:val="000000"/>
        </w:rPr>
      </w:pPr>
    </w:p>
    <w:p w14:paraId="79D71702" w14:textId="77777777" w:rsidR="00CE58A5" w:rsidRPr="00795BFE" w:rsidRDefault="00CE4466" w:rsidP="0060503B">
      <w:pPr>
        <w:spacing w:after="0" w:line="360" w:lineRule="auto"/>
        <w:rPr>
          <w:color w:val="000000"/>
        </w:rPr>
      </w:pPr>
      <w:r w:rsidRPr="00795BFE">
        <w:rPr>
          <w:color w:val="000000"/>
        </w:rPr>
        <w:t>El artículo 12, que, quienes generen, recopilen, administren, manejen, procesen, archiven o conserven información pública serán responsables de la misma.</w:t>
      </w:r>
    </w:p>
    <w:p w14:paraId="5C34EA42" w14:textId="77777777" w:rsidR="00D51406" w:rsidRPr="00795BFE" w:rsidRDefault="00D51406" w:rsidP="0060503B">
      <w:pPr>
        <w:spacing w:after="0" w:line="360" w:lineRule="auto"/>
        <w:rPr>
          <w:color w:val="000000"/>
        </w:rPr>
      </w:pPr>
    </w:p>
    <w:p w14:paraId="08B8B529" w14:textId="77777777" w:rsidR="00CE58A5" w:rsidRPr="00795BFE" w:rsidRDefault="00CE4466" w:rsidP="0060503B">
      <w:pPr>
        <w:widowControl w:val="0"/>
        <w:spacing w:after="0" w:line="360" w:lineRule="auto"/>
        <w:rPr>
          <w:color w:val="000000"/>
        </w:rPr>
      </w:pPr>
      <w:r w:rsidRPr="00795BFE">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795BFE" w:rsidRDefault="00CE58A5" w:rsidP="0060503B">
      <w:pPr>
        <w:spacing w:after="0" w:line="360" w:lineRule="auto"/>
        <w:rPr>
          <w:color w:val="000000"/>
        </w:rPr>
      </w:pPr>
    </w:p>
    <w:p w14:paraId="7EFDFF6E" w14:textId="77777777" w:rsidR="00CE58A5" w:rsidRPr="00795BFE" w:rsidRDefault="00CE4466" w:rsidP="0060503B">
      <w:pPr>
        <w:spacing w:after="0" w:line="360" w:lineRule="auto"/>
        <w:rPr>
          <w:color w:val="000000"/>
        </w:rPr>
      </w:pPr>
      <w:r w:rsidRPr="00795BFE">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795BFE" w:rsidRDefault="00CE58A5" w:rsidP="0060503B">
      <w:pPr>
        <w:spacing w:after="0" w:line="360" w:lineRule="auto"/>
      </w:pPr>
    </w:p>
    <w:p w14:paraId="65FF02C1" w14:textId="0C6CCE72" w:rsidR="00A369DB" w:rsidRPr="00795BFE" w:rsidRDefault="00A369DB" w:rsidP="0060503B">
      <w:pPr>
        <w:spacing w:after="0" w:line="360" w:lineRule="auto"/>
        <w:rPr>
          <w:rFonts w:eastAsia="Times New Roman" w:cs="Tahoma"/>
          <w:b/>
          <w:lang w:eastAsia="es-ES"/>
        </w:rPr>
      </w:pPr>
      <w:r w:rsidRPr="00795BFE">
        <w:rPr>
          <w:rFonts w:eastAsia="Times New Roman" w:cs="Tahoma"/>
          <w:b/>
          <w:lang w:eastAsia="es-ES"/>
        </w:rPr>
        <w:t xml:space="preserve">QUINTO. Estudio </w:t>
      </w:r>
      <w:r w:rsidR="00795BFE" w:rsidRPr="00795BFE">
        <w:rPr>
          <w:rFonts w:eastAsia="Times New Roman" w:cs="Tahoma"/>
          <w:b/>
          <w:lang w:eastAsia="es-ES"/>
        </w:rPr>
        <w:t>de Fondo</w:t>
      </w:r>
    </w:p>
    <w:p w14:paraId="03198BA5" w14:textId="77777777" w:rsidR="00A369DB" w:rsidRPr="00795BFE" w:rsidRDefault="00A369DB" w:rsidP="0060503B">
      <w:pPr>
        <w:spacing w:after="0" w:line="360" w:lineRule="auto"/>
        <w:rPr>
          <w:rFonts w:eastAsia="Times New Roman" w:cs="Tahoma"/>
          <w:b/>
          <w:lang w:eastAsia="es-ES"/>
        </w:rPr>
      </w:pPr>
    </w:p>
    <w:p w14:paraId="060EFC9B" w14:textId="2D6FB832" w:rsidR="00A369DB" w:rsidRPr="00795BFE" w:rsidRDefault="00A369DB" w:rsidP="0060503B">
      <w:pPr>
        <w:widowControl w:val="0"/>
        <w:spacing w:after="0" w:line="360" w:lineRule="auto"/>
        <w:rPr>
          <w:color w:val="000000"/>
          <w:lang w:eastAsia="en-US"/>
        </w:rPr>
      </w:pPr>
      <w:r w:rsidRPr="00795BFE">
        <w:rPr>
          <w:color w:val="000000"/>
          <w:lang w:eastAsia="en-US"/>
        </w:rPr>
        <w:t xml:space="preserve">Expuestas las posturas de las partes, se procede al análisis de los agravios hechos valer por el Recurrente, concerniente </w:t>
      </w:r>
      <w:r w:rsidRPr="00795BFE">
        <w:rPr>
          <w:lang w:eastAsia="en-US"/>
        </w:rPr>
        <w:t>a la puesta a disposición de la información en una modalidad distinta a la requerida</w:t>
      </w:r>
      <w:r w:rsidRPr="00795BFE">
        <w:rPr>
          <w:color w:val="000000"/>
          <w:lang w:eastAsia="en-US"/>
        </w:rPr>
        <w:t>, para lo cual, en principio es necesario contextualizar la solicitud de información.</w:t>
      </w:r>
    </w:p>
    <w:p w14:paraId="07FD7A9D" w14:textId="77777777" w:rsidR="00A369DB" w:rsidRPr="00795BFE" w:rsidRDefault="00A369DB" w:rsidP="0060503B">
      <w:pPr>
        <w:widowControl w:val="0"/>
        <w:spacing w:after="0" w:line="360" w:lineRule="auto"/>
        <w:rPr>
          <w:color w:val="000000"/>
          <w:lang w:eastAsia="en-US"/>
        </w:rPr>
      </w:pPr>
    </w:p>
    <w:p w14:paraId="425C1BFD" w14:textId="77777777" w:rsidR="00EB0E3F" w:rsidRPr="00795BFE" w:rsidRDefault="00EB0E3F" w:rsidP="0060503B">
      <w:pPr>
        <w:spacing w:after="0" w:line="360" w:lineRule="auto"/>
        <w:rPr>
          <w:rFonts w:eastAsia="Times New Roman" w:cs="Tahoma"/>
          <w:iCs/>
          <w:color w:val="auto"/>
          <w:lang w:eastAsia="es-ES"/>
        </w:rPr>
      </w:pPr>
      <w:r w:rsidRPr="00795BFE">
        <w:rPr>
          <w:rFonts w:eastAsia="Times New Roman" w:cs="Tahoma"/>
          <w:iCs/>
          <w:color w:val="auto"/>
          <w:lang w:eastAsia="es-ES"/>
        </w:rPr>
        <w:lastRenderedPageBreak/>
        <w:t xml:space="preserve">Respecto al tema, Eduardo López Sosa, Natalia López Sosa. (2014). “Derecho Administrativo Mexicano”. (p. 262), establece que la autorización, la licencia, o el permiso es el acto administrativo por medio de los cuales se otorga a un particular, por un órgano administrativo, la facultad o el derecho para realizar una actividad o para hacer alguna cosa. </w:t>
      </w:r>
    </w:p>
    <w:p w14:paraId="62AA8855" w14:textId="77777777" w:rsidR="00EB0E3F" w:rsidRPr="00795BFE" w:rsidRDefault="00EB0E3F" w:rsidP="0060503B">
      <w:pPr>
        <w:spacing w:after="0" w:line="360" w:lineRule="auto"/>
        <w:rPr>
          <w:rFonts w:eastAsia="Times New Roman" w:cs="Tahoma"/>
          <w:iCs/>
          <w:color w:val="auto"/>
          <w:lang w:eastAsia="es-ES"/>
        </w:rPr>
      </w:pPr>
    </w:p>
    <w:p w14:paraId="433D1366" w14:textId="77777777" w:rsidR="00EB0E3F" w:rsidRPr="00795BFE" w:rsidRDefault="00EB0E3F" w:rsidP="0060503B">
      <w:pPr>
        <w:spacing w:after="0" w:line="360" w:lineRule="auto"/>
        <w:rPr>
          <w:rFonts w:eastAsia="Times New Roman" w:cs="Tahoma"/>
          <w:iCs/>
          <w:color w:val="auto"/>
          <w:lang w:eastAsia="es-ES"/>
        </w:rPr>
      </w:pPr>
      <w:r w:rsidRPr="00795BFE">
        <w:rPr>
          <w:rFonts w:eastAsiaTheme="minorHAnsi" w:cstheme="minorBidi"/>
          <w:lang w:eastAsia="en-US"/>
        </w:rPr>
        <w:t xml:space="preserve">Sobre el tema, las </w:t>
      </w:r>
      <w:r w:rsidRPr="00795BFE">
        <w:rPr>
          <w:rFonts w:eastAsiaTheme="minorHAnsi" w:cstheme="minorBidi"/>
          <w:b/>
          <w:bCs/>
          <w:u w:val="single"/>
          <w:lang w:eastAsia="en-US"/>
        </w:rPr>
        <w:t>licencias de construcción,</w:t>
      </w:r>
      <w:r w:rsidRPr="00795BFE">
        <w:rPr>
          <w:rFonts w:eastAsiaTheme="minorHAnsi" w:cstheme="minorBidi"/>
          <w:lang w:eastAsia="en-US"/>
        </w:rPr>
        <w:t xml:space="preserve"> se trae a colación el artículo 18.20 del Código Administrativo del Estado de México el cual establece que las licencias de construcción tienen por objeto autorizar:</w:t>
      </w:r>
    </w:p>
    <w:p w14:paraId="191E06D3" w14:textId="77777777" w:rsidR="00EB0E3F" w:rsidRPr="00795BFE" w:rsidRDefault="00EB0E3F" w:rsidP="0060503B">
      <w:pPr>
        <w:spacing w:after="0" w:line="360" w:lineRule="auto"/>
        <w:rPr>
          <w:rFonts w:eastAsia="Times New Roman" w:cs="Tahoma"/>
          <w:bCs/>
          <w:iCs/>
          <w:color w:val="auto"/>
          <w:lang w:eastAsia="es-ES"/>
        </w:rPr>
      </w:pPr>
    </w:p>
    <w:p w14:paraId="2FF88D2B"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heme="minorBidi"/>
          <w:lang w:eastAsia="en-US"/>
        </w:rPr>
      </w:pPr>
      <w:r w:rsidRPr="00795BFE">
        <w:rPr>
          <w:rFonts w:eastAsiaTheme="minorHAnsi" w:cstheme="minorBidi"/>
          <w:lang w:eastAsia="en-US"/>
        </w:rPr>
        <w:t xml:space="preserve">Obra nueva; </w:t>
      </w:r>
    </w:p>
    <w:p w14:paraId="6D4C6D28"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Ampliación, modificación o reparación que afecte elementos estructurales de la obra existente; </w:t>
      </w:r>
    </w:p>
    <w:p w14:paraId="28047CC3"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 Demolición parcial o total; </w:t>
      </w:r>
    </w:p>
    <w:p w14:paraId="4F33079A"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Excavación o relleno; </w:t>
      </w:r>
    </w:p>
    <w:p w14:paraId="73B772B6"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Construcción de bardas; </w:t>
      </w:r>
    </w:p>
    <w:p w14:paraId="5FB8B32A"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Obras de conexión a las redes de agua potable y drenaje; </w:t>
      </w:r>
    </w:p>
    <w:p w14:paraId="4BBE469F"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 Modificación del proyecto de una obra autorizada; </w:t>
      </w:r>
    </w:p>
    <w:p w14:paraId="5DA81EF9"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Construcción e instalación de estaciones repetidoras y antenas para radiotelecomunicaciones; </w:t>
      </w:r>
    </w:p>
    <w:p w14:paraId="15B90ECD"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Anuncios publicitarios que requieran de elementos estructurales; y </w:t>
      </w:r>
    </w:p>
    <w:p w14:paraId="777987DD" w14:textId="77777777" w:rsidR="00EB0E3F" w:rsidRPr="00795BFE" w:rsidRDefault="00EB0E3F" w:rsidP="0060503B">
      <w:pPr>
        <w:numPr>
          <w:ilvl w:val="0"/>
          <w:numId w:val="34"/>
        </w:numPr>
        <w:autoSpaceDE w:val="0"/>
        <w:autoSpaceDN w:val="0"/>
        <w:adjustRightInd w:val="0"/>
        <w:spacing w:after="0" w:line="360" w:lineRule="auto"/>
        <w:ind w:right="567"/>
        <w:contextualSpacing/>
        <w:rPr>
          <w:rFonts w:eastAsiaTheme="minorHAnsi" w:cs="Tahoma"/>
          <w:i/>
          <w:color w:val="auto"/>
          <w:sz w:val="20"/>
          <w:lang w:eastAsia="en-US"/>
        </w:rPr>
      </w:pPr>
      <w:r w:rsidRPr="00795BFE">
        <w:rPr>
          <w:rFonts w:eastAsiaTheme="minorHAnsi" w:cstheme="minorBidi"/>
          <w:lang w:eastAsia="en-US"/>
        </w:rPr>
        <w:t xml:space="preserve"> Instalaciones o modificaciones de ascensores para personas, montacargas, escaleras mecánicas o cualquier otro mecanismo de transporte electromecánico.</w:t>
      </w:r>
    </w:p>
    <w:p w14:paraId="0C5E2EBC" w14:textId="77777777" w:rsidR="00EB0E3F" w:rsidRPr="00795BFE" w:rsidRDefault="00EB0E3F" w:rsidP="0060503B">
      <w:pPr>
        <w:spacing w:after="0" w:line="360" w:lineRule="auto"/>
        <w:rPr>
          <w:rFonts w:eastAsia="Times New Roman" w:cs="Tahoma"/>
          <w:bCs/>
          <w:iCs/>
          <w:color w:val="FF0000"/>
          <w:lang w:eastAsia="es-ES"/>
        </w:rPr>
      </w:pPr>
    </w:p>
    <w:p w14:paraId="1433A91B" w14:textId="77777777" w:rsidR="00EB0E3F" w:rsidRPr="00795BFE" w:rsidRDefault="00EB0E3F" w:rsidP="0060503B">
      <w:pPr>
        <w:spacing w:after="0" w:line="360" w:lineRule="auto"/>
        <w:rPr>
          <w:rFonts w:eastAsiaTheme="minorHAnsi" w:cstheme="minorBidi"/>
          <w:lang w:eastAsia="en-US"/>
        </w:rPr>
      </w:pPr>
      <w:r w:rsidRPr="00795BFE">
        <w:rPr>
          <w:rFonts w:eastAsia="Times New Roman" w:cs="Tahoma"/>
          <w:bCs/>
          <w:iCs/>
          <w:color w:val="auto"/>
          <w:lang w:eastAsia="es-ES"/>
        </w:rPr>
        <w:t xml:space="preserve">Además, refiere que </w:t>
      </w:r>
      <w:r w:rsidRPr="00795BFE">
        <w:rPr>
          <w:rFonts w:eastAsiaTheme="minorHAnsi" w:cstheme="minorBidi"/>
          <w:lang w:eastAsia="en-US"/>
        </w:rPr>
        <w:t>la autoridad municipal que emita la licencia de construcción deberá revisar que en el proyecto que autoriza se observen las disposiciones de este Libro, las Normas Técnicas y demás disposiciones jurídicas aplicables y deberá otorgar o negar la misma.</w:t>
      </w:r>
    </w:p>
    <w:p w14:paraId="1CEB3D3D" w14:textId="77777777" w:rsidR="00EB0E3F" w:rsidRPr="00795BFE" w:rsidRDefault="00EB0E3F" w:rsidP="0060503B">
      <w:pPr>
        <w:spacing w:after="0" w:line="360" w:lineRule="auto"/>
        <w:rPr>
          <w:rFonts w:eastAsiaTheme="minorHAnsi" w:cstheme="minorBidi"/>
          <w:lang w:eastAsia="en-US"/>
        </w:rPr>
      </w:pPr>
    </w:p>
    <w:p w14:paraId="07990B21" w14:textId="77777777" w:rsidR="00EB0E3F" w:rsidRPr="00795BFE" w:rsidRDefault="00EB0E3F" w:rsidP="0060503B">
      <w:pPr>
        <w:spacing w:after="0" w:line="360" w:lineRule="auto"/>
        <w:rPr>
          <w:rFonts w:eastAsiaTheme="minorHAnsi" w:cstheme="minorBidi"/>
          <w:lang w:eastAsia="en-US"/>
        </w:rPr>
      </w:pPr>
      <w:r w:rsidRPr="00795BFE">
        <w:rPr>
          <w:rFonts w:eastAsiaTheme="minorHAnsi" w:cstheme="minorBidi"/>
          <w:lang w:eastAsia="en-US"/>
        </w:rPr>
        <w:t>En ese mismo orden de ideas, el artículo 96 sexies de la Ley Orgánica Municipal del Estado de México, establece que el Director de Desarrollo Urbano o el Titular de la Unidad Administrativa equivalente, dentro de sus atribuciones tiene la de analizar las cédulas informativas de zonificación, licencias de uso de suelo y licencias de construcción.</w:t>
      </w:r>
    </w:p>
    <w:p w14:paraId="154CACC9" w14:textId="77777777" w:rsidR="00EB0E3F" w:rsidRPr="00795BFE" w:rsidRDefault="00EB0E3F" w:rsidP="0060503B">
      <w:pPr>
        <w:spacing w:after="0" w:line="360" w:lineRule="auto"/>
        <w:rPr>
          <w:rFonts w:eastAsiaTheme="minorHAnsi" w:cstheme="minorBidi"/>
          <w:lang w:eastAsia="en-US"/>
        </w:rPr>
      </w:pPr>
    </w:p>
    <w:p w14:paraId="5F87F432" w14:textId="6DE3E367" w:rsidR="00BF1C9F" w:rsidRPr="00795BFE" w:rsidRDefault="00EB0E3F" w:rsidP="0060503B">
      <w:pPr>
        <w:spacing w:after="0" w:line="360" w:lineRule="auto"/>
        <w:rPr>
          <w:rFonts w:eastAsiaTheme="minorHAnsi" w:cstheme="minorBidi"/>
          <w:lang w:eastAsia="en-US"/>
        </w:rPr>
      </w:pPr>
      <w:r w:rsidRPr="00795BFE">
        <w:rPr>
          <w:rFonts w:eastAsiaTheme="minorHAnsi" w:cstheme="minorBidi"/>
          <w:lang w:eastAsia="en-US"/>
        </w:rPr>
        <w:t xml:space="preserve">Conforme a la normatividad referida, se concluye que el Sujeto Obligado tiene la facultad para emitir licencias de construcción, mismas que son parte de la información de interés del Particular, por lo que debe tener en sus archivos los documentos de los que se desprenda lo que el Recurrente solicita; respecto las licencias de construcción. </w:t>
      </w:r>
    </w:p>
    <w:p w14:paraId="5A97E8A4" w14:textId="77777777" w:rsidR="009337F8" w:rsidRPr="00795BFE" w:rsidRDefault="009337F8" w:rsidP="0060503B">
      <w:pPr>
        <w:spacing w:after="0" w:line="360" w:lineRule="auto"/>
        <w:rPr>
          <w:rFonts w:cs="Tahoma"/>
          <w:lang w:eastAsia="en-US"/>
        </w:rPr>
      </w:pPr>
    </w:p>
    <w:p w14:paraId="38F09B59" w14:textId="45927372" w:rsidR="00A369DB" w:rsidRPr="00795BFE" w:rsidRDefault="00A369DB" w:rsidP="0060503B">
      <w:pPr>
        <w:spacing w:after="0" w:line="360" w:lineRule="auto"/>
        <w:rPr>
          <w:color w:val="000000"/>
        </w:rPr>
      </w:pPr>
      <w:r w:rsidRPr="00795BFE">
        <w:rPr>
          <w:rFonts w:cs="Tahoma"/>
          <w:lang w:eastAsia="en-US"/>
        </w:rPr>
        <w:t xml:space="preserve">Establecida dicha circunstancia, </w:t>
      </w:r>
      <w:r w:rsidRPr="00795BFE">
        <w:rPr>
          <w:color w:val="000000"/>
        </w:rPr>
        <w:t>de las constancias que obran en el expediente, se logra vislumbr</w:t>
      </w:r>
      <w:r w:rsidR="009337F8" w:rsidRPr="00795BFE">
        <w:rPr>
          <w:color w:val="000000"/>
        </w:rPr>
        <w:t>ar que el Sujeto Obligado, turnó</w:t>
      </w:r>
      <w:r w:rsidRPr="00795BFE">
        <w:rPr>
          <w:color w:val="000000"/>
        </w:rPr>
        <w:t xml:space="preserve"> la solicitud de información </w:t>
      </w:r>
      <w:r w:rsidR="002762F1" w:rsidRPr="00795BFE">
        <w:rPr>
          <w:color w:val="000000"/>
        </w:rPr>
        <w:t>únicamente a la Dirección de Desarrollo Urbano y Ecología</w:t>
      </w:r>
      <w:r w:rsidRPr="00795BFE">
        <w:rPr>
          <w:color w:val="000000"/>
        </w:rPr>
        <w:t xml:space="preserve">, por lo que, es necesario hacer referencia al </w:t>
      </w:r>
      <w:r w:rsidRPr="00795BFE">
        <w:rPr>
          <w:b/>
          <w:color w:val="000000"/>
        </w:rPr>
        <w:t>procedimiento de búsqueda que deben de seguir los Sujetos Obligados para localizar la información</w:t>
      </w:r>
      <w:r w:rsidRPr="00795BFE">
        <w:rPr>
          <w:color w:val="000000"/>
        </w:rPr>
        <w:t xml:space="preserve">, el cual se encuentra previsto </w:t>
      </w:r>
      <w:r w:rsidR="0060503B" w:rsidRPr="00795BFE">
        <w:rPr>
          <w:color w:val="000000"/>
        </w:rPr>
        <w:t>en el artículo</w:t>
      </w:r>
      <w:r w:rsidRPr="00795BFE">
        <w:rPr>
          <w:color w:val="000000"/>
        </w:rPr>
        <w:t xml:space="preserve"> 162 de la Ley de Transparencia y Acceso a la Información Pública del Estado de México y Municipios, </w:t>
      </w:r>
      <w:r w:rsidR="0060503B" w:rsidRPr="00795BFE">
        <w:rPr>
          <w:color w:val="000000"/>
        </w:rPr>
        <w:t>el cual establece que las</w:t>
      </w:r>
      <w:r w:rsidRPr="00795BFE">
        <w:rPr>
          <w:color w:val="000000"/>
        </w:rPr>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0503B" w:rsidRPr="00795BFE">
        <w:rPr>
          <w:color w:val="000000"/>
        </w:rPr>
        <w:t>.</w:t>
      </w:r>
    </w:p>
    <w:p w14:paraId="01847E0D" w14:textId="77777777" w:rsidR="00A369DB" w:rsidRPr="00795BFE" w:rsidRDefault="00A369DB" w:rsidP="0060503B">
      <w:pPr>
        <w:spacing w:after="0" w:line="360" w:lineRule="auto"/>
        <w:ind w:left="360"/>
        <w:rPr>
          <w:color w:val="000000"/>
        </w:rPr>
      </w:pPr>
    </w:p>
    <w:p w14:paraId="03116EDF" w14:textId="26785AA5" w:rsidR="000E23BF" w:rsidRPr="00795BFE" w:rsidRDefault="00A369DB" w:rsidP="0060503B">
      <w:pPr>
        <w:spacing w:after="0" w:line="360" w:lineRule="auto"/>
        <w:ind w:right="-28"/>
        <w:contextualSpacing/>
        <w:rPr>
          <w:rFonts w:eastAsia="Calibri" w:cs="Times New Roman"/>
          <w:bCs/>
          <w:color w:val="000000"/>
          <w:lang w:eastAsia="en-US"/>
        </w:rPr>
      </w:pPr>
      <w:r w:rsidRPr="00795BFE">
        <w:rPr>
          <w:rFonts w:eastAsia="Calibri" w:cs="Times New Roman"/>
          <w:bCs/>
          <w:color w:val="000000"/>
          <w:lang w:eastAsia="en-US"/>
        </w:rPr>
        <w:t>Así, a efecto de determinar si el Sujeto Obligado, cumplió con el procedimiento de búsqueda antes referido, se trae al estudio lo previsto en</w:t>
      </w:r>
      <w:r w:rsidR="00CB615E" w:rsidRPr="00795BFE">
        <w:rPr>
          <w:rFonts w:eastAsia="Calibri" w:cs="Times New Roman"/>
          <w:bCs/>
          <w:color w:val="000000"/>
          <w:lang w:eastAsia="en-US"/>
        </w:rPr>
        <w:t xml:space="preserve"> la Ley Orgánica Municipal del Estado de México, misma que contempla en </w:t>
      </w:r>
      <w:r w:rsidRPr="00795BFE">
        <w:rPr>
          <w:rFonts w:eastAsia="Calibri" w:cs="Times New Roman"/>
          <w:bCs/>
          <w:color w:val="000000"/>
          <w:lang w:eastAsia="en-US"/>
        </w:rPr>
        <w:t xml:space="preserve"> los artículos</w:t>
      </w:r>
      <w:r w:rsidR="00CB615E" w:rsidRPr="00795BFE">
        <w:rPr>
          <w:rFonts w:eastAsia="Calibri" w:cs="Times New Roman"/>
          <w:bCs/>
          <w:color w:val="000000"/>
          <w:lang w:eastAsia="en-US"/>
        </w:rPr>
        <w:t xml:space="preserve"> </w:t>
      </w:r>
      <w:r w:rsidR="009337F8" w:rsidRPr="00795BFE">
        <w:rPr>
          <w:rFonts w:eastAsia="Calibri" w:cs="Times New Roman"/>
          <w:bCs/>
          <w:color w:val="000000"/>
          <w:lang w:eastAsia="en-US"/>
        </w:rPr>
        <w:t>93, 95</w:t>
      </w:r>
      <w:r w:rsidR="0060503B" w:rsidRPr="00795BFE">
        <w:rPr>
          <w:rFonts w:eastAsia="Calibri" w:cs="Times New Roman"/>
          <w:bCs/>
          <w:color w:val="000000"/>
          <w:lang w:eastAsia="en-US"/>
        </w:rPr>
        <w:t>,</w:t>
      </w:r>
      <w:r w:rsidR="009337F8" w:rsidRPr="00795BFE">
        <w:rPr>
          <w:rFonts w:eastAsia="Calibri" w:cs="Times New Roman"/>
          <w:bCs/>
          <w:color w:val="000000"/>
          <w:lang w:eastAsia="en-US"/>
        </w:rPr>
        <w:t xml:space="preserve"> fracción IV y 96</w:t>
      </w:r>
      <w:r w:rsidR="00CB615E" w:rsidRPr="00795BFE">
        <w:rPr>
          <w:rFonts w:eastAsia="Calibri" w:cs="Times New Roman"/>
          <w:bCs/>
          <w:color w:val="000000"/>
          <w:lang w:eastAsia="en-US"/>
        </w:rPr>
        <w:t xml:space="preserve"> Sexies</w:t>
      </w:r>
      <w:r w:rsidR="009337F8" w:rsidRPr="00795BFE">
        <w:rPr>
          <w:rFonts w:eastAsia="Calibri" w:cs="Times New Roman"/>
          <w:bCs/>
          <w:color w:val="000000"/>
          <w:lang w:eastAsia="en-US"/>
        </w:rPr>
        <w:t xml:space="preserve">, </w:t>
      </w:r>
      <w:r w:rsidR="00CB615E" w:rsidRPr="00795BFE">
        <w:rPr>
          <w:rFonts w:eastAsia="Calibri" w:cs="Times New Roman"/>
          <w:bCs/>
          <w:color w:val="000000"/>
          <w:lang w:eastAsia="en-US"/>
        </w:rPr>
        <w:t xml:space="preserve"> que e</w:t>
      </w:r>
      <w:r w:rsidR="00C071D0" w:rsidRPr="00795BFE">
        <w:rPr>
          <w:rFonts w:eastAsia="Calibri" w:cs="Times New Roman"/>
          <w:bCs/>
          <w:color w:val="000000"/>
          <w:lang w:eastAsia="en-US"/>
        </w:rPr>
        <w:t>l Director de Desarrollo Urbano o el Titular de la Unidad Administrativa</w:t>
      </w:r>
      <w:r w:rsidR="00CB615E" w:rsidRPr="00795BFE">
        <w:rPr>
          <w:rFonts w:eastAsia="Calibri" w:cs="Times New Roman"/>
          <w:bCs/>
          <w:color w:val="000000"/>
          <w:lang w:eastAsia="en-US"/>
        </w:rPr>
        <w:t xml:space="preserve"> equivalente, tiene la atribución de a</w:t>
      </w:r>
      <w:r w:rsidR="00C071D0" w:rsidRPr="00795BFE">
        <w:rPr>
          <w:rFonts w:eastAsia="Calibri" w:cs="Times New Roman"/>
          <w:bCs/>
          <w:color w:val="000000"/>
          <w:lang w:eastAsia="en-US"/>
        </w:rPr>
        <w:t>nalizar las cédulas informativas de zonificación, licencias de uso de suelo y licencias de</w:t>
      </w:r>
      <w:r w:rsidR="00CB615E" w:rsidRPr="00795BFE">
        <w:rPr>
          <w:rFonts w:eastAsia="Calibri" w:cs="Times New Roman"/>
          <w:bCs/>
          <w:color w:val="000000"/>
          <w:lang w:eastAsia="en-US"/>
        </w:rPr>
        <w:t xml:space="preserve"> </w:t>
      </w:r>
      <w:r w:rsidR="00C071D0" w:rsidRPr="00795BFE">
        <w:rPr>
          <w:rFonts w:eastAsia="Calibri" w:cs="Times New Roman"/>
          <w:bCs/>
          <w:color w:val="000000"/>
          <w:lang w:eastAsia="en-US"/>
        </w:rPr>
        <w:lastRenderedPageBreak/>
        <w:t>construcción;</w:t>
      </w:r>
      <w:r w:rsidR="00CB615E" w:rsidRPr="00795BFE">
        <w:rPr>
          <w:rFonts w:eastAsia="Calibri" w:cs="Times New Roman"/>
          <w:bCs/>
          <w:color w:val="000000"/>
          <w:lang w:eastAsia="en-US"/>
        </w:rPr>
        <w:t xml:space="preserve"> así mismo que </w:t>
      </w:r>
      <w:r w:rsidR="00E63455" w:rsidRPr="00795BFE">
        <w:rPr>
          <w:rFonts w:eastAsia="Calibri" w:cs="Times New Roman"/>
          <w:bCs/>
          <w:color w:val="000000"/>
          <w:lang w:eastAsia="en-US"/>
        </w:rPr>
        <w:t>la tesorería municipal es el órgano encargado de la recaudación de los ingresos municipales y responsable de realizar las erogaciones que haga el ayuntamiento, así como de llevar los registros contables, financieros y administrativos de los ingresos, egresos, e inventarios;</w:t>
      </w:r>
    </w:p>
    <w:p w14:paraId="4ED72439" w14:textId="77777777" w:rsidR="000E23BF" w:rsidRPr="00795BFE" w:rsidRDefault="000E23BF" w:rsidP="0060503B">
      <w:pPr>
        <w:spacing w:after="0" w:line="360" w:lineRule="auto"/>
        <w:ind w:right="-28"/>
        <w:contextualSpacing/>
        <w:rPr>
          <w:rFonts w:eastAsia="Calibri" w:cs="Times New Roman"/>
          <w:bCs/>
          <w:color w:val="000000"/>
          <w:lang w:eastAsia="en-US"/>
        </w:rPr>
      </w:pPr>
    </w:p>
    <w:p w14:paraId="399ECBC9" w14:textId="412D5C5E" w:rsidR="00AD041F" w:rsidRPr="00795BFE" w:rsidRDefault="00A369DB" w:rsidP="0060503B">
      <w:pPr>
        <w:spacing w:after="0" w:line="360" w:lineRule="auto"/>
        <w:rPr>
          <w:color w:val="000000"/>
        </w:rPr>
      </w:pPr>
      <w:r w:rsidRPr="00795BFE">
        <w:rPr>
          <w:color w:val="000000"/>
        </w:rPr>
        <w:t xml:space="preserve">De tal circunstancia, se advierte que el Sujeto Obligado, </w:t>
      </w:r>
      <w:r w:rsidR="00CB615E" w:rsidRPr="00795BFE">
        <w:rPr>
          <w:color w:val="000000"/>
        </w:rPr>
        <w:t xml:space="preserve">no </w:t>
      </w:r>
      <w:r w:rsidRPr="00795BFE">
        <w:rPr>
          <w:color w:val="000000"/>
        </w:rPr>
        <w:t xml:space="preserve">cumplió con el procedimiento de búsqueda previsto en el artículo 162 de la Ley de Transparencia y Acceso a la Información Pública del Estado de México y Municipios, toda vez que </w:t>
      </w:r>
      <w:r w:rsidR="00AD041F" w:rsidRPr="00795BFE">
        <w:rPr>
          <w:color w:val="000000"/>
        </w:rPr>
        <w:t xml:space="preserve">omitió remitir la solicitud de información a la Tesorería municipal, que tiene atribuciones para conocer de parte de la solicitud de información relativa a los ingresos; </w:t>
      </w:r>
    </w:p>
    <w:p w14:paraId="0AA635CB" w14:textId="77777777" w:rsidR="00B27D55" w:rsidRPr="00795BFE" w:rsidRDefault="00B27D55" w:rsidP="0060503B">
      <w:pPr>
        <w:spacing w:after="0" w:line="360" w:lineRule="auto"/>
        <w:rPr>
          <w:color w:val="000000"/>
        </w:rPr>
      </w:pPr>
    </w:p>
    <w:p w14:paraId="5B42156F" w14:textId="66C5B775" w:rsidR="00B27D55" w:rsidRPr="00795BFE" w:rsidRDefault="00A369DB" w:rsidP="0060503B">
      <w:pPr>
        <w:spacing w:after="0" w:line="360" w:lineRule="auto"/>
        <w:rPr>
          <w:rFonts w:eastAsia="Times New Roman" w:cs="Tahoma"/>
          <w:lang w:val="es-ES"/>
        </w:rPr>
      </w:pPr>
      <w:r w:rsidRPr="00795BFE">
        <w:rPr>
          <w:rFonts w:eastAsia="Times New Roman" w:cs="Tahoma"/>
          <w:lang w:val="es-ES"/>
        </w:rPr>
        <w:t>Establecido lo anterior, se procede analizar e</w:t>
      </w:r>
      <w:r w:rsidR="00AD041F" w:rsidRPr="00795BFE">
        <w:rPr>
          <w:rFonts w:eastAsia="Times New Roman" w:cs="Tahoma"/>
          <w:lang w:val="es-ES"/>
        </w:rPr>
        <w:t>l agravio hecho vale</w:t>
      </w:r>
      <w:r w:rsidRPr="00795BFE">
        <w:rPr>
          <w:rFonts w:eastAsia="Times New Roman" w:cs="Tahoma"/>
          <w:lang w:val="es-ES"/>
        </w:rPr>
        <w:t xml:space="preserve">r por la Recurrente, referente </w:t>
      </w:r>
      <w:r w:rsidR="00AD041F" w:rsidRPr="00795BFE">
        <w:rPr>
          <w:rFonts w:eastAsia="Times New Roman" w:cs="Tahoma"/>
          <w:lang w:val="es-ES"/>
        </w:rPr>
        <w:t xml:space="preserve">al </w:t>
      </w:r>
      <w:r w:rsidRPr="00795BFE">
        <w:rPr>
          <w:rFonts w:eastAsia="Times New Roman" w:cs="Tahoma"/>
          <w:lang w:val="es-ES"/>
        </w:rPr>
        <w:t xml:space="preserve"> cambió de modalidad a consulta directa realizada por el Ente Recurrido; </w:t>
      </w:r>
    </w:p>
    <w:p w14:paraId="73A282C0" w14:textId="77777777" w:rsidR="00B27D55" w:rsidRPr="00795BFE" w:rsidRDefault="00B27D55" w:rsidP="0060503B">
      <w:pPr>
        <w:spacing w:after="0" w:line="360" w:lineRule="auto"/>
        <w:rPr>
          <w:rFonts w:eastAsia="Times New Roman" w:cs="Tahoma"/>
          <w:lang w:val="es-ES"/>
        </w:rPr>
      </w:pPr>
    </w:p>
    <w:p w14:paraId="6AA77BA3" w14:textId="09A713C3" w:rsidR="00B27D55" w:rsidRPr="00795BFE" w:rsidRDefault="003E22CB" w:rsidP="0060503B">
      <w:pPr>
        <w:spacing w:after="0" w:line="360" w:lineRule="auto"/>
        <w:rPr>
          <w:rFonts w:eastAsia="Times New Roman" w:cs="Tahoma"/>
          <w:lang w:val="es-ES"/>
        </w:rPr>
      </w:pPr>
      <w:r w:rsidRPr="00795BFE">
        <w:rPr>
          <w:rFonts w:eastAsia="Times New Roman" w:cs="Tahoma"/>
          <w:lang w:val="es-ES"/>
        </w:rPr>
        <w:t xml:space="preserve">En </w:t>
      </w:r>
      <w:r w:rsidR="007A4FC5" w:rsidRPr="00795BFE">
        <w:rPr>
          <w:rFonts w:eastAsia="Times New Roman" w:cs="Tahoma"/>
          <w:lang w:val="es-ES"/>
        </w:rPr>
        <w:t xml:space="preserve"> su respuesta el Ayuntamiento de Temamatla, </w:t>
      </w:r>
      <w:r w:rsidR="00894FA0" w:rsidRPr="00795BFE">
        <w:rPr>
          <w:rFonts w:eastAsia="Times New Roman" w:cs="Tahoma"/>
          <w:lang w:val="es-ES"/>
        </w:rPr>
        <w:t>remitió</w:t>
      </w:r>
      <w:r w:rsidR="007A4FC5" w:rsidRPr="00795BFE">
        <w:rPr>
          <w:rFonts w:eastAsia="Times New Roman" w:cs="Tahoma"/>
          <w:lang w:val="es-ES"/>
        </w:rPr>
        <w:t xml:space="preserve"> </w:t>
      </w:r>
      <w:r w:rsidR="00E37CB6" w:rsidRPr="00795BFE">
        <w:rPr>
          <w:rFonts w:eastAsia="Times New Roman" w:cs="Tahoma"/>
          <w:lang w:val="es-ES"/>
        </w:rPr>
        <w:t xml:space="preserve">el siguiente </w:t>
      </w:r>
      <w:r w:rsidR="007A4FC5" w:rsidRPr="00795BFE">
        <w:rPr>
          <w:rFonts w:eastAsia="Times New Roman" w:cs="Tahoma"/>
          <w:lang w:val="es-ES"/>
        </w:rPr>
        <w:t xml:space="preserve">acuerdo del Comité de Transparencia </w:t>
      </w:r>
      <w:r w:rsidR="005C4C29" w:rsidRPr="00795BFE">
        <w:rPr>
          <w:rFonts w:eastAsia="Times New Roman" w:cs="Tahoma"/>
          <w:lang w:val="es-ES"/>
        </w:rPr>
        <w:t>aprobando</w:t>
      </w:r>
      <w:r w:rsidR="00894FA0" w:rsidRPr="00795BFE">
        <w:rPr>
          <w:rFonts w:eastAsia="Times New Roman" w:cs="Tahoma"/>
          <w:lang w:val="es-ES"/>
        </w:rPr>
        <w:t xml:space="preserve"> el cambio de modalidad a consulta directa para la entrega de la información</w:t>
      </w:r>
      <w:r w:rsidR="00E37CB6" w:rsidRPr="00795BFE">
        <w:rPr>
          <w:rFonts w:eastAsia="Times New Roman" w:cs="Tahoma"/>
          <w:lang w:val="es-ES"/>
        </w:rPr>
        <w:t xml:space="preserve"> relativo a diversas solicitudes de información:</w:t>
      </w:r>
    </w:p>
    <w:p w14:paraId="363EFA2D" w14:textId="77777777" w:rsidR="00B27D55" w:rsidRPr="00795BFE" w:rsidRDefault="00B27D55" w:rsidP="0060503B">
      <w:pPr>
        <w:spacing w:after="0" w:line="360" w:lineRule="auto"/>
        <w:rPr>
          <w:rFonts w:eastAsia="Times New Roman" w:cs="Tahoma"/>
          <w:lang w:val="es-ES"/>
        </w:rPr>
      </w:pPr>
    </w:p>
    <w:p w14:paraId="291061A6" w14:textId="25FDF600" w:rsidR="00B27D55" w:rsidRPr="00795BFE" w:rsidRDefault="003E22CB" w:rsidP="0060503B">
      <w:pPr>
        <w:spacing w:after="0" w:line="360" w:lineRule="auto"/>
        <w:jc w:val="center"/>
        <w:rPr>
          <w:rFonts w:eastAsia="Times New Roman" w:cs="Tahoma"/>
          <w:lang w:val="es-ES"/>
        </w:rPr>
      </w:pPr>
      <w:r w:rsidRPr="00795BFE">
        <w:rPr>
          <w:rFonts w:eastAsia="Times New Roman" w:cs="Tahoma"/>
          <w:noProof/>
        </w:rPr>
        <w:drawing>
          <wp:inline distT="0" distB="0" distL="0" distR="0" wp14:anchorId="1AD3245C" wp14:editId="209E8109">
            <wp:extent cx="3996786" cy="1841801"/>
            <wp:effectExtent l="0" t="0" r="381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4974" cy="1850182"/>
                    </a:xfrm>
                    <a:prstGeom prst="rect">
                      <a:avLst/>
                    </a:prstGeom>
                  </pic:spPr>
                </pic:pic>
              </a:graphicData>
            </a:graphic>
          </wp:inline>
        </w:drawing>
      </w:r>
    </w:p>
    <w:p w14:paraId="747ED3DA" w14:textId="77777777" w:rsidR="00B27D55" w:rsidRPr="00795BFE" w:rsidRDefault="00B27D55" w:rsidP="0060503B">
      <w:pPr>
        <w:spacing w:after="0" w:line="360" w:lineRule="auto"/>
        <w:rPr>
          <w:rFonts w:eastAsia="Times New Roman" w:cs="Tahoma"/>
          <w:lang w:val="es-ES"/>
        </w:rPr>
      </w:pPr>
    </w:p>
    <w:p w14:paraId="28B4D1CC" w14:textId="77777777" w:rsidR="00894FA0" w:rsidRPr="00795BFE" w:rsidRDefault="00894FA0" w:rsidP="0060503B">
      <w:pPr>
        <w:spacing w:after="0" w:line="360" w:lineRule="auto"/>
        <w:rPr>
          <w:rFonts w:eastAsia="Times New Roman" w:cs="Tahoma"/>
          <w:lang w:val="es-ES"/>
        </w:rPr>
      </w:pPr>
    </w:p>
    <w:p w14:paraId="0F42C5A1" w14:textId="6551339D" w:rsidR="00A369DB" w:rsidRPr="00795BFE" w:rsidRDefault="00E37CB6" w:rsidP="0060503B">
      <w:pPr>
        <w:spacing w:after="0" w:line="360" w:lineRule="auto"/>
        <w:rPr>
          <w:rFonts w:eastAsia="Times New Roman" w:cs="Tahoma"/>
        </w:rPr>
      </w:pPr>
      <w:r w:rsidRPr="00795BFE">
        <w:rPr>
          <w:rFonts w:eastAsia="Times New Roman" w:cs="Tahoma"/>
          <w:lang w:val="es-ES"/>
        </w:rPr>
        <w:lastRenderedPageBreak/>
        <w:t>E</w:t>
      </w:r>
      <w:r w:rsidR="00A369DB" w:rsidRPr="00795BFE">
        <w:rPr>
          <w:rFonts w:eastAsia="Times New Roman" w:cs="Tahoma"/>
          <w:lang w:val="es-ES"/>
        </w:rPr>
        <w:t xml:space="preserve">n este sentido </w:t>
      </w:r>
      <w:r w:rsidR="00A369DB" w:rsidRPr="00795BFE">
        <w:rPr>
          <w:rFonts w:eastAsia="Times New Roman" w:cs="Tahoma"/>
        </w:rPr>
        <w:t xml:space="preserve">el artículo 155, fracción V, de la Ley de Transparencia y Acceso a la Información Pública del Estado de México y Municipios, precisa que para presentar una solicitud, la particular podrá señalar </w:t>
      </w:r>
      <w:r w:rsidR="00A369DB" w:rsidRPr="00795BFE">
        <w:rPr>
          <w:rFonts w:eastAsia="Times New Roman" w:cs="Tahoma"/>
          <w:b/>
          <w:bCs/>
        </w:rPr>
        <w:t>la modalidad en la que prefiere se otorgue el acceso a la información</w:t>
      </w:r>
      <w:r w:rsidR="00A369DB" w:rsidRPr="00795BFE">
        <w:rPr>
          <w:rFonts w:eastAsia="Times New Roman" w:cs="Tahoma"/>
        </w:rPr>
        <w:t>, la cual podrá ser verbal, siempre y cuando sea para fines de orientación, mediante consulta directa, mediante la expedición de copias simples o certificadas o la reproducción en cualquier otro medio, incluidos los electrónicos.</w:t>
      </w:r>
    </w:p>
    <w:p w14:paraId="0FA464D1" w14:textId="77777777" w:rsidR="00A369DB" w:rsidRPr="00795BFE" w:rsidRDefault="00A369DB" w:rsidP="0060503B">
      <w:pPr>
        <w:spacing w:after="0" w:line="360" w:lineRule="auto"/>
        <w:rPr>
          <w:rFonts w:eastAsia="Times New Roman" w:cs="Tahoma"/>
        </w:rPr>
      </w:pPr>
    </w:p>
    <w:p w14:paraId="30BC69AA" w14:textId="77777777" w:rsidR="00A369DB" w:rsidRPr="00795BFE" w:rsidRDefault="00A369DB" w:rsidP="0060503B">
      <w:pPr>
        <w:spacing w:after="0" w:line="360" w:lineRule="auto"/>
        <w:rPr>
          <w:rFonts w:eastAsia="Times New Roman" w:cs="Tahoma"/>
          <w:b/>
          <w:bCs/>
          <w:lang w:val="es-ES" w:eastAsia="es-ES"/>
        </w:rPr>
      </w:pPr>
      <w:r w:rsidRPr="00795BFE">
        <w:rPr>
          <w:rFonts w:eastAsia="Times New Roman" w:cs="Tahoma"/>
          <w:lang w:eastAsia="es-ES"/>
        </w:rPr>
        <w:t>El artículo 158, dispone que, de manera excepcional, cuando de manera fundada y motivada lo determine el Sujeto Obligado,</w:t>
      </w:r>
      <w:r w:rsidRPr="00795BFE">
        <w:rPr>
          <w:rFonts w:eastAsia="Times New Roman" w:cs="Tahoma"/>
          <w:b/>
          <w:bCs/>
          <w:lang w:eastAsia="es-ES"/>
        </w:rPr>
        <w:t xml:space="preserve">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72E5A07" w14:textId="77777777" w:rsidR="00A369DB" w:rsidRPr="00795BFE" w:rsidRDefault="00A369DB" w:rsidP="0060503B">
      <w:pPr>
        <w:spacing w:after="0" w:line="360" w:lineRule="auto"/>
        <w:rPr>
          <w:rFonts w:eastAsia="Times New Roman" w:cs="Tahoma"/>
          <w:szCs w:val="24"/>
          <w:lang w:eastAsia="es-ES"/>
        </w:rPr>
      </w:pPr>
    </w:p>
    <w:p w14:paraId="58408C05" w14:textId="77777777" w:rsidR="00A369DB" w:rsidRPr="00795BFE" w:rsidRDefault="00A369DB" w:rsidP="0060503B">
      <w:pPr>
        <w:spacing w:after="0" w:line="360" w:lineRule="auto"/>
        <w:rPr>
          <w:rFonts w:eastAsia="Calibri" w:cs="Tahoma"/>
          <w:bCs/>
          <w:lang w:eastAsia="en-US"/>
        </w:rPr>
      </w:pPr>
      <w:r w:rsidRPr="00795BFE">
        <w:rPr>
          <w:rFonts w:eastAsia="Calibri" w:cs="Tahoma"/>
          <w:bCs/>
          <w:lang w:val="es-ES" w:eastAsia="en-US"/>
        </w:rPr>
        <w:t xml:space="preserve">En ese orden de ideas, el artículo 164 de dicho ordenamiento jurídico, prevé que </w:t>
      </w:r>
      <w:r w:rsidRPr="00795BFE">
        <w:rPr>
          <w:rFonts w:eastAsia="Calibri" w:cs="Tahoma"/>
          <w:bCs/>
          <w:lang w:eastAsia="en-US"/>
        </w:rPr>
        <w:t xml:space="preserve">el acceso se dará en la modalidad de entrega y, en su caso, de envío elegidos por al solicitante. </w:t>
      </w:r>
      <w:r w:rsidRPr="00795BFE">
        <w:rPr>
          <w:rFonts w:eastAsia="Calibri" w:cs="Tahoma"/>
          <w:b/>
          <w:bCs/>
          <w:lang w:eastAsia="en-US"/>
        </w:rPr>
        <w:t>Cuando la información no pueda entregarse o enviarse en la modalidad elegida, el sujeto obligado deberá ofrecer otra u otras modalidades de entrega.</w:t>
      </w:r>
      <w:r w:rsidRPr="00795BFE">
        <w:rPr>
          <w:rFonts w:eastAsia="Calibri" w:cs="Tahoma"/>
          <w:bCs/>
          <w:lang w:eastAsia="en-US"/>
        </w:rPr>
        <w:t xml:space="preserve"> En cualquier caso, </w:t>
      </w:r>
      <w:r w:rsidRPr="00795BFE">
        <w:rPr>
          <w:rFonts w:eastAsia="Calibri" w:cs="Tahoma"/>
          <w:b/>
          <w:bCs/>
          <w:lang w:eastAsia="en-US"/>
        </w:rPr>
        <w:t>se deberá fundar y motivar</w:t>
      </w:r>
      <w:r w:rsidRPr="00795BFE">
        <w:rPr>
          <w:rFonts w:eastAsia="Calibri" w:cs="Tahoma"/>
          <w:bCs/>
          <w:lang w:eastAsia="en-US"/>
        </w:rPr>
        <w:t xml:space="preserve"> la necesidad de ofrecer otras modalidades.</w:t>
      </w:r>
    </w:p>
    <w:p w14:paraId="3F486E9D" w14:textId="77777777" w:rsidR="00A369DB" w:rsidRPr="00795BFE" w:rsidRDefault="00A369DB" w:rsidP="0060503B">
      <w:pPr>
        <w:spacing w:after="0" w:line="360" w:lineRule="auto"/>
        <w:rPr>
          <w:rFonts w:eastAsia="Calibri" w:cs="Tahoma"/>
          <w:bCs/>
          <w:lang w:eastAsia="en-US"/>
        </w:rPr>
      </w:pPr>
    </w:p>
    <w:p w14:paraId="58C84BDC" w14:textId="77777777" w:rsidR="00A369DB" w:rsidRPr="00795BFE" w:rsidRDefault="00A369DB" w:rsidP="0060503B">
      <w:pPr>
        <w:spacing w:after="0" w:line="360" w:lineRule="auto"/>
        <w:rPr>
          <w:rFonts w:eastAsia="Calibri" w:cs="Tahoma"/>
          <w:bCs/>
          <w:lang w:val="es-ES" w:eastAsia="en-US"/>
        </w:rPr>
      </w:pPr>
      <w:r w:rsidRPr="00795BFE">
        <w:rPr>
          <w:rFonts w:eastAsia="Calibri" w:cs="Tahoma"/>
          <w:bCs/>
          <w:lang w:val="es-ES" w:eastAsia="en-U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795BFE">
        <w:rPr>
          <w:rFonts w:eastAsia="Calibri" w:cs="Tahoma"/>
          <w:b/>
          <w:bCs/>
          <w:lang w:val="es-ES" w:eastAsia="en-US"/>
        </w:rPr>
        <w:t>en la medida de lo posible, en la forma solicitada por el interesado, salvo que exista un impedimento justificado para atenderla</w:t>
      </w:r>
      <w:r w:rsidRPr="00795BFE">
        <w:rPr>
          <w:rFonts w:eastAsia="Calibri" w:cs="Tahoma"/>
          <w:bCs/>
          <w:lang w:val="es-ES" w:eastAsia="en-US"/>
        </w:rPr>
        <w:t xml:space="preserve">, en cuyo caso, deberán exponerse las razones por las cuales no es posible utilizar el medio de reproducción solicitado; en este sentido, la entrega de la información en una modalidad distinta a la elegida por la particular </w:t>
      </w:r>
      <w:r w:rsidRPr="00795BFE">
        <w:rPr>
          <w:rFonts w:eastAsia="Calibri" w:cs="Tahoma"/>
          <w:b/>
          <w:bCs/>
          <w:lang w:val="es-ES" w:eastAsia="en-US"/>
        </w:rPr>
        <w:t>sólo procede, en caso de que se acredite la imposibilidad de atenderla.</w:t>
      </w:r>
      <w:r w:rsidRPr="00795BFE">
        <w:rPr>
          <w:rFonts w:eastAsia="Calibri" w:cs="Tahoma"/>
          <w:bCs/>
          <w:lang w:val="es-ES" w:eastAsia="en-US"/>
        </w:rPr>
        <w:t xml:space="preserve"> </w:t>
      </w:r>
    </w:p>
    <w:p w14:paraId="17131410" w14:textId="77777777" w:rsidR="00A369DB" w:rsidRPr="00795BFE" w:rsidRDefault="00A369DB" w:rsidP="0060503B">
      <w:pPr>
        <w:spacing w:after="0" w:line="360" w:lineRule="auto"/>
        <w:rPr>
          <w:rFonts w:eastAsia="Calibri" w:cs="Tahoma"/>
          <w:bCs/>
          <w:lang w:val="es-ES" w:eastAsia="en-US"/>
        </w:rPr>
      </w:pPr>
    </w:p>
    <w:p w14:paraId="51F554D2" w14:textId="77777777" w:rsidR="00A369DB" w:rsidRPr="00795BFE" w:rsidRDefault="00A369DB" w:rsidP="0060503B">
      <w:pPr>
        <w:spacing w:after="0" w:line="360" w:lineRule="auto"/>
        <w:rPr>
          <w:rFonts w:eastAsia="Calibri" w:cs="Tahoma"/>
          <w:b/>
          <w:lang w:val="es-ES" w:eastAsia="en-US"/>
        </w:rPr>
      </w:pPr>
      <w:r w:rsidRPr="00795BFE">
        <w:rPr>
          <w:rFonts w:eastAsia="Calibri" w:cs="Tahoma"/>
          <w:bCs/>
          <w:lang w:val="es-ES" w:eastAsia="en-US"/>
        </w:rPr>
        <w:t xml:space="preserve">Así, cuando se justifique el impedimento, </w:t>
      </w:r>
      <w:r w:rsidRPr="00795BFE">
        <w:rPr>
          <w:rFonts w:eastAsia="Calibri" w:cs="Tahoma"/>
          <w:b/>
          <w:bCs/>
          <w:lang w:val="es-ES" w:eastAsia="en-US"/>
        </w:rPr>
        <w:t>los Sujetos Obligados deberán ofrecer al particular otras modalidades de entrega que permita la información</w:t>
      </w:r>
      <w:r w:rsidRPr="00795BFE">
        <w:rPr>
          <w:rFonts w:eastAsia="Calibri" w:cs="Tahoma"/>
          <w:bCs/>
          <w:lang w:val="es-ES" w:eastAsia="en-US"/>
        </w:rPr>
        <w:t xml:space="preserve">, como consulta directa en las oficinas de la Unidad de Transparencia; lo anterior, es robustecido con el Criterio de Interpretación, con clave de control SO/008/2017, de la Segunda Época emitido por 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795BFE">
        <w:rPr>
          <w:rFonts w:eastAsia="Calibri" w:cs="Tahoma"/>
          <w:b/>
          <w:lang w:val="es-ES" w:eastAsia="en-US"/>
        </w:rPr>
        <w:t>información en todas las modalidades que lo permitan, procurando reducir los costos de entrega.</w:t>
      </w:r>
    </w:p>
    <w:p w14:paraId="4BC3E02B" w14:textId="77777777" w:rsidR="00A369DB" w:rsidRPr="00795BFE" w:rsidRDefault="00A369DB" w:rsidP="0060503B">
      <w:pPr>
        <w:spacing w:after="0" w:line="360" w:lineRule="auto"/>
        <w:rPr>
          <w:rFonts w:eastAsia="Times New Roman" w:cs="Tahoma"/>
          <w:lang w:val="es-ES" w:eastAsia="es-ES"/>
        </w:rPr>
      </w:pPr>
    </w:p>
    <w:p w14:paraId="347BB055" w14:textId="77777777" w:rsidR="00A369DB" w:rsidRPr="00795BFE" w:rsidRDefault="00A369DB" w:rsidP="0060503B">
      <w:pPr>
        <w:widowControl w:val="0"/>
        <w:spacing w:after="0" w:line="360" w:lineRule="auto"/>
        <w:rPr>
          <w:rFonts w:eastAsia="Calibri" w:cs="Tahoma"/>
          <w:bCs/>
          <w:lang w:val="es-ES" w:eastAsia="en-US"/>
        </w:rPr>
      </w:pPr>
      <w:r w:rsidRPr="00795BFE">
        <w:rPr>
          <w:rFonts w:eastAsia="Calibri" w:cs="Tahoma"/>
          <w:bCs/>
          <w:lang w:val="es-ES" w:eastAsia="en-US"/>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8287723" w14:textId="77777777" w:rsidR="00A369DB" w:rsidRPr="00795BFE" w:rsidRDefault="00A369DB" w:rsidP="0060503B">
      <w:pPr>
        <w:spacing w:after="0" w:line="360" w:lineRule="auto"/>
        <w:rPr>
          <w:rFonts w:eastAsia="Calibri" w:cs="Tahoma"/>
          <w:bCs/>
          <w:lang w:val="es-ES" w:eastAsia="en-US"/>
        </w:rPr>
      </w:pPr>
    </w:p>
    <w:p w14:paraId="136F2D6B" w14:textId="77777777" w:rsidR="00A369DB" w:rsidRPr="00795BFE" w:rsidRDefault="00A369DB" w:rsidP="0060503B">
      <w:pPr>
        <w:numPr>
          <w:ilvl w:val="0"/>
          <w:numId w:val="27"/>
        </w:numPr>
        <w:spacing w:after="0" w:line="360" w:lineRule="auto"/>
        <w:contextualSpacing/>
        <w:rPr>
          <w:rFonts w:eastAsia="Calibri" w:cs="Tahoma"/>
          <w:bCs/>
          <w:lang w:val="es-ES"/>
        </w:rPr>
      </w:pPr>
      <w:r w:rsidRPr="00795BFE">
        <w:rPr>
          <w:rFonts w:eastAsia="Calibri" w:cs="Tahoma"/>
          <w:bCs/>
          <w:lang w:val="es-ES"/>
        </w:rPr>
        <w:t>Las razones por las cuales la información implicaba un análisis, estudio o procesamiento de datos;</w:t>
      </w:r>
    </w:p>
    <w:p w14:paraId="23DE7305" w14:textId="77777777" w:rsidR="00A369DB" w:rsidRPr="00795BFE" w:rsidRDefault="00A369DB" w:rsidP="0060503B">
      <w:pPr>
        <w:numPr>
          <w:ilvl w:val="0"/>
          <w:numId w:val="27"/>
        </w:numPr>
        <w:spacing w:after="0" w:line="360" w:lineRule="auto"/>
        <w:contextualSpacing/>
        <w:rPr>
          <w:rFonts w:eastAsia="Calibri" w:cs="Tahoma"/>
          <w:bCs/>
          <w:lang w:val="es-ES"/>
        </w:rPr>
      </w:pPr>
      <w:r w:rsidRPr="00795BFE">
        <w:rPr>
          <w:rFonts w:eastAsia="Times New Roman" w:cs="Tahoma"/>
          <w:iCs/>
        </w:rPr>
        <w:t>Por qué motivo el tiempo, que se le otorga al Sujeto Obligado para dar respuesta, en la modalidad elegida a la solicitud de información, no le es suficiente</w:t>
      </w:r>
      <w:r w:rsidRPr="00795BFE">
        <w:rPr>
          <w:rFonts w:eastAsia="Calibri" w:cs="Tahoma"/>
          <w:bCs/>
          <w:lang w:val="es-ES"/>
        </w:rPr>
        <w:t>, y</w:t>
      </w:r>
    </w:p>
    <w:p w14:paraId="23C970D0" w14:textId="77777777" w:rsidR="00A369DB" w:rsidRPr="00795BFE" w:rsidRDefault="00A369DB" w:rsidP="0060503B">
      <w:pPr>
        <w:numPr>
          <w:ilvl w:val="0"/>
          <w:numId w:val="27"/>
        </w:numPr>
        <w:spacing w:after="0" w:line="360" w:lineRule="auto"/>
        <w:contextualSpacing/>
        <w:rPr>
          <w:rFonts w:eastAsia="Calibri" w:cs="Tahoma"/>
          <w:bCs/>
          <w:lang w:val="es-ES"/>
        </w:rPr>
      </w:pPr>
      <w:r w:rsidRPr="00795BFE">
        <w:rPr>
          <w:rFonts w:eastAsia="Calibri" w:cs="Tahoma"/>
          <w:bCs/>
          <w:lang w:val="es-ES"/>
        </w:rPr>
        <w:t>La cantidad de recursos humanos y materiales con los que cuenta el Sujeto Obligado son insuficientes.</w:t>
      </w:r>
    </w:p>
    <w:p w14:paraId="01F99017" w14:textId="77777777" w:rsidR="00A369DB" w:rsidRPr="00795BFE" w:rsidRDefault="00A369DB" w:rsidP="0060503B">
      <w:pPr>
        <w:spacing w:after="0" w:line="360" w:lineRule="auto"/>
        <w:ind w:right="-28"/>
        <w:contextualSpacing/>
        <w:rPr>
          <w:rFonts w:eastAsia="Calibri" w:cs="Tahoma"/>
          <w:bCs/>
          <w:color w:val="000000"/>
          <w:lang w:val="es-ES" w:eastAsia="en-US"/>
        </w:rPr>
      </w:pPr>
    </w:p>
    <w:p w14:paraId="5E19827E" w14:textId="03A9A470" w:rsidR="00A369DB" w:rsidRPr="00795BFE" w:rsidRDefault="00A369DB" w:rsidP="0060503B">
      <w:pPr>
        <w:spacing w:after="0" w:line="360" w:lineRule="auto"/>
        <w:ind w:right="-28"/>
        <w:contextualSpacing/>
        <w:rPr>
          <w:rFonts w:eastAsia="Calibri" w:cs="Tahoma"/>
          <w:bCs/>
          <w:color w:val="000000"/>
          <w:lang w:eastAsia="en-US"/>
        </w:rPr>
      </w:pPr>
      <w:r w:rsidRPr="00795BFE">
        <w:rPr>
          <w:rFonts w:eastAsia="Calibri" w:cs="Tahoma"/>
          <w:bCs/>
          <w:color w:val="000000"/>
          <w:lang w:eastAsia="en-US"/>
        </w:rPr>
        <w:t>Ahora bien, el Ente Recurrido</w:t>
      </w:r>
      <w:r w:rsidR="00E37CB6" w:rsidRPr="00795BFE">
        <w:rPr>
          <w:rFonts w:eastAsia="Calibri" w:cs="Tahoma"/>
          <w:bCs/>
          <w:color w:val="000000"/>
          <w:lang w:eastAsia="en-US"/>
        </w:rPr>
        <w:t xml:space="preserve"> por medio del Comité de </w:t>
      </w:r>
      <w:r w:rsidR="003A656C" w:rsidRPr="00795BFE">
        <w:rPr>
          <w:rFonts w:eastAsia="Calibri" w:cs="Tahoma"/>
          <w:bCs/>
          <w:color w:val="000000"/>
          <w:lang w:eastAsia="en-US"/>
        </w:rPr>
        <w:t>Transparencia</w:t>
      </w:r>
      <w:r w:rsidR="00E37CB6" w:rsidRPr="00795BFE">
        <w:rPr>
          <w:rFonts w:eastAsia="Calibri" w:cs="Tahoma"/>
          <w:bCs/>
          <w:color w:val="000000"/>
          <w:lang w:eastAsia="en-US"/>
        </w:rPr>
        <w:t xml:space="preserve"> refirió</w:t>
      </w:r>
      <w:r w:rsidRPr="00795BFE">
        <w:rPr>
          <w:rFonts w:eastAsia="Calibri" w:cs="Tahoma"/>
          <w:bCs/>
          <w:color w:val="000000"/>
          <w:lang w:eastAsia="en-US"/>
        </w:rPr>
        <w:t xml:space="preserve"> que </w:t>
      </w:r>
      <w:r w:rsidR="003A656C" w:rsidRPr="00795BFE">
        <w:rPr>
          <w:rFonts w:eastAsia="Calibri" w:cs="Tahoma"/>
          <w:bCs/>
          <w:color w:val="000000"/>
          <w:lang w:eastAsia="en-US"/>
        </w:rPr>
        <w:t xml:space="preserve">la información </w:t>
      </w:r>
      <w:r w:rsidRPr="00795BFE">
        <w:rPr>
          <w:rFonts w:eastAsia="Calibri" w:cs="Tahoma"/>
          <w:bCs/>
          <w:color w:val="000000"/>
          <w:lang w:eastAsia="en-US"/>
        </w:rPr>
        <w:t xml:space="preserve">podía ser consultada directamente en las oficinas del Sujeto Obligado, por lo que ponía a </w:t>
      </w:r>
      <w:r w:rsidRPr="00795BFE">
        <w:rPr>
          <w:rFonts w:eastAsia="Calibri" w:cs="Tahoma"/>
          <w:bCs/>
          <w:color w:val="000000"/>
          <w:lang w:eastAsia="en-US"/>
        </w:rPr>
        <w:lastRenderedPageBreak/>
        <w:t>disposición del ahora Recurrente la documentación peticionada en consulta directa</w:t>
      </w:r>
      <w:r w:rsidR="003A656C" w:rsidRPr="00795BFE">
        <w:rPr>
          <w:rFonts w:eastAsia="Calibri" w:cs="Tahoma"/>
          <w:bCs/>
          <w:color w:val="000000"/>
          <w:lang w:eastAsia="en-US"/>
        </w:rPr>
        <w:t xml:space="preserve">, bajo el argumento de </w:t>
      </w:r>
      <w:r w:rsidR="00CF5A68" w:rsidRPr="00795BFE">
        <w:rPr>
          <w:rFonts w:eastAsia="Calibri" w:cs="Tahoma"/>
          <w:bCs/>
          <w:color w:val="000000"/>
          <w:lang w:eastAsia="en-US"/>
        </w:rPr>
        <w:t xml:space="preserve">la carga de trabajo, la falta de capacidad técnica, humana, material y las 1164 solicitudes de información presentadas al Sujeto Obligado; </w:t>
      </w:r>
      <w:r w:rsidRPr="00795BFE">
        <w:rPr>
          <w:rFonts w:eastAsia="Calibri" w:cs="Tahoma"/>
          <w:bCs/>
          <w:color w:val="000000"/>
          <w:lang w:eastAsia="en-US"/>
        </w:rPr>
        <w:t xml:space="preserve"> sin embargo, este Instituto considera que omitió fundar y motivar el cambio de modalidad, pues no precisó las siguientes circunstancias:</w:t>
      </w:r>
    </w:p>
    <w:p w14:paraId="13B00833" w14:textId="77777777" w:rsidR="00A369DB" w:rsidRPr="00795BFE" w:rsidRDefault="00A369DB" w:rsidP="0060503B">
      <w:pPr>
        <w:spacing w:after="0" w:line="360" w:lineRule="auto"/>
        <w:ind w:right="-28"/>
        <w:contextualSpacing/>
        <w:rPr>
          <w:rFonts w:eastAsia="Calibri" w:cs="Tahoma"/>
          <w:bCs/>
          <w:color w:val="000000"/>
          <w:lang w:eastAsia="en-US"/>
        </w:rPr>
      </w:pPr>
    </w:p>
    <w:p w14:paraId="633750A3" w14:textId="77777777" w:rsidR="00A369DB" w:rsidRPr="00795BFE" w:rsidRDefault="00A369DB" w:rsidP="0060503B">
      <w:pPr>
        <w:numPr>
          <w:ilvl w:val="0"/>
          <w:numId w:val="28"/>
        </w:numPr>
        <w:spacing w:after="0" w:line="360" w:lineRule="auto"/>
        <w:contextualSpacing/>
        <w:jc w:val="left"/>
        <w:rPr>
          <w:rFonts w:eastAsia="Calibri" w:cs="Tahoma"/>
          <w:bCs/>
          <w:color w:val="000000"/>
          <w:lang w:val="es-ES" w:eastAsia="en-US"/>
        </w:rPr>
      </w:pPr>
      <w:r w:rsidRPr="00795BFE">
        <w:rPr>
          <w:rFonts w:eastAsia="Calibri" w:cs="Tahoma"/>
          <w:bCs/>
          <w:color w:val="000000"/>
          <w:lang w:val="es-ES" w:eastAsia="en-US"/>
        </w:rPr>
        <w:t>El total de hojas que daban cuenta de solicitado;</w:t>
      </w:r>
    </w:p>
    <w:p w14:paraId="6D455E62" w14:textId="77777777" w:rsidR="00A369DB" w:rsidRPr="00795BFE" w:rsidRDefault="00A369DB" w:rsidP="0060503B">
      <w:pPr>
        <w:numPr>
          <w:ilvl w:val="0"/>
          <w:numId w:val="28"/>
        </w:numPr>
        <w:spacing w:after="0" w:line="360" w:lineRule="auto"/>
        <w:contextualSpacing/>
        <w:jc w:val="left"/>
        <w:rPr>
          <w:rFonts w:eastAsia="Calibri" w:cs="Tahoma"/>
          <w:bCs/>
          <w:color w:val="000000"/>
          <w:lang w:val="es-ES" w:eastAsia="en-US"/>
        </w:rPr>
      </w:pPr>
      <w:r w:rsidRPr="00795BFE">
        <w:rPr>
          <w:rFonts w:eastAsia="Calibri" w:cs="Tahoma"/>
          <w:bCs/>
          <w:color w:val="000000"/>
          <w:lang w:val="es-ES" w:eastAsia="en-US"/>
        </w:rPr>
        <w:t>La forma en que se encontraba la información (físico o digital), y</w:t>
      </w:r>
    </w:p>
    <w:p w14:paraId="334ABA95" w14:textId="77777777" w:rsidR="00A369DB" w:rsidRPr="00795BFE" w:rsidRDefault="00A369DB" w:rsidP="0060503B">
      <w:pPr>
        <w:numPr>
          <w:ilvl w:val="0"/>
          <w:numId w:val="28"/>
        </w:numPr>
        <w:spacing w:after="0" w:line="360" w:lineRule="auto"/>
        <w:contextualSpacing/>
        <w:jc w:val="left"/>
        <w:rPr>
          <w:rFonts w:eastAsia="Calibri" w:cs="Tahoma"/>
          <w:bCs/>
          <w:color w:val="000000"/>
          <w:lang w:val="es-ES" w:eastAsia="en-US"/>
        </w:rPr>
      </w:pPr>
      <w:r w:rsidRPr="00795BFE">
        <w:rPr>
          <w:rFonts w:eastAsia="Calibri" w:cs="Tahoma"/>
          <w:bCs/>
          <w:color w:val="000000"/>
          <w:lang w:val="es-ES" w:eastAsia="en-US"/>
        </w:rPr>
        <w:t>Las capacidades técnicas y humanas con las que contaba el Sujeto Obligado.</w:t>
      </w:r>
    </w:p>
    <w:p w14:paraId="54E4B6E7" w14:textId="77777777" w:rsidR="00A369DB" w:rsidRPr="00795BFE" w:rsidRDefault="00A369DB" w:rsidP="0060503B">
      <w:pPr>
        <w:spacing w:after="0" w:line="360" w:lineRule="auto"/>
        <w:rPr>
          <w:rFonts w:eastAsia="Times New Roman" w:cs="Times New Roman"/>
          <w:bCs/>
          <w:iCs/>
          <w:szCs w:val="20"/>
          <w:lang w:val="es-ES" w:eastAsia="es-ES"/>
        </w:rPr>
      </w:pPr>
    </w:p>
    <w:p w14:paraId="65498E69" w14:textId="599D6627" w:rsidR="00A369DB" w:rsidRPr="00795BFE" w:rsidRDefault="00A369DB" w:rsidP="0060503B">
      <w:pPr>
        <w:spacing w:after="0" w:line="360" w:lineRule="auto"/>
        <w:rPr>
          <w:rFonts w:eastAsia="Times New Roman" w:cs="Times New Roman"/>
          <w:bCs/>
          <w:iCs/>
          <w:szCs w:val="20"/>
          <w:lang w:val="es-ES" w:eastAsia="es-ES"/>
        </w:rPr>
      </w:pPr>
      <w:r w:rsidRPr="00795BFE">
        <w:rPr>
          <w:rFonts w:eastAsia="Times New Roman" w:cs="Times New Roman"/>
          <w:bCs/>
          <w:iCs/>
          <w:szCs w:val="20"/>
          <w:lang w:val="es-ES" w:eastAsia="es-ES"/>
        </w:rPr>
        <w:t>Además, que</w:t>
      </w:r>
      <w:r w:rsidR="00722EFD" w:rsidRPr="00795BFE">
        <w:rPr>
          <w:rFonts w:eastAsia="Times New Roman" w:cs="Times New Roman"/>
          <w:bCs/>
          <w:iCs/>
          <w:szCs w:val="20"/>
          <w:lang w:val="es-ES" w:eastAsia="es-ES"/>
        </w:rPr>
        <w:t xml:space="preserve"> fund</w:t>
      </w:r>
      <w:r w:rsidR="00214684" w:rsidRPr="00795BFE">
        <w:rPr>
          <w:rFonts w:eastAsia="Times New Roman" w:cs="Times New Roman"/>
          <w:bCs/>
          <w:iCs/>
          <w:szCs w:val="20"/>
          <w:lang w:val="es-ES" w:eastAsia="es-ES"/>
        </w:rPr>
        <w:t>amentó</w:t>
      </w:r>
      <w:r w:rsidR="00722EFD" w:rsidRPr="00795BFE">
        <w:rPr>
          <w:rFonts w:eastAsia="Times New Roman" w:cs="Times New Roman"/>
          <w:bCs/>
          <w:iCs/>
          <w:szCs w:val="20"/>
          <w:lang w:val="es-ES" w:eastAsia="es-ES"/>
        </w:rPr>
        <w:t xml:space="preserve"> de forma confusa el cambio de modalidad en los supuestos de clasificación de la información</w:t>
      </w:r>
      <w:r w:rsidR="00214684" w:rsidRPr="00795BFE">
        <w:rPr>
          <w:rFonts w:eastAsia="Times New Roman" w:cs="Times New Roman"/>
          <w:bCs/>
          <w:iCs/>
          <w:szCs w:val="20"/>
          <w:lang w:val="es-ES" w:eastAsia="es-ES"/>
        </w:rPr>
        <w:t xml:space="preserve"> y el de cambio de modalidad</w:t>
      </w:r>
      <w:r w:rsidRPr="00795BFE">
        <w:rPr>
          <w:rFonts w:eastAsia="Times New Roman" w:cs="Times New Roman"/>
          <w:bCs/>
          <w:iCs/>
          <w:szCs w:val="20"/>
          <w:lang w:val="es-ES" w:eastAsia="es-ES"/>
        </w:rPr>
        <w:t>, asimismo, tampoco acreditó que lo peticionado implicaba un análisis, procesamiento o estudio de documentos cuya reproducción sobrepasará las capacidades técnicas, administrativas y humanas del Sujeto Obligado, pues como se refirió no señaló ninguna de las circunstancias previamente referidas.</w:t>
      </w:r>
    </w:p>
    <w:p w14:paraId="51E951D2" w14:textId="77777777" w:rsidR="00A369DB" w:rsidRPr="00795BFE" w:rsidRDefault="00A369DB" w:rsidP="0060503B">
      <w:pPr>
        <w:spacing w:after="0" w:line="360" w:lineRule="auto"/>
        <w:rPr>
          <w:rFonts w:eastAsia="Times New Roman" w:cs="Tahoma"/>
          <w:szCs w:val="24"/>
          <w:lang w:eastAsia="es-ES"/>
        </w:rPr>
      </w:pPr>
    </w:p>
    <w:p w14:paraId="7EF4D2E8" w14:textId="77777777" w:rsidR="00A369DB" w:rsidRPr="00795BFE" w:rsidRDefault="00A369DB" w:rsidP="0060503B">
      <w:pPr>
        <w:spacing w:after="0" w:line="360" w:lineRule="auto"/>
        <w:ind w:right="-28"/>
        <w:contextualSpacing/>
        <w:rPr>
          <w:rFonts w:eastAsia="Times New Roman" w:cs="Tahoma"/>
          <w:iCs/>
          <w:lang w:eastAsia="es-ES"/>
        </w:rPr>
      </w:pPr>
      <w:r w:rsidRPr="00795BFE">
        <w:rPr>
          <w:rFonts w:eastAsia="Times New Roman" w:cs="Tahoma"/>
          <w:iCs/>
          <w:lang w:eastAsia="es-ES"/>
        </w:rPr>
        <w:t xml:space="preserve">Sobre lo anterior, es de señalar que el Órgano Garante Nacional, a través de diversas resoluciones de los Recursos de Inconformidad, entre las cuales se encuentran el </w:t>
      </w:r>
      <w:r w:rsidRPr="00795BFE">
        <w:rPr>
          <w:rFonts w:eastAsia="Times New Roman" w:cs="Tahoma"/>
          <w:b/>
          <w:bCs/>
          <w:iCs/>
          <w:lang w:eastAsia="es-ES"/>
        </w:rPr>
        <w:t>RIA 136/20, RIA 140/20, RIA 153/20 RIA 237/20, RIA 257/20, RIA 258/20,</w:t>
      </w:r>
      <w:r w:rsidRPr="00795BFE">
        <w:rPr>
          <w:rFonts w:eastAsia="Times New Roman" w:cs="Tahoma"/>
          <w:iCs/>
          <w:lang w:eastAsia="es-ES"/>
        </w:rPr>
        <w:t xml:space="preserve">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114C0485" w14:textId="77777777" w:rsidR="00A369DB" w:rsidRPr="00795BFE" w:rsidRDefault="00A369DB" w:rsidP="0060503B">
      <w:pPr>
        <w:spacing w:after="0" w:line="360" w:lineRule="auto"/>
        <w:ind w:right="-28"/>
        <w:contextualSpacing/>
        <w:rPr>
          <w:rFonts w:eastAsia="Times New Roman" w:cs="Tahoma"/>
          <w:iCs/>
          <w:lang w:eastAsia="es-ES"/>
        </w:rPr>
      </w:pPr>
    </w:p>
    <w:p w14:paraId="2C562E12" w14:textId="77777777" w:rsidR="00A369DB" w:rsidRPr="00795BFE" w:rsidRDefault="00A369DB" w:rsidP="0060503B">
      <w:pPr>
        <w:spacing w:after="0" w:line="360" w:lineRule="auto"/>
        <w:ind w:right="-28"/>
        <w:contextualSpacing/>
        <w:rPr>
          <w:lang w:eastAsia="es-ES"/>
        </w:rPr>
      </w:pPr>
      <w:r w:rsidRPr="00795BFE">
        <w:rPr>
          <w:lang w:eastAsia="es-ES"/>
        </w:rPr>
        <w:lastRenderedPageBreak/>
        <w:t>Además, precisan que no se debe ceñir el cambio de modalidad, directamente a consulta directa, sino que los sujetos obligados, deben de buscar la posibilidad de proporcionarla en las otras formas que establecen en la Ley, ya sean electrónicas o físicas.</w:t>
      </w:r>
    </w:p>
    <w:p w14:paraId="01323485" w14:textId="77777777" w:rsidR="00A369DB" w:rsidRPr="00795BFE" w:rsidRDefault="00A369DB" w:rsidP="0060503B">
      <w:pPr>
        <w:spacing w:after="0" w:line="360" w:lineRule="auto"/>
        <w:ind w:right="-28"/>
        <w:contextualSpacing/>
        <w:rPr>
          <w:rFonts w:eastAsia="Calibri" w:cs="Tahoma"/>
          <w:bCs/>
          <w:color w:val="000000"/>
          <w:lang w:val="es-ES" w:eastAsia="en-US"/>
        </w:rPr>
      </w:pPr>
    </w:p>
    <w:p w14:paraId="7E158CD5" w14:textId="69E692B5" w:rsidR="00A369DB" w:rsidRPr="00795BFE" w:rsidRDefault="00A369DB" w:rsidP="0060503B">
      <w:pPr>
        <w:spacing w:after="0" w:line="360" w:lineRule="auto"/>
        <w:rPr>
          <w:rFonts w:eastAsia="Times New Roman" w:cs="Tahoma"/>
          <w:iCs/>
        </w:rPr>
      </w:pPr>
      <w:r w:rsidRPr="00795BFE">
        <w:rPr>
          <w:rFonts w:eastAsia="Times New Roman" w:cs="Tahoma"/>
          <w:iCs/>
        </w:rPr>
        <w:t xml:space="preserve">Conforme a lo anterior, el </w:t>
      </w:r>
      <w:r w:rsidR="00214684" w:rsidRPr="00795BFE">
        <w:rPr>
          <w:rFonts w:eastAsia="Times New Roman" w:cs="Tahoma"/>
          <w:iCs/>
        </w:rPr>
        <w:t>Ayuntamiento de Temamatla</w:t>
      </w:r>
      <w:r w:rsidRPr="00795BFE">
        <w:rPr>
          <w:rFonts w:eastAsia="Times New Roman" w:cs="Tahoma"/>
          <w:iCs/>
        </w:rPr>
        <w:t xml:space="preserve">, no acreditó la imposibilidad humana, técnica y administrativa, establecida en el artículo 158 de la Ley de Transparencia y Acceso a la Información Pública del Estado de México y Municipios, para acreditar el cambio de modalidad a consulta directa, </w:t>
      </w:r>
      <w:r w:rsidR="00214684" w:rsidRPr="00795BFE">
        <w:rPr>
          <w:rFonts w:eastAsia="Times New Roman" w:cs="Tahoma"/>
          <w:iCs/>
        </w:rPr>
        <w:t>además de que realizó un acuerdo de carácter general</w:t>
      </w:r>
      <w:r w:rsidR="00623D33" w:rsidRPr="00795BFE">
        <w:rPr>
          <w:rFonts w:eastAsia="Times New Roman" w:cs="Tahoma"/>
          <w:iCs/>
        </w:rPr>
        <w:t xml:space="preserve">, sin analizar caso por caso, </w:t>
      </w:r>
      <w:r w:rsidRPr="00795BFE">
        <w:rPr>
          <w:rFonts w:eastAsia="Times New Roman" w:cs="Tahoma"/>
          <w:iCs/>
        </w:rPr>
        <w:t xml:space="preserve">lo cual da como resultado que el agravio resulte </w:t>
      </w:r>
      <w:r w:rsidRPr="00795BFE">
        <w:rPr>
          <w:rFonts w:eastAsia="Times New Roman" w:cs="Tahoma"/>
          <w:b/>
          <w:bCs/>
          <w:iCs/>
        </w:rPr>
        <w:t>FUNDADO.</w:t>
      </w:r>
    </w:p>
    <w:p w14:paraId="64117D93" w14:textId="77777777" w:rsidR="00A369DB" w:rsidRPr="00795BFE" w:rsidRDefault="00A369DB" w:rsidP="0060503B">
      <w:pPr>
        <w:spacing w:after="0" w:line="360" w:lineRule="auto"/>
        <w:rPr>
          <w:rFonts w:eastAsia="Times New Roman" w:cs="Tahoma"/>
          <w:bCs/>
        </w:rPr>
      </w:pPr>
    </w:p>
    <w:p w14:paraId="0E0B514A" w14:textId="5618C59E" w:rsidR="00A369DB" w:rsidRPr="00795BFE" w:rsidRDefault="0060503B" w:rsidP="0060503B">
      <w:pPr>
        <w:spacing w:after="0" w:line="360" w:lineRule="auto"/>
        <w:rPr>
          <w:rFonts w:eastAsia="Times New Roman" w:cs="Tahoma"/>
          <w:bCs/>
        </w:rPr>
      </w:pPr>
      <w:r w:rsidRPr="00795BFE">
        <w:t xml:space="preserve">Lo anterior, toma relevancia pues la pretensión del ahora Recurrente es obtener información estadística con determinado nivel de desglose, es decir, en el presente caso no requiere tener acceso a los documentos fuente, tales como las licencias de construcción y pólizas de ingresos, sino únicamente a datos estadísticos, mismos que de ninguna manera sobrepasarían las capacidades técnicas, tecnológicas y administrativas del Sujeto Obligado. </w:t>
      </w:r>
    </w:p>
    <w:p w14:paraId="633A3209" w14:textId="77777777" w:rsidR="00A369DB" w:rsidRPr="00795BFE" w:rsidRDefault="00A369DB" w:rsidP="0060503B">
      <w:pPr>
        <w:spacing w:after="0" w:line="360" w:lineRule="auto"/>
        <w:rPr>
          <w:rFonts w:eastAsia="Times New Roman" w:cs="Tahoma"/>
          <w:bCs/>
        </w:rPr>
      </w:pPr>
    </w:p>
    <w:p w14:paraId="4A9E7F47" w14:textId="151A70FF" w:rsidR="00A369DB" w:rsidRPr="00795BFE" w:rsidRDefault="00A369DB" w:rsidP="0060503B">
      <w:pPr>
        <w:spacing w:after="0" w:line="360" w:lineRule="auto"/>
        <w:rPr>
          <w:rFonts w:eastAsia="Times New Roman" w:cs="Tahoma"/>
          <w:iCs/>
          <w:lang w:eastAsia="es-ES"/>
        </w:rPr>
      </w:pPr>
      <w:r w:rsidRPr="00795BFE">
        <w:rPr>
          <w:rFonts w:eastAsia="Times New Roman" w:cs="Tahoma"/>
          <w:iCs/>
          <w:lang w:eastAsia="es-ES"/>
        </w:rPr>
        <w:t xml:space="preserve">Conforme a lo anterior, se logra vislumbrar que </w:t>
      </w:r>
      <w:r w:rsidR="00FB0CD8" w:rsidRPr="00795BFE">
        <w:rPr>
          <w:rFonts w:eastAsia="Times New Roman" w:cs="Tahoma"/>
          <w:iCs/>
          <w:lang w:eastAsia="es-ES"/>
        </w:rPr>
        <w:t xml:space="preserve">no existen elementos para suponer que la información solicitada rebase las capacidades </w:t>
      </w:r>
      <w:r w:rsidRPr="00795BFE">
        <w:rPr>
          <w:rFonts w:eastAsia="Times New Roman" w:cs="Tahoma"/>
          <w:iCs/>
          <w:lang w:eastAsia="es-ES"/>
        </w:rPr>
        <w:t xml:space="preserve">del Sistema de Acceso a la Información Mexiquense (SAIMEX), por lo que, resulta procedente </w:t>
      </w:r>
      <w:bookmarkStart w:id="21" w:name="_Hlk169808812"/>
      <w:r w:rsidRPr="00795BFE">
        <w:rPr>
          <w:rFonts w:eastAsia="Times New Roman" w:cs="Tahoma"/>
          <w:iCs/>
          <w:lang w:eastAsia="es-ES"/>
        </w:rPr>
        <w:t xml:space="preserve">ordenar la entrega de </w:t>
      </w:r>
      <w:bookmarkStart w:id="22" w:name="_Hlk169810153"/>
      <w:bookmarkEnd w:id="21"/>
      <w:r w:rsidR="00FB0CD8" w:rsidRPr="00795BFE">
        <w:rPr>
          <w:rFonts w:eastAsia="Times New Roman" w:cs="Tahoma"/>
          <w:iCs/>
          <w:lang w:eastAsia="es-ES"/>
        </w:rPr>
        <w:t xml:space="preserve">la información solicitada por esta vía, </w:t>
      </w:r>
      <w:r w:rsidRPr="00795BFE">
        <w:rPr>
          <w:rFonts w:eastAsia="Times New Roman" w:cs="Tahoma"/>
          <w:iCs/>
          <w:lang w:eastAsia="es-ES"/>
        </w:rPr>
        <w:t xml:space="preserve"> con el fin de dar cumplimiento a los artículos 12 y 160 de la Ley de Transparencia y Acceso a la Información Pública del Estado de México y Municipios. </w:t>
      </w:r>
    </w:p>
    <w:bookmarkEnd w:id="22"/>
    <w:p w14:paraId="3D8591DF" w14:textId="77777777" w:rsidR="00A369DB" w:rsidRPr="00795BFE" w:rsidRDefault="00A369DB" w:rsidP="0060503B">
      <w:pPr>
        <w:spacing w:after="0" w:line="360" w:lineRule="auto"/>
        <w:rPr>
          <w:rFonts w:eastAsia="Times New Roman" w:cs="Tahoma"/>
          <w:iCs/>
          <w:lang w:eastAsia="es-ES"/>
        </w:rPr>
      </w:pPr>
    </w:p>
    <w:p w14:paraId="2BC287FC" w14:textId="1F0BE7F9" w:rsidR="0060503B" w:rsidRPr="00795BFE" w:rsidRDefault="0060503B" w:rsidP="0060503B">
      <w:pPr>
        <w:spacing w:after="0" w:line="360" w:lineRule="auto"/>
        <w:rPr>
          <w:rFonts w:eastAsia="Times New Roman" w:cs="Tahoma"/>
          <w:iCs/>
          <w:lang w:eastAsia="es-ES"/>
        </w:rPr>
      </w:pPr>
      <w:r w:rsidRPr="00795BFE">
        <w:rPr>
          <w:rFonts w:eastAsia="Times New Roman" w:cs="Tahoma"/>
          <w:iCs/>
          <w:lang w:eastAsia="es-ES"/>
        </w:rPr>
        <w:t xml:space="preserve">Ahora bien, este Instituto realizó una búsqueda en la normatividad aplicable, en su página oficial, en las cuentas oficiales de las redes sociales y el Portal de Información Pública de Oficio Mexiquense y no se localizó algún indicio de que deba generar la estadística con el nivel de desglose solicitado, es decir, a manera mensual; o bien, que la tenga que generar en cumplimiento en sus funciones; por lo que, primero deberá entregar la información, en caso de </w:t>
      </w:r>
      <w:r w:rsidRPr="00795BFE">
        <w:rPr>
          <w:rFonts w:eastAsia="Times New Roman" w:cs="Tahoma"/>
          <w:iCs/>
          <w:lang w:eastAsia="es-ES"/>
        </w:rPr>
        <w:lastRenderedPageBreak/>
        <w:t>generarse, con el nivel de desglose que obre en sus archivos; y segundo, para el supuesto que no se genere la estadística de ningún tipo, deberá hacerlo del conocimiento de la Parte Recurrente de manera clara y precisa.</w:t>
      </w:r>
    </w:p>
    <w:p w14:paraId="7205C99B" w14:textId="77777777" w:rsidR="00A369DB" w:rsidRPr="00795BFE" w:rsidRDefault="00A369DB" w:rsidP="0060503B">
      <w:pPr>
        <w:spacing w:after="0" w:line="360" w:lineRule="auto"/>
        <w:rPr>
          <w:color w:val="000000"/>
        </w:rPr>
      </w:pPr>
    </w:p>
    <w:p w14:paraId="631436D1" w14:textId="77777777" w:rsidR="00A369DB" w:rsidRPr="00795BFE" w:rsidRDefault="00A369DB" w:rsidP="0060503B">
      <w:pPr>
        <w:spacing w:after="0" w:line="360" w:lineRule="auto"/>
        <w:rPr>
          <w:rFonts w:eastAsia="Times New Roman" w:cs="Tahoma"/>
          <w:b/>
          <w:color w:val="000000"/>
          <w:lang w:eastAsia="es-ES"/>
        </w:rPr>
      </w:pPr>
      <w:r w:rsidRPr="00795BFE">
        <w:rPr>
          <w:rFonts w:eastAsia="Times New Roman" w:cs="Tahoma"/>
          <w:b/>
          <w:color w:val="000000"/>
          <w:lang w:eastAsia="es-ES"/>
        </w:rPr>
        <w:t xml:space="preserve">SEXTO. Decisión. </w:t>
      </w:r>
    </w:p>
    <w:p w14:paraId="1987E557" w14:textId="77777777" w:rsidR="00A369DB" w:rsidRPr="00795BFE" w:rsidRDefault="00A369DB" w:rsidP="0060503B">
      <w:pPr>
        <w:spacing w:after="0" w:line="360" w:lineRule="auto"/>
        <w:rPr>
          <w:rFonts w:eastAsia="Times New Roman" w:cs="Tahoma"/>
          <w:color w:val="000000"/>
          <w:lang w:eastAsia="es-ES"/>
        </w:rPr>
      </w:pPr>
    </w:p>
    <w:p w14:paraId="0D760649" w14:textId="5E2C9461" w:rsidR="00A369DB" w:rsidRPr="00795BFE" w:rsidRDefault="00A369DB" w:rsidP="0060503B">
      <w:pPr>
        <w:spacing w:after="0" w:line="360" w:lineRule="auto"/>
        <w:rPr>
          <w:rFonts w:eastAsia="Calibri" w:cs="Tahoma"/>
          <w:color w:val="000000"/>
          <w:lang w:eastAsia="en-US"/>
        </w:rPr>
      </w:pPr>
      <w:r w:rsidRPr="00795BFE">
        <w:rPr>
          <w:rFonts w:eastAsia="Calibri" w:cs="Tahoma"/>
          <w:color w:val="000000"/>
          <w:lang w:eastAsia="en-US"/>
        </w:rPr>
        <w:t xml:space="preserve">Con fundamento en el artículo 186, fracción III, de la Ley de Transparencia y Acceso a la Información Pública del Estado de México y Municipios, este Instituto considera procedente </w:t>
      </w:r>
      <w:r w:rsidRPr="00795BFE">
        <w:rPr>
          <w:rFonts w:eastAsia="Calibri" w:cs="Tahoma"/>
          <w:b/>
          <w:color w:val="000000"/>
          <w:lang w:eastAsia="en-US"/>
        </w:rPr>
        <w:t xml:space="preserve">REVOCAR </w:t>
      </w:r>
      <w:r w:rsidRPr="00795BFE">
        <w:rPr>
          <w:rFonts w:eastAsia="Calibri" w:cs="Tahoma"/>
          <w:bCs/>
          <w:color w:val="000000"/>
          <w:lang w:eastAsia="en-US"/>
        </w:rPr>
        <w:t>la</w:t>
      </w:r>
      <w:r w:rsidRPr="00795BFE">
        <w:rPr>
          <w:rFonts w:eastAsia="Calibri" w:cs="Tahoma"/>
          <w:color w:val="000000"/>
          <w:lang w:eastAsia="en-US"/>
        </w:rPr>
        <w:t xml:space="preserve"> respuesta otorgada por el Ayuntamiento de </w:t>
      </w:r>
      <w:r w:rsidR="003B4CB6" w:rsidRPr="00795BFE">
        <w:rPr>
          <w:rFonts w:eastAsia="Calibri" w:cs="Tahoma"/>
          <w:color w:val="000000"/>
          <w:lang w:eastAsia="en-US"/>
        </w:rPr>
        <w:t>Temamatla</w:t>
      </w:r>
      <w:r w:rsidRPr="00795BFE">
        <w:rPr>
          <w:rFonts w:eastAsia="Calibri" w:cs="Tahoma"/>
          <w:color w:val="000000"/>
          <w:lang w:eastAsia="en-US"/>
        </w:rPr>
        <w:t xml:space="preserve">, a efecto de que, entregue, a través del Sistema de Acceso a la Información Mexiquense (SAIMEX), </w:t>
      </w:r>
      <w:bookmarkStart w:id="23" w:name="_Hlk146747050"/>
      <w:r w:rsidRPr="00795BFE">
        <w:rPr>
          <w:rFonts w:eastAsia="Calibri" w:cs="Tahoma"/>
          <w:color w:val="000000"/>
          <w:lang w:eastAsia="en-US"/>
        </w:rPr>
        <w:t xml:space="preserve">la información </w:t>
      </w:r>
      <w:r w:rsidR="003B4CB6" w:rsidRPr="00795BFE">
        <w:rPr>
          <w:rFonts w:eastAsia="Calibri" w:cs="Tahoma"/>
          <w:color w:val="000000"/>
          <w:lang w:eastAsia="en-US"/>
        </w:rPr>
        <w:t>requerida.</w:t>
      </w:r>
    </w:p>
    <w:p w14:paraId="03DBE388" w14:textId="77777777" w:rsidR="00A369DB" w:rsidRPr="00795BFE" w:rsidRDefault="00A369DB" w:rsidP="0060503B">
      <w:pPr>
        <w:spacing w:after="0" w:line="360" w:lineRule="auto"/>
        <w:rPr>
          <w:rFonts w:eastAsia="Times New Roman" w:cs="Tahoma"/>
          <w:color w:val="0D0D0D"/>
          <w:sz w:val="20"/>
          <w:lang w:eastAsia="es-ES"/>
        </w:rPr>
      </w:pPr>
    </w:p>
    <w:bookmarkEnd w:id="23"/>
    <w:p w14:paraId="25B4970C" w14:textId="77777777" w:rsidR="00A369DB" w:rsidRPr="00795BFE" w:rsidRDefault="00A369DB" w:rsidP="0060503B">
      <w:pPr>
        <w:autoSpaceDE w:val="0"/>
        <w:autoSpaceDN w:val="0"/>
        <w:adjustRightInd w:val="0"/>
        <w:spacing w:after="0" w:line="360" w:lineRule="auto"/>
        <w:rPr>
          <w:rFonts w:eastAsia="Calibri" w:cs="Tahoma"/>
          <w:b/>
          <w:bCs/>
          <w:iCs/>
          <w:color w:val="000000"/>
          <w:lang w:val="es-ES" w:eastAsia="en-US"/>
        </w:rPr>
      </w:pPr>
      <w:r w:rsidRPr="00795BFE">
        <w:rPr>
          <w:rFonts w:eastAsia="Calibri" w:cs="Tahoma"/>
          <w:b/>
          <w:bCs/>
          <w:iCs/>
          <w:color w:val="000000"/>
          <w:lang w:val="es-ES" w:eastAsia="en-US"/>
        </w:rPr>
        <w:t>Términos de la Resolución para conocimiento del Particular.</w:t>
      </w:r>
    </w:p>
    <w:p w14:paraId="1C137B82" w14:textId="77777777" w:rsidR="00A369DB" w:rsidRPr="00795BFE" w:rsidRDefault="00A369DB" w:rsidP="0060503B">
      <w:pPr>
        <w:autoSpaceDE w:val="0"/>
        <w:autoSpaceDN w:val="0"/>
        <w:adjustRightInd w:val="0"/>
        <w:spacing w:after="0" w:line="360" w:lineRule="auto"/>
        <w:rPr>
          <w:rFonts w:eastAsia="Calibri" w:cs="Tahoma"/>
          <w:b/>
          <w:bCs/>
          <w:iCs/>
          <w:color w:val="000000"/>
          <w:lang w:val="es-ES" w:eastAsia="en-US"/>
        </w:rPr>
      </w:pPr>
    </w:p>
    <w:p w14:paraId="3275DD07" w14:textId="28F9A3ED" w:rsidR="00A369DB" w:rsidRPr="00795BFE" w:rsidRDefault="00A369DB" w:rsidP="0060503B">
      <w:pPr>
        <w:spacing w:after="0" w:line="360" w:lineRule="auto"/>
        <w:contextualSpacing/>
        <w:rPr>
          <w:rFonts w:eastAsia="Calibri" w:cs="Times New Roman"/>
          <w:color w:val="000000"/>
          <w:lang w:eastAsia="en-US"/>
        </w:rPr>
      </w:pPr>
      <w:r w:rsidRPr="00795BFE">
        <w:rPr>
          <w:rFonts w:eastAsia="Calibri" w:cs="Times New Roman"/>
          <w:color w:val="000000"/>
          <w:lang w:eastAsia="en-US"/>
        </w:rPr>
        <w:t xml:space="preserve">Se le hace del conocimiento al ahora Recurrente que, en el presente asunto, se le da la razón, pues el Sujeto Obligado </w:t>
      </w:r>
      <w:r w:rsidR="003B4CB6" w:rsidRPr="00795BFE">
        <w:rPr>
          <w:rFonts w:eastAsia="Calibri" w:cs="Times New Roman"/>
          <w:color w:val="000000"/>
          <w:lang w:eastAsia="en-US"/>
        </w:rPr>
        <w:t xml:space="preserve">le comunicó el Acuerdo del Comité de Transparencia, informando el cambio de modalidad en la entrega de la información a consulta directa, no obstante dicho cambio de modalidad no se hizo de forma </w:t>
      </w:r>
      <w:r w:rsidR="00A92CC4" w:rsidRPr="00795BFE">
        <w:rPr>
          <w:rFonts w:eastAsia="Calibri" w:cs="Times New Roman"/>
          <w:color w:val="000000"/>
          <w:lang w:eastAsia="en-US"/>
        </w:rPr>
        <w:t xml:space="preserve">adecuada, por lo que deberá entregar la información vía SAIMEX. </w:t>
      </w:r>
    </w:p>
    <w:p w14:paraId="6EAD3539" w14:textId="77777777" w:rsidR="00A369DB" w:rsidRPr="00795BFE" w:rsidRDefault="00A369DB" w:rsidP="0060503B">
      <w:pPr>
        <w:spacing w:after="0" w:line="360" w:lineRule="auto"/>
        <w:rPr>
          <w:rFonts w:eastAsia="Calibri" w:cs="Tahoma"/>
          <w:bCs/>
          <w:iCs/>
          <w:color w:val="000000"/>
          <w:lang w:val="es-ES" w:eastAsia="es-ES_tradnl"/>
        </w:rPr>
      </w:pPr>
    </w:p>
    <w:p w14:paraId="05DFCA31" w14:textId="77777777" w:rsidR="00A369DB" w:rsidRPr="00795BFE" w:rsidRDefault="00A369DB" w:rsidP="0060503B">
      <w:pPr>
        <w:spacing w:after="0" w:line="360" w:lineRule="auto"/>
        <w:rPr>
          <w:rFonts w:eastAsia="Calibri" w:cs="Tahoma"/>
          <w:bCs/>
          <w:color w:val="000000"/>
          <w:lang w:eastAsia="en-US"/>
        </w:rPr>
      </w:pPr>
      <w:r w:rsidRPr="00795BFE">
        <w:rPr>
          <w:rFonts w:eastAsia="Calibri" w:cs="Tahoma"/>
          <w:bCs/>
          <w:color w:val="000000"/>
          <w:lang w:eastAsia="en-US"/>
        </w:rPr>
        <w:t>Por lo expuesto y fundado, este Pleno:</w:t>
      </w:r>
    </w:p>
    <w:p w14:paraId="755C5E4A" w14:textId="77777777" w:rsidR="00A369DB" w:rsidRPr="00795BFE" w:rsidRDefault="00A369DB" w:rsidP="0060503B">
      <w:pPr>
        <w:spacing w:after="0" w:line="360" w:lineRule="auto"/>
        <w:jc w:val="center"/>
        <w:rPr>
          <w:rFonts w:eastAsia="Calibri" w:cs="Tahoma"/>
          <w:b/>
          <w:bCs/>
          <w:color w:val="000000"/>
          <w:lang w:eastAsia="en-US"/>
        </w:rPr>
      </w:pPr>
    </w:p>
    <w:p w14:paraId="739A2854" w14:textId="270F2FB1" w:rsidR="00A369DB" w:rsidRPr="00795BFE" w:rsidRDefault="00795BFE" w:rsidP="0060503B">
      <w:pPr>
        <w:spacing w:after="0" w:line="360" w:lineRule="auto"/>
        <w:jc w:val="center"/>
        <w:rPr>
          <w:rFonts w:eastAsia="Calibri" w:cs="Tahoma"/>
          <w:b/>
          <w:bCs/>
          <w:color w:val="000000"/>
          <w:lang w:eastAsia="en-US"/>
        </w:rPr>
      </w:pPr>
      <w:r w:rsidRPr="00795BFE">
        <w:rPr>
          <w:rFonts w:eastAsia="Calibri" w:cs="Tahoma"/>
          <w:b/>
          <w:bCs/>
          <w:color w:val="000000"/>
          <w:lang w:eastAsia="en-US"/>
        </w:rPr>
        <w:t>R E S U E L V E</w:t>
      </w:r>
    </w:p>
    <w:p w14:paraId="7C0A0AA2" w14:textId="77777777" w:rsidR="00A369DB" w:rsidRPr="00795BFE" w:rsidRDefault="00A369DB" w:rsidP="0060503B">
      <w:pPr>
        <w:spacing w:after="0" w:line="360" w:lineRule="auto"/>
        <w:jc w:val="left"/>
        <w:rPr>
          <w:rFonts w:eastAsia="Calibri" w:cs="Tahoma"/>
          <w:b/>
          <w:bCs/>
          <w:color w:val="000000"/>
          <w:lang w:eastAsia="en-US"/>
        </w:rPr>
      </w:pPr>
    </w:p>
    <w:p w14:paraId="2846ED40" w14:textId="12635E17" w:rsidR="00A369DB" w:rsidRPr="00795BFE" w:rsidRDefault="00A369DB" w:rsidP="0060503B">
      <w:pPr>
        <w:spacing w:after="0" w:line="360" w:lineRule="auto"/>
        <w:contextualSpacing/>
        <w:rPr>
          <w:rFonts w:eastAsia="Calibri" w:cs="Tahoma"/>
          <w:color w:val="000000"/>
          <w:lang w:eastAsia="en-US"/>
        </w:rPr>
      </w:pPr>
      <w:r w:rsidRPr="00795BFE">
        <w:rPr>
          <w:rFonts w:eastAsia="Calibri" w:cs="Tahoma"/>
          <w:b/>
          <w:bCs/>
          <w:color w:val="000000"/>
          <w:lang w:eastAsia="en-US"/>
        </w:rPr>
        <w:t xml:space="preserve">PRIMERO. </w:t>
      </w:r>
      <w:r w:rsidRPr="00795BFE">
        <w:rPr>
          <w:rFonts w:eastAsia="Calibri" w:cs="Tahoma"/>
          <w:bCs/>
          <w:color w:val="000000"/>
          <w:lang w:eastAsia="en-US"/>
        </w:rPr>
        <w:t xml:space="preserve">Se </w:t>
      </w:r>
      <w:r w:rsidRPr="00795BFE">
        <w:rPr>
          <w:rFonts w:eastAsia="Calibri" w:cs="Tahoma"/>
          <w:b/>
          <w:bCs/>
          <w:color w:val="000000"/>
          <w:lang w:eastAsia="en-US"/>
        </w:rPr>
        <w:t>REVOCA</w:t>
      </w:r>
      <w:r w:rsidRPr="00795BFE">
        <w:rPr>
          <w:rFonts w:eastAsia="Calibri" w:cs="Tahoma"/>
          <w:bCs/>
          <w:color w:val="000000"/>
          <w:lang w:eastAsia="en-US"/>
        </w:rPr>
        <w:t xml:space="preserve"> la respuesta entregada por el </w:t>
      </w:r>
      <w:r w:rsidRPr="00795BFE">
        <w:rPr>
          <w:rFonts w:eastAsia="Calibri" w:cs="Tahoma"/>
          <w:color w:val="000000"/>
          <w:lang w:eastAsia="en-US"/>
        </w:rPr>
        <w:t xml:space="preserve">Ayuntamiento de </w:t>
      </w:r>
      <w:r w:rsidR="00A92CC4" w:rsidRPr="00795BFE">
        <w:rPr>
          <w:rFonts w:eastAsia="Calibri" w:cs="Tahoma"/>
          <w:color w:val="000000"/>
          <w:lang w:eastAsia="en-US"/>
        </w:rPr>
        <w:t>Temamatla</w:t>
      </w:r>
      <w:r w:rsidRPr="00795BFE">
        <w:rPr>
          <w:rFonts w:eastAsia="Calibri" w:cs="Tahoma"/>
          <w:color w:val="000000"/>
          <w:lang w:eastAsia="en-US"/>
        </w:rPr>
        <w:t xml:space="preserve"> </w:t>
      </w:r>
      <w:r w:rsidRPr="00795BFE">
        <w:rPr>
          <w:rFonts w:eastAsia="Calibri" w:cs="Tahoma"/>
          <w:bCs/>
          <w:color w:val="000000"/>
          <w:lang w:eastAsia="en-US"/>
        </w:rPr>
        <w:t xml:space="preserve">a la solicitud de </w:t>
      </w:r>
      <w:r w:rsidRPr="00795BFE">
        <w:rPr>
          <w:rFonts w:eastAsia="Calibri" w:cs="Tahoma"/>
          <w:color w:val="000000"/>
          <w:lang w:eastAsia="en-US"/>
        </w:rPr>
        <w:t xml:space="preserve">información </w:t>
      </w:r>
      <w:r w:rsidR="00BF45F6" w:rsidRPr="00795BFE">
        <w:rPr>
          <w:rFonts w:eastAsia="Calibri" w:cs="Tahoma"/>
          <w:b/>
          <w:color w:val="000000"/>
          <w:lang w:eastAsia="en-US"/>
        </w:rPr>
        <w:t>00462/TEMAMATL/IP/2024</w:t>
      </w:r>
      <w:r w:rsidR="00A92CC4" w:rsidRPr="00795BFE">
        <w:rPr>
          <w:rFonts w:eastAsia="Calibri" w:cs="Tahoma"/>
          <w:color w:val="000000"/>
          <w:lang w:eastAsia="en-US"/>
        </w:rPr>
        <w:t xml:space="preserve">, </w:t>
      </w:r>
      <w:r w:rsidRPr="00795BFE">
        <w:rPr>
          <w:rFonts w:eastAsia="Calibri" w:cs="Times New Roman"/>
          <w:color w:val="000000"/>
          <w:lang w:eastAsia="en-US"/>
        </w:rPr>
        <w:t xml:space="preserve">por resultar </w:t>
      </w:r>
      <w:r w:rsidRPr="00795BFE">
        <w:rPr>
          <w:rFonts w:eastAsia="Calibri" w:cs="Times New Roman"/>
          <w:b/>
          <w:color w:val="000000"/>
          <w:lang w:eastAsia="en-US"/>
        </w:rPr>
        <w:t>FUNDADAS</w:t>
      </w:r>
      <w:r w:rsidRPr="00795BFE">
        <w:rPr>
          <w:rFonts w:eastAsia="Calibri" w:cs="Tahoma"/>
          <w:color w:val="000000"/>
          <w:lang w:eastAsia="en-US"/>
        </w:rPr>
        <w:t xml:space="preserve"> las razones o </w:t>
      </w:r>
      <w:r w:rsidRPr="00795BFE">
        <w:rPr>
          <w:rFonts w:eastAsia="Calibri" w:cs="Tahoma"/>
          <w:color w:val="000000"/>
          <w:lang w:eastAsia="en-US"/>
        </w:rPr>
        <w:lastRenderedPageBreak/>
        <w:t>motivos de inconformidad hechos valer por el Particular, en</w:t>
      </w:r>
      <w:r w:rsidRPr="00795BFE">
        <w:rPr>
          <w:rFonts w:eastAsia="Calibri" w:cs="Tahoma"/>
          <w:bCs/>
          <w:color w:val="000000"/>
          <w:lang w:eastAsia="en-US"/>
        </w:rPr>
        <w:t xml:space="preserve"> términos de los considerandos </w:t>
      </w:r>
      <w:r w:rsidRPr="00795BFE">
        <w:rPr>
          <w:rFonts w:eastAsia="Calibri" w:cs="Tahoma"/>
          <w:color w:val="000000"/>
          <w:lang w:eastAsia="en-US"/>
        </w:rPr>
        <w:t>QUINTO y SEXTO</w:t>
      </w:r>
      <w:r w:rsidRPr="00795BFE">
        <w:rPr>
          <w:rFonts w:eastAsia="Calibri" w:cs="Tahoma"/>
          <w:bCs/>
          <w:color w:val="000000"/>
          <w:lang w:eastAsia="en-US"/>
        </w:rPr>
        <w:t xml:space="preserve"> de la presente Resolución.</w:t>
      </w:r>
    </w:p>
    <w:p w14:paraId="44088897" w14:textId="77777777" w:rsidR="00A369DB" w:rsidRPr="00795BFE" w:rsidRDefault="00A369DB" w:rsidP="0060503B">
      <w:pPr>
        <w:spacing w:after="0" w:line="360" w:lineRule="auto"/>
        <w:rPr>
          <w:rFonts w:eastAsia="Calibri" w:cs="Tahoma"/>
          <w:bCs/>
          <w:color w:val="000000"/>
          <w:lang w:eastAsia="en-US"/>
        </w:rPr>
      </w:pPr>
    </w:p>
    <w:p w14:paraId="166CE89E" w14:textId="01050F56" w:rsidR="00A369DB" w:rsidRPr="00795BFE" w:rsidRDefault="00A369DB" w:rsidP="0060503B">
      <w:pPr>
        <w:spacing w:after="0" w:line="360" w:lineRule="auto"/>
        <w:rPr>
          <w:rFonts w:eastAsia="Calibri" w:cs="Tahoma"/>
          <w:color w:val="000000"/>
          <w:lang w:eastAsia="en-US"/>
        </w:rPr>
      </w:pPr>
      <w:r w:rsidRPr="00795BFE">
        <w:rPr>
          <w:rFonts w:eastAsia="Calibri" w:cs="Tahoma"/>
          <w:b/>
          <w:bCs/>
          <w:color w:val="000000"/>
          <w:lang w:eastAsia="en-US"/>
        </w:rPr>
        <w:t xml:space="preserve">SEGUNDO. </w:t>
      </w:r>
      <w:r w:rsidRPr="00795BFE">
        <w:rPr>
          <w:rFonts w:eastAsia="Calibri" w:cs="Tahoma"/>
          <w:color w:val="000000"/>
          <w:lang w:eastAsia="en-US"/>
        </w:rPr>
        <w:t xml:space="preserve">Se </w:t>
      </w:r>
      <w:r w:rsidRPr="00795BFE">
        <w:rPr>
          <w:rFonts w:eastAsia="Calibri" w:cs="Tahoma"/>
          <w:b/>
          <w:color w:val="000000"/>
          <w:lang w:eastAsia="en-US"/>
        </w:rPr>
        <w:t xml:space="preserve">ORDENA </w:t>
      </w:r>
      <w:r w:rsidRPr="00795BFE">
        <w:rPr>
          <w:rFonts w:eastAsia="Calibri" w:cs="Tahoma"/>
          <w:bCs/>
          <w:color w:val="000000"/>
          <w:lang w:eastAsia="en-US"/>
        </w:rPr>
        <w:t xml:space="preserve">al </w:t>
      </w:r>
      <w:r w:rsidRPr="00795BFE">
        <w:rPr>
          <w:rFonts w:eastAsia="Calibri" w:cs="Tahoma"/>
          <w:color w:val="000000"/>
          <w:lang w:eastAsia="en-US"/>
        </w:rPr>
        <w:t xml:space="preserve">Ente Recurrido, a efecto de que previa búsqueda exhaustiva y razonable en los archivos de las unidades administrativas competentes, entregue a través del Sistema de Acceso a la Información Mexiquense (SAIMEX), </w:t>
      </w:r>
      <w:r w:rsidR="000973A4" w:rsidRPr="00795BFE">
        <w:rPr>
          <w:rFonts w:eastAsia="Calibri" w:cs="Tahoma"/>
          <w:color w:val="000000"/>
          <w:lang w:eastAsia="en-US"/>
        </w:rPr>
        <w:t xml:space="preserve">del primero de enero de dos mil veintidós al dos de </w:t>
      </w:r>
      <w:r w:rsidR="0044071B" w:rsidRPr="00795BFE">
        <w:rPr>
          <w:rFonts w:eastAsia="Calibri" w:cs="Tahoma"/>
          <w:color w:val="000000"/>
          <w:lang w:eastAsia="en-US"/>
        </w:rPr>
        <w:t>octubre de</w:t>
      </w:r>
      <w:r w:rsidR="000973A4" w:rsidRPr="00795BFE">
        <w:rPr>
          <w:rFonts w:eastAsia="Calibri" w:cs="Tahoma"/>
          <w:color w:val="000000"/>
          <w:lang w:eastAsia="en-US"/>
        </w:rPr>
        <w:t xml:space="preserve"> dos mil veinticuatro, </w:t>
      </w:r>
      <w:r w:rsidR="0044071B" w:rsidRPr="00795BFE">
        <w:rPr>
          <w:rFonts w:eastAsia="Calibri" w:cs="Tahoma"/>
          <w:color w:val="000000"/>
          <w:lang w:eastAsia="en-US"/>
        </w:rPr>
        <w:t>con el</w:t>
      </w:r>
      <w:r w:rsidR="000973A4" w:rsidRPr="00795BFE">
        <w:rPr>
          <w:rFonts w:eastAsia="Calibri" w:cs="Tahoma"/>
          <w:color w:val="000000"/>
          <w:lang w:eastAsia="en-US"/>
        </w:rPr>
        <w:t xml:space="preserve"> grado de desagregación </w:t>
      </w:r>
      <w:r w:rsidR="0044071B" w:rsidRPr="00795BFE">
        <w:rPr>
          <w:rFonts w:eastAsia="Calibri" w:cs="Tahoma"/>
          <w:color w:val="000000"/>
          <w:lang w:eastAsia="en-US"/>
        </w:rPr>
        <w:t>en el que se haya generado</w:t>
      </w:r>
      <w:r w:rsidR="000973A4" w:rsidRPr="00795BFE">
        <w:rPr>
          <w:rFonts w:eastAsia="Calibri" w:cs="Tahoma"/>
          <w:color w:val="000000"/>
          <w:lang w:eastAsia="en-US"/>
        </w:rPr>
        <w:t>,</w:t>
      </w:r>
      <w:r w:rsidRPr="00795BFE">
        <w:rPr>
          <w:rFonts w:eastAsia="Calibri" w:cs="Tahoma"/>
          <w:color w:val="000000"/>
          <w:lang w:eastAsia="en-US"/>
        </w:rPr>
        <w:t xml:space="preserve"> lo</w:t>
      </w:r>
      <w:r w:rsidR="00DA1D7C" w:rsidRPr="00795BFE">
        <w:rPr>
          <w:rFonts w:eastAsia="Calibri" w:cs="Tahoma"/>
          <w:color w:val="000000"/>
          <w:lang w:eastAsia="en-US"/>
        </w:rPr>
        <w:t xml:space="preserve">s documentos donde conste lo siguiente: </w:t>
      </w:r>
    </w:p>
    <w:p w14:paraId="3D54C62D" w14:textId="77777777" w:rsidR="00236F90" w:rsidRPr="00795BFE" w:rsidRDefault="00236F90" w:rsidP="0060503B">
      <w:pPr>
        <w:spacing w:after="0" w:line="360" w:lineRule="auto"/>
        <w:rPr>
          <w:rFonts w:eastAsia="Calibri" w:cs="Tahoma"/>
          <w:color w:val="000000"/>
          <w:lang w:eastAsia="en-US"/>
        </w:rPr>
      </w:pPr>
    </w:p>
    <w:p w14:paraId="7541EDF5" w14:textId="755B3575" w:rsidR="000D01B9" w:rsidRPr="00795BFE" w:rsidRDefault="00236F90" w:rsidP="0060503B">
      <w:pPr>
        <w:pStyle w:val="Prrafodelista"/>
        <w:numPr>
          <w:ilvl w:val="0"/>
          <w:numId w:val="39"/>
        </w:numPr>
        <w:spacing w:line="360" w:lineRule="auto"/>
        <w:rPr>
          <w:rFonts w:eastAsia="Calibri" w:cs="Tahoma"/>
          <w:color w:val="000000"/>
          <w:lang w:eastAsia="en-US"/>
        </w:rPr>
      </w:pPr>
      <w:r w:rsidRPr="00795BFE">
        <w:rPr>
          <w:rFonts w:eastAsia="Calibri" w:cs="Tahoma"/>
          <w:color w:val="000000"/>
          <w:lang w:eastAsia="en-US"/>
        </w:rPr>
        <w:t>El</w:t>
      </w:r>
      <w:r w:rsidR="00392A5C" w:rsidRPr="00795BFE">
        <w:rPr>
          <w:rFonts w:eastAsia="Calibri" w:cs="Tahoma"/>
          <w:color w:val="000000"/>
          <w:lang w:eastAsia="en-US"/>
        </w:rPr>
        <w:t xml:space="preserve"> número de licencias de construcción expedidas</w:t>
      </w:r>
      <w:r w:rsidR="0044071B" w:rsidRPr="00795BFE">
        <w:rPr>
          <w:rFonts w:eastAsia="Calibri" w:cs="Tahoma"/>
          <w:color w:val="000000"/>
          <w:lang w:eastAsia="en-US"/>
        </w:rPr>
        <w:t>, y</w:t>
      </w:r>
    </w:p>
    <w:p w14:paraId="1F07DFB4" w14:textId="0386EAD9" w:rsidR="000D01B9" w:rsidRPr="00795BFE" w:rsidRDefault="00DF58A8" w:rsidP="0060503B">
      <w:pPr>
        <w:pStyle w:val="Prrafodelista"/>
        <w:numPr>
          <w:ilvl w:val="0"/>
          <w:numId w:val="39"/>
        </w:numPr>
        <w:spacing w:line="360" w:lineRule="auto"/>
        <w:rPr>
          <w:rFonts w:eastAsia="Calibri" w:cs="Tahoma"/>
          <w:color w:val="000000"/>
          <w:lang w:eastAsia="en-US"/>
        </w:rPr>
      </w:pPr>
      <w:r w:rsidRPr="00795BFE">
        <w:rPr>
          <w:rFonts w:eastAsia="Calibri" w:cs="Tahoma"/>
          <w:color w:val="000000"/>
          <w:lang w:eastAsia="en-US"/>
        </w:rPr>
        <w:t>El monto de l</w:t>
      </w:r>
      <w:r w:rsidR="00236F90" w:rsidRPr="00795BFE">
        <w:rPr>
          <w:rFonts w:eastAsia="Calibri" w:cs="Tahoma"/>
          <w:color w:val="000000"/>
          <w:lang w:eastAsia="en-US"/>
        </w:rPr>
        <w:t>a recaudación recabada</w:t>
      </w:r>
      <w:r w:rsidR="000D01B9" w:rsidRPr="00795BFE">
        <w:rPr>
          <w:rFonts w:eastAsia="Calibri" w:cs="Tahoma"/>
          <w:color w:val="000000"/>
          <w:lang w:eastAsia="en-US"/>
        </w:rPr>
        <w:t xml:space="preserve"> por dicha expedición</w:t>
      </w:r>
      <w:r w:rsidR="000973A4" w:rsidRPr="00795BFE">
        <w:rPr>
          <w:rFonts w:eastAsia="Calibri" w:cs="Tahoma"/>
          <w:color w:val="000000"/>
          <w:lang w:eastAsia="en-US"/>
        </w:rPr>
        <w:t>.</w:t>
      </w:r>
      <w:r w:rsidR="00236F90" w:rsidRPr="00795BFE">
        <w:rPr>
          <w:rFonts w:eastAsia="Calibri" w:cs="Tahoma"/>
          <w:color w:val="000000"/>
          <w:lang w:eastAsia="en-US"/>
        </w:rPr>
        <w:t xml:space="preserve"> </w:t>
      </w:r>
    </w:p>
    <w:p w14:paraId="5571C22A" w14:textId="77777777" w:rsidR="000973A4" w:rsidRPr="00795BFE" w:rsidRDefault="000973A4" w:rsidP="0060503B">
      <w:pPr>
        <w:spacing w:after="0" w:line="360" w:lineRule="auto"/>
        <w:rPr>
          <w:rFonts w:eastAsia="Calibri" w:cs="Tahoma"/>
          <w:color w:val="000000"/>
          <w:lang w:eastAsia="en-US"/>
        </w:rPr>
      </w:pPr>
    </w:p>
    <w:p w14:paraId="2951763F" w14:textId="42B027E8" w:rsidR="00A369DB" w:rsidRPr="00795BFE" w:rsidRDefault="0044071B" w:rsidP="0060503B">
      <w:pPr>
        <w:spacing w:after="0" w:line="360" w:lineRule="auto"/>
        <w:contextualSpacing/>
        <w:rPr>
          <w:rFonts w:eastAsia="Calibri" w:cs="Tahoma"/>
          <w:bCs/>
          <w:iCs/>
          <w:color w:val="000000"/>
          <w:lang w:eastAsia="es-ES"/>
        </w:rPr>
      </w:pPr>
      <w:r w:rsidRPr="00795BFE">
        <w:rPr>
          <w:rFonts w:eastAsia="Calibri" w:cs="Tahoma"/>
          <w:bCs/>
          <w:iCs/>
          <w:color w:val="000000"/>
          <w:lang w:eastAsia="es-ES"/>
        </w:rPr>
        <w:t>Para el supuesto, de que no cuente con una estadística, para alguno de los supuestos, deberá hacerlo del conocimiento de la parte Recurrente de manera clara y precisa.</w:t>
      </w:r>
    </w:p>
    <w:p w14:paraId="35321146" w14:textId="77777777" w:rsidR="00A369DB" w:rsidRPr="00795BFE" w:rsidRDefault="00A369DB" w:rsidP="0060503B">
      <w:pPr>
        <w:spacing w:after="0" w:line="360" w:lineRule="auto"/>
        <w:rPr>
          <w:b/>
        </w:rPr>
      </w:pPr>
    </w:p>
    <w:p w14:paraId="5CCD81B8" w14:textId="65E9AF82" w:rsidR="00A369DB" w:rsidRPr="00795BFE" w:rsidRDefault="00A369DB" w:rsidP="0060503B">
      <w:pPr>
        <w:spacing w:after="0" w:line="360" w:lineRule="auto"/>
        <w:rPr>
          <w:bCs/>
        </w:rPr>
      </w:pPr>
      <w:r w:rsidRPr="00795BFE">
        <w:rPr>
          <w:b/>
        </w:rPr>
        <w:t>TERCERO. NOTIFÍQUESE</w:t>
      </w:r>
      <w:r w:rsidRPr="00795BFE">
        <w:rPr>
          <w:bCs/>
        </w:rPr>
        <w:t xml:space="preserve"> </w:t>
      </w:r>
      <w:r w:rsidR="00FB3321" w:rsidRPr="00795BFE">
        <w:rPr>
          <w:b/>
        </w:rPr>
        <w:t>VÍA</w:t>
      </w:r>
      <w:r w:rsidRPr="00795BFE">
        <w:rPr>
          <w:b/>
        </w:rPr>
        <w:t xml:space="preserve"> SAIMEX </w:t>
      </w:r>
      <w:r w:rsidRPr="00795BFE">
        <w:rPr>
          <w:b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2F66122" w14:textId="77777777" w:rsidR="00A369DB" w:rsidRPr="00795BFE" w:rsidRDefault="00A369DB" w:rsidP="0060503B">
      <w:pPr>
        <w:spacing w:after="0" w:line="360" w:lineRule="auto"/>
        <w:rPr>
          <w:bCs/>
        </w:rPr>
      </w:pPr>
    </w:p>
    <w:p w14:paraId="50F947C4" w14:textId="77777777" w:rsidR="00A369DB" w:rsidRPr="00795BFE" w:rsidRDefault="00A369DB" w:rsidP="0060503B">
      <w:pPr>
        <w:spacing w:after="0" w:line="360" w:lineRule="auto"/>
        <w:rPr>
          <w:bCs/>
        </w:rPr>
      </w:pPr>
      <w:r w:rsidRPr="00795BFE">
        <w:rPr>
          <w:bCs/>
        </w:rPr>
        <w:t>De conformidad con el artículo 198 de la Ley de la materia, de considerarlo procedente, el Sujeto Obligado de manera fundada y motivada, podrá solicitar una ampliación de plazo para el cumplimiento de la presente resolución.</w:t>
      </w:r>
    </w:p>
    <w:p w14:paraId="0643120F" w14:textId="77777777" w:rsidR="00A369DB" w:rsidRPr="00795BFE" w:rsidRDefault="00A369DB" w:rsidP="0060503B">
      <w:pPr>
        <w:spacing w:after="0" w:line="360" w:lineRule="auto"/>
        <w:rPr>
          <w:bCs/>
        </w:rPr>
      </w:pPr>
    </w:p>
    <w:p w14:paraId="5618737C" w14:textId="34873CC9" w:rsidR="00A369DB" w:rsidRPr="00795BFE" w:rsidRDefault="00A369DB" w:rsidP="0060503B">
      <w:pPr>
        <w:spacing w:after="0" w:line="360" w:lineRule="auto"/>
        <w:rPr>
          <w:bCs/>
        </w:rPr>
      </w:pPr>
      <w:r w:rsidRPr="00795BFE">
        <w:rPr>
          <w:b/>
        </w:rPr>
        <w:t>CUARTO. NOTIFÍQUESE</w:t>
      </w:r>
      <w:r w:rsidR="00FB3321" w:rsidRPr="00795BFE">
        <w:rPr>
          <w:b/>
        </w:rPr>
        <w:t xml:space="preserve"> VÍA</w:t>
      </w:r>
      <w:r w:rsidRPr="00795BFE">
        <w:rPr>
          <w:b/>
        </w:rPr>
        <w:t xml:space="preserve"> SAIMEX</w:t>
      </w:r>
      <w:r w:rsidRPr="00795BFE">
        <w:rPr>
          <w:bC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3133212" w14:textId="77777777" w:rsidR="00A369DB" w:rsidRPr="00795BFE" w:rsidRDefault="00A369DB" w:rsidP="0060503B">
      <w:pPr>
        <w:spacing w:after="0" w:line="360" w:lineRule="auto"/>
        <w:rPr>
          <w:b/>
        </w:rPr>
      </w:pPr>
    </w:p>
    <w:p w14:paraId="12747DBC" w14:textId="0C2E6932" w:rsidR="00A369DB" w:rsidRDefault="00A369DB" w:rsidP="0060503B">
      <w:pPr>
        <w:spacing w:after="0" w:line="360" w:lineRule="auto"/>
      </w:pPr>
      <w:r w:rsidRPr="00795BFE">
        <w:t xml:space="preserve">ASÍ LO RESUELVE, POR </w:t>
      </w:r>
      <w:r w:rsidRPr="00795BFE">
        <w:rPr>
          <w:b/>
          <w:bCs/>
        </w:rPr>
        <w:t>UNANIMIDAD</w:t>
      </w:r>
      <w:r w:rsidRPr="00795BFE">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3321" w:rsidRPr="00795BFE">
        <w:t>CUADRAGÉSIMA PRIMERA</w:t>
      </w:r>
      <w:r w:rsidRPr="00795BFE">
        <w:t xml:space="preserve"> SESIÓN ORDINARIA, CELEBRADA EL </w:t>
      </w:r>
      <w:r w:rsidR="00DF58A8" w:rsidRPr="00795BFE">
        <w:t>VEINTISIETE DE NOVIEMBRE</w:t>
      </w:r>
      <w:r w:rsidRPr="00795BFE">
        <w:t xml:space="preserve"> DE DOS MIL VEINTICUATRO, ANTE EL SECRETARIO TÉCNICO DEL PLENO, ALEXIS TAPIA RAMÍREZ.</w:t>
      </w:r>
    </w:p>
    <w:p w14:paraId="1A085AAF" w14:textId="77777777" w:rsidR="00A369DB" w:rsidRDefault="00A369DB" w:rsidP="0060503B">
      <w:pPr>
        <w:spacing w:after="0" w:line="360" w:lineRule="auto"/>
      </w:pPr>
      <w:r>
        <w:br w:type="page"/>
      </w:r>
    </w:p>
    <w:p w14:paraId="547460E4" w14:textId="77777777" w:rsidR="00CE58A5" w:rsidRPr="0027513C" w:rsidRDefault="00CE58A5" w:rsidP="0060503B">
      <w:pPr>
        <w:widowControl w:val="0"/>
        <w:spacing w:after="0" w:line="360" w:lineRule="auto"/>
        <w:rPr>
          <w:color w:val="000000"/>
        </w:rPr>
      </w:pPr>
    </w:p>
    <w:sectPr w:rsidR="00CE58A5" w:rsidRPr="0027513C" w:rsidSect="00CE4466">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DB670" w14:textId="77777777" w:rsidR="005C2C24" w:rsidRDefault="005C2C24">
      <w:pPr>
        <w:spacing w:after="0" w:line="240" w:lineRule="auto"/>
      </w:pPr>
      <w:r>
        <w:separator/>
      </w:r>
    </w:p>
  </w:endnote>
  <w:endnote w:type="continuationSeparator" w:id="0">
    <w:p w14:paraId="4BDA0198" w14:textId="77777777" w:rsidR="005C2C24" w:rsidRDefault="005C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2762F1" w:rsidRDefault="002762F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0869E9">
      <w:rPr>
        <w:b/>
        <w:color w:val="000000"/>
        <w:sz w:val="24"/>
        <w:szCs w:val="24"/>
      </w:rPr>
      <w:fldChar w:fldCharType="separate"/>
    </w:r>
    <w:r w:rsidR="000869E9">
      <w:rPr>
        <w:b/>
        <w:noProof/>
        <w:color w:val="000000"/>
        <w:sz w:val="24"/>
        <w:szCs w:val="24"/>
      </w:rPr>
      <w:t>19</w:t>
    </w:r>
    <w:r>
      <w:rPr>
        <w:b/>
        <w:color w:val="000000"/>
        <w:sz w:val="24"/>
        <w:szCs w:val="24"/>
      </w:rPr>
      <w:fldChar w:fldCharType="end"/>
    </w:r>
  </w:p>
  <w:p w14:paraId="547C391C" w14:textId="77777777" w:rsidR="002762F1" w:rsidRDefault="002762F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2762F1" w:rsidRDefault="002762F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69E9">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69E9">
      <w:rPr>
        <w:b/>
        <w:noProof/>
        <w:color w:val="000000"/>
        <w:sz w:val="24"/>
        <w:szCs w:val="24"/>
      </w:rPr>
      <w:t>19</w:t>
    </w:r>
    <w:r>
      <w:rPr>
        <w:b/>
        <w:color w:val="000000"/>
        <w:sz w:val="24"/>
        <w:szCs w:val="24"/>
      </w:rPr>
      <w:fldChar w:fldCharType="end"/>
    </w:r>
  </w:p>
  <w:p w14:paraId="021EE9EB" w14:textId="77777777" w:rsidR="002762F1" w:rsidRDefault="002762F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2762F1" w:rsidRDefault="002762F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69E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69E9">
      <w:rPr>
        <w:b/>
        <w:noProof/>
        <w:color w:val="000000"/>
        <w:sz w:val="24"/>
        <w:szCs w:val="24"/>
      </w:rPr>
      <w:t>19</w:t>
    </w:r>
    <w:r>
      <w:rPr>
        <w:b/>
        <w:color w:val="000000"/>
        <w:sz w:val="24"/>
        <w:szCs w:val="24"/>
      </w:rPr>
      <w:fldChar w:fldCharType="end"/>
    </w:r>
  </w:p>
  <w:p w14:paraId="23D55011" w14:textId="77777777" w:rsidR="002762F1" w:rsidRDefault="002762F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E22EC" w14:textId="77777777" w:rsidR="005C2C24" w:rsidRDefault="005C2C24">
      <w:pPr>
        <w:spacing w:after="0" w:line="240" w:lineRule="auto"/>
      </w:pPr>
      <w:r>
        <w:separator/>
      </w:r>
    </w:p>
  </w:footnote>
  <w:footnote w:type="continuationSeparator" w:id="0">
    <w:p w14:paraId="487D915F" w14:textId="77777777" w:rsidR="005C2C24" w:rsidRDefault="005C2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2762F1" w:rsidRDefault="002762F1">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2762F1" w14:paraId="4913F089" w14:textId="77777777">
      <w:trPr>
        <w:trHeight w:val="141"/>
      </w:trPr>
      <w:tc>
        <w:tcPr>
          <w:tcW w:w="2404" w:type="dxa"/>
        </w:tcPr>
        <w:p w14:paraId="1D800919" w14:textId="77777777" w:rsidR="002762F1" w:rsidRDefault="002762F1">
          <w:pPr>
            <w:tabs>
              <w:tab w:val="right" w:pos="8838"/>
            </w:tabs>
            <w:ind w:right="-105"/>
            <w:rPr>
              <w:b/>
            </w:rPr>
          </w:pPr>
          <w:r>
            <w:rPr>
              <w:b/>
            </w:rPr>
            <w:t>Recurso de Revisión:</w:t>
          </w:r>
        </w:p>
      </w:tc>
      <w:tc>
        <w:tcPr>
          <w:tcW w:w="3587" w:type="dxa"/>
        </w:tcPr>
        <w:p w14:paraId="53E9BD67" w14:textId="77777777" w:rsidR="002762F1" w:rsidRDefault="002762F1">
          <w:pPr>
            <w:tabs>
              <w:tab w:val="right" w:pos="8838"/>
            </w:tabs>
            <w:ind w:left="-28" w:right="683"/>
          </w:pPr>
          <w:r>
            <w:t>04196/INFOEM/IP/RR/2020</w:t>
          </w:r>
        </w:p>
      </w:tc>
    </w:tr>
    <w:tr w:rsidR="002762F1" w14:paraId="515F523A" w14:textId="77777777">
      <w:trPr>
        <w:trHeight w:val="276"/>
      </w:trPr>
      <w:tc>
        <w:tcPr>
          <w:tcW w:w="2404" w:type="dxa"/>
        </w:tcPr>
        <w:p w14:paraId="1CFF82A0" w14:textId="77777777" w:rsidR="002762F1" w:rsidRDefault="002762F1">
          <w:pPr>
            <w:tabs>
              <w:tab w:val="right" w:pos="8838"/>
            </w:tabs>
            <w:ind w:right="-105"/>
            <w:rPr>
              <w:b/>
            </w:rPr>
          </w:pPr>
          <w:r>
            <w:rPr>
              <w:b/>
            </w:rPr>
            <w:t>Sujeto Obligado:</w:t>
          </w:r>
        </w:p>
      </w:tc>
      <w:tc>
        <w:tcPr>
          <w:tcW w:w="3587" w:type="dxa"/>
        </w:tcPr>
        <w:p w14:paraId="1142F936" w14:textId="77777777" w:rsidR="002762F1" w:rsidRDefault="002762F1">
          <w:pPr>
            <w:tabs>
              <w:tab w:val="right" w:pos="8838"/>
            </w:tabs>
            <w:ind w:right="116"/>
          </w:pPr>
          <w:r>
            <w:t>Ayuntamiento de Chapultepec</w:t>
          </w:r>
        </w:p>
      </w:tc>
    </w:tr>
    <w:tr w:rsidR="002762F1" w14:paraId="69080D23" w14:textId="77777777">
      <w:trPr>
        <w:trHeight w:val="276"/>
      </w:trPr>
      <w:tc>
        <w:tcPr>
          <w:tcW w:w="2404" w:type="dxa"/>
        </w:tcPr>
        <w:p w14:paraId="50E24B18" w14:textId="77777777" w:rsidR="002762F1" w:rsidRDefault="002762F1">
          <w:pPr>
            <w:tabs>
              <w:tab w:val="right" w:pos="8838"/>
            </w:tabs>
            <w:ind w:right="-105"/>
            <w:rPr>
              <w:b/>
            </w:rPr>
          </w:pPr>
          <w:r>
            <w:rPr>
              <w:b/>
            </w:rPr>
            <w:t>Comisionado Ponente:</w:t>
          </w:r>
        </w:p>
      </w:tc>
      <w:tc>
        <w:tcPr>
          <w:tcW w:w="3587" w:type="dxa"/>
        </w:tcPr>
        <w:p w14:paraId="1467B143" w14:textId="77777777" w:rsidR="002762F1" w:rsidRDefault="002762F1">
          <w:pPr>
            <w:tabs>
              <w:tab w:val="right" w:pos="8838"/>
            </w:tabs>
            <w:ind w:right="-32"/>
          </w:pPr>
          <w:r>
            <w:t>Luis Gustavo Parra Noriega</w:t>
          </w:r>
        </w:p>
      </w:tc>
    </w:tr>
  </w:tbl>
  <w:p w14:paraId="74ECE196" w14:textId="77777777" w:rsidR="002762F1" w:rsidRDefault="005C2C24">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2762F1" w:rsidRDefault="002762F1">
    <w:pPr>
      <w:rPr>
        <w:sz w:val="16"/>
        <w:szCs w:val="16"/>
      </w:rPr>
    </w:pPr>
  </w:p>
  <w:tbl>
    <w:tblPr>
      <w:tblStyle w:val="a"/>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2762F1" w14:paraId="087E2B73" w14:textId="77777777">
      <w:trPr>
        <w:trHeight w:val="141"/>
      </w:trPr>
      <w:tc>
        <w:tcPr>
          <w:tcW w:w="2404" w:type="dxa"/>
        </w:tcPr>
        <w:p w14:paraId="44594EC4" w14:textId="77777777" w:rsidR="002762F1" w:rsidRDefault="002762F1">
          <w:pPr>
            <w:tabs>
              <w:tab w:val="right" w:pos="8838"/>
            </w:tabs>
            <w:ind w:left="-395" w:right="-105" w:firstLine="395"/>
            <w:rPr>
              <w:b/>
            </w:rPr>
          </w:pPr>
          <w:r>
            <w:rPr>
              <w:b/>
            </w:rPr>
            <w:t>Recurso de Revisión:</w:t>
          </w:r>
        </w:p>
      </w:tc>
      <w:tc>
        <w:tcPr>
          <w:tcW w:w="4684" w:type="dxa"/>
        </w:tcPr>
        <w:p w14:paraId="312F8E98" w14:textId="08ECDE54" w:rsidR="002762F1" w:rsidRDefault="002762F1" w:rsidP="00672439">
          <w:pPr>
            <w:tabs>
              <w:tab w:val="right" w:pos="8838"/>
            </w:tabs>
            <w:ind w:left="-28" w:right="454"/>
          </w:pPr>
          <w:r>
            <w:t>06676/INFOEM/IP/RR/2024</w:t>
          </w:r>
        </w:p>
      </w:tc>
    </w:tr>
    <w:tr w:rsidR="002762F1" w14:paraId="31D07777" w14:textId="77777777">
      <w:trPr>
        <w:trHeight w:val="276"/>
      </w:trPr>
      <w:tc>
        <w:tcPr>
          <w:tcW w:w="2404" w:type="dxa"/>
        </w:tcPr>
        <w:p w14:paraId="6B55802A" w14:textId="77777777" w:rsidR="002762F1" w:rsidRDefault="002762F1">
          <w:pPr>
            <w:tabs>
              <w:tab w:val="right" w:pos="8838"/>
            </w:tabs>
            <w:ind w:right="-105"/>
            <w:rPr>
              <w:b/>
            </w:rPr>
          </w:pPr>
          <w:r>
            <w:rPr>
              <w:b/>
            </w:rPr>
            <w:t>Sujeto Obligado:</w:t>
          </w:r>
        </w:p>
      </w:tc>
      <w:tc>
        <w:tcPr>
          <w:tcW w:w="4684" w:type="dxa"/>
        </w:tcPr>
        <w:p w14:paraId="4A22BD99" w14:textId="544C643C" w:rsidR="002762F1" w:rsidRDefault="002762F1">
          <w:pPr>
            <w:tabs>
              <w:tab w:val="left" w:pos="3158"/>
              <w:tab w:val="left" w:pos="4292"/>
              <w:tab w:val="right" w:pos="8838"/>
            </w:tabs>
            <w:ind w:right="601"/>
          </w:pPr>
          <w:r w:rsidRPr="006B0679">
            <w:t>Ayuntamiento de Temamatla</w:t>
          </w:r>
        </w:p>
      </w:tc>
    </w:tr>
    <w:tr w:rsidR="002762F1" w14:paraId="161D40C6" w14:textId="77777777">
      <w:trPr>
        <w:trHeight w:val="276"/>
      </w:trPr>
      <w:tc>
        <w:tcPr>
          <w:tcW w:w="2404" w:type="dxa"/>
        </w:tcPr>
        <w:p w14:paraId="2583E4C0" w14:textId="77777777" w:rsidR="002762F1" w:rsidRDefault="002762F1">
          <w:pPr>
            <w:tabs>
              <w:tab w:val="right" w:pos="8838"/>
            </w:tabs>
            <w:ind w:right="-105"/>
            <w:rPr>
              <w:b/>
            </w:rPr>
          </w:pPr>
          <w:r>
            <w:rPr>
              <w:b/>
            </w:rPr>
            <w:t>Comisionado Ponente:</w:t>
          </w:r>
        </w:p>
      </w:tc>
      <w:tc>
        <w:tcPr>
          <w:tcW w:w="4684" w:type="dxa"/>
        </w:tcPr>
        <w:p w14:paraId="4FEB6F64" w14:textId="77777777" w:rsidR="002762F1" w:rsidRDefault="002762F1">
          <w:pPr>
            <w:tabs>
              <w:tab w:val="right" w:pos="8838"/>
            </w:tabs>
            <w:ind w:right="454"/>
          </w:pPr>
          <w:r>
            <w:t>Luis Gustavo Parra Noriega</w:t>
          </w:r>
        </w:p>
      </w:tc>
    </w:tr>
  </w:tbl>
  <w:p w14:paraId="7B4A9F8D" w14:textId="77777777" w:rsidR="002762F1" w:rsidRDefault="005C2C24">
    <w:pPr>
      <w:pBdr>
        <w:top w:val="nil"/>
        <w:left w:val="nil"/>
        <w:bottom w:val="nil"/>
        <w:right w:val="nil"/>
        <w:between w:val="nil"/>
      </w:pBdr>
      <w:tabs>
        <w:tab w:val="center" w:pos="4419"/>
        <w:tab w:val="right" w:pos="8838"/>
      </w:tabs>
      <w:spacing w:after="0" w:line="240" w:lineRule="auto"/>
      <w:rPr>
        <w:color w:val="000000"/>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77777777" w:rsidR="002762F1" w:rsidRDefault="002762F1">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2762F1" w14:paraId="11A312BD" w14:textId="77777777" w:rsidTr="00CE4466">
      <w:trPr>
        <w:trHeight w:val="1546"/>
      </w:trPr>
      <w:tc>
        <w:tcPr>
          <w:tcW w:w="2127" w:type="dxa"/>
          <w:shd w:val="clear" w:color="auto" w:fill="auto"/>
        </w:tcPr>
        <w:p w14:paraId="02785A7F" w14:textId="77777777" w:rsidR="002762F1" w:rsidRDefault="002762F1">
          <w:pPr>
            <w:tabs>
              <w:tab w:val="right" w:pos="4273"/>
            </w:tabs>
            <w:rPr>
              <w:rFonts w:ascii="Garamond" w:eastAsia="Garamond" w:hAnsi="Garamond" w:cs="Garamond"/>
              <w:sz w:val="16"/>
              <w:szCs w:val="16"/>
            </w:rPr>
          </w:pPr>
        </w:p>
      </w:tc>
      <w:tc>
        <w:tcPr>
          <w:tcW w:w="7087" w:type="dxa"/>
          <w:shd w:val="clear" w:color="auto" w:fill="auto"/>
        </w:tcPr>
        <w:p w14:paraId="5E345BDA" w14:textId="77777777" w:rsidR="002762F1" w:rsidRDefault="002762F1">
          <w:pPr>
            <w:rPr>
              <w:sz w:val="10"/>
              <w:szCs w:val="10"/>
            </w:rPr>
          </w:pPr>
        </w:p>
        <w:tbl>
          <w:tblPr>
            <w:tblStyle w:val="a2"/>
            <w:tblW w:w="6379" w:type="dxa"/>
            <w:tblInd w:w="1593"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2762F1" w14:paraId="4D093FE8" w14:textId="77777777" w:rsidTr="0060503B">
            <w:trPr>
              <w:trHeight w:val="141"/>
            </w:trPr>
            <w:tc>
              <w:tcPr>
                <w:tcW w:w="2404" w:type="dxa"/>
                <w:vAlign w:val="bottom"/>
              </w:tcPr>
              <w:p w14:paraId="19B4B05D" w14:textId="77777777" w:rsidR="002762F1" w:rsidRDefault="002762F1">
                <w:pPr>
                  <w:tabs>
                    <w:tab w:val="right" w:pos="8838"/>
                  </w:tabs>
                  <w:ind w:right="-105"/>
                  <w:rPr>
                    <w:b/>
                  </w:rPr>
                </w:pPr>
                <w:r>
                  <w:rPr>
                    <w:b/>
                  </w:rPr>
                  <w:t>Recurso de Revisión:</w:t>
                </w:r>
              </w:p>
            </w:tc>
            <w:tc>
              <w:tcPr>
                <w:tcW w:w="3975" w:type="dxa"/>
              </w:tcPr>
              <w:p w14:paraId="43DE950F" w14:textId="159E9A4E" w:rsidR="002762F1" w:rsidRDefault="002762F1">
                <w:pPr>
                  <w:tabs>
                    <w:tab w:val="right" w:pos="8838"/>
                  </w:tabs>
                  <w:ind w:left="-28" w:right="-107"/>
                </w:pPr>
                <w:r>
                  <w:t>06676/INFOEM/IP/RR/2024</w:t>
                </w:r>
              </w:p>
            </w:tc>
          </w:tr>
          <w:tr w:rsidR="002762F1" w14:paraId="073EAE42" w14:textId="77777777" w:rsidTr="0060503B">
            <w:trPr>
              <w:trHeight w:val="141"/>
            </w:trPr>
            <w:tc>
              <w:tcPr>
                <w:tcW w:w="2404" w:type="dxa"/>
              </w:tcPr>
              <w:p w14:paraId="76E590DA" w14:textId="77777777" w:rsidR="002762F1" w:rsidRDefault="002762F1">
                <w:pPr>
                  <w:tabs>
                    <w:tab w:val="right" w:pos="8838"/>
                  </w:tabs>
                  <w:ind w:right="-105"/>
                  <w:rPr>
                    <w:b/>
                  </w:rPr>
                </w:pPr>
                <w:r>
                  <w:rPr>
                    <w:b/>
                  </w:rPr>
                  <w:t>Recurrente:</w:t>
                </w:r>
              </w:p>
            </w:tc>
            <w:tc>
              <w:tcPr>
                <w:tcW w:w="3975" w:type="dxa"/>
              </w:tcPr>
              <w:p w14:paraId="5FF2F8C6" w14:textId="1AC0D9A0" w:rsidR="002762F1" w:rsidRDefault="002762F1">
                <w:pPr>
                  <w:tabs>
                    <w:tab w:val="right" w:pos="8838"/>
                  </w:tabs>
                  <w:ind w:right="-107"/>
                </w:pPr>
              </w:p>
            </w:tc>
          </w:tr>
          <w:tr w:rsidR="002762F1" w14:paraId="009C2510" w14:textId="77777777" w:rsidTr="0060503B">
            <w:trPr>
              <w:trHeight w:val="276"/>
            </w:trPr>
            <w:tc>
              <w:tcPr>
                <w:tcW w:w="2404" w:type="dxa"/>
              </w:tcPr>
              <w:p w14:paraId="0AAFC3CA" w14:textId="77777777" w:rsidR="002762F1" w:rsidRDefault="002762F1">
                <w:pPr>
                  <w:tabs>
                    <w:tab w:val="right" w:pos="8838"/>
                  </w:tabs>
                  <w:ind w:right="-105"/>
                  <w:rPr>
                    <w:b/>
                  </w:rPr>
                </w:pPr>
                <w:r>
                  <w:rPr>
                    <w:b/>
                  </w:rPr>
                  <w:t>Sujeto Obligado:</w:t>
                </w:r>
              </w:p>
            </w:tc>
            <w:tc>
              <w:tcPr>
                <w:tcW w:w="3975" w:type="dxa"/>
              </w:tcPr>
              <w:p w14:paraId="13F6DD80" w14:textId="7FA7863E" w:rsidR="002762F1" w:rsidRDefault="002762F1">
                <w:pPr>
                  <w:tabs>
                    <w:tab w:val="right" w:pos="8838"/>
                  </w:tabs>
                  <w:ind w:right="33"/>
                </w:pPr>
                <w:r>
                  <w:t>Ayuntamiento de Temamatla</w:t>
                </w:r>
              </w:p>
            </w:tc>
          </w:tr>
          <w:tr w:rsidR="002762F1" w14:paraId="7A4EADF6" w14:textId="77777777" w:rsidTr="0060503B">
            <w:trPr>
              <w:trHeight w:val="276"/>
            </w:trPr>
            <w:tc>
              <w:tcPr>
                <w:tcW w:w="2404" w:type="dxa"/>
              </w:tcPr>
              <w:p w14:paraId="014674B7" w14:textId="77777777" w:rsidR="002762F1" w:rsidRDefault="002762F1">
                <w:pPr>
                  <w:tabs>
                    <w:tab w:val="right" w:pos="8838"/>
                  </w:tabs>
                  <w:ind w:right="-105"/>
                  <w:rPr>
                    <w:b/>
                  </w:rPr>
                </w:pPr>
                <w:r>
                  <w:rPr>
                    <w:b/>
                  </w:rPr>
                  <w:t>Comisionado Ponente:</w:t>
                </w:r>
              </w:p>
            </w:tc>
            <w:tc>
              <w:tcPr>
                <w:tcW w:w="3975" w:type="dxa"/>
              </w:tcPr>
              <w:p w14:paraId="06F82FCE" w14:textId="77777777" w:rsidR="002762F1" w:rsidRDefault="002762F1">
                <w:pPr>
                  <w:tabs>
                    <w:tab w:val="right" w:pos="8838"/>
                  </w:tabs>
                  <w:ind w:right="-107"/>
                </w:pPr>
                <w:r>
                  <w:t>Luis Gustavo Parra Noriega</w:t>
                </w:r>
              </w:p>
            </w:tc>
          </w:tr>
        </w:tbl>
        <w:p w14:paraId="3774A9CE" w14:textId="77777777" w:rsidR="002762F1" w:rsidRDefault="002762F1">
          <w:pPr>
            <w:tabs>
              <w:tab w:val="right" w:pos="8838"/>
            </w:tabs>
            <w:ind w:left="-28"/>
            <w:rPr>
              <w:rFonts w:ascii="Arial" w:eastAsia="Arial" w:hAnsi="Arial" w:cs="Arial"/>
              <w:b/>
            </w:rPr>
          </w:pPr>
        </w:p>
      </w:tc>
    </w:tr>
  </w:tbl>
  <w:p w14:paraId="38129A67" w14:textId="4FDE35C0" w:rsidR="002762F1" w:rsidRDefault="005C2C24" w:rsidP="0060503B">
    <w:pPr>
      <w:pBdr>
        <w:top w:val="nil"/>
        <w:left w:val="nil"/>
        <w:bottom w:val="nil"/>
        <w:right w:val="nil"/>
        <w:between w:val="nil"/>
      </w:pBdr>
      <w:tabs>
        <w:tab w:val="center" w:pos="4607"/>
      </w:tabs>
      <w:spacing w:after="0" w:line="240" w:lineRule="auto"/>
      <w:rPr>
        <w:color w:val="000000"/>
      </w:rPr>
    </w:pPr>
    <w:r>
      <w:rPr>
        <w:color w:val="000000"/>
      </w:rPr>
      <w:pict w14:anchorId="4DC54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97.1pt;margin-top:-127.6pt;width:663.5pt;height:12in;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r w:rsidR="0060503B">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A3AE5"/>
    <w:multiLevelType w:val="hybridMultilevel"/>
    <w:tmpl w:val="C6F66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11BA6"/>
    <w:multiLevelType w:val="hybridMultilevel"/>
    <w:tmpl w:val="A5FC2EA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F46D80"/>
    <w:multiLevelType w:val="hybridMultilevel"/>
    <w:tmpl w:val="1878FC20"/>
    <w:lvl w:ilvl="0" w:tplc="080A0001">
      <w:start w:val="1"/>
      <w:numFmt w:val="bullet"/>
      <w:lvlText w:val=""/>
      <w:lvlJc w:val="left"/>
      <w:pPr>
        <w:ind w:left="1287" w:hanging="720"/>
      </w:pPr>
      <w:rPr>
        <w:rFonts w:ascii="Symbol" w:hAnsi="Symbol"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7950C04"/>
    <w:multiLevelType w:val="hybridMultilevel"/>
    <w:tmpl w:val="67767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15:restartNumberingAfterBreak="0">
    <w:nsid w:val="45A62FC5"/>
    <w:multiLevelType w:val="hybridMultilevel"/>
    <w:tmpl w:val="B5DE9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8B7D63"/>
    <w:multiLevelType w:val="hybridMultilevel"/>
    <w:tmpl w:val="1E0E3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E392F61"/>
    <w:multiLevelType w:val="hybridMultilevel"/>
    <w:tmpl w:val="B058D136"/>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4F901CCC"/>
    <w:multiLevelType w:val="multilevel"/>
    <w:tmpl w:val="0D0CC79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9390D"/>
    <w:multiLevelType w:val="hybridMultilevel"/>
    <w:tmpl w:val="BF42C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C04A80"/>
    <w:multiLevelType w:val="hybridMultilevel"/>
    <w:tmpl w:val="AC50192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75FC3"/>
    <w:multiLevelType w:val="hybridMultilevel"/>
    <w:tmpl w:val="14D6A8C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7ED931C6"/>
    <w:multiLevelType w:val="hybridMultilevel"/>
    <w:tmpl w:val="526C7DA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
  </w:num>
  <w:num w:numId="5">
    <w:abstractNumId w:val="2"/>
  </w:num>
  <w:num w:numId="6">
    <w:abstractNumId w:val="33"/>
  </w:num>
  <w:num w:numId="7">
    <w:abstractNumId w:val="3"/>
  </w:num>
  <w:num w:numId="8">
    <w:abstractNumId w:val="18"/>
  </w:num>
  <w:num w:numId="9">
    <w:abstractNumId w:val="12"/>
  </w:num>
  <w:num w:numId="10">
    <w:abstractNumId w:val="19"/>
  </w:num>
  <w:num w:numId="11">
    <w:abstractNumId w:val="15"/>
  </w:num>
  <w:num w:numId="12">
    <w:abstractNumId w:val="4"/>
  </w:num>
  <w:num w:numId="13">
    <w:abstractNumId w:val="0"/>
  </w:num>
  <w:num w:numId="14">
    <w:abstractNumId w:val="9"/>
  </w:num>
  <w:num w:numId="15">
    <w:abstractNumId w:val="10"/>
  </w:num>
  <w:num w:numId="16">
    <w:abstractNumId w:val="28"/>
  </w:num>
  <w:num w:numId="17">
    <w:abstractNumId w:val="26"/>
  </w:num>
  <w:num w:numId="18">
    <w:abstractNumId w:val="7"/>
  </w:num>
  <w:num w:numId="19">
    <w:abstractNumId w:val="14"/>
  </w:num>
  <w:num w:numId="20">
    <w:abstractNumId w:val="25"/>
  </w:num>
  <w:num w:numId="21">
    <w:abstractNumId w:val="3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
  </w:num>
  <w:num w:numId="29">
    <w:abstractNumId w:val="24"/>
  </w:num>
  <w:num w:numId="30">
    <w:abstractNumId w:val="23"/>
  </w:num>
  <w:num w:numId="31">
    <w:abstractNumId w:val="36"/>
  </w:num>
  <w:num w:numId="32">
    <w:abstractNumId w:val="35"/>
  </w:num>
  <w:num w:numId="33">
    <w:abstractNumId w:val="20"/>
  </w:num>
  <w:num w:numId="34">
    <w:abstractNumId w:val="8"/>
  </w:num>
  <w:num w:numId="35">
    <w:abstractNumId w:val="13"/>
  </w:num>
  <w:num w:numId="36">
    <w:abstractNumId w:val="5"/>
  </w:num>
  <w:num w:numId="37">
    <w:abstractNumId w:val="17"/>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33F3"/>
    <w:rsid w:val="00061E62"/>
    <w:rsid w:val="000620C8"/>
    <w:rsid w:val="000678E8"/>
    <w:rsid w:val="0008574F"/>
    <w:rsid w:val="000869E9"/>
    <w:rsid w:val="000973A4"/>
    <w:rsid w:val="000A5247"/>
    <w:rsid w:val="000C03C1"/>
    <w:rsid w:val="000C455C"/>
    <w:rsid w:val="000D01B9"/>
    <w:rsid w:val="000E03ED"/>
    <w:rsid w:val="000E23BF"/>
    <w:rsid w:val="000E51A2"/>
    <w:rsid w:val="000F1C66"/>
    <w:rsid w:val="00116267"/>
    <w:rsid w:val="00123ED6"/>
    <w:rsid w:val="00153BA5"/>
    <w:rsid w:val="00192C6E"/>
    <w:rsid w:val="001A043A"/>
    <w:rsid w:val="001A3FA2"/>
    <w:rsid w:val="001A4D72"/>
    <w:rsid w:val="001A518F"/>
    <w:rsid w:val="001A54EF"/>
    <w:rsid w:val="001B2B90"/>
    <w:rsid w:val="001C3D22"/>
    <w:rsid w:val="001E3BEF"/>
    <w:rsid w:val="001F1666"/>
    <w:rsid w:val="001F7131"/>
    <w:rsid w:val="00201106"/>
    <w:rsid w:val="00214684"/>
    <w:rsid w:val="00236F90"/>
    <w:rsid w:val="0026142D"/>
    <w:rsid w:val="00267D04"/>
    <w:rsid w:val="00271EEF"/>
    <w:rsid w:val="0027405F"/>
    <w:rsid w:val="0027513C"/>
    <w:rsid w:val="002762F1"/>
    <w:rsid w:val="00281A8C"/>
    <w:rsid w:val="002A1E5F"/>
    <w:rsid w:val="002A4B9F"/>
    <w:rsid w:val="002B3613"/>
    <w:rsid w:val="002B77FE"/>
    <w:rsid w:val="002D0172"/>
    <w:rsid w:val="003000F7"/>
    <w:rsid w:val="0030191A"/>
    <w:rsid w:val="00321F56"/>
    <w:rsid w:val="003313D5"/>
    <w:rsid w:val="00355945"/>
    <w:rsid w:val="0036629A"/>
    <w:rsid w:val="00372769"/>
    <w:rsid w:val="0038068D"/>
    <w:rsid w:val="00392A5C"/>
    <w:rsid w:val="003A656C"/>
    <w:rsid w:val="003B4CB6"/>
    <w:rsid w:val="003D3C6D"/>
    <w:rsid w:val="003E22CB"/>
    <w:rsid w:val="00400449"/>
    <w:rsid w:val="00416366"/>
    <w:rsid w:val="00425DC6"/>
    <w:rsid w:val="00431F7B"/>
    <w:rsid w:val="00432851"/>
    <w:rsid w:val="0044071B"/>
    <w:rsid w:val="0044182E"/>
    <w:rsid w:val="0045203D"/>
    <w:rsid w:val="00480823"/>
    <w:rsid w:val="00486255"/>
    <w:rsid w:val="004B2592"/>
    <w:rsid w:val="004B503B"/>
    <w:rsid w:val="004C4B87"/>
    <w:rsid w:val="004D36C3"/>
    <w:rsid w:val="004D37D8"/>
    <w:rsid w:val="00500D89"/>
    <w:rsid w:val="005301CC"/>
    <w:rsid w:val="005B5E7C"/>
    <w:rsid w:val="005C2C24"/>
    <w:rsid w:val="005C4C29"/>
    <w:rsid w:val="005C4CEA"/>
    <w:rsid w:val="005D7AEB"/>
    <w:rsid w:val="00600C74"/>
    <w:rsid w:val="00603C0C"/>
    <w:rsid w:val="0060503B"/>
    <w:rsid w:val="0060513D"/>
    <w:rsid w:val="006137E6"/>
    <w:rsid w:val="00623D33"/>
    <w:rsid w:val="006269DD"/>
    <w:rsid w:val="00647460"/>
    <w:rsid w:val="0064764C"/>
    <w:rsid w:val="006515E5"/>
    <w:rsid w:val="00670439"/>
    <w:rsid w:val="00672439"/>
    <w:rsid w:val="006819BC"/>
    <w:rsid w:val="0068258C"/>
    <w:rsid w:val="006B0679"/>
    <w:rsid w:val="006D4068"/>
    <w:rsid w:val="006E46EA"/>
    <w:rsid w:val="006E6C38"/>
    <w:rsid w:val="00722EFD"/>
    <w:rsid w:val="00722FD6"/>
    <w:rsid w:val="00760CA6"/>
    <w:rsid w:val="0076362A"/>
    <w:rsid w:val="00773CF3"/>
    <w:rsid w:val="0078202B"/>
    <w:rsid w:val="00791585"/>
    <w:rsid w:val="00795BFE"/>
    <w:rsid w:val="007A4FC5"/>
    <w:rsid w:val="007A54F7"/>
    <w:rsid w:val="008022FE"/>
    <w:rsid w:val="00802E3A"/>
    <w:rsid w:val="008051E4"/>
    <w:rsid w:val="008061A1"/>
    <w:rsid w:val="008126BA"/>
    <w:rsid w:val="00827EA8"/>
    <w:rsid w:val="00836753"/>
    <w:rsid w:val="00850D54"/>
    <w:rsid w:val="00862C79"/>
    <w:rsid w:val="00875233"/>
    <w:rsid w:val="00876057"/>
    <w:rsid w:val="008854E3"/>
    <w:rsid w:val="00894FA0"/>
    <w:rsid w:val="00897C88"/>
    <w:rsid w:val="008B1792"/>
    <w:rsid w:val="008B787A"/>
    <w:rsid w:val="008C369E"/>
    <w:rsid w:val="00901916"/>
    <w:rsid w:val="0090345F"/>
    <w:rsid w:val="0090536E"/>
    <w:rsid w:val="00921B80"/>
    <w:rsid w:val="00922619"/>
    <w:rsid w:val="00931903"/>
    <w:rsid w:val="009337F8"/>
    <w:rsid w:val="00933D31"/>
    <w:rsid w:val="009354C9"/>
    <w:rsid w:val="0093706C"/>
    <w:rsid w:val="00951E4D"/>
    <w:rsid w:val="00977100"/>
    <w:rsid w:val="0098702F"/>
    <w:rsid w:val="00997CC5"/>
    <w:rsid w:val="009A0999"/>
    <w:rsid w:val="009C3A65"/>
    <w:rsid w:val="009D5DFC"/>
    <w:rsid w:val="009E143C"/>
    <w:rsid w:val="009E293F"/>
    <w:rsid w:val="009F177B"/>
    <w:rsid w:val="009F4781"/>
    <w:rsid w:val="00A03656"/>
    <w:rsid w:val="00A148A4"/>
    <w:rsid w:val="00A169B3"/>
    <w:rsid w:val="00A31D29"/>
    <w:rsid w:val="00A340DF"/>
    <w:rsid w:val="00A3628B"/>
    <w:rsid w:val="00A36580"/>
    <w:rsid w:val="00A369DB"/>
    <w:rsid w:val="00A432FA"/>
    <w:rsid w:val="00A50615"/>
    <w:rsid w:val="00A51FC9"/>
    <w:rsid w:val="00A6353E"/>
    <w:rsid w:val="00A727EC"/>
    <w:rsid w:val="00A7495B"/>
    <w:rsid w:val="00A85A35"/>
    <w:rsid w:val="00A92CC4"/>
    <w:rsid w:val="00AA513D"/>
    <w:rsid w:val="00AA681D"/>
    <w:rsid w:val="00AB379E"/>
    <w:rsid w:val="00AB4C8F"/>
    <w:rsid w:val="00AB6F09"/>
    <w:rsid w:val="00AD041F"/>
    <w:rsid w:val="00AE68DB"/>
    <w:rsid w:val="00AF1546"/>
    <w:rsid w:val="00AF6918"/>
    <w:rsid w:val="00B12E36"/>
    <w:rsid w:val="00B176CD"/>
    <w:rsid w:val="00B220A6"/>
    <w:rsid w:val="00B2250B"/>
    <w:rsid w:val="00B252F6"/>
    <w:rsid w:val="00B27D55"/>
    <w:rsid w:val="00B335E4"/>
    <w:rsid w:val="00B46A70"/>
    <w:rsid w:val="00B55470"/>
    <w:rsid w:val="00B574FD"/>
    <w:rsid w:val="00B60AE8"/>
    <w:rsid w:val="00B662E6"/>
    <w:rsid w:val="00B663EA"/>
    <w:rsid w:val="00BA1C09"/>
    <w:rsid w:val="00BA599A"/>
    <w:rsid w:val="00BC37F6"/>
    <w:rsid w:val="00BD5CCE"/>
    <w:rsid w:val="00BD76D4"/>
    <w:rsid w:val="00BE5B8C"/>
    <w:rsid w:val="00BF1C9F"/>
    <w:rsid w:val="00BF4381"/>
    <w:rsid w:val="00BF45F6"/>
    <w:rsid w:val="00C071D0"/>
    <w:rsid w:val="00C13CA5"/>
    <w:rsid w:val="00C23341"/>
    <w:rsid w:val="00C4170A"/>
    <w:rsid w:val="00C54A79"/>
    <w:rsid w:val="00C6112D"/>
    <w:rsid w:val="00C776C5"/>
    <w:rsid w:val="00C91CC8"/>
    <w:rsid w:val="00CA016E"/>
    <w:rsid w:val="00CA79CD"/>
    <w:rsid w:val="00CB615E"/>
    <w:rsid w:val="00CC263D"/>
    <w:rsid w:val="00CE19BD"/>
    <w:rsid w:val="00CE3B03"/>
    <w:rsid w:val="00CE4466"/>
    <w:rsid w:val="00CE58A5"/>
    <w:rsid w:val="00CF0CB5"/>
    <w:rsid w:val="00CF3A29"/>
    <w:rsid w:val="00CF5A68"/>
    <w:rsid w:val="00CF6EC8"/>
    <w:rsid w:val="00D26B89"/>
    <w:rsid w:val="00D4464F"/>
    <w:rsid w:val="00D44EDE"/>
    <w:rsid w:val="00D51406"/>
    <w:rsid w:val="00D52F9F"/>
    <w:rsid w:val="00D7798F"/>
    <w:rsid w:val="00D87D2E"/>
    <w:rsid w:val="00D93ABD"/>
    <w:rsid w:val="00DA1D7C"/>
    <w:rsid w:val="00DB2E59"/>
    <w:rsid w:val="00DD7C00"/>
    <w:rsid w:val="00DE3BBD"/>
    <w:rsid w:val="00DF58A8"/>
    <w:rsid w:val="00DF6F15"/>
    <w:rsid w:val="00E03F94"/>
    <w:rsid w:val="00E27D46"/>
    <w:rsid w:val="00E37CB6"/>
    <w:rsid w:val="00E51F39"/>
    <w:rsid w:val="00E57161"/>
    <w:rsid w:val="00E624D4"/>
    <w:rsid w:val="00E63455"/>
    <w:rsid w:val="00E73EE5"/>
    <w:rsid w:val="00E763D9"/>
    <w:rsid w:val="00E84D5E"/>
    <w:rsid w:val="00EA18B6"/>
    <w:rsid w:val="00EB0E3F"/>
    <w:rsid w:val="00ED280F"/>
    <w:rsid w:val="00EE1C8D"/>
    <w:rsid w:val="00F03AF0"/>
    <w:rsid w:val="00F04222"/>
    <w:rsid w:val="00F1744F"/>
    <w:rsid w:val="00F44355"/>
    <w:rsid w:val="00F84B60"/>
    <w:rsid w:val="00FB0CD8"/>
    <w:rsid w:val="00FB2C05"/>
    <w:rsid w:val="00FB3321"/>
    <w:rsid w:val="00FB6A6B"/>
    <w:rsid w:val="00FD0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6620BB-704A-45B4-A284-A309028F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4508</Words>
  <Characters>24796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2024-11-29T00:08:00Z</cp:lastPrinted>
  <dcterms:created xsi:type="dcterms:W3CDTF">2024-11-29T00:08:00Z</dcterms:created>
  <dcterms:modified xsi:type="dcterms:W3CDTF">2024-11-29T00:10:00Z</dcterms:modified>
</cp:coreProperties>
</file>