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F4F3E" w:rsidRDefault="00AE3DA7" w:rsidP="007F4F3E">
          <w:pPr>
            <w:pStyle w:val="TtulodeTDC"/>
            <w:spacing w:before="0" w:line="240" w:lineRule="auto"/>
            <w:rPr>
              <w:rFonts w:ascii="Palatino Linotype" w:hAnsi="Palatino Linotype"/>
              <w:color w:val="auto"/>
              <w:sz w:val="24"/>
              <w:szCs w:val="24"/>
              <w:lang w:val="es-ES"/>
            </w:rPr>
          </w:pPr>
          <w:r w:rsidRPr="007F4F3E">
            <w:rPr>
              <w:rFonts w:ascii="Palatino Linotype" w:hAnsi="Palatino Linotype"/>
              <w:color w:val="auto"/>
              <w:sz w:val="24"/>
              <w:szCs w:val="24"/>
              <w:lang w:val="es-ES"/>
            </w:rPr>
            <w:t>Contenido</w:t>
          </w:r>
        </w:p>
        <w:p w14:paraId="3EB312A7" w14:textId="77777777" w:rsidR="00AA6EA9" w:rsidRPr="007F4F3E" w:rsidRDefault="00AA6EA9" w:rsidP="007F4F3E">
          <w:pPr>
            <w:spacing w:line="240" w:lineRule="auto"/>
            <w:rPr>
              <w:sz w:val="16"/>
              <w:szCs w:val="16"/>
              <w:lang w:val="es-ES" w:eastAsia="es-MX"/>
            </w:rPr>
          </w:pPr>
        </w:p>
        <w:p w14:paraId="15E6C55C" w14:textId="77777777" w:rsidR="00047294" w:rsidRPr="007F4F3E" w:rsidRDefault="00AE3DA7" w:rsidP="007F4F3E">
          <w:pPr>
            <w:pStyle w:val="TDC1"/>
            <w:tabs>
              <w:tab w:val="right" w:leader="dot" w:pos="9034"/>
            </w:tabs>
            <w:rPr>
              <w:rFonts w:asciiTheme="minorHAnsi" w:eastAsiaTheme="minorEastAsia" w:hAnsiTheme="minorHAnsi" w:cstheme="minorBidi"/>
              <w:noProof/>
              <w:szCs w:val="22"/>
              <w:lang w:eastAsia="es-MX"/>
            </w:rPr>
          </w:pPr>
          <w:r w:rsidRPr="007F4F3E">
            <w:rPr>
              <w:sz w:val="16"/>
              <w:szCs w:val="16"/>
            </w:rPr>
            <w:fldChar w:fldCharType="begin"/>
          </w:r>
          <w:r w:rsidRPr="007F4F3E">
            <w:rPr>
              <w:sz w:val="16"/>
              <w:szCs w:val="16"/>
            </w:rPr>
            <w:instrText xml:space="preserve"> TOC \o "1-3" \h \z \u </w:instrText>
          </w:r>
          <w:r w:rsidRPr="007F4F3E">
            <w:rPr>
              <w:sz w:val="16"/>
              <w:szCs w:val="16"/>
            </w:rPr>
            <w:fldChar w:fldCharType="separate"/>
          </w:r>
          <w:hyperlink w:anchor="_Toc176880090" w:history="1">
            <w:r w:rsidR="00047294" w:rsidRPr="007F4F3E">
              <w:rPr>
                <w:rStyle w:val="Hipervnculo"/>
                <w:noProof/>
                <w:color w:val="auto"/>
              </w:rPr>
              <w:t>ANTECEDENTES</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_Toc176880090 \h </w:instrText>
            </w:r>
            <w:r w:rsidR="00047294" w:rsidRPr="007F4F3E">
              <w:rPr>
                <w:noProof/>
                <w:webHidden/>
              </w:rPr>
            </w:r>
            <w:r w:rsidR="00047294" w:rsidRPr="007F4F3E">
              <w:rPr>
                <w:noProof/>
                <w:webHidden/>
              </w:rPr>
              <w:fldChar w:fldCharType="separate"/>
            </w:r>
            <w:r w:rsidR="002420BE">
              <w:rPr>
                <w:noProof/>
                <w:webHidden/>
              </w:rPr>
              <w:t>1</w:t>
            </w:r>
            <w:r w:rsidR="00047294" w:rsidRPr="007F4F3E">
              <w:rPr>
                <w:noProof/>
                <w:webHidden/>
              </w:rPr>
              <w:fldChar w:fldCharType="end"/>
            </w:r>
          </w:hyperlink>
        </w:p>
        <w:p w14:paraId="512E097A" w14:textId="77777777" w:rsidR="00047294" w:rsidRPr="007F4F3E" w:rsidRDefault="00E72F8A" w:rsidP="007F4F3E">
          <w:pPr>
            <w:pStyle w:val="TDC2"/>
            <w:rPr>
              <w:rFonts w:asciiTheme="minorHAnsi" w:eastAsiaTheme="minorEastAsia" w:hAnsiTheme="minorHAnsi" w:cstheme="minorBidi"/>
              <w:noProof/>
              <w:szCs w:val="22"/>
              <w:lang w:eastAsia="es-MX"/>
            </w:rPr>
          </w:pPr>
          <w:hyperlink w:anchor="_Toc176880091" w:history="1">
            <w:r w:rsidR="00047294" w:rsidRPr="007F4F3E">
              <w:rPr>
                <w:rStyle w:val="Hipervnculo"/>
                <w:noProof/>
                <w:color w:val="auto"/>
              </w:rPr>
              <w:t>DE LA SOLICITUD DE INFORMACIÓN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_Toc176880091 \h </w:instrText>
            </w:r>
            <w:r w:rsidR="00047294" w:rsidRPr="007F4F3E">
              <w:rPr>
                <w:noProof/>
                <w:webHidden/>
              </w:rPr>
            </w:r>
            <w:r w:rsidR="00047294" w:rsidRPr="007F4F3E">
              <w:rPr>
                <w:noProof/>
                <w:webHidden/>
              </w:rPr>
              <w:fldChar w:fldCharType="separate"/>
            </w:r>
            <w:r w:rsidR="002420BE">
              <w:rPr>
                <w:noProof/>
                <w:webHidden/>
              </w:rPr>
              <w:t>1</w:t>
            </w:r>
            <w:r w:rsidR="00047294" w:rsidRPr="007F4F3E">
              <w:rPr>
                <w:noProof/>
                <w:webHidden/>
              </w:rPr>
              <w:fldChar w:fldCharType="end"/>
            </w:r>
          </w:hyperlink>
        </w:p>
        <w:p w14:paraId="6E2E69DB"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092" w:history="1">
            <w:r w:rsidR="00047294" w:rsidRPr="007F4F3E">
              <w:rPr>
                <w:rStyle w:val="Hipervnculo"/>
                <w:noProof/>
                <w:color w:val="auto"/>
              </w:rPr>
              <w:t>a) Solicitud de información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_Toc176880092 \h </w:instrText>
            </w:r>
            <w:r w:rsidR="00047294" w:rsidRPr="007F4F3E">
              <w:rPr>
                <w:noProof/>
                <w:webHidden/>
              </w:rPr>
            </w:r>
            <w:r w:rsidR="00047294" w:rsidRPr="007F4F3E">
              <w:rPr>
                <w:noProof/>
                <w:webHidden/>
              </w:rPr>
              <w:fldChar w:fldCharType="separate"/>
            </w:r>
            <w:r w:rsidR="002420BE">
              <w:rPr>
                <w:noProof/>
                <w:webHidden/>
              </w:rPr>
              <w:t>1</w:t>
            </w:r>
            <w:r w:rsidR="00047294" w:rsidRPr="007F4F3E">
              <w:rPr>
                <w:noProof/>
                <w:webHidden/>
              </w:rPr>
              <w:fldChar w:fldCharType="end"/>
            </w:r>
          </w:hyperlink>
        </w:p>
        <w:p w14:paraId="059FDCEA"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093" w:history="1">
            <w:r w:rsidR="00047294" w:rsidRPr="007F4F3E">
              <w:rPr>
                <w:rStyle w:val="Hipervnculo"/>
                <w:noProof/>
                <w:color w:val="auto"/>
              </w:rPr>
              <w:t>b) Turno de la solicitud de información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_Toc176880093 \h </w:instrText>
            </w:r>
            <w:r w:rsidR="00047294" w:rsidRPr="007F4F3E">
              <w:rPr>
                <w:noProof/>
                <w:webHidden/>
              </w:rPr>
            </w:r>
            <w:r w:rsidR="00047294" w:rsidRPr="007F4F3E">
              <w:rPr>
                <w:noProof/>
                <w:webHidden/>
              </w:rPr>
              <w:fldChar w:fldCharType="separate"/>
            </w:r>
            <w:r w:rsidR="002420BE">
              <w:rPr>
                <w:noProof/>
                <w:webHidden/>
              </w:rPr>
              <w:t>2</w:t>
            </w:r>
            <w:r w:rsidR="00047294" w:rsidRPr="007F4F3E">
              <w:rPr>
                <w:noProof/>
                <w:webHidden/>
              </w:rPr>
              <w:fldChar w:fldCharType="end"/>
            </w:r>
          </w:hyperlink>
        </w:p>
        <w:p w14:paraId="60EAB547"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094" w:history="1">
            <w:r w:rsidR="00047294" w:rsidRPr="007F4F3E">
              <w:rPr>
                <w:rStyle w:val="Hipervnculo"/>
                <w:noProof/>
                <w:color w:val="auto"/>
              </w:rPr>
              <w:t>c) Prórroga</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_Toc176880094 \h </w:instrText>
            </w:r>
            <w:r w:rsidR="00047294" w:rsidRPr="007F4F3E">
              <w:rPr>
                <w:noProof/>
                <w:webHidden/>
              </w:rPr>
            </w:r>
            <w:r w:rsidR="00047294" w:rsidRPr="007F4F3E">
              <w:rPr>
                <w:noProof/>
                <w:webHidden/>
              </w:rPr>
              <w:fldChar w:fldCharType="separate"/>
            </w:r>
            <w:r w:rsidR="002420BE">
              <w:rPr>
                <w:noProof/>
                <w:webHidden/>
              </w:rPr>
              <w:t>2</w:t>
            </w:r>
            <w:r w:rsidR="00047294" w:rsidRPr="007F4F3E">
              <w:rPr>
                <w:noProof/>
                <w:webHidden/>
              </w:rPr>
              <w:fldChar w:fldCharType="end"/>
            </w:r>
          </w:hyperlink>
        </w:p>
        <w:p w14:paraId="27394E72"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095" w:history="1">
            <w:r w:rsidR="00047294" w:rsidRPr="007F4F3E">
              <w:rPr>
                <w:rStyle w:val="Hipervnculo"/>
                <w:noProof/>
                <w:color w:val="auto"/>
              </w:rPr>
              <w:t xml:space="preserve">d) </w:t>
            </w:r>
            <w:r w:rsidR="00047294" w:rsidRPr="007F4F3E">
              <w:rPr>
                <w:rStyle w:val="Hipervnculo"/>
                <w:noProof/>
                <w:color w:val="auto"/>
                <w:lang w:val="es-ES"/>
              </w:rPr>
              <w:t xml:space="preserve">Respuesta </w:t>
            </w:r>
            <w:r w:rsidR="00047294" w:rsidRPr="007F4F3E">
              <w:rPr>
                <w:rStyle w:val="Hipervnculo"/>
                <w:rFonts w:eastAsia="Calibri"/>
                <w:noProof/>
                <w:color w:val="auto"/>
                <w:lang w:eastAsia="en-US"/>
              </w:rPr>
              <w:t>del Sujeto Obligado</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_Toc176880095 \h </w:instrText>
            </w:r>
            <w:r w:rsidR="00047294" w:rsidRPr="007F4F3E">
              <w:rPr>
                <w:noProof/>
                <w:webHidden/>
              </w:rPr>
            </w:r>
            <w:r w:rsidR="00047294" w:rsidRPr="007F4F3E">
              <w:rPr>
                <w:noProof/>
                <w:webHidden/>
              </w:rPr>
              <w:fldChar w:fldCharType="separate"/>
            </w:r>
            <w:r w:rsidR="002420BE">
              <w:rPr>
                <w:noProof/>
                <w:webHidden/>
              </w:rPr>
              <w:t>3</w:t>
            </w:r>
            <w:r w:rsidR="00047294" w:rsidRPr="007F4F3E">
              <w:rPr>
                <w:noProof/>
                <w:webHidden/>
              </w:rPr>
              <w:fldChar w:fldCharType="end"/>
            </w:r>
          </w:hyperlink>
        </w:p>
        <w:p w14:paraId="5C83233C" w14:textId="77777777" w:rsidR="00047294" w:rsidRPr="007F4F3E" w:rsidRDefault="00E72F8A" w:rsidP="007F4F3E">
          <w:pPr>
            <w:pStyle w:val="TDC2"/>
            <w:rPr>
              <w:rFonts w:asciiTheme="minorHAnsi" w:eastAsiaTheme="minorEastAsia" w:hAnsiTheme="minorHAnsi" w:cstheme="minorBidi"/>
              <w:noProof/>
              <w:szCs w:val="22"/>
              <w:lang w:eastAsia="es-MX"/>
            </w:rPr>
          </w:pPr>
          <w:hyperlink w:anchor="_Toc176880096" w:history="1">
            <w:r w:rsidR="00047294" w:rsidRPr="007F4F3E">
              <w:rPr>
                <w:rStyle w:val="Hipervnculo"/>
                <w:noProof/>
                <w:color w:val="auto"/>
              </w:rPr>
              <w:t>DEL RECURSO DE REVISIÓN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_Toc176880096 \h </w:instrText>
            </w:r>
            <w:r w:rsidR="00047294" w:rsidRPr="007F4F3E">
              <w:rPr>
                <w:noProof/>
                <w:webHidden/>
              </w:rPr>
            </w:r>
            <w:r w:rsidR="00047294" w:rsidRPr="007F4F3E">
              <w:rPr>
                <w:noProof/>
                <w:webHidden/>
              </w:rPr>
              <w:fldChar w:fldCharType="separate"/>
            </w:r>
            <w:r w:rsidR="002420BE">
              <w:rPr>
                <w:noProof/>
                <w:webHidden/>
              </w:rPr>
              <w:t>10</w:t>
            </w:r>
            <w:r w:rsidR="00047294" w:rsidRPr="007F4F3E">
              <w:rPr>
                <w:noProof/>
                <w:webHidden/>
              </w:rPr>
              <w:fldChar w:fldCharType="end"/>
            </w:r>
          </w:hyperlink>
        </w:p>
        <w:p w14:paraId="2DEB9B00"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097" w:history="1">
            <w:r w:rsidR="00047294" w:rsidRPr="007F4F3E">
              <w:rPr>
                <w:rStyle w:val="Hipervnculo"/>
                <w:noProof/>
                <w:color w:val="auto"/>
              </w:rPr>
              <w:t>a) Interposición del Recurso de Revisión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_Toc176880097 \h </w:instrText>
            </w:r>
            <w:r w:rsidR="00047294" w:rsidRPr="007F4F3E">
              <w:rPr>
                <w:noProof/>
                <w:webHidden/>
              </w:rPr>
            </w:r>
            <w:r w:rsidR="00047294" w:rsidRPr="007F4F3E">
              <w:rPr>
                <w:noProof/>
                <w:webHidden/>
              </w:rPr>
              <w:fldChar w:fldCharType="separate"/>
            </w:r>
            <w:r w:rsidR="002420BE">
              <w:rPr>
                <w:noProof/>
                <w:webHidden/>
              </w:rPr>
              <w:t>10</w:t>
            </w:r>
            <w:r w:rsidR="00047294" w:rsidRPr="007F4F3E">
              <w:rPr>
                <w:noProof/>
                <w:webHidden/>
              </w:rPr>
              <w:fldChar w:fldCharType="end"/>
            </w:r>
          </w:hyperlink>
        </w:p>
        <w:p w14:paraId="42A61F8C"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098" w:history="1">
            <w:r w:rsidR="00047294" w:rsidRPr="007F4F3E">
              <w:rPr>
                <w:rStyle w:val="Hipervnculo"/>
                <w:noProof/>
                <w:color w:val="auto"/>
              </w:rPr>
              <w:t>b) Turno del Recurso de Revisión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_Toc176880098 \h </w:instrText>
            </w:r>
            <w:r w:rsidR="00047294" w:rsidRPr="007F4F3E">
              <w:rPr>
                <w:noProof/>
                <w:webHidden/>
              </w:rPr>
            </w:r>
            <w:r w:rsidR="00047294" w:rsidRPr="007F4F3E">
              <w:rPr>
                <w:noProof/>
                <w:webHidden/>
              </w:rPr>
              <w:fldChar w:fldCharType="separate"/>
            </w:r>
            <w:r w:rsidR="002420BE">
              <w:rPr>
                <w:noProof/>
                <w:webHidden/>
              </w:rPr>
              <w:t>11</w:t>
            </w:r>
            <w:r w:rsidR="00047294" w:rsidRPr="007F4F3E">
              <w:rPr>
                <w:noProof/>
                <w:webHidden/>
              </w:rPr>
              <w:fldChar w:fldCharType="end"/>
            </w:r>
          </w:hyperlink>
        </w:p>
        <w:p w14:paraId="7A1521CF"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099" w:history="1">
            <w:r w:rsidR="00047294" w:rsidRPr="007F4F3E">
              <w:rPr>
                <w:rStyle w:val="Hipervnculo"/>
                <w:noProof/>
                <w:color w:val="auto"/>
              </w:rPr>
              <w:t>c) Admisión del Recurso de Revisión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_Toc176880099 \h </w:instrText>
            </w:r>
            <w:r w:rsidR="00047294" w:rsidRPr="007F4F3E">
              <w:rPr>
                <w:noProof/>
                <w:webHidden/>
              </w:rPr>
            </w:r>
            <w:r w:rsidR="00047294" w:rsidRPr="007F4F3E">
              <w:rPr>
                <w:noProof/>
                <w:webHidden/>
              </w:rPr>
              <w:fldChar w:fldCharType="separate"/>
            </w:r>
            <w:r w:rsidR="002420BE">
              <w:rPr>
                <w:noProof/>
                <w:webHidden/>
              </w:rPr>
              <w:t>11</w:t>
            </w:r>
            <w:r w:rsidR="00047294" w:rsidRPr="007F4F3E">
              <w:rPr>
                <w:noProof/>
                <w:webHidden/>
              </w:rPr>
              <w:fldChar w:fldCharType="end"/>
            </w:r>
          </w:hyperlink>
        </w:p>
        <w:p w14:paraId="17BF0E3E"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0" w:history="1">
            <w:r w:rsidR="00047294" w:rsidRPr="007F4F3E">
              <w:rPr>
                <w:rStyle w:val="Hipervnculo"/>
                <w:noProof/>
                <w:color w:val="auto"/>
              </w:rPr>
              <w:t>d) Informe Justificado del Sujeto Obligado</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_Toc176880100 \h </w:instrText>
            </w:r>
            <w:r w:rsidR="00047294" w:rsidRPr="007F4F3E">
              <w:rPr>
                <w:noProof/>
                <w:webHidden/>
              </w:rPr>
            </w:r>
            <w:r w:rsidR="00047294" w:rsidRPr="007F4F3E">
              <w:rPr>
                <w:noProof/>
                <w:webHidden/>
              </w:rPr>
              <w:fldChar w:fldCharType="separate"/>
            </w:r>
            <w:r w:rsidR="002420BE">
              <w:rPr>
                <w:noProof/>
                <w:webHidden/>
              </w:rPr>
              <w:t>11</w:t>
            </w:r>
            <w:r w:rsidR="00047294" w:rsidRPr="007F4F3E">
              <w:rPr>
                <w:noProof/>
                <w:webHidden/>
              </w:rPr>
              <w:fldChar w:fldCharType="end"/>
            </w:r>
          </w:hyperlink>
        </w:p>
        <w:p w14:paraId="179226BC"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1" w:history="1">
            <w:r w:rsidR="00047294" w:rsidRPr="007F4F3E">
              <w:rPr>
                <w:rStyle w:val="Hipervnculo"/>
                <w:rFonts w:eastAsia="Calibri"/>
                <w:bCs/>
                <w:noProof/>
                <w:color w:val="auto"/>
                <w:lang w:eastAsia="en-US"/>
              </w:rPr>
              <w:t>e)</w:t>
            </w:r>
            <w:r w:rsidR="00047294" w:rsidRPr="007F4F3E">
              <w:rPr>
                <w:rStyle w:val="Hipervnculo"/>
                <w:noProof/>
                <w:color w:val="auto"/>
              </w:rPr>
              <w:t xml:space="preserve"> </w:t>
            </w:r>
            <w:r w:rsidR="00047294" w:rsidRPr="007F4F3E">
              <w:rPr>
                <w:rStyle w:val="Hipervnculo"/>
                <w:noProof/>
                <w:color w:val="auto"/>
                <w:lang w:val="es-ES"/>
              </w:rPr>
              <w:t>Manifestaciones de la Parte Recurrente</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_Toc176880101 \h </w:instrText>
            </w:r>
            <w:r w:rsidR="00047294" w:rsidRPr="007F4F3E">
              <w:rPr>
                <w:noProof/>
                <w:webHidden/>
              </w:rPr>
            </w:r>
            <w:r w:rsidR="00047294" w:rsidRPr="007F4F3E">
              <w:rPr>
                <w:noProof/>
                <w:webHidden/>
              </w:rPr>
              <w:fldChar w:fldCharType="separate"/>
            </w:r>
            <w:r w:rsidR="002420BE">
              <w:rPr>
                <w:noProof/>
                <w:webHidden/>
              </w:rPr>
              <w:t>12</w:t>
            </w:r>
            <w:r w:rsidR="00047294" w:rsidRPr="007F4F3E">
              <w:rPr>
                <w:noProof/>
                <w:webHidden/>
              </w:rPr>
              <w:fldChar w:fldCharType="end"/>
            </w:r>
          </w:hyperlink>
        </w:p>
        <w:p w14:paraId="5CE4B557"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2" w:history="1">
            <w:r w:rsidR="00047294" w:rsidRPr="007F4F3E">
              <w:rPr>
                <w:rStyle w:val="Hipervnculo"/>
                <w:rFonts w:eastAsia="Calibri"/>
                <w:noProof/>
                <w:color w:val="auto"/>
              </w:rPr>
              <w:t xml:space="preserve">f) </w:t>
            </w:r>
            <w:r w:rsidR="00047294" w:rsidRPr="007F4F3E">
              <w:rPr>
                <w:rStyle w:val="Hipervnculo"/>
                <w:noProof/>
                <w:color w:val="auto"/>
              </w:rPr>
              <w:t>Cierre de instrucción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_Toc176880102 \h </w:instrText>
            </w:r>
            <w:r w:rsidR="00047294" w:rsidRPr="007F4F3E">
              <w:rPr>
                <w:noProof/>
                <w:webHidden/>
              </w:rPr>
            </w:r>
            <w:r w:rsidR="00047294" w:rsidRPr="007F4F3E">
              <w:rPr>
                <w:noProof/>
                <w:webHidden/>
              </w:rPr>
              <w:fldChar w:fldCharType="separate"/>
            </w:r>
            <w:r w:rsidR="002420BE">
              <w:rPr>
                <w:noProof/>
                <w:webHidden/>
              </w:rPr>
              <w:t>13</w:t>
            </w:r>
            <w:r w:rsidR="00047294" w:rsidRPr="007F4F3E">
              <w:rPr>
                <w:noProof/>
                <w:webHidden/>
              </w:rPr>
              <w:fldChar w:fldCharType="end"/>
            </w:r>
          </w:hyperlink>
        </w:p>
        <w:p w14:paraId="4D0DA98A" w14:textId="77777777" w:rsidR="00047294" w:rsidRPr="007F4F3E" w:rsidRDefault="00E72F8A" w:rsidP="007F4F3E">
          <w:pPr>
            <w:pStyle w:val="TDC1"/>
            <w:tabs>
              <w:tab w:val="right" w:leader="dot" w:pos="9034"/>
            </w:tabs>
            <w:rPr>
              <w:rFonts w:asciiTheme="minorHAnsi" w:eastAsiaTheme="minorEastAsia" w:hAnsiTheme="minorHAnsi" w:cstheme="minorBidi"/>
              <w:noProof/>
              <w:szCs w:val="22"/>
              <w:lang w:eastAsia="es-MX"/>
            </w:rPr>
          </w:pPr>
          <w:hyperlink w:anchor="_Toc176880103" w:history="1">
            <w:r w:rsidR="00047294" w:rsidRPr="007F4F3E">
              <w:rPr>
                <w:rStyle w:val="Hipervnculo"/>
                <w:rFonts w:eastAsiaTheme="minorHAnsi"/>
                <w:noProof/>
                <w:color w:val="auto"/>
                <w:lang w:eastAsia="en-US"/>
              </w:rPr>
              <w:t>CONSIDERANDOS</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_Toc176880103 \h </w:instrText>
            </w:r>
            <w:r w:rsidR="00047294" w:rsidRPr="007F4F3E">
              <w:rPr>
                <w:noProof/>
                <w:webHidden/>
              </w:rPr>
            </w:r>
            <w:r w:rsidR="00047294" w:rsidRPr="007F4F3E">
              <w:rPr>
                <w:noProof/>
                <w:webHidden/>
              </w:rPr>
              <w:fldChar w:fldCharType="separate"/>
            </w:r>
            <w:r w:rsidR="002420BE">
              <w:rPr>
                <w:noProof/>
                <w:webHidden/>
              </w:rPr>
              <w:t>13</w:t>
            </w:r>
            <w:r w:rsidR="00047294" w:rsidRPr="007F4F3E">
              <w:rPr>
                <w:noProof/>
                <w:webHidden/>
              </w:rPr>
              <w:fldChar w:fldCharType="end"/>
            </w:r>
          </w:hyperlink>
        </w:p>
        <w:p w14:paraId="202DF24B" w14:textId="77777777" w:rsidR="00047294" w:rsidRPr="007F4F3E" w:rsidRDefault="00E72F8A" w:rsidP="007F4F3E">
          <w:pPr>
            <w:pStyle w:val="TDC2"/>
            <w:rPr>
              <w:rFonts w:asciiTheme="minorHAnsi" w:eastAsiaTheme="minorEastAsia" w:hAnsiTheme="minorHAnsi" w:cstheme="minorBidi"/>
              <w:noProof/>
              <w:szCs w:val="22"/>
              <w:lang w:eastAsia="es-MX"/>
            </w:rPr>
          </w:pPr>
          <w:hyperlink w:anchor="_Toc176880104" w:history="1">
            <w:r w:rsidR="00047294" w:rsidRPr="007F4F3E">
              <w:rPr>
                <w:rStyle w:val="Hipervnculo"/>
                <w:rFonts w:eastAsia="Batang"/>
                <w:noProof/>
                <w:color w:val="auto"/>
              </w:rPr>
              <w:t>PRIMERO. Procedibilidad</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_Toc176880104 \h </w:instrText>
            </w:r>
            <w:r w:rsidR="00047294" w:rsidRPr="007F4F3E">
              <w:rPr>
                <w:noProof/>
                <w:webHidden/>
              </w:rPr>
            </w:r>
            <w:r w:rsidR="00047294" w:rsidRPr="007F4F3E">
              <w:rPr>
                <w:noProof/>
                <w:webHidden/>
              </w:rPr>
              <w:fldChar w:fldCharType="separate"/>
            </w:r>
            <w:r w:rsidR="002420BE">
              <w:rPr>
                <w:noProof/>
                <w:webHidden/>
              </w:rPr>
              <w:t>13</w:t>
            </w:r>
            <w:r w:rsidR="00047294" w:rsidRPr="007F4F3E">
              <w:rPr>
                <w:noProof/>
                <w:webHidden/>
              </w:rPr>
              <w:fldChar w:fldCharType="end"/>
            </w:r>
          </w:hyperlink>
        </w:p>
        <w:p w14:paraId="1DB4F4F3"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5" w:history="1">
            <w:r w:rsidR="00047294" w:rsidRPr="007F4F3E">
              <w:rPr>
                <w:rStyle w:val="Hipervnculo"/>
                <w:noProof/>
                <w:color w:val="auto"/>
              </w:rPr>
              <w:t>a) Competencia del Instituto</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_Toc176880105 \h </w:instrText>
            </w:r>
            <w:r w:rsidR="00047294" w:rsidRPr="007F4F3E">
              <w:rPr>
                <w:noProof/>
                <w:webHidden/>
              </w:rPr>
            </w:r>
            <w:r w:rsidR="00047294" w:rsidRPr="007F4F3E">
              <w:rPr>
                <w:noProof/>
                <w:webHidden/>
              </w:rPr>
              <w:fldChar w:fldCharType="separate"/>
            </w:r>
            <w:r w:rsidR="002420BE">
              <w:rPr>
                <w:noProof/>
                <w:webHidden/>
              </w:rPr>
              <w:t>13</w:t>
            </w:r>
            <w:r w:rsidR="00047294" w:rsidRPr="007F4F3E">
              <w:rPr>
                <w:noProof/>
                <w:webHidden/>
              </w:rPr>
              <w:fldChar w:fldCharType="end"/>
            </w:r>
          </w:hyperlink>
        </w:p>
        <w:p w14:paraId="4225CF9D"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6" w:history="1">
            <w:r w:rsidR="00047294" w:rsidRPr="007F4F3E">
              <w:rPr>
                <w:rStyle w:val="Hipervnculo"/>
                <w:noProof/>
                <w:color w:val="auto"/>
              </w:rPr>
              <w:t>b) Legitimidad de la parte recurrente</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_Toc176880106 \h </w:instrText>
            </w:r>
            <w:r w:rsidR="00047294" w:rsidRPr="007F4F3E">
              <w:rPr>
                <w:noProof/>
                <w:webHidden/>
              </w:rPr>
            </w:r>
            <w:r w:rsidR="00047294" w:rsidRPr="007F4F3E">
              <w:rPr>
                <w:noProof/>
                <w:webHidden/>
              </w:rPr>
              <w:fldChar w:fldCharType="separate"/>
            </w:r>
            <w:r w:rsidR="002420BE">
              <w:rPr>
                <w:noProof/>
                <w:webHidden/>
              </w:rPr>
              <w:t>14</w:t>
            </w:r>
            <w:r w:rsidR="00047294" w:rsidRPr="007F4F3E">
              <w:rPr>
                <w:noProof/>
                <w:webHidden/>
              </w:rPr>
              <w:fldChar w:fldCharType="end"/>
            </w:r>
          </w:hyperlink>
        </w:p>
        <w:p w14:paraId="3F9AA2DC"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7" w:history="1">
            <w:r w:rsidR="00047294" w:rsidRPr="007F4F3E">
              <w:rPr>
                <w:rStyle w:val="Hipervnculo"/>
                <w:rFonts w:eastAsia="Calibri"/>
                <w:noProof/>
                <w:color w:val="auto"/>
                <w:lang w:eastAsia="es-ES_tradnl"/>
              </w:rPr>
              <w:t>c) Plazo para interponer el recurso</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_Toc176880107 \h </w:instrText>
            </w:r>
            <w:r w:rsidR="00047294" w:rsidRPr="007F4F3E">
              <w:rPr>
                <w:noProof/>
                <w:webHidden/>
              </w:rPr>
            </w:r>
            <w:r w:rsidR="00047294" w:rsidRPr="007F4F3E">
              <w:rPr>
                <w:noProof/>
                <w:webHidden/>
              </w:rPr>
              <w:fldChar w:fldCharType="separate"/>
            </w:r>
            <w:r w:rsidR="002420BE">
              <w:rPr>
                <w:noProof/>
                <w:webHidden/>
              </w:rPr>
              <w:t>14</w:t>
            </w:r>
            <w:r w:rsidR="00047294" w:rsidRPr="007F4F3E">
              <w:rPr>
                <w:noProof/>
                <w:webHidden/>
              </w:rPr>
              <w:fldChar w:fldCharType="end"/>
            </w:r>
          </w:hyperlink>
        </w:p>
        <w:p w14:paraId="2A66B02F"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8" w:history="1">
            <w:r w:rsidR="00047294" w:rsidRPr="007F4F3E">
              <w:rPr>
                <w:rStyle w:val="Hipervnculo"/>
                <w:rFonts w:eastAsia="Calibri"/>
                <w:noProof/>
                <w:color w:val="auto"/>
                <w:lang w:eastAsia="es-ES_tradnl"/>
              </w:rPr>
              <w:t>d) Causal de procedencia</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_Toc176880108 \h </w:instrText>
            </w:r>
            <w:r w:rsidR="00047294" w:rsidRPr="007F4F3E">
              <w:rPr>
                <w:noProof/>
                <w:webHidden/>
              </w:rPr>
            </w:r>
            <w:r w:rsidR="00047294" w:rsidRPr="007F4F3E">
              <w:rPr>
                <w:noProof/>
                <w:webHidden/>
              </w:rPr>
              <w:fldChar w:fldCharType="separate"/>
            </w:r>
            <w:r w:rsidR="002420BE">
              <w:rPr>
                <w:noProof/>
                <w:webHidden/>
              </w:rPr>
              <w:t>14</w:t>
            </w:r>
            <w:r w:rsidR="00047294" w:rsidRPr="007F4F3E">
              <w:rPr>
                <w:noProof/>
                <w:webHidden/>
              </w:rPr>
              <w:fldChar w:fldCharType="end"/>
            </w:r>
          </w:hyperlink>
        </w:p>
        <w:p w14:paraId="4081C1E2"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09" w:history="1">
            <w:r w:rsidR="00047294" w:rsidRPr="007F4F3E">
              <w:rPr>
                <w:rStyle w:val="Hipervnculo"/>
                <w:noProof/>
                <w:color w:val="auto"/>
              </w:rPr>
              <w:t>e) Requisitos formales para la interposición del recurso</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_Toc176880109 \h </w:instrText>
            </w:r>
            <w:r w:rsidR="00047294" w:rsidRPr="007F4F3E">
              <w:rPr>
                <w:noProof/>
                <w:webHidden/>
              </w:rPr>
            </w:r>
            <w:r w:rsidR="00047294" w:rsidRPr="007F4F3E">
              <w:rPr>
                <w:noProof/>
                <w:webHidden/>
              </w:rPr>
              <w:fldChar w:fldCharType="separate"/>
            </w:r>
            <w:r w:rsidR="002420BE">
              <w:rPr>
                <w:noProof/>
                <w:webHidden/>
              </w:rPr>
              <w:t>14</w:t>
            </w:r>
            <w:r w:rsidR="00047294" w:rsidRPr="007F4F3E">
              <w:rPr>
                <w:noProof/>
                <w:webHidden/>
              </w:rPr>
              <w:fldChar w:fldCharType="end"/>
            </w:r>
          </w:hyperlink>
        </w:p>
        <w:p w14:paraId="4CF7C787" w14:textId="77777777" w:rsidR="00047294" w:rsidRPr="007F4F3E" w:rsidRDefault="00E72F8A" w:rsidP="007F4F3E">
          <w:pPr>
            <w:pStyle w:val="TDC2"/>
            <w:rPr>
              <w:rFonts w:asciiTheme="minorHAnsi" w:eastAsiaTheme="minorEastAsia" w:hAnsiTheme="minorHAnsi" w:cstheme="minorBidi"/>
              <w:noProof/>
              <w:szCs w:val="22"/>
              <w:lang w:eastAsia="es-MX"/>
            </w:rPr>
          </w:pPr>
          <w:hyperlink w:anchor="_Toc176880110" w:history="1">
            <w:r w:rsidR="00047294" w:rsidRPr="007F4F3E">
              <w:rPr>
                <w:rStyle w:val="Hipervnculo"/>
                <w:noProof/>
                <w:color w:val="auto"/>
              </w:rPr>
              <w:t>SEGUNDO. Estudio de Fondo</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_Toc176880110 \h </w:instrText>
            </w:r>
            <w:r w:rsidR="00047294" w:rsidRPr="007F4F3E">
              <w:rPr>
                <w:noProof/>
                <w:webHidden/>
              </w:rPr>
            </w:r>
            <w:r w:rsidR="00047294" w:rsidRPr="007F4F3E">
              <w:rPr>
                <w:noProof/>
                <w:webHidden/>
              </w:rPr>
              <w:fldChar w:fldCharType="separate"/>
            </w:r>
            <w:r w:rsidR="002420BE">
              <w:rPr>
                <w:noProof/>
                <w:webHidden/>
              </w:rPr>
              <w:t>15</w:t>
            </w:r>
            <w:r w:rsidR="00047294" w:rsidRPr="007F4F3E">
              <w:rPr>
                <w:noProof/>
                <w:webHidden/>
              </w:rPr>
              <w:fldChar w:fldCharType="end"/>
            </w:r>
          </w:hyperlink>
        </w:p>
        <w:p w14:paraId="58AE6A5F"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11" w:history="1">
            <w:r w:rsidR="00047294" w:rsidRPr="007F4F3E">
              <w:rPr>
                <w:rStyle w:val="Hipervnculo"/>
                <w:noProof/>
                <w:color w:val="auto"/>
              </w:rPr>
              <w:t>a) Mandato de transparencia y responsabilidad del Sujeto Obligado</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_Toc176880111 \h </w:instrText>
            </w:r>
            <w:r w:rsidR="00047294" w:rsidRPr="007F4F3E">
              <w:rPr>
                <w:noProof/>
                <w:webHidden/>
              </w:rPr>
            </w:r>
            <w:r w:rsidR="00047294" w:rsidRPr="007F4F3E">
              <w:rPr>
                <w:noProof/>
                <w:webHidden/>
              </w:rPr>
              <w:fldChar w:fldCharType="separate"/>
            </w:r>
            <w:r w:rsidR="002420BE">
              <w:rPr>
                <w:noProof/>
                <w:webHidden/>
              </w:rPr>
              <w:t>15</w:t>
            </w:r>
            <w:r w:rsidR="00047294" w:rsidRPr="007F4F3E">
              <w:rPr>
                <w:noProof/>
                <w:webHidden/>
              </w:rPr>
              <w:fldChar w:fldCharType="end"/>
            </w:r>
          </w:hyperlink>
        </w:p>
        <w:p w14:paraId="3633A0AB"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12" w:history="1">
            <w:r w:rsidR="00047294" w:rsidRPr="007F4F3E">
              <w:rPr>
                <w:rStyle w:val="Hipervnculo"/>
                <w:rFonts w:eastAsia="Calibri"/>
                <w:noProof/>
                <w:color w:val="auto"/>
                <w:lang w:eastAsia="es-ES_tradnl"/>
              </w:rPr>
              <w:t>b) Controversia a resolver</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_Toc176880112 \h </w:instrText>
            </w:r>
            <w:r w:rsidR="00047294" w:rsidRPr="007F4F3E">
              <w:rPr>
                <w:noProof/>
                <w:webHidden/>
              </w:rPr>
            </w:r>
            <w:r w:rsidR="00047294" w:rsidRPr="007F4F3E">
              <w:rPr>
                <w:noProof/>
                <w:webHidden/>
              </w:rPr>
              <w:fldChar w:fldCharType="separate"/>
            </w:r>
            <w:r w:rsidR="002420BE">
              <w:rPr>
                <w:noProof/>
                <w:webHidden/>
              </w:rPr>
              <w:t>18</w:t>
            </w:r>
            <w:r w:rsidR="00047294" w:rsidRPr="007F4F3E">
              <w:rPr>
                <w:noProof/>
                <w:webHidden/>
              </w:rPr>
              <w:fldChar w:fldCharType="end"/>
            </w:r>
          </w:hyperlink>
        </w:p>
        <w:p w14:paraId="75A79802"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13" w:history="1">
            <w:r w:rsidR="00047294" w:rsidRPr="007F4F3E">
              <w:rPr>
                <w:rStyle w:val="Hipervnculo"/>
                <w:noProof/>
                <w:color w:val="auto"/>
              </w:rPr>
              <w:t>c) Estudio de la controversia</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_Toc176880113 \h </w:instrText>
            </w:r>
            <w:r w:rsidR="00047294" w:rsidRPr="007F4F3E">
              <w:rPr>
                <w:noProof/>
                <w:webHidden/>
              </w:rPr>
            </w:r>
            <w:r w:rsidR="00047294" w:rsidRPr="007F4F3E">
              <w:rPr>
                <w:noProof/>
                <w:webHidden/>
              </w:rPr>
              <w:fldChar w:fldCharType="separate"/>
            </w:r>
            <w:r w:rsidR="002420BE">
              <w:rPr>
                <w:noProof/>
                <w:webHidden/>
              </w:rPr>
              <w:t>19</w:t>
            </w:r>
            <w:r w:rsidR="00047294" w:rsidRPr="007F4F3E">
              <w:rPr>
                <w:noProof/>
                <w:webHidden/>
              </w:rPr>
              <w:fldChar w:fldCharType="end"/>
            </w:r>
          </w:hyperlink>
        </w:p>
        <w:p w14:paraId="397F8767"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14" w:history="1">
            <w:r w:rsidR="00047294" w:rsidRPr="007F4F3E">
              <w:rPr>
                <w:rStyle w:val="Hipervnculo"/>
                <w:noProof/>
                <w:color w:val="auto"/>
              </w:rPr>
              <w:t>d) Versión pública</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_Toc176880114 \h </w:instrText>
            </w:r>
            <w:r w:rsidR="00047294" w:rsidRPr="007F4F3E">
              <w:rPr>
                <w:noProof/>
                <w:webHidden/>
              </w:rPr>
            </w:r>
            <w:r w:rsidR="00047294" w:rsidRPr="007F4F3E">
              <w:rPr>
                <w:noProof/>
                <w:webHidden/>
              </w:rPr>
              <w:fldChar w:fldCharType="separate"/>
            </w:r>
            <w:r w:rsidR="002420BE">
              <w:rPr>
                <w:noProof/>
                <w:webHidden/>
              </w:rPr>
              <w:t>27</w:t>
            </w:r>
            <w:r w:rsidR="00047294" w:rsidRPr="007F4F3E">
              <w:rPr>
                <w:noProof/>
                <w:webHidden/>
              </w:rPr>
              <w:fldChar w:fldCharType="end"/>
            </w:r>
          </w:hyperlink>
        </w:p>
        <w:p w14:paraId="6C7A4BDD" w14:textId="77777777" w:rsidR="00047294" w:rsidRPr="007F4F3E" w:rsidRDefault="00E72F8A" w:rsidP="007F4F3E">
          <w:pPr>
            <w:pStyle w:val="TDC3"/>
            <w:rPr>
              <w:rFonts w:asciiTheme="minorHAnsi" w:eastAsiaTheme="minorEastAsia" w:hAnsiTheme="minorHAnsi" w:cstheme="minorBidi"/>
              <w:noProof/>
              <w:szCs w:val="22"/>
              <w:lang w:eastAsia="es-MX"/>
            </w:rPr>
          </w:pPr>
          <w:hyperlink w:anchor="_Toc176880115" w:history="1">
            <w:r w:rsidR="00047294" w:rsidRPr="007F4F3E">
              <w:rPr>
                <w:rStyle w:val="Hipervnculo"/>
                <w:noProof/>
                <w:color w:val="auto"/>
              </w:rPr>
              <w:t>f) Conclusión</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_Toc176880115 \h </w:instrText>
            </w:r>
            <w:r w:rsidR="00047294" w:rsidRPr="007F4F3E">
              <w:rPr>
                <w:noProof/>
                <w:webHidden/>
              </w:rPr>
            </w:r>
            <w:r w:rsidR="00047294" w:rsidRPr="007F4F3E">
              <w:rPr>
                <w:noProof/>
                <w:webHidden/>
              </w:rPr>
              <w:fldChar w:fldCharType="separate"/>
            </w:r>
            <w:r w:rsidR="002420BE">
              <w:rPr>
                <w:noProof/>
                <w:webHidden/>
              </w:rPr>
              <w:t>41</w:t>
            </w:r>
            <w:r w:rsidR="00047294" w:rsidRPr="007F4F3E">
              <w:rPr>
                <w:noProof/>
                <w:webHidden/>
              </w:rPr>
              <w:fldChar w:fldCharType="end"/>
            </w:r>
          </w:hyperlink>
        </w:p>
        <w:p w14:paraId="0C82FD7A" w14:textId="6A2DFB92" w:rsidR="009B2945" w:rsidRPr="007F4F3E" w:rsidRDefault="00E72F8A" w:rsidP="007F4F3E">
          <w:pPr>
            <w:pStyle w:val="TDC1"/>
            <w:tabs>
              <w:tab w:val="right" w:leader="dot" w:pos="9034"/>
            </w:tabs>
            <w:rPr>
              <w:b/>
              <w:bCs/>
              <w:lang w:val="es-ES"/>
            </w:rPr>
          </w:pPr>
          <w:hyperlink w:anchor="_Toc176880116" w:history="1">
            <w:r w:rsidR="00047294" w:rsidRPr="007F4F3E">
              <w:rPr>
                <w:rStyle w:val="Hipervnculo"/>
                <w:noProof/>
                <w:color w:val="auto"/>
              </w:rPr>
              <w:t>RESUELVE</w:t>
            </w:r>
            <w:r w:rsidR="00047294" w:rsidRPr="007F4F3E">
              <w:rPr>
                <w:noProof/>
                <w:webHidden/>
              </w:rPr>
              <w:tab/>
            </w:r>
            <w:r w:rsidR="00047294" w:rsidRPr="007F4F3E">
              <w:rPr>
                <w:noProof/>
                <w:webHidden/>
              </w:rPr>
              <w:fldChar w:fldCharType="begin"/>
            </w:r>
            <w:r w:rsidR="00047294" w:rsidRPr="007F4F3E">
              <w:rPr>
                <w:noProof/>
                <w:webHidden/>
              </w:rPr>
              <w:instrText xml:space="preserve"> PAGEREF _Toc176880116 \h </w:instrText>
            </w:r>
            <w:r w:rsidR="00047294" w:rsidRPr="007F4F3E">
              <w:rPr>
                <w:noProof/>
                <w:webHidden/>
              </w:rPr>
            </w:r>
            <w:r w:rsidR="00047294" w:rsidRPr="007F4F3E">
              <w:rPr>
                <w:noProof/>
                <w:webHidden/>
              </w:rPr>
              <w:fldChar w:fldCharType="separate"/>
            </w:r>
            <w:r w:rsidR="002420BE">
              <w:rPr>
                <w:noProof/>
                <w:webHidden/>
              </w:rPr>
              <w:t>42</w:t>
            </w:r>
            <w:r w:rsidR="00047294" w:rsidRPr="007F4F3E">
              <w:rPr>
                <w:noProof/>
                <w:webHidden/>
              </w:rPr>
              <w:fldChar w:fldCharType="end"/>
            </w:r>
          </w:hyperlink>
          <w:r w:rsidR="00AE3DA7" w:rsidRPr="007F4F3E">
            <w:rPr>
              <w:b/>
              <w:bCs/>
              <w:sz w:val="16"/>
              <w:szCs w:val="16"/>
              <w:lang w:val="es-ES"/>
            </w:rPr>
            <w:fldChar w:fldCharType="end"/>
          </w:r>
        </w:p>
      </w:sdtContent>
    </w:sdt>
    <w:p w14:paraId="603A07E2" w14:textId="77777777" w:rsidR="00646436" w:rsidRPr="007F4F3E" w:rsidRDefault="00646436" w:rsidP="007F4F3E">
      <w:pPr>
        <w:rPr>
          <w:rFonts w:cs="Tahoma"/>
          <w:szCs w:val="22"/>
        </w:rPr>
        <w:sectPr w:rsidR="00646436" w:rsidRPr="007F4F3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1100A1D" w:rsidR="00775BFC" w:rsidRPr="007F4F3E" w:rsidRDefault="00775BFC" w:rsidP="007F4F3E">
      <w:r w:rsidRPr="007F4F3E">
        <w:lastRenderedPageBreak/>
        <w:t>Resolución del Pleno del Instituto de Transparencia, Acceso a la Información Pública y Protección de Datos Personales del Estado de México y Municipios, con domicilio e</w:t>
      </w:r>
      <w:r w:rsidR="004D0573" w:rsidRPr="007F4F3E">
        <w:t>n Metepec, Estado de México, de</w:t>
      </w:r>
      <w:r w:rsidR="007F4F3E">
        <w:t>l</w:t>
      </w:r>
      <w:r w:rsidR="004D0573" w:rsidRPr="007F4F3E">
        <w:t xml:space="preserve"> </w:t>
      </w:r>
      <w:r w:rsidR="00B6538B" w:rsidRPr="007F4F3E">
        <w:rPr>
          <w:b/>
        </w:rPr>
        <w:t xml:space="preserve">once de septiembre </w:t>
      </w:r>
      <w:r w:rsidR="005A5BF2" w:rsidRPr="007F4F3E">
        <w:rPr>
          <w:b/>
        </w:rPr>
        <w:t>d</w:t>
      </w:r>
      <w:r w:rsidR="004D0573" w:rsidRPr="007F4F3E">
        <w:rPr>
          <w:b/>
        </w:rPr>
        <w:t>e dos mil veinticuatro</w:t>
      </w:r>
      <w:r w:rsidRPr="007F4F3E">
        <w:t>.</w:t>
      </w:r>
    </w:p>
    <w:p w14:paraId="0AF3AAC4" w14:textId="77777777" w:rsidR="00775BFC" w:rsidRPr="007F4F3E" w:rsidRDefault="00775BFC" w:rsidP="007F4F3E"/>
    <w:p w14:paraId="40EAE038" w14:textId="1FC21A21" w:rsidR="00775BFC" w:rsidRPr="007F4F3E" w:rsidRDefault="00775BFC" w:rsidP="007F4F3E">
      <w:r w:rsidRPr="007F4F3E">
        <w:rPr>
          <w:b/>
        </w:rPr>
        <w:t xml:space="preserve">VISTO </w:t>
      </w:r>
      <w:r w:rsidRPr="007F4F3E">
        <w:t xml:space="preserve">el expediente formado con motivo del Recurso de Revisión </w:t>
      </w:r>
      <w:r w:rsidR="004D0573" w:rsidRPr="007F4F3E">
        <w:rPr>
          <w:rFonts w:eastAsia="Calibri"/>
          <w:b/>
          <w:lang w:eastAsia="en-US"/>
        </w:rPr>
        <w:t>0</w:t>
      </w:r>
      <w:r w:rsidR="00B6538B" w:rsidRPr="007F4F3E">
        <w:rPr>
          <w:rFonts w:eastAsia="Calibri"/>
          <w:b/>
          <w:lang w:eastAsia="en-US"/>
        </w:rPr>
        <w:t>5062</w:t>
      </w:r>
      <w:r w:rsidR="004D0573" w:rsidRPr="007F4F3E">
        <w:rPr>
          <w:rFonts w:eastAsia="Calibri"/>
          <w:b/>
          <w:lang w:eastAsia="en-US"/>
        </w:rPr>
        <w:t>/</w:t>
      </w:r>
      <w:r w:rsidRPr="007F4F3E">
        <w:rPr>
          <w:rFonts w:eastAsia="Calibri"/>
          <w:b/>
          <w:lang w:eastAsia="en-US"/>
        </w:rPr>
        <w:t>INFOEM/IP/RR/</w:t>
      </w:r>
      <w:r w:rsidR="004D0573" w:rsidRPr="007F4F3E">
        <w:rPr>
          <w:rFonts w:eastAsia="Calibri"/>
          <w:b/>
          <w:lang w:eastAsia="en-US"/>
        </w:rPr>
        <w:t>2024</w:t>
      </w:r>
      <w:r w:rsidRPr="007F4F3E">
        <w:rPr>
          <w:rFonts w:eastAsia="Calibri"/>
          <w:lang w:eastAsia="en-US"/>
        </w:rPr>
        <w:t xml:space="preserve"> </w:t>
      </w:r>
      <w:r w:rsidRPr="007F4F3E">
        <w:t xml:space="preserve">interpuesto por </w:t>
      </w:r>
      <w:bookmarkStart w:id="2" w:name="_GoBack"/>
      <w:r w:rsidR="004B7546">
        <w:rPr>
          <w:rFonts w:eastAsia="Calibri"/>
          <w:b/>
          <w:lang w:eastAsia="en-US"/>
        </w:rPr>
        <w:t>XXXXXXXXXXXX XXXXXXXXX XXXXXX</w:t>
      </w:r>
      <w:bookmarkEnd w:id="2"/>
      <w:r w:rsidR="00A462E3" w:rsidRPr="007F4F3E">
        <w:rPr>
          <w:rFonts w:eastAsia="Palatino Linotype" w:cs="Palatino Linotype"/>
          <w:b/>
        </w:rPr>
        <w:t xml:space="preserve">, </w:t>
      </w:r>
      <w:r w:rsidRPr="007F4F3E">
        <w:t xml:space="preserve">a quien en lo subsecuente se le denominará </w:t>
      </w:r>
      <w:r w:rsidRPr="007F4F3E">
        <w:rPr>
          <w:b/>
          <w:bCs/>
        </w:rPr>
        <w:t>LA PARTE RECURRENTE</w:t>
      </w:r>
      <w:r w:rsidRPr="007F4F3E">
        <w:t xml:space="preserve">, en contra de la </w:t>
      </w:r>
      <w:r w:rsidR="00773DD6" w:rsidRPr="007F4F3E">
        <w:t xml:space="preserve">respuesta </w:t>
      </w:r>
      <w:r w:rsidR="00BA1AB6" w:rsidRPr="007F4F3E">
        <w:t>de</w:t>
      </w:r>
      <w:r w:rsidR="005A5BF2" w:rsidRPr="007F4F3E">
        <w:t>l</w:t>
      </w:r>
      <w:r w:rsidR="00773DD6" w:rsidRPr="007F4F3E">
        <w:t xml:space="preserve"> </w:t>
      </w:r>
      <w:r w:rsidR="00B6538B" w:rsidRPr="007F4F3E">
        <w:rPr>
          <w:b/>
          <w:bCs/>
        </w:rPr>
        <w:t>Ayuntamiento de Cuautitlán Izcalli</w:t>
      </w:r>
      <w:r w:rsidRPr="007F4F3E">
        <w:rPr>
          <w:b/>
          <w:bCs/>
        </w:rPr>
        <w:t>,</w:t>
      </w:r>
      <w:r w:rsidRPr="007F4F3E">
        <w:t xml:space="preserve"> en adelante </w:t>
      </w:r>
      <w:r w:rsidRPr="007F4F3E">
        <w:rPr>
          <w:b/>
          <w:bCs/>
        </w:rPr>
        <w:t>EL SUJETO OBLIGADO</w:t>
      </w:r>
      <w:r w:rsidRPr="007F4F3E">
        <w:rPr>
          <w:rFonts w:eastAsia="Calibri"/>
          <w:lang w:eastAsia="en-US"/>
        </w:rPr>
        <w:t xml:space="preserve">, </w:t>
      </w:r>
      <w:r w:rsidRPr="007F4F3E">
        <w:t>se emite la presente Resolución con base en los Antecedentes y Considerandos que se exponen a continuación:</w:t>
      </w:r>
    </w:p>
    <w:p w14:paraId="2116968C" w14:textId="77777777" w:rsidR="00775BFC" w:rsidRPr="007F4F3E" w:rsidRDefault="00775BFC" w:rsidP="007F4F3E"/>
    <w:p w14:paraId="5A444FB6" w14:textId="639D3567" w:rsidR="00664420" w:rsidRPr="007F4F3E" w:rsidRDefault="00664420" w:rsidP="007F4F3E">
      <w:pPr>
        <w:pStyle w:val="Ttulo1"/>
      </w:pPr>
      <w:bookmarkStart w:id="3" w:name="_Toc176880090"/>
      <w:r w:rsidRPr="007F4F3E">
        <w:t>ANTECEDENTES</w:t>
      </w:r>
      <w:bookmarkEnd w:id="3"/>
    </w:p>
    <w:p w14:paraId="5CB5034E" w14:textId="77777777" w:rsidR="00AC2DB8" w:rsidRPr="007F4F3E" w:rsidRDefault="00AC2DB8" w:rsidP="007F4F3E"/>
    <w:p w14:paraId="09B2D38F" w14:textId="6E49D146" w:rsidR="00664420" w:rsidRPr="007F4F3E" w:rsidRDefault="00E37A3F" w:rsidP="007F4F3E">
      <w:pPr>
        <w:pStyle w:val="Ttulo2"/>
      </w:pPr>
      <w:bookmarkStart w:id="4" w:name="_Toc176880091"/>
      <w:r w:rsidRPr="007F4F3E">
        <w:t>DE LA SOLICITUD DE INFORMACIÓN</w:t>
      </w:r>
      <w:bookmarkEnd w:id="4"/>
    </w:p>
    <w:p w14:paraId="7B7535DF" w14:textId="77777777" w:rsidR="00E37A3F" w:rsidRPr="007F4F3E" w:rsidRDefault="00E37A3F" w:rsidP="007F4F3E"/>
    <w:p w14:paraId="2C6AD1A5" w14:textId="0405B3CD" w:rsidR="00664420" w:rsidRPr="007F4F3E" w:rsidRDefault="00E37A3F" w:rsidP="007F4F3E">
      <w:pPr>
        <w:pStyle w:val="Ttulo3"/>
      </w:pPr>
      <w:bookmarkStart w:id="5" w:name="_Toc176880092"/>
      <w:r w:rsidRPr="007F4F3E">
        <w:t xml:space="preserve">a) </w:t>
      </w:r>
      <w:r w:rsidR="006B10B0" w:rsidRPr="007F4F3E">
        <w:t>S</w:t>
      </w:r>
      <w:r w:rsidR="00664420" w:rsidRPr="007F4F3E">
        <w:t xml:space="preserve">olicitud de </w:t>
      </w:r>
      <w:r w:rsidR="006B10B0" w:rsidRPr="007F4F3E">
        <w:t>i</w:t>
      </w:r>
      <w:r w:rsidR="00664420" w:rsidRPr="007F4F3E">
        <w:t>nformación</w:t>
      </w:r>
      <w:bookmarkEnd w:id="5"/>
    </w:p>
    <w:p w14:paraId="3C26397A" w14:textId="1C646934" w:rsidR="00B169A2" w:rsidRPr="007F4F3E" w:rsidRDefault="00B169A2" w:rsidP="007F4F3E">
      <w:pPr>
        <w:pStyle w:val="Prrafodelista"/>
        <w:tabs>
          <w:tab w:val="left" w:pos="0"/>
        </w:tabs>
        <w:ind w:left="0"/>
        <w:contextualSpacing w:val="0"/>
        <w:rPr>
          <w:rFonts w:cs="Tahoma"/>
        </w:rPr>
      </w:pPr>
      <w:r w:rsidRPr="007F4F3E">
        <w:rPr>
          <w:rFonts w:cs="Tahoma"/>
        </w:rPr>
        <w:t xml:space="preserve">El </w:t>
      </w:r>
      <w:r w:rsidR="00B6538B" w:rsidRPr="007F4F3E">
        <w:rPr>
          <w:rFonts w:cs="Tahoma"/>
          <w:b/>
          <w:bCs/>
        </w:rPr>
        <w:t xml:space="preserve">uno de julio </w:t>
      </w:r>
      <w:r w:rsidRPr="007F4F3E">
        <w:rPr>
          <w:rFonts w:cs="Tahoma"/>
          <w:b/>
          <w:bCs/>
        </w:rPr>
        <w:t>de dos mil veinticuatro</w:t>
      </w:r>
      <w:r w:rsidRPr="007F4F3E">
        <w:rPr>
          <w:rFonts w:cs="Tahoma"/>
        </w:rPr>
        <w:t xml:space="preserve">, </w:t>
      </w:r>
      <w:r w:rsidRPr="007F4F3E">
        <w:rPr>
          <w:b/>
          <w:bCs/>
        </w:rPr>
        <w:t>LA PARTE RECURRENTE</w:t>
      </w:r>
      <w:r w:rsidRPr="007F4F3E">
        <w:rPr>
          <w:rFonts w:cs="Tahoma"/>
        </w:rPr>
        <w:t xml:space="preserve"> presentó una solicitud de acceso a la información pública ante el </w:t>
      </w:r>
      <w:r w:rsidRPr="007F4F3E">
        <w:rPr>
          <w:rFonts w:cs="Tahoma"/>
          <w:b/>
          <w:bCs/>
        </w:rPr>
        <w:t>SUJETO OBLIGADO</w:t>
      </w:r>
      <w:r w:rsidRPr="007F4F3E">
        <w:rPr>
          <w:rFonts w:cs="Tahoma"/>
        </w:rPr>
        <w:t>, a través del Sistema de Acceso a la Información Mexiquense (</w:t>
      </w:r>
      <w:r w:rsidRPr="007F4F3E">
        <w:rPr>
          <w:rFonts w:cs="Tahoma"/>
          <w:b/>
        </w:rPr>
        <w:t>SAIMEX</w:t>
      </w:r>
      <w:r w:rsidRPr="007F4F3E">
        <w:rPr>
          <w:rFonts w:cs="Tahoma"/>
        </w:rPr>
        <w:t>). Dicha solicitud quedó registrada con el número de folio</w:t>
      </w:r>
      <w:r w:rsidRPr="007F4F3E">
        <w:rPr>
          <w:rFonts w:cs="Tahoma"/>
          <w:b/>
          <w:bCs/>
        </w:rPr>
        <w:t xml:space="preserve"> </w:t>
      </w:r>
      <w:r w:rsidR="00B6538B" w:rsidRPr="007F4F3E">
        <w:rPr>
          <w:rFonts w:cs="Tahoma"/>
          <w:b/>
        </w:rPr>
        <w:t>00616/CUAUTIZC/IP/2024</w:t>
      </w:r>
      <w:r w:rsidR="00B6538B" w:rsidRPr="007F4F3E">
        <w:rPr>
          <w:rFonts w:cs="Tahoma"/>
        </w:rPr>
        <w:t xml:space="preserve"> </w:t>
      </w:r>
      <w:r w:rsidRPr="007F4F3E">
        <w:rPr>
          <w:rFonts w:cs="Tahoma"/>
        </w:rPr>
        <w:t>y en ella se requirió la siguiente información:</w:t>
      </w:r>
    </w:p>
    <w:p w14:paraId="0459D6AC" w14:textId="77777777" w:rsidR="00664420" w:rsidRPr="007F4F3E" w:rsidRDefault="00664420" w:rsidP="007F4F3E">
      <w:pPr>
        <w:tabs>
          <w:tab w:val="left" w:pos="4667"/>
        </w:tabs>
        <w:ind w:left="567" w:right="567"/>
        <w:rPr>
          <w:rFonts w:cs="Tahoma"/>
          <w:b/>
          <w:bCs/>
        </w:rPr>
      </w:pPr>
    </w:p>
    <w:p w14:paraId="64B27DE3" w14:textId="1A7F0C04" w:rsidR="00664420" w:rsidRPr="007F4F3E" w:rsidRDefault="002B1D44" w:rsidP="007F4F3E">
      <w:pPr>
        <w:pStyle w:val="Puesto"/>
      </w:pPr>
      <w:r w:rsidRPr="007F4F3E">
        <w:t>“</w:t>
      </w:r>
      <w:r w:rsidR="00B6538B" w:rsidRPr="007F4F3E">
        <w:t>Solicitó el monto y el expediente correspondiente a laudos en Materia laboral en contra de este sujeto obligado</w:t>
      </w:r>
      <w:r w:rsidRPr="007F4F3E">
        <w:t>”</w:t>
      </w:r>
      <w:r w:rsidR="00BA1AB6" w:rsidRPr="007F4F3E">
        <w:t xml:space="preserve"> (sic)</w:t>
      </w:r>
    </w:p>
    <w:p w14:paraId="07B1E1B5" w14:textId="77777777" w:rsidR="004D0573" w:rsidRPr="007F4F3E" w:rsidRDefault="004D0573" w:rsidP="007F4F3E"/>
    <w:p w14:paraId="0BD6321D" w14:textId="721F8E0C" w:rsidR="00664420" w:rsidRPr="007F4F3E" w:rsidRDefault="009A2D78" w:rsidP="007F4F3E">
      <w:pPr>
        <w:tabs>
          <w:tab w:val="left" w:pos="4667"/>
        </w:tabs>
        <w:ind w:left="567" w:right="567"/>
        <w:rPr>
          <w:rFonts w:cs="Tahoma"/>
          <w:bCs/>
          <w:szCs w:val="22"/>
        </w:rPr>
      </w:pPr>
      <w:r w:rsidRPr="007F4F3E">
        <w:rPr>
          <w:rFonts w:cs="Tahoma"/>
          <w:b/>
          <w:bCs/>
          <w:szCs w:val="22"/>
        </w:rPr>
        <w:t>Modalidad de entrega</w:t>
      </w:r>
      <w:r w:rsidRPr="007F4F3E">
        <w:rPr>
          <w:rFonts w:cs="Tahoma"/>
          <w:bCs/>
          <w:szCs w:val="22"/>
        </w:rPr>
        <w:t>: a</w:t>
      </w:r>
      <w:r w:rsidR="00664420" w:rsidRPr="007F4F3E">
        <w:rPr>
          <w:rFonts w:cs="Tahoma"/>
          <w:bCs/>
          <w:i/>
          <w:szCs w:val="22"/>
        </w:rPr>
        <w:t xml:space="preserve"> través del </w:t>
      </w:r>
      <w:r w:rsidR="00664420" w:rsidRPr="007F4F3E">
        <w:rPr>
          <w:rFonts w:cs="Tahoma"/>
          <w:b/>
          <w:bCs/>
          <w:i/>
          <w:szCs w:val="22"/>
        </w:rPr>
        <w:t>SAIMEX</w:t>
      </w:r>
      <w:r w:rsidRPr="007F4F3E">
        <w:rPr>
          <w:rFonts w:cs="Tahoma"/>
          <w:bCs/>
          <w:i/>
          <w:szCs w:val="22"/>
        </w:rPr>
        <w:t>.</w:t>
      </w:r>
    </w:p>
    <w:p w14:paraId="334D2860" w14:textId="77777777" w:rsidR="00664420" w:rsidRPr="007F4F3E" w:rsidRDefault="00664420" w:rsidP="007F4F3E">
      <w:pPr>
        <w:autoSpaceDE w:val="0"/>
        <w:autoSpaceDN w:val="0"/>
        <w:adjustRightInd w:val="0"/>
        <w:ind w:right="-28"/>
        <w:rPr>
          <w:rFonts w:cs="Tahoma"/>
          <w:bCs/>
          <w:i/>
          <w:szCs w:val="22"/>
        </w:rPr>
      </w:pPr>
    </w:p>
    <w:p w14:paraId="5E5A1AA7" w14:textId="77777777" w:rsidR="00F02243" w:rsidRPr="007F4F3E" w:rsidRDefault="00F02243" w:rsidP="007F4F3E">
      <w:pPr>
        <w:pStyle w:val="Ttulo3"/>
      </w:pPr>
      <w:bookmarkStart w:id="6" w:name="_Toc171527278"/>
      <w:bookmarkStart w:id="7" w:name="_Toc176880093"/>
      <w:bookmarkStart w:id="8" w:name="_Toc170932807"/>
      <w:r w:rsidRPr="007F4F3E">
        <w:lastRenderedPageBreak/>
        <w:t>b) Turno de la solicitud de información</w:t>
      </w:r>
      <w:bookmarkEnd w:id="6"/>
      <w:bookmarkEnd w:id="7"/>
    </w:p>
    <w:p w14:paraId="6B8B6978" w14:textId="402FC3C6" w:rsidR="00F02243" w:rsidRPr="007F4F3E" w:rsidRDefault="00F02243" w:rsidP="007F4F3E">
      <w:r w:rsidRPr="007F4F3E">
        <w:t xml:space="preserve">En cumplimiento al artículo 162 de la Ley de Transparencia y Acceso a la Información Pública del Estado de México y Municipios, el </w:t>
      </w:r>
      <w:r w:rsidR="00B6538B" w:rsidRPr="007F4F3E">
        <w:rPr>
          <w:rFonts w:eastAsia="Palatino Linotype" w:cs="Palatino Linotype"/>
          <w:b/>
        </w:rPr>
        <w:t>dos de julio d</w:t>
      </w:r>
      <w:r w:rsidRPr="007F4F3E">
        <w:rPr>
          <w:rFonts w:eastAsia="Palatino Linotype" w:cs="Palatino Linotype"/>
          <w:b/>
        </w:rPr>
        <w:t>e dos mil veinticuatro</w:t>
      </w:r>
      <w:r w:rsidRPr="007F4F3E">
        <w:t xml:space="preserve">, el Titular de la Unidad de Transparencia del </w:t>
      </w:r>
      <w:r w:rsidRPr="007F4F3E">
        <w:rPr>
          <w:b/>
        </w:rPr>
        <w:t>SUJETO OBLIGADO</w:t>
      </w:r>
      <w:r w:rsidRPr="007F4F3E">
        <w:t xml:space="preserve"> turnó la solicitud de información al servidor público habilitado que estimó pertinente.</w:t>
      </w:r>
    </w:p>
    <w:p w14:paraId="0F87F8DA" w14:textId="77777777" w:rsidR="00F02243" w:rsidRPr="007F4F3E" w:rsidRDefault="00F02243" w:rsidP="007F4F3E"/>
    <w:p w14:paraId="161C6CFE" w14:textId="77777777" w:rsidR="00546AF6" w:rsidRPr="007F4F3E" w:rsidRDefault="00546AF6" w:rsidP="007F4F3E">
      <w:pPr>
        <w:pStyle w:val="Ttulo3"/>
      </w:pPr>
      <w:bookmarkStart w:id="9" w:name="_Toc165402857"/>
      <w:bookmarkStart w:id="10" w:name="_Toc176880094"/>
      <w:r w:rsidRPr="007F4F3E">
        <w:t>c) Prórroga</w:t>
      </w:r>
      <w:bookmarkEnd w:id="9"/>
      <w:bookmarkEnd w:id="10"/>
    </w:p>
    <w:p w14:paraId="38F022DE" w14:textId="250048C2" w:rsidR="00546AF6" w:rsidRPr="007F4F3E" w:rsidRDefault="00546AF6" w:rsidP="007F4F3E">
      <w:r w:rsidRPr="007F4F3E">
        <w:t xml:space="preserve">De las constancias que obran en el SAIMEX, se advierte que el </w:t>
      </w:r>
      <w:r w:rsidRPr="007F4F3E">
        <w:rPr>
          <w:b/>
          <w:bCs/>
        </w:rPr>
        <w:t>cinco de agosto de dos mil veinticuatro</w:t>
      </w:r>
      <w:r w:rsidRPr="007F4F3E">
        <w:t xml:space="preserve">, </w:t>
      </w:r>
      <w:r w:rsidRPr="007F4F3E">
        <w:rPr>
          <w:b/>
          <w:bCs/>
        </w:rPr>
        <w:t>EL SUJETO OBLIGADO</w:t>
      </w:r>
      <w:r w:rsidRPr="007F4F3E">
        <w:t xml:space="preserve"> notificó una prórroga de siete días para dar respuesta a la solicitud de información planteada por </w:t>
      </w:r>
      <w:r w:rsidRPr="007F4F3E">
        <w:rPr>
          <w:b/>
          <w:bCs/>
        </w:rPr>
        <w:t>LA PARTE RECURRENTE</w:t>
      </w:r>
      <w:r w:rsidRPr="007F4F3E">
        <w:t>, en los siguientes términos:</w:t>
      </w:r>
    </w:p>
    <w:p w14:paraId="6F765E8F" w14:textId="77777777" w:rsidR="00546AF6" w:rsidRPr="007F4F3E" w:rsidRDefault="00546AF6" w:rsidP="007F4F3E"/>
    <w:p w14:paraId="48816312" w14:textId="77777777" w:rsidR="00546AF6" w:rsidRPr="007F4F3E" w:rsidRDefault="00546AF6" w:rsidP="007F4F3E">
      <w:pPr>
        <w:pStyle w:val="Puesto"/>
      </w:pPr>
      <w:r w:rsidRPr="007F4F3E">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4395E2B" w14:textId="77777777" w:rsidR="00546AF6" w:rsidRPr="007F4F3E" w:rsidRDefault="00546AF6" w:rsidP="007F4F3E"/>
    <w:p w14:paraId="26C27538" w14:textId="77777777" w:rsidR="00546AF6" w:rsidRPr="007F4F3E" w:rsidRDefault="00546AF6" w:rsidP="007F4F3E">
      <w:pPr>
        <w:pStyle w:val="Puesto"/>
      </w:pPr>
      <w:r w:rsidRPr="007F4F3E">
        <w:t>Con fundamento en los artículos 4, 23 fracción IV, 24 último párrafo, 53 fracción VI, 59, 160, 163 segundo párrafo y demás relativos de la Ley de Transparencia y Acceso a la Información Pública del Estado de México y Municipios, me permito hacer de su conocimiento, que una vez que fue turnada al área competente de dar trámite y contestación a su solicitud, se le hace de su conocimiento que el plazo de 15 días hábiles para atender su solicitud de información la Coordinación de Transparencia, ha sido prorrogado por 7 días en virtud de la siguiente razón; “Solicitó el monto y el expediente correspondiente a laudos en Materia laboral en contra de este sujeto obligado “ (SIC) Por lo anteriormente expuesto y con fundamento en el artículo 163 párrafo segundo de la Ley de Transparencia y Acceso a la Información Pública del Estado de México y Municipios, pido se sirva tenerse por notificado en tiempo y forma la ampliación el término de su solicitud de información número 0616/CUAUTIZC/IP/2024.</w:t>
      </w:r>
    </w:p>
    <w:p w14:paraId="57DE9726" w14:textId="77777777" w:rsidR="00546AF6" w:rsidRPr="007F4F3E" w:rsidRDefault="00546AF6" w:rsidP="007F4F3E"/>
    <w:p w14:paraId="0D17AA5B" w14:textId="77777777" w:rsidR="00546AF6" w:rsidRPr="007F4F3E" w:rsidRDefault="00546AF6" w:rsidP="007F4F3E">
      <w:pPr>
        <w:pStyle w:val="Puesto"/>
      </w:pPr>
      <w:r w:rsidRPr="007F4F3E">
        <w:t>LIC. MARÍA CONCEPCIÓN CASTILLO LUGO</w:t>
      </w:r>
    </w:p>
    <w:p w14:paraId="11596CA4" w14:textId="77777777" w:rsidR="00546AF6" w:rsidRPr="007F4F3E" w:rsidRDefault="00546AF6" w:rsidP="007F4F3E"/>
    <w:p w14:paraId="2B1691D5" w14:textId="5FEF23B2" w:rsidR="00546AF6" w:rsidRPr="007F4F3E" w:rsidRDefault="00546AF6" w:rsidP="007F4F3E">
      <w:pPr>
        <w:pStyle w:val="Puesto"/>
      </w:pPr>
      <w:r w:rsidRPr="007F4F3E">
        <w:t>Responsable de la Unidad de Transparencia”</w:t>
      </w:r>
    </w:p>
    <w:p w14:paraId="1BE551DA" w14:textId="77777777" w:rsidR="00546AF6" w:rsidRPr="007F4F3E" w:rsidRDefault="00546AF6" w:rsidP="007F4F3E"/>
    <w:p w14:paraId="4781D7E2" w14:textId="7FA243EF" w:rsidR="00546AF6" w:rsidRPr="007F4F3E" w:rsidRDefault="00546AF6" w:rsidP="007F4F3E">
      <w:r w:rsidRPr="007F4F3E">
        <w:t xml:space="preserve">Asimismo, en el expediente que obra en el SAIMEX se advierte que </w:t>
      </w:r>
      <w:r w:rsidRPr="007F4F3E">
        <w:rPr>
          <w:b/>
          <w:bCs/>
        </w:rPr>
        <w:t>EL SUJETO OBLIGADO</w:t>
      </w:r>
      <w:r w:rsidRPr="007F4F3E">
        <w:t xml:space="preserve"> acompañó a la solicitud de prórroga el archivo electrónico denominado </w:t>
      </w:r>
      <w:r w:rsidRPr="007F4F3E">
        <w:rPr>
          <w:b/>
          <w:bCs/>
          <w:i/>
        </w:rPr>
        <w:t xml:space="preserve">AA 616.pdf, </w:t>
      </w:r>
      <w:r w:rsidRPr="007F4F3E">
        <w:rPr>
          <w:bCs/>
        </w:rPr>
        <w:t xml:space="preserve">el cual de su contenido se advierte el Acuerdo número CTM/CUT/SO008/018/AA/2024 del uno de julio de dos mil veinticuatro, </w:t>
      </w:r>
      <w:r w:rsidRPr="007F4F3E">
        <w:t>por medio del cual el Comité de Transparencia aprobó la ampliación de plazo para dar respuesta a la solicitud de información.</w:t>
      </w:r>
    </w:p>
    <w:p w14:paraId="5B43E213" w14:textId="77777777" w:rsidR="00546AF6" w:rsidRPr="007F4F3E" w:rsidRDefault="00546AF6" w:rsidP="007F4F3E"/>
    <w:p w14:paraId="3212BA4D" w14:textId="3C008286" w:rsidR="00664420" w:rsidRPr="007F4F3E" w:rsidRDefault="00546AF6" w:rsidP="007F4F3E">
      <w:pPr>
        <w:pStyle w:val="Ttulo3"/>
      </w:pPr>
      <w:bookmarkStart w:id="11" w:name="_Toc176880095"/>
      <w:r w:rsidRPr="007F4F3E">
        <w:t>d</w:t>
      </w:r>
      <w:r w:rsidR="005A5BF2" w:rsidRPr="007F4F3E">
        <w:t xml:space="preserve">) </w:t>
      </w:r>
      <w:bookmarkEnd w:id="8"/>
      <w:r w:rsidR="00664420" w:rsidRPr="007F4F3E">
        <w:rPr>
          <w:lang w:val="es-ES"/>
        </w:rPr>
        <w:t xml:space="preserve">Respuesta </w:t>
      </w:r>
      <w:r w:rsidR="00664420" w:rsidRPr="007F4F3E">
        <w:rPr>
          <w:rFonts w:eastAsia="Calibri"/>
          <w:lang w:eastAsia="en-US"/>
        </w:rPr>
        <w:t>del Sujeto Obligado</w:t>
      </w:r>
      <w:bookmarkEnd w:id="11"/>
    </w:p>
    <w:p w14:paraId="2143017E" w14:textId="11660468" w:rsidR="00BA1AB6" w:rsidRPr="007F4F3E" w:rsidRDefault="003B0255" w:rsidP="007F4F3E">
      <w:pPr>
        <w:rPr>
          <w:lang w:val="es-ES"/>
        </w:rPr>
      </w:pPr>
      <w:r w:rsidRPr="007F4F3E">
        <w:rPr>
          <w:lang w:val="es-ES"/>
        </w:rPr>
        <w:t xml:space="preserve">El </w:t>
      </w:r>
      <w:r w:rsidR="00546AF6" w:rsidRPr="007F4F3E">
        <w:rPr>
          <w:b/>
          <w:bCs/>
          <w:lang w:val="es-ES"/>
        </w:rPr>
        <w:t>catorce de agosto de dos mi</w:t>
      </w:r>
      <w:r w:rsidRPr="007F4F3E">
        <w:rPr>
          <w:b/>
          <w:bCs/>
          <w:lang w:val="es-ES"/>
        </w:rPr>
        <w:t>l veinticuatro</w:t>
      </w:r>
      <w:r w:rsidRPr="007F4F3E">
        <w:rPr>
          <w:lang w:val="es-ES"/>
        </w:rPr>
        <w:t xml:space="preserve">, el Titular de la Unidad de Transparencia del </w:t>
      </w:r>
      <w:r w:rsidRPr="007F4F3E">
        <w:rPr>
          <w:b/>
          <w:lang w:val="es-ES"/>
        </w:rPr>
        <w:t>SUJETO OBLIGADO</w:t>
      </w:r>
      <w:r w:rsidRPr="007F4F3E">
        <w:rPr>
          <w:lang w:val="es-ES"/>
        </w:rPr>
        <w:t xml:space="preserve"> notificó la siguiente respuesta a través del </w:t>
      </w:r>
      <w:r w:rsidRPr="007F4F3E">
        <w:rPr>
          <w:b/>
          <w:lang w:val="es-ES"/>
        </w:rPr>
        <w:t>SAIMEX</w:t>
      </w:r>
      <w:r w:rsidRPr="007F4F3E">
        <w:rPr>
          <w:lang w:val="es-ES"/>
        </w:rPr>
        <w:t>:</w:t>
      </w:r>
    </w:p>
    <w:p w14:paraId="64166B4B" w14:textId="77777777" w:rsidR="003B0255" w:rsidRPr="007F4F3E" w:rsidRDefault="003B0255" w:rsidP="007F4F3E"/>
    <w:p w14:paraId="0450303C" w14:textId="77777777" w:rsidR="00546AF6" w:rsidRPr="007F4F3E" w:rsidRDefault="003B0255" w:rsidP="007F4F3E">
      <w:pPr>
        <w:pStyle w:val="Puesto"/>
      </w:pPr>
      <w:r w:rsidRPr="007F4F3E">
        <w:t>“</w:t>
      </w:r>
      <w:r w:rsidR="00546AF6" w:rsidRPr="007F4F3E">
        <w:t>En respuesta a la solicitud recibida, nos permitimos hacer de su conocimiento que con fundamento en el artículo 53, Fracciones: II, V y VI de la Ley de Transparencia y Acceso a la Información Pública del Estado de México y Municipios, le contestamos que:</w:t>
      </w:r>
    </w:p>
    <w:p w14:paraId="056AA231" w14:textId="77777777" w:rsidR="00546AF6" w:rsidRPr="007F4F3E" w:rsidRDefault="00546AF6" w:rsidP="007F4F3E"/>
    <w:p w14:paraId="13572745" w14:textId="77777777" w:rsidR="00546AF6" w:rsidRPr="007F4F3E" w:rsidRDefault="00546AF6" w:rsidP="007F4F3E">
      <w:pPr>
        <w:pStyle w:val="Puesto"/>
      </w:pPr>
      <w:r w:rsidRPr="007F4F3E">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QUE A SU SOLICITUD LE ENTREGA LA, (1) DIRECCIÓN JURIDICA 1 “ Atendiendo al Principio de Máxima Publicidad que impera en materia de la Transparencia, dispuesto en el artículo 4º, de la Ley de Transparencia y Acceso a la Información Pública del Estado de México y Municipios, se hace de su conocimiento que esta Dirección es competente para dar contestación a los planteamientos que hace el PeticionarioNúmero de Expediente IMPORTE ESTIMADO Instancia TECA/1520/2006 $ 5,027,651.94 TRIBUNAL ESTATAL DE CONCILIACION Y ARBITRAJE TECA/1587/2006 $ 1,295,339.23 TRIBUNAL ESTATAL DE CONCILIACION Y ARBITRAJE TECA/1898/2006 $ </w:t>
      </w:r>
      <w:r w:rsidRPr="007F4F3E">
        <w:lastRenderedPageBreak/>
        <w:t xml:space="preserve">2,680,295.74 TRIBUNAL ESTATAL DE CONCILIACION Y ARBITRAJE TECA/1973/2006 $ 6,810,360.00 TRIBUNAL ESTATAL DE CONCILIACION Y ARBITRAJE TECA/2323/2006 $ 424,895.60 TRIBUNAL ESTATAL DE CONCILIACION Y ARBITRAJE TECA/2588/2006 $ 19,413.60 TRIBUNAL ESTATAL DE CONCILIACION Y ARBITRAJE TECA/2787/2006 $ 1,846,621.20 TRIBUNAL ESTATAL DE CONCILIACION Y ARBITRAJE TECA/2889/2006 $ 3,039,928.82 TRIBUNAL ESTATAL DE CONCILIACION Y ARBITRAJE TECA/2890/2006 $ 3,056,604.17 TRIBUNAL ESTATAL DE CONCILIACION Y ARBITRAJE TECA/2893/2006 $ 148,315.10 TRIBUNAL ESTATAL DE CONCILIACION Y ARBITRAJE TECA/2936/2006 $ 305,008.22 TRIBUNAL ESTATAL DE CONCILIACION Y ARBITRAJE TECA/3123/2006 $ 1,747,213.37 TRIBUNAL ESTATAL DE CONCILIACION Y ARBITRAJE TECA/3359/2006 $ 1,308,966.02 TRIBUNAL ESTATAL DE CONCILIACION Y ARBITRAJE SAT/048/2007 $ 496,941.84 SALA AUXILIAR DEL TRIBUNAL ESTATAL DE CONCILIACION Y ARBITRAJE SAT/63/2007 $ 26,160.00 SALA AUXILIAR DEL TRIBUNAL ESTATAL DE CONCILIACION Y ARBITRAJE SAT/85/2007 $ 636,000.00 SALA AUXILIAR DEL TRIBUNAL ESTATAL DE CONCILIACION Y ARBITRAJE SAT/115/2007 $ 983,295.56 SALA AUXILIAR DEL TRIBUNAL ESTATAL DE CONCILIACION Y ARBITRAJE SAT/258/2007 $ 56,127.81 SALA AUXILIAR DEL TRIBUNAL ESTATAL DE CONCILIACION Y ARBITRAJE TECA/272/2007 $ 5,840.64 TRIBUNAL ESTATAL DE CONCILIACION Y ARBITRAJE SAT/276/2007 $ 14,407.47 SALA AUXILIAR DEL TRIBUNAL ESTATAL DE CONCILIACION Y ARBITRAJE TECA/340/2007 $ 63,331.71 TRIBUNAL ESTATAL DE CONCILIACION Y ARBITRAJE TECA/523/2007 $ 959,518.00 TRIBUNAL ESTATAL DE CONCILIACION Y ARBITRAJE TECA/684/2007 $ 1,222,770.00 TRIBUNAL ESTATAL DE CONCILIACION Y ARBITRAJE SAT/0028/2008 $ 8,651.30 SALA AUXILIAR DEL TRIBUNAL ESTATAL DE CONCILIACION Y ARBITRAJE SAT/34/2008 $ 11,203.84 SALA AUXILIAR DEL TRIBUNAL ESTATAL DE CONCILIACION Y ARBITRAJE SAT/97/2008 $ 788,564.04 SALA AUXILIAR DEL TRIBUNAL ESTATAL DE CONCILIACION Y ARBITRAJE SAT/192/2008 $ 94,987.44 SALA AUXILIAR DEL TRIBUNAL ESTATAL DE CONCILIACION Y ARBITRAJE SAT/241/2008 $ 90,000.00 SALA AUXILIAR DEL TRIBUNAL ESTATAL DE CONCILIACION Y ARBITRAJE SAT/247/2008 $ 3,202.33 SALA AUXILIAR DEL TRIBUNAL ESTATAL DE CONCILIACION Y ARBITRAJE SAT/251/2015 $ 1,584,312.68 SALA AUXILIAR DEL TRIBUNAL ESTATAL DE CONCILIACION Y ARBITRAJE SAT/301/2008 $ 479,918.66 SALA AUXILIAR DEL TRIBUNAL ESTATAL DE CONCILIACION Y ARBITRAJE SAT/386/2008 $ 4,109,899.30 SALA AUXILIAR DEL TRIBUNAL ESTATAL DE CONCILIACION Y ARBITRAJE SAT/533/2008 $ 196,342.92 SALA AUXILIAR DEL TRIBUNAL </w:t>
      </w:r>
      <w:r w:rsidRPr="007F4F3E">
        <w:lastRenderedPageBreak/>
        <w:t xml:space="preserve">ESTATAL DE CONCILIACION Y ARBITRAJE SAT/593/2008 $ 1,076,735.69 SALA AUXILIAR DEL TRIBUNAL ESTATAL DE CONCILIACION Y ARBITRAJE SAT/46/2009 $ 288,000.00 SALA AUXILIAR DEL TRIBUNAL ESTATAL DE CONCILIACION Y ARBITRAJE SAT/128/2009 $ 792,525.47 SALA AUXILIAR DEL TRIBUNAL ESTATAL DE CONCILIACION Y ARBITRAJE SAT/523/2009 $ 199,644.11 SALA AUXILIAR DEL TRIBUNAL ESTATAL DE CONCILIACION Y ARBITRAJE SAT/658/2009 $ 170,540.00 SALA AUXILIAR DEL TRIBUNAL ESTATAL DE CONCILIACION Y ARBITRAJE SAT/691/2009 $ 399,120.01 SALA AUXILIAR DEL TRIBUNAL ESTATAL DE CONCILIACION Y ARBITRAJE SAT/827/2009 $ 57,539.98 SALA AUXILIAR DEL TRIBUNAL ESTATAL DE CONCILIACION Y ARBITRAJE SAT/840/2009 $ 1,956,000.00 SALA AUXILIAR DEL TRIBUNAL ESTATAL DE CONCILIACION Y ARBITRAJE SAT/843/2009 $ 2,244,240.07 SALA AUXILIAR DEL TRIBUNAL ESTATAL DE CONCILIACION Y ARBITRAJE SAT/851/2009 $ 7,035,665.93 SALA AUXILIAR DEL TRIBUNAL ESTATAL DE CONCILIACION Y ARBITRAJE SAT/1047/2009 $ 39,770.97 SALA AUXILIAR DEL TRIBUNAL ESTATAL DE CONCILIACION Y ARBITRAJE SAT/1131/2009 $ 1,146,288.00 SALA AUXILIAR DEL TRIBUNAL ESTATAL DE CONCILIACION Y ARBITRAJE SAT/1242/2009 $ 241,380.00 SALA AUXILIAR DEL TRIBUNAL ESTATAL DE CONCILIACION Y ARBITRAJE SAT/1260/2009 $ 4,177,689.12 SALA AUXILIAR DEL TRIBUNAL ESTATAL DE CONCILIACION Y ARBITRAJE SAT/1292/2009 $ 387,440.00 SALA AUXILIAR DEL TRIBUNAL ESTATAL DE CONCILIACION Y ARBITRAJE SAT/1435/2009 $ 150,000.00 SALA AUXILIAR DEL TRIBUNAL ESTATAL DE CONCILIACION Y ARBITRAJE SAT/1488/2009 $ 349,190.40 SALA AUXILIAR DEL TRIBUNAL ESTATAL DE CONCILIACION Y ARBITRAJE SAT/1551/2009 $ 5,222.33 SALA AUXILIAR DEL TRIBUNAL ESTATAL DE CONCILIACION Y ARBITRAJE SAT/1578/2009 $ 440,000.00 SALA AUXILIAR DEL TRIBUNAL ESTATAL DE CONCILIACION Y ARBITRAJE SAT/1579/2009 $ 46,129.11 SALA AUXILIAR DEL TRIBUNAL ESTATAL DE CONCILIACION Y ARBITRAJE SAT/1648/2009 $ 837,263.03 SALA AUXILIAR DEL TRIBUNAL ESTATAL DE CONCILIACION Y ARBITRAJE SAT/1664/2009 $ - SALA AUXILIAR DEL TRIBUNAL ESTATAL DE CONCILIACION Y ARBITRAJE SAT/1703/2019 $ 470,820.00 SALA AUXILIAR DEL TRIBUNAL ESTATAL DE CONCILIACION Y ARBITRAJE SAT/1721/2009 $ 773,483.88 SALA AUXILIAR DEL TRIBUNAL ESTATAL DE CONCILIACION Y ARBITRAJE SAT/1726/2009 $ 428,752.66 SALA AUXILIAR DEL TRIBUNAL ESTATAL DE CONCILIACION Y ARBITRAJE SAT/1795/2009 $ 17,866.75 SALA AUXILIAR DEL TRIBUNAL ESTATAL DE CONCILIACION Y ARBITRAJE SAT/1809/2009 $ 864,225.84 SALA AUXILIAR DEL TRIBUNAL ESTATAL DE CONCILIACION Y ARBITRAJE SAT/1816/2009 $ 24,686.54 SALA AUXILIAR DEL </w:t>
      </w:r>
      <w:r w:rsidRPr="007F4F3E">
        <w:lastRenderedPageBreak/>
        <w:t xml:space="preserve">TRIBUNAL ESTATAL DE CONCILIACION Y ARBITRAJE SAT/1831/2009 $ 837,134.49 SALA AUXILIAR DEL TRIBUNAL ESTATAL DE CONCILIACION Y ARBITRAJE SAT/1849/2009 $ 438,360.00 SALA AUXILIAR DEL TRIBUNAL ESTATAL DE CONCILIACION Y ARBITRAJE SAT/1853/2009 $ 2,452,250.25 SALA AUXILIAR DEL TRIBUNAL ESTATAL DE CONCILIACION Y ARBITRAJE SAT/1873/2009 $ 1,130,913.98 SALA AUXILIAR DEL TRIBUNAL ESTATAL DE CONCILIACION Y ARBITRAJE SAT/74/2010 $ 396,288.48 SALA AUXILIAR DEL TRIBUNAL ESTATAL DE CONCILIACION Y ARBITRAJE SAT/89/2010 $ 9,561,129.00 SALA AUXILIAR DEL TRIBUNAL ESTATAL DE CONCILIACION Y ARBITRAJE SAT/105/2010 $ 20,150.00 SALA AUXILIAR DEL TRIBUNAL ESTATAL DE CONCILIACION Y ARBITRAJE SAT/114/2010 $ 417,892.62 SALA AUXILIAR DEL TRIBUNAL ESTATAL DE CONCILIACION Y ARBITRAJE SAT/115/2010 $ 1,226,723.37 SALA AUXILIAR DEL TRIBUNAL ESTATAL DE CONCILIACION Y ARBITRAJE SAT/120/2010 $ 724,407.19 SALA AUXILIAR DEL TRIBUNAL ESTATAL DE CONCILIACION Y ARBITRAJE SAT/133/2010 $ 1,178,402.16 SALA AUXILIAR DEL TRIBUNAL ESTATAL DE CONCILIACION Y ARBITRAJE SAT/185/2010 $ 232,812.00 SALA AUXILIAR DEL TRIBUNAL ESTATAL DE CONCILIACION Y ARBITRAJE SAT/202/2010 $ 163,920.00 SALA AUXILIAR DEL TRIBUNAL ESTATAL DE CONCILIACION Y ARBITRAJE SAT/332/2010 $ 90,000.00 SALA AUXILIAR DEL TRIBUNAL ESTATAL DE CONCILIACION Y ARBITRAJE SAT/369/2010 $ 333,056.26 SALA AUXILIAR DEL TRIBUNAL ESTATAL DE CONCILIACION Y ARBITRAJE SAT/384/2010 $ 695,830.50 SALA AUXILIAR DEL TRIBUNAL ESTATAL DE CONCILIACION Y ARBITRAJE SAT/387/2010 $ 9,607.30 SALA AUXILIAR DEL TRIBUNAL ESTATAL DE CONCILIACION Y ARBITRAJE SAT/392/2010 $ 447,754.68 SALA AUXILIAR DEL TRIBUNAL ESTATAL DE CONCILIACION Y ARBITRAJE SAT/412/2010 $ 1,312,732.00 SALA AUXILIAR DEL TRIBUNAL ESTATAL DE CONCILIACION Y ARBITRAJE SAT/420/2010 $ 6,518,499.00 SALA AUXILIAR DEL TRIBUNAL ESTATAL DE CONCILIACION Y ARBITRAJE SAT/465/2010 $ 288,000.00 SALA AUXILIAR DEL TRIBUNAL ESTATAL DE CONCILIACION Y ARBITRAJE SAT/474/2010 $ 11,212.50 SALA AUXILIAR DEL TRIBUNAL ESTATAL DE CONCILIACION Y ARBITRAJE SAT/533/2010 $ 1,140,000.00 SALA AUXILIAR DEL TRIBUNAL ESTATAL DE CONCILIACION Y ARBITRAJE SAT/537/2010 $ 300,000.00 SALA AUXILIAR DEL TRIBUNAL ESTATAL DE CONCILIACION Y ARBITRAJE SAT/571/2010 $ 1,704,734.78 SALA AUXILIAR DEL TRIBUNAL ESTATAL DE CONCILIACION Y ARBITRAJE SAT/625/2010 $ 936,365.52 SALA AUXILIAR DEL TRIBUNAL ESTATAL DE CONCILIACION Y ARBITRAJE SAT/699/2010 $ 487,751.60 SALA AUXILIAR DEL TRIBUNAL ESTATAL DE CONCILIACION Y ARBITRAJE SAT/46/2011 $ 5,809.01 SALA AUXILIAR DEL </w:t>
      </w:r>
      <w:r w:rsidRPr="007F4F3E">
        <w:lastRenderedPageBreak/>
        <w:t xml:space="preserve">TRIBUNAL ESTATAL DE CONCILIACION Y ARBITRAJE SAT/134/2011 $ 313,222.26 SALA AUXILIAR DEL TRIBUNAL ESTATAL DE CONCILIACION Y ARBITRAJE SAT/270/2011 $ 178,452.00 SALA AUXILIAR DEL TRIBUNAL ESTATAL DE CONCILIACION Y ARBITRAJE SAT/95/2012 $ 1,040,001.82 SALA AUXILIAR DEL TRIBUNAL ESTATAL DE CONCILIACION Y ARBITRAJE SAT/260/2012 $ 250,200.00 SALA AUXILIAR DEL TRIBUNAL ESTATAL DE CONCILIACION Y ARBITRAJE SAT/344/2012 $ 1,488,225.00 SALA AUXILIAR DEL TRIBUNAL ESTATAL DE CONCILIACION Y ARBITRAJE SAT/030/2013 $ 200,070.00 SALA AUXILIAR DEL TRIBUNAL ESTATAL DE CONCILIACION Y ARBITRAJE SAT/208/2013 $ 253,560.00 SALA AUXILIAR DEL TRIBUNAL ESTATAL DE CONCILIACION Y ARBITRAJE SAT/317/2013 $ 1,109,013.68 SALA AUXILIAR DEL TRIBUNAL ESTATAL DE CONCILIACION Y ARBITRAJE SAT/318/2013 $ 565,455.89 SALA AUXILIAR DEL TRIBUNAL ESTATAL DE CONCILIACION Y ARBITRAJE SAT/402/2013 $ 238,704.00 SALA AUXILIAR DEL TRIBUNAL ESTATAL DE CONCILIACION Y ARBITRAJE SAT/544/2013 $ 269,503.50 SALA AUXILIAR DEL TRIBUNAL ESTATAL DE CONCILIACION Y ARBITRAJE SAT/647/2013 $ 241,410.40 SALA AUXILIAR DEL TRIBUNAL ESTATAL DE CONCILIACION Y ARBITRAJE SAT/650/2013 $ 216,602.34 SALA AUXILIAR DEL TRIBUNAL ESTATAL DE CONCILIACION Y ARBITRAJE SAT/682/2013 $ 1,904,581.20 SALA AUXILIAR DEL TRIBUNAL ESTATAL DE CONCILIACION Y ARBITRAJE SAT/731/2013 $ 180,000.00 SALA AUXILIAR DEL TRIBUNAL ESTATAL DE CONCILIACION Y ARBITRAJE SAT/884/2013 $ 78,300.00 SALA AUXILIAR DEL TRIBUNAL ESTATAL DE CONCILIACION Y ARBITRAJE SAT/58/2014 $ 257,338.20 SALA AUXILIAR DEL TRIBUNAL ESTATAL DE CONCILIACION Y ARBITRAJE SAT/120/2014 $ 269,943.18 SALA AUXILIAR DEL TRIBUNAL ESTATAL DE CONCILIACION Y ARBITRAJE SAT/134/2014 $ 1,324,920.40 SALA AUXILIAR DEL TRIBUNAL ESTATAL DE CONCILIACION Y ARBITRAJE SAT/168/2014 $ 600,105.82 SALA AUXILIAR DEL TRIBUNAL ESTATAL DE CONCILIACION Y ARBITRAJE SAT/175/2014 $ 172,160.00 SALA AUXILIAR DEL TRIBUNAL ESTATAL DE CONCILIACION Y ARBITRAJE SAT/65/2015 $ 1,436,951.40 SALA AUXILIAR DEL TRIBUNAL ESTATAL DE CONCILIACION Y ARBITRAJE SAT/139/2015 $ 174,000.00 SALA AUXILIAR DEL TRIBUNAL ESTATAL DE CONCILIACION Y ARBITRAJE SAT/140/2015 $ 189,454.42 SALA AUXILIAR DEL TRIBUNAL ESTATAL DE CONCILIACION Y ARBITRAJE SAT/167/2015 $ 285,789.60 SALA AUXILIAR DEL TRIBUNAL ESTATAL DE CONCILIACION Y ARBITRAJE SAT/185/2015 $ 381,450.00 SALA AUXILIAR DEL TRIBUNAL ESTATAL DE CONCILIACION Y ARBITRAJE SAT/315/2015 $ 2,146,265.12 SALA AUXILIAR DEL TRIBUNAL ESTATAL DE CONCILIACION Y ARBITRAJE SAT/320/2015 $ 1,561,574.94 SALA </w:t>
      </w:r>
      <w:r w:rsidRPr="007F4F3E">
        <w:lastRenderedPageBreak/>
        <w:t xml:space="preserve">AUXILIAR DEL TRIBUNAL ESTATAL DE CONCILIACION Y ARBITRAJE SAT/335/2015 $ 348,600.00 SALA AUXILIAR DEL TRIBUNAL ESTATAL DE CONCILIACION Y ARBITRAJE SAT/349/2015 $ 138,202.84 SALA AUXILIAR DEL TRIBUNAL ESTATAL DE CONCILIACION Y ARBITRAJE SAT/085/2016 $ 6,829,658.02 SALA AUXILIAR DEL TRIBUNAL ESTATAL DE CONCILIACION Y ARBITRAJE SAT/129/2016 $ 555,577.35 SALA AUXILIAR DEL TRIBUNAL ESTATAL DE CONCILIACION Y ARBITRAJE SAT/139/2016 $ 133,428.89 SALA AUXILIAR DEL TRIBUNAL ESTATAL DE CONCILIACION Y ARBITRAJE SAT/159/2016 $ 10,507,923.30 SALA AUXILIAR DEL TRIBUNAL ESTATAL DE CONCILIACION Y ARBITRAJE SAT/160/2016 $ 8,274,964.63 SALA AUXILIAR DEL TRIBUNAL ESTATAL DE CONCILIACION Y ARBITRAJE SAT/161/2016 $ 4,200,000.00 SALA AUXILIAR DEL TRIBUNAL ESTATAL DE CONCILIACION Y ARBITRAJE SAT/162/2016 $ 13,455,163.30 SALA AUXILIAR DEL TRIBUNAL ESTATAL DE CONCILIACION Y ARBITRAJE SAT/164/2016 $ 4,471,211.39 SALA AUXILIAR DEL TRIBUNAL ESTATAL DE CONCILIACION Y ARBITRAJE SAT/166/2016 $ 154,862.62 SALA AUXILIAR DEL TRIBUNAL ESTATAL DE CONCILIACION Y ARBITRAJE SAT/227/2016 $ 324,000.00 SALA AUXILIAR DEL TRIBUNAL ESTATAL DE CONCILIACION Y ARBITRAJE TECA/269/2016 $ 453,446.52 TRIBUNAL ESTATAL DE CONCILIACION Y ARBITRAJE SAT/322/2016 $ 186,478.20 SALA AUXILIAR DEL TRIBUNAL ESTATAL DE CONCILIACION Y ARBITRAJE SAT/384/2016 $ 2,921,325.00 SALA AUXILIAR DEL TRIBUNAL ESTATAL DE CONCILIACION Y ARBITRAJE SAT/427/2016 $ 2,023.00 SALA AUXILIAR DEL TRIBUNAL ESTATAL DE CONCILIACION Y ARBITRAJE SAT/521/2016 $ 108,000.00 SALA AUXILIAR DEL TRIBUNAL ESTATAL DE CONCILIACION Y ARBITRAJE SAT/524/2016 $ 789,600.00 SALA AUXILIAR DEL TRIBUNAL ESTATAL DE CONCILIACION Y ARBITRAJE SAT/531/2016 $ 816,677.45 SALA AUXILIAR DEL TRIBUNAL ESTATAL DE CONCILIACION Y ARBITRAJE SAT/566/2016 $ 413,300.00 SALA AUXILIAR DEL TRIBUNAL ESTATAL DE CONCILIACION Y ARBITRAJE SAT/594/2016 $ 100,974.60 SALA AUXILIAR DEL TRIBUNAL ESTATAL DE CONCILIACION Y ARBITRAJE SAT/625/2016 $ 618,999.84 SALA AUXILIAR DEL TRIBUNAL ESTATAL DE CONCILIACION Y ARBITRAJE SAT/635/2016 $ 723,333.15 SALA AUXILIAR DEL TRIBUNAL ESTATAL DE CONCILIACION Y ARBITRAJE SAT/696/2016 $ 1,136,001.62 SALA AUXILIAR DEL TRIBUNAL ESTATAL DE CONCILIACION Y ARBITRAJE SAT/720/2016 $ 136,936.52 SALA AUXILIAR DEL TRIBUNAL ESTATAL DE CONCILIACION Y ARBITRAJE SAT/724/2016 $ 152,526.24 SALA AUXILIAR DEL TRIBUNAL ESTATAL DE CONCILIACION Y ARBITRAJE SAT/729/2016 $ 328,855.11 SALA AUXILIAR DEL TRIBUNAL ESTATAL DE CONCILIACION Y ARBITRAJE SAT/740/2016 $ 17,552.28 SALA AUXILIAR DEL </w:t>
      </w:r>
      <w:r w:rsidRPr="007F4F3E">
        <w:lastRenderedPageBreak/>
        <w:t xml:space="preserve">TRIBUNAL ESTATAL DE CONCILIACION Y ARBITRAJE SAT/882/2016 $ 177,911.15 SALA AUXILIAR DEL TRIBUNAL ESTATAL DE CONCILIACION Y ARBITRAJE SAT/896/2016 $ 128,500.00 SALA AUXILIAR DEL TRIBUNAL ESTATAL DE CONCILIACION Y ARBITRAJE SAT/954/2016 $ 483,591.90 SALA AUXILIAR DEL TRIBUNAL ESTATAL DE CONCILIACION Y ARBITRAJE SAT/997/2016 $ 691,182.00 SALA AUXILIAR DEL TRIBUNAL ESTATAL DE CONCILIACION Y ARBITRAJE SAT/998/2016 $ 730,462.03 SALA AUXILIAR DEL TRIBUNAL ESTATAL DE CONCILIACION Y ARBITRAJE SAT/1002/2016 $ 471,236.40 SALA AUXILIAR DEL TRIBUNAL ESTATAL DE CONCILIACION Y ARBITRAJE SAT/1004/2016 $ 384,521.15 SALA AUXILIAR DEL TRIBUNAL ESTATAL DE CONCILIACION Y ARBITRAJE SAT/1006/2016 $ 820,874.55 SALA AUXILIAR DEL TRIBUNAL ESTATAL DE CONCILIACION Y ARBITRAJE SAT/170/2017 $ 719,628.61 SALA AUXILIAR DEL TRIBUNAL ESTATAL DE CONCILIACION Y ARBITRAJE SAT/249/2017 $ 216,000.00 SALA AUXILIAR DEL TRIBUNAL ESTATAL DE CONCILIACION Y ARBITRAJE SAT/304/2017 $ 747,972.77 SALA AUXILIAR DEL TRIBUNAL ESTATAL DE CONCILIACION Y ARBITRAJE SAT/364/2017 $ 240,000.00 SALA AUXILIAR DEL TRIBUNAL ESTATAL DE CONCILIACION Y ARBITRAJE SAT/366/2017 $ 172,983.60 SALA AUXILIAR DEL TRIBUNAL ESTATAL DE CONCILIACION Y ARBITRAJE SAT/385/2017 $ 103,790.16 SALA AUXILIAR DEL TRIBUNAL ESTATAL DE CONCILIACION Y ARBITRAJE SAT/537/2017 $ 115,000.00 SALA AUXILIAR DEL TRIBUNAL ESTATAL DE CONCILIACION Y ARBITRAJE SAT/636/2017 $ 174,960.00 SALA AUXILIAR DEL TRIBUNAL ESTATAL DE CONCILIACION Y ARBITRAJE SAT/01/2018 $ 84,002.06 SALA AUXILIAR DEL TRIBUNAL ESTATAL DE CONCILIACION Y ARBITRAJE SAT/03/2018 $ 1,047,089.34 SALA AUXILIAR DEL TRIBUNAL ESTATAL DE CONCILIACION Y ARBITRAJE SAT/22/2018 $ 432,302.40 SALA AUXILIAR DEL TRIBUNAL ESTATAL DE CONCILIACION Y ARBITRAJE SAT/24/2018 $ 570,265.92 SALA AUXILIAR DEL TRIBUNAL ESTATAL DE CONCILIACION Y ARBITRAJE SAT/68/2018 $ 590,760.00 SALA AUXILIAR DEL TRIBUNAL ESTATAL DE CONCILIACION Y ARBITRAJE SAT/120/2018 $ 195,600.00 SALA AUXILIAR DEL TRIBUNAL ESTATAL DE CONCILIACION Y ARBITRAJE SAT/139/2018 $ 681,612.66 SALA AUXILIAR DEL TRIBUNAL ESTATAL DE CONCILIACION Y ARBITRAJE SAT/183/2018 $ 151,180.11 SALA AUXILIAR DEL TRIBUNAL ESTATAL DE CONCILIACION Y ARBITRAJE TECA/327/2018 $ 2,117,934.62 TRIBUNAL ESTATAL DE CONCILIACION Y ARBITRAJE SAT/393/2018 $ 780,000.00 SALA AUXILIAR DEL TRIBUNAL ESTATAL DE CONCILIACION Y ARBITRAJE SAT/441/2018 $ 298,123.20 SALA AUXILIAR DEL TRIBUNAL ESTATAL DE CONCILIACION Y ARBITRAJE SAT/521/2018 $ 109,872.00 SALA AUXILIAR DEL TRIBUNAL </w:t>
      </w:r>
      <w:r w:rsidRPr="007F4F3E">
        <w:lastRenderedPageBreak/>
        <w:t>ESTATAL DE CONCILIACION Y ARBITRAJE TECA/555/2018 $ 2,489,718.86 TRIBUNAL ESTATAL DE CONCILIACION Y ARBITRAJE SAT/569/2018 $ 312,000.00 SALA AUXILIAR DEL TRIBUNAL ESTATAL DE CONCILIACION Y ARBITRAJE SAT/649/2018 $ 649,447.20 SALA AUXILIAR DEL TRIBUNAL ESTATAL DE CONCILIACION Y ARBITRAJE SAT/606/2021 $ 18,558,200.96 SALA AUXILIAR DEL TRIBUNAL ESTATAL DE CONCILIACION Y ARBITRAJE SAT/117/2007 $ 1,357,156.14 SALA AUXILIAR DEL TRIBUNAL ESTATAL DE CONCILIACION Y ARBITRAJE “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66DCF05E" w14:textId="77777777" w:rsidR="00546AF6" w:rsidRPr="007F4F3E" w:rsidRDefault="00546AF6" w:rsidP="007F4F3E"/>
    <w:p w14:paraId="118A41C2" w14:textId="77777777" w:rsidR="00546AF6" w:rsidRPr="007F4F3E" w:rsidRDefault="00546AF6" w:rsidP="007F4F3E">
      <w:pPr>
        <w:pStyle w:val="Puesto"/>
      </w:pPr>
      <w:r w:rsidRPr="007F4F3E">
        <w:t>ATENTAMENTE</w:t>
      </w:r>
    </w:p>
    <w:p w14:paraId="44FE20FB" w14:textId="77777777" w:rsidR="00546AF6" w:rsidRPr="007F4F3E" w:rsidRDefault="00546AF6" w:rsidP="007F4F3E"/>
    <w:p w14:paraId="4A08B1BE" w14:textId="00097218" w:rsidR="003B0255" w:rsidRPr="007F4F3E" w:rsidRDefault="00546AF6" w:rsidP="007F4F3E">
      <w:pPr>
        <w:pStyle w:val="Puesto"/>
      </w:pPr>
      <w:r w:rsidRPr="007F4F3E">
        <w:t>LIC. MARÍA CONCEPCIÓN CASTILLO LUGO</w:t>
      </w:r>
      <w:r w:rsidR="003B0255" w:rsidRPr="007F4F3E">
        <w:t>” (sic)</w:t>
      </w:r>
    </w:p>
    <w:p w14:paraId="4B1F18A0" w14:textId="77777777" w:rsidR="003B0255" w:rsidRPr="007F4F3E" w:rsidRDefault="003B0255" w:rsidP="007F4F3E"/>
    <w:p w14:paraId="171C7058" w14:textId="59575264" w:rsidR="00546AF6" w:rsidRPr="007F4F3E" w:rsidRDefault="003B0255" w:rsidP="007F4F3E">
      <w:pPr>
        <w:autoSpaceDE w:val="0"/>
        <w:autoSpaceDN w:val="0"/>
        <w:adjustRightInd w:val="0"/>
        <w:ind w:right="-28"/>
        <w:rPr>
          <w:rFonts w:cs="Tahoma"/>
          <w:szCs w:val="22"/>
          <w:lang w:val="es-ES"/>
        </w:rPr>
      </w:pPr>
      <w:r w:rsidRPr="007F4F3E">
        <w:rPr>
          <w:rFonts w:cs="Tahoma"/>
          <w:bCs/>
          <w:szCs w:val="22"/>
          <w:lang w:val="es-ES"/>
        </w:rPr>
        <w:t xml:space="preserve">Asimismo, </w:t>
      </w:r>
      <w:r w:rsidRPr="007F4F3E">
        <w:rPr>
          <w:rFonts w:cs="Tahoma"/>
          <w:b/>
          <w:szCs w:val="22"/>
          <w:lang w:val="es-ES"/>
        </w:rPr>
        <w:t xml:space="preserve">EL SUJETO OBLIGADO </w:t>
      </w:r>
      <w:r w:rsidRPr="007F4F3E">
        <w:rPr>
          <w:rFonts w:cs="Tahoma"/>
          <w:bCs/>
          <w:szCs w:val="22"/>
          <w:lang w:val="es-ES"/>
        </w:rPr>
        <w:t xml:space="preserve">adjuntó </w:t>
      </w:r>
      <w:r w:rsidR="00546AF6" w:rsidRPr="007F4F3E">
        <w:rPr>
          <w:rFonts w:cs="Tahoma"/>
          <w:bCs/>
          <w:szCs w:val="22"/>
          <w:lang w:val="es-ES"/>
        </w:rPr>
        <w:t xml:space="preserve">el archivo electrónico denominado </w:t>
      </w:r>
      <w:r w:rsidR="00546AF6" w:rsidRPr="007F4F3E">
        <w:rPr>
          <w:rFonts w:cs="Tahoma"/>
          <w:b/>
          <w:i/>
          <w:szCs w:val="22"/>
          <w:lang w:val="es-ES"/>
        </w:rPr>
        <w:t xml:space="preserve">006-16CUAUTIZC-IP-2024.pdf, </w:t>
      </w:r>
      <w:r w:rsidR="00546AF6" w:rsidRPr="007F4F3E">
        <w:rPr>
          <w:rFonts w:cs="Tahoma"/>
          <w:szCs w:val="22"/>
          <w:lang w:val="es-ES"/>
        </w:rPr>
        <w:t xml:space="preserve">el cual de su contenido se advierte la circular número DJ/02440/2024 del veintinueve de julio de dos mil veinticuatro, por medio del cual la Directora Jurídica enlista los </w:t>
      </w:r>
      <w:r w:rsidR="00165CD4" w:rsidRPr="007F4F3E">
        <w:rPr>
          <w:rFonts w:cs="Tahoma"/>
          <w:szCs w:val="22"/>
          <w:lang w:val="es-ES"/>
        </w:rPr>
        <w:t>número de expedientes c</w:t>
      </w:r>
      <w:r w:rsidR="008E0CF6" w:rsidRPr="007F4F3E">
        <w:rPr>
          <w:rFonts w:cs="Tahoma"/>
          <w:szCs w:val="22"/>
          <w:lang w:val="es-ES"/>
        </w:rPr>
        <w:t>on importe</w:t>
      </w:r>
      <w:r w:rsidR="00165CD4" w:rsidRPr="007F4F3E">
        <w:rPr>
          <w:rFonts w:cs="Tahoma"/>
          <w:szCs w:val="22"/>
          <w:lang w:val="es-ES"/>
        </w:rPr>
        <w:t xml:space="preserve"> estimado e instancia ante la que se encuentra el expediente.  </w:t>
      </w:r>
    </w:p>
    <w:p w14:paraId="02F2C348" w14:textId="77777777" w:rsidR="00546AF6" w:rsidRPr="007F4F3E" w:rsidRDefault="00546AF6" w:rsidP="007F4F3E">
      <w:pPr>
        <w:autoSpaceDE w:val="0"/>
        <w:autoSpaceDN w:val="0"/>
        <w:adjustRightInd w:val="0"/>
        <w:ind w:right="-28"/>
        <w:rPr>
          <w:rFonts w:cs="Tahoma"/>
          <w:szCs w:val="22"/>
          <w:lang w:val="es-ES"/>
        </w:rPr>
      </w:pPr>
    </w:p>
    <w:p w14:paraId="0F24A322" w14:textId="7F9E5F9A" w:rsidR="00B137E8" w:rsidRPr="007F4F3E" w:rsidRDefault="00B137E8" w:rsidP="007F4F3E">
      <w:pPr>
        <w:pStyle w:val="Ttulo2"/>
        <w:jc w:val="left"/>
      </w:pPr>
      <w:bookmarkStart w:id="12" w:name="_Toc171527280"/>
      <w:bookmarkStart w:id="13" w:name="_Toc176880096"/>
      <w:r w:rsidRPr="007F4F3E">
        <w:t>DEL RECURSO DE REVISIÓN</w:t>
      </w:r>
      <w:bookmarkEnd w:id="12"/>
      <w:bookmarkEnd w:id="13"/>
    </w:p>
    <w:p w14:paraId="2B216813" w14:textId="61ADBB2B" w:rsidR="00664420" w:rsidRPr="007F4F3E" w:rsidRDefault="006E25BC" w:rsidP="007F4F3E">
      <w:pPr>
        <w:pStyle w:val="Ttulo3"/>
      </w:pPr>
      <w:bookmarkStart w:id="14" w:name="_Toc176880097"/>
      <w:r w:rsidRPr="007F4F3E">
        <w:rPr>
          <w:szCs w:val="32"/>
        </w:rPr>
        <w:t>a)</w:t>
      </w:r>
      <w:r w:rsidRPr="007F4F3E">
        <w:t xml:space="preserve"> </w:t>
      </w:r>
      <w:r w:rsidR="00664420" w:rsidRPr="007F4F3E">
        <w:t>Interposición del Recurso de Revisión</w:t>
      </w:r>
      <w:bookmarkEnd w:id="14"/>
    </w:p>
    <w:p w14:paraId="6279C622" w14:textId="6DF2BBC8" w:rsidR="00664420" w:rsidRPr="007F4F3E" w:rsidRDefault="00664420" w:rsidP="007F4F3E">
      <w:pPr>
        <w:autoSpaceDE w:val="0"/>
        <w:autoSpaceDN w:val="0"/>
        <w:adjustRightInd w:val="0"/>
        <w:ind w:right="-28"/>
        <w:rPr>
          <w:rFonts w:cs="Tahoma"/>
          <w:szCs w:val="22"/>
        </w:rPr>
      </w:pPr>
      <w:r w:rsidRPr="007F4F3E">
        <w:rPr>
          <w:rFonts w:cs="Tahoma"/>
          <w:szCs w:val="22"/>
        </w:rPr>
        <w:t xml:space="preserve">El </w:t>
      </w:r>
      <w:r w:rsidR="00165CD4" w:rsidRPr="007F4F3E">
        <w:rPr>
          <w:rFonts w:cs="Tahoma"/>
          <w:b/>
          <w:bCs/>
          <w:szCs w:val="22"/>
        </w:rPr>
        <w:t xml:space="preserve">veintidós de agosto </w:t>
      </w:r>
      <w:r w:rsidR="00475FF6" w:rsidRPr="007F4F3E">
        <w:rPr>
          <w:rFonts w:cs="Tahoma"/>
          <w:b/>
          <w:bCs/>
          <w:szCs w:val="22"/>
        </w:rPr>
        <w:t xml:space="preserve">de </w:t>
      </w:r>
      <w:r w:rsidRPr="007F4F3E">
        <w:rPr>
          <w:rFonts w:cs="Tahoma"/>
          <w:b/>
          <w:bCs/>
          <w:szCs w:val="22"/>
        </w:rPr>
        <w:t>dos mil</w:t>
      </w:r>
      <w:r w:rsidR="00F45902" w:rsidRPr="007F4F3E">
        <w:rPr>
          <w:rFonts w:cs="Tahoma"/>
          <w:b/>
          <w:bCs/>
          <w:szCs w:val="22"/>
        </w:rPr>
        <w:t xml:space="preserve"> veinticuatro</w:t>
      </w:r>
      <w:r w:rsidRPr="007F4F3E">
        <w:rPr>
          <w:rFonts w:cs="Tahoma"/>
          <w:szCs w:val="22"/>
        </w:rPr>
        <w:t xml:space="preserve"> </w:t>
      </w:r>
      <w:r w:rsidR="00F75D23" w:rsidRPr="007F4F3E">
        <w:rPr>
          <w:rFonts w:cs="Tahoma"/>
          <w:b/>
          <w:bCs/>
          <w:szCs w:val="22"/>
        </w:rPr>
        <w:t>LA PARTE RECURRENTE</w:t>
      </w:r>
      <w:r w:rsidR="00F75D23" w:rsidRPr="007F4F3E">
        <w:rPr>
          <w:rFonts w:cs="Tahoma"/>
          <w:szCs w:val="22"/>
        </w:rPr>
        <w:t xml:space="preserve"> interpuso el recurso de revisión en contra de la respuesta emitida por el </w:t>
      </w:r>
      <w:r w:rsidR="00F75D23" w:rsidRPr="007F4F3E">
        <w:rPr>
          <w:rFonts w:cs="Tahoma"/>
          <w:b/>
          <w:bCs/>
          <w:szCs w:val="22"/>
        </w:rPr>
        <w:t>SUJETO OBLIGADO</w:t>
      </w:r>
      <w:r w:rsidR="00953430" w:rsidRPr="007F4F3E">
        <w:rPr>
          <w:rFonts w:cs="Tahoma"/>
          <w:szCs w:val="22"/>
        </w:rPr>
        <w:t xml:space="preserve">, mismo que fue registrado en el </w:t>
      </w:r>
      <w:r w:rsidR="00953430" w:rsidRPr="007F4F3E">
        <w:rPr>
          <w:rFonts w:cs="Tahoma"/>
          <w:b/>
          <w:szCs w:val="22"/>
        </w:rPr>
        <w:t>SAIMEX</w:t>
      </w:r>
      <w:r w:rsidR="00953430" w:rsidRPr="007F4F3E">
        <w:rPr>
          <w:rFonts w:cs="Tahoma"/>
          <w:szCs w:val="22"/>
        </w:rPr>
        <w:t xml:space="preserve"> con el número de expediente </w:t>
      </w:r>
      <w:r w:rsidR="00F45902" w:rsidRPr="007F4F3E">
        <w:rPr>
          <w:rFonts w:cs="Tahoma"/>
          <w:b/>
          <w:bCs/>
          <w:szCs w:val="22"/>
        </w:rPr>
        <w:t>0</w:t>
      </w:r>
      <w:r w:rsidR="00165CD4" w:rsidRPr="007F4F3E">
        <w:rPr>
          <w:rFonts w:cs="Tahoma"/>
          <w:b/>
          <w:bCs/>
          <w:szCs w:val="22"/>
        </w:rPr>
        <w:t>5062</w:t>
      </w:r>
      <w:r w:rsidR="00F45902" w:rsidRPr="007F4F3E">
        <w:rPr>
          <w:rFonts w:cs="Tahoma"/>
          <w:b/>
          <w:bCs/>
          <w:szCs w:val="22"/>
        </w:rPr>
        <w:t>/</w:t>
      </w:r>
      <w:r w:rsidR="00953430" w:rsidRPr="007F4F3E">
        <w:rPr>
          <w:rFonts w:cs="Tahoma"/>
          <w:b/>
          <w:bCs/>
          <w:szCs w:val="22"/>
        </w:rPr>
        <w:t>INFOEM/IP/RR/</w:t>
      </w:r>
      <w:r w:rsidR="00F45902" w:rsidRPr="007F4F3E">
        <w:rPr>
          <w:rFonts w:cs="Tahoma"/>
          <w:b/>
          <w:bCs/>
          <w:szCs w:val="22"/>
        </w:rPr>
        <w:t>2024</w:t>
      </w:r>
      <w:r w:rsidR="00953430" w:rsidRPr="007F4F3E">
        <w:rPr>
          <w:rFonts w:cs="Tahoma"/>
          <w:szCs w:val="22"/>
        </w:rPr>
        <w:t>, y en el cual manifiesta lo siguiente</w:t>
      </w:r>
      <w:r w:rsidRPr="007F4F3E">
        <w:rPr>
          <w:rFonts w:cs="Tahoma"/>
          <w:szCs w:val="22"/>
        </w:rPr>
        <w:t>:</w:t>
      </w:r>
    </w:p>
    <w:p w14:paraId="74B30008" w14:textId="77777777" w:rsidR="00664420" w:rsidRPr="007F4F3E" w:rsidRDefault="00664420" w:rsidP="007F4F3E">
      <w:pPr>
        <w:tabs>
          <w:tab w:val="left" w:pos="4667"/>
        </w:tabs>
        <w:ind w:right="539"/>
        <w:rPr>
          <w:rFonts w:cs="Tahoma"/>
          <w:szCs w:val="22"/>
        </w:rPr>
      </w:pPr>
    </w:p>
    <w:p w14:paraId="603D7341" w14:textId="1B31078B" w:rsidR="00220110" w:rsidRPr="007F4F3E" w:rsidRDefault="00664420" w:rsidP="007F4F3E">
      <w:pPr>
        <w:tabs>
          <w:tab w:val="left" w:pos="4667"/>
        </w:tabs>
        <w:ind w:right="539"/>
        <w:rPr>
          <w:rFonts w:cs="Tahoma"/>
          <w:b/>
          <w:iCs/>
        </w:rPr>
      </w:pPr>
      <w:r w:rsidRPr="007F4F3E">
        <w:rPr>
          <w:rFonts w:cs="Tahoma"/>
          <w:b/>
          <w:iCs/>
        </w:rPr>
        <w:lastRenderedPageBreak/>
        <w:t>ACTO IMPUGNADO</w:t>
      </w:r>
      <w:r w:rsidR="00462CD4" w:rsidRPr="007F4F3E">
        <w:rPr>
          <w:rFonts w:cs="Tahoma"/>
          <w:b/>
          <w:iCs/>
        </w:rPr>
        <w:t xml:space="preserve">: </w:t>
      </w:r>
    </w:p>
    <w:p w14:paraId="210245B1" w14:textId="77777777" w:rsidR="00220110" w:rsidRPr="007F4F3E" w:rsidRDefault="00220110" w:rsidP="007F4F3E">
      <w:pPr>
        <w:pStyle w:val="Puesto"/>
      </w:pPr>
    </w:p>
    <w:p w14:paraId="3934669B" w14:textId="799FDA83" w:rsidR="00462CD4" w:rsidRPr="007F4F3E" w:rsidRDefault="00220110" w:rsidP="007F4F3E">
      <w:pPr>
        <w:pStyle w:val="Puesto"/>
      </w:pPr>
      <w:r w:rsidRPr="007F4F3E">
        <w:t>“</w:t>
      </w:r>
      <w:r w:rsidR="00165CD4" w:rsidRPr="007F4F3E">
        <w:t>Respuesta</w:t>
      </w:r>
      <w:r w:rsidRPr="007F4F3E">
        <w:t xml:space="preserve">” (sic) </w:t>
      </w:r>
    </w:p>
    <w:p w14:paraId="1A0B46EC" w14:textId="77777777" w:rsidR="00165CD4" w:rsidRPr="007F4F3E" w:rsidRDefault="00165CD4" w:rsidP="007F4F3E"/>
    <w:p w14:paraId="3DAC7B8A" w14:textId="4AF0888D" w:rsidR="00165CD4" w:rsidRPr="007F4F3E" w:rsidRDefault="00165CD4" w:rsidP="007F4F3E">
      <w:pPr>
        <w:rPr>
          <w:rFonts w:cs="Tahoma"/>
          <w:b/>
          <w:iCs/>
        </w:rPr>
      </w:pPr>
      <w:r w:rsidRPr="007F4F3E">
        <w:rPr>
          <w:rFonts w:cs="Tahoma"/>
          <w:b/>
          <w:iCs/>
        </w:rPr>
        <w:t>RAZONES O MOTIVOS DE INCONFORMIDAD:</w:t>
      </w:r>
    </w:p>
    <w:p w14:paraId="6199236A" w14:textId="77777777" w:rsidR="00165CD4" w:rsidRPr="007F4F3E" w:rsidRDefault="00165CD4" w:rsidP="007F4F3E">
      <w:pPr>
        <w:rPr>
          <w:rFonts w:cs="Tahoma"/>
          <w:b/>
          <w:iCs/>
        </w:rPr>
      </w:pPr>
    </w:p>
    <w:p w14:paraId="08B36A69" w14:textId="412FB183" w:rsidR="00165CD4" w:rsidRPr="007F4F3E" w:rsidRDefault="00165CD4" w:rsidP="007F4F3E">
      <w:pPr>
        <w:pStyle w:val="Puesto"/>
      </w:pPr>
      <w:r w:rsidRPr="007F4F3E">
        <w:t xml:space="preserve">“No remiten el expediente, no solicite el número de expediente sino el expediente.” (sic) </w:t>
      </w:r>
    </w:p>
    <w:p w14:paraId="769189AC" w14:textId="77777777" w:rsidR="00165CD4" w:rsidRPr="007F4F3E" w:rsidRDefault="00165CD4" w:rsidP="007F4F3E"/>
    <w:p w14:paraId="6804DEF1" w14:textId="3C4F6CB5" w:rsidR="00664420" w:rsidRPr="007F4F3E" w:rsidRDefault="006E25BC" w:rsidP="007F4F3E">
      <w:pPr>
        <w:pStyle w:val="Ttulo3"/>
      </w:pPr>
      <w:bookmarkStart w:id="15" w:name="_Toc176880098"/>
      <w:r w:rsidRPr="007F4F3E">
        <w:t>b</w:t>
      </w:r>
      <w:r w:rsidR="00664420" w:rsidRPr="007F4F3E">
        <w:t>) Turno del Recurso de Revisión</w:t>
      </w:r>
      <w:bookmarkEnd w:id="15"/>
    </w:p>
    <w:p w14:paraId="1173671B" w14:textId="6261162A" w:rsidR="00C72DAA" w:rsidRPr="007F4F3E" w:rsidRDefault="00C72DAA" w:rsidP="007F4F3E">
      <w:r w:rsidRPr="007F4F3E">
        <w:t>Con fundamento en el artículo 185, fracción I de la Ley de Transparencia y Acceso a la Información Pública del Estado de México y Municipios, el</w:t>
      </w:r>
      <w:r w:rsidRPr="007F4F3E">
        <w:rPr>
          <w:b/>
          <w:bCs/>
        </w:rPr>
        <w:t xml:space="preserve"> </w:t>
      </w:r>
      <w:r w:rsidR="00165CD4" w:rsidRPr="007F4F3E">
        <w:rPr>
          <w:rFonts w:cs="Tahoma"/>
          <w:b/>
          <w:bCs/>
          <w:szCs w:val="22"/>
        </w:rPr>
        <w:t xml:space="preserve">veintidós </w:t>
      </w:r>
      <w:r w:rsidR="00220110" w:rsidRPr="007F4F3E">
        <w:rPr>
          <w:rFonts w:eastAsia="Palatino Linotype" w:cs="Palatino Linotype"/>
          <w:b/>
        </w:rPr>
        <w:t xml:space="preserve">de </w:t>
      </w:r>
      <w:r w:rsidR="00165CD4" w:rsidRPr="007F4F3E">
        <w:rPr>
          <w:rFonts w:eastAsia="Palatino Linotype" w:cs="Palatino Linotype"/>
          <w:b/>
        </w:rPr>
        <w:t xml:space="preserve">agosto </w:t>
      </w:r>
      <w:r w:rsidRPr="007F4F3E">
        <w:rPr>
          <w:rFonts w:eastAsia="Palatino Linotype" w:cs="Palatino Linotype"/>
          <w:b/>
        </w:rPr>
        <w:t xml:space="preserve">de dos mil </w:t>
      </w:r>
      <w:r w:rsidR="00657603" w:rsidRPr="007F4F3E">
        <w:rPr>
          <w:rFonts w:eastAsia="Palatino Linotype" w:cs="Palatino Linotype"/>
          <w:b/>
        </w:rPr>
        <w:t xml:space="preserve">veinticuatro </w:t>
      </w:r>
      <w:r w:rsidRPr="007F4F3E">
        <w:t>se turnó el recurso de revisión a través del</w:t>
      </w:r>
      <w:r w:rsidRPr="007F4F3E">
        <w:rPr>
          <w:rFonts w:eastAsia="Arial Unicode MS"/>
        </w:rPr>
        <w:t xml:space="preserve"> </w:t>
      </w:r>
      <w:r w:rsidRPr="007F4F3E">
        <w:rPr>
          <w:rFonts w:eastAsia="Arial Unicode MS"/>
          <w:bCs/>
        </w:rPr>
        <w:t>SAIMEX</w:t>
      </w:r>
      <w:r w:rsidRPr="007F4F3E">
        <w:t xml:space="preserve"> a la </w:t>
      </w:r>
      <w:r w:rsidRPr="007F4F3E">
        <w:rPr>
          <w:b/>
        </w:rPr>
        <w:t>Comisionada Sharon Cristina Morales Martínez</w:t>
      </w:r>
      <w:r w:rsidRPr="007F4F3E">
        <w:rPr>
          <w:bCs/>
        </w:rPr>
        <w:t xml:space="preserve">, </w:t>
      </w:r>
      <w:r w:rsidRPr="007F4F3E">
        <w:t xml:space="preserve">a efecto de decretar su admisión o desechamiento. </w:t>
      </w:r>
    </w:p>
    <w:p w14:paraId="18F305CB" w14:textId="77777777" w:rsidR="00664420" w:rsidRPr="007F4F3E" w:rsidRDefault="00664420" w:rsidP="007F4F3E">
      <w:pPr>
        <w:rPr>
          <w:rFonts w:eastAsia="Batang" w:cs="Tahoma"/>
          <w:bCs/>
          <w:szCs w:val="22"/>
        </w:rPr>
      </w:pPr>
    </w:p>
    <w:p w14:paraId="3E31EC2D" w14:textId="295256A1" w:rsidR="00664420" w:rsidRPr="007F4F3E" w:rsidRDefault="006E25BC" w:rsidP="007F4F3E">
      <w:pPr>
        <w:pStyle w:val="Ttulo3"/>
      </w:pPr>
      <w:bookmarkStart w:id="16" w:name="_Toc176880099"/>
      <w:r w:rsidRPr="007F4F3E">
        <w:t>c</w:t>
      </w:r>
      <w:r w:rsidR="00664420" w:rsidRPr="007F4F3E">
        <w:t>) Admisión del Recurso de Revisión</w:t>
      </w:r>
      <w:bookmarkEnd w:id="16"/>
    </w:p>
    <w:p w14:paraId="240447D5" w14:textId="13FB11E4" w:rsidR="000E09C4" w:rsidRPr="007F4F3E" w:rsidRDefault="000E09C4" w:rsidP="007F4F3E">
      <w:pPr>
        <w:rPr>
          <w:rFonts w:cs="Arial"/>
        </w:rPr>
      </w:pPr>
      <w:r w:rsidRPr="007F4F3E">
        <w:rPr>
          <w:rFonts w:cs="Arial"/>
        </w:rPr>
        <w:t xml:space="preserve">El </w:t>
      </w:r>
      <w:r w:rsidR="00165CD4" w:rsidRPr="007F4F3E">
        <w:rPr>
          <w:rFonts w:eastAsia="Palatino Linotype" w:cs="Palatino Linotype"/>
          <w:b/>
        </w:rPr>
        <w:t xml:space="preserve">veintitrés </w:t>
      </w:r>
      <w:r w:rsidR="00462CD4" w:rsidRPr="007F4F3E">
        <w:rPr>
          <w:rFonts w:eastAsia="Palatino Linotype" w:cs="Palatino Linotype"/>
          <w:b/>
        </w:rPr>
        <w:t xml:space="preserve">de agosto </w:t>
      </w:r>
      <w:r w:rsidR="003A67CC" w:rsidRPr="007F4F3E">
        <w:rPr>
          <w:rFonts w:eastAsia="Palatino Linotype" w:cs="Palatino Linotype"/>
          <w:b/>
        </w:rPr>
        <w:t>d</w:t>
      </w:r>
      <w:r w:rsidR="00657603" w:rsidRPr="007F4F3E">
        <w:rPr>
          <w:rFonts w:eastAsia="Palatino Linotype" w:cs="Palatino Linotype"/>
          <w:b/>
        </w:rPr>
        <w:t>e dos mil veinticuatro</w:t>
      </w:r>
      <w:r w:rsidRPr="007F4F3E">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F4F3E">
        <w:rPr>
          <w:rFonts w:cs="Arial"/>
        </w:rPr>
        <w:t>, fracción II</w:t>
      </w:r>
      <w:r w:rsidRPr="007F4F3E">
        <w:rPr>
          <w:rFonts w:cs="Arial"/>
        </w:rPr>
        <w:t xml:space="preserve"> de la Ley de Transparencia y Acceso a la Información Pública del Estado de México y Municipios.</w:t>
      </w:r>
    </w:p>
    <w:p w14:paraId="34EC3F86" w14:textId="77777777" w:rsidR="00D2790D" w:rsidRPr="007F4F3E" w:rsidRDefault="00D2790D" w:rsidP="007F4F3E">
      <w:pPr>
        <w:rPr>
          <w:rFonts w:cs="Arial"/>
        </w:rPr>
      </w:pPr>
    </w:p>
    <w:p w14:paraId="3B820F58" w14:textId="503F9071" w:rsidR="00865CF4" w:rsidRPr="007F4F3E" w:rsidRDefault="0075751F" w:rsidP="007F4F3E">
      <w:pPr>
        <w:pStyle w:val="Ttulo3"/>
      </w:pPr>
      <w:bookmarkStart w:id="17" w:name="_Toc176880100"/>
      <w:r w:rsidRPr="007F4F3E">
        <w:t>d</w:t>
      </w:r>
      <w:r w:rsidR="00664420" w:rsidRPr="007F4F3E">
        <w:t xml:space="preserve">) </w:t>
      </w:r>
      <w:r w:rsidR="00865CF4" w:rsidRPr="007F4F3E">
        <w:t>Informe Justificado del Sujeto Obligado</w:t>
      </w:r>
      <w:bookmarkEnd w:id="17"/>
    </w:p>
    <w:p w14:paraId="4421E5B5" w14:textId="31D6EF9D" w:rsidR="00F07A85" w:rsidRPr="007F4F3E" w:rsidRDefault="00165CD4" w:rsidP="007F4F3E">
      <w:pPr>
        <w:rPr>
          <w:rFonts w:cs="Tahoma"/>
          <w:szCs w:val="24"/>
        </w:rPr>
      </w:pPr>
      <w:r w:rsidRPr="007F4F3E">
        <w:rPr>
          <w:rFonts w:cs="Tahoma"/>
          <w:bCs/>
          <w:szCs w:val="24"/>
        </w:rPr>
        <w:t xml:space="preserve">El </w:t>
      </w:r>
      <w:r w:rsidRPr="007F4F3E">
        <w:rPr>
          <w:rFonts w:cs="Tahoma"/>
          <w:b/>
          <w:szCs w:val="24"/>
        </w:rPr>
        <w:t>tres de septiembre de dos mil veinticuatro EL SUJETO OBLIGADO</w:t>
      </w:r>
      <w:r w:rsidRPr="007F4F3E">
        <w:rPr>
          <w:rFonts w:cs="Tahoma"/>
          <w:bCs/>
          <w:szCs w:val="24"/>
        </w:rPr>
        <w:t xml:space="preserve"> rindió su informe justificado a través del </w:t>
      </w:r>
      <w:r w:rsidRPr="007F4F3E">
        <w:rPr>
          <w:rFonts w:cs="Tahoma"/>
          <w:b/>
          <w:bCs/>
          <w:szCs w:val="24"/>
        </w:rPr>
        <w:t>SAIMEX</w:t>
      </w:r>
      <w:r w:rsidRPr="007F4F3E">
        <w:rPr>
          <w:rFonts w:cs="Tahoma"/>
          <w:bCs/>
          <w:szCs w:val="24"/>
        </w:rPr>
        <w:t xml:space="preserve">, </w:t>
      </w:r>
      <w:bookmarkStart w:id="18" w:name="_Hlk165379932"/>
      <w:r w:rsidRPr="007F4F3E">
        <w:rPr>
          <w:rFonts w:cs="Tahoma"/>
          <w:bCs/>
          <w:szCs w:val="24"/>
        </w:rPr>
        <w:t>ajuntando para ello el archivo electrónico denominado</w:t>
      </w:r>
      <w:r w:rsidR="00F07A85" w:rsidRPr="007F4F3E">
        <w:rPr>
          <w:rFonts w:cs="Tahoma"/>
          <w:bCs/>
          <w:szCs w:val="24"/>
        </w:rPr>
        <w:t xml:space="preserve"> </w:t>
      </w:r>
      <w:r w:rsidR="00F07A85" w:rsidRPr="007F4F3E">
        <w:rPr>
          <w:rFonts w:cs="Tahoma"/>
          <w:b/>
          <w:i/>
          <w:szCs w:val="24"/>
        </w:rPr>
        <w:t xml:space="preserve">INFORME JUSTIFICADO 5062-2024.pdf, </w:t>
      </w:r>
      <w:r w:rsidR="00F07A85" w:rsidRPr="007F4F3E">
        <w:rPr>
          <w:rFonts w:cs="Tahoma"/>
          <w:szCs w:val="24"/>
        </w:rPr>
        <w:t xml:space="preserve">el cual contiene los siguientes documentos: </w:t>
      </w:r>
    </w:p>
    <w:p w14:paraId="44CAC43B" w14:textId="77777777" w:rsidR="00F07A85" w:rsidRPr="007F4F3E" w:rsidRDefault="00F07A85" w:rsidP="007F4F3E">
      <w:pPr>
        <w:rPr>
          <w:rFonts w:cs="Tahoma"/>
          <w:szCs w:val="24"/>
        </w:rPr>
      </w:pPr>
    </w:p>
    <w:p w14:paraId="3578BFEB" w14:textId="2C295672" w:rsidR="00F07A85" w:rsidRPr="007F4F3E" w:rsidRDefault="00F07A85" w:rsidP="007F4F3E">
      <w:pPr>
        <w:pStyle w:val="Prrafodelista"/>
        <w:numPr>
          <w:ilvl w:val="0"/>
          <w:numId w:val="46"/>
        </w:numPr>
        <w:rPr>
          <w:rFonts w:cs="Tahoma"/>
          <w:bCs/>
          <w:szCs w:val="24"/>
        </w:rPr>
      </w:pPr>
      <w:r w:rsidRPr="007F4F3E">
        <w:rPr>
          <w:rFonts w:cs="Tahoma"/>
          <w:bCs/>
          <w:szCs w:val="24"/>
        </w:rPr>
        <w:lastRenderedPageBreak/>
        <w:t xml:space="preserve">Oficio número PM/CUT/0973/2024 del veintiséis de agosto de dos mil veinticuatro, por medio del cual la Coordinadora de Transparencia, solicitó a la Directora Jurídica conformará sus alegatos y anexara si Informe Justificado respecto del asunto que nos ocupa. </w:t>
      </w:r>
    </w:p>
    <w:p w14:paraId="48E60E3C" w14:textId="2744A65E" w:rsidR="00F07A85" w:rsidRPr="007F4F3E" w:rsidRDefault="00F07A85" w:rsidP="007F4F3E">
      <w:pPr>
        <w:pStyle w:val="Prrafodelista"/>
        <w:numPr>
          <w:ilvl w:val="0"/>
          <w:numId w:val="46"/>
        </w:numPr>
        <w:rPr>
          <w:rFonts w:cs="Tahoma"/>
          <w:bCs/>
          <w:szCs w:val="24"/>
        </w:rPr>
      </w:pPr>
      <w:r w:rsidRPr="007F4F3E">
        <w:rPr>
          <w:rFonts w:cs="Tahoma"/>
          <w:bCs/>
          <w:szCs w:val="24"/>
        </w:rPr>
        <w:t>Circular número DJ/02961/2024 del dos de septiembre de dos mil veinticuatro, por medio del cual la Directora Jurídica, medularmente refiere que de la solicitud no se advierte que haya solicitado el expediente, razón por la que en aras de atender la información se otorgó el número de expediente, monto y autoridad ante la que se encuentra. Asimismo informa que los expedientes no se encuentran en la Dirección Jurídica a razón de que los originales obran en el Tribunal Estatal de Conciliación y Arbitraje por ser la autorida</w:t>
      </w:r>
      <w:r w:rsidR="008E0CF6" w:rsidRPr="007F4F3E">
        <w:rPr>
          <w:rFonts w:cs="Tahoma"/>
          <w:bCs/>
          <w:szCs w:val="24"/>
        </w:rPr>
        <w:t xml:space="preserve">d competente para substanciadora y por lo que toca a los expedientes del Ayuntamiento, informa que los mismos se encuentran en poder del Despacho Laboral a razón de ser el despacho jurídico externo contratado por el Ayuntamiento para dirimir las controversias en materia laboral. </w:t>
      </w:r>
    </w:p>
    <w:p w14:paraId="2BB47729" w14:textId="77777777" w:rsidR="008E0CF6" w:rsidRPr="007F4F3E" w:rsidRDefault="008E0CF6" w:rsidP="007F4F3E">
      <w:pPr>
        <w:rPr>
          <w:rFonts w:cs="Tahoma"/>
          <w:bCs/>
          <w:szCs w:val="24"/>
        </w:rPr>
      </w:pPr>
    </w:p>
    <w:bookmarkEnd w:id="18"/>
    <w:p w14:paraId="4F5A5946" w14:textId="6309CCDD" w:rsidR="00165CD4" w:rsidRPr="007F4F3E" w:rsidRDefault="00165CD4" w:rsidP="007F4F3E">
      <w:pPr>
        <w:rPr>
          <w:rFonts w:cs="Tahoma"/>
          <w:bCs/>
          <w:szCs w:val="24"/>
        </w:rPr>
      </w:pPr>
      <w:r w:rsidRPr="007F4F3E">
        <w:rPr>
          <w:rFonts w:cs="Tahoma"/>
          <w:bCs/>
          <w:szCs w:val="24"/>
        </w:rPr>
        <w:t xml:space="preserve">Esta información fue puesta a la vista de </w:t>
      </w:r>
      <w:r w:rsidRPr="007F4F3E">
        <w:rPr>
          <w:rFonts w:cs="Tahoma"/>
          <w:b/>
          <w:szCs w:val="24"/>
        </w:rPr>
        <w:t xml:space="preserve">LA PARTE RECURRENTE </w:t>
      </w:r>
      <w:r w:rsidRPr="007F4F3E">
        <w:rPr>
          <w:rFonts w:cs="Tahoma"/>
          <w:bCs/>
          <w:szCs w:val="24"/>
        </w:rPr>
        <w:t xml:space="preserve">el </w:t>
      </w:r>
      <w:r w:rsidR="008E0CF6" w:rsidRPr="007F4F3E">
        <w:rPr>
          <w:rFonts w:cs="Tahoma"/>
          <w:b/>
          <w:szCs w:val="24"/>
        </w:rPr>
        <w:t xml:space="preserve">tres </w:t>
      </w:r>
      <w:r w:rsidRPr="007F4F3E">
        <w:rPr>
          <w:rFonts w:cs="Tahoma"/>
          <w:b/>
          <w:szCs w:val="24"/>
        </w:rPr>
        <w:t xml:space="preserve">de </w:t>
      </w:r>
      <w:r w:rsidR="008E0CF6" w:rsidRPr="007F4F3E">
        <w:rPr>
          <w:rFonts w:cs="Tahoma"/>
          <w:b/>
          <w:szCs w:val="24"/>
        </w:rPr>
        <w:t xml:space="preserve">septiembre </w:t>
      </w:r>
      <w:r w:rsidRPr="007F4F3E">
        <w:rPr>
          <w:rFonts w:cs="Tahoma"/>
          <w:b/>
          <w:szCs w:val="24"/>
        </w:rPr>
        <w:t>de dos mil veinticuatro</w:t>
      </w:r>
      <w:r w:rsidRPr="007F4F3E">
        <w:rPr>
          <w:rFonts w:cs="Tahoma"/>
          <w:bCs/>
          <w:szCs w:val="24"/>
        </w:rPr>
        <w:t xml:space="preserve"> para que, en un plazo de tres días hábiles, manifestara lo que a su derecho conviniera, de conformidad con lo establecido en el </w:t>
      </w:r>
      <w:r w:rsidRPr="007F4F3E">
        <w:rPr>
          <w:rFonts w:cs="Arial"/>
        </w:rPr>
        <w:t>artículo 185, fracción III de la Ley de Transparencia y Acceso a la Información Pública del Estado de México y Municipios</w:t>
      </w:r>
      <w:r w:rsidRPr="007F4F3E">
        <w:rPr>
          <w:rFonts w:cs="Tahoma"/>
          <w:bCs/>
          <w:szCs w:val="24"/>
        </w:rPr>
        <w:t>.</w:t>
      </w:r>
    </w:p>
    <w:p w14:paraId="581FBC01" w14:textId="77777777" w:rsidR="00165CD4" w:rsidRPr="007F4F3E" w:rsidRDefault="00165CD4" w:rsidP="007F4F3E">
      <w:pPr>
        <w:rPr>
          <w:rFonts w:cs="Tahoma"/>
          <w:bCs/>
          <w:szCs w:val="24"/>
        </w:rPr>
      </w:pPr>
    </w:p>
    <w:p w14:paraId="755B7730" w14:textId="3EA3E31D" w:rsidR="00664420" w:rsidRPr="007F4F3E" w:rsidRDefault="0075751F" w:rsidP="007F4F3E">
      <w:pPr>
        <w:pStyle w:val="Ttulo3"/>
        <w:rPr>
          <w:lang w:val="es-ES"/>
        </w:rPr>
      </w:pPr>
      <w:bookmarkStart w:id="19" w:name="_Toc176880101"/>
      <w:r w:rsidRPr="007F4F3E">
        <w:rPr>
          <w:rFonts w:eastAsia="Calibri"/>
          <w:bCs/>
          <w:lang w:eastAsia="en-US"/>
        </w:rPr>
        <w:t>e</w:t>
      </w:r>
      <w:r w:rsidR="00664420" w:rsidRPr="007F4F3E">
        <w:rPr>
          <w:rFonts w:eastAsia="Calibri"/>
          <w:bCs/>
          <w:lang w:eastAsia="en-US"/>
        </w:rPr>
        <w:t>)</w:t>
      </w:r>
      <w:r w:rsidR="00664420" w:rsidRPr="007F4F3E">
        <w:t xml:space="preserve"> </w:t>
      </w:r>
      <w:r w:rsidR="00865CF4" w:rsidRPr="007F4F3E">
        <w:rPr>
          <w:lang w:val="es-ES"/>
        </w:rPr>
        <w:t>Manifestaciones de la Parte Recurrente</w:t>
      </w:r>
      <w:bookmarkEnd w:id="19"/>
    </w:p>
    <w:p w14:paraId="4E8AF011" w14:textId="77777777" w:rsidR="00865CF4" w:rsidRPr="007F4F3E" w:rsidRDefault="00865CF4" w:rsidP="007F4F3E">
      <w:pPr>
        <w:rPr>
          <w:rFonts w:eastAsia="Arial Unicode MS" w:cs="Arial"/>
        </w:rPr>
      </w:pPr>
      <w:r w:rsidRPr="007F4F3E">
        <w:rPr>
          <w:rFonts w:cs="Tahoma"/>
          <w:b/>
          <w:szCs w:val="24"/>
        </w:rPr>
        <w:t xml:space="preserve">LA PARTE RECURRENTE </w:t>
      </w:r>
      <w:r w:rsidRPr="007F4F3E">
        <w:rPr>
          <w:rFonts w:eastAsia="Arial Unicode MS" w:cs="Arial"/>
        </w:rPr>
        <w:t>no realizó manifestación alguna dentro del término legalmente concedido para tal efecto, ni presentó pruebas o alegatos.</w:t>
      </w:r>
    </w:p>
    <w:p w14:paraId="43289D82" w14:textId="77777777" w:rsidR="00865CF4" w:rsidRPr="007F4F3E" w:rsidRDefault="00865CF4" w:rsidP="007F4F3E">
      <w:pPr>
        <w:rPr>
          <w:rFonts w:eastAsia="Arial Unicode MS" w:cs="Arial"/>
        </w:rPr>
      </w:pPr>
    </w:p>
    <w:p w14:paraId="0E651988" w14:textId="07B7DBA4" w:rsidR="00664420" w:rsidRPr="007F4F3E" w:rsidRDefault="007517BD" w:rsidP="007F4F3E">
      <w:pPr>
        <w:pStyle w:val="Ttulo3"/>
      </w:pPr>
      <w:bookmarkStart w:id="20" w:name="_Toc176880102"/>
      <w:r w:rsidRPr="007F4F3E">
        <w:rPr>
          <w:rFonts w:eastAsia="Calibri"/>
        </w:rPr>
        <w:lastRenderedPageBreak/>
        <w:t xml:space="preserve">f) </w:t>
      </w:r>
      <w:r w:rsidR="00664420" w:rsidRPr="007F4F3E">
        <w:t>Cierre de instrucción</w:t>
      </w:r>
      <w:bookmarkEnd w:id="20"/>
    </w:p>
    <w:p w14:paraId="79AF95DC" w14:textId="0FE8A2A5" w:rsidR="00664420" w:rsidRPr="007F4F3E" w:rsidRDefault="00BF091A" w:rsidP="007F4F3E">
      <w:r w:rsidRPr="007F4F3E">
        <w:rPr>
          <w:rFonts w:cs="Tahoma"/>
          <w:szCs w:val="22"/>
        </w:rPr>
        <w:t>Al no existir diligencias pendientes por desahogar</w:t>
      </w:r>
      <w:r w:rsidRPr="007F4F3E">
        <w:rPr>
          <w:rFonts w:cs="Arial"/>
        </w:rPr>
        <w:t xml:space="preserve">, el </w:t>
      </w:r>
      <w:bookmarkStart w:id="21" w:name="_Hlk104892386"/>
      <w:r w:rsidR="008E0CF6" w:rsidRPr="007F4F3E">
        <w:rPr>
          <w:rFonts w:cs="Arial"/>
          <w:b/>
        </w:rPr>
        <w:t xml:space="preserve">diez de septiembre </w:t>
      </w:r>
      <w:bookmarkEnd w:id="21"/>
      <w:r w:rsidRPr="007F4F3E">
        <w:rPr>
          <w:rFonts w:cs="Arial"/>
          <w:b/>
        </w:rPr>
        <w:t xml:space="preserve">de dos mil </w:t>
      </w:r>
      <w:r w:rsidR="0075751F" w:rsidRPr="007F4F3E">
        <w:rPr>
          <w:rFonts w:cs="Arial"/>
          <w:b/>
        </w:rPr>
        <w:t xml:space="preserve">veinticuatro </w:t>
      </w:r>
      <w:r w:rsidRPr="007F4F3E">
        <w:rPr>
          <w:rFonts w:cs="Arial"/>
        </w:rPr>
        <w:t xml:space="preserve">la </w:t>
      </w:r>
      <w:r w:rsidRPr="007F4F3E">
        <w:rPr>
          <w:rFonts w:cs="Arial"/>
          <w:b/>
          <w:bCs/>
        </w:rPr>
        <w:t xml:space="preserve">Comisionada </w:t>
      </w:r>
      <w:r w:rsidRPr="007F4F3E">
        <w:rPr>
          <w:b/>
        </w:rPr>
        <w:t xml:space="preserve">Sharon Cristina Morales Martínez </w:t>
      </w:r>
      <w:r w:rsidRPr="007F4F3E">
        <w:rPr>
          <w:rFonts w:cs="Arial"/>
        </w:rPr>
        <w:t>acordó el cierre de instrucción</w:t>
      </w:r>
      <w:r w:rsidR="0011350D" w:rsidRPr="007F4F3E">
        <w:rPr>
          <w:rFonts w:cs="Arial"/>
        </w:rPr>
        <w:t xml:space="preserve"> y</w:t>
      </w:r>
      <w:r w:rsidRPr="007F4F3E">
        <w:rPr>
          <w:rFonts w:cs="Arial"/>
        </w:rPr>
        <w:t xml:space="preserve"> </w:t>
      </w:r>
      <w:r w:rsidR="0011350D" w:rsidRPr="007F4F3E">
        <w:rPr>
          <w:rFonts w:cs="Arial"/>
        </w:rPr>
        <w:t xml:space="preserve">la </w:t>
      </w:r>
      <w:r w:rsidRPr="007F4F3E">
        <w:rPr>
          <w:rFonts w:cs="Arial"/>
        </w:rPr>
        <w:t>remisión del expediente a efecto de ser resuelto, de conformidad con lo establecido en el artículo 185 fracciones VI y VIII de la Ley de Transparencia y Acceso a la Información Pública del Estado de México y Municipios</w:t>
      </w:r>
      <w:r w:rsidRPr="007F4F3E">
        <w:t>.</w:t>
      </w:r>
      <w:r w:rsidR="0011350D" w:rsidRPr="007F4F3E">
        <w:t xml:space="preserve"> Dicho acuerdo </w:t>
      </w:r>
      <w:r w:rsidR="00664420" w:rsidRPr="007F4F3E">
        <w:rPr>
          <w:rFonts w:cs="Tahoma"/>
          <w:szCs w:val="22"/>
        </w:rPr>
        <w:t xml:space="preserve">fue notificado a las partes el mismo día a través del </w:t>
      </w:r>
      <w:r w:rsidR="00664420" w:rsidRPr="007F4F3E">
        <w:rPr>
          <w:rFonts w:cs="Tahoma"/>
          <w:szCs w:val="22"/>
          <w:lang w:val="es-ES"/>
        </w:rPr>
        <w:t>SAIMEX</w:t>
      </w:r>
      <w:r w:rsidR="00664420" w:rsidRPr="007F4F3E">
        <w:rPr>
          <w:rFonts w:cs="Tahoma"/>
          <w:szCs w:val="22"/>
        </w:rPr>
        <w:t>.</w:t>
      </w:r>
    </w:p>
    <w:p w14:paraId="741683E3" w14:textId="77777777" w:rsidR="0011350D" w:rsidRPr="007F4F3E" w:rsidRDefault="0011350D" w:rsidP="007F4F3E">
      <w:pPr>
        <w:rPr>
          <w:rFonts w:cs="Tahoma"/>
          <w:szCs w:val="22"/>
        </w:rPr>
      </w:pPr>
    </w:p>
    <w:p w14:paraId="7A9629DE" w14:textId="77777777" w:rsidR="00664420" w:rsidRPr="007F4F3E" w:rsidRDefault="00664420" w:rsidP="007F4F3E">
      <w:pPr>
        <w:pStyle w:val="Ttulo1"/>
        <w:rPr>
          <w:rFonts w:eastAsiaTheme="minorHAnsi"/>
          <w:lang w:eastAsia="en-US"/>
        </w:rPr>
      </w:pPr>
      <w:bookmarkStart w:id="22" w:name="_Toc176880103"/>
      <w:r w:rsidRPr="007F4F3E">
        <w:rPr>
          <w:rFonts w:eastAsiaTheme="minorHAnsi"/>
          <w:lang w:eastAsia="en-US"/>
        </w:rPr>
        <w:t>CONSIDERANDOS</w:t>
      </w:r>
      <w:bookmarkEnd w:id="22"/>
    </w:p>
    <w:p w14:paraId="6DD1243B" w14:textId="77777777" w:rsidR="00664420" w:rsidRPr="007F4F3E" w:rsidRDefault="00664420" w:rsidP="007F4F3E">
      <w:pPr>
        <w:contextualSpacing/>
        <w:jc w:val="center"/>
        <w:rPr>
          <w:rFonts w:eastAsiaTheme="minorHAnsi" w:cs="Tahoma"/>
          <w:b/>
          <w:szCs w:val="22"/>
          <w:lang w:eastAsia="en-US"/>
        </w:rPr>
      </w:pPr>
    </w:p>
    <w:p w14:paraId="0B67CB92" w14:textId="2E307D3B" w:rsidR="00664420" w:rsidRPr="007F4F3E" w:rsidRDefault="00664420" w:rsidP="007F4F3E">
      <w:pPr>
        <w:pStyle w:val="Ttulo2"/>
        <w:rPr>
          <w:rFonts w:eastAsia="Batang"/>
        </w:rPr>
      </w:pPr>
      <w:bookmarkStart w:id="23" w:name="_Toc176880104"/>
      <w:r w:rsidRPr="007F4F3E">
        <w:rPr>
          <w:rFonts w:eastAsia="Batang"/>
        </w:rPr>
        <w:t xml:space="preserve">PRIMERO. </w:t>
      </w:r>
      <w:r w:rsidR="00BA55A8" w:rsidRPr="007F4F3E">
        <w:rPr>
          <w:rFonts w:eastAsia="Batang"/>
        </w:rPr>
        <w:t>Procedibilidad</w:t>
      </w:r>
      <w:bookmarkEnd w:id="23"/>
    </w:p>
    <w:p w14:paraId="39C52BC1" w14:textId="56FCC20D" w:rsidR="00BA55A8" w:rsidRPr="007F4F3E" w:rsidRDefault="00BA55A8" w:rsidP="007F4F3E">
      <w:pPr>
        <w:pStyle w:val="Ttulo3"/>
      </w:pPr>
      <w:bookmarkStart w:id="24" w:name="_Toc176880105"/>
      <w:r w:rsidRPr="007F4F3E">
        <w:t>a) Competencia</w:t>
      </w:r>
      <w:r w:rsidR="00150C49" w:rsidRPr="007F4F3E">
        <w:t xml:space="preserve"> del Instituto</w:t>
      </w:r>
      <w:bookmarkEnd w:id="24"/>
    </w:p>
    <w:p w14:paraId="56E64942" w14:textId="6572EDF7" w:rsidR="0011350D" w:rsidRPr="007F4F3E" w:rsidRDefault="0011350D" w:rsidP="007F4F3E">
      <w:pPr>
        <w:rPr>
          <w:rFonts w:cs="Arial"/>
        </w:rPr>
      </w:pPr>
      <w:r w:rsidRPr="007F4F3E">
        <w:t xml:space="preserve">Este Instituto de Transparencia, Acceso a la Información Pública y Protección de Datos Personales del Estado de México y Municipios es competente para conocer y resolver </w:t>
      </w:r>
      <w:r w:rsidR="005F65B7" w:rsidRPr="007F4F3E">
        <w:t xml:space="preserve">el </w:t>
      </w:r>
      <w:r w:rsidRPr="007F4F3E">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F4F3E">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7F4F3E" w:rsidRDefault="00DB1C09" w:rsidP="007F4F3E">
      <w:pPr>
        <w:rPr>
          <w:rFonts w:cs="Arial"/>
        </w:rPr>
      </w:pPr>
    </w:p>
    <w:p w14:paraId="517A2DD6" w14:textId="4169BE4D" w:rsidR="00664420" w:rsidRPr="007F4F3E" w:rsidRDefault="00BA55A8" w:rsidP="007F4F3E">
      <w:pPr>
        <w:pStyle w:val="Ttulo3"/>
      </w:pPr>
      <w:bookmarkStart w:id="25" w:name="_Toc176880106"/>
      <w:r w:rsidRPr="007F4F3E">
        <w:lastRenderedPageBreak/>
        <w:t>b)</w:t>
      </w:r>
      <w:r w:rsidR="00664420" w:rsidRPr="007F4F3E">
        <w:t xml:space="preserve"> </w:t>
      </w:r>
      <w:r w:rsidR="00D91CB4" w:rsidRPr="007F4F3E">
        <w:t>Legitimidad</w:t>
      </w:r>
      <w:r w:rsidRPr="007F4F3E">
        <w:t xml:space="preserve"> de la parte recurrente</w:t>
      </w:r>
      <w:bookmarkEnd w:id="25"/>
    </w:p>
    <w:p w14:paraId="26FEA382" w14:textId="0B06695C" w:rsidR="00D91CB4" w:rsidRPr="007F4F3E" w:rsidRDefault="00D91CB4" w:rsidP="007F4F3E">
      <w:pPr>
        <w:rPr>
          <w:rFonts w:cs="Arial"/>
          <w:bCs/>
        </w:rPr>
      </w:pPr>
      <w:r w:rsidRPr="007F4F3E">
        <w:rPr>
          <w:rFonts w:cs="Arial"/>
          <w:bCs/>
        </w:rPr>
        <w:t>El recurso de revisión fue interpuesto por parte legítima, ya que se presentó por la misma persona que formuló la solicitud de acceso a la Información Pública,</w:t>
      </w:r>
      <w:r w:rsidRPr="007F4F3E">
        <w:rPr>
          <w:rFonts w:cs="Arial"/>
          <w:b/>
          <w:bCs/>
        </w:rPr>
        <w:t xml:space="preserve"> </w:t>
      </w:r>
      <w:r w:rsidRPr="007F4F3E">
        <w:rPr>
          <w:rFonts w:cs="Arial"/>
        </w:rPr>
        <w:t>debido a que los datos de acceso</w:t>
      </w:r>
      <w:r w:rsidRPr="007F4F3E">
        <w:rPr>
          <w:rFonts w:cs="Arial"/>
          <w:b/>
          <w:bCs/>
        </w:rPr>
        <w:t xml:space="preserve"> </w:t>
      </w:r>
      <w:r w:rsidRPr="007F4F3E">
        <w:rPr>
          <w:rFonts w:cs="Arial"/>
          <w:b/>
        </w:rPr>
        <w:t>SAIMEX</w:t>
      </w:r>
      <w:r w:rsidRPr="007F4F3E">
        <w:rPr>
          <w:rFonts w:eastAsia="Calibri" w:cs="Arial"/>
          <w:lang w:eastAsia="en-US"/>
        </w:rPr>
        <w:t xml:space="preserve"> son personales e irrepetibles.</w:t>
      </w:r>
    </w:p>
    <w:p w14:paraId="2C367810" w14:textId="77777777" w:rsidR="00D91CB4" w:rsidRPr="007F4F3E" w:rsidRDefault="00D91CB4" w:rsidP="007F4F3E"/>
    <w:p w14:paraId="5C5FA5A8" w14:textId="77777777" w:rsidR="004565C2" w:rsidRPr="007F4F3E" w:rsidRDefault="004565C2" w:rsidP="007F4F3E">
      <w:pPr>
        <w:pStyle w:val="Ttulo3"/>
        <w:rPr>
          <w:rFonts w:eastAsia="Calibri"/>
          <w:lang w:eastAsia="es-ES_tradnl"/>
        </w:rPr>
      </w:pPr>
      <w:bookmarkStart w:id="26" w:name="_Toc170932820"/>
      <w:bookmarkStart w:id="27" w:name="_Toc176880107"/>
      <w:r w:rsidRPr="007F4F3E">
        <w:rPr>
          <w:rFonts w:eastAsia="Calibri"/>
          <w:lang w:eastAsia="es-ES_tradnl"/>
        </w:rPr>
        <w:t>c) Plazo para interponer el recurso</w:t>
      </w:r>
      <w:bookmarkEnd w:id="26"/>
      <w:bookmarkEnd w:id="27"/>
    </w:p>
    <w:p w14:paraId="5C63152A" w14:textId="20727C71" w:rsidR="004565C2" w:rsidRPr="007F4F3E" w:rsidRDefault="004565C2" w:rsidP="007F4F3E">
      <w:pPr>
        <w:rPr>
          <w:rFonts w:eastAsiaTheme="minorEastAsia" w:cs="Arial"/>
          <w:lang w:val="es-ES_tradnl"/>
        </w:rPr>
      </w:pPr>
      <w:r w:rsidRPr="007F4F3E">
        <w:rPr>
          <w:rFonts w:cs="Arial"/>
          <w:b/>
        </w:rPr>
        <w:t>EL SUJETO OBLIGADO</w:t>
      </w:r>
      <w:r w:rsidRPr="007F4F3E">
        <w:rPr>
          <w:rFonts w:cs="Arial"/>
        </w:rPr>
        <w:t xml:space="preserve"> notificó la respuesta a la solicitud de acceso a la Información Pública el </w:t>
      </w:r>
      <w:r w:rsidR="008E0CF6" w:rsidRPr="007F4F3E">
        <w:rPr>
          <w:rFonts w:eastAsia="Palatino Linotype" w:cs="Palatino Linotype"/>
          <w:b/>
        </w:rPr>
        <w:t xml:space="preserve">catorce de agosto </w:t>
      </w:r>
      <w:r w:rsidR="009E45F2" w:rsidRPr="007F4F3E">
        <w:rPr>
          <w:rFonts w:eastAsia="Palatino Linotype" w:cs="Palatino Linotype"/>
          <w:b/>
        </w:rPr>
        <w:t>de</w:t>
      </w:r>
      <w:r w:rsidRPr="007F4F3E">
        <w:rPr>
          <w:rFonts w:eastAsia="Palatino Linotype" w:cs="Palatino Linotype"/>
          <w:b/>
        </w:rPr>
        <w:t xml:space="preserve"> dos mil veinticuatro </w:t>
      </w:r>
      <w:r w:rsidRPr="007F4F3E">
        <w:rPr>
          <w:rFonts w:cs="Arial"/>
        </w:rPr>
        <w:t xml:space="preserve">y el recurso </w:t>
      </w:r>
      <w:r w:rsidRPr="007F4F3E">
        <w:rPr>
          <w:rFonts w:eastAsia="Palatino Linotype" w:cs="Palatino Linotype"/>
        </w:rPr>
        <w:t xml:space="preserve">que nos ocupa se interpuso el </w:t>
      </w:r>
      <w:r w:rsidR="008E0CF6" w:rsidRPr="007F4F3E">
        <w:rPr>
          <w:rFonts w:eastAsia="Palatino Linotype" w:cs="Palatino Linotype"/>
          <w:b/>
        </w:rPr>
        <w:t xml:space="preserve">veintidós </w:t>
      </w:r>
      <w:r w:rsidR="00E53D98" w:rsidRPr="007F4F3E">
        <w:rPr>
          <w:rFonts w:eastAsia="Palatino Linotype" w:cs="Palatino Linotype"/>
          <w:b/>
        </w:rPr>
        <w:t xml:space="preserve">de </w:t>
      </w:r>
      <w:r w:rsidR="008E0CF6" w:rsidRPr="007F4F3E">
        <w:rPr>
          <w:rFonts w:eastAsia="Palatino Linotype" w:cs="Palatino Linotype"/>
          <w:b/>
        </w:rPr>
        <w:t xml:space="preserve">agosto </w:t>
      </w:r>
      <w:r w:rsidRPr="007F4F3E">
        <w:rPr>
          <w:rFonts w:eastAsia="Palatino Linotype" w:cs="Palatino Linotype"/>
          <w:b/>
        </w:rPr>
        <w:t>de dos mil veinticuatro</w:t>
      </w:r>
      <w:r w:rsidRPr="007F4F3E">
        <w:rPr>
          <w:rFonts w:eastAsia="Palatino Linotype" w:cs="Palatino Linotype"/>
          <w:bCs/>
        </w:rPr>
        <w:t>;</w:t>
      </w:r>
      <w:r w:rsidRPr="007F4F3E">
        <w:rPr>
          <w:rFonts w:eastAsia="Palatino Linotype" w:cs="Palatino Linotype"/>
        </w:rPr>
        <w:t xml:space="preserve"> por lo tanto, éste se encuentra dentro del margen temporal previsto en el artículo 178 de la </w:t>
      </w:r>
      <w:r w:rsidRPr="007F4F3E">
        <w:rPr>
          <w:rFonts w:cs="Arial"/>
        </w:rPr>
        <w:t xml:space="preserve">Ley de Transparencia y Acceso a la Información Pública del Estado de México y Municipios, </w:t>
      </w:r>
      <w:r w:rsidRPr="007F4F3E">
        <w:rPr>
          <w:rFonts w:eastAsia="Calibri"/>
          <w:lang w:eastAsia="es-ES_tradnl"/>
        </w:rPr>
        <w:t xml:space="preserve">el cual </w:t>
      </w:r>
      <w:r w:rsidRPr="007F4F3E">
        <w:rPr>
          <w:rFonts w:cs="Arial"/>
        </w:rPr>
        <w:t xml:space="preserve">transcurrió del </w:t>
      </w:r>
      <w:r w:rsidR="008E0CF6" w:rsidRPr="007F4F3E">
        <w:rPr>
          <w:rFonts w:cs="Arial"/>
          <w:b/>
        </w:rPr>
        <w:t xml:space="preserve">quince de agosto al cuatro de septiembre </w:t>
      </w:r>
      <w:r w:rsidR="009E45F2" w:rsidRPr="007F4F3E">
        <w:rPr>
          <w:rFonts w:cs="Arial"/>
          <w:b/>
        </w:rPr>
        <w:t>d</w:t>
      </w:r>
      <w:r w:rsidRPr="007F4F3E">
        <w:rPr>
          <w:rFonts w:cs="Arial"/>
          <w:b/>
        </w:rPr>
        <w:t>e dos mil veinticuatro</w:t>
      </w:r>
      <w:r w:rsidRPr="007F4F3E">
        <w:rPr>
          <w:rFonts w:cs="Arial"/>
        </w:rPr>
        <w:t xml:space="preserve">, </w:t>
      </w:r>
      <w:r w:rsidRPr="007F4F3E">
        <w:rPr>
          <w:rFonts w:eastAsiaTheme="minorEastAsia" w:cs="Arial"/>
          <w:lang w:val="es-ES_tradnl"/>
        </w:rPr>
        <w:t xml:space="preserve">sin contemplar en el cómputo los días </w:t>
      </w:r>
      <w:bookmarkStart w:id="28" w:name="_Hlk62134391"/>
      <w:r w:rsidRPr="007F4F3E">
        <w:rPr>
          <w:rFonts w:eastAsiaTheme="minorEastAsia" w:cs="Arial"/>
          <w:lang w:val="es-ES_tradnl"/>
        </w:rPr>
        <w:t xml:space="preserve">sábados, domingos y aquellos considerados como días inhábiles en términos del </w:t>
      </w:r>
      <w:bookmarkEnd w:id="28"/>
      <w:r w:rsidRPr="007F4F3E">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7F4F3E" w:rsidRDefault="004565C2" w:rsidP="007F4F3E"/>
    <w:p w14:paraId="46C0EB3A" w14:textId="5A92AF42" w:rsidR="00A53315" w:rsidRPr="007F4F3E" w:rsidRDefault="00BA55A8" w:rsidP="007F4F3E">
      <w:pPr>
        <w:pStyle w:val="Ttulo3"/>
        <w:rPr>
          <w:rFonts w:eastAsia="Calibri"/>
          <w:lang w:eastAsia="es-ES_tradnl"/>
        </w:rPr>
      </w:pPr>
      <w:bookmarkStart w:id="29" w:name="_Toc176880108"/>
      <w:r w:rsidRPr="007F4F3E">
        <w:rPr>
          <w:rFonts w:eastAsia="Calibri"/>
          <w:lang w:eastAsia="es-ES_tradnl"/>
        </w:rPr>
        <w:t>d)</w:t>
      </w:r>
      <w:r w:rsidR="00D91CB4" w:rsidRPr="007F4F3E">
        <w:rPr>
          <w:rFonts w:eastAsia="Calibri"/>
          <w:lang w:eastAsia="es-ES_tradnl"/>
        </w:rPr>
        <w:t xml:space="preserve"> </w:t>
      </w:r>
      <w:r w:rsidR="004565C2" w:rsidRPr="007F4F3E">
        <w:rPr>
          <w:rFonts w:eastAsia="Calibri"/>
          <w:lang w:eastAsia="es-ES_tradnl"/>
        </w:rPr>
        <w:t>Causal de procedencia</w:t>
      </w:r>
      <w:bookmarkEnd w:id="29"/>
    </w:p>
    <w:p w14:paraId="190404A6" w14:textId="631CB199" w:rsidR="00BA55A8" w:rsidRPr="007F4F3E" w:rsidRDefault="00BA55A8" w:rsidP="007F4F3E">
      <w:r w:rsidRPr="007F4F3E">
        <w:rPr>
          <w:rFonts w:cs="Arial"/>
        </w:rPr>
        <w:t xml:space="preserve">Resulta procedente la interposición del recurso de revisión, ya que </w:t>
      </w:r>
      <w:r w:rsidRPr="007F4F3E">
        <w:rPr>
          <w:rFonts w:eastAsia="Calibri" w:cs="Tahoma"/>
          <w:szCs w:val="22"/>
          <w:lang w:eastAsia="es-MX"/>
        </w:rPr>
        <w:t xml:space="preserve">se actualiza la causal de procedencia señalada en el artículo 179, fracción </w:t>
      </w:r>
      <w:r w:rsidR="00E53D98" w:rsidRPr="007F4F3E">
        <w:rPr>
          <w:rFonts w:eastAsia="Calibri" w:cs="Tahoma"/>
          <w:szCs w:val="22"/>
          <w:lang w:eastAsia="es-MX"/>
        </w:rPr>
        <w:t>V</w:t>
      </w:r>
      <w:r w:rsidR="008E0CF6" w:rsidRPr="007F4F3E">
        <w:rPr>
          <w:rFonts w:eastAsia="Calibri" w:cs="Tahoma"/>
          <w:szCs w:val="22"/>
          <w:lang w:eastAsia="es-MX"/>
        </w:rPr>
        <w:t>I</w:t>
      </w:r>
      <w:r w:rsidR="009E45F2" w:rsidRPr="007F4F3E">
        <w:rPr>
          <w:rFonts w:cs="Arial"/>
        </w:rPr>
        <w:t xml:space="preserve"> </w:t>
      </w:r>
      <w:r w:rsidRPr="007F4F3E">
        <w:rPr>
          <w:rFonts w:cs="Arial"/>
        </w:rPr>
        <w:t xml:space="preserve">de la </w:t>
      </w:r>
      <w:r w:rsidRPr="007F4F3E">
        <w:t>Ley de Transparencia y Acceso a la Información Pública del Estado de México y Municipios.</w:t>
      </w:r>
    </w:p>
    <w:p w14:paraId="0EFF7141" w14:textId="77777777" w:rsidR="00362A11" w:rsidRPr="007F4F3E" w:rsidRDefault="00362A11" w:rsidP="007F4F3E"/>
    <w:p w14:paraId="2284D7EB" w14:textId="3EE1D036" w:rsidR="00BA55A8" w:rsidRPr="007F4F3E" w:rsidRDefault="00362A11" w:rsidP="007F4F3E">
      <w:pPr>
        <w:pStyle w:val="Ttulo3"/>
      </w:pPr>
      <w:bookmarkStart w:id="30" w:name="_Toc176880109"/>
      <w:r w:rsidRPr="007F4F3E">
        <w:t>e) Requisitos formales para la interposición del recurso</w:t>
      </w:r>
      <w:bookmarkEnd w:id="30"/>
    </w:p>
    <w:p w14:paraId="677C7009" w14:textId="77777777" w:rsidR="00185C7C" w:rsidRPr="007F4F3E" w:rsidRDefault="00185C7C" w:rsidP="007F4F3E">
      <w:pPr>
        <w:rPr>
          <w:rFonts w:cs="Arial"/>
        </w:rPr>
      </w:pPr>
      <w:r w:rsidRPr="007F4F3E">
        <w:rPr>
          <w:rFonts w:cs="Arial"/>
          <w:b/>
          <w:bCs/>
        </w:rPr>
        <w:t xml:space="preserve">LA PARTE RECURRENTE </w:t>
      </w:r>
      <w:r w:rsidRPr="007F4F3E">
        <w:rPr>
          <w:rFonts w:cs="Arial"/>
        </w:rPr>
        <w:t>acreditó todos y cada uno de los elementos formales exigidos por el artículo 180 de la misma normatividad.</w:t>
      </w:r>
    </w:p>
    <w:p w14:paraId="2BE2EBCD" w14:textId="77777777" w:rsidR="00185C7C" w:rsidRPr="007F4F3E" w:rsidRDefault="00185C7C" w:rsidP="007F4F3E">
      <w:pPr>
        <w:rPr>
          <w:rFonts w:cs="Arial"/>
        </w:rPr>
      </w:pPr>
    </w:p>
    <w:p w14:paraId="3B7CEBD8" w14:textId="77777777" w:rsidR="00185C7C" w:rsidRPr="007F4F3E" w:rsidRDefault="00185C7C" w:rsidP="007F4F3E">
      <w:pPr>
        <w:rPr>
          <w:rFonts w:cs="Arial"/>
          <w:sz w:val="24"/>
          <w:szCs w:val="24"/>
          <w:lang w:val="es-ES"/>
        </w:rPr>
      </w:pPr>
      <w:r w:rsidRPr="007F4F3E">
        <w:rPr>
          <w:sz w:val="24"/>
          <w:szCs w:val="24"/>
          <w:lang w:val="es-ES"/>
        </w:rPr>
        <w:lastRenderedPageBreak/>
        <w:t xml:space="preserve">Sin embargo, es importante mencionar que, de la revisión del expediente electrónico del </w:t>
      </w:r>
      <w:r w:rsidRPr="007F4F3E">
        <w:rPr>
          <w:b/>
          <w:bCs/>
          <w:sz w:val="24"/>
          <w:szCs w:val="24"/>
          <w:lang w:val="es-ES"/>
        </w:rPr>
        <w:t>SAIMEX</w:t>
      </w:r>
      <w:r w:rsidRPr="007F4F3E">
        <w:rPr>
          <w:bCs/>
          <w:sz w:val="24"/>
          <w:szCs w:val="24"/>
          <w:lang w:val="es-ES"/>
        </w:rPr>
        <w:t>,</w:t>
      </w:r>
      <w:r w:rsidRPr="007F4F3E">
        <w:rPr>
          <w:sz w:val="24"/>
          <w:szCs w:val="24"/>
          <w:lang w:val="es-ES"/>
        </w:rPr>
        <w:t xml:space="preserve"> se observa que </w:t>
      </w:r>
      <w:r w:rsidRPr="007F4F3E">
        <w:rPr>
          <w:b/>
          <w:bCs/>
          <w:sz w:val="24"/>
          <w:szCs w:val="24"/>
          <w:lang w:val="es-ES"/>
        </w:rPr>
        <w:t>LA PARTE RECURRENTE</w:t>
      </w:r>
      <w:r w:rsidRPr="007F4F3E">
        <w:rPr>
          <w:sz w:val="24"/>
          <w:szCs w:val="24"/>
          <w:lang w:val="es-ES"/>
        </w:rPr>
        <w:t xml:space="preserve"> no proporcionó su nombre para ser identificado, lo que en estricto sentido provoca que </w:t>
      </w:r>
      <w:r w:rsidRPr="007F4F3E">
        <w:rPr>
          <w:rFonts w:cs="Arial"/>
          <w:sz w:val="24"/>
          <w:szCs w:val="24"/>
          <w:lang w:val="es-ES"/>
        </w:rPr>
        <w:t>no</w:t>
      </w:r>
      <w:r w:rsidRPr="007F4F3E">
        <w:rPr>
          <w:sz w:val="24"/>
          <w:szCs w:val="24"/>
          <w:lang w:val="es-ES"/>
        </w:rPr>
        <w:t xml:space="preserve"> se colmen los requisitos establecidos en el artículo 180 de la Ley de Transparencia; sin embargo, el artículo 15 de </w:t>
      </w:r>
      <w:r w:rsidRPr="007F4F3E">
        <w:rPr>
          <w:rFonts w:cs="Arial"/>
          <w:sz w:val="24"/>
          <w:szCs w:val="24"/>
          <w:lang w:val="es-ES" w:eastAsia="es-MX"/>
        </w:rPr>
        <w:t xml:space="preserve">Ley de Transparencia y Acceso a la </w:t>
      </w:r>
      <w:r w:rsidRPr="007F4F3E">
        <w:rPr>
          <w:rFonts w:cs="Arial"/>
          <w:sz w:val="24"/>
          <w:szCs w:val="24"/>
          <w:lang w:val="es-ES"/>
        </w:rPr>
        <w:t>Información</w:t>
      </w:r>
      <w:r w:rsidRPr="007F4F3E">
        <w:rPr>
          <w:rFonts w:cs="Arial"/>
          <w:sz w:val="24"/>
          <w:szCs w:val="24"/>
          <w:lang w:val="es-ES" w:eastAsia="es-MX"/>
        </w:rPr>
        <w:t xml:space="preserve"> Pública del Estado de México y Municipios </w:t>
      </w:r>
      <w:r w:rsidRPr="007F4F3E">
        <w:rPr>
          <w:rFonts w:cs="Arial"/>
          <w:iCs/>
          <w:sz w:val="24"/>
          <w:szCs w:val="24"/>
          <w:lang w:val="es-ES"/>
        </w:rPr>
        <w:t xml:space="preserve">prevé que </w:t>
      </w:r>
      <w:r w:rsidRPr="007F4F3E">
        <w:rPr>
          <w:sz w:val="24"/>
          <w:szCs w:val="24"/>
          <w:lang w:val="es-ES"/>
        </w:rPr>
        <w:t xml:space="preserve">toda persona tendrá acceso a la información </w:t>
      </w:r>
      <w:r w:rsidRPr="007F4F3E">
        <w:rPr>
          <w:rFonts w:cs="Arial"/>
          <w:sz w:val="24"/>
          <w:szCs w:val="24"/>
          <w:lang w:val="es-ES"/>
        </w:rPr>
        <w:t xml:space="preserve">sin necesidad de acreditar interés alguno o justificar su utilización, de lo que se infiere que </w:t>
      </w:r>
      <w:r w:rsidRPr="007F4F3E">
        <w:rPr>
          <w:rFonts w:cs="Arial"/>
          <w:b/>
          <w:sz w:val="24"/>
          <w:szCs w:val="24"/>
          <w:u w:val="single"/>
          <w:lang w:val="es-ES"/>
        </w:rPr>
        <w:t xml:space="preserve">el nombre no es un requisito </w:t>
      </w:r>
      <w:r w:rsidRPr="007F4F3E">
        <w:rPr>
          <w:rFonts w:cs="Arial"/>
          <w:b/>
          <w:iCs/>
          <w:sz w:val="24"/>
          <w:szCs w:val="24"/>
          <w:u w:val="single"/>
          <w:lang w:val="es-ES"/>
        </w:rPr>
        <w:t>indispensable</w:t>
      </w:r>
      <w:r w:rsidRPr="007F4F3E">
        <w:rPr>
          <w:rFonts w:cs="Arial"/>
          <w:sz w:val="24"/>
          <w:szCs w:val="24"/>
          <w:lang w:val="es-ES"/>
        </w:rPr>
        <w:t xml:space="preserve"> para que las y los ciudadanos ejerzan el derecho de acceso a la información pública. </w:t>
      </w:r>
    </w:p>
    <w:p w14:paraId="4270852D" w14:textId="77777777" w:rsidR="00185C7C" w:rsidRPr="007F4F3E" w:rsidRDefault="00185C7C" w:rsidP="007F4F3E">
      <w:pPr>
        <w:rPr>
          <w:rFonts w:cs="Arial"/>
          <w:sz w:val="24"/>
          <w:szCs w:val="24"/>
          <w:lang w:val="es-ES"/>
        </w:rPr>
      </w:pPr>
    </w:p>
    <w:p w14:paraId="71B1E2AA" w14:textId="77777777" w:rsidR="00185C7C" w:rsidRPr="007F4F3E" w:rsidRDefault="00185C7C" w:rsidP="007F4F3E">
      <w:pPr>
        <w:rPr>
          <w:sz w:val="24"/>
          <w:szCs w:val="24"/>
          <w:lang w:val="es-ES"/>
        </w:rPr>
      </w:pPr>
      <w:r w:rsidRPr="007F4F3E">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7F4F3E">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7F4F3E">
        <w:rPr>
          <w:b/>
          <w:bCs/>
          <w:sz w:val="24"/>
          <w:szCs w:val="24"/>
          <w:lang w:val="es-ES"/>
        </w:rPr>
        <w:t>LA PARTE RECURRENTE</w:t>
      </w:r>
      <w:r w:rsidRPr="007F4F3E">
        <w:rPr>
          <w:rFonts w:cs="Arial"/>
          <w:b/>
          <w:sz w:val="24"/>
          <w:szCs w:val="24"/>
          <w:lang w:val="es-ES"/>
        </w:rPr>
        <w:t>;</w:t>
      </w:r>
      <w:r w:rsidRPr="007F4F3E">
        <w:rPr>
          <w:sz w:val="24"/>
          <w:szCs w:val="24"/>
          <w:lang w:val="es-ES"/>
        </w:rPr>
        <w:t xml:space="preserve"> por lo que, en el presente caso, al haber sido presentado el recurso de revisión vía </w:t>
      </w:r>
      <w:r w:rsidRPr="007F4F3E">
        <w:rPr>
          <w:bCs/>
          <w:sz w:val="24"/>
          <w:szCs w:val="24"/>
          <w:lang w:val="es-ES"/>
        </w:rPr>
        <w:t>SAIMEX</w:t>
      </w:r>
      <w:r w:rsidRPr="007F4F3E">
        <w:rPr>
          <w:sz w:val="24"/>
          <w:szCs w:val="24"/>
          <w:lang w:val="es-ES"/>
        </w:rPr>
        <w:t>, dicho requisito resulta innecesario.</w:t>
      </w:r>
    </w:p>
    <w:p w14:paraId="20BDA7EE" w14:textId="77777777" w:rsidR="005F5301" w:rsidRPr="007F4F3E" w:rsidRDefault="005F5301" w:rsidP="007F4F3E">
      <w:pPr>
        <w:rPr>
          <w:rFonts w:cs="Arial"/>
        </w:rPr>
      </w:pPr>
    </w:p>
    <w:p w14:paraId="457548E9" w14:textId="3F7AF03B" w:rsidR="00C71CEF" w:rsidRPr="007F4F3E" w:rsidRDefault="00C71CEF" w:rsidP="007F4F3E">
      <w:pPr>
        <w:pStyle w:val="Ttulo2"/>
      </w:pPr>
      <w:bookmarkStart w:id="31" w:name="_Toc176880110"/>
      <w:r w:rsidRPr="007F4F3E">
        <w:t>SEGUNDO. Estudio de Fondo</w:t>
      </w:r>
      <w:bookmarkEnd w:id="31"/>
    </w:p>
    <w:p w14:paraId="2A308F59" w14:textId="0FF373F0" w:rsidR="00C049E2" w:rsidRPr="007F4F3E" w:rsidRDefault="00C71CEF" w:rsidP="007F4F3E">
      <w:pPr>
        <w:pStyle w:val="Ttulo3"/>
      </w:pPr>
      <w:bookmarkStart w:id="32" w:name="_Toc176880111"/>
      <w:r w:rsidRPr="007F4F3E">
        <w:t>a</w:t>
      </w:r>
      <w:r w:rsidR="00C049E2" w:rsidRPr="007F4F3E">
        <w:t>) Mandato de transparencia y responsabilidad del Sujeto Obligado</w:t>
      </w:r>
      <w:bookmarkEnd w:id="32"/>
    </w:p>
    <w:p w14:paraId="6901A889" w14:textId="59EEDAE1" w:rsidR="00C049E2" w:rsidRPr="007F4F3E" w:rsidRDefault="00C049E2" w:rsidP="007F4F3E">
      <w:pPr>
        <w:rPr>
          <w:rFonts w:eastAsia="Palatino Linotype"/>
        </w:rPr>
      </w:pPr>
      <w:r w:rsidRPr="007F4F3E">
        <w:rPr>
          <w:rFonts w:eastAsia="Palatino Linotype"/>
        </w:rPr>
        <w:t xml:space="preserve">El </w:t>
      </w:r>
      <w:r w:rsidR="00717E59" w:rsidRPr="007F4F3E">
        <w:rPr>
          <w:rFonts w:eastAsia="Palatino Linotype"/>
        </w:rPr>
        <w:t>d</w:t>
      </w:r>
      <w:r w:rsidRPr="007F4F3E">
        <w:rPr>
          <w:rFonts w:eastAsia="Palatino Linotype"/>
        </w:rPr>
        <w:t xml:space="preserve">erecho de </w:t>
      </w:r>
      <w:r w:rsidR="00717E59" w:rsidRPr="007F4F3E">
        <w:rPr>
          <w:rFonts w:eastAsia="Palatino Linotype"/>
        </w:rPr>
        <w:t>a</w:t>
      </w:r>
      <w:r w:rsidRPr="007F4F3E">
        <w:rPr>
          <w:rFonts w:eastAsia="Palatino Linotype"/>
        </w:rPr>
        <w:t xml:space="preserve">cceso a la </w:t>
      </w:r>
      <w:r w:rsidR="00717E59" w:rsidRPr="007F4F3E">
        <w:rPr>
          <w:rFonts w:eastAsia="Palatino Linotype"/>
        </w:rPr>
        <w:t>i</w:t>
      </w:r>
      <w:r w:rsidRPr="007F4F3E">
        <w:rPr>
          <w:rFonts w:eastAsia="Palatino Linotype"/>
        </w:rPr>
        <w:t xml:space="preserve">nformación </w:t>
      </w:r>
      <w:r w:rsidR="00717E59" w:rsidRPr="007F4F3E">
        <w:rPr>
          <w:rFonts w:eastAsia="Palatino Linotype"/>
        </w:rPr>
        <w:t>p</w:t>
      </w:r>
      <w:r w:rsidRPr="007F4F3E">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F4F3E">
        <w:rPr>
          <w:rFonts w:eastAsia="Palatino Linotype"/>
        </w:rPr>
        <w:t>:</w:t>
      </w:r>
    </w:p>
    <w:p w14:paraId="7FAB8D32" w14:textId="77777777" w:rsidR="00C049E2" w:rsidRPr="007F4F3E" w:rsidRDefault="00C049E2" w:rsidP="007F4F3E">
      <w:pPr>
        <w:rPr>
          <w:rFonts w:eastAsia="Palatino Linotype"/>
        </w:rPr>
      </w:pPr>
    </w:p>
    <w:p w14:paraId="05320813" w14:textId="77777777" w:rsidR="00C049E2" w:rsidRPr="007F4F3E" w:rsidRDefault="00C049E2" w:rsidP="007F4F3E">
      <w:pPr>
        <w:pStyle w:val="Puesto"/>
        <w:rPr>
          <w:rFonts w:eastAsia="Palatino Linotype"/>
          <w:b/>
        </w:rPr>
      </w:pPr>
      <w:r w:rsidRPr="007F4F3E">
        <w:rPr>
          <w:rFonts w:eastAsia="Palatino Linotype"/>
          <w:b/>
        </w:rPr>
        <w:lastRenderedPageBreak/>
        <w:t>Constitución Política de los Estados Unidos Mexicanos</w:t>
      </w:r>
    </w:p>
    <w:p w14:paraId="6B6C67B6" w14:textId="77777777" w:rsidR="00C049E2" w:rsidRPr="007F4F3E" w:rsidRDefault="00C049E2" w:rsidP="007F4F3E">
      <w:pPr>
        <w:pStyle w:val="Puesto"/>
        <w:rPr>
          <w:rFonts w:eastAsia="Palatino Linotype"/>
          <w:b/>
        </w:rPr>
      </w:pPr>
      <w:r w:rsidRPr="007F4F3E">
        <w:rPr>
          <w:rFonts w:eastAsia="Palatino Linotype"/>
        </w:rPr>
        <w:t>“</w:t>
      </w:r>
      <w:r w:rsidRPr="007F4F3E">
        <w:rPr>
          <w:rFonts w:eastAsia="Palatino Linotype"/>
          <w:b/>
        </w:rPr>
        <w:t>Artículo 6.</w:t>
      </w:r>
    </w:p>
    <w:p w14:paraId="38D3B4C4" w14:textId="77777777" w:rsidR="00C049E2" w:rsidRPr="007F4F3E" w:rsidRDefault="00C049E2" w:rsidP="007F4F3E">
      <w:pPr>
        <w:pStyle w:val="Puesto"/>
        <w:rPr>
          <w:rFonts w:eastAsia="Palatino Linotype"/>
        </w:rPr>
      </w:pPr>
      <w:r w:rsidRPr="007F4F3E">
        <w:rPr>
          <w:rFonts w:eastAsia="Palatino Linotype"/>
        </w:rPr>
        <w:t>(…)</w:t>
      </w:r>
    </w:p>
    <w:p w14:paraId="2CCAA297" w14:textId="6602827B" w:rsidR="00C049E2" w:rsidRPr="007F4F3E" w:rsidRDefault="00C049E2" w:rsidP="007F4F3E">
      <w:pPr>
        <w:pStyle w:val="Puesto"/>
        <w:rPr>
          <w:rFonts w:eastAsia="Palatino Linotype"/>
        </w:rPr>
      </w:pPr>
      <w:r w:rsidRPr="007F4F3E">
        <w:rPr>
          <w:rFonts w:eastAsia="Palatino Linotype"/>
        </w:rPr>
        <w:t>Para efectos de lo dispuesto en el presente artículo se observará lo siguiente:</w:t>
      </w:r>
    </w:p>
    <w:p w14:paraId="74CC3718" w14:textId="77777777" w:rsidR="00C049E2" w:rsidRPr="007F4F3E" w:rsidRDefault="00C049E2" w:rsidP="007F4F3E">
      <w:pPr>
        <w:pStyle w:val="Puesto"/>
        <w:rPr>
          <w:rFonts w:eastAsia="Palatino Linotype"/>
        </w:rPr>
      </w:pPr>
      <w:r w:rsidRPr="007F4F3E">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F4F3E" w:rsidRDefault="00C049E2" w:rsidP="007F4F3E">
      <w:pPr>
        <w:pStyle w:val="Puesto"/>
        <w:rPr>
          <w:rFonts w:eastAsia="Palatino Linotype"/>
        </w:rPr>
      </w:pPr>
      <w:r w:rsidRPr="007F4F3E">
        <w:rPr>
          <w:rFonts w:eastAsia="Palatino Linotype"/>
        </w:rPr>
        <w:t xml:space="preserve">I. </w:t>
      </w:r>
      <w:r w:rsidRPr="007F4F3E">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F4F3E" w:rsidRDefault="00C049E2" w:rsidP="007F4F3E">
      <w:pPr>
        <w:pStyle w:val="Puesto"/>
        <w:rPr>
          <w:rFonts w:eastAsia="Palatino Linotype"/>
        </w:rPr>
      </w:pPr>
    </w:p>
    <w:p w14:paraId="504F12DB" w14:textId="77777777" w:rsidR="00C049E2" w:rsidRPr="007F4F3E" w:rsidRDefault="00C049E2" w:rsidP="007F4F3E">
      <w:pPr>
        <w:pStyle w:val="Puesto"/>
        <w:rPr>
          <w:rFonts w:eastAsia="Palatino Linotype"/>
          <w:b/>
        </w:rPr>
      </w:pPr>
      <w:r w:rsidRPr="007F4F3E">
        <w:rPr>
          <w:rFonts w:eastAsia="Palatino Linotype"/>
          <w:b/>
        </w:rPr>
        <w:t>Constitución Política del Estado Libre y Soberano de México</w:t>
      </w:r>
    </w:p>
    <w:p w14:paraId="04932D29" w14:textId="77777777" w:rsidR="00C049E2" w:rsidRPr="007F4F3E" w:rsidRDefault="00C049E2" w:rsidP="007F4F3E">
      <w:pPr>
        <w:pStyle w:val="Puesto"/>
        <w:rPr>
          <w:rFonts w:eastAsia="Palatino Linotype"/>
          <w:b/>
        </w:rPr>
      </w:pPr>
      <w:r w:rsidRPr="007F4F3E">
        <w:rPr>
          <w:rFonts w:eastAsia="Palatino Linotype"/>
        </w:rPr>
        <w:t>“</w:t>
      </w:r>
      <w:r w:rsidRPr="007F4F3E">
        <w:rPr>
          <w:rFonts w:eastAsia="Palatino Linotype"/>
          <w:b/>
        </w:rPr>
        <w:t xml:space="preserve">Artículo 5.- </w:t>
      </w:r>
    </w:p>
    <w:p w14:paraId="1D3829F4" w14:textId="77777777" w:rsidR="00C049E2" w:rsidRPr="007F4F3E" w:rsidRDefault="00C049E2" w:rsidP="007F4F3E">
      <w:pPr>
        <w:pStyle w:val="Puesto"/>
        <w:rPr>
          <w:rFonts w:eastAsia="Palatino Linotype"/>
        </w:rPr>
      </w:pPr>
      <w:r w:rsidRPr="007F4F3E">
        <w:rPr>
          <w:rFonts w:eastAsia="Palatino Linotype"/>
        </w:rPr>
        <w:t>(…)</w:t>
      </w:r>
    </w:p>
    <w:p w14:paraId="0EAE47FD" w14:textId="77777777" w:rsidR="00C049E2" w:rsidRPr="007F4F3E" w:rsidRDefault="00C049E2" w:rsidP="007F4F3E">
      <w:pPr>
        <w:pStyle w:val="Puesto"/>
        <w:rPr>
          <w:rFonts w:eastAsia="Palatino Linotype"/>
        </w:rPr>
      </w:pPr>
      <w:r w:rsidRPr="007F4F3E">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7F4F3E" w:rsidRDefault="00C049E2" w:rsidP="007F4F3E">
      <w:pPr>
        <w:pStyle w:val="Puesto"/>
        <w:rPr>
          <w:rFonts w:eastAsia="Palatino Linotype"/>
        </w:rPr>
      </w:pPr>
      <w:r w:rsidRPr="007F4F3E">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F4F3E" w:rsidRDefault="00C049E2" w:rsidP="007F4F3E">
      <w:pPr>
        <w:pStyle w:val="Puesto"/>
        <w:rPr>
          <w:rFonts w:eastAsia="Palatino Linotype"/>
        </w:rPr>
      </w:pPr>
      <w:r w:rsidRPr="007F4F3E">
        <w:rPr>
          <w:rFonts w:eastAsia="Palatino Linotype"/>
        </w:rPr>
        <w:t>Este derecho se regirá por los principios y bases siguientes:</w:t>
      </w:r>
    </w:p>
    <w:p w14:paraId="4A3E8CBA" w14:textId="77777777" w:rsidR="00C049E2" w:rsidRPr="007F4F3E" w:rsidRDefault="00C049E2" w:rsidP="007F4F3E">
      <w:pPr>
        <w:pStyle w:val="Puesto"/>
        <w:rPr>
          <w:rFonts w:eastAsia="Palatino Linotype"/>
        </w:rPr>
      </w:pPr>
      <w:r w:rsidRPr="007F4F3E">
        <w:rPr>
          <w:rFonts w:eastAsia="Palatino Linotype"/>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7F4F3E">
        <w:rPr>
          <w:rFonts w:eastAsia="Palatino Linotype"/>
        </w:rPr>
        <w:lastRenderedPageBreak/>
        <w:t>competencias o funciones, la ley determinará los supuestos específicos bajo los cuales procederá la declaración de inexistencia de la información.”</w:t>
      </w:r>
    </w:p>
    <w:p w14:paraId="5CA98E37" w14:textId="77777777" w:rsidR="00C049E2" w:rsidRPr="007F4F3E" w:rsidRDefault="00C049E2" w:rsidP="007F4F3E">
      <w:pPr>
        <w:rPr>
          <w:rFonts w:eastAsia="Palatino Linotype"/>
          <w:b/>
          <w:i/>
        </w:rPr>
      </w:pPr>
    </w:p>
    <w:p w14:paraId="6FC1BB3B" w14:textId="3BF4A33D" w:rsidR="00C049E2" w:rsidRPr="007F4F3E" w:rsidRDefault="00717E59" w:rsidP="007F4F3E">
      <w:pPr>
        <w:rPr>
          <w:rFonts w:eastAsia="Palatino Linotype"/>
          <w:i/>
        </w:rPr>
      </w:pPr>
      <w:r w:rsidRPr="007F4F3E">
        <w:rPr>
          <w:rFonts w:eastAsia="Palatino Linotype"/>
        </w:rPr>
        <w:t xml:space="preserve">Asimismo, </w:t>
      </w:r>
      <w:r w:rsidR="00C049E2" w:rsidRPr="007F4F3E">
        <w:rPr>
          <w:rFonts w:eastAsia="Palatino Linotype"/>
        </w:rPr>
        <w:t>el artículo 150 de la Ley de Transparencia y Acceso a la Información Pública del Estado de México y Municipios</w:t>
      </w:r>
      <w:r w:rsidR="00057B2D" w:rsidRPr="007F4F3E">
        <w:rPr>
          <w:rFonts w:eastAsia="Palatino Linotype"/>
        </w:rPr>
        <w:t xml:space="preserve"> </w:t>
      </w:r>
      <w:r w:rsidR="00E9335C" w:rsidRPr="007F4F3E">
        <w:rPr>
          <w:rFonts w:eastAsia="Palatino Linotype"/>
        </w:rPr>
        <w:t xml:space="preserve">indica </w:t>
      </w:r>
      <w:r w:rsidR="00057B2D" w:rsidRPr="007F4F3E">
        <w:rPr>
          <w:rFonts w:eastAsia="Palatino Linotype"/>
        </w:rPr>
        <w:t>que</w:t>
      </w:r>
      <w:r w:rsidR="00C049E2" w:rsidRPr="007F4F3E">
        <w:rPr>
          <w:rFonts w:eastAsia="Palatino Linotype"/>
        </w:rPr>
        <w:t xml:space="preserve"> la solicitud es la garantía primaria del Derecho de Acceso a la Información, además, establece que se regirá </w:t>
      </w:r>
      <w:r w:rsidR="00C049E2" w:rsidRPr="007F4F3E">
        <w:rPr>
          <w:rFonts w:eastAsia="Palatino Linotype"/>
          <w:i/>
        </w:rPr>
        <w:t>por los principios de simplicidad, rapidez</w:t>
      </w:r>
      <w:r w:rsidR="005F65B7" w:rsidRPr="007F4F3E">
        <w:rPr>
          <w:rFonts w:eastAsia="Palatino Linotype"/>
          <w:i/>
        </w:rPr>
        <w:t>,</w:t>
      </w:r>
      <w:r w:rsidR="00C049E2" w:rsidRPr="007F4F3E">
        <w:rPr>
          <w:rFonts w:eastAsia="Palatino Linotype"/>
          <w:i/>
        </w:rPr>
        <w:t xml:space="preserve"> gratuidad del procedimiento, auxilio y orientación a los particulare</w:t>
      </w:r>
      <w:r w:rsidR="001A58B3" w:rsidRPr="007F4F3E">
        <w:rPr>
          <w:rFonts w:eastAsia="Palatino Linotype"/>
          <w:i/>
        </w:rPr>
        <w:t>s.</w:t>
      </w:r>
    </w:p>
    <w:p w14:paraId="033466A6" w14:textId="77777777" w:rsidR="001A58B3" w:rsidRPr="007F4F3E" w:rsidRDefault="001A58B3" w:rsidP="007F4F3E">
      <w:pPr>
        <w:rPr>
          <w:rFonts w:eastAsia="Palatino Linotype"/>
          <w:i/>
        </w:rPr>
      </w:pPr>
    </w:p>
    <w:p w14:paraId="04ADA10B" w14:textId="574A944A" w:rsidR="001A58B3" w:rsidRPr="007F4F3E" w:rsidRDefault="00233F17" w:rsidP="007F4F3E">
      <w:pPr>
        <w:rPr>
          <w:rFonts w:eastAsia="Palatino Linotype" w:cs="Palatino Linotype"/>
          <w:i/>
          <w:szCs w:val="22"/>
        </w:rPr>
      </w:pPr>
      <w:r w:rsidRPr="007F4F3E">
        <w:rPr>
          <w:rFonts w:eastAsia="Palatino Linotype" w:cs="Palatino Linotype"/>
        </w:rPr>
        <w:t xml:space="preserve">Por su parte, el artículo 4 de </w:t>
      </w:r>
      <w:r w:rsidR="001A58B3" w:rsidRPr="007F4F3E">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F4F3E">
        <w:rPr>
          <w:rFonts w:eastAsia="Palatino Linotype" w:cs="Palatino Linotype"/>
        </w:rPr>
        <w:t>.</w:t>
      </w:r>
    </w:p>
    <w:p w14:paraId="1407DBB8" w14:textId="77777777" w:rsidR="001A58B3" w:rsidRPr="007F4F3E" w:rsidRDefault="001A58B3" w:rsidP="007F4F3E">
      <w:pPr>
        <w:rPr>
          <w:rFonts w:eastAsia="Palatino Linotype" w:cs="Palatino Linotype"/>
        </w:rPr>
      </w:pPr>
    </w:p>
    <w:p w14:paraId="7552AA79" w14:textId="5C52E4A4" w:rsidR="001A58B3" w:rsidRPr="007F4F3E" w:rsidRDefault="001A58B3" w:rsidP="007F4F3E">
      <w:pPr>
        <w:rPr>
          <w:rFonts w:eastAsia="Palatino Linotype" w:cs="Palatino Linotype"/>
        </w:rPr>
      </w:pPr>
      <w:r w:rsidRPr="007F4F3E">
        <w:rPr>
          <w:rFonts w:eastAsia="Palatino Linotype" w:cs="Palatino Linotype"/>
        </w:rPr>
        <w:t xml:space="preserve">Esto es, que los Sujetos Obligados </w:t>
      </w:r>
      <w:r w:rsidR="00FA5957" w:rsidRPr="007F4F3E">
        <w:rPr>
          <w:rFonts w:eastAsia="Palatino Linotype" w:cs="Palatino Linotype"/>
        </w:rPr>
        <w:t>deben</w:t>
      </w:r>
      <w:r w:rsidRPr="007F4F3E">
        <w:rPr>
          <w:rFonts w:eastAsia="Palatino Linotype" w:cs="Palatino Linotype"/>
        </w:rPr>
        <w:t xml:space="preserve"> atender las solicitudes de acceso a la información pública que se les </w:t>
      </w:r>
      <w:r w:rsidR="00FA5957" w:rsidRPr="007F4F3E">
        <w:rPr>
          <w:rFonts w:eastAsia="Palatino Linotype" w:cs="Palatino Linotype"/>
        </w:rPr>
        <w:t>sean realizadas,</w:t>
      </w:r>
      <w:r w:rsidRPr="007F4F3E">
        <w:rPr>
          <w:rFonts w:eastAsia="Palatino Linotype" w:cs="Palatino Linotype"/>
        </w:rPr>
        <w:t xml:space="preserve"> y proporcionar la información pública que obre en su poder</w:t>
      </w:r>
      <w:r w:rsidR="00FA5957" w:rsidRPr="007F4F3E">
        <w:rPr>
          <w:rFonts w:eastAsia="Palatino Linotype" w:cs="Palatino Linotype"/>
        </w:rPr>
        <w:t>,</w:t>
      </w:r>
      <w:r w:rsidRPr="007F4F3E">
        <w:rPr>
          <w:rFonts w:eastAsia="Palatino Linotype" w:cs="Palatino Linotype"/>
        </w:rPr>
        <w:t xml:space="preserve"> conforme </w:t>
      </w:r>
      <w:r w:rsidR="00FA5957" w:rsidRPr="007F4F3E">
        <w:rPr>
          <w:rFonts w:eastAsia="Palatino Linotype" w:cs="Palatino Linotype"/>
        </w:rPr>
        <w:t>a</w:t>
      </w:r>
      <w:r w:rsidRPr="007F4F3E">
        <w:rPr>
          <w:rFonts w:eastAsia="Palatino Linotype" w:cs="Palatino Linotype"/>
        </w:rPr>
        <w:t xml:space="preserve">l estado </w:t>
      </w:r>
      <w:r w:rsidR="00FA5957" w:rsidRPr="007F4F3E">
        <w:rPr>
          <w:rFonts w:eastAsia="Palatino Linotype" w:cs="Palatino Linotype"/>
        </w:rPr>
        <w:t xml:space="preserve">en </w:t>
      </w:r>
      <w:r w:rsidRPr="007F4F3E">
        <w:rPr>
          <w:rFonts w:eastAsia="Palatino Linotype" w:cs="Palatino Linotype"/>
        </w:rPr>
        <w:t>que se encuentr</w:t>
      </w:r>
      <w:r w:rsidR="00FA5957" w:rsidRPr="007F4F3E">
        <w:rPr>
          <w:rFonts w:eastAsia="Palatino Linotype" w:cs="Palatino Linotype"/>
        </w:rPr>
        <w:t>e, sin que sea necesario</w:t>
      </w:r>
      <w:r w:rsidRPr="007F4F3E">
        <w:rPr>
          <w:rFonts w:eastAsia="Palatino Linotype" w:cs="Palatino Linotype"/>
        </w:rPr>
        <w:t xml:space="preserve"> </w:t>
      </w:r>
      <w:r w:rsidR="00FA5957" w:rsidRPr="007F4F3E">
        <w:rPr>
          <w:rFonts w:eastAsia="Palatino Linotype" w:cs="Palatino Linotype"/>
        </w:rPr>
        <w:t>procesar</w:t>
      </w:r>
      <w:r w:rsidRPr="007F4F3E">
        <w:rPr>
          <w:rFonts w:eastAsia="Palatino Linotype" w:cs="Palatino Linotype"/>
        </w:rPr>
        <w:t xml:space="preserve"> la misma, ni presentarla conforme al interés del solicitante; </w:t>
      </w:r>
      <w:r w:rsidR="00FA5957" w:rsidRPr="007F4F3E">
        <w:rPr>
          <w:rFonts w:eastAsia="Palatino Linotype" w:cs="Palatino Linotype"/>
        </w:rPr>
        <w:t>tal y como</w:t>
      </w:r>
      <w:r w:rsidRPr="007F4F3E">
        <w:rPr>
          <w:rFonts w:eastAsia="Palatino Linotype" w:cs="Palatino Linotype"/>
        </w:rPr>
        <w:t xml:space="preserve"> lo establece el artículo 12 de la Ley de Transparencia y Acceso a la Información Pública del Estado de México y Municipios</w:t>
      </w:r>
      <w:r w:rsidR="00970EB3" w:rsidRPr="007F4F3E">
        <w:rPr>
          <w:rFonts w:eastAsia="Palatino Linotype" w:cs="Palatino Linotype"/>
        </w:rPr>
        <w:t>.</w:t>
      </w:r>
    </w:p>
    <w:p w14:paraId="73245195" w14:textId="77777777" w:rsidR="00970EB3" w:rsidRPr="007F4F3E" w:rsidRDefault="00970EB3" w:rsidP="007F4F3E">
      <w:pPr>
        <w:rPr>
          <w:rFonts w:eastAsia="Palatino Linotype" w:cs="Palatino Linotype"/>
        </w:rPr>
      </w:pPr>
    </w:p>
    <w:p w14:paraId="7F62D4DF" w14:textId="775730E1" w:rsidR="001A58B3" w:rsidRPr="007F4F3E" w:rsidRDefault="001A58B3" w:rsidP="007F4F3E">
      <w:pPr>
        <w:rPr>
          <w:rFonts w:eastAsia="Palatino Linotype" w:cs="Palatino Linotype"/>
        </w:rPr>
      </w:pPr>
      <w:r w:rsidRPr="007F4F3E">
        <w:rPr>
          <w:rFonts w:eastAsia="Palatino Linotype" w:cs="Palatino Linotype"/>
        </w:rPr>
        <w:t>Es decir, que todo sujeto obligado que genere, recopile, administre, procese, archive, posea o conserven, son responsables de la misma</w:t>
      </w:r>
      <w:r w:rsidR="00970EB3" w:rsidRPr="007F4F3E">
        <w:rPr>
          <w:rFonts w:eastAsia="Palatino Linotype" w:cs="Palatino Linotype"/>
        </w:rPr>
        <w:t>,</w:t>
      </w:r>
      <w:r w:rsidRPr="007F4F3E">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F4F3E">
        <w:rPr>
          <w:rFonts w:eastAsia="Palatino Linotype" w:cs="Palatino Linotype"/>
        </w:rPr>
        <w:t>o</w:t>
      </w:r>
      <w:r w:rsidRPr="007F4F3E">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F4F3E" w:rsidRDefault="001A58B3" w:rsidP="007F4F3E">
      <w:pPr>
        <w:rPr>
          <w:rFonts w:eastAsia="Palatino Linotype" w:cs="Palatino Linotype"/>
        </w:rPr>
      </w:pPr>
    </w:p>
    <w:p w14:paraId="04E42DFE" w14:textId="573F1198" w:rsidR="001A58B3" w:rsidRPr="007F4F3E" w:rsidRDefault="001A58B3" w:rsidP="007F4F3E">
      <w:pPr>
        <w:rPr>
          <w:rFonts w:eastAsia="Palatino Linotype" w:cs="Palatino Linotype"/>
        </w:rPr>
      </w:pPr>
      <w:r w:rsidRPr="007F4F3E">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F4F3E">
        <w:rPr>
          <w:rFonts w:eastAsia="Palatino Linotype" w:cs="Palatino Linotype"/>
        </w:rPr>
        <w:t>, s</w:t>
      </w:r>
      <w:r w:rsidRPr="007F4F3E">
        <w:rPr>
          <w:rFonts w:eastAsia="Palatino Linotype" w:cs="Palatino Linotype"/>
        </w:rPr>
        <w:t xml:space="preserve">iempre y cuando no se trate de información reservada o </w:t>
      </w:r>
      <w:r w:rsidR="00331F35" w:rsidRPr="007F4F3E">
        <w:rPr>
          <w:rFonts w:eastAsia="Palatino Linotype" w:cs="Palatino Linotype"/>
        </w:rPr>
        <w:t>confidencial.</w:t>
      </w:r>
    </w:p>
    <w:p w14:paraId="40C5219F" w14:textId="77777777" w:rsidR="001A58B3" w:rsidRPr="007F4F3E" w:rsidRDefault="001A58B3" w:rsidP="007F4F3E">
      <w:pPr>
        <w:rPr>
          <w:rFonts w:eastAsia="Palatino Linotype" w:cs="Palatino Linotype"/>
        </w:rPr>
      </w:pPr>
    </w:p>
    <w:p w14:paraId="2E629608" w14:textId="01727E15" w:rsidR="00C049E2" w:rsidRPr="007F4F3E" w:rsidRDefault="006067C7" w:rsidP="007F4F3E">
      <w:pPr>
        <w:rPr>
          <w:rFonts w:eastAsia="Palatino Linotype"/>
        </w:rPr>
      </w:pPr>
      <w:bookmarkStart w:id="33" w:name="_heading=h.2s8eyo1" w:colFirst="0" w:colLast="0"/>
      <w:bookmarkEnd w:id="33"/>
      <w:r w:rsidRPr="007F4F3E">
        <w:rPr>
          <w:rFonts w:eastAsia="Palatino Linotype"/>
        </w:rPr>
        <w:t>Con base en lo anterior</w:t>
      </w:r>
      <w:r w:rsidR="00B22A80" w:rsidRPr="007F4F3E">
        <w:rPr>
          <w:rFonts w:eastAsia="Palatino Linotype"/>
        </w:rPr>
        <w:t>, se considera que</w:t>
      </w:r>
      <w:r w:rsidR="00C049E2" w:rsidRPr="007F4F3E">
        <w:rPr>
          <w:rFonts w:eastAsia="Palatino Linotype"/>
        </w:rPr>
        <w:t xml:space="preserve"> </w:t>
      </w:r>
      <w:r w:rsidR="00B22A80" w:rsidRPr="007F4F3E">
        <w:rPr>
          <w:rFonts w:eastAsia="Palatino Linotype"/>
          <w:b/>
          <w:bCs/>
        </w:rPr>
        <w:t>EL</w:t>
      </w:r>
      <w:r w:rsidR="00C049E2" w:rsidRPr="007F4F3E">
        <w:rPr>
          <w:rFonts w:eastAsia="Palatino Linotype"/>
        </w:rPr>
        <w:t xml:space="preserve"> </w:t>
      </w:r>
      <w:r w:rsidR="00C049E2" w:rsidRPr="007F4F3E">
        <w:rPr>
          <w:rFonts w:eastAsia="Palatino Linotype"/>
          <w:b/>
        </w:rPr>
        <w:t>SUJETO OBLIGADO</w:t>
      </w:r>
      <w:r w:rsidR="00C049E2" w:rsidRPr="007F4F3E">
        <w:rPr>
          <w:rFonts w:eastAsia="Palatino Linotype"/>
        </w:rPr>
        <w:t xml:space="preserve"> </w:t>
      </w:r>
      <w:r w:rsidR="00B22A80" w:rsidRPr="007F4F3E">
        <w:rPr>
          <w:rFonts w:eastAsia="Palatino Linotype"/>
        </w:rPr>
        <w:t xml:space="preserve">se </w:t>
      </w:r>
      <w:r w:rsidR="00717E59" w:rsidRPr="007F4F3E">
        <w:rPr>
          <w:rFonts w:eastAsia="Palatino Linotype"/>
        </w:rPr>
        <w:t>encontraba</w:t>
      </w:r>
      <w:r w:rsidR="00B22A80" w:rsidRPr="007F4F3E">
        <w:rPr>
          <w:rFonts w:eastAsia="Palatino Linotype"/>
        </w:rPr>
        <w:t xml:space="preserve"> compelido a</w:t>
      </w:r>
      <w:r w:rsidR="00C049E2" w:rsidRPr="007F4F3E">
        <w:rPr>
          <w:rFonts w:eastAsia="Palatino Linotype"/>
        </w:rPr>
        <w:t xml:space="preserve"> atender la solicitud de acceso a la información </w:t>
      </w:r>
      <w:r w:rsidR="00B22A80" w:rsidRPr="007F4F3E">
        <w:rPr>
          <w:rFonts w:eastAsia="Palatino Linotype"/>
        </w:rPr>
        <w:t xml:space="preserve">realizada por </w:t>
      </w:r>
      <w:r w:rsidR="00B22A80" w:rsidRPr="007F4F3E">
        <w:rPr>
          <w:rFonts w:eastAsia="Palatino Linotype"/>
          <w:b/>
          <w:bCs/>
        </w:rPr>
        <w:t>LA PARTE RECURRENTE</w:t>
      </w:r>
      <w:r w:rsidR="00331F35" w:rsidRPr="007F4F3E">
        <w:rPr>
          <w:rFonts w:eastAsia="Palatino Linotype"/>
        </w:rPr>
        <w:t>.</w:t>
      </w:r>
    </w:p>
    <w:p w14:paraId="1611F147" w14:textId="77777777" w:rsidR="00BD5A7C" w:rsidRPr="007F4F3E" w:rsidRDefault="00BD5A7C" w:rsidP="007F4F3E">
      <w:pPr>
        <w:rPr>
          <w:rFonts w:eastAsia="Palatino Linotype"/>
        </w:rPr>
      </w:pPr>
    </w:p>
    <w:p w14:paraId="51A0E8B4" w14:textId="676DCA47" w:rsidR="00664420" w:rsidRPr="007F4F3E" w:rsidRDefault="00C71CEF" w:rsidP="007F4F3E">
      <w:pPr>
        <w:pStyle w:val="Ttulo3"/>
        <w:rPr>
          <w:rFonts w:eastAsia="Calibri"/>
          <w:lang w:eastAsia="es-ES_tradnl"/>
        </w:rPr>
      </w:pPr>
      <w:bookmarkStart w:id="34" w:name="_Toc176880112"/>
      <w:r w:rsidRPr="007F4F3E">
        <w:rPr>
          <w:rFonts w:eastAsia="Calibri"/>
          <w:lang w:eastAsia="es-ES_tradnl"/>
        </w:rPr>
        <w:t>b)</w:t>
      </w:r>
      <w:r w:rsidR="00A53315" w:rsidRPr="007F4F3E">
        <w:rPr>
          <w:rFonts w:eastAsia="Calibri"/>
          <w:lang w:eastAsia="es-ES_tradnl"/>
        </w:rPr>
        <w:t xml:space="preserve"> </w:t>
      </w:r>
      <w:r w:rsidR="00A21A20" w:rsidRPr="007F4F3E">
        <w:rPr>
          <w:rFonts w:eastAsia="Calibri"/>
          <w:lang w:eastAsia="es-ES_tradnl"/>
        </w:rPr>
        <w:t>Controversia a resolver</w:t>
      </w:r>
      <w:bookmarkEnd w:id="34"/>
    </w:p>
    <w:p w14:paraId="08543491" w14:textId="48E0E190" w:rsidR="00E53D98" w:rsidRPr="007F4F3E" w:rsidRDefault="00664420" w:rsidP="007F4F3E">
      <w:pPr>
        <w:rPr>
          <w:rFonts w:cs="Tahoma"/>
          <w:szCs w:val="22"/>
          <w:lang w:val="es-ES"/>
        </w:rPr>
      </w:pPr>
      <w:r w:rsidRPr="007F4F3E">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F4F3E">
        <w:rPr>
          <w:rFonts w:eastAsia="Calibri"/>
          <w:b/>
          <w:bCs/>
          <w:lang w:eastAsia="es-ES_tradnl"/>
        </w:rPr>
        <w:t>LA PARTE RECURRENTE</w:t>
      </w:r>
      <w:r w:rsidR="004565C2" w:rsidRPr="007F4F3E">
        <w:rPr>
          <w:rFonts w:eastAsia="Calibri"/>
          <w:lang w:eastAsia="es-ES_tradnl"/>
        </w:rPr>
        <w:t xml:space="preserve"> solicitó</w:t>
      </w:r>
      <w:r w:rsidR="00185C7C" w:rsidRPr="007F4F3E">
        <w:rPr>
          <w:rFonts w:eastAsia="Calibri"/>
          <w:lang w:eastAsia="es-ES_tradnl"/>
        </w:rPr>
        <w:t xml:space="preserve"> </w:t>
      </w:r>
      <w:r w:rsidR="008E0CF6" w:rsidRPr="007F4F3E">
        <w:rPr>
          <w:rFonts w:eastAsia="Calibri"/>
          <w:lang w:eastAsia="es-ES_tradnl"/>
        </w:rPr>
        <w:t xml:space="preserve">el monto y el expediente correspondiente a laudos en Materia laboral. </w:t>
      </w:r>
    </w:p>
    <w:p w14:paraId="4531986D" w14:textId="77777777" w:rsidR="00E53D98" w:rsidRPr="007F4F3E" w:rsidRDefault="00E53D98" w:rsidP="007F4F3E">
      <w:pPr>
        <w:rPr>
          <w:rFonts w:cs="Tahoma"/>
          <w:szCs w:val="22"/>
          <w:lang w:val="es-ES"/>
        </w:rPr>
      </w:pPr>
    </w:p>
    <w:p w14:paraId="545C5AC0" w14:textId="10BAB408" w:rsidR="008E0CF6" w:rsidRPr="007F4F3E" w:rsidRDefault="00E11AA0" w:rsidP="007F4F3E">
      <w:pPr>
        <w:rPr>
          <w:rFonts w:cs="Tahoma"/>
          <w:szCs w:val="22"/>
          <w:lang w:val="es-ES"/>
        </w:rPr>
      </w:pPr>
      <w:r w:rsidRPr="007F4F3E">
        <w:rPr>
          <w:rFonts w:eastAsiaTheme="minorHAnsi" w:cs="Tahoma"/>
          <w:bCs/>
          <w:iCs/>
          <w:szCs w:val="22"/>
          <w:lang w:eastAsia="en-US"/>
        </w:rPr>
        <w:t>Al respecto</w:t>
      </w:r>
      <w:r w:rsidR="00664420" w:rsidRPr="007F4F3E">
        <w:rPr>
          <w:rFonts w:eastAsiaTheme="minorHAnsi" w:cs="Tahoma"/>
          <w:bCs/>
          <w:iCs/>
          <w:szCs w:val="22"/>
          <w:lang w:eastAsia="en-US"/>
        </w:rPr>
        <w:t xml:space="preserve"> </w:t>
      </w:r>
      <w:r w:rsidR="005D5A50" w:rsidRPr="007F4F3E">
        <w:rPr>
          <w:rFonts w:eastAsiaTheme="minorHAnsi" w:cs="Tahoma"/>
          <w:b/>
          <w:iCs/>
          <w:szCs w:val="22"/>
          <w:lang w:eastAsia="en-US"/>
        </w:rPr>
        <w:t>EL SUJETO OBLIGADO</w:t>
      </w:r>
      <w:r w:rsidRPr="007F4F3E">
        <w:rPr>
          <w:rFonts w:eastAsiaTheme="minorHAnsi" w:cs="Tahoma"/>
          <w:bCs/>
          <w:iCs/>
          <w:szCs w:val="22"/>
          <w:lang w:eastAsia="en-US"/>
        </w:rPr>
        <w:t xml:space="preserve"> </w:t>
      </w:r>
      <w:r w:rsidR="00185C7C" w:rsidRPr="007F4F3E">
        <w:rPr>
          <w:rFonts w:eastAsiaTheme="minorHAnsi" w:cs="Tahoma"/>
          <w:bCs/>
          <w:iCs/>
          <w:szCs w:val="22"/>
          <w:lang w:eastAsia="en-US"/>
        </w:rPr>
        <w:t xml:space="preserve">mediante respuesta </w:t>
      </w:r>
      <w:r w:rsidR="00215FD9" w:rsidRPr="007F4F3E">
        <w:rPr>
          <w:rFonts w:eastAsia="Palatino Linotype" w:cs="Palatino Linotype"/>
        </w:rPr>
        <w:t xml:space="preserve">adjuntó </w:t>
      </w:r>
      <w:r w:rsidR="008E0CF6" w:rsidRPr="007F4F3E">
        <w:rPr>
          <w:rFonts w:eastAsia="Palatino Linotype" w:cs="Palatino Linotype"/>
        </w:rPr>
        <w:t xml:space="preserve">listado que contiene el </w:t>
      </w:r>
      <w:r w:rsidR="008E0CF6" w:rsidRPr="007F4F3E">
        <w:rPr>
          <w:rFonts w:cs="Tahoma"/>
          <w:szCs w:val="22"/>
          <w:lang w:val="es-ES"/>
        </w:rPr>
        <w:t xml:space="preserve">número de expedientes con importe estimado e instancia ante la que se encuentra el mismo. </w:t>
      </w:r>
    </w:p>
    <w:p w14:paraId="616C3F06" w14:textId="77777777" w:rsidR="008E0CF6" w:rsidRPr="007F4F3E" w:rsidRDefault="008E0CF6" w:rsidP="007F4F3E">
      <w:pPr>
        <w:rPr>
          <w:rFonts w:cs="Tahoma"/>
          <w:szCs w:val="22"/>
          <w:lang w:val="es-ES"/>
        </w:rPr>
      </w:pPr>
    </w:p>
    <w:p w14:paraId="2EEFE08C" w14:textId="756CC088" w:rsidR="00E37EF7" w:rsidRPr="007F4F3E" w:rsidRDefault="00CF7586" w:rsidP="007F4F3E">
      <w:pPr>
        <w:tabs>
          <w:tab w:val="left" w:pos="4962"/>
        </w:tabs>
        <w:contextualSpacing/>
        <w:rPr>
          <w:rFonts w:eastAsiaTheme="minorHAnsi" w:cs="Tahoma"/>
          <w:bCs/>
          <w:iCs/>
          <w:szCs w:val="22"/>
          <w:lang w:eastAsia="en-US"/>
        </w:rPr>
      </w:pPr>
      <w:r w:rsidRPr="007F4F3E">
        <w:rPr>
          <w:rFonts w:eastAsiaTheme="minorHAnsi" w:cs="Tahoma"/>
          <w:bCs/>
          <w:iCs/>
          <w:szCs w:val="22"/>
          <w:lang w:eastAsia="en-US"/>
        </w:rPr>
        <w:t xml:space="preserve">Ahora bien, en la interposición del presente recurso </w:t>
      </w:r>
      <w:r w:rsidRPr="007F4F3E">
        <w:rPr>
          <w:rFonts w:eastAsiaTheme="minorHAnsi" w:cs="Tahoma"/>
          <w:b/>
          <w:iCs/>
          <w:szCs w:val="22"/>
          <w:lang w:eastAsia="en-US"/>
        </w:rPr>
        <w:t>LA PARTE RECURRENTE</w:t>
      </w:r>
      <w:r w:rsidR="00237120" w:rsidRPr="007F4F3E">
        <w:rPr>
          <w:rFonts w:eastAsiaTheme="minorHAnsi" w:cs="Tahoma"/>
          <w:bCs/>
          <w:iCs/>
          <w:szCs w:val="22"/>
          <w:lang w:eastAsia="en-US"/>
        </w:rPr>
        <w:t xml:space="preserve"> s</w:t>
      </w:r>
      <w:r w:rsidR="00E37EF7" w:rsidRPr="007F4F3E">
        <w:rPr>
          <w:rFonts w:eastAsiaTheme="minorHAnsi" w:cs="Tahoma"/>
          <w:bCs/>
          <w:iCs/>
          <w:szCs w:val="22"/>
          <w:lang w:eastAsia="en-US"/>
        </w:rPr>
        <w:t xml:space="preserve">e inconformó medularmente no se le hizo entrega del expediente. </w:t>
      </w:r>
    </w:p>
    <w:p w14:paraId="0C814125" w14:textId="77777777" w:rsidR="00E37EF7" w:rsidRPr="007F4F3E" w:rsidRDefault="00E37EF7" w:rsidP="007F4F3E">
      <w:pPr>
        <w:tabs>
          <w:tab w:val="left" w:pos="4962"/>
        </w:tabs>
        <w:contextualSpacing/>
        <w:rPr>
          <w:rFonts w:eastAsiaTheme="minorHAnsi" w:cs="Tahoma"/>
          <w:bCs/>
          <w:iCs/>
          <w:szCs w:val="22"/>
          <w:lang w:eastAsia="en-US"/>
        </w:rPr>
      </w:pPr>
    </w:p>
    <w:p w14:paraId="10F8A63C" w14:textId="5E344E17" w:rsidR="00E37EF7" w:rsidRPr="007F4F3E" w:rsidRDefault="00E00EFF" w:rsidP="007F4F3E">
      <w:pPr>
        <w:pStyle w:val="Prrafodelista"/>
        <w:widowControl w:val="0"/>
        <w:autoSpaceDE w:val="0"/>
        <w:autoSpaceDN w:val="0"/>
        <w:adjustRightInd w:val="0"/>
        <w:ind w:left="0"/>
        <w:rPr>
          <w:rFonts w:cs="Tahoma"/>
          <w:bCs/>
          <w:szCs w:val="24"/>
        </w:rPr>
      </w:pPr>
      <w:r w:rsidRPr="007F4F3E">
        <w:t xml:space="preserve">Asimismo, es importante señalar que </w:t>
      </w:r>
      <w:r w:rsidRPr="007F4F3E">
        <w:rPr>
          <w:rFonts w:cs="Arial"/>
          <w:b/>
        </w:rPr>
        <w:t>EL RECURRENTE</w:t>
      </w:r>
      <w:r w:rsidRPr="007F4F3E">
        <w:rPr>
          <w:rFonts w:cs="Arial"/>
        </w:rPr>
        <w:t xml:space="preserve"> no realizó manifestaciones, alegatos o pruebas y por su parte </w:t>
      </w:r>
      <w:r w:rsidRPr="007F4F3E">
        <w:rPr>
          <w:rFonts w:cs="Arial"/>
          <w:b/>
        </w:rPr>
        <w:t xml:space="preserve">EL SUJETO OBLIGADO </w:t>
      </w:r>
      <w:r w:rsidR="00E37EF7" w:rsidRPr="007F4F3E">
        <w:rPr>
          <w:rFonts w:cs="Arial"/>
        </w:rPr>
        <w:t xml:space="preserve">mediante </w:t>
      </w:r>
      <w:r w:rsidRPr="007F4F3E">
        <w:t xml:space="preserve">Informe Justificado, </w:t>
      </w:r>
      <w:r w:rsidR="00E37EF7" w:rsidRPr="007F4F3E">
        <w:t xml:space="preserve">medularmente reiteró su respuesta e informó que </w:t>
      </w:r>
      <w:r w:rsidR="00E37EF7" w:rsidRPr="007F4F3E">
        <w:rPr>
          <w:rFonts w:cs="Tahoma"/>
          <w:bCs/>
          <w:szCs w:val="24"/>
        </w:rPr>
        <w:t xml:space="preserve">los expedientes no se encontraban en la Dirección Jurídica a razón de que los originales obraban en el Tribunal Estatal de Conciliación </w:t>
      </w:r>
      <w:r w:rsidR="00E37EF7" w:rsidRPr="007F4F3E">
        <w:rPr>
          <w:rFonts w:cs="Tahoma"/>
          <w:bCs/>
          <w:szCs w:val="24"/>
        </w:rPr>
        <w:lastRenderedPageBreak/>
        <w:t xml:space="preserve">y Arbitraje por ser la autoridad competente para substanciadora y por lo que toca a los expedientes del Ayuntamiento, informó que los mismos se encuentran en poder del Despacho Laboral a razón de ser el despacho jurídico externo contratado por el Ayuntamiento para dirimir las controversias en materia laboral. </w:t>
      </w:r>
    </w:p>
    <w:p w14:paraId="620C67D8" w14:textId="77777777" w:rsidR="00E37EF7" w:rsidRPr="007F4F3E" w:rsidRDefault="00E37EF7" w:rsidP="007F4F3E">
      <w:pPr>
        <w:pStyle w:val="Prrafodelista"/>
        <w:widowControl w:val="0"/>
        <w:autoSpaceDE w:val="0"/>
        <w:autoSpaceDN w:val="0"/>
        <w:adjustRightInd w:val="0"/>
        <w:ind w:left="0"/>
      </w:pPr>
    </w:p>
    <w:p w14:paraId="414FD2D5" w14:textId="4408E416" w:rsidR="00664420" w:rsidRPr="007F4F3E" w:rsidRDefault="00A21A20" w:rsidP="007F4F3E">
      <w:pPr>
        <w:pStyle w:val="Ttulo3"/>
      </w:pPr>
      <w:bookmarkStart w:id="35" w:name="_Toc176880113"/>
      <w:r w:rsidRPr="007F4F3E">
        <w:t>c)</w:t>
      </w:r>
      <w:r w:rsidR="00664420" w:rsidRPr="007F4F3E">
        <w:t xml:space="preserve"> </w:t>
      </w:r>
      <w:r w:rsidRPr="007F4F3E">
        <w:t>Estudio de la controversia</w:t>
      </w:r>
      <w:bookmarkEnd w:id="35"/>
    </w:p>
    <w:p w14:paraId="01811139" w14:textId="1A700176" w:rsidR="00B35956" w:rsidRPr="007F4F3E" w:rsidRDefault="00B35956" w:rsidP="007F4F3E">
      <w:pPr>
        <w:rPr>
          <w:rFonts w:eastAsiaTheme="minorEastAsia" w:cs="Arial"/>
          <w:lang w:val="es-ES_tradnl"/>
        </w:rPr>
      </w:pPr>
      <w:r w:rsidRPr="007F4F3E">
        <w:t xml:space="preserve">Primero, </w:t>
      </w:r>
      <w:r w:rsidRPr="007F4F3E">
        <w:rPr>
          <w:rFonts w:cs="Arial"/>
        </w:rPr>
        <w:t xml:space="preserve">este Órgano Garante considera necesario precisar que la respuestas relacionada con </w:t>
      </w:r>
      <w:r w:rsidR="00342474" w:rsidRPr="007F4F3E">
        <w:rPr>
          <w:rFonts w:cs="Arial"/>
        </w:rPr>
        <w:t xml:space="preserve">el monto </w:t>
      </w:r>
      <w:r w:rsidRPr="007F4F3E">
        <w:rPr>
          <w:rFonts w:eastAsiaTheme="minorEastAsia" w:cs="Arial"/>
          <w:lang w:val="es-ES_tradnl"/>
        </w:rPr>
        <w:t xml:space="preserve">debe declararse consentida, toda vez que </w:t>
      </w:r>
      <w:r w:rsidRPr="007F4F3E">
        <w:rPr>
          <w:rFonts w:eastAsiaTheme="minorEastAsia" w:cs="Arial"/>
          <w:b/>
          <w:lang w:val="es-ES_tradnl"/>
        </w:rPr>
        <w:t xml:space="preserve">EL RECURRENTE </w:t>
      </w:r>
      <w:r w:rsidRPr="007F4F3E">
        <w:rPr>
          <w:rFonts w:eastAsiaTheme="minorEastAsia" w:cs="Arial"/>
          <w:lang w:val="es-ES_tradnl"/>
        </w:rPr>
        <w:t xml:space="preserve">no realizó manifestaciones de inconformidad al respecto; por lo que, no pueden producirse efectos jurídicos tendentes a revocar, confirmar o modificar el acto reclamado, ya que no realizó manifestación alguna al respecto. </w:t>
      </w:r>
    </w:p>
    <w:p w14:paraId="4F7E7466" w14:textId="77777777" w:rsidR="00B35956" w:rsidRPr="007F4F3E" w:rsidRDefault="00B35956" w:rsidP="007F4F3E">
      <w:pPr>
        <w:rPr>
          <w:rFonts w:eastAsiaTheme="minorEastAsia" w:cs="Arial"/>
          <w:lang w:val="es-ES_tradnl"/>
        </w:rPr>
      </w:pPr>
    </w:p>
    <w:p w14:paraId="41444BD7" w14:textId="77777777" w:rsidR="00B35956" w:rsidRPr="007F4F3E" w:rsidRDefault="00B35956" w:rsidP="007F4F3E">
      <w:pPr>
        <w:rPr>
          <w:rFonts w:eastAsiaTheme="minorEastAsia" w:cs="Arial"/>
          <w:lang w:val="es-ES_tradnl"/>
        </w:rPr>
      </w:pPr>
      <w:r w:rsidRPr="007F4F3E">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741E53CA" w14:textId="77777777" w:rsidR="00B35956" w:rsidRPr="007F4F3E" w:rsidRDefault="00B35956" w:rsidP="007F4F3E">
      <w:pPr>
        <w:rPr>
          <w:rFonts w:eastAsiaTheme="minorEastAsia" w:cs="Arial"/>
          <w:szCs w:val="22"/>
          <w:lang w:val="es-ES_tradnl"/>
        </w:rPr>
      </w:pPr>
    </w:p>
    <w:p w14:paraId="4A8160AC" w14:textId="77777777" w:rsidR="00B35956" w:rsidRPr="007F4F3E" w:rsidRDefault="00B35956" w:rsidP="007F4F3E">
      <w:pPr>
        <w:pStyle w:val="Puesto"/>
        <w:rPr>
          <w:rFonts w:eastAsiaTheme="minorEastAsia"/>
          <w:lang w:val="es-ES_tradnl"/>
        </w:rPr>
      </w:pPr>
      <w:r w:rsidRPr="007F4F3E">
        <w:rPr>
          <w:rFonts w:eastAsiaTheme="minorEastAsia"/>
          <w:b/>
          <w:bCs/>
          <w:lang w:val="es-ES_tradnl"/>
        </w:rPr>
        <w:t xml:space="preserve">“ACTOS CONSENTIDOS. SON LOS QUE NO SE IMPUGNAN MEDIANTE EL RECURSO IDÓNEO. </w:t>
      </w:r>
      <w:r w:rsidRPr="007F4F3E">
        <w:rPr>
          <w:rFonts w:eastAsiaTheme="minorEastAsia"/>
          <w:lang w:val="es-ES_tradnl"/>
        </w:rPr>
        <w:t xml:space="preserve">Debe reputarse como consentido el acto que no se </w:t>
      </w:r>
      <w:r w:rsidRPr="007F4F3E">
        <w:rPr>
          <w:rFonts w:eastAsiaTheme="minorEastAsia" w:cs="Arial"/>
          <w:lang w:val="es-ES_tradnl"/>
        </w:rPr>
        <w:t>impugnó</w:t>
      </w:r>
      <w:r w:rsidRPr="007F4F3E">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0667CBA" w14:textId="77777777" w:rsidR="00B35956" w:rsidRPr="007F4F3E" w:rsidRDefault="00B35956" w:rsidP="007F4F3E">
      <w:pPr>
        <w:rPr>
          <w:rFonts w:eastAsiaTheme="minorEastAsia" w:cstheme="minorBidi"/>
          <w:lang w:val="es-ES_tradnl"/>
        </w:rPr>
      </w:pPr>
    </w:p>
    <w:p w14:paraId="56CBC808" w14:textId="77777777" w:rsidR="00B35956" w:rsidRPr="007F4F3E" w:rsidRDefault="00B35956" w:rsidP="007F4F3E">
      <w:pPr>
        <w:rPr>
          <w:rFonts w:eastAsiaTheme="minorEastAsia" w:cstheme="minorBidi"/>
          <w:lang w:val="es-ES_tradnl"/>
        </w:rPr>
      </w:pPr>
      <w:r w:rsidRPr="007F4F3E">
        <w:rPr>
          <w:rFonts w:eastAsiaTheme="minorEastAsia" w:cstheme="minorBidi"/>
          <w:lang w:val="es-ES_tradnl"/>
        </w:rPr>
        <w:t xml:space="preserve">Asimismo, no se omite comentar que respecto de las documentales remitidas por parte del </w:t>
      </w:r>
      <w:r w:rsidRPr="007F4F3E">
        <w:rPr>
          <w:rFonts w:eastAsiaTheme="minorEastAsia" w:cstheme="minorBidi"/>
          <w:b/>
          <w:lang w:val="es-ES_tradnl"/>
        </w:rPr>
        <w:t>SUJETO OBLIGADO</w:t>
      </w:r>
      <w:r w:rsidRPr="007F4F3E">
        <w:rPr>
          <w:rFonts w:eastAsiaTheme="minorEastAsia" w:cstheme="minorBidi"/>
          <w:lang w:val="es-ES_tradnl"/>
        </w:rPr>
        <w:t>, a fin de dar respuesta a la solicitud planteada, este Instituto no está facultado para manifestarse sobre la veracidad de la información proporcionada.</w:t>
      </w:r>
    </w:p>
    <w:p w14:paraId="62C5BA4A" w14:textId="77777777" w:rsidR="00B35956" w:rsidRPr="007F4F3E" w:rsidRDefault="00B35956" w:rsidP="007F4F3E">
      <w:pPr>
        <w:rPr>
          <w:rFonts w:eastAsiaTheme="minorEastAsia" w:cs="Arial"/>
          <w:sz w:val="20"/>
          <w:lang w:val="es-ES_tradnl"/>
        </w:rPr>
      </w:pPr>
    </w:p>
    <w:p w14:paraId="4581E4E8" w14:textId="639817B6" w:rsidR="00B35956" w:rsidRPr="007F4F3E" w:rsidRDefault="00B35956" w:rsidP="007F4F3E">
      <w:pPr>
        <w:rPr>
          <w:rFonts w:cs="Arial"/>
        </w:rPr>
      </w:pPr>
      <w:r w:rsidRPr="007F4F3E">
        <w:rPr>
          <w:rFonts w:cs="Arial"/>
        </w:rPr>
        <w:lastRenderedPageBreak/>
        <w:t xml:space="preserve">En ese contexto, esta Ponencia considera conveniente entrar al estudio del rubro que fue impugnado por </w:t>
      </w:r>
      <w:r w:rsidRPr="007F4F3E">
        <w:rPr>
          <w:rFonts w:cs="Arial"/>
          <w:b/>
        </w:rPr>
        <w:t>LA</w:t>
      </w:r>
      <w:r w:rsidRPr="007F4F3E">
        <w:rPr>
          <w:rFonts w:cs="Arial"/>
        </w:rPr>
        <w:t xml:space="preserve"> </w:t>
      </w:r>
      <w:r w:rsidRPr="007F4F3E">
        <w:rPr>
          <w:rFonts w:cs="Arial"/>
          <w:b/>
        </w:rPr>
        <w:t>PARTE</w:t>
      </w:r>
      <w:r w:rsidRPr="007F4F3E">
        <w:rPr>
          <w:rFonts w:cs="Arial"/>
        </w:rPr>
        <w:t xml:space="preserve"> </w:t>
      </w:r>
      <w:r w:rsidRPr="007F4F3E">
        <w:rPr>
          <w:rFonts w:cs="Arial"/>
          <w:b/>
        </w:rPr>
        <w:t>RECURRENTE</w:t>
      </w:r>
      <w:r w:rsidRPr="007F4F3E">
        <w:rPr>
          <w:rFonts w:cs="Arial"/>
        </w:rPr>
        <w:t>, a fin de verificar si cumplió con el derecho de acceso a la información pública del particular.</w:t>
      </w:r>
    </w:p>
    <w:p w14:paraId="5E4B1568" w14:textId="77777777" w:rsidR="00B35956" w:rsidRPr="007F4F3E" w:rsidRDefault="00B35956" w:rsidP="007F4F3E"/>
    <w:p w14:paraId="55F4D093" w14:textId="649ADA8A" w:rsidR="00342474" w:rsidRPr="007F4F3E" w:rsidRDefault="00342474" w:rsidP="007F4F3E">
      <w:r w:rsidRPr="007F4F3E">
        <w:t xml:space="preserve">Por lo que, se considera necesario precisar que la Ley del Trabajo de los Servidores Públicos del Estado y Municipios, en la parte que nos interesa, señala lo siguiente: </w:t>
      </w:r>
    </w:p>
    <w:p w14:paraId="3F09DFDB" w14:textId="77777777" w:rsidR="00342474" w:rsidRPr="007F4F3E" w:rsidRDefault="00342474" w:rsidP="007F4F3E"/>
    <w:p w14:paraId="619C93E3" w14:textId="77777777" w:rsidR="00342474" w:rsidRPr="007F4F3E" w:rsidRDefault="00342474" w:rsidP="007F4F3E">
      <w:pPr>
        <w:pStyle w:val="Puesto"/>
      </w:pPr>
      <w:r w:rsidRPr="007F4F3E">
        <w:rPr>
          <w:b/>
        </w:rPr>
        <w:t>ARTÍCULO 213.-</w:t>
      </w:r>
      <w:r w:rsidRPr="007F4F3E">
        <w:t xml:space="preserve"> Las partes desde el escrito inicial de demanda y de la contestación a la misma, respectivamente, así como los terceros interesados, deberán señalar domicilio dentro del municipio de la residencia del Tribunal o de las Salas que se trate o bien, correo electrónico, previa autorización de las partes, para recibir notificaciones; si no lo hacen, las notificaciones personales y de cualquier índole, se harán por estrados o boletín laboral. </w:t>
      </w:r>
    </w:p>
    <w:p w14:paraId="5AC8A4A7" w14:textId="77777777" w:rsidR="00342474" w:rsidRPr="007F4F3E" w:rsidRDefault="00342474" w:rsidP="007F4F3E">
      <w:pPr>
        <w:pStyle w:val="Puesto"/>
        <w:rPr>
          <w:b/>
        </w:rPr>
      </w:pPr>
    </w:p>
    <w:p w14:paraId="690E4C88" w14:textId="4EE24D9F" w:rsidR="00342474" w:rsidRPr="007F4F3E" w:rsidRDefault="00342474" w:rsidP="007F4F3E">
      <w:pPr>
        <w:pStyle w:val="Puesto"/>
      </w:pPr>
      <w:r w:rsidRPr="007F4F3E">
        <w:rPr>
          <w:b/>
        </w:rPr>
        <w:t>ARTÍCULO 214.</w:t>
      </w:r>
      <w:r w:rsidRPr="007F4F3E">
        <w:t xml:space="preserve"> Se harán personalmente las notificaciones siguientes:</w:t>
      </w:r>
    </w:p>
    <w:p w14:paraId="0041FF45" w14:textId="2059B529" w:rsidR="00342474" w:rsidRPr="007F4F3E" w:rsidRDefault="00342474" w:rsidP="007F4F3E">
      <w:pPr>
        <w:pStyle w:val="Puesto"/>
        <w:rPr>
          <w:b/>
        </w:rPr>
      </w:pPr>
      <w:r w:rsidRPr="007F4F3E">
        <w:rPr>
          <w:b/>
        </w:rPr>
        <w:t>…</w:t>
      </w:r>
    </w:p>
    <w:p w14:paraId="2C87A237" w14:textId="591DC820" w:rsidR="00342474" w:rsidRPr="007F4F3E" w:rsidRDefault="00342474" w:rsidP="007F4F3E">
      <w:pPr>
        <w:pStyle w:val="Puesto"/>
        <w:rPr>
          <w:b/>
        </w:rPr>
      </w:pPr>
      <w:r w:rsidRPr="007F4F3E">
        <w:rPr>
          <w:b/>
        </w:rPr>
        <w:t>VIII. El laudo;</w:t>
      </w:r>
    </w:p>
    <w:p w14:paraId="2BF286E6" w14:textId="27DFBF1D" w:rsidR="00342474" w:rsidRPr="007F4F3E" w:rsidRDefault="00342474" w:rsidP="007F4F3E">
      <w:pPr>
        <w:pStyle w:val="Puesto"/>
      </w:pPr>
      <w:r w:rsidRPr="007F4F3E">
        <w:t>…</w:t>
      </w:r>
    </w:p>
    <w:p w14:paraId="7E1DCB15" w14:textId="77777777" w:rsidR="00342474" w:rsidRPr="007F4F3E" w:rsidRDefault="00342474" w:rsidP="007F4F3E">
      <w:pPr>
        <w:pStyle w:val="Puesto"/>
        <w:jc w:val="center"/>
        <w:rPr>
          <w:b/>
        </w:rPr>
      </w:pPr>
      <w:r w:rsidRPr="007F4F3E">
        <w:rPr>
          <w:b/>
        </w:rPr>
        <w:t xml:space="preserve">CAPITULO X </w:t>
      </w:r>
    </w:p>
    <w:p w14:paraId="11CDAD76" w14:textId="5804F2B1" w:rsidR="00342474" w:rsidRPr="007F4F3E" w:rsidRDefault="00342474" w:rsidP="007F4F3E">
      <w:pPr>
        <w:pStyle w:val="Puesto"/>
        <w:jc w:val="center"/>
        <w:rPr>
          <w:b/>
        </w:rPr>
      </w:pPr>
      <w:r w:rsidRPr="007F4F3E">
        <w:rPr>
          <w:b/>
        </w:rPr>
        <w:t>Del Procedimiento Laboral</w:t>
      </w:r>
    </w:p>
    <w:p w14:paraId="50DF5920" w14:textId="77777777" w:rsidR="00342474" w:rsidRPr="007F4F3E" w:rsidRDefault="00342474" w:rsidP="007F4F3E"/>
    <w:p w14:paraId="236AFEE3" w14:textId="77777777" w:rsidR="00342474" w:rsidRPr="007F4F3E" w:rsidRDefault="00342474" w:rsidP="007F4F3E">
      <w:pPr>
        <w:pStyle w:val="Puesto"/>
      </w:pPr>
      <w:r w:rsidRPr="007F4F3E">
        <w:rPr>
          <w:b/>
        </w:rPr>
        <w:t>ARTÍCULO 225.</w:t>
      </w:r>
      <w:r w:rsidRPr="007F4F3E">
        <w:t xml:space="preserve"> Las disposiciones de este capítulo rigen la tramitación y resolución de los conflictos individuales y colectivos, con excepción de la huelga cuya tramitación se sujetará al procedimiento especial que en esta ley se contempla. </w:t>
      </w:r>
    </w:p>
    <w:p w14:paraId="3BC076DB" w14:textId="77777777" w:rsidR="00342474" w:rsidRPr="007F4F3E" w:rsidRDefault="00342474" w:rsidP="007F4F3E">
      <w:pPr>
        <w:pStyle w:val="Puesto"/>
        <w:rPr>
          <w:b/>
        </w:rPr>
      </w:pPr>
    </w:p>
    <w:p w14:paraId="4DB38A5C" w14:textId="5AC11145" w:rsidR="00342474" w:rsidRPr="007F4F3E" w:rsidRDefault="00342474" w:rsidP="007F4F3E">
      <w:pPr>
        <w:pStyle w:val="Puesto"/>
      </w:pPr>
      <w:r w:rsidRPr="007F4F3E">
        <w:rPr>
          <w:b/>
        </w:rPr>
        <w:t>ARTÍCULO 226.</w:t>
      </w:r>
      <w:r w:rsidRPr="007F4F3E">
        <w:t xml:space="preserve"> El procedimiento se iniciará con la presentación del escrito de demanda ante la Oficialía de Partes del Tribunal o la Sala que lo turnará a la Sala oral o mesa de audiencia según le corresponda el mismo día antes de que concluyan las labores. A la demanda se acompañarán las pruebas de que disponga el actor y los documentos que acrediten la personalidad del representante, en caso de que aquel no pudiera concurrir personalmente.</w:t>
      </w:r>
    </w:p>
    <w:p w14:paraId="0589C6F6" w14:textId="77777777" w:rsidR="00342474" w:rsidRPr="007F4F3E" w:rsidRDefault="00342474" w:rsidP="007F4F3E"/>
    <w:p w14:paraId="5E6176FA" w14:textId="2C9AC913" w:rsidR="00342474" w:rsidRPr="007F4F3E" w:rsidRDefault="00342474" w:rsidP="007F4F3E">
      <w:pPr>
        <w:pStyle w:val="Puesto"/>
      </w:pPr>
      <w:r w:rsidRPr="007F4F3E">
        <w:rPr>
          <w:b/>
        </w:rPr>
        <w:t>ARTÍCULO 232.-</w:t>
      </w:r>
      <w:r w:rsidRPr="007F4F3E">
        <w:t xml:space="preserve"> La audiencia a que se refiere el artículo 229 de esta ley constará de tres etapas</w:t>
      </w:r>
    </w:p>
    <w:p w14:paraId="49209FC4" w14:textId="77777777" w:rsidR="00342474" w:rsidRPr="007F4F3E" w:rsidRDefault="00342474" w:rsidP="007F4F3E">
      <w:pPr>
        <w:pStyle w:val="Puesto"/>
      </w:pPr>
      <w:r w:rsidRPr="007F4F3E">
        <w:rPr>
          <w:b/>
        </w:rPr>
        <w:t>I.</w:t>
      </w:r>
      <w:r w:rsidRPr="007F4F3E">
        <w:t xml:space="preserve"> </w:t>
      </w:r>
      <w:r w:rsidRPr="007F4F3E">
        <w:rPr>
          <w:b/>
        </w:rPr>
        <w:t>De conciliación</w:t>
      </w:r>
      <w:r w:rsidRPr="007F4F3E">
        <w:t xml:space="preserve">; y </w:t>
      </w:r>
    </w:p>
    <w:p w14:paraId="043DB5B9" w14:textId="77777777" w:rsidR="00342474" w:rsidRPr="007F4F3E" w:rsidRDefault="00342474" w:rsidP="007F4F3E">
      <w:pPr>
        <w:pStyle w:val="Puesto"/>
      </w:pPr>
      <w:r w:rsidRPr="007F4F3E">
        <w:rPr>
          <w:b/>
        </w:rPr>
        <w:lastRenderedPageBreak/>
        <w:t>II.</w:t>
      </w:r>
      <w:r w:rsidRPr="007F4F3E">
        <w:t xml:space="preserve"> </w:t>
      </w:r>
      <w:r w:rsidRPr="007F4F3E">
        <w:rPr>
          <w:b/>
        </w:rPr>
        <w:t>De</w:t>
      </w:r>
      <w:r w:rsidRPr="007F4F3E">
        <w:t xml:space="preserve"> </w:t>
      </w:r>
      <w:r w:rsidRPr="007F4F3E">
        <w:rPr>
          <w:b/>
        </w:rPr>
        <w:t>depuración procesal</w:t>
      </w:r>
      <w:r w:rsidRPr="007F4F3E">
        <w:t xml:space="preserve">; </w:t>
      </w:r>
    </w:p>
    <w:p w14:paraId="2EE43CBD" w14:textId="77777777" w:rsidR="00342474" w:rsidRPr="007F4F3E" w:rsidRDefault="00342474" w:rsidP="007F4F3E">
      <w:pPr>
        <w:pStyle w:val="Puesto"/>
      </w:pPr>
      <w:r w:rsidRPr="007F4F3E">
        <w:rPr>
          <w:b/>
        </w:rPr>
        <w:t>III.</w:t>
      </w:r>
      <w:r w:rsidRPr="007F4F3E">
        <w:t xml:space="preserve"> </w:t>
      </w:r>
      <w:r w:rsidRPr="007F4F3E">
        <w:rPr>
          <w:b/>
        </w:rPr>
        <w:t>De ofrecimiento y admisión de pruebas</w:t>
      </w:r>
      <w:r w:rsidRPr="007F4F3E">
        <w:t xml:space="preserve">. </w:t>
      </w:r>
    </w:p>
    <w:p w14:paraId="66CE5982" w14:textId="04FAED0A" w:rsidR="00342474" w:rsidRPr="007F4F3E" w:rsidRDefault="00342474" w:rsidP="007F4F3E">
      <w:pPr>
        <w:pStyle w:val="Puesto"/>
      </w:pPr>
      <w:r w:rsidRPr="007F4F3E">
        <w:t>La audiencia se iniciará con o sin la comparecencia de las partes. Las ausentes podrán intervenir cuando se presenten; sin embargo, tendrán por precluido el derecho para hacer valer las manifestaciones y demás actos referentes a las actuaciones ya celebradas y siempre que el Tribunal o la Sala no haya emitido el acuerdo correspondiente.</w:t>
      </w:r>
    </w:p>
    <w:p w14:paraId="2687B5DC" w14:textId="77777777" w:rsidR="00342474" w:rsidRPr="007F4F3E" w:rsidRDefault="00342474" w:rsidP="007F4F3E"/>
    <w:p w14:paraId="33129391" w14:textId="77777777" w:rsidR="00342474" w:rsidRPr="007F4F3E" w:rsidRDefault="00342474" w:rsidP="007F4F3E">
      <w:pPr>
        <w:pStyle w:val="Puesto"/>
      </w:pPr>
      <w:r w:rsidRPr="007F4F3E">
        <w:rPr>
          <w:b/>
        </w:rPr>
        <w:t>ARTÍCULO 233.</w:t>
      </w:r>
      <w:r w:rsidRPr="007F4F3E">
        <w:t xml:space="preserve"> La etapa conciliatoria se desarrollará en la siguiente forma: </w:t>
      </w:r>
    </w:p>
    <w:p w14:paraId="15EFF231" w14:textId="77777777" w:rsidR="00342474" w:rsidRPr="007F4F3E" w:rsidRDefault="00342474" w:rsidP="007F4F3E">
      <w:pPr>
        <w:pStyle w:val="Puesto"/>
      </w:pPr>
      <w:r w:rsidRPr="007F4F3E">
        <w:t xml:space="preserve">I. Las partes podrán comparecer ante el Tribunal o la Sala personalmente o por medio de su apoderado o representante legal; </w:t>
      </w:r>
    </w:p>
    <w:p w14:paraId="0324BF70" w14:textId="77777777" w:rsidR="00342474" w:rsidRPr="007F4F3E" w:rsidRDefault="00342474" w:rsidP="007F4F3E">
      <w:pPr>
        <w:pStyle w:val="Puesto"/>
      </w:pPr>
      <w:r w:rsidRPr="007F4F3E">
        <w:t xml:space="preserve">II. El Tribunal o la Sala intervendrán para la celebración de pláticas entre las partes y las exhortarán, para que procuren llegar a un arreglo conciliatorio; </w:t>
      </w:r>
    </w:p>
    <w:p w14:paraId="6F600C3E" w14:textId="77777777" w:rsidR="00342474" w:rsidRPr="007F4F3E" w:rsidRDefault="00342474" w:rsidP="007F4F3E">
      <w:pPr>
        <w:pStyle w:val="Puesto"/>
      </w:pPr>
      <w:r w:rsidRPr="007F4F3E">
        <w:rPr>
          <w:b/>
        </w:rPr>
        <w:t>III. Si las partes llegan a un acuerdo, se dará por terminado el conflicto. El convenio respectivo, aprobado por el Tribunal o la Sala, producirá todos los efectos jurídicos inherentes a un laudo</w:t>
      </w:r>
      <w:r w:rsidRPr="007F4F3E">
        <w:t xml:space="preserve">; </w:t>
      </w:r>
    </w:p>
    <w:p w14:paraId="55C2B17D" w14:textId="77777777" w:rsidR="00342474" w:rsidRPr="007F4F3E" w:rsidRDefault="00342474" w:rsidP="007F4F3E">
      <w:pPr>
        <w:pStyle w:val="Puesto"/>
      </w:pPr>
      <w:r w:rsidRPr="007F4F3E">
        <w:t>…</w:t>
      </w:r>
    </w:p>
    <w:p w14:paraId="78AB99C9" w14:textId="77777777" w:rsidR="00342474" w:rsidRPr="007F4F3E" w:rsidRDefault="00342474" w:rsidP="007F4F3E">
      <w:pPr>
        <w:pStyle w:val="Puesto"/>
      </w:pPr>
    </w:p>
    <w:p w14:paraId="6A37B56B" w14:textId="77777777" w:rsidR="00342474" w:rsidRPr="007F4F3E" w:rsidRDefault="00342474" w:rsidP="007F4F3E">
      <w:pPr>
        <w:pStyle w:val="Puesto"/>
      </w:pPr>
      <w:r w:rsidRPr="007F4F3E">
        <w:rPr>
          <w:b/>
        </w:rPr>
        <w:t>ARTÍCULO 242.-</w:t>
      </w:r>
      <w:r w:rsidRPr="007F4F3E">
        <w:t xml:space="preserve"> Una vez formulados los alegatos se declarará cerrada la instrucción y se turnarán los autos al C. Auxiliar Dictaminador, para que emita el proyecto de laudo correspondiente, observando el principio de celeridad procesal. </w:t>
      </w:r>
    </w:p>
    <w:p w14:paraId="538FA0C0" w14:textId="77777777" w:rsidR="00342474" w:rsidRPr="007F4F3E" w:rsidRDefault="00342474" w:rsidP="007F4F3E">
      <w:pPr>
        <w:pStyle w:val="Puesto"/>
        <w:rPr>
          <w:b/>
        </w:rPr>
      </w:pPr>
    </w:p>
    <w:p w14:paraId="66C2F661" w14:textId="7637BE62" w:rsidR="00342474" w:rsidRPr="007F4F3E" w:rsidRDefault="00342474" w:rsidP="007F4F3E">
      <w:pPr>
        <w:pStyle w:val="Puesto"/>
      </w:pPr>
      <w:r w:rsidRPr="007F4F3E">
        <w:rPr>
          <w:b/>
        </w:rPr>
        <w:t>ARTÍCULO 242 BIS.-</w:t>
      </w:r>
      <w:r w:rsidRPr="007F4F3E">
        <w:t xml:space="preserve"> Una vez elaborado el proyecto de laudo, se procederá a su discusión y aprobación en una sesión de pleno que se verificará en un término no mayor de 15 días.</w:t>
      </w:r>
    </w:p>
    <w:p w14:paraId="6072CB0B" w14:textId="77777777" w:rsidR="00342474" w:rsidRPr="007F4F3E" w:rsidRDefault="00342474" w:rsidP="007F4F3E"/>
    <w:p w14:paraId="1DE5E75D" w14:textId="77777777" w:rsidR="0028077E" w:rsidRPr="007F4F3E" w:rsidRDefault="00395552" w:rsidP="007F4F3E">
      <w:r w:rsidRPr="007F4F3E">
        <w:t xml:space="preserve">Así de la normatividad citada, se desprende que el Tribunal Estatal de Conciliación y Arbitraje es el encargado de emitir laudos, no así </w:t>
      </w:r>
      <w:r w:rsidRPr="007F4F3E">
        <w:rPr>
          <w:b/>
        </w:rPr>
        <w:t>EL SUJETO OBLIGADO</w:t>
      </w:r>
      <w:r w:rsidRPr="007F4F3E">
        <w:t xml:space="preserve">, sin embargo, se advierte que sí se le notifican los laudos correspondientes, ya que es claro que </w:t>
      </w:r>
      <w:r w:rsidRPr="007F4F3E">
        <w:rPr>
          <w:b/>
        </w:rPr>
        <w:t>EL SUJETO OBLIGADO</w:t>
      </w:r>
      <w:r w:rsidRPr="007F4F3E">
        <w:t xml:space="preserve"> no los emite, sino que los acata; razón por lo cual debe contar con ellos</w:t>
      </w:r>
      <w:r w:rsidR="0028077E" w:rsidRPr="007F4F3E">
        <w:t xml:space="preserve">. </w:t>
      </w:r>
    </w:p>
    <w:p w14:paraId="772B84B0" w14:textId="77777777" w:rsidR="0028077E" w:rsidRPr="007F4F3E" w:rsidRDefault="0028077E" w:rsidP="007F4F3E"/>
    <w:p w14:paraId="116C1159" w14:textId="46E49464" w:rsidR="00782950" w:rsidRPr="007F4F3E" w:rsidRDefault="0019725E" w:rsidP="007F4F3E">
      <w:r w:rsidRPr="007F4F3E">
        <w:t>Ahora bien</w:t>
      </w:r>
      <w:r w:rsidR="0028077E" w:rsidRPr="007F4F3E">
        <w:t xml:space="preserve">, respecto a los Laudos la Ley del Trabajo de los Servidores Públicos del Estado de México y Municipios señala lo siguiente: </w:t>
      </w:r>
    </w:p>
    <w:p w14:paraId="79853087" w14:textId="77777777" w:rsidR="00782950" w:rsidRPr="007F4F3E" w:rsidRDefault="00782950" w:rsidP="007F4F3E"/>
    <w:p w14:paraId="04460726" w14:textId="77777777" w:rsidR="00782950" w:rsidRPr="007F4F3E" w:rsidRDefault="0028077E" w:rsidP="007F4F3E">
      <w:pPr>
        <w:pStyle w:val="Puesto"/>
      </w:pPr>
      <w:r w:rsidRPr="007F4F3E">
        <w:rPr>
          <w:b/>
        </w:rPr>
        <w:t>ARTICULO 243.</w:t>
      </w:r>
      <w:r w:rsidRPr="007F4F3E">
        <w:t xml:space="preserve"> En la sesión en que se dicte resolución se observarán las siguientes reglas:</w:t>
      </w:r>
    </w:p>
    <w:p w14:paraId="61C7912F" w14:textId="77777777" w:rsidR="00782950" w:rsidRPr="007F4F3E" w:rsidRDefault="0028077E" w:rsidP="007F4F3E">
      <w:pPr>
        <w:pStyle w:val="Puesto"/>
      </w:pPr>
      <w:r w:rsidRPr="007F4F3E">
        <w:lastRenderedPageBreak/>
        <w:t xml:space="preserve"> </w:t>
      </w:r>
      <w:r w:rsidRPr="007F4F3E">
        <w:rPr>
          <w:b/>
        </w:rPr>
        <w:t>I.</w:t>
      </w:r>
      <w:r w:rsidRPr="007F4F3E">
        <w:t xml:space="preserve"> El presidente dará lectura a su propuesta de laudo;</w:t>
      </w:r>
    </w:p>
    <w:p w14:paraId="70B7652C" w14:textId="40199237" w:rsidR="00782950" w:rsidRPr="007F4F3E" w:rsidRDefault="0028077E" w:rsidP="007F4F3E">
      <w:pPr>
        <w:pStyle w:val="Puesto"/>
      </w:pPr>
      <w:r w:rsidRPr="007F4F3E">
        <w:t xml:space="preserve"> </w:t>
      </w:r>
      <w:r w:rsidRPr="007F4F3E">
        <w:rPr>
          <w:b/>
        </w:rPr>
        <w:t>II.</w:t>
      </w:r>
      <w:r w:rsidRPr="007F4F3E">
        <w:t xml:space="preserve"> Acto seguido se abrirá, en su caso, la discusión correspondiente; y </w:t>
      </w:r>
    </w:p>
    <w:p w14:paraId="3EB8F675" w14:textId="77777777" w:rsidR="00782950" w:rsidRPr="007F4F3E" w:rsidRDefault="0028077E" w:rsidP="007F4F3E">
      <w:pPr>
        <w:pStyle w:val="Puesto"/>
      </w:pPr>
      <w:r w:rsidRPr="007F4F3E">
        <w:rPr>
          <w:b/>
        </w:rPr>
        <w:t>III.</w:t>
      </w:r>
      <w:r w:rsidRPr="007F4F3E">
        <w:t xml:space="preserve"> Finalmente el presidente recogerá la votación y declarará el resultado. </w:t>
      </w:r>
    </w:p>
    <w:p w14:paraId="4FABF473" w14:textId="77777777" w:rsidR="00782950" w:rsidRPr="007F4F3E" w:rsidRDefault="00782950" w:rsidP="007F4F3E">
      <w:pPr>
        <w:pStyle w:val="Puesto"/>
      </w:pPr>
    </w:p>
    <w:p w14:paraId="22AF453E" w14:textId="77777777" w:rsidR="00782950" w:rsidRPr="007F4F3E" w:rsidRDefault="0028077E" w:rsidP="007F4F3E">
      <w:pPr>
        <w:pStyle w:val="Puesto"/>
      </w:pPr>
      <w:r w:rsidRPr="007F4F3E">
        <w:rPr>
          <w:b/>
        </w:rPr>
        <w:t>ARTÍCULO 244.-</w:t>
      </w:r>
      <w:r w:rsidRPr="007F4F3E">
        <w:t xml:space="preserve"> Si la propuesta fuere aprobada, sin adiciones ni modificaciones, se elevará a la categoría de laudo y se firmará de inmediato por los miembros del Tribunal o de la Sala. Si se le hicieran modificaciones o adiciones, se harán constar en el acta y el Presidente ordenará que de inmediato se redacte el laudo, de acuerdo con lo aprobado. </w:t>
      </w:r>
    </w:p>
    <w:p w14:paraId="54CD47D5" w14:textId="77777777" w:rsidR="00782950" w:rsidRPr="007F4F3E" w:rsidRDefault="00782950" w:rsidP="007F4F3E">
      <w:pPr>
        <w:pStyle w:val="Puesto"/>
      </w:pPr>
    </w:p>
    <w:p w14:paraId="12CDBAD1" w14:textId="39001FB5" w:rsidR="00782950" w:rsidRPr="007F4F3E" w:rsidRDefault="0028077E" w:rsidP="007F4F3E">
      <w:pPr>
        <w:pStyle w:val="Puesto"/>
      </w:pPr>
      <w:r w:rsidRPr="007F4F3E">
        <w:t xml:space="preserve">Una vez firmado el laudo, se turnará el expediente al actuario, para que de inmediato lo notifique personalmente a las partes. </w:t>
      </w:r>
    </w:p>
    <w:p w14:paraId="72AD8E2D" w14:textId="77777777" w:rsidR="00782950" w:rsidRPr="007F4F3E" w:rsidRDefault="00782950" w:rsidP="007F4F3E">
      <w:pPr>
        <w:pStyle w:val="Puesto"/>
        <w:rPr>
          <w:b/>
        </w:rPr>
      </w:pPr>
    </w:p>
    <w:p w14:paraId="07344F02" w14:textId="77777777" w:rsidR="00782950" w:rsidRPr="007F4F3E" w:rsidRDefault="0028077E" w:rsidP="007F4F3E">
      <w:pPr>
        <w:pStyle w:val="Puesto"/>
      </w:pPr>
      <w:r w:rsidRPr="007F4F3E">
        <w:rPr>
          <w:b/>
        </w:rPr>
        <w:t>ARTÍCULO 245.</w:t>
      </w:r>
      <w:r w:rsidRPr="007F4F3E">
        <w:t xml:space="preserve"> Los laudos se dictarán a verdad sabida y buena fe guardada, apreciando los hechos en conciencia, sin sujetarse a reglas o formulismos sobre estimación de las pruebas, pero expresarán los motivos y fundamentos legales en que se apoyen. </w:t>
      </w:r>
    </w:p>
    <w:p w14:paraId="16324C8C" w14:textId="77777777" w:rsidR="00782950" w:rsidRPr="007F4F3E" w:rsidRDefault="00782950" w:rsidP="007F4F3E">
      <w:pPr>
        <w:pStyle w:val="Puesto"/>
        <w:rPr>
          <w:b/>
        </w:rPr>
      </w:pPr>
    </w:p>
    <w:p w14:paraId="11D8F030" w14:textId="7CC7C089" w:rsidR="0028077E" w:rsidRPr="007F4F3E" w:rsidRDefault="0028077E" w:rsidP="007F4F3E">
      <w:pPr>
        <w:pStyle w:val="Puesto"/>
      </w:pPr>
      <w:r w:rsidRPr="007F4F3E">
        <w:rPr>
          <w:b/>
        </w:rPr>
        <w:t>ARTÍCULO 246.</w:t>
      </w:r>
      <w:r w:rsidRPr="007F4F3E">
        <w:t xml:space="preserve"> Los laudos deben ser claros, precisos y congruentes con la demanda, contestación y demás pretensiones deducidas en el juicio oportunamente</w:t>
      </w:r>
    </w:p>
    <w:p w14:paraId="765BE6D0" w14:textId="77777777" w:rsidR="0028077E" w:rsidRPr="007F4F3E" w:rsidRDefault="0028077E" w:rsidP="007F4F3E">
      <w:pPr>
        <w:pStyle w:val="Puesto"/>
        <w:ind w:left="0"/>
      </w:pPr>
    </w:p>
    <w:p w14:paraId="697CAF37" w14:textId="77777777" w:rsidR="001674B4" w:rsidRPr="007F4F3E" w:rsidRDefault="001674B4" w:rsidP="007F4F3E"/>
    <w:p w14:paraId="21E3C032" w14:textId="051D6322" w:rsidR="001674B4" w:rsidRPr="007F4F3E" w:rsidRDefault="0019725E" w:rsidP="007F4F3E">
      <w:r w:rsidRPr="007F4F3E">
        <w:t>Asimismo</w:t>
      </w:r>
      <w:r w:rsidR="005441A9" w:rsidRPr="007F4F3E">
        <w:t xml:space="preserve">, </w:t>
      </w:r>
      <w:r w:rsidR="001674B4" w:rsidRPr="007F4F3E">
        <w:t xml:space="preserve">es necesario destacar que la Ley Orgánica Municipal del Estado de México, dispone lo siguiente: </w:t>
      </w:r>
    </w:p>
    <w:p w14:paraId="65F9592E" w14:textId="77777777" w:rsidR="001674B4" w:rsidRPr="007F4F3E" w:rsidRDefault="001674B4" w:rsidP="007F4F3E"/>
    <w:p w14:paraId="7275E66C" w14:textId="71743920" w:rsidR="001674B4" w:rsidRPr="007F4F3E" w:rsidRDefault="00756A61" w:rsidP="007F4F3E">
      <w:pPr>
        <w:pStyle w:val="Puesto"/>
      </w:pPr>
      <w:r w:rsidRPr="007F4F3E">
        <w:rPr>
          <w:b/>
        </w:rPr>
        <w:t>“</w:t>
      </w:r>
      <w:r w:rsidR="001674B4" w:rsidRPr="007F4F3E">
        <w:rPr>
          <w:b/>
        </w:rPr>
        <w:t>Artículo 48.-</w:t>
      </w:r>
      <w:r w:rsidR="001674B4" w:rsidRPr="007F4F3E">
        <w:t xml:space="preserve"> La </w:t>
      </w:r>
      <w:r w:rsidR="001674B4" w:rsidRPr="007F4F3E">
        <w:rPr>
          <w:b/>
        </w:rPr>
        <w:t>persona titular de la presidencia municipal</w:t>
      </w:r>
      <w:r w:rsidR="001674B4" w:rsidRPr="007F4F3E">
        <w:t xml:space="preserve"> tiene las siguientes </w:t>
      </w:r>
      <w:r w:rsidR="001674B4" w:rsidRPr="007F4F3E">
        <w:rPr>
          <w:b/>
        </w:rPr>
        <w:t>atribuciones</w:t>
      </w:r>
      <w:r w:rsidR="001674B4" w:rsidRPr="007F4F3E">
        <w:t>:</w:t>
      </w:r>
    </w:p>
    <w:p w14:paraId="03AD8E8C" w14:textId="68D21FCC" w:rsidR="001674B4" w:rsidRPr="007F4F3E" w:rsidRDefault="001674B4" w:rsidP="007F4F3E">
      <w:pPr>
        <w:pStyle w:val="Puesto"/>
      </w:pPr>
      <w:r w:rsidRPr="007F4F3E">
        <w:t>…</w:t>
      </w:r>
    </w:p>
    <w:p w14:paraId="12C0713F" w14:textId="11A2ED78" w:rsidR="00756A61" w:rsidRPr="007F4F3E" w:rsidRDefault="00756A61" w:rsidP="007F4F3E">
      <w:pPr>
        <w:pStyle w:val="Puesto"/>
        <w:rPr>
          <w:b/>
        </w:rPr>
      </w:pPr>
      <w:r w:rsidRPr="007F4F3E">
        <w:t xml:space="preserve">IV.- </w:t>
      </w:r>
      <w:r w:rsidRPr="007F4F3E">
        <w:rPr>
          <w:b/>
        </w:rPr>
        <w:t>Asumir la representación jurídica del Municipio y del ayuntamiento</w:t>
      </w:r>
      <w:r w:rsidRPr="007F4F3E">
        <w:t xml:space="preserve">, así como de las dependencias de la Administración Pública Municipal, </w:t>
      </w:r>
      <w:r w:rsidRPr="007F4F3E">
        <w:rPr>
          <w:b/>
        </w:rPr>
        <w:t>en los litigios en que este sea parte.</w:t>
      </w:r>
    </w:p>
    <w:p w14:paraId="72DFA066" w14:textId="49FC0D33" w:rsidR="001674B4" w:rsidRPr="007F4F3E" w:rsidRDefault="001674B4" w:rsidP="007F4F3E">
      <w:pPr>
        <w:pStyle w:val="Puesto"/>
      </w:pPr>
      <w:r w:rsidRPr="007F4F3E">
        <w:tab/>
      </w:r>
    </w:p>
    <w:p w14:paraId="65933AA9" w14:textId="2F11DCC6" w:rsidR="001674B4" w:rsidRPr="007F4F3E" w:rsidRDefault="001674B4" w:rsidP="007F4F3E">
      <w:pPr>
        <w:pStyle w:val="Puesto"/>
      </w:pPr>
      <w:r w:rsidRPr="007F4F3E">
        <w:rPr>
          <w:b/>
        </w:rPr>
        <w:t>Artículo 50.- El presidente asumirá la representación jurídica del ayuntamiento</w:t>
      </w:r>
      <w:r w:rsidRPr="007F4F3E">
        <w:t xml:space="preserve"> y de las dependencias de la Administración Pública Municipal, </w:t>
      </w:r>
      <w:r w:rsidRPr="007F4F3E">
        <w:rPr>
          <w:b/>
        </w:rPr>
        <w:t>en los litigios en que sean parte</w:t>
      </w:r>
      <w:r w:rsidRPr="007F4F3E">
        <w:t>, así como la gestión de los negocios de la hacienda municipal; facultándolo para otorgar y revocar poderes generales y especiales a terceros o mediante oficio para la debida representación jurídica correspondiente pudiendo convenir en los mismos.</w:t>
      </w:r>
    </w:p>
    <w:p w14:paraId="42D0B8A6" w14:textId="77777777" w:rsidR="00756A61" w:rsidRPr="007F4F3E" w:rsidRDefault="00756A61" w:rsidP="007F4F3E"/>
    <w:p w14:paraId="5C48810F" w14:textId="77777777" w:rsidR="00756A61" w:rsidRPr="007F4F3E" w:rsidRDefault="00756A61" w:rsidP="007F4F3E">
      <w:pPr>
        <w:pStyle w:val="Puesto"/>
      </w:pPr>
      <w:r w:rsidRPr="007F4F3E">
        <w:rPr>
          <w:b/>
        </w:rPr>
        <w:lastRenderedPageBreak/>
        <w:t>Artículo 52.-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r w:rsidRPr="007F4F3E">
        <w:t xml:space="preserve"> </w:t>
      </w:r>
    </w:p>
    <w:p w14:paraId="6A994DDA" w14:textId="77777777" w:rsidR="00756A61" w:rsidRPr="007F4F3E" w:rsidRDefault="00756A61" w:rsidP="007F4F3E">
      <w:pPr>
        <w:pStyle w:val="Puesto"/>
      </w:pPr>
    </w:p>
    <w:p w14:paraId="164C9018" w14:textId="77777777" w:rsidR="00756A61" w:rsidRPr="007F4F3E" w:rsidRDefault="00756A61" w:rsidP="007F4F3E">
      <w:pPr>
        <w:pStyle w:val="Puesto"/>
      </w:pPr>
      <w:r w:rsidRPr="007F4F3E">
        <w:rPr>
          <w:b/>
        </w:rPr>
        <w:t>Artículo 53.- Los síndicos tendrán las siguientes atribuciones:</w:t>
      </w:r>
      <w:r w:rsidRPr="007F4F3E">
        <w:t xml:space="preserve"> </w:t>
      </w:r>
    </w:p>
    <w:p w14:paraId="56F0D697" w14:textId="77777777" w:rsidR="00756A61" w:rsidRPr="007F4F3E" w:rsidRDefault="00756A61" w:rsidP="007F4F3E">
      <w:pPr>
        <w:pStyle w:val="Puesto"/>
      </w:pPr>
      <w:r w:rsidRPr="007F4F3E">
        <w:rPr>
          <w:b/>
        </w:rPr>
        <w:t>I.</w:t>
      </w:r>
      <w:r w:rsidRPr="007F4F3E">
        <w:t xml:space="preserve"> Procurar, defender y promover los derechos e intereses municipales; </w:t>
      </w:r>
      <w:r w:rsidRPr="007F4F3E">
        <w:rPr>
          <w:b/>
        </w:rPr>
        <w:t>representar jurídicamente a los integrantes de los ayuntamientos</w:t>
      </w:r>
      <w:r w:rsidRPr="007F4F3E">
        <w:t xml:space="preserve">, facultándolos para otorgar y revocar poderes generales y especiales a terceros o mediante oficio para la debida representación jurídica correspondiente, pudiendo convenir en los mismos. </w:t>
      </w:r>
    </w:p>
    <w:p w14:paraId="69A1808F" w14:textId="77777777" w:rsidR="00756A61" w:rsidRPr="007F4F3E" w:rsidRDefault="00756A61" w:rsidP="007F4F3E">
      <w:pPr>
        <w:pStyle w:val="Puesto"/>
      </w:pPr>
      <w:r w:rsidRPr="007F4F3E">
        <w:t xml:space="preserve">La representación legal de los miembros de los ayuntamientos, sólo se dará en asuntos oficiales; </w:t>
      </w:r>
    </w:p>
    <w:p w14:paraId="3BEE9A18" w14:textId="77777777" w:rsidR="00756A61" w:rsidRPr="007F4F3E" w:rsidRDefault="00756A61" w:rsidP="007F4F3E">
      <w:pPr>
        <w:pStyle w:val="Puesto"/>
        <w:rPr>
          <w:b/>
        </w:rPr>
      </w:pPr>
      <w:r w:rsidRPr="007F4F3E">
        <w:rPr>
          <w:b/>
        </w:rPr>
        <w:t>I Bis.</w:t>
      </w:r>
      <w:r w:rsidRPr="007F4F3E">
        <w:t xml:space="preserve"> </w:t>
      </w:r>
      <w:r w:rsidRPr="007F4F3E">
        <w:rPr>
          <w:b/>
        </w:rPr>
        <w:t xml:space="preserve">Supervisar a los representantes legales asignados por el Ayuntamiento, en la correcta atención y defensa de los litigios laborales; </w:t>
      </w:r>
    </w:p>
    <w:p w14:paraId="08196F8E" w14:textId="4B9A5CC4" w:rsidR="001674B4" w:rsidRPr="007F4F3E" w:rsidRDefault="00756A61" w:rsidP="007F4F3E">
      <w:pPr>
        <w:pStyle w:val="Puesto"/>
        <w:rPr>
          <w:b/>
        </w:rPr>
      </w:pPr>
      <w:r w:rsidRPr="007F4F3E">
        <w:rPr>
          <w:b/>
        </w:rPr>
        <w:t>I Ter.</w:t>
      </w:r>
      <w:r w:rsidRPr="007F4F3E">
        <w:t xml:space="preserve"> </w:t>
      </w:r>
      <w:r w:rsidRPr="007F4F3E">
        <w:rPr>
          <w:b/>
        </w:rPr>
        <w:t>Informar al presidente, en caso de cualquier irregularidad en la atención y/o defensa de los litigios laborales seguidos ante las autoridades laborales competentes.</w:t>
      </w:r>
    </w:p>
    <w:p w14:paraId="21868540" w14:textId="77777777" w:rsidR="00756A61" w:rsidRPr="007F4F3E" w:rsidRDefault="00756A61" w:rsidP="007F4F3E"/>
    <w:p w14:paraId="5D0CA03A" w14:textId="4D8D7A56" w:rsidR="00756A61" w:rsidRPr="007F4F3E" w:rsidRDefault="008B5EEB" w:rsidP="007F4F3E">
      <w:pPr>
        <w:rPr>
          <w:rFonts w:cs="Arial"/>
        </w:rPr>
      </w:pPr>
      <w:r w:rsidRPr="007F4F3E">
        <w:t xml:space="preserve">Ahora bien, del análisis </w:t>
      </w:r>
      <w:r w:rsidR="00756A61" w:rsidRPr="007F4F3E">
        <w:rPr>
          <w:rFonts w:cs="Arial"/>
          <w:lang w:val="es-ES"/>
        </w:rPr>
        <w:t xml:space="preserve">que integran el expediente electrónico se advierte que </w:t>
      </w:r>
      <w:r w:rsidR="00756A61" w:rsidRPr="007F4F3E">
        <w:rPr>
          <w:lang w:val="es-ES" w:eastAsia="en-US"/>
        </w:rPr>
        <w:t xml:space="preserve">el </w:t>
      </w:r>
      <w:r w:rsidR="00756A61" w:rsidRPr="007F4F3E">
        <w:rPr>
          <w:shd w:val="clear" w:color="auto" w:fill="FFFFFF"/>
          <w:lang w:val="es-ES"/>
        </w:rPr>
        <w:t xml:space="preserve">Titular de la Unidad de Transparencia </w:t>
      </w:r>
      <w:r w:rsidR="00756A61" w:rsidRPr="007F4F3E">
        <w:rPr>
          <w:rFonts w:cs="Arial"/>
          <w:lang w:val="es-ES"/>
        </w:rPr>
        <w:t>no siguió a cabalidad el procedimiento de acceso a la información previsto en el artículo 162 de la Ley de Transparencia y Acceso a la Información Pública del Estado de México y Municipios, esto dado que omitió turnar a todas las Áreas competentes que pudiesen contar con la información o deban tenerla de acuerdo a sus facultades, competencias y funciones, con el objeto de que realicen una búsqueda exhaustiva y razonable de la información solicitada,</w:t>
      </w:r>
      <w:r w:rsidRPr="007F4F3E">
        <w:rPr>
          <w:rFonts w:cs="Arial"/>
          <w:lang w:val="es-ES"/>
        </w:rPr>
        <w:t xml:space="preserve"> pues éste se limitó a turnar la solicitud a la Dirección Jurídica quien negó tener la información</w:t>
      </w:r>
      <w:r w:rsidR="00756A61" w:rsidRPr="007F4F3E">
        <w:rPr>
          <w:rFonts w:cs="Arial"/>
        </w:rPr>
        <w:t>.</w:t>
      </w:r>
    </w:p>
    <w:p w14:paraId="486BB566" w14:textId="77777777" w:rsidR="00756A61" w:rsidRPr="007F4F3E" w:rsidRDefault="00756A61" w:rsidP="007F4F3E">
      <w:pPr>
        <w:rPr>
          <w:rFonts w:cs="Arial"/>
        </w:rPr>
      </w:pPr>
    </w:p>
    <w:p w14:paraId="671AEC35" w14:textId="77777777" w:rsidR="00756A61" w:rsidRPr="007F4F3E" w:rsidRDefault="00756A61" w:rsidP="007F4F3E">
      <w:pPr>
        <w:rPr>
          <w:rFonts w:cs="Arial"/>
        </w:rPr>
      </w:pPr>
      <w:r w:rsidRPr="007F4F3E">
        <w:rPr>
          <w:rFonts w:cs="Arial"/>
        </w:rPr>
        <w:t>A efecto de determinar la legalidad de dicha respuesta, es necesario tomar en cuenta las siguientes disposiciones de la Ley de la materia.</w:t>
      </w:r>
    </w:p>
    <w:p w14:paraId="0EE4AB83" w14:textId="77777777" w:rsidR="00756A61" w:rsidRPr="007F4F3E" w:rsidRDefault="00756A61" w:rsidP="007F4F3E">
      <w:pPr>
        <w:ind w:left="851" w:right="901"/>
        <w:rPr>
          <w:i/>
          <w:szCs w:val="22"/>
        </w:rPr>
      </w:pPr>
    </w:p>
    <w:p w14:paraId="75947689" w14:textId="77777777" w:rsidR="00756A61" w:rsidRPr="007F4F3E" w:rsidRDefault="00756A61" w:rsidP="007F4F3E">
      <w:pPr>
        <w:pStyle w:val="Puesto"/>
      </w:pPr>
      <w:r w:rsidRPr="007F4F3E">
        <w:t>“</w:t>
      </w:r>
      <w:r w:rsidRPr="007F4F3E">
        <w:rPr>
          <w:b/>
        </w:rPr>
        <w:t>Artículo 50.</w:t>
      </w:r>
      <w:r w:rsidRPr="007F4F3E">
        <w:t xml:space="preserve"> Los sujetos obligados contarán con un área responsable para la atención de las solicitudes de </w:t>
      </w:r>
      <w:r w:rsidRPr="007F4F3E">
        <w:rPr>
          <w:rFonts w:cs="Arial"/>
          <w:lang w:eastAsia="es-MX"/>
        </w:rPr>
        <w:t>información</w:t>
      </w:r>
      <w:r w:rsidRPr="007F4F3E">
        <w:t>, a la que se le denominará Unidad de Transparencia.</w:t>
      </w:r>
    </w:p>
    <w:p w14:paraId="5B945D94" w14:textId="77777777" w:rsidR="00756A61" w:rsidRPr="007F4F3E" w:rsidRDefault="00756A61" w:rsidP="007F4F3E">
      <w:pPr>
        <w:pStyle w:val="Puesto"/>
      </w:pPr>
    </w:p>
    <w:p w14:paraId="65D6E1B0" w14:textId="77777777" w:rsidR="00756A61" w:rsidRPr="007F4F3E" w:rsidRDefault="00756A61" w:rsidP="007F4F3E">
      <w:pPr>
        <w:pStyle w:val="Puesto"/>
      </w:pPr>
      <w:r w:rsidRPr="007F4F3E">
        <w:rPr>
          <w:b/>
        </w:rPr>
        <w:t>Artículo 51</w:t>
      </w:r>
      <w:r w:rsidRPr="007F4F3E">
        <w:t xml:space="preserve">. Los sujetos obligados designaran a un responsable para atender la Unidad de Transparencia, quien fungirá como enlace entre éstos y los solicitantes. Dicha Unidad será la encargada de tramitar </w:t>
      </w:r>
      <w:r w:rsidRPr="007F4F3E">
        <w:rPr>
          <w:rFonts w:cs="Arial"/>
          <w:lang w:eastAsia="es-MX"/>
        </w:rPr>
        <w:t>internamente</w:t>
      </w:r>
      <w:r w:rsidRPr="007F4F3E">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F9CFE7E" w14:textId="77777777" w:rsidR="00756A61" w:rsidRPr="007F4F3E" w:rsidRDefault="00756A61" w:rsidP="007F4F3E">
      <w:pPr>
        <w:pStyle w:val="Puesto"/>
      </w:pPr>
    </w:p>
    <w:p w14:paraId="44DC14A5" w14:textId="77777777" w:rsidR="00756A61" w:rsidRPr="007F4F3E" w:rsidRDefault="00756A61" w:rsidP="007F4F3E">
      <w:pPr>
        <w:pStyle w:val="Puesto"/>
      </w:pPr>
      <w:r w:rsidRPr="007F4F3E">
        <w:rPr>
          <w:b/>
        </w:rPr>
        <w:t>Artículo 53</w:t>
      </w:r>
      <w:r w:rsidRPr="007F4F3E">
        <w:t xml:space="preserve">. Las Unidades de </w:t>
      </w:r>
      <w:r w:rsidRPr="007F4F3E">
        <w:rPr>
          <w:rFonts w:cs="Arial"/>
          <w:lang w:eastAsia="es-MX"/>
        </w:rPr>
        <w:t>Transparencia</w:t>
      </w:r>
      <w:r w:rsidRPr="007F4F3E">
        <w:t xml:space="preserve"> tendrán las siguientes funciones:</w:t>
      </w:r>
    </w:p>
    <w:p w14:paraId="4A10D4EF" w14:textId="77777777" w:rsidR="00756A61" w:rsidRPr="007F4F3E" w:rsidRDefault="00756A61" w:rsidP="007F4F3E">
      <w:pPr>
        <w:pStyle w:val="Puesto"/>
      </w:pPr>
      <w:r w:rsidRPr="007F4F3E">
        <w:t xml:space="preserve">I. Recabar, difundir y actualizar la información relativa a las obligaciones de transparencia comunes y específicas a la </w:t>
      </w:r>
      <w:r w:rsidRPr="007F4F3E">
        <w:rPr>
          <w:rFonts w:cs="Arial"/>
          <w:lang w:eastAsia="es-MX"/>
        </w:rPr>
        <w:t>que</w:t>
      </w:r>
      <w:r w:rsidRPr="007F4F3E">
        <w:t xml:space="preserve"> se refiere la Ley General, esta Ley, la que determine el Instituto y las demás disposiciones de la materia, así como propiciar que las áreas la actualicen periódicamente conforme a la normatividad aplicable;</w:t>
      </w:r>
    </w:p>
    <w:p w14:paraId="02C5AA3F" w14:textId="77777777" w:rsidR="00756A61" w:rsidRPr="007F4F3E" w:rsidRDefault="00756A61" w:rsidP="007F4F3E">
      <w:pPr>
        <w:pStyle w:val="Puesto"/>
        <w:rPr>
          <w:b/>
        </w:rPr>
      </w:pPr>
      <w:r w:rsidRPr="007F4F3E">
        <w:rPr>
          <w:b/>
        </w:rPr>
        <w:t xml:space="preserve">II. Recibir, </w:t>
      </w:r>
      <w:r w:rsidRPr="007F4F3E">
        <w:rPr>
          <w:b/>
          <w:u w:val="single"/>
        </w:rPr>
        <w:t>tramitar</w:t>
      </w:r>
      <w:r w:rsidRPr="007F4F3E">
        <w:rPr>
          <w:b/>
        </w:rPr>
        <w:t xml:space="preserve"> y dar respuesta a las solicitudes de acceso a la información;</w:t>
      </w:r>
    </w:p>
    <w:p w14:paraId="7420E90F" w14:textId="77777777" w:rsidR="00756A61" w:rsidRPr="007F4F3E" w:rsidRDefault="00756A61" w:rsidP="007F4F3E">
      <w:pPr>
        <w:pStyle w:val="Puesto"/>
      </w:pPr>
      <w:r w:rsidRPr="007F4F3E">
        <w:t xml:space="preserve">III. Auxiliar a los particulares en la elaboración de solicitudes de acceso a la información y, en su caso, orientarlos sobre los sujetos </w:t>
      </w:r>
      <w:r w:rsidRPr="007F4F3E">
        <w:rPr>
          <w:rFonts w:cs="Arial"/>
          <w:lang w:eastAsia="es-MX"/>
        </w:rPr>
        <w:t>obligados</w:t>
      </w:r>
      <w:r w:rsidRPr="007F4F3E">
        <w:t xml:space="preserve"> competentes conforme a la normatividad aplicable;</w:t>
      </w:r>
    </w:p>
    <w:p w14:paraId="2D99CACE" w14:textId="77777777" w:rsidR="00756A61" w:rsidRPr="007F4F3E" w:rsidRDefault="00756A61" w:rsidP="007F4F3E">
      <w:pPr>
        <w:pStyle w:val="Puesto"/>
      </w:pPr>
      <w:r w:rsidRPr="007F4F3E">
        <w:t>IV. Realizar, con efectividad, los trámites internos necesarios para la atención de las solicitudes de acceso a la información;</w:t>
      </w:r>
    </w:p>
    <w:p w14:paraId="0006100A" w14:textId="77777777" w:rsidR="00756A61" w:rsidRPr="007F4F3E" w:rsidRDefault="00756A61" w:rsidP="007F4F3E">
      <w:pPr>
        <w:pStyle w:val="Puesto"/>
      </w:pPr>
      <w:r w:rsidRPr="007F4F3E">
        <w:t>V. Entregar, en su caso, a los particulares la información solicitada;</w:t>
      </w:r>
    </w:p>
    <w:p w14:paraId="03A202E3" w14:textId="77777777" w:rsidR="00756A61" w:rsidRPr="007F4F3E" w:rsidRDefault="00756A61" w:rsidP="007F4F3E">
      <w:pPr>
        <w:pStyle w:val="Puesto"/>
      </w:pPr>
      <w:r w:rsidRPr="007F4F3E">
        <w:t>VI. Efectuar las notificaciones a los solicitantes;</w:t>
      </w:r>
    </w:p>
    <w:p w14:paraId="79557B3B" w14:textId="77777777" w:rsidR="00756A61" w:rsidRPr="007F4F3E" w:rsidRDefault="00756A61" w:rsidP="007F4F3E">
      <w:pPr>
        <w:pStyle w:val="Puesto"/>
      </w:pPr>
      <w:r w:rsidRPr="007F4F3E">
        <w:t>VII. Proponer al Comité de Transparencia, los procedimientos internos que aseguren la mayor eficiencia en la gestión de las solicitudes de acceso a la información, conforme a la normatividad aplicable;</w:t>
      </w:r>
    </w:p>
    <w:p w14:paraId="5F6579D7" w14:textId="77777777" w:rsidR="00756A61" w:rsidRPr="007F4F3E" w:rsidRDefault="00756A61" w:rsidP="007F4F3E">
      <w:pPr>
        <w:pStyle w:val="Puesto"/>
      </w:pPr>
      <w:r w:rsidRPr="007F4F3E">
        <w:t>VIII. Proponer a quien preside el Comité de Transparencia, personal habilitado que sea necesario para recibir y dar trámite a las solicitudes de acceso a la información;</w:t>
      </w:r>
    </w:p>
    <w:p w14:paraId="53001B06" w14:textId="77777777" w:rsidR="00756A61" w:rsidRPr="007F4F3E" w:rsidRDefault="00756A61" w:rsidP="007F4F3E">
      <w:pPr>
        <w:pStyle w:val="Puesto"/>
      </w:pPr>
      <w:r w:rsidRPr="007F4F3E">
        <w:t>IX. Llevar un registro de las solicitudes de acceso a la información, sus respuestas, resultados, costos de reproducción y envío, resolución a los recursos de revisión que se hayan emitido en contra de sus respuestas y del cumplimiento de las mismas;</w:t>
      </w:r>
    </w:p>
    <w:p w14:paraId="4619A0ED" w14:textId="77777777" w:rsidR="00756A61" w:rsidRPr="007F4F3E" w:rsidRDefault="00756A61" w:rsidP="007F4F3E">
      <w:pPr>
        <w:pStyle w:val="Puesto"/>
      </w:pPr>
      <w:r w:rsidRPr="007F4F3E">
        <w:t>X. Presentar ante el Comité, el proyecto de clasificación de información;</w:t>
      </w:r>
    </w:p>
    <w:p w14:paraId="603F8594" w14:textId="77777777" w:rsidR="00756A61" w:rsidRPr="007F4F3E" w:rsidRDefault="00756A61" w:rsidP="007F4F3E">
      <w:pPr>
        <w:pStyle w:val="Puesto"/>
      </w:pPr>
      <w:r w:rsidRPr="007F4F3E">
        <w:t>XI. Promover e implementar políticas de transparencia proactiva procurando su accesibilidad;</w:t>
      </w:r>
    </w:p>
    <w:p w14:paraId="7FF464AA" w14:textId="77777777" w:rsidR="00756A61" w:rsidRPr="007F4F3E" w:rsidRDefault="00756A61" w:rsidP="007F4F3E">
      <w:pPr>
        <w:pStyle w:val="Puesto"/>
      </w:pPr>
      <w:r w:rsidRPr="007F4F3E">
        <w:t>XII. Fomentar la transparencia y accesibilidad al interior del sujeto obligado;</w:t>
      </w:r>
    </w:p>
    <w:p w14:paraId="5DC6CF28" w14:textId="77777777" w:rsidR="00756A61" w:rsidRPr="007F4F3E" w:rsidRDefault="00756A61" w:rsidP="007F4F3E">
      <w:pPr>
        <w:pStyle w:val="Puesto"/>
      </w:pPr>
      <w:r w:rsidRPr="007F4F3E">
        <w:t>XIII. Hacer del conocimiento de la instancia competente la probable responsabilidad por el incumplimiento de las obligaciones previstas en la presente Ley; y</w:t>
      </w:r>
    </w:p>
    <w:p w14:paraId="2F06260C" w14:textId="77777777" w:rsidR="00756A61" w:rsidRPr="007F4F3E" w:rsidRDefault="00756A61" w:rsidP="007F4F3E">
      <w:pPr>
        <w:pStyle w:val="Puesto"/>
      </w:pPr>
      <w:r w:rsidRPr="007F4F3E">
        <w:t>XIV. Las demás que resulten necesarias para facilitar el acceso a la información y aquellas que se desprenden de la presente Ley y demás disposiciones jurídicas aplicables.</w:t>
      </w:r>
    </w:p>
    <w:p w14:paraId="19EE5F25" w14:textId="77777777" w:rsidR="00756A61" w:rsidRPr="007F4F3E" w:rsidRDefault="00756A61" w:rsidP="007F4F3E">
      <w:pPr>
        <w:pStyle w:val="Puesto"/>
      </w:pPr>
      <w:r w:rsidRPr="007F4F3E">
        <w:lastRenderedPageBreak/>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68C4DE8A" w14:textId="77777777" w:rsidR="00756A61" w:rsidRPr="007F4F3E" w:rsidRDefault="00756A61" w:rsidP="007F4F3E">
      <w:pPr>
        <w:pStyle w:val="Puesto"/>
      </w:pPr>
      <w:r w:rsidRPr="007F4F3E">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39A34A3" w14:textId="77777777" w:rsidR="00756A61" w:rsidRPr="007F4F3E" w:rsidRDefault="00756A61" w:rsidP="007F4F3E">
      <w:pPr>
        <w:pStyle w:val="Puesto"/>
      </w:pPr>
    </w:p>
    <w:p w14:paraId="2DE24F9F" w14:textId="77777777" w:rsidR="00756A61" w:rsidRPr="007F4F3E" w:rsidRDefault="00756A61" w:rsidP="007F4F3E">
      <w:pPr>
        <w:pStyle w:val="Puesto"/>
      </w:pPr>
      <w:r w:rsidRPr="007F4F3E">
        <w:rPr>
          <w:b/>
        </w:rPr>
        <w:t>Artículo 59</w:t>
      </w:r>
      <w:r w:rsidRPr="007F4F3E">
        <w:t>. Los servidores públicos habilitados tendrán las funciones siguientes:</w:t>
      </w:r>
    </w:p>
    <w:p w14:paraId="5E154AA5" w14:textId="77777777" w:rsidR="00756A61" w:rsidRPr="007F4F3E" w:rsidRDefault="00756A61" w:rsidP="007F4F3E">
      <w:pPr>
        <w:pStyle w:val="Puesto"/>
      </w:pPr>
      <w:r w:rsidRPr="007F4F3E">
        <w:t>I. Localizar la información que le solicite la Unidad de Transparencia;</w:t>
      </w:r>
    </w:p>
    <w:p w14:paraId="71DD8B82" w14:textId="77777777" w:rsidR="00756A61" w:rsidRPr="007F4F3E" w:rsidRDefault="00756A61" w:rsidP="007F4F3E">
      <w:pPr>
        <w:pStyle w:val="Puesto"/>
      </w:pPr>
      <w:r w:rsidRPr="007F4F3E">
        <w:t>II. Proporcionar la información que obre en los archivos y que le sea solicitada por la Unidad de Transparencia;</w:t>
      </w:r>
    </w:p>
    <w:p w14:paraId="5B3DE5D2" w14:textId="77777777" w:rsidR="00756A61" w:rsidRPr="007F4F3E" w:rsidRDefault="00756A61" w:rsidP="007F4F3E">
      <w:pPr>
        <w:pStyle w:val="Puesto"/>
      </w:pPr>
      <w:r w:rsidRPr="007F4F3E">
        <w:t>III. Apoyar a la Unidad de Transparencia en lo que esta le solicite para el cumplimiento de sus funciones;</w:t>
      </w:r>
    </w:p>
    <w:p w14:paraId="70A6A332" w14:textId="77777777" w:rsidR="00756A61" w:rsidRPr="007F4F3E" w:rsidRDefault="00756A61" w:rsidP="007F4F3E">
      <w:pPr>
        <w:pStyle w:val="Puesto"/>
      </w:pPr>
      <w:r w:rsidRPr="007F4F3E">
        <w:t>IV. Proporcionar a la Unidad de Transparencia, las modificaciones a la información pública de oficio que obre en su poder;</w:t>
      </w:r>
    </w:p>
    <w:p w14:paraId="43CFA34F" w14:textId="77777777" w:rsidR="00756A61" w:rsidRPr="007F4F3E" w:rsidRDefault="00756A61" w:rsidP="007F4F3E">
      <w:pPr>
        <w:pStyle w:val="Puesto"/>
      </w:pPr>
      <w:r w:rsidRPr="007F4F3E">
        <w:t>V. Integrar y presentar al responsable de la Unidad de Transparencia la propuesta de clasificación de información, la cual tendrá los fundamentos y argumentos en que se basa dicha propuesta;</w:t>
      </w:r>
    </w:p>
    <w:p w14:paraId="0FB8E824" w14:textId="77777777" w:rsidR="00756A61" w:rsidRPr="007F4F3E" w:rsidRDefault="00756A61" w:rsidP="007F4F3E">
      <w:pPr>
        <w:pStyle w:val="Puesto"/>
      </w:pPr>
      <w:r w:rsidRPr="007F4F3E">
        <w:t>VI. Verificar, una vez analizado el contenido de la información, que no se encuentre en los supuestos de información clasificada; y</w:t>
      </w:r>
    </w:p>
    <w:p w14:paraId="43AE69C5" w14:textId="77777777" w:rsidR="00756A61" w:rsidRPr="007F4F3E" w:rsidRDefault="00756A61" w:rsidP="007F4F3E">
      <w:pPr>
        <w:pStyle w:val="Puesto"/>
      </w:pPr>
      <w:r w:rsidRPr="007F4F3E">
        <w:t>VII. Dar cuenta a la Unidad de Transparencia del vencimiento de los plazos de reserva.</w:t>
      </w:r>
    </w:p>
    <w:p w14:paraId="151C895B" w14:textId="77777777" w:rsidR="00756A61" w:rsidRPr="007F4F3E" w:rsidRDefault="00756A61" w:rsidP="007F4F3E">
      <w:pPr>
        <w:pStyle w:val="Puesto"/>
      </w:pPr>
    </w:p>
    <w:p w14:paraId="02CE12EC" w14:textId="77777777" w:rsidR="00756A61" w:rsidRPr="007F4F3E" w:rsidRDefault="00756A61" w:rsidP="007F4F3E">
      <w:pPr>
        <w:pStyle w:val="Puesto"/>
      </w:pPr>
      <w:r w:rsidRPr="007F4F3E">
        <w:rPr>
          <w:b/>
        </w:rPr>
        <w:t>Artículo 162</w:t>
      </w:r>
      <w:r w:rsidRPr="007F4F3E">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36B89751" w14:textId="77777777" w:rsidR="00756A61" w:rsidRPr="007F4F3E" w:rsidRDefault="00756A61" w:rsidP="007F4F3E">
      <w:pPr>
        <w:pStyle w:val="Puesto"/>
      </w:pPr>
      <w:r w:rsidRPr="007F4F3E">
        <w:t>(Énfasis añadido)</w:t>
      </w:r>
    </w:p>
    <w:p w14:paraId="6291BF04" w14:textId="77777777" w:rsidR="00756A61" w:rsidRPr="007F4F3E" w:rsidRDefault="00756A61" w:rsidP="007F4F3E">
      <w:pPr>
        <w:rPr>
          <w:rFonts w:cs="Arial"/>
        </w:rPr>
      </w:pPr>
    </w:p>
    <w:p w14:paraId="0C59DCF7" w14:textId="77777777" w:rsidR="00756A61" w:rsidRPr="007F4F3E" w:rsidRDefault="00756A61" w:rsidP="007F4F3E">
      <w:pPr>
        <w:rPr>
          <w:rFonts w:eastAsia="Calibri"/>
        </w:rPr>
      </w:pPr>
      <w:r w:rsidRPr="007F4F3E">
        <w:rPr>
          <w:rFonts w:eastAsia="Calibri"/>
        </w:rPr>
        <w:t xml:space="preserve">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w:t>
      </w:r>
      <w:r w:rsidRPr="007F4F3E">
        <w:rPr>
          <w:rFonts w:eastAsia="Calibri"/>
        </w:rPr>
        <w:lastRenderedPageBreak/>
        <w:t xml:space="preserve">enlace entre </w:t>
      </w:r>
      <w:r w:rsidRPr="007F4F3E">
        <w:rPr>
          <w:rFonts w:eastAsia="Calibri"/>
          <w:b/>
        </w:rPr>
        <w:t>EL SUJETO OBLIGADO</w:t>
      </w:r>
      <w:r w:rsidRPr="007F4F3E">
        <w:rPr>
          <w:rFonts w:eastAsia="Calibri"/>
        </w:rPr>
        <w:t xml:space="preserve"> y los solicitantes, y tiene bajo su responsabilidad el tramitar internamente la solicitud de información.</w:t>
      </w:r>
    </w:p>
    <w:p w14:paraId="6E7EA168" w14:textId="77777777" w:rsidR="00756A61" w:rsidRPr="007F4F3E" w:rsidRDefault="00756A61" w:rsidP="007F4F3E">
      <w:pPr>
        <w:ind w:left="426"/>
        <w:rPr>
          <w:rFonts w:eastAsia="Calibri"/>
        </w:rPr>
      </w:pPr>
    </w:p>
    <w:p w14:paraId="0B02FD08" w14:textId="77777777" w:rsidR="00756A61" w:rsidRPr="007F4F3E" w:rsidRDefault="00756A61" w:rsidP="007F4F3E">
      <w:pPr>
        <w:rPr>
          <w:rFonts w:eastAsia="Calibri"/>
        </w:rPr>
      </w:pPr>
      <w:r w:rsidRPr="007F4F3E">
        <w:rPr>
          <w:rFonts w:eastAsia="Calibri"/>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7F4F3E">
        <w:rPr>
          <w:rFonts w:eastAsia="Calibri"/>
          <w:b/>
        </w:rPr>
        <w:t xml:space="preserve">SUJETO OBLIGADO; </w:t>
      </w:r>
      <w:r w:rsidRPr="007F4F3E">
        <w:rPr>
          <w:rFonts w:eastAsia="Calibri"/>
        </w:rPr>
        <w:t xml:space="preserve">es por ello que, debe turnar la solicitud a </w:t>
      </w:r>
      <w:r w:rsidRPr="007F4F3E">
        <w:rPr>
          <w:rFonts w:cs="Arial"/>
        </w:rPr>
        <w:t xml:space="preserve">todas las áreas que </w:t>
      </w:r>
      <w:r w:rsidRPr="007F4F3E">
        <w:rPr>
          <w:rFonts w:eastAsia="Calibri"/>
        </w:rPr>
        <w:t>pudieran generar, administrar o poseer la información requerida por la particular; pues tienen como función, buscar, localizar y poseer la información, así como entregarla.</w:t>
      </w:r>
    </w:p>
    <w:p w14:paraId="0CB1E544" w14:textId="77777777" w:rsidR="00756A61" w:rsidRPr="007F4F3E" w:rsidRDefault="00756A61" w:rsidP="007F4F3E">
      <w:pPr>
        <w:rPr>
          <w:rFonts w:cs="Arial"/>
        </w:rPr>
      </w:pPr>
    </w:p>
    <w:p w14:paraId="1FB50E83" w14:textId="77777777" w:rsidR="00756A61" w:rsidRPr="007F4F3E" w:rsidRDefault="00756A61" w:rsidP="007F4F3E">
      <w:pPr>
        <w:rPr>
          <w:rFonts w:eastAsia="Calibri"/>
        </w:rPr>
      </w:pPr>
      <w:r w:rsidRPr="007F4F3E">
        <w:rPr>
          <w:rFonts w:eastAsia="Calibri"/>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7FFA82E4" w14:textId="77777777" w:rsidR="00756A61" w:rsidRPr="007F4F3E" w:rsidRDefault="00756A61" w:rsidP="007F4F3E"/>
    <w:p w14:paraId="487C53B9" w14:textId="2541EBE9" w:rsidR="00756A61" w:rsidRPr="007F4F3E" w:rsidRDefault="00756A61" w:rsidP="007F4F3E">
      <w:pPr>
        <w:rPr>
          <w:rFonts w:cs="Arial"/>
          <w:b/>
        </w:rPr>
      </w:pPr>
      <w:r w:rsidRPr="007F4F3E">
        <w:rPr>
          <w:rFonts w:eastAsia="Calibri"/>
          <w:lang w:val="es-ES"/>
        </w:rPr>
        <w:t xml:space="preserve">Por lo anterior, </w:t>
      </w:r>
      <w:r w:rsidRPr="007F4F3E">
        <w:rPr>
          <w:rFonts w:cs="Arial"/>
          <w:noProof/>
          <w:lang w:eastAsia="es-MX"/>
        </w:rPr>
        <w:t>e</w:t>
      </w:r>
      <w:r w:rsidRPr="007F4F3E">
        <w:rPr>
          <w:rFonts w:cs="Arial"/>
        </w:rPr>
        <w:t>s de destacar que de las documentales que integran el expediente electrónico no se advierte que el Titular de la Unidad de Transparencia haya turnado la solicitud de manera enunciativa más no limitativa a</w:t>
      </w:r>
      <w:r w:rsidR="008B5EEB" w:rsidRPr="007F4F3E">
        <w:rPr>
          <w:rFonts w:cs="Arial"/>
        </w:rPr>
        <w:t xml:space="preserve"> </w:t>
      </w:r>
      <w:r w:rsidR="008B5EEB" w:rsidRPr="007F4F3E">
        <w:rPr>
          <w:rFonts w:cs="Arial"/>
          <w:b/>
        </w:rPr>
        <w:t>Presidencia y Sindicatura Municipal</w:t>
      </w:r>
      <w:r w:rsidRPr="007F4F3E">
        <w:rPr>
          <w:b/>
        </w:rPr>
        <w:t>.</w:t>
      </w:r>
    </w:p>
    <w:p w14:paraId="6D0419AA" w14:textId="77777777" w:rsidR="008B5EEB" w:rsidRPr="007F4F3E" w:rsidRDefault="008B5EEB" w:rsidP="007F4F3E">
      <w:pPr>
        <w:rPr>
          <w:lang w:eastAsia="es-MX"/>
        </w:rPr>
      </w:pPr>
    </w:p>
    <w:p w14:paraId="10E8E8E8" w14:textId="7771F7DA" w:rsidR="008B5EEB" w:rsidRPr="007F4F3E" w:rsidRDefault="00756A61" w:rsidP="007F4F3E">
      <w:pPr>
        <w:rPr>
          <w:lang w:eastAsia="es-MX"/>
        </w:rPr>
      </w:pPr>
      <w:r w:rsidRPr="007F4F3E">
        <w:rPr>
          <w:lang w:eastAsia="es-MX"/>
        </w:rPr>
        <w:t xml:space="preserve">En consecuencia, este Órgano Garante determina ordenar al </w:t>
      </w:r>
      <w:r w:rsidRPr="007F4F3E">
        <w:rPr>
          <w:b/>
          <w:lang w:eastAsia="es-MX"/>
        </w:rPr>
        <w:t>SUJETO OBLIGADO pre</w:t>
      </w:r>
      <w:r w:rsidRPr="007F4F3E">
        <w:rPr>
          <w:lang w:eastAsia="es-MX"/>
        </w:rPr>
        <w:t>v</w:t>
      </w:r>
      <w:r w:rsidRPr="007F4F3E">
        <w:rPr>
          <w:b/>
          <w:lang w:eastAsia="es-MX"/>
        </w:rPr>
        <w:t xml:space="preserve">ia </w:t>
      </w:r>
      <w:r w:rsidRPr="007F4F3E">
        <w:rPr>
          <w:lang w:eastAsia="es-MX"/>
        </w:rPr>
        <w:t xml:space="preserve">búsqueda exhaustiva y razonable </w:t>
      </w:r>
      <w:r w:rsidR="008B5EEB" w:rsidRPr="007F4F3E">
        <w:rPr>
          <w:lang w:eastAsia="es-MX"/>
        </w:rPr>
        <w:t xml:space="preserve">haga entrega de ser procedente en </w:t>
      </w:r>
      <w:r w:rsidR="008B5EEB" w:rsidRPr="007F4F3E">
        <w:rPr>
          <w:b/>
          <w:lang w:eastAsia="es-MX"/>
        </w:rPr>
        <w:t xml:space="preserve">versión púbica </w:t>
      </w:r>
      <w:r w:rsidR="008B5EEB" w:rsidRPr="007F4F3E">
        <w:rPr>
          <w:lang w:eastAsia="es-MX"/>
        </w:rPr>
        <w:t xml:space="preserve">de los </w:t>
      </w:r>
      <w:r w:rsidR="0019725E" w:rsidRPr="007F4F3E">
        <w:rPr>
          <w:lang w:eastAsia="es-MX"/>
        </w:rPr>
        <w:t xml:space="preserve">expedientes </w:t>
      </w:r>
      <w:r w:rsidR="008B5EEB" w:rsidRPr="007F4F3E">
        <w:rPr>
          <w:lang w:eastAsia="es-MX"/>
        </w:rPr>
        <w:t xml:space="preserve">enlistados en respuesta </w:t>
      </w:r>
      <w:r w:rsidR="00B300E5" w:rsidRPr="007F4F3E">
        <w:rPr>
          <w:lang w:eastAsia="es-MX"/>
        </w:rPr>
        <w:t xml:space="preserve">que hayan causado estado al uno de julio de dos mil veinticuatro. </w:t>
      </w:r>
    </w:p>
    <w:p w14:paraId="4E8976F7" w14:textId="77777777" w:rsidR="00B300E5" w:rsidRPr="007F4F3E" w:rsidRDefault="00B300E5" w:rsidP="007F4F3E">
      <w:pPr>
        <w:rPr>
          <w:lang w:eastAsia="es-MX"/>
        </w:rPr>
      </w:pPr>
    </w:p>
    <w:p w14:paraId="5CAD22D4" w14:textId="3F248ADC" w:rsidR="00B300E5" w:rsidRPr="007F4F3E" w:rsidRDefault="00B300E5" w:rsidP="007F4F3E">
      <w:pPr>
        <w:rPr>
          <w:lang w:eastAsia="es-MX"/>
        </w:rPr>
      </w:pPr>
      <w:r w:rsidRPr="007F4F3E">
        <w:rPr>
          <w:lang w:eastAsia="es-MX"/>
        </w:rPr>
        <w:t xml:space="preserve">Ahora bien, para el caso que alguno de los expedientes enlistados no haya causado estado, </w:t>
      </w:r>
      <w:r w:rsidRPr="007F4F3E">
        <w:rPr>
          <w:b/>
          <w:lang w:eastAsia="es-MX"/>
        </w:rPr>
        <w:t>EL SUJETO OBLIGADO</w:t>
      </w:r>
      <w:r w:rsidRPr="007F4F3E">
        <w:rPr>
          <w:lang w:eastAsia="es-MX"/>
        </w:rPr>
        <w:t xml:space="preserve"> deberá emitir el Acuerdo de Clasificación a través de su Comité de Transparencia y notificarlo vía </w:t>
      </w:r>
      <w:r w:rsidRPr="007F4F3E">
        <w:rPr>
          <w:b/>
          <w:lang w:eastAsia="es-MX"/>
        </w:rPr>
        <w:t>SAIMEX</w:t>
      </w:r>
      <w:r w:rsidRPr="007F4F3E">
        <w:rPr>
          <w:lang w:eastAsia="es-MX"/>
        </w:rPr>
        <w:t xml:space="preserve"> a </w:t>
      </w:r>
      <w:r w:rsidRPr="007F4F3E">
        <w:rPr>
          <w:b/>
          <w:lang w:eastAsia="es-MX"/>
        </w:rPr>
        <w:t>LA PARTE RECURRENTE</w:t>
      </w:r>
      <w:r w:rsidRPr="007F4F3E">
        <w:rPr>
          <w:lang w:eastAsia="es-MX"/>
        </w:rPr>
        <w:t xml:space="preserve"> en términos de los </w:t>
      </w:r>
      <w:r w:rsidRPr="007F4F3E">
        <w:rPr>
          <w:lang w:eastAsia="es-MX"/>
        </w:rPr>
        <w:lastRenderedPageBreak/>
        <w:t>ordinales 49, fracción VIII, 129, 140 y 141 de la Ley de Transparencia y Acceso a la Información pública del Estado de México y Municipios.</w:t>
      </w:r>
    </w:p>
    <w:p w14:paraId="7008C19C" w14:textId="77777777" w:rsidR="0019725E" w:rsidRPr="007F4F3E" w:rsidRDefault="0019725E" w:rsidP="007F4F3E">
      <w:pPr>
        <w:rPr>
          <w:lang w:eastAsia="es-MX"/>
        </w:rPr>
      </w:pPr>
    </w:p>
    <w:p w14:paraId="28EC1FBC" w14:textId="77777777" w:rsidR="0009003A" w:rsidRPr="007F4F3E" w:rsidRDefault="0009003A" w:rsidP="007F4F3E">
      <w:pPr>
        <w:pStyle w:val="Ttulo3"/>
      </w:pPr>
      <w:bookmarkStart w:id="36" w:name="_Toc165402882"/>
      <w:bookmarkStart w:id="37" w:name="_Toc174007540"/>
      <w:bookmarkStart w:id="38" w:name="_Toc176880114"/>
      <w:r w:rsidRPr="007F4F3E">
        <w:t>d) Versión pública</w:t>
      </w:r>
      <w:bookmarkEnd w:id="36"/>
      <w:bookmarkEnd w:id="37"/>
      <w:bookmarkEnd w:id="38"/>
    </w:p>
    <w:p w14:paraId="058A3116" w14:textId="77777777" w:rsidR="0009003A" w:rsidRPr="007F4F3E" w:rsidRDefault="0009003A" w:rsidP="007F4F3E">
      <w:pPr>
        <w:rPr>
          <w:bCs/>
        </w:rPr>
      </w:pPr>
      <w:r w:rsidRPr="007F4F3E">
        <w:t xml:space="preserve">Para el caso de que el o los documentos de los cuales se ordena su entrega contengan datos personales susceptibles de ser testados, deberán ser entregados en </w:t>
      </w:r>
      <w:r w:rsidRPr="007F4F3E">
        <w:rPr>
          <w:b/>
        </w:rPr>
        <w:t>versión pública</w:t>
      </w:r>
      <w:r w:rsidRPr="007F4F3E">
        <w:t>, pues el</w:t>
      </w:r>
      <w:r w:rsidRPr="007F4F3E">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189DEE7" w14:textId="77777777" w:rsidR="0009003A" w:rsidRPr="007F4F3E" w:rsidRDefault="0009003A" w:rsidP="007F4F3E">
      <w:pPr>
        <w:rPr>
          <w:rFonts w:eastAsia="Calibri"/>
          <w:bCs/>
          <w:lang w:eastAsia="en-US"/>
        </w:rPr>
      </w:pPr>
    </w:p>
    <w:p w14:paraId="41390974" w14:textId="77777777" w:rsidR="0009003A" w:rsidRPr="007F4F3E" w:rsidRDefault="0009003A" w:rsidP="007F4F3E">
      <w:pPr>
        <w:rPr>
          <w:bCs/>
        </w:rPr>
      </w:pPr>
      <w:r w:rsidRPr="007F4F3E">
        <w:rPr>
          <w:bCs/>
        </w:rPr>
        <w:t>A este respecto, los artículos 3, fracciones IX, XX, XXI y XLV; 51 y 52 de la Ley de Transparencia y Acceso a la Información Pública del Estado de México y Municipios establecen:</w:t>
      </w:r>
    </w:p>
    <w:p w14:paraId="442C7032" w14:textId="77777777" w:rsidR="0009003A" w:rsidRPr="007F4F3E" w:rsidRDefault="0009003A" w:rsidP="007F4F3E"/>
    <w:p w14:paraId="77D90BD2" w14:textId="77777777" w:rsidR="0009003A" w:rsidRPr="007F4F3E" w:rsidRDefault="0009003A" w:rsidP="007F4F3E">
      <w:pPr>
        <w:pStyle w:val="Puesto"/>
      </w:pPr>
      <w:r w:rsidRPr="007F4F3E">
        <w:rPr>
          <w:b/>
          <w:bCs/>
          <w:noProof/>
        </w:rPr>
        <w:t>“</w:t>
      </w:r>
      <w:r w:rsidRPr="007F4F3E">
        <w:rPr>
          <w:b/>
          <w:bCs/>
        </w:rPr>
        <w:t xml:space="preserve">Artículo 3. </w:t>
      </w:r>
      <w:r w:rsidRPr="007F4F3E">
        <w:t xml:space="preserve">Para los efectos de la presente Ley se entenderá por: </w:t>
      </w:r>
    </w:p>
    <w:p w14:paraId="5CA77970" w14:textId="77777777" w:rsidR="0009003A" w:rsidRPr="007F4F3E" w:rsidRDefault="0009003A" w:rsidP="007F4F3E">
      <w:pPr>
        <w:pStyle w:val="Puesto"/>
      </w:pPr>
      <w:r w:rsidRPr="007F4F3E">
        <w:rPr>
          <w:b/>
        </w:rPr>
        <w:t>IX.</w:t>
      </w:r>
      <w:r w:rsidRPr="007F4F3E">
        <w:t xml:space="preserve"> </w:t>
      </w:r>
      <w:r w:rsidRPr="007F4F3E">
        <w:rPr>
          <w:b/>
        </w:rPr>
        <w:t xml:space="preserve">Datos personales: </w:t>
      </w:r>
      <w:r w:rsidRPr="007F4F3E">
        <w:t xml:space="preserve">La información concerniente a una persona, identificada o identificable según lo dispuesto por la Ley de Protección de Datos Personales del Estado de México; </w:t>
      </w:r>
    </w:p>
    <w:p w14:paraId="1FEAAB29" w14:textId="77777777" w:rsidR="0009003A" w:rsidRPr="007F4F3E" w:rsidRDefault="0009003A" w:rsidP="007F4F3E"/>
    <w:p w14:paraId="08B505D6" w14:textId="77777777" w:rsidR="0009003A" w:rsidRPr="007F4F3E" w:rsidRDefault="0009003A" w:rsidP="007F4F3E">
      <w:pPr>
        <w:pStyle w:val="Puesto"/>
      </w:pPr>
      <w:r w:rsidRPr="007F4F3E">
        <w:rPr>
          <w:b/>
        </w:rPr>
        <w:t>XX.</w:t>
      </w:r>
      <w:r w:rsidRPr="007F4F3E">
        <w:t xml:space="preserve"> </w:t>
      </w:r>
      <w:r w:rsidRPr="007F4F3E">
        <w:rPr>
          <w:b/>
        </w:rPr>
        <w:t>Información clasificada:</w:t>
      </w:r>
      <w:r w:rsidRPr="007F4F3E">
        <w:t xml:space="preserve"> Aquella considerada por la presente Ley como reservada o confidencial; </w:t>
      </w:r>
    </w:p>
    <w:p w14:paraId="23AD903A" w14:textId="77777777" w:rsidR="0009003A" w:rsidRPr="007F4F3E" w:rsidRDefault="0009003A" w:rsidP="007F4F3E"/>
    <w:p w14:paraId="5482BE5C" w14:textId="77777777" w:rsidR="0009003A" w:rsidRPr="007F4F3E" w:rsidRDefault="0009003A" w:rsidP="007F4F3E">
      <w:pPr>
        <w:pStyle w:val="Puesto"/>
      </w:pPr>
      <w:r w:rsidRPr="007F4F3E">
        <w:rPr>
          <w:b/>
        </w:rPr>
        <w:t>XXI.</w:t>
      </w:r>
      <w:r w:rsidRPr="007F4F3E">
        <w:t xml:space="preserve"> </w:t>
      </w:r>
      <w:r w:rsidRPr="007F4F3E">
        <w:rPr>
          <w:b/>
        </w:rPr>
        <w:t>Información confidencial</w:t>
      </w:r>
      <w:r w:rsidRPr="007F4F3E">
        <w:t xml:space="preserve">: Se considera como información confidencial los secretos bancario, fiduciario, industrial, comercial, fiscal, bursátil y postal, cuya titularidad </w:t>
      </w:r>
      <w:r w:rsidRPr="007F4F3E">
        <w:lastRenderedPageBreak/>
        <w:t xml:space="preserve">corresponda a particulares, sujetos de derecho internacional o a sujetos obligados cuando no involucren el ejercicio de recursos públicos; </w:t>
      </w:r>
    </w:p>
    <w:p w14:paraId="36CDBF97" w14:textId="77777777" w:rsidR="0009003A" w:rsidRPr="007F4F3E" w:rsidRDefault="0009003A" w:rsidP="007F4F3E"/>
    <w:p w14:paraId="0E3BDA7A" w14:textId="77777777" w:rsidR="0009003A" w:rsidRPr="007F4F3E" w:rsidRDefault="0009003A" w:rsidP="007F4F3E">
      <w:pPr>
        <w:pStyle w:val="Puesto"/>
      </w:pPr>
      <w:r w:rsidRPr="007F4F3E">
        <w:rPr>
          <w:b/>
        </w:rPr>
        <w:t>XLV. Versión pública:</w:t>
      </w:r>
      <w:r w:rsidRPr="007F4F3E">
        <w:t xml:space="preserve"> Documento en el que se elimine, suprime o borra la información clasificada como reservada o confidencial para permitir su acceso. </w:t>
      </w:r>
    </w:p>
    <w:p w14:paraId="29392CE6" w14:textId="77777777" w:rsidR="0009003A" w:rsidRPr="007F4F3E" w:rsidRDefault="0009003A" w:rsidP="007F4F3E"/>
    <w:p w14:paraId="117C3E56" w14:textId="77777777" w:rsidR="0009003A" w:rsidRPr="007F4F3E" w:rsidRDefault="0009003A" w:rsidP="007F4F3E">
      <w:pPr>
        <w:pStyle w:val="Puesto"/>
      </w:pPr>
      <w:r w:rsidRPr="007F4F3E">
        <w:rPr>
          <w:b/>
        </w:rPr>
        <w:t>Artículo 51.</w:t>
      </w:r>
      <w:r w:rsidRPr="007F4F3E">
        <w:t xml:space="preserve"> Los sujetos obligados designaran a un responsable para atender la Unidad de Transparencia, quien fungirá como enlace entre éstos y los solicitantes. Dicha Unidad será la encargada de tramitar internamente la solicitud de información </w:t>
      </w:r>
      <w:r w:rsidRPr="007F4F3E">
        <w:rPr>
          <w:b/>
        </w:rPr>
        <w:t xml:space="preserve">y tendrá la responsabilidad de verificar en cada caso que la misma no sea confidencial o reservada. </w:t>
      </w:r>
      <w:r w:rsidRPr="007F4F3E">
        <w:t>Dicha Unidad contará con las facultades internas necesarias para gestionar la atención a las solicitudes de información en los términos de la Ley General y la presente Ley.</w:t>
      </w:r>
    </w:p>
    <w:p w14:paraId="6670275B" w14:textId="77777777" w:rsidR="0009003A" w:rsidRPr="007F4F3E" w:rsidRDefault="0009003A" w:rsidP="007F4F3E"/>
    <w:p w14:paraId="77A2BE26" w14:textId="77777777" w:rsidR="0009003A" w:rsidRPr="007F4F3E" w:rsidRDefault="0009003A" w:rsidP="007F4F3E">
      <w:pPr>
        <w:pStyle w:val="Puesto"/>
      </w:pPr>
      <w:r w:rsidRPr="007F4F3E">
        <w:rPr>
          <w:b/>
        </w:rPr>
        <w:t>Artículo 52.</w:t>
      </w:r>
      <w:r w:rsidRPr="007F4F3E">
        <w:t xml:space="preserve"> Las solicitudes de acceso a la información y las respuestas que se les dé, incluyendo, en su caso, </w:t>
      </w:r>
      <w:r w:rsidRPr="007F4F3E">
        <w:rPr>
          <w:u w:val="single"/>
        </w:rPr>
        <w:t>la información entregada, así como las resoluciones a los recursos que en su caso se promuevan serán públicas, y de ser el caso que contenga datos personales que deban ser protegidos se podrá dar su acceso en su versión pública</w:t>
      </w:r>
      <w:r w:rsidRPr="007F4F3E">
        <w:t>, siempre y cuando la resolución de referencia se someta a un proceso de disociación, es decir, no haga identificable al titular de tales datos personales.</w:t>
      </w:r>
      <w:r w:rsidRPr="007F4F3E">
        <w:rPr>
          <w:bCs/>
          <w:noProof/>
        </w:rPr>
        <w:t xml:space="preserve">” </w:t>
      </w:r>
      <w:r w:rsidRPr="007F4F3E">
        <w:rPr>
          <w:i w:val="0"/>
          <w:iCs/>
          <w:szCs w:val="22"/>
        </w:rPr>
        <w:t>(Énfasis añadido)</w:t>
      </w:r>
    </w:p>
    <w:p w14:paraId="3965ADD1" w14:textId="77777777" w:rsidR="0009003A" w:rsidRPr="007F4F3E" w:rsidRDefault="0009003A" w:rsidP="007F4F3E"/>
    <w:p w14:paraId="0CCA0811" w14:textId="77777777" w:rsidR="0009003A" w:rsidRPr="007F4F3E" w:rsidRDefault="0009003A" w:rsidP="007F4F3E">
      <w:r w:rsidRPr="007F4F3E">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DA41F2F" w14:textId="77777777" w:rsidR="0009003A" w:rsidRPr="007F4F3E" w:rsidRDefault="0009003A" w:rsidP="007F4F3E"/>
    <w:p w14:paraId="5C4D31F4" w14:textId="77777777" w:rsidR="0009003A" w:rsidRPr="007F4F3E" w:rsidRDefault="0009003A" w:rsidP="007F4F3E">
      <w:pPr>
        <w:pStyle w:val="Puesto"/>
        <w:rPr>
          <w:rFonts w:eastAsia="Arial Unicode MS"/>
        </w:rPr>
      </w:pPr>
      <w:r w:rsidRPr="007F4F3E">
        <w:rPr>
          <w:rFonts w:eastAsia="Arial Unicode MS"/>
          <w:b/>
        </w:rPr>
        <w:lastRenderedPageBreak/>
        <w:t>“Artículo 22.</w:t>
      </w:r>
      <w:r w:rsidRPr="007F4F3E">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18823C5A" w14:textId="77777777" w:rsidR="0009003A" w:rsidRPr="007F4F3E" w:rsidRDefault="0009003A" w:rsidP="007F4F3E">
      <w:pPr>
        <w:rPr>
          <w:rFonts w:eastAsia="Arial Unicode MS"/>
        </w:rPr>
      </w:pPr>
    </w:p>
    <w:p w14:paraId="575212F3" w14:textId="77777777" w:rsidR="0009003A" w:rsidRPr="007F4F3E" w:rsidRDefault="0009003A" w:rsidP="007F4F3E">
      <w:pPr>
        <w:pStyle w:val="Puesto"/>
        <w:rPr>
          <w:rFonts w:eastAsia="Arial Unicode MS"/>
        </w:rPr>
      </w:pPr>
      <w:r w:rsidRPr="007F4F3E">
        <w:rPr>
          <w:rFonts w:eastAsia="Arial Unicode MS"/>
          <w:b/>
        </w:rPr>
        <w:t>Artículo 38.</w:t>
      </w:r>
      <w:r w:rsidRPr="007F4F3E">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F4F3E">
        <w:rPr>
          <w:rFonts w:eastAsia="Arial Unicode MS"/>
          <w:b/>
        </w:rPr>
        <w:t>”</w:t>
      </w:r>
      <w:r w:rsidRPr="007F4F3E">
        <w:rPr>
          <w:rFonts w:eastAsia="Arial Unicode MS"/>
        </w:rPr>
        <w:t xml:space="preserve"> </w:t>
      </w:r>
    </w:p>
    <w:p w14:paraId="02ADCE58" w14:textId="77777777" w:rsidR="0009003A" w:rsidRPr="007F4F3E" w:rsidRDefault="0009003A" w:rsidP="007F4F3E">
      <w:pPr>
        <w:rPr>
          <w:rFonts w:eastAsia="Arial Unicode MS"/>
          <w:i/>
          <w:szCs w:val="22"/>
        </w:rPr>
      </w:pPr>
    </w:p>
    <w:p w14:paraId="60D1C62E" w14:textId="77777777" w:rsidR="0009003A" w:rsidRPr="007F4F3E" w:rsidRDefault="0009003A" w:rsidP="007F4F3E">
      <w:r w:rsidRPr="007F4F3E">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AACC61A" w14:textId="77777777" w:rsidR="0009003A" w:rsidRPr="007F4F3E" w:rsidRDefault="0009003A" w:rsidP="007F4F3E"/>
    <w:p w14:paraId="0138B9CD" w14:textId="77777777" w:rsidR="0009003A" w:rsidRPr="007F4F3E" w:rsidRDefault="0009003A" w:rsidP="007F4F3E">
      <w:r w:rsidRPr="007F4F3E">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7F4F3E">
        <w:rPr>
          <w:rFonts w:eastAsia="Arial Unicode MS"/>
        </w:rPr>
        <w:t xml:space="preserve"> que debe ser protegida por </w:t>
      </w:r>
      <w:r w:rsidRPr="007F4F3E">
        <w:rPr>
          <w:rFonts w:eastAsia="Arial Unicode MS"/>
          <w:b/>
        </w:rPr>
        <w:t>EL SUJETO OBLIGADO,</w:t>
      </w:r>
      <w:r w:rsidRPr="007F4F3E">
        <w:rPr>
          <w:rFonts w:eastAsia="Arial Unicode MS"/>
        </w:rPr>
        <w:t xml:space="preserve"> por lo </w:t>
      </w:r>
      <w:r w:rsidRPr="007F4F3E">
        <w:t>que, todo dato personal susceptible de clasificación debe ser protegido.</w:t>
      </w:r>
    </w:p>
    <w:p w14:paraId="783CA597" w14:textId="77777777" w:rsidR="0009003A" w:rsidRPr="007F4F3E" w:rsidRDefault="0009003A" w:rsidP="007F4F3E"/>
    <w:p w14:paraId="49A993EF" w14:textId="77777777" w:rsidR="0009003A" w:rsidRPr="007F4F3E" w:rsidRDefault="0009003A" w:rsidP="007F4F3E">
      <w:r w:rsidRPr="007F4F3E">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99D036E" w14:textId="77777777" w:rsidR="0009003A" w:rsidRPr="007F4F3E" w:rsidRDefault="0009003A" w:rsidP="007F4F3E"/>
    <w:p w14:paraId="67995100" w14:textId="77777777" w:rsidR="0009003A" w:rsidRPr="007F4F3E" w:rsidRDefault="0009003A" w:rsidP="007F4F3E">
      <w:r w:rsidRPr="007F4F3E">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FC5561F" w14:textId="77777777" w:rsidR="0009003A" w:rsidRPr="007F4F3E" w:rsidRDefault="0009003A" w:rsidP="007F4F3E"/>
    <w:p w14:paraId="5085DD65" w14:textId="77777777" w:rsidR="0009003A" w:rsidRPr="007F4F3E" w:rsidRDefault="0009003A" w:rsidP="007F4F3E">
      <w:pPr>
        <w:pStyle w:val="Puesto"/>
        <w:jc w:val="center"/>
        <w:rPr>
          <w:b/>
        </w:rPr>
      </w:pPr>
      <w:r w:rsidRPr="007F4F3E">
        <w:rPr>
          <w:b/>
          <w:lang w:val="es-ES_tradnl"/>
        </w:rPr>
        <w:t>Ley de Transparencia y Acceso a la Información Pública del Estado de México y Municipios</w:t>
      </w:r>
    </w:p>
    <w:p w14:paraId="3A8B4887" w14:textId="77777777" w:rsidR="0009003A" w:rsidRPr="007F4F3E" w:rsidRDefault="0009003A" w:rsidP="007F4F3E"/>
    <w:p w14:paraId="0C6A3EE9" w14:textId="77777777" w:rsidR="0009003A" w:rsidRPr="007F4F3E" w:rsidRDefault="0009003A" w:rsidP="007F4F3E">
      <w:pPr>
        <w:pStyle w:val="Puesto"/>
      </w:pPr>
      <w:r w:rsidRPr="007F4F3E">
        <w:rPr>
          <w:b/>
        </w:rPr>
        <w:t xml:space="preserve">“Artículo 49. </w:t>
      </w:r>
      <w:r w:rsidRPr="007F4F3E">
        <w:t>Los Comités de Transparencia tendrán las siguientes atribuciones:</w:t>
      </w:r>
    </w:p>
    <w:p w14:paraId="62FC1848" w14:textId="77777777" w:rsidR="0009003A" w:rsidRPr="007F4F3E" w:rsidRDefault="0009003A" w:rsidP="007F4F3E">
      <w:pPr>
        <w:pStyle w:val="Puesto"/>
      </w:pPr>
      <w:r w:rsidRPr="007F4F3E">
        <w:rPr>
          <w:b/>
        </w:rPr>
        <w:t>VIII.</w:t>
      </w:r>
      <w:r w:rsidRPr="007F4F3E">
        <w:t xml:space="preserve"> Aprobar, modificar o revocar la clasificación de la información;</w:t>
      </w:r>
    </w:p>
    <w:p w14:paraId="7C3C5F5D" w14:textId="77777777" w:rsidR="0009003A" w:rsidRPr="007F4F3E" w:rsidRDefault="0009003A" w:rsidP="007F4F3E"/>
    <w:p w14:paraId="3323717D" w14:textId="77777777" w:rsidR="0009003A" w:rsidRPr="007F4F3E" w:rsidRDefault="0009003A" w:rsidP="007F4F3E">
      <w:pPr>
        <w:pStyle w:val="Puesto"/>
      </w:pPr>
      <w:r w:rsidRPr="007F4F3E">
        <w:rPr>
          <w:b/>
        </w:rPr>
        <w:t>Artículo 132.</w:t>
      </w:r>
      <w:r w:rsidRPr="007F4F3E">
        <w:t xml:space="preserve"> La clasificación de la información se llevará a cabo en el momento en que:</w:t>
      </w:r>
    </w:p>
    <w:p w14:paraId="71C5A83E" w14:textId="77777777" w:rsidR="0009003A" w:rsidRPr="007F4F3E" w:rsidRDefault="0009003A" w:rsidP="007F4F3E">
      <w:pPr>
        <w:pStyle w:val="Puesto"/>
      </w:pPr>
      <w:r w:rsidRPr="007F4F3E">
        <w:rPr>
          <w:b/>
        </w:rPr>
        <w:t>I.</w:t>
      </w:r>
      <w:r w:rsidRPr="007F4F3E">
        <w:t xml:space="preserve"> Se reciba una solicitud de acceso a la información;</w:t>
      </w:r>
    </w:p>
    <w:p w14:paraId="46D43893" w14:textId="77777777" w:rsidR="0009003A" w:rsidRPr="007F4F3E" w:rsidRDefault="0009003A" w:rsidP="007F4F3E">
      <w:pPr>
        <w:pStyle w:val="Puesto"/>
      </w:pPr>
      <w:r w:rsidRPr="007F4F3E">
        <w:rPr>
          <w:b/>
        </w:rPr>
        <w:t>II.</w:t>
      </w:r>
      <w:r w:rsidRPr="007F4F3E">
        <w:t xml:space="preserve"> Se determine mediante resolución de autoridad competente; o</w:t>
      </w:r>
    </w:p>
    <w:p w14:paraId="568B4887" w14:textId="77777777" w:rsidR="0009003A" w:rsidRPr="007F4F3E" w:rsidRDefault="0009003A" w:rsidP="007F4F3E">
      <w:pPr>
        <w:pStyle w:val="Puesto"/>
        <w:rPr>
          <w:b/>
        </w:rPr>
      </w:pPr>
      <w:r w:rsidRPr="007F4F3E">
        <w:rPr>
          <w:b/>
          <w:bCs/>
        </w:rPr>
        <w:t>III.</w:t>
      </w:r>
      <w:r w:rsidRPr="007F4F3E">
        <w:t xml:space="preserve"> Se generen versiones públicas para dar cumplimiento a las obligaciones de transparencia previstas en esta Ley.</w:t>
      </w:r>
      <w:r w:rsidRPr="007F4F3E">
        <w:rPr>
          <w:b/>
        </w:rPr>
        <w:t>”</w:t>
      </w:r>
    </w:p>
    <w:p w14:paraId="386A36D0" w14:textId="77777777" w:rsidR="0009003A" w:rsidRPr="007F4F3E" w:rsidRDefault="0009003A" w:rsidP="007F4F3E"/>
    <w:p w14:paraId="5DC5A63F" w14:textId="77777777" w:rsidR="0009003A" w:rsidRPr="007F4F3E" w:rsidRDefault="0009003A" w:rsidP="007F4F3E">
      <w:pPr>
        <w:pStyle w:val="Puesto"/>
      </w:pPr>
      <w:r w:rsidRPr="007F4F3E">
        <w:rPr>
          <w:b/>
        </w:rPr>
        <w:t>“Segundo. -</w:t>
      </w:r>
      <w:r w:rsidRPr="007F4F3E">
        <w:t xml:space="preserve"> Para efectos de los presentes Lineamientos Generales, se entenderá por:</w:t>
      </w:r>
    </w:p>
    <w:p w14:paraId="0287B32E" w14:textId="77777777" w:rsidR="0009003A" w:rsidRPr="007F4F3E" w:rsidRDefault="0009003A" w:rsidP="007F4F3E">
      <w:pPr>
        <w:pStyle w:val="Puesto"/>
      </w:pPr>
      <w:r w:rsidRPr="007F4F3E">
        <w:rPr>
          <w:b/>
        </w:rPr>
        <w:t>XVIII.</w:t>
      </w:r>
      <w:r w:rsidRPr="007F4F3E">
        <w:t xml:space="preserve">  </w:t>
      </w:r>
      <w:r w:rsidRPr="007F4F3E">
        <w:rPr>
          <w:b/>
        </w:rPr>
        <w:t>Versión pública:</w:t>
      </w:r>
      <w:r w:rsidRPr="007F4F3E">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AF19B97" w14:textId="77777777" w:rsidR="0009003A" w:rsidRPr="007F4F3E" w:rsidRDefault="0009003A" w:rsidP="007F4F3E">
      <w:pPr>
        <w:pStyle w:val="Puesto"/>
      </w:pPr>
    </w:p>
    <w:p w14:paraId="11EACC53" w14:textId="77777777" w:rsidR="0009003A" w:rsidRPr="007F4F3E" w:rsidRDefault="0009003A" w:rsidP="007F4F3E">
      <w:pPr>
        <w:pStyle w:val="Puesto"/>
        <w:rPr>
          <w:b/>
          <w:lang w:val="es-ES_tradnl" w:eastAsia="es-MX"/>
        </w:rPr>
      </w:pPr>
      <w:r w:rsidRPr="007F4F3E">
        <w:rPr>
          <w:b/>
          <w:lang w:val="es-ES_tradnl" w:eastAsia="es-MX"/>
        </w:rPr>
        <w:t xml:space="preserve">Lineamientos Generales en materia de Clasificación y Desclasificación de la </w:t>
      </w:r>
      <w:r w:rsidRPr="007F4F3E">
        <w:rPr>
          <w:b/>
          <w:lang w:val="es-ES_tradnl"/>
        </w:rPr>
        <w:t>Información</w:t>
      </w:r>
    </w:p>
    <w:p w14:paraId="77AD35CF" w14:textId="77777777" w:rsidR="0009003A" w:rsidRPr="007F4F3E" w:rsidRDefault="0009003A" w:rsidP="007F4F3E">
      <w:pPr>
        <w:pStyle w:val="Puesto"/>
      </w:pPr>
    </w:p>
    <w:p w14:paraId="4AF6461A" w14:textId="77777777" w:rsidR="0009003A" w:rsidRPr="007F4F3E" w:rsidRDefault="0009003A" w:rsidP="007F4F3E">
      <w:pPr>
        <w:pStyle w:val="Puesto"/>
      </w:pPr>
      <w:r w:rsidRPr="007F4F3E">
        <w:rPr>
          <w:b/>
        </w:rPr>
        <w:lastRenderedPageBreak/>
        <w:t>Cuarto.</w:t>
      </w:r>
      <w:r w:rsidRPr="007F4F3E">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4EC2FAE" w14:textId="77777777" w:rsidR="0009003A" w:rsidRPr="007F4F3E" w:rsidRDefault="0009003A" w:rsidP="007F4F3E">
      <w:pPr>
        <w:pStyle w:val="Puesto"/>
      </w:pPr>
      <w:r w:rsidRPr="007F4F3E">
        <w:t>Los sujetos obligados deberán aplicar, de manera estricta, las excepciones al derecho de acceso a la información y sólo podrán invocarlas cuando acrediten su procedencia.</w:t>
      </w:r>
    </w:p>
    <w:p w14:paraId="53EE170D" w14:textId="77777777" w:rsidR="0009003A" w:rsidRPr="007F4F3E" w:rsidRDefault="0009003A" w:rsidP="007F4F3E"/>
    <w:p w14:paraId="6FF73CB0" w14:textId="77777777" w:rsidR="0009003A" w:rsidRPr="007F4F3E" w:rsidRDefault="0009003A" w:rsidP="007F4F3E">
      <w:pPr>
        <w:pStyle w:val="Puesto"/>
      </w:pPr>
      <w:r w:rsidRPr="007F4F3E">
        <w:rPr>
          <w:b/>
        </w:rPr>
        <w:t>Quinto.</w:t>
      </w:r>
      <w:r w:rsidRPr="007F4F3E">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AE02C83" w14:textId="77777777" w:rsidR="0009003A" w:rsidRPr="007F4F3E" w:rsidRDefault="0009003A" w:rsidP="007F4F3E"/>
    <w:p w14:paraId="0518921B" w14:textId="77777777" w:rsidR="0009003A" w:rsidRPr="007F4F3E" w:rsidRDefault="0009003A" w:rsidP="007F4F3E">
      <w:pPr>
        <w:pStyle w:val="Puesto"/>
      </w:pPr>
      <w:r w:rsidRPr="007F4F3E">
        <w:rPr>
          <w:b/>
        </w:rPr>
        <w:t>Sexto.</w:t>
      </w:r>
      <w:r w:rsidRPr="007F4F3E">
        <w:t xml:space="preserve"> Se deroga.</w:t>
      </w:r>
    </w:p>
    <w:p w14:paraId="1AA9DAAC" w14:textId="77777777" w:rsidR="0009003A" w:rsidRPr="007F4F3E" w:rsidRDefault="0009003A" w:rsidP="007F4F3E"/>
    <w:p w14:paraId="0136A931" w14:textId="77777777" w:rsidR="0009003A" w:rsidRPr="007F4F3E" w:rsidRDefault="0009003A" w:rsidP="007F4F3E">
      <w:pPr>
        <w:pStyle w:val="Puesto"/>
      </w:pPr>
      <w:r w:rsidRPr="007F4F3E">
        <w:rPr>
          <w:b/>
        </w:rPr>
        <w:t>Séptimo.</w:t>
      </w:r>
      <w:r w:rsidRPr="007F4F3E">
        <w:t xml:space="preserve"> La clasificación de la información se llevará a cabo en el momento en que:</w:t>
      </w:r>
    </w:p>
    <w:p w14:paraId="290572D3" w14:textId="77777777" w:rsidR="0009003A" w:rsidRPr="007F4F3E" w:rsidRDefault="0009003A" w:rsidP="007F4F3E">
      <w:pPr>
        <w:pStyle w:val="Puesto"/>
      </w:pPr>
      <w:r w:rsidRPr="007F4F3E">
        <w:rPr>
          <w:b/>
        </w:rPr>
        <w:t>I.</w:t>
      </w:r>
      <w:r w:rsidRPr="007F4F3E">
        <w:t xml:space="preserve">        Se reciba una solicitud de acceso a la información;</w:t>
      </w:r>
    </w:p>
    <w:p w14:paraId="5112E111" w14:textId="77777777" w:rsidR="0009003A" w:rsidRPr="007F4F3E" w:rsidRDefault="0009003A" w:rsidP="007F4F3E">
      <w:pPr>
        <w:pStyle w:val="Puesto"/>
      </w:pPr>
      <w:r w:rsidRPr="007F4F3E">
        <w:rPr>
          <w:b/>
        </w:rPr>
        <w:t>II.</w:t>
      </w:r>
      <w:r w:rsidRPr="007F4F3E">
        <w:t xml:space="preserve">       Se determine mediante resolución del Comité de Transparencia, el órgano garante competente, o en cumplimiento a una sentencia del Poder Judicial; o</w:t>
      </w:r>
    </w:p>
    <w:p w14:paraId="5C513B67" w14:textId="77777777" w:rsidR="0009003A" w:rsidRPr="007F4F3E" w:rsidRDefault="0009003A" w:rsidP="007F4F3E">
      <w:pPr>
        <w:pStyle w:val="Puesto"/>
      </w:pPr>
      <w:r w:rsidRPr="007F4F3E">
        <w:rPr>
          <w:b/>
        </w:rPr>
        <w:t>III.</w:t>
      </w:r>
      <w:r w:rsidRPr="007F4F3E">
        <w:t xml:space="preserve">      Se generen versiones públicas para dar cumplimiento a las obligaciones de transparencia previstas en la Ley General, la Ley Federal y las correspondientes de las entidades federativas.</w:t>
      </w:r>
    </w:p>
    <w:p w14:paraId="3360C811" w14:textId="77777777" w:rsidR="0009003A" w:rsidRPr="007F4F3E" w:rsidRDefault="0009003A" w:rsidP="007F4F3E">
      <w:pPr>
        <w:pStyle w:val="Puesto"/>
      </w:pPr>
      <w:r w:rsidRPr="007F4F3E">
        <w:t xml:space="preserve">Los titulares de las áreas deberán revisar la información requerida al momento de la recepción de una solicitud de acceso, para verificar, conforme a su naturaleza, si encuadra en una causal de reserva o de confidencialidad. </w:t>
      </w:r>
    </w:p>
    <w:p w14:paraId="22E8125D" w14:textId="77777777" w:rsidR="0009003A" w:rsidRPr="007F4F3E" w:rsidRDefault="0009003A" w:rsidP="007F4F3E"/>
    <w:p w14:paraId="3C1539A0" w14:textId="77777777" w:rsidR="0009003A" w:rsidRPr="007F4F3E" w:rsidRDefault="0009003A" w:rsidP="007F4F3E">
      <w:pPr>
        <w:pStyle w:val="Puesto"/>
      </w:pPr>
      <w:r w:rsidRPr="007F4F3E">
        <w:rPr>
          <w:b/>
        </w:rPr>
        <w:t>Octavo.</w:t>
      </w:r>
      <w:r w:rsidRPr="007F4F3E">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5507FAD" w14:textId="77777777" w:rsidR="0009003A" w:rsidRPr="007F4F3E" w:rsidRDefault="0009003A" w:rsidP="007F4F3E">
      <w:pPr>
        <w:pStyle w:val="Puesto"/>
      </w:pPr>
      <w:r w:rsidRPr="007F4F3E">
        <w:t>Para motivar la clasificación se deberán señalar las razones o circunstancias especiales que lo llevaron a concluir que el caso particular se ajusta al supuesto previsto por la norma legal invocada como fundamento.</w:t>
      </w:r>
    </w:p>
    <w:p w14:paraId="4C3ECD70" w14:textId="77777777" w:rsidR="0009003A" w:rsidRPr="007F4F3E" w:rsidRDefault="0009003A" w:rsidP="007F4F3E">
      <w:pPr>
        <w:pStyle w:val="Puesto"/>
      </w:pPr>
      <w:r w:rsidRPr="007F4F3E">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05C275E" w14:textId="77777777" w:rsidR="0009003A" w:rsidRPr="007F4F3E" w:rsidRDefault="0009003A" w:rsidP="007F4F3E"/>
    <w:p w14:paraId="0A5F0749" w14:textId="77777777" w:rsidR="0009003A" w:rsidRPr="007F4F3E" w:rsidRDefault="0009003A" w:rsidP="007F4F3E">
      <w:pPr>
        <w:pStyle w:val="Puesto"/>
      </w:pPr>
      <w:r w:rsidRPr="007F4F3E">
        <w:rPr>
          <w:b/>
        </w:rPr>
        <w:t>Noveno.</w:t>
      </w:r>
      <w:r w:rsidRPr="007F4F3E">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7AA72F97" w14:textId="77777777" w:rsidR="0009003A" w:rsidRPr="007F4F3E" w:rsidRDefault="0009003A" w:rsidP="007F4F3E"/>
    <w:p w14:paraId="7AD9BD45" w14:textId="77777777" w:rsidR="0009003A" w:rsidRPr="007F4F3E" w:rsidRDefault="0009003A" w:rsidP="007F4F3E">
      <w:pPr>
        <w:pStyle w:val="Puesto"/>
      </w:pPr>
      <w:r w:rsidRPr="007F4F3E">
        <w:rPr>
          <w:b/>
        </w:rPr>
        <w:t>Décimo.</w:t>
      </w:r>
      <w:r w:rsidRPr="007F4F3E">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E3F055E" w14:textId="77777777" w:rsidR="0009003A" w:rsidRPr="007F4F3E" w:rsidRDefault="0009003A" w:rsidP="007F4F3E">
      <w:pPr>
        <w:pStyle w:val="Puesto"/>
      </w:pPr>
      <w:r w:rsidRPr="007F4F3E">
        <w:t>En ausencia de los titulares de las áreas, la información será clasificada o desclasificada por la persona que lo supla, en términos de la normativa que rija la actuación del sujeto obligado.</w:t>
      </w:r>
    </w:p>
    <w:p w14:paraId="22BDA005" w14:textId="77777777" w:rsidR="0009003A" w:rsidRPr="007F4F3E" w:rsidRDefault="0009003A" w:rsidP="007F4F3E">
      <w:pPr>
        <w:pStyle w:val="Puesto"/>
        <w:rPr>
          <w:b/>
        </w:rPr>
      </w:pPr>
      <w:r w:rsidRPr="007F4F3E">
        <w:rPr>
          <w:b/>
        </w:rPr>
        <w:t>Décimo primero.</w:t>
      </w:r>
      <w:r w:rsidRPr="007F4F3E">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F4F3E">
        <w:rPr>
          <w:b/>
        </w:rPr>
        <w:t>”</w:t>
      </w:r>
    </w:p>
    <w:p w14:paraId="5FB0B47C" w14:textId="77777777" w:rsidR="0009003A" w:rsidRPr="007F4F3E" w:rsidRDefault="0009003A" w:rsidP="007F4F3E"/>
    <w:p w14:paraId="1908DCA1" w14:textId="77777777" w:rsidR="0009003A" w:rsidRPr="007F4F3E" w:rsidRDefault="0009003A" w:rsidP="007F4F3E">
      <w:pPr>
        <w:rPr>
          <w:lang w:eastAsia="es-CO"/>
        </w:rPr>
      </w:pPr>
      <w:r w:rsidRPr="007F4F3E">
        <w:t xml:space="preserve">Consecuentemente, se destaca que la versión pública que elabore </w:t>
      </w:r>
      <w:r w:rsidRPr="007F4F3E">
        <w:rPr>
          <w:b/>
        </w:rPr>
        <w:t>EL SUJETO OBLIGADO</w:t>
      </w:r>
      <w:r w:rsidRPr="007F4F3E">
        <w:t xml:space="preserve"> debe cumplir con las formalidades exigidas en la Ley, por lo que para tal efecto emitirá el </w:t>
      </w:r>
      <w:r w:rsidRPr="007F4F3E">
        <w:rPr>
          <w:b/>
        </w:rPr>
        <w:t>Acuerdo del Comité de Transparencia</w:t>
      </w:r>
      <w:r w:rsidRPr="007F4F3E">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F4F3E">
        <w:rPr>
          <w:lang w:eastAsia="es-CO"/>
        </w:rPr>
        <w:t xml:space="preserve">,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w:t>
      </w:r>
      <w:r w:rsidRPr="007F4F3E">
        <w:rPr>
          <w:lang w:eastAsia="es-CO"/>
        </w:rPr>
        <w:lastRenderedPageBreak/>
        <w:t>conocer o comprender porque no aparecen en la documentación respectiva, es decir, si no se exponen de manera puntual las razones, se estaría violentando desde un inicio el derecho de acceso a la información del solicitante.</w:t>
      </w:r>
    </w:p>
    <w:p w14:paraId="0404CF54" w14:textId="77777777" w:rsidR="0009003A" w:rsidRPr="007F4F3E" w:rsidRDefault="0009003A" w:rsidP="007F4F3E">
      <w:pPr>
        <w:rPr>
          <w:lang w:eastAsia="es-CO"/>
        </w:rPr>
      </w:pPr>
    </w:p>
    <w:p w14:paraId="47927DE4" w14:textId="1079369D" w:rsidR="0009003A" w:rsidRPr="007F4F3E" w:rsidRDefault="0009003A" w:rsidP="007F4F3E">
      <w:pPr>
        <w:rPr>
          <w:lang w:eastAsia="es-CO"/>
        </w:rPr>
      </w:pPr>
      <w:r w:rsidRPr="007F4F3E">
        <w:rPr>
          <w:lang w:eastAsia="es-CO"/>
        </w:rPr>
        <w:t>Es importante señalar que, para el caso en concreto, se deben tomar en consideración los siguientes datos que de manera enunciativa más no limitativa se pudieran clasificar</w:t>
      </w:r>
      <w:r w:rsidR="00B7067F" w:rsidRPr="007F4F3E">
        <w:rPr>
          <w:lang w:eastAsia="es-CO"/>
        </w:rPr>
        <w:t xml:space="preserve"> </w:t>
      </w:r>
      <w:r w:rsidRPr="007F4F3E">
        <w:rPr>
          <w:lang w:eastAsia="es-CO"/>
        </w:rPr>
        <w:t>como confidenciales:</w:t>
      </w:r>
    </w:p>
    <w:p w14:paraId="59F46C64" w14:textId="77777777" w:rsidR="0009003A" w:rsidRPr="007F4F3E" w:rsidRDefault="0009003A" w:rsidP="007F4F3E"/>
    <w:p w14:paraId="4CFA8F31" w14:textId="77777777" w:rsidR="0009003A" w:rsidRPr="007F4F3E" w:rsidRDefault="0009003A" w:rsidP="007F4F3E">
      <w:pPr>
        <w:pStyle w:val="Prrafodelista"/>
        <w:numPr>
          <w:ilvl w:val="0"/>
          <w:numId w:val="34"/>
        </w:numPr>
      </w:pPr>
      <w:r w:rsidRPr="007F4F3E">
        <w:rPr>
          <w:rFonts w:cs="Arial"/>
          <w:b/>
          <w:lang w:val="es-ES_tradnl" w:eastAsia="es-MX"/>
        </w:rPr>
        <w:t>Registro Federal de Contribuyentes</w:t>
      </w:r>
      <w:r w:rsidRPr="007F4F3E">
        <w:rPr>
          <w:rFonts w:cs="Arial"/>
          <w:lang w:val="es-ES_tradnl" w:eastAsia="es-MX"/>
        </w:rPr>
        <w:t xml:space="preserve"> </w:t>
      </w:r>
      <w:r w:rsidRPr="007F4F3E">
        <w:rPr>
          <w:rFonts w:cs="Arial"/>
          <w:b/>
          <w:lang w:val="es-ES_tradnl" w:eastAsia="es-MX"/>
        </w:rPr>
        <w:t>de las personas físicas</w:t>
      </w:r>
    </w:p>
    <w:p w14:paraId="435418BA" w14:textId="77777777" w:rsidR="0009003A" w:rsidRPr="007F4F3E" w:rsidRDefault="0009003A" w:rsidP="007F4F3E">
      <w:pPr>
        <w:pStyle w:val="Prrafodelista"/>
      </w:pPr>
    </w:p>
    <w:p w14:paraId="0C456DD1" w14:textId="77777777" w:rsidR="0009003A" w:rsidRPr="007F4F3E" w:rsidRDefault="0009003A" w:rsidP="007F4F3E">
      <w:pPr>
        <w:rPr>
          <w:lang w:val="es-ES_tradnl"/>
        </w:rPr>
      </w:pPr>
      <w:r w:rsidRPr="007F4F3E">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7F4F3E">
        <w:rPr>
          <w:rFonts w:cs="Arial"/>
          <w:lang w:val="es-ES_tradnl"/>
        </w:rPr>
        <w:t>del</w:t>
      </w:r>
      <w:r w:rsidRPr="007F4F3E">
        <w:rPr>
          <w:rFonts w:cs="Arial"/>
          <w:lang w:val="es-ES_tradnl" w:eastAsia="es-MX"/>
        </w:rPr>
        <w:t xml:space="preserve"> apellido paterno; seguida de la primera letra Vocal del primer apellido; </w:t>
      </w:r>
      <w:r w:rsidRPr="007F4F3E">
        <w:rPr>
          <w:rFonts w:eastAsia="Arial Unicode MS" w:cs="Arial"/>
          <w:lang w:val="es-ES_tradnl"/>
        </w:rPr>
        <w:t>seguida</w:t>
      </w:r>
      <w:r w:rsidRPr="007F4F3E">
        <w:rPr>
          <w:rFonts w:cs="Arial"/>
          <w:lang w:val="es-ES_tradnl" w:eastAsia="es-MX"/>
        </w:rPr>
        <w:t xml:space="preserve"> de la primera letra del segundo apellido y por último la primera letra del nombre, posterior la fecha de nacimiento año/mes/día</w:t>
      </w:r>
      <w:r w:rsidRPr="007F4F3E">
        <w:rPr>
          <w:lang w:val="es-ES_tradnl"/>
        </w:rPr>
        <w:t xml:space="preserve"> y finalmente la homoclave; la cual, para su obtención es necesario acreditar personalidad, fecha de nacimiento entre otros con documentos oficiales.</w:t>
      </w:r>
    </w:p>
    <w:p w14:paraId="5E92A106" w14:textId="77777777" w:rsidR="0009003A" w:rsidRPr="007F4F3E" w:rsidRDefault="0009003A" w:rsidP="007F4F3E">
      <w:pPr>
        <w:rPr>
          <w:lang w:val="es-ES_tradnl"/>
        </w:rPr>
      </w:pPr>
    </w:p>
    <w:p w14:paraId="3A384290" w14:textId="77777777" w:rsidR="0009003A" w:rsidRPr="007F4F3E" w:rsidRDefault="0009003A" w:rsidP="007F4F3E">
      <w:pPr>
        <w:rPr>
          <w:b/>
          <w:bCs/>
          <w:lang w:val="es-ES_tradnl"/>
        </w:rPr>
      </w:pPr>
      <w:r w:rsidRPr="007F4F3E">
        <w:rPr>
          <w:rFonts w:cs="Arial"/>
          <w:lang w:val="es-ES_tradnl" w:eastAsia="es-MX"/>
        </w:rPr>
        <w:t xml:space="preserve">Al respecto, </w:t>
      </w:r>
      <w:r w:rsidRPr="007F4F3E">
        <w:rPr>
          <w:rFonts w:cs="Arial"/>
          <w:lang w:val="es-ES_tradnl"/>
        </w:rPr>
        <w:t xml:space="preserve">es aplicable el Criterio 19/17 de la Segunda Época, emitido por </w:t>
      </w:r>
      <w:r w:rsidRPr="007F4F3E">
        <w:rPr>
          <w:rFonts w:eastAsia="Arial Unicode MS" w:cs="Arial"/>
          <w:lang w:val="es-ES_tradnl"/>
        </w:rPr>
        <w:t xml:space="preserve">el Instituto Nacional de </w:t>
      </w:r>
      <w:r w:rsidRPr="007F4F3E">
        <w:rPr>
          <w:bCs/>
          <w:lang w:val="es-ES_tradnl"/>
        </w:rPr>
        <w:t>Transparencia</w:t>
      </w:r>
      <w:r w:rsidRPr="007F4F3E">
        <w:rPr>
          <w:rFonts w:eastAsia="Arial Unicode MS" w:cs="Arial"/>
          <w:lang w:val="es-ES_tradnl"/>
        </w:rPr>
        <w:t xml:space="preserve">, Acceso a la </w:t>
      </w:r>
      <w:r w:rsidRPr="007F4F3E">
        <w:rPr>
          <w:rFonts w:cs="Arial"/>
          <w:lang w:val="es-ES_tradnl"/>
        </w:rPr>
        <w:t>Información</w:t>
      </w:r>
      <w:r w:rsidRPr="007F4F3E">
        <w:rPr>
          <w:rFonts w:eastAsia="Arial Unicode MS" w:cs="Arial"/>
          <w:lang w:val="es-ES_tradnl"/>
        </w:rPr>
        <w:t xml:space="preserve"> y Protección de Datos Personales,</w:t>
      </w:r>
      <w:r w:rsidRPr="007F4F3E">
        <w:rPr>
          <w:bCs/>
          <w:lang w:val="es-ES_tradnl"/>
        </w:rPr>
        <w:t xml:space="preserve"> que dice:</w:t>
      </w:r>
      <w:r w:rsidRPr="007F4F3E">
        <w:rPr>
          <w:b/>
          <w:bCs/>
          <w:lang w:val="es-ES_tradnl"/>
        </w:rPr>
        <w:t xml:space="preserve"> </w:t>
      </w:r>
    </w:p>
    <w:p w14:paraId="1B5E70EC" w14:textId="77777777" w:rsidR="0009003A" w:rsidRPr="007F4F3E" w:rsidRDefault="0009003A" w:rsidP="007F4F3E">
      <w:pPr>
        <w:rPr>
          <w:b/>
          <w:bCs/>
          <w:lang w:val="es-ES_tradnl"/>
        </w:rPr>
      </w:pPr>
    </w:p>
    <w:p w14:paraId="111EC2B6" w14:textId="77777777" w:rsidR="0009003A" w:rsidRPr="007F4F3E" w:rsidRDefault="0009003A" w:rsidP="007F4F3E">
      <w:pPr>
        <w:pStyle w:val="Puesto"/>
        <w:rPr>
          <w:lang w:val="es-ES_tradnl" w:eastAsia="en-US"/>
        </w:rPr>
      </w:pPr>
      <w:r w:rsidRPr="007F4F3E">
        <w:rPr>
          <w:lang w:val="es-ES_tradnl"/>
        </w:rPr>
        <w:t>“</w:t>
      </w:r>
      <w:r w:rsidRPr="007F4F3E">
        <w:rPr>
          <w:b/>
          <w:lang w:val="es-ES_tradnl"/>
        </w:rPr>
        <w:t>Registro Federal de Contribuyentes (RFC) de personas físicas.</w:t>
      </w:r>
      <w:r w:rsidRPr="007F4F3E">
        <w:rPr>
          <w:lang w:val="es-ES_tradnl"/>
        </w:rPr>
        <w:t xml:space="preserve"> El RFC es una clave de carácter fiscal, única e irrepetible, que permite identificar al titular, su edad y fecha de nacimiento, </w:t>
      </w:r>
      <w:r w:rsidRPr="007F4F3E">
        <w:rPr>
          <w:lang w:val="es-ES_tradnl" w:eastAsia="es-MX"/>
        </w:rPr>
        <w:t>por</w:t>
      </w:r>
      <w:r w:rsidRPr="007F4F3E">
        <w:rPr>
          <w:lang w:val="es-ES_tradnl"/>
        </w:rPr>
        <w:t xml:space="preserve"> lo que es un dato personal de carácter confidencial.</w:t>
      </w:r>
    </w:p>
    <w:p w14:paraId="642083B3" w14:textId="77777777" w:rsidR="0009003A" w:rsidRPr="007F4F3E" w:rsidRDefault="0009003A" w:rsidP="007F4F3E">
      <w:pPr>
        <w:pStyle w:val="Puesto"/>
        <w:rPr>
          <w:lang w:val="es-ES_tradnl"/>
        </w:rPr>
      </w:pPr>
      <w:r w:rsidRPr="007F4F3E">
        <w:rPr>
          <w:lang w:val="es-ES_tradnl"/>
        </w:rPr>
        <w:t xml:space="preserve"> (Énfasis añadido)</w:t>
      </w:r>
    </w:p>
    <w:p w14:paraId="4E696416" w14:textId="77777777" w:rsidR="0009003A" w:rsidRPr="007F4F3E" w:rsidRDefault="0009003A" w:rsidP="007F4F3E">
      <w:pPr>
        <w:autoSpaceDE w:val="0"/>
        <w:autoSpaceDN w:val="0"/>
        <w:adjustRightInd w:val="0"/>
        <w:ind w:left="851" w:right="899"/>
        <w:rPr>
          <w:rFonts w:cs="Arial"/>
          <w:lang w:val="es-ES_tradnl"/>
        </w:rPr>
      </w:pPr>
    </w:p>
    <w:p w14:paraId="3C3175B6" w14:textId="77777777" w:rsidR="0009003A" w:rsidRPr="007F4F3E" w:rsidRDefault="0009003A" w:rsidP="007F4F3E">
      <w:pPr>
        <w:rPr>
          <w:rFonts w:cs="Arial"/>
          <w:lang w:val="es-ES_tradnl"/>
        </w:rPr>
      </w:pPr>
      <w:r w:rsidRPr="007F4F3E">
        <w:rPr>
          <w:rFonts w:cs="Arial"/>
          <w:lang w:val="es-ES_tradnl" w:eastAsia="es-MX"/>
        </w:rPr>
        <w:lastRenderedPageBreak/>
        <w:t xml:space="preserve">De lo anterior, se desprende que el Registro Federal de Contribuyentes se vincula al nombre de su </w:t>
      </w:r>
      <w:r w:rsidRPr="007F4F3E">
        <w:rPr>
          <w:bCs/>
          <w:lang w:val="es-ES_tradnl"/>
        </w:rPr>
        <w:t>titular</w:t>
      </w:r>
      <w:r w:rsidRPr="007F4F3E">
        <w:rPr>
          <w:rFonts w:cs="Arial"/>
          <w:lang w:val="es-ES_tradnl" w:eastAsia="es-MX"/>
        </w:rPr>
        <w:t xml:space="preserve">, permitiendo identificar la edad de la persona y fecha de nacimiento, determinando </w:t>
      </w:r>
      <w:r w:rsidRPr="007F4F3E">
        <w:rPr>
          <w:rFonts w:cs="Arial"/>
          <w:lang w:val="es-ES_tradnl"/>
        </w:rPr>
        <w:t>l</w:t>
      </w:r>
      <w:r w:rsidRPr="007F4F3E">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7F4F3E">
        <w:rPr>
          <w:lang w:val="es-ES_tradnl" w:eastAsia="es-MX"/>
        </w:rPr>
        <w:t>Municipios</w:t>
      </w:r>
      <w:r w:rsidRPr="007F4F3E">
        <w:rPr>
          <w:rFonts w:cs="Arial"/>
          <w:lang w:val="es-ES_tradnl" w:eastAsia="es-MX"/>
        </w:rPr>
        <w:t xml:space="preserve"> y </w:t>
      </w:r>
      <w:r w:rsidRPr="007F4F3E">
        <w:rPr>
          <w:rFonts w:cs="Arial"/>
          <w:lang w:val="es-ES_tradnl"/>
        </w:rPr>
        <w:t>4 fracción XI</w:t>
      </w:r>
      <w:r w:rsidRPr="007F4F3E">
        <w:rPr>
          <w:rFonts w:cs="Arial"/>
          <w:lang w:val="es-ES_tradnl" w:eastAsia="es-MX"/>
        </w:rPr>
        <w:t xml:space="preserve"> </w:t>
      </w:r>
      <w:r w:rsidRPr="007F4F3E">
        <w:rPr>
          <w:rFonts w:cs="Arial"/>
          <w:lang w:val="es-ES_tradnl"/>
        </w:rPr>
        <w:t>de la Ley de Protección de Datos Personales en Posesión de Sujetos Obligados del Estado de México y Municipios.</w:t>
      </w:r>
    </w:p>
    <w:p w14:paraId="507D992A" w14:textId="77777777" w:rsidR="0009003A" w:rsidRPr="007F4F3E" w:rsidRDefault="0009003A" w:rsidP="007F4F3E">
      <w:pPr>
        <w:rPr>
          <w:rFonts w:cs="Arial"/>
          <w:lang w:val="es-ES_tradnl" w:eastAsia="es-MX"/>
        </w:rPr>
      </w:pPr>
    </w:p>
    <w:p w14:paraId="7D69B61F" w14:textId="77777777" w:rsidR="0009003A" w:rsidRPr="007F4F3E" w:rsidRDefault="0009003A" w:rsidP="007F4F3E">
      <w:pPr>
        <w:pStyle w:val="Prrafodelista"/>
        <w:numPr>
          <w:ilvl w:val="0"/>
          <w:numId w:val="34"/>
        </w:numPr>
        <w:rPr>
          <w:rFonts w:cs="Arial"/>
          <w:lang w:val="es-ES_tradnl" w:eastAsia="es-MX"/>
        </w:rPr>
      </w:pPr>
      <w:r w:rsidRPr="007F4F3E">
        <w:rPr>
          <w:rFonts w:cs="Arial"/>
          <w:b/>
          <w:lang w:val="es-ES_tradnl"/>
        </w:rPr>
        <w:t>Clave Única de Registro de Población</w:t>
      </w:r>
    </w:p>
    <w:p w14:paraId="5B7CC99B" w14:textId="77777777" w:rsidR="0009003A" w:rsidRPr="007F4F3E" w:rsidRDefault="0009003A" w:rsidP="007F4F3E">
      <w:pPr>
        <w:pStyle w:val="Prrafodelista"/>
        <w:rPr>
          <w:rFonts w:cs="Arial"/>
          <w:lang w:val="es-ES_tradnl" w:eastAsia="es-MX"/>
        </w:rPr>
      </w:pPr>
    </w:p>
    <w:p w14:paraId="5D4F335F" w14:textId="77777777" w:rsidR="0009003A" w:rsidRPr="007F4F3E" w:rsidRDefault="0009003A" w:rsidP="007F4F3E">
      <w:pPr>
        <w:rPr>
          <w:rFonts w:cs="Arial"/>
          <w:lang w:val="es-ES_tradnl" w:eastAsia="es-MX"/>
        </w:rPr>
      </w:pPr>
      <w:r w:rsidRPr="007F4F3E">
        <w:rPr>
          <w:rFonts w:cs="Arial"/>
          <w:lang w:val="es-ES_tradnl" w:eastAsia="es-MX"/>
        </w:rPr>
        <w:t xml:space="preserve">Constituye un dato personal ya que </w:t>
      </w:r>
      <w:r w:rsidRPr="007F4F3E">
        <w:rPr>
          <w:lang w:val="es-ES_tradnl" w:eastAsia="es-MX"/>
        </w:rPr>
        <w:t>tiene</w:t>
      </w:r>
      <w:r w:rsidRPr="007F4F3E">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4272AB36" w14:textId="77777777" w:rsidR="0009003A" w:rsidRPr="007F4F3E" w:rsidRDefault="0009003A" w:rsidP="007F4F3E">
      <w:pPr>
        <w:rPr>
          <w:rFonts w:cs="Arial"/>
          <w:lang w:val="es-ES_tradnl" w:eastAsia="es-MX"/>
        </w:rPr>
      </w:pPr>
    </w:p>
    <w:p w14:paraId="441F1F71" w14:textId="77777777" w:rsidR="0009003A" w:rsidRPr="007F4F3E" w:rsidRDefault="0009003A" w:rsidP="007F4F3E">
      <w:pPr>
        <w:rPr>
          <w:rFonts w:cs="Arial"/>
          <w:lang w:val="es-ES_tradnl" w:eastAsia="es-MX"/>
        </w:rPr>
      </w:pPr>
      <w:r w:rsidRPr="007F4F3E">
        <w:rPr>
          <w:rFonts w:cs="Arial"/>
          <w:lang w:val="es-ES_tradnl" w:eastAsia="es-MX"/>
        </w:rPr>
        <w:t xml:space="preserve">Lo </w:t>
      </w:r>
      <w:r w:rsidRPr="007F4F3E">
        <w:rPr>
          <w:lang w:val="es-ES_tradnl" w:eastAsia="es-MX"/>
        </w:rPr>
        <w:t>anterior</w:t>
      </w:r>
      <w:r w:rsidRPr="007F4F3E">
        <w:rPr>
          <w:rFonts w:cs="Arial"/>
          <w:lang w:val="es-ES_tradnl" w:eastAsia="es-MX"/>
        </w:rPr>
        <w:t xml:space="preserve">, </w:t>
      </w:r>
      <w:r w:rsidRPr="007F4F3E">
        <w:rPr>
          <w:rFonts w:cs="Arial"/>
          <w:lang w:val="es-ES_tradnl"/>
        </w:rPr>
        <w:t>tiene</w:t>
      </w:r>
      <w:r w:rsidRPr="007F4F3E">
        <w:rPr>
          <w:rFonts w:cs="Arial"/>
          <w:lang w:val="es-ES_tradnl" w:eastAsia="es-MX"/>
        </w:rPr>
        <w:t xml:space="preserve"> sustento en los artículos 86 y 91 de la Ley General de Población, la cual señala lo siguiente:</w:t>
      </w:r>
    </w:p>
    <w:p w14:paraId="7906104F" w14:textId="77777777" w:rsidR="0009003A" w:rsidRPr="007F4F3E" w:rsidRDefault="0009003A" w:rsidP="007F4F3E">
      <w:pPr>
        <w:rPr>
          <w:rFonts w:cs="Arial"/>
          <w:lang w:val="es-ES_tradnl" w:eastAsia="es-MX"/>
        </w:rPr>
      </w:pPr>
    </w:p>
    <w:p w14:paraId="78AC93DE" w14:textId="77777777" w:rsidR="0009003A" w:rsidRPr="007F4F3E" w:rsidRDefault="0009003A" w:rsidP="007F4F3E">
      <w:pPr>
        <w:pStyle w:val="Puesto"/>
        <w:rPr>
          <w:lang w:val="es-ES_tradnl" w:eastAsia="es-MX"/>
        </w:rPr>
      </w:pPr>
      <w:r w:rsidRPr="007F4F3E">
        <w:rPr>
          <w:rFonts w:cs="Arial,Bold"/>
          <w:bCs/>
          <w:lang w:val="es-ES_tradnl" w:eastAsia="es-MX"/>
        </w:rPr>
        <w:t>“</w:t>
      </w:r>
      <w:r w:rsidRPr="007F4F3E">
        <w:rPr>
          <w:rFonts w:cs="Arial,Bold"/>
          <w:b/>
          <w:bCs/>
          <w:lang w:val="es-ES_tradnl" w:eastAsia="es-MX"/>
        </w:rPr>
        <w:t xml:space="preserve">Artículo 86. </w:t>
      </w:r>
      <w:r w:rsidRPr="007F4F3E">
        <w:rPr>
          <w:lang w:val="es-ES_tradnl" w:eastAsia="es-MX"/>
        </w:rPr>
        <w:t>El Registro Nacional de Población tiene como finalidad registrar a cada una de las personas que integran la población del país, con los datos que permitan certificar y acreditar fehacientemente su identidad.</w:t>
      </w:r>
    </w:p>
    <w:p w14:paraId="0FB19E84" w14:textId="77777777" w:rsidR="0009003A" w:rsidRPr="007F4F3E" w:rsidRDefault="0009003A" w:rsidP="007F4F3E">
      <w:pPr>
        <w:pStyle w:val="Puesto"/>
        <w:rPr>
          <w:lang w:val="es-ES_tradnl" w:eastAsia="es-MX"/>
        </w:rPr>
      </w:pPr>
      <w:r w:rsidRPr="007F4F3E">
        <w:rPr>
          <w:rFonts w:cs="Arial,Bold"/>
          <w:b/>
          <w:bCs/>
          <w:lang w:val="es-ES_tradnl" w:eastAsia="es-MX"/>
        </w:rPr>
        <w:t xml:space="preserve">Artículo 91. </w:t>
      </w:r>
      <w:r w:rsidRPr="007F4F3E">
        <w:rPr>
          <w:b/>
          <w:u w:val="single"/>
          <w:lang w:val="es-ES_tradnl" w:eastAsia="es-MX"/>
        </w:rPr>
        <w:t>Al incorporar a una persona en el Registro Nacional de Población</w:t>
      </w:r>
      <w:r w:rsidRPr="007F4F3E">
        <w:rPr>
          <w:lang w:val="es-ES_tradnl" w:eastAsia="es-MX"/>
        </w:rPr>
        <w:t xml:space="preserve">, se le asignará una clave </w:t>
      </w:r>
      <w:r w:rsidRPr="007F4F3E">
        <w:rPr>
          <w:b/>
          <w:u w:val="single"/>
          <w:lang w:val="es-ES_tradnl" w:eastAsia="es-MX"/>
        </w:rPr>
        <w:t>que se denominará Clave Única de Registro de Población</w:t>
      </w:r>
      <w:r w:rsidRPr="007F4F3E">
        <w:rPr>
          <w:lang w:val="es-ES_tradnl" w:eastAsia="es-MX"/>
        </w:rPr>
        <w:t xml:space="preserve">. </w:t>
      </w:r>
      <w:r w:rsidRPr="007F4F3E">
        <w:rPr>
          <w:b/>
          <w:u w:val="single"/>
          <w:lang w:val="es-ES_tradnl" w:eastAsia="es-MX"/>
        </w:rPr>
        <w:t>Esta servirá para</w:t>
      </w:r>
      <w:r w:rsidRPr="007F4F3E">
        <w:rPr>
          <w:lang w:val="es-ES_tradnl" w:eastAsia="es-MX"/>
        </w:rPr>
        <w:t xml:space="preserve"> registrarla e </w:t>
      </w:r>
      <w:r w:rsidRPr="007F4F3E">
        <w:rPr>
          <w:b/>
          <w:u w:val="single"/>
          <w:lang w:val="es-ES_tradnl" w:eastAsia="es-MX"/>
        </w:rPr>
        <w:t>identificarla en forma individual</w:t>
      </w:r>
      <w:r w:rsidRPr="007F4F3E">
        <w:rPr>
          <w:lang w:val="es-ES_tradnl" w:eastAsia="es-MX"/>
        </w:rPr>
        <w:t xml:space="preserve">.” </w:t>
      </w:r>
    </w:p>
    <w:p w14:paraId="2C1AF2F7" w14:textId="77777777" w:rsidR="0009003A" w:rsidRPr="007F4F3E" w:rsidRDefault="0009003A" w:rsidP="007F4F3E">
      <w:pPr>
        <w:pStyle w:val="Puesto"/>
        <w:rPr>
          <w:lang w:val="es-ES_tradnl" w:eastAsia="es-MX"/>
        </w:rPr>
      </w:pPr>
      <w:r w:rsidRPr="007F4F3E">
        <w:rPr>
          <w:lang w:val="es-ES_tradnl" w:eastAsia="es-MX"/>
        </w:rPr>
        <w:t>(Énfasis añadido)</w:t>
      </w:r>
    </w:p>
    <w:p w14:paraId="20E7AC5F" w14:textId="77777777" w:rsidR="0009003A" w:rsidRPr="007F4F3E" w:rsidRDefault="0009003A" w:rsidP="007F4F3E">
      <w:pPr>
        <w:rPr>
          <w:lang w:val="es-ES_tradnl" w:eastAsia="es-MX"/>
        </w:rPr>
      </w:pPr>
    </w:p>
    <w:p w14:paraId="72CC8CA7" w14:textId="77777777" w:rsidR="0009003A" w:rsidRPr="007F4F3E" w:rsidRDefault="0009003A" w:rsidP="007F4F3E">
      <w:pPr>
        <w:rPr>
          <w:lang w:val="es-ES_tradnl" w:eastAsia="es-MX"/>
        </w:rPr>
      </w:pPr>
      <w:r w:rsidRPr="007F4F3E">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7F4F3E">
        <w:rPr>
          <w:bCs/>
          <w:lang w:val="es-ES_tradnl"/>
        </w:rPr>
        <w:t>identidad</w:t>
      </w:r>
      <w:r w:rsidRPr="007F4F3E">
        <w:rPr>
          <w:lang w:val="es-ES_tradnl" w:eastAsia="es-MX"/>
        </w:rPr>
        <w:t xml:space="preserve"> (acta de nacimiento, carta de naturalización o documento </w:t>
      </w:r>
      <w:r w:rsidRPr="007F4F3E">
        <w:rPr>
          <w:lang w:val="es-ES_tradnl" w:eastAsia="es-MX"/>
        </w:rPr>
        <w:lastRenderedPageBreak/>
        <w:t xml:space="preserve">migratorio), la </w:t>
      </w:r>
      <w:r w:rsidRPr="007F4F3E">
        <w:rPr>
          <w:rFonts w:cs="Arial"/>
          <w:lang w:val="es-ES_tradnl"/>
        </w:rPr>
        <w:t>cual</w:t>
      </w:r>
      <w:r w:rsidRPr="007F4F3E">
        <w:rPr>
          <w:lang w:val="es-ES_tradnl" w:eastAsia="es-MX"/>
        </w:rPr>
        <w:t xml:space="preserve"> se integra de</w:t>
      </w:r>
      <w:r w:rsidRPr="007F4F3E">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7F4F3E">
        <w:rPr>
          <w:lang w:val="es-ES_tradnl" w:eastAsia="es-MX"/>
        </w:rPr>
        <w:t xml:space="preserve">; sexo; Entidad Federativa de nacimiento; consonantes internas del nombre y apellidos; un diferenciador de homonimia y siglo; y un digito verificador, que garantizan la correcta integración. </w:t>
      </w:r>
    </w:p>
    <w:p w14:paraId="2C3CE233" w14:textId="77777777" w:rsidR="0009003A" w:rsidRPr="007F4F3E" w:rsidRDefault="0009003A" w:rsidP="007F4F3E">
      <w:pPr>
        <w:rPr>
          <w:lang w:val="es-ES_tradnl" w:eastAsia="es-MX"/>
        </w:rPr>
      </w:pPr>
    </w:p>
    <w:p w14:paraId="36BE7800" w14:textId="77777777" w:rsidR="0009003A" w:rsidRPr="007F4F3E" w:rsidRDefault="0009003A" w:rsidP="007F4F3E">
      <w:pPr>
        <w:rPr>
          <w:rFonts w:cs="Arial"/>
          <w:lang w:val="es-ES_tradnl" w:eastAsia="es-MX"/>
        </w:rPr>
      </w:pPr>
      <w:r w:rsidRPr="007F4F3E">
        <w:rPr>
          <w:rFonts w:cs="Arial"/>
          <w:lang w:val="es-ES_tradnl" w:eastAsia="es-MX"/>
        </w:rPr>
        <w:t xml:space="preserve">Al respecto, el </w:t>
      </w:r>
      <w:r w:rsidRPr="007F4F3E">
        <w:rPr>
          <w:rFonts w:eastAsia="Arial Unicode MS" w:cs="Arial"/>
          <w:lang w:val="es-ES_tradnl"/>
        </w:rPr>
        <w:t>Instituto Nacional de Transparencia, Acceso a la Información y Protección de Datos Personales (INAI),</w:t>
      </w:r>
      <w:r w:rsidRPr="007F4F3E">
        <w:rPr>
          <w:rFonts w:cs="Arial"/>
          <w:lang w:val="es-ES_tradnl" w:eastAsia="es-MX"/>
        </w:rPr>
        <w:t xml:space="preserve"> a través del Criterio 18/17 de la Segunda Época, señala literalmente lo siguiente:</w:t>
      </w:r>
    </w:p>
    <w:p w14:paraId="440E57B0" w14:textId="77777777" w:rsidR="0009003A" w:rsidRPr="007F4F3E" w:rsidRDefault="0009003A" w:rsidP="007F4F3E">
      <w:pPr>
        <w:rPr>
          <w:rFonts w:cs="Arial"/>
          <w:lang w:val="es-ES_tradnl" w:eastAsia="es-MX"/>
        </w:rPr>
      </w:pPr>
    </w:p>
    <w:p w14:paraId="7546E3E9" w14:textId="77777777" w:rsidR="0009003A" w:rsidRPr="007F4F3E" w:rsidRDefault="0009003A" w:rsidP="007F4F3E">
      <w:pPr>
        <w:pStyle w:val="Puesto"/>
        <w:rPr>
          <w:lang w:val="es-ES_tradnl" w:eastAsia="es-MX"/>
        </w:rPr>
      </w:pPr>
      <w:r w:rsidRPr="007F4F3E">
        <w:rPr>
          <w:lang w:val="es-ES_tradnl" w:eastAsia="es-MX"/>
        </w:rPr>
        <w:t>“</w:t>
      </w:r>
      <w:r w:rsidRPr="007F4F3E">
        <w:rPr>
          <w:b/>
          <w:lang w:val="es-ES_tradnl" w:eastAsia="es-MX"/>
        </w:rPr>
        <w:t>Clave Única de Registro de Población (CURP). La Clave Única de Registro de Población</w:t>
      </w:r>
      <w:r w:rsidRPr="007F4F3E">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BA24DD7" w14:textId="77777777" w:rsidR="0009003A" w:rsidRPr="007F4F3E" w:rsidRDefault="0009003A" w:rsidP="007F4F3E">
      <w:pPr>
        <w:pStyle w:val="Puesto"/>
        <w:rPr>
          <w:lang w:val="es-ES_tradnl" w:eastAsia="es-MX"/>
        </w:rPr>
      </w:pPr>
      <w:r w:rsidRPr="007F4F3E">
        <w:rPr>
          <w:lang w:val="es-ES_tradnl" w:eastAsia="es-MX"/>
        </w:rPr>
        <w:t xml:space="preserve"> (Énfasis añadido)</w:t>
      </w:r>
    </w:p>
    <w:p w14:paraId="5C911608" w14:textId="77777777" w:rsidR="0009003A" w:rsidRPr="007F4F3E" w:rsidRDefault="0009003A" w:rsidP="007F4F3E">
      <w:pPr>
        <w:autoSpaceDE w:val="0"/>
        <w:autoSpaceDN w:val="0"/>
        <w:adjustRightInd w:val="0"/>
        <w:ind w:left="851" w:right="902"/>
        <w:rPr>
          <w:rFonts w:cs="Arial"/>
          <w:lang w:val="es-ES_tradnl"/>
        </w:rPr>
      </w:pPr>
    </w:p>
    <w:p w14:paraId="45072472" w14:textId="77777777" w:rsidR="0009003A" w:rsidRPr="007F4F3E" w:rsidRDefault="0009003A" w:rsidP="007F4F3E">
      <w:pPr>
        <w:rPr>
          <w:rFonts w:cs="Arial"/>
          <w:lang w:val="es-ES_tradnl" w:eastAsia="es-MX"/>
        </w:rPr>
      </w:pPr>
      <w:r w:rsidRPr="007F4F3E">
        <w:rPr>
          <w:rFonts w:cs="Arial"/>
          <w:lang w:val="es-ES_tradnl" w:eastAsia="es-MX"/>
        </w:rPr>
        <w:t xml:space="preserve">De lo anterior, se desprende que la </w:t>
      </w:r>
      <w:r w:rsidRPr="007F4F3E">
        <w:rPr>
          <w:lang w:val="es-ES_tradnl" w:eastAsia="es-MX"/>
        </w:rPr>
        <w:t xml:space="preserve">Clave Única de Registro de Población, </w:t>
      </w:r>
      <w:r w:rsidRPr="007F4F3E">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7F4F3E">
        <w:rPr>
          <w:bCs/>
          <w:lang w:val="es-ES_tradnl"/>
        </w:rPr>
        <w:t>personal</w:t>
      </w:r>
      <w:r w:rsidRPr="007F4F3E">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7F4F3E">
        <w:rPr>
          <w:rFonts w:cs="Arial"/>
          <w:lang w:val="es-ES_tradnl"/>
        </w:rPr>
        <w:t>4, fracción XI</w:t>
      </w:r>
      <w:r w:rsidRPr="007F4F3E">
        <w:rPr>
          <w:rFonts w:cs="Arial"/>
          <w:lang w:val="es-ES_tradnl" w:eastAsia="es-MX"/>
        </w:rPr>
        <w:t xml:space="preserve"> </w:t>
      </w:r>
      <w:r w:rsidRPr="007F4F3E">
        <w:rPr>
          <w:rFonts w:cs="Arial"/>
          <w:lang w:val="es-ES_tradnl"/>
        </w:rPr>
        <w:t>de la Ley de Protección de Datos Personales en Posesión de Sujetos Obligados del Estado de México y Municipios</w:t>
      </w:r>
      <w:r w:rsidRPr="007F4F3E">
        <w:rPr>
          <w:rFonts w:cs="Arial"/>
          <w:lang w:val="es-ES_tradnl" w:eastAsia="es-MX"/>
        </w:rPr>
        <w:t>.</w:t>
      </w:r>
    </w:p>
    <w:p w14:paraId="3E0E06B3" w14:textId="77777777" w:rsidR="0009003A" w:rsidRPr="007F4F3E" w:rsidRDefault="0009003A" w:rsidP="007F4F3E"/>
    <w:p w14:paraId="670A4A68" w14:textId="3E8CD889" w:rsidR="0009003A" w:rsidRPr="007F4F3E" w:rsidRDefault="00DC47CF" w:rsidP="007F4F3E">
      <w:pPr>
        <w:pStyle w:val="Prrafodelista"/>
        <w:numPr>
          <w:ilvl w:val="0"/>
          <w:numId w:val="34"/>
        </w:numPr>
        <w:rPr>
          <w:rFonts w:eastAsia="Palatino Linotype" w:cs="Palatino Linotype"/>
          <w:b/>
        </w:rPr>
      </w:pPr>
      <w:r w:rsidRPr="007F4F3E">
        <w:rPr>
          <w:rFonts w:eastAsia="Palatino Linotype" w:cs="Palatino Linotype"/>
          <w:b/>
        </w:rPr>
        <w:t>Número de empleado de servidores públicos o su equivalente</w:t>
      </w:r>
    </w:p>
    <w:p w14:paraId="77AFCBBA" w14:textId="77777777" w:rsidR="00DC47CF" w:rsidRPr="007F4F3E" w:rsidRDefault="00DC47CF" w:rsidP="007F4F3E"/>
    <w:p w14:paraId="56493D50" w14:textId="77777777" w:rsidR="00DC47CF" w:rsidRPr="007F4F3E" w:rsidRDefault="00DC47CF" w:rsidP="007F4F3E">
      <w:pPr>
        <w:rPr>
          <w:lang w:eastAsia="es-MX"/>
        </w:rPr>
      </w:pPr>
      <w:r w:rsidRPr="007F4F3E">
        <w:rPr>
          <w:rFonts w:cs="Arial"/>
        </w:rPr>
        <w:lastRenderedPageBreak/>
        <w:t xml:space="preserve">Por otro lado, </w:t>
      </w:r>
      <w:r w:rsidRPr="007F4F3E">
        <w:rPr>
          <w:rFonts w:eastAsia="Palatino Linotype" w:cs="Palatino Linotype"/>
        </w:rPr>
        <w:t xml:space="preserve">es necesario precisar que el </w:t>
      </w:r>
      <w:r w:rsidRPr="007F4F3E">
        <w:rPr>
          <w:rFonts w:eastAsia="Palatino Linotype" w:cs="Palatino Linotype"/>
          <w:b/>
        </w:rPr>
        <w:t>número de empleado de servidores públicos o su equivalente</w:t>
      </w:r>
      <w:r w:rsidRPr="007F4F3E">
        <w:rPr>
          <w:rFonts w:eastAsia="Palatino Linotype" w:cs="Palatino Linotype"/>
        </w:rPr>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52C20F7C" w14:textId="77777777" w:rsidR="00DC47CF" w:rsidRPr="007F4F3E" w:rsidRDefault="00DC47CF" w:rsidP="007F4F3E">
      <w:pPr>
        <w:pBdr>
          <w:top w:val="nil"/>
          <w:left w:val="nil"/>
          <w:bottom w:val="nil"/>
          <w:right w:val="nil"/>
          <w:between w:val="nil"/>
        </w:pBdr>
        <w:spacing w:before="240" w:after="240"/>
        <w:ind w:right="49"/>
        <w:rPr>
          <w:rFonts w:eastAsia="Palatino Linotype" w:cs="Palatino Linotype"/>
        </w:rPr>
      </w:pPr>
      <w:r w:rsidRPr="007F4F3E">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9D8F7B0" w14:textId="77777777" w:rsidR="00DC47CF" w:rsidRPr="007F4F3E" w:rsidRDefault="00DC47CF" w:rsidP="007F4F3E">
      <w:pPr>
        <w:pBdr>
          <w:top w:val="nil"/>
          <w:left w:val="nil"/>
          <w:bottom w:val="nil"/>
          <w:right w:val="nil"/>
          <w:between w:val="nil"/>
        </w:pBdr>
        <w:spacing w:before="240" w:after="240"/>
        <w:ind w:right="49"/>
        <w:rPr>
          <w:rFonts w:eastAsia="Palatino Linotype" w:cs="Palatino Linotype"/>
        </w:rPr>
      </w:pPr>
      <w:r w:rsidRPr="007F4F3E">
        <w:rPr>
          <w:rFonts w:eastAsia="Palatino Linotype" w:cs="Palatino Linotype"/>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13A30D82" w14:textId="77777777" w:rsidR="00DC47CF" w:rsidRPr="007F4F3E" w:rsidRDefault="00DC47CF" w:rsidP="007F4F3E">
      <w:pPr>
        <w:pStyle w:val="Puesto"/>
        <w:rPr>
          <w:rFonts w:eastAsia="Palatino Linotype"/>
        </w:rPr>
      </w:pPr>
      <w:r w:rsidRPr="007F4F3E">
        <w:rPr>
          <w:rFonts w:eastAsia="Palatino Linotype"/>
        </w:rPr>
        <w:t>“</w:t>
      </w:r>
      <w:r w:rsidRPr="007F4F3E">
        <w:rPr>
          <w:rFonts w:eastAsia="Palatino Linotype"/>
          <w:b/>
        </w:rPr>
        <w:t>Número de empleado.</w:t>
      </w:r>
      <w:r w:rsidRPr="007F4F3E">
        <w:rPr>
          <w:rFonts w:eastAsia="Palatino Linotype"/>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7149DD5C" w14:textId="77777777" w:rsidR="00DC47CF" w:rsidRPr="007F4F3E" w:rsidRDefault="00DC47CF" w:rsidP="007F4F3E">
      <w:pPr>
        <w:pBdr>
          <w:top w:val="nil"/>
          <w:left w:val="nil"/>
          <w:bottom w:val="nil"/>
          <w:right w:val="nil"/>
          <w:between w:val="nil"/>
        </w:pBdr>
        <w:spacing w:before="240" w:after="240"/>
        <w:ind w:right="49"/>
        <w:rPr>
          <w:rFonts w:eastAsia="Palatino Linotype" w:cs="Palatino Linotype"/>
        </w:rPr>
      </w:pPr>
      <w:r w:rsidRPr="007F4F3E">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48ACC53D" w14:textId="77777777" w:rsidR="00E93D3F" w:rsidRPr="007F4F3E" w:rsidRDefault="00E93D3F" w:rsidP="007F4F3E">
      <w:pPr>
        <w:pStyle w:val="Prrafodelista"/>
        <w:numPr>
          <w:ilvl w:val="0"/>
          <w:numId w:val="47"/>
        </w:numPr>
        <w:rPr>
          <w:rFonts w:cs="Tahoma"/>
        </w:rPr>
      </w:pPr>
      <w:r w:rsidRPr="007F4F3E">
        <w:rPr>
          <w:rFonts w:cs="Tahoma"/>
          <w:b/>
        </w:rPr>
        <w:lastRenderedPageBreak/>
        <w:t xml:space="preserve">Domicilio particular </w:t>
      </w:r>
    </w:p>
    <w:p w14:paraId="271791ED" w14:textId="77777777" w:rsidR="00E93D3F" w:rsidRPr="007F4F3E" w:rsidRDefault="00E93D3F" w:rsidP="007F4F3E">
      <w:pPr>
        <w:rPr>
          <w:rFonts w:cs="Tahoma"/>
        </w:rPr>
      </w:pPr>
    </w:p>
    <w:p w14:paraId="4E45F6A1" w14:textId="77777777" w:rsidR="00E93D3F" w:rsidRPr="007F4F3E" w:rsidRDefault="00E93D3F" w:rsidP="007F4F3E">
      <w:pPr>
        <w:rPr>
          <w:rFonts w:cs="Tahoma"/>
          <w:lang w:val="es-ES"/>
        </w:rPr>
      </w:pPr>
      <w:r w:rsidRPr="007F4F3E">
        <w:rPr>
          <w:rFonts w:cs="Tahoma"/>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7F4F3E">
        <w:rPr>
          <w:rFonts w:cs="Tahoma"/>
          <w:b/>
          <w:lang w:val="es-ES"/>
        </w:rPr>
        <w:t>, e</w:t>
      </w:r>
      <w:r w:rsidRPr="007F4F3E">
        <w:rPr>
          <w:rFonts w:cs="Tahoma"/>
          <w:lang w:val="es-ES"/>
        </w:rPr>
        <w:t>s el lugar donde residen habitualmente, el lugar del centro principal de sus negocios, donde residan o el lugar donde se encuentren.</w:t>
      </w:r>
    </w:p>
    <w:p w14:paraId="6D136DE7" w14:textId="77777777" w:rsidR="00E93D3F" w:rsidRPr="007F4F3E" w:rsidRDefault="00E93D3F" w:rsidP="007F4F3E">
      <w:pPr>
        <w:rPr>
          <w:rFonts w:cs="Tahoma"/>
          <w:b/>
          <w:lang w:val="es-ES"/>
        </w:rPr>
      </w:pPr>
    </w:p>
    <w:p w14:paraId="1D6C3AF2" w14:textId="77777777" w:rsidR="00E93D3F" w:rsidRPr="007F4F3E" w:rsidRDefault="00E93D3F" w:rsidP="007F4F3E">
      <w:pPr>
        <w:rPr>
          <w:rFonts w:cs="Tahoma"/>
          <w:lang w:val="es-ES"/>
        </w:rPr>
      </w:pPr>
      <w:r w:rsidRPr="007F4F3E">
        <w:rPr>
          <w:rFonts w:cs="Tahoma"/>
          <w:lang w:val="es-ES"/>
        </w:rPr>
        <w:t>Además, respecto al domicilio particular se presume que corresponde al lugar donde reside habitualmente</w:t>
      </w:r>
      <w:r w:rsidRPr="007F4F3E">
        <w:rPr>
          <w:rFonts w:cs="Tahoma"/>
          <w:b/>
          <w:lang w:val="es-ES"/>
        </w:rPr>
        <w:t>.</w:t>
      </w:r>
      <w:r w:rsidRPr="007F4F3E">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5C1E0B7D" w14:textId="77777777" w:rsidR="00E93D3F" w:rsidRPr="007F4F3E" w:rsidRDefault="00E93D3F" w:rsidP="007F4F3E">
      <w:pPr>
        <w:pStyle w:val="Prrafodelista"/>
        <w:rPr>
          <w:rFonts w:eastAsia="Palatino Linotype" w:cs="Palatino Linotype"/>
          <w:b/>
        </w:rPr>
      </w:pPr>
    </w:p>
    <w:p w14:paraId="21AF6958" w14:textId="5BB3D2A8" w:rsidR="00E93D3F" w:rsidRPr="007F4F3E" w:rsidRDefault="00E93D3F" w:rsidP="007F4F3E">
      <w:pPr>
        <w:pStyle w:val="Prrafodelista"/>
        <w:numPr>
          <w:ilvl w:val="0"/>
          <w:numId w:val="34"/>
        </w:numPr>
        <w:rPr>
          <w:rFonts w:eastAsia="Palatino Linotype" w:cs="Palatino Linotype"/>
          <w:b/>
        </w:rPr>
      </w:pPr>
      <w:r w:rsidRPr="007F4F3E">
        <w:rPr>
          <w:rFonts w:eastAsia="Palatino Linotype" w:cs="Palatino Linotype"/>
          <w:b/>
        </w:rPr>
        <w:t xml:space="preserve">Nombre de actores en demandas laborales </w:t>
      </w:r>
    </w:p>
    <w:p w14:paraId="29A28ACE" w14:textId="77777777" w:rsidR="00E93D3F" w:rsidRPr="007F4F3E" w:rsidRDefault="00E93D3F" w:rsidP="007F4F3E">
      <w:pPr>
        <w:rPr>
          <w:rFonts w:eastAsia="Palatino Linotype" w:cs="Palatino Linotype"/>
          <w:b/>
        </w:rPr>
      </w:pPr>
    </w:p>
    <w:p w14:paraId="343D5997" w14:textId="77777777" w:rsidR="00E93D3F" w:rsidRPr="007F4F3E" w:rsidRDefault="00E93D3F" w:rsidP="007F4F3E">
      <w:pPr>
        <w:widowControl w:val="0"/>
        <w:autoSpaceDE w:val="0"/>
        <w:autoSpaceDN w:val="0"/>
        <w:adjustRightInd w:val="0"/>
        <w:rPr>
          <w:rFonts w:eastAsia="Arial Unicode MS" w:cs="Arial"/>
          <w:lang w:eastAsia="es-MX"/>
        </w:rPr>
      </w:pPr>
      <w:r w:rsidRPr="007F4F3E">
        <w:rPr>
          <w:lang w:val="es-ES"/>
        </w:rPr>
        <w:t xml:space="preserve">Al respecto, es </w:t>
      </w:r>
      <w:r w:rsidRPr="007F4F3E">
        <w:rPr>
          <w:rFonts w:eastAsia="Arial Unicode MS" w:cs="Arial"/>
          <w:lang w:eastAsia="es-MX"/>
        </w:rPr>
        <w:t xml:space="preserve">dable mencionar que el Código Civil del Estado de México vigente señala en su TITULO CUARTO denominado “DEL NOMBRE DE LAS PERSONAS” específicamente en los artículos 2.13 y 2.14 el concepto de “nombre” y la composición de este detalladamente, </w:t>
      </w:r>
      <w:r w:rsidRPr="007F4F3E">
        <w:rPr>
          <w:rFonts w:eastAsia="Arial Unicode MS" w:cs="Arial"/>
          <w:lang w:eastAsia="es-MX"/>
        </w:rPr>
        <w:lastRenderedPageBreak/>
        <w:t>mismos que se insertan a continuación:</w:t>
      </w:r>
    </w:p>
    <w:p w14:paraId="30A2C308" w14:textId="77777777" w:rsidR="00E93D3F" w:rsidRPr="007F4F3E" w:rsidRDefault="00E93D3F" w:rsidP="007F4F3E">
      <w:pPr>
        <w:widowControl w:val="0"/>
        <w:autoSpaceDE w:val="0"/>
        <w:autoSpaceDN w:val="0"/>
        <w:adjustRightInd w:val="0"/>
        <w:rPr>
          <w:rFonts w:eastAsia="Arial Unicode MS" w:cs="Arial"/>
          <w:lang w:eastAsia="es-MX"/>
        </w:rPr>
      </w:pPr>
    </w:p>
    <w:p w14:paraId="6F20E730" w14:textId="77777777" w:rsidR="00E93D3F" w:rsidRPr="007F4F3E" w:rsidRDefault="00E93D3F" w:rsidP="007F4F3E">
      <w:pPr>
        <w:pStyle w:val="Puesto"/>
        <w:rPr>
          <w:b/>
        </w:rPr>
      </w:pPr>
      <w:r w:rsidRPr="007F4F3E">
        <w:t>“</w:t>
      </w:r>
      <w:r w:rsidRPr="007F4F3E">
        <w:rPr>
          <w:b/>
        </w:rPr>
        <w:t xml:space="preserve">Concepto del nombre de las personas </w:t>
      </w:r>
    </w:p>
    <w:p w14:paraId="5C52221C" w14:textId="77777777" w:rsidR="00E93D3F" w:rsidRPr="007F4F3E" w:rsidRDefault="00E93D3F" w:rsidP="007F4F3E">
      <w:pPr>
        <w:pStyle w:val="Puesto"/>
      </w:pPr>
      <w:r w:rsidRPr="007F4F3E">
        <w:rPr>
          <w:b/>
        </w:rPr>
        <w:t>Artículo 2.13</w:t>
      </w:r>
      <w:r w:rsidRPr="007F4F3E">
        <w:t xml:space="preserve">.- El nombre designa e individualiza a una persona. </w:t>
      </w:r>
    </w:p>
    <w:p w14:paraId="55F367CF" w14:textId="77777777" w:rsidR="00E93D3F" w:rsidRPr="007F4F3E" w:rsidRDefault="00E93D3F" w:rsidP="007F4F3E">
      <w:pPr>
        <w:pStyle w:val="Puesto"/>
        <w:rPr>
          <w:b/>
        </w:rPr>
      </w:pPr>
      <w:r w:rsidRPr="007F4F3E">
        <w:rPr>
          <w:b/>
        </w:rPr>
        <w:t xml:space="preserve">Composición del nombre de las personas físicas </w:t>
      </w:r>
    </w:p>
    <w:p w14:paraId="75E24FA8" w14:textId="77777777" w:rsidR="00E93D3F" w:rsidRPr="007F4F3E" w:rsidRDefault="00E93D3F" w:rsidP="007F4F3E">
      <w:pPr>
        <w:pStyle w:val="Puesto"/>
      </w:pPr>
      <w:r w:rsidRPr="007F4F3E">
        <w:rPr>
          <w:b/>
        </w:rPr>
        <w:t>Artículo 2.14</w:t>
      </w:r>
      <w:r w:rsidRPr="007F4F3E">
        <w:t xml:space="preserve">. El nombre de las personas físicas </w:t>
      </w:r>
      <w:r w:rsidRPr="007F4F3E">
        <w:rPr>
          <w:b/>
        </w:rPr>
        <w:t>se forma con el sustantivo propio y el primer apellido del padre y el primer apellido de la madre</w:t>
      </w:r>
      <w:r w:rsidRPr="007F4F3E">
        <w:t xml:space="preserve">, en el orden que, de común acuerdo determinen. En el caso de que el padre y la madre no lleguen a un acuerdo respecto del orden que deben seguir los apellidos del hijo o hija, </w:t>
      </w:r>
      <w:r w:rsidRPr="007F4F3E">
        <w:rPr>
          <w:b/>
        </w:rPr>
        <w:t>el apellido paterno aparecerá en primer lugar y el apellido materno en segundo lugar</w:t>
      </w:r>
      <w:r w:rsidRPr="007F4F3E">
        <w:t>. El orden de los apellidos acordado entre padre y madre se considerará preferentemente para los demás hijos e hijas del mismo vínculo. Cuando solo lo reconozca uno de ellos se formará con los apellidos de este, en el mismo orden, con las salvedades que establece el Libro Tercero de este Código.” (Sic)</w:t>
      </w:r>
    </w:p>
    <w:p w14:paraId="0616C99C" w14:textId="77777777" w:rsidR="00E93D3F" w:rsidRPr="007F4F3E" w:rsidRDefault="00E93D3F" w:rsidP="007F4F3E">
      <w:pPr>
        <w:widowControl w:val="0"/>
        <w:autoSpaceDE w:val="0"/>
        <w:autoSpaceDN w:val="0"/>
        <w:adjustRightInd w:val="0"/>
        <w:ind w:right="899"/>
        <w:rPr>
          <w:i/>
        </w:rPr>
      </w:pPr>
    </w:p>
    <w:p w14:paraId="3341169A" w14:textId="77777777" w:rsidR="00E93D3F" w:rsidRPr="007F4F3E" w:rsidRDefault="00E93D3F" w:rsidP="007F4F3E">
      <w:pPr>
        <w:ind w:right="-93"/>
        <w:rPr>
          <w:rFonts w:eastAsia="Calibri" w:cs="Tahoma"/>
          <w:b/>
          <w:bCs/>
          <w:lang w:val="es-ES_tradnl" w:eastAsia="en-US"/>
        </w:rPr>
      </w:pPr>
      <w:r w:rsidRPr="007F4F3E">
        <w:rPr>
          <w:rFonts w:eastAsia="Calibri" w:cs="Tahoma"/>
          <w:bCs/>
          <w:lang w:eastAsia="en-US"/>
        </w:rPr>
        <w:t xml:space="preserve">Es así que, el nombre de una persona se integra </w:t>
      </w:r>
      <w:r w:rsidRPr="007F4F3E">
        <w:rPr>
          <w:rFonts w:eastAsia="Calibri" w:cs="Tahoma"/>
          <w:bCs/>
          <w:lang w:val="es-ES_tradnl" w:eastAsia="en-US"/>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7F4F3E">
        <w:rPr>
          <w:rFonts w:eastAsia="Calibri" w:cs="Tahoma"/>
          <w:bCs/>
          <w:i/>
          <w:lang w:val="es-ES_tradnl" w:eastAsia="en-US"/>
        </w:rPr>
        <w:t>per se</w:t>
      </w:r>
      <w:r w:rsidRPr="007F4F3E">
        <w:rPr>
          <w:rFonts w:eastAsia="Calibri" w:cs="Tahoma"/>
          <w:bCs/>
          <w:lang w:val="es-ES_tradnl" w:eastAsia="en-US"/>
        </w:rPr>
        <w:t xml:space="preserve"> es un elemento que hace a una persona física identificada o identificable, por lo que, </w:t>
      </w:r>
      <w:r w:rsidRPr="007F4F3E">
        <w:rPr>
          <w:rFonts w:eastAsia="Calibri" w:cs="Tahoma"/>
          <w:b/>
          <w:bCs/>
          <w:lang w:val="es-ES_tradnl" w:eastAsia="en-US"/>
        </w:rPr>
        <w:t>se considera un dato personal.</w:t>
      </w:r>
    </w:p>
    <w:p w14:paraId="630CDCDF" w14:textId="77777777" w:rsidR="00E93D3F" w:rsidRPr="007F4F3E" w:rsidRDefault="00E93D3F" w:rsidP="007F4F3E">
      <w:pPr>
        <w:widowControl w:val="0"/>
        <w:autoSpaceDE w:val="0"/>
        <w:autoSpaceDN w:val="0"/>
        <w:adjustRightInd w:val="0"/>
        <w:ind w:right="899"/>
        <w:rPr>
          <w:i/>
        </w:rPr>
      </w:pPr>
    </w:p>
    <w:p w14:paraId="7F82496C" w14:textId="77777777" w:rsidR="00E93D3F" w:rsidRPr="007F4F3E" w:rsidRDefault="00E93D3F" w:rsidP="007F4F3E">
      <w:pPr>
        <w:ind w:right="-93"/>
        <w:rPr>
          <w:lang w:val="es-ES"/>
        </w:rPr>
      </w:pPr>
      <w:r w:rsidRPr="007F4F3E">
        <w:t xml:space="preserve">Sin embargo, respecto al nombre del servidor público que han interpuesto demanda laboral, este </w:t>
      </w:r>
      <w:r w:rsidRPr="007F4F3E">
        <w:rPr>
          <w:lang w:val="es-ES"/>
        </w:rPr>
        <w:t xml:space="preserve">Órgano Garante precisa que únicamente procede su entrega de aquellos que han recibido recurso público y se debe clasificar el nombre del actor siempre y cuando el juicio se encuentre en trámite o en su defecto no haya sido favorable a su persona; es decir que no hayan recibido recurso público. </w:t>
      </w:r>
    </w:p>
    <w:p w14:paraId="4447C273" w14:textId="77777777" w:rsidR="00E93D3F" w:rsidRPr="007F4F3E" w:rsidRDefault="00E93D3F" w:rsidP="007F4F3E">
      <w:pPr>
        <w:autoSpaceDE w:val="0"/>
        <w:autoSpaceDN w:val="0"/>
        <w:adjustRightInd w:val="0"/>
        <w:ind w:right="18"/>
        <w:rPr>
          <w:rFonts w:cs="Arial"/>
          <w:bCs/>
        </w:rPr>
      </w:pPr>
    </w:p>
    <w:p w14:paraId="0FFB8654" w14:textId="77777777" w:rsidR="00E93D3F" w:rsidRPr="007F4F3E" w:rsidRDefault="00E93D3F" w:rsidP="007F4F3E">
      <w:pPr>
        <w:ind w:right="-93"/>
      </w:pPr>
      <w:r w:rsidRPr="007F4F3E">
        <w:rPr>
          <w:rFonts w:cs="Arial"/>
          <w:bCs/>
          <w:szCs w:val="22"/>
        </w:rPr>
        <w:t xml:space="preserve">A efecto de sustentar lo anterior, resulta aplicable </w:t>
      </w:r>
      <w:r w:rsidRPr="007F4F3E">
        <w:rPr>
          <w:rFonts w:cs="Arial"/>
        </w:rPr>
        <w:t>lo plasmado en el criterio</w:t>
      </w:r>
      <w:r w:rsidRPr="007F4F3E">
        <w:t xml:space="preserve"> 19-13 emitido por el entonces Instituto Federal de Acceso a la Información y Protección de Datos (IFAI) ahora </w:t>
      </w:r>
      <w:r w:rsidRPr="007F4F3E">
        <w:lastRenderedPageBreak/>
        <w:t xml:space="preserve">Instituto </w:t>
      </w:r>
      <w:r w:rsidRPr="007F4F3E">
        <w:rPr>
          <w:lang w:val="es-ES"/>
        </w:rPr>
        <w:t>Nacional</w:t>
      </w:r>
      <w:r w:rsidRPr="007F4F3E">
        <w:t xml:space="preserve"> de Transparencia, Acceso a la Información, y Protección de Datos Personales (INAI), que lleva por rubro y texto los siguientes: </w:t>
      </w:r>
    </w:p>
    <w:p w14:paraId="3F5D021B" w14:textId="77777777" w:rsidR="00E93D3F" w:rsidRPr="007F4F3E" w:rsidRDefault="00E93D3F" w:rsidP="007F4F3E">
      <w:pPr>
        <w:autoSpaceDE w:val="0"/>
        <w:autoSpaceDN w:val="0"/>
        <w:adjustRightInd w:val="0"/>
        <w:ind w:right="18"/>
      </w:pPr>
    </w:p>
    <w:p w14:paraId="6E26AB7C" w14:textId="77777777" w:rsidR="00E93D3F" w:rsidRPr="007F4F3E" w:rsidRDefault="00E93D3F" w:rsidP="007F4F3E">
      <w:pPr>
        <w:pStyle w:val="Puesto"/>
      </w:pPr>
      <w:r w:rsidRPr="007F4F3E">
        <w:t>“</w:t>
      </w:r>
      <w:r w:rsidRPr="007F4F3E">
        <w:rPr>
          <w:b/>
        </w:rPr>
        <w:t>Nombre de actores en juicios laborales constituye, en principio, información confidencial.</w:t>
      </w:r>
      <w:r w:rsidRPr="007F4F3E">
        <w:t xml:space="preserve">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 laborales.”</w:t>
      </w:r>
    </w:p>
    <w:p w14:paraId="5C8DA08B" w14:textId="77777777" w:rsidR="00E93D3F" w:rsidRPr="007F4F3E" w:rsidRDefault="00E93D3F" w:rsidP="007F4F3E">
      <w:pPr>
        <w:rPr>
          <w:lang w:val="es-ES"/>
        </w:rPr>
      </w:pPr>
    </w:p>
    <w:p w14:paraId="071D5B87" w14:textId="77777777" w:rsidR="00E93D3F" w:rsidRPr="007F4F3E" w:rsidRDefault="00E93D3F" w:rsidP="007F4F3E">
      <w:pPr>
        <w:rPr>
          <w:rFonts w:cs="Arial"/>
          <w:bCs/>
          <w:lang w:val="es-ES"/>
        </w:rPr>
      </w:pPr>
      <w:r w:rsidRPr="007F4F3E">
        <w:rPr>
          <w:lang w:val="es-ES"/>
        </w:rPr>
        <w:t>Derivado de lo anterior, es procedente la entrega del nombre de los actores en juicios cuando en definitiva, se haya condenado a una dependencia o entidad a la reinstalación del servidor público o al pago de prestaciones económicas reclamadas, en virtud de que el cumplimiento de dicho fallo se realiza necesariamente con recursos públicos a cargo del presupuesto del sujeto obligado; por lo tanto el nombre de los actores en este supuesto es de</w:t>
      </w:r>
      <w:r w:rsidRPr="007F4F3E">
        <w:rPr>
          <w:rFonts w:cs="Arial"/>
          <w:bCs/>
          <w:lang w:val="es-ES"/>
        </w:rPr>
        <w:t xml:space="preserve"> interés general y de alcance público, puesto que la ciudadanía tiene derecho a saber cuánto es el gasto ejercido </w:t>
      </w:r>
      <w:r w:rsidRPr="007F4F3E">
        <w:rPr>
          <w:rFonts w:cs="Arial"/>
          <w:bCs/>
          <w:lang w:val="es-ES"/>
        </w:rPr>
        <w:lastRenderedPageBreak/>
        <w:t>para el pago derivado de juicios laborales y/o administrativos, esto es, su acceso</w:t>
      </w:r>
      <w:r w:rsidRPr="007F4F3E">
        <w:rPr>
          <w:rFonts w:cs="Arial"/>
          <w:lang w:val="es-ES"/>
        </w:rPr>
        <w:t xml:space="preserve"> </w:t>
      </w:r>
      <w:r w:rsidRPr="007F4F3E">
        <w:rPr>
          <w:rFonts w:cs="Arial"/>
          <w:bCs/>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0C4CF4E8" w14:textId="77777777" w:rsidR="00E93D3F" w:rsidRPr="007F4F3E" w:rsidRDefault="00E93D3F" w:rsidP="007F4F3E">
      <w:pPr>
        <w:rPr>
          <w:rFonts w:cs="Arial"/>
          <w:bCs/>
          <w:szCs w:val="22"/>
          <w:lang w:val="es-ES"/>
        </w:rPr>
      </w:pPr>
    </w:p>
    <w:p w14:paraId="7F5C17DB" w14:textId="77777777" w:rsidR="00E93D3F" w:rsidRPr="007F4F3E" w:rsidRDefault="00E93D3F" w:rsidP="007F4F3E">
      <w:pPr>
        <w:pStyle w:val="Puesto"/>
        <w:rPr>
          <w:lang w:val="es-ES"/>
        </w:rPr>
      </w:pPr>
      <w:r w:rsidRPr="007F4F3E">
        <w:rPr>
          <w:lang w:val="es-ES"/>
        </w:rPr>
        <w:t>“</w:t>
      </w:r>
      <w:r w:rsidRPr="007F4F3E">
        <w:rPr>
          <w:b/>
          <w:lang w:val="es-ES"/>
        </w:rPr>
        <w:t>Artículo 23</w:t>
      </w:r>
      <w:r w:rsidRPr="007F4F3E">
        <w:rPr>
          <w:lang w:val="es-ES"/>
        </w:rPr>
        <w:t xml:space="preserve"> Son </w:t>
      </w:r>
      <w:r w:rsidRPr="007F4F3E">
        <w:rPr>
          <w:rFonts w:eastAsia="Calibri"/>
          <w:lang w:eastAsia="en-US"/>
        </w:rPr>
        <w:t>sujetos</w:t>
      </w:r>
      <w:r w:rsidRPr="007F4F3E">
        <w:rPr>
          <w:lang w:val="es-ES"/>
        </w:rPr>
        <w:t xml:space="preserve"> obligados a transparentar y permitir el acceso a su información y proteger los datos personales que obren en su poder:</w:t>
      </w:r>
    </w:p>
    <w:p w14:paraId="0B0C39E0" w14:textId="77777777" w:rsidR="00E93D3F" w:rsidRPr="007F4F3E" w:rsidRDefault="00E93D3F" w:rsidP="007F4F3E">
      <w:pPr>
        <w:pStyle w:val="Puesto"/>
        <w:rPr>
          <w:lang w:val="es-ES"/>
        </w:rPr>
      </w:pPr>
    </w:p>
    <w:p w14:paraId="6F151007" w14:textId="77777777" w:rsidR="00E93D3F" w:rsidRPr="007F4F3E" w:rsidRDefault="00E93D3F" w:rsidP="007F4F3E">
      <w:pPr>
        <w:pStyle w:val="Puesto"/>
        <w:rPr>
          <w:lang w:val="es-ES"/>
        </w:rPr>
      </w:pPr>
      <w:r w:rsidRPr="007F4F3E">
        <w:rPr>
          <w:b/>
          <w:lang w:val="es-ES"/>
        </w:rPr>
        <w:t>IV.</w:t>
      </w:r>
      <w:r w:rsidRPr="007F4F3E">
        <w:rPr>
          <w:lang w:val="es-ES"/>
        </w:rPr>
        <w:t xml:space="preserve"> Los ayuntamientos </w:t>
      </w:r>
      <w:r w:rsidRPr="007F4F3E">
        <w:rPr>
          <w:b/>
          <w:u w:val="single"/>
          <w:lang w:val="es-ES"/>
        </w:rPr>
        <w:t>y las dependencias, organismos, órganos y entidades de la administración municipal;</w:t>
      </w:r>
    </w:p>
    <w:p w14:paraId="1614CB97" w14:textId="77777777" w:rsidR="00E93D3F" w:rsidRPr="007F4F3E" w:rsidRDefault="00E93D3F" w:rsidP="007F4F3E">
      <w:pPr>
        <w:pStyle w:val="Puesto"/>
        <w:rPr>
          <w:lang w:val="es-ES"/>
        </w:rPr>
      </w:pPr>
    </w:p>
    <w:p w14:paraId="36D31AD3" w14:textId="77777777" w:rsidR="00E93D3F" w:rsidRPr="007F4F3E" w:rsidRDefault="00E93D3F" w:rsidP="007F4F3E">
      <w:pPr>
        <w:pStyle w:val="Puesto"/>
        <w:rPr>
          <w:b/>
          <w:lang w:val="es-ES"/>
        </w:rPr>
      </w:pPr>
      <w:r w:rsidRPr="007F4F3E">
        <w:rPr>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 (Sic)</w:t>
      </w:r>
    </w:p>
    <w:p w14:paraId="5BB8E89E" w14:textId="77777777" w:rsidR="00E93D3F" w:rsidRPr="007F4F3E" w:rsidRDefault="00E93D3F" w:rsidP="007F4F3E">
      <w:pPr>
        <w:widowControl w:val="0"/>
        <w:autoSpaceDE w:val="0"/>
        <w:autoSpaceDN w:val="0"/>
        <w:adjustRightInd w:val="0"/>
        <w:rPr>
          <w:rFonts w:cs="Arial"/>
          <w:lang w:val="es-ES"/>
        </w:rPr>
      </w:pPr>
    </w:p>
    <w:p w14:paraId="0E3C7490" w14:textId="77777777" w:rsidR="00E93D3F" w:rsidRPr="007F4F3E" w:rsidRDefault="00E93D3F" w:rsidP="007F4F3E">
      <w:pPr>
        <w:pStyle w:val="Prrafodelista"/>
        <w:numPr>
          <w:ilvl w:val="0"/>
          <w:numId w:val="47"/>
        </w:numPr>
        <w:rPr>
          <w:rFonts w:cs="Tahoma"/>
          <w:b/>
        </w:rPr>
      </w:pPr>
      <w:r w:rsidRPr="007F4F3E">
        <w:rPr>
          <w:rFonts w:cs="Tahoma"/>
          <w:b/>
        </w:rPr>
        <w:t>Representantes legales del Actor.</w:t>
      </w:r>
    </w:p>
    <w:p w14:paraId="405072C2" w14:textId="77777777" w:rsidR="00E93D3F" w:rsidRPr="007F4F3E" w:rsidRDefault="00E93D3F" w:rsidP="007F4F3E">
      <w:pPr>
        <w:rPr>
          <w:rFonts w:eastAsia="Calibri" w:cs="Tahoma"/>
          <w:bCs/>
          <w:lang w:val="es-ES"/>
        </w:rPr>
      </w:pPr>
    </w:p>
    <w:p w14:paraId="694F4A06" w14:textId="77777777" w:rsidR="00E93D3F" w:rsidRPr="007F4F3E" w:rsidRDefault="00E93D3F" w:rsidP="007F4F3E">
      <w:pPr>
        <w:rPr>
          <w:rFonts w:cs="Tahoma"/>
          <w:lang w:val="es-ES"/>
        </w:rPr>
      </w:pPr>
      <w:r w:rsidRPr="007F4F3E">
        <w:rPr>
          <w:rFonts w:cs="Tahoma"/>
          <w:lang w:val="es-ES"/>
        </w:rPr>
        <w:t xml:space="preserve">Al respecto, resulta necesario señalar que las personas son representadas mediante personas físicas, </w:t>
      </w:r>
      <w:r w:rsidRPr="007F4F3E">
        <w:rPr>
          <w:rFonts w:eastAsia="Calibri" w:cs="Tahoma"/>
          <w:bCs/>
          <w:lang w:val="es-ES"/>
        </w:rPr>
        <w:t>debidamente</w:t>
      </w:r>
      <w:r w:rsidRPr="007F4F3E">
        <w:rPr>
          <w:rFonts w:cs="Tahoma"/>
          <w:lang w:val="es-ES"/>
        </w:rPr>
        <w:t xml:space="preserve"> acreditadas para realizar determinados actos a nombre de esta, por lo que, la representación de las personas se realizará por medio de representantes o apoderados, y en el caso específico de las sociedades mercantiles, dicha representación se otorgará mediante instrumento público.</w:t>
      </w:r>
    </w:p>
    <w:p w14:paraId="21D7C84F" w14:textId="77777777" w:rsidR="00E93D3F" w:rsidRPr="007F4F3E" w:rsidRDefault="00E93D3F" w:rsidP="007F4F3E">
      <w:pPr>
        <w:rPr>
          <w:rFonts w:cs="Tahoma"/>
          <w:lang w:val="es-ES"/>
        </w:rPr>
      </w:pPr>
    </w:p>
    <w:p w14:paraId="6E2C4966" w14:textId="77777777" w:rsidR="00E93D3F" w:rsidRPr="007F4F3E" w:rsidRDefault="00E93D3F" w:rsidP="007F4F3E">
      <w:pPr>
        <w:rPr>
          <w:rFonts w:cs="Tahoma"/>
          <w:lang w:val="es-ES"/>
        </w:rPr>
      </w:pPr>
      <w:r w:rsidRPr="007F4F3E">
        <w:rPr>
          <w:rFonts w:cs="Tahoma"/>
          <w:lang w:val="es-ES"/>
        </w:rPr>
        <w:t xml:space="preserve">En ese orden de ideas, se estima que si bien, el nombre es uno de los atributos de la personalidad y la manifestación principal del derecho subjetivo a la identidad, en virtud de </w:t>
      </w:r>
      <w:r w:rsidRPr="007F4F3E">
        <w:rPr>
          <w:rFonts w:cs="Tahoma"/>
          <w:lang w:val="es-ES"/>
        </w:rPr>
        <w:lastRenderedPageBreak/>
        <w:t xml:space="preserve">que hace una persona física identificada o identificable; lo cierto es que el nombre de los representantes dentro de un juicio laboral, </w:t>
      </w:r>
      <w:r w:rsidRPr="007F4F3E">
        <w:rPr>
          <w:rFonts w:cs="Tahoma"/>
          <w:b/>
          <w:lang w:val="es-ES"/>
        </w:rPr>
        <w:t xml:space="preserve">no es público, </w:t>
      </w:r>
      <w:r w:rsidRPr="007F4F3E">
        <w:rPr>
          <w:rFonts w:cs="Tahoma"/>
          <w:lang w:val="es-ES"/>
        </w:rPr>
        <w:t>toda vez que no es pagado con recurso público.</w:t>
      </w:r>
    </w:p>
    <w:p w14:paraId="3408D1EE" w14:textId="77777777" w:rsidR="00E93D3F" w:rsidRPr="007F4F3E" w:rsidRDefault="00E93D3F" w:rsidP="007F4F3E">
      <w:pPr>
        <w:rPr>
          <w:rFonts w:cs="Tahoma"/>
          <w:lang w:val="es-ES"/>
        </w:rPr>
      </w:pPr>
    </w:p>
    <w:p w14:paraId="516A6550" w14:textId="77777777" w:rsidR="00E93D3F" w:rsidRPr="007F4F3E" w:rsidRDefault="00E93D3F" w:rsidP="007F4F3E">
      <w:pPr>
        <w:rPr>
          <w:rFonts w:cs="Tahoma"/>
          <w:lang w:val="es-ES"/>
        </w:rPr>
      </w:pPr>
      <w:r w:rsidRPr="007F4F3E">
        <w:rPr>
          <w:rFonts w:cs="Tahoma"/>
          <w:lang w:val="es-ES"/>
        </w:rPr>
        <w:t>Ante tales situaciones, el nombre del representante legal de las partes, es susceptible de ser clasificado como confidencial, en términos del artículo 143, fracción I de la Ley de Transparencia y Acceso a la Información Pública del Estado de México y Municipios.</w:t>
      </w:r>
    </w:p>
    <w:p w14:paraId="00D210E5" w14:textId="77777777" w:rsidR="00927DCA" w:rsidRPr="007F4F3E" w:rsidRDefault="00927DCA" w:rsidP="007F4F3E"/>
    <w:p w14:paraId="6CD05AC4" w14:textId="1F6D19EC" w:rsidR="00BD5A7C" w:rsidRPr="007F4F3E" w:rsidRDefault="00047294" w:rsidP="007F4F3E">
      <w:pPr>
        <w:pStyle w:val="Ttulo3"/>
      </w:pPr>
      <w:bookmarkStart w:id="39" w:name="_Toc176880115"/>
      <w:r w:rsidRPr="007F4F3E">
        <w:t>e</w:t>
      </w:r>
      <w:r w:rsidR="00BD5A7C" w:rsidRPr="007F4F3E">
        <w:t>) Conclusión</w:t>
      </w:r>
      <w:bookmarkEnd w:id="39"/>
    </w:p>
    <w:p w14:paraId="63DCB70B" w14:textId="36A31F05" w:rsidR="00DC47CF" w:rsidRPr="007F4F3E" w:rsidRDefault="00DC47CF" w:rsidP="007F4F3E">
      <w:pPr>
        <w:widowControl w:val="0"/>
        <w:tabs>
          <w:tab w:val="left" w:pos="1701"/>
          <w:tab w:val="left" w:pos="1843"/>
        </w:tabs>
        <w:rPr>
          <w:rFonts w:eastAsia="Palatino Linotype" w:cs="Palatino Linotype"/>
        </w:rPr>
      </w:pPr>
      <w:r w:rsidRPr="007F4F3E">
        <w:rPr>
          <w:rFonts w:eastAsia="Palatino Linotype" w:cs="Palatino Linotype"/>
        </w:rPr>
        <w:t xml:space="preserve">En razón de lo anteriormente expuesto, este Instituto estima que las razones o motivos de inconformidad hechos valer por </w:t>
      </w:r>
      <w:r w:rsidRPr="007F4F3E">
        <w:rPr>
          <w:rFonts w:eastAsiaTheme="minorHAnsi" w:cs="Tahoma"/>
          <w:b/>
          <w:iCs/>
          <w:szCs w:val="22"/>
          <w:lang w:eastAsia="en-US"/>
        </w:rPr>
        <w:t>LA PARTE RECURRENTE</w:t>
      </w:r>
      <w:r w:rsidRPr="007F4F3E">
        <w:rPr>
          <w:rFonts w:eastAsiaTheme="minorHAnsi" w:cs="Tahoma"/>
          <w:bCs/>
          <w:iCs/>
          <w:szCs w:val="22"/>
          <w:lang w:eastAsia="en-US"/>
        </w:rPr>
        <w:t xml:space="preserve"> </w:t>
      </w:r>
      <w:r w:rsidRPr="007F4F3E">
        <w:rPr>
          <w:rFonts w:eastAsia="Palatino Linotype" w:cs="Palatino Linotype"/>
        </w:rPr>
        <w:t xml:space="preserve">devienen </w:t>
      </w:r>
      <w:r w:rsidRPr="007F4F3E">
        <w:rPr>
          <w:rFonts w:eastAsia="Palatino Linotype" w:cs="Palatino Linotype"/>
          <w:b/>
        </w:rPr>
        <w:t>fundadas</w:t>
      </w:r>
      <w:r w:rsidRPr="007F4F3E">
        <w:rPr>
          <w:rFonts w:eastAsia="Palatino Linotype" w:cs="Palatino Linotype"/>
        </w:rPr>
        <w:t xml:space="preserve"> y suficientes para </w:t>
      </w:r>
      <w:r w:rsidRPr="007F4F3E">
        <w:rPr>
          <w:rFonts w:eastAsia="Palatino Linotype" w:cs="Palatino Linotype"/>
          <w:b/>
        </w:rPr>
        <w:t>MODIFICAR</w:t>
      </w:r>
      <w:r w:rsidRPr="007F4F3E">
        <w:rPr>
          <w:rFonts w:eastAsia="Palatino Linotype" w:cs="Palatino Linotype"/>
        </w:rPr>
        <w:t xml:space="preserve"> la respuesta del </w:t>
      </w:r>
      <w:r w:rsidRPr="007F4F3E">
        <w:rPr>
          <w:rFonts w:eastAsia="Palatino Linotype" w:cs="Palatino Linotype"/>
          <w:b/>
        </w:rPr>
        <w:t>SUJETO OBLIGADO</w:t>
      </w:r>
      <w:r w:rsidRPr="007F4F3E">
        <w:rPr>
          <w:rFonts w:eastAsia="Palatino Linotype" w:cs="Palatino Linotype"/>
        </w:rPr>
        <w:t xml:space="preserve"> y ordenarle haga entrega de la información descrita en el presente Considerando.</w:t>
      </w:r>
    </w:p>
    <w:p w14:paraId="25670CF8" w14:textId="77777777" w:rsidR="00DC47CF" w:rsidRPr="007F4F3E" w:rsidRDefault="00DC47CF" w:rsidP="007F4F3E"/>
    <w:p w14:paraId="6C4C444E" w14:textId="16F1DC79" w:rsidR="00BD5A7C" w:rsidRDefault="00BD5A7C" w:rsidP="007F4F3E">
      <w:pPr>
        <w:ind w:right="-93"/>
        <w:rPr>
          <w:rFonts w:cs="Tahoma"/>
          <w:bCs/>
          <w:szCs w:val="22"/>
        </w:rPr>
      </w:pPr>
      <w:bookmarkStart w:id="40" w:name="_Hlk165381027"/>
      <w:r w:rsidRPr="007F4F3E">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F60A2B3" w14:textId="77777777" w:rsidR="007F4F3E" w:rsidRDefault="007F4F3E" w:rsidP="007F4F3E">
      <w:pPr>
        <w:ind w:right="-93"/>
        <w:rPr>
          <w:rFonts w:cs="Tahoma"/>
          <w:bCs/>
          <w:szCs w:val="22"/>
        </w:rPr>
      </w:pPr>
    </w:p>
    <w:p w14:paraId="55468B6D" w14:textId="77777777" w:rsidR="007F4F3E" w:rsidRDefault="007F4F3E" w:rsidP="007F4F3E">
      <w:pPr>
        <w:ind w:right="-93"/>
        <w:rPr>
          <w:rFonts w:cs="Tahoma"/>
          <w:bCs/>
          <w:szCs w:val="22"/>
        </w:rPr>
      </w:pPr>
    </w:p>
    <w:p w14:paraId="48D26143" w14:textId="77777777" w:rsidR="007F4F3E" w:rsidRDefault="007F4F3E" w:rsidP="007F4F3E">
      <w:pPr>
        <w:ind w:right="-93"/>
        <w:rPr>
          <w:rFonts w:cs="Tahoma"/>
          <w:bCs/>
          <w:szCs w:val="22"/>
        </w:rPr>
      </w:pPr>
    </w:p>
    <w:p w14:paraId="67F60323" w14:textId="77777777" w:rsidR="007F4F3E" w:rsidRDefault="007F4F3E" w:rsidP="007F4F3E">
      <w:pPr>
        <w:ind w:right="-93"/>
        <w:rPr>
          <w:rFonts w:cs="Tahoma"/>
          <w:bCs/>
          <w:szCs w:val="22"/>
        </w:rPr>
      </w:pPr>
    </w:p>
    <w:p w14:paraId="123B140A" w14:textId="77777777" w:rsidR="007F4F3E" w:rsidRPr="007F4F3E" w:rsidRDefault="007F4F3E" w:rsidP="007F4F3E">
      <w:pPr>
        <w:ind w:right="-93"/>
        <w:rPr>
          <w:rFonts w:cs="Tahoma"/>
          <w:bCs/>
          <w:szCs w:val="22"/>
        </w:rPr>
      </w:pPr>
    </w:p>
    <w:bookmarkEnd w:id="40"/>
    <w:p w14:paraId="7C13D1A0" w14:textId="77777777" w:rsidR="00BD5A7C" w:rsidRPr="007F4F3E" w:rsidRDefault="00BD5A7C" w:rsidP="007F4F3E"/>
    <w:p w14:paraId="5C396097" w14:textId="684A0E4F" w:rsidR="00664420" w:rsidRPr="007F4F3E" w:rsidRDefault="00664420" w:rsidP="007F4F3E">
      <w:pPr>
        <w:pStyle w:val="Ttulo1"/>
      </w:pPr>
      <w:bookmarkStart w:id="41" w:name="_Toc176880116"/>
      <w:r w:rsidRPr="007F4F3E">
        <w:lastRenderedPageBreak/>
        <w:t>RESUELVE</w:t>
      </w:r>
      <w:bookmarkEnd w:id="41"/>
    </w:p>
    <w:p w14:paraId="203B7093" w14:textId="77777777" w:rsidR="00664420" w:rsidRPr="007F4F3E" w:rsidRDefault="00664420" w:rsidP="007F4F3E">
      <w:pPr>
        <w:ind w:right="113"/>
        <w:rPr>
          <w:rFonts w:cs="Arial"/>
          <w:b/>
          <w:szCs w:val="22"/>
        </w:rPr>
      </w:pPr>
    </w:p>
    <w:p w14:paraId="53B050E8" w14:textId="236CB2E9" w:rsidR="00DC47CF" w:rsidRPr="007F4F3E" w:rsidRDefault="00DC47CF" w:rsidP="007F4F3E">
      <w:pPr>
        <w:widowControl w:val="0"/>
        <w:rPr>
          <w:rFonts w:eastAsia="Calibri" w:cs="Tahoma"/>
          <w:bCs/>
          <w:szCs w:val="22"/>
          <w:lang w:eastAsia="en-US"/>
        </w:rPr>
      </w:pPr>
      <w:r w:rsidRPr="007F4F3E">
        <w:rPr>
          <w:b/>
          <w:bCs/>
        </w:rPr>
        <w:t>PRIMERO.</w:t>
      </w:r>
      <w:r w:rsidRPr="007F4F3E">
        <w:t xml:space="preserve"> </w:t>
      </w:r>
      <w:r w:rsidRPr="007F4F3E">
        <w:rPr>
          <w:rFonts w:cs="Tahoma"/>
          <w:szCs w:val="22"/>
        </w:rPr>
        <w:t xml:space="preserve">Se </w:t>
      </w:r>
      <w:r w:rsidRPr="007F4F3E">
        <w:rPr>
          <w:rFonts w:cs="Tahoma"/>
          <w:b/>
          <w:bCs/>
          <w:szCs w:val="22"/>
        </w:rPr>
        <w:t>MODIFICA</w:t>
      </w:r>
      <w:r w:rsidRPr="007F4F3E">
        <w:rPr>
          <w:rFonts w:cs="Tahoma"/>
          <w:szCs w:val="22"/>
        </w:rPr>
        <w:t xml:space="preserve"> la respuesta entregada por el </w:t>
      </w:r>
      <w:r w:rsidRPr="007F4F3E">
        <w:rPr>
          <w:rFonts w:cs="Tahoma"/>
          <w:b/>
          <w:bCs/>
          <w:szCs w:val="22"/>
        </w:rPr>
        <w:t>SUJETO OBLIGADO</w:t>
      </w:r>
      <w:r w:rsidRPr="007F4F3E">
        <w:rPr>
          <w:rFonts w:cs="Tahoma"/>
          <w:szCs w:val="22"/>
        </w:rPr>
        <w:t xml:space="preserve"> en la solicitud de información </w:t>
      </w:r>
      <w:r w:rsidR="00E93D3F" w:rsidRPr="007F4F3E">
        <w:rPr>
          <w:rFonts w:cs="Tahoma"/>
          <w:b/>
          <w:bCs/>
          <w:szCs w:val="22"/>
        </w:rPr>
        <w:t>00616/CUAUTIZC/IP/2024</w:t>
      </w:r>
      <w:r w:rsidRPr="007F4F3E">
        <w:rPr>
          <w:rFonts w:cs="Tahoma"/>
          <w:bCs/>
          <w:szCs w:val="22"/>
        </w:rPr>
        <w:t xml:space="preserve">, </w:t>
      </w:r>
      <w:r w:rsidRPr="007F4F3E">
        <w:rPr>
          <w:rFonts w:eastAsia="Calibri" w:cs="Tahoma"/>
          <w:bCs/>
          <w:szCs w:val="22"/>
          <w:lang w:eastAsia="en-US"/>
        </w:rPr>
        <w:t xml:space="preserve">por resultar </w:t>
      </w:r>
      <w:r w:rsidRPr="007F4F3E">
        <w:rPr>
          <w:rFonts w:eastAsia="Calibri" w:cs="Tahoma"/>
          <w:b/>
          <w:bCs/>
          <w:szCs w:val="22"/>
          <w:lang w:eastAsia="en-US"/>
        </w:rPr>
        <w:t>FUNDADAS</w:t>
      </w:r>
      <w:r w:rsidRPr="007F4F3E">
        <w:rPr>
          <w:rFonts w:eastAsia="Calibri" w:cs="Tahoma"/>
          <w:bCs/>
          <w:szCs w:val="22"/>
          <w:lang w:eastAsia="en-US"/>
        </w:rPr>
        <w:t xml:space="preserve"> las razones o motivos de inconformidad hechos valer por </w:t>
      </w:r>
      <w:r w:rsidRPr="007F4F3E">
        <w:rPr>
          <w:rFonts w:eastAsia="Calibri" w:cs="Tahoma"/>
          <w:b/>
          <w:szCs w:val="22"/>
          <w:lang w:eastAsia="en-US"/>
        </w:rPr>
        <w:t>LA PARTE RECURRENTE</w:t>
      </w:r>
      <w:r w:rsidRPr="007F4F3E">
        <w:rPr>
          <w:rFonts w:eastAsia="Calibri" w:cs="Tahoma"/>
          <w:bCs/>
          <w:szCs w:val="22"/>
          <w:lang w:eastAsia="en-US"/>
        </w:rPr>
        <w:t xml:space="preserve"> en el Recurso de Revisión </w:t>
      </w:r>
      <w:r w:rsidRPr="007F4F3E">
        <w:rPr>
          <w:rFonts w:eastAsia="Palatino Linotype"/>
          <w:b/>
          <w:szCs w:val="22"/>
        </w:rPr>
        <w:t>0</w:t>
      </w:r>
      <w:r w:rsidR="00E93D3F" w:rsidRPr="007F4F3E">
        <w:rPr>
          <w:rFonts w:eastAsia="Palatino Linotype"/>
          <w:b/>
          <w:szCs w:val="22"/>
        </w:rPr>
        <w:t>5062</w:t>
      </w:r>
      <w:r w:rsidRPr="007F4F3E">
        <w:rPr>
          <w:rFonts w:eastAsia="Palatino Linotype"/>
          <w:b/>
          <w:szCs w:val="22"/>
        </w:rPr>
        <w:t>/INFOEM/IP/RR/2024</w:t>
      </w:r>
      <w:r w:rsidRPr="007F4F3E">
        <w:rPr>
          <w:rFonts w:eastAsiaTheme="minorHAnsi" w:cstheme="minorBidi"/>
          <w:szCs w:val="22"/>
          <w:lang w:eastAsia="en-US"/>
        </w:rPr>
        <w:t>,</w:t>
      </w:r>
      <w:r w:rsidRPr="007F4F3E">
        <w:rPr>
          <w:rFonts w:cs="Tahoma"/>
          <w:b/>
          <w:szCs w:val="22"/>
        </w:rPr>
        <w:t xml:space="preserve"> </w:t>
      </w:r>
      <w:r w:rsidRPr="007F4F3E">
        <w:rPr>
          <w:rFonts w:eastAsia="Calibri" w:cs="Tahoma"/>
          <w:bCs/>
          <w:szCs w:val="22"/>
          <w:lang w:eastAsia="en-US"/>
        </w:rPr>
        <w:t xml:space="preserve">en términos del considerando </w:t>
      </w:r>
      <w:r w:rsidRPr="007F4F3E">
        <w:rPr>
          <w:rFonts w:eastAsia="Calibri" w:cs="Tahoma"/>
          <w:b/>
          <w:szCs w:val="22"/>
          <w:lang w:eastAsia="en-US"/>
        </w:rPr>
        <w:t>SEGUNDO</w:t>
      </w:r>
      <w:r w:rsidRPr="007F4F3E">
        <w:rPr>
          <w:rFonts w:eastAsia="Calibri" w:cs="Tahoma"/>
          <w:bCs/>
          <w:szCs w:val="22"/>
          <w:lang w:eastAsia="en-US"/>
        </w:rPr>
        <w:t xml:space="preserve"> de la presente Resolución.</w:t>
      </w:r>
    </w:p>
    <w:p w14:paraId="2E1CC4AD" w14:textId="77777777" w:rsidR="00DC47CF" w:rsidRPr="007F4F3E" w:rsidRDefault="00DC47CF" w:rsidP="007F4F3E">
      <w:pPr>
        <w:rPr>
          <w:rFonts w:eastAsia="Palatino Linotype"/>
          <w:b/>
          <w:sz w:val="18"/>
          <w:szCs w:val="22"/>
        </w:rPr>
      </w:pPr>
    </w:p>
    <w:p w14:paraId="20B1E602" w14:textId="4816ED29" w:rsidR="00DC47CF" w:rsidRPr="007F4F3E" w:rsidRDefault="00DC47CF" w:rsidP="007F4F3E">
      <w:pPr>
        <w:ind w:right="-93"/>
        <w:rPr>
          <w:rFonts w:eastAsia="Calibri" w:cs="Tahoma"/>
          <w:bCs/>
          <w:szCs w:val="22"/>
          <w:lang w:eastAsia="en-US"/>
        </w:rPr>
      </w:pPr>
      <w:r w:rsidRPr="007F4F3E">
        <w:rPr>
          <w:rFonts w:eastAsia="Calibri" w:cs="Tahoma"/>
          <w:b/>
          <w:bCs/>
          <w:szCs w:val="22"/>
          <w:lang w:eastAsia="en-US"/>
        </w:rPr>
        <w:t>SEGUNDO.</w:t>
      </w:r>
      <w:r w:rsidRPr="007F4F3E">
        <w:rPr>
          <w:rFonts w:eastAsia="Calibri" w:cs="Tahoma"/>
          <w:szCs w:val="22"/>
          <w:lang w:eastAsia="es-MX"/>
        </w:rPr>
        <w:t xml:space="preserve"> Se </w:t>
      </w:r>
      <w:r w:rsidRPr="007F4F3E">
        <w:rPr>
          <w:rFonts w:eastAsia="Calibri" w:cs="Tahoma"/>
          <w:b/>
          <w:szCs w:val="22"/>
          <w:lang w:eastAsia="es-MX"/>
        </w:rPr>
        <w:t xml:space="preserve">ORDENA </w:t>
      </w:r>
      <w:r w:rsidRPr="007F4F3E">
        <w:rPr>
          <w:rFonts w:eastAsia="Calibri" w:cs="Tahoma"/>
          <w:szCs w:val="22"/>
          <w:lang w:eastAsia="es-MX"/>
        </w:rPr>
        <w:t xml:space="preserve">al </w:t>
      </w:r>
      <w:r w:rsidRPr="007F4F3E">
        <w:rPr>
          <w:rFonts w:eastAsia="Calibri" w:cs="Tahoma"/>
          <w:b/>
          <w:bCs/>
          <w:szCs w:val="22"/>
          <w:lang w:eastAsia="es-MX"/>
        </w:rPr>
        <w:t>SUJETO OBLIGADO</w:t>
      </w:r>
      <w:r w:rsidRPr="007F4F3E">
        <w:rPr>
          <w:rFonts w:eastAsia="Calibri" w:cs="Tahoma"/>
          <w:szCs w:val="22"/>
          <w:lang w:eastAsia="es-MX"/>
        </w:rPr>
        <w:t xml:space="preserve">, </w:t>
      </w:r>
      <w:r w:rsidRPr="007F4F3E">
        <w:rPr>
          <w:rFonts w:eastAsia="Calibri" w:cs="Tahoma"/>
          <w:bCs/>
          <w:szCs w:val="22"/>
          <w:lang w:eastAsia="en-US"/>
        </w:rPr>
        <w:t xml:space="preserve">a efecto de que entregue a través del </w:t>
      </w:r>
      <w:r w:rsidRPr="007F4F3E">
        <w:rPr>
          <w:rFonts w:eastAsia="Calibri" w:cs="Tahoma"/>
          <w:b/>
          <w:bCs/>
          <w:szCs w:val="22"/>
          <w:lang w:eastAsia="en-US"/>
        </w:rPr>
        <w:t>SAIMEX</w:t>
      </w:r>
      <w:r w:rsidRPr="007F4F3E">
        <w:rPr>
          <w:rFonts w:eastAsia="Calibri" w:cs="Tahoma"/>
          <w:bCs/>
          <w:szCs w:val="22"/>
          <w:lang w:eastAsia="en-US"/>
        </w:rPr>
        <w:t xml:space="preserve">, </w:t>
      </w:r>
      <w:r w:rsidR="00B7067F" w:rsidRPr="007F4F3E">
        <w:rPr>
          <w:rFonts w:eastAsia="Calibri" w:cs="Tahoma"/>
          <w:bCs/>
          <w:szCs w:val="22"/>
          <w:lang w:eastAsia="en-US"/>
        </w:rPr>
        <w:t xml:space="preserve">previa búsqueda exhaustiva y razonable, de ser procedente </w:t>
      </w:r>
      <w:r w:rsidRPr="007F4F3E">
        <w:rPr>
          <w:rFonts w:eastAsia="Calibri" w:cs="Tahoma"/>
          <w:bCs/>
          <w:szCs w:val="22"/>
          <w:lang w:eastAsia="en-US"/>
        </w:rPr>
        <w:t xml:space="preserve">en </w:t>
      </w:r>
      <w:r w:rsidRPr="007F4F3E">
        <w:rPr>
          <w:rFonts w:eastAsia="Calibri" w:cs="Tahoma"/>
          <w:b/>
          <w:bCs/>
          <w:szCs w:val="22"/>
          <w:lang w:eastAsia="en-US"/>
        </w:rPr>
        <w:t>versión pública</w:t>
      </w:r>
      <w:r w:rsidRPr="007F4F3E">
        <w:rPr>
          <w:rFonts w:eastAsia="Calibri" w:cs="Tahoma"/>
          <w:bCs/>
          <w:szCs w:val="22"/>
          <w:lang w:eastAsia="en-US"/>
        </w:rPr>
        <w:t xml:space="preserve"> lo siguiente:</w:t>
      </w:r>
    </w:p>
    <w:p w14:paraId="63D1A74D" w14:textId="77777777" w:rsidR="00DC47CF" w:rsidRPr="007F4F3E" w:rsidRDefault="00DC47CF" w:rsidP="007F4F3E">
      <w:pPr>
        <w:rPr>
          <w:rFonts w:eastAsia="Palatino Linotype"/>
          <w:b/>
          <w:sz w:val="18"/>
          <w:szCs w:val="22"/>
        </w:rPr>
      </w:pPr>
    </w:p>
    <w:p w14:paraId="1A8D54E1" w14:textId="3EE0F9CC" w:rsidR="00927DCA" w:rsidRPr="007F4F3E" w:rsidRDefault="00DC47CF" w:rsidP="007F4F3E">
      <w:pPr>
        <w:pStyle w:val="Puesto"/>
        <w:ind w:left="851" w:right="822"/>
      </w:pPr>
      <w:r w:rsidRPr="007F4F3E">
        <w:t xml:space="preserve">Los </w:t>
      </w:r>
      <w:r w:rsidR="00927DCA" w:rsidRPr="007F4F3E">
        <w:t>expedientes enlistados en respuesta.</w:t>
      </w:r>
    </w:p>
    <w:p w14:paraId="3D21E7E2" w14:textId="77777777" w:rsidR="00927DCA" w:rsidRPr="007F4F3E" w:rsidRDefault="00927DCA" w:rsidP="007F4F3E">
      <w:pPr>
        <w:pStyle w:val="Puesto"/>
        <w:rPr>
          <w:sz w:val="18"/>
        </w:rPr>
      </w:pPr>
    </w:p>
    <w:p w14:paraId="10001637" w14:textId="77777777" w:rsidR="00B7067F" w:rsidRPr="007F4F3E" w:rsidRDefault="00B7067F" w:rsidP="007F4F3E">
      <w:pPr>
        <w:spacing w:line="240" w:lineRule="auto"/>
        <w:ind w:left="851" w:right="822"/>
        <w:rPr>
          <w:rFonts w:eastAsia="Calibri" w:cs="Tahoma"/>
          <w:bCs/>
          <w:i/>
          <w:szCs w:val="22"/>
          <w:lang w:eastAsia="en-US"/>
        </w:rPr>
      </w:pPr>
      <w:r w:rsidRPr="007F4F3E">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64A2913" w14:textId="77777777" w:rsidR="00DC47CF" w:rsidRPr="007F4F3E" w:rsidRDefault="00DC47CF" w:rsidP="007F4F3E">
      <w:pPr>
        <w:spacing w:line="240" w:lineRule="auto"/>
        <w:rPr>
          <w:rFonts w:eastAsia="Palatino Linotype"/>
          <w:b/>
          <w:sz w:val="16"/>
          <w:szCs w:val="22"/>
        </w:rPr>
      </w:pPr>
    </w:p>
    <w:p w14:paraId="7616968A" w14:textId="77777777" w:rsidR="00DC47CF" w:rsidRPr="007F4F3E" w:rsidRDefault="00DC47CF" w:rsidP="007F4F3E">
      <w:r w:rsidRPr="007F4F3E">
        <w:rPr>
          <w:b/>
          <w:bCs/>
        </w:rPr>
        <w:t>TERCERO.</w:t>
      </w:r>
      <w:r w:rsidRPr="007F4F3E">
        <w:t xml:space="preserve"> </w:t>
      </w:r>
      <w:r w:rsidRPr="007F4F3E">
        <w:rPr>
          <w:rFonts w:eastAsia="Palatino Linotype" w:cs="Palatino Linotype"/>
          <w:b/>
          <w:lang w:eastAsia="es-MX"/>
        </w:rPr>
        <w:t xml:space="preserve">Notifíquese </w:t>
      </w:r>
      <w:r w:rsidRPr="007F4F3E">
        <w:rPr>
          <w:szCs w:val="17"/>
          <w:lang w:eastAsia="es-ES_tradnl"/>
        </w:rPr>
        <w:t xml:space="preserve">vía </w:t>
      </w:r>
      <w:r w:rsidRPr="007F4F3E">
        <w:rPr>
          <w:rFonts w:cs="Arial"/>
        </w:rPr>
        <w:t xml:space="preserve">Sistema de Acceso a la Información Mexiquense </w:t>
      </w:r>
      <w:r w:rsidRPr="007F4F3E">
        <w:rPr>
          <w:rFonts w:cs="Arial"/>
          <w:b/>
        </w:rPr>
        <w:t>(</w:t>
      </w:r>
      <w:r w:rsidRPr="007F4F3E">
        <w:rPr>
          <w:rFonts w:cs="Arial"/>
          <w:b/>
          <w:bCs/>
        </w:rPr>
        <w:t>SAIMEX)</w:t>
      </w:r>
      <w:r w:rsidRPr="007F4F3E">
        <w:rPr>
          <w:shd w:val="clear" w:color="auto" w:fill="FFFFFF"/>
        </w:rPr>
        <w:t xml:space="preserve"> la presente resolución al Titular de la Unidad de Transparencia del Sujeto Obligado</w:t>
      </w:r>
      <w:r w:rsidRPr="007F4F3E">
        <w:t xml:space="preserve">, para que conforme al artículo 186 último párrafo, 189 segundo párrafo y 194 de la Ley de Transparencia y Acceso a la Información Pública del Estado de México y Municipios, dé cumplimiento a lo ordenado dentro del plazo de </w:t>
      </w:r>
      <w:r w:rsidRPr="007F4F3E">
        <w:rPr>
          <w:b/>
          <w:bCs/>
        </w:rPr>
        <w:t>diez días hábiles</w:t>
      </w:r>
      <w:r w:rsidRPr="007F4F3E">
        <w:t xml:space="preserve">, e informe a este Instituto en un plazo de </w:t>
      </w:r>
      <w:r w:rsidRPr="007F4F3E">
        <w:rPr>
          <w:b/>
          <w:bCs/>
        </w:rPr>
        <w:t>tres días hábiles</w:t>
      </w:r>
      <w:r w:rsidRPr="007F4F3E">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3F458F4" w14:textId="77777777" w:rsidR="00DC47CF" w:rsidRPr="007F4F3E" w:rsidRDefault="00DC47CF" w:rsidP="007F4F3E">
      <w:r w:rsidRPr="007F4F3E">
        <w:rPr>
          <w:b/>
          <w:bCs/>
        </w:rPr>
        <w:lastRenderedPageBreak/>
        <w:t>CUARTO.</w:t>
      </w:r>
      <w:r w:rsidRPr="007F4F3E">
        <w:t xml:space="preserve"> Notifíquese a </w:t>
      </w:r>
      <w:r w:rsidRPr="007F4F3E">
        <w:rPr>
          <w:b/>
          <w:bCs/>
        </w:rPr>
        <w:t>LA PARTE RECURRENTE</w:t>
      </w:r>
      <w:r w:rsidRPr="007F4F3E">
        <w:t xml:space="preserve"> la presente resolución vía Sistema de Acceso a la Información Mexiquense </w:t>
      </w:r>
      <w:r w:rsidRPr="007F4F3E">
        <w:rPr>
          <w:b/>
        </w:rPr>
        <w:t>(SAIMEX).</w:t>
      </w:r>
    </w:p>
    <w:p w14:paraId="10055ED0" w14:textId="77777777" w:rsidR="00DC47CF" w:rsidRPr="007F4F3E" w:rsidRDefault="00DC47CF" w:rsidP="007F4F3E"/>
    <w:p w14:paraId="391300B1" w14:textId="77777777" w:rsidR="00DC47CF" w:rsidRPr="007F4F3E" w:rsidRDefault="00DC47CF" w:rsidP="007F4F3E">
      <w:r w:rsidRPr="007F4F3E">
        <w:rPr>
          <w:b/>
          <w:bCs/>
        </w:rPr>
        <w:t>QUINTO</w:t>
      </w:r>
      <w:r w:rsidRPr="007F4F3E">
        <w:t xml:space="preserve">. Hágase del conocimiento a </w:t>
      </w:r>
      <w:r w:rsidRPr="007F4F3E">
        <w:rPr>
          <w:b/>
          <w:bCs/>
        </w:rPr>
        <w:t>LA PARTE RECURRENTE</w:t>
      </w:r>
      <w:r w:rsidRPr="007F4F3E">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90E69CF" w14:textId="77777777" w:rsidR="00DC47CF" w:rsidRPr="007F4F3E" w:rsidRDefault="00DC47CF" w:rsidP="007F4F3E"/>
    <w:p w14:paraId="28FDE612" w14:textId="77777777" w:rsidR="00DC47CF" w:rsidRPr="007F4F3E" w:rsidRDefault="00DC47CF" w:rsidP="007F4F3E">
      <w:r w:rsidRPr="007F4F3E">
        <w:rPr>
          <w:b/>
          <w:bCs/>
        </w:rPr>
        <w:t>SEXTO.</w:t>
      </w:r>
      <w:r w:rsidRPr="007F4F3E">
        <w:t xml:space="preserve"> De conformidad con el artículo 198 de la Ley de Transparencia y Acceso a la Información Pública del Estado de México y Municipios, el </w:t>
      </w:r>
      <w:r w:rsidRPr="007F4F3E">
        <w:rPr>
          <w:b/>
          <w:bCs/>
        </w:rPr>
        <w:t>SUJETO OBLIGADO</w:t>
      </w:r>
      <w:r w:rsidRPr="007F4F3E">
        <w:t xml:space="preserve"> podrá solicitar una ampliación de plazo de manera fundada y motivada, para el cumplimiento de la presente resolución.</w:t>
      </w:r>
    </w:p>
    <w:p w14:paraId="2F6FF909" w14:textId="77777777" w:rsidR="00DC47CF" w:rsidRPr="007F4F3E" w:rsidRDefault="00DC47CF" w:rsidP="007F4F3E"/>
    <w:p w14:paraId="33D0FE5E" w14:textId="40866C1B" w:rsidR="00B7067F" w:rsidRPr="007F4F3E" w:rsidRDefault="00B7067F" w:rsidP="007F4F3E">
      <w:pPr>
        <w:rPr>
          <w:rFonts w:eastAsia="Palatino Linotype" w:cs="Palatino Linotype"/>
          <w:szCs w:val="22"/>
        </w:rPr>
      </w:pPr>
      <w:r w:rsidRPr="007F4F3E">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431125">
        <w:rPr>
          <w:rFonts w:eastAsia="Palatino Linotype" w:cs="Palatino Linotype"/>
          <w:szCs w:val="22"/>
        </w:rPr>
        <w:t xml:space="preserve"> </w:t>
      </w:r>
      <w:r w:rsidR="00431125">
        <w:rPr>
          <w:rFonts w:eastAsia="Palatino Linotype"/>
        </w:rPr>
        <w:t>EMITIENDO VOTO PARTICULAR CONCURRENTE</w:t>
      </w:r>
      <w:r w:rsidRPr="007F4F3E">
        <w:rPr>
          <w:rFonts w:eastAsia="Palatino Linotype" w:cs="Palatino Linotype"/>
          <w:szCs w:val="22"/>
        </w:rPr>
        <w:t>, LUIS GUSTAVO PARRA NORIEGA Y GUADALUPE RAMÍREZ PEÑA</w:t>
      </w:r>
      <w:r w:rsidR="00431125">
        <w:rPr>
          <w:rFonts w:eastAsia="Palatino Linotype" w:cs="Palatino Linotype"/>
          <w:szCs w:val="22"/>
        </w:rPr>
        <w:t xml:space="preserve"> </w:t>
      </w:r>
      <w:r w:rsidR="00431125">
        <w:rPr>
          <w:rFonts w:eastAsia="Palatino Linotype"/>
        </w:rPr>
        <w:t>EMITIENDO VOTO PARTICULAR CONCURRENTE</w:t>
      </w:r>
      <w:r w:rsidRPr="007F4F3E">
        <w:rPr>
          <w:rFonts w:eastAsia="Palatino Linotype" w:cs="Palatino Linotype"/>
          <w:szCs w:val="22"/>
        </w:rPr>
        <w:t>, EN LA TRIGÉSIMA SEGUNDA SESIÓN ORDINARIA, CELEBRADA EL ONCE SEPTIEMBRE DE DOS MIL VEINTICUATRO, ANTE EL SECRETARIO TÉCNICO DEL PLENO, ALEXIS TAPIA RAMÍREZ.</w:t>
      </w:r>
    </w:p>
    <w:p w14:paraId="5EFEA0CD" w14:textId="484F43CA" w:rsidR="00664420" w:rsidRPr="007F4F3E" w:rsidRDefault="00CE1DFB" w:rsidP="007F4F3E">
      <w:pPr>
        <w:ind w:right="-93"/>
        <w:rPr>
          <w:rFonts w:eastAsia="Calibri" w:cs="Tahoma"/>
          <w:szCs w:val="22"/>
          <w:lang w:val="es-ES"/>
        </w:rPr>
      </w:pPr>
      <w:r w:rsidRPr="007F4F3E">
        <w:rPr>
          <w:rFonts w:eastAsia="Palatino Linotype" w:cs="Palatino Linotype"/>
          <w:sz w:val="20"/>
        </w:rPr>
        <w:t>SCMM/AGZ/DEMF/RPG</w:t>
      </w:r>
    </w:p>
    <w:p w14:paraId="696BC976" w14:textId="77777777" w:rsidR="00664420" w:rsidRPr="007F4F3E" w:rsidRDefault="00664420" w:rsidP="007F4F3E">
      <w:pPr>
        <w:ind w:right="-93"/>
        <w:rPr>
          <w:rFonts w:eastAsia="Calibri" w:cs="Tahoma"/>
          <w:bCs/>
          <w:szCs w:val="22"/>
          <w:lang w:val="es-ES" w:eastAsia="en-US"/>
        </w:rPr>
      </w:pPr>
    </w:p>
    <w:p w14:paraId="671CB0C5" w14:textId="77777777" w:rsidR="00664420" w:rsidRPr="007F4F3E" w:rsidRDefault="00664420" w:rsidP="007F4F3E">
      <w:pPr>
        <w:ind w:right="-93"/>
        <w:rPr>
          <w:rFonts w:eastAsia="Calibri" w:cs="Tahoma"/>
          <w:bCs/>
          <w:szCs w:val="22"/>
          <w:lang w:val="es-ES_tradnl" w:eastAsia="en-US"/>
        </w:rPr>
      </w:pPr>
    </w:p>
    <w:p w14:paraId="52B66DE7" w14:textId="77777777" w:rsidR="00664420" w:rsidRPr="007F4F3E" w:rsidRDefault="00664420" w:rsidP="007F4F3E">
      <w:pPr>
        <w:ind w:right="-93"/>
        <w:rPr>
          <w:rFonts w:eastAsia="Calibri" w:cs="Tahoma"/>
          <w:bCs/>
          <w:szCs w:val="22"/>
          <w:lang w:val="es-ES_tradnl" w:eastAsia="en-US"/>
        </w:rPr>
      </w:pPr>
    </w:p>
    <w:p w14:paraId="3BA305D1" w14:textId="77777777" w:rsidR="00664420" w:rsidRPr="007F4F3E" w:rsidRDefault="00664420" w:rsidP="007F4F3E">
      <w:pPr>
        <w:ind w:right="-93"/>
        <w:rPr>
          <w:rFonts w:eastAsia="Calibri" w:cs="Tahoma"/>
          <w:bCs/>
          <w:szCs w:val="22"/>
          <w:lang w:val="es-ES_tradnl" w:eastAsia="en-US"/>
        </w:rPr>
      </w:pPr>
    </w:p>
    <w:p w14:paraId="78230707" w14:textId="77777777" w:rsidR="00664420" w:rsidRPr="007F4F3E" w:rsidRDefault="00664420" w:rsidP="007F4F3E">
      <w:pPr>
        <w:ind w:right="-93"/>
        <w:rPr>
          <w:rFonts w:eastAsia="Calibri" w:cs="Tahoma"/>
          <w:bCs/>
          <w:szCs w:val="22"/>
          <w:lang w:val="es-ES_tradnl" w:eastAsia="en-US"/>
        </w:rPr>
      </w:pPr>
    </w:p>
    <w:p w14:paraId="72D18B28" w14:textId="77777777" w:rsidR="00664420" w:rsidRPr="007F4F3E" w:rsidRDefault="00664420" w:rsidP="007F4F3E">
      <w:pPr>
        <w:ind w:right="-93"/>
        <w:rPr>
          <w:rFonts w:eastAsia="Calibri" w:cs="Tahoma"/>
          <w:bCs/>
          <w:szCs w:val="22"/>
          <w:lang w:val="es-ES_tradnl" w:eastAsia="en-US"/>
        </w:rPr>
      </w:pPr>
    </w:p>
    <w:p w14:paraId="6BD461DC" w14:textId="77777777" w:rsidR="00664420" w:rsidRPr="007F4F3E" w:rsidRDefault="00664420" w:rsidP="007F4F3E">
      <w:pPr>
        <w:tabs>
          <w:tab w:val="center" w:pos="4568"/>
        </w:tabs>
        <w:ind w:right="-93"/>
        <w:rPr>
          <w:rFonts w:eastAsia="Calibri" w:cs="Tahoma"/>
          <w:bCs/>
          <w:szCs w:val="22"/>
          <w:lang w:eastAsia="en-US"/>
        </w:rPr>
      </w:pPr>
    </w:p>
    <w:p w14:paraId="4DBB1727" w14:textId="77777777" w:rsidR="00664420" w:rsidRPr="007F4F3E" w:rsidRDefault="00664420" w:rsidP="007F4F3E">
      <w:pPr>
        <w:tabs>
          <w:tab w:val="center" w:pos="4568"/>
        </w:tabs>
        <w:ind w:right="-93"/>
        <w:rPr>
          <w:rFonts w:eastAsia="Calibri" w:cs="Tahoma"/>
          <w:bCs/>
          <w:szCs w:val="22"/>
          <w:lang w:eastAsia="en-US"/>
        </w:rPr>
      </w:pPr>
    </w:p>
    <w:p w14:paraId="1D74121B" w14:textId="77777777" w:rsidR="00664420" w:rsidRPr="007F4F3E" w:rsidRDefault="00664420" w:rsidP="007F4F3E">
      <w:pPr>
        <w:tabs>
          <w:tab w:val="center" w:pos="4568"/>
        </w:tabs>
        <w:ind w:right="-93"/>
        <w:rPr>
          <w:rFonts w:eastAsia="Calibri" w:cs="Tahoma"/>
          <w:bCs/>
          <w:szCs w:val="22"/>
          <w:lang w:eastAsia="en-US"/>
        </w:rPr>
      </w:pPr>
    </w:p>
    <w:p w14:paraId="08E74E9C" w14:textId="77777777" w:rsidR="00664420" w:rsidRPr="007F4F3E" w:rsidRDefault="00664420" w:rsidP="007F4F3E">
      <w:pPr>
        <w:tabs>
          <w:tab w:val="center" w:pos="4568"/>
        </w:tabs>
        <w:ind w:right="-93"/>
        <w:rPr>
          <w:rFonts w:eastAsia="Calibri" w:cs="Tahoma"/>
          <w:bCs/>
          <w:szCs w:val="22"/>
          <w:lang w:eastAsia="en-US"/>
        </w:rPr>
      </w:pPr>
    </w:p>
    <w:p w14:paraId="2CBF5E03" w14:textId="77777777" w:rsidR="00664420" w:rsidRPr="007F4F3E" w:rsidRDefault="00664420" w:rsidP="007F4F3E">
      <w:pPr>
        <w:tabs>
          <w:tab w:val="center" w:pos="4568"/>
        </w:tabs>
        <w:ind w:right="-93"/>
        <w:rPr>
          <w:rFonts w:eastAsia="Calibri" w:cs="Tahoma"/>
          <w:bCs/>
          <w:szCs w:val="22"/>
          <w:lang w:eastAsia="en-US"/>
        </w:rPr>
      </w:pPr>
    </w:p>
    <w:p w14:paraId="44865A6D" w14:textId="77777777" w:rsidR="00664420" w:rsidRPr="007F4F3E" w:rsidRDefault="00664420" w:rsidP="007F4F3E">
      <w:pPr>
        <w:tabs>
          <w:tab w:val="center" w:pos="4568"/>
        </w:tabs>
        <w:ind w:right="-93"/>
        <w:rPr>
          <w:rFonts w:eastAsia="Calibri" w:cs="Tahoma"/>
          <w:bCs/>
          <w:szCs w:val="22"/>
          <w:lang w:eastAsia="en-US"/>
        </w:rPr>
      </w:pPr>
    </w:p>
    <w:p w14:paraId="7147F06B" w14:textId="77777777" w:rsidR="00664420" w:rsidRPr="007F4F3E" w:rsidRDefault="00664420" w:rsidP="007F4F3E">
      <w:pPr>
        <w:tabs>
          <w:tab w:val="center" w:pos="4568"/>
        </w:tabs>
        <w:ind w:right="-93"/>
        <w:rPr>
          <w:rFonts w:eastAsia="Calibri" w:cs="Tahoma"/>
          <w:bCs/>
          <w:szCs w:val="22"/>
          <w:lang w:eastAsia="en-US"/>
        </w:rPr>
      </w:pPr>
    </w:p>
    <w:p w14:paraId="6FDF3D7E" w14:textId="77777777" w:rsidR="00664420" w:rsidRPr="007F4F3E" w:rsidRDefault="00664420" w:rsidP="007F4F3E">
      <w:pPr>
        <w:tabs>
          <w:tab w:val="center" w:pos="4568"/>
        </w:tabs>
        <w:ind w:right="-93"/>
        <w:rPr>
          <w:rFonts w:eastAsia="Calibri" w:cs="Tahoma"/>
          <w:bCs/>
          <w:szCs w:val="22"/>
          <w:lang w:eastAsia="en-US"/>
        </w:rPr>
      </w:pPr>
    </w:p>
    <w:p w14:paraId="6246F818" w14:textId="77777777" w:rsidR="00664420" w:rsidRPr="007F4F3E" w:rsidRDefault="00664420" w:rsidP="007F4F3E">
      <w:pPr>
        <w:tabs>
          <w:tab w:val="center" w:pos="4568"/>
        </w:tabs>
        <w:ind w:right="-93"/>
        <w:rPr>
          <w:rFonts w:eastAsia="Calibri" w:cs="Tahoma"/>
          <w:bCs/>
          <w:szCs w:val="22"/>
          <w:lang w:eastAsia="en-US"/>
        </w:rPr>
      </w:pPr>
    </w:p>
    <w:p w14:paraId="57A88B28" w14:textId="77777777" w:rsidR="00664420" w:rsidRPr="007F4F3E" w:rsidRDefault="00664420" w:rsidP="007F4F3E">
      <w:pPr>
        <w:tabs>
          <w:tab w:val="center" w:pos="4568"/>
        </w:tabs>
        <w:ind w:right="-93"/>
        <w:rPr>
          <w:rFonts w:eastAsia="Calibri" w:cs="Tahoma"/>
          <w:bCs/>
          <w:szCs w:val="22"/>
          <w:lang w:eastAsia="en-US"/>
        </w:rPr>
      </w:pPr>
    </w:p>
    <w:p w14:paraId="77EF6095" w14:textId="77777777" w:rsidR="00664420" w:rsidRPr="007F4F3E" w:rsidRDefault="00664420" w:rsidP="007F4F3E">
      <w:pPr>
        <w:tabs>
          <w:tab w:val="center" w:pos="4568"/>
        </w:tabs>
        <w:ind w:right="-93"/>
        <w:rPr>
          <w:rFonts w:eastAsia="Calibri" w:cs="Tahoma"/>
          <w:bCs/>
          <w:szCs w:val="22"/>
          <w:lang w:eastAsia="en-US"/>
        </w:rPr>
      </w:pPr>
    </w:p>
    <w:p w14:paraId="35593947" w14:textId="77777777" w:rsidR="00664420" w:rsidRPr="007F4F3E" w:rsidRDefault="00664420" w:rsidP="007F4F3E">
      <w:pPr>
        <w:tabs>
          <w:tab w:val="center" w:pos="4568"/>
        </w:tabs>
        <w:ind w:right="-93"/>
        <w:rPr>
          <w:rFonts w:eastAsia="Calibri" w:cs="Tahoma"/>
          <w:bCs/>
          <w:szCs w:val="22"/>
          <w:lang w:eastAsia="en-US"/>
        </w:rPr>
      </w:pPr>
    </w:p>
    <w:p w14:paraId="3AF72A17" w14:textId="77777777" w:rsidR="00664420" w:rsidRPr="007F4F3E" w:rsidRDefault="00664420" w:rsidP="007F4F3E">
      <w:pPr>
        <w:tabs>
          <w:tab w:val="center" w:pos="4568"/>
        </w:tabs>
        <w:ind w:right="-93"/>
        <w:rPr>
          <w:rFonts w:eastAsia="Calibri" w:cs="Tahoma"/>
          <w:bCs/>
          <w:szCs w:val="22"/>
          <w:lang w:eastAsia="en-US"/>
        </w:rPr>
      </w:pPr>
    </w:p>
    <w:p w14:paraId="37169144" w14:textId="77777777" w:rsidR="00664420" w:rsidRPr="007F4F3E" w:rsidRDefault="00664420" w:rsidP="007F4F3E">
      <w:pPr>
        <w:tabs>
          <w:tab w:val="center" w:pos="4568"/>
        </w:tabs>
        <w:ind w:right="-93"/>
        <w:rPr>
          <w:rFonts w:eastAsia="Calibri" w:cs="Tahoma"/>
          <w:bCs/>
          <w:szCs w:val="22"/>
          <w:lang w:eastAsia="en-US"/>
        </w:rPr>
      </w:pPr>
    </w:p>
    <w:p w14:paraId="77CFC088" w14:textId="77777777" w:rsidR="00664420" w:rsidRPr="007F4F3E" w:rsidRDefault="00664420" w:rsidP="007F4F3E">
      <w:pPr>
        <w:tabs>
          <w:tab w:val="center" w:pos="4568"/>
        </w:tabs>
        <w:ind w:right="-93"/>
        <w:rPr>
          <w:rFonts w:eastAsia="Calibri" w:cs="Tahoma"/>
          <w:bCs/>
          <w:szCs w:val="22"/>
          <w:lang w:eastAsia="en-US"/>
        </w:rPr>
      </w:pPr>
    </w:p>
    <w:p w14:paraId="781A11A5" w14:textId="77777777" w:rsidR="00664420" w:rsidRPr="007F4F3E" w:rsidRDefault="00664420" w:rsidP="007F4F3E">
      <w:pPr>
        <w:tabs>
          <w:tab w:val="center" w:pos="4568"/>
        </w:tabs>
        <w:ind w:right="-93"/>
        <w:rPr>
          <w:rFonts w:eastAsia="Calibri" w:cs="Tahoma"/>
          <w:bCs/>
          <w:szCs w:val="22"/>
          <w:lang w:eastAsia="en-US"/>
        </w:rPr>
      </w:pPr>
    </w:p>
    <w:p w14:paraId="5B4ADFF3" w14:textId="77777777" w:rsidR="00A131AC" w:rsidRPr="007F4F3E" w:rsidRDefault="00A131AC" w:rsidP="007F4F3E"/>
    <w:sectPr w:rsidR="00A131AC" w:rsidRPr="007F4F3E"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01866" w14:textId="77777777" w:rsidR="00E72F8A" w:rsidRDefault="00E72F8A" w:rsidP="00664420">
      <w:pPr>
        <w:spacing w:line="240" w:lineRule="auto"/>
      </w:pPr>
      <w:r>
        <w:separator/>
      </w:r>
    </w:p>
  </w:endnote>
  <w:endnote w:type="continuationSeparator" w:id="0">
    <w:p w14:paraId="730357E8" w14:textId="77777777" w:rsidR="00E72F8A" w:rsidRDefault="00E72F8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B6399D" w:rsidRDefault="00B6399D">
    <w:pPr>
      <w:tabs>
        <w:tab w:val="center" w:pos="4550"/>
        <w:tab w:val="left" w:pos="5818"/>
      </w:tabs>
      <w:ind w:right="260"/>
      <w:jc w:val="right"/>
      <w:rPr>
        <w:color w:val="071320" w:themeColor="text2" w:themeShade="80"/>
        <w:sz w:val="24"/>
        <w:szCs w:val="24"/>
      </w:rPr>
    </w:pPr>
  </w:p>
  <w:p w14:paraId="1BCA7F23" w14:textId="77777777" w:rsidR="00B6399D" w:rsidRDefault="00B639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B6399D" w:rsidRDefault="00B6399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B7546" w:rsidRPr="004B7546">
      <w:rPr>
        <w:noProof/>
        <w:color w:val="0A1D30" w:themeColor="text2" w:themeShade="BF"/>
        <w:sz w:val="24"/>
        <w:szCs w:val="24"/>
        <w:lang w:val="es-ES"/>
      </w:rPr>
      <w:t>13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B7546" w:rsidRPr="004B7546">
      <w:rPr>
        <w:noProof/>
        <w:color w:val="0A1D30" w:themeColor="text2" w:themeShade="BF"/>
        <w:sz w:val="24"/>
        <w:szCs w:val="24"/>
        <w:lang w:val="es-ES"/>
      </w:rPr>
      <w:t>46</w:t>
    </w:r>
    <w:r>
      <w:rPr>
        <w:color w:val="0A1D30" w:themeColor="text2" w:themeShade="BF"/>
        <w:sz w:val="24"/>
        <w:szCs w:val="24"/>
      </w:rPr>
      <w:fldChar w:fldCharType="end"/>
    </w:r>
  </w:p>
  <w:p w14:paraId="310E15C0" w14:textId="77777777" w:rsidR="00B6399D" w:rsidRDefault="00B639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6BEB0" w14:textId="77777777" w:rsidR="00E72F8A" w:rsidRDefault="00E72F8A" w:rsidP="00664420">
      <w:pPr>
        <w:spacing w:line="240" w:lineRule="auto"/>
      </w:pPr>
      <w:r>
        <w:separator/>
      </w:r>
    </w:p>
  </w:footnote>
  <w:footnote w:type="continuationSeparator" w:id="0">
    <w:p w14:paraId="0D8460C3" w14:textId="77777777" w:rsidR="00E72F8A" w:rsidRDefault="00E72F8A"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B6399D" w:rsidRPr="00330DA7" w14:paraId="070A4B18" w14:textId="77777777" w:rsidTr="003F35FD">
      <w:trPr>
        <w:trHeight w:val="144"/>
        <w:jc w:val="right"/>
      </w:trPr>
      <w:tc>
        <w:tcPr>
          <w:tcW w:w="2727" w:type="dxa"/>
        </w:tcPr>
        <w:p w14:paraId="62B7493A" w14:textId="77777777" w:rsidR="00B6399D" w:rsidRPr="00330DA7" w:rsidRDefault="00B6399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727EEEA" w:rsidR="00B6399D" w:rsidRPr="00A90C72" w:rsidRDefault="00B6399D" w:rsidP="00B6538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5062</w:t>
          </w:r>
          <w:r w:rsidRPr="004D0573">
            <w:rPr>
              <w:rFonts w:eastAsia="Calibri" w:cs="Tahoma"/>
              <w:szCs w:val="22"/>
              <w:lang w:eastAsia="en-US"/>
            </w:rPr>
            <w:t>/INFOEM/IP/RR/2024</w:t>
          </w:r>
        </w:p>
      </w:tc>
    </w:tr>
    <w:tr w:rsidR="00B6399D" w:rsidRPr="00330DA7" w14:paraId="4521E058" w14:textId="77777777" w:rsidTr="003F35FD">
      <w:trPr>
        <w:trHeight w:val="283"/>
        <w:jc w:val="right"/>
      </w:trPr>
      <w:tc>
        <w:tcPr>
          <w:tcW w:w="2727" w:type="dxa"/>
        </w:tcPr>
        <w:p w14:paraId="0B68C086" w14:textId="77777777" w:rsidR="00B6399D" w:rsidRPr="00330DA7" w:rsidRDefault="00B6399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9A1101C" w:rsidR="00B6399D" w:rsidRPr="00952DD0" w:rsidRDefault="00B6399D" w:rsidP="00EC24D4">
          <w:pPr>
            <w:tabs>
              <w:tab w:val="right" w:pos="8838"/>
            </w:tabs>
            <w:spacing w:line="240" w:lineRule="auto"/>
            <w:ind w:left="-108" w:right="-105"/>
            <w:rPr>
              <w:rFonts w:eastAsia="Calibri" w:cs="Tahoma"/>
              <w:szCs w:val="22"/>
              <w:lang w:eastAsia="en-US"/>
            </w:rPr>
          </w:pPr>
          <w:r w:rsidRPr="00B6538B">
            <w:rPr>
              <w:rFonts w:eastAsia="Calibri" w:cs="Tahoma"/>
              <w:szCs w:val="22"/>
              <w:lang w:eastAsia="en-US"/>
            </w:rPr>
            <w:t>Ayuntamiento de Cuautitlán Izcalli</w:t>
          </w:r>
        </w:p>
      </w:tc>
    </w:tr>
    <w:tr w:rsidR="00B6399D" w:rsidRPr="00330DA7" w14:paraId="6331D9B6" w14:textId="77777777" w:rsidTr="003F35FD">
      <w:trPr>
        <w:trHeight w:val="283"/>
        <w:jc w:val="right"/>
      </w:trPr>
      <w:tc>
        <w:tcPr>
          <w:tcW w:w="2727" w:type="dxa"/>
        </w:tcPr>
        <w:p w14:paraId="3FA86BAE" w14:textId="6568823B" w:rsidR="00B6399D" w:rsidRPr="00330DA7" w:rsidRDefault="00B6399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B6399D" w:rsidRPr="00EA66FC" w:rsidRDefault="00B6399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B6399D" w:rsidRPr="00443C6B" w:rsidRDefault="00B6399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B6399D" w:rsidRPr="00330DA7" w14:paraId="29CFF901" w14:textId="77777777" w:rsidTr="004D0573">
      <w:trPr>
        <w:trHeight w:val="1435"/>
      </w:trPr>
      <w:tc>
        <w:tcPr>
          <w:tcW w:w="283" w:type="dxa"/>
          <w:shd w:val="clear" w:color="auto" w:fill="auto"/>
        </w:tcPr>
        <w:p w14:paraId="046B9F8F" w14:textId="77777777" w:rsidR="00B6399D" w:rsidRPr="00330DA7" w:rsidRDefault="00B6399D"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B6399D" w:rsidRPr="00330DA7" w14:paraId="04F272D2" w14:textId="77777777" w:rsidTr="004D0573">
            <w:trPr>
              <w:trHeight w:val="144"/>
            </w:trPr>
            <w:tc>
              <w:tcPr>
                <w:tcW w:w="2727" w:type="dxa"/>
              </w:tcPr>
              <w:p w14:paraId="2FD4DBF6" w14:textId="77777777" w:rsidR="00B6399D" w:rsidRPr="00330DA7" w:rsidRDefault="00B6399D"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6D66668" w:rsidR="00B6399D" w:rsidRPr="004D0573" w:rsidRDefault="00B6399D" w:rsidP="00B6538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5062</w:t>
                </w:r>
                <w:r w:rsidRPr="004D0573">
                  <w:rPr>
                    <w:rFonts w:eastAsia="Calibri" w:cs="Tahoma"/>
                    <w:szCs w:val="22"/>
                    <w:lang w:eastAsia="en-US"/>
                  </w:rPr>
                  <w:t xml:space="preserve">/INFOEM/IP/RR/2024 </w:t>
                </w:r>
              </w:p>
            </w:tc>
            <w:tc>
              <w:tcPr>
                <w:tcW w:w="3402" w:type="dxa"/>
              </w:tcPr>
              <w:p w14:paraId="71DEA1CF" w14:textId="77777777" w:rsidR="00B6399D" w:rsidRDefault="00B6399D" w:rsidP="004D0573">
                <w:pPr>
                  <w:tabs>
                    <w:tab w:val="right" w:pos="8838"/>
                  </w:tabs>
                  <w:spacing w:line="240" w:lineRule="auto"/>
                  <w:ind w:left="-74" w:right="-105"/>
                  <w:rPr>
                    <w:rFonts w:eastAsia="Calibri" w:cs="Tahoma"/>
                    <w:szCs w:val="22"/>
                    <w:lang w:eastAsia="en-US"/>
                  </w:rPr>
                </w:pPr>
              </w:p>
            </w:tc>
          </w:tr>
          <w:tr w:rsidR="00B6399D" w:rsidRPr="00330DA7" w14:paraId="05C58951" w14:textId="77777777" w:rsidTr="004D0573">
            <w:trPr>
              <w:trHeight w:val="144"/>
            </w:trPr>
            <w:tc>
              <w:tcPr>
                <w:tcW w:w="2727" w:type="dxa"/>
              </w:tcPr>
              <w:p w14:paraId="642B9610" w14:textId="77777777" w:rsidR="00B6399D" w:rsidRPr="00330DA7" w:rsidRDefault="00B6399D"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0AFD572" w:rsidR="00B6399D" w:rsidRPr="004D0573" w:rsidRDefault="004B7546" w:rsidP="00B6538B">
                <w:pPr>
                  <w:tabs>
                    <w:tab w:val="right" w:pos="8838"/>
                  </w:tabs>
                  <w:spacing w:line="240" w:lineRule="auto"/>
                  <w:ind w:left="-74" w:right="-105"/>
                  <w:rPr>
                    <w:rFonts w:eastAsia="Calibri" w:cs="Tahoma"/>
                    <w:szCs w:val="22"/>
                    <w:lang w:eastAsia="en-US"/>
                  </w:rPr>
                </w:pPr>
                <w:r>
                  <w:rPr>
                    <w:rFonts w:eastAsia="Calibri" w:cs="Tahoma"/>
                    <w:szCs w:val="22"/>
                    <w:lang w:eastAsia="en-US"/>
                  </w:rPr>
                  <w:t>XXXXXXXXXXXX XXXXXXXXX XXXXXX</w:t>
                </w:r>
              </w:p>
            </w:tc>
            <w:tc>
              <w:tcPr>
                <w:tcW w:w="3402" w:type="dxa"/>
              </w:tcPr>
              <w:p w14:paraId="73F47F53" w14:textId="77777777" w:rsidR="00B6399D" w:rsidRPr="005F19B1" w:rsidRDefault="00B6399D" w:rsidP="004D0573">
                <w:pPr>
                  <w:tabs>
                    <w:tab w:val="left" w:pos="3122"/>
                    <w:tab w:val="right" w:pos="8838"/>
                  </w:tabs>
                  <w:spacing w:line="240" w:lineRule="auto"/>
                  <w:ind w:left="-105" w:right="-105"/>
                  <w:rPr>
                    <w:rFonts w:eastAsia="Calibri" w:cs="Tahoma"/>
                    <w:szCs w:val="22"/>
                    <w:lang w:eastAsia="en-US"/>
                  </w:rPr>
                </w:pPr>
              </w:p>
            </w:tc>
          </w:tr>
          <w:bookmarkEnd w:id="1"/>
          <w:tr w:rsidR="00B6399D" w:rsidRPr="00330DA7" w14:paraId="00E6CDC1" w14:textId="77777777" w:rsidTr="004D0573">
            <w:trPr>
              <w:trHeight w:val="283"/>
            </w:trPr>
            <w:tc>
              <w:tcPr>
                <w:tcW w:w="2727" w:type="dxa"/>
              </w:tcPr>
              <w:p w14:paraId="0631AD24" w14:textId="77777777" w:rsidR="00B6399D" w:rsidRPr="00330DA7" w:rsidRDefault="00B6399D"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461A01" w:rsidR="00B6399D" w:rsidRPr="004D0573" w:rsidRDefault="00B6399D" w:rsidP="00EC24D4">
                <w:pPr>
                  <w:tabs>
                    <w:tab w:val="right" w:pos="8838"/>
                  </w:tabs>
                  <w:spacing w:line="240" w:lineRule="auto"/>
                  <w:ind w:left="-108" w:right="-105"/>
                  <w:rPr>
                    <w:rFonts w:eastAsia="Calibri" w:cs="Tahoma"/>
                    <w:szCs w:val="22"/>
                    <w:lang w:eastAsia="en-US"/>
                  </w:rPr>
                </w:pPr>
                <w:r w:rsidRPr="00B6538B">
                  <w:rPr>
                    <w:rFonts w:eastAsia="Calibri" w:cs="Tahoma"/>
                    <w:szCs w:val="22"/>
                    <w:lang w:eastAsia="en-US"/>
                  </w:rPr>
                  <w:t>Ayuntamiento de Cuautitlán Izcalli</w:t>
                </w:r>
              </w:p>
            </w:tc>
            <w:tc>
              <w:tcPr>
                <w:tcW w:w="3402" w:type="dxa"/>
              </w:tcPr>
              <w:p w14:paraId="3A7DA319" w14:textId="77777777" w:rsidR="00B6399D" w:rsidRPr="00A90C72" w:rsidRDefault="00B6399D" w:rsidP="004D0573">
                <w:pPr>
                  <w:tabs>
                    <w:tab w:val="left" w:pos="2834"/>
                    <w:tab w:val="right" w:pos="8838"/>
                  </w:tabs>
                  <w:spacing w:line="240" w:lineRule="auto"/>
                  <w:ind w:left="-108" w:right="-105"/>
                  <w:rPr>
                    <w:rFonts w:eastAsia="Calibri" w:cs="Tahoma"/>
                    <w:szCs w:val="22"/>
                    <w:lang w:eastAsia="en-US"/>
                  </w:rPr>
                </w:pPr>
              </w:p>
            </w:tc>
          </w:tr>
          <w:tr w:rsidR="00B6399D" w:rsidRPr="00330DA7" w14:paraId="0F6CD8D2" w14:textId="77777777" w:rsidTr="004D0573">
            <w:trPr>
              <w:trHeight w:val="283"/>
            </w:trPr>
            <w:tc>
              <w:tcPr>
                <w:tcW w:w="2727" w:type="dxa"/>
              </w:tcPr>
              <w:p w14:paraId="31700628" w14:textId="0565A62A" w:rsidR="00B6399D" w:rsidRPr="00330DA7" w:rsidRDefault="00B6399D"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B6399D" w:rsidRPr="00EA66FC" w:rsidRDefault="00B6399D"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B6399D" w:rsidRPr="00330DA7" w:rsidRDefault="00B6399D" w:rsidP="004D0573">
                <w:pPr>
                  <w:tabs>
                    <w:tab w:val="right" w:pos="8838"/>
                  </w:tabs>
                  <w:spacing w:line="240" w:lineRule="auto"/>
                  <w:ind w:left="-108" w:right="-105"/>
                  <w:rPr>
                    <w:rFonts w:eastAsia="Calibri" w:cs="Tahoma"/>
                    <w:szCs w:val="22"/>
                    <w:lang w:eastAsia="en-US"/>
                  </w:rPr>
                </w:pPr>
              </w:p>
            </w:tc>
          </w:tr>
        </w:tbl>
        <w:p w14:paraId="5DC6AC61" w14:textId="77777777" w:rsidR="00B6399D" w:rsidRPr="00330DA7" w:rsidRDefault="00B6399D" w:rsidP="004D0573">
          <w:pPr>
            <w:tabs>
              <w:tab w:val="right" w:pos="8838"/>
            </w:tabs>
            <w:ind w:left="-28"/>
            <w:rPr>
              <w:rFonts w:ascii="Arial" w:eastAsia="Calibri" w:hAnsi="Arial" w:cs="Arial"/>
              <w:b/>
              <w:szCs w:val="22"/>
              <w:lang w:eastAsia="en-US"/>
            </w:rPr>
          </w:pPr>
        </w:p>
      </w:tc>
    </w:tr>
  </w:tbl>
  <w:p w14:paraId="2A906731" w14:textId="77777777" w:rsidR="00B6399D" w:rsidRPr="00765661" w:rsidRDefault="00E72F8A" w:rsidP="004D0573">
    <w:pPr>
      <w:pStyle w:val="Encabezado"/>
      <w:tabs>
        <w:tab w:val="clear" w:pos="4419"/>
        <w:tab w:val="clear" w:pos="8838"/>
        <w:tab w:val="left" w:pos="2957"/>
      </w:tabs>
      <w:rPr>
        <w:szCs w:val="22"/>
      </w:rPr>
    </w:pPr>
    <w:r>
      <w:rPr>
        <w:noProof/>
        <w:sz w:val="36"/>
        <w:szCs w:val="22"/>
        <w:lang w:eastAsia="es-MX"/>
      </w:rPr>
      <w:pict w14:anchorId="190865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6000374B"/>
    <w:multiLevelType w:val="hybridMultilevel"/>
    <w:tmpl w:val="5C4E7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3F3C1D"/>
    <w:multiLevelType w:val="hybridMultilevel"/>
    <w:tmpl w:val="C616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7D2733"/>
    <w:multiLevelType w:val="hybridMultilevel"/>
    <w:tmpl w:val="68DC4CF6"/>
    <w:lvl w:ilvl="0" w:tplc="866A22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69C45110"/>
    <w:multiLevelType w:val="multilevel"/>
    <w:tmpl w:val="40463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663F32"/>
    <w:multiLevelType w:val="hybridMultilevel"/>
    <w:tmpl w:val="2EBA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1"/>
  </w:num>
  <w:num w:numId="3">
    <w:abstractNumId w:val="43"/>
  </w:num>
  <w:num w:numId="4">
    <w:abstractNumId w:val="14"/>
  </w:num>
  <w:num w:numId="5">
    <w:abstractNumId w:val="4"/>
  </w:num>
  <w:num w:numId="6">
    <w:abstractNumId w:val="46"/>
  </w:num>
  <w:num w:numId="7">
    <w:abstractNumId w:val="28"/>
  </w:num>
  <w:num w:numId="8">
    <w:abstractNumId w:val="10"/>
  </w:num>
  <w:num w:numId="9">
    <w:abstractNumId w:val="27"/>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9"/>
  </w:num>
  <w:num w:numId="13">
    <w:abstractNumId w:val="3"/>
  </w:num>
  <w:num w:numId="14">
    <w:abstractNumId w:val="9"/>
  </w:num>
  <w:num w:numId="15">
    <w:abstractNumId w:val="29"/>
  </w:num>
  <w:num w:numId="16">
    <w:abstractNumId w:val="37"/>
  </w:num>
  <w:num w:numId="17">
    <w:abstractNumId w:val="36"/>
  </w:num>
  <w:num w:numId="18">
    <w:abstractNumId w:val="7"/>
  </w:num>
  <w:num w:numId="19">
    <w:abstractNumId w:val="5"/>
  </w:num>
  <w:num w:numId="20">
    <w:abstractNumId w:val="47"/>
  </w:num>
  <w:num w:numId="21">
    <w:abstractNumId w:val="8"/>
  </w:num>
  <w:num w:numId="22">
    <w:abstractNumId w:val="33"/>
  </w:num>
  <w:num w:numId="23">
    <w:abstractNumId w:val="42"/>
  </w:num>
  <w:num w:numId="24">
    <w:abstractNumId w:val="15"/>
  </w:num>
  <w:num w:numId="25">
    <w:abstractNumId w:val="13"/>
  </w:num>
  <w:num w:numId="26">
    <w:abstractNumId w:val="0"/>
  </w:num>
  <w:num w:numId="27">
    <w:abstractNumId w:val="1"/>
  </w:num>
  <w:num w:numId="28">
    <w:abstractNumId w:val="22"/>
  </w:num>
  <w:num w:numId="29">
    <w:abstractNumId w:val="30"/>
  </w:num>
  <w:num w:numId="30">
    <w:abstractNumId w:val="6"/>
  </w:num>
  <w:num w:numId="31">
    <w:abstractNumId w:val="20"/>
  </w:num>
  <w:num w:numId="32">
    <w:abstractNumId w:val="16"/>
  </w:num>
  <w:num w:numId="33">
    <w:abstractNumId w:val="44"/>
  </w:num>
  <w:num w:numId="34">
    <w:abstractNumId w:val="35"/>
  </w:num>
  <w:num w:numId="35">
    <w:abstractNumId w:val="24"/>
  </w:num>
  <w:num w:numId="36">
    <w:abstractNumId w:val="17"/>
  </w:num>
  <w:num w:numId="37">
    <w:abstractNumId w:val="18"/>
  </w:num>
  <w:num w:numId="38">
    <w:abstractNumId w:val="12"/>
  </w:num>
  <w:num w:numId="39">
    <w:abstractNumId w:val="11"/>
  </w:num>
  <w:num w:numId="40">
    <w:abstractNumId w:val="38"/>
  </w:num>
  <w:num w:numId="41">
    <w:abstractNumId w:val="23"/>
  </w:num>
  <w:num w:numId="42">
    <w:abstractNumId w:val="39"/>
  </w:num>
  <w:num w:numId="43">
    <w:abstractNumId w:val="40"/>
  </w:num>
  <w:num w:numId="44">
    <w:abstractNumId w:val="32"/>
  </w:num>
  <w:num w:numId="45">
    <w:abstractNumId w:val="34"/>
  </w:num>
  <w:num w:numId="46">
    <w:abstractNumId w:val="45"/>
  </w:num>
  <w:num w:numId="47">
    <w:abstractNumId w:val="41"/>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10E8"/>
    <w:rsid w:val="0000629A"/>
    <w:rsid w:val="00007A63"/>
    <w:rsid w:val="0003151B"/>
    <w:rsid w:val="000318BC"/>
    <w:rsid w:val="00036DA2"/>
    <w:rsid w:val="00042FBB"/>
    <w:rsid w:val="00047294"/>
    <w:rsid w:val="000578B7"/>
    <w:rsid w:val="00057B2D"/>
    <w:rsid w:val="00065518"/>
    <w:rsid w:val="00070999"/>
    <w:rsid w:val="000749D6"/>
    <w:rsid w:val="0007570D"/>
    <w:rsid w:val="000777E2"/>
    <w:rsid w:val="00080071"/>
    <w:rsid w:val="0009003A"/>
    <w:rsid w:val="000A0798"/>
    <w:rsid w:val="000B4B4A"/>
    <w:rsid w:val="000D0D67"/>
    <w:rsid w:val="000E09C4"/>
    <w:rsid w:val="000E23B9"/>
    <w:rsid w:val="00107F71"/>
    <w:rsid w:val="0011350D"/>
    <w:rsid w:val="001144FB"/>
    <w:rsid w:val="00117DDB"/>
    <w:rsid w:val="00126C0F"/>
    <w:rsid w:val="00127130"/>
    <w:rsid w:val="00135056"/>
    <w:rsid w:val="00141876"/>
    <w:rsid w:val="0014207B"/>
    <w:rsid w:val="00150C49"/>
    <w:rsid w:val="00165CD4"/>
    <w:rsid w:val="001674B4"/>
    <w:rsid w:val="00185C7C"/>
    <w:rsid w:val="0019725E"/>
    <w:rsid w:val="001A58B3"/>
    <w:rsid w:val="001C0BF3"/>
    <w:rsid w:val="001C6BE2"/>
    <w:rsid w:val="001C7688"/>
    <w:rsid w:val="001D2464"/>
    <w:rsid w:val="001D5BAD"/>
    <w:rsid w:val="001E0CFD"/>
    <w:rsid w:val="001E3718"/>
    <w:rsid w:val="001F3515"/>
    <w:rsid w:val="001F542B"/>
    <w:rsid w:val="002015AE"/>
    <w:rsid w:val="00215FD9"/>
    <w:rsid w:val="00220110"/>
    <w:rsid w:val="00233005"/>
    <w:rsid w:val="00233F17"/>
    <w:rsid w:val="00237120"/>
    <w:rsid w:val="002420BE"/>
    <w:rsid w:val="00245D19"/>
    <w:rsid w:val="0028077E"/>
    <w:rsid w:val="00286B63"/>
    <w:rsid w:val="002958FA"/>
    <w:rsid w:val="002961A6"/>
    <w:rsid w:val="002961B5"/>
    <w:rsid w:val="0029641C"/>
    <w:rsid w:val="002A3601"/>
    <w:rsid w:val="002B1D44"/>
    <w:rsid w:val="002B7C6F"/>
    <w:rsid w:val="002D111C"/>
    <w:rsid w:val="002D4CBA"/>
    <w:rsid w:val="002E18F0"/>
    <w:rsid w:val="002F6393"/>
    <w:rsid w:val="00302476"/>
    <w:rsid w:val="00304C8C"/>
    <w:rsid w:val="00331F35"/>
    <w:rsid w:val="00331F81"/>
    <w:rsid w:val="00335CDF"/>
    <w:rsid w:val="00341E94"/>
    <w:rsid w:val="00342474"/>
    <w:rsid w:val="00346BC2"/>
    <w:rsid w:val="00362A11"/>
    <w:rsid w:val="00386CD1"/>
    <w:rsid w:val="00391DA0"/>
    <w:rsid w:val="00395552"/>
    <w:rsid w:val="003A40C1"/>
    <w:rsid w:val="003A67CC"/>
    <w:rsid w:val="003B0255"/>
    <w:rsid w:val="003B5D3E"/>
    <w:rsid w:val="003F2F1D"/>
    <w:rsid w:val="003F35FD"/>
    <w:rsid w:val="0041385B"/>
    <w:rsid w:val="00416357"/>
    <w:rsid w:val="00431125"/>
    <w:rsid w:val="00441BFA"/>
    <w:rsid w:val="00454FBD"/>
    <w:rsid w:val="004565C2"/>
    <w:rsid w:val="00462CD4"/>
    <w:rsid w:val="00475FF6"/>
    <w:rsid w:val="004B001B"/>
    <w:rsid w:val="004B18AC"/>
    <w:rsid w:val="004B5519"/>
    <w:rsid w:val="004B7546"/>
    <w:rsid w:val="004C43D3"/>
    <w:rsid w:val="004D0573"/>
    <w:rsid w:val="004D7CD8"/>
    <w:rsid w:val="004E2939"/>
    <w:rsid w:val="004E5068"/>
    <w:rsid w:val="004F7A00"/>
    <w:rsid w:val="005041F7"/>
    <w:rsid w:val="005122DD"/>
    <w:rsid w:val="00516C14"/>
    <w:rsid w:val="00523E60"/>
    <w:rsid w:val="00523F48"/>
    <w:rsid w:val="005365FA"/>
    <w:rsid w:val="00536C50"/>
    <w:rsid w:val="005432B1"/>
    <w:rsid w:val="005441A9"/>
    <w:rsid w:val="00546AF6"/>
    <w:rsid w:val="005500A2"/>
    <w:rsid w:val="00550AB5"/>
    <w:rsid w:val="0055624C"/>
    <w:rsid w:val="005569FA"/>
    <w:rsid w:val="005723CB"/>
    <w:rsid w:val="00575400"/>
    <w:rsid w:val="00591A20"/>
    <w:rsid w:val="005A468E"/>
    <w:rsid w:val="005A5BF2"/>
    <w:rsid w:val="005B18AF"/>
    <w:rsid w:val="005B35C0"/>
    <w:rsid w:val="005D5A50"/>
    <w:rsid w:val="005E7A89"/>
    <w:rsid w:val="005F5301"/>
    <w:rsid w:val="005F65B7"/>
    <w:rsid w:val="006067C7"/>
    <w:rsid w:val="00611EF2"/>
    <w:rsid w:val="006159AD"/>
    <w:rsid w:val="00646436"/>
    <w:rsid w:val="0065123B"/>
    <w:rsid w:val="00657603"/>
    <w:rsid w:val="00664420"/>
    <w:rsid w:val="006A21FC"/>
    <w:rsid w:val="006A646A"/>
    <w:rsid w:val="006B10B0"/>
    <w:rsid w:val="006C3715"/>
    <w:rsid w:val="006E13CF"/>
    <w:rsid w:val="006E25BC"/>
    <w:rsid w:val="006E6BBC"/>
    <w:rsid w:val="006F7768"/>
    <w:rsid w:val="00717E59"/>
    <w:rsid w:val="0072161D"/>
    <w:rsid w:val="00721EE9"/>
    <w:rsid w:val="00724F22"/>
    <w:rsid w:val="00736691"/>
    <w:rsid w:val="007517BD"/>
    <w:rsid w:val="00756A61"/>
    <w:rsid w:val="0075751F"/>
    <w:rsid w:val="00773DD6"/>
    <w:rsid w:val="00773EAB"/>
    <w:rsid w:val="00775BFC"/>
    <w:rsid w:val="00782950"/>
    <w:rsid w:val="00794BA5"/>
    <w:rsid w:val="007A2B8D"/>
    <w:rsid w:val="007A3459"/>
    <w:rsid w:val="007B6074"/>
    <w:rsid w:val="007C7C47"/>
    <w:rsid w:val="007D147B"/>
    <w:rsid w:val="007D1C55"/>
    <w:rsid w:val="007D1C84"/>
    <w:rsid w:val="007D317F"/>
    <w:rsid w:val="007E07E1"/>
    <w:rsid w:val="007E3322"/>
    <w:rsid w:val="007F4F3E"/>
    <w:rsid w:val="007F5D06"/>
    <w:rsid w:val="00805A6E"/>
    <w:rsid w:val="00811211"/>
    <w:rsid w:val="00823BA5"/>
    <w:rsid w:val="00826C28"/>
    <w:rsid w:val="00831728"/>
    <w:rsid w:val="00835D7A"/>
    <w:rsid w:val="0084274F"/>
    <w:rsid w:val="00864CC1"/>
    <w:rsid w:val="00865CF4"/>
    <w:rsid w:val="00876DBC"/>
    <w:rsid w:val="008950DC"/>
    <w:rsid w:val="008A444B"/>
    <w:rsid w:val="008A6003"/>
    <w:rsid w:val="008A6F88"/>
    <w:rsid w:val="008B1E16"/>
    <w:rsid w:val="008B5EEB"/>
    <w:rsid w:val="008E0CF6"/>
    <w:rsid w:val="008E1316"/>
    <w:rsid w:val="008E6224"/>
    <w:rsid w:val="00903DBE"/>
    <w:rsid w:val="00910FD2"/>
    <w:rsid w:val="00927DCA"/>
    <w:rsid w:val="00931437"/>
    <w:rsid w:val="0093210A"/>
    <w:rsid w:val="00936B5A"/>
    <w:rsid w:val="00953430"/>
    <w:rsid w:val="00965890"/>
    <w:rsid w:val="00970EB3"/>
    <w:rsid w:val="0097369C"/>
    <w:rsid w:val="00976247"/>
    <w:rsid w:val="00982877"/>
    <w:rsid w:val="0098693C"/>
    <w:rsid w:val="00992EA9"/>
    <w:rsid w:val="00993ED0"/>
    <w:rsid w:val="009A2D78"/>
    <w:rsid w:val="009A2EDE"/>
    <w:rsid w:val="009A7C10"/>
    <w:rsid w:val="009B2945"/>
    <w:rsid w:val="009E2DEE"/>
    <w:rsid w:val="009E45F2"/>
    <w:rsid w:val="009E4644"/>
    <w:rsid w:val="009F1C7D"/>
    <w:rsid w:val="009F797C"/>
    <w:rsid w:val="00A131AC"/>
    <w:rsid w:val="00A16D85"/>
    <w:rsid w:val="00A21A20"/>
    <w:rsid w:val="00A35DA7"/>
    <w:rsid w:val="00A36A99"/>
    <w:rsid w:val="00A41792"/>
    <w:rsid w:val="00A462E3"/>
    <w:rsid w:val="00A53315"/>
    <w:rsid w:val="00A6091A"/>
    <w:rsid w:val="00A63966"/>
    <w:rsid w:val="00A70EF0"/>
    <w:rsid w:val="00A76102"/>
    <w:rsid w:val="00A815EA"/>
    <w:rsid w:val="00A9208D"/>
    <w:rsid w:val="00A964CC"/>
    <w:rsid w:val="00AA6EA9"/>
    <w:rsid w:val="00AC2DB8"/>
    <w:rsid w:val="00AC3CA0"/>
    <w:rsid w:val="00AD4855"/>
    <w:rsid w:val="00AE3DA7"/>
    <w:rsid w:val="00AE5AEF"/>
    <w:rsid w:val="00AF03C4"/>
    <w:rsid w:val="00B137E8"/>
    <w:rsid w:val="00B15675"/>
    <w:rsid w:val="00B169A2"/>
    <w:rsid w:val="00B22A80"/>
    <w:rsid w:val="00B300E5"/>
    <w:rsid w:val="00B35956"/>
    <w:rsid w:val="00B36848"/>
    <w:rsid w:val="00B6399D"/>
    <w:rsid w:val="00B6538B"/>
    <w:rsid w:val="00B65555"/>
    <w:rsid w:val="00B67450"/>
    <w:rsid w:val="00B7067F"/>
    <w:rsid w:val="00BA1AB6"/>
    <w:rsid w:val="00BA55A8"/>
    <w:rsid w:val="00BB2ABF"/>
    <w:rsid w:val="00BB64F4"/>
    <w:rsid w:val="00BD2738"/>
    <w:rsid w:val="00BD3F4F"/>
    <w:rsid w:val="00BD5A7C"/>
    <w:rsid w:val="00BE7A1B"/>
    <w:rsid w:val="00BF0221"/>
    <w:rsid w:val="00BF091A"/>
    <w:rsid w:val="00BF4EAD"/>
    <w:rsid w:val="00BF5BD4"/>
    <w:rsid w:val="00C00D03"/>
    <w:rsid w:val="00C049E2"/>
    <w:rsid w:val="00C17D4B"/>
    <w:rsid w:val="00C30616"/>
    <w:rsid w:val="00C351EC"/>
    <w:rsid w:val="00C36795"/>
    <w:rsid w:val="00C461EC"/>
    <w:rsid w:val="00C507D4"/>
    <w:rsid w:val="00C6788C"/>
    <w:rsid w:val="00C71CEF"/>
    <w:rsid w:val="00C72DAA"/>
    <w:rsid w:val="00C80B14"/>
    <w:rsid w:val="00CA50B3"/>
    <w:rsid w:val="00CB7C31"/>
    <w:rsid w:val="00CB7E9A"/>
    <w:rsid w:val="00CD0B92"/>
    <w:rsid w:val="00CD3244"/>
    <w:rsid w:val="00CE1DFB"/>
    <w:rsid w:val="00CE29D3"/>
    <w:rsid w:val="00CE58F2"/>
    <w:rsid w:val="00CE5C06"/>
    <w:rsid w:val="00CF2D8B"/>
    <w:rsid w:val="00CF7586"/>
    <w:rsid w:val="00CF7F0C"/>
    <w:rsid w:val="00D036D3"/>
    <w:rsid w:val="00D07C17"/>
    <w:rsid w:val="00D2790D"/>
    <w:rsid w:val="00D44B43"/>
    <w:rsid w:val="00D51ECD"/>
    <w:rsid w:val="00D5461D"/>
    <w:rsid w:val="00D55FDA"/>
    <w:rsid w:val="00D6170E"/>
    <w:rsid w:val="00D91CB4"/>
    <w:rsid w:val="00DA4464"/>
    <w:rsid w:val="00DA67D0"/>
    <w:rsid w:val="00DB1C09"/>
    <w:rsid w:val="00DB6B07"/>
    <w:rsid w:val="00DC0F61"/>
    <w:rsid w:val="00DC30FA"/>
    <w:rsid w:val="00DC47CF"/>
    <w:rsid w:val="00DE1133"/>
    <w:rsid w:val="00E00EFF"/>
    <w:rsid w:val="00E11AA0"/>
    <w:rsid w:val="00E16BF5"/>
    <w:rsid w:val="00E33233"/>
    <w:rsid w:val="00E37A3F"/>
    <w:rsid w:val="00E37D3C"/>
    <w:rsid w:val="00E37EF7"/>
    <w:rsid w:val="00E53D98"/>
    <w:rsid w:val="00E62E6A"/>
    <w:rsid w:val="00E71196"/>
    <w:rsid w:val="00E72F8A"/>
    <w:rsid w:val="00E73A29"/>
    <w:rsid w:val="00E83EF5"/>
    <w:rsid w:val="00E86A8A"/>
    <w:rsid w:val="00E9335C"/>
    <w:rsid w:val="00E93D3F"/>
    <w:rsid w:val="00EC2498"/>
    <w:rsid w:val="00EC24D4"/>
    <w:rsid w:val="00ED1C1E"/>
    <w:rsid w:val="00EE2AF2"/>
    <w:rsid w:val="00EE7028"/>
    <w:rsid w:val="00F00894"/>
    <w:rsid w:val="00F02243"/>
    <w:rsid w:val="00F07A85"/>
    <w:rsid w:val="00F07EE6"/>
    <w:rsid w:val="00F257BF"/>
    <w:rsid w:val="00F32348"/>
    <w:rsid w:val="00F33CC8"/>
    <w:rsid w:val="00F423F9"/>
    <w:rsid w:val="00F4481C"/>
    <w:rsid w:val="00F45902"/>
    <w:rsid w:val="00F45ED0"/>
    <w:rsid w:val="00F52005"/>
    <w:rsid w:val="00F52089"/>
    <w:rsid w:val="00F75D23"/>
    <w:rsid w:val="00F86DF5"/>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CA"/>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32950016">
      <w:bodyDiv w:val="1"/>
      <w:marLeft w:val="0"/>
      <w:marRight w:val="0"/>
      <w:marTop w:val="0"/>
      <w:marBottom w:val="0"/>
      <w:divBdr>
        <w:top w:val="none" w:sz="0" w:space="0" w:color="auto"/>
        <w:left w:val="none" w:sz="0" w:space="0" w:color="auto"/>
        <w:bottom w:val="none" w:sz="0" w:space="0" w:color="auto"/>
        <w:right w:val="none" w:sz="0" w:space="0" w:color="auto"/>
      </w:divBdr>
    </w:div>
    <w:div w:id="805585773">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4166600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24C32-4855-431F-A2E9-19AC9C55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46</Pages>
  <Words>13372</Words>
  <Characters>73549</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2024-09-12T18:29:00Z</cp:lastPrinted>
  <dcterms:created xsi:type="dcterms:W3CDTF">2024-09-10T22:57:00Z</dcterms:created>
  <dcterms:modified xsi:type="dcterms:W3CDTF">2024-10-24T00:41:00Z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