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11D04" w14:textId="6E19CC7F" w:rsidR="0077213B" w:rsidRPr="00CF5018" w:rsidRDefault="009F6B6E" w:rsidP="00B1526F">
      <w:pPr>
        <w:tabs>
          <w:tab w:val="left" w:pos="3465"/>
        </w:tabs>
        <w:spacing w:line="360" w:lineRule="auto"/>
        <w:jc w:val="both"/>
        <w:rPr>
          <w:rFonts w:ascii="Palatino Linotype" w:eastAsia="Palatino Linotype" w:hAnsi="Palatino Linotype" w:cs="Palatino Linotype"/>
        </w:rPr>
      </w:pPr>
      <w:r w:rsidRPr="00CF501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C85858" w:rsidRPr="00CF5018">
        <w:rPr>
          <w:rFonts w:ascii="Palatino Linotype" w:eastAsia="Palatino Linotype" w:hAnsi="Palatino Linotype" w:cs="Palatino Linotype"/>
        </w:rPr>
        <w:t xml:space="preserve"> tres (03) </w:t>
      </w:r>
      <w:r w:rsidRPr="00CF5018">
        <w:rPr>
          <w:rFonts w:ascii="Palatino Linotype" w:eastAsia="Palatino Linotype" w:hAnsi="Palatino Linotype" w:cs="Palatino Linotype"/>
        </w:rPr>
        <w:t xml:space="preserve">de </w:t>
      </w:r>
      <w:r w:rsidR="00C85858" w:rsidRPr="00CF5018">
        <w:rPr>
          <w:rFonts w:ascii="Palatino Linotype" w:eastAsia="Palatino Linotype" w:hAnsi="Palatino Linotype" w:cs="Palatino Linotype"/>
        </w:rPr>
        <w:t>abril</w:t>
      </w:r>
      <w:r w:rsidRPr="00CF5018">
        <w:rPr>
          <w:rFonts w:ascii="Palatino Linotype" w:eastAsia="Palatino Linotype" w:hAnsi="Palatino Linotype" w:cs="Palatino Linotype"/>
        </w:rPr>
        <w:t xml:space="preserve"> de dos mil veinticuatro.</w:t>
      </w:r>
    </w:p>
    <w:p w14:paraId="69D3026F" w14:textId="77777777" w:rsidR="0077213B" w:rsidRPr="00CF5018" w:rsidRDefault="0077213B" w:rsidP="00B1526F">
      <w:pPr>
        <w:tabs>
          <w:tab w:val="left" w:pos="3465"/>
        </w:tabs>
        <w:spacing w:line="360" w:lineRule="auto"/>
        <w:jc w:val="both"/>
        <w:rPr>
          <w:rFonts w:ascii="Palatino Linotype" w:eastAsia="Palatino Linotype" w:hAnsi="Palatino Linotype" w:cs="Palatino Linotype"/>
        </w:rPr>
      </w:pPr>
    </w:p>
    <w:p w14:paraId="5F115050" w14:textId="4036A88C" w:rsidR="0077213B" w:rsidRPr="00CF5018" w:rsidRDefault="009F6B6E" w:rsidP="00B1526F">
      <w:pPr>
        <w:spacing w:line="360" w:lineRule="auto"/>
        <w:jc w:val="both"/>
        <w:rPr>
          <w:rFonts w:ascii="Palatino Linotype" w:eastAsia="Palatino Linotype" w:hAnsi="Palatino Linotype" w:cs="Palatino Linotype"/>
        </w:rPr>
      </w:pPr>
      <w:r w:rsidRPr="00CF5018">
        <w:rPr>
          <w:rFonts w:ascii="Palatino Linotype" w:eastAsia="Palatino Linotype" w:hAnsi="Palatino Linotype" w:cs="Palatino Linotype"/>
          <w:b/>
        </w:rPr>
        <w:t>VISTO</w:t>
      </w:r>
      <w:r w:rsidRPr="00CF5018">
        <w:rPr>
          <w:rFonts w:ascii="Palatino Linotype" w:eastAsia="Palatino Linotype" w:hAnsi="Palatino Linotype" w:cs="Palatino Linotype"/>
        </w:rPr>
        <w:t xml:space="preserve"> el expediente electrónico formado con motivo del recurso de revisión </w:t>
      </w:r>
      <w:r w:rsidRPr="00CF5018">
        <w:rPr>
          <w:rFonts w:ascii="Palatino Linotype" w:eastAsia="Palatino Linotype" w:hAnsi="Palatino Linotype" w:cs="Palatino Linotype"/>
          <w:b/>
        </w:rPr>
        <w:t>05693/INFOEM/IP/RR/2022</w:t>
      </w:r>
      <w:r w:rsidRPr="00CF5018">
        <w:rPr>
          <w:rFonts w:ascii="Palatino Linotype" w:eastAsia="Palatino Linotype" w:hAnsi="Palatino Linotype" w:cs="Palatino Linotype"/>
        </w:rPr>
        <w:t>,</w:t>
      </w:r>
      <w:r w:rsidRPr="00CF5018">
        <w:rPr>
          <w:rFonts w:ascii="Palatino Linotype" w:eastAsia="Palatino Linotype" w:hAnsi="Palatino Linotype" w:cs="Palatino Linotype"/>
          <w:b/>
        </w:rPr>
        <w:t xml:space="preserve"> </w:t>
      </w:r>
      <w:r w:rsidRPr="00CF5018">
        <w:rPr>
          <w:rFonts w:ascii="Palatino Linotype" w:eastAsia="Palatino Linotype" w:hAnsi="Palatino Linotype" w:cs="Palatino Linotype"/>
        </w:rPr>
        <w:t xml:space="preserve">promovido </w:t>
      </w:r>
      <w:proofErr w:type="gramStart"/>
      <w:r w:rsidRPr="00CF5018">
        <w:rPr>
          <w:rFonts w:ascii="Palatino Linotype" w:eastAsia="Palatino Linotype" w:hAnsi="Palatino Linotype" w:cs="Palatino Linotype"/>
        </w:rPr>
        <w:t>por</w:t>
      </w:r>
      <w:r w:rsidRPr="00CF5018">
        <w:rPr>
          <w:rFonts w:ascii="Palatino Linotype" w:eastAsia="Palatino Linotype" w:hAnsi="Palatino Linotype" w:cs="Palatino Linotype"/>
          <w:b/>
        </w:rPr>
        <w:t xml:space="preserve">  </w:t>
      </w:r>
      <w:r w:rsidR="00CF5018" w:rsidRPr="00CF5018">
        <w:rPr>
          <w:rFonts w:ascii="Palatino Linotype" w:eastAsia="Palatino Linotype" w:hAnsi="Palatino Linotype" w:cs="Palatino Linotype"/>
          <w:b/>
        </w:rPr>
        <w:t>XXX</w:t>
      </w:r>
      <w:proofErr w:type="gramEnd"/>
      <w:r w:rsidR="00CF5018" w:rsidRPr="00CF5018">
        <w:rPr>
          <w:rFonts w:ascii="Palatino Linotype" w:eastAsia="Palatino Linotype" w:hAnsi="Palatino Linotype" w:cs="Palatino Linotype"/>
          <w:b/>
        </w:rPr>
        <w:t xml:space="preserve"> </w:t>
      </w:r>
      <w:proofErr w:type="spellStart"/>
      <w:r w:rsidR="00CF5018" w:rsidRPr="00CF5018">
        <w:rPr>
          <w:rFonts w:ascii="Palatino Linotype" w:eastAsia="Palatino Linotype" w:hAnsi="Palatino Linotype" w:cs="Palatino Linotype"/>
          <w:b/>
        </w:rPr>
        <w:t>XXX</w:t>
      </w:r>
      <w:proofErr w:type="spellEnd"/>
      <w:r w:rsidRPr="00CF5018">
        <w:rPr>
          <w:rFonts w:ascii="Palatino Linotype" w:eastAsia="Palatino Linotype" w:hAnsi="Palatino Linotype" w:cs="Palatino Linotype"/>
        </w:rPr>
        <w:t xml:space="preserve">, a quien en lo sucesivo se le identificará como </w:t>
      </w:r>
      <w:r w:rsidRPr="00CF5018">
        <w:rPr>
          <w:rFonts w:ascii="Palatino Linotype" w:eastAsia="Palatino Linotype" w:hAnsi="Palatino Linotype" w:cs="Palatino Linotype"/>
          <w:b/>
        </w:rPr>
        <w:t>LA RECURRENTE</w:t>
      </w:r>
      <w:r w:rsidRPr="00CF5018">
        <w:rPr>
          <w:rFonts w:ascii="Palatino Linotype" w:eastAsia="Palatino Linotype" w:hAnsi="Palatino Linotype" w:cs="Palatino Linotype"/>
        </w:rPr>
        <w:t xml:space="preserve">, en contra de la respuesta del </w:t>
      </w:r>
      <w:r w:rsidRPr="00CF5018">
        <w:rPr>
          <w:rFonts w:ascii="Palatino Linotype" w:eastAsia="Palatino Linotype" w:hAnsi="Palatino Linotype" w:cs="Palatino Linotype"/>
          <w:b/>
        </w:rPr>
        <w:t xml:space="preserve">Poder Legislativo, </w:t>
      </w:r>
      <w:r w:rsidRPr="00CF5018">
        <w:rPr>
          <w:rFonts w:ascii="Palatino Linotype" w:eastAsia="Palatino Linotype" w:hAnsi="Palatino Linotype" w:cs="Palatino Linotype"/>
        </w:rPr>
        <w:t xml:space="preserve">en </w:t>
      </w:r>
      <w:r w:rsidR="00C85858" w:rsidRPr="00CF5018">
        <w:rPr>
          <w:rFonts w:ascii="Palatino Linotype" w:eastAsia="Palatino Linotype" w:hAnsi="Palatino Linotype" w:cs="Palatino Linotype"/>
        </w:rPr>
        <w:t>adelante</w:t>
      </w:r>
      <w:r w:rsidRPr="00CF5018">
        <w:rPr>
          <w:rFonts w:ascii="Palatino Linotype" w:eastAsia="Palatino Linotype" w:hAnsi="Palatino Linotype" w:cs="Palatino Linotype"/>
        </w:rPr>
        <w:t xml:space="preserve"> el</w:t>
      </w:r>
      <w:r w:rsidRPr="00CF5018">
        <w:rPr>
          <w:rFonts w:ascii="Palatino Linotype" w:eastAsia="Palatino Linotype" w:hAnsi="Palatino Linotype" w:cs="Palatino Linotype"/>
          <w:b/>
        </w:rPr>
        <w:t xml:space="preserve"> SUJETO OBLIGADO</w:t>
      </w:r>
      <w:r w:rsidRPr="00CF5018">
        <w:rPr>
          <w:rFonts w:ascii="Palatino Linotype" w:eastAsia="Palatino Linotype" w:hAnsi="Palatino Linotype" w:cs="Palatino Linotype"/>
        </w:rPr>
        <w:t>, se procede a dictar la presente resolución, con base en los siguientes:</w:t>
      </w:r>
    </w:p>
    <w:p w14:paraId="3642EDCC" w14:textId="77777777" w:rsidR="0077213B" w:rsidRPr="00CF5018" w:rsidRDefault="0077213B" w:rsidP="00B1526F">
      <w:pPr>
        <w:spacing w:line="360" w:lineRule="auto"/>
        <w:jc w:val="both"/>
        <w:rPr>
          <w:rFonts w:ascii="Palatino Linotype" w:eastAsia="Palatino Linotype" w:hAnsi="Palatino Linotype" w:cs="Palatino Linotype"/>
          <w:b/>
        </w:rPr>
      </w:pPr>
    </w:p>
    <w:p w14:paraId="40A971B1" w14:textId="77777777" w:rsidR="0077213B" w:rsidRPr="00CF5018" w:rsidRDefault="009F6B6E" w:rsidP="00B1526F">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CF5018">
        <w:rPr>
          <w:rFonts w:ascii="Palatino Linotype" w:eastAsia="Palatino Linotype" w:hAnsi="Palatino Linotype" w:cs="Palatino Linotype"/>
          <w:b/>
          <w:color w:val="000000"/>
          <w:sz w:val="24"/>
          <w:szCs w:val="24"/>
        </w:rPr>
        <w:t>ANTECEDENTES</w:t>
      </w:r>
    </w:p>
    <w:p w14:paraId="3F7B7130" w14:textId="77777777" w:rsidR="0077213B" w:rsidRPr="00CF5018" w:rsidRDefault="0077213B" w:rsidP="00B1526F">
      <w:pPr>
        <w:spacing w:line="360" w:lineRule="auto"/>
        <w:rPr>
          <w:rFonts w:ascii="Palatino Linotype" w:eastAsia="Palatino Linotype" w:hAnsi="Palatino Linotype" w:cs="Palatino Linotype"/>
        </w:rPr>
      </w:pPr>
    </w:p>
    <w:p w14:paraId="7DB208C3" w14:textId="17CFAC8A"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color w:val="000000"/>
        </w:rPr>
        <w:t xml:space="preserve">El día </w:t>
      </w:r>
      <w:r w:rsidRPr="00CF5018">
        <w:rPr>
          <w:rFonts w:ascii="Palatino Linotype" w:eastAsia="Palatino Linotype" w:hAnsi="Palatino Linotype" w:cs="Palatino Linotype"/>
          <w:b/>
          <w:color w:val="000000"/>
        </w:rPr>
        <w:t xml:space="preserve">veinticuatro de marzo de dos mil veintidós, </w:t>
      </w:r>
      <w:r w:rsidRPr="00CF5018">
        <w:rPr>
          <w:rFonts w:ascii="Palatino Linotype" w:eastAsia="Palatino Linotype" w:hAnsi="Palatino Linotype" w:cs="Palatino Linotype"/>
          <w:color w:val="000000"/>
        </w:rPr>
        <w:t xml:space="preserve">se presentó ante el </w:t>
      </w:r>
      <w:r w:rsidRPr="00CF5018">
        <w:rPr>
          <w:rFonts w:ascii="Palatino Linotype" w:eastAsia="Palatino Linotype" w:hAnsi="Palatino Linotype" w:cs="Palatino Linotype"/>
          <w:b/>
          <w:color w:val="000000"/>
        </w:rPr>
        <w:t>SUJETO OBLIGADO</w:t>
      </w:r>
      <w:r w:rsidRPr="00CF5018">
        <w:rPr>
          <w:rFonts w:ascii="Palatino Linotype" w:eastAsia="Palatino Linotype" w:hAnsi="Palatino Linotype" w:cs="Palatino Linotype"/>
          <w:color w:val="000000"/>
        </w:rPr>
        <w:t xml:space="preserve"> vía SAIMEX, la solicitud de información pública registrada con el número</w:t>
      </w:r>
      <w:r w:rsidRPr="00CF5018">
        <w:rPr>
          <w:rFonts w:ascii="Palatino Linotype" w:eastAsia="Palatino Linotype" w:hAnsi="Palatino Linotype" w:cs="Palatino Linotype"/>
          <w:b/>
          <w:color w:val="000000"/>
        </w:rPr>
        <w:t xml:space="preserve"> 00194/PLEGISLA/IP/2022; </w:t>
      </w:r>
      <w:r w:rsidR="00C85858" w:rsidRPr="00CF5018">
        <w:rPr>
          <w:rFonts w:ascii="Palatino Linotype" w:eastAsia="Palatino Linotype" w:hAnsi="Palatino Linotype" w:cs="Palatino Linotype"/>
          <w:color w:val="000000"/>
        </w:rPr>
        <w:t>en la que</w:t>
      </w:r>
      <w:r w:rsidRPr="00CF5018">
        <w:rPr>
          <w:rFonts w:ascii="Palatino Linotype" w:eastAsia="Palatino Linotype" w:hAnsi="Palatino Linotype" w:cs="Palatino Linotype"/>
          <w:color w:val="000000"/>
        </w:rPr>
        <w:t xml:space="preserve"> se solicitó la siguiente información:</w:t>
      </w:r>
    </w:p>
    <w:p w14:paraId="3207283D" w14:textId="77777777" w:rsidR="0077213B" w:rsidRPr="00CF5018" w:rsidRDefault="0077213B" w:rsidP="00B1526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79F6854" w14:textId="77777777" w:rsidR="0077213B" w:rsidRPr="00CF5018" w:rsidRDefault="009F6B6E" w:rsidP="00B1526F">
      <w:pPr>
        <w:pBdr>
          <w:top w:val="nil"/>
          <w:left w:val="nil"/>
          <w:bottom w:val="nil"/>
          <w:right w:val="nil"/>
          <w:between w:val="nil"/>
        </w:pBdr>
        <w:spacing w:line="360" w:lineRule="auto"/>
        <w:ind w:left="426" w:right="476"/>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i/>
          <w:color w:val="000000"/>
        </w:rPr>
        <w:t>“SOLICITO EL O LOS DOCUMENTOS QUE CONTEGA LA INFORMACION CLARA,PRECISA,SENCILLA Y DETALLADA EN RELACION AL PROCEDIMIENTO DEL EXPEDIENTE: EI/ III / 295 / 2019 .POR LO QUE PIDO COPIAS SIMPLES DEL MISMO PARA DARLE SEGUIMIENTO Y TRAMITE CORRESPONDIENTE.”</w:t>
      </w:r>
    </w:p>
    <w:p w14:paraId="197232E3" w14:textId="77777777" w:rsidR="0077213B" w:rsidRPr="00CF5018" w:rsidRDefault="0077213B" w:rsidP="00B1526F">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4D16F62C" w14:textId="77777777" w:rsidR="0077213B" w:rsidRPr="00CF5018" w:rsidRDefault="009F6B6E" w:rsidP="00B1526F">
      <w:pPr>
        <w:numPr>
          <w:ilvl w:val="0"/>
          <w:numId w:val="6"/>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color w:val="000000"/>
        </w:rPr>
        <w:lastRenderedPageBreak/>
        <w:t xml:space="preserve">Se eligió como modalidad de entrega de la información: A través del </w:t>
      </w:r>
      <w:r w:rsidRPr="00CF5018">
        <w:rPr>
          <w:rFonts w:ascii="Palatino Linotype" w:eastAsia="Palatino Linotype" w:hAnsi="Palatino Linotype" w:cs="Palatino Linotype"/>
          <w:b/>
          <w:color w:val="000000"/>
        </w:rPr>
        <w:t>SAIMEX.</w:t>
      </w:r>
    </w:p>
    <w:p w14:paraId="04EEC94F" w14:textId="77777777" w:rsidR="0077213B" w:rsidRPr="00CF5018" w:rsidRDefault="0077213B" w:rsidP="00B1526F">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57AD8E93"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CF5018">
        <w:rPr>
          <w:rFonts w:ascii="Palatino Linotype" w:eastAsia="Palatino Linotype" w:hAnsi="Palatino Linotype" w:cs="Palatino Linotype"/>
          <w:color w:val="000000"/>
        </w:rPr>
        <w:t xml:space="preserve">El </w:t>
      </w:r>
      <w:r w:rsidRPr="00CF5018">
        <w:rPr>
          <w:rFonts w:ascii="Palatino Linotype" w:eastAsia="Palatino Linotype" w:hAnsi="Palatino Linotype" w:cs="Palatino Linotype"/>
          <w:b/>
          <w:color w:val="000000"/>
        </w:rPr>
        <w:t xml:space="preserve">cuatro de </w:t>
      </w:r>
      <w:r w:rsidRPr="00CF5018">
        <w:rPr>
          <w:rFonts w:ascii="Palatino Linotype" w:eastAsia="Palatino Linotype" w:hAnsi="Palatino Linotype" w:cs="Palatino Linotype"/>
          <w:color w:val="000000"/>
        </w:rPr>
        <w:t>abril</w:t>
      </w:r>
      <w:r w:rsidRPr="00CF5018">
        <w:rPr>
          <w:rFonts w:ascii="Palatino Linotype" w:eastAsia="Palatino Linotype" w:hAnsi="Palatino Linotype" w:cs="Palatino Linotype"/>
          <w:b/>
          <w:color w:val="000000"/>
        </w:rPr>
        <w:t xml:space="preserve"> de dos mil veintidós</w:t>
      </w:r>
      <w:r w:rsidRPr="00CF5018">
        <w:rPr>
          <w:rFonts w:ascii="Palatino Linotype" w:eastAsia="Palatino Linotype" w:hAnsi="Palatino Linotype" w:cs="Palatino Linotype"/>
          <w:color w:val="000000"/>
        </w:rPr>
        <w:t xml:space="preserve">, el </w:t>
      </w:r>
      <w:r w:rsidRPr="00CF5018">
        <w:rPr>
          <w:rFonts w:ascii="Palatino Linotype" w:eastAsia="Palatino Linotype" w:hAnsi="Palatino Linotype" w:cs="Palatino Linotype"/>
          <w:b/>
          <w:color w:val="000000"/>
        </w:rPr>
        <w:t>SUJETO OBLIGADO,</w:t>
      </w:r>
      <w:r w:rsidRPr="00CF5018">
        <w:rPr>
          <w:rFonts w:ascii="Palatino Linotype" w:eastAsia="Palatino Linotype" w:hAnsi="Palatino Linotype" w:cs="Palatino Linotype"/>
          <w:color w:val="000000"/>
        </w:rPr>
        <w:t xml:space="preserve"> dio respuesta a través de tres archivos electrónicos en formato PDF, cuyo contenido </w:t>
      </w:r>
      <w:r w:rsidRPr="00CF5018">
        <w:rPr>
          <w:rFonts w:ascii="Palatino Linotype" w:eastAsia="Palatino Linotype" w:hAnsi="Palatino Linotype" w:cs="Palatino Linotype"/>
          <w:i/>
          <w:color w:val="000000"/>
        </w:rPr>
        <w:t>grosso modo</w:t>
      </w:r>
      <w:r w:rsidRPr="00CF5018">
        <w:rPr>
          <w:rFonts w:ascii="Palatino Linotype" w:eastAsia="Palatino Linotype" w:hAnsi="Palatino Linotype" w:cs="Palatino Linotype"/>
          <w:color w:val="000000"/>
        </w:rPr>
        <w:t xml:space="preserve"> es el siguiente:</w:t>
      </w:r>
    </w:p>
    <w:p w14:paraId="112DE115" w14:textId="77777777" w:rsidR="0077213B" w:rsidRPr="00CF5018" w:rsidRDefault="009F6B6E" w:rsidP="00B1526F">
      <w:pPr>
        <w:pBdr>
          <w:top w:val="nil"/>
          <w:left w:val="nil"/>
          <w:bottom w:val="nil"/>
          <w:right w:val="nil"/>
          <w:between w:val="nil"/>
        </w:pBdr>
        <w:tabs>
          <w:tab w:val="left" w:pos="0"/>
        </w:tabs>
        <w:spacing w:line="360" w:lineRule="auto"/>
        <w:ind w:left="567" w:right="476"/>
        <w:jc w:val="both"/>
        <w:rPr>
          <w:rFonts w:ascii="Palatino Linotype" w:eastAsia="Palatino Linotype" w:hAnsi="Palatino Linotype" w:cs="Palatino Linotype"/>
          <w:i/>
          <w:color w:val="000000"/>
          <w:sz w:val="22"/>
        </w:rPr>
      </w:pPr>
      <w:r w:rsidRPr="00CF5018">
        <w:rPr>
          <w:rFonts w:ascii="Palatino Linotype" w:eastAsia="Palatino Linotype" w:hAnsi="Palatino Linotype" w:cs="Palatino Linotype"/>
          <w:b/>
          <w:i/>
          <w:color w:val="000000"/>
          <w:sz w:val="22"/>
        </w:rPr>
        <w:t>Documento uno</w:t>
      </w:r>
      <w:r w:rsidRPr="00CF5018">
        <w:rPr>
          <w:rFonts w:ascii="Palatino Linotype" w:eastAsia="Palatino Linotype" w:hAnsi="Palatino Linotype" w:cs="Palatino Linotype"/>
          <w:i/>
          <w:color w:val="000000"/>
          <w:sz w:val="22"/>
        </w:rPr>
        <w:t xml:space="preserve">: Oficio mediante el cual se informa sobre el acuerdo </w:t>
      </w:r>
      <w:r w:rsidRPr="00CF5018">
        <w:rPr>
          <w:rFonts w:ascii="Palatino Linotype" w:eastAsia="Palatino Linotype" w:hAnsi="Palatino Linotype" w:cs="Palatino Linotype"/>
          <w:b/>
          <w:i/>
          <w:color w:val="000000"/>
          <w:sz w:val="22"/>
        </w:rPr>
        <w:t>PLEGISLA/LXI/CT/10ªext/2022/OCTAVO</w:t>
      </w:r>
      <w:r w:rsidRPr="00CF5018">
        <w:rPr>
          <w:rFonts w:ascii="Palatino Linotype" w:eastAsia="Palatino Linotype" w:hAnsi="Palatino Linotype" w:cs="Palatino Linotype"/>
          <w:i/>
          <w:color w:val="000000"/>
          <w:sz w:val="22"/>
        </w:rPr>
        <w:t>,  celebrado en la décima sesión extraordinaria del comité de transparencia del poder legislativo del estado libre y soberano de México, el día treinta y uno de marzo de dos mil veintidós, en el cual se clasifica la información solicitada como información reservada</w:t>
      </w:r>
    </w:p>
    <w:p w14:paraId="2820ADDC" w14:textId="77777777" w:rsidR="0077213B" w:rsidRPr="00CF5018" w:rsidRDefault="0077213B" w:rsidP="00B1526F">
      <w:pPr>
        <w:pBdr>
          <w:top w:val="nil"/>
          <w:left w:val="nil"/>
          <w:bottom w:val="nil"/>
          <w:right w:val="nil"/>
          <w:between w:val="nil"/>
        </w:pBdr>
        <w:tabs>
          <w:tab w:val="left" w:pos="0"/>
        </w:tabs>
        <w:spacing w:line="360" w:lineRule="auto"/>
        <w:ind w:left="567" w:right="476"/>
        <w:jc w:val="both"/>
        <w:rPr>
          <w:rFonts w:ascii="Palatino Linotype" w:eastAsia="Palatino Linotype" w:hAnsi="Palatino Linotype" w:cs="Palatino Linotype"/>
          <w:i/>
          <w:color w:val="000000"/>
          <w:sz w:val="22"/>
        </w:rPr>
      </w:pPr>
    </w:p>
    <w:p w14:paraId="08BA927D" w14:textId="77777777" w:rsidR="0077213B" w:rsidRPr="00CF5018" w:rsidRDefault="009F6B6E" w:rsidP="00B1526F">
      <w:pPr>
        <w:pBdr>
          <w:top w:val="nil"/>
          <w:left w:val="nil"/>
          <w:bottom w:val="nil"/>
          <w:right w:val="nil"/>
          <w:between w:val="nil"/>
        </w:pBdr>
        <w:tabs>
          <w:tab w:val="left" w:pos="0"/>
        </w:tabs>
        <w:spacing w:line="360" w:lineRule="auto"/>
        <w:ind w:left="567" w:right="476"/>
        <w:jc w:val="both"/>
        <w:rPr>
          <w:rFonts w:ascii="Palatino Linotype" w:eastAsia="Palatino Linotype" w:hAnsi="Palatino Linotype" w:cs="Palatino Linotype"/>
          <w:i/>
          <w:color w:val="000000"/>
          <w:sz w:val="22"/>
        </w:rPr>
      </w:pPr>
      <w:r w:rsidRPr="00CF5018">
        <w:rPr>
          <w:rFonts w:ascii="Palatino Linotype" w:eastAsia="Palatino Linotype" w:hAnsi="Palatino Linotype" w:cs="Palatino Linotype"/>
          <w:b/>
          <w:i/>
          <w:color w:val="000000"/>
          <w:sz w:val="22"/>
        </w:rPr>
        <w:t>Documento dos</w:t>
      </w:r>
      <w:r w:rsidRPr="00CF5018">
        <w:rPr>
          <w:rFonts w:ascii="Palatino Linotype" w:eastAsia="Palatino Linotype" w:hAnsi="Palatino Linotype" w:cs="Palatino Linotype"/>
          <w:i/>
          <w:color w:val="000000"/>
          <w:sz w:val="22"/>
        </w:rPr>
        <w:t>: Oficio de fecha cuatro de abril de dos mil veintidós emitiendo respuesta a la solicitud de información proporcionada por la contraloría del Poder Legislativo del Estado de México.</w:t>
      </w:r>
    </w:p>
    <w:p w14:paraId="78927669" w14:textId="77777777" w:rsidR="0077213B" w:rsidRPr="00CF5018" w:rsidRDefault="0077213B" w:rsidP="00B1526F">
      <w:pPr>
        <w:pBdr>
          <w:top w:val="nil"/>
          <w:left w:val="nil"/>
          <w:bottom w:val="nil"/>
          <w:right w:val="nil"/>
          <w:between w:val="nil"/>
        </w:pBdr>
        <w:tabs>
          <w:tab w:val="left" w:pos="0"/>
        </w:tabs>
        <w:spacing w:line="360" w:lineRule="auto"/>
        <w:ind w:left="567" w:right="476"/>
        <w:jc w:val="both"/>
        <w:rPr>
          <w:rFonts w:ascii="Palatino Linotype" w:eastAsia="Palatino Linotype" w:hAnsi="Palatino Linotype" w:cs="Palatino Linotype"/>
          <w:i/>
          <w:color w:val="000000"/>
          <w:sz w:val="22"/>
        </w:rPr>
      </w:pPr>
    </w:p>
    <w:p w14:paraId="25D59268" w14:textId="77777777" w:rsidR="0077213B" w:rsidRPr="00CF5018" w:rsidRDefault="009F6B6E" w:rsidP="00B1526F">
      <w:pPr>
        <w:pBdr>
          <w:top w:val="nil"/>
          <w:left w:val="nil"/>
          <w:bottom w:val="nil"/>
          <w:right w:val="nil"/>
          <w:between w:val="nil"/>
        </w:pBdr>
        <w:tabs>
          <w:tab w:val="left" w:pos="0"/>
        </w:tabs>
        <w:spacing w:line="360" w:lineRule="auto"/>
        <w:ind w:left="567" w:right="476"/>
        <w:jc w:val="both"/>
        <w:rPr>
          <w:rFonts w:ascii="Palatino Linotype" w:eastAsia="Palatino Linotype" w:hAnsi="Palatino Linotype" w:cs="Palatino Linotype"/>
          <w:i/>
          <w:color w:val="000000"/>
          <w:sz w:val="22"/>
        </w:rPr>
      </w:pPr>
      <w:bookmarkStart w:id="1" w:name="_heading=h.30j0zll" w:colFirst="0" w:colLast="0"/>
      <w:bookmarkEnd w:id="1"/>
      <w:r w:rsidRPr="00CF5018">
        <w:rPr>
          <w:rFonts w:ascii="Palatino Linotype" w:eastAsia="Palatino Linotype" w:hAnsi="Palatino Linotype" w:cs="Palatino Linotype"/>
          <w:b/>
          <w:i/>
          <w:color w:val="000000"/>
          <w:sz w:val="22"/>
        </w:rPr>
        <w:t>Documento tres</w:t>
      </w:r>
      <w:r w:rsidRPr="00CF5018">
        <w:rPr>
          <w:rFonts w:ascii="Palatino Linotype" w:eastAsia="Palatino Linotype" w:hAnsi="Palatino Linotype" w:cs="Palatino Linotype"/>
          <w:i/>
          <w:color w:val="000000"/>
          <w:sz w:val="22"/>
        </w:rPr>
        <w:t>: Acta de la décima sesión extraordinaria del Comité de Transparencia del Poder Legislativo del Estado Libre y Soberano de México, celebrada el día treinta y uno de marzo de dos mil veintidós.</w:t>
      </w:r>
    </w:p>
    <w:p w14:paraId="0D5E67CA" w14:textId="77777777" w:rsidR="0077213B" w:rsidRPr="00CF5018" w:rsidRDefault="0077213B" w:rsidP="00B1526F">
      <w:pPr>
        <w:pBdr>
          <w:top w:val="nil"/>
          <w:left w:val="nil"/>
          <w:bottom w:val="nil"/>
          <w:right w:val="nil"/>
          <w:between w:val="nil"/>
        </w:pBdr>
        <w:tabs>
          <w:tab w:val="left" w:pos="0"/>
        </w:tabs>
        <w:spacing w:line="360" w:lineRule="auto"/>
        <w:ind w:left="360" w:right="51"/>
        <w:jc w:val="both"/>
        <w:rPr>
          <w:rFonts w:ascii="Palatino Linotype" w:eastAsia="Palatino Linotype" w:hAnsi="Palatino Linotype" w:cs="Palatino Linotype"/>
          <w:i/>
          <w:color w:val="000000"/>
        </w:rPr>
      </w:pPr>
    </w:p>
    <w:p w14:paraId="79C07936" w14:textId="77777777" w:rsidR="0077213B" w:rsidRPr="00CF5018" w:rsidRDefault="009F6B6E" w:rsidP="00B1526F">
      <w:pPr>
        <w:numPr>
          <w:ilvl w:val="0"/>
          <w:numId w:val="5"/>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CF5018">
        <w:rPr>
          <w:rFonts w:ascii="Palatino Linotype" w:eastAsia="Palatino Linotype" w:hAnsi="Palatino Linotype" w:cs="Palatino Linotype"/>
          <w:color w:val="000000"/>
        </w:rPr>
        <w:t xml:space="preserve">El </w:t>
      </w:r>
      <w:r w:rsidRPr="00CF5018">
        <w:rPr>
          <w:rFonts w:ascii="Palatino Linotype" w:eastAsia="Palatino Linotype" w:hAnsi="Palatino Linotype" w:cs="Palatino Linotype"/>
          <w:b/>
          <w:color w:val="000000"/>
        </w:rPr>
        <w:t>nueve de abril de dos mil veintidós</w:t>
      </w:r>
      <w:r w:rsidRPr="00CF5018">
        <w:rPr>
          <w:rFonts w:ascii="Palatino Linotype" w:eastAsia="Palatino Linotype" w:hAnsi="Palatino Linotype" w:cs="Palatino Linotype"/>
          <w:color w:val="000000"/>
        </w:rPr>
        <w:t>, la particular interpuso el recurso de revisión en contra de la respuesta, manifestando las siguientes razones o motivos de inconformidad:</w:t>
      </w:r>
    </w:p>
    <w:p w14:paraId="67F6FBBC" w14:textId="77777777" w:rsidR="0077213B" w:rsidRPr="00CF5018" w:rsidRDefault="009F6B6E" w:rsidP="00B1526F">
      <w:pPr>
        <w:numPr>
          <w:ilvl w:val="0"/>
          <w:numId w:val="6"/>
        </w:numPr>
        <w:pBdr>
          <w:top w:val="nil"/>
          <w:left w:val="nil"/>
          <w:bottom w:val="nil"/>
          <w:right w:val="nil"/>
          <w:between w:val="nil"/>
        </w:pBdr>
        <w:spacing w:line="360" w:lineRule="auto"/>
        <w:ind w:left="709" w:right="474"/>
        <w:jc w:val="both"/>
        <w:rPr>
          <w:rFonts w:ascii="Palatino Linotype" w:eastAsia="Palatino Linotype" w:hAnsi="Palatino Linotype" w:cs="Palatino Linotype"/>
          <w:i/>
          <w:color w:val="000000"/>
          <w:sz w:val="22"/>
        </w:rPr>
      </w:pPr>
      <w:bookmarkStart w:id="2" w:name="_heading=h.1fob9te" w:colFirst="0" w:colLast="0"/>
      <w:bookmarkEnd w:id="2"/>
      <w:r w:rsidRPr="00CF5018">
        <w:rPr>
          <w:rFonts w:ascii="Palatino Linotype" w:eastAsia="Palatino Linotype" w:hAnsi="Palatino Linotype" w:cs="Palatino Linotype"/>
          <w:b/>
          <w:color w:val="000000"/>
          <w:sz w:val="22"/>
        </w:rPr>
        <w:t xml:space="preserve">Acto impugnado: </w:t>
      </w:r>
      <w:r w:rsidRPr="00CF5018">
        <w:rPr>
          <w:rFonts w:ascii="Palatino Linotype" w:eastAsia="Palatino Linotype" w:hAnsi="Palatino Linotype" w:cs="Palatino Linotype"/>
          <w:i/>
          <w:color w:val="000000"/>
          <w:sz w:val="22"/>
        </w:rPr>
        <w:t>“Se impugna la solicitud 00194/PLEGISLA/IP/2022.”</w:t>
      </w:r>
    </w:p>
    <w:p w14:paraId="09244387" w14:textId="77777777" w:rsidR="0077213B" w:rsidRPr="00CF5018" w:rsidRDefault="0077213B" w:rsidP="00B1526F">
      <w:pPr>
        <w:pBdr>
          <w:top w:val="nil"/>
          <w:left w:val="nil"/>
          <w:bottom w:val="nil"/>
          <w:right w:val="nil"/>
          <w:between w:val="nil"/>
        </w:pBdr>
        <w:spacing w:line="360" w:lineRule="auto"/>
        <w:ind w:left="709" w:right="474"/>
        <w:jc w:val="both"/>
        <w:rPr>
          <w:rFonts w:ascii="Palatino Linotype" w:eastAsia="Palatino Linotype" w:hAnsi="Palatino Linotype" w:cs="Palatino Linotype"/>
          <w:i/>
          <w:color w:val="000000"/>
          <w:sz w:val="22"/>
        </w:rPr>
      </w:pPr>
    </w:p>
    <w:p w14:paraId="4F3F388E" w14:textId="77777777" w:rsidR="0077213B" w:rsidRPr="00CF5018" w:rsidRDefault="009F6B6E" w:rsidP="00B1526F">
      <w:pPr>
        <w:numPr>
          <w:ilvl w:val="0"/>
          <w:numId w:val="6"/>
        </w:numPr>
        <w:pBdr>
          <w:top w:val="nil"/>
          <w:left w:val="nil"/>
          <w:bottom w:val="nil"/>
          <w:right w:val="nil"/>
          <w:between w:val="nil"/>
        </w:pBdr>
        <w:spacing w:line="360" w:lineRule="auto"/>
        <w:ind w:left="709" w:right="474"/>
        <w:jc w:val="both"/>
        <w:rPr>
          <w:rFonts w:ascii="Palatino Linotype" w:eastAsia="Palatino Linotype" w:hAnsi="Palatino Linotype" w:cs="Palatino Linotype"/>
          <w:i/>
          <w:color w:val="000000"/>
          <w:sz w:val="22"/>
        </w:rPr>
      </w:pPr>
      <w:bookmarkStart w:id="3" w:name="_heading=h.3znysh7" w:colFirst="0" w:colLast="0"/>
      <w:bookmarkEnd w:id="3"/>
      <w:r w:rsidRPr="00CF5018">
        <w:rPr>
          <w:rFonts w:ascii="Palatino Linotype" w:eastAsia="Palatino Linotype" w:hAnsi="Palatino Linotype" w:cs="Palatino Linotype"/>
          <w:b/>
          <w:color w:val="000000"/>
          <w:sz w:val="22"/>
        </w:rPr>
        <w:lastRenderedPageBreak/>
        <w:t xml:space="preserve">Razones o Motivos de inconformidad: </w:t>
      </w:r>
      <w:r w:rsidRPr="00CF5018">
        <w:rPr>
          <w:rFonts w:ascii="Palatino Linotype" w:eastAsia="Palatino Linotype" w:hAnsi="Palatino Linotype" w:cs="Palatino Linotype"/>
          <w:i/>
          <w:color w:val="000000"/>
          <w:sz w:val="22"/>
        </w:rPr>
        <w:t>“Porque a pesar de solicitar la información clara y sencilla me niegan la información y dicen que está reservada.”</w:t>
      </w:r>
    </w:p>
    <w:p w14:paraId="4769875D" w14:textId="77777777" w:rsidR="0077213B" w:rsidRPr="00CF5018" w:rsidRDefault="0077213B" w:rsidP="00B1526F">
      <w:pPr>
        <w:spacing w:line="360" w:lineRule="auto"/>
        <w:rPr>
          <w:rFonts w:ascii="Palatino Linotype" w:eastAsia="Palatino Linotype" w:hAnsi="Palatino Linotype" w:cs="Palatino Linotype"/>
          <w:i/>
          <w:color w:val="000000"/>
        </w:rPr>
      </w:pPr>
    </w:p>
    <w:p w14:paraId="367AC437"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CF5018">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CF5018">
        <w:rPr>
          <w:rFonts w:ascii="Palatino Linotype" w:eastAsia="Palatino Linotype" w:hAnsi="Palatino Linotype" w:cs="Palatino Linotype"/>
          <w:b/>
          <w:color w:val="000000"/>
        </w:rPr>
        <w:t>veintidós de abril de dos mil veintidós</w:t>
      </w:r>
      <w:r w:rsidRPr="00CF5018">
        <w:rPr>
          <w:rFonts w:ascii="Palatino Linotype" w:eastAsia="Palatino Linotype" w:hAnsi="Palatino Linotype" w:cs="Palatino Linotype"/>
          <w:color w:val="000000"/>
        </w:rPr>
        <w:t xml:space="preserve">, puso a disposición de las partes el expediente electrónico vía </w:t>
      </w:r>
      <w:r w:rsidRPr="00CF5018">
        <w:rPr>
          <w:rFonts w:ascii="Palatino Linotype" w:eastAsia="Palatino Linotype" w:hAnsi="Palatino Linotype" w:cs="Palatino Linotype"/>
          <w:b/>
          <w:color w:val="000000"/>
        </w:rPr>
        <w:t xml:space="preserve">SAIMEX </w:t>
      </w:r>
      <w:r w:rsidRPr="00CF5018">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sidRPr="00CF5018">
        <w:rPr>
          <w:rFonts w:ascii="Palatino Linotype" w:eastAsia="Palatino Linotype" w:hAnsi="Palatino Linotype" w:cs="Palatino Linotype"/>
          <w:b/>
          <w:color w:val="000000"/>
        </w:rPr>
        <w:t>SUJETO OBLIGADO</w:t>
      </w:r>
      <w:r w:rsidRPr="00CF5018">
        <w:rPr>
          <w:rFonts w:ascii="Palatino Linotype" w:eastAsia="Palatino Linotype" w:hAnsi="Palatino Linotype" w:cs="Palatino Linotype"/>
          <w:color w:val="000000"/>
        </w:rPr>
        <w:t xml:space="preserve"> presentará el Informe Justificado procedente.</w:t>
      </w:r>
    </w:p>
    <w:p w14:paraId="1EC64C1F" w14:textId="77777777" w:rsidR="0077213B" w:rsidRPr="00CF5018" w:rsidRDefault="0077213B" w:rsidP="00B1526F">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38630872"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color w:val="000000"/>
        </w:rPr>
        <w:t xml:space="preserve">De lo anterior el </w:t>
      </w:r>
      <w:r w:rsidRPr="00CF5018">
        <w:rPr>
          <w:rFonts w:ascii="Palatino Linotype" w:eastAsia="Palatino Linotype" w:hAnsi="Palatino Linotype" w:cs="Palatino Linotype"/>
          <w:b/>
          <w:color w:val="000000"/>
        </w:rPr>
        <w:t xml:space="preserve">SUJETO OBLIGADO </w:t>
      </w:r>
      <w:r w:rsidRPr="00CF5018">
        <w:rPr>
          <w:rFonts w:ascii="Palatino Linotype" w:eastAsia="Palatino Linotype" w:hAnsi="Palatino Linotype" w:cs="Palatino Linotype"/>
          <w:color w:val="000000"/>
        </w:rPr>
        <w:t xml:space="preserve">en fecha veintiséis de abril de dos mil veintidós </w:t>
      </w:r>
      <w:r w:rsidRPr="00CF5018">
        <w:rPr>
          <w:rFonts w:ascii="Palatino Linotype" w:eastAsia="Palatino Linotype" w:hAnsi="Palatino Linotype" w:cs="Palatino Linotype"/>
        </w:rPr>
        <w:t>presentó</w:t>
      </w:r>
      <w:r w:rsidRPr="00CF5018">
        <w:rPr>
          <w:rFonts w:ascii="Palatino Linotype" w:eastAsia="Palatino Linotype" w:hAnsi="Palatino Linotype" w:cs="Palatino Linotype"/>
          <w:color w:val="000000"/>
        </w:rPr>
        <w:t xml:space="preserve"> su informe justificado, en alcance de dos documentos, cuyo contenido toral es el siguiente: </w:t>
      </w:r>
    </w:p>
    <w:p w14:paraId="3E900783" w14:textId="77777777" w:rsidR="0077213B" w:rsidRPr="00CF5018" w:rsidRDefault="009F6B6E" w:rsidP="00B1526F">
      <w:pPr>
        <w:pBdr>
          <w:top w:val="nil"/>
          <w:left w:val="nil"/>
          <w:bottom w:val="nil"/>
          <w:right w:val="nil"/>
          <w:between w:val="nil"/>
        </w:pBdr>
        <w:spacing w:line="360" w:lineRule="auto"/>
        <w:ind w:left="567" w:right="476"/>
        <w:jc w:val="both"/>
        <w:rPr>
          <w:rFonts w:ascii="Palatino Linotype" w:eastAsia="Palatino Linotype" w:hAnsi="Palatino Linotype" w:cs="Palatino Linotype"/>
          <w:i/>
          <w:color w:val="000000"/>
          <w:sz w:val="22"/>
        </w:rPr>
      </w:pPr>
      <w:r w:rsidRPr="00CF5018">
        <w:rPr>
          <w:rFonts w:ascii="Palatino Linotype" w:eastAsia="Palatino Linotype" w:hAnsi="Palatino Linotype" w:cs="Palatino Linotype"/>
          <w:b/>
          <w:i/>
          <w:color w:val="000000"/>
          <w:sz w:val="22"/>
        </w:rPr>
        <w:t>Documento uno</w:t>
      </w:r>
      <w:r w:rsidRPr="00CF5018">
        <w:rPr>
          <w:rFonts w:ascii="Palatino Linotype" w:eastAsia="Palatino Linotype" w:hAnsi="Palatino Linotype" w:cs="Palatino Linotype"/>
          <w:i/>
          <w:color w:val="000000"/>
          <w:sz w:val="22"/>
        </w:rPr>
        <w:t>: Oficio mediante el cual justifican la clasificación de la información solicitada como clasificada, argumentando que el expediente solicitado se encuentra activo y vigente en etapa de investigación y análisis, y otorgar información podría poner en riesgo la indagatoria de la misma.</w:t>
      </w:r>
    </w:p>
    <w:p w14:paraId="367D109F" w14:textId="77777777" w:rsidR="0077213B" w:rsidRPr="00CF5018" w:rsidRDefault="0077213B" w:rsidP="00B1526F">
      <w:pPr>
        <w:pBdr>
          <w:top w:val="nil"/>
          <w:left w:val="nil"/>
          <w:bottom w:val="nil"/>
          <w:right w:val="nil"/>
          <w:between w:val="nil"/>
        </w:pBdr>
        <w:spacing w:line="360" w:lineRule="auto"/>
        <w:ind w:left="567" w:right="476"/>
        <w:jc w:val="both"/>
        <w:rPr>
          <w:rFonts w:ascii="Palatino Linotype" w:eastAsia="Palatino Linotype" w:hAnsi="Palatino Linotype" w:cs="Palatino Linotype"/>
          <w:i/>
          <w:color w:val="000000"/>
          <w:sz w:val="22"/>
        </w:rPr>
      </w:pPr>
    </w:p>
    <w:p w14:paraId="76F36A0B" w14:textId="77777777" w:rsidR="0077213B" w:rsidRPr="00CF5018" w:rsidRDefault="009F6B6E" w:rsidP="00B1526F">
      <w:pPr>
        <w:pBdr>
          <w:top w:val="nil"/>
          <w:left w:val="nil"/>
          <w:bottom w:val="nil"/>
          <w:right w:val="nil"/>
          <w:between w:val="nil"/>
        </w:pBdr>
        <w:spacing w:line="360" w:lineRule="auto"/>
        <w:ind w:left="567" w:right="476"/>
        <w:jc w:val="both"/>
        <w:rPr>
          <w:rFonts w:ascii="Palatino Linotype" w:eastAsia="Palatino Linotype" w:hAnsi="Palatino Linotype" w:cs="Palatino Linotype"/>
          <w:i/>
          <w:color w:val="000000"/>
          <w:sz w:val="22"/>
        </w:rPr>
      </w:pPr>
      <w:r w:rsidRPr="00CF5018">
        <w:rPr>
          <w:rFonts w:ascii="Palatino Linotype" w:eastAsia="Palatino Linotype" w:hAnsi="Palatino Linotype" w:cs="Palatino Linotype"/>
          <w:b/>
          <w:i/>
          <w:color w:val="000000"/>
          <w:sz w:val="22"/>
        </w:rPr>
        <w:t>Documento dos</w:t>
      </w:r>
      <w:r w:rsidRPr="00CF5018">
        <w:rPr>
          <w:rFonts w:ascii="Palatino Linotype" w:eastAsia="Palatino Linotype" w:hAnsi="Palatino Linotype" w:cs="Palatino Linotype"/>
          <w:i/>
          <w:color w:val="000000"/>
          <w:sz w:val="22"/>
        </w:rPr>
        <w:t>: Oficio de fecha veinte de abril de dos mil veintidós en el cual justifica y ratifica la respuesta anteriormente enviada.</w:t>
      </w:r>
    </w:p>
    <w:p w14:paraId="7338105E" w14:textId="77777777" w:rsidR="0077213B" w:rsidRPr="00CF5018" w:rsidRDefault="0077213B" w:rsidP="00B1526F">
      <w:pPr>
        <w:pBdr>
          <w:top w:val="nil"/>
          <w:left w:val="nil"/>
          <w:bottom w:val="nil"/>
          <w:right w:val="nil"/>
          <w:between w:val="nil"/>
        </w:pBdr>
        <w:spacing w:line="360" w:lineRule="auto"/>
        <w:ind w:left="567" w:right="476"/>
        <w:jc w:val="both"/>
        <w:rPr>
          <w:rFonts w:ascii="Palatino Linotype" w:eastAsia="Palatino Linotype" w:hAnsi="Palatino Linotype" w:cs="Palatino Linotype"/>
          <w:i/>
          <w:color w:val="000000"/>
        </w:rPr>
      </w:pPr>
    </w:p>
    <w:p w14:paraId="48D8E766"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CF5018">
        <w:rPr>
          <w:rFonts w:ascii="Palatino Linotype" w:eastAsia="Palatino Linotype" w:hAnsi="Palatino Linotype" w:cs="Palatino Linotype"/>
          <w:color w:val="000000"/>
        </w:rPr>
        <w:t>Por su parte la particular</w:t>
      </w:r>
      <w:r w:rsidRPr="00CF5018">
        <w:rPr>
          <w:rFonts w:ascii="Palatino Linotype" w:eastAsia="Palatino Linotype" w:hAnsi="Palatino Linotype" w:cs="Palatino Linotype"/>
          <w:b/>
          <w:color w:val="000000"/>
        </w:rPr>
        <w:t xml:space="preserve"> </w:t>
      </w:r>
      <w:r w:rsidRPr="00CF5018">
        <w:rPr>
          <w:rFonts w:ascii="Palatino Linotype" w:eastAsia="Palatino Linotype" w:hAnsi="Palatino Linotype" w:cs="Palatino Linotype"/>
          <w:color w:val="000000"/>
        </w:rPr>
        <w:t>dejó de realizar manifestaciones que a su derecho conviniera y asistiera.</w:t>
      </w:r>
    </w:p>
    <w:p w14:paraId="44321AA2" w14:textId="77777777" w:rsidR="0077213B" w:rsidRPr="00CF5018" w:rsidRDefault="0077213B" w:rsidP="00B152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13485E1"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CF5018">
        <w:rPr>
          <w:rFonts w:ascii="Palatino Linotype" w:eastAsia="Palatino Linotype" w:hAnsi="Palatino Linotype" w:cs="Palatino Linotype"/>
          <w:color w:val="000000"/>
        </w:rPr>
        <w:lastRenderedPageBreak/>
        <w:t>En fecha doce de diciembre de dos mil veintidós, se amplió el término para resolver; al respecto es menester realizar las siguientes precisiones.</w:t>
      </w:r>
    </w:p>
    <w:p w14:paraId="6700D816" w14:textId="77777777" w:rsidR="0077213B" w:rsidRPr="00CF5018" w:rsidRDefault="0077213B" w:rsidP="00B1526F">
      <w:pPr>
        <w:spacing w:line="360" w:lineRule="auto"/>
        <w:rPr>
          <w:rFonts w:ascii="Palatino Linotype" w:eastAsia="Palatino Linotype" w:hAnsi="Palatino Linotype" w:cs="Palatino Linotype"/>
        </w:rPr>
      </w:pPr>
    </w:p>
    <w:p w14:paraId="266EAB8C"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7EB7CE61" w14:textId="77777777" w:rsidR="0077213B" w:rsidRPr="00CF5018" w:rsidRDefault="0077213B" w:rsidP="00B1526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C756C1A"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8783C45" w14:textId="77777777" w:rsidR="00C85858" w:rsidRPr="00CF5018" w:rsidRDefault="00C85858" w:rsidP="00C85858">
      <w:pPr>
        <w:pStyle w:val="Prrafodelista"/>
        <w:rPr>
          <w:rFonts w:ascii="Palatino Linotype" w:eastAsia="Palatino Linotype" w:hAnsi="Palatino Linotype" w:cs="Palatino Linotype"/>
          <w:color w:val="000000"/>
        </w:rPr>
      </w:pPr>
    </w:p>
    <w:p w14:paraId="6FC10DDD"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C3DD131" w14:textId="77777777" w:rsidR="0077213B" w:rsidRPr="00CF5018" w:rsidRDefault="0077213B" w:rsidP="00B152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A8F3305"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2A52812" w14:textId="77777777" w:rsidR="0077213B" w:rsidRPr="00CF5018" w:rsidRDefault="0077213B" w:rsidP="00B152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4FF31E6"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25E802D4" w14:textId="77777777" w:rsidR="0077213B" w:rsidRPr="00CF5018" w:rsidRDefault="009F6B6E" w:rsidP="00B1526F">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r w:rsidRPr="00CF5018">
        <w:rPr>
          <w:rFonts w:ascii="Palatino Linotype" w:eastAsia="Palatino Linotype" w:hAnsi="Palatino Linotype" w:cs="Palatino Linotype"/>
          <w:color w:val="000000"/>
          <w:sz w:val="22"/>
        </w:rPr>
        <w:t xml:space="preserve">Complejidad del Asunto: La complejidad de la prueba, la pluralidad de sujetos procesales, el tiempo transcurrido, las características y contexto del recurso. </w:t>
      </w:r>
    </w:p>
    <w:p w14:paraId="50C14346" w14:textId="77777777" w:rsidR="0077213B" w:rsidRPr="00CF5018" w:rsidRDefault="009F6B6E" w:rsidP="00B1526F">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r w:rsidRPr="00CF5018">
        <w:rPr>
          <w:rFonts w:ascii="Palatino Linotype" w:eastAsia="Palatino Linotype" w:hAnsi="Palatino Linotype" w:cs="Palatino Linotype"/>
          <w:color w:val="000000"/>
          <w:sz w:val="22"/>
        </w:rPr>
        <w:t>Actividad Procesal del interesado. Acciones u omisiones del interesado.</w:t>
      </w:r>
    </w:p>
    <w:p w14:paraId="213EC07A" w14:textId="77777777" w:rsidR="0077213B" w:rsidRPr="00CF5018" w:rsidRDefault="009F6B6E" w:rsidP="00B1526F">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r w:rsidRPr="00CF5018">
        <w:rPr>
          <w:rFonts w:ascii="Palatino Linotype" w:eastAsia="Palatino Linotype" w:hAnsi="Palatino Linotype" w:cs="Palatino Linotype"/>
          <w:color w:val="000000"/>
          <w:sz w:val="22"/>
        </w:rPr>
        <w:t>Conducta de la Autoridad: Las Acciones u omisiones realizadas en el procedimiento. Así como si la autoridad actuó con la debida diligencia.</w:t>
      </w:r>
    </w:p>
    <w:p w14:paraId="7F6ADF4F" w14:textId="77777777" w:rsidR="0077213B" w:rsidRPr="00CF5018" w:rsidRDefault="009F6B6E" w:rsidP="00B1526F">
      <w:pPr>
        <w:spacing w:line="360" w:lineRule="auto"/>
        <w:ind w:left="851" w:hanging="284"/>
        <w:jc w:val="both"/>
        <w:rPr>
          <w:rFonts w:ascii="Palatino Linotype" w:eastAsia="Palatino Linotype" w:hAnsi="Palatino Linotype" w:cs="Palatino Linotype"/>
          <w:sz w:val="22"/>
        </w:rPr>
      </w:pPr>
      <w:r w:rsidRPr="00CF5018">
        <w:rPr>
          <w:rFonts w:ascii="Palatino Linotype" w:eastAsia="Palatino Linotype" w:hAnsi="Palatino Linotype" w:cs="Palatino Linotype"/>
          <w:sz w:val="22"/>
        </w:rPr>
        <w:t>d) La afectación generada en la situación jurídica de la persona involucrada en el proceso: Violación a sus derechos humanos.</w:t>
      </w:r>
    </w:p>
    <w:p w14:paraId="4205D57B" w14:textId="77777777" w:rsidR="0077213B" w:rsidRPr="00CF5018" w:rsidRDefault="0077213B" w:rsidP="00B1526F">
      <w:pPr>
        <w:spacing w:line="360" w:lineRule="auto"/>
        <w:ind w:left="851" w:hanging="284"/>
        <w:jc w:val="both"/>
        <w:rPr>
          <w:rFonts w:ascii="Palatino Linotype" w:eastAsia="Palatino Linotype" w:hAnsi="Palatino Linotype" w:cs="Palatino Linotype"/>
        </w:rPr>
      </w:pPr>
    </w:p>
    <w:p w14:paraId="74DBAC38"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A6AC6B3" w14:textId="77777777" w:rsidR="0077213B" w:rsidRPr="00CF5018" w:rsidRDefault="0077213B" w:rsidP="00B1526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D55794C"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CF5018">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sidRPr="00CF5018">
        <w:rPr>
          <w:rFonts w:ascii="Palatino Linotype" w:eastAsia="Palatino Linotype" w:hAnsi="Palatino Linotype" w:cs="Palatino Linotype"/>
          <w:i/>
          <w:color w:val="000000"/>
        </w:rPr>
        <w:t xml:space="preserve">“TÉRMINOS </w:t>
      </w:r>
      <w:r w:rsidRPr="00CF5018">
        <w:rPr>
          <w:rFonts w:ascii="Palatino Linotype" w:eastAsia="Palatino Linotype" w:hAnsi="Palatino Linotype" w:cs="Palatino Linotype"/>
          <w:i/>
          <w:color w:val="000000"/>
        </w:rPr>
        <w:lastRenderedPageBreak/>
        <w:t xml:space="preserve">PROCESALES. PARA DETERMINAR SI UN FUNCIONARIO JUDICIAL ACTUÓ </w:t>
      </w:r>
      <w:r w:rsidRPr="00CF5018">
        <w:rPr>
          <w:rFonts w:ascii="Palatino Linotype" w:eastAsia="Palatino Linotype" w:hAnsi="Palatino Linotype" w:cs="Palatino Linotype"/>
          <w:color w:val="000000"/>
        </w:rPr>
        <w:t>INDEBIDAMENTE</w:t>
      </w:r>
      <w:r w:rsidRPr="00CF5018">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CF5018">
        <w:rPr>
          <w:rFonts w:ascii="Palatino Linotype" w:eastAsia="Palatino Linotype" w:hAnsi="Palatino Linotype" w:cs="Palatino Linotype"/>
          <w:color w:val="000000"/>
        </w:rPr>
        <w:t>, visible en la Gaceta del Seminario Judicial de la Federación con el registro digital 205635.</w:t>
      </w:r>
    </w:p>
    <w:p w14:paraId="331B4242" w14:textId="77777777" w:rsidR="0077213B" w:rsidRPr="00CF5018" w:rsidRDefault="0077213B" w:rsidP="00B1526F">
      <w:pPr>
        <w:spacing w:line="360" w:lineRule="auto"/>
        <w:jc w:val="both"/>
        <w:rPr>
          <w:rFonts w:ascii="Palatino Linotype" w:eastAsia="Palatino Linotype" w:hAnsi="Palatino Linotype" w:cs="Palatino Linotype"/>
        </w:rPr>
      </w:pPr>
    </w:p>
    <w:p w14:paraId="37C9BC2A"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1445719" w14:textId="77777777" w:rsidR="0077213B" w:rsidRPr="00CF5018" w:rsidRDefault="0077213B" w:rsidP="00B152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5CE2AA1"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11464672" w14:textId="77777777" w:rsidR="0077213B" w:rsidRPr="00CF5018" w:rsidRDefault="0077213B" w:rsidP="00B1526F">
      <w:pPr>
        <w:spacing w:line="360" w:lineRule="auto"/>
        <w:jc w:val="both"/>
        <w:rPr>
          <w:rFonts w:ascii="Palatino Linotype" w:eastAsia="Palatino Linotype" w:hAnsi="Palatino Linotype" w:cs="Palatino Linotype"/>
        </w:rPr>
      </w:pPr>
    </w:p>
    <w:p w14:paraId="500942BA"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7228549D" w14:textId="77777777" w:rsidR="0077213B" w:rsidRPr="00CF5018" w:rsidRDefault="009F6B6E" w:rsidP="00B1526F">
      <w:pPr>
        <w:spacing w:line="360" w:lineRule="auto"/>
        <w:ind w:left="425" w:right="476"/>
        <w:jc w:val="both"/>
        <w:rPr>
          <w:rFonts w:ascii="Palatino Linotype" w:eastAsia="Palatino Linotype" w:hAnsi="Palatino Linotype" w:cs="Palatino Linotype"/>
          <w:sz w:val="22"/>
        </w:rPr>
      </w:pPr>
      <w:r w:rsidRPr="00CF5018">
        <w:rPr>
          <w:rFonts w:ascii="Palatino Linotype" w:eastAsia="Palatino Linotype" w:hAnsi="Palatino Linotype" w:cs="Palatino Linotype"/>
          <w:sz w:val="22"/>
        </w:rPr>
        <w:lastRenderedPageBreak/>
        <w:t xml:space="preserve"> </w:t>
      </w:r>
      <w:r w:rsidRPr="00CF5018">
        <w:rPr>
          <w:rFonts w:ascii="Palatino Linotype" w:eastAsia="Palatino Linotype" w:hAnsi="Palatino Linotype" w:cs="Palatino Linotype"/>
          <w:i/>
          <w:sz w:val="22"/>
        </w:rPr>
        <w:t>“PLAZO RAZONABLE PARA RESOLVER. DIMENSIÓN Y EFECTOS DE ESTE CONCEPTO CUANDO SE ADUCE EXCESIVA CARGA DE TRABAJO.”</w:t>
      </w:r>
      <w:r w:rsidRPr="00CF5018">
        <w:rPr>
          <w:rFonts w:ascii="Palatino Linotype" w:eastAsia="Palatino Linotype" w:hAnsi="Palatino Linotype" w:cs="Palatino Linotype"/>
          <w:sz w:val="22"/>
        </w:rPr>
        <w:t xml:space="preserve"> consultable en el Seminario Judicial de la Federación y su gaceta, con el registro digital 2002351.</w:t>
      </w:r>
    </w:p>
    <w:p w14:paraId="1042EE18" w14:textId="77777777" w:rsidR="0077213B" w:rsidRPr="00CF5018" w:rsidRDefault="0077213B" w:rsidP="00B1526F">
      <w:pPr>
        <w:spacing w:line="360" w:lineRule="auto"/>
        <w:ind w:left="425" w:right="476"/>
        <w:jc w:val="both"/>
        <w:rPr>
          <w:rFonts w:ascii="Palatino Linotype" w:eastAsia="Palatino Linotype" w:hAnsi="Palatino Linotype" w:cs="Palatino Linotype"/>
          <w:b/>
          <w:sz w:val="22"/>
        </w:rPr>
      </w:pPr>
    </w:p>
    <w:p w14:paraId="72B4C749" w14:textId="77777777" w:rsidR="0077213B" w:rsidRPr="00CF5018" w:rsidRDefault="009F6B6E" w:rsidP="00B1526F">
      <w:pPr>
        <w:spacing w:line="360" w:lineRule="auto"/>
        <w:ind w:left="425" w:right="476"/>
        <w:jc w:val="both"/>
        <w:rPr>
          <w:rFonts w:ascii="Palatino Linotype" w:eastAsia="Palatino Linotype" w:hAnsi="Palatino Linotype" w:cs="Palatino Linotype"/>
          <w:sz w:val="22"/>
        </w:rPr>
      </w:pPr>
      <w:r w:rsidRPr="00CF5018">
        <w:rPr>
          <w:rFonts w:ascii="Palatino Linotype" w:eastAsia="Palatino Linotype" w:hAnsi="Palatino Linotype" w:cs="Palatino Linotype"/>
          <w:i/>
          <w:sz w:val="22"/>
        </w:rPr>
        <w:t>“PLAZO RAZONABLE PARA RESOLVER. CONCEPTO Y ELEMENTOS QUE LO INTEGRAN A LA LUZ DEL DERECHO INTERNACIONAL DE LOS DERECHOS HUMANOS.”</w:t>
      </w:r>
      <w:r w:rsidRPr="00CF5018">
        <w:rPr>
          <w:rFonts w:ascii="Palatino Linotype" w:eastAsia="Palatino Linotype" w:hAnsi="Palatino Linotype" w:cs="Palatino Linotype"/>
          <w:sz w:val="22"/>
        </w:rPr>
        <w:t>, visible en el Seminario Judicial de la Federación y su gaceta, con el registro digital 2002350.”</w:t>
      </w:r>
    </w:p>
    <w:p w14:paraId="1C4E410B" w14:textId="77777777" w:rsidR="0077213B" w:rsidRPr="00CF5018" w:rsidRDefault="0077213B" w:rsidP="00B152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12210DA"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2et92p0" w:colFirst="0" w:colLast="0"/>
      <w:bookmarkEnd w:id="4"/>
      <w:r w:rsidRPr="00CF5018">
        <w:rPr>
          <w:rFonts w:ascii="Palatino Linotype" w:eastAsia="Palatino Linotype" w:hAnsi="Palatino Linotype" w:cs="Palatino Linotype"/>
          <w:color w:val="000000"/>
        </w:rPr>
        <w:t>Seguidamente, mediante acuerdo de fecha cinco de marzo de dos mil veinticuatro se decretó el cierre de instrucción, por lo que no habiendo más que hacer constar, y-------------------------------------------------------------------------------------------------</w:t>
      </w:r>
    </w:p>
    <w:p w14:paraId="17AD1735" w14:textId="77777777" w:rsidR="00C85858" w:rsidRPr="00CF5018" w:rsidRDefault="00C85858" w:rsidP="00B1526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12ED241C" w14:textId="77777777" w:rsidR="0077213B" w:rsidRPr="00CF5018" w:rsidRDefault="009F6B6E" w:rsidP="00B1526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CF5018">
        <w:rPr>
          <w:rFonts w:ascii="Palatino Linotype" w:eastAsia="Palatino Linotype" w:hAnsi="Palatino Linotype" w:cs="Palatino Linotype"/>
          <w:b/>
          <w:color w:val="000000"/>
        </w:rPr>
        <w:t>CONSIDERANDO</w:t>
      </w:r>
    </w:p>
    <w:p w14:paraId="2E8F0065" w14:textId="77777777" w:rsidR="0077213B" w:rsidRPr="00CF5018" w:rsidRDefault="0077213B" w:rsidP="00B1526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3F0EE6D7" w14:textId="77777777" w:rsidR="0077213B" w:rsidRPr="00CF5018" w:rsidRDefault="009F6B6E" w:rsidP="00B1526F">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CF5018">
        <w:rPr>
          <w:rFonts w:ascii="Palatino Linotype" w:eastAsia="Palatino Linotype" w:hAnsi="Palatino Linotype" w:cs="Palatino Linotype"/>
          <w:b/>
          <w:color w:val="000000"/>
          <w:sz w:val="24"/>
          <w:szCs w:val="24"/>
        </w:rPr>
        <w:t>PRIMERO. De la competencia</w:t>
      </w:r>
    </w:p>
    <w:p w14:paraId="45E07C58"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w:t>
      </w:r>
      <w:r w:rsidRPr="00CF5018">
        <w:rPr>
          <w:rFonts w:ascii="Palatino Linotype" w:eastAsia="Palatino Linotype" w:hAnsi="Palatino Linotype" w:cs="Palatino Linotype"/>
          <w:color w:val="000000"/>
        </w:rPr>
        <w:lastRenderedPageBreak/>
        <w:t>y 7, 9 fracciones I y XXIV, y 11 del Reglamento Interior del Instituto de Transparencia, Acceso a la Información Pública y Protección de Datos Personales del Estado de México y Municipios.</w:t>
      </w:r>
    </w:p>
    <w:p w14:paraId="500F277D" w14:textId="77777777" w:rsidR="0077213B" w:rsidRPr="00CF5018" w:rsidRDefault="0077213B" w:rsidP="00B1526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06AD959" w14:textId="77777777" w:rsidR="0077213B" w:rsidRPr="00CF5018" w:rsidRDefault="009F6B6E" w:rsidP="00B1526F">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CF5018">
        <w:rPr>
          <w:rFonts w:ascii="Palatino Linotype" w:eastAsia="Palatino Linotype" w:hAnsi="Palatino Linotype" w:cs="Palatino Linotype"/>
          <w:b/>
          <w:color w:val="000000"/>
          <w:sz w:val="24"/>
          <w:szCs w:val="24"/>
        </w:rPr>
        <w:t>SEGUNDO. De la oportunidad y procedencia.</w:t>
      </w:r>
    </w:p>
    <w:p w14:paraId="67795092"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color w:val="000000"/>
        </w:rPr>
        <w:t xml:space="preserve">El medio de impugnación fue presentado a través del </w:t>
      </w:r>
      <w:r w:rsidRPr="00CF5018">
        <w:rPr>
          <w:rFonts w:ascii="Palatino Linotype" w:eastAsia="Palatino Linotype" w:hAnsi="Palatino Linotype" w:cs="Palatino Linotype"/>
          <w:b/>
          <w:color w:val="000000"/>
        </w:rPr>
        <w:t>SAIMEX,</w:t>
      </w:r>
      <w:r w:rsidRPr="00CF5018">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CF5018">
        <w:rPr>
          <w:rFonts w:ascii="Palatino Linotype" w:eastAsia="Palatino Linotype" w:hAnsi="Palatino Linotype" w:cs="Palatino Linotype"/>
          <w:b/>
          <w:color w:val="000000"/>
        </w:rPr>
        <w:t>SUJETO OBLIGADO</w:t>
      </w:r>
      <w:r w:rsidRPr="00CF5018">
        <w:rPr>
          <w:rFonts w:ascii="Palatino Linotype" w:eastAsia="Palatino Linotype" w:hAnsi="Palatino Linotype" w:cs="Palatino Linotype"/>
          <w:color w:val="000000"/>
        </w:rPr>
        <w:t xml:space="preserve"> entregó su respuesta el cuatro de abril de dos mil veintidós, de tal forma que el plazo para interponer el recurso de revisión transcurrió del día cinco de abril al dos de mayo de dos mil veintidós; en consecuencia, el ahora </w:t>
      </w:r>
      <w:r w:rsidRPr="00CF5018">
        <w:rPr>
          <w:rFonts w:ascii="Palatino Linotype" w:eastAsia="Palatino Linotype" w:hAnsi="Palatino Linotype" w:cs="Palatino Linotype"/>
          <w:b/>
          <w:color w:val="000000"/>
        </w:rPr>
        <w:t>RECURRENTE</w:t>
      </w:r>
      <w:r w:rsidRPr="00CF5018">
        <w:rPr>
          <w:rFonts w:ascii="Palatino Linotype" w:eastAsia="Palatino Linotype" w:hAnsi="Palatino Linotype" w:cs="Palatino Linotype"/>
          <w:color w:val="000000"/>
        </w:rPr>
        <w:t xml:space="preserve"> presentó su inconformidad el día nueve de abril de dos mil veintidós; por lo que se estima que la inconformidad se presentó dentro del lapso legalmente establecido para tal efecto.</w:t>
      </w:r>
    </w:p>
    <w:p w14:paraId="3414D0A6" w14:textId="77777777" w:rsidR="0077213B" w:rsidRPr="00CF5018" w:rsidRDefault="0077213B" w:rsidP="00B1526F">
      <w:pPr>
        <w:spacing w:line="360" w:lineRule="auto"/>
        <w:rPr>
          <w:rFonts w:ascii="Palatino Linotype" w:eastAsia="Palatino Linotype" w:hAnsi="Palatino Linotype" w:cs="Palatino Linotype"/>
        </w:rPr>
      </w:pPr>
    </w:p>
    <w:p w14:paraId="1D954174"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1FCCE1F" w14:textId="77777777" w:rsidR="0077213B" w:rsidRPr="00CF5018" w:rsidRDefault="0077213B" w:rsidP="00B1526F">
      <w:pPr>
        <w:pBdr>
          <w:top w:val="nil"/>
          <w:left w:val="nil"/>
          <w:bottom w:val="nil"/>
          <w:right w:val="nil"/>
          <w:between w:val="nil"/>
        </w:pBdr>
        <w:spacing w:line="360" w:lineRule="auto"/>
        <w:rPr>
          <w:rFonts w:ascii="Palatino Linotype" w:eastAsia="Palatino Linotype" w:hAnsi="Palatino Linotype" w:cs="Palatino Linotype"/>
          <w:color w:val="000000"/>
        </w:rPr>
      </w:pPr>
    </w:p>
    <w:p w14:paraId="5A7C199B" w14:textId="77777777" w:rsidR="0077213B" w:rsidRPr="00CF5018" w:rsidRDefault="009F6B6E" w:rsidP="00B1526F">
      <w:pPr>
        <w:pStyle w:val="Ttulo1"/>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CF5018">
        <w:rPr>
          <w:rFonts w:ascii="Palatino Linotype" w:eastAsia="Palatino Linotype" w:hAnsi="Palatino Linotype" w:cs="Palatino Linotype"/>
          <w:b/>
          <w:color w:val="000000"/>
          <w:sz w:val="24"/>
          <w:szCs w:val="24"/>
        </w:rPr>
        <w:t xml:space="preserve">TERCERO. Del planteamiento de la </w:t>
      </w:r>
      <w:r w:rsidRPr="00CF5018">
        <w:rPr>
          <w:rFonts w:ascii="Palatino Linotype" w:eastAsia="Palatino Linotype" w:hAnsi="Palatino Linotype" w:cs="Palatino Linotype"/>
          <w:b/>
          <w:i/>
          <w:color w:val="000000"/>
          <w:sz w:val="24"/>
          <w:szCs w:val="24"/>
        </w:rPr>
        <w:t>Litis</w:t>
      </w:r>
      <w:r w:rsidRPr="00CF5018">
        <w:rPr>
          <w:rFonts w:ascii="Palatino Linotype" w:eastAsia="Palatino Linotype" w:hAnsi="Palatino Linotype" w:cs="Palatino Linotype"/>
          <w:b/>
          <w:color w:val="000000"/>
          <w:sz w:val="24"/>
          <w:szCs w:val="24"/>
        </w:rPr>
        <w:t>.</w:t>
      </w:r>
    </w:p>
    <w:p w14:paraId="26493A1B" w14:textId="77777777" w:rsidR="0077213B" w:rsidRPr="00CF5018" w:rsidRDefault="009F6B6E" w:rsidP="00B1526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color w:val="000000"/>
        </w:rPr>
        <w:t>Se solicitó tener acceso, a la información que a continuación se desagrega:</w:t>
      </w:r>
    </w:p>
    <w:p w14:paraId="55E84060" w14:textId="77777777" w:rsidR="0077213B" w:rsidRPr="00CF5018" w:rsidRDefault="009F6B6E" w:rsidP="00B1526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CF5018">
        <w:rPr>
          <w:rFonts w:ascii="Palatino Linotype" w:eastAsia="Palatino Linotype" w:hAnsi="Palatino Linotype" w:cs="Palatino Linotype"/>
          <w:b/>
          <w:color w:val="000000"/>
          <w:sz w:val="22"/>
        </w:rPr>
        <w:t xml:space="preserve">Expediente EI/III/295/2019. </w:t>
      </w:r>
    </w:p>
    <w:p w14:paraId="49FA809C" w14:textId="77777777" w:rsidR="0077213B" w:rsidRPr="00CF5018" w:rsidRDefault="0077213B" w:rsidP="00B1526F">
      <w:pPr>
        <w:spacing w:line="360" w:lineRule="auto"/>
        <w:jc w:val="both"/>
        <w:rPr>
          <w:rFonts w:ascii="Palatino Linotype" w:eastAsia="Palatino Linotype" w:hAnsi="Palatino Linotype" w:cs="Palatino Linotype"/>
          <w:b/>
        </w:rPr>
      </w:pPr>
    </w:p>
    <w:p w14:paraId="2A24C36E"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i/>
          <w:color w:val="000000"/>
        </w:rPr>
      </w:pPr>
      <w:r w:rsidRPr="00CF5018">
        <w:rPr>
          <w:rFonts w:ascii="Palatino Linotype" w:eastAsia="Palatino Linotype" w:hAnsi="Palatino Linotype" w:cs="Palatino Linotype"/>
        </w:rPr>
        <w:lastRenderedPageBreak/>
        <w:t xml:space="preserve">En respuesta, el </w:t>
      </w:r>
      <w:r w:rsidRPr="00CF5018">
        <w:rPr>
          <w:rFonts w:ascii="Palatino Linotype" w:eastAsia="Palatino Linotype" w:hAnsi="Palatino Linotype" w:cs="Palatino Linotype"/>
          <w:b/>
        </w:rPr>
        <w:t xml:space="preserve">SUJETO OBLIGADO </w:t>
      </w:r>
      <w:r w:rsidRPr="00CF5018">
        <w:rPr>
          <w:rFonts w:ascii="Palatino Linotype" w:eastAsia="Palatino Linotype" w:hAnsi="Palatino Linotype" w:cs="Palatino Linotype"/>
          <w:i/>
        </w:rPr>
        <w:t>grosso modo</w:t>
      </w:r>
      <w:r w:rsidRPr="00CF5018">
        <w:rPr>
          <w:rFonts w:ascii="Palatino Linotype" w:eastAsia="Palatino Linotype" w:hAnsi="Palatino Linotype" w:cs="Palatino Linotype"/>
        </w:rPr>
        <w:t>, clasificó la información requerida por corresponder a un procedimiento de investigación que no ha quedado firme. Inconforme con la respuesta, la particular interpuso recurso de revisión en contra de la negativa de la entrega de la información por estar reservada.</w:t>
      </w:r>
    </w:p>
    <w:p w14:paraId="5F6A15DF" w14:textId="77777777" w:rsidR="0077213B" w:rsidRPr="00CF5018" w:rsidRDefault="009F6B6E" w:rsidP="00B1526F">
      <w:pPr>
        <w:tabs>
          <w:tab w:val="left" w:pos="933"/>
        </w:tabs>
        <w:spacing w:line="360" w:lineRule="auto"/>
        <w:jc w:val="both"/>
        <w:rPr>
          <w:rFonts w:ascii="Palatino Linotype" w:eastAsia="Palatino Linotype" w:hAnsi="Palatino Linotype" w:cs="Palatino Linotype"/>
        </w:rPr>
      </w:pPr>
      <w:r w:rsidRPr="00CF5018">
        <w:rPr>
          <w:rFonts w:ascii="Palatino Linotype" w:eastAsia="Palatino Linotype" w:hAnsi="Palatino Linotype" w:cs="Palatino Linotype"/>
        </w:rPr>
        <w:tab/>
      </w:r>
    </w:p>
    <w:p w14:paraId="03D5EDB9"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 xml:space="preserve">En dichas condiciones, la </w:t>
      </w:r>
      <w:r w:rsidRPr="00CF5018">
        <w:rPr>
          <w:rFonts w:ascii="Palatino Linotype" w:eastAsia="Palatino Linotype" w:hAnsi="Palatino Linotype" w:cs="Palatino Linotype"/>
          <w:i/>
        </w:rPr>
        <w:t>Litis</w:t>
      </w:r>
      <w:r w:rsidRPr="00CF5018">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CF5018">
        <w:rPr>
          <w:rFonts w:ascii="Palatino Linotype" w:eastAsia="Palatino Linotype" w:hAnsi="Palatino Linotype" w:cs="Palatino Linotype"/>
          <w:b/>
        </w:rPr>
        <w:t xml:space="preserve">fracción I y II </w:t>
      </w:r>
      <w:r w:rsidRPr="00CF5018">
        <w:rPr>
          <w:rFonts w:ascii="Palatino Linotype" w:eastAsia="Palatino Linotype" w:hAnsi="Palatino Linotype" w:cs="Palatino Linotype"/>
        </w:rPr>
        <w:t xml:space="preserve">de la </w:t>
      </w:r>
      <w:r w:rsidRPr="00CF5018">
        <w:rPr>
          <w:rFonts w:ascii="Palatino Linotype" w:eastAsia="Palatino Linotype" w:hAnsi="Palatino Linotype" w:cs="Palatino Linotype"/>
          <w:b/>
        </w:rPr>
        <w:t xml:space="preserve">Ley de Transparencia y Acceso a la Información Pública del Estado de </w:t>
      </w:r>
      <w:r w:rsidRPr="00CF5018">
        <w:rPr>
          <w:rFonts w:ascii="Palatino Linotype" w:eastAsia="Palatino Linotype" w:hAnsi="Palatino Linotype" w:cs="Palatino Linotype"/>
        </w:rPr>
        <w:t>México</w:t>
      </w:r>
      <w:r w:rsidRPr="00CF5018">
        <w:rPr>
          <w:rFonts w:ascii="Palatino Linotype" w:eastAsia="Palatino Linotype" w:hAnsi="Palatino Linotype" w:cs="Palatino Linotype"/>
          <w:b/>
        </w:rPr>
        <w:t xml:space="preserve"> y </w:t>
      </w:r>
      <w:r w:rsidRPr="00CF5018">
        <w:rPr>
          <w:rFonts w:ascii="Palatino Linotype" w:eastAsia="Palatino Linotype" w:hAnsi="Palatino Linotype" w:cs="Palatino Linotype"/>
        </w:rPr>
        <w:t xml:space="preserve">Municipios; </w:t>
      </w:r>
      <w:r w:rsidRPr="00CF5018">
        <w:rPr>
          <w:rFonts w:ascii="Palatino Linotype" w:eastAsia="Palatino Linotype" w:hAnsi="Palatino Linotype" w:cs="Palatino Linotype"/>
          <w:color w:val="000000"/>
        </w:rPr>
        <w:t xml:space="preserve">fracciones que determinan las hipótesis jurídicas relativas a la negativa a la información solicitada y la clasificación de la información; </w:t>
      </w:r>
      <w:r w:rsidRPr="00CF5018">
        <w:rPr>
          <w:rFonts w:ascii="Palatino Linotype" w:eastAsia="Palatino Linotype" w:hAnsi="Palatino Linotype" w:cs="Palatino Linotype"/>
        </w:rPr>
        <w:t xml:space="preserve">contexto del cual se dolió </w:t>
      </w:r>
      <w:r w:rsidRPr="00CF5018">
        <w:rPr>
          <w:rFonts w:ascii="Palatino Linotype" w:eastAsia="Palatino Linotype" w:hAnsi="Palatino Linotype" w:cs="Palatino Linotype"/>
          <w:b/>
        </w:rPr>
        <w:t xml:space="preserve">LA RECURRENTE </w:t>
      </w:r>
      <w:r w:rsidRPr="00CF5018">
        <w:rPr>
          <w:rFonts w:ascii="Palatino Linotype" w:eastAsia="Palatino Linotype" w:hAnsi="Palatino Linotype" w:cs="Palatino Linotype"/>
        </w:rPr>
        <w:t>al momento de interponer su inconformidad.</w:t>
      </w:r>
      <w:r w:rsidRPr="00CF5018">
        <w:rPr>
          <w:rFonts w:ascii="Palatino Linotype" w:eastAsia="Palatino Linotype" w:hAnsi="Palatino Linotype" w:cs="Palatino Linotype"/>
          <w:color w:val="000000"/>
        </w:rPr>
        <w:t xml:space="preserve"> De modo tal que el presente recurso de revisión se </w:t>
      </w:r>
      <w:r w:rsidRPr="00CF5018">
        <w:rPr>
          <w:rFonts w:ascii="Palatino Linotype" w:eastAsia="Palatino Linotype" w:hAnsi="Palatino Linotype" w:cs="Palatino Linotype"/>
        </w:rPr>
        <w:t>abocará</w:t>
      </w:r>
      <w:r w:rsidRPr="00CF5018">
        <w:rPr>
          <w:rFonts w:ascii="Palatino Linotype" w:eastAsia="Palatino Linotype" w:hAnsi="Palatino Linotype" w:cs="Palatino Linotype"/>
          <w:color w:val="000000"/>
        </w:rPr>
        <w:t xml:space="preserve"> en determinar si el </w:t>
      </w:r>
      <w:r w:rsidRPr="00CF5018">
        <w:rPr>
          <w:rFonts w:ascii="Palatino Linotype" w:eastAsia="Palatino Linotype" w:hAnsi="Palatino Linotype" w:cs="Palatino Linotype"/>
          <w:b/>
          <w:color w:val="000000"/>
        </w:rPr>
        <w:t>SUJETO</w:t>
      </w:r>
      <w:r w:rsidRPr="00CF5018">
        <w:rPr>
          <w:rFonts w:ascii="Palatino Linotype" w:eastAsia="Palatino Linotype" w:hAnsi="Palatino Linotype" w:cs="Palatino Linotype"/>
          <w:color w:val="000000"/>
        </w:rPr>
        <w:t xml:space="preserve"> </w:t>
      </w:r>
      <w:r w:rsidRPr="00CF5018">
        <w:rPr>
          <w:rFonts w:ascii="Palatino Linotype" w:eastAsia="Palatino Linotype" w:hAnsi="Palatino Linotype" w:cs="Palatino Linotype"/>
          <w:b/>
          <w:color w:val="000000"/>
        </w:rPr>
        <w:t>OBLIGADO</w:t>
      </w:r>
      <w:r w:rsidRPr="00CF5018">
        <w:rPr>
          <w:rFonts w:ascii="Palatino Linotype" w:eastAsia="Palatino Linotype" w:hAnsi="Palatino Linotype" w:cs="Palatino Linotype"/>
          <w:color w:val="000000"/>
        </w:rPr>
        <w:t xml:space="preserve"> con su respuesta ciertamente actualiza la causal de procedencia</w:t>
      </w:r>
      <w:r w:rsidRPr="00CF5018">
        <w:rPr>
          <w:rFonts w:ascii="Palatino Linotype" w:eastAsia="Palatino Linotype" w:hAnsi="Palatino Linotype" w:cs="Palatino Linotype"/>
          <w:b/>
          <w:color w:val="000000"/>
        </w:rPr>
        <w:t xml:space="preserve"> </w:t>
      </w:r>
      <w:r w:rsidRPr="00CF5018">
        <w:rPr>
          <w:rFonts w:ascii="Palatino Linotype" w:eastAsia="Palatino Linotype" w:hAnsi="Palatino Linotype" w:cs="Palatino Linotype"/>
          <w:color w:val="000000"/>
        </w:rPr>
        <w:t xml:space="preserve">antes señalada. </w:t>
      </w:r>
    </w:p>
    <w:p w14:paraId="410D804A" w14:textId="77777777" w:rsidR="0077213B" w:rsidRPr="00CF5018" w:rsidRDefault="0077213B" w:rsidP="00B1526F">
      <w:pPr>
        <w:spacing w:line="360" w:lineRule="auto"/>
        <w:rPr>
          <w:rFonts w:ascii="Palatino Linotype" w:eastAsia="Palatino Linotype" w:hAnsi="Palatino Linotype" w:cs="Palatino Linotype"/>
        </w:rPr>
      </w:pPr>
    </w:p>
    <w:p w14:paraId="3DFF658F" w14:textId="77777777" w:rsidR="0077213B" w:rsidRPr="00CF5018" w:rsidRDefault="009F6B6E" w:rsidP="00B1526F">
      <w:pPr>
        <w:pStyle w:val="Ttulo2"/>
        <w:spacing w:before="0" w:line="360" w:lineRule="auto"/>
        <w:rPr>
          <w:rFonts w:ascii="Palatino Linotype" w:eastAsia="Palatino Linotype" w:hAnsi="Palatino Linotype" w:cs="Palatino Linotype"/>
          <w:b/>
          <w:color w:val="000000"/>
          <w:sz w:val="24"/>
          <w:szCs w:val="24"/>
        </w:rPr>
      </w:pPr>
      <w:bookmarkStart w:id="8" w:name="_heading=h.4d34og8" w:colFirst="0" w:colLast="0"/>
      <w:bookmarkEnd w:id="8"/>
      <w:r w:rsidRPr="00CF5018">
        <w:rPr>
          <w:rFonts w:ascii="Palatino Linotype" w:eastAsia="Palatino Linotype" w:hAnsi="Palatino Linotype" w:cs="Palatino Linotype"/>
          <w:b/>
          <w:color w:val="000000"/>
          <w:sz w:val="24"/>
          <w:szCs w:val="24"/>
        </w:rPr>
        <w:t>CUARTO. Del estudio y resolución del asunto.</w:t>
      </w:r>
    </w:p>
    <w:p w14:paraId="21A8016C" w14:textId="77777777" w:rsidR="0077213B" w:rsidRPr="00CF5018" w:rsidRDefault="009F6B6E" w:rsidP="00B1526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F5018">
        <w:rPr>
          <w:rFonts w:ascii="Palatino Linotype" w:eastAsia="Palatino Linotype" w:hAnsi="Palatino Linotype" w:cs="Palatino Linotype"/>
          <w:b/>
          <w:color w:val="000000"/>
        </w:rPr>
        <w:t>Marco normativo aplicable en materia de transparencia y acceso a la información pública.</w:t>
      </w:r>
    </w:p>
    <w:p w14:paraId="743C6AC0"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 xml:space="preserve">Acotada la </w:t>
      </w:r>
      <w:r w:rsidRPr="00CF5018">
        <w:rPr>
          <w:rFonts w:ascii="Palatino Linotype" w:eastAsia="Palatino Linotype" w:hAnsi="Palatino Linotype" w:cs="Palatino Linotype"/>
          <w:i/>
        </w:rPr>
        <w:t>Litis</w:t>
      </w:r>
      <w:r w:rsidRPr="00CF5018">
        <w:rPr>
          <w:rFonts w:ascii="Palatino Linotype" w:eastAsia="Palatino Linotype" w:hAnsi="Palatino Linotype" w:cs="Palatino Linotype"/>
        </w:rPr>
        <w:t xml:space="preserve"> del asunto de mérito, es dable puntualizar inicialmente en términos </w:t>
      </w:r>
      <w:r w:rsidRPr="00CF5018">
        <w:rPr>
          <w:rFonts w:ascii="Palatino Linotype" w:eastAsia="Palatino Linotype" w:hAnsi="Palatino Linotype" w:cs="Palatino Linotype"/>
          <w:color w:val="000000"/>
        </w:rPr>
        <w:t>generales</w:t>
      </w:r>
      <w:r w:rsidRPr="00CF5018">
        <w:rPr>
          <w:rFonts w:ascii="Palatino Linotype" w:eastAsia="Palatino Linotype" w:hAnsi="Palatino Linotype" w:cs="Palatino Linotype"/>
        </w:rPr>
        <w:t xml:space="preserve">, que el </w:t>
      </w:r>
      <w:r w:rsidRPr="00CF5018">
        <w:rPr>
          <w:rFonts w:ascii="Palatino Linotype" w:eastAsia="Palatino Linotype" w:hAnsi="Palatino Linotype" w:cs="Palatino Linotype"/>
          <w:color w:val="000000"/>
        </w:rPr>
        <w:t>Derecho</w:t>
      </w:r>
      <w:r w:rsidRPr="00CF5018">
        <w:rPr>
          <w:rFonts w:ascii="Palatino Linotype" w:eastAsia="Palatino Linotype" w:hAnsi="Palatino Linotype" w:cs="Palatino Linotype"/>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w:t>
      </w:r>
      <w:r w:rsidRPr="00CF5018">
        <w:rPr>
          <w:rFonts w:ascii="Palatino Linotype" w:eastAsia="Palatino Linotype" w:hAnsi="Palatino Linotype" w:cs="Palatino Linotype"/>
        </w:rPr>
        <w:lastRenderedPageBreak/>
        <w:t>de cualquier autoridad es pública y sólo podrá ser reservada temporalmente por razones de interés público.</w:t>
      </w:r>
    </w:p>
    <w:p w14:paraId="4CD83B37" w14:textId="77777777" w:rsidR="0077213B" w:rsidRPr="00CF5018" w:rsidRDefault="0077213B" w:rsidP="00B1526F">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1E648360"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110BDEA" w14:textId="77777777" w:rsidR="0077213B" w:rsidRPr="00CF5018" w:rsidRDefault="0077213B" w:rsidP="00B1526F">
      <w:pPr>
        <w:spacing w:line="360" w:lineRule="auto"/>
        <w:jc w:val="both"/>
        <w:rPr>
          <w:rFonts w:ascii="Palatino Linotype" w:eastAsia="Palatino Linotype" w:hAnsi="Palatino Linotype" w:cs="Palatino Linotype"/>
        </w:rPr>
      </w:pPr>
    </w:p>
    <w:p w14:paraId="4A526AC9"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56D78460" w14:textId="77777777" w:rsidR="0077213B" w:rsidRPr="00CF5018" w:rsidRDefault="0077213B" w:rsidP="00B1526F">
      <w:pPr>
        <w:pBdr>
          <w:top w:val="nil"/>
          <w:left w:val="nil"/>
          <w:bottom w:val="nil"/>
          <w:right w:val="nil"/>
          <w:between w:val="nil"/>
        </w:pBdr>
        <w:spacing w:line="360" w:lineRule="auto"/>
        <w:rPr>
          <w:rFonts w:ascii="Palatino Linotype" w:eastAsia="Palatino Linotype" w:hAnsi="Palatino Linotype" w:cs="Palatino Linotype"/>
          <w:color w:val="000000"/>
        </w:rPr>
      </w:pPr>
    </w:p>
    <w:p w14:paraId="24FE2B2C"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 xml:space="preserve">Finalmente, es relevante mencionar que el artículo 19 del ordenamiento local de la materia señala que se presume que la información debe existir si se refiere a las </w:t>
      </w:r>
      <w:r w:rsidRPr="00CF5018">
        <w:rPr>
          <w:rFonts w:ascii="Palatino Linotype" w:eastAsia="Palatino Linotype" w:hAnsi="Palatino Linotype" w:cs="Palatino Linotype"/>
        </w:rPr>
        <w:lastRenderedPageBreak/>
        <w:t>facultades, competencias y funciones que los ordenamientos jurídicos aplicables otorgan a los sujetos obligados y en caso de que dichas facultades no se hayan ejercido, se deberá motivar la respuesta en función de las causas que motivaron tal circunstancia.</w:t>
      </w:r>
    </w:p>
    <w:p w14:paraId="45CAF7B9" w14:textId="77777777" w:rsidR="0077213B" w:rsidRPr="00CF5018" w:rsidRDefault="0077213B" w:rsidP="00B1526F">
      <w:pPr>
        <w:spacing w:line="360" w:lineRule="auto"/>
        <w:rPr>
          <w:rFonts w:ascii="Palatino Linotype" w:eastAsia="Palatino Linotype" w:hAnsi="Palatino Linotype" w:cs="Palatino Linotype"/>
        </w:rPr>
      </w:pPr>
    </w:p>
    <w:p w14:paraId="168E4BA7" w14:textId="77777777" w:rsidR="0077213B" w:rsidRPr="00CF5018" w:rsidRDefault="009F6B6E" w:rsidP="00B1526F">
      <w:pPr>
        <w:numPr>
          <w:ilvl w:val="0"/>
          <w:numId w:val="2"/>
        </w:numPr>
        <w:pBdr>
          <w:top w:val="nil"/>
          <w:left w:val="nil"/>
          <w:bottom w:val="nil"/>
          <w:right w:val="nil"/>
          <w:between w:val="nil"/>
        </w:pBdr>
        <w:spacing w:line="360" w:lineRule="auto"/>
        <w:ind w:right="757"/>
        <w:jc w:val="both"/>
        <w:rPr>
          <w:rFonts w:ascii="Palatino Linotype" w:eastAsia="Palatino Linotype" w:hAnsi="Palatino Linotype" w:cs="Palatino Linotype"/>
          <w:b/>
          <w:color w:val="000000"/>
        </w:rPr>
      </w:pPr>
      <w:r w:rsidRPr="00CF5018">
        <w:rPr>
          <w:rFonts w:ascii="Palatino Linotype" w:eastAsia="Palatino Linotype" w:hAnsi="Palatino Linotype" w:cs="Palatino Linotype"/>
          <w:b/>
          <w:color w:val="000000"/>
        </w:rPr>
        <w:t>Estudio de fondo</w:t>
      </w:r>
    </w:p>
    <w:p w14:paraId="495573CB"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color w:val="000000"/>
        </w:rPr>
        <w:t xml:space="preserve">Acotada la </w:t>
      </w:r>
      <w:r w:rsidRPr="00CF5018">
        <w:rPr>
          <w:rFonts w:ascii="Palatino Linotype" w:eastAsia="Palatino Linotype" w:hAnsi="Palatino Linotype" w:cs="Palatino Linotype"/>
          <w:i/>
          <w:color w:val="000000"/>
        </w:rPr>
        <w:t>Litis</w:t>
      </w:r>
      <w:r w:rsidRPr="00CF5018">
        <w:rPr>
          <w:rFonts w:ascii="Palatino Linotype" w:eastAsia="Palatino Linotype" w:hAnsi="Palatino Linotype" w:cs="Palatino Linotype"/>
          <w:color w:val="000000"/>
        </w:rPr>
        <w:t xml:space="preserve"> del presente asunto, primeramente es menester recordar que la respuesta del </w:t>
      </w:r>
      <w:r w:rsidRPr="00CF5018">
        <w:rPr>
          <w:rFonts w:ascii="Palatino Linotype" w:eastAsia="Palatino Linotype" w:hAnsi="Palatino Linotype" w:cs="Palatino Linotype"/>
          <w:b/>
          <w:color w:val="000000"/>
        </w:rPr>
        <w:t>SUJETO OBLIGADO</w:t>
      </w:r>
      <w:r w:rsidRPr="00CF5018">
        <w:rPr>
          <w:rFonts w:ascii="Palatino Linotype" w:eastAsia="Palatino Linotype" w:hAnsi="Palatino Linotype" w:cs="Palatino Linotype"/>
          <w:color w:val="000000"/>
        </w:rPr>
        <w:t xml:space="preserve"> está encaminada a clasificar como reservada la información derivado de que el expediente que señala la particular surgió con motivo de una presunta falta de responsabilidad administrativa atribuida a servidores públicos de elección popular, de modo que se está sustanciado un procedimiento administrativo disciplinario con la Autoridad Investigadora "D" con sede en Chalco </w:t>
      </w:r>
      <w:r w:rsidRPr="00CF5018">
        <w:rPr>
          <w:rFonts w:ascii="Palatino Linotype" w:eastAsia="Palatino Linotype" w:hAnsi="Palatino Linotype" w:cs="Palatino Linotype"/>
        </w:rPr>
        <w:t>dependiente</w:t>
      </w:r>
      <w:r w:rsidRPr="00CF5018">
        <w:rPr>
          <w:rFonts w:ascii="Palatino Linotype" w:eastAsia="Palatino Linotype" w:hAnsi="Palatino Linotype" w:cs="Palatino Linotype"/>
          <w:color w:val="000000"/>
        </w:rPr>
        <w:t xml:space="preserve"> de la Dirección de Responsabilidades Administrativas de la Contraloría del Poder Legislativo del Estado de México, procedimiento que está en trámite y pendiente de concluir los actos de investigación propias del procedimiento; estableciendo también que es imprescindible y necesario mantener la indagatoria en reserva, evitando alterar el adecuado proceso deliberativo para fincar o no una responsabilidad al servidor público involucrado, hasta en tanto no se haya dictado una resolución que le ponga fin.</w:t>
      </w:r>
    </w:p>
    <w:p w14:paraId="6E481B6B" w14:textId="77777777" w:rsidR="0077213B" w:rsidRPr="00CF5018" w:rsidRDefault="0077213B" w:rsidP="00B1526F">
      <w:pPr>
        <w:spacing w:line="360" w:lineRule="auto"/>
        <w:jc w:val="both"/>
        <w:rPr>
          <w:rFonts w:ascii="Palatino Linotype" w:eastAsia="Palatino Linotype" w:hAnsi="Palatino Linotype" w:cs="Palatino Linotype"/>
        </w:rPr>
      </w:pPr>
    </w:p>
    <w:p w14:paraId="5F50CE8E"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 xml:space="preserve">Luego entonces es que con la finalidad de evitar obstruir los procedimientos para fincar responsabilidad a </w:t>
      </w:r>
      <w:r w:rsidRPr="00CF5018">
        <w:rPr>
          <w:rFonts w:ascii="Palatino Linotype" w:eastAsia="Palatino Linotype" w:hAnsi="Palatino Linotype" w:cs="Palatino Linotype"/>
          <w:color w:val="000000"/>
        </w:rPr>
        <w:t>los</w:t>
      </w:r>
      <w:r w:rsidRPr="00CF5018">
        <w:rPr>
          <w:rFonts w:ascii="Palatino Linotype" w:eastAsia="Palatino Linotype" w:hAnsi="Palatino Linotype" w:cs="Palatino Linotype"/>
        </w:rPr>
        <w:t xml:space="preserve"> Servidores Públicos, en tanto no se haya dictado la resolución administrativa, la unidad administrativa poseedora del expediente </w:t>
      </w:r>
      <w:r w:rsidRPr="00CF5018">
        <w:rPr>
          <w:rFonts w:ascii="Palatino Linotype" w:eastAsia="Palatino Linotype" w:hAnsi="Palatino Linotype" w:cs="Palatino Linotype"/>
        </w:rPr>
        <w:lastRenderedPageBreak/>
        <w:t>requerido, sometió a propuesta del Comité de Transparencia la clasificación de la información</w:t>
      </w:r>
    </w:p>
    <w:p w14:paraId="3A111300" w14:textId="77777777" w:rsidR="0077213B" w:rsidRPr="00CF5018" w:rsidRDefault="0077213B" w:rsidP="00B1526F">
      <w:pPr>
        <w:spacing w:line="360" w:lineRule="auto"/>
        <w:jc w:val="both"/>
        <w:rPr>
          <w:rFonts w:ascii="Palatino Linotype" w:eastAsia="Palatino Linotype" w:hAnsi="Palatino Linotype" w:cs="Palatino Linotype"/>
        </w:rPr>
      </w:pPr>
    </w:p>
    <w:p w14:paraId="3C12B2AE"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 xml:space="preserve">Atento a lo anterior, resulta un contexto que ciertamente se justifica para proponer la clasificación de la información,  por actualizar cada uno de los supuestos invocados, ya que, se precisa que si se puede causar el daño u obstruya, afecte o vulnere la conducción o los derechos del debido proceso en los procedimientos judiciales o administrativos (fracción VI), que se vulnere la conducción de los expedientes judiciales o de los procedimientos administrativos seguidos en forma de juicio (fracción VIII) y, el daño que pueda producirse con la publicación de la información sea mayor que el interés público de conocer la información de referencia, siempre que esté directamente relacionado con procesos o procedimientos administrativos o judiciales que no hayan quedado firmes (fracción X); toda vez que se precisan los elementos coincidentes en los tres supuestos señalados, referente a que se trate de procedimientos que hayan quedado firmes, sin indicar que las razones por las cuales se consideró que se actualizan dichos supuestos, en su totalidad y no de manera parcial, ya que cada una de las hipótesis, señala circunstancias particulares. </w:t>
      </w:r>
    </w:p>
    <w:p w14:paraId="345D8239" w14:textId="77777777" w:rsidR="0077213B" w:rsidRPr="00CF5018" w:rsidRDefault="0077213B" w:rsidP="00B152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259835A"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 xml:space="preserve">Aunado a lo anterior, se advierte que el Comité de Transparencia emite el acta respectiva con la debida fundamentación y motivación, en razón de que, la reserva de la información se sustentó mediante la aplicación de una </w:t>
      </w:r>
      <w:r w:rsidRPr="00CF5018">
        <w:rPr>
          <w:rFonts w:ascii="Palatino Linotype" w:eastAsia="Palatino Linotype" w:hAnsi="Palatino Linotype" w:cs="Palatino Linotype"/>
          <w:b/>
        </w:rPr>
        <w:t>prueba de daño</w:t>
      </w:r>
      <w:r w:rsidRPr="00CF5018">
        <w:rPr>
          <w:rFonts w:ascii="Palatino Linotype" w:eastAsia="Palatino Linotype" w:hAnsi="Palatino Linotype" w:cs="Palatino Linotype"/>
        </w:rPr>
        <w:t xml:space="preserve">, como lo mandatan los artículos 114 de la Ley General de Transparencia y Acceso a </w:t>
      </w:r>
      <w:r w:rsidRPr="00CF5018">
        <w:rPr>
          <w:rFonts w:ascii="Palatino Linotype" w:eastAsia="Palatino Linotype" w:hAnsi="Palatino Linotype" w:cs="Palatino Linotype"/>
        </w:rPr>
        <w:lastRenderedPageBreak/>
        <w:t>la Información Pública</w:t>
      </w:r>
      <w:r w:rsidRPr="00CF5018">
        <w:rPr>
          <w:rFonts w:ascii="Palatino Linotype" w:eastAsia="Palatino Linotype" w:hAnsi="Palatino Linotype" w:cs="Palatino Linotype"/>
          <w:vertAlign w:val="superscript"/>
        </w:rPr>
        <w:footnoteReference w:id="1"/>
      </w:r>
      <w:r w:rsidRPr="00CF5018">
        <w:rPr>
          <w:rFonts w:ascii="Palatino Linotype" w:eastAsia="Palatino Linotype" w:hAnsi="Palatino Linotype" w:cs="Palatino Linotype"/>
        </w:rPr>
        <w:t>, 128 y 129 de la Ley de Transparencia y Acceso a la Información Pública del Estado de México y Municipios</w:t>
      </w:r>
      <w:r w:rsidRPr="00CF5018">
        <w:rPr>
          <w:rFonts w:ascii="Palatino Linotype" w:eastAsia="Palatino Linotype" w:hAnsi="Palatino Linotype" w:cs="Palatino Linotype"/>
          <w:vertAlign w:val="superscript"/>
        </w:rPr>
        <w:footnoteReference w:id="2"/>
      </w:r>
      <w:r w:rsidRPr="00CF5018">
        <w:rPr>
          <w:rFonts w:ascii="Palatino Linotype" w:eastAsia="Palatino Linotype" w:hAnsi="Palatino Linotype" w:cs="Palatino Linotype"/>
        </w:rPr>
        <w:t>.</w:t>
      </w:r>
    </w:p>
    <w:p w14:paraId="0F0196A8" w14:textId="77777777" w:rsidR="00C85858" w:rsidRPr="00CF5018" w:rsidRDefault="00C85858" w:rsidP="00C85858">
      <w:pPr>
        <w:pStyle w:val="Prrafodelista"/>
        <w:rPr>
          <w:rFonts w:ascii="Palatino Linotype" w:eastAsia="Palatino Linotype" w:hAnsi="Palatino Linotype" w:cs="Palatino Linotype"/>
        </w:rPr>
      </w:pPr>
    </w:p>
    <w:p w14:paraId="3F10C17A"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 xml:space="preserve">En esa tesitura, debe precisarse que, en el caso de la </w:t>
      </w:r>
      <w:r w:rsidRPr="00CF5018">
        <w:rPr>
          <w:rFonts w:ascii="Palatino Linotype" w:eastAsia="Palatino Linotype" w:hAnsi="Palatino Linotype" w:cs="Palatino Linotype"/>
          <w:b/>
        </w:rPr>
        <w:t>reserva</w:t>
      </w:r>
      <w:r w:rsidRPr="00CF5018">
        <w:rPr>
          <w:rFonts w:ascii="Palatino Linotype" w:eastAsia="Palatino Linotype" w:hAnsi="Palatino Linotype" w:cs="Palatino Linotype"/>
        </w:rPr>
        <w:t xml:space="preserve"> de la información, no basta con invocar alguno de los supuestos normativos establecidos en el artículo 140, de la Ley de la materia, sino que, además, resulta indispensable desarrollar el procedimiento establecido en el 129 de la Ley de la materia, es decir, realizar la aplicación de una </w:t>
      </w:r>
      <w:r w:rsidRPr="00CF5018">
        <w:rPr>
          <w:rFonts w:ascii="Palatino Linotype" w:eastAsia="Palatino Linotype" w:hAnsi="Palatino Linotype" w:cs="Palatino Linotype"/>
          <w:b/>
          <w:u w:val="single"/>
        </w:rPr>
        <w:t>prueba de daño</w:t>
      </w:r>
      <w:r w:rsidRPr="00CF5018">
        <w:rPr>
          <w:rFonts w:ascii="Palatino Linotype" w:eastAsia="Palatino Linotype" w:hAnsi="Palatino Linotype" w:cs="Palatino Linotype"/>
        </w:rPr>
        <w:t xml:space="preserve">, en la cual se precisen de manera detallada, las razones, motivos y circunstancias que sustenten que la divulgación de la información representa un </w:t>
      </w:r>
      <w:r w:rsidRPr="00CF5018">
        <w:rPr>
          <w:rFonts w:ascii="Palatino Linotype" w:eastAsia="Palatino Linotype" w:hAnsi="Palatino Linotype" w:cs="Palatino Linotype"/>
          <w:b/>
        </w:rPr>
        <w:t xml:space="preserve">riesgo real, demostrable e </w:t>
      </w:r>
      <w:r w:rsidRPr="00CF5018">
        <w:rPr>
          <w:rFonts w:ascii="Palatino Linotype" w:eastAsia="Palatino Linotype" w:hAnsi="Palatino Linotype" w:cs="Palatino Linotype"/>
        </w:rPr>
        <w:t xml:space="preserve">identificable de perjuicio significativo al interés público; que </w:t>
      </w:r>
      <w:r w:rsidRPr="00CF5018">
        <w:rPr>
          <w:rFonts w:ascii="Palatino Linotype" w:eastAsia="Palatino Linotype" w:hAnsi="Palatino Linotype" w:cs="Palatino Linotype"/>
          <w:b/>
        </w:rPr>
        <w:t>el riesgo de perjuicio que supondría la divulgación de la información es superior el interés público</w:t>
      </w:r>
      <w:r w:rsidRPr="00CF5018">
        <w:rPr>
          <w:rFonts w:ascii="Palatino Linotype" w:eastAsia="Palatino Linotype" w:hAnsi="Palatino Linotype" w:cs="Palatino Linotype"/>
        </w:rPr>
        <w:t xml:space="preserve"> general de que se difunda, se conozca o se haga pública, y que la limitación </w:t>
      </w:r>
      <w:r w:rsidRPr="00CF5018">
        <w:rPr>
          <w:rFonts w:ascii="Palatino Linotype" w:eastAsia="Palatino Linotype" w:hAnsi="Palatino Linotype" w:cs="Palatino Linotype"/>
          <w:b/>
        </w:rPr>
        <w:t>se adecúa al principio de proporcionalidad</w:t>
      </w:r>
      <w:r w:rsidRPr="00CF5018">
        <w:rPr>
          <w:rFonts w:ascii="Palatino Linotype" w:eastAsia="Palatino Linotype" w:hAnsi="Palatino Linotype" w:cs="Palatino Linotype"/>
        </w:rPr>
        <w:t xml:space="preserve"> </w:t>
      </w:r>
      <w:r w:rsidRPr="00CF5018">
        <w:rPr>
          <w:rFonts w:ascii="Palatino Linotype" w:eastAsia="Palatino Linotype" w:hAnsi="Palatino Linotype" w:cs="Palatino Linotype"/>
          <w:b/>
        </w:rPr>
        <w:t>y representa el medio menos restrictivo disponible</w:t>
      </w:r>
      <w:r w:rsidRPr="00CF5018">
        <w:rPr>
          <w:rFonts w:ascii="Palatino Linotype" w:eastAsia="Palatino Linotype" w:hAnsi="Palatino Linotype" w:cs="Palatino Linotype"/>
        </w:rPr>
        <w:t xml:space="preserve"> para evitar el perjuicio, situación que en el caso concreto, su acontece en el mediante el Acta de </w:t>
      </w:r>
      <w:r w:rsidRPr="00CF5018">
        <w:rPr>
          <w:rFonts w:ascii="Palatino Linotype" w:eastAsia="Palatino Linotype" w:hAnsi="Palatino Linotype" w:cs="Palatino Linotype"/>
        </w:rPr>
        <w:lastRenderedPageBreak/>
        <w:t xml:space="preserve">la Décima Sesión Extraordinaria del Comité de Transparencia del Poder Legislativo del Estado Libre y Soberano de México número PLEGISLA/LXI/CT/10ªEXT/2022 de fecha treinta y uno de marzo de dos mil veintidós, en razón de que, se precisa </w:t>
      </w:r>
      <w:r w:rsidRPr="00CF5018">
        <w:rPr>
          <w:rFonts w:ascii="Palatino Linotype" w:eastAsia="Palatino Linotype" w:hAnsi="Palatino Linotype" w:cs="Palatino Linotype"/>
          <w:b/>
        </w:rPr>
        <w:t>de manera puntual</w:t>
      </w:r>
      <w:r w:rsidRPr="00CF5018">
        <w:rPr>
          <w:rFonts w:ascii="Palatino Linotype" w:eastAsia="Palatino Linotype" w:hAnsi="Palatino Linotype" w:cs="Palatino Linotype"/>
        </w:rPr>
        <w:t xml:space="preserve"> el elemento </w:t>
      </w:r>
      <w:r w:rsidRPr="00CF5018">
        <w:rPr>
          <w:rFonts w:ascii="Palatino Linotype" w:eastAsia="Palatino Linotype" w:hAnsi="Palatino Linotype" w:cs="Palatino Linotype"/>
          <w:b/>
        </w:rPr>
        <w:t>real</w:t>
      </w:r>
      <w:r w:rsidRPr="00CF5018">
        <w:rPr>
          <w:rFonts w:ascii="Palatino Linotype" w:eastAsia="Palatino Linotype" w:hAnsi="Palatino Linotype" w:cs="Palatino Linotype"/>
        </w:rPr>
        <w:t xml:space="preserve">, el elemento </w:t>
      </w:r>
      <w:r w:rsidRPr="00CF5018">
        <w:rPr>
          <w:rFonts w:ascii="Palatino Linotype" w:eastAsia="Palatino Linotype" w:hAnsi="Palatino Linotype" w:cs="Palatino Linotype"/>
          <w:b/>
        </w:rPr>
        <w:t>demostrable</w:t>
      </w:r>
      <w:r w:rsidRPr="00CF5018">
        <w:rPr>
          <w:rFonts w:ascii="Palatino Linotype" w:eastAsia="Palatino Linotype" w:hAnsi="Palatino Linotype" w:cs="Palatino Linotype"/>
        </w:rPr>
        <w:t xml:space="preserve"> y el elemento </w:t>
      </w:r>
      <w:r w:rsidRPr="00CF5018">
        <w:rPr>
          <w:rFonts w:ascii="Palatino Linotype" w:eastAsia="Palatino Linotype" w:hAnsi="Palatino Linotype" w:cs="Palatino Linotype"/>
          <w:b/>
        </w:rPr>
        <w:t>identificable</w:t>
      </w:r>
      <w:r w:rsidRPr="00CF5018">
        <w:rPr>
          <w:rFonts w:ascii="Palatino Linotype" w:eastAsia="Palatino Linotype" w:hAnsi="Palatino Linotype" w:cs="Palatino Linotype"/>
        </w:rPr>
        <w:t xml:space="preserve">. </w:t>
      </w:r>
    </w:p>
    <w:p w14:paraId="00DB3E7E" w14:textId="77777777" w:rsidR="0077213B" w:rsidRPr="00CF5018" w:rsidRDefault="0077213B" w:rsidP="00B1526F">
      <w:pPr>
        <w:spacing w:line="360" w:lineRule="auto"/>
        <w:jc w:val="both"/>
        <w:rPr>
          <w:rFonts w:ascii="Palatino Linotype" w:eastAsia="Palatino Linotype" w:hAnsi="Palatino Linotype" w:cs="Palatino Linotype"/>
        </w:rPr>
      </w:pPr>
    </w:p>
    <w:p w14:paraId="75F911BB"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Así, el</w:t>
      </w:r>
      <w:r w:rsidRPr="00CF5018">
        <w:rPr>
          <w:rFonts w:ascii="Palatino Linotype" w:eastAsia="Palatino Linotype" w:hAnsi="Palatino Linotype" w:cs="Palatino Linotype"/>
          <w:b/>
        </w:rPr>
        <w:t xml:space="preserve"> SUJETO OBLIGADO </w:t>
      </w:r>
      <w:r w:rsidRPr="00CF5018">
        <w:rPr>
          <w:rFonts w:ascii="Palatino Linotype" w:eastAsia="Palatino Linotype" w:hAnsi="Palatino Linotype" w:cs="Palatino Linotype"/>
        </w:rPr>
        <w:t xml:space="preserve">detalla de manera clara, la existencia de un </w:t>
      </w:r>
      <w:r w:rsidRPr="00CF5018">
        <w:rPr>
          <w:rFonts w:ascii="Palatino Linotype" w:eastAsia="Palatino Linotype" w:hAnsi="Palatino Linotype" w:cs="Palatino Linotype"/>
          <w:b/>
        </w:rPr>
        <w:t>riesgo que</w:t>
      </w:r>
      <w:r w:rsidRPr="00CF5018">
        <w:rPr>
          <w:rFonts w:ascii="Palatino Linotype" w:eastAsia="Palatino Linotype" w:hAnsi="Palatino Linotype" w:cs="Palatino Linotype"/>
        </w:rPr>
        <w:t xml:space="preserve"> suponga un perjuicio ante </w:t>
      </w:r>
      <w:r w:rsidRPr="00CF5018">
        <w:rPr>
          <w:rFonts w:ascii="Palatino Linotype" w:eastAsia="Palatino Linotype" w:hAnsi="Palatino Linotype" w:cs="Palatino Linotype"/>
          <w:b/>
        </w:rPr>
        <w:t>la divulgación</w:t>
      </w:r>
      <w:r w:rsidRPr="00CF5018">
        <w:rPr>
          <w:rFonts w:ascii="Palatino Linotype" w:eastAsia="Palatino Linotype" w:hAnsi="Palatino Linotype" w:cs="Palatino Linotype"/>
        </w:rPr>
        <w:t xml:space="preserve"> de la información requerida, el cual </w:t>
      </w:r>
      <w:r w:rsidRPr="00CF5018">
        <w:rPr>
          <w:rFonts w:ascii="Palatino Linotype" w:eastAsia="Palatino Linotype" w:hAnsi="Palatino Linotype" w:cs="Palatino Linotype"/>
          <w:b/>
        </w:rPr>
        <w:t>supere el interés público general</w:t>
      </w:r>
      <w:r w:rsidRPr="00CF5018">
        <w:rPr>
          <w:rFonts w:ascii="Palatino Linotype" w:eastAsia="Palatino Linotype" w:hAnsi="Palatino Linotype" w:cs="Palatino Linotype"/>
        </w:rPr>
        <w:t xml:space="preserve">, es decir, no sólo de la particular </w:t>
      </w:r>
      <w:r w:rsidRPr="00CF5018">
        <w:rPr>
          <w:rFonts w:ascii="Palatino Linotype" w:eastAsia="Palatino Linotype" w:hAnsi="Palatino Linotype" w:cs="Palatino Linotype"/>
          <w:b/>
        </w:rPr>
        <w:t>RECURRENTE</w:t>
      </w:r>
      <w:r w:rsidRPr="00CF5018">
        <w:rPr>
          <w:rFonts w:ascii="Palatino Linotype" w:eastAsia="Palatino Linotype" w:hAnsi="Palatino Linotype" w:cs="Palatino Linotype"/>
        </w:rPr>
        <w:t xml:space="preserve">, para que se difunda, en consecuencia, </w:t>
      </w:r>
      <w:r w:rsidRPr="00CF5018">
        <w:rPr>
          <w:rFonts w:ascii="Palatino Linotype" w:eastAsia="Palatino Linotype" w:hAnsi="Palatino Linotype" w:cs="Palatino Linotype"/>
          <w:b/>
        </w:rPr>
        <w:t>si se realizó un ejercicio de ponderación</w:t>
      </w:r>
      <w:r w:rsidRPr="00CF5018">
        <w:rPr>
          <w:rFonts w:ascii="Palatino Linotype" w:eastAsia="Palatino Linotype" w:hAnsi="Palatino Linotype" w:cs="Palatino Linotype"/>
        </w:rPr>
        <w:t>, con el cual pueda apreciarse que tiene un mayor peso e importancia la protección y restricción al acceso a la información solicitada, respecto del interés de que se releve, en razón del perjuicio que pudiera acontecer su divulgación.</w:t>
      </w:r>
    </w:p>
    <w:p w14:paraId="6F2A2858" w14:textId="77777777" w:rsidR="0077213B" w:rsidRPr="00CF5018" w:rsidRDefault="0077213B" w:rsidP="00B152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F5AB5A0"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 xml:space="preserve">Esto es, el Comité de Transparencia se abocó a analizar de forma fundada y motivada desglosando los puntos del dispositivo jurídico anteriormente citado, ya que debe seguir el procedimiento establecido para ello, esto es, deberá ir desglosando las fracciones con los argumentos que considere pertinentes. </w:t>
      </w:r>
    </w:p>
    <w:p w14:paraId="15F68622" w14:textId="77777777" w:rsidR="0077213B" w:rsidRPr="00CF5018" w:rsidRDefault="0077213B" w:rsidP="00B1526F">
      <w:pPr>
        <w:pBdr>
          <w:top w:val="nil"/>
          <w:left w:val="nil"/>
          <w:bottom w:val="nil"/>
          <w:right w:val="nil"/>
          <w:between w:val="nil"/>
        </w:pBdr>
        <w:spacing w:line="360" w:lineRule="auto"/>
        <w:ind w:left="720"/>
        <w:rPr>
          <w:rFonts w:ascii="Palatino Linotype" w:eastAsia="Palatino Linotype" w:hAnsi="Palatino Linotype" w:cs="Palatino Linotype"/>
          <w:color w:val="222222"/>
        </w:rPr>
      </w:pPr>
    </w:p>
    <w:p w14:paraId="2D847303"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color w:val="222222"/>
        </w:rPr>
        <w:t xml:space="preserve">Refuerza lo anterior, lo señalado en la Tesis Aislada </w:t>
      </w:r>
      <w:r w:rsidRPr="00CF5018">
        <w:rPr>
          <w:rFonts w:ascii="Palatino Linotype" w:eastAsia="Palatino Linotype" w:hAnsi="Palatino Linotype" w:cs="Palatino Linotype"/>
        </w:rPr>
        <w:t>con número de registro 2018460 de la Décima Época del Décimo Tribunal Colegiado en Materia Administrativa del Primer Circuito, publicada en la página 2318 del Libro 60, Tomo III de noviembre de 2018, de la Gaceta Semanario Judicial de la Federación, cuyo rubro y texto son del tenor literal siguiente:</w:t>
      </w:r>
    </w:p>
    <w:p w14:paraId="36EE1447"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i/>
          <w:sz w:val="22"/>
        </w:rPr>
        <w:lastRenderedPageBreak/>
        <w:t>“</w:t>
      </w:r>
      <w:r w:rsidRPr="00CF5018">
        <w:rPr>
          <w:rFonts w:ascii="Palatino Linotype" w:eastAsia="Palatino Linotype" w:hAnsi="Palatino Linotype" w:cs="Palatino Linotype"/>
          <w:b/>
          <w:i/>
          <w:sz w:val="22"/>
        </w:rPr>
        <w:t>PRUEBA DE DAÑO EN LA CLASIFICACIÓN DE LA INFORMACIÓN PÚBLICA. SU VALIDEZ NO DEPENDE DE LOS MEDIOS DE PRUEBA QUE EL SUJETO OBLIGADO APORTE</w:t>
      </w:r>
      <w:r w:rsidRPr="00CF5018">
        <w:rPr>
          <w:rFonts w:ascii="Palatino Linotype" w:eastAsia="Palatino Linotype" w:hAnsi="Palatino Linotype" w:cs="Palatino Linotype"/>
          <w:i/>
          <w:sz w:val="22"/>
        </w:rPr>
        <w:t>. 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 la validez de la prueba de daño no depende de los medios de prueba que el sujeto obligado aporte, sino de la solidez del juicio de ponderación que se efectúe en los términos señalados.“</w:t>
      </w:r>
    </w:p>
    <w:p w14:paraId="668CBA49" w14:textId="77777777" w:rsidR="0077213B" w:rsidRPr="00CF5018" w:rsidRDefault="0077213B" w:rsidP="00B1526F">
      <w:pPr>
        <w:spacing w:line="360" w:lineRule="auto"/>
        <w:jc w:val="both"/>
        <w:rPr>
          <w:rFonts w:ascii="Palatino Linotype" w:eastAsia="Palatino Linotype" w:hAnsi="Palatino Linotype" w:cs="Palatino Linotype"/>
        </w:rPr>
      </w:pPr>
    </w:p>
    <w:p w14:paraId="3FD38233"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lastRenderedPageBreak/>
        <w:t xml:space="preserve">En este sentido, es importante que la Autoridad se ajuste a lo que dispone la norma a efecto de </w:t>
      </w:r>
      <w:r w:rsidRPr="00CF5018">
        <w:rPr>
          <w:rFonts w:ascii="Palatino Linotype" w:eastAsia="Palatino Linotype" w:hAnsi="Palatino Linotype" w:cs="Palatino Linotype"/>
          <w:color w:val="222222"/>
        </w:rPr>
        <w:t>otorgar</w:t>
      </w:r>
      <w:r w:rsidRPr="00CF5018">
        <w:rPr>
          <w:rFonts w:ascii="Palatino Linotype" w:eastAsia="Palatino Linotype" w:hAnsi="Palatino Linotype" w:cs="Palatino Linotype"/>
        </w:rPr>
        <w:t xml:space="preserve"> certeza jurídica de que la información que apruebe su clasificación se ajuste a los preceptos normativos de que la Ley de la materia impone, esto es debidamente fundado y motivado.</w:t>
      </w:r>
    </w:p>
    <w:p w14:paraId="3036A5C9" w14:textId="77777777" w:rsidR="00B1526F" w:rsidRPr="00CF5018" w:rsidRDefault="00B1526F" w:rsidP="00B1526F">
      <w:pPr>
        <w:spacing w:line="360" w:lineRule="auto"/>
        <w:jc w:val="both"/>
        <w:rPr>
          <w:rFonts w:ascii="Palatino Linotype" w:eastAsia="Palatino Linotype" w:hAnsi="Palatino Linotype" w:cs="Palatino Linotype"/>
        </w:rPr>
      </w:pPr>
    </w:p>
    <w:p w14:paraId="3B82DFE5" w14:textId="77777777" w:rsidR="00627D44" w:rsidRPr="00CF5018" w:rsidRDefault="00627D44"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No obstante lo anterior, se omitió señalar la probable responsabilidad administrativa por la cual se inició el procedimiento de investigación; ello resulta importante</w:t>
      </w:r>
      <w:r w:rsidR="00E54216" w:rsidRPr="00CF5018">
        <w:rPr>
          <w:rFonts w:ascii="Palatino Linotype" w:eastAsia="Palatino Linotype" w:hAnsi="Palatino Linotype" w:cs="Palatino Linotype"/>
        </w:rPr>
        <w:t xml:space="preserve"> en virtud de que para el caso de estar catalogada como falta grave </w:t>
      </w:r>
      <w:r w:rsidR="00B1526F" w:rsidRPr="00CF5018">
        <w:rPr>
          <w:rFonts w:ascii="Palatino Linotype" w:eastAsia="Palatino Linotype" w:hAnsi="Palatino Linotype" w:cs="Palatino Linotype"/>
        </w:rPr>
        <w:t xml:space="preserve">(actos de corrupción) </w:t>
      </w:r>
      <w:r w:rsidR="00E54216" w:rsidRPr="00CF5018">
        <w:rPr>
          <w:rFonts w:ascii="Palatino Linotype" w:eastAsia="Palatino Linotype" w:hAnsi="Palatino Linotype" w:cs="Palatino Linotype"/>
        </w:rPr>
        <w:t>o con violaciones graves a derechos humanos, no es susceptible</w:t>
      </w:r>
      <w:r w:rsidR="00B1526F" w:rsidRPr="00CF5018">
        <w:rPr>
          <w:rFonts w:ascii="Palatino Linotype" w:eastAsia="Palatino Linotype" w:hAnsi="Palatino Linotype" w:cs="Palatino Linotype"/>
        </w:rPr>
        <w:t xml:space="preserve"> de ser clasificada.</w:t>
      </w:r>
    </w:p>
    <w:p w14:paraId="26D41FCC" w14:textId="77777777" w:rsidR="00E54216" w:rsidRPr="00CF5018" w:rsidRDefault="00E54216" w:rsidP="00B1526F">
      <w:pPr>
        <w:spacing w:line="360" w:lineRule="auto"/>
        <w:jc w:val="both"/>
        <w:rPr>
          <w:rFonts w:ascii="Palatino Linotype" w:eastAsia="Palatino Linotype" w:hAnsi="Palatino Linotype" w:cs="Palatino Linotype"/>
        </w:rPr>
      </w:pPr>
    </w:p>
    <w:p w14:paraId="32D49327" w14:textId="77777777" w:rsidR="00E54216" w:rsidRPr="00CF5018" w:rsidRDefault="00E54216" w:rsidP="00B1526F">
      <w:pPr>
        <w:numPr>
          <w:ilvl w:val="0"/>
          <w:numId w:val="5"/>
        </w:numPr>
        <w:spacing w:line="360" w:lineRule="auto"/>
        <w:ind w:left="0" w:firstLine="0"/>
        <w:jc w:val="both"/>
        <w:rPr>
          <w:rFonts w:ascii="Palatino Linotype" w:hAnsi="Palatino Linotype"/>
        </w:rPr>
      </w:pPr>
      <w:r w:rsidRPr="00CF5018">
        <w:rPr>
          <w:rFonts w:ascii="Palatino Linotype" w:hAnsi="Palatino Linotype"/>
        </w:rPr>
        <w:t xml:space="preserve">En virtud que el procedimiento de responsabilidades administrativas </w:t>
      </w:r>
      <w:r w:rsidRPr="00CF5018">
        <w:rPr>
          <w:rFonts w:ascii="Palatino Linotype" w:hAnsi="Palatino Linotype"/>
          <w:b/>
          <w:bCs/>
        </w:rPr>
        <w:t>por faltas graves</w:t>
      </w:r>
      <w:r w:rsidRPr="00CF5018">
        <w:rPr>
          <w:rFonts w:ascii="Palatino Linotype" w:hAnsi="Palatino Linotype"/>
        </w:rPr>
        <w:t xml:space="preserve"> relacionados con violaciones graves de derechos humanos o actos de corrupción, de conformidad con el artículo 142 de la Ley de Transparencia y Acceso a la Información Pública del Estado de México y Municipios, y el artículo 53 de la Ley del Sistema Anticorrupción del Estado de México y Municipios, el </w:t>
      </w:r>
      <w:r w:rsidRPr="00CF5018">
        <w:rPr>
          <w:rFonts w:ascii="Palatino Linotype" w:hAnsi="Palatino Linotype"/>
          <w:b/>
          <w:bCs/>
        </w:rPr>
        <w:t>SUJETO OBLIGADO</w:t>
      </w:r>
      <w:r w:rsidRPr="00CF5018">
        <w:rPr>
          <w:rFonts w:ascii="Palatino Linotype" w:hAnsi="Palatino Linotype"/>
        </w:rPr>
        <w:t xml:space="preserve"> deberá hacer entrega de éstas al no ser sujetos de clasificación, como se observa:</w:t>
      </w:r>
    </w:p>
    <w:p w14:paraId="3A3CDB3B" w14:textId="77777777" w:rsidR="00197B98" w:rsidRPr="00CF5018" w:rsidRDefault="00197B98" w:rsidP="00B1526F">
      <w:pPr>
        <w:spacing w:line="360" w:lineRule="auto"/>
        <w:ind w:left="284" w:right="333"/>
        <w:jc w:val="both"/>
        <w:rPr>
          <w:rFonts w:ascii="Palatino Linotype" w:hAnsi="Palatino Linotype"/>
          <w:i/>
          <w:sz w:val="22"/>
        </w:rPr>
      </w:pPr>
      <w:r w:rsidRPr="00CF5018">
        <w:rPr>
          <w:rFonts w:ascii="Palatino Linotype" w:hAnsi="Palatino Linotype"/>
          <w:i/>
          <w:sz w:val="22"/>
        </w:rPr>
        <w:t>Artículo 142. B</w:t>
      </w:r>
      <w:r w:rsidRPr="00CF5018">
        <w:rPr>
          <w:rFonts w:ascii="Palatino Linotype" w:hAnsi="Palatino Linotype"/>
          <w:b/>
          <w:i/>
          <w:sz w:val="22"/>
        </w:rPr>
        <w:t>ajo ninguna circunstancia podrá invocarse el carácter de reservado cuando</w:t>
      </w:r>
      <w:r w:rsidRPr="00CF5018">
        <w:rPr>
          <w:rFonts w:ascii="Palatino Linotype" w:hAnsi="Palatino Linotype"/>
          <w:i/>
          <w:sz w:val="22"/>
        </w:rPr>
        <w:t xml:space="preserve">: </w:t>
      </w:r>
    </w:p>
    <w:p w14:paraId="4BB3431F" w14:textId="77777777" w:rsidR="00197B98" w:rsidRPr="00CF5018" w:rsidRDefault="00197B98" w:rsidP="00B1526F">
      <w:pPr>
        <w:spacing w:line="360" w:lineRule="auto"/>
        <w:ind w:left="284" w:right="333"/>
        <w:jc w:val="both"/>
        <w:rPr>
          <w:rFonts w:ascii="Palatino Linotype" w:hAnsi="Palatino Linotype"/>
          <w:i/>
          <w:sz w:val="22"/>
        </w:rPr>
      </w:pPr>
      <w:r w:rsidRPr="00CF5018">
        <w:rPr>
          <w:rFonts w:ascii="Palatino Linotype" w:hAnsi="Palatino Linotype"/>
          <w:i/>
          <w:sz w:val="22"/>
        </w:rPr>
        <w:t xml:space="preserve">I. Se trate de </w:t>
      </w:r>
      <w:r w:rsidRPr="00CF5018">
        <w:rPr>
          <w:rFonts w:ascii="Palatino Linotype" w:hAnsi="Palatino Linotype"/>
          <w:b/>
          <w:i/>
          <w:sz w:val="22"/>
        </w:rPr>
        <w:t>violaciones graves de derechos humanos</w:t>
      </w:r>
      <w:r w:rsidRPr="00CF5018">
        <w:rPr>
          <w:rFonts w:ascii="Palatino Linotype" w:hAnsi="Palatino Linotype"/>
          <w:i/>
          <w:sz w:val="22"/>
        </w:rPr>
        <w:t xml:space="preserve">, calificada así por autoridad competente; </w:t>
      </w:r>
    </w:p>
    <w:p w14:paraId="3722CA30" w14:textId="77777777" w:rsidR="00197B98" w:rsidRPr="00CF5018" w:rsidRDefault="00197B98" w:rsidP="00B1526F">
      <w:pPr>
        <w:spacing w:line="360" w:lineRule="auto"/>
        <w:ind w:left="284" w:right="333"/>
        <w:jc w:val="both"/>
        <w:rPr>
          <w:rFonts w:ascii="Palatino Linotype" w:hAnsi="Palatino Linotype"/>
          <w:i/>
          <w:sz w:val="22"/>
        </w:rPr>
      </w:pPr>
      <w:r w:rsidRPr="00CF5018">
        <w:rPr>
          <w:rFonts w:ascii="Palatino Linotype" w:hAnsi="Palatino Linotype"/>
          <w:i/>
          <w:sz w:val="22"/>
        </w:rPr>
        <w:t xml:space="preserve">II. Se trate de </w:t>
      </w:r>
      <w:r w:rsidRPr="00CF5018">
        <w:rPr>
          <w:rFonts w:ascii="Palatino Linotype" w:hAnsi="Palatino Linotype"/>
          <w:b/>
          <w:i/>
          <w:sz w:val="22"/>
        </w:rPr>
        <w:t xml:space="preserve">la investigación de posibles violaciones graves de derechos humanos </w:t>
      </w:r>
      <w:r w:rsidRPr="00CF5018">
        <w:rPr>
          <w:rFonts w:ascii="Palatino Linotype" w:hAnsi="Palatino Linotype"/>
          <w:i/>
          <w:sz w:val="22"/>
        </w:rPr>
        <w:t xml:space="preserve">aun cuando no exista pronunciamiento previo de autoridad competente, cuando se determine, a partir de criterios cuantitativos y cualitativos la trascendencia social de las violaciones; </w:t>
      </w:r>
    </w:p>
    <w:p w14:paraId="4CB369AE" w14:textId="77777777" w:rsidR="00197B98" w:rsidRPr="00CF5018" w:rsidRDefault="00197B98" w:rsidP="00B1526F">
      <w:pPr>
        <w:spacing w:line="360" w:lineRule="auto"/>
        <w:ind w:left="284" w:right="333"/>
        <w:jc w:val="both"/>
        <w:rPr>
          <w:rFonts w:ascii="Palatino Linotype" w:hAnsi="Palatino Linotype"/>
          <w:i/>
          <w:sz w:val="22"/>
        </w:rPr>
      </w:pPr>
      <w:r w:rsidRPr="00CF5018">
        <w:rPr>
          <w:rFonts w:ascii="Palatino Linotype" w:hAnsi="Palatino Linotype"/>
          <w:i/>
          <w:sz w:val="22"/>
        </w:rPr>
        <w:lastRenderedPageBreak/>
        <w:t xml:space="preserve">III. Se trate de </w:t>
      </w:r>
      <w:r w:rsidRPr="00CF5018">
        <w:rPr>
          <w:rFonts w:ascii="Palatino Linotype" w:hAnsi="Palatino Linotype"/>
          <w:b/>
          <w:i/>
          <w:sz w:val="22"/>
        </w:rPr>
        <w:t>delitos de lesa humanidad</w:t>
      </w:r>
      <w:r w:rsidRPr="00CF5018">
        <w:rPr>
          <w:rFonts w:ascii="Palatino Linotype" w:hAnsi="Palatino Linotype"/>
          <w:i/>
          <w:sz w:val="22"/>
        </w:rPr>
        <w:t xml:space="preserve"> conforme a los tratados ratificados por el Senado de la República, las resoluciones emitidas por organismos internacionales cuya competencia sea reconocida por el Estado Mexicano, así como en las disposiciones jurídicas aplicables; y </w:t>
      </w:r>
    </w:p>
    <w:p w14:paraId="19EA14AD" w14:textId="77777777" w:rsidR="00E54216" w:rsidRPr="00CF5018" w:rsidRDefault="00197B98" w:rsidP="00B1526F">
      <w:pPr>
        <w:spacing w:line="360" w:lineRule="auto"/>
        <w:ind w:left="284" w:right="333"/>
        <w:jc w:val="both"/>
        <w:rPr>
          <w:rFonts w:ascii="Palatino Linotype" w:hAnsi="Palatino Linotype"/>
          <w:i/>
          <w:sz w:val="22"/>
        </w:rPr>
      </w:pPr>
      <w:r w:rsidRPr="00CF5018">
        <w:rPr>
          <w:rFonts w:ascii="Palatino Linotype" w:hAnsi="Palatino Linotype"/>
          <w:i/>
          <w:sz w:val="22"/>
        </w:rPr>
        <w:t xml:space="preserve">IV. </w:t>
      </w:r>
      <w:r w:rsidRPr="00CF5018">
        <w:rPr>
          <w:rFonts w:ascii="Palatino Linotype" w:hAnsi="Palatino Linotype"/>
          <w:b/>
          <w:i/>
          <w:sz w:val="22"/>
        </w:rPr>
        <w:t>Se trate de información relacionada con actos de corrupción</w:t>
      </w:r>
      <w:r w:rsidRPr="00CF5018">
        <w:rPr>
          <w:rFonts w:ascii="Palatino Linotype" w:hAnsi="Palatino Linotype"/>
          <w:i/>
          <w:sz w:val="22"/>
        </w:rPr>
        <w:t xml:space="preserve"> de conformidad con las disposiciones jurídicas aplicables.</w:t>
      </w:r>
    </w:p>
    <w:p w14:paraId="4427E9DE" w14:textId="77777777" w:rsidR="00197B98" w:rsidRPr="00CF5018" w:rsidRDefault="00197B98" w:rsidP="00B1526F">
      <w:pPr>
        <w:spacing w:line="360" w:lineRule="auto"/>
        <w:ind w:left="284" w:right="333"/>
        <w:jc w:val="both"/>
        <w:rPr>
          <w:rFonts w:ascii="Palatino Linotype" w:hAnsi="Palatino Linotype"/>
          <w:i/>
          <w:sz w:val="22"/>
        </w:rPr>
      </w:pPr>
    </w:p>
    <w:p w14:paraId="4A43CC41" w14:textId="77777777" w:rsidR="00197B98" w:rsidRPr="00CF5018" w:rsidRDefault="00197B98" w:rsidP="00B1526F">
      <w:pPr>
        <w:spacing w:line="360" w:lineRule="auto"/>
        <w:ind w:left="284" w:right="333"/>
        <w:jc w:val="both"/>
        <w:rPr>
          <w:rFonts w:ascii="Palatino Linotype" w:hAnsi="Palatino Linotype"/>
          <w:i/>
          <w:sz w:val="22"/>
        </w:rPr>
      </w:pPr>
      <w:r w:rsidRPr="00CF5018">
        <w:rPr>
          <w:rFonts w:ascii="Palatino Linotype" w:hAnsi="Palatino Linotype"/>
          <w:i/>
          <w:sz w:val="22"/>
        </w:rPr>
        <w:t xml:space="preserve">Artículo 53. </w:t>
      </w:r>
      <w:r w:rsidRPr="00CF5018">
        <w:rPr>
          <w:rFonts w:ascii="Palatino Linotype" w:hAnsi="Palatino Linotype"/>
          <w:b/>
          <w:i/>
          <w:sz w:val="22"/>
        </w:rPr>
        <w:t>Las sanciones impuestas por faltas administrativas graves serán del conocimiento público</w:t>
      </w:r>
      <w:r w:rsidRPr="00CF5018">
        <w:rPr>
          <w:rFonts w:ascii="Palatino Linotype" w:hAnsi="Palatino Linotype"/>
          <w:i/>
          <w:sz w:val="22"/>
        </w:rPr>
        <w:t xml:space="preserve"> cuando éstas contengan impedimentos o inhabilitaciones para ser contratados como servidores públicos o como prestadores de servicios o contratistas del sector público, en términos de la Ley de Responsabilidades Administrativas del Estado de México y Municipios. Los registros de las sanciones relativas a responsabilidades administrativas no graves, quedarán registradas para efectos de eventual reincidencia, pero no serán públicas.</w:t>
      </w:r>
    </w:p>
    <w:p w14:paraId="25FFB4F4" w14:textId="77777777" w:rsidR="00E54216" w:rsidRPr="00CF5018" w:rsidRDefault="00E54216" w:rsidP="00B1526F">
      <w:pPr>
        <w:pStyle w:val="Prrafodelista"/>
        <w:tabs>
          <w:tab w:val="left" w:pos="426"/>
        </w:tabs>
        <w:spacing w:line="360" w:lineRule="auto"/>
        <w:ind w:left="360"/>
        <w:jc w:val="both"/>
        <w:rPr>
          <w:rFonts w:ascii="Palatino Linotype" w:hAnsi="Palatino Linotype"/>
        </w:rPr>
      </w:pPr>
    </w:p>
    <w:p w14:paraId="5DCDB839" w14:textId="77777777" w:rsidR="00E54216" w:rsidRPr="00CF5018" w:rsidRDefault="00E54216" w:rsidP="00B1526F">
      <w:pPr>
        <w:pStyle w:val="Prrafodelista"/>
        <w:numPr>
          <w:ilvl w:val="0"/>
          <w:numId w:val="5"/>
        </w:numPr>
        <w:spacing w:line="360" w:lineRule="auto"/>
        <w:ind w:left="0" w:firstLine="0"/>
        <w:jc w:val="both"/>
        <w:rPr>
          <w:rFonts w:ascii="Palatino Linotype" w:hAnsi="Palatino Linotype"/>
        </w:rPr>
      </w:pPr>
      <w:r w:rsidRPr="00CF5018">
        <w:rPr>
          <w:rFonts w:ascii="Palatino Linotype" w:hAnsi="Palatino Linotype"/>
        </w:rPr>
        <w:t xml:space="preserve">Razón de lo anterior, el </w:t>
      </w:r>
      <w:r w:rsidRPr="00CF5018">
        <w:rPr>
          <w:rFonts w:ascii="Palatino Linotype" w:hAnsi="Palatino Linotype"/>
          <w:b/>
          <w:bCs/>
        </w:rPr>
        <w:t>SUJETO OBLIGADO</w:t>
      </w:r>
      <w:r w:rsidRPr="00CF5018">
        <w:rPr>
          <w:rFonts w:ascii="Palatino Linotype" w:hAnsi="Palatino Linotype"/>
        </w:rPr>
        <w:t xml:space="preserve"> deberá entregar </w:t>
      </w:r>
      <w:r w:rsidR="00197B98" w:rsidRPr="00CF5018">
        <w:rPr>
          <w:rFonts w:ascii="Palatino Linotype" w:hAnsi="Palatino Linotype"/>
        </w:rPr>
        <w:t>lo solicitado si se  encuentra relacionado</w:t>
      </w:r>
      <w:r w:rsidRPr="00CF5018">
        <w:rPr>
          <w:rFonts w:ascii="Palatino Linotype" w:hAnsi="Palatino Linotype"/>
        </w:rPr>
        <w:t xml:space="preserve"> con responsabilidades administrativas graves, a pesar de que éstas aún no hayan recibido una sentencia, </w:t>
      </w:r>
      <w:r w:rsidRPr="00CF5018">
        <w:rPr>
          <w:rFonts w:ascii="Palatino Linotype" w:hAnsi="Palatino Linotype"/>
          <w:b/>
          <w:bCs/>
        </w:rPr>
        <w:t>sin testar el nombre del o los servidores públicos presuntamente responsables</w:t>
      </w:r>
      <w:r w:rsidRPr="00CF5018">
        <w:rPr>
          <w:rFonts w:ascii="Palatino Linotype" w:hAnsi="Palatino Linotype"/>
        </w:rPr>
        <w:t xml:space="preserve">, atendiendo lo dispuesto por el artículo 142 de la Ley de Transparencia y Acceso a la Información Pública del Estado de México y Municipios. Claro está que, de ser el caso que </w:t>
      </w:r>
      <w:r w:rsidR="001C3364" w:rsidRPr="00CF5018">
        <w:rPr>
          <w:rFonts w:ascii="Palatino Linotype" w:hAnsi="Palatino Linotype"/>
        </w:rPr>
        <w:t>el expediente</w:t>
      </w:r>
      <w:r w:rsidRPr="00CF5018">
        <w:rPr>
          <w:rFonts w:ascii="Palatino Linotype" w:hAnsi="Palatino Linotype"/>
        </w:rPr>
        <w:t xml:space="preserve"> contengan datos personales de terceros, se deberá realizar la versión pública </w:t>
      </w:r>
      <w:r w:rsidRPr="00CF5018">
        <w:rPr>
          <w:rFonts w:ascii="Palatino Linotype" w:hAnsi="Palatino Linotype"/>
          <w:b/>
          <w:bCs/>
        </w:rPr>
        <w:t>únicamente</w:t>
      </w:r>
      <w:r w:rsidRPr="00CF5018">
        <w:rPr>
          <w:rFonts w:ascii="Palatino Linotype" w:hAnsi="Palatino Linotype"/>
        </w:rPr>
        <w:t xml:space="preserve"> de estos datos, mas no de ninguno que individualice al presunto servidor público responsable.</w:t>
      </w:r>
    </w:p>
    <w:p w14:paraId="38215CC4" w14:textId="77777777" w:rsidR="00627D44" w:rsidRPr="00CF5018" w:rsidRDefault="00627D44" w:rsidP="00B1526F">
      <w:pPr>
        <w:spacing w:line="360" w:lineRule="auto"/>
        <w:jc w:val="both"/>
        <w:rPr>
          <w:rFonts w:ascii="Palatino Linotype" w:eastAsia="Palatino Linotype" w:hAnsi="Palatino Linotype" w:cs="Palatino Linotype"/>
        </w:rPr>
      </w:pPr>
    </w:p>
    <w:p w14:paraId="72F0A0EB"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 xml:space="preserve">Atento a ello, es importante referir que la fundamentación y motivación consiste en la obligación que tiene todo ente público de expresar los preceptos </w:t>
      </w:r>
      <w:r w:rsidRPr="00CF5018">
        <w:rPr>
          <w:rFonts w:ascii="Palatino Linotype" w:eastAsia="Palatino Linotype" w:hAnsi="Palatino Linotype" w:cs="Palatino Linotype"/>
        </w:rPr>
        <w:lastRenderedPageBreak/>
        <w:t>jurídicos aplicables al asunto motivo del acto y las razones o argumentos de su actuar.</w:t>
      </w:r>
    </w:p>
    <w:p w14:paraId="145A4FC9" w14:textId="77777777" w:rsidR="0077213B" w:rsidRPr="00CF5018" w:rsidRDefault="0077213B" w:rsidP="00B152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7B38199"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 xml:space="preserve">Finalmente, se advierte que dentro del Acta en estudio, que se precisa que la restricción sugerida, es decir, la </w:t>
      </w:r>
      <w:r w:rsidRPr="00CF5018">
        <w:rPr>
          <w:rFonts w:ascii="Palatino Linotype" w:eastAsia="Palatino Linotype" w:hAnsi="Palatino Linotype" w:cs="Palatino Linotype"/>
          <w:b/>
        </w:rPr>
        <w:t>reserva</w:t>
      </w:r>
      <w:r w:rsidRPr="00CF5018">
        <w:rPr>
          <w:rFonts w:ascii="Palatino Linotype" w:eastAsia="Palatino Linotype" w:hAnsi="Palatino Linotype" w:cs="Palatino Linotype"/>
        </w:rPr>
        <w:t xml:space="preserve"> de la información por tres años o cuando se extinga la causal de reserva</w:t>
      </w:r>
      <w:r w:rsidR="00D70EF8" w:rsidRPr="00CF5018">
        <w:rPr>
          <w:rFonts w:ascii="Palatino Linotype" w:eastAsia="Palatino Linotype" w:hAnsi="Palatino Linotype" w:cs="Palatino Linotype"/>
        </w:rPr>
        <w:t xml:space="preserve"> y solo será para el caso de que la investigación no actualice los supuestos del artículo 142 anteriormente invocado, y </w:t>
      </w:r>
      <w:r w:rsidR="00B1526F" w:rsidRPr="00CF5018">
        <w:rPr>
          <w:rFonts w:ascii="Palatino Linotype" w:eastAsia="Palatino Linotype" w:hAnsi="Palatino Linotype" w:cs="Palatino Linotype"/>
        </w:rPr>
        <w:t>que</w:t>
      </w:r>
      <w:r w:rsidR="00D70EF8" w:rsidRPr="00CF5018">
        <w:rPr>
          <w:rFonts w:ascii="Palatino Linotype" w:eastAsia="Palatino Linotype" w:hAnsi="Palatino Linotype" w:cs="Palatino Linotype"/>
        </w:rPr>
        <w:t xml:space="preserve"> este</w:t>
      </w:r>
      <w:r w:rsidRPr="00CF5018">
        <w:rPr>
          <w:rFonts w:ascii="Palatino Linotype" w:eastAsia="Palatino Linotype" w:hAnsi="Palatino Linotype" w:cs="Palatino Linotype"/>
        </w:rPr>
        <w:t xml:space="preserve">, representa </w:t>
      </w:r>
      <w:r w:rsidRPr="00CF5018">
        <w:rPr>
          <w:rFonts w:ascii="Palatino Linotype" w:eastAsia="Palatino Linotype" w:hAnsi="Palatino Linotype" w:cs="Palatino Linotype"/>
          <w:b/>
        </w:rPr>
        <w:t>el medio jurídico menos restrictivo disponible</w:t>
      </w:r>
      <w:r w:rsidRPr="00CF5018">
        <w:rPr>
          <w:rFonts w:ascii="Palatino Linotype" w:eastAsia="Palatino Linotype" w:hAnsi="Palatino Linotype" w:cs="Palatino Linotype"/>
        </w:rPr>
        <w:t>, con relación a la relevación de la misma.</w:t>
      </w:r>
    </w:p>
    <w:p w14:paraId="6C7FB188" w14:textId="77777777" w:rsidR="0077213B" w:rsidRPr="00CF5018" w:rsidRDefault="0077213B" w:rsidP="00B1526F">
      <w:pPr>
        <w:pBdr>
          <w:top w:val="nil"/>
          <w:left w:val="nil"/>
          <w:bottom w:val="nil"/>
          <w:right w:val="nil"/>
          <w:between w:val="nil"/>
        </w:pBdr>
        <w:spacing w:line="360" w:lineRule="auto"/>
        <w:ind w:left="720"/>
        <w:rPr>
          <w:rFonts w:ascii="Palatino Linotype" w:eastAsia="Palatino Linotype" w:hAnsi="Palatino Linotype" w:cs="Palatino Linotype"/>
        </w:rPr>
      </w:pPr>
    </w:p>
    <w:p w14:paraId="79CA9E45"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 xml:space="preserve">Por tanto, </w:t>
      </w:r>
      <w:r w:rsidR="00B1526F" w:rsidRPr="00CF5018">
        <w:rPr>
          <w:rFonts w:ascii="Palatino Linotype" w:eastAsia="Palatino Linotype" w:hAnsi="Palatino Linotype" w:cs="Palatino Linotype"/>
        </w:rPr>
        <w:t>para el caso de prevalecer la reserva de la información por no actualizar los supuestos del articulo 142 antes citado</w:t>
      </w:r>
      <w:r w:rsidRPr="00CF5018">
        <w:rPr>
          <w:rFonts w:ascii="Palatino Linotype" w:eastAsia="Palatino Linotype" w:hAnsi="Palatino Linotype" w:cs="Palatino Linotype"/>
        </w:rPr>
        <w:t xml:space="preserve">, el Acta </w:t>
      </w:r>
      <w:r w:rsidR="00B1526F" w:rsidRPr="00CF5018">
        <w:rPr>
          <w:rFonts w:ascii="Palatino Linotype" w:eastAsia="Palatino Linotype" w:hAnsi="Palatino Linotype" w:cs="Palatino Linotype"/>
        </w:rPr>
        <w:t>que se emita</w:t>
      </w:r>
      <w:r w:rsidR="00D70EF8" w:rsidRPr="00CF5018">
        <w:rPr>
          <w:rFonts w:ascii="Palatino Linotype" w:eastAsia="Palatino Linotype" w:hAnsi="Palatino Linotype" w:cs="Palatino Linotype"/>
        </w:rPr>
        <w:t>, deberá</w:t>
      </w:r>
      <w:r w:rsidRPr="00CF5018">
        <w:rPr>
          <w:rFonts w:ascii="Palatino Linotype" w:eastAsia="Palatino Linotype" w:hAnsi="Palatino Linotype" w:cs="Palatino Linotype"/>
        </w:rPr>
        <w:t xml:space="preserve"> motiva</w:t>
      </w:r>
      <w:r w:rsidR="00D70EF8" w:rsidRPr="00CF5018">
        <w:rPr>
          <w:rFonts w:ascii="Palatino Linotype" w:eastAsia="Palatino Linotype" w:hAnsi="Palatino Linotype" w:cs="Palatino Linotype"/>
        </w:rPr>
        <w:t>r</w:t>
      </w:r>
      <w:r w:rsidRPr="00CF5018">
        <w:rPr>
          <w:rFonts w:ascii="Palatino Linotype" w:eastAsia="Palatino Linotype" w:hAnsi="Palatino Linotype" w:cs="Palatino Linotype"/>
        </w:rPr>
        <w:t xml:space="preserve"> debidamente, las razones motivos o circunstancias, que permitan advertir la actualización de cada uno de los referidos elementos, con lo cual se generaría, a su vez, una afectación, perjuicio o daño de otorgarse la apertura pública d</w:t>
      </w:r>
      <w:r w:rsidR="00D70EF8" w:rsidRPr="00CF5018">
        <w:rPr>
          <w:rFonts w:ascii="Palatino Linotype" w:eastAsia="Palatino Linotype" w:hAnsi="Palatino Linotype" w:cs="Palatino Linotype"/>
        </w:rPr>
        <w:t xml:space="preserve">e la información, además de invocar </w:t>
      </w:r>
      <w:r w:rsidRPr="00CF5018">
        <w:rPr>
          <w:rFonts w:ascii="Palatino Linotype" w:eastAsia="Palatino Linotype" w:hAnsi="Palatino Linotype" w:cs="Palatino Linotype"/>
        </w:rPr>
        <w:t xml:space="preserve">los preceptos normativos que regulan la aplicación efectiva de la prueba de daño por parte del </w:t>
      </w:r>
      <w:r w:rsidRPr="00CF5018">
        <w:rPr>
          <w:rFonts w:ascii="Palatino Linotype" w:eastAsia="Palatino Linotype" w:hAnsi="Palatino Linotype" w:cs="Palatino Linotype"/>
          <w:b/>
        </w:rPr>
        <w:t>SUJETO OBLIGADO</w:t>
      </w:r>
      <w:r w:rsidR="00D70EF8" w:rsidRPr="00CF5018">
        <w:rPr>
          <w:rFonts w:ascii="Palatino Linotype" w:eastAsia="Palatino Linotype" w:hAnsi="Palatino Linotype" w:cs="Palatino Linotype"/>
          <w:b/>
        </w:rPr>
        <w:t>.</w:t>
      </w:r>
    </w:p>
    <w:p w14:paraId="6D26C49C" w14:textId="77777777" w:rsidR="0077213B" w:rsidRPr="00CF5018" w:rsidRDefault="0077213B" w:rsidP="00B152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3518525"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Con relación a lo anterior, el artículo 113, fracción XI de la Ley General establece lo siguiente con relación a la información que debe clasificarse como reservada</w:t>
      </w:r>
    </w:p>
    <w:p w14:paraId="292BD396"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i/>
          <w:sz w:val="22"/>
        </w:rPr>
        <w:t>“</w:t>
      </w:r>
      <w:r w:rsidRPr="00CF5018">
        <w:rPr>
          <w:rFonts w:ascii="Palatino Linotype" w:eastAsia="Palatino Linotype" w:hAnsi="Palatino Linotype" w:cs="Palatino Linotype"/>
          <w:b/>
          <w:i/>
          <w:sz w:val="22"/>
        </w:rPr>
        <w:t xml:space="preserve">Artículo 113. </w:t>
      </w:r>
      <w:r w:rsidRPr="00CF5018">
        <w:rPr>
          <w:rFonts w:ascii="Palatino Linotype" w:eastAsia="Palatino Linotype" w:hAnsi="Palatino Linotype" w:cs="Palatino Linotype"/>
          <w:b/>
          <w:i/>
          <w:sz w:val="22"/>
          <w:u w:val="single"/>
        </w:rPr>
        <w:t>Como información reservada podrá clasificarse aquella cuya publicación</w:t>
      </w:r>
      <w:r w:rsidRPr="00CF5018">
        <w:rPr>
          <w:rFonts w:ascii="Palatino Linotype" w:eastAsia="Palatino Linotype" w:hAnsi="Palatino Linotype" w:cs="Palatino Linotype"/>
          <w:i/>
          <w:sz w:val="22"/>
        </w:rPr>
        <w:t>:</w:t>
      </w:r>
    </w:p>
    <w:p w14:paraId="1160DA4A"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i/>
          <w:sz w:val="22"/>
        </w:rPr>
        <w:t>[…]</w:t>
      </w:r>
    </w:p>
    <w:p w14:paraId="4BA31695"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b/>
          <w:i/>
          <w:sz w:val="22"/>
        </w:rPr>
        <w:lastRenderedPageBreak/>
        <w:t xml:space="preserve">XI. </w:t>
      </w:r>
      <w:r w:rsidRPr="00CF5018">
        <w:rPr>
          <w:rFonts w:ascii="Palatino Linotype" w:eastAsia="Palatino Linotype" w:hAnsi="Palatino Linotype" w:cs="Palatino Linotype"/>
          <w:b/>
          <w:i/>
          <w:sz w:val="22"/>
          <w:u w:val="single"/>
        </w:rPr>
        <w:t>Vulnere la conducción de los Expedientes judiciales o de los procedimientos administrativos seguidos en forma de juicio, en tanto no hayan causado estado</w:t>
      </w:r>
      <w:r w:rsidRPr="00CF5018">
        <w:rPr>
          <w:rFonts w:ascii="Palatino Linotype" w:eastAsia="Palatino Linotype" w:hAnsi="Palatino Linotype" w:cs="Palatino Linotype"/>
          <w:i/>
          <w:sz w:val="22"/>
        </w:rPr>
        <w:t>;</w:t>
      </w:r>
    </w:p>
    <w:p w14:paraId="4AA639D4" w14:textId="77777777" w:rsidR="0077213B" w:rsidRPr="00CF5018" w:rsidRDefault="009F6B6E" w:rsidP="00B1526F">
      <w:pPr>
        <w:spacing w:line="360" w:lineRule="auto"/>
        <w:ind w:left="709" w:right="709"/>
        <w:jc w:val="both"/>
        <w:rPr>
          <w:rFonts w:ascii="Palatino Linotype" w:eastAsia="Palatino Linotype" w:hAnsi="Palatino Linotype" w:cs="Palatino Linotype"/>
          <w:sz w:val="22"/>
        </w:rPr>
      </w:pPr>
      <w:r w:rsidRPr="00CF5018">
        <w:rPr>
          <w:rFonts w:ascii="Palatino Linotype" w:eastAsia="Palatino Linotype" w:hAnsi="Palatino Linotype" w:cs="Palatino Linotype"/>
          <w:sz w:val="22"/>
        </w:rPr>
        <w:t>(Énfasis añadido)</w:t>
      </w:r>
    </w:p>
    <w:p w14:paraId="660562D7" w14:textId="77777777" w:rsidR="0077213B" w:rsidRPr="00CF5018" w:rsidRDefault="0077213B" w:rsidP="00B1526F">
      <w:pPr>
        <w:spacing w:line="360" w:lineRule="auto"/>
        <w:ind w:left="709" w:right="709"/>
        <w:jc w:val="both"/>
        <w:rPr>
          <w:rFonts w:ascii="Palatino Linotype" w:eastAsia="Palatino Linotype" w:hAnsi="Palatino Linotype" w:cs="Palatino Linotype"/>
        </w:rPr>
      </w:pPr>
    </w:p>
    <w:p w14:paraId="77ADB05D"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 xml:space="preserve">Correlativo a ello, de la Ley de Transparencia y Acceso a la Información Pública del Estado de México y Municipios, en su artículo 140, como reflejo de lo establecido en la Ley General, precisa los supuestos en los cuales, debe ser reservada la información de manera temporal, </w:t>
      </w:r>
      <w:r w:rsidR="00470330" w:rsidRPr="00CF5018">
        <w:rPr>
          <w:rFonts w:ascii="Palatino Linotype" w:eastAsia="Palatino Linotype" w:hAnsi="Palatino Linotype" w:cs="Palatino Linotype"/>
        </w:rPr>
        <w:t>misma</w:t>
      </w:r>
      <w:r w:rsidRPr="00CF5018">
        <w:rPr>
          <w:rFonts w:ascii="Palatino Linotype" w:eastAsia="Palatino Linotype" w:hAnsi="Palatino Linotype" w:cs="Palatino Linotype"/>
        </w:rPr>
        <w:t xml:space="preserve"> que se invoca en el acta de referencia.</w:t>
      </w:r>
    </w:p>
    <w:p w14:paraId="5D53CCF4" w14:textId="77777777" w:rsidR="0077213B" w:rsidRPr="00CF5018" w:rsidRDefault="0077213B" w:rsidP="00B1526F">
      <w:pPr>
        <w:spacing w:line="360" w:lineRule="auto"/>
        <w:jc w:val="both"/>
        <w:rPr>
          <w:rFonts w:ascii="Palatino Linotype" w:eastAsia="Palatino Linotype" w:hAnsi="Palatino Linotype" w:cs="Palatino Linotype"/>
        </w:rPr>
      </w:pPr>
    </w:p>
    <w:p w14:paraId="72EA9F81"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Por su parte, los Lineamientos Generales en materia de Clasificación y Desclasificación de la Información, así como para la elaboración de Versiones Públicas, en su parte relativa al presente análisis, expresan:</w:t>
      </w:r>
    </w:p>
    <w:p w14:paraId="51E419EE" w14:textId="77777777" w:rsidR="0077213B" w:rsidRPr="00CF5018" w:rsidRDefault="009F6B6E" w:rsidP="00B1526F">
      <w:pPr>
        <w:spacing w:line="360" w:lineRule="auto"/>
        <w:ind w:left="709" w:right="709"/>
        <w:jc w:val="both"/>
        <w:rPr>
          <w:rFonts w:ascii="Palatino Linotype" w:eastAsia="Palatino Linotype" w:hAnsi="Palatino Linotype" w:cs="Palatino Linotype"/>
          <w:b/>
          <w:i/>
          <w:sz w:val="22"/>
        </w:rPr>
      </w:pPr>
      <w:r w:rsidRPr="00CF5018">
        <w:rPr>
          <w:rFonts w:ascii="Palatino Linotype" w:eastAsia="Palatino Linotype" w:hAnsi="Palatino Linotype" w:cs="Palatino Linotype"/>
          <w:i/>
          <w:sz w:val="22"/>
        </w:rPr>
        <w:t>“</w:t>
      </w:r>
      <w:r w:rsidRPr="00CF5018">
        <w:rPr>
          <w:rFonts w:ascii="Palatino Linotype" w:eastAsia="Palatino Linotype" w:hAnsi="Palatino Linotype" w:cs="Palatino Linotype"/>
          <w:b/>
          <w:i/>
          <w:sz w:val="22"/>
        </w:rPr>
        <w:t>Trigésimo.</w:t>
      </w:r>
      <w:r w:rsidRPr="00CF5018">
        <w:rPr>
          <w:rFonts w:ascii="Palatino Linotype" w:eastAsia="Palatino Linotype" w:hAnsi="Palatino Linotype" w:cs="Palatino Linotype"/>
          <w:i/>
          <w:sz w:val="22"/>
        </w:rPr>
        <w:t xml:space="preserve"> De conformidad con el artículo 113, fracción XI de la Ley General, </w:t>
      </w:r>
      <w:r w:rsidRPr="00CF5018">
        <w:rPr>
          <w:rFonts w:ascii="Palatino Linotype" w:eastAsia="Palatino Linotype" w:hAnsi="Palatino Linotype" w:cs="Palatino Linotype"/>
          <w:b/>
          <w:i/>
          <w:sz w:val="22"/>
          <w:u w:val="single"/>
        </w:rPr>
        <w:t>podrá considerarse como información reservada, aquella que vulnere</w:t>
      </w:r>
      <w:r w:rsidRPr="00CF5018">
        <w:rPr>
          <w:rFonts w:ascii="Palatino Linotype" w:eastAsia="Palatino Linotype" w:hAnsi="Palatino Linotype" w:cs="Palatino Linotype"/>
          <w:i/>
          <w:sz w:val="22"/>
        </w:rPr>
        <w:t xml:space="preserve"> la conducción de los expedientes judiciales o de los </w:t>
      </w:r>
      <w:r w:rsidRPr="00CF5018">
        <w:rPr>
          <w:rFonts w:ascii="Palatino Linotype" w:eastAsia="Palatino Linotype" w:hAnsi="Palatino Linotype" w:cs="Palatino Linotype"/>
          <w:b/>
          <w:i/>
          <w:sz w:val="22"/>
          <w:u w:val="single"/>
        </w:rPr>
        <w:t>procedimientos administrativos seguidos en forma de juicio</w:t>
      </w:r>
      <w:r w:rsidRPr="00CF5018">
        <w:rPr>
          <w:rFonts w:ascii="Palatino Linotype" w:eastAsia="Palatino Linotype" w:hAnsi="Palatino Linotype" w:cs="Palatino Linotype"/>
          <w:i/>
          <w:sz w:val="22"/>
          <w:u w:val="single"/>
        </w:rPr>
        <w:t xml:space="preserve">, </w:t>
      </w:r>
      <w:r w:rsidRPr="00CF5018">
        <w:rPr>
          <w:rFonts w:ascii="Palatino Linotype" w:eastAsia="Palatino Linotype" w:hAnsi="Palatino Linotype" w:cs="Palatino Linotype"/>
          <w:b/>
          <w:i/>
          <w:sz w:val="22"/>
          <w:u w:val="single"/>
        </w:rPr>
        <w:t>siempre y cuando se acrediten los siguientes elementos</w:t>
      </w:r>
      <w:r w:rsidRPr="00CF5018">
        <w:rPr>
          <w:rFonts w:ascii="Palatino Linotype" w:eastAsia="Palatino Linotype" w:hAnsi="Palatino Linotype" w:cs="Palatino Linotype"/>
          <w:b/>
          <w:i/>
          <w:sz w:val="22"/>
        </w:rPr>
        <w:t>:</w:t>
      </w:r>
    </w:p>
    <w:p w14:paraId="36C397BA"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i/>
          <w:sz w:val="22"/>
        </w:rPr>
        <w:t>[…]</w:t>
      </w:r>
    </w:p>
    <w:p w14:paraId="08A0935D" w14:textId="77777777" w:rsidR="0077213B" w:rsidRPr="00CF5018" w:rsidRDefault="009F6B6E" w:rsidP="00B1526F">
      <w:pPr>
        <w:spacing w:line="360" w:lineRule="auto"/>
        <w:ind w:left="709" w:right="709"/>
        <w:jc w:val="both"/>
        <w:rPr>
          <w:rFonts w:ascii="Palatino Linotype" w:eastAsia="Palatino Linotype" w:hAnsi="Palatino Linotype" w:cs="Palatino Linotype"/>
          <w:b/>
          <w:i/>
          <w:sz w:val="22"/>
        </w:rPr>
      </w:pPr>
      <w:r w:rsidRPr="00CF5018">
        <w:rPr>
          <w:rFonts w:ascii="Palatino Linotype" w:eastAsia="Palatino Linotype" w:hAnsi="Palatino Linotype" w:cs="Palatino Linotype"/>
          <w:b/>
          <w:i/>
          <w:sz w:val="22"/>
          <w:u w:val="single"/>
        </w:rPr>
        <w:t>II. Que la información solicitada se refiera a actuaciones, diligencias o constancias propias del procedimiento</w:t>
      </w:r>
      <w:r w:rsidRPr="00CF5018">
        <w:rPr>
          <w:rFonts w:ascii="Palatino Linotype" w:eastAsia="Palatino Linotype" w:hAnsi="Palatino Linotype" w:cs="Palatino Linotype"/>
          <w:i/>
          <w:sz w:val="22"/>
        </w:rPr>
        <w:t>.</w:t>
      </w:r>
    </w:p>
    <w:p w14:paraId="134213A1"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i/>
          <w:sz w:val="22"/>
        </w:rPr>
        <w:t xml:space="preserve">Para los efectos del primer párrafo de este numeral, </w:t>
      </w:r>
      <w:r w:rsidRPr="00CF5018">
        <w:rPr>
          <w:rFonts w:ascii="Palatino Linotype" w:eastAsia="Palatino Linotype" w:hAnsi="Palatino Linotype" w:cs="Palatino Linotype"/>
          <w:b/>
          <w:i/>
          <w:sz w:val="22"/>
          <w:u w:val="single"/>
        </w:rPr>
        <w:t>se considera procedimiento seguido en forma de juicio a aquel formalmente administrativo, pero materialmente jurisdiccional</w:t>
      </w:r>
      <w:r w:rsidRPr="00CF5018">
        <w:rPr>
          <w:rFonts w:ascii="Palatino Linotype" w:eastAsia="Palatino Linotype" w:hAnsi="Palatino Linotype" w:cs="Palatino Linotype"/>
          <w:i/>
          <w:sz w:val="22"/>
        </w:rPr>
        <w:t>; esto es, en el que concurran los siguientes elementos:</w:t>
      </w:r>
    </w:p>
    <w:p w14:paraId="68F7CDD8"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b/>
          <w:i/>
          <w:sz w:val="22"/>
        </w:rPr>
        <w:lastRenderedPageBreak/>
        <w:t xml:space="preserve">1. </w:t>
      </w:r>
      <w:r w:rsidRPr="00CF5018">
        <w:rPr>
          <w:rFonts w:ascii="Palatino Linotype" w:eastAsia="Palatino Linotype" w:hAnsi="Palatino Linotype" w:cs="Palatino Linotype"/>
          <w:b/>
          <w:i/>
          <w:sz w:val="22"/>
          <w:u w:val="single"/>
        </w:rPr>
        <w:t>Que se trate de un procedimiento en el que la autoridad dirima una controversia entre partes contendientes</w:t>
      </w:r>
      <w:r w:rsidRPr="00CF5018">
        <w:rPr>
          <w:rFonts w:ascii="Palatino Linotype" w:eastAsia="Palatino Linotype" w:hAnsi="Palatino Linotype" w:cs="Palatino Linotype"/>
          <w:i/>
          <w:sz w:val="22"/>
        </w:rPr>
        <w:t>, así como los procedimientos en que la autoridad, frente al particular, prepare su resolución definitiva, aunque sólo sea un trámite para cumplir con la garantía de audiencia, y</w:t>
      </w:r>
    </w:p>
    <w:p w14:paraId="05A0C6D1"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b/>
          <w:i/>
          <w:sz w:val="22"/>
        </w:rPr>
        <w:t xml:space="preserve">2. </w:t>
      </w:r>
      <w:r w:rsidRPr="00CF5018">
        <w:rPr>
          <w:rFonts w:ascii="Palatino Linotype" w:eastAsia="Palatino Linotype" w:hAnsi="Palatino Linotype" w:cs="Palatino Linotype"/>
          <w:b/>
          <w:i/>
          <w:sz w:val="22"/>
          <w:u w:val="single"/>
        </w:rPr>
        <w:t>Que se cumplan las formalidades esenciales del procedimiento</w:t>
      </w:r>
      <w:r w:rsidRPr="00CF5018">
        <w:rPr>
          <w:rFonts w:ascii="Palatino Linotype" w:eastAsia="Palatino Linotype" w:hAnsi="Palatino Linotype" w:cs="Palatino Linotype"/>
          <w:i/>
          <w:sz w:val="22"/>
        </w:rPr>
        <w:t>.</w:t>
      </w:r>
    </w:p>
    <w:p w14:paraId="03F7F042"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i/>
          <w:sz w:val="22"/>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59C8CD85"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i/>
          <w:sz w:val="22"/>
        </w:rPr>
        <w:t>[…]</w:t>
      </w:r>
    </w:p>
    <w:p w14:paraId="07815457"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b/>
          <w:i/>
          <w:sz w:val="22"/>
        </w:rPr>
        <w:t xml:space="preserve">Trigésimo tercero. </w:t>
      </w:r>
      <w:r w:rsidRPr="00CF5018">
        <w:rPr>
          <w:rFonts w:ascii="Palatino Linotype" w:eastAsia="Palatino Linotype" w:hAnsi="Palatino Linotype" w:cs="Palatino Linotype"/>
          <w:i/>
          <w:sz w:val="22"/>
          <w:u w:val="single"/>
        </w:rPr>
        <w:t>Para la aplicación de la prueba de daño a la que hace referencia el artículo 104 de la Ley General</w:t>
      </w:r>
      <w:r w:rsidRPr="00CF5018">
        <w:rPr>
          <w:rFonts w:ascii="Palatino Linotype" w:eastAsia="Palatino Linotype" w:hAnsi="Palatino Linotype" w:cs="Palatino Linotype"/>
          <w:i/>
          <w:sz w:val="22"/>
        </w:rPr>
        <w:t>, los sujetos obligados atenderán lo siguiente:</w:t>
      </w:r>
    </w:p>
    <w:p w14:paraId="078D4C19"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b/>
          <w:i/>
          <w:sz w:val="22"/>
        </w:rPr>
        <w:t xml:space="preserve">I. </w:t>
      </w:r>
      <w:r w:rsidRPr="00CF5018">
        <w:rPr>
          <w:rFonts w:ascii="Palatino Linotype" w:eastAsia="Palatino Linotype" w:hAnsi="Palatino Linotype" w:cs="Palatino Linotype"/>
          <w:b/>
          <w:i/>
          <w:sz w:val="22"/>
          <w:u w:val="single"/>
        </w:rPr>
        <w:t>Se deberá citar la fracción y, en su caso, la causal aplicable</w:t>
      </w:r>
      <w:r w:rsidRPr="00CF5018">
        <w:rPr>
          <w:rFonts w:ascii="Palatino Linotype" w:eastAsia="Palatino Linotype" w:hAnsi="Palatino Linotype" w:cs="Palatino Linotype"/>
          <w:i/>
          <w:sz w:val="22"/>
        </w:rPr>
        <w:t xml:space="preserve"> del artículo 113 de la Ley General, vinculándola con el Lineamiento específico del presente ordenamiento y, cuando corresponda, el supuesto normativo que expresamente le otorga el carácter de información reservada;</w:t>
      </w:r>
    </w:p>
    <w:p w14:paraId="52AD214A"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b/>
          <w:i/>
          <w:sz w:val="22"/>
        </w:rPr>
        <w:t>II.</w:t>
      </w:r>
      <w:r w:rsidRPr="00CF5018">
        <w:rPr>
          <w:rFonts w:ascii="Palatino Linotype" w:eastAsia="Palatino Linotype" w:hAnsi="Palatino Linotype" w:cs="Palatino Linotype"/>
          <w:i/>
          <w:sz w:val="22"/>
        </w:rPr>
        <w:t xml:space="preserve"> </w:t>
      </w:r>
      <w:r w:rsidRPr="00CF5018">
        <w:rPr>
          <w:rFonts w:ascii="Palatino Linotype" w:eastAsia="Palatino Linotype" w:hAnsi="Palatino Linotype" w:cs="Palatino Linotype"/>
          <w:b/>
          <w:i/>
          <w:sz w:val="22"/>
          <w:u w:val="single"/>
        </w:rPr>
        <w:t>Mediante la ponderación de los intereses en conflicto, los sujetos obligados deberán demostrar que la publicidad de la información solicitada generaría un riesgo de perjuicio</w:t>
      </w:r>
      <w:r w:rsidRPr="00CF5018">
        <w:rPr>
          <w:rFonts w:ascii="Palatino Linotype" w:eastAsia="Palatino Linotype" w:hAnsi="Palatino Linotype" w:cs="Palatino Linotype"/>
          <w:i/>
          <w:sz w:val="22"/>
        </w:rPr>
        <w:t xml:space="preserve"> y por lo tanto, tendrán que acreditar que este último rebasa el interés público protegido por la reserva;</w:t>
      </w:r>
    </w:p>
    <w:p w14:paraId="56E2F54A"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b/>
          <w:i/>
          <w:sz w:val="22"/>
        </w:rPr>
        <w:t>III.</w:t>
      </w:r>
      <w:r w:rsidRPr="00CF5018">
        <w:rPr>
          <w:rFonts w:ascii="Palatino Linotype" w:eastAsia="Palatino Linotype" w:hAnsi="Palatino Linotype" w:cs="Palatino Linotype"/>
          <w:i/>
          <w:sz w:val="22"/>
        </w:rPr>
        <w:t xml:space="preserve"> Se debe de </w:t>
      </w:r>
      <w:r w:rsidRPr="00CF5018">
        <w:rPr>
          <w:rFonts w:ascii="Palatino Linotype" w:eastAsia="Palatino Linotype" w:hAnsi="Palatino Linotype" w:cs="Palatino Linotype"/>
          <w:b/>
          <w:i/>
          <w:sz w:val="22"/>
          <w:u w:val="single"/>
        </w:rPr>
        <w:t>acreditar el vínculo entre la difusión de la información y la afectación del interés jurídico tutelad</w:t>
      </w:r>
      <w:r w:rsidRPr="00CF5018">
        <w:rPr>
          <w:rFonts w:ascii="Palatino Linotype" w:eastAsia="Palatino Linotype" w:hAnsi="Palatino Linotype" w:cs="Palatino Linotype"/>
          <w:i/>
          <w:sz w:val="22"/>
        </w:rPr>
        <w:t>o de que se trate;</w:t>
      </w:r>
    </w:p>
    <w:p w14:paraId="5BE8F6D1"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b/>
          <w:i/>
          <w:sz w:val="22"/>
        </w:rPr>
        <w:t>IV.</w:t>
      </w:r>
      <w:r w:rsidRPr="00CF5018">
        <w:rPr>
          <w:rFonts w:ascii="Palatino Linotype" w:eastAsia="Palatino Linotype" w:hAnsi="Palatino Linotype" w:cs="Palatino Linotype"/>
          <w:i/>
          <w:sz w:val="22"/>
        </w:rPr>
        <w:t xml:space="preserve"> Precisar las </w:t>
      </w:r>
      <w:r w:rsidRPr="00CF5018">
        <w:rPr>
          <w:rFonts w:ascii="Palatino Linotype" w:eastAsia="Palatino Linotype" w:hAnsi="Palatino Linotype" w:cs="Palatino Linotype"/>
          <w:b/>
          <w:i/>
          <w:sz w:val="22"/>
          <w:u w:val="single"/>
        </w:rPr>
        <w:t>razones objetivas por las que la apertura de la información</w:t>
      </w:r>
      <w:r w:rsidRPr="00CF5018">
        <w:rPr>
          <w:rFonts w:ascii="Palatino Linotype" w:eastAsia="Palatino Linotype" w:hAnsi="Palatino Linotype" w:cs="Palatino Linotype"/>
          <w:i/>
          <w:sz w:val="22"/>
        </w:rPr>
        <w:t xml:space="preserve"> generaría una afectación, a través de los elementos de un riesgo real, demostrable e identificable;</w:t>
      </w:r>
    </w:p>
    <w:p w14:paraId="13518F16"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b/>
          <w:i/>
          <w:sz w:val="22"/>
        </w:rPr>
        <w:lastRenderedPageBreak/>
        <w:t>V.</w:t>
      </w:r>
      <w:r w:rsidRPr="00CF5018">
        <w:rPr>
          <w:rFonts w:ascii="Palatino Linotype" w:eastAsia="Palatino Linotype" w:hAnsi="Palatino Linotype" w:cs="Palatino Linotype"/>
          <w:i/>
          <w:sz w:val="22"/>
        </w:rPr>
        <w:t xml:space="preserve"> </w:t>
      </w:r>
      <w:r w:rsidRPr="00CF5018">
        <w:rPr>
          <w:rFonts w:ascii="Palatino Linotype" w:eastAsia="Palatino Linotype" w:hAnsi="Palatino Linotype" w:cs="Palatino Linotype"/>
          <w:b/>
          <w:i/>
          <w:sz w:val="22"/>
          <w:u w:val="single"/>
        </w:rPr>
        <w:t>En la motivación de la clasificación, el sujeto obligado deberá acreditar las circunstancias de modo, tiempo y lugar del daño</w:t>
      </w:r>
      <w:r w:rsidRPr="00CF5018">
        <w:rPr>
          <w:rFonts w:ascii="Palatino Linotype" w:eastAsia="Palatino Linotype" w:hAnsi="Palatino Linotype" w:cs="Palatino Linotype"/>
          <w:i/>
          <w:sz w:val="22"/>
        </w:rPr>
        <w:t>, y</w:t>
      </w:r>
    </w:p>
    <w:p w14:paraId="3AEB0CB2" w14:textId="77777777" w:rsidR="0077213B" w:rsidRPr="00CF5018" w:rsidRDefault="009F6B6E" w:rsidP="00B1526F">
      <w:pPr>
        <w:spacing w:line="360" w:lineRule="auto"/>
        <w:ind w:left="709" w:right="709"/>
        <w:jc w:val="both"/>
        <w:rPr>
          <w:rFonts w:ascii="Palatino Linotype" w:eastAsia="Palatino Linotype" w:hAnsi="Palatino Linotype" w:cs="Palatino Linotype"/>
          <w:i/>
          <w:sz w:val="22"/>
        </w:rPr>
      </w:pPr>
      <w:r w:rsidRPr="00CF5018">
        <w:rPr>
          <w:rFonts w:ascii="Palatino Linotype" w:eastAsia="Palatino Linotype" w:hAnsi="Palatino Linotype" w:cs="Palatino Linotype"/>
          <w:b/>
          <w:i/>
          <w:sz w:val="22"/>
        </w:rPr>
        <w:t>VI.</w:t>
      </w:r>
      <w:r w:rsidRPr="00CF5018">
        <w:rPr>
          <w:rFonts w:ascii="Palatino Linotype" w:eastAsia="Palatino Linotype" w:hAnsi="Palatino Linotype" w:cs="Palatino Linotype"/>
          <w:i/>
          <w:sz w:val="22"/>
        </w:rPr>
        <w:t xml:space="preserve"> </w:t>
      </w:r>
      <w:r w:rsidRPr="00CF5018">
        <w:rPr>
          <w:rFonts w:ascii="Palatino Linotype" w:eastAsia="Palatino Linotype" w:hAnsi="Palatino Linotype" w:cs="Palatino Linotype"/>
          <w:b/>
          <w:i/>
          <w:sz w:val="22"/>
          <w:u w:val="single"/>
        </w:rPr>
        <w:t>Deberán elegir la opción de excepción al acceso a la información que menos lo restrinja</w:t>
      </w:r>
      <w:r w:rsidRPr="00CF5018">
        <w:rPr>
          <w:rFonts w:ascii="Palatino Linotype" w:eastAsia="Palatino Linotype" w:hAnsi="Palatino Linotype" w:cs="Palatino Linotype"/>
          <w:i/>
          <w:sz w:val="22"/>
        </w:rPr>
        <w:t>, la cual será adecuada y proporcional para la protección del interés público, y deberá interferir lo menos posible en el ejercicio efectivo del derecho de acceso a la información.”</w:t>
      </w:r>
    </w:p>
    <w:p w14:paraId="6652CA00" w14:textId="77777777" w:rsidR="0077213B" w:rsidRPr="00CF5018" w:rsidRDefault="0077213B" w:rsidP="00B1526F">
      <w:pPr>
        <w:spacing w:line="360" w:lineRule="auto"/>
        <w:ind w:left="709" w:right="709"/>
        <w:jc w:val="both"/>
        <w:rPr>
          <w:rFonts w:ascii="Palatino Linotype" w:eastAsia="Palatino Linotype" w:hAnsi="Palatino Linotype" w:cs="Palatino Linotype"/>
          <w:i/>
        </w:rPr>
      </w:pPr>
    </w:p>
    <w:p w14:paraId="111C4AD4"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Es así que, la información podrá ser reservada cuando se vulnere la conducción de procedimientos administrativos seguidos en forma de juicio, siempre y cuando se acredi</w:t>
      </w:r>
      <w:r w:rsidR="00D70EF8" w:rsidRPr="00CF5018">
        <w:rPr>
          <w:rFonts w:ascii="Palatino Linotype" w:eastAsia="Palatino Linotype" w:hAnsi="Palatino Linotype" w:cs="Palatino Linotype"/>
        </w:rPr>
        <w:t xml:space="preserve">te la existencia de los mismos y de que como se ha venido mencionando </w:t>
      </w:r>
      <w:r w:rsidR="00D70EF8" w:rsidRPr="00CF5018">
        <w:rPr>
          <w:rFonts w:ascii="Palatino Linotype" w:eastAsia="Palatino Linotype" w:hAnsi="Palatino Linotype" w:cs="Palatino Linotype"/>
          <w:b/>
        </w:rPr>
        <w:t>no se actualicen los supuestos del articulo 142</w:t>
      </w:r>
      <w:r w:rsidR="00D70EF8" w:rsidRPr="00CF5018">
        <w:rPr>
          <w:rFonts w:ascii="Palatino Linotype" w:eastAsia="Palatino Linotype" w:hAnsi="Palatino Linotype" w:cs="Palatino Linotype"/>
        </w:rPr>
        <w:t xml:space="preserve"> Ley de Transparencia y Acceso a la Información Pública del Estado de México y Municipios</w:t>
      </w:r>
    </w:p>
    <w:p w14:paraId="056F5EEB" w14:textId="77777777" w:rsidR="0077213B" w:rsidRPr="00CF5018" w:rsidRDefault="0077213B" w:rsidP="00B1526F">
      <w:pPr>
        <w:spacing w:line="360" w:lineRule="auto"/>
        <w:jc w:val="both"/>
        <w:rPr>
          <w:rFonts w:ascii="Palatino Linotype" w:eastAsia="Palatino Linotype" w:hAnsi="Palatino Linotype" w:cs="Palatino Linotype"/>
        </w:rPr>
      </w:pPr>
    </w:p>
    <w:p w14:paraId="1C98FDD1"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De la normatividad citada, se desprende que se podrá clasificar como información reservada aquella que vulnere la conducción de los expedientes judiciales o de los procedimientos administrativos seguidos en forma de juicio, en tanto no hayan causado estado. Es así que, para considerar que se actualiza dicha causal es necesario que se configuren los siguientes elementos:</w:t>
      </w:r>
    </w:p>
    <w:p w14:paraId="307CEC07" w14:textId="77777777" w:rsidR="0077213B" w:rsidRPr="00CF5018" w:rsidRDefault="009F6B6E" w:rsidP="00B1526F">
      <w:pPr>
        <w:numPr>
          <w:ilvl w:val="0"/>
          <w:numId w:val="4"/>
        </w:numPr>
        <w:tabs>
          <w:tab w:val="left" w:pos="4962"/>
        </w:tabs>
        <w:spacing w:line="360" w:lineRule="auto"/>
        <w:ind w:left="851" w:right="758" w:hanging="357"/>
        <w:jc w:val="both"/>
        <w:rPr>
          <w:rFonts w:ascii="Palatino Linotype" w:eastAsia="Palatino Linotype" w:hAnsi="Palatino Linotype" w:cs="Palatino Linotype"/>
          <w:sz w:val="22"/>
        </w:rPr>
      </w:pPr>
      <w:r w:rsidRPr="00CF5018">
        <w:rPr>
          <w:rFonts w:ascii="Palatino Linotype" w:eastAsia="Palatino Linotype" w:hAnsi="Palatino Linotype" w:cs="Palatino Linotype"/>
          <w:sz w:val="22"/>
        </w:rPr>
        <w:t>La existencia de un juicio o procedimiento administrativo materialmente jurisdiccional, que se encuentre en trámite, y</w:t>
      </w:r>
    </w:p>
    <w:p w14:paraId="43778456" w14:textId="77777777" w:rsidR="0077213B" w:rsidRPr="00CF5018" w:rsidRDefault="009F6B6E" w:rsidP="00B1526F">
      <w:pPr>
        <w:numPr>
          <w:ilvl w:val="0"/>
          <w:numId w:val="4"/>
        </w:numPr>
        <w:tabs>
          <w:tab w:val="left" w:pos="4962"/>
        </w:tabs>
        <w:spacing w:line="360" w:lineRule="auto"/>
        <w:ind w:left="851" w:right="758" w:hanging="357"/>
        <w:jc w:val="both"/>
        <w:rPr>
          <w:rFonts w:ascii="Palatino Linotype" w:eastAsia="Palatino Linotype" w:hAnsi="Palatino Linotype" w:cs="Palatino Linotype"/>
          <w:sz w:val="22"/>
        </w:rPr>
      </w:pPr>
      <w:r w:rsidRPr="00CF5018">
        <w:rPr>
          <w:rFonts w:ascii="Palatino Linotype" w:eastAsia="Palatino Linotype" w:hAnsi="Palatino Linotype" w:cs="Palatino Linotype"/>
          <w:sz w:val="22"/>
        </w:rPr>
        <w:t xml:space="preserve">Que </w:t>
      </w:r>
      <w:r w:rsidRPr="00CF5018">
        <w:rPr>
          <w:rFonts w:ascii="Palatino Linotype" w:eastAsia="Palatino Linotype" w:hAnsi="Palatino Linotype" w:cs="Palatino Linotype"/>
          <w:b/>
          <w:sz w:val="22"/>
          <w:u w:val="single"/>
        </w:rPr>
        <w:t>la información solicitada se refiera a actuaciones, diligencias o constancias propias del procedimiento</w:t>
      </w:r>
      <w:r w:rsidRPr="00CF5018">
        <w:rPr>
          <w:rFonts w:ascii="Palatino Linotype" w:eastAsia="Palatino Linotype" w:hAnsi="Palatino Linotype" w:cs="Palatino Linotype"/>
          <w:sz w:val="22"/>
        </w:rPr>
        <w:t>.</w:t>
      </w:r>
    </w:p>
    <w:p w14:paraId="5B1CAF22" w14:textId="77777777" w:rsidR="0077213B" w:rsidRPr="00CF5018" w:rsidRDefault="0077213B" w:rsidP="00B1526F">
      <w:pPr>
        <w:tabs>
          <w:tab w:val="left" w:pos="4962"/>
        </w:tabs>
        <w:spacing w:line="360" w:lineRule="auto"/>
        <w:ind w:left="851" w:right="758"/>
        <w:jc w:val="both"/>
        <w:rPr>
          <w:rFonts w:ascii="Palatino Linotype" w:eastAsia="Palatino Linotype" w:hAnsi="Palatino Linotype" w:cs="Palatino Linotype"/>
          <w:sz w:val="22"/>
        </w:rPr>
      </w:pPr>
    </w:p>
    <w:p w14:paraId="767787A9"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 xml:space="preserve">Con base en lo expuesto, se advierte que la información susceptible de clasificarse como reservada bajo el supuesto referido, se debe acreditar que su </w:t>
      </w:r>
      <w:r w:rsidRPr="00CF5018">
        <w:rPr>
          <w:rFonts w:ascii="Palatino Linotype" w:eastAsia="Palatino Linotype" w:hAnsi="Palatino Linotype" w:cs="Palatino Linotype"/>
        </w:rPr>
        <w:lastRenderedPageBreak/>
        <w:t>difusión vulnera la conducción de los expedientes judiciales o procedimientos administrativos seguidos en forma de juicio, en tanto no hayan causado estado.</w:t>
      </w:r>
    </w:p>
    <w:p w14:paraId="629C5634" w14:textId="77777777" w:rsidR="0077213B" w:rsidRPr="00CF5018" w:rsidRDefault="0077213B" w:rsidP="00B1526F">
      <w:pPr>
        <w:spacing w:line="360" w:lineRule="auto"/>
        <w:jc w:val="both"/>
        <w:rPr>
          <w:rFonts w:ascii="Palatino Linotype" w:eastAsia="Palatino Linotype" w:hAnsi="Palatino Linotype" w:cs="Palatino Linotype"/>
        </w:rPr>
      </w:pPr>
    </w:p>
    <w:p w14:paraId="22A3F3D1"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En relación con lo anterior, es menester precisar que para que se trate de un juicio o procedimiento administrativo materialmente jurisdiccional, debe cumplirse con lo dispuesto en los Lineamientos Generales en materia de clasificación y desclasificación de la información, así como lo sostenido en la Tesis Jurisprudencial con número de registro 184435 de la Novena Época, emitida por la Segunda Sala de la Suprema Corte de Justicia de la Nación, publicada en la página 196 del Tomo XVII de abril de 2003, en el Semanario Judicial de la Federación y su Gaceta, cuyo rubro y texto son del tenor literal siguiente:</w:t>
      </w:r>
    </w:p>
    <w:p w14:paraId="0E20EFC6" w14:textId="77777777" w:rsidR="0077213B" w:rsidRPr="00CF5018" w:rsidRDefault="009F6B6E" w:rsidP="00B1526F">
      <w:pPr>
        <w:tabs>
          <w:tab w:val="left" w:pos="4962"/>
        </w:tabs>
        <w:spacing w:line="360" w:lineRule="auto"/>
        <w:ind w:left="567" w:right="567"/>
        <w:jc w:val="both"/>
        <w:rPr>
          <w:rFonts w:ascii="Palatino Linotype" w:eastAsia="Palatino Linotype" w:hAnsi="Palatino Linotype" w:cs="Palatino Linotype"/>
          <w:b/>
          <w:i/>
          <w:sz w:val="22"/>
        </w:rPr>
      </w:pPr>
      <w:r w:rsidRPr="00CF5018">
        <w:rPr>
          <w:rFonts w:ascii="Palatino Linotype" w:eastAsia="Palatino Linotype" w:hAnsi="Palatino Linotype" w:cs="Palatino Linotype"/>
          <w:i/>
          <w:sz w:val="22"/>
        </w:rPr>
        <w:t>“</w:t>
      </w:r>
      <w:r w:rsidRPr="00CF5018">
        <w:rPr>
          <w:rFonts w:ascii="Palatino Linotype" w:eastAsia="Palatino Linotype" w:hAnsi="Palatino Linotype" w:cs="Palatino Linotype"/>
          <w:b/>
          <w:i/>
          <w:sz w:val="22"/>
        </w:rPr>
        <w:t>PROCEDIMIENTOS EN FORMA DE JUICIO SEGUIDOS POR AUTORIDADES DISTINTAS DE TRIBUNALES A QUE SE REFIERE EL ARTÍCULO 114, FRACCIÓN II, PÁRRAFO SEGUNDO, DE LA LEY DE AMPARO. SU CONCEPTO COMPRENDE TANTO AQUELLOS EN QUE LA AUTORIDAD DIRIME UNA CONTROVERSIA ENTRE PARTES CONTENDIENTES, COMO LOS PROCEDIMIENTOS MEDIANTE LOS QUE LA AUTORIDAD PREPARA SU RESOLUCIÓN DEFINITIVA CON INTERVENCIÓN DLA PARTICULAR.</w:t>
      </w:r>
      <w:r w:rsidRPr="00CF5018">
        <w:rPr>
          <w:rFonts w:ascii="Palatino Linotype" w:eastAsia="Palatino Linotype" w:hAnsi="Palatino Linotype" w:cs="Palatino Linotype"/>
          <w:i/>
          <w:sz w:val="22"/>
        </w:rPr>
        <w:t xml:space="preserve"> La Ley de Amparo establece que tratándose de actos dentro de un procedimiento, la regla general, con algunas excepciones, es que el juicio constitucional sólo procede hasta la resolución definitiva, ocasión en la cual cabe alegar tanto violaciones de fondo como de procedimiento, sistema que tiene el propósito de armonizar la protección de las garantías constitucionales del gobernado, con la necesidad de asegurar la expeditez de las diligencias procedimentales. Tal es la estructura que dicha Ley adopta en el amparo directo, así como en los procedimientos de ejecución </w:t>
      </w:r>
      <w:r w:rsidRPr="00CF5018">
        <w:rPr>
          <w:rFonts w:ascii="Palatino Linotype" w:eastAsia="Palatino Linotype" w:hAnsi="Palatino Linotype" w:cs="Palatino Linotype"/>
          <w:i/>
          <w:sz w:val="22"/>
        </w:rPr>
        <w:lastRenderedPageBreak/>
        <w:t xml:space="preserve">y en los procedimientos de remate, como lo establece en sus artículos 158 y 114, fracción III, respectivamente. Por tanto, al establecer el segundo párrafo de la fracción II del artículo 114 acabado de citar, que cuando el acto reclamado de autoridades distintas de tribunales judiciales, administrativos o del trabajo, emanen de un procedimiento en forma de juicio, el amparo sólo procede en contra de la resolución definitiva, debe interpretarse de manera amplia la expresión </w:t>
      </w:r>
      <w:r w:rsidRPr="00CF5018">
        <w:rPr>
          <w:rFonts w:ascii="Palatino Linotype" w:eastAsia="Palatino Linotype" w:hAnsi="Palatino Linotype" w:cs="Palatino Linotype"/>
          <w:b/>
          <w:i/>
          <w:sz w:val="22"/>
        </w:rPr>
        <w:t>"procedimiento en forma de juicio", comprendiendo aquellos en que la autoridad dirime una controversia entre partes contendientes, así como todos los procedimientos en que la autoridad, frente al particular, prepara su resolución definitiva, aunque sólo sea un trámite para cumplir con la garantía de audiencia, pues si en todos ellos se reclaman actos dentro de procedimiento, en todos debe de aplicarse la misma regla, conclusión que es acorde con la interpretación literal de dicho párrafo.”</w:t>
      </w:r>
    </w:p>
    <w:p w14:paraId="209B2F7C" w14:textId="77777777" w:rsidR="0077213B" w:rsidRPr="00CF5018" w:rsidRDefault="0077213B" w:rsidP="00B1526F">
      <w:pPr>
        <w:tabs>
          <w:tab w:val="left" w:pos="4962"/>
        </w:tabs>
        <w:spacing w:line="360" w:lineRule="auto"/>
        <w:ind w:left="567" w:right="567"/>
        <w:jc w:val="both"/>
        <w:rPr>
          <w:rFonts w:ascii="Palatino Linotype" w:eastAsia="Palatino Linotype" w:hAnsi="Palatino Linotype" w:cs="Palatino Linotype"/>
          <w:i/>
        </w:rPr>
      </w:pPr>
    </w:p>
    <w:p w14:paraId="7C79767E" w14:textId="77777777" w:rsidR="0077213B" w:rsidRPr="00CF5018" w:rsidRDefault="009F6B6E"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 xml:space="preserve">En este orden de ideas, si el expediente solicitado aún no se encuentra firme o se actualiza alguna causal de reserva contemplada en el artículo 140 de la Ley de la materia, </w:t>
      </w:r>
      <w:r w:rsidRPr="00CF5018">
        <w:rPr>
          <w:rFonts w:ascii="Palatino Linotype" w:eastAsia="Palatino Linotype" w:hAnsi="Palatino Linotype" w:cs="Palatino Linotype"/>
          <w:b/>
        </w:rPr>
        <w:t xml:space="preserve">EL SUJETO OBLIGADO </w:t>
      </w:r>
      <w:r w:rsidRPr="00CF5018">
        <w:rPr>
          <w:rFonts w:ascii="Palatino Linotype" w:eastAsia="Palatino Linotype" w:hAnsi="Palatino Linotype" w:cs="Palatino Linotype"/>
        </w:rPr>
        <w:t xml:space="preserve">debe acreditar dicha situación de manera fundada y motivada exponer las razones que lo llevaran a considerar la clasificación de la información solicitada por la particular, mediante Acuerdo de Clasificación de la información como Reservada, emitido a través de su Comité de Transparencia, el cual debe cumplir cabalmente con las formalidades referidas anteriormente; ya que al divulgar dicha información sin que los procedimientos judiciales hayan quedado firmes o hayan causado estado, se podría poner en riesgo la conducción de los mismos, al entorpecer las actuaciones del Órgano Jurisdiccional o alterar las etapas procesales, causando una inminente afectación en la administración de la justicia; tal </w:t>
      </w:r>
      <w:r w:rsidRPr="00CF5018">
        <w:rPr>
          <w:rFonts w:ascii="Palatino Linotype" w:eastAsia="Palatino Linotype" w:hAnsi="Palatino Linotype" w:cs="Palatino Linotype"/>
        </w:rPr>
        <w:lastRenderedPageBreak/>
        <w:t>y como se desprende del caso concreto, de manera tal que se estima que devienen infundadas las razones o motivos de inconformidad.</w:t>
      </w:r>
    </w:p>
    <w:p w14:paraId="5AC3C6CB" w14:textId="77777777" w:rsidR="0077213B" w:rsidRPr="00CF5018" w:rsidRDefault="0077213B" w:rsidP="00B1526F">
      <w:pPr>
        <w:spacing w:line="360" w:lineRule="auto"/>
        <w:jc w:val="both"/>
        <w:rPr>
          <w:rFonts w:ascii="Palatino Linotype" w:eastAsia="Palatino Linotype" w:hAnsi="Palatino Linotype" w:cs="Palatino Linotype"/>
        </w:rPr>
      </w:pPr>
    </w:p>
    <w:p w14:paraId="05B6A1B8" w14:textId="77777777" w:rsidR="00D70EF8" w:rsidRPr="00CF5018" w:rsidRDefault="00D70EF8" w:rsidP="00B1526F">
      <w:pPr>
        <w:numPr>
          <w:ilvl w:val="0"/>
          <w:numId w:val="5"/>
        </w:numPr>
        <w:spacing w:line="360" w:lineRule="auto"/>
        <w:ind w:left="0" w:firstLine="0"/>
        <w:jc w:val="both"/>
        <w:rPr>
          <w:rFonts w:ascii="Palatino Linotype" w:eastAsia="Palatino Linotype" w:hAnsi="Palatino Linotype" w:cs="Palatino Linotype"/>
        </w:rPr>
      </w:pPr>
      <w:r w:rsidRPr="00CF5018">
        <w:rPr>
          <w:rFonts w:ascii="Palatino Linotype" w:eastAsia="Palatino Linotype" w:hAnsi="Palatino Linotype" w:cs="Palatino Linotype"/>
        </w:rPr>
        <w:t xml:space="preserve">Finalmente, es de recordar que </w:t>
      </w:r>
      <w:r w:rsidR="00AA4011" w:rsidRPr="00CF5018">
        <w:rPr>
          <w:rFonts w:ascii="Palatino Linotype" w:eastAsia="Palatino Linotype" w:hAnsi="Palatino Linotype" w:cs="Palatino Linotype"/>
        </w:rPr>
        <w:t>la modalidad de entrega</w:t>
      </w:r>
      <w:r w:rsidR="00470330" w:rsidRPr="00CF5018">
        <w:rPr>
          <w:rFonts w:ascii="Palatino Linotype" w:eastAsia="Palatino Linotype" w:hAnsi="Palatino Linotype" w:cs="Palatino Linotype"/>
        </w:rPr>
        <w:t xml:space="preserve"> elegida</w:t>
      </w:r>
      <w:r w:rsidR="00AA4011" w:rsidRPr="00CF5018">
        <w:rPr>
          <w:rFonts w:ascii="Palatino Linotype" w:eastAsia="Palatino Linotype" w:hAnsi="Palatino Linotype" w:cs="Palatino Linotype"/>
        </w:rPr>
        <w:t xml:space="preserve"> fue a través de copias simples</w:t>
      </w:r>
      <w:r w:rsidRPr="00CF5018">
        <w:rPr>
          <w:rFonts w:ascii="Palatino Linotype" w:eastAsia="Palatino Linotype" w:hAnsi="Palatino Linotype" w:cs="Palatino Linotype"/>
        </w:rPr>
        <w:t xml:space="preserve">, al respecto con fundamento en los principios de sencillez y gratuidad que rigen el procedimiento de acceso a la información pública, resulta innecesario ordenar al </w:t>
      </w:r>
      <w:r w:rsidRPr="00CF5018">
        <w:rPr>
          <w:rFonts w:ascii="Palatino Linotype" w:eastAsia="Palatino Linotype" w:hAnsi="Palatino Linotype" w:cs="Palatino Linotype"/>
          <w:b/>
        </w:rPr>
        <w:t>SUJETO OBLIGADO</w:t>
      </w:r>
      <w:r w:rsidRPr="00CF5018">
        <w:rPr>
          <w:rFonts w:ascii="Palatino Linotype" w:eastAsia="Palatino Linotype" w:hAnsi="Palatino Linotype" w:cs="Palatino Linotype"/>
        </w:rPr>
        <w:t xml:space="preserve"> para que genere </w:t>
      </w:r>
      <w:r w:rsidR="00AA4011" w:rsidRPr="00CF5018">
        <w:rPr>
          <w:rFonts w:ascii="Palatino Linotype" w:eastAsia="Palatino Linotype" w:hAnsi="Palatino Linotype" w:cs="Palatino Linotype"/>
        </w:rPr>
        <w:t>copias simples y le indique al solicitante el procedimiento para que pueda acceder a ellas acudiendo de manera física; toda vez que las documentales que eventualmente se le remitan vía SAIMEX, al reproducirlas o imprimirlas por el propio solicitante, hacen las veces de copias simples.</w:t>
      </w:r>
    </w:p>
    <w:p w14:paraId="4A66CEDC" w14:textId="77777777" w:rsidR="00AA4011" w:rsidRPr="00CF5018" w:rsidRDefault="00AA4011" w:rsidP="00B1526F">
      <w:pPr>
        <w:pStyle w:val="Prrafodelista"/>
        <w:spacing w:line="360" w:lineRule="auto"/>
        <w:rPr>
          <w:rFonts w:ascii="Palatino Linotype" w:eastAsia="Palatino Linotype" w:hAnsi="Palatino Linotype" w:cs="Palatino Linotype"/>
        </w:rPr>
      </w:pPr>
    </w:p>
    <w:p w14:paraId="651A9E8B" w14:textId="77777777" w:rsidR="00AA4011" w:rsidRPr="00CF5018" w:rsidRDefault="00AA4011" w:rsidP="00B1526F">
      <w:pPr>
        <w:keepNext/>
        <w:keepLines/>
        <w:spacing w:line="360" w:lineRule="auto"/>
        <w:outlineLvl w:val="0"/>
        <w:rPr>
          <w:rFonts w:ascii="Palatino Linotype" w:eastAsiaTheme="majorEastAsia" w:hAnsi="Palatino Linotype" w:cstheme="majorBidi"/>
          <w:b/>
          <w:color w:val="000000" w:themeColor="text1"/>
        </w:rPr>
      </w:pPr>
      <w:bookmarkStart w:id="9" w:name="_heading=h.2s8eyo1" w:colFirst="0" w:colLast="0"/>
      <w:bookmarkStart w:id="10" w:name="_Toc87549682"/>
      <w:bookmarkEnd w:id="9"/>
      <w:r w:rsidRPr="00CF5018">
        <w:rPr>
          <w:rFonts w:ascii="Palatino Linotype" w:eastAsiaTheme="majorEastAsia" w:hAnsi="Palatino Linotype" w:cstheme="majorBidi"/>
          <w:b/>
          <w:color w:val="000000" w:themeColor="text1"/>
        </w:rPr>
        <w:t>QUINTO. De la versión pública.</w:t>
      </w:r>
      <w:bookmarkEnd w:id="10"/>
    </w:p>
    <w:p w14:paraId="63455B6D" w14:textId="77777777" w:rsidR="00AA4011" w:rsidRPr="00CF5018" w:rsidRDefault="00AA4011" w:rsidP="00B1526F">
      <w:pPr>
        <w:keepNext/>
        <w:keepLines/>
        <w:numPr>
          <w:ilvl w:val="0"/>
          <w:numId w:val="9"/>
        </w:numPr>
        <w:tabs>
          <w:tab w:val="left" w:pos="284"/>
          <w:tab w:val="num" w:pos="360"/>
        </w:tabs>
        <w:spacing w:line="360" w:lineRule="auto"/>
        <w:ind w:left="0" w:firstLine="0"/>
        <w:outlineLvl w:val="0"/>
        <w:rPr>
          <w:rFonts w:ascii="Palatino Linotype" w:eastAsiaTheme="majorEastAsia" w:hAnsi="Palatino Linotype" w:cs="Times New Roman"/>
          <w:b/>
          <w:color w:val="000000" w:themeColor="text1"/>
          <w:lang w:eastAsia="es-ES_tradnl"/>
        </w:rPr>
      </w:pPr>
      <w:bookmarkStart w:id="11" w:name="_Toc48135362"/>
      <w:bookmarkStart w:id="12" w:name="_Toc72309902"/>
      <w:bookmarkStart w:id="13" w:name="_Toc73643041"/>
      <w:bookmarkStart w:id="14" w:name="_Toc73911519"/>
      <w:bookmarkStart w:id="15" w:name="_Toc87549683"/>
      <w:r w:rsidRPr="00CF5018">
        <w:rPr>
          <w:rFonts w:ascii="Palatino Linotype" w:eastAsiaTheme="majorEastAsia" w:hAnsi="Palatino Linotype" w:cs="Times New Roman"/>
          <w:b/>
          <w:color w:val="000000" w:themeColor="text1"/>
          <w:lang w:eastAsia="es-ES_tradnl"/>
        </w:rPr>
        <w:t>Nociones generales.</w:t>
      </w:r>
      <w:bookmarkEnd w:id="11"/>
      <w:bookmarkEnd w:id="12"/>
      <w:bookmarkEnd w:id="13"/>
      <w:bookmarkEnd w:id="14"/>
      <w:bookmarkEnd w:id="15"/>
      <w:r w:rsidRPr="00CF5018">
        <w:rPr>
          <w:rFonts w:ascii="Palatino Linotype" w:eastAsiaTheme="majorEastAsia" w:hAnsi="Palatino Linotype" w:cs="Times New Roman"/>
          <w:b/>
          <w:color w:val="000000" w:themeColor="text1"/>
          <w:lang w:eastAsia="es-ES_tradnl"/>
        </w:rPr>
        <w:t xml:space="preserve"> </w:t>
      </w:r>
    </w:p>
    <w:p w14:paraId="76D15177" w14:textId="77777777" w:rsidR="00AA4011" w:rsidRPr="00CF5018" w:rsidRDefault="00AA4011" w:rsidP="00B1526F">
      <w:pPr>
        <w:numPr>
          <w:ilvl w:val="0"/>
          <w:numId w:val="5"/>
        </w:numPr>
        <w:spacing w:line="360" w:lineRule="auto"/>
        <w:ind w:left="0" w:firstLine="0"/>
        <w:jc w:val="both"/>
        <w:rPr>
          <w:rFonts w:ascii="Palatino Linotype" w:hAnsi="Palatino Linotype" w:cs="Arial"/>
          <w:color w:val="000000"/>
        </w:rPr>
      </w:pPr>
      <w:r w:rsidRPr="00CF5018">
        <w:rPr>
          <w:rFonts w:ascii="Palatino Linotype" w:hAnsi="Palatino Linotype" w:cs="Arial"/>
          <w:color w:val="000000"/>
        </w:rPr>
        <w:t xml:space="preserve">Debe destacarse, que debido a la información solicitada por el </w:t>
      </w:r>
      <w:r w:rsidRPr="00CF5018">
        <w:rPr>
          <w:rFonts w:ascii="Palatino Linotype" w:hAnsi="Palatino Linotype" w:cs="Arial"/>
          <w:b/>
          <w:bCs/>
          <w:color w:val="000000"/>
        </w:rPr>
        <w:t>RECURRENTE</w:t>
      </w:r>
      <w:r w:rsidRPr="00CF5018">
        <w:rPr>
          <w:rFonts w:ascii="Palatino Linotype" w:hAnsi="Palatino Linotype" w:cs="Arial"/>
          <w:b/>
          <w:color w:val="000000"/>
        </w:rPr>
        <w:t xml:space="preserve">, </w:t>
      </w:r>
      <w:r w:rsidRPr="00CF5018">
        <w:rPr>
          <w:rFonts w:ascii="Palatino Linotype" w:hAnsi="Palatino Linotype" w:cs="Arial"/>
          <w:color w:val="000000"/>
        </w:rPr>
        <w:t xml:space="preserve">obran datos personales susceptibles de protegerse, así como información susceptible de </w:t>
      </w:r>
      <w:r w:rsidRPr="00CF5018">
        <w:rPr>
          <w:rFonts w:ascii="Palatino Linotype" w:eastAsia="Palatino Linotype" w:hAnsi="Palatino Linotype" w:cs="Palatino Linotype"/>
        </w:rPr>
        <w:t>clasificarse</w:t>
      </w:r>
      <w:r w:rsidRPr="00CF5018">
        <w:rPr>
          <w:rFonts w:ascii="Palatino Linotype" w:hAnsi="Palatino Linotype" w:cs="Arial"/>
          <w:color w:val="000000"/>
        </w:rPr>
        <w:t xml:space="preserve"> como confidencial,  por lo que, el </w:t>
      </w:r>
      <w:r w:rsidRPr="00CF5018">
        <w:rPr>
          <w:rFonts w:ascii="Palatino Linotype" w:hAnsi="Palatino Linotype" w:cs="Arial"/>
          <w:b/>
          <w:bCs/>
          <w:color w:val="000000"/>
        </w:rPr>
        <w:t xml:space="preserve">SUJETO OBLIGADO </w:t>
      </w:r>
      <w:r w:rsidRPr="00CF5018">
        <w:rPr>
          <w:rFonts w:ascii="Palatino Linotype" w:hAnsi="Palatino Linotype" w:cs="Arial"/>
          <w:color w:val="000000"/>
        </w:rPr>
        <w:t xml:space="preserve">deberá de hacer la adecuada versión pública, protegiendo los datos que no son susceptibles de ser proporcionados. </w:t>
      </w:r>
    </w:p>
    <w:p w14:paraId="572F3F82" w14:textId="77777777" w:rsidR="00AA4011" w:rsidRPr="00CF5018" w:rsidRDefault="00AA4011" w:rsidP="00B1526F">
      <w:pPr>
        <w:tabs>
          <w:tab w:val="left" w:pos="0"/>
          <w:tab w:val="left" w:pos="284"/>
        </w:tabs>
        <w:spacing w:line="360" w:lineRule="auto"/>
        <w:ind w:right="49"/>
        <w:contextualSpacing/>
        <w:jc w:val="both"/>
        <w:rPr>
          <w:rFonts w:ascii="Palatino Linotype" w:eastAsia="MS Mincho" w:hAnsi="Palatino Linotype"/>
          <w:lang w:val="es-ES"/>
        </w:rPr>
      </w:pPr>
    </w:p>
    <w:p w14:paraId="4AA4530A" w14:textId="77777777" w:rsidR="00AA4011" w:rsidRPr="00CF5018" w:rsidRDefault="00AA4011" w:rsidP="00B1526F">
      <w:pPr>
        <w:numPr>
          <w:ilvl w:val="0"/>
          <w:numId w:val="5"/>
        </w:numPr>
        <w:spacing w:line="360" w:lineRule="auto"/>
        <w:ind w:left="0" w:firstLine="0"/>
        <w:jc w:val="both"/>
        <w:rPr>
          <w:rFonts w:ascii="Palatino Linotype" w:hAnsi="Palatino Linotype" w:cs="Arial"/>
          <w:color w:val="000000"/>
        </w:rPr>
      </w:pPr>
      <w:r w:rsidRPr="00CF5018">
        <w:rPr>
          <w:rFonts w:ascii="Palatino Linotype" w:hAnsi="Palatino Linotype" w:cs="Arial"/>
          <w:color w:val="000000"/>
        </w:rPr>
        <w:t xml:space="preserve">No pasa desapercibido para este Órgano Garante que los </w:t>
      </w:r>
      <w:r w:rsidRPr="00CF5018">
        <w:rPr>
          <w:rFonts w:ascii="Palatino Linotype" w:hAnsi="Palatino Linotype" w:cs="Arial"/>
          <w:bCs/>
          <w:color w:val="000000"/>
        </w:rPr>
        <w:t>sujetos obligados</w:t>
      </w:r>
      <w:r w:rsidRPr="00CF5018">
        <w:rPr>
          <w:rFonts w:ascii="Palatino Linotype" w:hAnsi="Palatino Linotype" w:cs="Arial"/>
          <w:b/>
          <w:bCs/>
          <w:color w:val="000000"/>
        </w:rPr>
        <w:t xml:space="preserve"> </w:t>
      </w:r>
      <w:r w:rsidRPr="00CF5018">
        <w:rPr>
          <w:rFonts w:ascii="Palatino Linotype" w:hAnsi="Palatino Linotype" w:cs="Arial"/>
          <w:color w:val="000000"/>
        </w:rPr>
        <w:t xml:space="preserve">serán responsables de los datos personales en su posesión y que, en caso de localizarse datos concernientes a terceros, éstos no podrán difundir, distribuir o comercializar los datos personales.  Cabe destacar que, para la realización de la </w:t>
      </w:r>
      <w:r w:rsidRPr="00CF5018">
        <w:rPr>
          <w:rFonts w:ascii="Palatino Linotype" w:hAnsi="Palatino Linotype" w:cs="Arial"/>
          <w:color w:val="000000"/>
        </w:rPr>
        <w:lastRenderedPageBreak/>
        <w:t>clasificación de la información, se deben seguir una serie de pasos y procedimientos, por lo que es menester reiterar los mismos:</w:t>
      </w:r>
    </w:p>
    <w:p w14:paraId="1D12874B" w14:textId="77777777" w:rsidR="00AA4011" w:rsidRPr="00CF5018" w:rsidRDefault="00AA4011" w:rsidP="00B1526F">
      <w:pPr>
        <w:tabs>
          <w:tab w:val="left" w:pos="284"/>
        </w:tabs>
        <w:spacing w:line="360" w:lineRule="auto"/>
        <w:ind w:right="49"/>
        <w:contextualSpacing/>
        <w:jc w:val="both"/>
        <w:rPr>
          <w:rFonts w:ascii="Palatino Linotype" w:hAnsi="Palatino Linotype" w:cs="Arial"/>
          <w:color w:val="000000"/>
        </w:rPr>
      </w:pPr>
    </w:p>
    <w:tbl>
      <w:tblPr>
        <w:tblStyle w:val="Tablanormal1"/>
        <w:tblW w:w="9209" w:type="dxa"/>
        <w:tblLook w:val="04A0" w:firstRow="1" w:lastRow="0" w:firstColumn="1" w:lastColumn="0" w:noHBand="0" w:noVBand="1"/>
      </w:tblPr>
      <w:tblGrid>
        <w:gridCol w:w="2689"/>
        <w:gridCol w:w="6520"/>
      </w:tblGrid>
      <w:tr w:rsidR="00AA4011" w:rsidRPr="00CF5018" w14:paraId="7641321D" w14:textId="77777777" w:rsidTr="00965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6ADD07DC" w14:textId="77777777" w:rsidR="00AA4011" w:rsidRPr="00CF5018" w:rsidRDefault="00AA4011" w:rsidP="00B1526F">
            <w:pPr>
              <w:tabs>
                <w:tab w:val="left" w:pos="284"/>
              </w:tabs>
              <w:spacing w:line="360" w:lineRule="auto"/>
              <w:rPr>
                <w:rFonts w:ascii="Palatino Linotype" w:hAnsi="Palatino Linotype"/>
                <w:sz w:val="20"/>
              </w:rPr>
            </w:pPr>
            <w:r w:rsidRPr="00CF5018">
              <w:rPr>
                <w:rFonts w:ascii="Palatino Linotype" w:hAnsi="Palatino Linotype" w:cstheme="majorBidi"/>
                <w:sz w:val="20"/>
              </w:rPr>
              <w:t>a) Requisitos previos.</w:t>
            </w:r>
          </w:p>
        </w:tc>
        <w:tc>
          <w:tcPr>
            <w:tcW w:w="6520" w:type="dxa"/>
            <w:hideMark/>
          </w:tcPr>
          <w:p w14:paraId="3C8364EE" w14:textId="77777777" w:rsidR="00AA4011" w:rsidRPr="00CF5018" w:rsidRDefault="00AA4011" w:rsidP="00B1526F">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F5018">
              <w:rPr>
                <w:rFonts w:ascii="Palatino Linotype" w:hAnsi="Palatino Linotype" w:cs="Arial"/>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7C3C86B" w14:textId="77777777" w:rsidR="00AA4011" w:rsidRPr="00CF5018" w:rsidRDefault="00AA4011" w:rsidP="00B1526F">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F5018">
              <w:rPr>
                <w:rFonts w:ascii="Palatino Linotype" w:hAnsi="Palatino Linotype" w:cs="Arial"/>
                <w:color w:val="000000"/>
                <w:sz w:val="20"/>
              </w:rPr>
              <w:t>Al hacerlo tienen que precisar de qué información se trata, señalando el supuesto de clasificación (confidencialidad o reserva).</w:t>
            </w:r>
          </w:p>
          <w:p w14:paraId="4CEC6F10" w14:textId="77777777" w:rsidR="00AA4011" w:rsidRPr="00CF5018" w:rsidRDefault="00AA4011" w:rsidP="00B1526F">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F5018">
              <w:rPr>
                <w:rFonts w:ascii="Palatino Linotype" w:hAnsi="Palatino Linotype" w:cs="Arial"/>
                <w:color w:val="000000"/>
                <w:sz w:val="20"/>
              </w:rPr>
              <w:t>Además, se debe señalar el procedimiento, de los tres que establecen los artículos 132 y 106 de la Ley Estatal y General, respectivamente.</w:t>
            </w:r>
          </w:p>
          <w:p w14:paraId="256D8983" w14:textId="77777777" w:rsidR="00AA4011" w:rsidRPr="00CF5018" w:rsidRDefault="00AA4011" w:rsidP="00B1526F">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CF5018">
              <w:rPr>
                <w:rFonts w:ascii="Palatino Linotype" w:hAnsi="Palatino Linotype" w:cs="Arial"/>
                <w:color w:val="000000"/>
                <w:sz w:val="20"/>
              </w:rPr>
              <w:t xml:space="preserve">El último de estos requisitos previos consiste en que no se pueden emitir acuerdos de carácter general ni particular, esto es, </w:t>
            </w:r>
            <w:r w:rsidRPr="00CF5018">
              <w:rPr>
                <w:rFonts w:ascii="Palatino Linotype" w:hAnsi="Palatino Linotype" w:cs="Arial"/>
                <w:color w:val="000000"/>
                <w:sz w:val="20"/>
                <w:u w:val="single"/>
              </w:rPr>
              <w:t>no se puede hacer un acuerdo para clasificar de manera general todos los documentos de un expediente o área, sin</w:t>
            </w:r>
            <w:r w:rsidRPr="00CF5018">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AA4011" w:rsidRPr="00CF5018" w14:paraId="7AD9C7FC" w14:textId="77777777" w:rsidTr="00965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3E2C8656" w14:textId="77777777" w:rsidR="00AA4011" w:rsidRPr="00CF5018" w:rsidRDefault="00AA4011" w:rsidP="00B1526F">
            <w:pPr>
              <w:tabs>
                <w:tab w:val="left" w:pos="284"/>
              </w:tabs>
              <w:spacing w:line="360" w:lineRule="auto"/>
              <w:rPr>
                <w:rFonts w:ascii="Palatino Linotype" w:hAnsi="Palatino Linotype"/>
                <w:sz w:val="20"/>
              </w:rPr>
            </w:pPr>
            <w:r w:rsidRPr="00CF5018">
              <w:rPr>
                <w:rFonts w:ascii="Palatino Linotype" w:hAnsi="Palatino Linotype" w:cstheme="majorBidi"/>
                <w:sz w:val="20"/>
              </w:rPr>
              <w:t>b) Supuestos de clasificación.</w:t>
            </w:r>
          </w:p>
        </w:tc>
        <w:tc>
          <w:tcPr>
            <w:tcW w:w="6520" w:type="dxa"/>
            <w:hideMark/>
          </w:tcPr>
          <w:p w14:paraId="4D2A5833" w14:textId="77777777" w:rsidR="00AA4011" w:rsidRPr="00CF5018" w:rsidRDefault="00AA4011" w:rsidP="00B152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F5018">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6C8676E3" w14:textId="77777777" w:rsidR="00AA4011" w:rsidRPr="00CF5018" w:rsidRDefault="00AA4011" w:rsidP="00B152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F5018">
              <w:rPr>
                <w:rFonts w:ascii="Palatino Linotype" w:hAnsi="Palatino Linotype" w:cs="Arial"/>
                <w:color w:val="000000"/>
                <w:sz w:val="2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w:t>
            </w:r>
            <w:r w:rsidRPr="00CF5018">
              <w:rPr>
                <w:rFonts w:ascii="Palatino Linotype" w:hAnsi="Palatino Linotype" w:cs="Arial"/>
                <w:color w:val="000000"/>
                <w:sz w:val="20"/>
              </w:rPr>
              <w:lastRenderedPageBreak/>
              <w:t>y no se pueden ampliar las excepciones o supuestos de clasificación aduciendo analogía o mayoría de razón.</w:t>
            </w:r>
          </w:p>
          <w:p w14:paraId="7D8BE4E9" w14:textId="77777777" w:rsidR="00AA4011" w:rsidRPr="00CF5018" w:rsidRDefault="00AA4011" w:rsidP="00B1526F">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CF5018">
              <w:rPr>
                <w:rFonts w:ascii="Palatino Linotype" w:hAnsi="Palatino Linotype" w:cs="Arial"/>
                <w:color w:val="000000"/>
                <w:sz w:val="20"/>
              </w:rPr>
              <w:t xml:space="preserve">El </w:t>
            </w:r>
            <w:r w:rsidRPr="00CF5018">
              <w:rPr>
                <w:rFonts w:ascii="Palatino Linotype" w:hAnsi="Palatino Linotype" w:cs="Arial"/>
                <w:b/>
                <w:color w:val="000000"/>
                <w:sz w:val="20"/>
              </w:rPr>
              <w:t>Sujeto Obligado</w:t>
            </w:r>
            <w:r w:rsidRPr="00CF5018">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A4011" w:rsidRPr="00CF5018" w14:paraId="5C400A0E" w14:textId="77777777" w:rsidTr="00965418">
        <w:tc>
          <w:tcPr>
            <w:cnfStyle w:val="001000000000" w:firstRow="0" w:lastRow="0" w:firstColumn="1" w:lastColumn="0" w:oddVBand="0" w:evenVBand="0" w:oddHBand="0" w:evenHBand="0" w:firstRowFirstColumn="0" w:firstRowLastColumn="0" w:lastRowFirstColumn="0" w:lastRowLastColumn="0"/>
            <w:tcW w:w="2689" w:type="dxa"/>
            <w:hideMark/>
          </w:tcPr>
          <w:p w14:paraId="0FDA0CCE" w14:textId="77777777" w:rsidR="00AA4011" w:rsidRPr="00CF5018" w:rsidRDefault="00AA4011" w:rsidP="00B1526F">
            <w:pPr>
              <w:tabs>
                <w:tab w:val="left" w:pos="284"/>
              </w:tabs>
              <w:spacing w:line="360" w:lineRule="auto"/>
              <w:rPr>
                <w:rFonts w:ascii="Palatino Linotype" w:hAnsi="Palatino Linotype"/>
                <w:sz w:val="20"/>
              </w:rPr>
            </w:pPr>
            <w:r w:rsidRPr="00CF5018">
              <w:rPr>
                <w:rFonts w:ascii="Palatino Linotype" w:hAnsi="Palatino Linotype" w:cstheme="majorBidi"/>
                <w:sz w:val="20"/>
              </w:rPr>
              <w:lastRenderedPageBreak/>
              <w:t>c) Formalidades para emitir el acuerdo de clasificación.</w:t>
            </w:r>
          </w:p>
        </w:tc>
        <w:tc>
          <w:tcPr>
            <w:tcW w:w="6520" w:type="dxa"/>
            <w:hideMark/>
          </w:tcPr>
          <w:p w14:paraId="3B29F0DC" w14:textId="77777777" w:rsidR="00AA4011" w:rsidRPr="00CF5018" w:rsidRDefault="00AA4011" w:rsidP="00B1526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F5018">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530A0056" w14:textId="77777777" w:rsidR="00AA4011" w:rsidRPr="00CF5018" w:rsidRDefault="00AA4011" w:rsidP="00B1526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F5018">
              <w:rPr>
                <w:rFonts w:ascii="Palatino Linotype" w:hAnsi="Palatino Linotype" w:cs="Arial"/>
                <w:color w:val="000000"/>
                <w:sz w:val="20"/>
              </w:rPr>
              <w:t xml:space="preserve">Es necesario que </w:t>
            </w:r>
            <w:r w:rsidRPr="00CF5018">
              <w:rPr>
                <w:rFonts w:ascii="Palatino Linotype" w:hAnsi="Palatino Linotype" w:cs="Arial"/>
                <w:b/>
                <w:color w:val="000000"/>
                <w:sz w:val="20"/>
                <w:u w:val="single"/>
              </w:rPr>
              <w:t>el acto reúna con los requisitos elementales</w:t>
            </w:r>
            <w:r w:rsidRPr="00CF5018">
              <w:rPr>
                <w:rFonts w:ascii="Palatino Linotype" w:hAnsi="Palatino Linotype" w:cs="Arial"/>
                <w:color w:val="000000"/>
                <w:sz w:val="20"/>
              </w:rPr>
              <w:t>, entre ellos, que la autoridad que va a emitir el acto de autoridad sea la legalmente facultada para ello.</w:t>
            </w:r>
          </w:p>
          <w:p w14:paraId="41BBC9F8" w14:textId="77777777" w:rsidR="00AA4011" w:rsidRPr="00CF5018" w:rsidRDefault="00AA4011" w:rsidP="00B1526F">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CF5018">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A4011" w:rsidRPr="00CF5018" w14:paraId="79FB221A" w14:textId="77777777" w:rsidTr="00965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FCEA88F" w14:textId="77777777" w:rsidR="00AA4011" w:rsidRPr="00CF5018" w:rsidRDefault="00AA4011" w:rsidP="00B1526F">
            <w:pPr>
              <w:tabs>
                <w:tab w:val="left" w:pos="284"/>
              </w:tabs>
              <w:spacing w:line="360" w:lineRule="auto"/>
              <w:rPr>
                <w:rFonts w:ascii="Palatino Linotype" w:hAnsi="Palatino Linotype"/>
                <w:sz w:val="20"/>
              </w:rPr>
            </w:pPr>
          </w:p>
          <w:p w14:paraId="562537E3" w14:textId="77777777" w:rsidR="00AA4011" w:rsidRPr="00CF5018" w:rsidRDefault="00AA4011" w:rsidP="00B1526F">
            <w:pPr>
              <w:tabs>
                <w:tab w:val="left" w:pos="284"/>
              </w:tabs>
              <w:spacing w:line="360" w:lineRule="auto"/>
              <w:jc w:val="both"/>
              <w:rPr>
                <w:rFonts w:ascii="Palatino Linotype" w:hAnsi="Palatino Linotype"/>
                <w:sz w:val="20"/>
              </w:rPr>
            </w:pPr>
            <w:r w:rsidRPr="00CF5018">
              <w:rPr>
                <w:rFonts w:ascii="Palatino Linotype" w:hAnsi="Palatino Linotype" w:cs="Arial"/>
                <w:color w:val="000000"/>
                <w:sz w:val="20"/>
              </w:rPr>
              <w:t xml:space="preserve">d) Requisitos de fondo del acuerdo de clasificación. </w:t>
            </w:r>
          </w:p>
        </w:tc>
        <w:tc>
          <w:tcPr>
            <w:tcW w:w="6520" w:type="dxa"/>
            <w:hideMark/>
          </w:tcPr>
          <w:p w14:paraId="6CDDD34F" w14:textId="77777777" w:rsidR="00AA4011" w:rsidRPr="00CF5018" w:rsidRDefault="00AA4011" w:rsidP="00B152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F5018">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F5018">
              <w:rPr>
                <w:rFonts w:ascii="Palatino Linotype" w:hAnsi="Palatino Linotype" w:cs="Arial"/>
                <w:b/>
                <w:color w:val="000000"/>
                <w:sz w:val="20"/>
              </w:rPr>
              <w:t>Sujetos Obligados</w:t>
            </w:r>
            <w:r w:rsidRPr="00CF5018">
              <w:rPr>
                <w:rFonts w:ascii="Palatino Linotype" w:hAnsi="Palatino Linotype" w:cs="Arial"/>
                <w:color w:val="000000"/>
                <w:sz w:val="20"/>
              </w:rPr>
              <w:t xml:space="preserve">, por lo que deberán fundar y motivar debidamente la clasificación. </w:t>
            </w:r>
          </w:p>
          <w:p w14:paraId="1500615B" w14:textId="77777777" w:rsidR="00AA4011" w:rsidRPr="00CF5018" w:rsidRDefault="00AA4011" w:rsidP="00B152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F5018">
              <w:rPr>
                <w:rFonts w:ascii="Palatino Linotype" w:hAnsi="Palatino Linotype" w:cs="Arial"/>
                <w:color w:val="000000"/>
                <w:sz w:val="20"/>
              </w:rPr>
              <w:lastRenderedPageBreak/>
              <w:t xml:space="preserve">De lo anterior, se desprende que para una correcta </w:t>
            </w:r>
            <w:r w:rsidRPr="00CF5018">
              <w:rPr>
                <w:rFonts w:ascii="Palatino Linotype" w:hAnsi="Palatino Linotype" w:cs="Arial"/>
                <w:b/>
                <w:color w:val="000000"/>
                <w:sz w:val="20"/>
              </w:rPr>
              <w:t>clasificación total o parcial</w:t>
            </w:r>
            <w:r w:rsidRPr="00CF5018">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AA3AA03" w14:textId="77777777" w:rsidR="00AA4011" w:rsidRPr="00CF5018" w:rsidRDefault="00AA4011" w:rsidP="00B152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F5018">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3BE19A6" w14:textId="77777777" w:rsidR="00AA4011" w:rsidRPr="00CF5018" w:rsidRDefault="00AA4011" w:rsidP="00B152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F5018">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2EEA9FA4" w14:textId="77777777" w:rsidR="00AA4011" w:rsidRPr="00CF5018" w:rsidRDefault="00AA4011" w:rsidP="00B152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F5018">
              <w:rPr>
                <w:rFonts w:ascii="Palatino Linotype" w:hAnsi="Palatino Linotype" w:cs="Arial"/>
                <w:color w:val="000000"/>
                <w:sz w:val="20"/>
              </w:rPr>
              <w:t xml:space="preserve">Ahora bien, </w:t>
            </w:r>
            <w:r w:rsidRPr="00CF5018">
              <w:rPr>
                <w:rFonts w:ascii="Palatino Linotype" w:hAnsi="Palatino Linotype" w:cs="Arial"/>
                <w:b/>
                <w:color w:val="000000"/>
                <w:sz w:val="20"/>
                <w:u w:val="single"/>
              </w:rPr>
              <w:t>para cada caso además de fundar y motivar</w:t>
            </w:r>
            <w:r w:rsidRPr="00CF5018">
              <w:rPr>
                <w:rFonts w:ascii="Palatino Linotype" w:hAnsi="Palatino Linotype" w:cs="Arial"/>
                <w:color w:val="000000"/>
                <w:sz w:val="20"/>
              </w:rPr>
              <w:t xml:space="preserve">, se debe identificar con claridad que datos contenidos en las documentales que son susceptibles de suprimirse, por ejemplo; </w:t>
            </w:r>
            <w:r w:rsidRPr="00CF5018">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A4011" w:rsidRPr="00CF5018" w14:paraId="553680F3" w14:textId="77777777" w:rsidTr="00965418">
        <w:tc>
          <w:tcPr>
            <w:cnfStyle w:val="001000000000" w:firstRow="0" w:lastRow="0" w:firstColumn="1" w:lastColumn="0" w:oddVBand="0" w:evenVBand="0" w:oddHBand="0" w:evenHBand="0" w:firstRowFirstColumn="0" w:firstRowLastColumn="0" w:lastRowFirstColumn="0" w:lastRowLastColumn="0"/>
            <w:tcW w:w="2689" w:type="dxa"/>
          </w:tcPr>
          <w:p w14:paraId="3258433F" w14:textId="77777777" w:rsidR="00AA4011" w:rsidRPr="00CF5018" w:rsidRDefault="00AA4011" w:rsidP="00B1526F">
            <w:pPr>
              <w:tabs>
                <w:tab w:val="left" w:pos="284"/>
              </w:tabs>
              <w:spacing w:line="360" w:lineRule="auto"/>
              <w:ind w:right="49"/>
              <w:jc w:val="both"/>
              <w:rPr>
                <w:rFonts w:ascii="Palatino Linotype" w:hAnsi="Palatino Linotype" w:cs="Arial"/>
                <w:sz w:val="20"/>
              </w:rPr>
            </w:pPr>
            <w:r w:rsidRPr="00CF5018">
              <w:rPr>
                <w:rFonts w:ascii="Palatino Linotype" w:eastAsia="MS Gothic" w:hAnsi="Palatino Linotype"/>
                <w:sz w:val="20"/>
              </w:rPr>
              <w:lastRenderedPageBreak/>
              <w:t xml:space="preserve">e) Condiciones especiales de la clasificación de la información como confidencial. </w:t>
            </w:r>
          </w:p>
        </w:tc>
        <w:tc>
          <w:tcPr>
            <w:tcW w:w="6520" w:type="dxa"/>
            <w:hideMark/>
          </w:tcPr>
          <w:p w14:paraId="7F188ED7" w14:textId="77777777" w:rsidR="00AA4011" w:rsidRPr="00CF5018" w:rsidRDefault="00AA4011" w:rsidP="00B1526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F5018">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6C2CCED4" w14:textId="77777777" w:rsidR="00AA4011" w:rsidRPr="00CF5018" w:rsidRDefault="00AA4011" w:rsidP="00B1526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F5018">
              <w:rPr>
                <w:rFonts w:ascii="Palatino Linotype" w:hAnsi="Palatino Linotype" w:cs="Arial"/>
                <w:color w:val="000000"/>
                <w:sz w:val="2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E079D9E" w14:textId="77777777" w:rsidR="00AA4011" w:rsidRPr="00CF5018" w:rsidRDefault="00AA4011" w:rsidP="00B1526F">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CF5018">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6FDE037" w14:textId="77777777" w:rsidR="00AA4011" w:rsidRPr="00CF5018" w:rsidRDefault="00AA4011" w:rsidP="00B1526F">
      <w:pPr>
        <w:tabs>
          <w:tab w:val="left" w:pos="284"/>
        </w:tabs>
        <w:spacing w:line="360" w:lineRule="auto"/>
        <w:contextualSpacing/>
        <w:rPr>
          <w:rFonts w:ascii="Palatino Linotype" w:hAnsi="Palatino Linotype" w:cs="Arial"/>
          <w:color w:val="000000"/>
        </w:rPr>
      </w:pPr>
    </w:p>
    <w:p w14:paraId="748F7412" w14:textId="77777777" w:rsidR="00AA4011" w:rsidRPr="00CF5018" w:rsidRDefault="00AA4011" w:rsidP="00B1526F">
      <w:pPr>
        <w:numPr>
          <w:ilvl w:val="0"/>
          <w:numId w:val="5"/>
        </w:numPr>
        <w:spacing w:line="360" w:lineRule="auto"/>
        <w:ind w:left="0" w:firstLine="0"/>
        <w:jc w:val="both"/>
        <w:rPr>
          <w:rFonts w:ascii="Palatino Linotype" w:hAnsi="Palatino Linotype" w:cs="Arial"/>
          <w:color w:val="000000"/>
        </w:rPr>
      </w:pPr>
      <w:r w:rsidRPr="00CF5018">
        <w:rPr>
          <w:rFonts w:ascii="Palatino Linotype" w:hAnsi="Palatino Linotype" w:cs="Arial"/>
        </w:rPr>
        <w:t xml:space="preserve">Si el servidor público incumple con estas formalidades y entrega la información sin proteger los datos personales incumple con lo que estipula las disposiciones legales </w:t>
      </w:r>
      <w:r w:rsidRPr="00CF5018">
        <w:rPr>
          <w:rFonts w:ascii="Palatino Linotype" w:hAnsi="Palatino Linotype" w:cs="Arial"/>
          <w:color w:val="000000"/>
        </w:rPr>
        <w:t>establecidas</w:t>
      </w:r>
      <w:r w:rsidRPr="00CF5018">
        <w:rPr>
          <w:rFonts w:ascii="Palatino Linotype" w:hAnsi="Palatino Linotype" w:cs="Arial"/>
        </w:rPr>
        <w:t>, asimismo que si entrega un documento testado sin el debido acuerdo de clasificación.</w:t>
      </w:r>
    </w:p>
    <w:p w14:paraId="4AFD634D" w14:textId="77777777" w:rsidR="00C85858" w:rsidRPr="00CF5018" w:rsidRDefault="00C85858" w:rsidP="00C85858">
      <w:pPr>
        <w:spacing w:line="360" w:lineRule="auto"/>
        <w:jc w:val="both"/>
        <w:rPr>
          <w:rFonts w:ascii="Palatino Linotype" w:hAnsi="Palatino Linotype" w:cs="Arial"/>
          <w:color w:val="000000"/>
        </w:rPr>
      </w:pPr>
    </w:p>
    <w:p w14:paraId="3E64CB6D" w14:textId="77777777" w:rsidR="0077213B" w:rsidRPr="00CF5018" w:rsidRDefault="009F6B6E" w:rsidP="00B1526F">
      <w:pPr>
        <w:numPr>
          <w:ilvl w:val="0"/>
          <w:numId w:val="5"/>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CF5018">
        <w:rPr>
          <w:rFonts w:ascii="Palatino Linotype" w:eastAsia="Palatino Linotype" w:hAnsi="Palatino Linotype" w:cs="Palatino Linotype"/>
          <w:color w:val="000000"/>
        </w:rPr>
        <w:t xml:space="preserve">Por lo anteriormente expuesto y fundado, este </w:t>
      </w:r>
      <w:r w:rsidRPr="00CF5018">
        <w:rPr>
          <w:rFonts w:ascii="Palatino Linotype" w:eastAsia="Palatino Linotype" w:hAnsi="Palatino Linotype" w:cs="Palatino Linotype"/>
          <w:b/>
          <w:color w:val="000000"/>
        </w:rPr>
        <w:t>ÓRGANO GARANTE</w:t>
      </w:r>
      <w:r w:rsidRPr="00CF5018">
        <w:rPr>
          <w:rFonts w:ascii="Palatino Linotype" w:eastAsia="Palatino Linotype" w:hAnsi="Palatino Linotype" w:cs="Palatino Linotype"/>
          <w:color w:val="000000"/>
        </w:rPr>
        <w:t xml:space="preserve"> emite los siguientes:</w:t>
      </w:r>
    </w:p>
    <w:p w14:paraId="3BDCFC39" w14:textId="77777777" w:rsidR="0077213B" w:rsidRPr="00CF5018" w:rsidRDefault="009F6B6E" w:rsidP="00B1526F">
      <w:pPr>
        <w:pStyle w:val="Ttulo1"/>
        <w:spacing w:before="0" w:line="360" w:lineRule="auto"/>
        <w:jc w:val="center"/>
        <w:rPr>
          <w:rFonts w:ascii="Palatino Linotype" w:eastAsia="Palatino Linotype" w:hAnsi="Palatino Linotype" w:cs="Palatino Linotype"/>
          <w:b/>
          <w:color w:val="000000"/>
          <w:sz w:val="24"/>
          <w:szCs w:val="24"/>
        </w:rPr>
      </w:pPr>
      <w:r w:rsidRPr="00CF5018">
        <w:rPr>
          <w:rFonts w:ascii="Palatino Linotype" w:eastAsia="Palatino Linotype" w:hAnsi="Palatino Linotype" w:cs="Palatino Linotype"/>
          <w:b/>
          <w:color w:val="000000"/>
          <w:sz w:val="24"/>
          <w:szCs w:val="24"/>
        </w:rPr>
        <w:t>R E S O L U T I V O S</w:t>
      </w:r>
    </w:p>
    <w:p w14:paraId="27C4F891" w14:textId="77777777" w:rsidR="0077213B" w:rsidRPr="00CF5018" w:rsidRDefault="0077213B" w:rsidP="00B1526F">
      <w:pPr>
        <w:spacing w:line="360" w:lineRule="auto"/>
        <w:rPr>
          <w:rFonts w:ascii="Palatino Linotype" w:eastAsia="Palatino Linotype" w:hAnsi="Palatino Linotype" w:cs="Palatino Linotype"/>
        </w:rPr>
      </w:pPr>
    </w:p>
    <w:p w14:paraId="4A808EB1" w14:textId="642233F2" w:rsidR="0077213B" w:rsidRPr="00CF5018" w:rsidRDefault="009F6B6E" w:rsidP="00B1526F">
      <w:pPr>
        <w:spacing w:line="360" w:lineRule="auto"/>
        <w:jc w:val="both"/>
        <w:rPr>
          <w:rFonts w:ascii="Palatino Linotype" w:eastAsia="Palatino Linotype" w:hAnsi="Palatino Linotype" w:cs="Palatino Linotype"/>
        </w:rPr>
      </w:pPr>
      <w:r w:rsidRPr="00CF5018">
        <w:rPr>
          <w:rFonts w:ascii="Palatino Linotype" w:eastAsia="Palatino Linotype" w:hAnsi="Palatino Linotype" w:cs="Palatino Linotype"/>
          <w:b/>
        </w:rPr>
        <w:t>PRIMERO</w:t>
      </w:r>
      <w:r w:rsidRPr="00CF5018">
        <w:rPr>
          <w:rFonts w:ascii="Palatino Linotype" w:eastAsia="Palatino Linotype" w:hAnsi="Palatino Linotype" w:cs="Palatino Linotype"/>
        </w:rPr>
        <w:t>. Resultan fundadas las</w:t>
      </w:r>
      <w:r w:rsidRPr="00CF5018">
        <w:rPr>
          <w:rFonts w:ascii="Palatino Linotype" w:eastAsia="Palatino Linotype" w:hAnsi="Palatino Linotype" w:cs="Palatino Linotype"/>
          <w:b/>
        </w:rPr>
        <w:t xml:space="preserve"> </w:t>
      </w:r>
      <w:r w:rsidRPr="00CF5018">
        <w:rPr>
          <w:rFonts w:ascii="Palatino Linotype" w:eastAsia="Palatino Linotype" w:hAnsi="Palatino Linotype" w:cs="Palatino Linotype"/>
        </w:rPr>
        <w:t xml:space="preserve">razones o motivos de inconformidad hechos valer en el Recurso de Revisión </w:t>
      </w:r>
      <w:r w:rsidRPr="00CF5018">
        <w:rPr>
          <w:rFonts w:ascii="Palatino Linotype" w:eastAsia="Palatino Linotype" w:hAnsi="Palatino Linotype" w:cs="Palatino Linotype"/>
          <w:b/>
        </w:rPr>
        <w:t>   05693/INFOEM/IP/RR/2022</w:t>
      </w:r>
      <w:r w:rsidRPr="00CF5018">
        <w:rPr>
          <w:rFonts w:ascii="Palatino Linotype" w:eastAsia="Palatino Linotype" w:hAnsi="Palatino Linotype" w:cs="Palatino Linotype"/>
        </w:rPr>
        <w:t>,</w:t>
      </w:r>
      <w:r w:rsidRPr="00CF5018">
        <w:rPr>
          <w:rFonts w:ascii="Palatino Linotype" w:eastAsia="Palatino Linotype" w:hAnsi="Palatino Linotype" w:cs="Palatino Linotype"/>
          <w:b/>
        </w:rPr>
        <w:t xml:space="preserve"> </w:t>
      </w:r>
      <w:r w:rsidRPr="00CF5018">
        <w:rPr>
          <w:rFonts w:ascii="Palatino Linotype" w:eastAsia="Palatino Linotype" w:hAnsi="Palatino Linotype" w:cs="Palatino Linotype"/>
        </w:rPr>
        <w:t>en términos de</w:t>
      </w:r>
      <w:r w:rsidR="00AA4011" w:rsidRPr="00CF5018">
        <w:rPr>
          <w:rFonts w:ascii="Palatino Linotype" w:eastAsia="Palatino Linotype" w:hAnsi="Palatino Linotype" w:cs="Palatino Linotype"/>
        </w:rPr>
        <w:t xml:space="preserve"> </w:t>
      </w:r>
      <w:r w:rsidRPr="00CF5018">
        <w:rPr>
          <w:rFonts w:ascii="Palatino Linotype" w:eastAsia="Palatino Linotype" w:hAnsi="Palatino Linotype" w:cs="Palatino Linotype"/>
        </w:rPr>
        <w:t>l</w:t>
      </w:r>
      <w:r w:rsidR="00AA4011" w:rsidRPr="00CF5018">
        <w:rPr>
          <w:rFonts w:ascii="Palatino Linotype" w:eastAsia="Palatino Linotype" w:hAnsi="Palatino Linotype" w:cs="Palatino Linotype"/>
        </w:rPr>
        <w:t>os</w:t>
      </w:r>
      <w:r w:rsidRPr="00CF5018">
        <w:rPr>
          <w:rFonts w:ascii="Palatino Linotype" w:eastAsia="Palatino Linotype" w:hAnsi="Palatino Linotype" w:cs="Palatino Linotype"/>
        </w:rPr>
        <w:t xml:space="preserve"> </w:t>
      </w:r>
      <w:r w:rsidR="00C85858" w:rsidRPr="00CF5018">
        <w:rPr>
          <w:rFonts w:ascii="Palatino Linotype" w:eastAsia="Palatino Linotype" w:hAnsi="Palatino Linotype" w:cs="Palatino Linotype"/>
          <w:b/>
        </w:rPr>
        <w:t>c</w:t>
      </w:r>
      <w:r w:rsidRPr="00CF5018">
        <w:rPr>
          <w:rFonts w:ascii="Palatino Linotype" w:eastAsia="Palatino Linotype" w:hAnsi="Palatino Linotype" w:cs="Palatino Linotype"/>
          <w:b/>
        </w:rPr>
        <w:t>onsiderando</w:t>
      </w:r>
      <w:r w:rsidR="00AA4011" w:rsidRPr="00CF5018">
        <w:rPr>
          <w:rFonts w:ascii="Palatino Linotype" w:eastAsia="Palatino Linotype" w:hAnsi="Palatino Linotype" w:cs="Palatino Linotype"/>
          <w:b/>
        </w:rPr>
        <w:t>s</w:t>
      </w:r>
      <w:r w:rsidRPr="00CF5018">
        <w:rPr>
          <w:rFonts w:ascii="Palatino Linotype" w:eastAsia="Palatino Linotype" w:hAnsi="Palatino Linotype" w:cs="Palatino Linotype"/>
        </w:rPr>
        <w:t xml:space="preserve"> </w:t>
      </w:r>
      <w:r w:rsidRPr="00CF5018">
        <w:rPr>
          <w:rFonts w:ascii="Palatino Linotype" w:eastAsia="Palatino Linotype" w:hAnsi="Palatino Linotype" w:cs="Palatino Linotype"/>
          <w:b/>
        </w:rPr>
        <w:t>CUARTO</w:t>
      </w:r>
      <w:r w:rsidRPr="00CF5018">
        <w:rPr>
          <w:rFonts w:ascii="Palatino Linotype" w:eastAsia="Palatino Linotype" w:hAnsi="Palatino Linotype" w:cs="Palatino Linotype"/>
        </w:rPr>
        <w:t xml:space="preserve"> </w:t>
      </w:r>
      <w:r w:rsidR="00AA4011" w:rsidRPr="00CF5018">
        <w:rPr>
          <w:rFonts w:ascii="Palatino Linotype" w:eastAsia="Palatino Linotype" w:hAnsi="Palatino Linotype" w:cs="Palatino Linotype"/>
        </w:rPr>
        <w:t xml:space="preserve">y </w:t>
      </w:r>
      <w:r w:rsidR="00AA4011" w:rsidRPr="00CF5018">
        <w:rPr>
          <w:rFonts w:ascii="Palatino Linotype" w:eastAsia="Palatino Linotype" w:hAnsi="Palatino Linotype" w:cs="Palatino Linotype"/>
          <w:b/>
        </w:rPr>
        <w:t xml:space="preserve">QUINTO </w:t>
      </w:r>
      <w:r w:rsidRPr="00CF5018">
        <w:rPr>
          <w:rFonts w:ascii="Palatino Linotype" w:eastAsia="Palatino Linotype" w:hAnsi="Palatino Linotype" w:cs="Palatino Linotype"/>
        </w:rPr>
        <w:t>de la presente resolución.</w:t>
      </w:r>
    </w:p>
    <w:p w14:paraId="40EF0919" w14:textId="77777777" w:rsidR="0077213B" w:rsidRPr="00CF5018" w:rsidRDefault="0077213B" w:rsidP="00B1526F">
      <w:pPr>
        <w:spacing w:line="360" w:lineRule="auto"/>
        <w:jc w:val="both"/>
        <w:rPr>
          <w:rFonts w:ascii="Palatino Linotype" w:eastAsia="Palatino Linotype" w:hAnsi="Palatino Linotype" w:cs="Palatino Linotype"/>
        </w:rPr>
      </w:pPr>
    </w:p>
    <w:p w14:paraId="2D3CD408" w14:textId="77777777" w:rsidR="00AA4011" w:rsidRPr="00CF5018" w:rsidRDefault="00AA4011" w:rsidP="00B1526F">
      <w:pPr>
        <w:spacing w:line="360" w:lineRule="auto"/>
        <w:jc w:val="both"/>
        <w:rPr>
          <w:rFonts w:ascii="Palatino Linotype" w:eastAsia="MS Mincho" w:hAnsi="Palatino Linotype" w:cs="Times New Roman"/>
          <w:color w:val="000000" w:themeColor="text1"/>
        </w:rPr>
      </w:pPr>
      <w:bookmarkStart w:id="16" w:name="_Toc503891607"/>
      <w:bookmarkStart w:id="17" w:name="_Toc511647757"/>
      <w:bookmarkStart w:id="18" w:name="_Toc511647818"/>
      <w:bookmarkStart w:id="19" w:name="_Toc477891768"/>
      <w:bookmarkStart w:id="20" w:name="_Toc477891858"/>
      <w:bookmarkStart w:id="21" w:name="_Toc481576259"/>
      <w:bookmarkStart w:id="22" w:name="_Toc492590391"/>
      <w:bookmarkStart w:id="23" w:name="_Toc462653937"/>
      <w:bookmarkStart w:id="24" w:name="_Toc453696502"/>
      <w:bookmarkStart w:id="25" w:name="_Toc454301155"/>
      <w:r w:rsidRPr="00CF5018">
        <w:rPr>
          <w:rFonts w:ascii="Palatino Linotype" w:eastAsia="Times New Roman" w:hAnsi="Palatino Linotype" w:cs="Times New Roman"/>
          <w:b/>
        </w:rPr>
        <w:lastRenderedPageBreak/>
        <w:t>SEGUNDO.</w:t>
      </w:r>
      <w:bookmarkEnd w:id="16"/>
      <w:bookmarkEnd w:id="17"/>
      <w:bookmarkEnd w:id="18"/>
      <w:r w:rsidRPr="00CF5018">
        <w:rPr>
          <w:rFonts w:ascii="Palatino Linotype" w:eastAsia="Times New Roman" w:hAnsi="Palatino Linotype" w:cs="Times New Roman"/>
          <w:b/>
        </w:rPr>
        <w:t xml:space="preserve"> </w:t>
      </w:r>
      <w:bookmarkEnd w:id="19"/>
      <w:bookmarkEnd w:id="20"/>
      <w:bookmarkEnd w:id="21"/>
      <w:bookmarkEnd w:id="22"/>
      <w:bookmarkEnd w:id="23"/>
      <w:bookmarkEnd w:id="24"/>
      <w:bookmarkEnd w:id="25"/>
      <w:r w:rsidRPr="00CF5018">
        <w:rPr>
          <w:rFonts w:ascii="Palatino Linotype" w:eastAsia="MS Mincho" w:hAnsi="Palatino Linotype" w:cs="Times New Roman"/>
          <w:color w:val="000000" w:themeColor="text1"/>
        </w:rPr>
        <w:t xml:space="preserve">Se </w:t>
      </w:r>
      <w:r w:rsidRPr="00CF5018">
        <w:rPr>
          <w:rFonts w:ascii="Palatino Linotype" w:eastAsia="MS Mincho" w:hAnsi="Palatino Linotype" w:cs="Times New Roman"/>
          <w:b/>
          <w:color w:val="000000" w:themeColor="text1"/>
        </w:rPr>
        <w:t xml:space="preserve">MODIFICA </w:t>
      </w:r>
      <w:r w:rsidRPr="00CF5018">
        <w:rPr>
          <w:rFonts w:ascii="Palatino Linotype" w:eastAsia="MS Mincho" w:hAnsi="Palatino Linotype" w:cs="Times New Roman"/>
          <w:color w:val="000000" w:themeColor="text1"/>
        </w:rPr>
        <w:t xml:space="preserve">la respuesta emitida por el </w:t>
      </w:r>
      <w:r w:rsidRPr="00CF5018">
        <w:rPr>
          <w:rFonts w:ascii="Palatino Linotype" w:hAnsi="Palatino Linotype"/>
          <w:b/>
          <w:bCs/>
          <w:color w:val="000000"/>
        </w:rPr>
        <w:t>Poder Legislativo</w:t>
      </w:r>
      <w:r w:rsidRPr="00CF5018">
        <w:rPr>
          <w:rFonts w:ascii="Palatino Linotype" w:eastAsia="MS Mincho" w:hAnsi="Palatino Linotype" w:cs="Times New Roman"/>
          <w:b/>
          <w:color w:val="000000" w:themeColor="text1"/>
        </w:rPr>
        <w:t xml:space="preserve"> </w:t>
      </w:r>
      <w:r w:rsidRPr="00CF5018">
        <w:rPr>
          <w:rFonts w:ascii="Palatino Linotype" w:eastAsia="MS Mincho" w:hAnsi="Palatino Linotype" w:cs="Times New Roman"/>
          <w:color w:val="000000" w:themeColor="text1"/>
        </w:rPr>
        <w:t xml:space="preserve">y se </w:t>
      </w:r>
      <w:r w:rsidRPr="00CF5018">
        <w:rPr>
          <w:rFonts w:ascii="Palatino Linotype" w:eastAsia="MS Mincho" w:hAnsi="Palatino Linotype" w:cs="Times New Roman"/>
          <w:b/>
          <w:color w:val="000000" w:themeColor="text1"/>
        </w:rPr>
        <w:t>ORDENA</w:t>
      </w:r>
      <w:r w:rsidRPr="00CF5018">
        <w:rPr>
          <w:rFonts w:ascii="Palatino Linotype" w:eastAsia="MS Mincho" w:hAnsi="Palatino Linotype" w:cs="Times New Roman"/>
          <w:color w:val="000000" w:themeColor="text1"/>
        </w:rPr>
        <w:t xml:space="preserve"> entregar vía Sistema de Acceso a la Información Mexiquense </w:t>
      </w:r>
      <w:r w:rsidRPr="00CF5018">
        <w:rPr>
          <w:rFonts w:ascii="Palatino Linotype" w:eastAsia="MS Mincho" w:hAnsi="Palatino Linotype" w:cs="Times New Roman"/>
          <w:b/>
          <w:color w:val="000000" w:themeColor="text1"/>
        </w:rPr>
        <w:t>(SAIMEX)</w:t>
      </w:r>
      <w:r w:rsidRPr="00CF5018">
        <w:rPr>
          <w:rFonts w:ascii="Palatino Linotype" w:eastAsia="MS Mincho" w:hAnsi="Palatino Linotype" w:cs="Times New Roman"/>
          <w:color w:val="000000" w:themeColor="text1"/>
        </w:rPr>
        <w:t>, la siguiente información de ser el caso en versión pública:</w:t>
      </w:r>
    </w:p>
    <w:p w14:paraId="119F097B" w14:textId="77777777" w:rsidR="00B1526F" w:rsidRPr="00CF5018" w:rsidRDefault="00B1526F" w:rsidP="00B1526F">
      <w:pPr>
        <w:spacing w:line="360" w:lineRule="auto"/>
        <w:jc w:val="both"/>
        <w:rPr>
          <w:rFonts w:ascii="Palatino Linotype" w:eastAsia="MS Mincho" w:hAnsi="Palatino Linotype" w:cs="Times New Roman"/>
          <w:color w:val="000000" w:themeColor="text1"/>
        </w:rPr>
      </w:pPr>
    </w:p>
    <w:p w14:paraId="1D3B6D9B" w14:textId="77777777" w:rsidR="00770557" w:rsidRPr="00CF5018" w:rsidRDefault="00770557" w:rsidP="00B1526F">
      <w:pPr>
        <w:pStyle w:val="Prrafodelista"/>
        <w:numPr>
          <w:ilvl w:val="0"/>
          <w:numId w:val="10"/>
        </w:numPr>
        <w:spacing w:line="360" w:lineRule="auto"/>
        <w:ind w:right="474"/>
        <w:jc w:val="both"/>
        <w:rPr>
          <w:rFonts w:ascii="Palatino Linotype" w:eastAsia="Palatino Linotype" w:hAnsi="Palatino Linotype" w:cs="Palatino Linotype"/>
          <w:b/>
          <w:iCs/>
          <w:color w:val="000000"/>
        </w:rPr>
      </w:pPr>
      <w:r w:rsidRPr="00CF5018">
        <w:rPr>
          <w:rFonts w:ascii="Palatino Linotype" w:eastAsia="Palatino Linotype" w:hAnsi="Palatino Linotype" w:cs="Palatino Linotype"/>
          <w:b/>
          <w:iCs/>
          <w:color w:val="000000"/>
        </w:rPr>
        <w:t>Constancias que integran el Expediente EI/III/295/2019, al 24 de marzo de 2022.</w:t>
      </w:r>
    </w:p>
    <w:p w14:paraId="0BE89673" w14:textId="77777777" w:rsidR="00B1526F" w:rsidRPr="00CF5018" w:rsidRDefault="00B1526F" w:rsidP="00B1526F">
      <w:pPr>
        <w:spacing w:line="360" w:lineRule="auto"/>
        <w:ind w:right="474"/>
        <w:jc w:val="both"/>
        <w:rPr>
          <w:rFonts w:ascii="Palatino Linotype" w:eastAsia="Palatino Linotype" w:hAnsi="Palatino Linotype" w:cs="Palatino Linotype"/>
          <w:iCs/>
          <w:color w:val="000000"/>
        </w:rPr>
      </w:pPr>
    </w:p>
    <w:p w14:paraId="74E063A9" w14:textId="77777777" w:rsidR="00AA4011" w:rsidRPr="00CF5018" w:rsidRDefault="00AA4011" w:rsidP="00B1526F">
      <w:pPr>
        <w:spacing w:line="360" w:lineRule="auto"/>
        <w:jc w:val="both"/>
        <w:rPr>
          <w:rFonts w:ascii="Palatino Linotype" w:eastAsia="Calibri" w:hAnsi="Palatino Linotype" w:cs="Arial"/>
        </w:rPr>
      </w:pPr>
      <w:bookmarkStart w:id="26" w:name="_heading=h.17dp8vu" w:colFirst="0" w:colLast="0"/>
      <w:bookmarkEnd w:id="26"/>
      <w:r w:rsidRPr="00CF5018">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CF5018">
        <w:rPr>
          <w:rFonts w:ascii="Palatino Linotype" w:eastAsia="Calibri" w:hAnsi="Palatino Linotype" w:cs="Arial"/>
          <w:b/>
        </w:rPr>
        <w:t>EL RECURRENTE</w:t>
      </w:r>
      <w:r w:rsidRPr="00CF5018">
        <w:rPr>
          <w:rFonts w:ascii="Palatino Linotype" w:eastAsia="Calibri" w:hAnsi="Palatino Linotype" w:cs="Arial"/>
        </w:rPr>
        <w:t>.</w:t>
      </w:r>
    </w:p>
    <w:p w14:paraId="5F5C38D6" w14:textId="77777777" w:rsidR="00B1526F" w:rsidRPr="00CF5018" w:rsidRDefault="00B1526F" w:rsidP="00B1526F">
      <w:pPr>
        <w:spacing w:line="360" w:lineRule="auto"/>
        <w:jc w:val="both"/>
        <w:rPr>
          <w:rFonts w:ascii="Palatino Linotype" w:eastAsia="Calibri" w:hAnsi="Palatino Linotype" w:cs="Arial"/>
        </w:rPr>
      </w:pPr>
    </w:p>
    <w:p w14:paraId="6FFD600D" w14:textId="77777777" w:rsidR="00B1526F" w:rsidRPr="00CF5018" w:rsidRDefault="00B1526F" w:rsidP="00B1526F">
      <w:pPr>
        <w:spacing w:line="360" w:lineRule="auto"/>
        <w:jc w:val="both"/>
        <w:rPr>
          <w:rFonts w:ascii="Palatino Linotype" w:eastAsia="Calibri" w:hAnsi="Palatino Linotype" w:cs="Arial"/>
        </w:rPr>
      </w:pPr>
      <w:r w:rsidRPr="00CF5018">
        <w:rPr>
          <w:rFonts w:ascii="Palatino Linotype" w:eastAsia="Palatino Linotype" w:hAnsi="Palatino Linotype" w:cs="Palatino Linotype"/>
          <w:iCs/>
          <w:color w:val="000000"/>
        </w:rPr>
        <w:t>Para el caso de que el expediente que se ordena no se encuentre relacionado con alguna de las causales del artículo 142 de la Ley de Transparencia y Acceso a la Información Pública del Estado de México y Municipios, deberá emitirse el Acuerdo de Clasificación respectivo en el que se funden y motiven las razones de su reserva.</w:t>
      </w:r>
    </w:p>
    <w:p w14:paraId="665ACBA8" w14:textId="77777777" w:rsidR="00AA4011" w:rsidRPr="00CF5018" w:rsidRDefault="00AA4011" w:rsidP="00B1526F">
      <w:pPr>
        <w:tabs>
          <w:tab w:val="left" w:pos="8080"/>
        </w:tabs>
        <w:spacing w:line="360" w:lineRule="auto"/>
        <w:ind w:right="49"/>
        <w:jc w:val="both"/>
        <w:rPr>
          <w:rFonts w:ascii="Palatino Linotype" w:eastAsia="Palatino Linotype" w:hAnsi="Palatino Linotype" w:cs="Palatino Linotype"/>
        </w:rPr>
      </w:pPr>
      <w:bookmarkStart w:id="27" w:name="_Toc511647758"/>
      <w:bookmarkStart w:id="28" w:name="_Toc511647819"/>
    </w:p>
    <w:p w14:paraId="4443CC77" w14:textId="77777777" w:rsidR="00AA4011" w:rsidRPr="00CF5018" w:rsidRDefault="00AA4011" w:rsidP="00B1526F">
      <w:pPr>
        <w:tabs>
          <w:tab w:val="left" w:pos="8080"/>
        </w:tabs>
        <w:spacing w:line="360" w:lineRule="auto"/>
        <w:ind w:right="49"/>
        <w:jc w:val="both"/>
        <w:rPr>
          <w:rFonts w:ascii="Palatino Linotype" w:eastAsia="Times New Roman" w:hAnsi="Palatino Linotype" w:cs="Times New Roman"/>
          <w:shd w:val="clear" w:color="auto" w:fill="FFFFFF"/>
        </w:rPr>
      </w:pPr>
      <w:r w:rsidRPr="00CF5018">
        <w:rPr>
          <w:rFonts w:ascii="Palatino Linotype" w:eastAsia="Times New Roman" w:hAnsi="Palatino Linotype" w:cs="Times New Roman"/>
          <w:b/>
        </w:rPr>
        <w:t>TERCERO.</w:t>
      </w:r>
      <w:bookmarkEnd w:id="27"/>
      <w:bookmarkEnd w:id="28"/>
      <w:r w:rsidRPr="00CF5018">
        <w:rPr>
          <w:rFonts w:ascii="Palatino Linotype" w:eastAsia="Times New Roman" w:hAnsi="Palatino Linotype" w:cs="Times New Roman"/>
          <w:b/>
        </w:rPr>
        <w:t xml:space="preserve"> </w:t>
      </w:r>
      <w:r w:rsidRPr="00CF5018">
        <w:rPr>
          <w:rFonts w:ascii="Palatino Linotype" w:hAnsi="Palatino Linotype" w:cs="Arial"/>
          <w:b/>
          <w:color w:val="222222"/>
          <w:shd w:val="clear" w:color="auto" w:fill="FFFFFF"/>
        </w:rPr>
        <w:t>NOTIFÍQUESE</w:t>
      </w:r>
      <w:r w:rsidRPr="00CF5018">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CF5018">
        <w:rPr>
          <w:rFonts w:ascii="Palatino Linotype" w:hAnsi="Palatino Linotype" w:cs="Arial"/>
          <w:b/>
          <w:color w:val="222222"/>
          <w:shd w:val="clear" w:color="auto" w:fill="FFFFFF"/>
        </w:rPr>
        <w:t>dé cumplimiento a lo ordenado dentro del plazo de diez días hábiles,</w:t>
      </w:r>
      <w:r w:rsidRPr="00CF5018">
        <w:rPr>
          <w:rFonts w:ascii="Palatino Linotype" w:hAnsi="Palatino Linotype" w:cs="Arial"/>
          <w:color w:val="222222"/>
          <w:shd w:val="clear" w:color="auto" w:fill="FFFFFF"/>
        </w:rPr>
        <w:t xml:space="preserve"> e informe a este Instituto en un </w:t>
      </w:r>
      <w:r w:rsidRPr="00CF5018">
        <w:rPr>
          <w:rFonts w:ascii="Palatino Linotype" w:hAnsi="Palatino Linotype" w:cs="Arial"/>
          <w:color w:val="222222"/>
          <w:shd w:val="clear" w:color="auto" w:fill="FFFFFF"/>
        </w:rPr>
        <w:lastRenderedPageBreak/>
        <w:t>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CF5018">
        <w:rPr>
          <w:rFonts w:ascii="Palatino Linotype" w:eastAsia="Times New Roman" w:hAnsi="Palatino Linotype" w:cs="Times New Roman"/>
          <w:shd w:val="clear" w:color="auto" w:fill="FFFFFF"/>
        </w:rPr>
        <w:t>.</w:t>
      </w:r>
    </w:p>
    <w:p w14:paraId="7807C24D" w14:textId="77777777" w:rsidR="00AA4011" w:rsidRPr="00CF5018" w:rsidRDefault="00AA4011" w:rsidP="00B1526F">
      <w:pPr>
        <w:tabs>
          <w:tab w:val="left" w:pos="8080"/>
        </w:tabs>
        <w:spacing w:line="360" w:lineRule="auto"/>
        <w:ind w:right="49"/>
        <w:jc w:val="both"/>
        <w:rPr>
          <w:rFonts w:ascii="Palatino Linotype" w:eastAsia="Times New Roman" w:hAnsi="Palatino Linotype" w:cs="Times New Roman"/>
          <w:shd w:val="clear" w:color="auto" w:fill="FFFFFF"/>
        </w:rPr>
      </w:pPr>
    </w:p>
    <w:p w14:paraId="5CB5F257" w14:textId="77777777" w:rsidR="00AA4011" w:rsidRPr="00CF5018" w:rsidRDefault="00AA4011" w:rsidP="00B1526F">
      <w:pPr>
        <w:spacing w:line="360" w:lineRule="auto"/>
        <w:jc w:val="both"/>
        <w:rPr>
          <w:rFonts w:ascii="Palatino Linotype" w:eastAsia="Calibri" w:hAnsi="Palatino Linotype" w:cs="Arial"/>
          <w:bCs/>
        </w:rPr>
      </w:pPr>
      <w:r w:rsidRPr="00CF5018">
        <w:rPr>
          <w:rFonts w:ascii="Palatino Linotype" w:hAnsi="Palatino Linotype" w:cs="Arial"/>
          <w:b/>
        </w:rPr>
        <w:t xml:space="preserve">CUARTO. </w:t>
      </w:r>
      <w:r w:rsidRPr="00CF5018">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CF5018">
        <w:rPr>
          <w:rFonts w:ascii="Palatino Linotype" w:eastAsia="Calibri" w:hAnsi="Palatino Linotype" w:cs="Arial"/>
          <w:b/>
          <w:bCs/>
        </w:rPr>
        <w:t>SUJETO OBLIGADO</w:t>
      </w:r>
      <w:r w:rsidRPr="00CF5018">
        <w:rPr>
          <w:rFonts w:ascii="Palatino Linotype" w:eastAsia="Calibri" w:hAnsi="Palatino Linotype" w:cs="Arial"/>
          <w:bCs/>
        </w:rPr>
        <w:t xml:space="preserve"> de manera fundada y motivada, podrá solicitar una ampliación de plazo para el cumplimiento de la presente resolución.</w:t>
      </w:r>
    </w:p>
    <w:p w14:paraId="4B1EE2E0" w14:textId="77777777" w:rsidR="00AA4011" w:rsidRPr="00CF5018" w:rsidRDefault="00AA4011" w:rsidP="00B1526F">
      <w:pPr>
        <w:spacing w:line="360" w:lineRule="auto"/>
        <w:jc w:val="both"/>
        <w:rPr>
          <w:rFonts w:ascii="Palatino Linotype" w:eastAsia="Calibri" w:hAnsi="Palatino Linotype" w:cs="Arial"/>
          <w:bCs/>
        </w:rPr>
      </w:pPr>
    </w:p>
    <w:p w14:paraId="7AF27B18" w14:textId="77777777" w:rsidR="00AA4011" w:rsidRPr="00CF5018" w:rsidRDefault="00AA4011" w:rsidP="00B1526F">
      <w:pPr>
        <w:tabs>
          <w:tab w:val="left" w:pos="8080"/>
        </w:tabs>
        <w:spacing w:line="360" w:lineRule="auto"/>
        <w:ind w:right="49"/>
        <w:jc w:val="both"/>
        <w:rPr>
          <w:rFonts w:ascii="Palatino Linotype" w:eastAsia="Times New Roman" w:hAnsi="Palatino Linotype" w:cs="Times New Roman"/>
          <w:lang w:val="es-ES" w:eastAsia="es-MX"/>
        </w:rPr>
      </w:pPr>
      <w:bookmarkStart w:id="29" w:name="_Toc492590393"/>
      <w:bookmarkStart w:id="30" w:name="_Toc503891611"/>
      <w:bookmarkStart w:id="31" w:name="_Toc511647759"/>
      <w:bookmarkStart w:id="32" w:name="_Toc511647820"/>
      <w:r w:rsidRPr="00CF5018">
        <w:rPr>
          <w:rFonts w:ascii="Palatino Linotype" w:eastAsia="Times New Roman" w:hAnsi="Palatino Linotype" w:cs="Times New Roman"/>
          <w:b/>
        </w:rPr>
        <w:t xml:space="preserve">QUINTO. </w:t>
      </w:r>
      <w:r w:rsidRPr="00CF5018">
        <w:rPr>
          <w:rFonts w:ascii="Palatino Linotype" w:eastAsia="Times New Roman" w:hAnsi="Palatino Linotype" w:cs="Times New Roman"/>
        </w:rPr>
        <w:t>Notifíquese</w:t>
      </w:r>
      <w:bookmarkEnd w:id="29"/>
      <w:bookmarkEnd w:id="30"/>
      <w:bookmarkEnd w:id="31"/>
      <w:bookmarkEnd w:id="32"/>
      <w:r w:rsidRPr="00CF5018">
        <w:rPr>
          <w:rFonts w:ascii="Palatino Linotype" w:eastAsia="Times New Roman" w:hAnsi="Palatino Linotype" w:cs="Times New Roman"/>
        </w:rPr>
        <w:t xml:space="preserve"> a </w:t>
      </w:r>
      <w:r w:rsidRPr="00CF5018">
        <w:rPr>
          <w:rFonts w:ascii="Palatino Linotype" w:eastAsia="Times New Roman" w:hAnsi="Palatino Linotype" w:cs="Times New Roman"/>
          <w:b/>
        </w:rPr>
        <w:t>EL RECURRENTE</w:t>
      </w:r>
      <w:r w:rsidRPr="00CF5018">
        <w:rPr>
          <w:rFonts w:ascii="Palatino Linotype" w:eastAsia="Times New Roman" w:hAnsi="Palatino Linotype" w:cs="Times New Roman"/>
        </w:rPr>
        <w:t xml:space="preserve"> la presente</w:t>
      </w:r>
      <w:r w:rsidRPr="00CF5018">
        <w:rPr>
          <w:rFonts w:ascii="Palatino Linotype" w:eastAsia="Times New Roman" w:hAnsi="Palatino Linotype" w:cs="Times New Roman"/>
          <w:lang w:val="es-ES" w:eastAsia="es-MX"/>
        </w:rPr>
        <w:t xml:space="preserve"> resolución, vía SAIMEX.</w:t>
      </w:r>
    </w:p>
    <w:p w14:paraId="4369521D" w14:textId="77777777" w:rsidR="00AA4011" w:rsidRPr="00CF5018" w:rsidRDefault="00AA4011" w:rsidP="00B1526F">
      <w:pPr>
        <w:tabs>
          <w:tab w:val="left" w:pos="8080"/>
        </w:tabs>
        <w:spacing w:line="360" w:lineRule="auto"/>
        <w:ind w:right="49"/>
        <w:jc w:val="both"/>
        <w:rPr>
          <w:rFonts w:ascii="Palatino Linotype" w:eastAsia="Times New Roman" w:hAnsi="Palatino Linotype" w:cs="Times New Roman"/>
          <w:lang w:val="es-ES" w:eastAsia="es-MX"/>
        </w:rPr>
      </w:pPr>
    </w:p>
    <w:p w14:paraId="3A7FE8E5" w14:textId="0D2B21AE" w:rsidR="00AA4011" w:rsidRPr="00CF5018" w:rsidRDefault="00AA4011" w:rsidP="00B1526F">
      <w:pPr>
        <w:shd w:val="clear" w:color="auto" w:fill="FFFFFF"/>
        <w:spacing w:line="360" w:lineRule="auto"/>
        <w:jc w:val="both"/>
        <w:rPr>
          <w:rFonts w:ascii="Palatino Linotype" w:eastAsia="Times New Roman" w:hAnsi="Palatino Linotype" w:cs="Times New Roman"/>
          <w:b/>
          <w:lang w:val="es-ES" w:eastAsia="es-MX"/>
        </w:rPr>
      </w:pPr>
      <w:r w:rsidRPr="00CF5018">
        <w:rPr>
          <w:rFonts w:ascii="Palatino Linotype" w:eastAsia="Calibri" w:hAnsi="Palatino Linotype" w:cs="Times New Roman"/>
          <w:b/>
          <w:lang w:val="es-MX" w:eastAsia="en-US"/>
        </w:rPr>
        <w:t>SEXTO.</w:t>
      </w:r>
      <w:r w:rsidRPr="00CF5018">
        <w:rPr>
          <w:rFonts w:ascii="Palatino Linotype" w:eastAsia="Calibri" w:hAnsi="Palatino Linotype" w:cs="Times New Roman"/>
          <w:lang w:val="es-MX" w:eastAsia="en-US"/>
        </w:rPr>
        <w:t xml:space="preserve"> </w:t>
      </w:r>
      <w:r w:rsidRPr="00CF5018">
        <w:rPr>
          <w:rFonts w:ascii="Palatino Linotype" w:eastAsia="Times New Roman" w:hAnsi="Palatino Linotype" w:cs="Times New Roman"/>
          <w:lang w:val="es-ES" w:eastAsia="es-MX"/>
        </w:rPr>
        <w:t xml:space="preserve">Se hace del conocimiento de </w:t>
      </w:r>
      <w:r w:rsidRPr="00CF5018">
        <w:rPr>
          <w:rFonts w:ascii="Palatino Linotype" w:eastAsia="Times New Roman" w:hAnsi="Palatino Linotype" w:cs="Times New Roman"/>
          <w:b/>
          <w:lang w:val="es-ES" w:eastAsia="es-MX"/>
        </w:rPr>
        <w:t>EL RECURRENTE</w:t>
      </w:r>
      <w:r w:rsidRPr="00CF5018">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CF5018">
        <w:rPr>
          <w:rFonts w:ascii="Palatino Linotype" w:eastAsia="Times New Roman" w:hAnsi="Palatino Linotype" w:cs="Times New Roman"/>
          <w:bCs/>
          <w:lang w:val="es-ES" w:eastAsia="es-MX"/>
        </w:rPr>
        <w:t>vía juicio de amparo</w:t>
      </w:r>
      <w:r w:rsidRPr="00CF5018">
        <w:rPr>
          <w:rFonts w:ascii="Palatino Linotype" w:eastAsia="Times New Roman" w:hAnsi="Palatino Linotype" w:cs="Times New Roman"/>
          <w:lang w:val="es-ES" w:eastAsia="es-MX"/>
        </w:rPr>
        <w:t> en los términos de las leyes aplicables</w:t>
      </w:r>
      <w:r w:rsidR="00B1526F" w:rsidRPr="00CF5018">
        <w:rPr>
          <w:rFonts w:ascii="Palatino Linotype" w:eastAsia="Times New Roman" w:hAnsi="Palatino Linotype" w:cs="Times New Roman"/>
          <w:lang w:val="es-ES" w:eastAsia="es-MX"/>
        </w:rPr>
        <w:t>.</w:t>
      </w:r>
      <w:r w:rsidR="00156A2C" w:rsidRPr="00CF5018">
        <w:rPr>
          <w:rFonts w:ascii="Palatino Linotype" w:eastAsia="Times New Roman" w:hAnsi="Palatino Linotype" w:cs="Times New Roman"/>
          <w:lang w:val="es-ES" w:eastAsia="es-MX"/>
        </w:rPr>
        <w:t xml:space="preserve">  </w:t>
      </w:r>
      <w:r w:rsidR="00156A2C" w:rsidRPr="00CF5018">
        <w:rPr>
          <w:rFonts w:ascii="Palatino Linotype" w:eastAsia="Times New Roman" w:hAnsi="Palatino Linotype" w:cs="Times New Roman"/>
          <w:b/>
          <w:lang w:val="es-ES" w:eastAsia="es-MX"/>
        </w:rPr>
        <w:t>(AQUÍ SE ELIMINA SALVEDAD INAI)</w:t>
      </w:r>
    </w:p>
    <w:p w14:paraId="5816622C" w14:textId="77777777" w:rsidR="0077213B" w:rsidRPr="00CF5018" w:rsidRDefault="0077213B" w:rsidP="00B1526F">
      <w:pPr>
        <w:shd w:val="clear" w:color="auto" w:fill="FFFFFF"/>
        <w:spacing w:line="360" w:lineRule="auto"/>
        <w:jc w:val="both"/>
        <w:rPr>
          <w:rFonts w:ascii="Palatino Linotype" w:eastAsia="Palatino Linotype" w:hAnsi="Palatino Linotype" w:cs="Palatino Linotype"/>
        </w:rPr>
      </w:pPr>
    </w:p>
    <w:p w14:paraId="33AD7C51" w14:textId="77777777" w:rsidR="00C85858" w:rsidRPr="00C85858" w:rsidRDefault="00C85858" w:rsidP="00C85858">
      <w:pPr>
        <w:spacing w:before="240" w:after="240" w:line="360" w:lineRule="auto"/>
        <w:ind w:firstLine="1"/>
        <w:jc w:val="both"/>
        <w:rPr>
          <w:rStyle w:val="Referenciasutil"/>
          <w:rFonts w:ascii="Palatino Linotype" w:hAnsi="Palatino Linotype"/>
          <w:color w:val="auto"/>
        </w:rPr>
      </w:pPr>
      <w:bookmarkStart w:id="33" w:name="_Hlk129792997"/>
      <w:r w:rsidRPr="00CF5018">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w:t>
      </w:r>
      <w:r w:rsidRPr="00CF5018">
        <w:rPr>
          <w:rStyle w:val="Referenciasutil"/>
          <w:rFonts w:ascii="Palatino Linotype" w:hAnsi="Palatino Linotype"/>
          <w:color w:val="auto"/>
        </w:rPr>
        <w:lastRenderedPageBreak/>
        <w:t>DEL ROSARIO MEJÍA AYALA; SHARON CRISTINA MORALES MARTÍNEZ; LUIS GUSTAVO PARRA NORIEGA Y GUADALUPE RAMÍREZ PEÑA; EN LA DÉCIMA PRIMERA SESIÓN ORDINARIA CELEBRADA EL TRES (03) DE ABRIL DE DOS MIL VEINTICUATRO, ANTE EL SECRETARIO TÉCNICO DEL PLENO ALEXIS TAPIA RAMÍREZ.</w:t>
      </w:r>
      <w:r w:rsidRPr="00C85858">
        <w:rPr>
          <w:rStyle w:val="Referenciasutil"/>
          <w:rFonts w:ascii="Palatino Linotype" w:hAnsi="Palatino Linotype"/>
          <w:color w:val="auto"/>
        </w:rPr>
        <w:t xml:space="preserve"> </w:t>
      </w:r>
      <w:bookmarkEnd w:id="33"/>
    </w:p>
    <w:p w14:paraId="2176B4C2" w14:textId="77777777" w:rsidR="0077213B" w:rsidRPr="00C85858" w:rsidRDefault="0077213B" w:rsidP="00B1526F">
      <w:pPr>
        <w:spacing w:line="360" w:lineRule="auto"/>
        <w:jc w:val="both"/>
        <w:rPr>
          <w:rFonts w:ascii="Palatino Linotype" w:eastAsia="Palatino Linotype" w:hAnsi="Palatino Linotype" w:cs="Palatino Linotype"/>
        </w:rPr>
      </w:pPr>
    </w:p>
    <w:p w14:paraId="62013D22" w14:textId="77777777" w:rsidR="0077213B" w:rsidRPr="00C85858" w:rsidRDefault="0077213B" w:rsidP="00B1526F">
      <w:pPr>
        <w:spacing w:line="360" w:lineRule="auto"/>
        <w:jc w:val="both"/>
        <w:rPr>
          <w:rFonts w:ascii="Palatino Linotype" w:eastAsia="Palatino Linotype" w:hAnsi="Palatino Linotype" w:cs="Palatino Linotype"/>
        </w:rPr>
      </w:pPr>
    </w:p>
    <w:p w14:paraId="64932634" w14:textId="77777777" w:rsidR="0077213B" w:rsidRPr="00C85858" w:rsidRDefault="0077213B" w:rsidP="00B1526F">
      <w:pPr>
        <w:spacing w:line="360" w:lineRule="auto"/>
        <w:jc w:val="both"/>
        <w:rPr>
          <w:rFonts w:ascii="Palatino Linotype" w:eastAsia="Palatino Linotype" w:hAnsi="Palatino Linotype" w:cs="Palatino Linotype"/>
        </w:rPr>
      </w:pPr>
    </w:p>
    <w:p w14:paraId="7C2D8575" w14:textId="77777777" w:rsidR="0077213B" w:rsidRPr="00C85858" w:rsidRDefault="0077213B" w:rsidP="00B1526F">
      <w:pPr>
        <w:spacing w:line="360" w:lineRule="auto"/>
        <w:jc w:val="both"/>
        <w:rPr>
          <w:rFonts w:ascii="Palatino Linotype" w:eastAsia="Palatino Linotype" w:hAnsi="Palatino Linotype" w:cs="Palatino Linotype"/>
        </w:rPr>
      </w:pPr>
    </w:p>
    <w:p w14:paraId="7965E145" w14:textId="77777777" w:rsidR="0077213B" w:rsidRPr="00C85858" w:rsidRDefault="0077213B" w:rsidP="00B1526F">
      <w:pPr>
        <w:spacing w:line="360" w:lineRule="auto"/>
        <w:jc w:val="both"/>
        <w:rPr>
          <w:rFonts w:ascii="Palatino Linotype" w:eastAsia="Palatino Linotype" w:hAnsi="Palatino Linotype" w:cs="Palatino Linotype"/>
        </w:rPr>
      </w:pPr>
    </w:p>
    <w:p w14:paraId="5480195D" w14:textId="77777777" w:rsidR="0077213B" w:rsidRPr="00C85858" w:rsidRDefault="0077213B" w:rsidP="00B1526F">
      <w:pPr>
        <w:spacing w:line="360" w:lineRule="auto"/>
        <w:jc w:val="both"/>
        <w:rPr>
          <w:rFonts w:ascii="Palatino Linotype" w:eastAsia="Palatino Linotype" w:hAnsi="Palatino Linotype" w:cs="Palatino Linotype"/>
        </w:rPr>
      </w:pPr>
    </w:p>
    <w:p w14:paraId="5159E405" w14:textId="77777777" w:rsidR="0077213B" w:rsidRPr="00C85858" w:rsidRDefault="0077213B" w:rsidP="00B1526F">
      <w:pPr>
        <w:spacing w:line="360" w:lineRule="auto"/>
        <w:jc w:val="both"/>
        <w:rPr>
          <w:rFonts w:ascii="Palatino Linotype" w:eastAsia="Palatino Linotype" w:hAnsi="Palatino Linotype" w:cs="Palatino Linotype"/>
        </w:rPr>
      </w:pPr>
    </w:p>
    <w:p w14:paraId="008D687D" w14:textId="77777777" w:rsidR="0077213B" w:rsidRPr="00C85858" w:rsidRDefault="0077213B" w:rsidP="00B1526F">
      <w:pPr>
        <w:spacing w:line="360" w:lineRule="auto"/>
        <w:jc w:val="both"/>
        <w:rPr>
          <w:rFonts w:ascii="Palatino Linotype" w:eastAsia="Palatino Linotype" w:hAnsi="Palatino Linotype" w:cs="Palatino Linotype"/>
        </w:rPr>
      </w:pPr>
    </w:p>
    <w:p w14:paraId="4BEE40A0" w14:textId="77777777" w:rsidR="0077213B" w:rsidRPr="00C85858" w:rsidRDefault="0077213B" w:rsidP="00B1526F">
      <w:pPr>
        <w:spacing w:line="360" w:lineRule="auto"/>
        <w:jc w:val="both"/>
        <w:rPr>
          <w:rFonts w:ascii="Palatino Linotype" w:eastAsia="Palatino Linotype" w:hAnsi="Palatino Linotype" w:cs="Palatino Linotype"/>
        </w:rPr>
      </w:pPr>
    </w:p>
    <w:p w14:paraId="0E322354" w14:textId="77777777" w:rsidR="0077213B" w:rsidRPr="00C85858" w:rsidRDefault="0077213B" w:rsidP="00B1526F">
      <w:pPr>
        <w:spacing w:line="360" w:lineRule="auto"/>
        <w:rPr>
          <w:rFonts w:ascii="Palatino Linotype" w:eastAsia="Palatino Linotype" w:hAnsi="Palatino Linotype" w:cs="Palatino Linotype"/>
        </w:rPr>
      </w:pPr>
    </w:p>
    <w:p w14:paraId="34820D5B" w14:textId="77777777" w:rsidR="0077213B" w:rsidRPr="00C85858" w:rsidRDefault="0077213B" w:rsidP="00B1526F">
      <w:pPr>
        <w:spacing w:line="360" w:lineRule="auto"/>
        <w:rPr>
          <w:rFonts w:ascii="Palatino Linotype" w:eastAsia="Palatino Linotype" w:hAnsi="Palatino Linotype" w:cs="Palatino Linotype"/>
        </w:rPr>
      </w:pPr>
    </w:p>
    <w:p w14:paraId="7C472C9A" w14:textId="77777777" w:rsidR="0077213B" w:rsidRPr="00C85858" w:rsidRDefault="0077213B" w:rsidP="00B1526F">
      <w:pPr>
        <w:spacing w:line="360" w:lineRule="auto"/>
        <w:rPr>
          <w:rFonts w:ascii="Palatino Linotype" w:eastAsia="Palatino Linotype" w:hAnsi="Palatino Linotype" w:cs="Palatino Linotype"/>
        </w:rPr>
      </w:pPr>
    </w:p>
    <w:p w14:paraId="51871A43" w14:textId="77777777" w:rsidR="0077213B" w:rsidRPr="00C85858" w:rsidRDefault="0077213B" w:rsidP="00B1526F">
      <w:pPr>
        <w:spacing w:line="360" w:lineRule="auto"/>
        <w:rPr>
          <w:rFonts w:ascii="Palatino Linotype" w:eastAsia="Palatino Linotype" w:hAnsi="Palatino Linotype" w:cs="Palatino Linotype"/>
        </w:rPr>
      </w:pPr>
    </w:p>
    <w:p w14:paraId="4707622B" w14:textId="77777777" w:rsidR="0077213B" w:rsidRPr="00C85858" w:rsidRDefault="0077213B" w:rsidP="00B1526F">
      <w:pPr>
        <w:spacing w:line="360" w:lineRule="auto"/>
        <w:rPr>
          <w:rFonts w:ascii="Palatino Linotype" w:eastAsia="Palatino Linotype" w:hAnsi="Palatino Linotype" w:cs="Palatino Linotype"/>
        </w:rPr>
      </w:pPr>
    </w:p>
    <w:p w14:paraId="014DDFB2" w14:textId="77777777" w:rsidR="0077213B" w:rsidRPr="00C85858" w:rsidRDefault="0077213B" w:rsidP="00B1526F">
      <w:pPr>
        <w:spacing w:line="360" w:lineRule="auto"/>
        <w:rPr>
          <w:rFonts w:ascii="Palatino Linotype" w:eastAsia="Palatino Linotype" w:hAnsi="Palatino Linotype" w:cs="Palatino Linotype"/>
        </w:rPr>
      </w:pPr>
    </w:p>
    <w:p w14:paraId="238B5B80" w14:textId="77777777" w:rsidR="0077213B" w:rsidRPr="00C85858" w:rsidRDefault="0077213B" w:rsidP="00B1526F">
      <w:pPr>
        <w:spacing w:line="360" w:lineRule="auto"/>
        <w:rPr>
          <w:rFonts w:ascii="Palatino Linotype" w:eastAsia="Palatino Linotype" w:hAnsi="Palatino Linotype" w:cs="Palatino Linotype"/>
        </w:rPr>
      </w:pPr>
    </w:p>
    <w:p w14:paraId="3441FAF2" w14:textId="77777777" w:rsidR="0077213B" w:rsidRPr="00C85858" w:rsidRDefault="009F6B6E" w:rsidP="00B1526F">
      <w:pPr>
        <w:tabs>
          <w:tab w:val="left" w:pos="3374"/>
        </w:tabs>
        <w:spacing w:line="360" w:lineRule="auto"/>
        <w:rPr>
          <w:rFonts w:ascii="Palatino Linotype" w:eastAsia="Palatino Linotype" w:hAnsi="Palatino Linotype" w:cs="Palatino Linotype"/>
        </w:rPr>
      </w:pPr>
      <w:r w:rsidRPr="00C85858">
        <w:rPr>
          <w:rFonts w:ascii="Palatino Linotype" w:eastAsia="Palatino Linotype" w:hAnsi="Palatino Linotype" w:cs="Palatino Linotype"/>
        </w:rPr>
        <w:tab/>
      </w:r>
    </w:p>
    <w:p w14:paraId="6244D2CB"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055792C6"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0BA669A2"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0A2F2C12"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4EBA5534"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5D637B3D"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4C7BBAB6"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41B6B301"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18FE13DE"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664CF1B4"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30E1803A"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5600F1E2"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7D4C4982"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72ACFB55"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7132D680"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465BD89F"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4C9229CC"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1E5A4F61"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09A3EEAB" w14:textId="77777777" w:rsidR="0077213B" w:rsidRPr="00C85858" w:rsidRDefault="0077213B" w:rsidP="00B1526F">
      <w:pPr>
        <w:tabs>
          <w:tab w:val="left" w:pos="3374"/>
        </w:tabs>
        <w:spacing w:line="360" w:lineRule="auto"/>
        <w:rPr>
          <w:rFonts w:ascii="Palatino Linotype" w:eastAsia="Palatino Linotype" w:hAnsi="Palatino Linotype" w:cs="Palatino Linotype"/>
        </w:rPr>
      </w:pPr>
    </w:p>
    <w:p w14:paraId="7107D2F6" w14:textId="77777777" w:rsidR="0077213B" w:rsidRPr="00C85858" w:rsidRDefault="0077213B" w:rsidP="00B1526F">
      <w:pPr>
        <w:spacing w:line="360" w:lineRule="auto"/>
        <w:rPr>
          <w:rFonts w:ascii="Palatino Linotype" w:eastAsia="Palatino Linotype" w:hAnsi="Palatino Linotype" w:cs="Palatino Linotype"/>
        </w:rPr>
      </w:pPr>
    </w:p>
    <w:sectPr w:rsidR="0077213B" w:rsidRPr="00C85858">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3185" w14:textId="77777777" w:rsidR="001D5A63" w:rsidRDefault="001D5A63">
      <w:r>
        <w:separator/>
      </w:r>
    </w:p>
  </w:endnote>
  <w:endnote w:type="continuationSeparator" w:id="0">
    <w:p w14:paraId="6A00F21F" w14:textId="77777777" w:rsidR="001D5A63" w:rsidRDefault="001D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0FDD" w14:textId="77777777" w:rsidR="0077213B" w:rsidRDefault="009F6B6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56A2C">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56A2C">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14:paraId="6CD07FCD" w14:textId="77777777" w:rsidR="0077213B" w:rsidRDefault="0077213B">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171E" w14:textId="77777777" w:rsidR="0077213B" w:rsidRDefault="009F6B6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56A2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56A2C">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14:paraId="699FA26D" w14:textId="77777777" w:rsidR="0077213B" w:rsidRDefault="0077213B">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4E6D" w14:textId="77777777" w:rsidR="001D5A63" w:rsidRDefault="001D5A63">
      <w:r>
        <w:separator/>
      </w:r>
    </w:p>
  </w:footnote>
  <w:footnote w:type="continuationSeparator" w:id="0">
    <w:p w14:paraId="53CF2EB9" w14:textId="77777777" w:rsidR="001D5A63" w:rsidRDefault="001D5A63">
      <w:r>
        <w:continuationSeparator/>
      </w:r>
    </w:p>
  </w:footnote>
  <w:footnote w:id="1">
    <w:p w14:paraId="1A332BEB" w14:textId="77777777" w:rsidR="0077213B" w:rsidRDefault="009F6B6E">
      <w:pPr>
        <w:pBdr>
          <w:top w:val="nil"/>
          <w:left w:val="nil"/>
          <w:bottom w:val="nil"/>
          <w:right w:val="nil"/>
          <w:between w:val="nil"/>
        </w:pBdr>
        <w:spacing w:before="40" w:after="40"/>
        <w:jc w:val="both"/>
        <w:rPr>
          <w:rFonts w:ascii="Palatino Linotype" w:eastAsia="Palatino Linotype" w:hAnsi="Palatino Linotype" w:cs="Palatino Linotype"/>
          <w:color w:val="000000"/>
          <w:sz w:val="14"/>
          <w:szCs w:val="14"/>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b/>
          <w:color w:val="000000"/>
          <w:sz w:val="16"/>
          <w:szCs w:val="16"/>
        </w:rPr>
        <w:t>Artículo 114</w:t>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u w:val="single"/>
        </w:rPr>
        <w:t>Las causales de reserva</w:t>
      </w:r>
      <w:r>
        <w:rPr>
          <w:rFonts w:ascii="Palatino Linotype" w:eastAsia="Palatino Linotype" w:hAnsi="Palatino Linotype" w:cs="Palatino Linotype"/>
          <w:b/>
          <w:color w:val="000000"/>
          <w:sz w:val="16"/>
          <w:szCs w:val="16"/>
        </w:rPr>
        <w:t xml:space="preserve"> </w:t>
      </w:r>
      <w:r>
        <w:rPr>
          <w:rFonts w:ascii="Palatino Linotype" w:eastAsia="Palatino Linotype" w:hAnsi="Palatino Linotype" w:cs="Palatino Linotype"/>
          <w:color w:val="000000"/>
          <w:sz w:val="16"/>
          <w:szCs w:val="16"/>
        </w:rPr>
        <w:t>previstas en el artículo anterior</w:t>
      </w:r>
      <w:r>
        <w:rPr>
          <w:rFonts w:ascii="Palatino Linotype" w:eastAsia="Palatino Linotype" w:hAnsi="Palatino Linotype" w:cs="Palatino Linotype"/>
          <w:b/>
          <w:color w:val="000000"/>
          <w:sz w:val="16"/>
          <w:szCs w:val="16"/>
        </w:rPr>
        <w:t xml:space="preserve"> </w:t>
      </w:r>
      <w:r>
        <w:rPr>
          <w:rFonts w:ascii="Palatino Linotype" w:eastAsia="Palatino Linotype" w:hAnsi="Palatino Linotype" w:cs="Palatino Linotype"/>
          <w:b/>
          <w:color w:val="000000"/>
          <w:sz w:val="16"/>
          <w:szCs w:val="16"/>
          <w:u w:val="single"/>
        </w:rPr>
        <w:t>se deberán fundar y motivar, a través de la aplicación de la prueba de daño</w:t>
      </w:r>
      <w:r>
        <w:rPr>
          <w:rFonts w:ascii="Palatino Linotype" w:eastAsia="Palatino Linotype" w:hAnsi="Palatino Linotype" w:cs="Palatino Linotype"/>
          <w:color w:val="000000"/>
          <w:sz w:val="16"/>
          <w:szCs w:val="16"/>
        </w:rPr>
        <w:t xml:space="preserve"> a la que se hace referencia en el presente Título.</w:t>
      </w:r>
    </w:p>
  </w:footnote>
  <w:footnote w:id="2">
    <w:p w14:paraId="382885E0" w14:textId="77777777" w:rsidR="0077213B" w:rsidRDefault="009F6B6E">
      <w:pPr>
        <w:pBdr>
          <w:top w:val="nil"/>
          <w:left w:val="nil"/>
          <w:bottom w:val="nil"/>
          <w:right w:val="nil"/>
          <w:between w:val="nil"/>
        </w:pBdr>
        <w:spacing w:before="40" w:after="40"/>
        <w:jc w:val="both"/>
        <w:rPr>
          <w:rFonts w:ascii="Palatino Linotype" w:eastAsia="Palatino Linotype" w:hAnsi="Palatino Linotype" w:cs="Palatino Linotype"/>
          <w:color w:val="000000"/>
          <w:sz w:val="16"/>
          <w:szCs w:val="16"/>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b/>
          <w:color w:val="000000"/>
          <w:sz w:val="16"/>
          <w:szCs w:val="16"/>
        </w:rPr>
        <w:t>Artículo 128</w:t>
      </w:r>
      <w:r>
        <w:rPr>
          <w:rFonts w:ascii="Palatino Linotype" w:eastAsia="Palatino Linotype" w:hAnsi="Palatino Linotype" w:cs="Palatino Linotype"/>
          <w:color w:val="000000"/>
          <w:sz w:val="16"/>
          <w:szCs w:val="16"/>
        </w:rPr>
        <w:t xml:space="preserve">. En los casos en que se niegue el acceso a la información, por actualizarse alguno de los supuestos de clasificación, el Comité de Transparencia deberá confirmar, modificar o revocar la decisión. </w:t>
      </w:r>
    </w:p>
    <w:p w14:paraId="05A4C25D" w14:textId="77777777" w:rsidR="0077213B" w:rsidRDefault="009F6B6E">
      <w:pPr>
        <w:pBdr>
          <w:top w:val="nil"/>
          <w:left w:val="nil"/>
          <w:bottom w:val="nil"/>
          <w:right w:val="nil"/>
          <w:between w:val="nil"/>
        </w:pBdr>
        <w:spacing w:before="40" w:after="40"/>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u w:val="single"/>
        </w:rPr>
        <w:t>Para motivar la clasificación de la información</w:t>
      </w:r>
      <w:r>
        <w:rPr>
          <w:rFonts w:ascii="Palatino Linotype" w:eastAsia="Palatino Linotype" w:hAnsi="Palatino Linotype" w:cs="Palatino Linotype"/>
          <w:color w:val="000000"/>
          <w:sz w:val="16"/>
          <w:szCs w:val="16"/>
        </w:rPr>
        <w:t xml:space="preserve"> y la ampliación del plazo de reserva, </w:t>
      </w:r>
      <w:r>
        <w:rPr>
          <w:rFonts w:ascii="Palatino Linotype" w:eastAsia="Palatino Linotype" w:hAnsi="Palatino Linotype" w:cs="Palatino Linotype"/>
          <w:b/>
          <w:color w:val="000000"/>
          <w:sz w:val="16"/>
          <w:szCs w:val="16"/>
          <w:u w:val="single"/>
        </w:rPr>
        <w:t>se deberán señalar las razones, motivos o circunstancias especiales que llevaron al sujeto obligado a concluir que el caso particular se ajusta al supuesto previsto por la norma legal invocada</w:t>
      </w:r>
      <w:r>
        <w:rPr>
          <w:rFonts w:ascii="Palatino Linotype" w:eastAsia="Palatino Linotype" w:hAnsi="Palatino Linotype" w:cs="Palatino Linotype"/>
          <w:color w:val="000000"/>
          <w:sz w:val="16"/>
          <w:szCs w:val="16"/>
        </w:rPr>
        <w:t xml:space="preserve"> como fundamento. Además, </w:t>
      </w:r>
      <w:r>
        <w:rPr>
          <w:rFonts w:ascii="Palatino Linotype" w:eastAsia="Palatino Linotype" w:hAnsi="Palatino Linotype" w:cs="Palatino Linotype"/>
          <w:b/>
          <w:color w:val="000000"/>
          <w:sz w:val="16"/>
          <w:szCs w:val="16"/>
          <w:u w:val="single"/>
        </w:rPr>
        <w:t>el sujeto obligado deberá, en todo momento, aplicar una prueba de daño</w:t>
      </w:r>
      <w:r>
        <w:rPr>
          <w:rFonts w:ascii="Palatino Linotype" w:eastAsia="Palatino Linotype" w:hAnsi="Palatino Linotype" w:cs="Palatino Linotype"/>
          <w:color w:val="000000"/>
          <w:sz w:val="16"/>
          <w:szCs w:val="16"/>
        </w:rPr>
        <w:t xml:space="preserve">. </w:t>
      </w:r>
    </w:p>
    <w:p w14:paraId="1CC1110D" w14:textId="77777777" w:rsidR="0077213B" w:rsidRDefault="009F6B6E">
      <w:pPr>
        <w:pBdr>
          <w:top w:val="nil"/>
          <w:left w:val="nil"/>
          <w:bottom w:val="nil"/>
          <w:right w:val="nil"/>
          <w:between w:val="nil"/>
        </w:pBdr>
        <w:spacing w:before="40" w:after="40"/>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Tratándose de aquélla información que actualice los supuestos de clasificación, deberá señalarse el plazo al que estará sujeto la reserva. </w:t>
      </w:r>
    </w:p>
    <w:p w14:paraId="35B7DA18" w14:textId="77777777" w:rsidR="0077213B" w:rsidRDefault="009F6B6E">
      <w:pPr>
        <w:pBdr>
          <w:top w:val="nil"/>
          <w:left w:val="nil"/>
          <w:bottom w:val="nil"/>
          <w:right w:val="nil"/>
          <w:between w:val="nil"/>
        </w:pBdr>
        <w:spacing w:before="40" w:after="40"/>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 xml:space="preserve">Artículo 129. </w:t>
      </w:r>
      <w:r>
        <w:rPr>
          <w:rFonts w:ascii="Palatino Linotype" w:eastAsia="Palatino Linotype" w:hAnsi="Palatino Linotype" w:cs="Palatino Linotype"/>
          <w:b/>
          <w:color w:val="000000"/>
          <w:sz w:val="16"/>
          <w:szCs w:val="16"/>
          <w:u w:val="single"/>
        </w:rPr>
        <w:t>En la aplicación de la prueba de daño, el sujeto obligado deberá precisar las razones objetivas por las que la apertura de la información generaría una afectación</w:t>
      </w:r>
      <w:r>
        <w:rPr>
          <w:rFonts w:ascii="Palatino Linotype" w:eastAsia="Palatino Linotype" w:hAnsi="Palatino Linotype" w:cs="Palatino Linotype"/>
          <w:color w:val="000000"/>
          <w:sz w:val="16"/>
          <w:szCs w:val="16"/>
        </w:rPr>
        <w:t xml:space="preserve">, justificando que: </w:t>
      </w:r>
    </w:p>
    <w:p w14:paraId="6936914D" w14:textId="77777777" w:rsidR="0077213B" w:rsidRDefault="009F6B6E">
      <w:pPr>
        <w:numPr>
          <w:ilvl w:val="0"/>
          <w:numId w:val="3"/>
        </w:numPr>
        <w:pBdr>
          <w:top w:val="nil"/>
          <w:left w:val="nil"/>
          <w:bottom w:val="nil"/>
          <w:right w:val="nil"/>
          <w:between w:val="nil"/>
        </w:pBdr>
        <w:spacing w:before="40" w:after="40"/>
        <w:ind w:left="284" w:right="709" w:hanging="283"/>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 xml:space="preserve">La divulgación de la información representa un </w:t>
      </w:r>
      <w:r>
        <w:rPr>
          <w:rFonts w:ascii="Palatino Linotype" w:eastAsia="Palatino Linotype" w:hAnsi="Palatino Linotype" w:cs="Palatino Linotype"/>
          <w:b/>
          <w:color w:val="000000"/>
          <w:sz w:val="16"/>
          <w:szCs w:val="16"/>
          <w:u w:val="single"/>
        </w:rPr>
        <w:t>riesgo real, demostrable e identificable</w:t>
      </w:r>
      <w:r>
        <w:rPr>
          <w:rFonts w:ascii="Palatino Linotype" w:eastAsia="Palatino Linotype" w:hAnsi="Palatino Linotype" w:cs="Palatino Linotype"/>
          <w:b/>
          <w:color w:val="000000"/>
          <w:sz w:val="16"/>
          <w:szCs w:val="16"/>
        </w:rPr>
        <w:t xml:space="preserve"> </w:t>
      </w:r>
      <w:r>
        <w:rPr>
          <w:rFonts w:ascii="Palatino Linotype" w:eastAsia="Palatino Linotype" w:hAnsi="Palatino Linotype" w:cs="Palatino Linotype"/>
          <w:color w:val="000000"/>
          <w:sz w:val="16"/>
          <w:szCs w:val="16"/>
        </w:rPr>
        <w:t xml:space="preserve">del perjuicio significativo al interés público o a la seguridad pública; </w:t>
      </w:r>
    </w:p>
    <w:p w14:paraId="6D7114DB" w14:textId="77777777" w:rsidR="0077213B" w:rsidRDefault="009F6B6E">
      <w:pPr>
        <w:numPr>
          <w:ilvl w:val="0"/>
          <w:numId w:val="3"/>
        </w:numPr>
        <w:pBdr>
          <w:top w:val="nil"/>
          <w:left w:val="nil"/>
          <w:bottom w:val="nil"/>
          <w:right w:val="nil"/>
          <w:between w:val="nil"/>
        </w:pBdr>
        <w:spacing w:before="40" w:after="40"/>
        <w:ind w:left="284" w:right="709" w:hanging="283"/>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u w:val="single"/>
        </w:rPr>
        <w:t>El riesgo de perjuicio que supondría la divulgación supera el interés público</w:t>
      </w:r>
      <w:r>
        <w:rPr>
          <w:rFonts w:ascii="Palatino Linotype" w:eastAsia="Palatino Linotype" w:hAnsi="Palatino Linotype" w:cs="Palatino Linotype"/>
          <w:color w:val="000000"/>
          <w:sz w:val="16"/>
          <w:szCs w:val="16"/>
        </w:rPr>
        <w:t xml:space="preserve"> general de que se difunda; y </w:t>
      </w:r>
    </w:p>
    <w:p w14:paraId="263A0641" w14:textId="77777777" w:rsidR="0077213B" w:rsidRDefault="009F6B6E">
      <w:pPr>
        <w:numPr>
          <w:ilvl w:val="0"/>
          <w:numId w:val="3"/>
        </w:numPr>
        <w:pBdr>
          <w:top w:val="nil"/>
          <w:left w:val="nil"/>
          <w:bottom w:val="nil"/>
          <w:right w:val="nil"/>
          <w:between w:val="nil"/>
        </w:pBdr>
        <w:spacing w:before="40" w:after="40"/>
        <w:ind w:left="284" w:right="709" w:hanging="283"/>
        <w:jc w:val="both"/>
      </w:pPr>
      <w:r>
        <w:rPr>
          <w:rFonts w:ascii="Palatino Linotype" w:eastAsia="Palatino Linotype" w:hAnsi="Palatino Linotype" w:cs="Palatino Linotype"/>
          <w:b/>
          <w:color w:val="000000"/>
          <w:sz w:val="16"/>
          <w:szCs w:val="16"/>
          <w:u w:val="single"/>
        </w:rPr>
        <w:t>La limitación se adecua al principio de proporcionalidad y representa el medio menos restrictivo disponible</w:t>
      </w:r>
      <w:r>
        <w:rPr>
          <w:rFonts w:ascii="Palatino Linotype" w:eastAsia="Palatino Linotype" w:hAnsi="Palatino Linotype" w:cs="Palatino Linotype"/>
          <w:color w:val="000000"/>
          <w:sz w:val="16"/>
          <w:szCs w:val="16"/>
        </w:rPr>
        <w:t xml:space="preserve"> para evitar el perjuicio.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E15B" w14:textId="77777777" w:rsidR="0077213B" w:rsidRDefault="001D5A63">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31A20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46F4" w14:textId="55002194" w:rsidR="0077213B" w:rsidRDefault="001D5A63">
    <w:pPr>
      <w:widowControl w:val="0"/>
      <w:pBdr>
        <w:top w:val="nil"/>
        <w:left w:val="nil"/>
        <w:bottom w:val="nil"/>
        <w:right w:val="nil"/>
        <w:between w:val="nil"/>
      </w:pBdr>
      <w:spacing w:line="276" w:lineRule="auto"/>
      <w:rPr>
        <w:rFonts w:eastAsia="Calibri"/>
        <w:color w:val="000000"/>
      </w:rPr>
    </w:pPr>
    <w:r>
      <w:rPr>
        <w:rFonts w:eastAsia="Calibri"/>
        <w:color w:val="000000"/>
        <w:sz w:val="14"/>
        <w:szCs w:val="14"/>
      </w:rPr>
      <w:pict w14:anchorId="3004C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48.35pt;margin-top:-119.6pt;width:609.4pt;height:793.75pt;z-index:-251659776;mso-position-horizontal-relative:margin;mso-position-vertical-relative:margin">
          <v:imagedata r:id="rId1" o:title="image1"/>
          <w10:wrap anchorx="margin" anchory="margin"/>
        </v:shape>
      </w:pict>
    </w:r>
  </w:p>
  <w:tbl>
    <w:tblPr>
      <w:tblStyle w:val="a"/>
      <w:tblW w:w="6519" w:type="dxa"/>
      <w:tblInd w:w="2694" w:type="dxa"/>
      <w:tblLayout w:type="fixed"/>
      <w:tblLook w:val="0400" w:firstRow="0" w:lastRow="0" w:firstColumn="0" w:lastColumn="0" w:noHBand="0" w:noVBand="1"/>
    </w:tblPr>
    <w:tblGrid>
      <w:gridCol w:w="2976"/>
      <w:gridCol w:w="3543"/>
    </w:tblGrid>
    <w:tr w:rsidR="0077213B" w:rsidRPr="00C85858" w14:paraId="30A97F9B" w14:textId="77777777">
      <w:trPr>
        <w:trHeight w:val="227"/>
      </w:trPr>
      <w:tc>
        <w:tcPr>
          <w:tcW w:w="2976" w:type="dxa"/>
          <w:vAlign w:val="center"/>
        </w:tcPr>
        <w:p w14:paraId="23CCB989" w14:textId="77777777" w:rsidR="0077213B" w:rsidRDefault="009F6B6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7FF68DC3" w14:textId="77777777" w:rsidR="0077213B" w:rsidRPr="00C85858" w:rsidRDefault="009F6B6E">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sidRPr="00C85858">
            <w:rPr>
              <w:rFonts w:ascii="Palatino Linotype" w:eastAsia="Palatino Linotype" w:hAnsi="Palatino Linotype" w:cs="Palatino Linotype"/>
              <w:color w:val="000000"/>
              <w:sz w:val="22"/>
              <w:szCs w:val="22"/>
            </w:rPr>
            <w:t>05693/INFOEM/IP/RR/2022</w:t>
          </w:r>
        </w:p>
      </w:tc>
    </w:tr>
    <w:tr w:rsidR="0077213B" w:rsidRPr="00C85858" w14:paraId="029AC2AB" w14:textId="77777777">
      <w:trPr>
        <w:trHeight w:val="242"/>
      </w:trPr>
      <w:tc>
        <w:tcPr>
          <w:tcW w:w="2976" w:type="dxa"/>
          <w:vAlign w:val="center"/>
        </w:tcPr>
        <w:p w14:paraId="71912A42" w14:textId="77777777" w:rsidR="0077213B" w:rsidRDefault="009F6B6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690F14B8" w14:textId="77777777" w:rsidR="0077213B" w:rsidRPr="00C85858" w:rsidRDefault="009F6B6E">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sidRPr="00C85858">
            <w:rPr>
              <w:rFonts w:ascii="Palatino Linotype" w:eastAsia="Palatino Linotype" w:hAnsi="Palatino Linotype" w:cs="Palatino Linotype"/>
              <w:color w:val="000000"/>
              <w:sz w:val="22"/>
              <w:szCs w:val="22"/>
            </w:rPr>
            <w:t>Poder Legislativo</w:t>
          </w:r>
        </w:p>
      </w:tc>
    </w:tr>
    <w:tr w:rsidR="0077213B" w:rsidRPr="00C85858" w14:paraId="2903AEAD" w14:textId="77777777">
      <w:trPr>
        <w:trHeight w:val="342"/>
      </w:trPr>
      <w:tc>
        <w:tcPr>
          <w:tcW w:w="2976" w:type="dxa"/>
          <w:vAlign w:val="center"/>
        </w:tcPr>
        <w:p w14:paraId="062ADC36" w14:textId="77777777" w:rsidR="0077213B" w:rsidRDefault="009F6B6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354EBF0A" w14:textId="77777777" w:rsidR="0077213B" w:rsidRPr="00C85858" w:rsidRDefault="009F6B6E">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sidRPr="00C85858">
            <w:rPr>
              <w:rFonts w:ascii="Palatino Linotype" w:eastAsia="Palatino Linotype" w:hAnsi="Palatino Linotype" w:cs="Palatino Linotype"/>
              <w:color w:val="000000"/>
              <w:sz w:val="22"/>
              <w:szCs w:val="22"/>
            </w:rPr>
            <w:t>María del Rosario Mejía Ayala</w:t>
          </w:r>
        </w:p>
      </w:tc>
    </w:tr>
  </w:tbl>
  <w:p w14:paraId="0D50FB74" w14:textId="05778398" w:rsidR="0077213B" w:rsidRDefault="0077213B">
    <w:pPr>
      <w:pBdr>
        <w:top w:val="nil"/>
        <w:left w:val="nil"/>
        <w:bottom w:val="nil"/>
        <w:right w:val="nil"/>
        <w:between w:val="nil"/>
      </w:pBdr>
      <w:tabs>
        <w:tab w:val="center" w:pos="4419"/>
        <w:tab w:val="right" w:pos="8838"/>
        <w:tab w:val="left" w:pos="6005"/>
      </w:tabs>
      <w:rPr>
        <w:rFonts w:eastAsia="Calibri"/>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52C5" w14:textId="34E9BB59" w:rsidR="0077213B" w:rsidRDefault="001D5A63">
    <w:pPr>
      <w:widowControl w:val="0"/>
      <w:pBdr>
        <w:top w:val="nil"/>
        <w:left w:val="nil"/>
        <w:bottom w:val="nil"/>
        <w:right w:val="nil"/>
        <w:between w:val="nil"/>
      </w:pBdr>
      <w:spacing w:line="276" w:lineRule="auto"/>
      <w:rPr>
        <w:rFonts w:eastAsia="Calibri"/>
        <w:color w:val="000000"/>
      </w:rPr>
    </w:pPr>
    <w:r>
      <w:rPr>
        <w:rFonts w:eastAsia="Calibri"/>
        <w:color w:val="000000"/>
        <w:sz w:val="16"/>
        <w:szCs w:val="16"/>
      </w:rPr>
      <w:pict w14:anchorId="4166A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52.45pt;margin-top:-130.15pt;width:609.4pt;height:793.75pt;z-index:-251658752;mso-position-horizontal-relative:margin;mso-position-vertical-relative:margin">
          <v:imagedata r:id="rId1" o:title="image1"/>
          <w10:wrap anchorx="margin" anchory="margin"/>
        </v:shape>
      </w:pict>
    </w:r>
  </w:p>
  <w:tbl>
    <w:tblPr>
      <w:tblStyle w:val="a0"/>
      <w:tblW w:w="6660" w:type="dxa"/>
      <w:tblInd w:w="3261" w:type="dxa"/>
      <w:tblLayout w:type="fixed"/>
      <w:tblLook w:val="0400" w:firstRow="0" w:lastRow="0" w:firstColumn="0" w:lastColumn="0" w:noHBand="0" w:noVBand="1"/>
    </w:tblPr>
    <w:tblGrid>
      <w:gridCol w:w="2977"/>
      <w:gridCol w:w="3683"/>
    </w:tblGrid>
    <w:tr w:rsidR="0077213B" w14:paraId="30E7EB61" w14:textId="77777777" w:rsidTr="00C85858">
      <w:trPr>
        <w:trHeight w:val="227"/>
      </w:trPr>
      <w:tc>
        <w:tcPr>
          <w:tcW w:w="2977" w:type="dxa"/>
          <w:vAlign w:val="center"/>
        </w:tcPr>
        <w:p w14:paraId="11E014F4" w14:textId="77777777" w:rsidR="0077213B" w:rsidRDefault="009F6B6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5C908FC2" w14:textId="77777777" w:rsidR="0077213B" w:rsidRPr="00C85858" w:rsidRDefault="009F6B6E" w:rsidP="00C85858">
          <w:pPr>
            <w:pBdr>
              <w:top w:val="nil"/>
              <w:left w:val="nil"/>
              <w:bottom w:val="nil"/>
              <w:right w:val="nil"/>
              <w:between w:val="nil"/>
            </w:pBdr>
            <w:tabs>
              <w:tab w:val="right" w:pos="8838"/>
            </w:tabs>
            <w:rPr>
              <w:rFonts w:ascii="Palatino Linotype" w:eastAsia="Palatino Linotype" w:hAnsi="Palatino Linotype" w:cs="Palatino Linotype"/>
              <w:color w:val="000000"/>
              <w:sz w:val="22"/>
              <w:szCs w:val="22"/>
            </w:rPr>
          </w:pPr>
          <w:r w:rsidRPr="00C85858">
            <w:rPr>
              <w:rFonts w:ascii="Palatino Linotype" w:eastAsia="Palatino Linotype" w:hAnsi="Palatino Linotype" w:cs="Palatino Linotype"/>
              <w:color w:val="000000"/>
              <w:sz w:val="22"/>
              <w:szCs w:val="22"/>
            </w:rPr>
            <w:t>05693/INFOEM/IP/RR/2022</w:t>
          </w:r>
        </w:p>
      </w:tc>
    </w:tr>
    <w:tr w:rsidR="0077213B" w14:paraId="5FED50D3" w14:textId="77777777" w:rsidTr="00C85858">
      <w:trPr>
        <w:trHeight w:val="242"/>
      </w:trPr>
      <w:tc>
        <w:tcPr>
          <w:tcW w:w="2977" w:type="dxa"/>
          <w:vAlign w:val="center"/>
        </w:tcPr>
        <w:p w14:paraId="4C3DC347" w14:textId="77777777" w:rsidR="0077213B" w:rsidRDefault="009F6B6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787948DD" w14:textId="0EB4DF7B" w:rsidR="0077213B" w:rsidRPr="00C85858" w:rsidRDefault="00CF5018" w:rsidP="00C85858">
          <w:pPr>
            <w:pBdr>
              <w:top w:val="nil"/>
              <w:left w:val="nil"/>
              <w:bottom w:val="nil"/>
              <w:right w:val="nil"/>
              <w:between w:val="nil"/>
            </w:pBdr>
            <w:tabs>
              <w:tab w:val="right" w:pos="8838"/>
              <w:tab w:val="left" w:pos="521"/>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77213B" w14:paraId="3F51E9EA" w14:textId="77777777" w:rsidTr="00C85858">
      <w:trPr>
        <w:trHeight w:val="342"/>
      </w:trPr>
      <w:tc>
        <w:tcPr>
          <w:tcW w:w="2977" w:type="dxa"/>
          <w:vAlign w:val="center"/>
        </w:tcPr>
        <w:p w14:paraId="2E42A950" w14:textId="77777777" w:rsidR="0077213B" w:rsidRDefault="009F6B6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4E6622CD" w14:textId="77777777" w:rsidR="0077213B" w:rsidRPr="00C85858" w:rsidRDefault="009F6B6E" w:rsidP="00C85858">
          <w:pPr>
            <w:pBdr>
              <w:top w:val="nil"/>
              <w:left w:val="nil"/>
              <w:bottom w:val="nil"/>
              <w:right w:val="nil"/>
              <w:between w:val="nil"/>
            </w:pBdr>
            <w:tabs>
              <w:tab w:val="right" w:pos="8838"/>
            </w:tabs>
            <w:jc w:val="both"/>
            <w:rPr>
              <w:rFonts w:ascii="Palatino Linotype" w:eastAsia="Palatino Linotype" w:hAnsi="Palatino Linotype" w:cs="Palatino Linotype"/>
              <w:color w:val="000000"/>
              <w:sz w:val="22"/>
              <w:szCs w:val="22"/>
            </w:rPr>
          </w:pPr>
          <w:r w:rsidRPr="00C85858">
            <w:rPr>
              <w:rFonts w:ascii="Palatino Linotype" w:eastAsia="Palatino Linotype" w:hAnsi="Palatino Linotype" w:cs="Palatino Linotype"/>
              <w:color w:val="000000"/>
              <w:sz w:val="22"/>
              <w:szCs w:val="22"/>
            </w:rPr>
            <w:t>Poder Legislativo</w:t>
          </w:r>
        </w:p>
      </w:tc>
    </w:tr>
    <w:tr w:rsidR="0077213B" w14:paraId="2FCB52AD" w14:textId="77777777" w:rsidTr="00C85858">
      <w:trPr>
        <w:trHeight w:val="342"/>
      </w:trPr>
      <w:tc>
        <w:tcPr>
          <w:tcW w:w="2977" w:type="dxa"/>
          <w:vAlign w:val="center"/>
        </w:tcPr>
        <w:p w14:paraId="44878EDF" w14:textId="77777777" w:rsidR="0077213B" w:rsidRDefault="009F6B6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1F80EB30" w14:textId="77777777" w:rsidR="0077213B" w:rsidRPr="00C85858" w:rsidRDefault="009F6B6E" w:rsidP="00C85858">
          <w:pPr>
            <w:pBdr>
              <w:top w:val="nil"/>
              <w:left w:val="nil"/>
              <w:bottom w:val="nil"/>
              <w:right w:val="nil"/>
              <w:between w:val="nil"/>
            </w:pBdr>
            <w:tabs>
              <w:tab w:val="right" w:pos="8838"/>
            </w:tabs>
            <w:rPr>
              <w:rFonts w:ascii="Palatino Linotype" w:eastAsia="Palatino Linotype" w:hAnsi="Palatino Linotype" w:cs="Palatino Linotype"/>
              <w:color w:val="000000"/>
              <w:sz w:val="22"/>
              <w:szCs w:val="22"/>
            </w:rPr>
          </w:pPr>
          <w:r w:rsidRPr="00C85858">
            <w:rPr>
              <w:rFonts w:ascii="Palatino Linotype" w:eastAsia="Palatino Linotype" w:hAnsi="Palatino Linotype" w:cs="Palatino Linotype"/>
              <w:color w:val="000000"/>
              <w:sz w:val="22"/>
              <w:szCs w:val="22"/>
            </w:rPr>
            <w:t>María del Rosario Mejía Ayala</w:t>
          </w:r>
        </w:p>
      </w:tc>
    </w:tr>
  </w:tbl>
  <w:p w14:paraId="262F8034" w14:textId="456E5618" w:rsidR="0077213B" w:rsidRDefault="0077213B">
    <w:pPr>
      <w:pBdr>
        <w:top w:val="nil"/>
        <w:left w:val="nil"/>
        <w:bottom w:val="nil"/>
        <w:right w:val="nil"/>
        <w:between w:val="nil"/>
      </w:pBdr>
      <w:tabs>
        <w:tab w:val="center" w:pos="4419"/>
        <w:tab w:val="right" w:pos="8838"/>
      </w:tabs>
      <w:rPr>
        <w:rFonts w:eastAsia="Calibr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397"/>
    <w:multiLevelType w:val="multilevel"/>
    <w:tmpl w:val="435A2A2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 w15:restartNumberingAfterBreak="0">
    <w:nsid w:val="0A1C1357"/>
    <w:multiLevelType w:val="multilevel"/>
    <w:tmpl w:val="6F6C0B0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C7C2961"/>
    <w:multiLevelType w:val="multilevel"/>
    <w:tmpl w:val="52EC95CC"/>
    <w:lvl w:ilvl="0">
      <w:start w:val="1"/>
      <w:numFmt w:val="bullet"/>
      <w:lvlText w:val="●"/>
      <w:lvlJc w:val="left"/>
      <w:pPr>
        <w:ind w:left="720" w:hanging="360"/>
      </w:pPr>
      <w:rPr>
        <w:rFonts w:ascii="Noto Sans Symbols" w:eastAsia="Noto Sans Symbols" w:hAnsi="Noto Sans Symbols" w:cs="Noto Sans Symbols"/>
        <w:b/>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8B61B9"/>
    <w:multiLevelType w:val="multilevel"/>
    <w:tmpl w:val="A702625C"/>
    <w:lvl w:ilvl="0">
      <w:start w:val="1"/>
      <w:numFmt w:val="upperRoman"/>
      <w:lvlText w:val="%1."/>
      <w:lvlJc w:val="left"/>
      <w:pPr>
        <w:ind w:left="-698" w:hanging="720"/>
      </w:pPr>
      <w:rPr>
        <w:b/>
        <w:sz w:val="16"/>
        <w:szCs w:val="16"/>
      </w:rPr>
    </w:lvl>
    <w:lvl w:ilvl="1">
      <w:start w:val="1"/>
      <w:numFmt w:val="lowerLetter"/>
      <w:lvlText w:val="%2."/>
      <w:lvlJc w:val="left"/>
      <w:pPr>
        <w:ind w:left="-338" w:hanging="360"/>
      </w:pPr>
    </w:lvl>
    <w:lvl w:ilvl="2">
      <w:start w:val="1"/>
      <w:numFmt w:val="lowerRoman"/>
      <w:lvlText w:val="%3."/>
      <w:lvlJc w:val="right"/>
      <w:pPr>
        <w:ind w:left="382" w:hanging="179"/>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5" w15:restartNumberingAfterBreak="0">
    <w:nsid w:val="274655D3"/>
    <w:multiLevelType w:val="multilevel"/>
    <w:tmpl w:val="80D2694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F06BD0"/>
    <w:multiLevelType w:val="multilevel"/>
    <w:tmpl w:val="A5B81E1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F46096"/>
    <w:multiLevelType w:val="hybridMultilevel"/>
    <w:tmpl w:val="60143FC0"/>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9" w15:restartNumberingAfterBreak="0">
    <w:nsid w:val="60F557E6"/>
    <w:multiLevelType w:val="multilevel"/>
    <w:tmpl w:val="CF62735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08492300">
    <w:abstractNumId w:val="0"/>
  </w:num>
  <w:num w:numId="2" w16cid:durableId="1354260680">
    <w:abstractNumId w:val="2"/>
  </w:num>
  <w:num w:numId="3" w16cid:durableId="1979410652">
    <w:abstractNumId w:val="4"/>
  </w:num>
  <w:num w:numId="4" w16cid:durableId="645626046">
    <w:abstractNumId w:val="9"/>
  </w:num>
  <w:num w:numId="5" w16cid:durableId="381100812">
    <w:abstractNumId w:val="5"/>
  </w:num>
  <w:num w:numId="6" w16cid:durableId="948008100">
    <w:abstractNumId w:val="6"/>
  </w:num>
  <w:num w:numId="7" w16cid:durableId="1735198941">
    <w:abstractNumId w:val="1"/>
  </w:num>
  <w:num w:numId="8" w16cid:durableId="1971280375">
    <w:abstractNumId w:val="7"/>
  </w:num>
  <w:num w:numId="9" w16cid:durableId="1142388656">
    <w:abstractNumId w:val="3"/>
  </w:num>
  <w:num w:numId="10" w16cid:durableId="182405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3B"/>
    <w:rsid w:val="00081E2A"/>
    <w:rsid w:val="00156A2C"/>
    <w:rsid w:val="00197B98"/>
    <w:rsid w:val="001B43A1"/>
    <w:rsid w:val="001C3364"/>
    <w:rsid w:val="001D5A63"/>
    <w:rsid w:val="0021223C"/>
    <w:rsid w:val="00470330"/>
    <w:rsid w:val="00627D44"/>
    <w:rsid w:val="00665529"/>
    <w:rsid w:val="007040DE"/>
    <w:rsid w:val="00770557"/>
    <w:rsid w:val="0077213B"/>
    <w:rsid w:val="009F6B6E"/>
    <w:rsid w:val="00AA4011"/>
    <w:rsid w:val="00B1526F"/>
    <w:rsid w:val="00C85858"/>
    <w:rsid w:val="00CF5018"/>
    <w:rsid w:val="00D70EF8"/>
    <w:rsid w:val="00E54216"/>
    <w:rsid w:val="00EE74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4266F"/>
  <w15:docId w15:val="{11C4F760-33EC-42EB-B68E-5991DB08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4D1B9C"/>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Referenciasutil">
    <w:name w:val="Subtle Reference"/>
    <w:basedOn w:val="Fuentedeprrafopredeter"/>
    <w:uiPriority w:val="31"/>
    <w:qFormat/>
    <w:rsid w:val="00C8585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O2ZZptUW2h1Ojkk4E/etSBmYyQ==">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7055</Words>
  <Characters>38804</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4</cp:revision>
  <dcterms:created xsi:type="dcterms:W3CDTF">2024-03-20T16:39:00Z</dcterms:created>
  <dcterms:modified xsi:type="dcterms:W3CDTF">2024-05-16T16:49:00Z</dcterms:modified>
</cp:coreProperties>
</file>