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7523BDCD"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sidRPr="00383343">
        <w:rPr>
          <w:rFonts w:ascii="Palatino Linotype" w:eastAsia="Palatino Linotype" w:hAnsi="Palatino Linotype" w:cs="Palatino Linotype"/>
        </w:rPr>
        <w:t>fecha ocho</w:t>
      </w:r>
      <w:r w:rsidR="00D8337B" w:rsidRPr="00383343">
        <w:rPr>
          <w:rFonts w:ascii="Palatino Linotype" w:eastAsia="Palatino Linotype" w:hAnsi="Palatino Linotype" w:cs="Palatino Linotype"/>
        </w:rPr>
        <w:t xml:space="preserve"> de febrero de dos mil veinticuatro. </w:t>
      </w:r>
    </w:p>
    <w:p w14:paraId="0641B12C" w14:textId="77777777" w:rsidR="00397333" w:rsidRPr="00383343" w:rsidRDefault="00397333">
      <w:pPr>
        <w:spacing w:line="360" w:lineRule="auto"/>
        <w:jc w:val="both"/>
        <w:rPr>
          <w:rFonts w:ascii="Palatino Linotype" w:eastAsia="Palatino Linotype" w:hAnsi="Palatino Linotype" w:cs="Palatino Linotype"/>
        </w:rPr>
      </w:pPr>
    </w:p>
    <w:p w14:paraId="2136A93F" w14:textId="7566753D"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t>Visto</w:t>
      </w:r>
      <w:r w:rsidRPr="00383343">
        <w:rPr>
          <w:rFonts w:ascii="Palatino Linotype" w:eastAsia="Palatino Linotype" w:hAnsi="Palatino Linotype" w:cs="Palatino Linotype"/>
        </w:rPr>
        <w:t xml:space="preserve"> el expediente relativo al recurso de revisión </w:t>
      </w:r>
      <w:r w:rsidR="00111D33" w:rsidRPr="00383343">
        <w:rPr>
          <w:rFonts w:ascii="Palatino Linotype" w:eastAsia="Palatino Linotype" w:hAnsi="Palatino Linotype" w:cs="Palatino Linotype"/>
          <w:b/>
        </w:rPr>
        <w:t>05479</w:t>
      </w:r>
      <w:r w:rsidRPr="00383343">
        <w:rPr>
          <w:rFonts w:ascii="Palatino Linotype" w:eastAsia="Palatino Linotype" w:hAnsi="Palatino Linotype" w:cs="Palatino Linotype"/>
          <w:b/>
        </w:rPr>
        <w:t>/INFOEM/IP/</w:t>
      </w:r>
      <w:r w:rsidR="00CF4F0B" w:rsidRPr="00383343">
        <w:rPr>
          <w:rFonts w:ascii="Palatino Linotype" w:eastAsia="Palatino Linotype" w:hAnsi="Palatino Linotype" w:cs="Palatino Linotype"/>
          <w:b/>
        </w:rPr>
        <w:t>RR/2023</w:t>
      </w:r>
      <w:r w:rsidRPr="00383343">
        <w:rPr>
          <w:rFonts w:ascii="Palatino Linotype" w:eastAsia="Palatino Linotype" w:hAnsi="Palatino Linotype" w:cs="Palatino Linotype"/>
        </w:rPr>
        <w:t xml:space="preserve">, interpuesto </w:t>
      </w:r>
      <w:r w:rsidR="00CF4F0B" w:rsidRPr="00383343">
        <w:rPr>
          <w:rFonts w:ascii="Palatino Linotype" w:eastAsia="Palatino Linotype" w:hAnsi="Palatino Linotype" w:cs="Palatino Linotype"/>
          <w:szCs w:val="22"/>
        </w:rPr>
        <w:t>por</w:t>
      </w:r>
      <w:r w:rsidR="00CF4F0B" w:rsidRPr="00383343">
        <w:rPr>
          <w:rFonts w:ascii="Palatino Linotype" w:eastAsia="Palatino Linotype" w:hAnsi="Palatino Linotype" w:cs="Palatino Linotype"/>
          <w:b/>
          <w:szCs w:val="22"/>
        </w:rPr>
        <w:t xml:space="preserve"> </w:t>
      </w:r>
      <w:r w:rsidR="004C07CC">
        <w:rPr>
          <w:rFonts w:ascii="Palatino Linotype" w:eastAsia="Palatino Linotype" w:hAnsi="Palatino Linotype" w:cs="Palatino Linotype"/>
          <w:b/>
          <w:szCs w:val="22"/>
        </w:rPr>
        <w:t>XXXX XXXXXXXX XXXXXXX</w:t>
      </w:r>
      <w:r w:rsidR="008D7E32" w:rsidRPr="00383343">
        <w:rPr>
          <w:rFonts w:ascii="Palatino Linotype" w:eastAsia="Palatino Linotype" w:hAnsi="Palatino Linotype" w:cs="Palatino Linotype"/>
          <w:sz w:val="28"/>
        </w:rPr>
        <w:t xml:space="preserve"> </w:t>
      </w:r>
      <w:r w:rsidR="008D7E32" w:rsidRPr="00383343">
        <w:rPr>
          <w:rFonts w:ascii="Palatino Linotype" w:eastAsia="Palatino Linotype" w:hAnsi="Palatino Linotype" w:cs="Palatino Linotype"/>
        </w:rPr>
        <w:t xml:space="preserve">en </w:t>
      </w:r>
      <w:r w:rsidR="00111D33" w:rsidRPr="00383343">
        <w:rPr>
          <w:rFonts w:ascii="Palatino Linotype" w:eastAsia="Palatino Linotype" w:hAnsi="Palatino Linotype" w:cs="Palatino Linotype"/>
        </w:rPr>
        <w:t>lo sucesivo se le denominará la parte</w:t>
      </w:r>
      <w:r w:rsidRPr="00383343">
        <w:rPr>
          <w:rFonts w:ascii="Palatino Linotype" w:eastAsia="Palatino Linotype" w:hAnsi="Palatino Linotype" w:cs="Palatino Linotype"/>
          <w:b/>
        </w:rPr>
        <w:t xml:space="preserve"> RECURRENTE</w:t>
      </w:r>
      <w:r w:rsidRPr="00383343">
        <w:rPr>
          <w:rFonts w:ascii="Palatino Linotype" w:eastAsia="Palatino Linotype" w:hAnsi="Palatino Linotype" w:cs="Palatino Linotype"/>
        </w:rPr>
        <w:t>, en contra de la respuesta a su solicitud de información con número de folio</w:t>
      </w:r>
      <w:r w:rsidR="00111D33" w:rsidRPr="00383343">
        <w:rPr>
          <w:rFonts w:ascii="Palatino Linotype" w:eastAsia="Palatino Linotype" w:hAnsi="Palatino Linotype" w:cs="Palatino Linotype"/>
          <w:b/>
        </w:rPr>
        <w:t xml:space="preserve"> 00270</w:t>
      </w:r>
      <w:r w:rsidR="005532C7" w:rsidRPr="00383343">
        <w:rPr>
          <w:rFonts w:ascii="Palatino Linotype" w:eastAsia="Palatino Linotype" w:hAnsi="Palatino Linotype" w:cs="Palatino Linotype"/>
          <w:b/>
        </w:rPr>
        <w:t>/</w:t>
      </w:r>
      <w:r w:rsidR="00111D33" w:rsidRPr="00383343">
        <w:rPr>
          <w:rFonts w:ascii="Palatino Linotype" w:eastAsia="Palatino Linotype" w:hAnsi="Palatino Linotype" w:cs="Palatino Linotype"/>
          <w:b/>
        </w:rPr>
        <w:t>TEXCOCO/IP/2023</w:t>
      </w:r>
      <w:r w:rsidRPr="00383343">
        <w:rPr>
          <w:rFonts w:ascii="Palatino Linotype" w:eastAsia="Palatino Linotype" w:hAnsi="Palatino Linotype" w:cs="Palatino Linotype"/>
        </w:rPr>
        <w:t xml:space="preserve">, por parte del </w:t>
      </w:r>
      <w:r w:rsidR="00111D33" w:rsidRPr="00383343">
        <w:rPr>
          <w:rFonts w:ascii="Palatino Linotype" w:eastAsia="Palatino Linotype" w:hAnsi="Palatino Linotype" w:cs="Palatino Linotype"/>
          <w:b/>
        </w:rPr>
        <w:t>Ayuntamiento de Texcoco</w:t>
      </w:r>
      <w:r w:rsidR="00EE05BB" w:rsidRPr="00383343">
        <w:rPr>
          <w:rFonts w:ascii="Palatino Linotype" w:eastAsia="Palatino Linotype" w:hAnsi="Palatino Linotype" w:cs="Palatino Linotype"/>
          <w:b/>
        </w:rPr>
        <w:t xml:space="preserve"> </w:t>
      </w:r>
      <w:r w:rsidRPr="00383343">
        <w:rPr>
          <w:rFonts w:ascii="Palatino Linotype" w:eastAsia="Palatino Linotype" w:hAnsi="Palatino Linotype" w:cs="Palatino Linotype"/>
        </w:rPr>
        <w:t xml:space="preserve">en lo sucesivo 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w:t>
      </w:r>
      <w:r w:rsidRPr="00383343">
        <w:rPr>
          <w:rFonts w:ascii="Palatino Linotype" w:eastAsia="Palatino Linotype" w:hAnsi="Palatino Linotype" w:cs="Palatino Linotype"/>
          <w:b/>
        </w:rPr>
        <w:t xml:space="preserve"> </w:t>
      </w:r>
      <w:r w:rsidRPr="00383343">
        <w:rPr>
          <w:rFonts w:ascii="Palatino Linotype" w:eastAsia="Palatino Linotype" w:hAnsi="Palatino Linotype" w:cs="Palatino Linotype"/>
        </w:rPr>
        <w:t>se procede a dictar la presente resolución, con base en los siguientes:</w:t>
      </w:r>
    </w:p>
    <w:p w14:paraId="43E80708" w14:textId="77777777" w:rsidR="00397333" w:rsidRPr="00383343"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383343">
        <w:rPr>
          <w:rFonts w:ascii="Palatino Linotype" w:eastAsia="Palatino Linotype" w:hAnsi="Palatino Linotype" w:cs="Palatino Linotype"/>
          <w:b/>
          <w:sz w:val="22"/>
          <w:szCs w:val="22"/>
        </w:rPr>
        <w:t>A N T E C E D E N T E S:</w:t>
      </w:r>
    </w:p>
    <w:p w14:paraId="37629353" w14:textId="77777777" w:rsidR="00397333" w:rsidRPr="0038334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45A3EF0D" w:rsidR="00397333" w:rsidRPr="00383343"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383343">
        <w:rPr>
          <w:rFonts w:ascii="Palatino Linotype" w:eastAsia="Palatino Linotype" w:hAnsi="Palatino Linotype" w:cs="Palatino Linotype"/>
          <w:b/>
        </w:rPr>
        <w:t xml:space="preserve">Solicitud de acceso a la información. </w:t>
      </w:r>
      <w:r w:rsidRPr="00383343">
        <w:rPr>
          <w:rFonts w:ascii="Palatino Linotype" w:eastAsia="Palatino Linotype" w:hAnsi="Palatino Linotype" w:cs="Palatino Linotype"/>
        </w:rPr>
        <w:t xml:space="preserve">Con fecha </w:t>
      </w:r>
      <w:r w:rsidR="00111D33" w:rsidRPr="00383343">
        <w:rPr>
          <w:rFonts w:ascii="Palatino Linotype" w:eastAsia="Palatino Linotype" w:hAnsi="Palatino Linotype" w:cs="Palatino Linotype"/>
          <w:b/>
        </w:rPr>
        <w:t>uno de agosto de dos mil veintitrés</w:t>
      </w:r>
      <w:r w:rsidRPr="00383343">
        <w:rPr>
          <w:rFonts w:ascii="Palatino Linotype" w:eastAsia="Palatino Linotype" w:hAnsi="Palatino Linotype" w:cs="Palatino Linotype"/>
        </w:rPr>
        <w:t xml:space="preserve">, la parte </w:t>
      </w:r>
      <w:r w:rsidRPr="00383343">
        <w:rPr>
          <w:rFonts w:ascii="Palatino Linotype" w:eastAsia="Palatino Linotype" w:hAnsi="Palatino Linotype" w:cs="Palatino Linotype"/>
          <w:b/>
        </w:rPr>
        <w:t>RECURRENTE</w:t>
      </w:r>
      <w:r w:rsidRPr="00383343">
        <w:rPr>
          <w:rFonts w:ascii="Palatino Linotype" w:eastAsia="Palatino Linotype" w:hAnsi="Palatino Linotype" w:cs="Palatino Linotype"/>
        </w:rPr>
        <w:t xml:space="preserve"> formuló solicitud de acceso a información pública al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a través</w:t>
      </w:r>
      <w:r w:rsidR="00EE05BB" w:rsidRPr="00383343">
        <w:rPr>
          <w:rFonts w:ascii="Palatino Linotype" w:eastAsia="Palatino Linotype" w:hAnsi="Palatino Linotype" w:cs="Palatino Linotype"/>
        </w:rPr>
        <w:t xml:space="preserve"> de la Plataforma Nacional de Transparencia y se registró en el </w:t>
      </w:r>
      <w:r w:rsidRPr="00383343">
        <w:rPr>
          <w:rFonts w:ascii="Palatino Linotype" w:eastAsia="Palatino Linotype" w:hAnsi="Palatino Linotype" w:cs="Palatino Linotype"/>
        </w:rPr>
        <w:t xml:space="preserve">Sistema de Acceso a la Información Mexiquense, en adelante </w:t>
      </w:r>
      <w:r w:rsidRPr="00383343">
        <w:rPr>
          <w:rFonts w:ascii="Palatino Linotype" w:eastAsia="Palatino Linotype" w:hAnsi="Palatino Linotype" w:cs="Palatino Linotype"/>
          <w:b/>
        </w:rPr>
        <w:t>SAIMEX</w:t>
      </w:r>
      <w:r w:rsidRPr="00383343">
        <w:rPr>
          <w:rFonts w:ascii="Palatino Linotype" w:eastAsia="Palatino Linotype" w:hAnsi="Palatino Linotype" w:cs="Palatino Linotype"/>
        </w:rPr>
        <w:t>, requiriéndole lo siguiente:</w:t>
      </w:r>
    </w:p>
    <w:p w14:paraId="248C4D4B" w14:textId="77777777" w:rsidR="00397333" w:rsidRPr="00383343"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1F52627" w14:textId="30D4D89F" w:rsidR="00111D33" w:rsidRPr="00383343" w:rsidRDefault="00C33785" w:rsidP="00111D33">
      <w:pPr>
        <w:spacing w:line="276" w:lineRule="auto"/>
        <w:ind w:left="567" w:right="900"/>
        <w:jc w:val="both"/>
        <w:rPr>
          <w:rFonts w:ascii="Palatino Linotype" w:hAnsi="Palatino Linotype"/>
          <w:i/>
          <w:sz w:val="22"/>
          <w:szCs w:val="22"/>
        </w:rPr>
      </w:pPr>
      <w:r w:rsidRPr="00383343">
        <w:rPr>
          <w:rFonts w:ascii="Palatino Linotype" w:hAnsi="Palatino Linotype"/>
          <w:i/>
          <w:sz w:val="22"/>
          <w:szCs w:val="22"/>
        </w:rPr>
        <w:t>“</w:t>
      </w:r>
      <w:r w:rsidR="00111D33" w:rsidRPr="00383343">
        <w:rPr>
          <w:rFonts w:ascii="Palatino Linotype" w:hAnsi="Palatino Linotype"/>
          <w:i/>
          <w:sz w:val="22"/>
          <w:szCs w:val="22"/>
        </w:rPr>
        <w:t>Favor de proporcionar todo aquel título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generados en el Municipio de Texcoco.</w:t>
      </w:r>
    </w:p>
    <w:p w14:paraId="357DEE5E" w14:textId="073EE891" w:rsidR="00397333" w:rsidRPr="00383343" w:rsidRDefault="00111D33" w:rsidP="00111D33">
      <w:pPr>
        <w:spacing w:line="276" w:lineRule="auto"/>
        <w:ind w:left="567" w:right="900"/>
        <w:jc w:val="both"/>
        <w:rPr>
          <w:rFonts w:ascii="Palatino Linotype" w:hAnsi="Palatino Linotype"/>
          <w:i/>
          <w:sz w:val="22"/>
          <w:szCs w:val="22"/>
        </w:rPr>
      </w:pPr>
      <w:r w:rsidRPr="00383343">
        <w:rPr>
          <w:rFonts w:ascii="Palatino Linotype" w:hAnsi="Palatino Linotype"/>
          <w:i/>
          <w:sz w:val="22"/>
          <w:szCs w:val="22"/>
        </w:rPr>
        <w:t xml:space="preserve">En caso de que el servicio público de disposición final sea prestado directamente por el Municipio de Texcoco, sin intervención de terceros, favor de proporcionar documento que indique el sitio o sitios de disposición final, dentro o fuera del </w:t>
      </w:r>
      <w:r w:rsidRPr="00383343">
        <w:rPr>
          <w:rFonts w:ascii="Palatino Linotype" w:hAnsi="Palatino Linotype"/>
          <w:i/>
          <w:sz w:val="22"/>
          <w:szCs w:val="22"/>
        </w:rPr>
        <w:lastRenderedPageBreak/>
        <w:t>Municipio de Texcoco, de los residuos sólidos urbanos generados en el Municipio de Texcoco, señalando las cantidades que diariamente se disponen en el sitio(s) de disposición final seleccionados para tal efecto</w:t>
      </w:r>
      <w:r w:rsidR="00EE05BB" w:rsidRPr="00383343">
        <w:rPr>
          <w:rFonts w:ascii="Palatino Linotype" w:hAnsi="Palatino Linotype"/>
          <w:i/>
          <w:sz w:val="22"/>
          <w:szCs w:val="22"/>
        </w:rPr>
        <w:t>.</w:t>
      </w:r>
      <w:r w:rsidR="005532C7" w:rsidRPr="00383343">
        <w:rPr>
          <w:rFonts w:ascii="Palatino Linotype" w:hAnsi="Palatino Linotype"/>
          <w:i/>
          <w:sz w:val="22"/>
          <w:szCs w:val="22"/>
        </w:rPr>
        <w:t>”</w:t>
      </w:r>
    </w:p>
    <w:p w14:paraId="3B2E67DC" w14:textId="77777777" w:rsidR="00C33785" w:rsidRPr="00383343" w:rsidRDefault="00C33785" w:rsidP="00C33785">
      <w:pPr>
        <w:spacing w:line="360" w:lineRule="auto"/>
        <w:ind w:left="709" w:right="900"/>
        <w:jc w:val="both"/>
        <w:rPr>
          <w:rFonts w:ascii="Palatino Linotype" w:eastAsia="Palatino Linotype" w:hAnsi="Palatino Linotype" w:cs="Palatino Linotype"/>
          <w:b/>
          <w:i/>
        </w:rPr>
      </w:pPr>
    </w:p>
    <w:p w14:paraId="7E534958" w14:textId="3F54567E"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t xml:space="preserve">Modalidad elegida para la entrega de la información: </w:t>
      </w:r>
      <w:r w:rsidRPr="00383343">
        <w:rPr>
          <w:rFonts w:ascii="Palatino Linotype" w:eastAsia="Palatino Linotype" w:hAnsi="Palatino Linotype" w:cs="Palatino Linotype"/>
        </w:rPr>
        <w:t>a través del Sistema de Acce</w:t>
      </w:r>
      <w:r w:rsidR="00D524D6" w:rsidRPr="00383343">
        <w:rPr>
          <w:rFonts w:ascii="Palatino Linotype" w:eastAsia="Palatino Linotype" w:hAnsi="Palatino Linotype" w:cs="Palatino Linotype"/>
        </w:rPr>
        <w:t xml:space="preserve">so a la Información Mexiquense y correo electrónico. </w:t>
      </w:r>
    </w:p>
    <w:p w14:paraId="1F00FE6D" w14:textId="77777777" w:rsidR="00B0008F" w:rsidRPr="00383343"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rPr>
      </w:pPr>
    </w:p>
    <w:p w14:paraId="7BBDB6C2" w14:textId="6CBF89D4" w:rsidR="00397333" w:rsidRPr="00383343"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83343">
        <w:rPr>
          <w:rFonts w:ascii="Palatino Linotype" w:eastAsia="Palatino Linotype" w:hAnsi="Palatino Linotype" w:cs="Palatino Linotype"/>
          <w:b/>
        </w:rPr>
        <w:t xml:space="preserve">Respuesta. </w:t>
      </w:r>
      <w:r w:rsidRPr="00383343">
        <w:rPr>
          <w:rFonts w:ascii="Palatino Linotype" w:eastAsia="Palatino Linotype" w:hAnsi="Palatino Linotype" w:cs="Palatino Linotype"/>
        </w:rPr>
        <w:t xml:space="preserve">Con fecha </w:t>
      </w:r>
      <w:r w:rsidR="00111D33" w:rsidRPr="00383343">
        <w:rPr>
          <w:rFonts w:ascii="Palatino Linotype" w:eastAsia="Palatino Linotype" w:hAnsi="Palatino Linotype" w:cs="Palatino Linotype"/>
          <w:b/>
        </w:rPr>
        <w:t>veintiuno de agosto de dos mil veintitrés</w:t>
      </w:r>
      <w:r w:rsidRPr="00383343">
        <w:rPr>
          <w:rFonts w:ascii="Palatino Linotype" w:eastAsia="Palatino Linotype" w:hAnsi="Palatino Linotype" w:cs="Palatino Linotype"/>
        </w:rPr>
        <w:t xml:space="preserve">, 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envió su respuesta a la solicitud de acceso a la información a través del SAIMEX, la cual versa como sigue: </w:t>
      </w:r>
    </w:p>
    <w:p w14:paraId="38192537" w14:textId="77777777" w:rsidR="00C33785" w:rsidRPr="00383343"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78F6EC06" w14:textId="77777777" w:rsidR="00111D33" w:rsidRPr="00383343" w:rsidRDefault="00111D33" w:rsidP="00111D33">
      <w:pPr>
        <w:tabs>
          <w:tab w:val="left" w:pos="7371"/>
        </w:tabs>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6D24AC" w14:textId="3446B8D3" w:rsidR="00B0008F" w:rsidRPr="00383343" w:rsidRDefault="00111D33" w:rsidP="00111D33">
      <w:pPr>
        <w:tabs>
          <w:tab w:val="left" w:pos="7371"/>
        </w:tabs>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 xml:space="preserve">Texcoco, México a 21 de AGOSTO de 2023 Folio de la solicitud: 00270/TEXCOCO/IP/2023 C. </w:t>
      </w:r>
      <w:r w:rsidR="004C07CC">
        <w:rPr>
          <w:rFonts w:ascii="Palatino Linotype" w:eastAsia="Palatino Linotype" w:hAnsi="Palatino Linotype" w:cs="Palatino Linotype"/>
          <w:i/>
          <w:sz w:val="22"/>
          <w:szCs w:val="22"/>
        </w:rPr>
        <w:t>XXXXXXXXXXX</w:t>
      </w:r>
      <w:r w:rsidRPr="00383343">
        <w:rPr>
          <w:rFonts w:ascii="Palatino Linotype" w:eastAsia="Palatino Linotype" w:hAnsi="Palatino Linotype" w:cs="Palatino Linotype"/>
          <w:i/>
          <w:sz w:val="22"/>
          <w:szCs w:val="22"/>
        </w:rPr>
        <w:t xml:space="preserv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RENE JONATHAN SANDOVAL TINOCO Unidad de Transparencia Ayuntamiento de Texcoco</w:t>
      </w:r>
      <w:r w:rsidR="00EE05BB" w:rsidRPr="00383343">
        <w:rPr>
          <w:rFonts w:ascii="Palatino Linotype" w:eastAsia="Palatino Linotype" w:hAnsi="Palatino Linotype" w:cs="Palatino Linotype"/>
          <w:i/>
          <w:sz w:val="22"/>
          <w:szCs w:val="22"/>
        </w:rPr>
        <w:t>.</w:t>
      </w:r>
    </w:p>
    <w:p w14:paraId="14A83764" w14:textId="77777777" w:rsidR="00EE05BB" w:rsidRPr="00383343" w:rsidRDefault="00EE05BB" w:rsidP="00EE05BB">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383343" w:rsidRDefault="00B16908">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Del mismo modo, el Sujeto Obligado adjuntó a su respuesta lo siguiente: </w:t>
      </w:r>
    </w:p>
    <w:p w14:paraId="58D58024" w14:textId="77777777" w:rsidR="00397333" w:rsidRPr="00383343" w:rsidRDefault="00397333">
      <w:pPr>
        <w:spacing w:line="360" w:lineRule="auto"/>
        <w:ind w:right="49"/>
        <w:jc w:val="both"/>
        <w:rPr>
          <w:rFonts w:ascii="Palatino Linotype" w:eastAsia="Palatino Linotype" w:hAnsi="Palatino Linotype" w:cs="Palatino Linotype"/>
        </w:rPr>
      </w:pPr>
    </w:p>
    <w:p w14:paraId="11A1D76C" w14:textId="5166DE9F" w:rsidR="00397333" w:rsidRPr="00383343" w:rsidRDefault="00B0008F"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sz w:val="22"/>
          <w:szCs w:val="22"/>
        </w:rPr>
        <w:t xml:space="preserve">Oficio de </w:t>
      </w:r>
      <w:r w:rsidR="00EE05BB" w:rsidRPr="00383343">
        <w:rPr>
          <w:rFonts w:ascii="Palatino Linotype" w:eastAsia="Palatino Linotype" w:hAnsi="Palatino Linotype" w:cs="Palatino Linotype"/>
          <w:sz w:val="22"/>
          <w:szCs w:val="22"/>
        </w:rPr>
        <w:t>fecha v</w:t>
      </w:r>
      <w:r w:rsidR="00111D33" w:rsidRPr="00383343">
        <w:rPr>
          <w:rFonts w:ascii="Palatino Linotype" w:eastAsia="Palatino Linotype" w:hAnsi="Palatino Linotype" w:cs="Palatino Linotype"/>
          <w:sz w:val="22"/>
          <w:szCs w:val="22"/>
        </w:rPr>
        <w:t xml:space="preserve">eintiuno de agosto de dos mil veintitrés, signado por el Titular de la Unidad de Transparencia, mediante el cual informa que, </w:t>
      </w:r>
      <w:r w:rsidR="00C757D6" w:rsidRPr="00383343">
        <w:rPr>
          <w:rFonts w:ascii="Palatino Linotype" w:eastAsia="Palatino Linotype" w:hAnsi="Palatino Linotype" w:cs="Palatino Linotype"/>
          <w:sz w:val="22"/>
          <w:szCs w:val="22"/>
        </w:rPr>
        <w:t>la</w:t>
      </w:r>
      <w:r w:rsidR="00CF4F0B" w:rsidRPr="00383343">
        <w:rPr>
          <w:rFonts w:ascii="Palatino Linotype" w:eastAsia="Palatino Linotype" w:hAnsi="Palatino Linotype" w:cs="Palatino Linotype"/>
          <w:sz w:val="22"/>
          <w:szCs w:val="22"/>
        </w:rPr>
        <w:t xml:space="preserve"> solicitud de información fue turnada a la Dirección General de Administración, quien precisó </w:t>
      </w:r>
      <w:r w:rsidR="00CF4F0B" w:rsidRPr="00383343">
        <w:rPr>
          <w:rFonts w:ascii="Palatino Linotype" w:eastAsia="Palatino Linotype" w:hAnsi="Palatino Linotype" w:cs="Palatino Linotype"/>
          <w:sz w:val="22"/>
          <w:szCs w:val="22"/>
        </w:rPr>
        <w:lastRenderedPageBreak/>
        <w:t xml:space="preserve">que se </w:t>
      </w:r>
      <w:r w:rsidR="00111D33" w:rsidRPr="00383343">
        <w:rPr>
          <w:rFonts w:ascii="Palatino Linotype" w:eastAsia="Palatino Linotype" w:hAnsi="Palatino Linotype" w:cs="Palatino Linotype"/>
          <w:sz w:val="22"/>
          <w:szCs w:val="22"/>
        </w:rPr>
        <w:t>adjunta</w:t>
      </w:r>
      <w:r w:rsidR="00CF4F0B" w:rsidRPr="00383343">
        <w:rPr>
          <w:rFonts w:ascii="Palatino Linotype" w:eastAsia="Palatino Linotype" w:hAnsi="Palatino Linotype" w:cs="Palatino Linotype"/>
          <w:sz w:val="22"/>
          <w:szCs w:val="22"/>
        </w:rPr>
        <w:t>ba</w:t>
      </w:r>
      <w:r w:rsidR="00111D33" w:rsidRPr="00383343">
        <w:rPr>
          <w:rFonts w:ascii="Palatino Linotype" w:eastAsia="Palatino Linotype" w:hAnsi="Palatino Linotype" w:cs="Palatino Linotype"/>
          <w:sz w:val="22"/>
          <w:szCs w:val="22"/>
        </w:rPr>
        <w:t xml:space="preserve"> el contrato número </w:t>
      </w:r>
      <w:r w:rsidR="00CF4F0B" w:rsidRPr="00383343">
        <w:rPr>
          <w:rFonts w:ascii="Palatino Linotype" w:eastAsia="Palatino Linotype" w:hAnsi="Palatino Linotype" w:cs="Palatino Linotype"/>
          <w:sz w:val="22"/>
          <w:szCs w:val="22"/>
        </w:rPr>
        <w:t>T</w:t>
      </w:r>
      <w:r w:rsidR="00111D33" w:rsidRPr="00383343">
        <w:rPr>
          <w:rFonts w:ascii="Palatino Linotype" w:eastAsia="Palatino Linotype" w:hAnsi="Palatino Linotype" w:cs="Palatino Linotype"/>
          <w:sz w:val="22"/>
          <w:szCs w:val="22"/>
        </w:rPr>
        <w:t>EX/DGA/CAYS/AD/RS/001/2023, celebrado entre la empresa Grupo Contadero S.A. de C.V. y el Municipio de Texcoco, para la disposición final, en el relleno en el munic</w:t>
      </w:r>
      <w:r w:rsidR="00CF4F0B" w:rsidRPr="00383343">
        <w:rPr>
          <w:rFonts w:ascii="Palatino Linotype" w:eastAsia="Palatino Linotype" w:hAnsi="Palatino Linotype" w:cs="Palatino Linotype"/>
          <w:sz w:val="22"/>
          <w:szCs w:val="22"/>
        </w:rPr>
        <w:t xml:space="preserve">ipio de San Vicente Chicoloapan, sin embargo, </w:t>
      </w:r>
      <w:r w:rsidR="00CF4F0B" w:rsidRPr="00383343">
        <w:rPr>
          <w:rFonts w:ascii="Palatino Linotype" w:eastAsia="Palatino Linotype" w:hAnsi="Palatino Linotype" w:cs="Palatino Linotype"/>
          <w:b/>
          <w:sz w:val="22"/>
          <w:szCs w:val="22"/>
        </w:rPr>
        <w:t xml:space="preserve">no se adjuntó el documento. </w:t>
      </w:r>
    </w:p>
    <w:p w14:paraId="4803521A" w14:textId="77777777" w:rsidR="00A94A15" w:rsidRPr="00383343" w:rsidRDefault="00A94A15" w:rsidP="00CF4F0B">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6B84D34A" w14:textId="61FEBA96" w:rsidR="00397333" w:rsidRPr="00383343"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383343">
        <w:rPr>
          <w:rFonts w:ascii="Palatino Linotype" w:eastAsia="Palatino Linotype" w:hAnsi="Palatino Linotype" w:cs="Palatino Linotype"/>
          <w:b/>
        </w:rPr>
        <w:t xml:space="preserve">Interposición del recurso de revisión. </w:t>
      </w:r>
      <w:r w:rsidRPr="00383343">
        <w:rPr>
          <w:rFonts w:ascii="Palatino Linotype" w:eastAsia="Palatino Linotype" w:hAnsi="Palatino Linotype" w:cs="Palatino Linotype"/>
        </w:rPr>
        <w:t xml:space="preserve">Inconforme con la respuesta del </w:t>
      </w:r>
      <w:r w:rsidRPr="00383343">
        <w:rPr>
          <w:rFonts w:ascii="Palatino Linotype" w:eastAsia="Palatino Linotype" w:hAnsi="Palatino Linotype" w:cs="Palatino Linotype"/>
          <w:b/>
        </w:rPr>
        <w:t xml:space="preserve">SUJETO OBLIGADO </w:t>
      </w:r>
      <w:r w:rsidR="00111D33" w:rsidRPr="00383343">
        <w:rPr>
          <w:rFonts w:ascii="Palatino Linotype" w:eastAsia="Palatino Linotype" w:hAnsi="Palatino Linotype" w:cs="Palatino Linotype"/>
          <w:b/>
        </w:rPr>
        <w:t>la parte</w:t>
      </w:r>
      <w:r w:rsidRPr="00383343">
        <w:rPr>
          <w:rFonts w:ascii="Palatino Linotype" w:eastAsia="Palatino Linotype" w:hAnsi="Palatino Linotype" w:cs="Palatino Linotype"/>
          <w:b/>
        </w:rPr>
        <w:t xml:space="preserve"> RECURRENTE</w:t>
      </w:r>
      <w:r w:rsidRPr="00383343">
        <w:rPr>
          <w:rFonts w:ascii="Palatino Linotype" w:eastAsia="Palatino Linotype" w:hAnsi="Palatino Linotype" w:cs="Palatino Linotype"/>
        </w:rPr>
        <w:t xml:space="preserve"> interpuso recurso de revisión a través del SAIMEX en fecha </w:t>
      </w:r>
      <w:r w:rsidR="00111D33" w:rsidRPr="00383343">
        <w:rPr>
          <w:rFonts w:ascii="Palatino Linotype" w:eastAsia="Palatino Linotype" w:hAnsi="Palatino Linotype" w:cs="Palatino Linotype"/>
          <w:b/>
        </w:rPr>
        <w:t>seis de septiembre de dos mil veintitrés</w:t>
      </w:r>
      <w:r w:rsidRPr="00383343">
        <w:rPr>
          <w:rFonts w:ascii="Palatino Linotype" w:eastAsia="Palatino Linotype" w:hAnsi="Palatino Linotype" w:cs="Palatino Linotype"/>
        </w:rPr>
        <w:t>, a través del cual expresó lo siguiente:</w:t>
      </w:r>
    </w:p>
    <w:p w14:paraId="1F6CC3E6" w14:textId="77777777" w:rsidR="00111D33" w:rsidRPr="00383343"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61AA9ED7" w14:textId="13AE84D1" w:rsidR="00397333" w:rsidRPr="00383343" w:rsidRDefault="00B16908" w:rsidP="00111D33">
      <w:pPr>
        <w:spacing w:line="360" w:lineRule="auto"/>
        <w:ind w:left="567"/>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b/>
          <w:sz w:val="22"/>
          <w:szCs w:val="22"/>
        </w:rPr>
        <w:t xml:space="preserve">Acto impugnado. </w:t>
      </w:r>
      <w:r w:rsidRPr="00383343">
        <w:rPr>
          <w:rFonts w:ascii="Palatino Linotype" w:eastAsia="Palatino Linotype" w:hAnsi="Palatino Linotype" w:cs="Palatino Linotype"/>
          <w:i/>
          <w:sz w:val="22"/>
          <w:szCs w:val="22"/>
        </w:rPr>
        <w:t>“</w:t>
      </w:r>
      <w:r w:rsidR="00111D33" w:rsidRPr="00383343">
        <w:rPr>
          <w:rFonts w:ascii="Palatino Linotype" w:hAnsi="Palatino Linotype"/>
          <w:i/>
          <w:sz w:val="22"/>
          <w:szCs w:val="22"/>
        </w:rPr>
        <w:t xml:space="preserve">En la respuesta se menciona que se adjunta el contrato número TEX/DGA/CAYS/AD/RS/001/2023. Celebrado entre la empresa Grupo Contadero S.A. de C.V. y el Municipio de Texcoco, para la disposición final en el relleno en el municipio de San Vicente Chicoloapan, sin embargo, </w:t>
      </w:r>
      <w:r w:rsidR="00111D33" w:rsidRPr="00383343">
        <w:rPr>
          <w:rFonts w:ascii="Palatino Linotype" w:hAnsi="Palatino Linotype"/>
          <w:b/>
          <w:i/>
          <w:sz w:val="22"/>
          <w:szCs w:val="22"/>
          <w:u w:val="single"/>
        </w:rPr>
        <w:t xml:space="preserve">el contrato no se </w:t>
      </w:r>
      <w:proofErr w:type="spellStart"/>
      <w:r w:rsidR="00111D33" w:rsidRPr="00383343">
        <w:rPr>
          <w:rFonts w:ascii="Palatino Linotype" w:hAnsi="Palatino Linotype"/>
          <w:b/>
          <w:i/>
          <w:sz w:val="22"/>
          <w:szCs w:val="22"/>
          <w:u w:val="single"/>
        </w:rPr>
        <w:t>adjunto</w:t>
      </w:r>
      <w:proofErr w:type="spellEnd"/>
      <w:r w:rsidR="00111D33" w:rsidRPr="00383343">
        <w:rPr>
          <w:rFonts w:ascii="Palatino Linotype" w:hAnsi="Palatino Linotype"/>
          <w:i/>
          <w:sz w:val="22"/>
          <w:szCs w:val="22"/>
        </w:rPr>
        <w:t>.</w:t>
      </w:r>
      <w:r w:rsidRPr="00383343">
        <w:rPr>
          <w:rFonts w:ascii="Palatino Linotype" w:eastAsia="Palatino Linotype" w:hAnsi="Palatino Linotype" w:cs="Palatino Linotype"/>
          <w:i/>
          <w:sz w:val="22"/>
          <w:szCs w:val="22"/>
        </w:rPr>
        <w:t xml:space="preserve">” </w:t>
      </w:r>
    </w:p>
    <w:p w14:paraId="66910C6E" w14:textId="77777777" w:rsidR="008C5C02" w:rsidRPr="00383343" w:rsidRDefault="008C5C02" w:rsidP="00C81AB2">
      <w:pPr>
        <w:spacing w:line="360" w:lineRule="auto"/>
        <w:ind w:left="567"/>
        <w:rPr>
          <w:lang w:eastAsia="es-MX"/>
        </w:rPr>
      </w:pPr>
    </w:p>
    <w:p w14:paraId="64B1EF90" w14:textId="618B450B" w:rsidR="00A94A15" w:rsidRPr="00383343"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u w:val="single"/>
        </w:rPr>
      </w:pPr>
      <w:r w:rsidRPr="00383343">
        <w:rPr>
          <w:rFonts w:ascii="Palatino Linotype" w:eastAsia="Palatino Linotype" w:hAnsi="Palatino Linotype" w:cs="Palatino Linotype"/>
          <w:b/>
          <w:sz w:val="22"/>
          <w:szCs w:val="22"/>
        </w:rPr>
        <w:t xml:space="preserve">Motivos de inconformidad. </w:t>
      </w:r>
      <w:r w:rsidR="00111D33" w:rsidRPr="00383343">
        <w:rPr>
          <w:rFonts w:ascii="Palatino Linotype" w:eastAsia="Palatino Linotype" w:hAnsi="Palatino Linotype" w:cs="Palatino Linotype"/>
          <w:sz w:val="22"/>
          <w:szCs w:val="22"/>
        </w:rPr>
        <w:t>*No se señaló motivo de inconformidad*</w:t>
      </w:r>
    </w:p>
    <w:p w14:paraId="163E978B" w14:textId="77777777" w:rsidR="005532C7" w:rsidRPr="00383343"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Cs w:val="22"/>
        </w:rPr>
      </w:pPr>
    </w:p>
    <w:p w14:paraId="54645142" w14:textId="0C6C45BF" w:rsidR="00397333" w:rsidRPr="00383343"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83343">
        <w:rPr>
          <w:rFonts w:ascii="Palatino Linotype" w:eastAsia="Palatino Linotype" w:hAnsi="Palatino Linotype" w:cs="Palatino Linotype"/>
          <w:b/>
        </w:rPr>
        <w:t xml:space="preserve">Turno. </w:t>
      </w:r>
      <w:r w:rsidRPr="0038334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00111D33" w:rsidRPr="00383343">
        <w:rPr>
          <w:rFonts w:ascii="Palatino Linotype" w:eastAsia="Palatino Linotype" w:hAnsi="Palatino Linotype" w:cs="Palatino Linotype"/>
          <w:b/>
        </w:rPr>
        <w:t>05479</w:t>
      </w:r>
      <w:r w:rsidRPr="00383343">
        <w:rPr>
          <w:rFonts w:ascii="Palatino Linotype" w:eastAsia="Palatino Linotype" w:hAnsi="Palatino Linotype" w:cs="Palatino Linotype"/>
          <w:b/>
        </w:rPr>
        <w:t>/INFOEM/IP/RR/202</w:t>
      </w:r>
      <w:r w:rsidR="00111D33" w:rsidRPr="00383343">
        <w:rPr>
          <w:rFonts w:ascii="Palatino Linotype" w:eastAsia="Palatino Linotype" w:hAnsi="Palatino Linotype" w:cs="Palatino Linotype"/>
          <w:b/>
        </w:rPr>
        <w:t>3</w:t>
      </w:r>
      <w:r w:rsidRPr="00383343">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383343">
        <w:rPr>
          <w:rFonts w:ascii="Palatino Linotype" w:eastAsia="Palatino Linotype" w:hAnsi="Palatino Linotype" w:cs="Palatino Linotype"/>
          <w:b/>
        </w:rPr>
        <w:t>Guadalupe Ramírez Peña</w:t>
      </w:r>
      <w:r w:rsidRPr="00383343">
        <w:rPr>
          <w:rFonts w:ascii="Palatino Linotype" w:eastAsia="Palatino Linotype" w:hAnsi="Palatino Linotype" w:cs="Palatino Linotype"/>
        </w:rPr>
        <w:t>, para su análisis, estudio, elaboración del proyecto y presentación ante el Pleno de este Instituto.</w:t>
      </w:r>
    </w:p>
    <w:p w14:paraId="581AB42E" w14:textId="77777777" w:rsidR="00D8337B" w:rsidRPr="00383343"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278E2832" w14:textId="0C5B0725" w:rsidR="00397333" w:rsidRPr="00383343"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383343">
        <w:rPr>
          <w:rFonts w:ascii="Palatino Linotype" w:eastAsia="Palatino Linotype" w:hAnsi="Palatino Linotype" w:cs="Palatino Linotype"/>
          <w:b/>
        </w:rPr>
        <w:lastRenderedPageBreak/>
        <w:t xml:space="preserve">Admisión del recurso de revisión: </w:t>
      </w:r>
      <w:r w:rsidRPr="00383343">
        <w:rPr>
          <w:rFonts w:ascii="Palatino Linotype" w:eastAsia="Palatino Linotype" w:hAnsi="Palatino Linotype" w:cs="Palatino Linotype"/>
        </w:rPr>
        <w:t xml:space="preserve">En fecha </w:t>
      </w:r>
      <w:r w:rsidR="00111D33" w:rsidRPr="00383343">
        <w:rPr>
          <w:rFonts w:ascii="Palatino Linotype" w:eastAsia="Palatino Linotype" w:hAnsi="Palatino Linotype" w:cs="Palatino Linotype"/>
          <w:b/>
        </w:rPr>
        <w:t>once de septiembre de dos mil veintitrés</w:t>
      </w:r>
      <w:r w:rsidRPr="00383343">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presentara su informe justificado.</w:t>
      </w:r>
    </w:p>
    <w:p w14:paraId="13A8CA21" w14:textId="77777777" w:rsidR="00397333" w:rsidRPr="00383343"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40B6CC2" w14:textId="31DF7130" w:rsidR="005532C7" w:rsidRPr="00383343" w:rsidRDefault="005532C7" w:rsidP="005532C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83343">
        <w:rPr>
          <w:rFonts w:ascii="Palatino Linotype" w:eastAsia="Palatino Linotype" w:hAnsi="Palatino Linotype" w:cs="Palatino Linotype"/>
          <w:b/>
        </w:rPr>
        <w:t>Manifestacione</w:t>
      </w:r>
      <w:r w:rsidR="00B16908" w:rsidRPr="00383343">
        <w:rPr>
          <w:rFonts w:ascii="Palatino Linotype" w:eastAsia="Palatino Linotype" w:hAnsi="Palatino Linotype" w:cs="Palatino Linotype"/>
          <w:b/>
        </w:rPr>
        <w:t>s</w:t>
      </w:r>
      <w:r w:rsidR="00B16908" w:rsidRPr="00383343">
        <w:rPr>
          <w:rFonts w:ascii="Palatino Linotype" w:eastAsia="Palatino Linotype" w:hAnsi="Palatino Linotype" w:cs="Palatino Linotype"/>
        </w:rPr>
        <w:t xml:space="preserve">: </w:t>
      </w:r>
      <w:r w:rsidR="00111D33" w:rsidRPr="00383343">
        <w:rPr>
          <w:rFonts w:ascii="Palatino Linotype" w:eastAsia="Palatino Linotype" w:hAnsi="Palatino Linotype" w:cs="Palatino Linotype"/>
        </w:rPr>
        <w:t xml:space="preserve">En fecha </w:t>
      </w:r>
      <w:r w:rsidR="00111D33" w:rsidRPr="00383343">
        <w:rPr>
          <w:rFonts w:ascii="Palatino Linotype" w:eastAsia="Palatino Linotype" w:hAnsi="Palatino Linotype" w:cs="Palatino Linotype"/>
          <w:b/>
        </w:rPr>
        <w:t>seis de octubre de dos mil veintitrés</w:t>
      </w:r>
      <w:r w:rsidR="00111D33" w:rsidRPr="00383343">
        <w:rPr>
          <w:rFonts w:ascii="Palatino Linotype" w:eastAsia="Palatino Linotype" w:hAnsi="Palatino Linotype" w:cs="Palatino Linotype"/>
        </w:rPr>
        <w:t xml:space="preserve">, el </w:t>
      </w:r>
      <w:r w:rsidR="00111D33" w:rsidRPr="00383343">
        <w:rPr>
          <w:rFonts w:ascii="Palatino Linotype" w:eastAsia="Palatino Linotype" w:hAnsi="Palatino Linotype" w:cs="Palatino Linotype"/>
          <w:b/>
        </w:rPr>
        <w:t xml:space="preserve">SUJETO OBLIGADO </w:t>
      </w:r>
      <w:r w:rsidR="00111D33" w:rsidRPr="00383343">
        <w:rPr>
          <w:rFonts w:ascii="Palatino Linotype" w:eastAsia="Palatino Linotype" w:hAnsi="Palatino Linotype" w:cs="Palatino Linotype"/>
        </w:rPr>
        <w:t xml:space="preserve">rindió su informe justificado, al tenor de lo siguiente: </w:t>
      </w:r>
    </w:p>
    <w:p w14:paraId="74C7D912" w14:textId="77777777" w:rsidR="00111D33" w:rsidRPr="00383343" w:rsidRDefault="00111D33" w:rsidP="00111D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4061CC5" w14:textId="4724F9DF" w:rsidR="00111D33" w:rsidRPr="00383343" w:rsidRDefault="00111D33" w:rsidP="00111D33">
      <w:pPr>
        <w:pStyle w:val="Prrafodelista"/>
        <w:numPr>
          <w:ilvl w:val="0"/>
          <w:numId w:val="2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Oficio de fecha seis de octubre de dos mil veintitrés, suscrito por el Titular de la Unidad de Transparencia, mediante el cual informa que, se adjunta el contrato motivo de la solicitud de información. </w:t>
      </w:r>
    </w:p>
    <w:p w14:paraId="348931C1" w14:textId="7A2114F9" w:rsidR="00111D33" w:rsidRPr="00383343" w:rsidRDefault="00111D33" w:rsidP="00111D33">
      <w:pPr>
        <w:pStyle w:val="Prrafodelista"/>
        <w:numPr>
          <w:ilvl w:val="0"/>
          <w:numId w:val="2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Contrato de prestación de servicios número TEX/DGA/CAYS/AD/RS/0001/2023 </w:t>
      </w:r>
      <w:r w:rsidR="00505D52" w:rsidRPr="00383343">
        <w:rPr>
          <w:rFonts w:ascii="Palatino Linotype" w:eastAsia="Palatino Linotype" w:hAnsi="Palatino Linotype" w:cs="Palatino Linotype"/>
        </w:rPr>
        <w:t xml:space="preserve">celebrado con motivo de la contratación de servicios de recepción y disposición final de residuos sólidos urbanos del municipio de Texcoco en el relleno sanitario, municipio de Chicoloapan, durante el periodo abril a diciembre dos mil veintitrés. </w:t>
      </w:r>
    </w:p>
    <w:p w14:paraId="508A0BD1" w14:textId="1B2DC6B3" w:rsidR="00C81AB2" w:rsidRPr="00383343" w:rsidRDefault="00C81AB2" w:rsidP="00505D52">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22E817A" w14:textId="63EA2C52" w:rsidR="00505D52" w:rsidRPr="00383343" w:rsidRDefault="00505D52" w:rsidP="00505D52">
      <w:pPr>
        <w:pBdr>
          <w:top w:val="nil"/>
          <w:left w:val="nil"/>
          <w:bottom w:val="nil"/>
          <w:right w:val="nil"/>
          <w:between w:val="nil"/>
        </w:pBdr>
        <w:spacing w:line="360" w:lineRule="auto"/>
        <w:ind w:right="49"/>
        <w:jc w:val="both"/>
        <w:rPr>
          <w:rFonts w:ascii="Palatino Linotype" w:eastAsia="Palatino Linotype" w:hAnsi="Palatino Linotype" w:cs="Palatino Linotype"/>
          <w:sz w:val="22"/>
        </w:rPr>
      </w:pPr>
      <w:r w:rsidRPr="00383343">
        <w:rPr>
          <w:rFonts w:ascii="Palatino Linotype" w:eastAsia="Palatino Linotype" w:hAnsi="Palatino Linotype" w:cs="Palatino Linotype"/>
          <w:sz w:val="22"/>
        </w:rPr>
        <w:t>El documento identificado con el inciso b) no se hizo del conocimiento de la parte Recurrente debido a que se dejaron a la vista datos susceptibles de ser clasificados en términos del artículo 143 de la Ley de Transparencia y Acceso a la Información Pública del Estado de México y M</w:t>
      </w:r>
      <w:r w:rsidR="00042166" w:rsidRPr="00383343">
        <w:rPr>
          <w:rFonts w:ascii="Palatino Linotype" w:eastAsia="Palatino Linotype" w:hAnsi="Palatino Linotype" w:cs="Palatino Linotype"/>
          <w:sz w:val="22"/>
        </w:rPr>
        <w:t xml:space="preserve">unicipios, como el número de credencial de elector. </w:t>
      </w:r>
    </w:p>
    <w:p w14:paraId="09A66F18" w14:textId="77777777" w:rsidR="00505D52" w:rsidRPr="00383343" w:rsidRDefault="00505D52" w:rsidP="00505D52">
      <w:pPr>
        <w:pBdr>
          <w:top w:val="nil"/>
          <w:left w:val="nil"/>
          <w:bottom w:val="nil"/>
          <w:right w:val="nil"/>
          <w:between w:val="nil"/>
        </w:pBdr>
        <w:spacing w:line="360" w:lineRule="auto"/>
        <w:ind w:right="49"/>
        <w:jc w:val="both"/>
        <w:rPr>
          <w:rFonts w:ascii="Palatino Linotype" w:eastAsia="Palatino Linotype" w:hAnsi="Palatino Linotype" w:cs="Palatino Linotype"/>
          <w:sz w:val="22"/>
        </w:rPr>
      </w:pPr>
    </w:p>
    <w:p w14:paraId="510093A8" w14:textId="11F60E3E" w:rsidR="00505D52" w:rsidRPr="00383343" w:rsidRDefault="00505D52" w:rsidP="00505D52">
      <w:pPr>
        <w:pBdr>
          <w:top w:val="nil"/>
          <w:left w:val="nil"/>
          <w:bottom w:val="nil"/>
          <w:right w:val="nil"/>
          <w:between w:val="nil"/>
        </w:pBdr>
        <w:spacing w:line="360" w:lineRule="auto"/>
        <w:ind w:right="49"/>
        <w:jc w:val="both"/>
        <w:rPr>
          <w:rFonts w:ascii="Palatino Linotype" w:eastAsia="Palatino Linotype" w:hAnsi="Palatino Linotype" w:cs="Palatino Linotype"/>
          <w:b/>
          <w:sz w:val="20"/>
          <w:szCs w:val="22"/>
        </w:rPr>
      </w:pPr>
      <w:r w:rsidRPr="00383343">
        <w:rPr>
          <w:rFonts w:ascii="Palatino Linotype" w:eastAsia="Palatino Linotype" w:hAnsi="Palatino Linotype" w:cs="Palatino Linotype"/>
          <w:sz w:val="22"/>
        </w:rPr>
        <w:t xml:space="preserve">La parte Recurrente no realizó manifestaciones. </w:t>
      </w:r>
    </w:p>
    <w:p w14:paraId="162B8B3F" w14:textId="77777777" w:rsidR="00613B06" w:rsidRPr="00383343" w:rsidRDefault="00613B06"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F899EF2" w14:textId="2433C44F" w:rsidR="00613B06" w:rsidRPr="00383343"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383343">
        <w:rPr>
          <w:rFonts w:ascii="Palatino Linotype" w:eastAsia="Palatino Linotype" w:hAnsi="Palatino Linotype" w:cs="Palatino Linotype"/>
          <w:b/>
        </w:rPr>
        <w:t>Ampliación del plazo.</w:t>
      </w:r>
      <w:r w:rsidRPr="00383343">
        <w:rPr>
          <w:rFonts w:ascii="Palatino Linotype" w:eastAsia="Palatino Linotype" w:hAnsi="Palatino Linotype" w:cs="Palatino Linotype"/>
        </w:rPr>
        <w:t xml:space="preserve"> En fecha </w:t>
      </w:r>
      <w:r w:rsidR="00505D52" w:rsidRPr="00383343">
        <w:rPr>
          <w:rFonts w:ascii="Palatino Linotype" w:eastAsia="Palatino Linotype" w:hAnsi="Palatino Linotype" w:cs="Palatino Linotype"/>
          <w:b/>
        </w:rPr>
        <w:t>veinticinco de enero de dos mil veinticuatro</w:t>
      </w:r>
      <w:r w:rsidRPr="00383343">
        <w:rPr>
          <w:rFonts w:ascii="Palatino Linotype" w:eastAsia="Palatino Linotype" w:hAnsi="Palatino Linotype" w:cs="Palatino Linotype"/>
        </w:rPr>
        <w:t xml:space="preserve">, con fundamento en el artículo 181, párrafo tercero de la Ley de Transparencia y </w:t>
      </w:r>
      <w:r w:rsidRPr="00383343">
        <w:rPr>
          <w:rFonts w:ascii="Palatino Linotype" w:eastAsia="Palatino Linotype" w:hAnsi="Palatino Linotype" w:cs="Palatino Linotype"/>
        </w:rPr>
        <w:lastRenderedPageBreak/>
        <w:t>Acceso a la Información Pública del Estado de México y Municipios, se acordó la ampliación del plazo para su resolución.</w:t>
      </w:r>
    </w:p>
    <w:p w14:paraId="7DA37716" w14:textId="77777777" w:rsidR="00613B06" w:rsidRPr="00383343"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383343" w:rsidRDefault="0015352F"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383343" w:rsidRDefault="00D524D6" w:rsidP="00613B06">
      <w:pPr>
        <w:spacing w:line="360" w:lineRule="auto"/>
        <w:jc w:val="both"/>
        <w:rPr>
          <w:rFonts w:ascii="Palatino Linotype" w:eastAsia="Palatino Linotype" w:hAnsi="Palatino Linotype" w:cs="Palatino Linotype"/>
        </w:rPr>
      </w:pPr>
    </w:p>
    <w:p w14:paraId="262E5334" w14:textId="4585626F" w:rsidR="00DA55A9" w:rsidRPr="00383343" w:rsidRDefault="00613B06"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383343" w:rsidRDefault="00D524D6" w:rsidP="00613B06">
      <w:pPr>
        <w:spacing w:line="360" w:lineRule="auto"/>
        <w:jc w:val="both"/>
        <w:rPr>
          <w:rFonts w:ascii="Palatino Linotype" w:eastAsia="Palatino Linotype" w:hAnsi="Palatino Linotype" w:cs="Palatino Linotype"/>
        </w:rPr>
      </w:pPr>
    </w:p>
    <w:p w14:paraId="0BEC27DE" w14:textId="77777777" w:rsidR="00613B06" w:rsidRPr="00383343" w:rsidRDefault="00613B06"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383343" w:rsidRDefault="00613B06" w:rsidP="00613B06">
      <w:pPr>
        <w:spacing w:line="360" w:lineRule="auto"/>
        <w:jc w:val="both"/>
        <w:rPr>
          <w:rFonts w:ascii="Palatino Linotype" w:eastAsia="Palatino Linotype" w:hAnsi="Palatino Linotype" w:cs="Palatino Linotype"/>
        </w:rPr>
      </w:pPr>
    </w:p>
    <w:p w14:paraId="1C76CC8A" w14:textId="77777777" w:rsidR="00613B06" w:rsidRPr="00383343" w:rsidRDefault="00613B06"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383343">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14919297" w14:textId="77777777" w:rsidR="00613B06" w:rsidRPr="00383343" w:rsidRDefault="00613B06" w:rsidP="00613B06">
      <w:pPr>
        <w:spacing w:line="360" w:lineRule="auto"/>
        <w:jc w:val="both"/>
        <w:rPr>
          <w:rFonts w:ascii="Palatino Linotype" w:eastAsia="Palatino Linotype" w:hAnsi="Palatino Linotype" w:cs="Palatino Linotype"/>
        </w:rPr>
      </w:pPr>
    </w:p>
    <w:p w14:paraId="2FB17722" w14:textId="77777777" w:rsidR="00613B06" w:rsidRPr="00383343" w:rsidRDefault="00613B06" w:rsidP="00613B06">
      <w:pPr>
        <w:spacing w:line="360" w:lineRule="auto"/>
        <w:jc w:val="both"/>
        <w:rPr>
          <w:rFonts w:ascii="Palatino Linotype" w:eastAsia="Palatino Linotype" w:hAnsi="Palatino Linotype" w:cs="Palatino Linotype"/>
          <w:strike/>
        </w:rPr>
      </w:pPr>
      <w:r w:rsidRPr="0038334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383343" w:rsidRDefault="00613B06" w:rsidP="00613B06">
      <w:pPr>
        <w:spacing w:line="360" w:lineRule="auto"/>
        <w:jc w:val="both"/>
        <w:rPr>
          <w:rFonts w:ascii="Palatino Linotype" w:eastAsia="Palatino Linotype" w:hAnsi="Palatino Linotype" w:cs="Palatino Linotype"/>
        </w:rPr>
      </w:pPr>
    </w:p>
    <w:p w14:paraId="5A32486C" w14:textId="77777777" w:rsidR="00613B06" w:rsidRPr="0038334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56112E60" w14:textId="77777777" w:rsidR="00613B06" w:rsidRPr="00383343"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38334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sz w:val="22"/>
          <w:szCs w:val="22"/>
        </w:rPr>
        <w:t>Actividad Procesal del interesado. Acciones u omisiones del interesado.</w:t>
      </w:r>
    </w:p>
    <w:p w14:paraId="14D537BB" w14:textId="77777777" w:rsidR="00613B06" w:rsidRPr="00383343"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38334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4609ACC" w14:textId="77777777" w:rsidR="00613B06" w:rsidRPr="00383343"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383343"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62A08DBE" w14:textId="77777777" w:rsidR="00613B06" w:rsidRPr="00383343" w:rsidRDefault="00613B06" w:rsidP="00613B06">
      <w:pPr>
        <w:spacing w:line="360" w:lineRule="auto"/>
        <w:jc w:val="both"/>
        <w:rPr>
          <w:rFonts w:ascii="Palatino Linotype" w:eastAsia="Palatino Linotype" w:hAnsi="Palatino Linotype" w:cs="Palatino Linotype"/>
        </w:rPr>
      </w:pPr>
    </w:p>
    <w:p w14:paraId="446A971A" w14:textId="77777777" w:rsidR="00613B06" w:rsidRPr="00383343" w:rsidRDefault="00613B06"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383343" w:rsidRDefault="00613B06" w:rsidP="00613B06">
      <w:pPr>
        <w:spacing w:line="360" w:lineRule="auto"/>
        <w:jc w:val="both"/>
        <w:rPr>
          <w:rFonts w:ascii="Palatino Linotype" w:eastAsia="Palatino Linotype" w:hAnsi="Palatino Linotype" w:cs="Palatino Linotype"/>
        </w:rPr>
      </w:pPr>
    </w:p>
    <w:p w14:paraId="7EE391FD" w14:textId="77777777" w:rsidR="00613B06" w:rsidRPr="00383343" w:rsidRDefault="00613B06" w:rsidP="00613B06">
      <w:pPr>
        <w:spacing w:line="360" w:lineRule="auto"/>
        <w:jc w:val="both"/>
        <w:rPr>
          <w:rFonts w:ascii="Palatino Linotype" w:eastAsia="Palatino Linotype" w:hAnsi="Palatino Linotype" w:cs="Palatino Linotype"/>
          <w:b/>
        </w:rPr>
      </w:pPr>
      <w:r w:rsidRPr="00383343">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38334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83343">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383343" w:rsidRDefault="00613B06" w:rsidP="00613B06">
      <w:pPr>
        <w:spacing w:line="360" w:lineRule="auto"/>
        <w:jc w:val="both"/>
        <w:rPr>
          <w:rFonts w:ascii="Palatino Linotype" w:eastAsia="Palatino Linotype" w:hAnsi="Palatino Linotype" w:cs="Palatino Linotype"/>
        </w:rPr>
      </w:pPr>
    </w:p>
    <w:p w14:paraId="5DF49A9F" w14:textId="77777777" w:rsidR="00613B06" w:rsidRPr="00383343" w:rsidRDefault="00613B06"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383343" w:rsidRDefault="00613B06" w:rsidP="00613B06">
      <w:pPr>
        <w:spacing w:line="360" w:lineRule="auto"/>
        <w:jc w:val="both"/>
        <w:rPr>
          <w:rFonts w:ascii="Palatino Linotype" w:eastAsia="Palatino Linotype" w:hAnsi="Palatino Linotype" w:cs="Palatino Linotype"/>
        </w:rPr>
      </w:pPr>
    </w:p>
    <w:p w14:paraId="2C678BA6" w14:textId="77777777" w:rsidR="00613B06" w:rsidRPr="00383343" w:rsidRDefault="00613B06" w:rsidP="00613B0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B65364D" w14:textId="77777777" w:rsidR="00613B06" w:rsidRPr="00383343" w:rsidRDefault="00613B06" w:rsidP="00613B06">
      <w:pPr>
        <w:spacing w:line="360" w:lineRule="auto"/>
        <w:jc w:val="both"/>
        <w:rPr>
          <w:rFonts w:ascii="Palatino Linotype" w:eastAsia="Palatino Linotype" w:hAnsi="Palatino Linotype" w:cs="Palatino Linotype"/>
        </w:rPr>
      </w:pPr>
    </w:p>
    <w:p w14:paraId="14E0D708" w14:textId="77777777" w:rsidR="00613B06" w:rsidRPr="00383343" w:rsidRDefault="00613B06" w:rsidP="00613B06">
      <w:pPr>
        <w:spacing w:line="360" w:lineRule="auto"/>
        <w:ind w:left="567" w:right="616"/>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sz w:val="22"/>
          <w:szCs w:val="22"/>
        </w:rPr>
        <w:lastRenderedPageBreak/>
        <w:t xml:space="preserve"> </w:t>
      </w:r>
      <w:r w:rsidRPr="00383343">
        <w:rPr>
          <w:rFonts w:ascii="Palatino Linotype" w:eastAsia="Palatino Linotype" w:hAnsi="Palatino Linotype" w:cs="Palatino Linotype"/>
          <w:i/>
          <w:sz w:val="22"/>
          <w:szCs w:val="22"/>
        </w:rPr>
        <w:t>“PLAZO RAZONABLE PARA RESOLVER. DIMENSIÓN Y EFECTOS DE ESTE CONCEPTO CUANDO SE ADUCE EXCESIVA CARGA DE TRABAJO.”</w:t>
      </w:r>
      <w:r w:rsidRPr="00383343">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383343"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383343" w:rsidRDefault="00613B06" w:rsidP="00613B06">
      <w:pPr>
        <w:spacing w:line="360" w:lineRule="auto"/>
        <w:ind w:left="567" w:right="616"/>
        <w:jc w:val="both"/>
        <w:rPr>
          <w:rFonts w:ascii="Palatino Linotype" w:eastAsia="Palatino Linotype" w:hAnsi="Palatino Linotype" w:cs="Palatino Linotype"/>
          <w:sz w:val="22"/>
          <w:szCs w:val="22"/>
        </w:rPr>
      </w:pPr>
      <w:r w:rsidRPr="00383343">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83343">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Pr="00383343"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383343" w:rsidRDefault="00613B06" w:rsidP="00EE6FB1">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383343" w:rsidRDefault="00D524D6" w:rsidP="00EE6FB1">
      <w:pPr>
        <w:spacing w:line="360" w:lineRule="auto"/>
        <w:jc w:val="both"/>
        <w:rPr>
          <w:rFonts w:ascii="Palatino Linotype" w:eastAsia="Palatino Linotype" w:hAnsi="Palatino Linotype" w:cs="Palatino Linotype"/>
        </w:rPr>
      </w:pPr>
    </w:p>
    <w:p w14:paraId="530874FF" w14:textId="170E8BD4" w:rsidR="00215DEF" w:rsidRPr="00383343"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383343">
        <w:rPr>
          <w:rFonts w:ascii="Palatino Linotype" w:eastAsia="Palatino Linotype" w:hAnsi="Palatino Linotype" w:cs="Palatino Linotype"/>
          <w:b/>
        </w:rPr>
        <w:t xml:space="preserve">Cierre de instrucción. </w:t>
      </w:r>
      <w:r w:rsidRPr="00383343">
        <w:rPr>
          <w:rFonts w:ascii="Palatino Linotype" w:eastAsia="Palatino Linotype" w:hAnsi="Palatino Linotype" w:cs="Palatino Linotype"/>
        </w:rPr>
        <w:t xml:space="preserve">El </w:t>
      </w:r>
      <w:r w:rsidR="00D0189A" w:rsidRPr="00383343">
        <w:rPr>
          <w:rFonts w:ascii="Palatino Linotype" w:eastAsia="Palatino Linotype" w:hAnsi="Palatino Linotype" w:cs="Palatino Linotype"/>
          <w:b/>
        </w:rPr>
        <w:t xml:space="preserve">siete de febrero </w:t>
      </w:r>
      <w:r w:rsidR="00505D52" w:rsidRPr="00383343">
        <w:rPr>
          <w:rFonts w:ascii="Palatino Linotype" w:eastAsia="Palatino Linotype" w:hAnsi="Palatino Linotype" w:cs="Palatino Linotype"/>
          <w:b/>
        </w:rPr>
        <w:t>de dos mil veinticuatro</w:t>
      </w:r>
      <w:r w:rsidRPr="0038334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383343"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38122F24" w14:textId="6B9D468D" w:rsidR="00505D52"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CA75883" w14:textId="77777777" w:rsidR="00505D52" w:rsidRPr="00383343" w:rsidRDefault="00505D52">
      <w:pPr>
        <w:spacing w:line="360" w:lineRule="auto"/>
        <w:jc w:val="both"/>
        <w:rPr>
          <w:rFonts w:ascii="Palatino Linotype" w:eastAsia="Palatino Linotype" w:hAnsi="Palatino Linotype" w:cs="Palatino Linotype"/>
        </w:rPr>
      </w:pPr>
    </w:p>
    <w:p w14:paraId="2D7896F6" w14:textId="77777777" w:rsidR="004A6331" w:rsidRPr="00383343" w:rsidRDefault="004A6331">
      <w:pPr>
        <w:spacing w:line="360" w:lineRule="auto"/>
        <w:jc w:val="both"/>
        <w:rPr>
          <w:rFonts w:ascii="Palatino Linotype" w:eastAsia="Palatino Linotype" w:hAnsi="Palatino Linotype" w:cs="Palatino Linotype"/>
        </w:rPr>
      </w:pPr>
    </w:p>
    <w:p w14:paraId="06441DC2" w14:textId="77777777" w:rsidR="004A6331" w:rsidRPr="00383343" w:rsidRDefault="004A6331">
      <w:pPr>
        <w:spacing w:line="360" w:lineRule="auto"/>
        <w:jc w:val="both"/>
        <w:rPr>
          <w:rFonts w:ascii="Palatino Linotype" w:eastAsia="Palatino Linotype" w:hAnsi="Palatino Linotype" w:cs="Palatino Linotype"/>
        </w:rPr>
      </w:pPr>
    </w:p>
    <w:p w14:paraId="1A4B7790" w14:textId="77777777" w:rsidR="00397333" w:rsidRPr="00383343"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383343">
        <w:rPr>
          <w:rFonts w:ascii="Palatino Linotype" w:eastAsia="Palatino Linotype" w:hAnsi="Palatino Linotype" w:cs="Palatino Linotype"/>
          <w:b/>
          <w:sz w:val="22"/>
          <w:szCs w:val="22"/>
        </w:rPr>
        <w:lastRenderedPageBreak/>
        <w:t>C O N S I D E R A N D O:</w:t>
      </w:r>
    </w:p>
    <w:p w14:paraId="5C36930C" w14:textId="77777777" w:rsidR="00397333" w:rsidRPr="00383343"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t xml:space="preserve">Primero. Competencia. </w:t>
      </w:r>
      <w:r w:rsidR="00505D52" w:rsidRPr="00383343">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383343" w:rsidRDefault="00397333">
      <w:pPr>
        <w:spacing w:line="360" w:lineRule="auto"/>
        <w:jc w:val="both"/>
        <w:rPr>
          <w:rFonts w:ascii="Palatino Linotype" w:eastAsia="Palatino Linotype" w:hAnsi="Palatino Linotype" w:cs="Palatino Linotype"/>
          <w:b/>
        </w:rPr>
      </w:pPr>
    </w:p>
    <w:p w14:paraId="4999958C" w14:textId="77777777"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t>Segundo. Oportunidad y Procedibilidad del Recurso de Revisión</w:t>
      </w:r>
      <w:r w:rsidRPr="0038334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383343" w:rsidRDefault="00397333">
      <w:pPr>
        <w:spacing w:line="360" w:lineRule="auto"/>
        <w:jc w:val="both"/>
        <w:rPr>
          <w:rFonts w:ascii="Palatino Linotype" w:eastAsia="Palatino Linotype" w:hAnsi="Palatino Linotype" w:cs="Palatino Linotype"/>
        </w:rPr>
      </w:pPr>
    </w:p>
    <w:p w14:paraId="51DCF894" w14:textId="431C87DB" w:rsidR="00397333" w:rsidRPr="00383343" w:rsidRDefault="00B16908">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proporcionó su respuesta a la solicitud de información el </w:t>
      </w:r>
      <w:r w:rsidR="00505D52" w:rsidRPr="00383343">
        <w:rPr>
          <w:rFonts w:ascii="Palatino Linotype" w:eastAsia="Palatino Linotype" w:hAnsi="Palatino Linotype" w:cs="Palatino Linotype"/>
          <w:b/>
        </w:rPr>
        <w:t>veintiuno de agosto de dos mil veintitrés</w:t>
      </w:r>
      <w:r w:rsidR="00505D52" w:rsidRPr="00383343">
        <w:rPr>
          <w:rFonts w:ascii="Palatino Linotype" w:eastAsia="Palatino Linotype" w:hAnsi="Palatino Linotype" w:cs="Palatino Linotype"/>
        </w:rPr>
        <w:t>, y la parte</w:t>
      </w:r>
      <w:r w:rsidRPr="00383343">
        <w:rPr>
          <w:rFonts w:ascii="Palatino Linotype" w:eastAsia="Palatino Linotype" w:hAnsi="Palatino Linotype" w:cs="Palatino Linotype"/>
        </w:rPr>
        <w:t xml:space="preserve"> </w:t>
      </w:r>
      <w:r w:rsidRPr="00383343">
        <w:rPr>
          <w:rFonts w:ascii="Palatino Linotype" w:eastAsia="Palatino Linotype" w:hAnsi="Palatino Linotype" w:cs="Palatino Linotype"/>
          <w:b/>
        </w:rPr>
        <w:t>RECURRENTE</w:t>
      </w:r>
      <w:r w:rsidRPr="00383343">
        <w:rPr>
          <w:rFonts w:ascii="Palatino Linotype" w:eastAsia="Palatino Linotype" w:hAnsi="Palatino Linotype" w:cs="Palatino Linotype"/>
        </w:rPr>
        <w:t xml:space="preserve"> presentó su recurso de revisión el</w:t>
      </w:r>
      <w:r w:rsidR="00A94A15" w:rsidRPr="00383343">
        <w:rPr>
          <w:rFonts w:ascii="Palatino Linotype" w:eastAsia="Palatino Linotype" w:hAnsi="Palatino Linotype" w:cs="Palatino Linotype"/>
        </w:rPr>
        <w:t xml:space="preserve"> </w:t>
      </w:r>
      <w:r w:rsidR="00505D52" w:rsidRPr="00383343">
        <w:rPr>
          <w:rFonts w:ascii="Palatino Linotype" w:eastAsia="Palatino Linotype" w:hAnsi="Palatino Linotype" w:cs="Palatino Linotype"/>
          <w:b/>
        </w:rPr>
        <w:t xml:space="preserve">seis </w:t>
      </w:r>
      <w:r w:rsidR="00505D52" w:rsidRPr="00383343">
        <w:rPr>
          <w:rFonts w:ascii="Palatino Linotype" w:eastAsia="Palatino Linotype" w:hAnsi="Palatino Linotype" w:cs="Palatino Linotype"/>
          <w:b/>
        </w:rPr>
        <w:lastRenderedPageBreak/>
        <w:t>de septiembre de dos mil veintitrés</w:t>
      </w:r>
      <w:r w:rsidRPr="00383343">
        <w:rPr>
          <w:rFonts w:ascii="Palatino Linotype" w:eastAsia="Palatino Linotype" w:hAnsi="Palatino Linotype" w:cs="Palatino Linotype"/>
        </w:rPr>
        <w:t>;</w:t>
      </w:r>
      <w:r w:rsidRPr="00383343">
        <w:rPr>
          <w:rFonts w:ascii="Palatino Linotype" w:eastAsia="Palatino Linotype" w:hAnsi="Palatino Linotype" w:cs="Palatino Linotype"/>
          <w:b/>
        </w:rPr>
        <w:t xml:space="preserve"> </w:t>
      </w:r>
      <w:r w:rsidRPr="00383343">
        <w:rPr>
          <w:rFonts w:ascii="Palatino Linotype" w:eastAsia="Palatino Linotype" w:hAnsi="Palatino Linotype" w:cs="Palatino Linotype"/>
        </w:rPr>
        <w:t xml:space="preserve">esto es </w:t>
      </w:r>
      <w:r w:rsidR="00A94A15" w:rsidRPr="00383343">
        <w:rPr>
          <w:rFonts w:ascii="Palatino Linotype" w:eastAsia="Palatino Linotype" w:hAnsi="Palatino Linotype" w:cs="Palatino Linotype"/>
        </w:rPr>
        <w:t xml:space="preserve">al </w:t>
      </w:r>
      <w:r w:rsidR="00505D52" w:rsidRPr="00383343">
        <w:rPr>
          <w:rFonts w:ascii="Palatino Linotype" w:eastAsia="Palatino Linotype" w:hAnsi="Palatino Linotype" w:cs="Palatino Linotype"/>
        </w:rPr>
        <w:t>décimo segundo</w:t>
      </w:r>
      <w:r w:rsidR="00D524D6" w:rsidRPr="00383343">
        <w:rPr>
          <w:rFonts w:ascii="Palatino Linotype" w:eastAsia="Palatino Linotype" w:hAnsi="Palatino Linotype" w:cs="Palatino Linotype"/>
        </w:rPr>
        <w:t xml:space="preserve"> </w:t>
      </w:r>
      <w:r w:rsidR="005532C7" w:rsidRPr="00383343">
        <w:rPr>
          <w:rFonts w:ascii="Palatino Linotype" w:eastAsia="Palatino Linotype" w:hAnsi="Palatino Linotype" w:cs="Palatino Linotype"/>
        </w:rPr>
        <w:t xml:space="preserve">día hábil </w:t>
      </w:r>
      <w:r w:rsidR="00E06B79" w:rsidRPr="00383343">
        <w:rPr>
          <w:rFonts w:ascii="Palatino Linotype" w:eastAsia="Palatino Linotype" w:hAnsi="Palatino Linotype" w:cs="Palatino Linotype"/>
        </w:rPr>
        <w:t xml:space="preserve">siguiente </w:t>
      </w:r>
      <w:r w:rsidR="005532C7" w:rsidRPr="00383343">
        <w:rPr>
          <w:rFonts w:ascii="Palatino Linotype" w:eastAsia="Palatino Linotype" w:hAnsi="Palatino Linotype" w:cs="Palatino Linotype"/>
        </w:rPr>
        <w:t>en</w:t>
      </w:r>
      <w:r w:rsidRPr="00383343">
        <w:rPr>
          <w:rFonts w:ascii="Palatino Linotype" w:eastAsia="Palatino Linotype" w:hAnsi="Palatino Linotype" w:cs="Palatino Linotype"/>
        </w:rPr>
        <w:t xml:space="preserve"> que tuvo conocimiento de la respuesta. </w:t>
      </w:r>
    </w:p>
    <w:p w14:paraId="75E8C50F" w14:textId="77777777" w:rsidR="00505D52" w:rsidRPr="00383343" w:rsidRDefault="00505D52" w:rsidP="00505D52">
      <w:pPr>
        <w:spacing w:line="360" w:lineRule="auto"/>
        <w:ind w:right="843"/>
        <w:jc w:val="both"/>
        <w:rPr>
          <w:rFonts w:ascii="Palatino Linotype" w:eastAsia="Palatino Linotype" w:hAnsi="Palatino Linotype" w:cs="Palatino Linotype"/>
          <w:i/>
          <w:sz w:val="22"/>
        </w:rPr>
      </w:pPr>
    </w:p>
    <w:p w14:paraId="7E0851C6" w14:textId="60E28A90" w:rsidR="00E22C26"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B96E1A0" w14:textId="77777777" w:rsidR="00DA55A9" w:rsidRPr="00383343" w:rsidRDefault="00DA55A9">
      <w:pPr>
        <w:spacing w:line="360" w:lineRule="auto"/>
        <w:jc w:val="both"/>
        <w:rPr>
          <w:rFonts w:ascii="Palatino Linotype" w:eastAsia="Palatino Linotype" w:hAnsi="Palatino Linotype" w:cs="Palatino Linotype"/>
        </w:rPr>
      </w:pPr>
    </w:p>
    <w:p w14:paraId="7048B760" w14:textId="0FE57CBF"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Asimismo, resulta procedente la interposición del recurso de revisión al rubro anotado, toda vez que se actualiza las hipótesis previstas</w:t>
      </w:r>
      <w:r w:rsidR="005532C7" w:rsidRPr="00383343">
        <w:rPr>
          <w:rFonts w:ascii="Palatino Linotype" w:eastAsia="Palatino Linotype" w:hAnsi="Palatino Linotype" w:cs="Palatino Linotype"/>
        </w:rPr>
        <w:t xml:space="preserve"> en el artículo 179, fracción </w:t>
      </w:r>
      <w:r w:rsidR="003776E1" w:rsidRPr="00383343">
        <w:rPr>
          <w:rFonts w:ascii="Palatino Linotype" w:eastAsia="Palatino Linotype" w:hAnsi="Palatino Linotype" w:cs="Palatino Linotype"/>
        </w:rPr>
        <w:t xml:space="preserve">V </w:t>
      </w:r>
      <w:r w:rsidRPr="00383343">
        <w:rPr>
          <w:rFonts w:ascii="Palatino Linotype" w:eastAsia="Palatino Linotype" w:hAnsi="Palatino Linotype" w:cs="Palatino Linotype"/>
        </w:rPr>
        <w:t>de la ley de la materia, que a la letra dice:</w:t>
      </w:r>
    </w:p>
    <w:p w14:paraId="30AFE02D" w14:textId="77777777" w:rsidR="00397333" w:rsidRPr="00383343" w:rsidRDefault="00397333">
      <w:pPr>
        <w:spacing w:line="360" w:lineRule="auto"/>
        <w:jc w:val="both"/>
        <w:rPr>
          <w:rFonts w:ascii="Palatino Linotype" w:eastAsia="Palatino Linotype" w:hAnsi="Palatino Linotype" w:cs="Palatino Linotype"/>
        </w:rPr>
      </w:pPr>
    </w:p>
    <w:p w14:paraId="6637F364" w14:textId="77777777" w:rsidR="00397333" w:rsidRPr="00383343" w:rsidRDefault="00B16908" w:rsidP="00C42377">
      <w:pPr>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w:t>
      </w:r>
      <w:r w:rsidRPr="00383343">
        <w:rPr>
          <w:rFonts w:ascii="Palatino Linotype" w:eastAsia="Palatino Linotype" w:hAnsi="Palatino Linotype" w:cs="Palatino Linotype"/>
          <w:b/>
          <w:i/>
          <w:sz w:val="22"/>
          <w:szCs w:val="22"/>
        </w:rPr>
        <w:t xml:space="preserve">Artículo 179. </w:t>
      </w:r>
      <w:r w:rsidRPr="0038334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383343">
        <w:rPr>
          <w:rFonts w:ascii="Palatino Linotype" w:eastAsia="Palatino Linotype" w:hAnsi="Palatino Linotype" w:cs="Palatino Linotype"/>
          <w:i/>
        </w:rPr>
        <w:t>causas</w:t>
      </w:r>
      <w:r w:rsidRPr="00383343">
        <w:rPr>
          <w:rFonts w:ascii="Palatino Linotype" w:eastAsia="Palatino Linotype" w:hAnsi="Palatino Linotype" w:cs="Palatino Linotype"/>
          <w:i/>
          <w:sz w:val="22"/>
          <w:szCs w:val="22"/>
        </w:rPr>
        <w:t>:</w:t>
      </w:r>
    </w:p>
    <w:p w14:paraId="0B812364" w14:textId="77777777" w:rsidR="00397333" w:rsidRPr="00383343" w:rsidRDefault="00B16908" w:rsidP="00C42377">
      <w:pPr>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w:t>
      </w:r>
    </w:p>
    <w:p w14:paraId="7437618E" w14:textId="472DE5B6" w:rsidR="00397333" w:rsidRPr="00383343" w:rsidRDefault="003776E1" w:rsidP="00C42377">
      <w:pPr>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V. La entrega de información incompleta;</w:t>
      </w:r>
    </w:p>
    <w:p w14:paraId="0BA68790" w14:textId="77777777" w:rsidR="00397333" w:rsidRPr="00383343" w:rsidRDefault="000E3910">
      <w:pPr>
        <w:spacing w:line="360"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 xml:space="preserve">…” </w:t>
      </w:r>
    </w:p>
    <w:p w14:paraId="41F4483B" w14:textId="77777777" w:rsidR="007B2993" w:rsidRPr="00383343" w:rsidRDefault="007B2993">
      <w:pPr>
        <w:spacing w:line="360" w:lineRule="auto"/>
        <w:ind w:left="567" w:right="616"/>
        <w:jc w:val="both"/>
        <w:rPr>
          <w:rFonts w:ascii="Palatino Linotype" w:eastAsia="Palatino Linotype" w:hAnsi="Palatino Linotype" w:cs="Palatino Linotype"/>
          <w:i/>
          <w:sz w:val="22"/>
          <w:szCs w:val="22"/>
        </w:rPr>
      </w:pPr>
    </w:p>
    <w:p w14:paraId="607F3F6E" w14:textId="1CE653E5"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t>Tercero. Materia de Revisión</w:t>
      </w:r>
      <w:r w:rsidRPr="00383343">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w:t>
      </w:r>
      <w:r w:rsidR="003776E1" w:rsidRPr="00383343">
        <w:rPr>
          <w:rFonts w:ascii="Palatino Linotype" w:eastAsia="Palatino Linotype" w:hAnsi="Palatino Linotype" w:cs="Palatino Linotype"/>
        </w:rPr>
        <w:t>V</w:t>
      </w:r>
      <w:r w:rsidR="00DA55A9" w:rsidRPr="00383343">
        <w:rPr>
          <w:rFonts w:ascii="Palatino Linotype" w:eastAsia="Palatino Linotype" w:hAnsi="Palatino Linotype" w:cs="Palatino Linotype"/>
        </w:rPr>
        <w:t xml:space="preserve"> </w:t>
      </w:r>
      <w:r w:rsidRPr="00383343">
        <w:rPr>
          <w:rFonts w:ascii="Palatino Linotype" w:eastAsia="Palatino Linotype" w:hAnsi="Palatino Linotype" w:cs="Palatino Linotype"/>
        </w:rPr>
        <w:t xml:space="preserve">del artículo 179 de la Ley de Transparencia y Acceso a la Información Pública del Estado de México y Municipios.  </w:t>
      </w:r>
    </w:p>
    <w:p w14:paraId="20361371" w14:textId="77777777" w:rsidR="00E22C26" w:rsidRPr="00383343" w:rsidRDefault="00E22C26">
      <w:pPr>
        <w:spacing w:line="360" w:lineRule="auto"/>
        <w:jc w:val="both"/>
        <w:rPr>
          <w:rFonts w:ascii="Palatino Linotype" w:eastAsia="Palatino Linotype" w:hAnsi="Palatino Linotype" w:cs="Palatino Linotype"/>
        </w:rPr>
      </w:pPr>
    </w:p>
    <w:p w14:paraId="06331E45" w14:textId="6DEA9ADD"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lastRenderedPageBreak/>
        <w:t xml:space="preserve">Cuarto. Estudio de fondo del asunto. </w:t>
      </w:r>
      <w:r w:rsidRPr="00383343">
        <w:rPr>
          <w:rFonts w:ascii="Palatino Linotype" w:eastAsia="Palatino Linotype" w:hAnsi="Palatino Linotype" w:cs="Palatino Linotype"/>
        </w:rPr>
        <w:t>Es conveniente analizar si la respuesta del Sujeto Obligado</w:t>
      </w:r>
      <w:r w:rsidRPr="00383343">
        <w:rPr>
          <w:rFonts w:ascii="Palatino Linotype" w:eastAsia="Palatino Linotype" w:hAnsi="Palatino Linotype" w:cs="Palatino Linotype"/>
          <w:b/>
        </w:rPr>
        <w:t xml:space="preserve"> </w:t>
      </w:r>
      <w:r w:rsidRPr="00383343">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383343" w:rsidRDefault="00DA55A9">
      <w:pPr>
        <w:spacing w:line="360" w:lineRule="auto"/>
        <w:jc w:val="both"/>
        <w:rPr>
          <w:rFonts w:ascii="Palatino Linotype" w:eastAsia="Palatino Linotype" w:hAnsi="Palatino Linotype" w:cs="Palatino Linotype"/>
        </w:rPr>
      </w:pPr>
    </w:p>
    <w:p w14:paraId="721CE78C" w14:textId="77777777" w:rsidR="00397333" w:rsidRPr="0038334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w:t>
      </w:r>
      <w:r w:rsidRPr="00383343">
        <w:rPr>
          <w:rFonts w:ascii="Palatino Linotype" w:eastAsia="Palatino Linotype" w:hAnsi="Palatino Linotype" w:cs="Palatino Linotype"/>
          <w:b/>
          <w:i/>
          <w:sz w:val="22"/>
          <w:szCs w:val="22"/>
        </w:rPr>
        <w:t>Artículo 4</w:t>
      </w:r>
      <w:r w:rsidRPr="0038334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38334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8334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383343"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383343">
        <w:rPr>
          <w:rFonts w:ascii="Palatino Linotype" w:eastAsia="Palatino Linotype" w:hAnsi="Palatino Linotype" w:cs="Palatino Linotype"/>
          <w:i/>
          <w:sz w:val="22"/>
          <w:szCs w:val="22"/>
        </w:rPr>
        <w:t>.”(</w:t>
      </w:r>
      <w:proofErr w:type="gramEnd"/>
      <w:r w:rsidRPr="00383343">
        <w:rPr>
          <w:rFonts w:ascii="Palatino Linotype" w:eastAsia="Palatino Linotype" w:hAnsi="Palatino Linotype" w:cs="Palatino Linotype"/>
          <w:i/>
          <w:sz w:val="22"/>
          <w:szCs w:val="22"/>
        </w:rPr>
        <w:t>Sic)</w:t>
      </w:r>
    </w:p>
    <w:p w14:paraId="677BADB9" w14:textId="77777777" w:rsidR="00397333" w:rsidRPr="00383343" w:rsidRDefault="00397333">
      <w:pPr>
        <w:spacing w:line="360" w:lineRule="auto"/>
        <w:jc w:val="both"/>
        <w:rPr>
          <w:rFonts w:ascii="Palatino Linotype" w:eastAsia="Palatino Linotype" w:hAnsi="Palatino Linotype" w:cs="Palatino Linotype"/>
        </w:rPr>
      </w:pPr>
    </w:p>
    <w:p w14:paraId="0EC47CAF" w14:textId="77777777"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383343">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383343"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383343" w:rsidRDefault="00B16908" w:rsidP="00DA55A9">
      <w:pPr>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w:t>
      </w:r>
      <w:r w:rsidRPr="00383343">
        <w:rPr>
          <w:rFonts w:ascii="Palatino Linotype" w:eastAsia="Palatino Linotype" w:hAnsi="Palatino Linotype" w:cs="Palatino Linotype"/>
          <w:b/>
          <w:i/>
          <w:sz w:val="22"/>
          <w:szCs w:val="22"/>
        </w:rPr>
        <w:t>Artículo 12.-</w:t>
      </w:r>
      <w:r w:rsidRPr="0038334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383343" w:rsidRDefault="00397333" w:rsidP="00DA55A9">
      <w:pPr>
        <w:spacing w:line="276" w:lineRule="auto"/>
        <w:ind w:left="567" w:right="616"/>
        <w:jc w:val="both"/>
        <w:rPr>
          <w:rFonts w:ascii="Palatino Linotype" w:eastAsia="Palatino Linotype" w:hAnsi="Palatino Linotype" w:cs="Palatino Linotype"/>
          <w:i/>
          <w:sz w:val="22"/>
          <w:szCs w:val="22"/>
        </w:rPr>
      </w:pPr>
    </w:p>
    <w:p w14:paraId="1D241C90" w14:textId="3E0A8FDD" w:rsidR="00397333" w:rsidRPr="00383343" w:rsidRDefault="00B16908" w:rsidP="00DA55A9">
      <w:pPr>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83343">
        <w:rPr>
          <w:rFonts w:ascii="Palatino Linotype" w:eastAsia="Palatino Linotype" w:hAnsi="Palatino Linotype" w:cs="Palatino Linotype"/>
          <w:i/>
          <w:sz w:val="22"/>
          <w:szCs w:val="22"/>
        </w:rPr>
        <w:t xml:space="preserve">. </w:t>
      </w:r>
      <w:r w:rsidRPr="0038334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383343">
        <w:rPr>
          <w:rFonts w:ascii="Palatino Linotype" w:eastAsia="Palatino Linotype" w:hAnsi="Palatino Linotype" w:cs="Palatino Linotype"/>
          <w:i/>
          <w:sz w:val="22"/>
          <w:szCs w:val="22"/>
        </w:rPr>
        <w:t xml:space="preserve">.” </w:t>
      </w:r>
    </w:p>
    <w:p w14:paraId="0D689117" w14:textId="77777777" w:rsidR="00397333" w:rsidRPr="00383343" w:rsidRDefault="00397333">
      <w:pPr>
        <w:spacing w:line="360" w:lineRule="auto"/>
        <w:ind w:right="-93"/>
        <w:jc w:val="both"/>
        <w:rPr>
          <w:rFonts w:ascii="Palatino Linotype" w:eastAsia="Palatino Linotype" w:hAnsi="Palatino Linotype" w:cs="Palatino Linotype"/>
        </w:rPr>
      </w:pPr>
    </w:p>
    <w:p w14:paraId="7F92CB7C" w14:textId="77777777" w:rsidR="00397333" w:rsidRPr="00383343" w:rsidRDefault="00B16908">
      <w:pPr>
        <w:spacing w:line="360" w:lineRule="auto"/>
        <w:ind w:right="-93"/>
        <w:jc w:val="both"/>
        <w:rPr>
          <w:rFonts w:ascii="Palatino Linotype" w:eastAsia="Palatino Linotype" w:hAnsi="Palatino Linotype" w:cs="Palatino Linotype"/>
        </w:rPr>
      </w:pPr>
      <w:r w:rsidRPr="0038334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383343" w:rsidRDefault="00397333">
      <w:pPr>
        <w:spacing w:line="360" w:lineRule="auto"/>
        <w:ind w:right="-93"/>
        <w:jc w:val="both"/>
        <w:rPr>
          <w:rFonts w:ascii="Palatino Linotype" w:eastAsia="Palatino Linotype" w:hAnsi="Palatino Linotype" w:cs="Palatino Linotype"/>
        </w:rPr>
      </w:pPr>
    </w:p>
    <w:p w14:paraId="24B9CDD4" w14:textId="77777777" w:rsidR="00397333" w:rsidRPr="00383343" w:rsidRDefault="00B16908">
      <w:pPr>
        <w:spacing w:line="360" w:lineRule="auto"/>
        <w:jc w:val="both"/>
        <w:rPr>
          <w:rFonts w:ascii="Palatino Linotype" w:eastAsia="Palatino Linotype" w:hAnsi="Palatino Linotype" w:cs="Palatino Linotype"/>
          <w:b/>
        </w:rPr>
      </w:pPr>
      <w:r w:rsidRPr="0038334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383343">
        <w:rPr>
          <w:rFonts w:ascii="Palatino Linotype" w:eastAsia="Palatino Linotype" w:hAnsi="Palatino Linotype" w:cs="Palatino Linotype"/>
          <w:b/>
        </w:rPr>
        <w:t xml:space="preserve"> </w:t>
      </w:r>
    </w:p>
    <w:p w14:paraId="071A0DE5" w14:textId="77777777" w:rsidR="00397333" w:rsidRPr="00383343" w:rsidRDefault="00397333">
      <w:pPr>
        <w:spacing w:line="276" w:lineRule="auto"/>
        <w:ind w:left="851" w:right="850"/>
        <w:jc w:val="both"/>
        <w:rPr>
          <w:rFonts w:ascii="Palatino Linotype" w:eastAsia="Palatino Linotype" w:hAnsi="Palatino Linotype" w:cs="Palatino Linotype"/>
        </w:rPr>
      </w:pPr>
    </w:p>
    <w:p w14:paraId="75BDF35D" w14:textId="5C440758" w:rsidR="00397333" w:rsidRPr="00383343" w:rsidRDefault="00B16908" w:rsidP="00104B28">
      <w:pPr>
        <w:spacing w:line="276" w:lineRule="auto"/>
        <w:ind w:left="567" w:right="616"/>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lastRenderedPageBreak/>
        <w:t>“</w:t>
      </w:r>
      <w:r w:rsidRPr="00383343">
        <w:rPr>
          <w:rFonts w:ascii="Palatino Linotype" w:eastAsia="Palatino Linotype" w:hAnsi="Palatino Linotype" w:cs="Palatino Linotype"/>
          <w:b/>
          <w:i/>
          <w:sz w:val="22"/>
          <w:szCs w:val="22"/>
        </w:rPr>
        <w:t>No existe obligación de elaborar documentos ad hoc para atender las solicitudes de acceso a la información.</w:t>
      </w:r>
      <w:r w:rsidRPr="0038334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383343"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383343" w:rsidRDefault="00397333">
      <w:pPr>
        <w:spacing w:line="360" w:lineRule="auto"/>
        <w:jc w:val="both"/>
        <w:rPr>
          <w:rFonts w:ascii="Palatino Linotype" w:eastAsia="Palatino Linotype" w:hAnsi="Palatino Linotype" w:cs="Palatino Linotype"/>
        </w:rPr>
      </w:pPr>
    </w:p>
    <w:p w14:paraId="4EC4FC10" w14:textId="77777777" w:rsidR="00397333" w:rsidRPr="00383343" w:rsidRDefault="00B16908">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06E221" w14:textId="77777777" w:rsidR="00397333" w:rsidRPr="00383343" w:rsidRDefault="00397333">
      <w:pPr>
        <w:spacing w:line="360" w:lineRule="auto"/>
        <w:ind w:right="49"/>
        <w:jc w:val="both"/>
        <w:rPr>
          <w:rFonts w:ascii="Palatino Linotype" w:eastAsia="Palatino Linotype" w:hAnsi="Palatino Linotype" w:cs="Palatino Linotype"/>
        </w:rPr>
      </w:pPr>
    </w:p>
    <w:p w14:paraId="74A1D557" w14:textId="38DAACEF" w:rsidR="00397333" w:rsidRPr="00383343" w:rsidRDefault="00B16908" w:rsidP="00104B2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383343" w:rsidRDefault="00DA55A9" w:rsidP="00104B28">
      <w:pPr>
        <w:spacing w:line="360" w:lineRule="auto"/>
        <w:jc w:val="both"/>
        <w:rPr>
          <w:rFonts w:ascii="Palatino Linotype" w:eastAsia="Palatino Linotype" w:hAnsi="Palatino Linotype" w:cs="Palatino Linotype"/>
        </w:rPr>
      </w:pPr>
    </w:p>
    <w:p w14:paraId="7F826A6E" w14:textId="77777777" w:rsidR="00397333" w:rsidRPr="00383343" w:rsidRDefault="00B16908" w:rsidP="00104B28">
      <w:pPr>
        <w:spacing w:line="276" w:lineRule="auto"/>
        <w:ind w:left="567" w:right="899"/>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w:t>
      </w:r>
      <w:r w:rsidRPr="00383343">
        <w:rPr>
          <w:rFonts w:ascii="Palatino Linotype" w:eastAsia="Palatino Linotype" w:hAnsi="Palatino Linotype" w:cs="Palatino Linotype"/>
          <w:b/>
          <w:i/>
          <w:sz w:val="22"/>
          <w:szCs w:val="22"/>
        </w:rPr>
        <w:t xml:space="preserve">Artículo 3. </w:t>
      </w:r>
      <w:r w:rsidRPr="00383343">
        <w:rPr>
          <w:rFonts w:ascii="Palatino Linotype" w:eastAsia="Palatino Linotype" w:hAnsi="Palatino Linotype" w:cs="Palatino Linotype"/>
          <w:i/>
          <w:sz w:val="22"/>
          <w:szCs w:val="22"/>
        </w:rPr>
        <w:t>Para los efectos de la presente Ley se entenderá por:</w:t>
      </w:r>
    </w:p>
    <w:p w14:paraId="493A050E" w14:textId="77777777" w:rsidR="00397333" w:rsidRPr="00383343" w:rsidRDefault="00B16908" w:rsidP="00104B28">
      <w:pPr>
        <w:spacing w:line="276" w:lineRule="auto"/>
        <w:ind w:left="567" w:right="899"/>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w:t>
      </w:r>
    </w:p>
    <w:p w14:paraId="51E0D71B" w14:textId="77777777" w:rsidR="00397333" w:rsidRPr="00383343" w:rsidRDefault="00B16908" w:rsidP="00104B28">
      <w:pPr>
        <w:spacing w:line="276" w:lineRule="auto"/>
        <w:ind w:left="567" w:right="899"/>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b/>
          <w:i/>
          <w:sz w:val="22"/>
          <w:szCs w:val="22"/>
        </w:rPr>
        <w:t>XI. Documento:</w:t>
      </w:r>
      <w:r w:rsidRPr="00383343">
        <w:rPr>
          <w:rFonts w:ascii="Palatino Linotype" w:eastAsia="Palatino Linotype" w:hAnsi="Palatino Linotype" w:cs="Palatino Linotype"/>
          <w:i/>
          <w:sz w:val="22"/>
          <w:szCs w:val="22"/>
        </w:rPr>
        <w:t xml:space="preserve"> Los expedientes, reportes, estudios, actas</w:t>
      </w:r>
      <w:r w:rsidRPr="00383343">
        <w:rPr>
          <w:rFonts w:ascii="Palatino Linotype" w:eastAsia="Palatino Linotype" w:hAnsi="Palatino Linotype" w:cs="Palatino Linotype"/>
          <w:b/>
          <w:i/>
          <w:sz w:val="22"/>
          <w:szCs w:val="22"/>
        </w:rPr>
        <w:t>,</w:t>
      </w:r>
      <w:r w:rsidRPr="0038334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383343"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383343"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D496B23" w14:textId="77777777" w:rsidR="00BB3E37" w:rsidRPr="00383343" w:rsidRDefault="00BB3E37">
      <w:pPr>
        <w:spacing w:line="360" w:lineRule="auto"/>
        <w:ind w:left="851" w:right="899"/>
        <w:jc w:val="both"/>
        <w:rPr>
          <w:rFonts w:ascii="Palatino Linotype" w:eastAsia="Palatino Linotype" w:hAnsi="Palatino Linotype" w:cs="Palatino Linotype"/>
        </w:rPr>
      </w:pPr>
    </w:p>
    <w:p w14:paraId="041DFCB7" w14:textId="77777777" w:rsidR="004A6331" w:rsidRPr="00383343"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383343" w:rsidRDefault="00B16908" w:rsidP="004A6331">
      <w:pPr>
        <w:spacing w:line="276" w:lineRule="auto"/>
        <w:ind w:left="851" w:right="899"/>
        <w:jc w:val="both"/>
        <w:rPr>
          <w:rFonts w:ascii="Palatino Linotype" w:eastAsia="Palatino Linotype" w:hAnsi="Palatino Linotype" w:cs="Palatino Linotype"/>
          <w:b/>
          <w:i/>
          <w:sz w:val="22"/>
          <w:szCs w:val="22"/>
        </w:rPr>
      </w:pPr>
      <w:r w:rsidRPr="00383343">
        <w:rPr>
          <w:rFonts w:ascii="Palatino Linotype" w:eastAsia="Palatino Linotype" w:hAnsi="Palatino Linotype" w:cs="Palatino Linotype"/>
          <w:b/>
          <w:sz w:val="22"/>
          <w:szCs w:val="22"/>
        </w:rPr>
        <w:lastRenderedPageBreak/>
        <w:t>“</w:t>
      </w:r>
      <w:r w:rsidRPr="00383343">
        <w:rPr>
          <w:rFonts w:ascii="Palatino Linotype" w:eastAsia="Palatino Linotype" w:hAnsi="Palatino Linotype" w:cs="Palatino Linotype"/>
          <w:b/>
          <w:i/>
          <w:sz w:val="22"/>
          <w:szCs w:val="22"/>
        </w:rPr>
        <w:t>CRITERIO 0002-11</w:t>
      </w:r>
      <w:r w:rsidR="004A6331" w:rsidRPr="00383343">
        <w:rPr>
          <w:rFonts w:ascii="Palatino Linotype" w:eastAsia="Palatino Linotype" w:hAnsi="Palatino Linotype" w:cs="Palatino Linotype"/>
          <w:b/>
          <w:i/>
          <w:sz w:val="22"/>
          <w:szCs w:val="22"/>
        </w:rPr>
        <w:t xml:space="preserve">. </w:t>
      </w:r>
      <w:r w:rsidRPr="0038334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8334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383343" w:rsidRDefault="00B16908">
      <w:pPr>
        <w:spacing w:line="276" w:lineRule="auto"/>
        <w:ind w:left="851" w:right="899"/>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 xml:space="preserve">En </w:t>
      </w:r>
      <w:proofErr w:type="gramStart"/>
      <w:r w:rsidRPr="00383343">
        <w:rPr>
          <w:rFonts w:ascii="Palatino Linotype" w:eastAsia="Palatino Linotype" w:hAnsi="Palatino Linotype" w:cs="Palatino Linotype"/>
          <w:i/>
          <w:sz w:val="22"/>
          <w:szCs w:val="22"/>
        </w:rPr>
        <w:t>consecuencia</w:t>
      </w:r>
      <w:proofErr w:type="gramEnd"/>
      <w:r w:rsidRPr="00383343">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749B933" w14:textId="77777777" w:rsidR="00397333" w:rsidRPr="00383343" w:rsidRDefault="00B16908">
      <w:pPr>
        <w:spacing w:line="276" w:lineRule="auto"/>
        <w:ind w:left="851" w:right="899"/>
        <w:jc w:val="both"/>
        <w:rPr>
          <w:rFonts w:ascii="Palatino Linotype" w:eastAsia="Palatino Linotype" w:hAnsi="Palatino Linotype" w:cs="Palatino Linotype"/>
          <w:i/>
          <w:sz w:val="22"/>
          <w:szCs w:val="22"/>
        </w:rPr>
      </w:pPr>
      <w:r w:rsidRPr="00383343">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83343">
        <w:rPr>
          <w:rFonts w:ascii="Palatino Linotype" w:eastAsia="Palatino Linotype" w:hAnsi="Palatino Linotype" w:cs="Palatino Linotype"/>
          <w:i/>
          <w:sz w:val="22"/>
          <w:szCs w:val="22"/>
        </w:rPr>
        <w:t>que</w:t>
      </w:r>
      <w:proofErr w:type="gramEnd"/>
      <w:r w:rsidRPr="00383343">
        <w:rPr>
          <w:rFonts w:ascii="Palatino Linotype" w:eastAsia="Palatino Linotype" w:hAnsi="Palatino Linotype" w:cs="Palatino Linotype"/>
          <w:i/>
          <w:sz w:val="22"/>
          <w:szCs w:val="22"/>
        </w:rPr>
        <w:t xml:space="preserve"> en ejercicio de las atribuciones conferidas, sea generada por los Sujetos Obligados;</w:t>
      </w:r>
    </w:p>
    <w:p w14:paraId="4252D0AA" w14:textId="77777777" w:rsidR="00397333" w:rsidRPr="00383343" w:rsidRDefault="00B16908">
      <w:pPr>
        <w:spacing w:line="276" w:lineRule="auto"/>
        <w:ind w:left="851" w:right="899"/>
        <w:jc w:val="both"/>
        <w:rPr>
          <w:rFonts w:ascii="Palatino Linotype" w:eastAsia="Palatino Linotype" w:hAnsi="Palatino Linotype" w:cs="Palatino Linotype"/>
          <w:b/>
          <w:i/>
          <w:sz w:val="22"/>
          <w:szCs w:val="22"/>
        </w:rPr>
      </w:pPr>
      <w:r w:rsidRPr="00383343">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383343">
        <w:rPr>
          <w:rFonts w:ascii="Palatino Linotype" w:eastAsia="Palatino Linotype" w:hAnsi="Palatino Linotype" w:cs="Palatino Linotype"/>
          <w:b/>
          <w:i/>
          <w:sz w:val="22"/>
          <w:szCs w:val="22"/>
        </w:rPr>
        <w:t>que</w:t>
      </w:r>
      <w:proofErr w:type="gramEnd"/>
      <w:r w:rsidRPr="00383343">
        <w:rPr>
          <w:rFonts w:ascii="Palatino Linotype" w:eastAsia="Palatino Linotype" w:hAnsi="Palatino Linotype" w:cs="Palatino Linotype"/>
          <w:b/>
          <w:i/>
          <w:sz w:val="22"/>
          <w:szCs w:val="22"/>
        </w:rPr>
        <w:t xml:space="preserve"> en ejercicio de las atribuciones conferidas, sea administrada por los Sujetos Obligados, y</w:t>
      </w:r>
    </w:p>
    <w:p w14:paraId="7E1BDC40" w14:textId="77777777" w:rsidR="00397333" w:rsidRPr="00383343" w:rsidRDefault="00B16908">
      <w:pPr>
        <w:spacing w:line="276" w:lineRule="auto"/>
        <w:ind w:left="851" w:right="899"/>
        <w:jc w:val="both"/>
        <w:rPr>
          <w:rFonts w:ascii="Palatino Linotype" w:eastAsia="Palatino Linotype" w:hAnsi="Palatino Linotype" w:cs="Palatino Linotype"/>
          <w:b/>
          <w:i/>
          <w:sz w:val="22"/>
          <w:szCs w:val="22"/>
        </w:rPr>
      </w:pPr>
      <w:r w:rsidRPr="00383343">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383343">
        <w:rPr>
          <w:rFonts w:ascii="Palatino Linotype" w:eastAsia="Palatino Linotype" w:hAnsi="Palatino Linotype" w:cs="Palatino Linotype"/>
          <w:b/>
          <w:i/>
          <w:sz w:val="22"/>
          <w:szCs w:val="22"/>
        </w:rPr>
        <w:t>que</w:t>
      </w:r>
      <w:proofErr w:type="gramEnd"/>
      <w:r w:rsidRPr="00383343">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0DDD82EE" w14:textId="77777777" w:rsidR="00397333" w:rsidRPr="00383343" w:rsidRDefault="00397333">
      <w:pPr>
        <w:spacing w:line="360" w:lineRule="auto"/>
        <w:jc w:val="both"/>
        <w:rPr>
          <w:rFonts w:ascii="Palatino Linotype" w:eastAsia="Palatino Linotype" w:hAnsi="Palatino Linotype" w:cs="Palatino Linotype"/>
        </w:rPr>
      </w:pPr>
    </w:p>
    <w:p w14:paraId="580B0E79" w14:textId="607D0F5D" w:rsidR="00D9430A" w:rsidRPr="00383343" w:rsidRDefault="00D6232B" w:rsidP="003776E1">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Dicho lo anterior, es de recordar que la parte Solicitante requirió se le proporcionara la siguiente información: </w:t>
      </w:r>
    </w:p>
    <w:p w14:paraId="33F71721" w14:textId="77777777" w:rsidR="00D6232B" w:rsidRPr="00383343" w:rsidRDefault="00D6232B" w:rsidP="003776E1">
      <w:pPr>
        <w:spacing w:line="360" w:lineRule="auto"/>
        <w:jc w:val="both"/>
        <w:rPr>
          <w:rFonts w:ascii="Palatino Linotype" w:eastAsia="Palatino Linotype" w:hAnsi="Palatino Linotype" w:cs="Palatino Linotype"/>
        </w:rPr>
      </w:pPr>
    </w:p>
    <w:p w14:paraId="3563F303" w14:textId="72FE7002" w:rsidR="00D6232B" w:rsidRPr="00383343" w:rsidRDefault="00D6232B" w:rsidP="00D6232B">
      <w:pPr>
        <w:pStyle w:val="Prrafodelista"/>
        <w:numPr>
          <w:ilvl w:val="0"/>
          <w:numId w:val="26"/>
        </w:num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Título de concesión y/o contrato de concesión y/o contrato y/o convenio y/o acuerdo y/o cualquier instrumento jurídico que se encuentre(n) vigente(s), suscrito con terceros para la prestación del servicio público concesionado de recolección y/o traslado y/o aprovechamiento y/o tratamiento y/o valorización y/o disposición final de los residuos sólidos urbanos generados en el Municipio de Texcoco. En caso de que el servicio público de disposición final sea prestado directamente por el Municipio de Texcoco, sin intervención de terceros, favor de proporcionar documento que indique el sitio o sitios de disposición final, dentro o fuera del </w:t>
      </w:r>
      <w:r w:rsidRPr="00383343">
        <w:rPr>
          <w:rFonts w:ascii="Palatino Linotype" w:eastAsia="Palatino Linotype" w:hAnsi="Palatino Linotype" w:cs="Palatino Linotype"/>
        </w:rPr>
        <w:lastRenderedPageBreak/>
        <w:t>Municipio de Texcoco, de los residuos sólidos urbanos generados en el Municipio de Texcoco, señalando las cantidades que diariamente se disponen en el sitio(s) de disposición final seleccionados para tal efecto.</w:t>
      </w:r>
    </w:p>
    <w:p w14:paraId="0C53C024" w14:textId="77777777" w:rsidR="009A026A" w:rsidRPr="00383343" w:rsidRDefault="009A026A">
      <w:pPr>
        <w:spacing w:line="360" w:lineRule="auto"/>
        <w:ind w:right="49"/>
        <w:jc w:val="both"/>
        <w:rPr>
          <w:rFonts w:ascii="Palatino Linotype" w:eastAsia="Palatino Linotype" w:hAnsi="Palatino Linotype" w:cs="Palatino Linotype"/>
        </w:rPr>
      </w:pPr>
    </w:p>
    <w:p w14:paraId="31CD7916" w14:textId="63C2F38B" w:rsidR="00D6232B" w:rsidRPr="00383343" w:rsidRDefault="00D6232B" w:rsidP="00D6232B">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En respuesta, el Sujeto Obligado refirió que se remitía el contrato número, TEX/DGA/CAYS/AD/RS/001/2023, celebrado entre la empresa Grupo Contadero S.A. de C.V. y el Municipio de Texcoco, para la disposición final, en el relleno en el municipio de San Vicente Chicoloapan. </w:t>
      </w:r>
    </w:p>
    <w:p w14:paraId="49C1E4F8" w14:textId="77777777" w:rsidR="00CF4F0B" w:rsidRPr="00383343" w:rsidRDefault="00CF4F0B" w:rsidP="00D6232B">
      <w:pPr>
        <w:spacing w:line="360" w:lineRule="auto"/>
        <w:ind w:right="49"/>
        <w:jc w:val="both"/>
        <w:rPr>
          <w:rFonts w:ascii="Palatino Linotype" w:eastAsia="Palatino Linotype" w:hAnsi="Palatino Linotype" w:cs="Palatino Linotype"/>
        </w:rPr>
      </w:pPr>
    </w:p>
    <w:p w14:paraId="4905FAE1" w14:textId="51AAD3C5" w:rsidR="00D6232B" w:rsidRPr="00383343" w:rsidRDefault="00D6232B" w:rsidP="00D6232B">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Derivado de ello, la parte Solicitante, se inconformó porque no se adjuntó contrato alguno. </w:t>
      </w:r>
    </w:p>
    <w:p w14:paraId="366B6913" w14:textId="77777777" w:rsidR="00D6232B" w:rsidRPr="00383343" w:rsidRDefault="00D6232B" w:rsidP="00D6232B">
      <w:pPr>
        <w:spacing w:line="360" w:lineRule="auto"/>
        <w:ind w:right="49"/>
        <w:jc w:val="both"/>
        <w:rPr>
          <w:rFonts w:ascii="Palatino Linotype" w:eastAsia="Palatino Linotype" w:hAnsi="Palatino Linotype" w:cs="Palatino Linotype"/>
        </w:rPr>
      </w:pPr>
    </w:p>
    <w:p w14:paraId="218B0C8D" w14:textId="69AADB8B" w:rsidR="00D6232B" w:rsidRPr="00383343" w:rsidRDefault="00D6232B" w:rsidP="00D6232B">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Es así que, mediante informe justificado, el Sujeto Obligado remitió el contrato número TEX/DGA/CAYS/AD/7RS/0001/2023, celebrado con motivo del servicio de recepción y disposición final de residuos sólidos urbanos del municipio de Texcoco. </w:t>
      </w:r>
    </w:p>
    <w:p w14:paraId="25953F51" w14:textId="77777777" w:rsidR="00D6232B" w:rsidRPr="00383343" w:rsidRDefault="00D6232B" w:rsidP="00D6232B">
      <w:pPr>
        <w:spacing w:line="360" w:lineRule="auto"/>
        <w:ind w:right="49"/>
        <w:jc w:val="both"/>
        <w:rPr>
          <w:rFonts w:ascii="Palatino Linotype" w:eastAsia="Palatino Linotype" w:hAnsi="Palatino Linotype" w:cs="Palatino Linotype"/>
        </w:rPr>
      </w:pPr>
    </w:p>
    <w:p w14:paraId="7B41B513" w14:textId="2AF126D6" w:rsidR="009A026A" w:rsidRPr="00383343" w:rsidRDefault="009A026A" w:rsidP="009A026A">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De ello, en principio resulta </w:t>
      </w:r>
      <w:r w:rsidR="00DA55A9" w:rsidRPr="00383343">
        <w:rPr>
          <w:rFonts w:ascii="Palatino Linotype" w:eastAsia="Palatino Linotype" w:hAnsi="Palatino Linotype" w:cs="Palatino Linotype"/>
        </w:rPr>
        <w:t xml:space="preserve">importante </w:t>
      </w:r>
      <w:r w:rsidRPr="00383343">
        <w:rPr>
          <w:rFonts w:ascii="Palatino Linotype" w:eastAsia="Palatino Linotype" w:hAnsi="Palatino Linotype" w:cs="Palatino Linotype"/>
        </w:rPr>
        <w:t xml:space="preserve">mencionar que derivado de que el Particular se inconformó </w:t>
      </w:r>
      <w:r w:rsidR="00B47B61" w:rsidRPr="00383343">
        <w:rPr>
          <w:rFonts w:ascii="Palatino Linotype" w:eastAsia="Palatino Linotype" w:hAnsi="Palatino Linotype" w:cs="Palatino Linotype"/>
        </w:rPr>
        <w:t xml:space="preserve">únicamente </w:t>
      </w:r>
      <w:r w:rsidR="00D6232B" w:rsidRPr="00383343">
        <w:rPr>
          <w:rFonts w:ascii="Palatino Linotype" w:eastAsia="Palatino Linotype" w:hAnsi="Palatino Linotype" w:cs="Palatino Linotype"/>
        </w:rPr>
        <w:t>que no se le adjuntó el contrato que el Sujeto Obligado mencionó en su respuesta,</w:t>
      </w:r>
      <w:r w:rsidRPr="00383343">
        <w:rPr>
          <w:rFonts w:ascii="Palatino Linotype" w:eastAsia="Palatino Linotype" w:hAnsi="Palatino Linotype" w:cs="Palatino Linotype"/>
        </w:rPr>
        <w:t xml:space="preserve"> resulta aplicable el criterio sostenido por el Poder Judicial de la Federación de rubro </w:t>
      </w:r>
      <w:r w:rsidRPr="00383343">
        <w:rPr>
          <w:rFonts w:ascii="Palatino Linotype" w:eastAsia="Palatino Linotype" w:hAnsi="Palatino Linotype" w:cs="Palatino Linotype"/>
          <w:b/>
          <w:bCs/>
        </w:rPr>
        <w:t>ACTOS CONSENTIDOS TÁCITAMENTE</w:t>
      </w:r>
      <w:r w:rsidRPr="00383343">
        <w:rPr>
          <w:rFonts w:ascii="Palatino Linotype" w:eastAsia="Palatino Linotype" w:hAnsi="Palatino Linotype" w:cs="Palatino Linotype"/>
        </w:rPr>
        <w:t>,</w:t>
      </w:r>
      <w:r w:rsidRPr="00383343">
        <w:rPr>
          <w:rFonts w:ascii="Palatino Linotype" w:eastAsia="Palatino Linotype" w:hAnsi="Palatino Linotype" w:cs="Palatino Linotype"/>
          <w:b/>
          <w:bCs/>
        </w:rPr>
        <w:t xml:space="preserve"> </w:t>
      </w:r>
      <w:r w:rsidRPr="00383343">
        <w:rPr>
          <w:rFonts w:ascii="Palatino Linotype" w:hAnsi="Palatino Linotype"/>
        </w:rPr>
        <w:t>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22CC9529" w14:textId="77777777" w:rsidR="009A026A" w:rsidRPr="00383343" w:rsidRDefault="009A026A" w:rsidP="009A026A">
      <w:pPr>
        <w:spacing w:line="360" w:lineRule="auto"/>
        <w:ind w:right="49"/>
        <w:jc w:val="both"/>
        <w:rPr>
          <w:rFonts w:ascii="Palatino Linotype" w:hAnsi="Palatino Linotype"/>
        </w:rPr>
      </w:pPr>
    </w:p>
    <w:p w14:paraId="1D831818" w14:textId="77777777" w:rsidR="009A026A" w:rsidRPr="00383343" w:rsidRDefault="009A026A" w:rsidP="009A026A">
      <w:pPr>
        <w:spacing w:line="360" w:lineRule="auto"/>
        <w:ind w:right="49"/>
        <w:jc w:val="both"/>
        <w:rPr>
          <w:rFonts w:ascii="Palatino Linotype" w:eastAsia="Palatino Linotype" w:hAnsi="Palatino Linotype" w:cs="Palatino Linotype"/>
          <w:b/>
          <w:bCs/>
        </w:rPr>
      </w:pPr>
      <w:r w:rsidRPr="00383343">
        <w:rPr>
          <w:rFonts w:ascii="Palatino Linotype" w:hAnsi="Palatino Linotype"/>
        </w:rPr>
        <w:t xml:space="preserve"> De acuerdo con el criterio en comento, en el caso de que el Solicitante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w:t>
      </w:r>
      <w:r w:rsidRPr="00383343">
        <w:rPr>
          <w:rFonts w:ascii="Palatino Linotype" w:hAnsi="Palatino Linotype"/>
          <w:b/>
          <w:bCs/>
        </w:rPr>
        <w:t>quedaron firmes.</w:t>
      </w:r>
    </w:p>
    <w:p w14:paraId="49400E29" w14:textId="77777777" w:rsidR="009A026A" w:rsidRPr="00383343" w:rsidRDefault="009A026A" w:rsidP="009A026A">
      <w:pPr>
        <w:spacing w:line="360" w:lineRule="auto"/>
        <w:ind w:right="49"/>
        <w:jc w:val="both"/>
        <w:rPr>
          <w:rFonts w:ascii="Palatino Linotype" w:eastAsia="Palatino Linotype" w:hAnsi="Palatino Linotype" w:cs="Palatino Linotype"/>
          <w:b/>
          <w:bCs/>
        </w:rPr>
      </w:pPr>
    </w:p>
    <w:p w14:paraId="0213C598" w14:textId="006BAB80" w:rsidR="009A026A" w:rsidRPr="00383343" w:rsidRDefault="009A026A" w:rsidP="009A026A">
      <w:pPr>
        <w:spacing w:line="360" w:lineRule="auto"/>
        <w:ind w:right="49"/>
        <w:jc w:val="both"/>
        <w:rPr>
          <w:rFonts w:ascii="Palatino Linotype" w:hAnsi="Palatino Linotype"/>
        </w:rPr>
      </w:pPr>
      <w:r w:rsidRPr="00383343">
        <w:rPr>
          <w:rFonts w:ascii="Palatino Linotype" w:hAnsi="Palatino Linotype"/>
        </w:rPr>
        <w:t>Asimismo, resulta relevante traer a colación el Criterio 01/20, emitido por el Instituto Nacional de Transparencia, Acceso a la Información y Protección de Datos Personales, que establece lo siguiente:</w:t>
      </w:r>
    </w:p>
    <w:p w14:paraId="51DC73EB" w14:textId="77777777" w:rsidR="00D8337B" w:rsidRPr="00383343" w:rsidRDefault="00D8337B" w:rsidP="009A026A">
      <w:pPr>
        <w:spacing w:line="360" w:lineRule="auto"/>
        <w:ind w:right="49"/>
        <w:jc w:val="both"/>
        <w:rPr>
          <w:rFonts w:ascii="Palatino Linotype" w:hAnsi="Palatino Linotype"/>
        </w:rPr>
      </w:pPr>
    </w:p>
    <w:p w14:paraId="4B900B8B" w14:textId="77777777" w:rsidR="009A026A" w:rsidRPr="00383343" w:rsidRDefault="009A026A" w:rsidP="00A90D86">
      <w:pPr>
        <w:spacing w:line="276" w:lineRule="auto"/>
        <w:ind w:left="567" w:right="560"/>
        <w:jc w:val="both"/>
        <w:rPr>
          <w:rFonts w:ascii="Palatino Linotype" w:hAnsi="Palatino Linotype"/>
          <w:i/>
          <w:iCs/>
          <w:sz w:val="22"/>
        </w:rPr>
      </w:pPr>
      <w:r w:rsidRPr="00383343">
        <w:rPr>
          <w:rFonts w:ascii="Palatino Linotype" w:hAnsi="Palatino Linotype"/>
          <w:i/>
          <w:iCs/>
          <w:sz w:val="22"/>
        </w:rPr>
        <w:t>“</w:t>
      </w:r>
      <w:r w:rsidRPr="00383343">
        <w:rPr>
          <w:rFonts w:ascii="Palatino Linotype" w:hAnsi="Palatino Linotype"/>
          <w:b/>
          <w:bCs/>
          <w:i/>
          <w:iCs/>
          <w:sz w:val="22"/>
        </w:rPr>
        <w:t>Actos consentidos tácitamente. Improcedencia de su análisis</w:t>
      </w:r>
      <w:r w:rsidRPr="00383343">
        <w:rPr>
          <w:rFonts w:ascii="Palatino Linotype" w:hAnsi="Palatino Linotype"/>
          <w:i/>
          <w:iCs/>
          <w:sz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7017BD98" w14:textId="77777777" w:rsidR="009A026A" w:rsidRPr="00383343" w:rsidRDefault="009A026A" w:rsidP="009A026A">
      <w:pPr>
        <w:spacing w:line="360" w:lineRule="auto"/>
        <w:ind w:right="49"/>
        <w:jc w:val="both"/>
        <w:rPr>
          <w:rFonts w:ascii="Palatino Linotype" w:hAnsi="Palatino Linotype"/>
        </w:rPr>
      </w:pPr>
    </w:p>
    <w:p w14:paraId="06B2A6E2" w14:textId="19EE5483" w:rsidR="00B47B61" w:rsidRPr="00383343" w:rsidRDefault="009A026A">
      <w:pPr>
        <w:spacing w:line="360" w:lineRule="auto"/>
        <w:ind w:right="49"/>
        <w:jc w:val="both"/>
        <w:rPr>
          <w:rFonts w:ascii="Palatino Linotype" w:hAnsi="Palatino Linotype"/>
        </w:rPr>
      </w:pPr>
      <w:r w:rsidRPr="00383343">
        <w:rPr>
          <w:rFonts w:ascii="Palatino Linotype" w:hAnsi="Palatino Linotype"/>
        </w:rPr>
        <w:t>Conforme al Criterio establecido, es improcedente entrar al análisis de las partes de la respuesta del Sujeto Obligado que no fueron impugnadas por el Recurren</w:t>
      </w:r>
      <w:r w:rsidR="00A90D86" w:rsidRPr="00383343">
        <w:rPr>
          <w:rFonts w:ascii="Palatino Linotype" w:hAnsi="Palatino Linotype"/>
        </w:rPr>
        <w:t xml:space="preserve">te, es decir, </w:t>
      </w:r>
      <w:r w:rsidR="00D6232B" w:rsidRPr="00383343">
        <w:rPr>
          <w:rFonts w:ascii="Palatino Linotype" w:hAnsi="Palatino Linotype"/>
        </w:rPr>
        <w:t xml:space="preserve">únicamente se estudiará lo relativo al contrato que el Sujeto Obligado señaló que se </w:t>
      </w:r>
      <w:proofErr w:type="gramStart"/>
      <w:r w:rsidR="00D6232B" w:rsidRPr="00383343">
        <w:rPr>
          <w:rFonts w:ascii="Palatino Linotype" w:hAnsi="Palatino Linotype"/>
        </w:rPr>
        <w:t>remitía</w:t>
      </w:r>
      <w:proofErr w:type="gramEnd"/>
      <w:r w:rsidR="00D6232B" w:rsidRPr="00383343">
        <w:rPr>
          <w:rFonts w:ascii="Palatino Linotype" w:hAnsi="Palatino Linotype"/>
        </w:rPr>
        <w:t xml:space="preserve"> pero no se adjuntó. </w:t>
      </w:r>
    </w:p>
    <w:p w14:paraId="668B353F" w14:textId="77777777" w:rsidR="00B47B61" w:rsidRPr="00383343" w:rsidRDefault="00B47B61">
      <w:pPr>
        <w:spacing w:line="360" w:lineRule="auto"/>
        <w:ind w:right="49"/>
        <w:jc w:val="both"/>
        <w:rPr>
          <w:rFonts w:ascii="Palatino Linotype" w:hAnsi="Palatino Linotype"/>
        </w:rPr>
      </w:pPr>
    </w:p>
    <w:p w14:paraId="192673EB" w14:textId="00E56647" w:rsidR="00227026" w:rsidRPr="00383343" w:rsidRDefault="0045248B" w:rsidP="00227026">
      <w:pPr>
        <w:spacing w:line="360" w:lineRule="auto"/>
        <w:ind w:right="49"/>
        <w:jc w:val="both"/>
        <w:rPr>
          <w:rFonts w:ascii="Palatino Linotype" w:hAnsi="Palatino Linotype"/>
        </w:rPr>
      </w:pPr>
      <w:r w:rsidRPr="00383343">
        <w:rPr>
          <w:rFonts w:ascii="Palatino Linotype" w:hAnsi="Palatino Linotype"/>
        </w:rPr>
        <w:t>Dicho esto, se procede a contextualizar la información solicitada,</w:t>
      </w:r>
      <w:r w:rsidR="00227026" w:rsidRPr="00383343">
        <w:rPr>
          <w:rFonts w:ascii="Palatino Linotype" w:hAnsi="Palatino Linotype"/>
        </w:rPr>
        <w:t xml:space="preserve"> por lo que</w:t>
      </w:r>
      <w:r w:rsidR="00227026" w:rsidRPr="00383343">
        <w:rPr>
          <w:rFonts w:ascii="Palatino Linotype" w:eastAsia="Palatino Linotype" w:hAnsi="Palatino Linotype" w:cs="Palatino Linotype"/>
        </w:rPr>
        <w:t xml:space="preserve">, de conformidad con lo que establecen los artículos 26 y 27 de la Ley de Contratación Pública del Estado de México y Municipios, las adquisiciones, arrendamientos y servicios se adjudicarán a través de licitaciones públicas mediante convocatoria </w:t>
      </w:r>
      <w:r w:rsidR="00227026" w:rsidRPr="00383343">
        <w:rPr>
          <w:rFonts w:ascii="Palatino Linotype" w:eastAsia="Palatino Linotype" w:hAnsi="Palatino Linotype" w:cs="Palatino Linotype"/>
        </w:rPr>
        <w:lastRenderedPageBreak/>
        <w:t xml:space="preserve">pública o bien, a través de las excepciones a dicho procedimiento, como se observa a continuación: </w:t>
      </w:r>
    </w:p>
    <w:p w14:paraId="7339C387" w14:textId="77777777" w:rsidR="00227026" w:rsidRPr="00383343" w:rsidRDefault="00227026" w:rsidP="00227026">
      <w:pPr>
        <w:spacing w:line="276" w:lineRule="auto"/>
        <w:ind w:left="567" w:right="560"/>
        <w:jc w:val="both"/>
        <w:rPr>
          <w:rFonts w:ascii="Palatino Linotype" w:eastAsia="Palatino Linotype" w:hAnsi="Palatino Linotype" w:cs="Palatino Linotype"/>
          <w:i/>
          <w:sz w:val="22"/>
        </w:rPr>
      </w:pPr>
    </w:p>
    <w:p w14:paraId="5B13951D" w14:textId="77777777" w:rsidR="008D7E32" w:rsidRPr="00383343" w:rsidRDefault="008D7E32" w:rsidP="00227026">
      <w:pPr>
        <w:spacing w:line="276" w:lineRule="auto"/>
        <w:ind w:left="567" w:right="560"/>
        <w:jc w:val="both"/>
        <w:rPr>
          <w:rFonts w:ascii="Palatino Linotype" w:eastAsia="Palatino Linotype" w:hAnsi="Palatino Linotype" w:cs="Palatino Linotype"/>
          <w:i/>
          <w:sz w:val="22"/>
        </w:rPr>
      </w:pPr>
    </w:p>
    <w:p w14:paraId="0A0F04FD" w14:textId="77777777" w:rsidR="00227026" w:rsidRPr="00383343" w:rsidRDefault="00227026" w:rsidP="00227026">
      <w:pPr>
        <w:spacing w:line="276" w:lineRule="auto"/>
        <w:ind w:left="567" w:right="560"/>
        <w:jc w:val="center"/>
        <w:rPr>
          <w:rFonts w:ascii="Palatino Linotype" w:hAnsi="Palatino Linotype"/>
          <w:b/>
          <w:i/>
          <w:sz w:val="22"/>
        </w:rPr>
      </w:pPr>
      <w:r w:rsidRPr="00383343">
        <w:rPr>
          <w:rFonts w:ascii="Palatino Linotype" w:hAnsi="Palatino Linotype"/>
          <w:b/>
          <w:i/>
          <w:sz w:val="22"/>
        </w:rPr>
        <w:t>LEY DE CONTRATACIÓN PÚBLICA DEL ESTADO DE MÉXICO Y MUNICIPIO</w:t>
      </w:r>
    </w:p>
    <w:p w14:paraId="7D3F0398" w14:textId="77777777" w:rsidR="00227026" w:rsidRPr="00383343" w:rsidRDefault="00227026" w:rsidP="00227026">
      <w:pPr>
        <w:spacing w:line="276" w:lineRule="auto"/>
        <w:ind w:left="567" w:right="560"/>
        <w:jc w:val="both"/>
        <w:rPr>
          <w:rFonts w:ascii="Palatino Linotype" w:eastAsia="Palatino Linotype" w:hAnsi="Palatino Linotype" w:cs="Palatino Linotype"/>
          <w:i/>
          <w:sz w:val="22"/>
        </w:rPr>
      </w:pPr>
    </w:p>
    <w:p w14:paraId="7579EC6E" w14:textId="77777777" w:rsidR="00227026" w:rsidRPr="00383343" w:rsidRDefault="00227026" w:rsidP="00227026">
      <w:pPr>
        <w:spacing w:line="276" w:lineRule="auto"/>
        <w:ind w:left="567" w:right="560"/>
        <w:jc w:val="both"/>
        <w:rPr>
          <w:rFonts w:ascii="Palatino Linotype" w:hAnsi="Palatino Linotype"/>
          <w:i/>
          <w:sz w:val="22"/>
        </w:rPr>
      </w:pPr>
      <w:r w:rsidRPr="00383343">
        <w:rPr>
          <w:rFonts w:ascii="Palatino Linotype" w:hAnsi="Palatino Linotype"/>
          <w:b/>
          <w:i/>
          <w:sz w:val="22"/>
        </w:rPr>
        <w:t>Artículo 26.-</w:t>
      </w:r>
      <w:r w:rsidRPr="00383343">
        <w:rPr>
          <w:rFonts w:ascii="Palatino Linotype" w:hAnsi="Palatino Linotype"/>
          <w:i/>
          <w:sz w:val="22"/>
        </w:rPr>
        <w:t xml:space="preserve"> Las adquisiciones, arrendamientos y servicios se adjudicarán a través de licitaciones públicas, mediante convocatoria pública. </w:t>
      </w:r>
    </w:p>
    <w:p w14:paraId="61702EDF" w14:textId="77777777" w:rsidR="00227026" w:rsidRPr="00383343" w:rsidRDefault="00227026" w:rsidP="00227026">
      <w:pPr>
        <w:spacing w:line="276" w:lineRule="auto"/>
        <w:ind w:left="567" w:right="560"/>
        <w:jc w:val="both"/>
        <w:rPr>
          <w:rFonts w:ascii="Palatino Linotype" w:hAnsi="Palatino Linotype"/>
          <w:i/>
          <w:sz w:val="22"/>
        </w:rPr>
      </w:pPr>
    </w:p>
    <w:p w14:paraId="7B916497" w14:textId="77777777" w:rsidR="00227026" w:rsidRPr="00383343" w:rsidRDefault="00227026" w:rsidP="00227026">
      <w:pPr>
        <w:spacing w:line="276" w:lineRule="auto"/>
        <w:ind w:left="567" w:right="560"/>
        <w:jc w:val="both"/>
        <w:rPr>
          <w:rFonts w:ascii="Palatino Linotype" w:hAnsi="Palatino Linotype"/>
          <w:i/>
          <w:sz w:val="22"/>
        </w:rPr>
      </w:pPr>
      <w:r w:rsidRPr="00383343">
        <w:rPr>
          <w:rFonts w:ascii="Palatino Linotype" w:hAnsi="Palatino Linotype"/>
          <w:b/>
          <w:i/>
          <w:sz w:val="22"/>
        </w:rPr>
        <w:t>Artículo 27.-</w:t>
      </w:r>
      <w:r w:rsidRPr="00383343">
        <w:rPr>
          <w:rFonts w:ascii="Palatino Linotype" w:hAnsi="Palatino Linotype"/>
          <w:i/>
          <w:sz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39C253A6" w14:textId="77777777" w:rsidR="00227026" w:rsidRPr="00383343" w:rsidRDefault="00227026" w:rsidP="00227026">
      <w:pPr>
        <w:spacing w:line="276" w:lineRule="auto"/>
        <w:ind w:left="567" w:right="560"/>
        <w:jc w:val="both"/>
        <w:rPr>
          <w:rFonts w:ascii="Palatino Linotype" w:hAnsi="Palatino Linotype"/>
          <w:i/>
          <w:sz w:val="22"/>
        </w:rPr>
      </w:pPr>
      <w:r w:rsidRPr="00383343">
        <w:rPr>
          <w:rFonts w:ascii="Palatino Linotype" w:hAnsi="Palatino Linotype"/>
          <w:i/>
          <w:sz w:val="22"/>
        </w:rPr>
        <w:t xml:space="preserve">I. Invitación restringida. </w:t>
      </w:r>
    </w:p>
    <w:p w14:paraId="27C3050B" w14:textId="6F0FD813" w:rsidR="00227026" w:rsidRPr="00383343" w:rsidRDefault="00227026" w:rsidP="00227026">
      <w:pPr>
        <w:spacing w:line="276" w:lineRule="auto"/>
        <w:ind w:left="567" w:right="560"/>
        <w:jc w:val="both"/>
        <w:rPr>
          <w:rFonts w:ascii="Palatino Linotype" w:hAnsi="Palatino Linotype"/>
          <w:i/>
          <w:sz w:val="22"/>
        </w:rPr>
      </w:pPr>
      <w:r w:rsidRPr="00383343">
        <w:rPr>
          <w:rFonts w:ascii="Palatino Linotype" w:hAnsi="Palatino Linotype"/>
          <w:i/>
          <w:sz w:val="22"/>
        </w:rPr>
        <w:t>II. Adjudicación directa.</w:t>
      </w:r>
    </w:p>
    <w:p w14:paraId="7FA53D46" w14:textId="77777777" w:rsidR="00227026" w:rsidRPr="00383343" w:rsidRDefault="00227026" w:rsidP="00227026">
      <w:pPr>
        <w:spacing w:line="360" w:lineRule="auto"/>
        <w:ind w:left="567" w:right="560"/>
        <w:jc w:val="both"/>
        <w:rPr>
          <w:rFonts w:ascii="Palatino Linotype" w:eastAsia="Palatino Linotype" w:hAnsi="Palatino Linotype" w:cs="Palatino Linotype"/>
          <w:i/>
        </w:rPr>
      </w:pPr>
    </w:p>
    <w:p w14:paraId="012CB52C" w14:textId="77777777" w:rsidR="00227026" w:rsidRPr="00383343" w:rsidRDefault="00227026" w:rsidP="00227026">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Respecto al procedimiento de </w:t>
      </w:r>
      <w:r w:rsidRPr="00383343">
        <w:rPr>
          <w:rFonts w:ascii="Palatino Linotype" w:eastAsia="Palatino Linotype" w:hAnsi="Palatino Linotype" w:cs="Palatino Linotype"/>
          <w:b/>
        </w:rPr>
        <w:t>licitación pública</w:t>
      </w:r>
      <w:r w:rsidRPr="00383343">
        <w:rPr>
          <w:rFonts w:ascii="Palatino Linotype" w:eastAsia="Palatino Linotype" w:hAnsi="Palatino Linotype" w:cs="Palatino Linotype"/>
        </w:rPr>
        <w:t xml:space="preserve">, es de mencionar </w:t>
      </w:r>
      <w:proofErr w:type="gramStart"/>
      <w:r w:rsidRPr="00383343">
        <w:rPr>
          <w:rFonts w:ascii="Palatino Linotype" w:eastAsia="Palatino Linotype" w:hAnsi="Palatino Linotype" w:cs="Palatino Linotype"/>
        </w:rPr>
        <w:t>que</w:t>
      </w:r>
      <w:proofErr w:type="gramEnd"/>
      <w:r w:rsidRPr="00383343">
        <w:rPr>
          <w:rFonts w:ascii="Palatino Linotype" w:eastAsia="Palatino Linotype" w:hAnsi="Palatino Linotype" w:cs="Palatino Linotype"/>
        </w:rPr>
        <w:t xml:space="preserv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w:t>
      </w:r>
      <w:sdt>
        <w:sdtPr>
          <w:rPr>
            <w:rFonts w:ascii="Palatino Linotype" w:eastAsia="Palatino Linotype" w:hAnsi="Palatino Linotype" w:cs="Palatino Linotype"/>
          </w:rPr>
          <w:id w:val="1984117713"/>
          <w:citation/>
        </w:sdtPr>
        <w:sdtEndPr/>
        <w:sdtContent>
          <w:r w:rsidRPr="00383343">
            <w:rPr>
              <w:rFonts w:ascii="Palatino Linotype" w:eastAsia="Palatino Linotype" w:hAnsi="Palatino Linotype" w:cs="Palatino Linotype"/>
            </w:rPr>
            <w:fldChar w:fldCharType="begin"/>
          </w:r>
          <w:r w:rsidRPr="00383343">
            <w:rPr>
              <w:rFonts w:ascii="Palatino Linotype" w:eastAsia="Palatino Linotype" w:hAnsi="Palatino Linotype" w:cs="Palatino Linotype"/>
            </w:rPr>
            <w:instrText xml:space="preserve"> CITATION Des95 \l 2058 </w:instrText>
          </w:r>
          <w:r w:rsidRPr="00383343">
            <w:rPr>
              <w:rFonts w:ascii="Palatino Linotype" w:eastAsia="Palatino Linotype" w:hAnsi="Palatino Linotype" w:cs="Palatino Linotype"/>
            </w:rPr>
            <w:fldChar w:fldCharType="separate"/>
          </w:r>
          <w:r w:rsidRPr="00383343">
            <w:rPr>
              <w:rFonts w:ascii="Palatino Linotype" w:eastAsia="Palatino Linotype" w:hAnsi="Palatino Linotype" w:cs="Palatino Linotype"/>
              <w:noProof/>
            </w:rPr>
            <w:t>(Desarrollo, 1995)</w:t>
          </w:r>
          <w:r w:rsidRPr="00383343">
            <w:rPr>
              <w:rFonts w:ascii="Palatino Linotype" w:eastAsia="Palatino Linotype" w:hAnsi="Palatino Linotype" w:cs="Palatino Linotype"/>
            </w:rPr>
            <w:fldChar w:fldCharType="end"/>
          </w:r>
        </w:sdtContent>
      </w:sdt>
    </w:p>
    <w:p w14:paraId="2B2F0D83" w14:textId="77777777" w:rsidR="00227026" w:rsidRPr="00383343" w:rsidRDefault="00227026" w:rsidP="00227026">
      <w:pPr>
        <w:spacing w:line="360" w:lineRule="auto"/>
        <w:ind w:right="49"/>
        <w:jc w:val="both"/>
        <w:rPr>
          <w:rFonts w:ascii="Palatino Linotype" w:eastAsia="Palatino Linotype" w:hAnsi="Palatino Linotype" w:cs="Palatino Linotype"/>
        </w:rPr>
      </w:pPr>
    </w:p>
    <w:p w14:paraId="47261ABB" w14:textId="77777777" w:rsidR="00227026" w:rsidRPr="00383343" w:rsidRDefault="00227026" w:rsidP="00227026">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En cuando hace a la </w:t>
      </w:r>
      <w:r w:rsidRPr="00383343">
        <w:rPr>
          <w:rFonts w:ascii="Palatino Linotype" w:eastAsia="Palatino Linotype" w:hAnsi="Palatino Linotype" w:cs="Palatino Linotype"/>
          <w:b/>
        </w:rPr>
        <w:t>adjudicación directa</w:t>
      </w:r>
      <w:r w:rsidRPr="00383343">
        <w:rPr>
          <w:rFonts w:ascii="Palatino Linotype" w:eastAsia="Palatino Linotype" w:hAnsi="Palatino Linotype" w:cs="Palatino Linotype"/>
        </w:rPr>
        <w:t xml:space="preserve">, la Secretaría de la Función Pública, </w:t>
      </w:r>
      <w:r w:rsidRPr="00383343">
        <w:rPr>
          <w:rFonts w:ascii="Palatino Linotype" w:eastAsia="Palatino Linotype" w:hAnsi="Palatino Linotype" w:cs="Palatino Linotype"/>
          <w:sz w:val="22"/>
        </w:rPr>
        <w:t xml:space="preserve">(consultable en </w:t>
      </w:r>
      <w:hyperlink r:id="rId9" w:history="1">
        <w:r w:rsidRPr="00383343">
          <w:rPr>
            <w:rStyle w:val="Hipervnculo"/>
            <w:rFonts w:ascii="Palatino Linotype" w:eastAsia="Palatino Linotype" w:hAnsi="Palatino Linotype" w:cs="Palatino Linotype"/>
            <w:color w:val="auto"/>
            <w:sz w:val="22"/>
          </w:rPr>
          <w:t>https://www.gob.mx/sfp/acciones-y-programas/1-3-3-adjudicacion-directa</w:t>
        </w:r>
      </w:hyperlink>
      <w:r w:rsidRPr="00383343">
        <w:rPr>
          <w:rFonts w:ascii="Palatino Linotype" w:eastAsia="Palatino Linotype" w:hAnsi="Palatino Linotype" w:cs="Palatino Linotype"/>
          <w:sz w:val="22"/>
        </w:rPr>
        <w:t>)</w:t>
      </w:r>
      <w:r w:rsidRPr="00383343">
        <w:rPr>
          <w:rFonts w:ascii="Palatino Linotype" w:eastAsia="Palatino Linotype" w:hAnsi="Palatino Linotype" w:cs="Palatino Linotype"/>
        </w:rPr>
        <w:t xml:space="preserve">, </w:t>
      </w:r>
      <w:proofErr w:type="spellStart"/>
      <w:r w:rsidRPr="00383343">
        <w:rPr>
          <w:rFonts w:ascii="Palatino Linotype" w:eastAsia="Palatino Linotype" w:hAnsi="Palatino Linotype" w:cs="Palatino Linotype"/>
        </w:rPr>
        <w:t>establece</w:t>
      </w:r>
      <w:proofErr w:type="spellEnd"/>
      <w:r w:rsidRPr="00383343">
        <w:rPr>
          <w:rFonts w:ascii="Palatino Linotype" w:eastAsia="Palatino Linotype" w:hAnsi="Palatino Linotype" w:cs="Palatino Linotype"/>
        </w:rPr>
        <w:t xml:space="preserve"> que es un procedimiento que se realiza sin puesta en concurrencia y, por ende, sin que exista competencia, adjudicándose el contrato a un proveedor que ha sido preseleccionado para tales efectos por la dependencia o entidad. </w:t>
      </w:r>
    </w:p>
    <w:p w14:paraId="1BDC497F" w14:textId="77777777" w:rsidR="00227026" w:rsidRPr="00383343" w:rsidRDefault="00227026" w:rsidP="00227026">
      <w:pPr>
        <w:spacing w:line="360" w:lineRule="auto"/>
        <w:ind w:right="49"/>
        <w:jc w:val="both"/>
        <w:rPr>
          <w:rFonts w:ascii="Palatino Linotype" w:eastAsia="Palatino Linotype" w:hAnsi="Palatino Linotype" w:cs="Palatino Linotype"/>
        </w:rPr>
      </w:pPr>
    </w:p>
    <w:p w14:paraId="6CFC48ED" w14:textId="77777777" w:rsidR="00227026" w:rsidRPr="00383343" w:rsidRDefault="00227026" w:rsidP="00227026">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Por último, respecto a la </w:t>
      </w:r>
      <w:r w:rsidRPr="00383343">
        <w:rPr>
          <w:rFonts w:ascii="Palatino Linotype" w:eastAsia="Palatino Linotype" w:hAnsi="Palatino Linotype" w:cs="Palatino Linotype"/>
          <w:b/>
        </w:rPr>
        <w:t>invitación restringida a cuando menos tres proveedores</w:t>
      </w:r>
      <w:r w:rsidRPr="00383343">
        <w:rPr>
          <w:rFonts w:ascii="Palatino Linotype" w:eastAsia="Palatino Linotype" w:hAnsi="Palatino Linotype" w:cs="Palatino Linotype"/>
        </w:rPr>
        <w:t xml:space="preserve">, la Secretaría de la Contraloría </w:t>
      </w:r>
      <w:r w:rsidRPr="00383343">
        <w:rPr>
          <w:rFonts w:ascii="Palatino Linotype" w:eastAsia="Palatino Linotype" w:hAnsi="Palatino Linotype" w:cs="Palatino Linotype"/>
          <w:sz w:val="22"/>
        </w:rPr>
        <w:t xml:space="preserve">(consultable en </w:t>
      </w:r>
      <w:hyperlink r:id="rId10" w:anchor=":~:text=Es%20un%20procedimiento%20administrativo%2C%20de,tres%20oferentes%20a%20presentar%20propuestas%2C" w:history="1">
        <w:r w:rsidRPr="00383343">
          <w:rPr>
            <w:rStyle w:val="Hipervnculo"/>
            <w:rFonts w:ascii="Palatino Linotype" w:eastAsia="Palatino Linotype" w:hAnsi="Palatino Linotype" w:cs="Palatino Linotype"/>
            <w:color w:val="auto"/>
            <w:sz w:val="22"/>
          </w:rPr>
          <w:t>http://www.contraloriadf.gob.mx/contraloria/cursos/ADQUISICIONES/paginas/32.php#:~:text=Es%20un%20procedimiento%20administrativo%2C%20de,tres%20oferentes%20a%20presentar%20propuestas%2C</w:t>
        </w:r>
      </w:hyperlink>
      <w:r w:rsidRPr="00383343">
        <w:rPr>
          <w:rFonts w:ascii="Palatino Linotype" w:eastAsia="Palatino Linotype" w:hAnsi="Palatino Linotype" w:cs="Palatino Linotype"/>
          <w:sz w:val="22"/>
        </w:rPr>
        <w:t xml:space="preserve">) </w:t>
      </w:r>
      <w:r w:rsidRPr="00383343">
        <w:rPr>
          <w:rFonts w:ascii="Palatino Linotype" w:eastAsia="Palatino Linotype" w:hAnsi="Palatino Linotype" w:cs="Palatino Linotype"/>
        </w:rPr>
        <w:t>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2586AA5B" w14:textId="77777777" w:rsidR="00227026" w:rsidRPr="00383343" w:rsidRDefault="00227026" w:rsidP="00227026">
      <w:pPr>
        <w:spacing w:line="360" w:lineRule="auto"/>
        <w:ind w:right="49"/>
        <w:jc w:val="both"/>
        <w:rPr>
          <w:rFonts w:ascii="Palatino Linotype" w:eastAsia="Palatino Linotype" w:hAnsi="Palatino Linotype" w:cs="Palatino Linotype"/>
        </w:rPr>
      </w:pPr>
    </w:p>
    <w:p w14:paraId="3A421B15" w14:textId="77777777" w:rsidR="00227026" w:rsidRPr="00383343" w:rsidRDefault="00227026" w:rsidP="00227026">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Ahora bien, es de precisar que la Ley Orgánica Municipal del Estado de México en su artículo 31 señala que son atribuciones de los ayuntamientos, las siguientes: </w:t>
      </w:r>
    </w:p>
    <w:p w14:paraId="1515CD0C" w14:textId="77777777" w:rsidR="00227026" w:rsidRPr="00383343" w:rsidRDefault="00227026" w:rsidP="00227026">
      <w:pPr>
        <w:spacing w:line="360" w:lineRule="auto"/>
        <w:ind w:right="49"/>
        <w:jc w:val="both"/>
        <w:rPr>
          <w:rFonts w:ascii="Palatino Linotype" w:eastAsia="Palatino Linotype" w:hAnsi="Palatino Linotype" w:cs="Palatino Linotype"/>
        </w:rPr>
      </w:pPr>
    </w:p>
    <w:p w14:paraId="006805BA" w14:textId="77777777" w:rsidR="00227026" w:rsidRPr="00383343" w:rsidRDefault="00227026" w:rsidP="00227026">
      <w:pPr>
        <w:spacing w:line="276" w:lineRule="auto"/>
        <w:ind w:left="567" w:right="560"/>
        <w:jc w:val="both"/>
        <w:rPr>
          <w:rFonts w:ascii="Palatino Linotype" w:eastAsia="Palatino Linotype" w:hAnsi="Palatino Linotype" w:cs="Palatino Linotype"/>
          <w:i/>
          <w:sz w:val="22"/>
        </w:rPr>
      </w:pPr>
      <w:r w:rsidRPr="00383343">
        <w:rPr>
          <w:rFonts w:ascii="Palatino Linotype" w:hAnsi="Palatino Linotype"/>
          <w:b/>
          <w:i/>
          <w:sz w:val="22"/>
        </w:rPr>
        <w:t>Artículo 31.-</w:t>
      </w:r>
      <w:r w:rsidRPr="00383343">
        <w:rPr>
          <w:rFonts w:ascii="Palatino Linotype" w:hAnsi="Palatino Linotype"/>
          <w:i/>
          <w:sz w:val="22"/>
        </w:rPr>
        <w:t xml:space="preserve"> Son atribuciones de los ayuntamientos:</w:t>
      </w:r>
    </w:p>
    <w:p w14:paraId="31B0652C" w14:textId="77777777" w:rsidR="00227026" w:rsidRPr="00383343" w:rsidRDefault="00227026" w:rsidP="00227026">
      <w:pPr>
        <w:spacing w:line="276" w:lineRule="auto"/>
        <w:ind w:left="567" w:right="560"/>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p>
    <w:p w14:paraId="57261017" w14:textId="77777777" w:rsidR="00227026" w:rsidRPr="00383343" w:rsidRDefault="00227026" w:rsidP="00227026">
      <w:pPr>
        <w:spacing w:line="276" w:lineRule="auto"/>
        <w:ind w:left="567" w:right="560"/>
        <w:jc w:val="both"/>
        <w:rPr>
          <w:rFonts w:ascii="Palatino Linotype" w:hAnsi="Palatino Linotype"/>
          <w:i/>
          <w:sz w:val="22"/>
        </w:rPr>
      </w:pPr>
      <w:r w:rsidRPr="00383343">
        <w:rPr>
          <w:rFonts w:ascii="Palatino Linotype" w:hAnsi="Palatino Linotype"/>
          <w:i/>
          <w:sz w:val="22"/>
        </w:rPr>
        <w:t xml:space="preserve">VII. Convenir, </w:t>
      </w:r>
      <w:r w:rsidRPr="00383343">
        <w:rPr>
          <w:rFonts w:ascii="Palatino Linotype" w:hAnsi="Palatino Linotype"/>
          <w:b/>
          <w:i/>
          <w:sz w:val="22"/>
          <w:u w:val="single"/>
        </w:rPr>
        <w:t xml:space="preserve">contratar </w:t>
      </w:r>
      <w:r w:rsidRPr="00383343">
        <w:rPr>
          <w:rFonts w:ascii="Palatino Linotype" w:hAnsi="Palatino Linotype"/>
          <w:i/>
          <w:sz w:val="22"/>
        </w:rPr>
        <w:t>o concesionar, en términos de ley, la ejecución de obras y la</w:t>
      </w:r>
      <w:r w:rsidRPr="00383343">
        <w:rPr>
          <w:rFonts w:ascii="Palatino Linotype" w:hAnsi="Palatino Linotype"/>
          <w:b/>
          <w:i/>
          <w:sz w:val="22"/>
          <w:u w:val="single"/>
        </w:rPr>
        <w:t xml:space="preserve"> prestación de servicios públicos</w:t>
      </w:r>
      <w:r w:rsidRPr="00383343">
        <w:rPr>
          <w:rFonts w:ascii="Palatino Linotype" w:hAnsi="Palatino Linotype"/>
          <w:i/>
          <w:sz w:val="22"/>
        </w:rPr>
        <w:t>, con el Estado, con otros municipios de la entidad o con particulares, recabando, cuando proceda, la autorización de la Legislatura del Estado;</w:t>
      </w:r>
    </w:p>
    <w:p w14:paraId="6A44390A" w14:textId="77777777" w:rsidR="00227026" w:rsidRPr="00383343" w:rsidRDefault="00227026" w:rsidP="00227026">
      <w:pPr>
        <w:spacing w:line="276" w:lineRule="auto"/>
        <w:ind w:left="567" w:right="560"/>
        <w:jc w:val="both"/>
        <w:rPr>
          <w:rFonts w:ascii="Palatino Linotype" w:hAnsi="Palatino Linotype"/>
          <w:i/>
          <w:sz w:val="22"/>
        </w:rPr>
      </w:pPr>
      <w:r w:rsidRPr="00383343">
        <w:rPr>
          <w:rFonts w:ascii="Palatino Linotype" w:hAnsi="Palatino Linotype"/>
          <w:i/>
          <w:sz w:val="22"/>
        </w:rPr>
        <w:t>…</w:t>
      </w:r>
    </w:p>
    <w:p w14:paraId="564D2A0B" w14:textId="77777777" w:rsidR="00227026" w:rsidRPr="00383343" w:rsidRDefault="00227026" w:rsidP="00227026">
      <w:pPr>
        <w:spacing w:line="276" w:lineRule="auto"/>
        <w:ind w:left="567" w:right="560"/>
        <w:jc w:val="both"/>
        <w:rPr>
          <w:rFonts w:ascii="Palatino Linotype" w:eastAsia="Palatino Linotype" w:hAnsi="Palatino Linotype" w:cs="Palatino Linotype"/>
          <w:i/>
        </w:rPr>
      </w:pPr>
    </w:p>
    <w:p w14:paraId="6952DA09" w14:textId="1830C6C1" w:rsidR="00227026" w:rsidRPr="00383343" w:rsidRDefault="00D6232B" w:rsidP="0022702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De lo anterior se colige que, </w:t>
      </w:r>
      <w:r w:rsidR="00227026" w:rsidRPr="00383343">
        <w:rPr>
          <w:rFonts w:ascii="Palatino Linotype" w:eastAsia="Palatino Linotype" w:hAnsi="Palatino Linotype" w:cs="Palatino Linotype"/>
        </w:rPr>
        <w:t xml:space="preserve">los ayuntamientos </w:t>
      </w:r>
      <w:r w:rsidR="00FA6F09" w:rsidRPr="00383343">
        <w:rPr>
          <w:rFonts w:ascii="Palatino Linotype" w:eastAsia="Palatino Linotype" w:hAnsi="Palatino Linotype" w:cs="Palatino Linotype"/>
        </w:rPr>
        <w:t xml:space="preserve">tienen facultades, atribuciones y competencias para generar, administrar y poseer la información solicitada por la parte Recurrente. </w:t>
      </w:r>
    </w:p>
    <w:p w14:paraId="4DE149C3" w14:textId="77777777" w:rsidR="00227026" w:rsidRPr="00383343" w:rsidRDefault="00227026" w:rsidP="00227026">
      <w:pPr>
        <w:spacing w:line="360" w:lineRule="auto"/>
        <w:jc w:val="both"/>
        <w:rPr>
          <w:rFonts w:ascii="Palatino Linotype" w:eastAsia="Palatino Linotype" w:hAnsi="Palatino Linotype" w:cs="Palatino Linotype"/>
        </w:rPr>
      </w:pPr>
    </w:p>
    <w:p w14:paraId="56D7973A" w14:textId="0F8BBB6A" w:rsidR="00227026" w:rsidRPr="00383343" w:rsidRDefault="00227026" w:rsidP="00227026">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lastRenderedPageBreak/>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194C6E34" w14:textId="77777777" w:rsidR="008D7E32" w:rsidRPr="00383343" w:rsidRDefault="008D7E32" w:rsidP="00227026">
      <w:pPr>
        <w:spacing w:line="360" w:lineRule="auto"/>
        <w:jc w:val="both"/>
        <w:rPr>
          <w:rFonts w:ascii="Palatino Linotype" w:eastAsia="Palatino Linotype" w:hAnsi="Palatino Linotype" w:cs="Palatino Linotype"/>
        </w:rPr>
      </w:pPr>
    </w:p>
    <w:p w14:paraId="2B8FF049" w14:textId="233E4C3D" w:rsidR="00527423" w:rsidRPr="00383343" w:rsidRDefault="00527423" w:rsidP="00527423">
      <w:pPr>
        <w:spacing w:line="276" w:lineRule="auto"/>
        <w:ind w:left="567" w:right="900"/>
        <w:jc w:val="both"/>
        <w:rPr>
          <w:rFonts w:ascii="Palatino Linotype" w:hAnsi="Palatino Linotype"/>
          <w:i/>
          <w:sz w:val="22"/>
        </w:rPr>
      </w:pPr>
      <w:r w:rsidRPr="00383343">
        <w:rPr>
          <w:rFonts w:ascii="Palatino Linotype" w:hAnsi="Palatino Linotype"/>
          <w:b/>
          <w:i/>
          <w:sz w:val="22"/>
        </w:rPr>
        <w:t>Artículo 92.</w:t>
      </w:r>
      <w:r w:rsidRPr="00383343">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FF94FB" w14:textId="5F824003" w:rsidR="00527423" w:rsidRPr="00383343" w:rsidRDefault="00527423" w:rsidP="00527423">
      <w:pPr>
        <w:spacing w:line="276" w:lineRule="auto"/>
        <w:ind w:left="567" w:right="900"/>
        <w:jc w:val="both"/>
        <w:rPr>
          <w:rFonts w:ascii="Palatino Linotype" w:hAnsi="Palatino Linotype"/>
          <w:i/>
          <w:sz w:val="22"/>
        </w:rPr>
      </w:pPr>
      <w:r w:rsidRPr="00383343">
        <w:rPr>
          <w:rFonts w:ascii="Palatino Linotype" w:hAnsi="Palatino Linotype"/>
          <w:i/>
          <w:sz w:val="22"/>
        </w:rPr>
        <w:t>…</w:t>
      </w:r>
    </w:p>
    <w:p w14:paraId="22DEAB0D" w14:textId="293ADDF8"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b/>
          <w:i/>
          <w:sz w:val="22"/>
        </w:rPr>
        <w:t>XXIX.</w:t>
      </w:r>
      <w:r w:rsidRPr="00383343">
        <w:rPr>
          <w:rFonts w:ascii="Palatino Linotype" w:hAnsi="Palatino Linotype"/>
          <w:i/>
          <w:sz w:val="22"/>
        </w:rPr>
        <w:t xml:space="preserve"> La información sobre los procesos y resultados sobre procedimientos de adjudicación directa </w:t>
      </w:r>
      <w:r w:rsidR="00527423" w:rsidRPr="00383343">
        <w:rPr>
          <w:rFonts w:ascii="Palatino Linotype" w:hAnsi="Palatino Linotype"/>
          <w:i/>
          <w:sz w:val="22"/>
        </w:rPr>
        <w:t>i</w:t>
      </w:r>
      <w:r w:rsidRPr="00383343">
        <w:rPr>
          <w:rFonts w:ascii="Palatino Linotype" w:hAnsi="Palatino Linotype"/>
          <w:i/>
          <w:sz w:val="22"/>
        </w:rPr>
        <w:t xml:space="preserve">nvitación restringida y licitación de cualquier naturaleza, incluyendo la versión pública del expediente respectivo y de los contratos celebrados, que deberán contener, por los menos, lo siguiente: </w:t>
      </w:r>
    </w:p>
    <w:p w14:paraId="700B517C" w14:textId="77777777" w:rsidR="00527423" w:rsidRPr="00383343" w:rsidRDefault="00227026" w:rsidP="00527423">
      <w:pPr>
        <w:spacing w:line="276" w:lineRule="auto"/>
        <w:ind w:left="567" w:right="900"/>
        <w:jc w:val="both"/>
        <w:rPr>
          <w:rFonts w:ascii="Palatino Linotype" w:hAnsi="Palatino Linotype"/>
          <w:b/>
          <w:i/>
          <w:sz w:val="22"/>
          <w:u w:val="single"/>
        </w:rPr>
      </w:pPr>
      <w:r w:rsidRPr="00383343">
        <w:rPr>
          <w:rFonts w:ascii="Palatino Linotype" w:hAnsi="Palatino Linotype"/>
          <w:b/>
          <w:i/>
          <w:sz w:val="22"/>
          <w:u w:val="single"/>
        </w:rPr>
        <w:t xml:space="preserve">a) De licitaciones públicas o procedimientos de invitación restringida: </w:t>
      </w:r>
    </w:p>
    <w:p w14:paraId="68D8BD82"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1) La convocatoria o invitación emitida, así como los fundamentos legales aplicados para llevarla a cabo; </w:t>
      </w:r>
    </w:p>
    <w:p w14:paraId="7AC131C9" w14:textId="5DEB1A3D"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2) Los nombres de los participantes o invitados; </w:t>
      </w:r>
    </w:p>
    <w:p w14:paraId="393DEB91" w14:textId="77777777" w:rsidR="00527423" w:rsidRPr="00383343" w:rsidRDefault="00227026" w:rsidP="00527423">
      <w:pPr>
        <w:spacing w:line="276" w:lineRule="auto"/>
        <w:ind w:left="567" w:right="900"/>
        <w:jc w:val="both"/>
        <w:rPr>
          <w:rFonts w:ascii="Palatino Linotype" w:hAnsi="Palatino Linotype"/>
          <w:b/>
          <w:i/>
          <w:sz w:val="22"/>
          <w:u w:val="single"/>
        </w:rPr>
      </w:pPr>
      <w:r w:rsidRPr="00383343">
        <w:rPr>
          <w:rFonts w:ascii="Palatino Linotype" w:hAnsi="Palatino Linotype"/>
          <w:b/>
          <w:i/>
          <w:sz w:val="22"/>
          <w:u w:val="single"/>
        </w:rPr>
        <w:t xml:space="preserve">3) El nombre del ganador y las razones que lo justifican; </w:t>
      </w:r>
    </w:p>
    <w:p w14:paraId="4E5A462C" w14:textId="1782E222"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4) El área solicitante y la responsable de su ejecución; </w:t>
      </w:r>
    </w:p>
    <w:p w14:paraId="1329FEA2"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5) Las convocatorias e invitaciones emitidas; </w:t>
      </w:r>
    </w:p>
    <w:p w14:paraId="1F5A7339" w14:textId="4D1A3CE1"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6) Los dictámenes y fallo de adjudicación; </w:t>
      </w:r>
    </w:p>
    <w:p w14:paraId="029E6E24" w14:textId="77777777" w:rsidR="00527423" w:rsidRPr="00383343" w:rsidRDefault="00227026" w:rsidP="00527423">
      <w:pPr>
        <w:spacing w:line="276" w:lineRule="auto"/>
        <w:ind w:left="567" w:right="900"/>
        <w:jc w:val="both"/>
        <w:rPr>
          <w:rFonts w:ascii="Palatino Linotype" w:hAnsi="Palatino Linotype"/>
          <w:b/>
          <w:i/>
          <w:sz w:val="22"/>
          <w:u w:val="single"/>
        </w:rPr>
      </w:pPr>
      <w:r w:rsidRPr="00383343">
        <w:rPr>
          <w:rFonts w:ascii="Palatino Linotype" w:hAnsi="Palatino Linotype"/>
          <w:b/>
          <w:i/>
          <w:sz w:val="22"/>
          <w:u w:val="single"/>
        </w:rPr>
        <w:t xml:space="preserve">7) El contrato y, en su caso, sus anexos; </w:t>
      </w:r>
    </w:p>
    <w:p w14:paraId="1411A560"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8) Los mecanismos de vigilancia y supervisión, incluyendo en su caso, los estudios de impacto urbano y ambiental, según corresponda; </w:t>
      </w:r>
    </w:p>
    <w:p w14:paraId="3777B3EB" w14:textId="040205C8"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9) La partida presupuestal, de conformidad con el clasificador por objeto del gasto, en el caso de ser aplicable; </w:t>
      </w:r>
    </w:p>
    <w:p w14:paraId="270D33CC"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10) Origen de los recursos especificando si son federales, estatales o municipales, así como el tipo de fondo de participación o aportación respectiva; </w:t>
      </w:r>
    </w:p>
    <w:p w14:paraId="5CA45693" w14:textId="77777777" w:rsidR="00527423" w:rsidRPr="00383343" w:rsidRDefault="00527423" w:rsidP="00527423">
      <w:pPr>
        <w:spacing w:line="276" w:lineRule="auto"/>
        <w:ind w:left="567" w:right="900"/>
        <w:jc w:val="both"/>
        <w:rPr>
          <w:rFonts w:ascii="Palatino Linotype" w:hAnsi="Palatino Linotype"/>
          <w:i/>
          <w:sz w:val="22"/>
        </w:rPr>
      </w:pPr>
      <w:r w:rsidRPr="00383343">
        <w:rPr>
          <w:rFonts w:ascii="Palatino Linotype" w:hAnsi="Palatino Linotype"/>
          <w:i/>
          <w:sz w:val="22"/>
        </w:rPr>
        <w:lastRenderedPageBreak/>
        <w:t>1</w:t>
      </w:r>
      <w:r w:rsidR="00227026" w:rsidRPr="00383343">
        <w:rPr>
          <w:rFonts w:ascii="Palatino Linotype" w:hAnsi="Palatino Linotype"/>
          <w:i/>
          <w:sz w:val="22"/>
        </w:rPr>
        <w:t xml:space="preserve">1) Los convenios modificatorios que, en su caso, sean firmados, precisando el objeto y la fecha de celebración; </w:t>
      </w:r>
    </w:p>
    <w:p w14:paraId="2C870F26" w14:textId="77777777" w:rsidR="00527423" w:rsidRPr="00383343" w:rsidRDefault="00227026" w:rsidP="00527423">
      <w:pPr>
        <w:spacing w:line="276" w:lineRule="auto"/>
        <w:ind w:left="567" w:right="900"/>
        <w:jc w:val="both"/>
        <w:rPr>
          <w:rFonts w:ascii="Palatino Linotype" w:hAnsi="Palatino Linotype"/>
          <w:b/>
          <w:i/>
          <w:sz w:val="22"/>
          <w:u w:val="single"/>
        </w:rPr>
      </w:pPr>
      <w:r w:rsidRPr="00383343">
        <w:rPr>
          <w:rFonts w:ascii="Palatino Linotype" w:hAnsi="Palatino Linotype"/>
          <w:b/>
          <w:i/>
          <w:sz w:val="22"/>
          <w:u w:val="single"/>
        </w:rPr>
        <w:t xml:space="preserve">12) Los informes de avance físico y financiero sobre las obras o servicios contratados; </w:t>
      </w:r>
    </w:p>
    <w:p w14:paraId="60DB061B" w14:textId="545CF7E6"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13) El convenio de terminación; y </w:t>
      </w:r>
    </w:p>
    <w:p w14:paraId="1819EA94"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14) El finiquito. </w:t>
      </w:r>
    </w:p>
    <w:p w14:paraId="69CC8E36" w14:textId="77777777" w:rsidR="00FA360E" w:rsidRPr="00383343" w:rsidRDefault="00FA360E" w:rsidP="00527423">
      <w:pPr>
        <w:spacing w:line="276" w:lineRule="auto"/>
        <w:ind w:left="567" w:right="900"/>
        <w:jc w:val="both"/>
        <w:rPr>
          <w:rFonts w:ascii="Palatino Linotype" w:hAnsi="Palatino Linotype"/>
          <w:i/>
          <w:sz w:val="22"/>
        </w:rPr>
      </w:pPr>
    </w:p>
    <w:p w14:paraId="47A75A2E" w14:textId="77777777" w:rsidR="00527423" w:rsidRPr="00383343" w:rsidRDefault="00227026" w:rsidP="00527423">
      <w:pPr>
        <w:spacing w:line="276" w:lineRule="auto"/>
        <w:ind w:left="567" w:right="900"/>
        <w:jc w:val="both"/>
        <w:rPr>
          <w:rFonts w:ascii="Palatino Linotype" w:hAnsi="Palatino Linotype"/>
          <w:b/>
          <w:i/>
          <w:sz w:val="22"/>
          <w:u w:val="single"/>
        </w:rPr>
      </w:pPr>
      <w:r w:rsidRPr="00383343">
        <w:rPr>
          <w:rFonts w:ascii="Palatino Linotype" w:hAnsi="Palatino Linotype"/>
          <w:b/>
          <w:i/>
          <w:sz w:val="22"/>
          <w:u w:val="single"/>
        </w:rPr>
        <w:t xml:space="preserve">b) De las adjudicaciones directas: </w:t>
      </w:r>
    </w:p>
    <w:p w14:paraId="0D9F1D42" w14:textId="7A3B6874"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1) La propuesta enviada por el participante; </w:t>
      </w:r>
    </w:p>
    <w:p w14:paraId="254F8033"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2) Los motivos y fundamentos legales aplicados para llevarla a cabo; </w:t>
      </w:r>
    </w:p>
    <w:p w14:paraId="542330DC" w14:textId="75F5E4BD"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3) La autorización del ejercicio de la opción; </w:t>
      </w:r>
    </w:p>
    <w:p w14:paraId="75551A0C"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4) En su caso, las cotizaciones consideradas, especificando los nombres de los proveedores y sus montos; </w:t>
      </w:r>
    </w:p>
    <w:p w14:paraId="30728211"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5) El nombre de la persona física o jurídica colectiva adjudicada; </w:t>
      </w:r>
    </w:p>
    <w:p w14:paraId="7A3B7E29" w14:textId="33F49A8C"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6) La unidad administrativa solicitante y la responsable de su ejecución; </w:t>
      </w:r>
    </w:p>
    <w:p w14:paraId="751DF6A5"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7) El número, fecha, el monto del contrato y el plazo de entrega o de ejecución de los servicios u obra; </w:t>
      </w:r>
    </w:p>
    <w:p w14:paraId="49D9B491" w14:textId="198BFCCC"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8) Los mecanismos de vigilancia y supervisión, incluyendo, en su caso, los estudios de impacto urbano y ambiental, según corresponda; </w:t>
      </w:r>
    </w:p>
    <w:p w14:paraId="19809CE1"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9) Los informes de avance sobre las obras o servicios contratados; </w:t>
      </w:r>
    </w:p>
    <w:p w14:paraId="3DE5F48A" w14:textId="77777777" w:rsidR="00527423"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 xml:space="preserve">10) El convenio de terminación; y </w:t>
      </w:r>
    </w:p>
    <w:p w14:paraId="7EA17B04" w14:textId="39E31D70" w:rsidR="00227026" w:rsidRPr="00383343" w:rsidRDefault="00227026" w:rsidP="00527423">
      <w:pPr>
        <w:spacing w:line="276" w:lineRule="auto"/>
        <w:ind w:left="567" w:right="900"/>
        <w:jc w:val="both"/>
        <w:rPr>
          <w:rFonts w:ascii="Palatino Linotype" w:hAnsi="Palatino Linotype"/>
          <w:i/>
          <w:sz w:val="22"/>
        </w:rPr>
      </w:pPr>
      <w:r w:rsidRPr="00383343">
        <w:rPr>
          <w:rFonts w:ascii="Palatino Linotype" w:hAnsi="Palatino Linotype"/>
          <w:i/>
          <w:sz w:val="22"/>
        </w:rPr>
        <w:t>11) El finiquito.</w:t>
      </w:r>
    </w:p>
    <w:p w14:paraId="025816B5" w14:textId="77777777" w:rsidR="00B47B61" w:rsidRPr="00383343" w:rsidRDefault="00B47B61">
      <w:pPr>
        <w:spacing w:line="360" w:lineRule="auto"/>
        <w:ind w:right="49"/>
        <w:jc w:val="both"/>
        <w:rPr>
          <w:rFonts w:ascii="Palatino Linotype" w:hAnsi="Palatino Linotype"/>
        </w:rPr>
      </w:pPr>
    </w:p>
    <w:p w14:paraId="2245972F" w14:textId="2B3C3764" w:rsidR="00FA6F09" w:rsidRPr="00383343" w:rsidRDefault="00527423" w:rsidP="00D8337B">
      <w:pPr>
        <w:spacing w:line="360" w:lineRule="auto"/>
        <w:ind w:right="49"/>
        <w:jc w:val="both"/>
        <w:rPr>
          <w:rFonts w:ascii="Palatino Linotype" w:hAnsi="Palatino Linotype"/>
        </w:rPr>
      </w:pPr>
      <w:r w:rsidRPr="00383343">
        <w:rPr>
          <w:rFonts w:ascii="Palatino Linotype" w:hAnsi="Palatino Linotype"/>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4025BEE3" w14:textId="77777777" w:rsidR="0014425E" w:rsidRPr="00383343" w:rsidRDefault="0014425E" w:rsidP="00D8337B">
      <w:pPr>
        <w:spacing w:line="360" w:lineRule="auto"/>
        <w:ind w:right="49"/>
        <w:jc w:val="both"/>
        <w:rPr>
          <w:rFonts w:ascii="Palatino Linotype" w:hAnsi="Palatino Linotype"/>
        </w:rPr>
      </w:pPr>
    </w:p>
    <w:p w14:paraId="6A9AA0E7" w14:textId="354240EF" w:rsidR="00CF4F0B" w:rsidRPr="00383343" w:rsidRDefault="00FA6F09" w:rsidP="00274708">
      <w:pPr>
        <w:pStyle w:val="Prrafodelista"/>
        <w:spacing w:line="360" w:lineRule="auto"/>
        <w:ind w:left="0"/>
        <w:contextualSpacing/>
        <w:jc w:val="both"/>
        <w:rPr>
          <w:rFonts w:ascii="Palatino Linotype" w:hAnsi="Palatino Linotype" w:cs="Arial"/>
          <w:bCs/>
          <w:sz w:val="24"/>
        </w:rPr>
      </w:pPr>
      <w:r w:rsidRPr="00383343">
        <w:rPr>
          <w:rFonts w:ascii="Palatino Linotype" w:hAnsi="Palatino Linotype" w:cs="Arial"/>
          <w:bCs/>
          <w:sz w:val="24"/>
        </w:rPr>
        <w:t xml:space="preserve">Ahora bien, en cuanto hace al agravio hecho valer por la parte Recurrente, relacionado con la falta de entrega del </w:t>
      </w:r>
      <w:r w:rsidR="00274708" w:rsidRPr="00383343">
        <w:rPr>
          <w:rFonts w:ascii="Palatino Linotype" w:hAnsi="Palatino Linotype" w:cs="Arial"/>
          <w:bCs/>
          <w:sz w:val="24"/>
        </w:rPr>
        <w:t xml:space="preserve">contrato número, TEX/DGA/CAYS/AD/RS/001/2023, celebrado entre la empresa Grupo Contadero </w:t>
      </w:r>
      <w:r w:rsidR="00274708" w:rsidRPr="00383343">
        <w:rPr>
          <w:rFonts w:ascii="Palatino Linotype" w:hAnsi="Palatino Linotype" w:cs="Arial"/>
          <w:bCs/>
          <w:sz w:val="24"/>
        </w:rPr>
        <w:lastRenderedPageBreak/>
        <w:t xml:space="preserve">S.A. de C.V. y el Municipio de Texcoco, para la disposición final, en el relleno en el municipio de San Vicente Chicoloapan, se tiene que, </w:t>
      </w:r>
      <w:r w:rsidR="0014425E" w:rsidRPr="00383343">
        <w:rPr>
          <w:rFonts w:ascii="Palatino Linotype" w:hAnsi="Palatino Linotype" w:cs="Arial"/>
          <w:bCs/>
          <w:sz w:val="24"/>
        </w:rPr>
        <w:t>de las constancias que integran el expediente electrónico,</w:t>
      </w:r>
      <w:r w:rsidR="00CF4F0B" w:rsidRPr="00383343">
        <w:rPr>
          <w:rFonts w:ascii="Palatino Linotype" w:hAnsi="Palatino Linotype" w:cs="Arial"/>
          <w:bCs/>
          <w:sz w:val="24"/>
        </w:rPr>
        <w:t xml:space="preserve"> si bien, el titular de la Unidad de Transparencia mencionó que se había turnado la solicitud de información a la Dirección General de Administración, quien había remitido el contrato, también lo es que, no se advierte algún documento adjunto en respuesta, situación por la que la parte Solicitante presentó su medio de impugnación. </w:t>
      </w:r>
    </w:p>
    <w:p w14:paraId="1E560FEC" w14:textId="77777777" w:rsidR="0014425E" w:rsidRPr="00383343" w:rsidRDefault="0014425E" w:rsidP="00274708">
      <w:pPr>
        <w:pStyle w:val="Prrafodelista"/>
        <w:spacing w:line="360" w:lineRule="auto"/>
        <w:ind w:left="0"/>
        <w:contextualSpacing/>
        <w:jc w:val="both"/>
        <w:rPr>
          <w:rFonts w:ascii="Palatino Linotype" w:hAnsi="Palatino Linotype" w:cs="Arial"/>
          <w:bCs/>
          <w:sz w:val="24"/>
        </w:rPr>
      </w:pPr>
    </w:p>
    <w:p w14:paraId="787F6733" w14:textId="7D20C032" w:rsidR="00274708" w:rsidRPr="00383343" w:rsidRDefault="0014425E" w:rsidP="00274708">
      <w:pPr>
        <w:pStyle w:val="Prrafodelista"/>
        <w:spacing w:line="360" w:lineRule="auto"/>
        <w:ind w:left="0"/>
        <w:contextualSpacing/>
        <w:jc w:val="both"/>
        <w:rPr>
          <w:rFonts w:ascii="Palatino Linotype" w:hAnsi="Palatino Linotype" w:cs="Arial"/>
          <w:bCs/>
          <w:sz w:val="24"/>
        </w:rPr>
      </w:pPr>
      <w:r w:rsidRPr="00383343">
        <w:rPr>
          <w:rFonts w:ascii="Palatino Linotype" w:hAnsi="Palatino Linotype" w:cs="Arial"/>
          <w:bCs/>
          <w:sz w:val="24"/>
        </w:rPr>
        <w:t xml:space="preserve">Ante la inconformidad del particular, el Sujeto Obligado </w:t>
      </w:r>
      <w:r w:rsidR="00274708" w:rsidRPr="00383343">
        <w:rPr>
          <w:rFonts w:ascii="Palatino Linotype" w:hAnsi="Palatino Linotype" w:cs="Arial"/>
          <w:bCs/>
          <w:sz w:val="24"/>
        </w:rPr>
        <w:t>mediante informe justificado</w:t>
      </w:r>
      <w:r w:rsidRPr="00383343">
        <w:rPr>
          <w:rFonts w:ascii="Palatino Linotype" w:hAnsi="Palatino Linotype" w:cs="Arial"/>
          <w:bCs/>
          <w:sz w:val="24"/>
        </w:rPr>
        <w:t xml:space="preserve"> </w:t>
      </w:r>
      <w:r w:rsidR="00274708" w:rsidRPr="00383343">
        <w:rPr>
          <w:rFonts w:ascii="Palatino Linotype" w:hAnsi="Palatino Linotype" w:cs="Arial"/>
          <w:bCs/>
          <w:sz w:val="24"/>
        </w:rPr>
        <w:t xml:space="preserve">remitió el contrato que mencionó en respuesta, tal como, se logra observar a continuación: </w:t>
      </w:r>
    </w:p>
    <w:p w14:paraId="6ED0BE91" w14:textId="77777777" w:rsidR="00274708" w:rsidRPr="00383343" w:rsidRDefault="00274708" w:rsidP="00274708">
      <w:pPr>
        <w:pStyle w:val="Prrafodelista"/>
        <w:spacing w:line="360" w:lineRule="auto"/>
        <w:ind w:left="0"/>
        <w:contextualSpacing/>
        <w:jc w:val="both"/>
        <w:rPr>
          <w:rFonts w:ascii="Palatino Linotype" w:hAnsi="Palatino Linotype" w:cs="Arial"/>
          <w:bCs/>
          <w:sz w:val="24"/>
        </w:rPr>
      </w:pPr>
    </w:p>
    <w:p w14:paraId="7ECCC6E5" w14:textId="2F0D9A61" w:rsidR="00274708" w:rsidRPr="00383343" w:rsidRDefault="00274708" w:rsidP="00274708">
      <w:pPr>
        <w:pStyle w:val="Prrafodelista"/>
        <w:spacing w:line="360" w:lineRule="auto"/>
        <w:ind w:left="0"/>
        <w:contextualSpacing/>
        <w:jc w:val="center"/>
        <w:rPr>
          <w:rFonts w:ascii="Palatino Linotype" w:hAnsi="Palatino Linotype" w:cs="Arial"/>
          <w:bCs/>
          <w:sz w:val="24"/>
        </w:rPr>
      </w:pPr>
      <w:r w:rsidRPr="00383343">
        <w:rPr>
          <w:rFonts w:ascii="Palatino Linotype" w:hAnsi="Palatino Linotype" w:cs="Arial"/>
          <w:bCs/>
          <w:noProof/>
          <w:sz w:val="24"/>
          <w:lang w:val="es-MX" w:eastAsia="es-MX"/>
        </w:rPr>
        <w:drawing>
          <wp:inline distT="0" distB="0" distL="0" distR="0" wp14:anchorId="37E85621" wp14:editId="5DFB703C">
            <wp:extent cx="4354830" cy="2967769"/>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5989" cy="2975374"/>
                    </a:xfrm>
                    <a:prstGeom prst="rect">
                      <a:avLst/>
                    </a:prstGeom>
                  </pic:spPr>
                </pic:pic>
              </a:graphicData>
            </a:graphic>
          </wp:inline>
        </w:drawing>
      </w:r>
    </w:p>
    <w:p w14:paraId="6076F5A7" w14:textId="77777777" w:rsidR="00644DB5" w:rsidRPr="00383343" w:rsidRDefault="00644DB5" w:rsidP="00EE6FB1">
      <w:pPr>
        <w:pStyle w:val="Prrafodelista"/>
        <w:spacing w:line="360" w:lineRule="auto"/>
        <w:ind w:left="0"/>
        <w:contextualSpacing/>
        <w:jc w:val="both"/>
        <w:rPr>
          <w:rFonts w:ascii="Palatino Linotype" w:hAnsi="Palatino Linotype" w:cs="Arial"/>
          <w:bCs/>
          <w:sz w:val="24"/>
        </w:rPr>
      </w:pPr>
    </w:p>
    <w:p w14:paraId="27D737FC" w14:textId="4EE49B06" w:rsidR="0014425E" w:rsidRPr="00383343" w:rsidRDefault="0014425E" w:rsidP="00EE6FB1">
      <w:pPr>
        <w:pStyle w:val="Prrafodelista"/>
        <w:spacing w:line="360" w:lineRule="auto"/>
        <w:ind w:left="0"/>
        <w:contextualSpacing/>
        <w:jc w:val="both"/>
        <w:rPr>
          <w:rFonts w:ascii="Palatino Linotype" w:hAnsi="Palatino Linotype" w:cs="Arial"/>
          <w:bCs/>
          <w:sz w:val="24"/>
        </w:rPr>
      </w:pPr>
      <w:r w:rsidRPr="00383343">
        <w:rPr>
          <w:rFonts w:ascii="Palatino Linotype" w:hAnsi="Palatino Linotype" w:cs="Arial"/>
          <w:bCs/>
          <w:sz w:val="24"/>
        </w:rPr>
        <w:lastRenderedPageBreak/>
        <w:t xml:space="preserve">Documento que en efecto corresponde con lo solicitado, pues se trata del contrato </w:t>
      </w:r>
      <w:r w:rsidR="00CF4F0B" w:rsidRPr="00383343">
        <w:rPr>
          <w:rFonts w:ascii="Palatino Linotype" w:hAnsi="Palatino Linotype" w:cs="Arial"/>
          <w:bCs/>
          <w:sz w:val="24"/>
        </w:rPr>
        <w:t xml:space="preserve">celebrado entre la empresa Grupo Contadero S.A. de C.V. y el Municipio de Texcoco, para la disposición final, en el relleno en el municipio de San Vicente Chicoloapan, número TEX/DGA/CAYS/AD/RS/001/2023. </w:t>
      </w:r>
    </w:p>
    <w:p w14:paraId="0FD50498" w14:textId="77777777" w:rsidR="0014425E" w:rsidRPr="00383343" w:rsidRDefault="0014425E" w:rsidP="00EE6FB1">
      <w:pPr>
        <w:pStyle w:val="Prrafodelista"/>
        <w:spacing w:line="360" w:lineRule="auto"/>
        <w:ind w:left="0"/>
        <w:contextualSpacing/>
        <w:jc w:val="both"/>
        <w:rPr>
          <w:rFonts w:ascii="Palatino Linotype" w:hAnsi="Palatino Linotype" w:cs="Arial"/>
          <w:bCs/>
          <w:sz w:val="24"/>
        </w:rPr>
      </w:pPr>
    </w:p>
    <w:p w14:paraId="38DA0A65" w14:textId="1D4FBDF5" w:rsidR="00274708" w:rsidRPr="00383343" w:rsidRDefault="00274708" w:rsidP="00EE6FB1">
      <w:pPr>
        <w:pStyle w:val="Prrafodelista"/>
        <w:spacing w:line="360" w:lineRule="auto"/>
        <w:ind w:left="0"/>
        <w:contextualSpacing/>
        <w:jc w:val="both"/>
        <w:rPr>
          <w:rFonts w:ascii="Palatino Linotype" w:hAnsi="Palatino Linotype" w:cs="Arial"/>
          <w:bCs/>
          <w:sz w:val="24"/>
        </w:rPr>
      </w:pPr>
      <w:r w:rsidRPr="00383343">
        <w:rPr>
          <w:rFonts w:ascii="Palatino Linotype" w:hAnsi="Palatino Linotype" w:cs="Arial"/>
          <w:bCs/>
          <w:sz w:val="24"/>
        </w:rPr>
        <w:t xml:space="preserve">Sin embargo, este documento no se hizo del conocimiento de la parte Recurrente por haberse expuesto datos personales susceptibles de ser clasificados en términos de la fracción I del artículo 143 de la Ley de Transparencia y Acceso a la Información Pública del Estado de México y Municipios, tales como, el número de la credencial de elector, la cual se estudiará a continuación: </w:t>
      </w:r>
    </w:p>
    <w:p w14:paraId="173730DB" w14:textId="77777777" w:rsidR="0014425E" w:rsidRPr="00383343" w:rsidRDefault="0014425E" w:rsidP="00EE6FB1">
      <w:pPr>
        <w:pStyle w:val="Prrafodelista"/>
        <w:spacing w:line="360" w:lineRule="auto"/>
        <w:ind w:left="0"/>
        <w:contextualSpacing/>
        <w:jc w:val="both"/>
        <w:rPr>
          <w:rFonts w:ascii="Palatino Linotype" w:hAnsi="Palatino Linotype" w:cs="Arial"/>
          <w:bCs/>
          <w:sz w:val="24"/>
        </w:rPr>
      </w:pPr>
    </w:p>
    <w:p w14:paraId="2D7002C7" w14:textId="4B041A3D" w:rsidR="00274708" w:rsidRPr="00383343" w:rsidRDefault="00274708" w:rsidP="00274708">
      <w:pPr>
        <w:pStyle w:val="Prrafodelista"/>
        <w:numPr>
          <w:ilvl w:val="0"/>
          <w:numId w:val="26"/>
        </w:numPr>
        <w:spacing w:line="360" w:lineRule="auto"/>
        <w:contextualSpacing/>
        <w:jc w:val="both"/>
        <w:rPr>
          <w:rFonts w:ascii="Palatino Linotype" w:hAnsi="Palatino Linotype" w:cs="Arial"/>
          <w:b/>
          <w:bCs/>
          <w:sz w:val="24"/>
        </w:rPr>
      </w:pPr>
      <w:r w:rsidRPr="00383343">
        <w:rPr>
          <w:rFonts w:ascii="Palatino Linotype" w:hAnsi="Palatino Linotype"/>
          <w:b/>
        </w:rPr>
        <w:t xml:space="preserve">El número (folio) de la credencial para votar (Reconocimiento Óptico de Caracteres). </w:t>
      </w:r>
      <w:r w:rsidRPr="00383343">
        <w:rPr>
          <w:rFonts w:ascii="Palatino Linotype" w:hAnsi="Palatino Linotype"/>
        </w:rPr>
        <w:t xml:space="preserve">Al respecto, debe precisarse que, en el reverso de la credencial para votar, se advierte la incorporación de un número de control denominado OCR (por sus siglas en inglés </w:t>
      </w:r>
      <w:proofErr w:type="spellStart"/>
      <w:r w:rsidRPr="00383343">
        <w:rPr>
          <w:rFonts w:ascii="Palatino Linotype" w:hAnsi="Palatino Linotype"/>
        </w:rPr>
        <w:t>Optical</w:t>
      </w:r>
      <w:proofErr w:type="spellEnd"/>
      <w:r w:rsidRPr="00383343">
        <w:rPr>
          <w:rFonts w:ascii="Palatino Linotype" w:hAnsi="Palatino Linotype"/>
        </w:rPr>
        <w:t xml:space="preserve"> </w:t>
      </w:r>
      <w:proofErr w:type="spellStart"/>
      <w:r w:rsidRPr="00383343">
        <w:rPr>
          <w:rFonts w:ascii="Palatino Linotype" w:hAnsi="Palatino Linotype"/>
        </w:rPr>
        <w:t>Character</w:t>
      </w:r>
      <w:proofErr w:type="spellEnd"/>
      <w:r w:rsidRPr="00383343">
        <w:rPr>
          <w:rFonts w:ascii="Palatino Linotype" w:hAnsi="Palatino Linotype"/>
        </w:rPr>
        <w:t xml:space="preserve"> </w:t>
      </w:r>
      <w:proofErr w:type="spellStart"/>
      <w:r w:rsidRPr="00383343">
        <w:rPr>
          <w:rFonts w:ascii="Palatino Linotype" w:hAnsi="Palatino Linotype"/>
        </w:rPr>
        <w:t>Recognition</w:t>
      </w:r>
      <w:proofErr w:type="spellEnd"/>
      <w:r w:rsidRPr="00383343">
        <w:rPr>
          <w:rFonts w:ascii="Palatino Linotype" w:hAnsi="Palatino Linotype"/>
        </w:rPr>
        <w:t xml:space="preserve">), el cual se integra de 12 o 13 dígitos de la siguiente manera: los cuatro primeros corresponden con la clave de la sección electoral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383343">
        <w:rPr>
          <w:rFonts w:ascii="Palatino Linotype" w:hAnsi="Palatino Linotype"/>
        </w:rPr>
        <w:t>geoelectoral</w:t>
      </w:r>
      <w:proofErr w:type="spellEnd"/>
      <w:r w:rsidRPr="00383343">
        <w:rPr>
          <w:rFonts w:ascii="Palatino Linotype" w:hAnsi="Palatino Linotype"/>
        </w:rPr>
        <w:t xml:space="preserve"> ahí contenida. </w:t>
      </w:r>
      <w:r w:rsidRPr="00383343">
        <w:rPr>
          <w:rFonts w:ascii="Palatino Linotype" w:hAnsi="Palatino Linotype"/>
          <w:b/>
        </w:rPr>
        <w:t xml:space="preserve">Por lo tanto, se determina que tal dato debe ser considerado como confidencial, por </w:t>
      </w:r>
      <w:r w:rsidRPr="00383343">
        <w:rPr>
          <w:rFonts w:ascii="Palatino Linotype" w:hAnsi="Palatino Linotype"/>
          <w:b/>
        </w:rPr>
        <w:lastRenderedPageBreak/>
        <w:t>configurarse la hipótesis prevista en el artículo 143, fracción I, de la Ley de Transparencia vigente en la entidad.</w:t>
      </w:r>
    </w:p>
    <w:p w14:paraId="3C190E82" w14:textId="77777777" w:rsidR="00274708" w:rsidRPr="00383343" w:rsidRDefault="00274708" w:rsidP="00EE6FB1">
      <w:pPr>
        <w:pStyle w:val="Prrafodelista"/>
        <w:spacing w:line="360" w:lineRule="auto"/>
        <w:ind w:left="0"/>
        <w:contextualSpacing/>
        <w:jc w:val="both"/>
        <w:rPr>
          <w:rFonts w:ascii="Palatino Linotype" w:hAnsi="Palatino Linotype" w:cs="Arial"/>
          <w:bCs/>
          <w:sz w:val="24"/>
        </w:rPr>
      </w:pPr>
    </w:p>
    <w:p w14:paraId="6FC87BAF" w14:textId="3B59F4A9" w:rsidR="00E45040" w:rsidRPr="00383343" w:rsidRDefault="00E45040" w:rsidP="00E45040">
      <w:pPr>
        <w:pStyle w:val="Prrafodelista"/>
        <w:spacing w:line="360" w:lineRule="auto"/>
        <w:ind w:left="0"/>
        <w:contextualSpacing/>
        <w:jc w:val="both"/>
        <w:rPr>
          <w:rFonts w:ascii="Palatino Linotype" w:hAnsi="Palatino Linotype" w:cs="Arial"/>
          <w:b/>
          <w:bCs/>
          <w:sz w:val="24"/>
        </w:rPr>
      </w:pPr>
      <w:r w:rsidRPr="00383343">
        <w:rPr>
          <w:rFonts w:ascii="Palatino Linotype" w:hAnsi="Palatino Linotype" w:cs="Arial"/>
          <w:bCs/>
          <w:sz w:val="24"/>
        </w:rPr>
        <w:t xml:space="preserve">En ese sentido, se tiene que, para </w:t>
      </w:r>
      <w:proofErr w:type="gramStart"/>
      <w:r w:rsidRPr="00383343">
        <w:rPr>
          <w:rFonts w:ascii="Palatino Linotype" w:hAnsi="Palatino Linotype" w:cs="Arial"/>
          <w:bCs/>
          <w:sz w:val="24"/>
        </w:rPr>
        <w:t>que</w:t>
      </w:r>
      <w:proofErr w:type="gramEnd"/>
      <w:r w:rsidRPr="00383343">
        <w:rPr>
          <w:rFonts w:ascii="Palatino Linotype" w:hAnsi="Palatino Linotype" w:cs="Arial"/>
          <w:bCs/>
          <w:sz w:val="24"/>
        </w:rPr>
        <w:t xml:space="preserve"> en el presente caso, </w:t>
      </w:r>
      <w:bookmarkStart w:id="3" w:name="_heading=h.2et92p0" w:colFirst="0" w:colLast="0"/>
      <w:bookmarkEnd w:id="3"/>
      <w:r w:rsidR="00274708" w:rsidRPr="00383343">
        <w:rPr>
          <w:rFonts w:ascii="Palatino Linotype" w:hAnsi="Palatino Linotype" w:cs="Arial"/>
          <w:bCs/>
          <w:sz w:val="24"/>
        </w:rPr>
        <w:t xml:space="preserve">el Sujeto Obligado, si bien remitió el documento que colma la pretensión de la parte solicitante, también lo es que, no cuidó de los datos contenidos en este, lo cual, de su exposición se causaría un agravio a la esfera de privacidad de alguna persona física, situación por la cual, el requerimiento de información en el presente caso, </w:t>
      </w:r>
      <w:r w:rsidR="00274708" w:rsidRPr="00383343">
        <w:rPr>
          <w:rFonts w:ascii="Palatino Linotype" w:hAnsi="Palatino Linotype" w:cs="Arial"/>
          <w:b/>
          <w:bCs/>
          <w:sz w:val="24"/>
        </w:rPr>
        <w:t xml:space="preserve">no se tiene por colmado. </w:t>
      </w:r>
    </w:p>
    <w:p w14:paraId="287BF1A2" w14:textId="77777777" w:rsidR="00770319" w:rsidRPr="00383343" w:rsidRDefault="00770319" w:rsidP="00E45040">
      <w:pPr>
        <w:pStyle w:val="Prrafodelista"/>
        <w:spacing w:line="360" w:lineRule="auto"/>
        <w:ind w:left="0"/>
        <w:contextualSpacing/>
        <w:jc w:val="both"/>
        <w:rPr>
          <w:rFonts w:ascii="Palatino Linotype" w:hAnsi="Palatino Linotype" w:cs="Arial"/>
          <w:bCs/>
          <w:sz w:val="24"/>
        </w:rPr>
      </w:pPr>
    </w:p>
    <w:p w14:paraId="3095A994" w14:textId="050BCC98" w:rsidR="00EE6FB1" w:rsidRPr="00383343" w:rsidRDefault="00E45040" w:rsidP="00E45040">
      <w:pPr>
        <w:pStyle w:val="Prrafodelista"/>
        <w:spacing w:line="360" w:lineRule="auto"/>
        <w:ind w:left="0"/>
        <w:contextualSpacing/>
        <w:jc w:val="both"/>
        <w:rPr>
          <w:rFonts w:ascii="Palatino Linotype" w:eastAsia="Palatino Linotype" w:hAnsi="Palatino Linotype" w:cs="Palatino Linotype"/>
          <w:sz w:val="24"/>
          <w:szCs w:val="24"/>
        </w:rPr>
      </w:pPr>
      <w:r w:rsidRPr="00383343">
        <w:rPr>
          <w:rFonts w:ascii="Palatino Linotype" w:eastAsia="Palatino Linotype" w:hAnsi="Palatino Linotype" w:cs="Palatino Linotype"/>
          <w:sz w:val="24"/>
          <w:szCs w:val="24"/>
        </w:rPr>
        <w:t>Por lo anterior</w:t>
      </w:r>
      <w:r w:rsidR="00EE6FB1" w:rsidRPr="00383343">
        <w:rPr>
          <w:rFonts w:ascii="Palatino Linotype" w:eastAsia="Palatino Linotype" w:hAnsi="Palatino Linotype" w:cs="Palatino Linotype"/>
          <w:sz w:val="24"/>
          <w:szCs w:val="24"/>
        </w:rPr>
        <w:t xml:space="preserve">, se concluye que los agravios hechos valer por el Particular son </w:t>
      </w:r>
      <w:r w:rsidR="00EE6FB1" w:rsidRPr="00383343">
        <w:rPr>
          <w:rFonts w:ascii="Palatino Linotype" w:eastAsia="Palatino Linotype" w:hAnsi="Palatino Linotype" w:cs="Palatino Linotype"/>
          <w:b/>
          <w:sz w:val="24"/>
          <w:szCs w:val="24"/>
        </w:rPr>
        <w:t xml:space="preserve">FUNDADOS </w:t>
      </w:r>
      <w:r w:rsidR="00EE6FB1" w:rsidRPr="00383343">
        <w:rPr>
          <w:rFonts w:ascii="Palatino Linotype" w:eastAsia="Palatino Linotype" w:hAnsi="Palatino Linotype" w:cs="Palatino Linotype"/>
          <w:sz w:val="24"/>
          <w:szCs w:val="24"/>
        </w:rPr>
        <w:t xml:space="preserve">y, por ende, este Organismo Garante determina </w:t>
      </w:r>
      <w:r w:rsidR="00EE6FB1" w:rsidRPr="00383343">
        <w:rPr>
          <w:rFonts w:ascii="Palatino Linotype" w:eastAsia="Palatino Linotype" w:hAnsi="Palatino Linotype" w:cs="Palatino Linotype"/>
          <w:b/>
          <w:sz w:val="24"/>
          <w:szCs w:val="24"/>
        </w:rPr>
        <w:t xml:space="preserve">MODIFICAR </w:t>
      </w:r>
      <w:r w:rsidR="00EE6FB1" w:rsidRPr="00383343">
        <w:rPr>
          <w:rFonts w:ascii="Palatino Linotype" w:eastAsia="Palatino Linotype" w:hAnsi="Palatino Linotype" w:cs="Palatino Linotype"/>
          <w:sz w:val="24"/>
          <w:szCs w:val="24"/>
        </w:rPr>
        <w:t xml:space="preserve">la respuesta del Sujeto Obligado y; </w:t>
      </w:r>
      <w:r w:rsidR="00EE6FB1" w:rsidRPr="00383343">
        <w:rPr>
          <w:rFonts w:ascii="Palatino Linotype" w:eastAsia="Palatino Linotype" w:hAnsi="Palatino Linotype" w:cs="Palatino Linotype"/>
          <w:b/>
          <w:sz w:val="24"/>
          <w:szCs w:val="24"/>
        </w:rPr>
        <w:t xml:space="preserve">ORDENAR </w:t>
      </w:r>
      <w:r w:rsidR="00274708" w:rsidRPr="00383343">
        <w:rPr>
          <w:rFonts w:ascii="Palatino Linotype" w:eastAsia="Palatino Linotype" w:hAnsi="Palatino Linotype" w:cs="Palatino Linotype"/>
          <w:sz w:val="24"/>
          <w:szCs w:val="24"/>
        </w:rPr>
        <w:t xml:space="preserve">entregar </w:t>
      </w:r>
      <w:r w:rsidR="00EE6FB1" w:rsidRPr="00383343">
        <w:rPr>
          <w:rFonts w:ascii="Palatino Linotype" w:eastAsia="Palatino Linotype" w:hAnsi="Palatino Linotype" w:cs="Palatino Linotype"/>
          <w:sz w:val="24"/>
          <w:szCs w:val="24"/>
        </w:rPr>
        <w:t>en versión pública, vía Sistema de Acceso a la Información Mexiquense, la siguiente información:</w:t>
      </w:r>
    </w:p>
    <w:p w14:paraId="56DDCA87" w14:textId="77777777" w:rsidR="00E45040" w:rsidRPr="00383343" w:rsidRDefault="00E45040" w:rsidP="00E45040">
      <w:pPr>
        <w:pStyle w:val="Prrafodelista"/>
        <w:spacing w:line="360" w:lineRule="auto"/>
        <w:ind w:left="0"/>
        <w:contextualSpacing/>
        <w:jc w:val="both"/>
        <w:rPr>
          <w:rFonts w:ascii="Palatino Linotype" w:hAnsi="Palatino Linotype" w:cs="Arial"/>
          <w:bCs/>
          <w:sz w:val="24"/>
          <w:szCs w:val="24"/>
        </w:rPr>
      </w:pPr>
    </w:p>
    <w:p w14:paraId="69C65DB9" w14:textId="3F4BA710" w:rsidR="00EE6FB1" w:rsidRPr="00383343" w:rsidRDefault="00274708" w:rsidP="00274708">
      <w:pPr>
        <w:pStyle w:val="Prrafodelista"/>
        <w:numPr>
          <w:ilvl w:val="0"/>
          <w:numId w:val="26"/>
        </w:numPr>
        <w:spacing w:line="360" w:lineRule="auto"/>
        <w:ind w:right="616"/>
        <w:contextualSpacing/>
        <w:jc w:val="both"/>
        <w:rPr>
          <w:rFonts w:ascii="Palatino Linotype" w:hAnsi="Palatino Linotype" w:cs="Arial"/>
          <w:b/>
          <w:bCs/>
          <w:sz w:val="28"/>
        </w:rPr>
      </w:pPr>
      <w:r w:rsidRPr="00383343">
        <w:rPr>
          <w:rFonts w:ascii="Palatino Linotype" w:hAnsi="Palatino Linotype" w:cs="Arial"/>
          <w:b/>
          <w:bCs/>
        </w:rPr>
        <w:t xml:space="preserve">Contrato de prestación de servicios número TEX/DGA/CAYS/AD/RS/001/2023 remitido en informe justificado. </w:t>
      </w:r>
    </w:p>
    <w:p w14:paraId="3A21D741" w14:textId="77777777" w:rsidR="00274708" w:rsidRPr="00383343" w:rsidRDefault="00274708" w:rsidP="00042166">
      <w:pPr>
        <w:pStyle w:val="Prrafodelista"/>
        <w:spacing w:line="360" w:lineRule="auto"/>
        <w:ind w:left="720" w:right="616"/>
        <w:contextualSpacing/>
        <w:jc w:val="both"/>
        <w:rPr>
          <w:rFonts w:ascii="Palatino Linotype" w:hAnsi="Palatino Linotype" w:cs="Arial"/>
          <w:bCs/>
          <w:sz w:val="28"/>
        </w:rPr>
      </w:pPr>
    </w:p>
    <w:p w14:paraId="7D5EEFE6" w14:textId="77777777" w:rsidR="00EE6FB1" w:rsidRPr="00383343" w:rsidRDefault="00EE6FB1" w:rsidP="00042166">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E1E7D85" w14:textId="77777777" w:rsidR="00042166" w:rsidRPr="00383343" w:rsidRDefault="00042166" w:rsidP="00E45040">
      <w:pPr>
        <w:pBdr>
          <w:top w:val="nil"/>
          <w:left w:val="nil"/>
          <w:bottom w:val="nil"/>
          <w:right w:val="nil"/>
          <w:between w:val="nil"/>
        </w:pBdr>
        <w:spacing w:line="276" w:lineRule="auto"/>
        <w:ind w:right="49"/>
        <w:jc w:val="both"/>
        <w:rPr>
          <w:rFonts w:ascii="Palatino Linotype" w:eastAsia="Palatino Linotype" w:hAnsi="Palatino Linotype" w:cs="Palatino Linotype"/>
          <w:b/>
          <w:i/>
        </w:rPr>
      </w:pPr>
    </w:p>
    <w:p w14:paraId="5D2BFA30" w14:textId="46C057D3" w:rsidR="00E45040" w:rsidRPr="00383343" w:rsidRDefault="00E45040" w:rsidP="00E45040">
      <w:pPr>
        <w:pBdr>
          <w:top w:val="nil"/>
          <w:left w:val="nil"/>
          <w:bottom w:val="nil"/>
          <w:right w:val="nil"/>
          <w:between w:val="nil"/>
        </w:pBdr>
        <w:spacing w:line="276" w:lineRule="auto"/>
        <w:ind w:right="49"/>
        <w:jc w:val="both"/>
        <w:rPr>
          <w:rFonts w:ascii="Palatino Linotype" w:eastAsia="Palatino Linotype" w:hAnsi="Palatino Linotype" w:cs="Palatino Linotype"/>
          <w:i/>
        </w:rPr>
      </w:pPr>
      <w:r w:rsidRPr="00383343">
        <w:rPr>
          <w:rFonts w:ascii="Palatino Linotype" w:eastAsia="Palatino Linotype" w:hAnsi="Palatino Linotype" w:cs="Palatino Linotype"/>
          <w:i/>
        </w:rPr>
        <w:t xml:space="preserve"> </w:t>
      </w:r>
    </w:p>
    <w:p w14:paraId="1A110C74" w14:textId="77777777" w:rsidR="003E2AB0" w:rsidRPr="00383343" w:rsidRDefault="003E2AB0" w:rsidP="003E2AB0">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b/>
        </w:rPr>
        <w:t>Quinto. Versión Pública</w:t>
      </w:r>
      <w:r w:rsidRPr="00383343">
        <w:rPr>
          <w:rFonts w:ascii="Palatino Linotype" w:eastAsia="Palatino Linotype" w:hAnsi="Palatino Linotype" w:cs="Palatino Linotype"/>
        </w:rPr>
        <w:t xml:space="preserve">. Finalmente, para la entrega de la información que se determina ordenar, el Sujeto Obligado deberá realizar un análisis con la finalidad de </w:t>
      </w:r>
      <w:r w:rsidRPr="00383343">
        <w:rPr>
          <w:rFonts w:ascii="Palatino Linotype" w:eastAsia="Palatino Linotype" w:hAnsi="Palatino Linotype" w:cs="Palatino Linotype"/>
        </w:rPr>
        <w:lastRenderedPageBreak/>
        <w:t>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1B177B5C" w14:textId="77777777" w:rsidR="003E2AB0" w:rsidRPr="00383343" w:rsidRDefault="003E2AB0" w:rsidP="003E2AB0">
      <w:pPr>
        <w:spacing w:line="360" w:lineRule="auto"/>
        <w:jc w:val="both"/>
        <w:rPr>
          <w:rFonts w:ascii="Palatino Linotype" w:eastAsia="Palatino Linotype" w:hAnsi="Palatino Linotype" w:cs="Palatino Linotype"/>
        </w:rPr>
      </w:pPr>
    </w:p>
    <w:p w14:paraId="6EE43B41" w14:textId="77777777" w:rsidR="003E2AB0" w:rsidRPr="00383343" w:rsidRDefault="003E2AB0" w:rsidP="003E2AB0">
      <w:pPr>
        <w:spacing w:line="360" w:lineRule="auto"/>
        <w:ind w:right="50"/>
        <w:jc w:val="both"/>
        <w:rPr>
          <w:rFonts w:ascii="Palatino Linotype" w:eastAsia="Palatino Linotype" w:hAnsi="Palatino Linotype" w:cs="Palatino Linotype"/>
        </w:rPr>
      </w:pPr>
      <w:r w:rsidRPr="00383343">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44C22DB7" w14:textId="77777777" w:rsidR="003E2AB0" w:rsidRPr="00383343" w:rsidRDefault="003E2AB0" w:rsidP="003E2AB0">
      <w:pPr>
        <w:spacing w:line="360" w:lineRule="auto"/>
        <w:ind w:right="50"/>
        <w:jc w:val="both"/>
        <w:rPr>
          <w:rFonts w:ascii="Palatino Linotype" w:eastAsia="Palatino Linotype" w:hAnsi="Palatino Linotype" w:cs="Palatino Linotype"/>
        </w:rPr>
      </w:pPr>
    </w:p>
    <w:p w14:paraId="68609E1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r w:rsidRPr="00383343">
        <w:rPr>
          <w:rFonts w:ascii="Palatino Linotype" w:eastAsia="Palatino Linotype" w:hAnsi="Palatino Linotype" w:cs="Palatino Linotype"/>
          <w:b/>
          <w:i/>
          <w:sz w:val="22"/>
        </w:rPr>
        <w:t>Artículo 3.</w:t>
      </w:r>
      <w:r w:rsidRPr="00383343">
        <w:rPr>
          <w:rFonts w:ascii="Palatino Linotype" w:eastAsia="Palatino Linotype" w:hAnsi="Palatino Linotype" w:cs="Palatino Linotype"/>
          <w:i/>
          <w:sz w:val="22"/>
        </w:rPr>
        <w:t xml:space="preserve"> Para los efectos de la presente Ley se entenderá por:</w:t>
      </w:r>
    </w:p>
    <w:p w14:paraId="5D9EE087"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p>
    <w:p w14:paraId="33189002"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IX. Datos personales: La información concerniente a una persona, identificada o identificable según lo dispuesto por la Ley de Protección de Datos Personales del Estado de México; </w:t>
      </w:r>
    </w:p>
    <w:p w14:paraId="505964F5"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XX. Información clasificada: Aquella considerada por la presente Ley como reservada o confidencial;</w:t>
      </w:r>
    </w:p>
    <w:p w14:paraId="1082E8B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9277D6B"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XLV. Versión pública: Documento en el que se elimine, suprime o borra la información clasificada como reservada o confidencial para permitir su acceso.</w:t>
      </w:r>
    </w:p>
    <w:p w14:paraId="4B0334C8"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p>
    <w:p w14:paraId="550CBE5D"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t>Artículo 91.</w:t>
      </w:r>
      <w:r w:rsidRPr="00383343">
        <w:rPr>
          <w:rFonts w:ascii="Palatino Linotype" w:eastAsia="Palatino Linotype" w:hAnsi="Palatino Linotype" w:cs="Palatino Linotype"/>
          <w:i/>
          <w:sz w:val="22"/>
        </w:rPr>
        <w:t xml:space="preserve"> El acceso a la información pública será restringido excepcionalmente, cuando ésta sea clasificada como reservada o confidencial.</w:t>
      </w:r>
    </w:p>
    <w:p w14:paraId="64EFCA3A"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t>Artículo 132.</w:t>
      </w:r>
      <w:r w:rsidRPr="00383343">
        <w:rPr>
          <w:rFonts w:ascii="Palatino Linotype" w:eastAsia="Palatino Linotype" w:hAnsi="Palatino Linotype" w:cs="Palatino Linotype"/>
          <w:i/>
          <w:sz w:val="22"/>
        </w:rPr>
        <w:t xml:space="preserve"> La clasificación de la información se llevará a cabo en el momento en que:</w:t>
      </w:r>
    </w:p>
    <w:p w14:paraId="5E2E081B" w14:textId="77777777" w:rsidR="003E2AB0" w:rsidRPr="00383343" w:rsidRDefault="003E2AB0" w:rsidP="003E2AB0">
      <w:pPr>
        <w:tabs>
          <w:tab w:val="left" w:pos="1134"/>
        </w:tabs>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 Se reciba una solicitud de acceso a la información;</w:t>
      </w:r>
    </w:p>
    <w:p w14:paraId="26F9E95F" w14:textId="77777777" w:rsidR="003E2AB0" w:rsidRPr="00383343" w:rsidRDefault="003E2AB0" w:rsidP="003E2AB0">
      <w:pPr>
        <w:tabs>
          <w:tab w:val="left" w:pos="1134"/>
        </w:tabs>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 Se determine mediante resolución de autoridad competente; o</w:t>
      </w:r>
    </w:p>
    <w:p w14:paraId="5C7ABB20" w14:textId="77777777" w:rsidR="003E2AB0" w:rsidRPr="00383343" w:rsidRDefault="003E2AB0" w:rsidP="003E2AB0">
      <w:pPr>
        <w:tabs>
          <w:tab w:val="left" w:pos="1134"/>
        </w:tabs>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III. Se generen versiones públicas para dar cumplimiento a las obligaciones de transparencia previstas en esta Ley.</w:t>
      </w:r>
    </w:p>
    <w:p w14:paraId="6B699DC1"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p>
    <w:p w14:paraId="4DD5DAD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lastRenderedPageBreak/>
        <w:t>Artículo 143</w:t>
      </w:r>
      <w:r w:rsidRPr="00383343">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203A43E7"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 Se refiera a la información privada y los datos personales concernientes a una persona física o jurídico colectiva identificada o identificable;</w:t>
      </w:r>
    </w:p>
    <w:p w14:paraId="764BB2C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 Los secretos bancario, fiduciario, industrial, comercial, fiscal, bursátil y postal, cuya titularidad corresponda a particulares, sujetos de derecho internacional o a sujetos obligados cuando no involucren el ejercicio de recursos públicos; y</w:t>
      </w:r>
    </w:p>
    <w:p w14:paraId="51178A63"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III. La que presenten los particulares a los sujetos obligados, de conformidad con lo dispuesto por las leyes o los tratados internacionales.</w:t>
      </w:r>
    </w:p>
    <w:p w14:paraId="0F24D40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La información confidencial no estará sujeta a temporalidad alguna y sólo podrán tener acceso a ella los titulares de la misma, sus representantes y los servidores públicos facultados para ello.</w:t>
      </w:r>
    </w:p>
    <w:p w14:paraId="12E7D9A2"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No se considerará confidencial la información que se encuentre en los registros públicos o en fuentes de acceso público, ni tampoco la que sea considerada por la presente ley como información pública.”</w:t>
      </w:r>
    </w:p>
    <w:p w14:paraId="6394C656" w14:textId="77777777" w:rsidR="003E2AB0" w:rsidRPr="00383343" w:rsidRDefault="003E2AB0" w:rsidP="003E2AB0">
      <w:pPr>
        <w:ind w:left="567" w:right="616"/>
        <w:jc w:val="both"/>
        <w:rPr>
          <w:rFonts w:ascii="Palatino Linotype" w:eastAsia="Palatino Linotype" w:hAnsi="Palatino Linotype" w:cs="Palatino Linotype"/>
          <w:i/>
          <w:sz w:val="22"/>
        </w:rPr>
      </w:pPr>
    </w:p>
    <w:p w14:paraId="5D89AAB5" w14:textId="77777777" w:rsidR="003E2AB0" w:rsidRPr="00383343" w:rsidRDefault="003E2AB0" w:rsidP="003E2AB0">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566B6F4" w14:textId="77777777" w:rsidR="003E2AB0" w:rsidRPr="00383343" w:rsidRDefault="003E2AB0" w:rsidP="003E2AB0">
      <w:pPr>
        <w:jc w:val="both"/>
        <w:rPr>
          <w:rFonts w:ascii="Palatino Linotype" w:eastAsia="Palatino Linotype" w:hAnsi="Palatino Linotype" w:cs="Palatino Linotype"/>
        </w:rPr>
      </w:pPr>
    </w:p>
    <w:p w14:paraId="50854FE8" w14:textId="77777777" w:rsidR="003E2AB0" w:rsidRPr="00383343" w:rsidRDefault="003E2AB0" w:rsidP="003E2AB0">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25576A00" w14:textId="77777777" w:rsidR="003E2AB0" w:rsidRPr="00383343" w:rsidRDefault="003E2AB0" w:rsidP="003E2AB0">
      <w:pPr>
        <w:spacing w:line="360" w:lineRule="auto"/>
        <w:jc w:val="both"/>
        <w:rPr>
          <w:rFonts w:ascii="Palatino Linotype" w:eastAsia="Palatino Linotype" w:hAnsi="Palatino Linotype" w:cs="Palatino Linotype"/>
        </w:rPr>
      </w:pPr>
    </w:p>
    <w:p w14:paraId="258A3900"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lastRenderedPageBreak/>
        <w:t xml:space="preserve"> “</w:t>
      </w:r>
      <w:r w:rsidRPr="00383343">
        <w:rPr>
          <w:rFonts w:ascii="Palatino Linotype" w:eastAsia="Palatino Linotype" w:hAnsi="Palatino Linotype" w:cs="Palatino Linotype"/>
          <w:b/>
          <w:i/>
          <w:sz w:val="22"/>
        </w:rPr>
        <w:t>Quincuagésimo</w:t>
      </w:r>
      <w:r w:rsidRPr="00383343">
        <w:rPr>
          <w:rFonts w:ascii="Palatino Linotype" w:eastAsia="Palatino Linotype" w:hAnsi="Palatino Linotype" w:cs="Palatino Linotype"/>
          <w:i/>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2B974EA"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t>Quincuagésimo primero.</w:t>
      </w:r>
      <w:r w:rsidRPr="00383343">
        <w:rPr>
          <w:rFonts w:ascii="Palatino Linotype" w:eastAsia="Palatino Linotype" w:hAnsi="Palatino Linotype" w:cs="Palatino Linotype"/>
          <w:i/>
          <w:sz w:val="22"/>
        </w:rPr>
        <w:t xml:space="preserve"> Toda acta del Comité de Transparencia deberá contener: </w:t>
      </w:r>
    </w:p>
    <w:p w14:paraId="5FC70C86"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 El número de sesión y fecha; </w:t>
      </w:r>
    </w:p>
    <w:p w14:paraId="72385083"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II. El nombre del área que solicitó la clasificación de información; </w:t>
      </w:r>
    </w:p>
    <w:p w14:paraId="757597A4"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III. La fundamentación legal y motivación correspondiente; </w:t>
      </w:r>
    </w:p>
    <w:p w14:paraId="3B4757B4"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IV. La resolución o resoluciones aprobadas; y </w:t>
      </w:r>
    </w:p>
    <w:p w14:paraId="3AFC683C"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V. La rúbrica o firma digital de cada integrante del Comité de Transparencia. </w:t>
      </w:r>
    </w:p>
    <w:p w14:paraId="0037A975"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Las resoluciones del Comité en las que se haya determinado confirmar o modificar la clasificación de información pública como reservada, deberán incluir, cuando menos: </w:t>
      </w:r>
    </w:p>
    <w:p w14:paraId="726C90F1"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 Los motivos y razonamientos que sustenten la confirmación o modificación de la prueba de daño;</w:t>
      </w:r>
    </w:p>
    <w:p w14:paraId="4A016A88"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II. Descripción de las partes o secciones reservadas, en caso de clasificación parcial; </w:t>
      </w:r>
    </w:p>
    <w:p w14:paraId="3360CABC"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III. El periodo por el que mantendrá su clasificación y fecha de expiración; y </w:t>
      </w:r>
    </w:p>
    <w:p w14:paraId="234E5448"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IV. El nombre del titular y área encargada de realizar la versión pública del documento, en su caso. </w:t>
      </w:r>
    </w:p>
    <w:p w14:paraId="0F041AA9"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En los casos en que se clasifique la información como reservada siempre se entregará o anexará la prueba de daño con la respuesta al solicitante. </w:t>
      </w:r>
    </w:p>
    <w:p w14:paraId="2B7F8A55"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56EA968D"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t>Quincuagésimo segundo.</w:t>
      </w:r>
      <w:r w:rsidRPr="00383343">
        <w:rPr>
          <w:rFonts w:ascii="Palatino Linotype" w:eastAsia="Palatino Linotype" w:hAnsi="Palatino Linotype" w:cs="Palatino Linotype"/>
          <w:i/>
          <w:sz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09E777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En el caso específico de la clasificación y elaboración de versiones públicas de documentos que contengan información confidencial, las áreas de los sujetos obligados deberán: </w:t>
      </w:r>
    </w:p>
    <w:p w14:paraId="5A5ACF33"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 Fijar la fecha en que se elaboró la versión pública y la fecha en la cual el Comité de Transparencia confirmó dicha versión;</w:t>
      </w:r>
    </w:p>
    <w:p w14:paraId="68CBBABB"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 Señalar dentro del documento el tipo de información confidencial que fue testada en cada caso específico, de conformidad con el lineamiento trigésimo octavo; y</w:t>
      </w:r>
    </w:p>
    <w:p w14:paraId="6AC7901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III. Señalar las personas o instancias autorizadas a acceder a la información clasificada.</w:t>
      </w:r>
    </w:p>
    <w:p w14:paraId="04F0B63A"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En los documentos de difusión electrónica, señalar en la primera hoja y en el nombre del archivo, que la versión pública corresponde a un documento que contiene información confidencial.”</w:t>
      </w:r>
    </w:p>
    <w:p w14:paraId="218B9521" w14:textId="77777777" w:rsidR="003E2AB0" w:rsidRPr="00383343" w:rsidRDefault="003E2AB0" w:rsidP="003E2AB0">
      <w:pPr>
        <w:ind w:left="567" w:right="616"/>
        <w:jc w:val="both"/>
        <w:rPr>
          <w:rFonts w:ascii="Palatino Linotype" w:eastAsia="Palatino Linotype" w:hAnsi="Palatino Linotype" w:cs="Palatino Linotype"/>
          <w:i/>
          <w:sz w:val="22"/>
        </w:rPr>
      </w:pPr>
    </w:p>
    <w:p w14:paraId="02E4E676" w14:textId="77777777" w:rsidR="003E2AB0" w:rsidRPr="00383343" w:rsidRDefault="003E2AB0" w:rsidP="003E2AB0">
      <w:pPr>
        <w:spacing w:line="360" w:lineRule="auto"/>
        <w:ind w:right="50"/>
        <w:jc w:val="both"/>
        <w:rPr>
          <w:rFonts w:ascii="Palatino Linotype" w:eastAsia="Palatino Linotype" w:hAnsi="Palatino Linotype" w:cs="Palatino Linotype"/>
        </w:rPr>
      </w:pPr>
      <w:r w:rsidRPr="00383343">
        <w:rPr>
          <w:rFonts w:ascii="Palatino Linotype" w:eastAsia="Palatino Linotype" w:hAnsi="Palatino Linotype" w:cs="Palatino Linotype"/>
        </w:rPr>
        <w:lastRenderedPageBreak/>
        <w:t xml:space="preserve">Asimismo, se deberá observar el Lineamiento Quincuagésimo tercero de los Lineamientos Generales en Materia de Clasificación y Desclasificación de la Información </w:t>
      </w:r>
      <w:proofErr w:type="spellStart"/>
      <w:r w:rsidRPr="00383343">
        <w:rPr>
          <w:rFonts w:ascii="Palatino Linotype" w:eastAsia="Palatino Linotype" w:hAnsi="Palatino Linotype" w:cs="Palatino Linotype"/>
        </w:rPr>
        <w:t>supraindicados</w:t>
      </w:r>
      <w:proofErr w:type="spellEnd"/>
      <w:r w:rsidRPr="00383343">
        <w:rPr>
          <w:rFonts w:ascii="Palatino Linotype" w:eastAsia="Palatino Linotype" w:hAnsi="Palatino Linotype" w:cs="Palatino Linotype"/>
        </w:rPr>
        <w:t xml:space="preserve"> el cual establece los formatos para la clasificación de los documentos, conforme a lo siguiente: </w:t>
      </w:r>
    </w:p>
    <w:p w14:paraId="2269FDAF" w14:textId="77777777" w:rsidR="003E2AB0" w:rsidRPr="00383343" w:rsidRDefault="003E2AB0" w:rsidP="003E2AB0">
      <w:pPr>
        <w:spacing w:line="360" w:lineRule="auto"/>
        <w:ind w:right="50"/>
        <w:jc w:val="both"/>
        <w:rPr>
          <w:rFonts w:ascii="Palatino Linotype" w:eastAsia="Palatino Linotype" w:hAnsi="Palatino Linotype" w:cs="Palatino Linotype"/>
          <w:sz w:val="22"/>
        </w:rPr>
      </w:pPr>
    </w:p>
    <w:p w14:paraId="5735DA9F" w14:textId="77777777" w:rsidR="003E2AB0" w:rsidRPr="00383343" w:rsidRDefault="003E2AB0" w:rsidP="003E2AB0">
      <w:pPr>
        <w:ind w:left="851" w:right="900"/>
        <w:jc w:val="center"/>
        <w:rPr>
          <w:rFonts w:ascii="Palatino Linotype" w:eastAsia="Palatino Linotype" w:hAnsi="Palatino Linotype" w:cs="Palatino Linotype"/>
          <w:b/>
          <w:i/>
          <w:sz w:val="22"/>
        </w:rPr>
      </w:pPr>
      <w:r w:rsidRPr="00383343">
        <w:rPr>
          <w:rFonts w:ascii="Palatino Linotype" w:eastAsia="Palatino Linotype" w:hAnsi="Palatino Linotype" w:cs="Palatino Linotype"/>
          <w:b/>
          <w:i/>
          <w:sz w:val="22"/>
        </w:rPr>
        <w:t>CAPÍTULO VIII</w:t>
      </w:r>
    </w:p>
    <w:p w14:paraId="4810F182" w14:textId="77777777" w:rsidR="003E2AB0" w:rsidRPr="00383343" w:rsidRDefault="003E2AB0" w:rsidP="003E2AB0">
      <w:pPr>
        <w:ind w:left="851" w:right="900"/>
        <w:jc w:val="center"/>
        <w:rPr>
          <w:rFonts w:ascii="Palatino Linotype" w:eastAsia="Palatino Linotype" w:hAnsi="Palatino Linotype" w:cs="Palatino Linotype"/>
          <w:b/>
          <w:i/>
          <w:sz w:val="22"/>
        </w:rPr>
      </w:pPr>
      <w:r w:rsidRPr="00383343">
        <w:rPr>
          <w:rFonts w:ascii="Palatino Linotype" w:eastAsia="Palatino Linotype" w:hAnsi="Palatino Linotype" w:cs="Palatino Linotype"/>
          <w:b/>
          <w:i/>
          <w:sz w:val="22"/>
        </w:rPr>
        <w:t xml:space="preserve">DE LOS ELEMENTOS PARA LA CLASIFICACIÓN </w:t>
      </w:r>
    </w:p>
    <w:p w14:paraId="4D0DE9B5" w14:textId="77777777" w:rsidR="003E2AB0" w:rsidRPr="00383343" w:rsidRDefault="003E2AB0" w:rsidP="003E2AB0">
      <w:pPr>
        <w:ind w:left="851" w:right="902"/>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Quincuagésimo tercero. </w:t>
      </w:r>
      <w:r w:rsidRPr="00383343">
        <w:rPr>
          <w:rFonts w:ascii="Palatino Linotype" w:eastAsia="Palatino Linotype" w:hAnsi="Palatino Linotype" w:cs="Palatino Linotype"/>
          <w:i/>
          <w:sz w:val="22"/>
          <w:u w:val="single"/>
        </w:rPr>
        <w:t>El formato para señalar la clasificación de un documento o expediente que contenga información reservada</w:t>
      </w:r>
      <w:r w:rsidRPr="00383343">
        <w:rPr>
          <w:rFonts w:ascii="Palatino Linotype" w:eastAsia="Palatino Linotype" w:hAnsi="Palatino Linotype" w:cs="Palatino Linotype"/>
          <w:i/>
          <w:sz w:val="22"/>
        </w:rPr>
        <w:t xml:space="preserve">, es el siguiente: </w:t>
      </w:r>
    </w:p>
    <w:p w14:paraId="29CBAAA8" w14:textId="77777777" w:rsidR="003E2AB0" w:rsidRPr="00383343" w:rsidRDefault="003E2AB0" w:rsidP="003E2AB0">
      <w:pPr>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383343" w:rsidRPr="00383343" w14:paraId="36876333" w14:textId="77777777" w:rsidTr="00F93D5C">
        <w:trPr>
          <w:trHeight w:val="262"/>
          <w:jc w:val="center"/>
        </w:trPr>
        <w:tc>
          <w:tcPr>
            <w:tcW w:w="1271" w:type="dxa"/>
            <w:tcBorders>
              <w:top w:val="nil"/>
              <w:left w:val="nil"/>
            </w:tcBorders>
          </w:tcPr>
          <w:p w14:paraId="055ECA13" w14:textId="77777777" w:rsidR="003E2AB0" w:rsidRPr="00383343" w:rsidRDefault="003E2AB0" w:rsidP="00F93D5C">
            <w:pPr>
              <w:rPr>
                <w:rFonts w:ascii="Palatino Linotype" w:hAnsi="Palatino Linotype"/>
                <w:sz w:val="20"/>
              </w:rPr>
            </w:pPr>
          </w:p>
        </w:tc>
        <w:tc>
          <w:tcPr>
            <w:tcW w:w="2693" w:type="dxa"/>
            <w:shd w:val="clear" w:color="auto" w:fill="D9D9D9" w:themeFill="background1" w:themeFillShade="D9"/>
          </w:tcPr>
          <w:p w14:paraId="207AE29E" w14:textId="77777777" w:rsidR="003E2AB0" w:rsidRPr="00383343" w:rsidRDefault="003E2AB0" w:rsidP="00F93D5C">
            <w:pPr>
              <w:tabs>
                <w:tab w:val="center" w:pos="1238"/>
                <w:tab w:val="right" w:pos="2477"/>
              </w:tabs>
              <w:rPr>
                <w:rFonts w:ascii="Palatino Linotype" w:hAnsi="Palatino Linotype"/>
                <w:b/>
                <w:sz w:val="20"/>
              </w:rPr>
            </w:pPr>
            <w:r w:rsidRPr="00383343">
              <w:rPr>
                <w:rFonts w:ascii="Palatino Linotype" w:hAnsi="Palatino Linotype"/>
                <w:b/>
                <w:sz w:val="20"/>
              </w:rPr>
              <w:tab/>
              <w:t>Concepto</w:t>
            </w:r>
            <w:r w:rsidRPr="00383343">
              <w:rPr>
                <w:rFonts w:ascii="Palatino Linotype" w:hAnsi="Palatino Linotype"/>
                <w:b/>
                <w:sz w:val="20"/>
              </w:rPr>
              <w:tab/>
            </w:r>
          </w:p>
        </w:tc>
        <w:tc>
          <w:tcPr>
            <w:tcW w:w="3691" w:type="dxa"/>
            <w:shd w:val="clear" w:color="auto" w:fill="D9D9D9" w:themeFill="background1" w:themeFillShade="D9"/>
          </w:tcPr>
          <w:p w14:paraId="25548537" w14:textId="77777777" w:rsidR="003E2AB0" w:rsidRPr="00383343" w:rsidRDefault="003E2AB0" w:rsidP="00F93D5C">
            <w:pPr>
              <w:jc w:val="center"/>
              <w:rPr>
                <w:rFonts w:ascii="Palatino Linotype" w:hAnsi="Palatino Linotype"/>
                <w:b/>
                <w:sz w:val="20"/>
              </w:rPr>
            </w:pPr>
            <w:r w:rsidRPr="00383343">
              <w:rPr>
                <w:rFonts w:ascii="Palatino Linotype" w:hAnsi="Palatino Linotype"/>
                <w:b/>
                <w:sz w:val="20"/>
              </w:rPr>
              <w:t>Dónde</w:t>
            </w:r>
          </w:p>
        </w:tc>
      </w:tr>
      <w:tr w:rsidR="00383343" w:rsidRPr="00383343" w14:paraId="055379FC" w14:textId="77777777" w:rsidTr="00F93D5C">
        <w:trPr>
          <w:jc w:val="center"/>
        </w:trPr>
        <w:tc>
          <w:tcPr>
            <w:tcW w:w="1271" w:type="dxa"/>
            <w:vMerge w:val="restart"/>
            <w:shd w:val="clear" w:color="auto" w:fill="D9D9D9" w:themeFill="background1" w:themeFillShade="D9"/>
          </w:tcPr>
          <w:p w14:paraId="02F57BAA" w14:textId="77777777" w:rsidR="003E2AB0" w:rsidRPr="00383343" w:rsidRDefault="003E2AB0" w:rsidP="00F93D5C">
            <w:pPr>
              <w:jc w:val="both"/>
              <w:rPr>
                <w:rFonts w:ascii="Palatino Linotype" w:hAnsi="Palatino Linotype"/>
                <w:b/>
                <w:sz w:val="20"/>
              </w:rPr>
            </w:pPr>
          </w:p>
          <w:p w14:paraId="1E95DDF6" w14:textId="77777777" w:rsidR="003E2AB0" w:rsidRPr="00383343" w:rsidRDefault="003E2AB0" w:rsidP="00F93D5C">
            <w:pPr>
              <w:jc w:val="both"/>
              <w:rPr>
                <w:rFonts w:ascii="Palatino Linotype" w:hAnsi="Palatino Linotype"/>
                <w:b/>
                <w:sz w:val="20"/>
              </w:rPr>
            </w:pPr>
          </w:p>
          <w:p w14:paraId="7670D87E" w14:textId="77777777" w:rsidR="003E2AB0" w:rsidRPr="00383343" w:rsidRDefault="003E2AB0" w:rsidP="00F93D5C">
            <w:pPr>
              <w:jc w:val="both"/>
              <w:rPr>
                <w:rFonts w:ascii="Palatino Linotype" w:hAnsi="Palatino Linotype"/>
                <w:b/>
                <w:sz w:val="20"/>
              </w:rPr>
            </w:pPr>
          </w:p>
          <w:p w14:paraId="622E5E78" w14:textId="77777777" w:rsidR="003E2AB0" w:rsidRPr="00383343" w:rsidRDefault="003E2AB0" w:rsidP="00F93D5C">
            <w:pPr>
              <w:jc w:val="both"/>
              <w:rPr>
                <w:rFonts w:ascii="Palatino Linotype" w:hAnsi="Palatino Linotype"/>
                <w:b/>
                <w:sz w:val="20"/>
              </w:rPr>
            </w:pPr>
          </w:p>
          <w:p w14:paraId="27EB15CF" w14:textId="77777777" w:rsidR="003E2AB0" w:rsidRPr="00383343" w:rsidRDefault="003E2AB0" w:rsidP="00F93D5C">
            <w:pPr>
              <w:jc w:val="both"/>
              <w:rPr>
                <w:rFonts w:ascii="Palatino Linotype" w:hAnsi="Palatino Linotype"/>
                <w:b/>
                <w:sz w:val="20"/>
              </w:rPr>
            </w:pPr>
          </w:p>
          <w:p w14:paraId="00B0757A" w14:textId="77777777" w:rsidR="003E2AB0" w:rsidRPr="00383343" w:rsidRDefault="003E2AB0" w:rsidP="00F93D5C">
            <w:pPr>
              <w:jc w:val="both"/>
              <w:rPr>
                <w:rFonts w:ascii="Palatino Linotype" w:hAnsi="Palatino Linotype"/>
                <w:b/>
                <w:sz w:val="20"/>
              </w:rPr>
            </w:pPr>
          </w:p>
          <w:p w14:paraId="0C97838B" w14:textId="77777777" w:rsidR="003E2AB0" w:rsidRPr="00383343" w:rsidRDefault="003E2AB0" w:rsidP="00F93D5C">
            <w:pPr>
              <w:jc w:val="both"/>
              <w:rPr>
                <w:rFonts w:ascii="Palatino Linotype" w:hAnsi="Palatino Linotype"/>
                <w:b/>
                <w:sz w:val="20"/>
              </w:rPr>
            </w:pPr>
            <w:r w:rsidRPr="00383343">
              <w:rPr>
                <w:rFonts w:ascii="Palatino Linotype" w:hAnsi="Palatino Linotype"/>
                <w:b/>
                <w:sz w:val="20"/>
              </w:rPr>
              <w:t xml:space="preserve">Sello oficial o logotipo del sujeto obligado </w:t>
            </w:r>
          </w:p>
        </w:tc>
        <w:tc>
          <w:tcPr>
            <w:tcW w:w="2693" w:type="dxa"/>
          </w:tcPr>
          <w:p w14:paraId="2B9E2425" w14:textId="77777777" w:rsidR="003E2AB0" w:rsidRPr="00383343" w:rsidRDefault="003E2AB0" w:rsidP="00F93D5C">
            <w:pPr>
              <w:rPr>
                <w:rFonts w:ascii="Palatino Linotype" w:hAnsi="Palatino Linotype"/>
                <w:sz w:val="20"/>
              </w:rPr>
            </w:pPr>
            <w:r w:rsidRPr="00383343">
              <w:rPr>
                <w:rFonts w:ascii="Palatino Linotype" w:hAnsi="Palatino Linotype"/>
                <w:sz w:val="20"/>
              </w:rPr>
              <w:t>Fecha de clasificación</w:t>
            </w:r>
          </w:p>
        </w:tc>
        <w:tc>
          <w:tcPr>
            <w:tcW w:w="3691" w:type="dxa"/>
          </w:tcPr>
          <w:p w14:paraId="6CDD6AB4"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Se anotará la fecha en la que el Comité de Transparencia confirmó la clasificación del documento o expediente, en su caso. </w:t>
            </w:r>
          </w:p>
        </w:tc>
      </w:tr>
      <w:tr w:rsidR="00383343" w:rsidRPr="00383343" w14:paraId="42602F33" w14:textId="77777777" w:rsidTr="00F93D5C">
        <w:trPr>
          <w:jc w:val="center"/>
        </w:trPr>
        <w:tc>
          <w:tcPr>
            <w:tcW w:w="1271" w:type="dxa"/>
            <w:vMerge/>
            <w:shd w:val="clear" w:color="auto" w:fill="D9D9D9" w:themeFill="background1" w:themeFillShade="D9"/>
          </w:tcPr>
          <w:p w14:paraId="6E7B7AB5" w14:textId="77777777" w:rsidR="003E2AB0" w:rsidRPr="00383343" w:rsidRDefault="003E2AB0" w:rsidP="00F93D5C">
            <w:pPr>
              <w:rPr>
                <w:rFonts w:ascii="Palatino Linotype" w:hAnsi="Palatino Linotype"/>
                <w:sz w:val="20"/>
              </w:rPr>
            </w:pPr>
          </w:p>
        </w:tc>
        <w:tc>
          <w:tcPr>
            <w:tcW w:w="2693" w:type="dxa"/>
          </w:tcPr>
          <w:p w14:paraId="121F5A82" w14:textId="77777777" w:rsidR="003E2AB0" w:rsidRPr="00383343" w:rsidRDefault="003E2AB0" w:rsidP="00F93D5C">
            <w:pPr>
              <w:rPr>
                <w:rFonts w:ascii="Palatino Linotype" w:hAnsi="Palatino Linotype"/>
                <w:sz w:val="20"/>
              </w:rPr>
            </w:pPr>
            <w:r w:rsidRPr="00383343">
              <w:rPr>
                <w:rFonts w:ascii="Palatino Linotype" w:hAnsi="Palatino Linotype"/>
                <w:sz w:val="20"/>
              </w:rPr>
              <w:t xml:space="preserve">Área </w:t>
            </w:r>
          </w:p>
        </w:tc>
        <w:tc>
          <w:tcPr>
            <w:tcW w:w="3691" w:type="dxa"/>
          </w:tcPr>
          <w:p w14:paraId="57DFDE4E"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Se señalará el nombre del área del cual es titular quien clasifica. </w:t>
            </w:r>
          </w:p>
        </w:tc>
      </w:tr>
      <w:tr w:rsidR="00383343" w:rsidRPr="00383343" w14:paraId="0232CEA5" w14:textId="77777777" w:rsidTr="00F93D5C">
        <w:trPr>
          <w:jc w:val="center"/>
        </w:trPr>
        <w:tc>
          <w:tcPr>
            <w:tcW w:w="1271" w:type="dxa"/>
            <w:vMerge/>
            <w:shd w:val="clear" w:color="auto" w:fill="D9D9D9" w:themeFill="background1" w:themeFillShade="D9"/>
          </w:tcPr>
          <w:p w14:paraId="7EFFA1B2" w14:textId="77777777" w:rsidR="003E2AB0" w:rsidRPr="00383343" w:rsidRDefault="003E2AB0" w:rsidP="00F93D5C">
            <w:pPr>
              <w:rPr>
                <w:rFonts w:ascii="Palatino Linotype" w:hAnsi="Palatino Linotype"/>
                <w:sz w:val="20"/>
              </w:rPr>
            </w:pPr>
          </w:p>
        </w:tc>
        <w:tc>
          <w:tcPr>
            <w:tcW w:w="2693" w:type="dxa"/>
          </w:tcPr>
          <w:p w14:paraId="2FEB38A1" w14:textId="77777777" w:rsidR="003E2AB0" w:rsidRPr="00383343" w:rsidRDefault="003E2AB0" w:rsidP="00F93D5C">
            <w:pPr>
              <w:rPr>
                <w:rFonts w:ascii="Palatino Linotype" w:hAnsi="Palatino Linotype"/>
                <w:sz w:val="20"/>
              </w:rPr>
            </w:pPr>
            <w:r w:rsidRPr="00383343">
              <w:rPr>
                <w:rFonts w:ascii="Palatino Linotype" w:hAnsi="Palatino Linotype"/>
                <w:sz w:val="20"/>
              </w:rPr>
              <w:t>Información Reservada</w:t>
            </w:r>
          </w:p>
        </w:tc>
        <w:tc>
          <w:tcPr>
            <w:tcW w:w="3691" w:type="dxa"/>
          </w:tcPr>
          <w:p w14:paraId="6DE841D7"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Se indicarán las partes o páginas del documento que se clasifican como reservadas, o, en su caso, se precisará que se ha reservado el documento o expediente en su totalidad.</w:t>
            </w:r>
          </w:p>
        </w:tc>
      </w:tr>
      <w:tr w:rsidR="00383343" w:rsidRPr="00383343" w14:paraId="552A5600" w14:textId="77777777" w:rsidTr="00F93D5C">
        <w:trPr>
          <w:jc w:val="center"/>
        </w:trPr>
        <w:tc>
          <w:tcPr>
            <w:tcW w:w="1271" w:type="dxa"/>
            <w:vMerge/>
            <w:shd w:val="clear" w:color="auto" w:fill="D9D9D9" w:themeFill="background1" w:themeFillShade="D9"/>
          </w:tcPr>
          <w:p w14:paraId="722E3507" w14:textId="77777777" w:rsidR="003E2AB0" w:rsidRPr="00383343" w:rsidRDefault="003E2AB0" w:rsidP="00F93D5C">
            <w:pPr>
              <w:rPr>
                <w:rFonts w:ascii="Palatino Linotype" w:hAnsi="Palatino Linotype"/>
                <w:sz w:val="20"/>
              </w:rPr>
            </w:pPr>
          </w:p>
        </w:tc>
        <w:tc>
          <w:tcPr>
            <w:tcW w:w="2693" w:type="dxa"/>
          </w:tcPr>
          <w:p w14:paraId="71B54A60" w14:textId="77777777" w:rsidR="003E2AB0" w:rsidRPr="00383343" w:rsidRDefault="003E2AB0" w:rsidP="00F93D5C">
            <w:pPr>
              <w:rPr>
                <w:rFonts w:ascii="Palatino Linotype" w:hAnsi="Palatino Linotype"/>
                <w:sz w:val="20"/>
              </w:rPr>
            </w:pPr>
            <w:r w:rsidRPr="00383343">
              <w:rPr>
                <w:rFonts w:ascii="Palatino Linotype" w:hAnsi="Palatino Linotype"/>
                <w:sz w:val="20"/>
              </w:rPr>
              <w:t xml:space="preserve">Periodo de Reserva </w:t>
            </w:r>
          </w:p>
        </w:tc>
        <w:tc>
          <w:tcPr>
            <w:tcW w:w="3691" w:type="dxa"/>
          </w:tcPr>
          <w:p w14:paraId="52F326F5"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Se anotará el número de años o meses por los que se mantendrá reservado el documento, el expediente o, en su caso, las partes o secciones reservadas. </w:t>
            </w:r>
          </w:p>
        </w:tc>
      </w:tr>
      <w:tr w:rsidR="00383343" w:rsidRPr="00383343" w14:paraId="2CF15F80" w14:textId="77777777" w:rsidTr="00F93D5C">
        <w:trPr>
          <w:jc w:val="center"/>
        </w:trPr>
        <w:tc>
          <w:tcPr>
            <w:tcW w:w="1271" w:type="dxa"/>
            <w:vMerge/>
            <w:shd w:val="clear" w:color="auto" w:fill="D9D9D9" w:themeFill="background1" w:themeFillShade="D9"/>
          </w:tcPr>
          <w:p w14:paraId="54322566" w14:textId="77777777" w:rsidR="003E2AB0" w:rsidRPr="00383343" w:rsidRDefault="003E2AB0" w:rsidP="00F93D5C">
            <w:pPr>
              <w:rPr>
                <w:rFonts w:ascii="Palatino Linotype" w:hAnsi="Palatino Linotype"/>
                <w:sz w:val="20"/>
              </w:rPr>
            </w:pPr>
          </w:p>
        </w:tc>
        <w:tc>
          <w:tcPr>
            <w:tcW w:w="2693" w:type="dxa"/>
          </w:tcPr>
          <w:p w14:paraId="22D1AD5F" w14:textId="77777777" w:rsidR="003E2AB0" w:rsidRPr="00383343" w:rsidRDefault="003E2AB0" w:rsidP="00F93D5C">
            <w:pPr>
              <w:rPr>
                <w:rFonts w:ascii="Palatino Linotype" w:hAnsi="Palatino Linotype"/>
                <w:sz w:val="20"/>
              </w:rPr>
            </w:pPr>
            <w:r w:rsidRPr="00383343">
              <w:rPr>
                <w:rFonts w:ascii="Palatino Linotype" w:hAnsi="Palatino Linotype"/>
                <w:sz w:val="20"/>
              </w:rPr>
              <w:t>Fundamento legal</w:t>
            </w:r>
          </w:p>
        </w:tc>
        <w:tc>
          <w:tcPr>
            <w:tcW w:w="3691" w:type="dxa"/>
          </w:tcPr>
          <w:p w14:paraId="60F4DDE4"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Se señalará el nombre del ordenamiento el o los artículos, fracciones, párrafos con base en los cuales se sustente la reserva. </w:t>
            </w:r>
          </w:p>
        </w:tc>
      </w:tr>
      <w:tr w:rsidR="00383343" w:rsidRPr="00383343" w14:paraId="23FCBE20" w14:textId="77777777" w:rsidTr="00F93D5C">
        <w:trPr>
          <w:jc w:val="center"/>
        </w:trPr>
        <w:tc>
          <w:tcPr>
            <w:tcW w:w="1271" w:type="dxa"/>
            <w:vMerge/>
            <w:shd w:val="clear" w:color="auto" w:fill="D9D9D9" w:themeFill="background1" w:themeFillShade="D9"/>
          </w:tcPr>
          <w:p w14:paraId="42E98C03" w14:textId="77777777" w:rsidR="003E2AB0" w:rsidRPr="00383343" w:rsidRDefault="003E2AB0" w:rsidP="00F93D5C">
            <w:pPr>
              <w:rPr>
                <w:rFonts w:ascii="Palatino Linotype" w:hAnsi="Palatino Linotype"/>
                <w:sz w:val="20"/>
              </w:rPr>
            </w:pPr>
          </w:p>
        </w:tc>
        <w:tc>
          <w:tcPr>
            <w:tcW w:w="2693" w:type="dxa"/>
          </w:tcPr>
          <w:p w14:paraId="14AD391E" w14:textId="77777777" w:rsidR="003E2AB0" w:rsidRPr="00383343" w:rsidRDefault="003E2AB0" w:rsidP="00F93D5C">
            <w:pPr>
              <w:rPr>
                <w:rFonts w:ascii="Palatino Linotype" w:hAnsi="Palatino Linotype"/>
                <w:sz w:val="20"/>
              </w:rPr>
            </w:pPr>
            <w:r w:rsidRPr="00383343">
              <w:rPr>
                <w:rFonts w:ascii="Palatino Linotype" w:hAnsi="Palatino Linotype"/>
                <w:sz w:val="20"/>
              </w:rPr>
              <w:t>Ampliación del periodo de reserva</w:t>
            </w:r>
          </w:p>
        </w:tc>
        <w:tc>
          <w:tcPr>
            <w:tcW w:w="3691" w:type="dxa"/>
          </w:tcPr>
          <w:p w14:paraId="5474E833"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En caso de haber solicitado la ampliación del periodo de reserva originalmente establecido, se deberá anotar el número de años o meses por los que se amplía la reserva. </w:t>
            </w:r>
          </w:p>
        </w:tc>
      </w:tr>
      <w:tr w:rsidR="00383343" w:rsidRPr="00383343" w14:paraId="01C61523" w14:textId="77777777" w:rsidTr="00F93D5C">
        <w:trPr>
          <w:jc w:val="center"/>
        </w:trPr>
        <w:tc>
          <w:tcPr>
            <w:tcW w:w="3964" w:type="dxa"/>
            <w:gridSpan w:val="2"/>
            <w:shd w:val="clear" w:color="auto" w:fill="D9D9D9" w:themeFill="background1" w:themeFillShade="D9"/>
          </w:tcPr>
          <w:p w14:paraId="3216A40C" w14:textId="77777777" w:rsidR="003E2AB0" w:rsidRPr="00383343" w:rsidRDefault="003E2AB0" w:rsidP="00F93D5C">
            <w:pPr>
              <w:rPr>
                <w:rFonts w:ascii="Palatino Linotype" w:hAnsi="Palatino Linotype"/>
                <w:sz w:val="20"/>
              </w:rPr>
            </w:pPr>
            <w:r w:rsidRPr="00383343">
              <w:rPr>
                <w:rFonts w:ascii="Palatino Linotype" w:hAnsi="Palatino Linotype"/>
                <w:sz w:val="20"/>
              </w:rPr>
              <w:t>Rúbrica del titular del área</w:t>
            </w:r>
          </w:p>
        </w:tc>
        <w:tc>
          <w:tcPr>
            <w:tcW w:w="3691" w:type="dxa"/>
            <w:shd w:val="clear" w:color="auto" w:fill="D9D9D9" w:themeFill="background1" w:themeFillShade="D9"/>
          </w:tcPr>
          <w:p w14:paraId="29A032B5"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Rúbrica autógrafa o firma digital de quien clasifica. </w:t>
            </w:r>
          </w:p>
        </w:tc>
      </w:tr>
      <w:tr w:rsidR="00383343" w:rsidRPr="00383343" w14:paraId="249A4D71" w14:textId="77777777" w:rsidTr="00F93D5C">
        <w:trPr>
          <w:jc w:val="center"/>
        </w:trPr>
        <w:tc>
          <w:tcPr>
            <w:tcW w:w="3964" w:type="dxa"/>
            <w:gridSpan w:val="2"/>
            <w:shd w:val="clear" w:color="auto" w:fill="D9D9D9" w:themeFill="background1" w:themeFillShade="D9"/>
          </w:tcPr>
          <w:p w14:paraId="272588DA" w14:textId="77777777" w:rsidR="003E2AB0" w:rsidRPr="00383343" w:rsidRDefault="003E2AB0" w:rsidP="00F93D5C">
            <w:pPr>
              <w:rPr>
                <w:rFonts w:ascii="Palatino Linotype" w:hAnsi="Palatino Linotype"/>
                <w:sz w:val="20"/>
              </w:rPr>
            </w:pPr>
            <w:r w:rsidRPr="00383343">
              <w:rPr>
                <w:rFonts w:ascii="Palatino Linotype" w:hAnsi="Palatino Linotype"/>
                <w:sz w:val="20"/>
              </w:rPr>
              <w:t xml:space="preserve">Fecha de desclasificación </w:t>
            </w:r>
          </w:p>
        </w:tc>
        <w:tc>
          <w:tcPr>
            <w:tcW w:w="3691" w:type="dxa"/>
            <w:shd w:val="clear" w:color="auto" w:fill="D9D9D9" w:themeFill="background1" w:themeFillShade="D9"/>
          </w:tcPr>
          <w:p w14:paraId="65FFE252"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Se anotará la fecha en que se desclasifica el documento. </w:t>
            </w:r>
          </w:p>
        </w:tc>
      </w:tr>
      <w:tr w:rsidR="00383343" w:rsidRPr="00383343" w14:paraId="1CEF5288" w14:textId="77777777" w:rsidTr="00F93D5C">
        <w:trPr>
          <w:jc w:val="center"/>
        </w:trPr>
        <w:tc>
          <w:tcPr>
            <w:tcW w:w="3964" w:type="dxa"/>
            <w:gridSpan w:val="2"/>
            <w:shd w:val="clear" w:color="auto" w:fill="D9D9D9" w:themeFill="background1" w:themeFillShade="D9"/>
          </w:tcPr>
          <w:p w14:paraId="4E999FDF" w14:textId="77777777" w:rsidR="003E2AB0" w:rsidRPr="00383343" w:rsidRDefault="003E2AB0" w:rsidP="00F93D5C">
            <w:pPr>
              <w:rPr>
                <w:rFonts w:ascii="Palatino Linotype" w:hAnsi="Palatino Linotype"/>
                <w:sz w:val="20"/>
              </w:rPr>
            </w:pPr>
            <w:r w:rsidRPr="00383343">
              <w:rPr>
                <w:rFonts w:ascii="Palatino Linotype" w:hAnsi="Palatino Linotype"/>
                <w:sz w:val="20"/>
              </w:rPr>
              <w:lastRenderedPageBreak/>
              <w:t xml:space="preserve">Rúbrica y cargo del servidor público </w:t>
            </w:r>
          </w:p>
        </w:tc>
        <w:tc>
          <w:tcPr>
            <w:tcW w:w="3691" w:type="dxa"/>
            <w:shd w:val="clear" w:color="auto" w:fill="D9D9D9" w:themeFill="background1" w:themeFillShade="D9"/>
          </w:tcPr>
          <w:p w14:paraId="76971436" w14:textId="77777777" w:rsidR="003E2AB0" w:rsidRPr="00383343" w:rsidRDefault="003E2AB0" w:rsidP="00F93D5C">
            <w:pPr>
              <w:jc w:val="both"/>
              <w:rPr>
                <w:rFonts w:ascii="Palatino Linotype" w:hAnsi="Palatino Linotype"/>
                <w:sz w:val="20"/>
              </w:rPr>
            </w:pPr>
            <w:r w:rsidRPr="00383343">
              <w:rPr>
                <w:rFonts w:ascii="Palatino Linotype" w:hAnsi="Palatino Linotype"/>
                <w:sz w:val="20"/>
              </w:rPr>
              <w:t xml:space="preserve">Rúbrica autógrafa o firma digital de quien desclasifica. </w:t>
            </w:r>
          </w:p>
        </w:tc>
      </w:tr>
    </w:tbl>
    <w:p w14:paraId="243DE913" w14:textId="77777777" w:rsidR="003E2AB0" w:rsidRPr="00383343" w:rsidRDefault="003E2AB0" w:rsidP="003E2AB0">
      <w:pPr>
        <w:spacing w:line="360" w:lineRule="auto"/>
        <w:ind w:right="902"/>
        <w:rPr>
          <w:rFonts w:ascii="Palatino Linotype" w:eastAsia="Palatino Linotype" w:hAnsi="Palatino Linotype" w:cs="Palatino Linotype"/>
          <w:i/>
          <w:sz w:val="22"/>
        </w:rPr>
      </w:pPr>
    </w:p>
    <w:p w14:paraId="7623442F" w14:textId="77777777" w:rsidR="003E2AB0" w:rsidRPr="00383343" w:rsidRDefault="003E2AB0" w:rsidP="003E2AB0">
      <w:pPr>
        <w:ind w:left="567" w:right="902"/>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Los documentos que integren un expediente reservado en su totalidad no deberán marcarse en lo individual.</w:t>
      </w:r>
    </w:p>
    <w:p w14:paraId="41FBA773" w14:textId="77777777" w:rsidR="003E2AB0" w:rsidRPr="00383343" w:rsidRDefault="003E2AB0" w:rsidP="003E2AB0">
      <w:pPr>
        <w:ind w:left="567" w:right="902"/>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Una vez desclasificados los expedientes, si existieren documentos que tuvieran el carácter de reservados deberán permanecer o ser marcados.”</w:t>
      </w:r>
    </w:p>
    <w:p w14:paraId="6E53C1AA" w14:textId="77777777" w:rsidR="003E2AB0" w:rsidRPr="00383343" w:rsidRDefault="003E2AB0" w:rsidP="003E2AB0">
      <w:pPr>
        <w:spacing w:line="360" w:lineRule="auto"/>
        <w:jc w:val="both"/>
        <w:rPr>
          <w:rFonts w:ascii="Palatino Linotype" w:eastAsia="Palatino Linotype" w:hAnsi="Palatino Linotype" w:cs="Palatino Linotype"/>
        </w:rPr>
      </w:pPr>
    </w:p>
    <w:p w14:paraId="1E397D43" w14:textId="77777777" w:rsidR="003E2AB0" w:rsidRPr="00383343" w:rsidRDefault="003E2AB0" w:rsidP="003E2AB0">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1E873966" w14:textId="77777777" w:rsidR="003E2AB0" w:rsidRPr="00383343" w:rsidRDefault="003E2AB0" w:rsidP="003E2AB0">
      <w:pPr>
        <w:spacing w:line="360" w:lineRule="auto"/>
        <w:jc w:val="both"/>
        <w:rPr>
          <w:rFonts w:ascii="Palatino Linotype" w:eastAsia="Palatino Linotype" w:hAnsi="Palatino Linotype" w:cs="Palatino Linotype"/>
        </w:rPr>
      </w:pPr>
    </w:p>
    <w:p w14:paraId="44B1D186" w14:textId="77777777" w:rsidR="003E2AB0" w:rsidRPr="00383343" w:rsidRDefault="003E2AB0" w:rsidP="003E2AB0">
      <w:pPr>
        <w:pBdr>
          <w:top w:val="nil"/>
          <w:left w:val="nil"/>
          <w:bottom w:val="nil"/>
          <w:right w:val="nil"/>
          <w:between w:val="nil"/>
        </w:pBd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r w:rsidRPr="00383343">
        <w:rPr>
          <w:rFonts w:ascii="Palatino Linotype" w:eastAsia="Palatino Linotype" w:hAnsi="Palatino Linotype" w:cs="Palatino Linotype"/>
          <w:b/>
          <w:i/>
          <w:sz w:val="22"/>
        </w:rPr>
        <w:t>Quincuagésimo cuarto.</w:t>
      </w:r>
      <w:r w:rsidRPr="00383343">
        <w:rPr>
          <w:rFonts w:ascii="Palatino Linotype" w:eastAsia="Palatino Linotype" w:hAnsi="Palatino Linotype" w:cs="Palatino Linotype"/>
          <w:i/>
          <w:sz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4BFE8DA"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t>Quincuagésimo quinto.</w:t>
      </w:r>
      <w:r w:rsidRPr="00383343">
        <w:rPr>
          <w:rFonts w:ascii="Palatino Linotype" w:eastAsia="Palatino Linotype" w:hAnsi="Palatino Linotype" w:cs="Palatino Linotype"/>
          <w:i/>
          <w:sz w:val="22"/>
        </w:rPr>
        <w:t xml:space="preserve"> Cada área del sujeto obligado podrá designar formalmente a una o más personas como responsables del </w:t>
      </w:r>
      <w:proofErr w:type="spellStart"/>
      <w:r w:rsidRPr="00383343">
        <w:rPr>
          <w:rFonts w:ascii="Palatino Linotype" w:eastAsia="Palatino Linotype" w:hAnsi="Palatino Linotype" w:cs="Palatino Linotype"/>
          <w:i/>
          <w:sz w:val="22"/>
        </w:rPr>
        <w:t>testado</w:t>
      </w:r>
      <w:proofErr w:type="spellEnd"/>
      <w:r w:rsidRPr="00383343">
        <w:rPr>
          <w:rFonts w:ascii="Palatino Linotype" w:eastAsia="Palatino Linotype" w:hAnsi="Palatino Linotype" w:cs="Palatino Linotype"/>
          <w:i/>
          <w:sz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154F7F9"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w:t>
      </w:r>
    </w:p>
    <w:p w14:paraId="33B9B9D7"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b/>
          <w:i/>
          <w:sz w:val="22"/>
        </w:rPr>
        <w:t>Quincuagésimo séptimo.</w:t>
      </w:r>
      <w:r w:rsidRPr="00383343">
        <w:rPr>
          <w:rFonts w:ascii="Palatino Linotype" w:eastAsia="Palatino Linotype" w:hAnsi="Palatino Linotype" w:cs="Palatino Linotype"/>
          <w:i/>
          <w:sz w:val="22"/>
        </w:rPr>
        <w:t xml:space="preserve"> Se considera, en principio, como información pública y no podrá omitirse de las versiones públicas la siguiente: </w:t>
      </w:r>
    </w:p>
    <w:p w14:paraId="771B314A"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 La relativa a las Obligaciones de Transparencia que contempla el Título V de la Ley General y las demás disposiciones legales aplicables; </w:t>
      </w:r>
    </w:p>
    <w:p w14:paraId="693ED476"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II. El nombre de los integrantes de los sujetos obligados en los documentos, y sus firmas autógrafas o digitales, cuando sean utilizados en el ejercicio de las facultades conferidas para el desempeño del servicio público, y</w:t>
      </w:r>
    </w:p>
    <w:p w14:paraId="2A699CBE"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0AEF1C0"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t xml:space="preserve">Lo anterior, siempre y cuando no se acredite alguna causal de clasificación, prevista en las leyes o en los tratados internacionales suscritas por el Estado mexicano.  </w:t>
      </w:r>
    </w:p>
    <w:p w14:paraId="427D2C97" w14:textId="77777777" w:rsidR="003E2AB0" w:rsidRPr="00383343" w:rsidRDefault="003E2AB0" w:rsidP="003E2AB0">
      <w:pPr>
        <w:ind w:left="567" w:right="616"/>
        <w:jc w:val="both"/>
        <w:rPr>
          <w:rFonts w:ascii="Palatino Linotype" w:eastAsia="Palatino Linotype" w:hAnsi="Palatino Linotype" w:cs="Palatino Linotype"/>
          <w:i/>
          <w:sz w:val="22"/>
        </w:rPr>
      </w:pPr>
      <w:r w:rsidRPr="00383343">
        <w:rPr>
          <w:rFonts w:ascii="Palatino Linotype" w:eastAsia="Palatino Linotype" w:hAnsi="Palatino Linotype" w:cs="Palatino Linotype"/>
          <w:i/>
          <w:sz w:val="22"/>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57246E87" w14:textId="77777777" w:rsidR="003E2AB0" w:rsidRPr="00383343" w:rsidRDefault="003E2AB0" w:rsidP="003E2AB0">
      <w:pPr>
        <w:spacing w:line="360" w:lineRule="auto"/>
        <w:ind w:left="567" w:right="616"/>
        <w:jc w:val="both"/>
        <w:rPr>
          <w:rFonts w:ascii="Palatino Linotype" w:eastAsia="Palatino Linotype" w:hAnsi="Palatino Linotype" w:cs="Palatino Linotype"/>
          <w:i/>
        </w:rPr>
      </w:pPr>
    </w:p>
    <w:p w14:paraId="3BE83DE6" w14:textId="41EA128D" w:rsidR="00EE6FB1" w:rsidRPr="00383343" w:rsidRDefault="003E2AB0" w:rsidP="003E2AB0">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BD676FA" w14:textId="77777777" w:rsidR="003E2AB0" w:rsidRPr="00383343" w:rsidRDefault="003E2AB0" w:rsidP="003E2AB0">
      <w:pPr>
        <w:spacing w:line="360" w:lineRule="auto"/>
        <w:jc w:val="both"/>
        <w:rPr>
          <w:rFonts w:ascii="Palatino Linotype" w:eastAsia="Palatino Linotype" w:hAnsi="Palatino Linotype" w:cs="Palatino Linotype"/>
        </w:rPr>
      </w:pPr>
    </w:p>
    <w:p w14:paraId="579B6244" w14:textId="56EBFF50" w:rsidR="00EE6FB1" w:rsidRPr="00383343" w:rsidRDefault="00EE6FB1" w:rsidP="00EE6FB1">
      <w:pPr>
        <w:spacing w:line="360" w:lineRule="auto"/>
        <w:ind w:right="49"/>
        <w:jc w:val="both"/>
        <w:rPr>
          <w:rFonts w:ascii="Palatino Linotype" w:eastAsia="Palatino Linotype" w:hAnsi="Palatino Linotype" w:cs="Palatino Linotype"/>
          <w:b/>
        </w:rPr>
      </w:pPr>
      <w:r w:rsidRPr="00383343">
        <w:rPr>
          <w:rFonts w:ascii="Palatino Linotype" w:eastAsia="Palatino Linotype" w:hAnsi="Palatino Linotype" w:cs="Palatino Linotype"/>
        </w:rPr>
        <w:t>Es así como, en mérito de lo expuesto en líneas anteriores, resultan fundadas las razones o motivos de inconformidad hechos valer por</w:t>
      </w:r>
      <w:r w:rsidR="0014425E" w:rsidRPr="00383343">
        <w:rPr>
          <w:rFonts w:ascii="Palatino Linotype" w:eastAsia="Palatino Linotype" w:hAnsi="Palatino Linotype" w:cs="Palatino Linotype"/>
        </w:rPr>
        <w:t xml:space="preserve"> la parte </w:t>
      </w:r>
      <w:r w:rsidRPr="00383343">
        <w:rPr>
          <w:rFonts w:ascii="Palatino Linotype" w:eastAsia="Palatino Linotype" w:hAnsi="Palatino Linotype" w:cs="Palatino Linotype"/>
          <w:b/>
        </w:rPr>
        <w:t>RECURRENTE</w:t>
      </w:r>
      <w:r w:rsidRPr="00383343">
        <w:rPr>
          <w:rFonts w:ascii="Palatino Linotype" w:eastAsia="Palatino Linotype" w:hAnsi="Palatino Linotype" w:cs="Palatino Linotype"/>
        </w:rPr>
        <w:t xml:space="preserve"> dentro del recurso de revisión </w:t>
      </w:r>
      <w:r w:rsidR="00042166" w:rsidRPr="00383343">
        <w:rPr>
          <w:rFonts w:ascii="Palatino Linotype" w:eastAsia="Palatino Linotype" w:hAnsi="Palatino Linotype" w:cs="Palatino Linotype"/>
          <w:b/>
        </w:rPr>
        <w:t>05479/INFOEM/IP/RR/2023</w:t>
      </w:r>
      <w:r w:rsidRPr="00383343">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383343">
        <w:rPr>
          <w:rFonts w:ascii="Palatino Linotype" w:eastAsia="Palatino Linotype" w:hAnsi="Palatino Linotype" w:cs="Palatino Linotype"/>
          <w:b/>
        </w:rPr>
        <w:t xml:space="preserve"> MODIFICA </w:t>
      </w:r>
      <w:r w:rsidRPr="00383343">
        <w:rPr>
          <w:rFonts w:ascii="Palatino Linotype" w:eastAsia="Palatino Linotype" w:hAnsi="Palatino Linotype" w:cs="Palatino Linotype"/>
        </w:rPr>
        <w:t xml:space="preserve">la respuesta a la solicitud de información número </w:t>
      </w:r>
      <w:r w:rsidRPr="00383343">
        <w:rPr>
          <w:rFonts w:ascii="Palatino Linotype" w:eastAsia="Palatino Linotype" w:hAnsi="Palatino Linotype" w:cs="Palatino Linotype"/>
          <w:b/>
        </w:rPr>
        <w:t>0</w:t>
      </w:r>
      <w:r w:rsidR="00042166" w:rsidRPr="00383343">
        <w:rPr>
          <w:rFonts w:ascii="Palatino Linotype" w:eastAsia="Palatino Linotype" w:hAnsi="Palatino Linotype" w:cs="Palatino Linotype"/>
          <w:b/>
        </w:rPr>
        <w:t>0270</w:t>
      </w:r>
      <w:r w:rsidRPr="00383343">
        <w:rPr>
          <w:rFonts w:ascii="Palatino Linotype" w:eastAsia="Palatino Linotype" w:hAnsi="Palatino Linotype" w:cs="Palatino Linotype"/>
          <w:b/>
        </w:rPr>
        <w:t>/</w:t>
      </w:r>
      <w:r w:rsidR="00042166" w:rsidRPr="00383343">
        <w:rPr>
          <w:rFonts w:ascii="Palatino Linotype" w:eastAsia="Palatino Linotype" w:hAnsi="Palatino Linotype" w:cs="Palatino Linotype"/>
          <w:b/>
        </w:rPr>
        <w:t>TEXCOCO</w:t>
      </w:r>
      <w:r w:rsidRPr="00383343">
        <w:rPr>
          <w:rFonts w:ascii="Palatino Linotype" w:eastAsia="Palatino Linotype" w:hAnsi="Palatino Linotype" w:cs="Palatino Linotype"/>
          <w:b/>
        </w:rPr>
        <w:t>/IP/</w:t>
      </w:r>
      <w:r w:rsidR="00CF4F0B" w:rsidRPr="00383343">
        <w:rPr>
          <w:rFonts w:ascii="Palatino Linotype" w:eastAsia="Palatino Linotype" w:hAnsi="Palatino Linotype" w:cs="Palatino Linotype"/>
          <w:b/>
        </w:rPr>
        <w:t>2023</w:t>
      </w:r>
      <w:r w:rsidRPr="00383343">
        <w:rPr>
          <w:rFonts w:ascii="Palatino Linotype" w:eastAsia="Palatino Linotype" w:hAnsi="Palatino Linotype" w:cs="Palatino Linotype"/>
          <w:b/>
        </w:rPr>
        <w:t xml:space="preserve">. </w:t>
      </w:r>
    </w:p>
    <w:p w14:paraId="7F15B001" w14:textId="77777777" w:rsidR="00EE6FB1" w:rsidRPr="00383343" w:rsidRDefault="00EE6FB1" w:rsidP="00EE6FB1">
      <w:pPr>
        <w:spacing w:line="360" w:lineRule="auto"/>
        <w:ind w:right="49"/>
        <w:jc w:val="both"/>
        <w:rPr>
          <w:rFonts w:ascii="Palatino Linotype" w:eastAsia="Palatino Linotype" w:hAnsi="Palatino Linotype" w:cs="Palatino Linotype"/>
        </w:rPr>
      </w:pPr>
    </w:p>
    <w:p w14:paraId="20919FC3" w14:textId="77777777" w:rsidR="00042166" w:rsidRPr="00383343" w:rsidRDefault="00042166" w:rsidP="00042166">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w:t>
      </w:r>
      <w:r w:rsidRPr="00383343">
        <w:rPr>
          <w:rFonts w:ascii="Palatino Linotype" w:eastAsia="Palatino Linotype" w:hAnsi="Palatino Linotype" w:cs="Palatino Linotype"/>
        </w:rPr>
        <w:lastRenderedPageBreak/>
        <w:t>178, 181, 185, fracción I, 186 y 188 de la Ley de Transparencia y Acceso a la Información Pública del Estado de México y Municipios, este Pleno:</w:t>
      </w:r>
    </w:p>
    <w:p w14:paraId="7F53AA3D" w14:textId="77777777" w:rsidR="00EE6FB1" w:rsidRPr="00383343" w:rsidRDefault="00EE6FB1" w:rsidP="00EE6FB1">
      <w:pPr>
        <w:tabs>
          <w:tab w:val="left" w:pos="709"/>
        </w:tabs>
        <w:spacing w:line="360" w:lineRule="auto"/>
        <w:jc w:val="both"/>
        <w:rPr>
          <w:rFonts w:ascii="Palatino Linotype" w:eastAsia="Palatino Linotype" w:hAnsi="Palatino Linotype" w:cs="Palatino Linotype"/>
        </w:rPr>
      </w:pPr>
    </w:p>
    <w:p w14:paraId="7B17A65B" w14:textId="77777777" w:rsidR="00EE6FB1" w:rsidRPr="00383343" w:rsidRDefault="00EE6FB1" w:rsidP="00EE6FB1">
      <w:pPr>
        <w:numPr>
          <w:ilvl w:val="0"/>
          <w:numId w:val="15"/>
        </w:numPr>
        <w:spacing w:line="360" w:lineRule="auto"/>
        <w:ind w:left="567"/>
        <w:jc w:val="center"/>
        <w:rPr>
          <w:rFonts w:ascii="Palatino Linotype" w:eastAsia="Palatino Linotype" w:hAnsi="Palatino Linotype" w:cs="Palatino Linotype"/>
          <w:b/>
        </w:rPr>
      </w:pPr>
      <w:r w:rsidRPr="00383343">
        <w:rPr>
          <w:rFonts w:ascii="Palatino Linotype" w:eastAsia="Palatino Linotype" w:hAnsi="Palatino Linotype" w:cs="Palatino Linotype"/>
          <w:b/>
        </w:rPr>
        <w:t>R E S U E L V E</w:t>
      </w:r>
    </w:p>
    <w:p w14:paraId="5555D948" w14:textId="77777777" w:rsidR="00EE6FB1" w:rsidRPr="00383343" w:rsidRDefault="00EE6FB1" w:rsidP="00EE6FB1">
      <w:pPr>
        <w:spacing w:line="360" w:lineRule="auto"/>
        <w:ind w:left="1080"/>
        <w:rPr>
          <w:rFonts w:ascii="Palatino Linotype" w:eastAsia="Palatino Linotype" w:hAnsi="Palatino Linotype" w:cs="Palatino Linotype"/>
          <w:b/>
        </w:rPr>
      </w:pPr>
    </w:p>
    <w:p w14:paraId="597D9278" w14:textId="5B92555B" w:rsidR="00EE6FB1" w:rsidRPr="00383343" w:rsidRDefault="00EE6FB1" w:rsidP="00EE6FB1">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b/>
        </w:rPr>
        <w:t>Primero.</w:t>
      </w:r>
      <w:r w:rsidRPr="00383343">
        <w:rPr>
          <w:rFonts w:ascii="Palatino Linotype" w:eastAsia="Palatino Linotype" w:hAnsi="Palatino Linotype" w:cs="Palatino Linotype"/>
        </w:rPr>
        <w:t xml:space="preserve"> Resultan </w:t>
      </w:r>
      <w:r w:rsidRPr="00383343">
        <w:rPr>
          <w:rFonts w:ascii="Palatino Linotype" w:eastAsia="Palatino Linotype" w:hAnsi="Palatino Linotype" w:cs="Palatino Linotype"/>
          <w:b/>
        </w:rPr>
        <w:t>FUNDADOS</w:t>
      </w:r>
      <w:r w:rsidRPr="00383343">
        <w:rPr>
          <w:rFonts w:ascii="Palatino Linotype" w:eastAsia="Palatino Linotype" w:hAnsi="Palatino Linotype" w:cs="Palatino Linotype"/>
        </w:rPr>
        <w:t xml:space="preserve"> los motivos de inconformidad hechos valer por</w:t>
      </w:r>
      <w:r w:rsidR="0014425E" w:rsidRPr="00383343">
        <w:rPr>
          <w:rFonts w:ascii="Palatino Linotype" w:eastAsia="Palatino Linotype" w:hAnsi="Palatino Linotype" w:cs="Palatino Linotype"/>
        </w:rPr>
        <w:t xml:space="preserve"> la parte</w:t>
      </w:r>
      <w:r w:rsidRPr="00383343">
        <w:rPr>
          <w:rFonts w:ascii="Palatino Linotype" w:eastAsia="Palatino Linotype" w:hAnsi="Palatino Linotype" w:cs="Palatino Linotype"/>
        </w:rPr>
        <w:t xml:space="preserve"> </w:t>
      </w:r>
      <w:r w:rsidRPr="00383343">
        <w:rPr>
          <w:rFonts w:ascii="Palatino Linotype" w:eastAsia="Palatino Linotype" w:hAnsi="Palatino Linotype" w:cs="Palatino Linotype"/>
          <w:b/>
        </w:rPr>
        <w:t>RECURRENTE</w:t>
      </w:r>
      <w:r w:rsidRPr="00383343">
        <w:rPr>
          <w:rFonts w:ascii="Palatino Linotype" w:eastAsia="Palatino Linotype" w:hAnsi="Palatino Linotype" w:cs="Palatino Linotype"/>
        </w:rPr>
        <w:t xml:space="preserve"> en el Recurso de Revisión </w:t>
      </w:r>
      <w:r w:rsidR="00042166" w:rsidRPr="00383343">
        <w:rPr>
          <w:rFonts w:ascii="Palatino Linotype" w:eastAsia="Palatino Linotype" w:hAnsi="Palatino Linotype" w:cs="Palatino Linotype"/>
          <w:b/>
        </w:rPr>
        <w:t>05479</w:t>
      </w:r>
      <w:r w:rsidR="004A6331" w:rsidRPr="00383343">
        <w:rPr>
          <w:rFonts w:ascii="Palatino Linotype" w:eastAsia="Palatino Linotype" w:hAnsi="Palatino Linotype" w:cs="Palatino Linotype"/>
          <w:b/>
        </w:rPr>
        <w:t>/</w:t>
      </w:r>
      <w:r w:rsidRPr="00383343">
        <w:rPr>
          <w:rFonts w:ascii="Palatino Linotype" w:eastAsia="Palatino Linotype" w:hAnsi="Palatino Linotype" w:cs="Palatino Linotype"/>
          <w:b/>
        </w:rPr>
        <w:t>INFOEM/IP/</w:t>
      </w:r>
      <w:r w:rsidR="00CF4F0B" w:rsidRPr="00383343">
        <w:rPr>
          <w:rFonts w:ascii="Palatino Linotype" w:eastAsia="Palatino Linotype" w:hAnsi="Palatino Linotype" w:cs="Palatino Linotype"/>
          <w:b/>
        </w:rPr>
        <w:t>RR/2023</w:t>
      </w:r>
      <w:r w:rsidRPr="00383343">
        <w:rPr>
          <w:rFonts w:ascii="Palatino Linotype" w:eastAsia="Palatino Linotype" w:hAnsi="Palatino Linotype" w:cs="Palatino Linotype"/>
        </w:rPr>
        <w:t xml:space="preserve">, por lo que, en términos del </w:t>
      </w:r>
      <w:r w:rsidRPr="00383343">
        <w:rPr>
          <w:rFonts w:ascii="Palatino Linotype" w:eastAsia="Palatino Linotype" w:hAnsi="Palatino Linotype" w:cs="Palatino Linotype"/>
          <w:b/>
        </w:rPr>
        <w:t>Considerando Cuarto</w:t>
      </w:r>
      <w:r w:rsidRPr="00383343">
        <w:rPr>
          <w:rFonts w:ascii="Palatino Linotype" w:eastAsia="Palatino Linotype" w:hAnsi="Palatino Linotype" w:cs="Palatino Linotype"/>
        </w:rPr>
        <w:t xml:space="preserve"> de esta resolución, se </w:t>
      </w:r>
      <w:r w:rsidRPr="00383343">
        <w:rPr>
          <w:rFonts w:ascii="Palatino Linotype" w:eastAsia="Palatino Linotype" w:hAnsi="Palatino Linotype" w:cs="Palatino Linotype"/>
          <w:b/>
          <w:bCs/>
        </w:rPr>
        <w:t>MODIFICA</w:t>
      </w:r>
      <w:r w:rsidRPr="00383343">
        <w:rPr>
          <w:rFonts w:ascii="Palatino Linotype" w:eastAsia="Palatino Linotype" w:hAnsi="Palatino Linotype" w:cs="Palatino Linotype"/>
        </w:rPr>
        <w:t xml:space="preserve"> la respuesta emitida por 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w:t>
      </w:r>
    </w:p>
    <w:p w14:paraId="4168F457" w14:textId="77777777" w:rsidR="00EE6FB1" w:rsidRPr="00383343" w:rsidRDefault="00EE6FB1" w:rsidP="00EE6FB1">
      <w:pPr>
        <w:spacing w:line="360" w:lineRule="auto"/>
        <w:ind w:right="49"/>
        <w:jc w:val="both"/>
        <w:rPr>
          <w:rFonts w:ascii="Palatino Linotype" w:eastAsia="Palatino Linotype" w:hAnsi="Palatino Linotype" w:cs="Palatino Linotype"/>
        </w:rPr>
      </w:pPr>
    </w:p>
    <w:p w14:paraId="727272E9" w14:textId="619D567B" w:rsidR="00EE6FB1" w:rsidRPr="00383343" w:rsidRDefault="00EE6FB1" w:rsidP="00EE6FB1">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b/>
        </w:rPr>
        <w:t>Segundo</w:t>
      </w:r>
      <w:r w:rsidRPr="00383343">
        <w:rPr>
          <w:rFonts w:ascii="Palatino Linotype" w:eastAsia="Palatino Linotype" w:hAnsi="Palatino Linotype" w:cs="Palatino Linotype"/>
        </w:rPr>
        <w:t xml:space="preserve">. Se </w:t>
      </w:r>
      <w:r w:rsidRPr="00383343">
        <w:rPr>
          <w:rFonts w:ascii="Palatino Linotype" w:eastAsia="Palatino Linotype" w:hAnsi="Palatino Linotype" w:cs="Palatino Linotype"/>
          <w:b/>
        </w:rPr>
        <w:t>ORDENA</w:t>
      </w:r>
      <w:r w:rsidRPr="00383343">
        <w:rPr>
          <w:rFonts w:ascii="Palatino Linotype" w:eastAsia="Palatino Linotype" w:hAnsi="Palatino Linotype" w:cs="Palatino Linotype"/>
        </w:rPr>
        <w:t xml:space="preserve"> al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a que, en términos del </w:t>
      </w:r>
      <w:r w:rsidRPr="00383343">
        <w:rPr>
          <w:rFonts w:ascii="Palatino Linotype" w:eastAsia="Palatino Linotype" w:hAnsi="Palatino Linotype" w:cs="Palatino Linotype"/>
          <w:b/>
        </w:rPr>
        <w:t>Considerando Cuarto y Quinto</w:t>
      </w:r>
      <w:r w:rsidRPr="00383343">
        <w:rPr>
          <w:rFonts w:ascii="Palatino Linotype" w:eastAsia="Palatino Linotype" w:hAnsi="Palatino Linotype" w:cs="Palatino Linotype"/>
        </w:rPr>
        <w:t>, haga entrega, en versión pública, vía Sistema de Acce</w:t>
      </w:r>
      <w:r w:rsidR="00CF4F0B" w:rsidRPr="00383343">
        <w:rPr>
          <w:rFonts w:ascii="Palatino Linotype" w:eastAsia="Palatino Linotype" w:hAnsi="Palatino Linotype" w:cs="Palatino Linotype"/>
        </w:rPr>
        <w:t xml:space="preserve">so a la Información Mexiquense y correo electrónico, </w:t>
      </w:r>
      <w:r w:rsidRPr="00383343">
        <w:rPr>
          <w:rFonts w:ascii="Palatino Linotype" w:eastAsia="Palatino Linotype" w:hAnsi="Palatino Linotype" w:cs="Palatino Linotype"/>
        </w:rPr>
        <w:t xml:space="preserve">lo siguiente: </w:t>
      </w:r>
    </w:p>
    <w:p w14:paraId="2BAF5586" w14:textId="77777777" w:rsidR="00EE6FB1" w:rsidRPr="00383343" w:rsidRDefault="00EE6FB1" w:rsidP="00EE6FB1">
      <w:pPr>
        <w:spacing w:line="360" w:lineRule="auto"/>
        <w:ind w:right="49"/>
        <w:jc w:val="both"/>
        <w:rPr>
          <w:rFonts w:ascii="Palatino Linotype" w:eastAsia="Palatino Linotype" w:hAnsi="Palatino Linotype" w:cs="Palatino Linotype"/>
        </w:rPr>
      </w:pPr>
    </w:p>
    <w:p w14:paraId="599849EB" w14:textId="77777777" w:rsidR="00042166" w:rsidRPr="00383343" w:rsidRDefault="00042166" w:rsidP="00042166">
      <w:pPr>
        <w:pStyle w:val="Prrafodelista"/>
        <w:numPr>
          <w:ilvl w:val="0"/>
          <w:numId w:val="26"/>
        </w:numPr>
        <w:spacing w:line="360" w:lineRule="auto"/>
        <w:ind w:left="851" w:right="616"/>
        <w:contextualSpacing/>
        <w:jc w:val="both"/>
        <w:rPr>
          <w:rFonts w:ascii="Palatino Linotype" w:hAnsi="Palatino Linotype" w:cs="Arial"/>
          <w:b/>
          <w:bCs/>
          <w:sz w:val="28"/>
        </w:rPr>
      </w:pPr>
      <w:r w:rsidRPr="00383343">
        <w:rPr>
          <w:rFonts w:ascii="Palatino Linotype" w:hAnsi="Palatino Linotype" w:cs="Arial"/>
          <w:b/>
          <w:bCs/>
        </w:rPr>
        <w:t xml:space="preserve">Contrato de prestación de servicios número TEX/DGA/CAYS/AD/RS/001/2023 remitido en informe justificado. </w:t>
      </w:r>
    </w:p>
    <w:p w14:paraId="611DBFB7" w14:textId="77777777" w:rsidR="006E24A6" w:rsidRPr="00383343" w:rsidRDefault="006E24A6" w:rsidP="00DF0EE7">
      <w:pPr>
        <w:pBdr>
          <w:top w:val="nil"/>
          <w:left w:val="nil"/>
          <w:bottom w:val="nil"/>
          <w:right w:val="nil"/>
          <w:between w:val="nil"/>
        </w:pBdr>
        <w:tabs>
          <w:tab w:val="left" w:pos="993"/>
        </w:tabs>
        <w:spacing w:line="276" w:lineRule="auto"/>
        <w:ind w:right="-28"/>
        <w:jc w:val="both"/>
        <w:rPr>
          <w:rFonts w:ascii="Palatino Linotype" w:eastAsia="Palatino Linotype" w:hAnsi="Palatino Linotype" w:cs="Palatino Linotype"/>
          <w:i/>
        </w:rPr>
      </w:pPr>
    </w:p>
    <w:p w14:paraId="1921527C" w14:textId="28CEC2D7" w:rsidR="00DF0EE7" w:rsidRPr="00383343" w:rsidRDefault="00CF4F0B" w:rsidP="00042166">
      <w:pPr>
        <w:pBdr>
          <w:top w:val="nil"/>
          <w:left w:val="nil"/>
          <w:bottom w:val="nil"/>
          <w:right w:val="nil"/>
          <w:between w:val="nil"/>
        </w:pBdr>
        <w:tabs>
          <w:tab w:val="left" w:pos="993"/>
        </w:tabs>
        <w:spacing w:line="276" w:lineRule="auto"/>
        <w:ind w:left="567" w:right="616"/>
        <w:jc w:val="both"/>
        <w:rPr>
          <w:rFonts w:ascii="Palatino Linotype" w:eastAsia="Palatino Linotype" w:hAnsi="Palatino Linotype" w:cs="Palatino Linotype"/>
          <w:i/>
        </w:rPr>
      </w:pPr>
      <w:r w:rsidRPr="00383343">
        <w:rPr>
          <w:rFonts w:ascii="Palatino Linotype" w:eastAsia="Palatino Linotype" w:hAnsi="Palatino Linotype" w:cs="Palatino Linotype"/>
          <w:i/>
        </w:rPr>
        <w:t>S</w:t>
      </w:r>
      <w:r w:rsidR="00DF0EE7" w:rsidRPr="00383343">
        <w:rPr>
          <w:rFonts w:ascii="Palatino Linotype" w:eastAsia="Palatino Linotype" w:hAnsi="Palatino Linotype" w:cs="Palatino Linotype"/>
          <w:i/>
        </w:rPr>
        <w:t>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51C0E5C" w14:textId="18134BE5" w:rsidR="00EE6FB1" w:rsidRPr="00383343" w:rsidRDefault="00EE6FB1" w:rsidP="00042166">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73B41B36" w14:textId="77777777" w:rsidR="00634EF5" w:rsidRPr="00383343" w:rsidRDefault="00634EF5" w:rsidP="00634EF5">
      <w:pPr>
        <w:spacing w:line="360" w:lineRule="auto"/>
        <w:ind w:right="49"/>
        <w:jc w:val="both"/>
        <w:rPr>
          <w:rFonts w:ascii="Palatino Linotype" w:eastAsia="Palatino Linotype" w:hAnsi="Palatino Linotype" w:cs="Palatino Linotype"/>
          <w:b/>
          <w:lang w:eastAsia="es-MX"/>
        </w:rPr>
      </w:pPr>
      <w:r w:rsidRPr="00383343">
        <w:rPr>
          <w:rFonts w:ascii="Palatino Linotype" w:eastAsia="Palatino Linotype" w:hAnsi="Palatino Linotype" w:cs="Palatino Linotype"/>
          <w:b/>
        </w:rPr>
        <w:t>Tercero.</w:t>
      </w:r>
      <w:r w:rsidRPr="00383343">
        <w:rPr>
          <w:rFonts w:ascii="Palatino Linotype" w:eastAsia="Palatino Linotype" w:hAnsi="Palatino Linotype" w:cs="Palatino Linotype"/>
        </w:rPr>
        <w:t xml:space="preserve"> </w:t>
      </w:r>
      <w:r w:rsidRPr="00383343">
        <w:rPr>
          <w:rFonts w:ascii="Palatino Linotype" w:eastAsia="Palatino Linotype" w:hAnsi="Palatino Linotype" w:cs="Palatino Linotype"/>
          <w:b/>
        </w:rPr>
        <w:t xml:space="preserve">Notifíquese </w:t>
      </w:r>
      <w:r w:rsidRPr="00383343">
        <w:rPr>
          <w:rFonts w:ascii="Palatino Linotype" w:eastAsia="Palatino Linotype" w:hAnsi="Palatino Linotype" w:cs="Palatino Linotype"/>
        </w:rPr>
        <w:t>la presente resolución al T</w:t>
      </w:r>
      <w:r w:rsidRPr="00383343">
        <w:rPr>
          <w:rFonts w:ascii="Palatino Linotype" w:eastAsia="Palatino Linotype" w:hAnsi="Palatino Linotype" w:cs="Palatino Linotype"/>
          <w:b/>
        </w:rPr>
        <w:t xml:space="preserve">itular de la Unidad de Transparencia </w:t>
      </w:r>
      <w:r w:rsidRPr="00383343">
        <w:rPr>
          <w:rFonts w:ascii="Palatino Linotype" w:eastAsia="Palatino Linotype" w:hAnsi="Palatino Linotype" w:cs="Palatino Linotype"/>
        </w:rPr>
        <w:t xml:space="preserve">del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para que conforme al artículo 186 último </w:t>
      </w:r>
      <w:r w:rsidRPr="00383343">
        <w:rPr>
          <w:rFonts w:ascii="Palatino Linotype" w:eastAsia="Palatino Linotype" w:hAnsi="Palatino Linotype" w:cs="Palatino Linotype"/>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E2BAC60" w14:textId="77777777" w:rsidR="00EE6FB1" w:rsidRPr="00383343" w:rsidRDefault="00EE6FB1" w:rsidP="00EE6FB1">
      <w:pPr>
        <w:spacing w:line="360" w:lineRule="auto"/>
        <w:ind w:right="49"/>
        <w:jc w:val="both"/>
        <w:rPr>
          <w:rFonts w:ascii="Palatino Linotype" w:eastAsia="Palatino Linotype" w:hAnsi="Palatino Linotype" w:cs="Palatino Linotype"/>
        </w:rPr>
      </w:pPr>
    </w:p>
    <w:p w14:paraId="3C809DAA" w14:textId="06401D09" w:rsidR="00EE6FB1" w:rsidRPr="00383343" w:rsidRDefault="00EE6FB1" w:rsidP="00EE6FB1">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b/>
        </w:rPr>
        <w:t>Cuarto.</w:t>
      </w:r>
      <w:r w:rsidRPr="00383343">
        <w:rPr>
          <w:rFonts w:ascii="Palatino Linotype" w:eastAsia="Palatino Linotype" w:hAnsi="Palatino Linotype" w:cs="Palatino Linotype"/>
        </w:rPr>
        <w:t xml:space="preserve"> </w:t>
      </w:r>
      <w:r w:rsidRPr="00383343">
        <w:rPr>
          <w:rFonts w:ascii="Palatino Linotype" w:eastAsia="Palatino Linotype" w:hAnsi="Palatino Linotype" w:cs="Palatino Linotype"/>
          <w:b/>
        </w:rPr>
        <w:t>Notifíquese vía SAIMEX</w:t>
      </w:r>
      <w:r w:rsidR="00DF0EE7" w:rsidRPr="00383343">
        <w:rPr>
          <w:rFonts w:ascii="Palatino Linotype" w:eastAsia="Palatino Linotype" w:hAnsi="Palatino Linotype" w:cs="Palatino Linotype"/>
          <w:b/>
        </w:rPr>
        <w:t xml:space="preserve"> y correo electrónico</w:t>
      </w:r>
      <w:r w:rsidRPr="00383343">
        <w:rPr>
          <w:rFonts w:ascii="Palatino Linotype" w:eastAsia="Palatino Linotype" w:hAnsi="Palatino Linotype" w:cs="Palatino Linotype"/>
        </w:rPr>
        <w:t xml:space="preserve"> a la parte </w:t>
      </w:r>
      <w:r w:rsidRPr="00383343">
        <w:rPr>
          <w:rFonts w:ascii="Palatino Linotype" w:eastAsia="Palatino Linotype" w:hAnsi="Palatino Linotype" w:cs="Palatino Linotype"/>
          <w:b/>
        </w:rPr>
        <w:t xml:space="preserve">RECURRENTE </w:t>
      </w:r>
      <w:r w:rsidRPr="00383343">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D2D64D7" w14:textId="77777777" w:rsidR="00EE6FB1" w:rsidRPr="00383343" w:rsidRDefault="00EE6FB1" w:rsidP="00EE6FB1">
      <w:pPr>
        <w:spacing w:line="360" w:lineRule="auto"/>
        <w:ind w:right="49"/>
        <w:jc w:val="both"/>
        <w:rPr>
          <w:rFonts w:ascii="Palatino Linotype" w:eastAsia="Palatino Linotype" w:hAnsi="Palatino Linotype" w:cs="Palatino Linotype"/>
          <w:szCs w:val="52"/>
        </w:rPr>
      </w:pPr>
    </w:p>
    <w:p w14:paraId="41825D07" w14:textId="77777777" w:rsidR="00EE6FB1" w:rsidRPr="00383343" w:rsidRDefault="00EE6FB1" w:rsidP="00EE6FB1">
      <w:pPr>
        <w:spacing w:line="360" w:lineRule="auto"/>
        <w:ind w:right="49"/>
        <w:jc w:val="both"/>
        <w:rPr>
          <w:rFonts w:ascii="Palatino Linotype" w:eastAsia="Palatino Linotype" w:hAnsi="Palatino Linotype" w:cs="Palatino Linotype"/>
        </w:rPr>
      </w:pPr>
      <w:r w:rsidRPr="00383343">
        <w:rPr>
          <w:rFonts w:ascii="Palatino Linotype" w:eastAsia="Palatino Linotype" w:hAnsi="Palatino Linotype" w:cs="Palatino Linotype"/>
          <w:b/>
        </w:rPr>
        <w:t>Quinto.</w:t>
      </w:r>
      <w:r w:rsidRPr="0038334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383343">
        <w:rPr>
          <w:rFonts w:ascii="Palatino Linotype" w:eastAsia="Palatino Linotype" w:hAnsi="Palatino Linotype" w:cs="Palatino Linotype"/>
          <w:b/>
        </w:rPr>
        <w:t>SUJETO OBLIGADO</w:t>
      </w:r>
      <w:r w:rsidRPr="00383343">
        <w:rPr>
          <w:rFonts w:ascii="Palatino Linotype" w:eastAsia="Palatino Linotype" w:hAnsi="Palatino Linotype" w:cs="Palatino Linotype"/>
        </w:rPr>
        <w:t xml:space="preserve"> de manera fundada y motivada, podrá solicitar una ampliación de plazo para el cumplimiento de la presente resolución.</w:t>
      </w:r>
    </w:p>
    <w:p w14:paraId="35E230B4" w14:textId="77777777" w:rsidR="00EE6FB1" w:rsidRPr="00383343" w:rsidRDefault="00EE6FB1" w:rsidP="00EE6FB1">
      <w:pPr>
        <w:spacing w:line="360" w:lineRule="auto"/>
        <w:ind w:right="49"/>
        <w:jc w:val="both"/>
        <w:rPr>
          <w:rFonts w:ascii="Palatino Linotype" w:eastAsia="Palatino Linotype" w:hAnsi="Palatino Linotype" w:cs="Palatino Linotype"/>
        </w:rPr>
      </w:pPr>
    </w:p>
    <w:p w14:paraId="50679049" w14:textId="77777777" w:rsidR="00BA4397" w:rsidRDefault="00B16908">
      <w:pPr>
        <w:spacing w:line="360" w:lineRule="auto"/>
        <w:jc w:val="both"/>
        <w:rPr>
          <w:rFonts w:ascii="Palatino Linotype" w:eastAsia="Palatino Linotype" w:hAnsi="Palatino Linotype" w:cs="Palatino Linotype"/>
        </w:rPr>
      </w:pPr>
      <w:r w:rsidRPr="0038334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w:t>
      </w:r>
      <w:r w:rsidRPr="00383343">
        <w:rPr>
          <w:rFonts w:ascii="Palatino Linotype" w:eastAsia="Palatino Linotype" w:hAnsi="Palatino Linotype" w:cs="Palatino Linotype"/>
        </w:rPr>
        <w:lastRenderedPageBreak/>
        <w:t>MUNICIPIOS, CONFORMADO POR LOS COMISIONADOS JOSÉ MARTÍNEZ VILCHIS, MARÍA DEL ROSARIO MEJÍA AYALA, SHARON CRISTINA MORALES MARTÍNEZ, LUIS GUSTAVO PARRA NORIEGA Y</w:t>
      </w:r>
      <w:r w:rsidR="00E22C26" w:rsidRPr="00383343">
        <w:rPr>
          <w:rFonts w:ascii="Palatino Linotype" w:eastAsia="Palatino Linotype" w:hAnsi="Palatino Linotype" w:cs="Palatino Linotype"/>
        </w:rPr>
        <w:t xml:space="preserve"> GUADALUPE RAMÍREZ PEÑA; EN LA </w:t>
      </w:r>
      <w:r w:rsidR="00D8337B" w:rsidRPr="00383343">
        <w:rPr>
          <w:rFonts w:ascii="Palatino Linotype" w:eastAsia="Palatino Linotype" w:hAnsi="Palatino Linotype" w:cs="Palatino Linotype"/>
        </w:rPr>
        <w:t>CUARTA</w:t>
      </w:r>
      <w:r w:rsidR="00042166" w:rsidRPr="00383343">
        <w:rPr>
          <w:rFonts w:ascii="Palatino Linotype" w:eastAsia="Palatino Linotype" w:hAnsi="Palatino Linotype" w:cs="Palatino Linotype"/>
        </w:rPr>
        <w:t xml:space="preserve"> </w:t>
      </w:r>
      <w:r w:rsidR="00CF4F0B" w:rsidRPr="00383343">
        <w:rPr>
          <w:rFonts w:ascii="Palatino Linotype" w:eastAsia="Palatino Linotype" w:hAnsi="Palatino Linotype" w:cs="Palatino Linotype"/>
        </w:rPr>
        <w:t xml:space="preserve">SESIÓN ORDINARIA CELEBRADA EL OCHO </w:t>
      </w:r>
      <w:r w:rsidR="00D8337B" w:rsidRPr="00383343">
        <w:rPr>
          <w:rFonts w:ascii="Palatino Linotype" w:eastAsia="Palatino Linotype" w:hAnsi="Palatino Linotype" w:cs="Palatino Linotype"/>
        </w:rPr>
        <w:t>DE FEBRERO DE DOS MIL VEINTICUATRO</w:t>
      </w:r>
      <w:r w:rsidRPr="00383343">
        <w:rPr>
          <w:rFonts w:ascii="Palatino Linotype" w:eastAsia="Palatino Linotype" w:hAnsi="Palatino Linotype" w:cs="Palatino Linotype"/>
        </w:rPr>
        <w:t>, ANTE EL SECRETARIO TÉCNICO DEL PLENO ALEXIS TAPIA RAMÍREZ</w:t>
      </w:r>
      <w:r w:rsidR="00E22C26" w:rsidRPr="00383343">
        <w:rPr>
          <w:rFonts w:ascii="Palatino Linotype" w:eastAsia="Palatino Linotype" w:hAnsi="Palatino Linotype" w:cs="Palatino Linotype"/>
        </w:rPr>
        <w:t xml:space="preserve">.               </w:t>
      </w:r>
    </w:p>
    <w:p w14:paraId="018ECAC5" w14:textId="77777777" w:rsidR="00BA4397" w:rsidRDefault="00BA4397">
      <w:pPr>
        <w:spacing w:line="360" w:lineRule="auto"/>
        <w:jc w:val="both"/>
        <w:rPr>
          <w:rFonts w:ascii="Palatino Linotype" w:eastAsia="Palatino Linotype" w:hAnsi="Palatino Linotype" w:cs="Palatino Linotype"/>
        </w:rPr>
      </w:pPr>
    </w:p>
    <w:p w14:paraId="1A1357A5" w14:textId="186A430D" w:rsidR="00397333" w:rsidRPr="00383343" w:rsidRDefault="00BA4397">
      <w:pPr>
        <w:spacing w:line="360" w:lineRule="auto"/>
        <w:jc w:val="both"/>
        <w:rPr>
          <w:rFonts w:ascii="Palatino Linotype" w:eastAsia="Palatino Linotype" w:hAnsi="Palatino Linotype" w:cs="Palatino Linotype"/>
        </w:rPr>
        <w:sectPr w:rsidR="00397333" w:rsidRPr="00383343">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Pr>
          <w:rFonts w:ascii="Palatino Linotype" w:eastAsia="Palatino Linotype" w:hAnsi="Palatino Linotype" w:cs="Palatino Linotype"/>
          <w:noProof/>
          <w:lang w:val="es-MX" w:eastAsia="es-MX"/>
        </w:rPr>
        <mc:AlternateContent>
          <mc:Choice Requires="wps">
            <w:drawing>
              <wp:anchor distT="0" distB="0" distL="114300" distR="114300" simplePos="0" relativeHeight="251659264" behindDoc="0" locked="0" layoutInCell="1" allowOverlap="1" wp14:anchorId="3F9B07EA" wp14:editId="2574D81A">
                <wp:simplePos x="0" y="0"/>
                <wp:positionH relativeFrom="column">
                  <wp:posOffset>291465</wp:posOffset>
                </wp:positionH>
                <wp:positionV relativeFrom="paragraph">
                  <wp:posOffset>10448</wp:posOffset>
                </wp:positionV>
                <wp:extent cx="5164282" cy="4998027"/>
                <wp:effectExtent l="0" t="0" r="36830" b="31750"/>
                <wp:wrapNone/>
                <wp:docPr id="2" name="Conector recto 2"/>
                <wp:cNvGraphicFramePr/>
                <a:graphic xmlns:a="http://schemas.openxmlformats.org/drawingml/2006/main">
                  <a:graphicData uri="http://schemas.microsoft.com/office/word/2010/wordprocessingShape">
                    <wps:wsp>
                      <wps:cNvCnPr/>
                      <wps:spPr>
                        <a:xfrm>
                          <a:off x="0" y="0"/>
                          <a:ext cx="5164282" cy="49980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F924E"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5pt,.8pt" to="429.6pt,3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" strokecolor="#5b9bd5 [3204]" strokeweight=".5pt">
                <v:stroke joinstyle="miter"/>
              </v:line>
            </w:pict>
          </mc:Fallback>
        </mc:AlternateContent>
      </w:r>
      <w:r w:rsidR="00E22C26" w:rsidRPr="00383343">
        <w:rPr>
          <w:rFonts w:ascii="Palatino Linotype" w:eastAsia="Palatino Linotype" w:hAnsi="Palatino Linotype" w:cs="Palatino Linotype"/>
        </w:rPr>
        <w:t xml:space="preserve">               </w:t>
      </w:r>
    </w:p>
    <w:p w14:paraId="731620FE" w14:textId="77777777" w:rsidR="00397333" w:rsidRPr="00383343" w:rsidRDefault="00397333">
      <w:pPr>
        <w:spacing w:line="360" w:lineRule="auto"/>
        <w:jc w:val="both"/>
        <w:rPr>
          <w:rFonts w:ascii="Palatino Linotype" w:eastAsia="Palatino Linotype" w:hAnsi="Palatino Linotype" w:cs="Palatino Linotype"/>
        </w:rPr>
      </w:pPr>
    </w:p>
    <w:sectPr w:rsidR="00397333" w:rsidRPr="00383343">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213B" w14:textId="77777777" w:rsidR="00E04EA9" w:rsidRDefault="00E04EA9">
      <w:r>
        <w:separator/>
      </w:r>
    </w:p>
  </w:endnote>
  <w:endnote w:type="continuationSeparator" w:id="0">
    <w:p w14:paraId="328F49F6" w14:textId="77777777" w:rsidR="00E04EA9" w:rsidRDefault="00E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05C38">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05C38">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74FD0940" w14:textId="77777777" w:rsidR="00111D33" w:rsidRDefault="00111D33">
    <w:pPr>
      <w:pBdr>
        <w:top w:val="nil"/>
        <w:left w:val="nil"/>
        <w:bottom w:val="nil"/>
        <w:right w:val="nil"/>
        <w:between w:val="nil"/>
      </w:pBdr>
      <w:tabs>
        <w:tab w:val="center" w:pos="4252"/>
        <w:tab w:val="right" w:pos="8504"/>
      </w:tabs>
      <w:rPr>
        <w:color w:val="000000"/>
      </w:rPr>
    </w:pPr>
  </w:p>
  <w:p w14:paraId="2A58C321" w14:textId="77777777" w:rsidR="00111D33" w:rsidRDefault="00111D3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111D33" w:rsidRDefault="00111D3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05C38">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05C38">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086B091E"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AE2C" w14:textId="77777777" w:rsidR="00E04EA9" w:rsidRDefault="00E04EA9">
      <w:r>
        <w:separator/>
      </w:r>
    </w:p>
  </w:footnote>
  <w:footnote w:type="continuationSeparator" w:id="0">
    <w:p w14:paraId="3A8A2CF8" w14:textId="77777777" w:rsidR="00E04EA9" w:rsidRDefault="00E0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111D33" w:rsidRDefault="00111D3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111D33" w14:paraId="410F6866" w14:textId="77777777">
      <w:tc>
        <w:tcPr>
          <w:tcW w:w="2551" w:type="dxa"/>
          <w:vAlign w:val="center"/>
        </w:tcPr>
        <w:p w14:paraId="4F3EC25E"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1E564F41" w:rsidR="00111D33" w:rsidRDefault="00111D33"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05479/INFOEM/IP/RR/2023</w:t>
          </w:r>
        </w:p>
      </w:tc>
    </w:tr>
    <w:tr w:rsidR="00111D33" w14:paraId="7FF3BFBA" w14:textId="77777777">
      <w:trPr>
        <w:trHeight w:val="228"/>
      </w:trPr>
      <w:tc>
        <w:tcPr>
          <w:tcW w:w="2551" w:type="dxa"/>
          <w:vAlign w:val="center"/>
        </w:tcPr>
        <w:p w14:paraId="2DC18B76" w14:textId="3ED92A85"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5C442F58" w:rsidR="00111D33" w:rsidRDefault="00111D33"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Texcoco</w:t>
          </w:r>
        </w:p>
      </w:tc>
    </w:tr>
    <w:tr w:rsidR="00111D33" w14:paraId="4B680A7E" w14:textId="77777777">
      <w:tc>
        <w:tcPr>
          <w:tcW w:w="2551" w:type="dxa"/>
          <w:vAlign w:val="center"/>
        </w:tcPr>
        <w:p w14:paraId="450F4EE9"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111D33" w:rsidRDefault="00111D3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111D33" w14:paraId="0ABB4C37" w14:textId="77777777">
      <w:tc>
        <w:tcPr>
          <w:tcW w:w="2551" w:type="dxa"/>
          <w:vAlign w:val="center"/>
        </w:tcPr>
        <w:p w14:paraId="23A06263"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77F609CA" w:rsidR="00111D33" w:rsidRDefault="00111D33"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05479/INFOEM/IP/RR/2023 </w:t>
          </w:r>
        </w:p>
      </w:tc>
    </w:tr>
    <w:tr w:rsidR="00111D33" w14:paraId="021994CC" w14:textId="77777777">
      <w:tc>
        <w:tcPr>
          <w:tcW w:w="2551" w:type="dxa"/>
          <w:vAlign w:val="center"/>
        </w:tcPr>
        <w:p w14:paraId="4E679DDD" w14:textId="77777777" w:rsidR="00111D33" w:rsidRPr="00CF4F0B" w:rsidRDefault="00111D33">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76CB973B" w:rsidR="00111D33" w:rsidRPr="00CF4F0B" w:rsidRDefault="004C07CC" w:rsidP="008D7E3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 XXXXXXX</w:t>
          </w:r>
        </w:p>
      </w:tc>
    </w:tr>
    <w:tr w:rsidR="00111D33" w14:paraId="491D29D6" w14:textId="77777777">
      <w:trPr>
        <w:trHeight w:val="228"/>
      </w:trPr>
      <w:tc>
        <w:tcPr>
          <w:tcW w:w="2551" w:type="dxa"/>
          <w:vAlign w:val="center"/>
        </w:tcPr>
        <w:p w14:paraId="2A6E034B" w14:textId="1A8E019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456984C8" w:rsidR="00111D33" w:rsidRDefault="00111D33" w:rsidP="00111D33">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Texcoco</w:t>
          </w:r>
        </w:p>
      </w:tc>
    </w:tr>
    <w:tr w:rsidR="00111D33" w14:paraId="412F3721" w14:textId="77777777">
      <w:tc>
        <w:tcPr>
          <w:tcW w:w="2551" w:type="dxa"/>
          <w:vAlign w:val="center"/>
        </w:tcPr>
        <w:p w14:paraId="7EDAC2CA" w14:textId="77777777" w:rsidR="00111D33" w:rsidRDefault="00111D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111D33" w:rsidRDefault="00111D3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111D33" w:rsidRDefault="00111D3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111D33" w:rsidRDefault="00111D3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6"/>
  </w:num>
  <w:num w:numId="4">
    <w:abstractNumId w:val="5"/>
  </w:num>
  <w:num w:numId="5">
    <w:abstractNumId w:val="9"/>
  </w:num>
  <w:num w:numId="6">
    <w:abstractNumId w:val="19"/>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1"/>
  </w:num>
  <w:num w:numId="12">
    <w:abstractNumId w:val="11"/>
  </w:num>
  <w:num w:numId="13">
    <w:abstractNumId w:val="8"/>
  </w:num>
  <w:num w:numId="14">
    <w:abstractNumId w:val="23"/>
  </w:num>
  <w:num w:numId="15">
    <w:abstractNumId w:val="18"/>
  </w:num>
  <w:num w:numId="16">
    <w:abstractNumId w:val="24"/>
  </w:num>
  <w:num w:numId="17">
    <w:abstractNumId w:val="20"/>
  </w:num>
  <w:num w:numId="18">
    <w:abstractNumId w:val="6"/>
  </w:num>
  <w:num w:numId="19">
    <w:abstractNumId w:val="2"/>
  </w:num>
  <w:num w:numId="20">
    <w:abstractNumId w:val="1"/>
  </w:num>
  <w:num w:numId="21">
    <w:abstractNumId w:val="22"/>
  </w:num>
  <w:num w:numId="22">
    <w:abstractNumId w:val="15"/>
  </w:num>
  <w:num w:numId="23">
    <w:abstractNumId w:val="4"/>
  </w:num>
  <w:num w:numId="24">
    <w:abstractNumId w:val="14"/>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71508"/>
    <w:rsid w:val="000D394F"/>
    <w:rsid w:val="000D4A9B"/>
    <w:rsid w:val="000E3910"/>
    <w:rsid w:val="00104B28"/>
    <w:rsid w:val="00105688"/>
    <w:rsid w:val="0011177E"/>
    <w:rsid w:val="00111D33"/>
    <w:rsid w:val="00130ADB"/>
    <w:rsid w:val="0014425E"/>
    <w:rsid w:val="0015352F"/>
    <w:rsid w:val="00182F33"/>
    <w:rsid w:val="001A2789"/>
    <w:rsid w:val="0021224F"/>
    <w:rsid w:val="00215DEF"/>
    <w:rsid w:val="00227026"/>
    <w:rsid w:val="00237EBD"/>
    <w:rsid w:val="00241E82"/>
    <w:rsid w:val="0024674D"/>
    <w:rsid w:val="00250736"/>
    <w:rsid w:val="00272FE8"/>
    <w:rsid w:val="00274708"/>
    <w:rsid w:val="002C59DD"/>
    <w:rsid w:val="00334DC9"/>
    <w:rsid w:val="00344842"/>
    <w:rsid w:val="003537BC"/>
    <w:rsid w:val="003658E9"/>
    <w:rsid w:val="003776E1"/>
    <w:rsid w:val="003804FB"/>
    <w:rsid w:val="00383343"/>
    <w:rsid w:val="00397333"/>
    <w:rsid w:val="003C0A84"/>
    <w:rsid w:val="003E2AB0"/>
    <w:rsid w:val="0045248B"/>
    <w:rsid w:val="00452B2D"/>
    <w:rsid w:val="0047162B"/>
    <w:rsid w:val="00477CB8"/>
    <w:rsid w:val="004948E3"/>
    <w:rsid w:val="004A6331"/>
    <w:rsid w:val="004C07CC"/>
    <w:rsid w:val="00505D52"/>
    <w:rsid w:val="00507AAF"/>
    <w:rsid w:val="005100F1"/>
    <w:rsid w:val="00527423"/>
    <w:rsid w:val="00530576"/>
    <w:rsid w:val="00550C9E"/>
    <w:rsid w:val="005532C7"/>
    <w:rsid w:val="006039B6"/>
    <w:rsid w:val="00613B06"/>
    <w:rsid w:val="00634EF5"/>
    <w:rsid w:val="00644DB5"/>
    <w:rsid w:val="00646715"/>
    <w:rsid w:val="00655336"/>
    <w:rsid w:val="00656B51"/>
    <w:rsid w:val="006E24A6"/>
    <w:rsid w:val="007063C1"/>
    <w:rsid w:val="00714EEE"/>
    <w:rsid w:val="00753E24"/>
    <w:rsid w:val="00770319"/>
    <w:rsid w:val="007729C9"/>
    <w:rsid w:val="007B2993"/>
    <w:rsid w:val="007B492E"/>
    <w:rsid w:val="008014E6"/>
    <w:rsid w:val="00813356"/>
    <w:rsid w:val="00831675"/>
    <w:rsid w:val="00836A8D"/>
    <w:rsid w:val="00846B9D"/>
    <w:rsid w:val="0087513D"/>
    <w:rsid w:val="008C5C02"/>
    <w:rsid w:val="008D7E32"/>
    <w:rsid w:val="0094563A"/>
    <w:rsid w:val="00963859"/>
    <w:rsid w:val="009734D4"/>
    <w:rsid w:val="009807CD"/>
    <w:rsid w:val="0099390D"/>
    <w:rsid w:val="009A026A"/>
    <w:rsid w:val="009A52A2"/>
    <w:rsid w:val="00A6555D"/>
    <w:rsid w:val="00A74A95"/>
    <w:rsid w:val="00A86253"/>
    <w:rsid w:val="00A90D86"/>
    <w:rsid w:val="00A94A15"/>
    <w:rsid w:val="00A95952"/>
    <w:rsid w:val="00AE3BA7"/>
    <w:rsid w:val="00AE6D18"/>
    <w:rsid w:val="00B0008F"/>
    <w:rsid w:val="00B15AFE"/>
    <w:rsid w:val="00B16908"/>
    <w:rsid w:val="00B174AF"/>
    <w:rsid w:val="00B47B61"/>
    <w:rsid w:val="00B928F5"/>
    <w:rsid w:val="00BA0EC3"/>
    <w:rsid w:val="00BA4397"/>
    <w:rsid w:val="00BB0BC6"/>
    <w:rsid w:val="00BB3E37"/>
    <w:rsid w:val="00BC7555"/>
    <w:rsid w:val="00BF2BDB"/>
    <w:rsid w:val="00C33785"/>
    <w:rsid w:val="00C42377"/>
    <w:rsid w:val="00C45371"/>
    <w:rsid w:val="00C63FAA"/>
    <w:rsid w:val="00C757D6"/>
    <w:rsid w:val="00C81AB2"/>
    <w:rsid w:val="00C963F2"/>
    <w:rsid w:val="00CA34D7"/>
    <w:rsid w:val="00CE0FF1"/>
    <w:rsid w:val="00CF4F0B"/>
    <w:rsid w:val="00D0189A"/>
    <w:rsid w:val="00D02185"/>
    <w:rsid w:val="00D126B9"/>
    <w:rsid w:val="00D155F3"/>
    <w:rsid w:val="00D524D6"/>
    <w:rsid w:val="00D6232B"/>
    <w:rsid w:val="00D8337B"/>
    <w:rsid w:val="00D9430A"/>
    <w:rsid w:val="00DA55A9"/>
    <w:rsid w:val="00DB78DA"/>
    <w:rsid w:val="00DC1728"/>
    <w:rsid w:val="00DF0EE7"/>
    <w:rsid w:val="00E04EA9"/>
    <w:rsid w:val="00E05C38"/>
    <w:rsid w:val="00E06B79"/>
    <w:rsid w:val="00E22C26"/>
    <w:rsid w:val="00E3154F"/>
    <w:rsid w:val="00E34508"/>
    <w:rsid w:val="00E45040"/>
    <w:rsid w:val="00E567CE"/>
    <w:rsid w:val="00E57BE8"/>
    <w:rsid w:val="00E77807"/>
    <w:rsid w:val="00E80ADB"/>
    <w:rsid w:val="00EE05BB"/>
    <w:rsid w:val="00EE6FB1"/>
    <w:rsid w:val="00F41B7B"/>
    <w:rsid w:val="00F60280"/>
    <w:rsid w:val="00FA360E"/>
    <w:rsid w:val="00FA6F09"/>
    <w:rsid w:val="00FC4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ntraloriadf.gob.mx/contraloria/cursos/ADQUISICIONES/paginas/32.php" TargetMode="External"/><Relationship Id="rId4" Type="http://schemas.openxmlformats.org/officeDocument/2006/relationships/styles" Target="styles.xml"/><Relationship Id="rId9" Type="http://schemas.openxmlformats.org/officeDocument/2006/relationships/hyperlink" Target="https://www.gob.mx/sfp/acciones-y-programas/1-3-3-adjudicacion-direct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810F2043-1AB4-48A4-8121-4F8E3B2F90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8180</Words>
  <Characters>44996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2024-02-09T16:16:00Z</cp:lastPrinted>
  <dcterms:created xsi:type="dcterms:W3CDTF">2024-02-19T18:23:00Z</dcterms:created>
  <dcterms:modified xsi:type="dcterms:W3CDTF">2024-02-19T18:23:00Z</dcterms:modified>
</cp:coreProperties>
</file>