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8783B"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ocho de febrero de dos mil veinticuatro. </w:t>
      </w:r>
    </w:p>
    <w:p w14:paraId="4DC94766" w14:textId="77777777" w:rsidR="00B3308B" w:rsidRPr="008927AD" w:rsidRDefault="00B3308B" w:rsidP="008927AD">
      <w:pPr>
        <w:spacing w:line="360" w:lineRule="auto"/>
        <w:jc w:val="both"/>
        <w:rPr>
          <w:rFonts w:ascii="Palatino Linotype" w:eastAsia="Palatino Linotype" w:hAnsi="Palatino Linotype" w:cs="Palatino Linotype"/>
        </w:rPr>
      </w:pPr>
    </w:p>
    <w:p w14:paraId="3DC4F756" w14:textId="6C4B224F" w:rsidR="00B3308B" w:rsidRPr="008927AD" w:rsidRDefault="00601D2F" w:rsidP="008927AD">
      <w:pPr>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rPr>
        <w:t>VISTO</w:t>
      </w:r>
      <w:r w:rsidRPr="008927AD">
        <w:rPr>
          <w:rFonts w:ascii="Palatino Linotype" w:eastAsia="Palatino Linotype" w:hAnsi="Palatino Linotype" w:cs="Palatino Linotype"/>
        </w:rPr>
        <w:t xml:space="preserve"> el expediente formado con motivo del Recurso de Revisión</w:t>
      </w:r>
      <w:r w:rsidRPr="008927AD">
        <w:rPr>
          <w:rFonts w:ascii="Palatino Linotype" w:eastAsia="Palatino Linotype" w:hAnsi="Palatino Linotype" w:cs="Palatino Linotype"/>
          <w:b/>
        </w:rPr>
        <w:t xml:space="preserve"> 00407/INFOEM/IP/RR/2023</w:t>
      </w:r>
      <w:r w:rsidRPr="008927AD">
        <w:rPr>
          <w:rFonts w:ascii="Palatino Linotype" w:eastAsia="Palatino Linotype" w:hAnsi="Palatino Linotype" w:cs="Palatino Linotype"/>
        </w:rPr>
        <w:t xml:space="preserve">, promovido por quien se ostenta como </w:t>
      </w:r>
      <w:bookmarkStart w:id="0" w:name="_GoBack"/>
      <w:r w:rsidR="00F964AB">
        <w:rPr>
          <w:rFonts w:ascii="Palatino Linotype" w:eastAsia="Palatino Linotype" w:hAnsi="Palatino Linotype" w:cs="Palatino Linotype"/>
          <w:b/>
        </w:rPr>
        <w:t xml:space="preserve">XXXXX </w:t>
      </w:r>
      <w:proofErr w:type="spellStart"/>
      <w:r w:rsidR="00F964AB">
        <w:rPr>
          <w:rFonts w:ascii="Palatino Linotype" w:eastAsia="Palatino Linotype" w:hAnsi="Palatino Linotype" w:cs="Palatino Linotype"/>
          <w:b/>
        </w:rPr>
        <w:t>XXXXX</w:t>
      </w:r>
      <w:proofErr w:type="spellEnd"/>
      <w:r w:rsidR="00F964AB">
        <w:rPr>
          <w:rFonts w:ascii="Palatino Linotype" w:eastAsia="Palatino Linotype" w:hAnsi="Palatino Linotype" w:cs="Palatino Linotype"/>
          <w:b/>
        </w:rPr>
        <w:t xml:space="preserve"> XXXXXXXX</w:t>
      </w:r>
      <w:bookmarkEnd w:id="0"/>
      <w:r w:rsidRPr="008927AD">
        <w:rPr>
          <w:rFonts w:ascii="Palatino Linotype" w:eastAsia="Palatino Linotype" w:hAnsi="Palatino Linotype" w:cs="Palatino Linotype"/>
          <w:b/>
          <w:i/>
          <w:shd w:val="clear" w:color="auto" w:fill="F7F7F8"/>
        </w:rPr>
        <w:t xml:space="preserve"> </w:t>
      </w:r>
      <w:r w:rsidRPr="008927AD">
        <w:rPr>
          <w:rFonts w:ascii="Palatino Linotype" w:eastAsia="Palatino Linotype" w:hAnsi="Palatino Linotype" w:cs="Palatino Linotype"/>
        </w:rPr>
        <w:t>que</w:t>
      </w:r>
      <w:r w:rsidRPr="008927AD">
        <w:rPr>
          <w:rFonts w:ascii="Palatino Linotype" w:eastAsia="Palatino Linotype" w:hAnsi="Palatino Linotype" w:cs="Palatino Linotype"/>
          <w:b/>
        </w:rPr>
        <w:t xml:space="preserve"> </w:t>
      </w:r>
      <w:r w:rsidRPr="008927AD">
        <w:rPr>
          <w:rFonts w:ascii="Palatino Linotype" w:eastAsia="Palatino Linotype" w:hAnsi="Palatino Linotype" w:cs="Palatino Linotype"/>
        </w:rPr>
        <w:t xml:space="preserve">en lo sucesivo se denominará </w:t>
      </w:r>
      <w:r w:rsidRPr="008927AD">
        <w:rPr>
          <w:rFonts w:ascii="Palatino Linotype" w:eastAsia="Palatino Linotype" w:hAnsi="Palatino Linotype" w:cs="Palatino Linotype"/>
          <w:b/>
        </w:rPr>
        <w:t>LA RECURRENTE</w:t>
      </w:r>
      <w:r w:rsidRPr="008927AD">
        <w:rPr>
          <w:rFonts w:ascii="Palatino Linotype" w:eastAsia="Palatino Linotype" w:hAnsi="Palatino Linotype" w:cs="Palatino Linotype"/>
        </w:rPr>
        <w:t xml:space="preserve">, en contra de la respuesta emitida por el </w:t>
      </w:r>
      <w:r w:rsidRPr="008927AD">
        <w:rPr>
          <w:rFonts w:ascii="Palatino Linotype" w:eastAsia="Palatino Linotype" w:hAnsi="Palatino Linotype" w:cs="Palatino Linotype"/>
          <w:b/>
        </w:rPr>
        <w:t>Ayuntamiento de San Mateo Atenco,</w:t>
      </w:r>
      <w:r w:rsidRPr="008927AD">
        <w:rPr>
          <w:rFonts w:ascii="Palatino Linotype" w:eastAsia="Palatino Linotype" w:hAnsi="Palatino Linotype" w:cs="Palatino Linotype"/>
        </w:rPr>
        <w:t xml:space="preserve"> en lo sucesivo, </w:t>
      </w:r>
      <w:r w:rsidRPr="008927AD">
        <w:rPr>
          <w:rFonts w:ascii="Palatino Linotype" w:eastAsia="Palatino Linotype" w:hAnsi="Palatino Linotype" w:cs="Palatino Linotype"/>
          <w:b/>
        </w:rPr>
        <w:t>EL SUJETO OBLIGADO</w:t>
      </w:r>
      <w:r w:rsidRPr="008927AD">
        <w:rPr>
          <w:rFonts w:ascii="Palatino Linotype" w:eastAsia="Palatino Linotype" w:hAnsi="Palatino Linotype" w:cs="Palatino Linotype"/>
        </w:rPr>
        <w:t xml:space="preserve">, se procede a dictar la presente resolución con base en los siguientes: </w:t>
      </w:r>
    </w:p>
    <w:p w14:paraId="48516B91" w14:textId="77777777" w:rsidR="00B3308B" w:rsidRPr="008927AD" w:rsidRDefault="00B3308B" w:rsidP="008927AD">
      <w:pPr>
        <w:jc w:val="both"/>
        <w:rPr>
          <w:rFonts w:ascii="Palatino Linotype" w:eastAsia="Palatino Linotype" w:hAnsi="Palatino Linotype" w:cs="Palatino Linotype"/>
        </w:rPr>
      </w:pPr>
    </w:p>
    <w:p w14:paraId="769884E5" w14:textId="77777777" w:rsidR="00B3308B" w:rsidRPr="008927AD" w:rsidRDefault="00601D2F" w:rsidP="008927AD">
      <w:pPr>
        <w:jc w:val="center"/>
        <w:rPr>
          <w:rFonts w:ascii="Palatino Linotype" w:eastAsia="Palatino Linotype" w:hAnsi="Palatino Linotype" w:cs="Palatino Linotype"/>
          <w:b/>
          <w:sz w:val="28"/>
          <w:szCs w:val="28"/>
        </w:rPr>
      </w:pPr>
      <w:r w:rsidRPr="008927AD">
        <w:rPr>
          <w:rFonts w:ascii="Palatino Linotype" w:eastAsia="Palatino Linotype" w:hAnsi="Palatino Linotype" w:cs="Palatino Linotype"/>
          <w:b/>
          <w:sz w:val="28"/>
          <w:szCs w:val="28"/>
        </w:rPr>
        <w:t>ANTECEDENTES</w:t>
      </w:r>
    </w:p>
    <w:p w14:paraId="542F429F" w14:textId="77777777" w:rsidR="00B3308B" w:rsidRPr="008927AD" w:rsidRDefault="00B3308B" w:rsidP="008927AD">
      <w:pPr>
        <w:jc w:val="center"/>
        <w:rPr>
          <w:rFonts w:ascii="Palatino Linotype" w:eastAsia="Palatino Linotype" w:hAnsi="Palatino Linotype" w:cs="Palatino Linotype"/>
          <w:b/>
        </w:rPr>
      </w:pPr>
    </w:p>
    <w:p w14:paraId="341BAA4D" w14:textId="77777777" w:rsidR="00B3308B" w:rsidRPr="008927AD" w:rsidRDefault="00601D2F" w:rsidP="008927AD">
      <w:pPr>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sz w:val="28"/>
          <w:szCs w:val="28"/>
        </w:rPr>
        <w:t>I. De la Solicitud de Información</w:t>
      </w:r>
    </w:p>
    <w:p w14:paraId="24610BF7"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 xml:space="preserve">1. Presentación. </w:t>
      </w:r>
      <w:r w:rsidRPr="008927AD">
        <w:rPr>
          <w:rFonts w:ascii="Palatino Linotype" w:eastAsia="Palatino Linotype" w:hAnsi="Palatino Linotype" w:cs="Palatino Linotype"/>
        </w:rPr>
        <w:t xml:space="preserve">El quince de diciembre de dos mil veintidós, </w:t>
      </w:r>
      <w:r w:rsidRPr="008927AD">
        <w:rPr>
          <w:rFonts w:ascii="Palatino Linotype" w:eastAsia="Palatino Linotype" w:hAnsi="Palatino Linotype" w:cs="Palatino Linotype"/>
          <w:b/>
        </w:rPr>
        <w:t>LA RECURRENTE</w:t>
      </w:r>
      <w:r w:rsidRPr="008927AD">
        <w:rPr>
          <w:rFonts w:ascii="Palatino Linotype" w:eastAsia="Palatino Linotype" w:hAnsi="Palatino Linotype" w:cs="Palatino Linotype"/>
        </w:rPr>
        <w:t xml:space="preserve"> presentó a través del Sistema de Acceso a la Información Mexiquense, en lo subsecuente, </w:t>
      </w:r>
      <w:r w:rsidRPr="008927AD">
        <w:rPr>
          <w:rFonts w:ascii="Palatino Linotype" w:eastAsia="Palatino Linotype" w:hAnsi="Palatino Linotype" w:cs="Palatino Linotype"/>
          <w:b/>
        </w:rPr>
        <w:t>EL SAIMEX</w:t>
      </w:r>
      <w:r w:rsidRPr="008927AD">
        <w:rPr>
          <w:rFonts w:ascii="Palatino Linotype" w:eastAsia="Palatino Linotype" w:hAnsi="Palatino Linotype" w:cs="Palatino Linotype"/>
        </w:rPr>
        <w:t xml:space="preserve"> ante </w:t>
      </w:r>
      <w:r w:rsidRPr="008927AD">
        <w:rPr>
          <w:rFonts w:ascii="Palatino Linotype" w:eastAsia="Palatino Linotype" w:hAnsi="Palatino Linotype" w:cs="Palatino Linotype"/>
          <w:b/>
        </w:rPr>
        <w:t>EL SUJETO OBLIGADO</w:t>
      </w:r>
      <w:r w:rsidRPr="008927AD">
        <w:rPr>
          <w:rFonts w:ascii="Palatino Linotype" w:eastAsia="Palatino Linotype" w:hAnsi="Palatino Linotype" w:cs="Palatino Linotype"/>
        </w:rPr>
        <w:t>, la solicitud de Acceso a la Información pública, a la que se le asignó el número de folio</w:t>
      </w:r>
      <w:r w:rsidRPr="008927AD">
        <w:rPr>
          <w:rFonts w:ascii="Palatino Linotype" w:eastAsia="Palatino Linotype" w:hAnsi="Palatino Linotype" w:cs="Palatino Linotype"/>
          <w:b/>
        </w:rPr>
        <w:t xml:space="preserve"> 00451/MATEOATE/IP/2022</w:t>
      </w:r>
      <w:r w:rsidRPr="008927AD">
        <w:rPr>
          <w:rFonts w:ascii="Palatino Linotype" w:eastAsia="Palatino Linotype" w:hAnsi="Palatino Linotype" w:cs="Palatino Linotype"/>
          <w:b/>
          <w:vertAlign w:val="superscript"/>
        </w:rPr>
        <w:footnoteReference w:id="1"/>
      </w:r>
      <w:r w:rsidRPr="008927AD">
        <w:rPr>
          <w:rFonts w:ascii="Palatino Linotype" w:eastAsia="Palatino Linotype" w:hAnsi="Palatino Linotype" w:cs="Palatino Linotype"/>
          <w:b/>
        </w:rPr>
        <w:t>,</w:t>
      </w:r>
      <w:r w:rsidRPr="008927AD">
        <w:rPr>
          <w:rFonts w:ascii="Palatino Linotype" w:eastAsia="Palatino Linotype" w:hAnsi="Palatino Linotype" w:cs="Palatino Linotype"/>
        </w:rPr>
        <w:t xml:space="preserve"> mediante la cual requirió lo siguiente:</w:t>
      </w:r>
    </w:p>
    <w:p w14:paraId="3A14BADA" w14:textId="77777777" w:rsidR="00B3308B" w:rsidRPr="008927AD" w:rsidRDefault="00B3308B" w:rsidP="00892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485118E8" w14:textId="77777777" w:rsidR="00B3308B" w:rsidRPr="008927AD" w:rsidRDefault="00601D2F" w:rsidP="00892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bookmarkStart w:id="1" w:name="_gjdgxs" w:colFirst="0" w:colLast="0"/>
      <w:bookmarkEnd w:id="1"/>
      <w:r w:rsidRPr="008927AD">
        <w:rPr>
          <w:rFonts w:ascii="Palatino Linotype" w:eastAsia="Palatino Linotype" w:hAnsi="Palatino Linotype" w:cs="Palatino Linotype"/>
          <w:i/>
          <w:sz w:val="22"/>
          <w:szCs w:val="22"/>
        </w:rPr>
        <w:t xml:space="preserve">“Bunas tardes solicito en versión pública la cedula de bines inmuebles del Municipio de san Mateo Atenco, solicito saber </w:t>
      </w:r>
      <w:proofErr w:type="spellStart"/>
      <w:r w:rsidRPr="008927AD">
        <w:rPr>
          <w:rFonts w:ascii="Palatino Linotype" w:eastAsia="Palatino Linotype" w:hAnsi="Palatino Linotype" w:cs="Palatino Linotype"/>
          <w:i/>
          <w:sz w:val="22"/>
          <w:szCs w:val="22"/>
        </w:rPr>
        <w:t>cuantos</w:t>
      </w:r>
      <w:proofErr w:type="spellEnd"/>
      <w:r w:rsidRPr="008927AD">
        <w:rPr>
          <w:rFonts w:ascii="Palatino Linotype" w:eastAsia="Palatino Linotype" w:hAnsi="Palatino Linotype" w:cs="Palatino Linotype"/>
          <w:i/>
          <w:sz w:val="22"/>
          <w:szCs w:val="22"/>
        </w:rPr>
        <w:t xml:space="preserve"> predios se encuentran invadidos, del inicio a la presente administración solicito saber </w:t>
      </w:r>
      <w:proofErr w:type="spellStart"/>
      <w:r w:rsidRPr="008927AD">
        <w:rPr>
          <w:rFonts w:ascii="Palatino Linotype" w:eastAsia="Palatino Linotype" w:hAnsi="Palatino Linotype" w:cs="Palatino Linotype"/>
          <w:i/>
          <w:sz w:val="22"/>
          <w:szCs w:val="22"/>
        </w:rPr>
        <w:t>cuanto</w:t>
      </w:r>
      <w:proofErr w:type="spellEnd"/>
      <w:r w:rsidRPr="008927AD">
        <w:rPr>
          <w:rFonts w:ascii="Palatino Linotype" w:eastAsia="Palatino Linotype" w:hAnsi="Palatino Linotype" w:cs="Palatino Linotype"/>
          <w:i/>
          <w:sz w:val="22"/>
          <w:szCs w:val="22"/>
        </w:rPr>
        <w:t xml:space="preserve"> predios municipales a regularizado, saber si existen procedimientos de recuperación administrativa.” (Sic).</w:t>
      </w:r>
    </w:p>
    <w:p w14:paraId="6A3562B5" w14:textId="77777777" w:rsidR="00B3308B" w:rsidRPr="008927AD" w:rsidRDefault="00B3308B" w:rsidP="00892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1D189F36" w14:textId="77777777" w:rsidR="00B3308B" w:rsidRPr="008927AD" w:rsidRDefault="00601D2F" w:rsidP="008927AD">
      <w:pPr>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rPr>
        <w:lastRenderedPageBreak/>
        <w:t>MODALIDAD DE ENTREGA:</w:t>
      </w:r>
      <w:r w:rsidRPr="008927AD">
        <w:rPr>
          <w:rFonts w:ascii="Palatino Linotype" w:eastAsia="Palatino Linotype" w:hAnsi="Palatino Linotype" w:cs="Palatino Linotype"/>
        </w:rPr>
        <w:t xml:space="preserve"> vía </w:t>
      </w:r>
      <w:r w:rsidRPr="008927AD">
        <w:rPr>
          <w:rFonts w:ascii="Palatino Linotype" w:eastAsia="Palatino Linotype" w:hAnsi="Palatino Linotype" w:cs="Palatino Linotype"/>
          <w:b/>
        </w:rPr>
        <w:t xml:space="preserve">SAIMEX. </w:t>
      </w:r>
    </w:p>
    <w:p w14:paraId="54A08BD8" w14:textId="77777777" w:rsidR="00B3308B" w:rsidRPr="008927AD" w:rsidRDefault="00B3308B" w:rsidP="008927AD">
      <w:pPr>
        <w:spacing w:line="360" w:lineRule="auto"/>
        <w:jc w:val="both"/>
        <w:rPr>
          <w:rFonts w:ascii="Palatino Linotype" w:eastAsia="Palatino Linotype" w:hAnsi="Palatino Linotype" w:cs="Palatino Linotype"/>
          <w:b/>
        </w:rPr>
      </w:pPr>
    </w:p>
    <w:p w14:paraId="2E21C446"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 xml:space="preserve">2. Turno de requerimiento del Sujeto Obligado. </w:t>
      </w:r>
      <w:r w:rsidRPr="008927AD">
        <w:rPr>
          <w:rFonts w:ascii="Palatino Linotype" w:eastAsia="Palatino Linotype" w:hAnsi="Palatino Linotype" w:cs="Palatino Linotype"/>
        </w:rPr>
        <w:t>Con la finalidad de dar cumplimiento al artículo 162 de la Ley de Transparencia y Acceso a la Información Pública del Estado de México y Municipios</w:t>
      </w:r>
      <w:r w:rsidRPr="008927AD">
        <w:rPr>
          <w:rFonts w:ascii="Palatino Linotype" w:eastAsia="Palatino Linotype" w:hAnsi="Palatino Linotype" w:cs="Palatino Linotype"/>
          <w:vertAlign w:val="superscript"/>
        </w:rPr>
        <w:footnoteReference w:id="2"/>
      </w:r>
      <w:r w:rsidRPr="008927AD">
        <w:rPr>
          <w:rFonts w:ascii="Palatino Linotype" w:eastAsia="Palatino Linotype" w:hAnsi="Palatino Linotype" w:cs="Palatino Linotype"/>
        </w:rPr>
        <w:t xml:space="preserve">, el </w:t>
      </w:r>
      <w:r w:rsidRPr="008927AD">
        <w:rPr>
          <w:rFonts w:ascii="Palatino Linotype" w:eastAsia="Palatino Linotype" w:hAnsi="Palatino Linotype" w:cs="Palatino Linotype"/>
          <w:b/>
        </w:rPr>
        <w:t>veinte de diciembre de dos mil veintidós,</w:t>
      </w:r>
      <w:r w:rsidRPr="008927AD">
        <w:rPr>
          <w:rFonts w:ascii="Palatino Linotype" w:eastAsia="Palatino Linotype" w:hAnsi="Palatino Linotype" w:cs="Palatino Linotype"/>
        </w:rPr>
        <w:t xml:space="preserve"> la Titular de la Unidad de Transparencia del </w:t>
      </w:r>
      <w:r w:rsidRPr="008927AD">
        <w:rPr>
          <w:rFonts w:ascii="Palatino Linotype" w:eastAsia="Palatino Linotype" w:hAnsi="Palatino Linotype" w:cs="Palatino Linotype"/>
          <w:b/>
        </w:rPr>
        <w:t>SUJETO OBLIGADO</w:t>
      </w:r>
      <w:r w:rsidRPr="008927AD">
        <w:rPr>
          <w:rFonts w:ascii="Palatino Linotype" w:eastAsia="Palatino Linotype" w:hAnsi="Palatino Linotype" w:cs="Palatino Linotype"/>
        </w:rPr>
        <w:t>, turnó el requerimiento de información al servidor público habilitado que estimó pertinente, a fin de colmar la solicitud.</w:t>
      </w:r>
    </w:p>
    <w:p w14:paraId="60736CFF" w14:textId="77777777" w:rsidR="00B3308B" w:rsidRPr="008927AD" w:rsidRDefault="00B3308B" w:rsidP="008927AD">
      <w:pPr>
        <w:tabs>
          <w:tab w:val="left" w:pos="3226"/>
        </w:tabs>
        <w:spacing w:line="360" w:lineRule="auto"/>
        <w:jc w:val="both"/>
        <w:rPr>
          <w:rFonts w:ascii="Palatino Linotype" w:eastAsia="Palatino Linotype" w:hAnsi="Palatino Linotype" w:cs="Palatino Linotype"/>
        </w:rPr>
      </w:pPr>
    </w:p>
    <w:p w14:paraId="47295BFC"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3.</w:t>
      </w:r>
      <w:r w:rsidRPr="008927AD">
        <w:rPr>
          <w:rFonts w:ascii="Palatino Linotype" w:eastAsia="Palatino Linotype" w:hAnsi="Palatino Linotype" w:cs="Palatino Linotype"/>
        </w:rPr>
        <w:t xml:space="preserve"> </w:t>
      </w:r>
      <w:r w:rsidRPr="008927AD">
        <w:rPr>
          <w:rFonts w:ascii="Palatino Linotype" w:eastAsia="Palatino Linotype" w:hAnsi="Palatino Linotype" w:cs="Palatino Linotype"/>
          <w:b/>
        </w:rPr>
        <w:t xml:space="preserve">Respuesta del Sujeto Obligado. </w:t>
      </w:r>
      <w:r w:rsidRPr="008927AD">
        <w:rPr>
          <w:rFonts w:ascii="Palatino Linotype" w:eastAsia="Palatino Linotype" w:hAnsi="Palatino Linotype" w:cs="Palatino Linotype"/>
        </w:rPr>
        <w:t xml:space="preserve">El veintitrés de enero de dos mil veintitrés, </w:t>
      </w:r>
      <w:r w:rsidRPr="008927AD">
        <w:rPr>
          <w:rFonts w:ascii="Palatino Linotype" w:eastAsia="Palatino Linotype" w:hAnsi="Palatino Linotype" w:cs="Palatino Linotype"/>
          <w:b/>
        </w:rPr>
        <w:t>EL SUJETO OBLIGADO</w:t>
      </w:r>
      <w:r w:rsidRPr="008927AD">
        <w:rPr>
          <w:rFonts w:ascii="Palatino Linotype" w:eastAsia="Palatino Linotype" w:hAnsi="Palatino Linotype" w:cs="Palatino Linotype"/>
        </w:rPr>
        <w:t xml:space="preserve"> dio respuesta a la solicitud, en los términos que a continuación se citan:</w:t>
      </w:r>
    </w:p>
    <w:p w14:paraId="18BABB39" w14:textId="77777777" w:rsidR="00B3308B" w:rsidRPr="008927AD" w:rsidRDefault="00B3308B" w:rsidP="00892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4EAD4A08" w14:textId="77777777" w:rsidR="00B3308B" w:rsidRPr="008927AD" w:rsidRDefault="00601D2F" w:rsidP="00892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w:t>
      </w:r>
    </w:p>
    <w:p w14:paraId="68FDE3F4" w14:textId="77777777" w:rsidR="00B3308B" w:rsidRPr="008927AD" w:rsidRDefault="00601D2F" w:rsidP="00892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1EF9AE" w14:textId="77777777" w:rsidR="00B3308B" w:rsidRPr="008927AD" w:rsidRDefault="00601D2F" w:rsidP="00892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 xml:space="preserve">SE DA RESPUESTA A LA SOLICITUD DE FOLIO 00451/MATEOATE/IP/2022 A TRAVÉS DEL OFICIO SMA/UIPPET/UT/0075/2023” (sic) </w:t>
      </w:r>
    </w:p>
    <w:p w14:paraId="125D7396" w14:textId="77777777" w:rsidR="00B3308B" w:rsidRPr="008927AD" w:rsidRDefault="00B3308B" w:rsidP="00892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26280036"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Y acompañó a su respuesta los archivos que a continuación se describen: </w:t>
      </w:r>
    </w:p>
    <w:p w14:paraId="679CCC5D" w14:textId="77777777" w:rsidR="00B3308B" w:rsidRPr="008927AD" w:rsidRDefault="00B3308B" w:rsidP="008927AD">
      <w:pPr>
        <w:spacing w:line="360" w:lineRule="auto"/>
        <w:jc w:val="both"/>
        <w:rPr>
          <w:rFonts w:ascii="Palatino Linotype" w:eastAsia="Palatino Linotype" w:hAnsi="Palatino Linotype" w:cs="Palatino Linotype"/>
        </w:rPr>
      </w:pPr>
    </w:p>
    <w:p w14:paraId="05590732" w14:textId="77777777" w:rsidR="00B3308B" w:rsidRPr="008927AD" w:rsidRDefault="00601D2F" w:rsidP="008927AD">
      <w:pPr>
        <w:numPr>
          <w:ilvl w:val="0"/>
          <w:numId w:val="3"/>
        </w:numPr>
        <w:pBdr>
          <w:top w:val="nil"/>
          <w:left w:val="nil"/>
          <w:bottom w:val="nil"/>
          <w:right w:val="nil"/>
          <w:between w:val="nil"/>
        </w:pBdr>
        <w:spacing w:line="360" w:lineRule="auto"/>
        <w:jc w:val="both"/>
        <w:rPr>
          <w:b/>
        </w:rPr>
      </w:pPr>
      <w:r w:rsidRPr="008927AD">
        <w:rPr>
          <w:rFonts w:ascii="Palatino Linotype" w:eastAsia="Palatino Linotype" w:hAnsi="Palatino Linotype" w:cs="Palatino Linotype"/>
          <w:b/>
          <w:i/>
        </w:rPr>
        <w:t>oficio 0057 CORRECTO.pdf</w:t>
      </w:r>
      <w:r w:rsidRPr="008927AD">
        <w:rPr>
          <w:rFonts w:ascii="Palatino Linotype" w:eastAsia="Palatino Linotype" w:hAnsi="Palatino Linotype" w:cs="Palatino Linotype"/>
          <w:b/>
        </w:rPr>
        <w:t xml:space="preserve">. </w:t>
      </w:r>
      <w:r w:rsidRPr="008927AD">
        <w:rPr>
          <w:rFonts w:ascii="Palatino Linotype" w:eastAsia="Palatino Linotype" w:hAnsi="Palatino Linotype" w:cs="Palatino Linotype"/>
        </w:rPr>
        <w:t xml:space="preserve">El cual de su contenido se advierte que el Jefe del Departamento de Control Patrimonial y Recursos Materiales, quien refiere que </w:t>
      </w:r>
      <w:r w:rsidRPr="008927AD">
        <w:rPr>
          <w:rFonts w:ascii="Palatino Linotype" w:eastAsia="Palatino Linotype" w:hAnsi="Palatino Linotype" w:cs="Palatino Linotype"/>
        </w:rPr>
        <w:lastRenderedPageBreak/>
        <w:t>lo solicitado se puede consultar en el apartado del artículo 92 fracción XXXVIII D y acompaña un vínculo de IPOMEX (No conduce a ningún lugar).</w:t>
      </w:r>
    </w:p>
    <w:p w14:paraId="4375C2DC" w14:textId="77777777" w:rsidR="00B3308B" w:rsidRPr="008927AD" w:rsidRDefault="00601D2F" w:rsidP="008927AD">
      <w:pPr>
        <w:numPr>
          <w:ilvl w:val="0"/>
          <w:numId w:val="3"/>
        </w:numPr>
        <w:pBdr>
          <w:top w:val="nil"/>
          <w:left w:val="nil"/>
          <w:bottom w:val="nil"/>
          <w:right w:val="nil"/>
          <w:between w:val="nil"/>
        </w:pBdr>
        <w:spacing w:line="360" w:lineRule="auto"/>
        <w:jc w:val="both"/>
        <w:rPr>
          <w:b/>
        </w:rPr>
      </w:pPr>
      <w:r w:rsidRPr="008927AD">
        <w:rPr>
          <w:rFonts w:ascii="Palatino Linotype" w:eastAsia="Palatino Linotype" w:hAnsi="Palatino Linotype" w:cs="Palatino Linotype"/>
          <w:b/>
          <w:i/>
        </w:rPr>
        <w:t>respuestas-24.pdf</w:t>
      </w:r>
      <w:r w:rsidRPr="008927AD">
        <w:rPr>
          <w:rFonts w:ascii="Palatino Linotype" w:eastAsia="Palatino Linotype" w:hAnsi="Palatino Linotype" w:cs="Palatino Linotype"/>
          <w:b/>
        </w:rPr>
        <w:t xml:space="preserve">. </w:t>
      </w:r>
      <w:r w:rsidRPr="008927AD">
        <w:rPr>
          <w:rFonts w:ascii="Palatino Linotype" w:eastAsia="Palatino Linotype" w:hAnsi="Palatino Linotype" w:cs="Palatino Linotype"/>
        </w:rPr>
        <w:t>Respuesta formal a la solicitud de información firmada por la Titular de la Unidad de Transparencia.</w:t>
      </w:r>
    </w:p>
    <w:p w14:paraId="17C14685" w14:textId="77777777" w:rsidR="00B3308B" w:rsidRPr="008927AD" w:rsidRDefault="00B3308B" w:rsidP="008927AD">
      <w:pPr>
        <w:spacing w:line="360" w:lineRule="auto"/>
        <w:jc w:val="both"/>
        <w:rPr>
          <w:rFonts w:ascii="Palatino Linotype" w:eastAsia="Palatino Linotype" w:hAnsi="Palatino Linotype" w:cs="Palatino Linotype"/>
        </w:rPr>
      </w:pPr>
    </w:p>
    <w:p w14:paraId="6CBB1290" w14:textId="77777777" w:rsidR="00B3308B" w:rsidRPr="008927AD" w:rsidRDefault="00601D2F" w:rsidP="008927A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sz w:val="28"/>
          <w:szCs w:val="28"/>
        </w:rPr>
        <w:t>II. Del Recurso de Revisión</w:t>
      </w:r>
    </w:p>
    <w:p w14:paraId="5FC40BA2"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rPr>
        <w:t>1. Presentación.</w:t>
      </w:r>
      <w:r w:rsidRPr="008927AD">
        <w:rPr>
          <w:rFonts w:ascii="Palatino Linotype" w:eastAsia="Palatino Linotype" w:hAnsi="Palatino Linotype" w:cs="Palatino Linotype"/>
        </w:rPr>
        <w:t xml:space="preserve"> Inconforme con la respuesta, el veinticuatro de enero de dos mil veintitrés, </w:t>
      </w:r>
      <w:r w:rsidRPr="008927AD">
        <w:rPr>
          <w:rFonts w:ascii="Palatino Linotype" w:eastAsia="Palatino Linotype" w:hAnsi="Palatino Linotype" w:cs="Palatino Linotype"/>
          <w:b/>
        </w:rPr>
        <w:t xml:space="preserve">LA RECURRENTE </w:t>
      </w:r>
      <w:r w:rsidRPr="008927AD">
        <w:rPr>
          <w:rFonts w:ascii="Palatino Linotype" w:eastAsia="Palatino Linotype" w:hAnsi="Palatino Linotype" w:cs="Palatino Linotype"/>
        </w:rPr>
        <w:t xml:space="preserve">interpuso el Recurso de Revisión en </w:t>
      </w:r>
      <w:r w:rsidRPr="008927AD">
        <w:rPr>
          <w:rFonts w:ascii="Palatino Linotype" w:eastAsia="Palatino Linotype" w:hAnsi="Palatino Linotype" w:cs="Palatino Linotype"/>
          <w:b/>
        </w:rPr>
        <w:t xml:space="preserve">EL SAIMEX </w:t>
      </w:r>
      <w:r w:rsidRPr="008927AD">
        <w:rPr>
          <w:rFonts w:ascii="Palatino Linotype" w:eastAsia="Palatino Linotype" w:hAnsi="Palatino Linotype" w:cs="Palatino Linotype"/>
        </w:rPr>
        <w:t xml:space="preserve">y se le asignó el número de expediente </w:t>
      </w:r>
      <w:r w:rsidRPr="008927AD">
        <w:rPr>
          <w:rFonts w:ascii="Palatino Linotype" w:eastAsia="Palatino Linotype" w:hAnsi="Palatino Linotype" w:cs="Palatino Linotype"/>
          <w:b/>
        </w:rPr>
        <w:t>00407/INFOEM/IP/RR/2023,</w:t>
      </w:r>
      <w:r w:rsidRPr="008927AD">
        <w:rPr>
          <w:rFonts w:ascii="Palatino Linotype" w:eastAsia="Palatino Linotype" w:hAnsi="Palatino Linotype" w:cs="Palatino Linotype"/>
        </w:rPr>
        <w:t xml:space="preserve"> en el que señaló como:</w:t>
      </w:r>
    </w:p>
    <w:p w14:paraId="7EFF2049" w14:textId="77777777" w:rsidR="00B3308B" w:rsidRPr="008927AD" w:rsidRDefault="00B3308B" w:rsidP="008927AD">
      <w:pPr>
        <w:spacing w:line="360" w:lineRule="auto"/>
        <w:ind w:right="899"/>
        <w:jc w:val="both"/>
        <w:rPr>
          <w:rFonts w:ascii="Palatino Linotype" w:eastAsia="Palatino Linotype" w:hAnsi="Palatino Linotype" w:cs="Palatino Linotype"/>
          <w:i/>
          <w:sz w:val="22"/>
          <w:szCs w:val="22"/>
        </w:rPr>
      </w:pPr>
    </w:p>
    <w:p w14:paraId="1C8699F1"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rPr>
        <w:t xml:space="preserve">Acto impugnado: </w:t>
      </w:r>
    </w:p>
    <w:p w14:paraId="72CC6B1E" w14:textId="77777777" w:rsidR="00B3308B" w:rsidRPr="008927AD" w:rsidRDefault="00B3308B" w:rsidP="008927AD">
      <w:pPr>
        <w:pBdr>
          <w:top w:val="nil"/>
          <w:left w:val="nil"/>
          <w:bottom w:val="nil"/>
          <w:right w:val="nil"/>
          <w:between w:val="nil"/>
        </w:pBdr>
        <w:jc w:val="both"/>
        <w:rPr>
          <w:rFonts w:ascii="Palatino Linotype" w:eastAsia="Palatino Linotype" w:hAnsi="Palatino Linotype" w:cs="Palatino Linotype"/>
          <w:b/>
        </w:rPr>
      </w:pPr>
    </w:p>
    <w:p w14:paraId="2736636C"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“La contestación emitida.” (</w:t>
      </w:r>
      <w:proofErr w:type="gramStart"/>
      <w:r w:rsidRPr="008927AD">
        <w:rPr>
          <w:rFonts w:ascii="Palatino Linotype" w:eastAsia="Palatino Linotype" w:hAnsi="Palatino Linotype" w:cs="Palatino Linotype"/>
          <w:i/>
          <w:sz w:val="22"/>
          <w:szCs w:val="22"/>
        </w:rPr>
        <w:t>sic</w:t>
      </w:r>
      <w:proofErr w:type="gramEnd"/>
      <w:r w:rsidRPr="008927AD">
        <w:rPr>
          <w:rFonts w:ascii="Palatino Linotype" w:eastAsia="Palatino Linotype" w:hAnsi="Palatino Linotype" w:cs="Palatino Linotype"/>
          <w:i/>
          <w:sz w:val="22"/>
          <w:szCs w:val="22"/>
        </w:rPr>
        <w:t xml:space="preserve">) </w:t>
      </w:r>
    </w:p>
    <w:p w14:paraId="6C90F415" w14:textId="77777777" w:rsidR="00B3308B" w:rsidRPr="008927AD" w:rsidRDefault="00B3308B" w:rsidP="008927AD">
      <w:pPr>
        <w:ind w:left="851" w:right="899"/>
        <w:jc w:val="both"/>
        <w:rPr>
          <w:rFonts w:ascii="Palatino Linotype" w:eastAsia="Palatino Linotype" w:hAnsi="Palatino Linotype" w:cs="Palatino Linotype"/>
          <w:i/>
          <w:sz w:val="22"/>
          <w:szCs w:val="22"/>
        </w:rPr>
      </w:pPr>
    </w:p>
    <w:p w14:paraId="0FF0BF45"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rPr>
        <w:t>Así como, razones o motivos de inconformidad:</w:t>
      </w:r>
    </w:p>
    <w:p w14:paraId="21E67470" w14:textId="77777777" w:rsidR="00B3308B" w:rsidRPr="008927AD" w:rsidRDefault="00B3308B" w:rsidP="008927AD">
      <w:pPr>
        <w:pBdr>
          <w:top w:val="nil"/>
          <w:left w:val="nil"/>
          <w:bottom w:val="nil"/>
          <w:right w:val="nil"/>
          <w:between w:val="nil"/>
        </w:pBdr>
        <w:jc w:val="both"/>
        <w:rPr>
          <w:rFonts w:ascii="Palatino Linotype" w:eastAsia="Palatino Linotype" w:hAnsi="Palatino Linotype" w:cs="Palatino Linotype"/>
          <w:b/>
        </w:rPr>
      </w:pPr>
    </w:p>
    <w:p w14:paraId="210DB346"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 xml:space="preserve">“Lo que solicite no me fue proporcionado, toda vez que requiero la cedula de bienes inmuebles del Municipio de San Mateo Atenco en el formato correspondiente y que se envía al OSFEM, </w:t>
      </w:r>
      <w:proofErr w:type="spellStart"/>
      <w:r w:rsidRPr="008927AD">
        <w:rPr>
          <w:rFonts w:ascii="Palatino Linotype" w:eastAsia="Palatino Linotype" w:hAnsi="Palatino Linotype" w:cs="Palatino Linotype"/>
          <w:i/>
          <w:sz w:val="22"/>
          <w:szCs w:val="22"/>
        </w:rPr>
        <w:t>ademas</w:t>
      </w:r>
      <w:proofErr w:type="spellEnd"/>
      <w:r w:rsidRPr="008927AD">
        <w:rPr>
          <w:rFonts w:ascii="Palatino Linotype" w:eastAsia="Palatino Linotype" w:hAnsi="Palatino Linotype" w:cs="Palatino Linotype"/>
          <w:i/>
          <w:sz w:val="22"/>
          <w:szCs w:val="22"/>
        </w:rPr>
        <w:t xml:space="preserve"> mis preguntas no son respondidas en la liga que me envían.” (</w:t>
      </w:r>
      <w:proofErr w:type="gramStart"/>
      <w:r w:rsidRPr="008927AD">
        <w:rPr>
          <w:rFonts w:ascii="Palatino Linotype" w:eastAsia="Palatino Linotype" w:hAnsi="Palatino Linotype" w:cs="Palatino Linotype"/>
          <w:i/>
          <w:sz w:val="22"/>
          <w:szCs w:val="22"/>
        </w:rPr>
        <w:t>sic</w:t>
      </w:r>
      <w:proofErr w:type="gramEnd"/>
      <w:r w:rsidRPr="008927AD">
        <w:rPr>
          <w:rFonts w:ascii="Palatino Linotype" w:eastAsia="Palatino Linotype" w:hAnsi="Palatino Linotype" w:cs="Palatino Linotype"/>
          <w:i/>
          <w:sz w:val="22"/>
          <w:szCs w:val="22"/>
        </w:rPr>
        <w:t xml:space="preserve">) </w:t>
      </w:r>
    </w:p>
    <w:p w14:paraId="25A33BF4" w14:textId="77777777" w:rsidR="00B3308B" w:rsidRPr="008927AD" w:rsidRDefault="00B3308B" w:rsidP="008927AD">
      <w:pPr>
        <w:ind w:right="899"/>
        <w:jc w:val="both"/>
        <w:rPr>
          <w:rFonts w:ascii="Palatino Linotype" w:eastAsia="Palatino Linotype" w:hAnsi="Palatino Linotype" w:cs="Palatino Linotype"/>
          <w:i/>
          <w:sz w:val="22"/>
          <w:szCs w:val="22"/>
        </w:rPr>
      </w:pPr>
    </w:p>
    <w:p w14:paraId="023FC9F9"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 xml:space="preserve">2. Del turno del Recurso de Revisión. </w:t>
      </w:r>
      <w:r w:rsidRPr="008927AD">
        <w:rPr>
          <w:rFonts w:ascii="Palatino Linotype" w:eastAsia="Palatino Linotype" w:hAnsi="Palatino Linotype" w:cs="Palatino Linotype"/>
        </w:rPr>
        <w:t xml:space="preserve">El mismo día el Recurso de que se trata se envió electrónicamente a este Instituto de Transparencia; por lo que, con fundamento en el artículo 185, fracción I de la Ley de Transparencia Local, se turnó, a través del </w:t>
      </w:r>
      <w:r w:rsidRPr="008927AD">
        <w:rPr>
          <w:rFonts w:ascii="Palatino Linotype" w:eastAsia="Palatino Linotype" w:hAnsi="Palatino Linotype" w:cs="Palatino Linotype"/>
          <w:b/>
        </w:rPr>
        <w:t>SAIMEX</w:t>
      </w:r>
      <w:r w:rsidRPr="008927AD">
        <w:rPr>
          <w:rFonts w:ascii="Palatino Linotype" w:eastAsia="Palatino Linotype" w:hAnsi="Palatino Linotype" w:cs="Palatino Linotype"/>
        </w:rPr>
        <w:t xml:space="preserve">, a la comisionada </w:t>
      </w:r>
      <w:r w:rsidRPr="008927AD">
        <w:rPr>
          <w:rFonts w:ascii="Palatino Linotype" w:eastAsia="Palatino Linotype" w:hAnsi="Palatino Linotype" w:cs="Palatino Linotype"/>
          <w:b/>
        </w:rPr>
        <w:t>Sharon Cristina Morales Martínez</w:t>
      </w:r>
      <w:r w:rsidRPr="008927AD">
        <w:rPr>
          <w:rFonts w:ascii="Palatino Linotype" w:eastAsia="Palatino Linotype" w:hAnsi="Palatino Linotype" w:cs="Palatino Linotype"/>
        </w:rPr>
        <w:t xml:space="preserve">, a efecto de decretar su admisión o </w:t>
      </w:r>
      <w:proofErr w:type="spellStart"/>
      <w:r w:rsidRPr="008927AD">
        <w:rPr>
          <w:rFonts w:ascii="Palatino Linotype" w:eastAsia="Palatino Linotype" w:hAnsi="Palatino Linotype" w:cs="Palatino Linotype"/>
        </w:rPr>
        <w:t>desechamiento</w:t>
      </w:r>
      <w:proofErr w:type="spellEnd"/>
      <w:r w:rsidRPr="008927AD">
        <w:rPr>
          <w:rFonts w:ascii="Palatino Linotype" w:eastAsia="Palatino Linotype" w:hAnsi="Palatino Linotype" w:cs="Palatino Linotype"/>
        </w:rPr>
        <w:t>.</w:t>
      </w:r>
    </w:p>
    <w:p w14:paraId="64341020" w14:textId="77777777" w:rsidR="00B3308B" w:rsidRPr="008927AD" w:rsidRDefault="00B3308B" w:rsidP="008927AD">
      <w:pPr>
        <w:pBdr>
          <w:top w:val="nil"/>
          <w:left w:val="nil"/>
          <w:bottom w:val="nil"/>
          <w:right w:val="nil"/>
          <w:between w:val="nil"/>
        </w:pBdr>
        <w:spacing w:line="360" w:lineRule="auto"/>
        <w:jc w:val="both"/>
        <w:rPr>
          <w:rFonts w:ascii="Palatino Linotype" w:eastAsia="Palatino Linotype" w:hAnsi="Palatino Linotype" w:cs="Palatino Linotype"/>
        </w:rPr>
      </w:pPr>
    </w:p>
    <w:p w14:paraId="3C5B7E15" w14:textId="77777777" w:rsidR="00B3308B" w:rsidRPr="008927AD" w:rsidRDefault="00601D2F" w:rsidP="008927AD">
      <w:pPr>
        <w:tabs>
          <w:tab w:val="center" w:pos="4252"/>
          <w:tab w:val="right" w:pos="8504"/>
        </w:tabs>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rPr>
        <w:lastRenderedPageBreak/>
        <w:t xml:space="preserve">3. Admisión del Recurso de Revisión. </w:t>
      </w:r>
      <w:r w:rsidRPr="008927AD">
        <w:rPr>
          <w:rFonts w:ascii="Palatino Linotype" w:eastAsia="Palatino Linotype" w:hAnsi="Palatino Linotype" w:cs="Palatino Linotype"/>
        </w:rPr>
        <w:t xml:space="preserve">El </w:t>
      </w:r>
      <w:r w:rsidRPr="008927AD">
        <w:rPr>
          <w:rFonts w:ascii="Palatino Linotype" w:eastAsia="Palatino Linotype" w:hAnsi="Palatino Linotype" w:cs="Palatino Linotype"/>
          <w:b/>
        </w:rPr>
        <w:t>veinticinco de enero de dos mil veintitrés</w:t>
      </w:r>
      <w:r w:rsidRPr="008927AD">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Pr="008927AD">
        <w:rPr>
          <w:rFonts w:ascii="Palatino Linotype" w:eastAsia="Palatino Linotype" w:hAnsi="Palatino Linotype" w:cs="Palatino Linotype"/>
          <w:b/>
        </w:rPr>
        <w:t xml:space="preserve">LA RECURRENTE </w:t>
      </w:r>
      <w:r w:rsidRPr="008927AD">
        <w:rPr>
          <w:rFonts w:ascii="Palatino Linotype" w:eastAsia="Palatino Linotype" w:hAnsi="Palatino Linotype" w:cs="Palatino Linotype"/>
        </w:rPr>
        <w:t xml:space="preserve">manifestara lo que a su derecho conviniera, a efecto de presentar pruebas o alegatos y, en su caso, </w:t>
      </w:r>
      <w:r w:rsidRPr="008927AD">
        <w:rPr>
          <w:rFonts w:ascii="Palatino Linotype" w:eastAsia="Palatino Linotype" w:hAnsi="Palatino Linotype" w:cs="Palatino Linotype"/>
          <w:b/>
        </w:rPr>
        <w:t xml:space="preserve">EL SUJETO OBLIGADO </w:t>
      </w:r>
      <w:r w:rsidRPr="008927AD">
        <w:rPr>
          <w:rFonts w:ascii="Palatino Linotype" w:eastAsia="Palatino Linotype" w:hAnsi="Palatino Linotype" w:cs="Palatino Linotype"/>
        </w:rPr>
        <w:t xml:space="preserve">rindiera su correspondiente Informe Justificado; lo anterior, conforme a lo dispuesto por el artículo 185 de la Ley de Transparencia Local. </w:t>
      </w:r>
    </w:p>
    <w:p w14:paraId="1D00D009" w14:textId="77777777" w:rsidR="00B3308B" w:rsidRPr="008927AD" w:rsidRDefault="00B3308B" w:rsidP="008927AD">
      <w:pPr>
        <w:pBdr>
          <w:top w:val="nil"/>
          <w:left w:val="nil"/>
          <w:bottom w:val="nil"/>
          <w:right w:val="nil"/>
          <w:between w:val="nil"/>
        </w:pBdr>
        <w:spacing w:line="360" w:lineRule="auto"/>
        <w:jc w:val="both"/>
        <w:rPr>
          <w:rFonts w:ascii="Palatino Linotype" w:eastAsia="Palatino Linotype" w:hAnsi="Palatino Linotype" w:cs="Palatino Linotype"/>
        </w:rPr>
      </w:pPr>
    </w:p>
    <w:p w14:paraId="4339AC08"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 xml:space="preserve">4. Manifestaciones e Informe Justificado. </w:t>
      </w:r>
      <w:r w:rsidRPr="008927AD">
        <w:rPr>
          <w:rFonts w:ascii="Palatino Linotype" w:eastAsia="Palatino Linotype" w:hAnsi="Palatino Linotype" w:cs="Palatino Linotype"/>
        </w:rPr>
        <w:t xml:space="preserve">Dentro del término legalmente concedido al </w:t>
      </w:r>
      <w:r w:rsidRPr="008927AD">
        <w:rPr>
          <w:rFonts w:ascii="Palatino Linotype" w:eastAsia="Palatino Linotype" w:hAnsi="Palatino Linotype" w:cs="Palatino Linotype"/>
          <w:b/>
        </w:rPr>
        <w:t>RECURRENTE</w:t>
      </w:r>
      <w:r w:rsidRPr="008927AD">
        <w:rPr>
          <w:rFonts w:ascii="Palatino Linotype" w:eastAsia="Palatino Linotype" w:hAnsi="Palatino Linotype" w:cs="Palatino Linotype"/>
        </w:rPr>
        <w:t xml:space="preserve">, éste no realizó manifestación alguna, ni presentó pruebas o alegatos, de igual forma </w:t>
      </w:r>
      <w:r w:rsidRPr="008927AD">
        <w:rPr>
          <w:rFonts w:ascii="Palatino Linotype" w:eastAsia="Palatino Linotype" w:hAnsi="Palatino Linotype" w:cs="Palatino Linotype"/>
          <w:b/>
        </w:rPr>
        <w:t>EL SUJETO OBLIGADO</w:t>
      </w:r>
      <w:r w:rsidRPr="008927AD">
        <w:rPr>
          <w:rFonts w:ascii="Palatino Linotype" w:eastAsia="Palatino Linotype" w:hAnsi="Palatino Linotype" w:cs="Palatino Linotype"/>
        </w:rPr>
        <w:t xml:space="preserve"> no rindió su Informe Justificado.</w:t>
      </w:r>
    </w:p>
    <w:p w14:paraId="168982AE" w14:textId="77777777" w:rsidR="00B3308B" w:rsidRPr="008927AD" w:rsidRDefault="00B3308B" w:rsidP="008927AD">
      <w:pPr>
        <w:tabs>
          <w:tab w:val="left" w:pos="6820"/>
        </w:tabs>
        <w:spacing w:line="360" w:lineRule="auto"/>
        <w:jc w:val="both"/>
        <w:rPr>
          <w:rFonts w:ascii="Palatino Linotype" w:eastAsia="Palatino Linotype" w:hAnsi="Palatino Linotype" w:cs="Palatino Linotype"/>
        </w:rPr>
      </w:pPr>
    </w:p>
    <w:p w14:paraId="34670389" w14:textId="77777777" w:rsidR="00B3308B" w:rsidRPr="008927AD" w:rsidRDefault="00601D2F" w:rsidP="008927AD">
      <w:pPr>
        <w:widowControl w:val="0"/>
        <w:tabs>
          <w:tab w:val="left" w:pos="0"/>
        </w:tabs>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 xml:space="preserve">5. De la ampliación. </w:t>
      </w:r>
      <w:r w:rsidRPr="008927AD">
        <w:rPr>
          <w:rFonts w:ascii="Palatino Linotype" w:eastAsia="Palatino Linotype" w:hAnsi="Palatino Linotype" w:cs="Palatino Linotype"/>
        </w:rPr>
        <w:t xml:space="preserve">El </w:t>
      </w:r>
      <w:r w:rsidRPr="008927AD">
        <w:rPr>
          <w:rFonts w:ascii="Palatino Linotype" w:eastAsia="Palatino Linotype" w:hAnsi="Palatino Linotype" w:cs="Palatino Linotype"/>
          <w:b/>
        </w:rPr>
        <w:t>veintiuno de marzo de dos mil veintitrés</w:t>
      </w:r>
      <w:r w:rsidRPr="008927AD">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6EFF6CB1" w14:textId="77777777" w:rsidR="00B3308B" w:rsidRPr="008927AD" w:rsidRDefault="00B3308B" w:rsidP="008927AD">
      <w:pPr>
        <w:spacing w:line="360" w:lineRule="auto"/>
        <w:jc w:val="both"/>
        <w:rPr>
          <w:rFonts w:ascii="Palatino Linotype" w:eastAsia="Palatino Linotype" w:hAnsi="Palatino Linotype" w:cs="Palatino Linotype"/>
        </w:rPr>
      </w:pPr>
    </w:p>
    <w:p w14:paraId="57F9BEE8"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231DA6D2" w14:textId="77777777" w:rsidR="00B3308B" w:rsidRPr="008927AD" w:rsidRDefault="00B3308B" w:rsidP="008927AD">
      <w:pPr>
        <w:spacing w:line="360" w:lineRule="auto"/>
        <w:jc w:val="both"/>
        <w:rPr>
          <w:rFonts w:ascii="Palatino Linotype" w:eastAsia="Palatino Linotype" w:hAnsi="Palatino Linotype" w:cs="Palatino Linotype"/>
        </w:rPr>
      </w:pPr>
    </w:p>
    <w:p w14:paraId="43958647"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A4D3047" w14:textId="77777777" w:rsidR="00B3308B" w:rsidRPr="008927AD" w:rsidRDefault="00B3308B" w:rsidP="008927AD">
      <w:pPr>
        <w:spacing w:line="360" w:lineRule="auto"/>
        <w:jc w:val="both"/>
        <w:rPr>
          <w:rFonts w:ascii="Palatino Linotype" w:eastAsia="Palatino Linotype" w:hAnsi="Palatino Linotype" w:cs="Palatino Linotype"/>
        </w:rPr>
      </w:pPr>
    </w:p>
    <w:p w14:paraId="5E41EF81"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28E0E4B" w14:textId="77777777" w:rsidR="00B3308B" w:rsidRPr="008927AD" w:rsidRDefault="00B3308B" w:rsidP="008927AD">
      <w:pPr>
        <w:spacing w:line="360" w:lineRule="auto"/>
        <w:jc w:val="both"/>
        <w:rPr>
          <w:rFonts w:ascii="Palatino Linotype" w:eastAsia="Palatino Linotype" w:hAnsi="Palatino Linotype" w:cs="Palatino Linotype"/>
        </w:rPr>
      </w:pPr>
    </w:p>
    <w:p w14:paraId="3EC71256"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61744D5" w14:textId="77777777" w:rsidR="00B3308B" w:rsidRPr="008927AD" w:rsidRDefault="00B3308B" w:rsidP="008927AD">
      <w:pPr>
        <w:spacing w:line="360" w:lineRule="auto"/>
        <w:jc w:val="both"/>
        <w:rPr>
          <w:rFonts w:ascii="Palatino Linotype" w:eastAsia="Palatino Linotype" w:hAnsi="Palatino Linotype" w:cs="Palatino Linotype"/>
        </w:rPr>
      </w:pPr>
    </w:p>
    <w:p w14:paraId="75B8862D"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430074A4" w14:textId="77777777" w:rsidR="00B3308B" w:rsidRPr="008927AD" w:rsidRDefault="00B3308B" w:rsidP="008927AD">
      <w:pPr>
        <w:spacing w:line="360" w:lineRule="auto"/>
        <w:jc w:val="both"/>
        <w:rPr>
          <w:rFonts w:ascii="Palatino Linotype" w:eastAsia="Palatino Linotype" w:hAnsi="Palatino Linotype" w:cs="Palatino Linotype"/>
        </w:rPr>
      </w:pPr>
    </w:p>
    <w:p w14:paraId="0387A102" w14:textId="77777777" w:rsidR="00B3308B" w:rsidRPr="008927AD" w:rsidRDefault="00601D2F" w:rsidP="008927A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05386CA6" w14:textId="77777777" w:rsidR="00B3308B" w:rsidRPr="008927AD" w:rsidRDefault="00601D2F" w:rsidP="008927A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Actividad Procesal del interesado: Acciones u omisiones del interesado.</w:t>
      </w:r>
    </w:p>
    <w:p w14:paraId="60ACC224" w14:textId="77777777" w:rsidR="00B3308B" w:rsidRPr="008927AD" w:rsidRDefault="00601D2F" w:rsidP="008927A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5EA0D4DD" w14:textId="77777777" w:rsidR="00B3308B" w:rsidRPr="008927AD" w:rsidRDefault="00601D2F" w:rsidP="008927A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La afectación generada en la situación jurídica de la persona involucrada en el proceso: Violación a sus derechos humanos.</w:t>
      </w:r>
    </w:p>
    <w:p w14:paraId="5B1310CE" w14:textId="77777777" w:rsidR="00B3308B" w:rsidRPr="008927AD" w:rsidRDefault="00B3308B" w:rsidP="008927AD">
      <w:pPr>
        <w:spacing w:line="360" w:lineRule="auto"/>
        <w:ind w:left="360"/>
        <w:jc w:val="both"/>
        <w:rPr>
          <w:rFonts w:ascii="Palatino Linotype" w:eastAsia="Palatino Linotype" w:hAnsi="Palatino Linotype" w:cs="Palatino Linotype"/>
        </w:rPr>
      </w:pPr>
    </w:p>
    <w:p w14:paraId="0578859B"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AA4BD2" w14:textId="77777777" w:rsidR="00B3308B" w:rsidRPr="008927AD" w:rsidRDefault="00B3308B" w:rsidP="008927AD">
      <w:pPr>
        <w:spacing w:line="360" w:lineRule="auto"/>
        <w:jc w:val="both"/>
        <w:rPr>
          <w:rFonts w:ascii="Palatino Linotype" w:eastAsia="Palatino Linotype" w:hAnsi="Palatino Linotype" w:cs="Palatino Linotype"/>
        </w:rPr>
      </w:pPr>
    </w:p>
    <w:p w14:paraId="4F2BA030"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Argumento que encuentra sustento en la jurisprudencia P</w:t>
      </w:r>
      <w:proofErr w:type="gramStart"/>
      <w:r w:rsidRPr="008927AD">
        <w:rPr>
          <w:rFonts w:ascii="Palatino Linotype" w:eastAsia="Palatino Linotype" w:hAnsi="Palatino Linotype" w:cs="Palatino Linotype"/>
        </w:rPr>
        <w:t>./</w:t>
      </w:r>
      <w:proofErr w:type="gramEnd"/>
      <w:r w:rsidRPr="008927AD">
        <w:rPr>
          <w:rFonts w:ascii="Palatino Linotype" w:eastAsia="Palatino Linotype" w:hAnsi="Palatino Linotype" w:cs="Palatino Linotype"/>
        </w:rPr>
        <w:t>J. 32/92 emitida por el Pleno de la Suprema Corte de Justicia de la Nación de rubro “</w:t>
      </w:r>
      <w:r w:rsidRPr="008927AD">
        <w:rPr>
          <w:rFonts w:ascii="Palatino Linotype" w:eastAsia="Palatino Linotype" w:hAnsi="Palatino Linotype" w:cs="Palatino Linotype"/>
          <w:sz w:val="22"/>
          <w:szCs w:val="22"/>
        </w:rPr>
        <w:t>TÉRMINOS PROCESALES. PARA DETERMINAR SI UN FUNCIONARIO JUDICIAL ACTUÓ INDEBIDAMENTE POR NO RESPETARLOS SE DEBE ATENDER AL PRESUPUESTO QUE CONSIDERÓ EL LEGISLADOR AL FIJARLOS Y LAS CARACTERÍSTICAS DEL CASO</w:t>
      </w:r>
      <w:r w:rsidRPr="008927AD">
        <w:rPr>
          <w:rFonts w:ascii="Palatino Linotype" w:eastAsia="Palatino Linotype" w:hAnsi="Palatino Linotype" w:cs="Palatino Linotype"/>
        </w:rPr>
        <w:t>.”, visible en la Gaceta del Seminario Judicial de la Federación con el registro digital 205635.</w:t>
      </w:r>
    </w:p>
    <w:p w14:paraId="57AD36AA" w14:textId="77777777" w:rsidR="00B3308B" w:rsidRPr="008927AD" w:rsidRDefault="00B3308B" w:rsidP="008927AD">
      <w:pPr>
        <w:spacing w:line="360" w:lineRule="auto"/>
        <w:jc w:val="both"/>
        <w:rPr>
          <w:rFonts w:ascii="Palatino Linotype" w:eastAsia="Palatino Linotype" w:hAnsi="Palatino Linotype" w:cs="Palatino Linotype"/>
        </w:rPr>
      </w:pPr>
    </w:p>
    <w:p w14:paraId="2B1700CF"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8927AD">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2C86D201" w14:textId="77777777" w:rsidR="00B3308B" w:rsidRPr="008927AD" w:rsidRDefault="00B3308B" w:rsidP="008927AD">
      <w:pPr>
        <w:spacing w:line="360" w:lineRule="auto"/>
        <w:jc w:val="both"/>
        <w:rPr>
          <w:rFonts w:ascii="Palatino Linotype" w:eastAsia="Palatino Linotype" w:hAnsi="Palatino Linotype" w:cs="Palatino Linotype"/>
        </w:rPr>
      </w:pPr>
    </w:p>
    <w:p w14:paraId="4B332ACF"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4FE14C1" w14:textId="77777777" w:rsidR="00B3308B" w:rsidRPr="008927AD" w:rsidRDefault="00B3308B" w:rsidP="008927AD">
      <w:pPr>
        <w:spacing w:line="360" w:lineRule="auto"/>
        <w:jc w:val="both"/>
        <w:rPr>
          <w:rFonts w:ascii="Palatino Linotype" w:eastAsia="Palatino Linotype" w:hAnsi="Palatino Linotype" w:cs="Palatino Linotype"/>
        </w:rPr>
      </w:pPr>
    </w:p>
    <w:p w14:paraId="226EE384"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w:t>
      </w:r>
      <w:r w:rsidRPr="008927AD">
        <w:rPr>
          <w:rFonts w:ascii="Palatino Linotype" w:eastAsia="Palatino Linotype" w:hAnsi="Palatino Linotype" w:cs="Palatino Linotype"/>
          <w:sz w:val="22"/>
          <w:szCs w:val="22"/>
        </w:rPr>
        <w:t>PLAZO RAZONABLE PARA RESOLVER. DIMENSIÓN Y EFECTOS DE ESTE CONCEPTO CUANDO SE ADUCE EXCESIVA CARGA DE TRABAJO</w:t>
      </w:r>
      <w:r w:rsidRPr="008927AD">
        <w:rPr>
          <w:rFonts w:ascii="Palatino Linotype" w:eastAsia="Palatino Linotype" w:hAnsi="Palatino Linotype" w:cs="Palatino Linotype"/>
        </w:rPr>
        <w:t>.” consultable en el Seminario Judicial de la Federación y su gaceta, con el registro digital 2002351.</w:t>
      </w:r>
    </w:p>
    <w:p w14:paraId="131B09A9" w14:textId="77777777" w:rsidR="00B3308B" w:rsidRPr="008927AD" w:rsidRDefault="00B3308B" w:rsidP="008927AD">
      <w:pPr>
        <w:spacing w:line="360" w:lineRule="auto"/>
        <w:jc w:val="both"/>
        <w:rPr>
          <w:rFonts w:ascii="Palatino Linotype" w:eastAsia="Palatino Linotype" w:hAnsi="Palatino Linotype" w:cs="Palatino Linotype"/>
        </w:rPr>
      </w:pPr>
    </w:p>
    <w:p w14:paraId="0F4E4F8C"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w:t>
      </w:r>
      <w:r w:rsidRPr="008927AD">
        <w:rPr>
          <w:rFonts w:ascii="Palatino Linotype" w:eastAsia="Palatino Linotype" w:hAnsi="Palatino Linotype" w:cs="Palatino Linotype"/>
          <w:sz w:val="22"/>
          <w:szCs w:val="22"/>
        </w:rPr>
        <w:t>PLAZO RAZONABLE PARA RESOLVER. CONCEPTO Y ELEMENTOS QUE LO INTEGRAN A LA LUZ DEL DERECHO INTERNACIONAL DE LOS DERECHOS HUMANOS</w:t>
      </w:r>
      <w:r w:rsidRPr="008927AD">
        <w:rPr>
          <w:rFonts w:ascii="Palatino Linotype" w:eastAsia="Palatino Linotype" w:hAnsi="Palatino Linotype" w:cs="Palatino Linotype"/>
        </w:rPr>
        <w:t>.”, visible en el Seminario Judicial de la Federación y su gaceta, con el registro digital 2002350.</w:t>
      </w:r>
    </w:p>
    <w:p w14:paraId="4A4E5559" w14:textId="77777777" w:rsidR="00B3308B" w:rsidRPr="008927AD" w:rsidRDefault="00B3308B" w:rsidP="008927AD">
      <w:pPr>
        <w:spacing w:line="360" w:lineRule="auto"/>
        <w:jc w:val="both"/>
        <w:rPr>
          <w:rFonts w:ascii="Palatino Linotype" w:eastAsia="Palatino Linotype" w:hAnsi="Palatino Linotype" w:cs="Palatino Linotype"/>
        </w:rPr>
      </w:pPr>
    </w:p>
    <w:p w14:paraId="3A2D069B"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C6348E4" w14:textId="77777777" w:rsidR="00B3308B" w:rsidRPr="008927AD" w:rsidRDefault="00B3308B" w:rsidP="008927AD">
      <w:pPr>
        <w:tabs>
          <w:tab w:val="left" w:pos="6820"/>
        </w:tabs>
        <w:spacing w:line="360" w:lineRule="auto"/>
        <w:jc w:val="both"/>
        <w:rPr>
          <w:rFonts w:ascii="Palatino Linotype" w:eastAsia="Palatino Linotype" w:hAnsi="Palatino Linotype" w:cs="Palatino Linotype"/>
        </w:rPr>
      </w:pPr>
    </w:p>
    <w:p w14:paraId="37F031D7" w14:textId="77777777" w:rsidR="00B3308B" w:rsidRPr="008927AD" w:rsidRDefault="00601D2F" w:rsidP="008927AD">
      <w:pPr>
        <w:widowControl w:val="0"/>
        <w:tabs>
          <w:tab w:val="left" w:pos="0"/>
        </w:tabs>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 xml:space="preserve">6. Cierre de Instrucción. </w:t>
      </w:r>
      <w:r w:rsidRPr="008927AD">
        <w:rPr>
          <w:rFonts w:ascii="Palatino Linotype" w:eastAsia="Palatino Linotype" w:hAnsi="Palatino Linotype" w:cs="Palatino Linotype"/>
        </w:rPr>
        <w:t xml:space="preserve">Por lo que, una vez analizado el estado procesal que guarda el expediente, el </w:t>
      </w:r>
      <w:r w:rsidRPr="008927AD">
        <w:rPr>
          <w:rFonts w:ascii="Palatino Linotype" w:eastAsia="Palatino Linotype" w:hAnsi="Palatino Linotype" w:cs="Palatino Linotype"/>
          <w:b/>
        </w:rPr>
        <w:t>siete de febrero de dos mil veinticuatro</w:t>
      </w:r>
      <w:r w:rsidRPr="008927AD">
        <w:rPr>
          <w:rFonts w:ascii="Palatino Linotype" w:eastAsia="Palatino Linotype" w:hAnsi="Palatino Linotype" w:cs="Palatino Linotype"/>
        </w:rPr>
        <w:t xml:space="preserve">, la </w:t>
      </w:r>
      <w:r w:rsidRPr="008927AD">
        <w:rPr>
          <w:rFonts w:ascii="Palatino Linotype" w:eastAsia="Palatino Linotype" w:hAnsi="Palatino Linotype" w:cs="Palatino Linotype"/>
          <w:b/>
        </w:rPr>
        <w:t xml:space="preserve">Comisionada Sharon </w:t>
      </w:r>
      <w:r w:rsidRPr="008927AD">
        <w:rPr>
          <w:rFonts w:ascii="Palatino Linotype" w:eastAsia="Palatino Linotype" w:hAnsi="Palatino Linotype" w:cs="Palatino Linotype"/>
          <w:b/>
        </w:rPr>
        <w:lastRenderedPageBreak/>
        <w:t xml:space="preserve">Cristina Morales Martínez </w:t>
      </w:r>
      <w:r w:rsidRPr="008927AD">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Local.</w:t>
      </w:r>
    </w:p>
    <w:p w14:paraId="14B4C4DF" w14:textId="77777777" w:rsidR="00B3308B" w:rsidRPr="008927AD" w:rsidRDefault="00B3308B" w:rsidP="008927AD">
      <w:pPr>
        <w:spacing w:line="360" w:lineRule="auto"/>
        <w:jc w:val="center"/>
        <w:rPr>
          <w:rFonts w:ascii="Palatino Linotype" w:eastAsia="Palatino Linotype" w:hAnsi="Palatino Linotype" w:cs="Palatino Linotype"/>
          <w:b/>
          <w:sz w:val="28"/>
          <w:szCs w:val="28"/>
        </w:rPr>
      </w:pPr>
    </w:p>
    <w:p w14:paraId="75F16897"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94650EE" w14:textId="77777777" w:rsidR="00B3308B" w:rsidRPr="008927AD" w:rsidRDefault="00B3308B" w:rsidP="008927AD">
      <w:pPr>
        <w:jc w:val="center"/>
        <w:rPr>
          <w:rFonts w:ascii="Palatino Linotype" w:eastAsia="Palatino Linotype" w:hAnsi="Palatino Linotype" w:cs="Palatino Linotype"/>
          <w:b/>
          <w:sz w:val="28"/>
          <w:szCs w:val="28"/>
        </w:rPr>
      </w:pPr>
    </w:p>
    <w:p w14:paraId="299B9FD7" w14:textId="77777777" w:rsidR="00B3308B" w:rsidRPr="008927AD" w:rsidRDefault="00601D2F" w:rsidP="008927AD">
      <w:pPr>
        <w:jc w:val="center"/>
        <w:rPr>
          <w:rFonts w:ascii="Palatino Linotype" w:eastAsia="Palatino Linotype" w:hAnsi="Palatino Linotype" w:cs="Palatino Linotype"/>
          <w:b/>
          <w:sz w:val="28"/>
          <w:szCs w:val="28"/>
        </w:rPr>
      </w:pPr>
      <w:r w:rsidRPr="008927AD">
        <w:rPr>
          <w:rFonts w:ascii="Palatino Linotype" w:eastAsia="Palatino Linotype" w:hAnsi="Palatino Linotype" w:cs="Palatino Linotype"/>
          <w:b/>
          <w:sz w:val="28"/>
          <w:szCs w:val="28"/>
        </w:rPr>
        <w:t>CONSIDERANDOS</w:t>
      </w:r>
    </w:p>
    <w:p w14:paraId="524FCBBA" w14:textId="77777777" w:rsidR="00B3308B" w:rsidRPr="008927AD" w:rsidRDefault="00B3308B" w:rsidP="008927AD">
      <w:pPr>
        <w:jc w:val="center"/>
        <w:rPr>
          <w:rFonts w:ascii="Palatino Linotype" w:eastAsia="Palatino Linotype" w:hAnsi="Palatino Linotype" w:cs="Palatino Linotype"/>
          <w:b/>
          <w:sz w:val="28"/>
          <w:szCs w:val="28"/>
        </w:rPr>
      </w:pPr>
    </w:p>
    <w:p w14:paraId="5A47897E" w14:textId="77777777" w:rsidR="00B3308B" w:rsidRPr="008927AD" w:rsidRDefault="00601D2F" w:rsidP="008927AD">
      <w:pPr>
        <w:spacing w:line="360" w:lineRule="auto"/>
        <w:ind w:right="50"/>
        <w:jc w:val="both"/>
        <w:rPr>
          <w:rFonts w:ascii="Palatino Linotype" w:eastAsia="Palatino Linotype" w:hAnsi="Palatino Linotype" w:cs="Palatino Linotype"/>
          <w:b/>
        </w:rPr>
      </w:pPr>
      <w:r w:rsidRPr="008927AD">
        <w:rPr>
          <w:rFonts w:ascii="Palatino Linotype" w:eastAsia="Palatino Linotype" w:hAnsi="Palatino Linotype" w:cs="Palatino Linotype"/>
          <w:b/>
          <w:sz w:val="28"/>
          <w:szCs w:val="28"/>
        </w:rPr>
        <w:t>PRIMERO</w:t>
      </w:r>
      <w:r w:rsidRPr="008927AD">
        <w:rPr>
          <w:rFonts w:ascii="Palatino Linotype" w:eastAsia="Palatino Linotype" w:hAnsi="Palatino Linotype" w:cs="Palatino Linotype"/>
          <w:b/>
        </w:rPr>
        <w:t>.</w:t>
      </w:r>
      <w:r w:rsidRPr="008927AD">
        <w:rPr>
          <w:rFonts w:ascii="Palatino Linotype" w:eastAsia="Palatino Linotype" w:hAnsi="Palatino Linotype" w:cs="Palatino Linotype"/>
        </w:rPr>
        <w:t xml:space="preserve"> </w:t>
      </w:r>
      <w:r w:rsidRPr="008927AD">
        <w:rPr>
          <w:rFonts w:ascii="Palatino Linotype" w:eastAsia="Palatino Linotype" w:hAnsi="Palatino Linotype" w:cs="Palatino Linotype"/>
          <w:b/>
        </w:rPr>
        <w:t>Competencia</w:t>
      </w:r>
      <w:r w:rsidRPr="008927AD">
        <w:rPr>
          <w:rFonts w:ascii="Palatino Linotype" w:eastAsia="Palatino Linotype" w:hAnsi="Palatino Linotype" w:cs="Palatino Linotype"/>
        </w:rPr>
        <w:t>.</w:t>
      </w:r>
      <w:r w:rsidRPr="008927AD">
        <w:rPr>
          <w:rFonts w:ascii="Palatino Linotype" w:eastAsia="Palatino Linotype" w:hAnsi="Palatino Linotype" w:cs="Palatino Linotype"/>
          <w:b/>
        </w:rPr>
        <w:t xml:space="preserve"> </w:t>
      </w:r>
    </w:p>
    <w:p w14:paraId="05728855" w14:textId="77777777" w:rsidR="00B3308B" w:rsidRPr="008927AD" w:rsidRDefault="00601D2F" w:rsidP="008927AD">
      <w:pPr>
        <w:spacing w:line="360" w:lineRule="auto"/>
        <w:ind w:right="50"/>
        <w:jc w:val="both"/>
        <w:rPr>
          <w:rFonts w:ascii="Palatino Linotype" w:eastAsia="Palatino Linotype" w:hAnsi="Palatino Linotype" w:cs="Palatino Linotype"/>
        </w:rPr>
      </w:pPr>
      <w:r w:rsidRPr="008927AD">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15E4EB64" w14:textId="77777777" w:rsidR="008927AD" w:rsidRPr="008927AD" w:rsidRDefault="008927AD" w:rsidP="008927AD">
      <w:pPr>
        <w:spacing w:line="360" w:lineRule="auto"/>
        <w:ind w:right="50"/>
        <w:jc w:val="both"/>
        <w:rPr>
          <w:rFonts w:ascii="Palatino Linotype" w:eastAsia="Palatino Linotype" w:hAnsi="Palatino Linotype" w:cs="Palatino Linotype"/>
        </w:rPr>
      </w:pPr>
    </w:p>
    <w:p w14:paraId="0A270BE3" w14:textId="77777777" w:rsidR="008927AD" w:rsidRPr="008927AD" w:rsidRDefault="008927AD" w:rsidP="008927AD">
      <w:pPr>
        <w:spacing w:line="360" w:lineRule="auto"/>
        <w:ind w:right="50"/>
        <w:jc w:val="both"/>
        <w:rPr>
          <w:rFonts w:ascii="Palatino Linotype" w:eastAsia="Palatino Linotype" w:hAnsi="Palatino Linotype" w:cs="Palatino Linotype"/>
        </w:rPr>
      </w:pPr>
    </w:p>
    <w:p w14:paraId="16FFAB8E" w14:textId="77777777" w:rsidR="00B3308B" w:rsidRPr="008927AD" w:rsidRDefault="00B3308B" w:rsidP="008927AD">
      <w:pPr>
        <w:spacing w:line="360" w:lineRule="auto"/>
        <w:ind w:right="50"/>
        <w:jc w:val="both"/>
        <w:rPr>
          <w:rFonts w:ascii="Palatino Linotype" w:eastAsia="Palatino Linotype" w:hAnsi="Palatino Linotype" w:cs="Palatino Linotype"/>
        </w:rPr>
      </w:pPr>
    </w:p>
    <w:p w14:paraId="696520E1"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sz w:val="28"/>
          <w:szCs w:val="28"/>
        </w:rPr>
      </w:pPr>
      <w:r w:rsidRPr="008927AD">
        <w:rPr>
          <w:rFonts w:ascii="Palatino Linotype" w:eastAsia="Palatino Linotype" w:hAnsi="Palatino Linotype" w:cs="Palatino Linotype"/>
          <w:b/>
          <w:sz w:val="28"/>
          <w:szCs w:val="28"/>
        </w:rPr>
        <w:lastRenderedPageBreak/>
        <w:t xml:space="preserve">SEGUNDO. Requisitos de procedencia. </w:t>
      </w:r>
    </w:p>
    <w:p w14:paraId="67AB3DB7"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El Recurso de Revisión reúne los requisitos establecidos en los artículos 178, 179 y 180 de la ley de la materia, conforme a lo siguiente: </w:t>
      </w:r>
    </w:p>
    <w:p w14:paraId="2F6B777D" w14:textId="77777777" w:rsidR="00B3308B" w:rsidRPr="008927AD" w:rsidRDefault="00B3308B" w:rsidP="008927AD">
      <w:pPr>
        <w:pBdr>
          <w:top w:val="nil"/>
          <w:left w:val="nil"/>
          <w:bottom w:val="nil"/>
          <w:right w:val="nil"/>
          <w:between w:val="nil"/>
        </w:pBdr>
        <w:spacing w:line="360" w:lineRule="auto"/>
        <w:jc w:val="both"/>
        <w:rPr>
          <w:rFonts w:ascii="Palatino Linotype" w:eastAsia="Palatino Linotype" w:hAnsi="Palatino Linotype" w:cs="Palatino Linotype"/>
        </w:rPr>
      </w:pPr>
    </w:p>
    <w:p w14:paraId="48D3C05D"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 xml:space="preserve">a) Forma. </w:t>
      </w:r>
      <w:r w:rsidRPr="008927AD">
        <w:rPr>
          <w:rFonts w:ascii="Palatino Linotype" w:eastAsia="Palatino Linotype" w:hAnsi="Palatino Linotype" w:cs="Palatino Linotype"/>
        </w:rPr>
        <w:t xml:space="preserve">El Recurso de Revisión en estudio fue presentado vía </w:t>
      </w:r>
      <w:r w:rsidRPr="008927AD">
        <w:rPr>
          <w:rFonts w:ascii="Palatino Linotype" w:eastAsia="Palatino Linotype" w:hAnsi="Palatino Linotype" w:cs="Palatino Linotype"/>
          <w:b/>
        </w:rPr>
        <w:t>SAIMEX</w:t>
      </w:r>
      <w:r w:rsidRPr="008927AD">
        <w:rPr>
          <w:rFonts w:ascii="Palatino Linotype" w:eastAsia="Palatino Linotype" w:hAnsi="Palatino Linotype" w:cs="Palatino Linotype"/>
        </w:rPr>
        <w:t xml:space="preserve">, constando </w:t>
      </w:r>
      <w:r w:rsidRPr="008927AD">
        <w:rPr>
          <w:rFonts w:ascii="Palatino Linotype" w:eastAsia="Palatino Linotype" w:hAnsi="Palatino Linotype" w:cs="Palatino Linotype"/>
          <w:b/>
        </w:rPr>
        <w:t>EL SUJETO OBLIGADO</w:t>
      </w:r>
      <w:r w:rsidRPr="008927AD">
        <w:rPr>
          <w:rFonts w:ascii="Palatino Linotype" w:eastAsia="Palatino Linotype" w:hAnsi="Palatino Linotype" w:cs="Palatino Linotype"/>
        </w:rPr>
        <w:t>, el nombre del solicitante, el número de folio de respuesta, la fecha en que fue notificada al solicitante, el acto recurrido y los motivos de inconformidad.</w:t>
      </w:r>
    </w:p>
    <w:p w14:paraId="7E879456" w14:textId="77777777" w:rsidR="00B3308B" w:rsidRPr="008927AD" w:rsidRDefault="00B3308B" w:rsidP="008927AD">
      <w:pPr>
        <w:pBdr>
          <w:top w:val="nil"/>
          <w:left w:val="nil"/>
          <w:bottom w:val="nil"/>
          <w:right w:val="nil"/>
          <w:between w:val="nil"/>
        </w:pBdr>
        <w:spacing w:line="360" w:lineRule="auto"/>
        <w:jc w:val="both"/>
        <w:rPr>
          <w:rFonts w:ascii="Palatino Linotype" w:eastAsia="Palatino Linotype" w:hAnsi="Palatino Linotype" w:cs="Palatino Linotype"/>
        </w:rPr>
      </w:pPr>
    </w:p>
    <w:p w14:paraId="32529E4E"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 xml:space="preserve">b) Interés. </w:t>
      </w:r>
      <w:r w:rsidRPr="008927AD">
        <w:rPr>
          <w:rFonts w:ascii="Palatino Linotype" w:eastAsia="Palatino Linotype" w:hAnsi="Palatino Linotype" w:cs="Palatino Linotype"/>
        </w:rPr>
        <w:t xml:space="preserve">El Recurso de Revisión fue interpuesto por parte legítima, en atención a que se presentó por </w:t>
      </w:r>
      <w:r w:rsidRPr="008927AD">
        <w:rPr>
          <w:rFonts w:ascii="Palatino Linotype" w:eastAsia="Palatino Linotype" w:hAnsi="Palatino Linotype" w:cs="Palatino Linotype"/>
          <w:b/>
        </w:rPr>
        <w:t>LA RECURRENTE,</w:t>
      </w:r>
      <w:r w:rsidRPr="008927AD">
        <w:rPr>
          <w:rFonts w:ascii="Palatino Linotype" w:eastAsia="Palatino Linotype" w:hAnsi="Palatino Linotype" w:cs="Palatino Linotype"/>
        </w:rPr>
        <w:t xml:space="preserve"> quien es la misma persona que formuló la solicitud de acceso a la información pública al </w:t>
      </w:r>
      <w:r w:rsidRPr="008927AD">
        <w:rPr>
          <w:rFonts w:ascii="Palatino Linotype" w:eastAsia="Palatino Linotype" w:hAnsi="Palatino Linotype" w:cs="Palatino Linotype"/>
          <w:b/>
        </w:rPr>
        <w:t xml:space="preserve">SUJETO OBLIGADO, </w:t>
      </w:r>
      <w:r w:rsidRPr="008927AD">
        <w:rPr>
          <w:rFonts w:ascii="Palatino Linotype" w:eastAsia="Palatino Linotype" w:hAnsi="Palatino Linotype" w:cs="Palatino Linotype"/>
        </w:rPr>
        <w:t xml:space="preserve">pues para ello, es necesario que el particular ingrese al </w:t>
      </w:r>
      <w:r w:rsidRPr="008927AD">
        <w:rPr>
          <w:rFonts w:ascii="Palatino Linotype" w:eastAsia="Palatino Linotype" w:hAnsi="Palatino Linotype" w:cs="Palatino Linotype"/>
          <w:b/>
        </w:rPr>
        <w:t xml:space="preserve">SAIMEX </w:t>
      </w:r>
      <w:r w:rsidRPr="008927AD">
        <w:rPr>
          <w:rFonts w:ascii="Palatino Linotype" w:eastAsia="Palatino Linotype" w:hAnsi="Palatino Linotype" w:cs="Palatino Linotype"/>
        </w:rPr>
        <w:t>mediante la utilización de su clave de usuario y contraseña.</w:t>
      </w:r>
    </w:p>
    <w:p w14:paraId="268FE1F1" w14:textId="77777777" w:rsidR="00B3308B" w:rsidRPr="008927AD" w:rsidRDefault="00B3308B" w:rsidP="008927AD">
      <w:pPr>
        <w:pBdr>
          <w:top w:val="nil"/>
          <w:left w:val="nil"/>
          <w:bottom w:val="nil"/>
          <w:right w:val="nil"/>
          <w:between w:val="nil"/>
        </w:pBdr>
        <w:spacing w:line="360" w:lineRule="auto"/>
        <w:jc w:val="both"/>
        <w:rPr>
          <w:rFonts w:ascii="Palatino Linotype" w:eastAsia="Palatino Linotype" w:hAnsi="Palatino Linotype" w:cs="Palatino Linotype"/>
        </w:rPr>
      </w:pPr>
    </w:p>
    <w:p w14:paraId="78DB9897"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 xml:space="preserve">c) Oportunidad. </w:t>
      </w:r>
      <w:r w:rsidRPr="008927AD">
        <w:rPr>
          <w:rFonts w:ascii="Palatino Linotype" w:eastAsia="Palatino Linotype" w:hAnsi="Palatino Linotype" w:cs="Palatino Linotype"/>
        </w:rPr>
        <w:t xml:space="preserve">El Recurso de Revisión fue interpuesto dentro del plazo de quince días hábiles contados a partir del día siguiente a aquel en que </w:t>
      </w:r>
      <w:r w:rsidRPr="008927AD">
        <w:rPr>
          <w:rFonts w:ascii="Palatino Linotype" w:eastAsia="Palatino Linotype" w:hAnsi="Palatino Linotype" w:cs="Palatino Linotype"/>
          <w:b/>
        </w:rPr>
        <w:t xml:space="preserve">LA RECURRENTE </w:t>
      </w:r>
      <w:r w:rsidRPr="008927AD">
        <w:rPr>
          <w:rFonts w:ascii="Palatino Linotype" w:eastAsia="Palatino Linotype" w:hAnsi="Palatino Linotype" w:cs="Palatino Linotype"/>
        </w:rPr>
        <w:t>tuvo conocimiento de la respuesta ahora impugnada, como lo prevé el artículo 178 de la Ley de Transparencia local</w:t>
      </w:r>
      <w:r w:rsidRPr="008927AD">
        <w:rPr>
          <w:rFonts w:ascii="Palatino Linotype" w:eastAsia="Palatino Linotype" w:hAnsi="Palatino Linotype" w:cs="Palatino Linotype"/>
          <w:vertAlign w:val="superscript"/>
        </w:rPr>
        <w:footnoteReference w:id="3"/>
      </w:r>
      <w:r w:rsidRPr="008927AD">
        <w:rPr>
          <w:rFonts w:ascii="Palatino Linotype" w:eastAsia="Palatino Linotype" w:hAnsi="Palatino Linotype" w:cs="Palatino Linotype"/>
        </w:rPr>
        <w:t>.</w:t>
      </w:r>
    </w:p>
    <w:p w14:paraId="1B79C1FC"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lastRenderedPageBreak/>
        <w:t xml:space="preserve">En efecto, la respuesta a la solicitud de información se notificó el </w:t>
      </w:r>
      <w:r w:rsidRPr="008927AD">
        <w:rPr>
          <w:rFonts w:ascii="Palatino Linotype" w:eastAsia="Palatino Linotype" w:hAnsi="Palatino Linotype" w:cs="Palatino Linotype"/>
          <w:b/>
        </w:rPr>
        <w:t>lunes</w:t>
      </w:r>
      <w:r w:rsidRPr="008927AD">
        <w:rPr>
          <w:rFonts w:ascii="Palatino Linotype" w:eastAsia="Palatino Linotype" w:hAnsi="Palatino Linotype" w:cs="Palatino Linotype"/>
        </w:rPr>
        <w:t xml:space="preserve"> </w:t>
      </w:r>
      <w:r w:rsidRPr="008927AD">
        <w:rPr>
          <w:rFonts w:ascii="Palatino Linotype" w:eastAsia="Palatino Linotype" w:hAnsi="Palatino Linotype" w:cs="Palatino Linotype"/>
          <w:b/>
        </w:rPr>
        <w:t xml:space="preserve">veintitrés de enero de dos mil veintitrés; </w:t>
      </w:r>
      <w:r w:rsidRPr="008927AD">
        <w:rPr>
          <w:rFonts w:ascii="Palatino Linotype" w:eastAsia="Palatino Linotype" w:hAnsi="Palatino Linotype" w:cs="Palatino Linotype"/>
        </w:rPr>
        <w:t>en consecuencia, el plazo de quince días hábiles para presentar el recurso de revisión, transcurrió del</w:t>
      </w:r>
      <w:r w:rsidRPr="008927AD">
        <w:rPr>
          <w:rFonts w:ascii="Palatino Linotype" w:eastAsia="Palatino Linotype" w:hAnsi="Palatino Linotype" w:cs="Palatino Linotype"/>
          <w:b/>
        </w:rPr>
        <w:t xml:space="preserve"> martes veinticuatro de enero al martes catorce de febrero de dos mil veintitrés</w:t>
      </w:r>
      <w:r w:rsidRPr="008927AD">
        <w:rPr>
          <w:rFonts w:ascii="Palatino Linotype" w:eastAsia="Palatino Linotype" w:hAnsi="Palatino Linotype" w:cs="Palatino Linotype"/>
          <w:vertAlign w:val="superscript"/>
        </w:rPr>
        <w:footnoteReference w:id="4"/>
      </w:r>
      <w:r w:rsidRPr="008927AD">
        <w:rPr>
          <w:rFonts w:ascii="Palatino Linotype" w:eastAsia="Palatino Linotype" w:hAnsi="Palatino Linotype" w:cs="Palatino Linotype"/>
        </w:rPr>
        <w:t xml:space="preserve">; si el recurso se interpuso el </w:t>
      </w:r>
      <w:r w:rsidRPr="008927AD">
        <w:rPr>
          <w:rFonts w:ascii="Palatino Linotype" w:eastAsia="Palatino Linotype" w:hAnsi="Palatino Linotype" w:cs="Palatino Linotype"/>
          <w:b/>
        </w:rPr>
        <w:t>veinticuatro de enero de dos mil veintitrés</w:t>
      </w:r>
      <w:r w:rsidRPr="008927AD">
        <w:rPr>
          <w:rFonts w:ascii="Palatino Linotype" w:eastAsia="Palatino Linotype" w:hAnsi="Palatino Linotype" w:cs="Palatino Linotype"/>
        </w:rPr>
        <w:t>, éste se encuentra dentro de los márgenes temporales previstos en el citado precepto legal y, por tanto, se considera interpuesto en tiempo.</w:t>
      </w:r>
    </w:p>
    <w:p w14:paraId="29138E08" w14:textId="77777777" w:rsidR="00B3308B" w:rsidRPr="008927AD" w:rsidRDefault="00B3308B" w:rsidP="008927AD">
      <w:pPr>
        <w:pBdr>
          <w:top w:val="nil"/>
          <w:left w:val="nil"/>
          <w:bottom w:val="nil"/>
          <w:right w:val="nil"/>
          <w:between w:val="nil"/>
        </w:pBdr>
        <w:spacing w:line="360" w:lineRule="auto"/>
        <w:jc w:val="both"/>
        <w:rPr>
          <w:rFonts w:ascii="Palatino Linotype" w:eastAsia="Palatino Linotype" w:hAnsi="Palatino Linotype" w:cs="Palatino Linotype"/>
        </w:rPr>
      </w:pPr>
    </w:p>
    <w:p w14:paraId="6E3C8632"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 xml:space="preserve">d). Actualización de la procedencia. </w:t>
      </w:r>
      <w:r w:rsidRPr="008927AD">
        <w:rPr>
          <w:rFonts w:ascii="Palatino Linotype" w:eastAsia="Palatino Linotype" w:hAnsi="Palatino Linotype" w:cs="Palatino Linotype"/>
        </w:rPr>
        <w:t xml:space="preserve">Para determinar si la causa que hace valer </w:t>
      </w:r>
      <w:r w:rsidRPr="008927AD">
        <w:rPr>
          <w:rFonts w:ascii="Palatino Linotype" w:eastAsia="Palatino Linotype" w:hAnsi="Palatino Linotype" w:cs="Palatino Linotype"/>
          <w:b/>
        </w:rPr>
        <w:t>LA RECURRENTE</w:t>
      </w:r>
      <w:r w:rsidRPr="008927AD">
        <w:rPr>
          <w:rFonts w:ascii="Palatino Linotype" w:eastAsia="Palatino Linotype" w:hAnsi="Palatino Linotype" w:cs="Palatino Linotype"/>
        </w:rPr>
        <w:t xml:space="preserve"> se encuentra dentro de las hipótesis previstas en el artículo 179 de la Ley de Transparencia local, se revisa el acto impugnado y las razones de inconformidad anunciadas en los antecedentes. Así, advertimos que la acción intentada por el solicitante es</w:t>
      </w:r>
      <w:r w:rsidRPr="008927AD">
        <w:rPr>
          <w:rFonts w:ascii="Palatino Linotype" w:eastAsia="Palatino Linotype" w:hAnsi="Palatino Linotype" w:cs="Palatino Linotype"/>
          <w:b/>
          <w:i/>
        </w:rPr>
        <w:t xml:space="preserve"> “La falta de respuesta a una solicitud de acceso a la información;”</w:t>
      </w:r>
      <w:r w:rsidRPr="008927AD">
        <w:rPr>
          <w:rFonts w:ascii="Palatino Linotype" w:eastAsia="Palatino Linotype" w:hAnsi="Palatino Linotype" w:cs="Palatino Linotype"/>
          <w:b/>
          <w:i/>
          <w:sz w:val="18"/>
          <w:szCs w:val="18"/>
        </w:rPr>
        <w:t xml:space="preserve"> </w:t>
      </w:r>
      <w:r w:rsidRPr="008927AD">
        <w:rPr>
          <w:rFonts w:ascii="Palatino Linotype" w:eastAsia="Palatino Linotype" w:hAnsi="Palatino Linotype" w:cs="Palatino Linotype"/>
        </w:rPr>
        <w:t>en términos del citado artículo 179, en su fracción VII.</w:t>
      </w:r>
    </w:p>
    <w:p w14:paraId="22F51C55" w14:textId="77777777" w:rsidR="00B3308B" w:rsidRPr="008927AD" w:rsidRDefault="00B3308B" w:rsidP="008927AD">
      <w:pPr>
        <w:pBdr>
          <w:top w:val="nil"/>
          <w:left w:val="nil"/>
          <w:bottom w:val="nil"/>
          <w:right w:val="nil"/>
          <w:between w:val="nil"/>
        </w:pBdr>
        <w:spacing w:line="360" w:lineRule="auto"/>
        <w:jc w:val="both"/>
        <w:rPr>
          <w:rFonts w:ascii="Palatino Linotype" w:eastAsia="Palatino Linotype" w:hAnsi="Palatino Linotype" w:cs="Palatino Linotype"/>
        </w:rPr>
      </w:pPr>
    </w:p>
    <w:p w14:paraId="304CBF92" w14:textId="77777777" w:rsidR="00B3308B" w:rsidRPr="008927AD" w:rsidRDefault="00601D2F" w:rsidP="008927AD">
      <w:p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Analizados los requisitos de procedencia, por ser de previo y especial pronunciamiento, se advierte que no se actualiza alguna causal de improcedencia o sobreseimiento; que impida continuar con el estudio de fondo.</w:t>
      </w:r>
    </w:p>
    <w:p w14:paraId="0B5E23F3" w14:textId="77777777" w:rsidR="00B3308B" w:rsidRPr="008927AD" w:rsidRDefault="00B3308B" w:rsidP="008927AD">
      <w:pPr>
        <w:pBdr>
          <w:top w:val="nil"/>
          <w:left w:val="nil"/>
          <w:bottom w:val="nil"/>
          <w:right w:val="nil"/>
          <w:between w:val="nil"/>
        </w:pBdr>
        <w:spacing w:line="360" w:lineRule="auto"/>
        <w:jc w:val="both"/>
        <w:rPr>
          <w:rFonts w:ascii="Palatino Linotype" w:eastAsia="Palatino Linotype" w:hAnsi="Palatino Linotype" w:cs="Palatino Linotype"/>
        </w:rPr>
      </w:pPr>
    </w:p>
    <w:p w14:paraId="3595E7F0" w14:textId="77777777" w:rsidR="00B3308B" w:rsidRPr="008927AD" w:rsidRDefault="00601D2F" w:rsidP="008927AD">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sz w:val="28"/>
          <w:szCs w:val="28"/>
        </w:rPr>
        <w:t>TERCERO</w:t>
      </w:r>
      <w:r w:rsidRPr="008927AD">
        <w:rPr>
          <w:rFonts w:ascii="Palatino Linotype" w:eastAsia="Palatino Linotype" w:hAnsi="Palatino Linotype" w:cs="Palatino Linotype"/>
          <w:b/>
        </w:rPr>
        <w:t xml:space="preserve">. Marco Normativo General. </w:t>
      </w:r>
    </w:p>
    <w:p w14:paraId="52EFA0AD" w14:textId="77777777" w:rsidR="00B3308B" w:rsidRPr="008927AD" w:rsidRDefault="00601D2F" w:rsidP="008927AD">
      <w:pPr>
        <w:tabs>
          <w:tab w:val="left" w:pos="2422"/>
        </w:tabs>
        <w:spacing w:line="360" w:lineRule="auto"/>
        <w:ind w:right="51"/>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Toda la información en posesión de cualquier autoridad, entidad, órgano y organismo de los Poderes Ejecutivo, Legislativo y Judicial, órganos autónomos, partidos políticos, </w:t>
      </w:r>
      <w:r w:rsidRPr="008927AD">
        <w:rPr>
          <w:rFonts w:ascii="Palatino Linotype" w:eastAsia="Palatino Linotype" w:hAnsi="Palatino Linotype" w:cs="Palatino Linotype"/>
        </w:rPr>
        <w:lastRenderedPageBreak/>
        <w:t>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w:t>
      </w:r>
      <w:r w:rsidRPr="008927AD">
        <w:rPr>
          <w:rFonts w:ascii="Palatino Linotype" w:eastAsia="Palatino Linotype" w:hAnsi="Palatino Linotype" w:cs="Palatino Linotype"/>
          <w:vertAlign w:val="superscript"/>
        </w:rPr>
        <w:footnoteReference w:id="5"/>
      </w:r>
      <w:r w:rsidRPr="008927AD">
        <w:rPr>
          <w:rFonts w:ascii="Palatino Linotype" w:eastAsia="Palatino Linotype" w:hAnsi="Palatino Linotype" w:cs="Palatino Linotype"/>
        </w:rPr>
        <w:t xml:space="preserve">. </w:t>
      </w:r>
    </w:p>
    <w:p w14:paraId="4DF3F96B" w14:textId="77777777" w:rsidR="00B3308B" w:rsidRPr="008927AD" w:rsidRDefault="00B3308B" w:rsidP="008927AD">
      <w:pPr>
        <w:tabs>
          <w:tab w:val="left" w:pos="2422"/>
        </w:tabs>
        <w:spacing w:line="360" w:lineRule="auto"/>
        <w:ind w:right="51"/>
        <w:jc w:val="both"/>
        <w:rPr>
          <w:rFonts w:ascii="Palatino Linotype" w:eastAsia="Palatino Linotype" w:hAnsi="Palatino Linotype" w:cs="Palatino Linotype"/>
        </w:rPr>
      </w:pPr>
    </w:p>
    <w:p w14:paraId="23B45F48"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En nuestra entidad, el derecho a la información será garantizado por el Estado, la ley establecerá las previsiones que permitan asegurar la protección, el respeto y la difusión de este derecho</w:t>
      </w:r>
      <w:r w:rsidRPr="008927AD">
        <w:rPr>
          <w:rFonts w:ascii="Palatino Linotype" w:eastAsia="Palatino Linotype" w:hAnsi="Palatino Linotype" w:cs="Palatino Linotype"/>
          <w:vertAlign w:val="superscript"/>
        </w:rPr>
        <w:footnoteReference w:id="6"/>
      </w:r>
      <w:r w:rsidRPr="008927AD">
        <w:rPr>
          <w:rFonts w:ascii="Palatino Linotype" w:eastAsia="Palatino Linotype" w:hAnsi="Palatino Linotype" w:cs="Palatino Linotype"/>
        </w:rPr>
        <w:t xml:space="preserve">. </w:t>
      </w:r>
      <w:r w:rsidRPr="008927AD">
        <w:rPr>
          <w:rFonts w:ascii="Palatino Linotype" w:eastAsia="Palatino Linotype" w:hAnsi="Palatino Linotype" w:cs="Palatino Linotype"/>
          <w:b/>
        </w:rPr>
        <w:t>Se considera información pública al conjunto de datos que posee cualquier autoridad, obtenidos en virtud del ejercicio de sus funciones de derecho público,</w:t>
      </w:r>
      <w:r w:rsidRPr="008927AD">
        <w:rPr>
          <w:rFonts w:ascii="Palatino Linotype" w:eastAsia="Palatino Linotype" w:hAnsi="Palatino Linotype" w:cs="Palatino Linotype"/>
        </w:rPr>
        <w:t xml:space="preserve"> criterio que ha sostenido la Suprema Corte de Justicia de la Nación</w:t>
      </w:r>
      <w:r w:rsidRPr="008927AD">
        <w:rPr>
          <w:rFonts w:ascii="Palatino Linotype" w:eastAsia="Palatino Linotype" w:hAnsi="Palatino Linotype" w:cs="Palatino Linotype"/>
          <w:vertAlign w:val="superscript"/>
        </w:rPr>
        <w:footnoteReference w:id="7"/>
      </w:r>
      <w:r w:rsidRPr="008927AD">
        <w:rPr>
          <w:rFonts w:ascii="Palatino Linotype" w:eastAsia="Palatino Linotype" w:hAnsi="Palatino Linotype" w:cs="Palatino Linotype"/>
        </w:rPr>
        <w:t>.</w:t>
      </w:r>
    </w:p>
    <w:p w14:paraId="59B805BA" w14:textId="77777777" w:rsidR="00B3308B" w:rsidRPr="008927AD" w:rsidRDefault="00B3308B" w:rsidP="008927AD">
      <w:pPr>
        <w:spacing w:line="360" w:lineRule="auto"/>
        <w:jc w:val="both"/>
        <w:rPr>
          <w:rFonts w:ascii="Palatino Linotype" w:eastAsia="Palatino Linotype" w:hAnsi="Palatino Linotype" w:cs="Palatino Linotype"/>
        </w:rPr>
      </w:pPr>
    </w:p>
    <w:p w14:paraId="03C08FBC" w14:textId="77777777" w:rsidR="00B3308B" w:rsidRPr="008927AD" w:rsidRDefault="00601D2F" w:rsidP="008927AD">
      <w:pPr>
        <w:tabs>
          <w:tab w:val="left" w:pos="709"/>
        </w:tabs>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De acuerdo con la Ley de Transparencia local</w:t>
      </w:r>
      <w:r w:rsidRPr="008927AD">
        <w:rPr>
          <w:rFonts w:ascii="Palatino Linotype" w:eastAsia="Palatino Linotype" w:hAnsi="Palatino Linotype" w:cs="Palatino Linotype"/>
          <w:vertAlign w:val="superscript"/>
        </w:rPr>
        <w:footnoteReference w:id="8"/>
      </w:r>
      <w:r w:rsidRPr="008927AD">
        <w:rPr>
          <w:rFonts w:ascii="Palatino Linotype" w:eastAsia="Palatino Linotype" w:hAnsi="Palatino Linotype" w:cs="Palatino Linotype"/>
        </w:rPr>
        <w:t xml:space="preserve">, los Sujetos Obligados se encuentran constreñidos a entregar la información pública solicitada por los particulares que se </w:t>
      </w:r>
      <w:r w:rsidRPr="008927AD">
        <w:rPr>
          <w:rFonts w:ascii="Palatino Linotype" w:eastAsia="Palatino Linotype" w:hAnsi="Palatino Linotype" w:cs="Palatino Linotype"/>
        </w:rPr>
        <w:lastRenderedPageBreak/>
        <w:t>encuentre en sus archivos o que obre en su posesión, privilegiando en todo momento el principio de máxima publicidad, sin generarla, procesarla, resumirla, ni presentarla conforme al interés del solicitante.</w:t>
      </w:r>
    </w:p>
    <w:p w14:paraId="0D56C6A3" w14:textId="77777777" w:rsidR="00B3308B" w:rsidRPr="008927AD" w:rsidRDefault="00B3308B" w:rsidP="008927AD">
      <w:pPr>
        <w:spacing w:line="360" w:lineRule="auto"/>
        <w:jc w:val="both"/>
        <w:rPr>
          <w:rFonts w:ascii="Palatino Linotype" w:eastAsia="Palatino Linotype" w:hAnsi="Palatino Linotype" w:cs="Palatino Linotype"/>
        </w:rPr>
      </w:pPr>
    </w:p>
    <w:p w14:paraId="550F1C8D"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Aunado a lo anterior, el artículo 24 de la Ley en cita, señala que los Sujetos Obligados sólo proporcionarán la información pública que generen, administren o posean en el ejercicio de sus atribuciones; por consiguiente, la información pública se encuentra a disposición de cualquier persona, siendo el deber de los Sujetos Obligados, garantizar a toda persona el derecho de acceso a la información pública. </w:t>
      </w:r>
    </w:p>
    <w:p w14:paraId="3FC7360C" w14:textId="77777777" w:rsidR="00B3308B" w:rsidRPr="008927AD" w:rsidRDefault="00B3308B" w:rsidP="008927AD">
      <w:pPr>
        <w:spacing w:line="360" w:lineRule="auto"/>
        <w:jc w:val="both"/>
        <w:rPr>
          <w:rFonts w:ascii="Palatino Linotype" w:eastAsia="Palatino Linotype" w:hAnsi="Palatino Linotype" w:cs="Palatino Linotype"/>
        </w:rPr>
      </w:pPr>
    </w:p>
    <w:p w14:paraId="5871489E"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8927AD">
        <w:rPr>
          <w:rFonts w:ascii="Palatino Linotype" w:eastAsia="Palatino Linotype" w:hAnsi="Palatino Linotype" w:cs="Palatino Linotype"/>
          <w:vertAlign w:val="superscript"/>
        </w:rPr>
        <w:footnoteReference w:id="9"/>
      </w:r>
      <w:r w:rsidRPr="008927AD">
        <w:rPr>
          <w:rFonts w:ascii="Palatino Linotype" w:eastAsia="Palatino Linotype" w:hAnsi="Palatino Linotype" w:cs="Palatino Linotype"/>
        </w:rPr>
        <w:t xml:space="preserve"> de la Ley de Transparencia local. </w:t>
      </w:r>
    </w:p>
    <w:p w14:paraId="0CFBC293"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lastRenderedPageBreak/>
        <w:t>Así que la obligación de acceso a la información se tendrá por cumplida cuando el solicitante tenga a su disposición la información requerida, o cuando realice su consulta en el lugar que ésta se localice, conforme a lo previsto en los artículos 3 fracción XI, 4, 12 y 24 último párrafo de la Ley de Transparencia local.</w:t>
      </w:r>
    </w:p>
    <w:p w14:paraId="31642778" w14:textId="77777777" w:rsidR="00B3308B" w:rsidRPr="008927AD" w:rsidRDefault="00B3308B" w:rsidP="008927AD">
      <w:pPr>
        <w:spacing w:line="360" w:lineRule="auto"/>
        <w:jc w:val="both"/>
        <w:rPr>
          <w:rFonts w:ascii="Palatino Linotype" w:eastAsia="Palatino Linotype" w:hAnsi="Palatino Linotype" w:cs="Palatino Linotype"/>
        </w:rPr>
      </w:pPr>
    </w:p>
    <w:p w14:paraId="6A4AE48F" w14:textId="77777777" w:rsidR="00B3308B" w:rsidRPr="008927AD" w:rsidRDefault="00601D2F" w:rsidP="008927AD">
      <w:pPr>
        <w:spacing w:line="360" w:lineRule="auto"/>
        <w:ind w:right="49"/>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Las autoridades locales se encuentran constreñidas a la observancia del </w:t>
      </w:r>
      <w:r w:rsidRPr="008927AD">
        <w:rPr>
          <w:rFonts w:ascii="Palatino Linotype" w:eastAsia="Palatino Linotype" w:hAnsi="Palatino Linotype" w:cs="Palatino Linotype"/>
          <w:b/>
        </w:rPr>
        <w:t>principio de máxima publicidad</w:t>
      </w:r>
      <w:r w:rsidRPr="008927AD">
        <w:rPr>
          <w:rFonts w:ascii="Palatino Linotype" w:eastAsia="Palatino Linotype" w:hAnsi="Palatino Linotype" w:cs="Palatino Linotype"/>
        </w:rPr>
        <w:t xml:space="preserve"> y en caso de negarse o limitarse el acceso a la información </w:t>
      </w:r>
      <w:proofErr w:type="gramStart"/>
      <w:r w:rsidRPr="008927AD">
        <w:rPr>
          <w:rFonts w:ascii="Palatino Linotype" w:eastAsia="Palatino Linotype" w:hAnsi="Palatino Linotype" w:cs="Palatino Linotype"/>
        </w:rPr>
        <w:t>deberán</w:t>
      </w:r>
      <w:proofErr w:type="gramEnd"/>
      <w:r w:rsidRPr="008927AD">
        <w:rPr>
          <w:rFonts w:ascii="Palatino Linotype" w:eastAsia="Palatino Linotype" w:hAnsi="Palatino Linotype" w:cs="Palatino Linotype"/>
        </w:rPr>
        <w:t xml:space="preserve"> motivar la clasificación de la información que consideren susceptible de tal actuación, señalando las causas especiales que los llevaron a dicha actuación. </w:t>
      </w:r>
    </w:p>
    <w:p w14:paraId="562F241B" w14:textId="77777777" w:rsidR="00B3308B" w:rsidRPr="008927AD" w:rsidRDefault="00B3308B" w:rsidP="008927AD">
      <w:pPr>
        <w:spacing w:line="360" w:lineRule="auto"/>
        <w:ind w:right="49"/>
        <w:jc w:val="both"/>
        <w:rPr>
          <w:rFonts w:ascii="Palatino Linotype" w:eastAsia="Palatino Linotype" w:hAnsi="Palatino Linotype" w:cs="Palatino Linotype"/>
        </w:rPr>
      </w:pPr>
    </w:p>
    <w:p w14:paraId="6988F7B3" w14:textId="77777777" w:rsidR="00B3308B" w:rsidRPr="008927AD" w:rsidRDefault="00601D2F" w:rsidP="008927AD">
      <w:pPr>
        <w:spacing w:line="360" w:lineRule="auto"/>
        <w:ind w:right="49"/>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Por tanto,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w:t>
      </w:r>
      <w:r w:rsidRPr="008927AD">
        <w:rPr>
          <w:rFonts w:ascii="Palatino Linotype" w:eastAsia="Palatino Linotype" w:hAnsi="Palatino Linotype" w:cs="Palatino Linotype"/>
          <w:i/>
        </w:rPr>
        <w:t>ad hoc</w:t>
      </w:r>
      <w:r w:rsidRPr="008927AD">
        <w:rPr>
          <w:rFonts w:ascii="Palatino Linotype" w:eastAsia="Palatino Linotype" w:hAnsi="Palatino Linotype" w:cs="Palatino Linotype"/>
        </w:rPr>
        <w:t xml:space="preserve"> —a modo—, para satisfacer el Derecho de Acceso a la Información Pública, pero si el deber de documentar todos sus actos que realicen derivado del ejercicio de sus atribuciones.</w:t>
      </w:r>
    </w:p>
    <w:p w14:paraId="46936A57" w14:textId="77777777" w:rsidR="00B3308B" w:rsidRPr="008927AD" w:rsidRDefault="00B3308B" w:rsidP="008927AD">
      <w:pPr>
        <w:spacing w:line="360" w:lineRule="auto"/>
        <w:ind w:right="49"/>
        <w:jc w:val="both"/>
        <w:rPr>
          <w:rFonts w:ascii="Palatino Linotype" w:eastAsia="Palatino Linotype" w:hAnsi="Palatino Linotype" w:cs="Palatino Linotype"/>
        </w:rPr>
      </w:pPr>
    </w:p>
    <w:p w14:paraId="20635D0E" w14:textId="77777777" w:rsidR="00B3308B" w:rsidRPr="008927AD" w:rsidRDefault="00601D2F" w:rsidP="008927AD">
      <w:pPr>
        <w:spacing w:line="360" w:lineRule="auto"/>
        <w:ind w:right="49"/>
        <w:jc w:val="both"/>
        <w:rPr>
          <w:rFonts w:ascii="Palatino Linotype" w:eastAsia="Palatino Linotype" w:hAnsi="Palatino Linotype" w:cs="Palatino Linotype"/>
          <w:b/>
        </w:rPr>
      </w:pPr>
      <w:r w:rsidRPr="008927AD">
        <w:rPr>
          <w:rFonts w:ascii="Palatino Linotype" w:eastAsia="Palatino Linotype" w:hAnsi="Palatino Linotype" w:cs="Palatino Linotype"/>
        </w:rPr>
        <w:t>Fijado el marco constitucional y legal, procederemos al análisis</w:t>
      </w:r>
      <w:r w:rsidRPr="008927AD">
        <w:rPr>
          <w:rFonts w:ascii="Palatino Linotype" w:eastAsia="Palatino Linotype" w:hAnsi="Palatino Linotype" w:cs="Palatino Linotype"/>
          <w:b/>
        </w:rPr>
        <w:t>.</w:t>
      </w:r>
    </w:p>
    <w:p w14:paraId="1EF5A693" w14:textId="77777777" w:rsidR="00B3308B" w:rsidRPr="008927AD" w:rsidRDefault="00B3308B" w:rsidP="008927AD">
      <w:pPr>
        <w:spacing w:line="360" w:lineRule="auto"/>
        <w:jc w:val="both"/>
        <w:rPr>
          <w:rFonts w:ascii="Palatino Linotype" w:eastAsia="Palatino Linotype" w:hAnsi="Palatino Linotype" w:cs="Palatino Linotype"/>
        </w:rPr>
      </w:pPr>
    </w:p>
    <w:p w14:paraId="510409A0" w14:textId="77777777" w:rsidR="008927AD" w:rsidRPr="008927AD" w:rsidRDefault="008927AD" w:rsidP="008927AD">
      <w:pPr>
        <w:spacing w:line="360" w:lineRule="auto"/>
        <w:jc w:val="both"/>
        <w:rPr>
          <w:rFonts w:ascii="Palatino Linotype" w:eastAsia="Palatino Linotype" w:hAnsi="Palatino Linotype" w:cs="Palatino Linotype"/>
        </w:rPr>
      </w:pPr>
    </w:p>
    <w:p w14:paraId="22F2301E" w14:textId="77777777" w:rsidR="008927AD" w:rsidRPr="008927AD" w:rsidRDefault="008927AD" w:rsidP="008927AD">
      <w:pPr>
        <w:spacing w:line="360" w:lineRule="auto"/>
        <w:jc w:val="both"/>
        <w:rPr>
          <w:rFonts w:ascii="Palatino Linotype" w:eastAsia="Palatino Linotype" w:hAnsi="Palatino Linotype" w:cs="Palatino Linotype"/>
        </w:rPr>
      </w:pPr>
    </w:p>
    <w:p w14:paraId="402CC571" w14:textId="77777777" w:rsidR="00B3308B" w:rsidRPr="008927AD" w:rsidRDefault="00601D2F" w:rsidP="008927AD">
      <w:pPr>
        <w:spacing w:line="360" w:lineRule="auto"/>
        <w:jc w:val="both"/>
        <w:rPr>
          <w:rFonts w:ascii="Palatino Linotype" w:eastAsia="Palatino Linotype" w:hAnsi="Palatino Linotype" w:cs="Palatino Linotype"/>
          <w:b/>
          <w:sz w:val="28"/>
          <w:szCs w:val="28"/>
        </w:rPr>
      </w:pPr>
      <w:r w:rsidRPr="008927AD">
        <w:rPr>
          <w:rFonts w:ascii="Palatino Linotype" w:eastAsia="Palatino Linotype" w:hAnsi="Palatino Linotype" w:cs="Palatino Linotype"/>
          <w:b/>
          <w:sz w:val="28"/>
          <w:szCs w:val="28"/>
        </w:rPr>
        <w:lastRenderedPageBreak/>
        <w:t>CUARTO. Del caso en concreto.</w:t>
      </w:r>
    </w:p>
    <w:p w14:paraId="109F5207"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4B1A7F14" w14:textId="77777777" w:rsidR="00B3308B" w:rsidRPr="008927AD" w:rsidRDefault="00B3308B" w:rsidP="008927AD">
      <w:pPr>
        <w:spacing w:line="360" w:lineRule="auto"/>
        <w:jc w:val="both"/>
        <w:rPr>
          <w:rFonts w:ascii="Palatino Linotype" w:eastAsia="Palatino Linotype" w:hAnsi="Palatino Linotype" w:cs="Palatino Linotype"/>
        </w:rPr>
      </w:pPr>
    </w:p>
    <w:p w14:paraId="528A065E" w14:textId="77777777" w:rsidR="00B3308B" w:rsidRPr="008927AD" w:rsidRDefault="00601D2F" w:rsidP="008927A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rPr>
        <w:t>De la solicitud de información, respuesta del Sujeto Obligado, inconformidad del particular, manifestaciones e Informe Justificado.</w:t>
      </w:r>
    </w:p>
    <w:p w14:paraId="142337C4" w14:textId="77777777" w:rsidR="00B3308B" w:rsidRPr="008927AD" w:rsidRDefault="00B3308B" w:rsidP="008927AD">
      <w:pPr>
        <w:spacing w:line="360" w:lineRule="auto"/>
        <w:jc w:val="both"/>
        <w:rPr>
          <w:rFonts w:ascii="Palatino Linotype" w:eastAsia="Palatino Linotype" w:hAnsi="Palatino Linotype" w:cs="Palatino Linotype"/>
          <w:b/>
        </w:rPr>
      </w:pPr>
    </w:p>
    <w:p w14:paraId="261F1819" w14:textId="77777777" w:rsidR="00B3308B" w:rsidRPr="008927AD" w:rsidRDefault="00601D2F" w:rsidP="008927AD">
      <w:pPr>
        <w:tabs>
          <w:tab w:val="left" w:pos="2422"/>
        </w:tabs>
        <w:spacing w:line="360" w:lineRule="auto"/>
        <w:ind w:right="49"/>
        <w:jc w:val="both"/>
        <w:rPr>
          <w:rFonts w:ascii="Palatino Linotype" w:eastAsia="Palatino Linotype" w:hAnsi="Palatino Linotype" w:cs="Palatino Linotype"/>
          <w:b/>
          <w:sz w:val="26"/>
          <w:szCs w:val="26"/>
        </w:rPr>
      </w:pPr>
      <w:r w:rsidRPr="008927AD">
        <w:rPr>
          <w:rFonts w:ascii="Palatino Linotype" w:eastAsia="Palatino Linotype" w:hAnsi="Palatino Linotype" w:cs="Palatino Linotype"/>
          <w:b/>
          <w:sz w:val="26"/>
          <w:szCs w:val="26"/>
        </w:rPr>
        <w:t xml:space="preserve">¿Qué solicitó </w:t>
      </w:r>
      <w:r w:rsidRPr="008927AD">
        <w:rPr>
          <w:rFonts w:ascii="Palatino Linotype" w:eastAsia="Palatino Linotype" w:hAnsi="Palatino Linotype" w:cs="Palatino Linotype"/>
          <w:b/>
        </w:rPr>
        <w:t>LA RECURRENTE</w:t>
      </w:r>
      <w:r w:rsidRPr="008927AD">
        <w:rPr>
          <w:rFonts w:ascii="Palatino Linotype" w:eastAsia="Palatino Linotype" w:hAnsi="Palatino Linotype" w:cs="Palatino Linotype"/>
          <w:b/>
          <w:sz w:val="26"/>
          <w:szCs w:val="26"/>
        </w:rPr>
        <w:t>?</w:t>
      </w:r>
    </w:p>
    <w:p w14:paraId="11EC2BE9" w14:textId="77777777" w:rsidR="00B3308B" w:rsidRPr="008927AD" w:rsidRDefault="00601D2F" w:rsidP="008927AD">
      <w:pPr>
        <w:tabs>
          <w:tab w:val="left" w:pos="2422"/>
        </w:tabs>
        <w:spacing w:line="360" w:lineRule="auto"/>
        <w:ind w:left="851" w:right="49"/>
        <w:jc w:val="both"/>
        <w:rPr>
          <w:rFonts w:ascii="Palatino Linotype" w:eastAsia="Palatino Linotype" w:hAnsi="Palatino Linotype" w:cs="Palatino Linotype"/>
          <w:sz w:val="23"/>
          <w:szCs w:val="23"/>
        </w:rPr>
      </w:pPr>
      <w:r w:rsidRPr="008927AD">
        <w:rPr>
          <w:rFonts w:ascii="Palatino Linotype" w:eastAsia="Palatino Linotype" w:hAnsi="Palatino Linotype" w:cs="Palatino Linotype"/>
          <w:sz w:val="23"/>
          <w:szCs w:val="23"/>
        </w:rPr>
        <w:t>De inicio de la presente administración (2022):</w:t>
      </w:r>
    </w:p>
    <w:p w14:paraId="2C5D3F4B" w14:textId="77777777" w:rsidR="00B3308B" w:rsidRPr="008927AD" w:rsidRDefault="00601D2F" w:rsidP="008927AD">
      <w:pPr>
        <w:numPr>
          <w:ilvl w:val="0"/>
          <w:numId w:val="2"/>
        </w:numPr>
        <w:pBdr>
          <w:top w:val="nil"/>
          <w:left w:val="nil"/>
          <w:bottom w:val="nil"/>
          <w:right w:val="nil"/>
          <w:between w:val="nil"/>
        </w:pBdr>
        <w:tabs>
          <w:tab w:val="left" w:pos="2422"/>
        </w:tabs>
        <w:spacing w:line="360" w:lineRule="auto"/>
        <w:ind w:right="49"/>
        <w:jc w:val="both"/>
        <w:rPr>
          <w:sz w:val="23"/>
          <w:szCs w:val="23"/>
        </w:rPr>
      </w:pPr>
      <w:bookmarkStart w:id="2" w:name="_30j0zll" w:colFirst="0" w:colLast="0"/>
      <w:bookmarkEnd w:id="2"/>
      <w:r w:rsidRPr="008927AD">
        <w:rPr>
          <w:rFonts w:ascii="Palatino Linotype" w:eastAsia="Palatino Linotype" w:hAnsi="Palatino Linotype" w:cs="Palatino Linotype"/>
          <w:sz w:val="23"/>
          <w:szCs w:val="23"/>
        </w:rPr>
        <w:t>La cédula de bienes inmuebles del Municipio de San Mateo Atenco</w:t>
      </w:r>
    </w:p>
    <w:p w14:paraId="1051FC30" w14:textId="77777777" w:rsidR="00B3308B" w:rsidRPr="008927AD" w:rsidRDefault="00601D2F" w:rsidP="008927AD">
      <w:pPr>
        <w:numPr>
          <w:ilvl w:val="0"/>
          <w:numId w:val="2"/>
        </w:numPr>
        <w:pBdr>
          <w:top w:val="nil"/>
          <w:left w:val="nil"/>
          <w:bottom w:val="nil"/>
          <w:right w:val="nil"/>
          <w:between w:val="nil"/>
        </w:pBdr>
        <w:tabs>
          <w:tab w:val="left" w:pos="2422"/>
        </w:tabs>
        <w:spacing w:line="360" w:lineRule="auto"/>
        <w:ind w:right="49"/>
        <w:jc w:val="both"/>
        <w:rPr>
          <w:sz w:val="23"/>
          <w:szCs w:val="23"/>
        </w:rPr>
      </w:pPr>
      <w:r w:rsidRPr="008927AD">
        <w:rPr>
          <w:rFonts w:ascii="Palatino Linotype" w:eastAsia="Palatino Linotype" w:hAnsi="Palatino Linotype" w:cs="Palatino Linotype"/>
          <w:sz w:val="23"/>
          <w:szCs w:val="23"/>
        </w:rPr>
        <w:t xml:space="preserve">Cuántos predios se encuentran invadidos </w:t>
      </w:r>
    </w:p>
    <w:p w14:paraId="34446C0B" w14:textId="77777777" w:rsidR="00B3308B" w:rsidRPr="008927AD" w:rsidRDefault="00601D2F" w:rsidP="008927AD">
      <w:pPr>
        <w:numPr>
          <w:ilvl w:val="0"/>
          <w:numId w:val="2"/>
        </w:numPr>
        <w:pBdr>
          <w:top w:val="nil"/>
          <w:left w:val="nil"/>
          <w:bottom w:val="nil"/>
          <w:right w:val="nil"/>
          <w:between w:val="nil"/>
        </w:pBdr>
        <w:tabs>
          <w:tab w:val="left" w:pos="2422"/>
        </w:tabs>
        <w:spacing w:line="360" w:lineRule="auto"/>
        <w:ind w:right="49"/>
        <w:jc w:val="both"/>
        <w:rPr>
          <w:sz w:val="23"/>
          <w:szCs w:val="23"/>
        </w:rPr>
      </w:pPr>
      <w:r w:rsidRPr="008927AD">
        <w:rPr>
          <w:rFonts w:ascii="Palatino Linotype" w:eastAsia="Palatino Linotype" w:hAnsi="Palatino Linotype" w:cs="Palatino Linotype"/>
          <w:sz w:val="23"/>
          <w:szCs w:val="23"/>
        </w:rPr>
        <w:t>Cuántos predios municipales a regularizado</w:t>
      </w:r>
    </w:p>
    <w:p w14:paraId="3FF1BB16" w14:textId="77777777" w:rsidR="00B3308B" w:rsidRPr="008927AD" w:rsidRDefault="00601D2F" w:rsidP="008927AD">
      <w:pPr>
        <w:numPr>
          <w:ilvl w:val="0"/>
          <w:numId w:val="2"/>
        </w:numPr>
        <w:pBdr>
          <w:top w:val="nil"/>
          <w:left w:val="nil"/>
          <w:bottom w:val="nil"/>
          <w:right w:val="nil"/>
          <w:between w:val="nil"/>
        </w:pBdr>
        <w:tabs>
          <w:tab w:val="left" w:pos="2422"/>
        </w:tabs>
        <w:spacing w:line="360" w:lineRule="auto"/>
        <w:ind w:right="49"/>
        <w:jc w:val="both"/>
        <w:rPr>
          <w:sz w:val="23"/>
          <w:szCs w:val="23"/>
        </w:rPr>
      </w:pPr>
      <w:r w:rsidRPr="008927AD">
        <w:rPr>
          <w:rFonts w:ascii="Palatino Linotype" w:eastAsia="Palatino Linotype" w:hAnsi="Palatino Linotype" w:cs="Palatino Linotype"/>
          <w:sz w:val="23"/>
          <w:szCs w:val="23"/>
        </w:rPr>
        <w:t>Existen procedimientos de recuperación administrativa</w:t>
      </w:r>
    </w:p>
    <w:p w14:paraId="37A313B5" w14:textId="77777777" w:rsidR="00B3308B" w:rsidRPr="008927AD" w:rsidRDefault="00B3308B" w:rsidP="008927AD">
      <w:pPr>
        <w:tabs>
          <w:tab w:val="left" w:pos="2422"/>
        </w:tabs>
        <w:spacing w:line="360" w:lineRule="auto"/>
        <w:ind w:right="49"/>
        <w:rPr>
          <w:rFonts w:ascii="Palatino Linotype" w:eastAsia="Palatino Linotype" w:hAnsi="Palatino Linotype" w:cs="Palatino Linotype"/>
          <w:b/>
        </w:rPr>
      </w:pPr>
    </w:p>
    <w:p w14:paraId="0637E2FF" w14:textId="77777777" w:rsidR="00B3308B" w:rsidRPr="008927AD" w:rsidRDefault="00601D2F" w:rsidP="008927AD">
      <w:pPr>
        <w:tabs>
          <w:tab w:val="left" w:pos="2422"/>
        </w:tabs>
        <w:spacing w:line="360" w:lineRule="auto"/>
        <w:ind w:right="49"/>
        <w:rPr>
          <w:rFonts w:ascii="Palatino Linotype" w:eastAsia="Palatino Linotype" w:hAnsi="Palatino Linotype" w:cs="Palatino Linotype"/>
          <w:b/>
          <w:sz w:val="26"/>
          <w:szCs w:val="26"/>
        </w:rPr>
      </w:pPr>
      <w:r w:rsidRPr="008927AD">
        <w:rPr>
          <w:rFonts w:ascii="Palatino Linotype" w:eastAsia="Palatino Linotype" w:hAnsi="Palatino Linotype" w:cs="Palatino Linotype"/>
          <w:b/>
          <w:sz w:val="26"/>
          <w:szCs w:val="26"/>
        </w:rPr>
        <w:t>¿Qué le respondió EL SUJETO OBLIGADO?</w:t>
      </w:r>
    </w:p>
    <w:p w14:paraId="290BF4C1" w14:textId="77777777" w:rsidR="00B3308B" w:rsidRPr="008927AD" w:rsidRDefault="00601D2F" w:rsidP="008927AD">
      <w:pPr>
        <w:tabs>
          <w:tab w:val="left" w:pos="2422"/>
        </w:tabs>
        <w:spacing w:line="360" w:lineRule="auto"/>
        <w:ind w:left="851" w:right="49"/>
        <w:jc w:val="both"/>
        <w:rPr>
          <w:rFonts w:ascii="Palatino Linotype" w:eastAsia="Palatino Linotype" w:hAnsi="Palatino Linotype" w:cs="Palatino Linotype"/>
          <w:sz w:val="23"/>
          <w:szCs w:val="23"/>
        </w:rPr>
      </w:pPr>
      <w:r w:rsidRPr="008927AD">
        <w:rPr>
          <w:rFonts w:ascii="Palatino Linotype" w:eastAsia="Palatino Linotype" w:hAnsi="Palatino Linotype" w:cs="Palatino Linotype"/>
          <w:sz w:val="23"/>
          <w:szCs w:val="23"/>
        </w:rPr>
        <w:t>Entregó como respuesta el vínculo electrónico siguiente:</w:t>
      </w:r>
    </w:p>
    <w:p w14:paraId="4AB958B8" w14:textId="77777777" w:rsidR="00B3308B" w:rsidRPr="008927AD" w:rsidRDefault="00E65621" w:rsidP="008927AD">
      <w:pPr>
        <w:spacing w:line="360" w:lineRule="auto"/>
        <w:jc w:val="both"/>
        <w:rPr>
          <w:rFonts w:ascii="Palatino Linotype" w:eastAsia="Palatino Linotype" w:hAnsi="Palatino Linotype" w:cs="Palatino Linotype"/>
          <w:i/>
          <w:sz w:val="22"/>
          <w:szCs w:val="22"/>
        </w:rPr>
      </w:pPr>
      <w:hyperlink r:id="rId7">
        <w:r w:rsidR="00601D2F" w:rsidRPr="008927AD">
          <w:rPr>
            <w:rFonts w:ascii="Palatino Linotype" w:eastAsia="Palatino Linotype" w:hAnsi="Palatino Linotype" w:cs="Palatino Linotype"/>
            <w:i/>
            <w:sz w:val="22"/>
            <w:szCs w:val="22"/>
          </w:rPr>
          <w:t>https://www.ipomex.org.mx/ipo3/Igt/indice/SANMATEOATENCO.web?token=03AFY_a8Wvfxiyxrfr2n4RSw0edADRkv6Bsy_HYpT8Q2Ls86vkhOPoY54u1BgA6vBX2x4tVEPP4MdWmCKcstxQAIDbXZ-Z717_k7QpBIL_R_UAscyNEhrJnWQTDR8jkG4zv9WaDFyACx-UbR_xKEyVW6Y8mNdP9C79VaowslSqyfMHK_zkchM5Uajl2O6KX_NST_aztgoWWug2OpKyqrtoezQJ2118gbUCk0kixYTpTZKRNGFhOK8QlqvYVHdWTz1if_QunT037FGtWCVAzEciPWpbtv44Nm0jE8FiyOxyxazZd187q09X1v7GT_s57bYmDKHF7ty3p3zbE8KsKVRvX7WgZ72HfOFiKwhseP5gXf_7q47GQf63LLBHCz2RFE4eHHdu_6S48Zp4RCmauT58pFT6jDRfHmVvXcZ7gmuUhVKVMQxYyyLnF-F0hW4ciDEQOor3OAEG4pD-VxIkVEIkXW4Jjt8BaDpmgx9eyxRTBhFwKLVJCzV7G9Vx4VGNkJNgH_htvXrBBUb9</w:t>
        </w:r>
      </w:hyperlink>
    </w:p>
    <w:p w14:paraId="438D650F" w14:textId="77777777" w:rsidR="00B3308B" w:rsidRPr="008927AD" w:rsidRDefault="00B3308B" w:rsidP="008927AD">
      <w:pPr>
        <w:spacing w:line="360" w:lineRule="auto"/>
        <w:jc w:val="both"/>
        <w:rPr>
          <w:rFonts w:ascii="Palatino Linotype" w:eastAsia="Palatino Linotype" w:hAnsi="Palatino Linotype" w:cs="Palatino Linotype"/>
          <w:i/>
          <w:sz w:val="22"/>
          <w:szCs w:val="22"/>
        </w:rPr>
      </w:pPr>
    </w:p>
    <w:p w14:paraId="226ABE9A" w14:textId="77777777" w:rsidR="00B3308B" w:rsidRPr="008927AD" w:rsidRDefault="00601D2F" w:rsidP="008927AD">
      <w:pPr>
        <w:tabs>
          <w:tab w:val="left" w:pos="2422"/>
        </w:tabs>
        <w:spacing w:line="360" w:lineRule="auto"/>
        <w:ind w:right="49"/>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Inconforme, </w:t>
      </w:r>
      <w:r w:rsidRPr="008927AD">
        <w:rPr>
          <w:rFonts w:ascii="Palatino Linotype" w:eastAsia="Palatino Linotype" w:hAnsi="Palatino Linotype" w:cs="Palatino Linotype"/>
          <w:b/>
        </w:rPr>
        <w:t xml:space="preserve">LA RECURRENTE </w:t>
      </w:r>
      <w:r w:rsidRPr="008927AD">
        <w:rPr>
          <w:rFonts w:ascii="Palatino Linotype" w:eastAsia="Palatino Linotype" w:hAnsi="Palatino Linotype" w:cs="Palatino Linotype"/>
        </w:rPr>
        <w:t>interpuso el presente recurso aduciendo “</w:t>
      </w:r>
      <w:r w:rsidRPr="008927AD">
        <w:rPr>
          <w:rFonts w:ascii="Palatino Linotype" w:eastAsia="Palatino Linotype" w:hAnsi="Palatino Linotype" w:cs="Palatino Linotype"/>
          <w:i/>
        </w:rPr>
        <w:t xml:space="preserve">Lo que solicite no me fue proporcionado, toda vez que requiero la cedula de bienes inmuebles del Municipio de San Mateo Atenco en el formato correspondiente y que se envía al OSFEM, </w:t>
      </w:r>
      <w:proofErr w:type="spellStart"/>
      <w:r w:rsidRPr="008927AD">
        <w:rPr>
          <w:rFonts w:ascii="Palatino Linotype" w:eastAsia="Palatino Linotype" w:hAnsi="Palatino Linotype" w:cs="Palatino Linotype"/>
          <w:i/>
        </w:rPr>
        <w:t>ademas</w:t>
      </w:r>
      <w:proofErr w:type="spellEnd"/>
      <w:r w:rsidRPr="008927AD">
        <w:rPr>
          <w:rFonts w:ascii="Palatino Linotype" w:eastAsia="Palatino Linotype" w:hAnsi="Palatino Linotype" w:cs="Palatino Linotype"/>
          <w:i/>
        </w:rPr>
        <w:t xml:space="preserve"> mis preguntas no son respondidas en la liga que me envían.</w:t>
      </w:r>
      <w:r w:rsidRPr="008927AD">
        <w:rPr>
          <w:rFonts w:ascii="Palatino Linotype" w:eastAsia="Palatino Linotype" w:hAnsi="Palatino Linotype" w:cs="Palatino Linotype"/>
        </w:rPr>
        <w:t>”</w:t>
      </w:r>
    </w:p>
    <w:p w14:paraId="741EDEBA" w14:textId="77777777" w:rsidR="00B3308B" w:rsidRPr="008927AD" w:rsidRDefault="00B3308B" w:rsidP="008927AD">
      <w:pPr>
        <w:tabs>
          <w:tab w:val="left" w:pos="2422"/>
        </w:tabs>
        <w:spacing w:line="360" w:lineRule="auto"/>
        <w:ind w:right="49"/>
        <w:jc w:val="both"/>
        <w:rPr>
          <w:rFonts w:ascii="Palatino Linotype" w:eastAsia="Palatino Linotype" w:hAnsi="Palatino Linotype" w:cs="Palatino Linotype"/>
        </w:rPr>
      </w:pPr>
    </w:p>
    <w:p w14:paraId="5F537C08" w14:textId="77777777" w:rsidR="00B3308B" w:rsidRPr="008927AD" w:rsidRDefault="00601D2F" w:rsidP="008927AD">
      <w:pPr>
        <w:tabs>
          <w:tab w:val="left" w:pos="2422"/>
        </w:tabs>
        <w:spacing w:line="360" w:lineRule="auto"/>
        <w:ind w:right="49"/>
        <w:jc w:val="both"/>
        <w:rPr>
          <w:rFonts w:ascii="Palatino Linotype" w:eastAsia="Palatino Linotype" w:hAnsi="Palatino Linotype" w:cs="Palatino Linotype"/>
        </w:rPr>
      </w:pPr>
      <w:r w:rsidRPr="008927AD">
        <w:rPr>
          <w:rFonts w:ascii="Palatino Linotype" w:eastAsia="Palatino Linotype" w:hAnsi="Palatino Linotype" w:cs="Palatino Linotype"/>
        </w:rPr>
        <w:t>Las partes fueron omisas en presentar manifestaciones e informe justificado.</w:t>
      </w:r>
    </w:p>
    <w:p w14:paraId="20CA1F7E" w14:textId="77777777" w:rsidR="00B3308B" w:rsidRPr="008927AD" w:rsidRDefault="00B3308B" w:rsidP="008927AD">
      <w:pPr>
        <w:tabs>
          <w:tab w:val="left" w:pos="2422"/>
        </w:tabs>
        <w:spacing w:line="360" w:lineRule="auto"/>
        <w:ind w:right="49"/>
        <w:jc w:val="both"/>
        <w:rPr>
          <w:rFonts w:ascii="Palatino Linotype" w:eastAsia="Palatino Linotype" w:hAnsi="Palatino Linotype" w:cs="Palatino Linotype"/>
        </w:rPr>
      </w:pPr>
    </w:p>
    <w:p w14:paraId="0526DD6C" w14:textId="77777777" w:rsidR="00B3308B" w:rsidRPr="008927AD" w:rsidRDefault="00601D2F" w:rsidP="008927AD">
      <w:pPr>
        <w:widowControl w:val="0"/>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Es importante mencionar que se obvia el estudio de la fuente obligacional que constriñe al </w:t>
      </w:r>
      <w:r w:rsidRPr="008927AD">
        <w:rPr>
          <w:rFonts w:ascii="Palatino Linotype" w:eastAsia="Palatino Linotype" w:hAnsi="Palatino Linotype" w:cs="Palatino Linotype"/>
          <w:b/>
        </w:rPr>
        <w:t>SUJETO OBLIGADO</w:t>
      </w:r>
      <w:r w:rsidRPr="008927AD">
        <w:rPr>
          <w:rFonts w:ascii="Palatino Linotype" w:eastAsia="Palatino Linotype" w:hAnsi="Palatino Linotype" w:cs="Palatino Linotype"/>
        </w:rPr>
        <w:t xml:space="preserve"> a pronunciarse y contar con lo solicitado por el particular, toda vez que asume contar con la información solicitada.</w:t>
      </w:r>
    </w:p>
    <w:p w14:paraId="3F093800" w14:textId="77777777" w:rsidR="00B3308B" w:rsidRPr="008927AD" w:rsidRDefault="00B3308B" w:rsidP="008927AD">
      <w:pPr>
        <w:widowControl w:val="0"/>
        <w:spacing w:line="360" w:lineRule="auto"/>
        <w:jc w:val="both"/>
        <w:rPr>
          <w:rFonts w:ascii="Palatino Linotype" w:eastAsia="Palatino Linotype" w:hAnsi="Palatino Linotype" w:cs="Palatino Linotype"/>
        </w:rPr>
      </w:pPr>
    </w:p>
    <w:p w14:paraId="5FB62194" w14:textId="77777777" w:rsidR="00B3308B" w:rsidRPr="008927AD" w:rsidRDefault="00601D2F" w:rsidP="008927AD">
      <w:pPr>
        <w:tabs>
          <w:tab w:val="left" w:pos="426"/>
          <w:tab w:val="left" w:pos="567"/>
        </w:tabs>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Ahora bien, pese a haber remitido un vínculo de IPOMEX para consultar la información, se advierte que le asiste la razón al </w:t>
      </w:r>
      <w:r w:rsidRPr="008927AD">
        <w:rPr>
          <w:rFonts w:ascii="Palatino Linotype" w:eastAsia="Palatino Linotype" w:hAnsi="Palatino Linotype" w:cs="Palatino Linotype"/>
          <w:b/>
        </w:rPr>
        <w:t>RECURRENTE</w:t>
      </w:r>
      <w:r w:rsidRPr="008927AD">
        <w:rPr>
          <w:rFonts w:ascii="Palatino Linotype" w:eastAsia="Palatino Linotype" w:hAnsi="Palatino Linotype" w:cs="Palatino Linotype"/>
        </w:rPr>
        <w:t xml:space="preserve"> ya que, efectivamente, del vínculo acompañado no es posible advertir la cédula de bienes inmuebles del Municipio de San Mateo Atenco, ni mucho menos información relacionada con predios </w:t>
      </w:r>
      <w:r w:rsidRPr="008927AD">
        <w:rPr>
          <w:rFonts w:ascii="Palatino Linotype" w:eastAsia="Palatino Linotype" w:hAnsi="Palatino Linotype" w:cs="Palatino Linotype"/>
        </w:rPr>
        <w:lastRenderedPageBreak/>
        <w:t xml:space="preserve">invadidos, regularizados o de procedimientos de recuperación administrativa, pues al ingresar el vínculo anunciado se obtiene que </w:t>
      </w:r>
      <w:r w:rsidRPr="008927AD">
        <w:rPr>
          <w:rFonts w:ascii="Palatino Linotype" w:eastAsia="Palatino Linotype" w:hAnsi="Palatino Linotype" w:cs="Palatino Linotype"/>
          <w:i/>
        </w:rPr>
        <w:t>“No encontrado”</w:t>
      </w:r>
      <w:r w:rsidRPr="008927AD">
        <w:rPr>
          <w:rFonts w:ascii="Palatino Linotype" w:eastAsia="Palatino Linotype" w:hAnsi="Palatino Linotype" w:cs="Palatino Linotype"/>
        </w:rPr>
        <w:t xml:space="preserve"> como se visualiza en la siguiente imagen:</w:t>
      </w:r>
    </w:p>
    <w:p w14:paraId="693312D7" w14:textId="77777777" w:rsidR="00B3308B" w:rsidRPr="008927AD" w:rsidRDefault="00601D2F" w:rsidP="008927AD">
      <w:pPr>
        <w:tabs>
          <w:tab w:val="left" w:pos="426"/>
          <w:tab w:val="left" w:pos="567"/>
        </w:tabs>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 </w:t>
      </w:r>
      <w:r w:rsidRPr="008927AD">
        <w:rPr>
          <w:rFonts w:ascii="Palatino Linotype" w:eastAsia="Palatino Linotype" w:hAnsi="Palatino Linotype" w:cs="Palatino Linotype"/>
          <w:noProof/>
        </w:rPr>
        <w:drawing>
          <wp:inline distT="0" distB="0" distL="0" distR="0" wp14:anchorId="45086792" wp14:editId="6E7A1A90">
            <wp:extent cx="5568131" cy="944128"/>
            <wp:effectExtent l="0" t="0" r="0" b="0"/>
            <wp:docPr id="10" name="image9.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Aplicación, Word&#10;&#10;Descripción generada automáticamente"/>
                    <pic:cNvPicPr preferRelativeResize="0"/>
                  </pic:nvPicPr>
                  <pic:blipFill>
                    <a:blip r:embed="rId8"/>
                    <a:srcRect l="41582" t="3269" b="73579"/>
                    <a:stretch>
                      <a:fillRect/>
                    </a:stretch>
                  </pic:blipFill>
                  <pic:spPr>
                    <a:xfrm>
                      <a:off x="0" y="0"/>
                      <a:ext cx="5568131" cy="944128"/>
                    </a:xfrm>
                    <a:prstGeom prst="rect">
                      <a:avLst/>
                    </a:prstGeom>
                    <a:ln/>
                  </pic:spPr>
                </pic:pic>
              </a:graphicData>
            </a:graphic>
          </wp:inline>
        </w:drawing>
      </w:r>
    </w:p>
    <w:p w14:paraId="6766A768" w14:textId="77777777" w:rsidR="00B3308B" w:rsidRPr="008927AD" w:rsidRDefault="00601D2F" w:rsidP="008927AD">
      <w:pPr>
        <w:tabs>
          <w:tab w:val="left" w:pos="426"/>
          <w:tab w:val="left" w:pos="567"/>
        </w:tabs>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Respecto de la información solicitada, se advierte que la Ley Orgánica Municipal refiere:</w:t>
      </w:r>
    </w:p>
    <w:p w14:paraId="683130CC" w14:textId="77777777" w:rsidR="00B3308B" w:rsidRPr="008927AD" w:rsidRDefault="00B3308B" w:rsidP="008927AD">
      <w:pPr>
        <w:tabs>
          <w:tab w:val="left" w:pos="426"/>
          <w:tab w:val="left" w:pos="567"/>
        </w:tabs>
        <w:jc w:val="both"/>
        <w:rPr>
          <w:rFonts w:ascii="Palatino Linotype" w:eastAsia="Palatino Linotype" w:hAnsi="Palatino Linotype" w:cs="Palatino Linotype"/>
        </w:rPr>
      </w:pPr>
    </w:p>
    <w:p w14:paraId="4229F127"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48</w:t>
      </w:r>
      <w:r w:rsidRPr="008927AD">
        <w:rPr>
          <w:rFonts w:ascii="Palatino Linotype" w:eastAsia="Palatino Linotype" w:hAnsi="Palatino Linotype" w:cs="Palatino Linotype"/>
          <w:i/>
          <w:sz w:val="22"/>
          <w:szCs w:val="22"/>
        </w:rPr>
        <w:t>.- Artículo 31.- Son atribuciones de los ayuntamientos:</w:t>
      </w:r>
    </w:p>
    <w:p w14:paraId="5E154659"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w:t>
      </w:r>
    </w:p>
    <w:p w14:paraId="7138B4B9"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 xml:space="preserve">XV. Aprobar en sesión de cabildo los movimientos registrados en el libro especial de </w:t>
      </w:r>
      <w:r w:rsidRPr="008927AD">
        <w:rPr>
          <w:rFonts w:ascii="Palatino Linotype" w:eastAsia="Palatino Linotype" w:hAnsi="Palatino Linotype" w:cs="Palatino Linotype"/>
          <w:b/>
          <w:i/>
          <w:sz w:val="22"/>
          <w:szCs w:val="22"/>
        </w:rPr>
        <w:t xml:space="preserve">bienes </w:t>
      </w:r>
      <w:r w:rsidRPr="008927AD">
        <w:rPr>
          <w:rFonts w:ascii="Palatino Linotype" w:eastAsia="Palatino Linotype" w:hAnsi="Palatino Linotype" w:cs="Palatino Linotype"/>
          <w:i/>
          <w:sz w:val="22"/>
          <w:szCs w:val="22"/>
        </w:rPr>
        <w:t xml:space="preserve">muebles e </w:t>
      </w:r>
      <w:r w:rsidRPr="008927AD">
        <w:rPr>
          <w:rFonts w:ascii="Palatino Linotype" w:eastAsia="Palatino Linotype" w:hAnsi="Palatino Linotype" w:cs="Palatino Linotype"/>
          <w:b/>
          <w:i/>
          <w:sz w:val="22"/>
          <w:szCs w:val="22"/>
        </w:rPr>
        <w:t>inmuebles</w:t>
      </w:r>
      <w:r w:rsidRPr="008927AD">
        <w:rPr>
          <w:rFonts w:ascii="Palatino Linotype" w:eastAsia="Palatino Linotype" w:hAnsi="Palatino Linotype" w:cs="Palatino Linotype"/>
          <w:i/>
          <w:sz w:val="22"/>
          <w:szCs w:val="22"/>
        </w:rPr>
        <w:t>;</w:t>
      </w:r>
      <w:r w:rsidRPr="008927AD">
        <w:rPr>
          <w:rFonts w:ascii="Palatino Linotype" w:eastAsia="Palatino Linotype" w:hAnsi="Palatino Linotype" w:cs="Palatino Linotype"/>
          <w:i/>
          <w:sz w:val="22"/>
          <w:szCs w:val="22"/>
        </w:rPr>
        <w:br/>
        <w:t>XVI. Acordar el destino o uso de los bienes inmuebles municipales;</w:t>
      </w:r>
    </w:p>
    <w:p w14:paraId="277A08BB" w14:textId="77777777" w:rsidR="00B3308B" w:rsidRPr="008927AD" w:rsidRDefault="00B3308B" w:rsidP="008927AD">
      <w:pPr>
        <w:ind w:left="851" w:right="899"/>
        <w:jc w:val="both"/>
        <w:rPr>
          <w:rFonts w:ascii="Palatino Linotype" w:eastAsia="Palatino Linotype" w:hAnsi="Palatino Linotype" w:cs="Palatino Linotype"/>
          <w:i/>
          <w:sz w:val="22"/>
          <w:szCs w:val="22"/>
        </w:rPr>
      </w:pPr>
    </w:p>
    <w:p w14:paraId="0FADBA97"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48</w:t>
      </w:r>
      <w:r w:rsidRPr="008927AD">
        <w:rPr>
          <w:rFonts w:ascii="Palatino Linotype" w:eastAsia="Palatino Linotype" w:hAnsi="Palatino Linotype" w:cs="Palatino Linotype"/>
          <w:i/>
          <w:sz w:val="22"/>
          <w:szCs w:val="22"/>
        </w:rPr>
        <w:t>.- La persona titular de la presidencia municipal tiene las siguientes atribuciones:</w:t>
      </w:r>
      <w:r w:rsidRPr="008927AD">
        <w:rPr>
          <w:rFonts w:ascii="Palatino Linotype" w:eastAsia="Palatino Linotype" w:hAnsi="Palatino Linotype" w:cs="Palatino Linotype"/>
          <w:i/>
          <w:sz w:val="22"/>
          <w:szCs w:val="22"/>
        </w:rPr>
        <w:br/>
      </w:r>
      <w:r w:rsidRPr="008927AD">
        <w:rPr>
          <w:rFonts w:ascii="Palatino Linotype" w:eastAsia="Palatino Linotype" w:hAnsi="Palatino Linotype" w:cs="Palatino Linotype"/>
          <w:b/>
          <w:i/>
          <w:sz w:val="22"/>
          <w:szCs w:val="22"/>
        </w:rPr>
        <w:t>XI.</w:t>
      </w:r>
      <w:r w:rsidRPr="008927AD">
        <w:rPr>
          <w:rFonts w:ascii="Palatino Linotype" w:eastAsia="Palatino Linotype" w:hAnsi="Palatino Linotype" w:cs="Palatino Linotype"/>
          <w:i/>
          <w:sz w:val="22"/>
          <w:szCs w:val="22"/>
        </w:rPr>
        <w:t xml:space="preserve"> Supervisar la administración, registro, control, uso, mantenimiento y conservación adecuados de los bienes del municipio;</w:t>
      </w:r>
    </w:p>
    <w:p w14:paraId="16DBDF5E"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86</w:t>
      </w:r>
      <w:r w:rsidRPr="008927AD">
        <w:rPr>
          <w:rFonts w:ascii="Palatino Linotype" w:eastAsia="Palatino Linotype" w:hAnsi="Palatino Linotype" w:cs="Palatino Linotype"/>
          <w:i/>
          <w:sz w:val="22"/>
          <w:szCs w:val="22"/>
        </w:rPr>
        <w:t>.- Para el ejercicio de sus atribuciones y responsabilidades ejecutivas, el ayuntamiento se auxiliará con las dependencias y entidades de la administración pública municipal, que en cada caso acuerde el cabildo a propuesta de la persona titular de la presidencia municipal, las que estarán subordinadas a esta. Las personas servidoras públicas titulares de las referidas dependencias y entidades de la administración municipal, ejercerán las funciones propias de su competencia y serán responsables por el ejercicio de dichas funciones y atribuciones contenidas en la Ley, sus reglamentos interiores, manuales, acuerdos, circulares y otras disposiciones legales que tiendan a regular el funcionamiento del Municipio.</w:t>
      </w:r>
    </w:p>
    <w:p w14:paraId="0C14C895" w14:textId="77777777" w:rsidR="00B3308B" w:rsidRPr="008927AD" w:rsidRDefault="00601D2F" w:rsidP="008927AD">
      <w:pPr>
        <w:ind w:left="851" w:right="899"/>
        <w:jc w:val="both"/>
        <w:rPr>
          <w:rFonts w:ascii="Palatino Linotype" w:eastAsia="Palatino Linotype" w:hAnsi="Palatino Linotype" w:cs="Palatino Linotype"/>
        </w:rPr>
      </w:pPr>
      <w:r w:rsidRPr="008927AD">
        <w:rPr>
          <w:rFonts w:ascii="Palatino Linotype" w:eastAsia="Palatino Linotype" w:hAnsi="Palatino Linotype" w:cs="Palatino Linotype"/>
          <w:b/>
          <w:i/>
          <w:sz w:val="22"/>
          <w:szCs w:val="22"/>
        </w:rPr>
        <w:t>Artículo 91.-</w:t>
      </w:r>
      <w:r w:rsidRPr="008927AD">
        <w:rPr>
          <w:rFonts w:ascii="Palatino Linotype" w:eastAsia="Palatino Linotype" w:hAnsi="Palatino Linotype" w:cs="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r w:rsidRPr="008927AD">
        <w:rPr>
          <w:rFonts w:ascii="Palatino Linotype" w:eastAsia="Palatino Linotype" w:hAnsi="Palatino Linotype" w:cs="Palatino Linotype"/>
        </w:rPr>
        <w:t xml:space="preserve"> </w:t>
      </w:r>
    </w:p>
    <w:p w14:paraId="145FAEC9"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lastRenderedPageBreak/>
        <w:t xml:space="preserve">XI. Elaborar con la intervención del síndico el inventario general de los bienes muebles e </w:t>
      </w:r>
      <w:r w:rsidRPr="008927AD">
        <w:rPr>
          <w:rFonts w:ascii="Palatino Linotype" w:eastAsia="Palatino Linotype" w:hAnsi="Palatino Linotype" w:cs="Palatino Linotype"/>
          <w:b/>
          <w:i/>
          <w:sz w:val="22"/>
          <w:szCs w:val="22"/>
        </w:rPr>
        <w:t>inmuebles municipales</w:t>
      </w:r>
      <w:r w:rsidRPr="008927AD">
        <w:rPr>
          <w:rFonts w:ascii="Palatino Linotype" w:eastAsia="Palatino Linotype" w:hAnsi="Palatino Linotype" w:cs="Palatino Linotype"/>
          <w:i/>
          <w:sz w:val="22"/>
          <w:szCs w:val="22"/>
        </w:rPr>
        <w:t>,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35C10067"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 xml:space="preserve">En el caso de que el ayuntamiento adquiera por cualquier concepto bienes muebles o inmuebles durante su ejercicio, deberá realizar la </w:t>
      </w:r>
      <w:r w:rsidRPr="008927AD">
        <w:rPr>
          <w:rFonts w:ascii="Palatino Linotype" w:eastAsia="Palatino Linotype" w:hAnsi="Palatino Linotype" w:cs="Palatino Linotype"/>
          <w:b/>
          <w:i/>
          <w:sz w:val="22"/>
          <w:szCs w:val="22"/>
        </w:rPr>
        <w:t>actualización del inventario general de los bienes mueb1es e inmuebles</w:t>
      </w:r>
      <w:r w:rsidRPr="008927AD">
        <w:rPr>
          <w:rFonts w:ascii="Palatino Linotype" w:eastAsia="Palatino Linotype" w:hAnsi="Palatino Linotype" w:cs="Palatino Linotype"/>
          <w:i/>
          <w:sz w:val="22"/>
          <w:szCs w:val="22"/>
        </w:rPr>
        <w:t xml:space="preserve"> y del sistema de información inmobiliaria en un plazo de ciento veinte días hábiles a partir de su adquisición y presentar un informe trimestral al cabildo para su conocimiento y opinión.</w:t>
      </w:r>
    </w:p>
    <w:p w14:paraId="48394FC7" w14:textId="77777777" w:rsidR="00B3308B" w:rsidRPr="008927AD" w:rsidRDefault="00601D2F" w:rsidP="008927AD">
      <w:pPr>
        <w:tabs>
          <w:tab w:val="left" w:pos="426"/>
          <w:tab w:val="left" w:pos="567"/>
        </w:tabs>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Por otra parte, el Bando Municipal de San Mateo Atenco señala que:</w:t>
      </w:r>
    </w:p>
    <w:p w14:paraId="59B64F65" w14:textId="77777777" w:rsidR="00B3308B" w:rsidRPr="008927AD" w:rsidRDefault="00B3308B" w:rsidP="008927AD">
      <w:pPr>
        <w:tabs>
          <w:tab w:val="left" w:pos="426"/>
          <w:tab w:val="left" w:pos="567"/>
        </w:tabs>
        <w:jc w:val="both"/>
        <w:rPr>
          <w:rFonts w:ascii="Palatino Linotype" w:eastAsia="Palatino Linotype" w:hAnsi="Palatino Linotype" w:cs="Palatino Linotype"/>
        </w:rPr>
      </w:pPr>
    </w:p>
    <w:p w14:paraId="4210C82F"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29.</w:t>
      </w:r>
      <w:r w:rsidRPr="008927AD">
        <w:rPr>
          <w:rFonts w:ascii="Palatino Linotype" w:eastAsia="Palatino Linotype" w:hAnsi="Palatino Linotype" w:cs="Palatino Linotype"/>
          <w:i/>
          <w:sz w:val="22"/>
          <w:szCs w:val="22"/>
        </w:rPr>
        <w:t xml:space="preserve"> La hacienda pública municipal se integra por: </w:t>
      </w:r>
    </w:p>
    <w:p w14:paraId="18DC7B88" w14:textId="77777777" w:rsidR="00B3308B" w:rsidRPr="008927AD" w:rsidRDefault="00601D2F" w:rsidP="008927AD">
      <w:pPr>
        <w:numPr>
          <w:ilvl w:val="0"/>
          <w:numId w:val="1"/>
        </w:numPr>
        <w:ind w:left="851" w:right="899" w:firstLine="0"/>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Los bienes muebles e inmuebles propiedad del municipio;</w:t>
      </w:r>
    </w:p>
    <w:p w14:paraId="5D7BDCAF" w14:textId="77777777" w:rsidR="00B3308B" w:rsidRPr="008927AD" w:rsidRDefault="00B3308B" w:rsidP="008927AD">
      <w:pPr>
        <w:ind w:left="851" w:right="899"/>
        <w:jc w:val="both"/>
        <w:rPr>
          <w:rFonts w:ascii="Palatino Linotype" w:eastAsia="Palatino Linotype" w:hAnsi="Palatino Linotype" w:cs="Palatino Linotype"/>
          <w:i/>
          <w:sz w:val="22"/>
          <w:szCs w:val="22"/>
        </w:rPr>
      </w:pPr>
    </w:p>
    <w:p w14:paraId="73CDFBF7"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33.</w:t>
      </w:r>
      <w:r w:rsidRPr="008927AD">
        <w:rPr>
          <w:rFonts w:ascii="Palatino Linotype" w:eastAsia="Palatino Linotype" w:hAnsi="Palatino Linotype" w:cs="Palatino Linotype"/>
          <w:i/>
          <w:sz w:val="22"/>
          <w:szCs w:val="22"/>
        </w:rPr>
        <w:t xml:space="preserve"> El inventario de los bienes muebles o inmuebles propiedad del Municipio, estará a cargo de la Secretaría del Ayuntamiento, con la asistencia del Órgano Interno de Control y supervisión del Síndico Municipal.</w:t>
      </w:r>
    </w:p>
    <w:p w14:paraId="40481D21" w14:textId="77777777" w:rsidR="00B3308B" w:rsidRPr="008927AD" w:rsidRDefault="00B3308B" w:rsidP="008927AD">
      <w:pPr>
        <w:tabs>
          <w:tab w:val="left" w:pos="426"/>
          <w:tab w:val="left" w:pos="567"/>
        </w:tabs>
        <w:jc w:val="both"/>
        <w:rPr>
          <w:rFonts w:ascii="Palatino Linotype" w:eastAsia="Palatino Linotype" w:hAnsi="Palatino Linotype" w:cs="Palatino Linotype"/>
        </w:rPr>
      </w:pPr>
    </w:p>
    <w:p w14:paraId="29925222" w14:textId="77777777" w:rsidR="00B3308B" w:rsidRPr="008927AD" w:rsidRDefault="00601D2F" w:rsidP="008927AD">
      <w:pPr>
        <w:spacing w:line="360" w:lineRule="auto"/>
        <w:ind w:right="49"/>
        <w:jc w:val="both"/>
        <w:rPr>
          <w:rFonts w:ascii="Palatino Linotype" w:eastAsia="Palatino Linotype" w:hAnsi="Palatino Linotype" w:cs="Palatino Linotype"/>
        </w:rPr>
      </w:pPr>
      <w:r w:rsidRPr="008927AD">
        <w:rPr>
          <w:rFonts w:ascii="Palatino Linotype" w:eastAsia="Palatino Linotype" w:hAnsi="Palatino Linotype" w:cs="Palatino Linotype"/>
        </w:rPr>
        <w:t>De los artículos trascritos se advierte que los ayuntamientos deben mantener actualizado el inventario de bienes inmuebles, en donde intervienen la Secretaría del Ayuntamiento, el Síndico y el Órgano de Control interno —de manera enunciativa más no limitativa—. Ahora bien, de la información remitida a la solicitante se observa que fue el Jefe del Departamento de Control Patrimonial y Recursos Materiales quien se pronunció respecto de la información solicitada.</w:t>
      </w:r>
    </w:p>
    <w:p w14:paraId="6D659F57" w14:textId="77777777" w:rsidR="00B3308B" w:rsidRPr="008927AD" w:rsidRDefault="00601D2F" w:rsidP="008927AD">
      <w:pPr>
        <w:spacing w:line="360" w:lineRule="auto"/>
        <w:ind w:right="-93"/>
        <w:jc w:val="center"/>
        <w:rPr>
          <w:rFonts w:ascii="Palatino Linotype" w:eastAsia="Palatino Linotype" w:hAnsi="Palatino Linotype" w:cs="Palatino Linotype"/>
        </w:rPr>
      </w:pPr>
      <w:r w:rsidRPr="008927AD">
        <w:rPr>
          <w:noProof/>
        </w:rPr>
        <w:drawing>
          <wp:anchor distT="0" distB="0" distL="0" distR="0" simplePos="0" relativeHeight="251658240" behindDoc="1" locked="0" layoutInCell="1" hidden="0" allowOverlap="1" wp14:anchorId="5D59EDF0" wp14:editId="5E09F21E">
            <wp:simplePos x="0" y="0"/>
            <wp:positionH relativeFrom="column">
              <wp:posOffset>1586865</wp:posOffset>
            </wp:positionH>
            <wp:positionV relativeFrom="paragraph">
              <wp:posOffset>10160</wp:posOffset>
            </wp:positionV>
            <wp:extent cx="2662555" cy="2524125"/>
            <wp:effectExtent l="0" t="0" r="0" b="0"/>
            <wp:wrapNone/>
            <wp:docPr id="16" name="image1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nterfaz de usuario gráfica, Aplicación&#10;&#10;Descripción generada automáticamente"/>
                    <pic:cNvPicPr preferRelativeResize="0"/>
                  </pic:nvPicPr>
                  <pic:blipFill>
                    <a:blip r:embed="rId9"/>
                    <a:srcRect l="55005" t="48600" r="34811" b="14903"/>
                    <a:stretch>
                      <a:fillRect/>
                    </a:stretch>
                  </pic:blipFill>
                  <pic:spPr>
                    <a:xfrm>
                      <a:off x="0" y="0"/>
                      <a:ext cx="2662555" cy="2524125"/>
                    </a:xfrm>
                    <a:prstGeom prst="rect">
                      <a:avLst/>
                    </a:prstGeom>
                    <a:ln/>
                  </pic:spPr>
                </pic:pic>
              </a:graphicData>
            </a:graphic>
          </wp:anchor>
        </w:drawing>
      </w:r>
      <w:r w:rsidRPr="008927AD">
        <w:rPr>
          <w:noProof/>
        </w:rPr>
        <mc:AlternateContent>
          <mc:Choice Requires="wps">
            <w:drawing>
              <wp:anchor distT="0" distB="0" distL="114300" distR="114300" simplePos="0" relativeHeight="251659264" behindDoc="0" locked="0" layoutInCell="1" hidden="0" allowOverlap="1" wp14:anchorId="3E9A523F" wp14:editId="41522390">
                <wp:simplePos x="0" y="0"/>
                <wp:positionH relativeFrom="column">
                  <wp:posOffset>4162425</wp:posOffset>
                </wp:positionH>
                <wp:positionV relativeFrom="paragraph">
                  <wp:posOffset>6042025</wp:posOffset>
                </wp:positionV>
                <wp:extent cx="467995" cy="431800"/>
                <wp:effectExtent l="9525" t="12700" r="8255" b="12700"/>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31800"/>
                        </a:xfrm>
                        <a:prstGeom prst="roundRect">
                          <a:avLst>
                            <a:gd name="adj" fmla="val 16667"/>
                          </a:avLst>
                        </a:prstGeom>
                        <a:noFill/>
                        <a:ln w="12700" cmpd="sng">
                          <a:solidFill>
                            <a:srgbClr val="FF0000"/>
                          </a:solidFill>
                          <a:prstDash val="dash"/>
                          <a:round/>
                          <a:headEnd/>
                          <a:tailEnd/>
                        </a:ln>
                        <a:effec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4162425</wp:posOffset>
                </wp:positionH>
                <wp:positionV relativeFrom="paragraph">
                  <wp:posOffset>6042025</wp:posOffset>
                </wp:positionV>
                <wp:extent cx="485775" cy="457200"/>
                <wp:effectExtent b="0" l="0" r="0" t="0"/>
                <wp:wrapNone/>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85775" cy="457200"/>
                        </a:xfrm>
                        <a:prstGeom prst="rect"/>
                        <a:ln/>
                      </pic:spPr>
                    </pic:pic>
                  </a:graphicData>
                </a:graphic>
              </wp:anchor>
            </w:drawing>
          </mc:Fallback>
        </mc:AlternateContent>
      </w:r>
    </w:p>
    <w:p w14:paraId="6E9EC743" w14:textId="77777777" w:rsidR="00B3308B" w:rsidRPr="008927AD" w:rsidRDefault="00B3308B" w:rsidP="008927AD">
      <w:pPr>
        <w:spacing w:line="360" w:lineRule="auto"/>
        <w:ind w:right="-93"/>
        <w:jc w:val="both"/>
        <w:rPr>
          <w:rFonts w:ascii="Palatino Linotype" w:eastAsia="Palatino Linotype" w:hAnsi="Palatino Linotype" w:cs="Palatino Linotype"/>
        </w:rPr>
      </w:pPr>
    </w:p>
    <w:p w14:paraId="5C4F3C84"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noProof/>
        </w:rPr>
        <mc:AlternateContent>
          <mc:Choice Requires="wps">
            <w:drawing>
              <wp:anchor distT="0" distB="0" distL="114300" distR="114300" simplePos="0" relativeHeight="251660288" behindDoc="0" locked="0" layoutInCell="1" hidden="0" allowOverlap="1" wp14:anchorId="072B1BA4" wp14:editId="1BD00B44">
                <wp:simplePos x="0" y="0"/>
                <wp:positionH relativeFrom="column">
                  <wp:posOffset>3072765</wp:posOffset>
                </wp:positionH>
                <wp:positionV relativeFrom="paragraph">
                  <wp:posOffset>250825</wp:posOffset>
                </wp:positionV>
                <wp:extent cx="514350" cy="323850"/>
                <wp:effectExtent l="0" t="0" r="19050" b="1905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4350" cy="323850"/>
                        </a:xfrm>
                        <a:prstGeom prst="roundRect">
                          <a:avLst>
                            <a:gd name="adj" fmla="val 16667"/>
                          </a:avLst>
                        </a:prstGeom>
                        <a:noFill/>
                        <a:ln w="12700" cmpd="sng">
                          <a:solidFill>
                            <a:srgbClr val="FF0000"/>
                          </a:solidFill>
                          <a:prstDash val="dash"/>
                          <a:round/>
                          <a:headEnd/>
                          <a:tailEnd/>
                        </a:ln>
                        <a:effec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3072765</wp:posOffset>
                </wp:positionH>
                <wp:positionV relativeFrom="paragraph">
                  <wp:posOffset>250825</wp:posOffset>
                </wp:positionV>
                <wp:extent cx="533400" cy="342900"/>
                <wp:effectExtent b="0" l="0" r="0" t="0"/>
                <wp:wrapNone/>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rot="10800000">
                          <a:off x="0" y="0"/>
                          <a:ext cx="533400" cy="342900"/>
                        </a:xfrm>
                        <a:prstGeom prst="rect"/>
                        <a:ln/>
                      </pic:spPr>
                    </pic:pic>
                  </a:graphicData>
                </a:graphic>
              </wp:anchor>
            </w:drawing>
          </mc:Fallback>
        </mc:AlternateContent>
      </w:r>
    </w:p>
    <w:p w14:paraId="66D17270" w14:textId="77777777" w:rsidR="00B3308B" w:rsidRPr="008927AD" w:rsidRDefault="00B3308B" w:rsidP="008927AD">
      <w:pPr>
        <w:spacing w:line="360" w:lineRule="auto"/>
        <w:ind w:right="-93"/>
        <w:jc w:val="both"/>
        <w:rPr>
          <w:rFonts w:ascii="Palatino Linotype" w:eastAsia="Palatino Linotype" w:hAnsi="Palatino Linotype" w:cs="Palatino Linotype"/>
        </w:rPr>
      </w:pPr>
    </w:p>
    <w:p w14:paraId="0C200E67" w14:textId="77777777" w:rsidR="00B3308B" w:rsidRPr="008927AD" w:rsidRDefault="00B3308B" w:rsidP="008927AD">
      <w:pPr>
        <w:spacing w:line="360" w:lineRule="auto"/>
        <w:ind w:right="-93"/>
        <w:jc w:val="both"/>
        <w:rPr>
          <w:rFonts w:ascii="Palatino Linotype" w:eastAsia="Palatino Linotype" w:hAnsi="Palatino Linotype" w:cs="Palatino Linotype"/>
        </w:rPr>
      </w:pPr>
    </w:p>
    <w:p w14:paraId="44D5457B" w14:textId="77777777" w:rsidR="00B3308B" w:rsidRPr="008927AD" w:rsidRDefault="00B3308B" w:rsidP="008927AD">
      <w:pPr>
        <w:spacing w:line="360" w:lineRule="auto"/>
        <w:ind w:right="-93"/>
        <w:jc w:val="both"/>
        <w:rPr>
          <w:rFonts w:ascii="Palatino Linotype" w:eastAsia="Palatino Linotype" w:hAnsi="Palatino Linotype" w:cs="Palatino Linotype"/>
        </w:rPr>
      </w:pPr>
    </w:p>
    <w:p w14:paraId="44D76523"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rPr>
        <w:lastRenderedPageBreak/>
        <w:t>De acuerdo con los Lineamientos para el Registro y Control del Inventario y la Conciliación y Desincorporación de Bienes Muebles e Inmuebles para las Entidades Fiscalizables Municipales del Estado de México</w:t>
      </w:r>
      <w:r w:rsidRPr="008927AD">
        <w:rPr>
          <w:rFonts w:ascii="Palatino Linotype" w:eastAsia="Palatino Linotype" w:hAnsi="Palatino Linotype" w:cs="Palatino Linotype"/>
          <w:vertAlign w:val="superscript"/>
        </w:rPr>
        <w:footnoteReference w:id="10"/>
      </w:r>
      <w:r w:rsidRPr="008927AD">
        <w:rPr>
          <w:rFonts w:ascii="Palatino Linotype" w:eastAsia="Palatino Linotype" w:hAnsi="Palatino Linotype" w:cs="Palatino Linotype"/>
        </w:rPr>
        <w:t>, se establece:</w:t>
      </w:r>
    </w:p>
    <w:p w14:paraId="164FC74F" w14:textId="77777777" w:rsidR="00B3308B" w:rsidRPr="008927AD" w:rsidRDefault="00B3308B" w:rsidP="008927AD">
      <w:pPr>
        <w:ind w:right="-93"/>
        <w:jc w:val="both"/>
        <w:rPr>
          <w:rFonts w:ascii="Palatino Linotype" w:eastAsia="Palatino Linotype" w:hAnsi="Palatino Linotype" w:cs="Palatino Linotype"/>
          <w:sz w:val="20"/>
        </w:rPr>
      </w:pPr>
    </w:p>
    <w:p w14:paraId="0D9DE224" w14:textId="77777777" w:rsidR="00B3308B" w:rsidRPr="008927AD" w:rsidRDefault="00601D2F" w:rsidP="008927AD">
      <w:pPr>
        <w:ind w:left="851" w:right="899"/>
        <w:jc w:val="both"/>
        <w:rPr>
          <w:rFonts w:ascii="Palatino Linotype" w:eastAsia="Palatino Linotype" w:hAnsi="Palatino Linotype" w:cs="Palatino Linotype"/>
          <w:b/>
          <w:i/>
          <w:sz w:val="22"/>
          <w:szCs w:val="22"/>
        </w:rPr>
      </w:pPr>
      <w:r w:rsidRPr="008927AD">
        <w:rPr>
          <w:rFonts w:ascii="Palatino Linotype" w:eastAsia="Palatino Linotype" w:hAnsi="Palatino Linotype" w:cs="Palatino Linotype"/>
          <w:b/>
          <w:i/>
          <w:sz w:val="22"/>
          <w:szCs w:val="22"/>
        </w:rPr>
        <w:t xml:space="preserve">PRIMERO: </w:t>
      </w:r>
      <w:r w:rsidRPr="008927AD">
        <w:rPr>
          <w:rFonts w:ascii="Palatino Linotype" w:eastAsia="Palatino Linotype" w:hAnsi="Palatino Linotype" w:cs="Palatino Linotype"/>
          <w:i/>
          <w:sz w:val="22"/>
          <w:szCs w:val="22"/>
        </w:rPr>
        <w:t>Los presentes Lineamientos tienen por objeto establecer disposiciones para el registro y control del inventario y la conciliación y desincorporación de bienes muebles e inmuebles para las entidades fiscalizables municipales.</w:t>
      </w:r>
      <w:r w:rsidRPr="008927AD">
        <w:rPr>
          <w:rFonts w:ascii="Palatino Linotype" w:eastAsia="Palatino Linotype" w:hAnsi="Palatino Linotype" w:cs="Palatino Linotype"/>
          <w:b/>
          <w:i/>
          <w:sz w:val="22"/>
          <w:szCs w:val="22"/>
        </w:rPr>
        <w:t xml:space="preserve"> </w:t>
      </w:r>
    </w:p>
    <w:p w14:paraId="7CF93AA5" w14:textId="77777777" w:rsidR="00B3308B" w:rsidRPr="008927AD" w:rsidRDefault="00B3308B" w:rsidP="008927AD">
      <w:pPr>
        <w:ind w:left="851" w:right="899"/>
        <w:jc w:val="both"/>
        <w:rPr>
          <w:rFonts w:ascii="Palatino Linotype" w:eastAsia="Palatino Linotype" w:hAnsi="Palatino Linotype" w:cs="Palatino Linotype"/>
          <w:b/>
          <w:i/>
          <w:sz w:val="18"/>
          <w:szCs w:val="22"/>
        </w:rPr>
      </w:pPr>
    </w:p>
    <w:p w14:paraId="004BB54B" w14:textId="77777777" w:rsidR="00B3308B" w:rsidRPr="008927AD" w:rsidRDefault="00601D2F" w:rsidP="008927AD">
      <w:pPr>
        <w:ind w:left="851" w:right="899"/>
        <w:jc w:val="both"/>
        <w:rPr>
          <w:rFonts w:ascii="Palatino Linotype" w:eastAsia="Palatino Linotype" w:hAnsi="Palatino Linotype" w:cs="Palatino Linotype"/>
          <w:b/>
          <w:i/>
          <w:sz w:val="22"/>
          <w:szCs w:val="22"/>
        </w:rPr>
      </w:pPr>
      <w:r w:rsidRPr="008927AD">
        <w:rPr>
          <w:rFonts w:ascii="Palatino Linotype" w:eastAsia="Palatino Linotype" w:hAnsi="Palatino Linotype" w:cs="Palatino Linotype"/>
          <w:b/>
          <w:i/>
          <w:sz w:val="22"/>
          <w:szCs w:val="22"/>
        </w:rPr>
        <w:t>OCTAVO.</w:t>
      </w:r>
    </w:p>
    <w:p w14:paraId="7376C0B4" w14:textId="77777777" w:rsidR="00B3308B" w:rsidRPr="008927AD" w:rsidRDefault="00B3308B" w:rsidP="008927AD">
      <w:pPr>
        <w:ind w:left="851" w:right="899"/>
        <w:jc w:val="both"/>
        <w:rPr>
          <w:rFonts w:ascii="Palatino Linotype" w:eastAsia="Palatino Linotype" w:hAnsi="Palatino Linotype" w:cs="Palatino Linotype"/>
          <w:i/>
          <w:sz w:val="22"/>
          <w:szCs w:val="22"/>
        </w:rPr>
      </w:pPr>
    </w:p>
    <w:p w14:paraId="2DCBBE04"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BIEN INMUEBLE: Recurso físico que por su naturaleza de uso o consumo, no puede trasladarse de un lugar a otro;</w:t>
      </w:r>
    </w:p>
    <w:p w14:paraId="7C4574A5" w14:textId="77777777" w:rsidR="00B3308B" w:rsidRPr="008927AD" w:rsidRDefault="00B3308B" w:rsidP="008927AD">
      <w:pPr>
        <w:ind w:left="851" w:right="899"/>
        <w:jc w:val="both"/>
        <w:rPr>
          <w:rFonts w:ascii="Palatino Linotype" w:eastAsia="Palatino Linotype" w:hAnsi="Palatino Linotype" w:cs="Palatino Linotype"/>
          <w:i/>
          <w:sz w:val="18"/>
          <w:szCs w:val="22"/>
        </w:rPr>
      </w:pPr>
    </w:p>
    <w:p w14:paraId="0F98CBF0"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COMITÉ: Al Comité de Bienes Muebles e Inmuebles, el cual estará integrado por aquellos que la ley determine como responsables del registro y control de los bienes muebles e inmuebles, su función es realizar, el análisis, adopción de criterios, medidas eficaces, y oportunas para mantener la conciliación de los inventarios con los registros contables;</w:t>
      </w:r>
    </w:p>
    <w:p w14:paraId="73D48289" w14:textId="77777777" w:rsidR="00B3308B" w:rsidRPr="008927AD" w:rsidRDefault="00B3308B" w:rsidP="008927AD">
      <w:pPr>
        <w:ind w:left="851" w:right="899"/>
        <w:jc w:val="both"/>
        <w:rPr>
          <w:rFonts w:ascii="Palatino Linotype" w:eastAsia="Palatino Linotype" w:hAnsi="Palatino Linotype" w:cs="Palatino Linotype"/>
          <w:i/>
          <w:sz w:val="18"/>
          <w:szCs w:val="22"/>
        </w:rPr>
      </w:pPr>
    </w:p>
    <w:p w14:paraId="3AA0C57E"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INVENTARIO DE BIENES INMUEBLES: Es el documento en donde se registran todos los bienes inmuebles propiedad de las entidades fiscalizables, el cual deberá contener todas las características de identificación, tales como: nombre, zona, ubicación, medidas y colindancias, tipo de inmueble, superficie construida, uso, medio de adquisición, situación legal, valor y todos los demás datos que se solicitan en la cédula correspondiente;</w:t>
      </w:r>
    </w:p>
    <w:p w14:paraId="44C55933" w14:textId="77777777" w:rsidR="00B3308B" w:rsidRPr="008927AD" w:rsidRDefault="00B3308B" w:rsidP="008927AD">
      <w:pPr>
        <w:ind w:left="851" w:right="899"/>
        <w:jc w:val="both"/>
        <w:rPr>
          <w:rFonts w:ascii="Palatino Linotype" w:eastAsia="Palatino Linotype" w:hAnsi="Palatino Linotype" w:cs="Palatino Linotype"/>
          <w:i/>
          <w:sz w:val="18"/>
          <w:szCs w:val="22"/>
        </w:rPr>
      </w:pPr>
    </w:p>
    <w:p w14:paraId="61FBDEFA"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DÉCIMO SEGUNDO:</w:t>
      </w:r>
      <w:r w:rsidRPr="008927AD">
        <w:rPr>
          <w:rFonts w:ascii="Palatino Linotype" w:eastAsia="Palatino Linotype" w:hAnsi="Palatino Linotype" w:cs="Palatino Linotype"/>
          <w:i/>
          <w:sz w:val="22"/>
          <w:szCs w:val="22"/>
        </w:rPr>
        <w:t xml:space="preserve"> El Comité estará integrado por:</w:t>
      </w:r>
    </w:p>
    <w:p w14:paraId="16A61AC7"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 El secretario o director general según sea el caso, quien fungirá como presidente;</w:t>
      </w:r>
    </w:p>
    <w:p w14:paraId="7D5E04BA"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II. El titular del órgano de control interno, quien fungirá como secretario ejecutivo;</w:t>
      </w:r>
    </w:p>
    <w:p w14:paraId="1AE85BDE"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III. El síndico, quien fungirá como vocal;</w:t>
      </w:r>
    </w:p>
    <w:p w14:paraId="5F1916B5"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IV. El tesorero, quien fungirá como vocal; y</w:t>
      </w:r>
    </w:p>
    <w:p w14:paraId="60890D65"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 xml:space="preserve">V. Un representante del área jurídica, con función de </w:t>
      </w:r>
      <w:r w:rsidR="008927AD" w:rsidRPr="008927AD">
        <w:rPr>
          <w:rFonts w:ascii="Palatino Linotype" w:eastAsia="Palatino Linotype" w:hAnsi="Palatino Linotype" w:cs="Palatino Linotype"/>
          <w:i/>
          <w:sz w:val="22"/>
          <w:szCs w:val="22"/>
        </w:rPr>
        <w:t xml:space="preserve">vocal, quien será designado por </w:t>
      </w:r>
      <w:r w:rsidRPr="008927AD">
        <w:rPr>
          <w:rFonts w:ascii="Palatino Linotype" w:eastAsia="Palatino Linotype" w:hAnsi="Palatino Linotype" w:cs="Palatino Linotype"/>
          <w:i/>
          <w:sz w:val="22"/>
          <w:szCs w:val="22"/>
        </w:rPr>
        <w:t>el representante legal de la entidad</w:t>
      </w:r>
      <w:r w:rsidR="008927AD" w:rsidRPr="008927AD">
        <w:rPr>
          <w:rFonts w:ascii="Palatino Linotype" w:eastAsia="Palatino Linotype" w:hAnsi="Palatino Linotype" w:cs="Palatino Linotype"/>
          <w:i/>
          <w:sz w:val="22"/>
          <w:szCs w:val="22"/>
        </w:rPr>
        <w:t xml:space="preserve"> </w:t>
      </w:r>
      <w:r w:rsidRPr="008927AD">
        <w:rPr>
          <w:rFonts w:ascii="Palatino Linotype" w:eastAsia="Palatino Linotype" w:hAnsi="Palatino Linotype" w:cs="Palatino Linotype"/>
          <w:i/>
          <w:sz w:val="22"/>
          <w:szCs w:val="22"/>
        </w:rPr>
        <w:t>fiscalizable.</w:t>
      </w:r>
    </w:p>
    <w:p w14:paraId="04D3CE43"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lastRenderedPageBreak/>
        <w:t>VIGÉSIMO SÉPTIMO</w:t>
      </w:r>
      <w:r w:rsidRPr="008927AD">
        <w:rPr>
          <w:rFonts w:ascii="Palatino Linotype" w:eastAsia="Palatino Linotype" w:hAnsi="Palatino Linotype" w:cs="Palatino Linotype"/>
          <w:i/>
          <w:sz w:val="22"/>
          <w:szCs w:val="22"/>
        </w:rPr>
        <w:t xml:space="preserve">: 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en la cédula. (Anexo 3). </w:t>
      </w:r>
    </w:p>
    <w:p w14:paraId="4C9C8966" w14:textId="77777777" w:rsidR="00B3308B" w:rsidRPr="008927AD" w:rsidRDefault="00B3308B" w:rsidP="008927AD">
      <w:pPr>
        <w:ind w:left="851" w:right="899"/>
        <w:jc w:val="both"/>
        <w:rPr>
          <w:rFonts w:ascii="Palatino Linotype" w:eastAsia="Palatino Linotype" w:hAnsi="Palatino Linotype" w:cs="Palatino Linotype"/>
          <w:b/>
          <w:i/>
          <w:sz w:val="22"/>
          <w:szCs w:val="22"/>
        </w:rPr>
      </w:pPr>
    </w:p>
    <w:p w14:paraId="2C4FFC93"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VIGÉSIMO OCTAVO:</w:t>
      </w:r>
      <w:r w:rsidRPr="008927AD">
        <w:rPr>
          <w:rFonts w:ascii="Palatino Linotype" w:eastAsia="Palatino Linotype" w:hAnsi="Palatino Linotype" w:cs="Palatino Linotype"/>
          <w:i/>
          <w:sz w:val="22"/>
          <w:szCs w:val="22"/>
        </w:rPr>
        <w:t xml:space="preserve"> El responsable de la elaboración del inventario general de bienes inmuebles municipales, es el secretario, con la intervención del síndico, y la participación del contralor interno, previamente realizarán una revisión física de todos los bienes inmuebles; al concluirlo deberán asentar sus firmas junto con la del presidente y tesorero. Para los organismos públicos descentralizados y fideicomisos públicos de carácter municipal, el responsable de la elaboración del inventario general de bienes inmuebles corresponde al director general o su equivalente, conjuntamente con el comisario y el órgano de control interno, debiendo firmarlo simultáneamente el tesorero. Se asegurarán los bienes inmuebles, conforme al estudio de viabilidad, así como a la suficiencia presupuestaria debidamente especificada y aprobada en la partida del gasto del presupuesto de egresos y dentro del programa correspondiente.</w:t>
      </w:r>
    </w:p>
    <w:p w14:paraId="13996A2C" w14:textId="77777777" w:rsidR="00B3308B" w:rsidRPr="008927AD" w:rsidRDefault="00B3308B" w:rsidP="008927AD">
      <w:pPr>
        <w:ind w:right="-93"/>
        <w:jc w:val="both"/>
        <w:rPr>
          <w:rFonts w:ascii="Palatino Linotype" w:eastAsia="Palatino Linotype" w:hAnsi="Palatino Linotype" w:cs="Palatino Linotype"/>
          <w:sz w:val="18"/>
        </w:rPr>
      </w:pPr>
    </w:p>
    <w:p w14:paraId="7F8ADA7E"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En ese sentido, pudieran existir otras áreas con conocimiento de la información solicitada, quienes no fueron requeridas. </w:t>
      </w:r>
    </w:p>
    <w:p w14:paraId="0CED230A" w14:textId="77777777" w:rsidR="00B3308B" w:rsidRPr="008927AD" w:rsidRDefault="00B3308B" w:rsidP="008927AD">
      <w:pPr>
        <w:spacing w:line="360" w:lineRule="auto"/>
        <w:ind w:right="-93"/>
        <w:jc w:val="both"/>
        <w:rPr>
          <w:rFonts w:ascii="Palatino Linotype" w:eastAsia="Palatino Linotype" w:hAnsi="Palatino Linotype" w:cs="Palatino Linotype"/>
          <w:sz w:val="16"/>
        </w:rPr>
      </w:pPr>
    </w:p>
    <w:p w14:paraId="0065F580"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rPr>
        <w:t>Aunado a ello, conforme al Código Financiero del Estado de México y Municipios, se debe remitir al Órgano Superior de Fiscalización (OSFEM) informes, entre ellos, de información patrimonial.</w:t>
      </w:r>
    </w:p>
    <w:p w14:paraId="6287F22F" w14:textId="77777777" w:rsidR="00B3308B" w:rsidRPr="008927AD" w:rsidRDefault="00B3308B" w:rsidP="008927AD">
      <w:pPr>
        <w:ind w:left="851" w:right="899"/>
        <w:jc w:val="both"/>
        <w:rPr>
          <w:rFonts w:ascii="Palatino Linotype" w:eastAsia="Palatino Linotype" w:hAnsi="Palatino Linotype" w:cs="Palatino Linotype"/>
          <w:b/>
          <w:i/>
          <w:sz w:val="22"/>
          <w:szCs w:val="22"/>
        </w:rPr>
      </w:pPr>
    </w:p>
    <w:p w14:paraId="1462E83E"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350</w:t>
      </w:r>
      <w:r w:rsidRPr="008927AD">
        <w:rPr>
          <w:rFonts w:ascii="Palatino Linotype" w:eastAsia="Palatino Linotype" w:hAnsi="Palatino Linotype" w:cs="Palatino Linotype"/>
          <w:i/>
          <w:sz w:val="22"/>
          <w:szCs w:val="22"/>
        </w:rPr>
        <w:t>.- La Secretaría y las tesorerías enviarán al Órgano Superior, de manera trimestral, dentro de los primeros veinte días hábiles posteriores al término del trimestre que se informa, para su análisis, la siguiente información:</w:t>
      </w:r>
    </w:p>
    <w:p w14:paraId="31745B5B"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 Patrimonial.</w:t>
      </w:r>
    </w:p>
    <w:p w14:paraId="57E17AD0"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II. Presupuestal.</w:t>
      </w:r>
    </w:p>
    <w:p w14:paraId="003165B8"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III. De la obra pública.</w:t>
      </w:r>
    </w:p>
    <w:p w14:paraId="0217E365"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IV. De nómina.</w:t>
      </w:r>
    </w:p>
    <w:p w14:paraId="697B38DC"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V. Avance del cumplimiento del Plan de Desarrollo del Estado de México.</w:t>
      </w:r>
    </w:p>
    <w:p w14:paraId="37414DB7"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w:t>
      </w:r>
    </w:p>
    <w:p w14:paraId="5F4F3E6B"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rPr>
        <w:lastRenderedPageBreak/>
        <w:t xml:space="preserve">Por su parte, la Ley de Fiscalización Superior del Estado de México en el artículo 8 establece entre otras atribuciones del OSFEM </w:t>
      </w:r>
    </w:p>
    <w:p w14:paraId="7E1A8002" w14:textId="77777777" w:rsidR="00B3308B" w:rsidRPr="008927AD" w:rsidRDefault="00B3308B" w:rsidP="008927AD">
      <w:pPr>
        <w:ind w:left="851" w:right="899"/>
        <w:jc w:val="both"/>
        <w:rPr>
          <w:rFonts w:ascii="Palatino Linotype" w:eastAsia="Palatino Linotype" w:hAnsi="Palatino Linotype" w:cs="Palatino Linotype"/>
          <w:i/>
          <w:sz w:val="22"/>
          <w:szCs w:val="22"/>
        </w:rPr>
      </w:pPr>
    </w:p>
    <w:p w14:paraId="59ADD791"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XIV.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w:t>
      </w:r>
    </w:p>
    <w:p w14:paraId="7D33C5D7" w14:textId="77777777" w:rsidR="00B3308B" w:rsidRPr="008927AD" w:rsidRDefault="00B3308B" w:rsidP="008927AD">
      <w:pPr>
        <w:ind w:right="-93"/>
        <w:jc w:val="both"/>
        <w:rPr>
          <w:rFonts w:ascii="Palatino Linotype" w:eastAsia="Palatino Linotype" w:hAnsi="Palatino Linotype" w:cs="Palatino Linotype"/>
        </w:rPr>
      </w:pPr>
    </w:p>
    <w:p w14:paraId="4639C616"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rPr>
        <w:t>Así, dentro de los Lineamientos para la integración y entrega de los Informes trimestrales municipales</w:t>
      </w:r>
      <w:r w:rsidRPr="008927AD">
        <w:rPr>
          <w:rFonts w:ascii="Palatino Linotype" w:eastAsia="Palatino Linotype" w:hAnsi="Palatino Linotype" w:cs="Palatino Linotype"/>
          <w:vertAlign w:val="superscript"/>
        </w:rPr>
        <w:footnoteReference w:id="11"/>
      </w:r>
      <w:r w:rsidRPr="008927AD">
        <w:rPr>
          <w:rFonts w:ascii="Palatino Linotype" w:eastAsia="Palatino Linotype" w:hAnsi="Palatino Linotype" w:cs="Palatino Linotype"/>
        </w:rPr>
        <w:t xml:space="preserve">, se observa en los módulos 1 y 4, que los ayuntamientos deben realizar reportes al OSFEM respecto de los inmuebles que tienen conforme a lo siguiente: </w:t>
      </w:r>
    </w:p>
    <w:p w14:paraId="317112EF"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noProof/>
        </w:rPr>
        <w:drawing>
          <wp:inline distT="0" distB="0" distL="0" distR="0" wp14:anchorId="174CFB62" wp14:editId="7F54A39B">
            <wp:extent cx="5894084" cy="2696098"/>
            <wp:effectExtent l="0" t="0" r="0" b="0"/>
            <wp:docPr id="11" name="image11.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Una captura de pantalla de una computadora&#10;&#10;Descripción generada automáticamente"/>
                    <pic:cNvPicPr preferRelativeResize="0"/>
                  </pic:nvPicPr>
                  <pic:blipFill>
                    <a:blip r:embed="rId12"/>
                    <a:srcRect l="59488" t="31051" r="7038" b="34774"/>
                    <a:stretch>
                      <a:fillRect/>
                    </a:stretch>
                  </pic:blipFill>
                  <pic:spPr>
                    <a:xfrm>
                      <a:off x="0" y="0"/>
                      <a:ext cx="5894084" cy="2696098"/>
                    </a:xfrm>
                    <a:prstGeom prst="rect">
                      <a:avLst/>
                    </a:prstGeom>
                    <a:ln/>
                  </pic:spPr>
                </pic:pic>
              </a:graphicData>
            </a:graphic>
          </wp:inline>
        </w:drawing>
      </w:r>
      <w:r w:rsidRPr="008927AD">
        <w:rPr>
          <w:noProof/>
        </w:rPr>
        <mc:AlternateContent>
          <mc:Choice Requires="wps">
            <w:drawing>
              <wp:anchor distT="0" distB="0" distL="114300" distR="114300" simplePos="0" relativeHeight="251661312" behindDoc="0" locked="0" layoutInCell="1" hidden="0" allowOverlap="1" wp14:anchorId="6D157CAC" wp14:editId="6C5CCCFD">
                <wp:simplePos x="0" y="0"/>
                <wp:positionH relativeFrom="column">
                  <wp:posOffset>748665</wp:posOffset>
                </wp:positionH>
                <wp:positionV relativeFrom="paragraph">
                  <wp:posOffset>1781810</wp:posOffset>
                </wp:positionV>
                <wp:extent cx="1850746" cy="285750"/>
                <wp:effectExtent l="0" t="0" r="16510" b="19050"/>
                <wp:wrapNone/>
                <wp:docPr id="9" name="Rectángulo 9"/>
                <wp:cNvGraphicFramePr/>
                <a:graphic xmlns:a="http://schemas.openxmlformats.org/drawingml/2006/main">
                  <a:graphicData uri="http://schemas.microsoft.com/office/word/2010/wordprocessingShape">
                    <wps:wsp>
                      <wps:cNvSpPr/>
                      <wps:spPr>
                        <a:xfrm>
                          <a:off x="0" y="0"/>
                          <a:ext cx="1850746" cy="2857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748665</wp:posOffset>
                </wp:positionH>
                <wp:positionV relativeFrom="paragraph">
                  <wp:posOffset>1781810</wp:posOffset>
                </wp:positionV>
                <wp:extent cx="1867256" cy="304800"/>
                <wp:effectExtent b="0" l="0" r="0" t="0"/>
                <wp:wrapNone/>
                <wp:docPr id="9"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867256" cy="304800"/>
                        </a:xfrm>
                        <a:prstGeom prst="rect"/>
                        <a:ln/>
                      </pic:spPr>
                    </pic:pic>
                  </a:graphicData>
                </a:graphic>
              </wp:anchor>
            </w:drawing>
          </mc:Fallback>
        </mc:AlternateContent>
      </w:r>
    </w:p>
    <w:p w14:paraId="59F0259A"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noProof/>
        </w:rPr>
        <w:lastRenderedPageBreak/>
        <w:drawing>
          <wp:inline distT="0" distB="0" distL="0" distR="0" wp14:anchorId="3F310583" wp14:editId="56AD5951">
            <wp:extent cx="5663714" cy="3758410"/>
            <wp:effectExtent l="0" t="0" r="0" b="0"/>
            <wp:docPr id="12" name="image12.png"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Aplicación, Teams&#10;&#10;Descripción generada automáticamente"/>
                    <pic:cNvPicPr preferRelativeResize="0"/>
                  </pic:nvPicPr>
                  <pic:blipFill>
                    <a:blip r:embed="rId14"/>
                    <a:srcRect l="61508" t="25185" r="11077" b="25121"/>
                    <a:stretch>
                      <a:fillRect/>
                    </a:stretch>
                  </pic:blipFill>
                  <pic:spPr>
                    <a:xfrm>
                      <a:off x="0" y="0"/>
                      <a:ext cx="5663714" cy="3758410"/>
                    </a:xfrm>
                    <a:prstGeom prst="rect">
                      <a:avLst/>
                    </a:prstGeom>
                    <a:ln/>
                  </pic:spPr>
                </pic:pic>
              </a:graphicData>
            </a:graphic>
          </wp:inline>
        </w:drawing>
      </w:r>
      <w:r w:rsidRPr="008927AD">
        <w:rPr>
          <w:noProof/>
        </w:rPr>
        <mc:AlternateContent>
          <mc:Choice Requires="wps">
            <w:drawing>
              <wp:anchor distT="0" distB="0" distL="114300" distR="114300" simplePos="0" relativeHeight="251662336" behindDoc="0" locked="0" layoutInCell="1" hidden="0" allowOverlap="1" wp14:anchorId="53485363" wp14:editId="18B3EA70">
                <wp:simplePos x="0" y="0"/>
                <wp:positionH relativeFrom="column">
                  <wp:posOffset>975436</wp:posOffset>
                </wp:positionH>
                <wp:positionV relativeFrom="paragraph">
                  <wp:posOffset>2108581</wp:posOffset>
                </wp:positionV>
                <wp:extent cx="1872691" cy="153619"/>
                <wp:effectExtent l="0" t="0" r="13335" b="18415"/>
                <wp:wrapNone/>
                <wp:docPr id="8" name="Rectángulo 8"/>
                <wp:cNvGraphicFramePr/>
                <a:graphic xmlns:a="http://schemas.openxmlformats.org/drawingml/2006/main">
                  <a:graphicData uri="http://schemas.microsoft.com/office/word/2010/wordprocessingShape">
                    <wps:wsp>
                      <wps:cNvSpPr/>
                      <wps:spPr>
                        <a:xfrm>
                          <a:off x="0" y="0"/>
                          <a:ext cx="1872691" cy="1536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975436</wp:posOffset>
                </wp:positionH>
                <wp:positionV relativeFrom="paragraph">
                  <wp:posOffset>2108581</wp:posOffset>
                </wp:positionV>
                <wp:extent cx="1886026" cy="172034"/>
                <wp:effectExtent b="0" l="0" r="0" t="0"/>
                <wp:wrapNone/>
                <wp:docPr id="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886026" cy="172034"/>
                        </a:xfrm>
                        <a:prstGeom prst="rect"/>
                        <a:ln/>
                      </pic:spPr>
                    </pic:pic>
                  </a:graphicData>
                </a:graphic>
              </wp:anchor>
            </w:drawing>
          </mc:Fallback>
        </mc:AlternateContent>
      </w:r>
      <w:r w:rsidRPr="008927AD">
        <w:rPr>
          <w:noProof/>
        </w:rPr>
        <mc:AlternateContent>
          <mc:Choice Requires="wps">
            <w:drawing>
              <wp:anchor distT="0" distB="0" distL="114300" distR="114300" simplePos="0" relativeHeight="251663360" behindDoc="0" locked="0" layoutInCell="1" hidden="0" allowOverlap="1" wp14:anchorId="49358CA0" wp14:editId="2660A9F9">
                <wp:simplePos x="0" y="0"/>
                <wp:positionH relativeFrom="column">
                  <wp:posOffset>996086</wp:posOffset>
                </wp:positionH>
                <wp:positionV relativeFrom="paragraph">
                  <wp:posOffset>2575154</wp:posOffset>
                </wp:positionV>
                <wp:extent cx="1872691" cy="153619"/>
                <wp:effectExtent l="0" t="0" r="13335" b="18415"/>
                <wp:wrapNone/>
                <wp:docPr id="1" name="Rectángulo 1"/>
                <wp:cNvGraphicFramePr/>
                <a:graphic xmlns:a="http://schemas.openxmlformats.org/drawingml/2006/main">
                  <a:graphicData uri="http://schemas.microsoft.com/office/word/2010/wordprocessingShape">
                    <wps:wsp>
                      <wps:cNvSpPr/>
                      <wps:spPr>
                        <a:xfrm>
                          <a:off x="0" y="0"/>
                          <a:ext cx="1872691" cy="1536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996086</wp:posOffset>
                </wp:positionH>
                <wp:positionV relativeFrom="paragraph">
                  <wp:posOffset>2575154</wp:posOffset>
                </wp:positionV>
                <wp:extent cx="1886026" cy="172034"/>
                <wp:effectExtent b="0" l="0" r="0" t="0"/>
                <wp:wrapNone/>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886026" cy="172034"/>
                        </a:xfrm>
                        <a:prstGeom prst="rect"/>
                        <a:ln/>
                      </pic:spPr>
                    </pic:pic>
                  </a:graphicData>
                </a:graphic>
              </wp:anchor>
            </w:drawing>
          </mc:Fallback>
        </mc:AlternateContent>
      </w:r>
    </w:p>
    <w:p w14:paraId="6CDF696C" w14:textId="77777777" w:rsidR="00B3308B" w:rsidRPr="008927AD" w:rsidRDefault="00B3308B" w:rsidP="008927AD">
      <w:pPr>
        <w:spacing w:line="360" w:lineRule="auto"/>
        <w:ind w:right="-93"/>
        <w:jc w:val="both"/>
        <w:rPr>
          <w:rFonts w:ascii="Palatino Linotype" w:eastAsia="Palatino Linotype" w:hAnsi="Palatino Linotype" w:cs="Palatino Linotype"/>
        </w:rPr>
      </w:pPr>
    </w:p>
    <w:p w14:paraId="51DC4454"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Con lo anterior, se advierte que el </w:t>
      </w:r>
      <w:r w:rsidRPr="008927AD">
        <w:rPr>
          <w:rFonts w:ascii="Palatino Linotype" w:eastAsia="Palatino Linotype" w:hAnsi="Palatino Linotype" w:cs="Palatino Linotype"/>
          <w:b/>
        </w:rPr>
        <w:t>SUJETO OBLIGADO</w:t>
      </w:r>
      <w:r w:rsidRPr="008927AD">
        <w:rPr>
          <w:rFonts w:ascii="Palatino Linotype" w:eastAsia="Palatino Linotype" w:hAnsi="Palatino Linotype" w:cs="Palatino Linotype"/>
        </w:rPr>
        <w:t xml:space="preserve"> tiene la obligación de rendir informes al OSFEM en donde de manera enunciativa mas no limitativa, se podría contener parte de la información solicitada.</w:t>
      </w:r>
    </w:p>
    <w:p w14:paraId="0A361A2B" w14:textId="77777777" w:rsidR="00B3308B" w:rsidRPr="008927AD" w:rsidRDefault="00B3308B" w:rsidP="008927AD">
      <w:pPr>
        <w:spacing w:line="360" w:lineRule="auto"/>
        <w:ind w:right="-93"/>
        <w:jc w:val="both"/>
        <w:rPr>
          <w:rFonts w:ascii="Palatino Linotype" w:eastAsia="Palatino Linotype" w:hAnsi="Palatino Linotype" w:cs="Palatino Linotype"/>
        </w:rPr>
      </w:pPr>
    </w:p>
    <w:p w14:paraId="58969A51" w14:textId="77777777" w:rsidR="00B3308B" w:rsidRPr="008927AD" w:rsidRDefault="00601D2F" w:rsidP="008927AD">
      <w:pPr>
        <w:spacing w:line="360" w:lineRule="auto"/>
        <w:ind w:right="-93"/>
        <w:jc w:val="both"/>
        <w:rPr>
          <w:rFonts w:ascii="Palatino Linotype" w:eastAsia="Palatino Linotype" w:hAnsi="Palatino Linotype" w:cs="Palatino Linotype"/>
        </w:rPr>
      </w:pPr>
      <w:bookmarkStart w:id="3" w:name="_1fob9te" w:colFirst="0" w:colLast="0"/>
      <w:bookmarkEnd w:id="3"/>
      <w:r w:rsidRPr="008927AD">
        <w:rPr>
          <w:rFonts w:ascii="Palatino Linotype" w:eastAsia="Palatino Linotype" w:hAnsi="Palatino Linotype" w:cs="Palatino Linotype"/>
        </w:rPr>
        <w:t>Ahora bien, en los Lineamientos para el Registro y Control del Inventario y la Conciliación y Desincorporación de Bienes Muebles e Inmuebles para las Entidades Fiscalizables Municipales del Estado de México dentro del instructivo de llenado de la “cédula de inventario de bienes inmuebles” se observan numerales relacionados con lo solicitado.</w:t>
      </w:r>
    </w:p>
    <w:p w14:paraId="24AB0632" w14:textId="77777777" w:rsidR="00B3308B" w:rsidRPr="008927AD" w:rsidRDefault="00B3308B" w:rsidP="008927AD">
      <w:pPr>
        <w:spacing w:line="360" w:lineRule="auto"/>
        <w:ind w:right="-93"/>
        <w:jc w:val="both"/>
        <w:rPr>
          <w:rFonts w:ascii="Palatino Linotype" w:eastAsia="Palatino Linotype" w:hAnsi="Palatino Linotype" w:cs="Palatino Linotype"/>
        </w:rPr>
      </w:pPr>
    </w:p>
    <w:p w14:paraId="50196DCD"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rPr>
        <w:lastRenderedPageBreak/>
        <w:t>Conveniente señalar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14:paraId="7A962FCE" w14:textId="77777777" w:rsidR="00B3308B" w:rsidRPr="008927AD" w:rsidRDefault="00B3308B" w:rsidP="008927AD">
      <w:pPr>
        <w:spacing w:line="360" w:lineRule="auto"/>
        <w:ind w:right="-93"/>
        <w:jc w:val="both"/>
        <w:rPr>
          <w:rFonts w:ascii="Palatino Linotype" w:eastAsia="Palatino Linotype" w:hAnsi="Palatino Linotype" w:cs="Palatino Linotype"/>
        </w:rPr>
      </w:pPr>
    </w:p>
    <w:p w14:paraId="6EB4E5F9"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rPr>
        <w:t>Bajo ese contexto, si bien el particular requirió la “cédula de bienes inmuebles”; este Órgano Garante en el ámbito de sus atribuciones establecidas en los artículos 13 y 181 de la Ley de Transparencia y Acceso a la Información Pública del Estado de México y Municipios, suple la deficiencia presentada en la solicitud de información, precisando para ello, que el documento al que se refiere es la “cédula de inventario de bienes inmuebles”.</w:t>
      </w:r>
    </w:p>
    <w:p w14:paraId="2CE77047" w14:textId="77777777" w:rsidR="00B3308B" w:rsidRPr="008927AD" w:rsidRDefault="00601D2F" w:rsidP="008927AD">
      <w:pPr>
        <w:spacing w:line="360" w:lineRule="auto"/>
        <w:ind w:right="-93"/>
        <w:jc w:val="center"/>
        <w:rPr>
          <w:rFonts w:ascii="Palatino Linotype" w:eastAsia="Palatino Linotype" w:hAnsi="Palatino Linotype" w:cs="Palatino Linotype"/>
        </w:rPr>
      </w:pPr>
      <w:r w:rsidRPr="008927AD">
        <w:rPr>
          <w:rFonts w:ascii="Palatino Linotype" w:eastAsia="Palatino Linotype" w:hAnsi="Palatino Linotype" w:cs="Palatino Linotype"/>
          <w:noProof/>
        </w:rPr>
        <w:drawing>
          <wp:inline distT="0" distB="0" distL="0" distR="0" wp14:anchorId="656572BF" wp14:editId="7FEFF98D">
            <wp:extent cx="4423730" cy="3942326"/>
            <wp:effectExtent l="0" t="0" r="0" b="0"/>
            <wp:docPr id="13" name="image13.png"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Aplicación, Teams&#10;&#10;Descripción generada automáticamente"/>
                    <pic:cNvPicPr preferRelativeResize="0"/>
                  </pic:nvPicPr>
                  <pic:blipFill>
                    <a:blip r:embed="rId16"/>
                    <a:srcRect l="63644" t="11680" r="13074" b="31646"/>
                    <a:stretch>
                      <a:fillRect/>
                    </a:stretch>
                  </pic:blipFill>
                  <pic:spPr>
                    <a:xfrm>
                      <a:off x="0" y="0"/>
                      <a:ext cx="4423730" cy="3942326"/>
                    </a:xfrm>
                    <a:prstGeom prst="rect">
                      <a:avLst/>
                    </a:prstGeom>
                    <a:ln/>
                  </pic:spPr>
                </pic:pic>
              </a:graphicData>
            </a:graphic>
          </wp:inline>
        </w:drawing>
      </w:r>
      <w:r w:rsidRPr="008927AD">
        <w:rPr>
          <w:noProof/>
        </w:rPr>
        <mc:AlternateContent>
          <mc:Choice Requires="wps">
            <w:drawing>
              <wp:anchor distT="0" distB="0" distL="114300" distR="114300" simplePos="0" relativeHeight="251664384" behindDoc="0" locked="0" layoutInCell="1" hidden="0" allowOverlap="1" wp14:anchorId="34459334" wp14:editId="6C2D0AD4">
                <wp:simplePos x="0" y="0"/>
                <wp:positionH relativeFrom="column">
                  <wp:posOffset>2196465</wp:posOffset>
                </wp:positionH>
                <wp:positionV relativeFrom="paragraph">
                  <wp:posOffset>287655</wp:posOffset>
                </wp:positionV>
                <wp:extent cx="1685925" cy="24765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1685925" cy="2476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2196465</wp:posOffset>
                </wp:positionH>
                <wp:positionV relativeFrom="paragraph">
                  <wp:posOffset>287655</wp:posOffset>
                </wp:positionV>
                <wp:extent cx="1714500" cy="266700"/>
                <wp:effectExtent b="0" l="0" r="0" t="0"/>
                <wp:wrapNone/>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714500" cy="266700"/>
                        </a:xfrm>
                        <a:prstGeom prst="rect"/>
                        <a:ln/>
                      </pic:spPr>
                    </pic:pic>
                  </a:graphicData>
                </a:graphic>
              </wp:anchor>
            </w:drawing>
          </mc:Fallback>
        </mc:AlternateContent>
      </w:r>
    </w:p>
    <w:p w14:paraId="45CB2025" w14:textId="77777777" w:rsidR="00B3308B" w:rsidRPr="008927AD" w:rsidRDefault="00601D2F" w:rsidP="008927AD">
      <w:pPr>
        <w:spacing w:line="360" w:lineRule="auto"/>
        <w:ind w:right="-93"/>
        <w:jc w:val="center"/>
        <w:rPr>
          <w:rFonts w:ascii="Palatino Linotype" w:eastAsia="Palatino Linotype" w:hAnsi="Palatino Linotype" w:cs="Palatino Linotype"/>
        </w:rPr>
      </w:pPr>
      <w:r w:rsidRPr="008927AD">
        <w:rPr>
          <w:rFonts w:ascii="Palatino Linotype" w:eastAsia="Palatino Linotype" w:hAnsi="Palatino Linotype" w:cs="Palatino Linotype"/>
          <w:noProof/>
        </w:rPr>
        <w:lastRenderedPageBreak/>
        <w:drawing>
          <wp:inline distT="0" distB="0" distL="0" distR="0" wp14:anchorId="17055829" wp14:editId="4313DB29">
            <wp:extent cx="5392170" cy="6936229"/>
            <wp:effectExtent l="0" t="0" r="0" b="0"/>
            <wp:docPr id="14" name="image15.png"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nterfaz de usuario gráfica, Aplicación, Teams&#10;&#10;Descripción generada automáticamente"/>
                    <pic:cNvPicPr preferRelativeResize="0"/>
                  </pic:nvPicPr>
                  <pic:blipFill>
                    <a:blip r:embed="rId18"/>
                    <a:srcRect l="65045" t="20073" r="15629" b="12020"/>
                    <a:stretch>
                      <a:fillRect/>
                    </a:stretch>
                  </pic:blipFill>
                  <pic:spPr>
                    <a:xfrm>
                      <a:off x="0" y="0"/>
                      <a:ext cx="5392170" cy="6936229"/>
                    </a:xfrm>
                    <a:prstGeom prst="rect">
                      <a:avLst/>
                    </a:prstGeom>
                    <a:ln/>
                  </pic:spPr>
                </pic:pic>
              </a:graphicData>
            </a:graphic>
          </wp:inline>
        </w:drawing>
      </w:r>
      <w:r w:rsidRPr="008927AD">
        <w:rPr>
          <w:noProof/>
        </w:rPr>
        <mc:AlternateContent>
          <mc:Choice Requires="wps">
            <w:drawing>
              <wp:anchor distT="0" distB="0" distL="114300" distR="114300" simplePos="0" relativeHeight="251665408" behindDoc="0" locked="0" layoutInCell="1" hidden="0" allowOverlap="1" wp14:anchorId="6BCB8B8F" wp14:editId="7AB5DAB7">
                <wp:simplePos x="0" y="0"/>
                <wp:positionH relativeFrom="column">
                  <wp:posOffset>358140</wp:posOffset>
                </wp:positionH>
                <wp:positionV relativeFrom="paragraph">
                  <wp:posOffset>5813425</wp:posOffset>
                </wp:positionV>
                <wp:extent cx="5010150" cy="2381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5010150" cy="2381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358140</wp:posOffset>
                </wp:positionH>
                <wp:positionV relativeFrom="paragraph">
                  <wp:posOffset>5813425</wp:posOffset>
                </wp:positionV>
                <wp:extent cx="5029200" cy="266700"/>
                <wp:effectExtent b="0" l="0" r="0" t="0"/>
                <wp:wrapNone/>
                <wp:docPr id="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029200" cy="266700"/>
                        </a:xfrm>
                        <a:prstGeom prst="rect"/>
                        <a:ln/>
                      </pic:spPr>
                    </pic:pic>
                  </a:graphicData>
                </a:graphic>
              </wp:anchor>
            </w:drawing>
          </mc:Fallback>
        </mc:AlternateContent>
      </w:r>
      <w:r w:rsidRPr="008927AD">
        <w:rPr>
          <w:noProof/>
        </w:rPr>
        <mc:AlternateContent>
          <mc:Choice Requires="wps">
            <w:drawing>
              <wp:anchor distT="0" distB="0" distL="114300" distR="114300" simplePos="0" relativeHeight="251666432" behindDoc="0" locked="0" layoutInCell="1" hidden="0" allowOverlap="1" wp14:anchorId="2D94A2BB" wp14:editId="3A33AA57">
                <wp:simplePos x="0" y="0"/>
                <wp:positionH relativeFrom="column">
                  <wp:posOffset>300990</wp:posOffset>
                </wp:positionH>
                <wp:positionV relativeFrom="paragraph">
                  <wp:posOffset>4832350</wp:posOffset>
                </wp:positionV>
                <wp:extent cx="5086350" cy="1905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5086350"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wp:posOffset>
                </wp:positionH>
                <wp:positionV relativeFrom="paragraph">
                  <wp:posOffset>4832350</wp:posOffset>
                </wp:positionV>
                <wp:extent cx="5105400" cy="209550"/>
                <wp:effectExtent b="0" l="0" r="0" t="0"/>
                <wp:wrapNone/>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105400" cy="209550"/>
                        </a:xfrm>
                        <a:prstGeom prst="rect"/>
                        <a:ln/>
                      </pic:spPr>
                    </pic:pic>
                  </a:graphicData>
                </a:graphic>
              </wp:anchor>
            </w:drawing>
          </mc:Fallback>
        </mc:AlternateContent>
      </w:r>
      <w:r w:rsidRPr="008927AD">
        <w:rPr>
          <w:noProof/>
        </w:rPr>
        <mc:AlternateContent>
          <mc:Choice Requires="wps">
            <w:drawing>
              <wp:anchor distT="0" distB="0" distL="114300" distR="114300" simplePos="0" relativeHeight="251667456" behindDoc="0" locked="0" layoutInCell="1" hidden="0" allowOverlap="1" wp14:anchorId="6B1A8D3E" wp14:editId="74A961DB">
                <wp:simplePos x="0" y="0"/>
                <wp:positionH relativeFrom="column">
                  <wp:posOffset>1501140</wp:posOffset>
                </wp:positionH>
                <wp:positionV relativeFrom="paragraph">
                  <wp:posOffset>69849</wp:posOffset>
                </wp:positionV>
                <wp:extent cx="2686050" cy="2571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2686050" cy="2571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1501140</wp:posOffset>
                </wp:positionH>
                <wp:positionV relativeFrom="paragraph">
                  <wp:posOffset>69849</wp:posOffset>
                </wp:positionV>
                <wp:extent cx="2705100" cy="285750"/>
                <wp:effectExtent b="0" l="0" r="0" t="0"/>
                <wp:wrapNone/>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705100" cy="285750"/>
                        </a:xfrm>
                        <a:prstGeom prst="rect"/>
                        <a:ln/>
                      </pic:spPr>
                    </pic:pic>
                  </a:graphicData>
                </a:graphic>
              </wp:anchor>
            </w:drawing>
          </mc:Fallback>
        </mc:AlternateContent>
      </w:r>
    </w:p>
    <w:p w14:paraId="1C9D08CE" w14:textId="77777777" w:rsidR="00B3308B" w:rsidRPr="008927AD" w:rsidRDefault="00B3308B" w:rsidP="008927AD">
      <w:pPr>
        <w:spacing w:line="360" w:lineRule="auto"/>
        <w:ind w:right="-93"/>
        <w:jc w:val="both"/>
        <w:rPr>
          <w:rFonts w:ascii="Palatino Linotype" w:eastAsia="Palatino Linotype" w:hAnsi="Palatino Linotype" w:cs="Palatino Linotype"/>
        </w:rPr>
      </w:pPr>
    </w:p>
    <w:p w14:paraId="4F6786C0" w14:textId="77777777" w:rsidR="00B3308B" w:rsidRPr="008927AD" w:rsidRDefault="00601D2F" w:rsidP="008927AD">
      <w:pPr>
        <w:spacing w:line="360" w:lineRule="auto"/>
        <w:ind w:right="-93"/>
        <w:jc w:val="both"/>
        <w:rPr>
          <w:rFonts w:ascii="Palatino Linotype" w:eastAsia="Palatino Linotype" w:hAnsi="Palatino Linotype" w:cs="Palatino Linotype"/>
        </w:rPr>
      </w:pPr>
      <w:r w:rsidRPr="008927AD">
        <w:rPr>
          <w:rFonts w:ascii="Palatino Linotype" w:eastAsia="Palatino Linotype" w:hAnsi="Palatino Linotype" w:cs="Palatino Linotype"/>
        </w:rPr>
        <w:lastRenderedPageBreak/>
        <w:t xml:space="preserve">Es por lo anterior que este Órgano Garante concluye que, el </w:t>
      </w:r>
      <w:r w:rsidRPr="008927AD">
        <w:rPr>
          <w:rFonts w:ascii="Palatino Linotype" w:eastAsia="Palatino Linotype" w:hAnsi="Palatino Linotype" w:cs="Palatino Linotype"/>
          <w:b/>
        </w:rPr>
        <w:t>SUJETO OBLIGADO</w:t>
      </w:r>
      <w:r w:rsidRPr="008927AD">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8927AD">
        <w:rPr>
          <w:rFonts w:ascii="Palatino Linotype" w:eastAsia="Palatino Linotype" w:hAnsi="Palatino Linotype" w:cs="Palatino Linotype"/>
          <w:b/>
        </w:rPr>
        <w:t>SUJETO OBLIGADO</w:t>
      </w:r>
      <w:r w:rsidRPr="008927AD">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51A94B44" w14:textId="77777777" w:rsidR="00B3308B" w:rsidRPr="008927AD" w:rsidRDefault="00B3308B" w:rsidP="008927AD">
      <w:pPr>
        <w:ind w:right="-93"/>
        <w:jc w:val="both"/>
        <w:rPr>
          <w:rFonts w:ascii="Palatino Linotype" w:eastAsia="Palatino Linotype" w:hAnsi="Palatino Linotype" w:cs="Palatino Linotype"/>
        </w:rPr>
      </w:pPr>
    </w:p>
    <w:p w14:paraId="66B94F89"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w:t>
      </w:r>
      <w:r w:rsidRPr="008927AD">
        <w:rPr>
          <w:rFonts w:ascii="Palatino Linotype" w:eastAsia="Palatino Linotype" w:hAnsi="Palatino Linotype" w:cs="Palatino Linotype"/>
          <w:b/>
          <w:i/>
          <w:sz w:val="22"/>
          <w:szCs w:val="22"/>
        </w:rPr>
        <w:t>XXXIX. Servidor público habilitado:</w:t>
      </w:r>
      <w:r w:rsidRPr="008927AD">
        <w:rPr>
          <w:rFonts w:ascii="Palatino Linotype" w:eastAsia="Palatino Linotype" w:hAnsi="Palatino Linotype" w:cs="Palatino Linotype"/>
          <w:i/>
          <w:sz w:val="22"/>
          <w:szCs w:val="22"/>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6E2D20D2"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54510143"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42AA539D" w14:textId="77777777" w:rsidR="00B3308B" w:rsidRPr="008927AD" w:rsidRDefault="00B3308B" w:rsidP="008927AD">
      <w:pPr>
        <w:jc w:val="both"/>
        <w:rPr>
          <w:rFonts w:ascii="Palatino Linotype" w:eastAsia="Palatino Linotype" w:hAnsi="Palatino Linotype" w:cs="Palatino Linotype"/>
        </w:rPr>
      </w:pPr>
    </w:p>
    <w:p w14:paraId="1B567392"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162.</w:t>
      </w:r>
      <w:r w:rsidRPr="008927AD">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5E9C7118" w14:textId="77777777" w:rsidR="00B3308B" w:rsidRPr="008927AD" w:rsidRDefault="00B3308B" w:rsidP="008927AD">
      <w:pPr>
        <w:ind w:left="851" w:right="899"/>
        <w:jc w:val="both"/>
        <w:rPr>
          <w:rFonts w:ascii="Palatino Linotype" w:eastAsia="Palatino Linotype" w:hAnsi="Palatino Linotype" w:cs="Palatino Linotype"/>
          <w:sz w:val="22"/>
          <w:szCs w:val="22"/>
        </w:rPr>
      </w:pPr>
    </w:p>
    <w:p w14:paraId="32AB8361"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Dicho procedimiento de búsqueda, se constituye como la garantía primaria del derecho humano de acceso a la información pública, el cual se rige por los principios de simplicidad, rapidez, gratuidad del procedimiento, auxilio y orientación a los </w:t>
      </w:r>
      <w:r w:rsidRPr="008927AD">
        <w:rPr>
          <w:rFonts w:ascii="Palatino Linotype" w:eastAsia="Palatino Linotype" w:hAnsi="Palatino Linotype" w:cs="Palatino Linotype"/>
        </w:rPr>
        <w:lastRenderedPageBreak/>
        <w:t>particulares con el fin de otorgar la protección más amplia de éste derecho</w:t>
      </w:r>
      <w:r w:rsidRPr="008927AD">
        <w:rPr>
          <w:rFonts w:ascii="Palatino Linotype" w:eastAsia="Palatino Linotype" w:hAnsi="Palatino Linotype" w:cs="Palatino Linotype"/>
          <w:vertAlign w:val="superscript"/>
        </w:rPr>
        <w:footnoteReference w:id="12"/>
      </w:r>
      <w:r w:rsidRPr="008927AD">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78DBFC06" w14:textId="77777777" w:rsidR="00B3308B" w:rsidRPr="008927AD" w:rsidRDefault="00B3308B" w:rsidP="008927AD">
      <w:pPr>
        <w:jc w:val="both"/>
        <w:rPr>
          <w:rFonts w:ascii="Palatino Linotype" w:eastAsia="Palatino Linotype" w:hAnsi="Palatino Linotype" w:cs="Palatino Linotype"/>
        </w:rPr>
      </w:pPr>
    </w:p>
    <w:p w14:paraId="2A605F94" w14:textId="77777777" w:rsidR="00B3308B" w:rsidRPr="008927AD" w:rsidRDefault="00601D2F" w:rsidP="008927AD">
      <w:pPr>
        <w:ind w:left="851" w:right="899"/>
        <w:jc w:val="both"/>
        <w:rPr>
          <w:rFonts w:ascii="Palatino Linotype" w:eastAsia="Palatino Linotype" w:hAnsi="Palatino Linotype" w:cs="Palatino Linotype"/>
          <w:sz w:val="22"/>
          <w:szCs w:val="22"/>
        </w:rPr>
      </w:pPr>
      <w:r w:rsidRPr="008927AD">
        <w:rPr>
          <w:rFonts w:ascii="Palatino Linotype" w:eastAsia="Palatino Linotype" w:hAnsi="Palatino Linotype" w:cs="Palatino Linotype"/>
          <w:b/>
          <w:i/>
          <w:sz w:val="22"/>
          <w:szCs w:val="22"/>
        </w:rPr>
        <w:t>“Artículo 160. </w:t>
      </w:r>
      <w:r w:rsidRPr="008927AD">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3F6BBC" w14:textId="77777777" w:rsidR="00B3308B" w:rsidRPr="008927AD" w:rsidRDefault="00601D2F" w:rsidP="008927AD">
      <w:pPr>
        <w:ind w:left="851" w:right="899"/>
        <w:jc w:val="both"/>
        <w:rPr>
          <w:rFonts w:ascii="Palatino Linotype" w:eastAsia="Palatino Linotype" w:hAnsi="Palatino Linotype" w:cs="Palatino Linotype"/>
          <w:sz w:val="22"/>
          <w:szCs w:val="22"/>
        </w:rPr>
      </w:pPr>
      <w:r w:rsidRPr="008927AD">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7214E343" w14:textId="77777777" w:rsidR="00B3308B" w:rsidRPr="008927AD" w:rsidRDefault="00601D2F" w:rsidP="008927AD">
      <w:pPr>
        <w:ind w:left="851" w:right="899"/>
        <w:jc w:val="both"/>
        <w:rPr>
          <w:rFonts w:ascii="Palatino Linotype" w:eastAsia="Palatino Linotype" w:hAnsi="Palatino Linotype" w:cs="Palatino Linotype"/>
          <w:sz w:val="22"/>
          <w:szCs w:val="22"/>
        </w:rPr>
      </w:pPr>
      <w:r w:rsidRPr="008927AD">
        <w:rPr>
          <w:rFonts w:ascii="Palatino Linotype" w:eastAsia="Palatino Linotype" w:hAnsi="Palatino Linotype" w:cs="Palatino Linotype"/>
          <w:b/>
          <w:i/>
          <w:sz w:val="22"/>
          <w:szCs w:val="22"/>
        </w:rPr>
        <w:t>Artículo 163.</w:t>
      </w:r>
      <w:r w:rsidRPr="008927AD">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265F649F" w14:textId="77777777" w:rsidR="00B3308B" w:rsidRPr="008927AD" w:rsidRDefault="00601D2F" w:rsidP="008927AD">
      <w:pPr>
        <w:ind w:left="851" w:right="899"/>
        <w:jc w:val="both"/>
        <w:rPr>
          <w:rFonts w:ascii="Palatino Linotype" w:eastAsia="Palatino Linotype" w:hAnsi="Palatino Linotype" w:cs="Palatino Linotype"/>
          <w:sz w:val="22"/>
          <w:szCs w:val="22"/>
        </w:rPr>
      </w:pPr>
      <w:r w:rsidRPr="008927AD">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4A3F52A" w14:textId="77777777" w:rsidR="00B3308B" w:rsidRPr="008927AD" w:rsidRDefault="00601D2F" w:rsidP="008927AD">
      <w:pPr>
        <w:ind w:left="851" w:right="899"/>
        <w:jc w:val="both"/>
        <w:rPr>
          <w:rFonts w:ascii="Palatino Linotype" w:eastAsia="Palatino Linotype" w:hAnsi="Palatino Linotype" w:cs="Palatino Linotype"/>
          <w:sz w:val="22"/>
          <w:szCs w:val="22"/>
        </w:rPr>
      </w:pPr>
      <w:r w:rsidRPr="008927AD">
        <w:rPr>
          <w:rFonts w:ascii="Palatino Linotype" w:eastAsia="Palatino Linotype" w:hAnsi="Palatino Linotype" w:cs="Palatino Linotype"/>
          <w:b/>
          <w:i/>
          <w:sz w:val="22"/>
          <w:szCs w:val="22"/>
        </w:rPr>
        <w:t>Artículo 165.</w:t>
      </w:r>
      <w:r w:rsidRPr="008927AD">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11011817" w14:textId="77777777" w:rsidR="00B3308B" w:rsidRPr="008927AD" w:rsidRDefault="00601D2F" w:rsidP="008927AD">
      <w:pPr>
        <w:ind w:left="851" w:right="899"/>
        <w:jc w:val="both"/>
        <w:rPr>
          <w:rFonts w:ascii="Palatino Linotype" w:eastAsia="Palatino Linotype" w:hAnsi="Palatino Linotype" w:cs="Palatino Linotype"/>
          <w:sz w:val="22"/>
          <w:szCs w:val="22"/>
        </w:rPr>
      </w:pPr>
      <w:r w:rsidRPr="008927AD">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7205D6EF"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lastRenderedPageBreak/>
        <w:t>Ante la falta de respuesta a una solicitud en el plazo previsto y en caso de que proceda el acceso, los costos de reproducción y envío correrán a cargo del sujeto obligado.” (Sic)</w:t>
      </w:r>
    </w:p>
    <w:p w14:paraId="651391F2" w14:textId="77777777" w:rsidR="00B3308B" w:rsidRPr="008927AD" w:rsidRDefault="00B3308B" w:rsidP="008927AD">
      <w:pPr>
        <w:ind w:left="851" w:right="899"/>
        <w:jc w:val="both"/>
        <w:rPr>
          <w:rFonts w:ascii="Palatino Linotype" w:eastAsia="Palatino Linotype" w:hAnsi="Palatino Linotype" w:cs="Palatino Linotype"/>
          <w:sz w:val="22"/>
          <w:szCs w:val="22"/>
        </w:rPr>
      </w:pPr>
    </w:p>
    <w:p w14:paraId="3AD2EC52"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Finalmente, la Ley de Transparencia local determina que el procedimiento de acceso a la información pública se tendrá por cumplida cuando el solicitante tenga a su disposición la información requerida, o en su caso, cuando realice la consulta de la misma en el que ésta se localice</w:t>
      </w:r>
      <w:r w:rsidRPr="008927AD">
        <w:rPr>
          <w:rFonts w:ascii="Palatino Linotype" w:eastAsia="Palatino Linotype" w:hAnsi="Palatino Linotype" w:cs="Palatino Linotype"/>
          <w:vertAlign w:val="superscript"/>
        </w:rPr>
        <w:footnoteReference w:id="13"/>
      </w:r>
      <w:r w:rsidRPr="008927AD">
        <w:rPr>
          <w:rFonts w:ascii="Palatino Linotype" w:eastAsia="Palatino Linotype" w:hAnsi="Palatino Linotype" w:cs="Palatino Linotype"/>
        </w:rPr>
        <w:t xml:space="preserve">, situación que no se advierte en el presente caso, toda vez que el </w:t>
      </w:r>
      <w:r w:rsidRPr="008927AD">
        <w:rPr>
          <w:rFonts w:ascii="Palatino Linotype" w:eastAsia="Palatino Linotype" w:hAnsi="Palatino Linotype" w:cs="Palatino Linotype"/>
          <w:b/>
        </w:rPr>
        <w:t>SUJETO OBLIGADO</w:t>
      </w:r>
      <w:r w:rsidRPr="008927AD">
        <w:rPr>
          <w:rFonts w:ascii="Palatino Linotype" w:eastAsia="Palatino Linotype" w:hAnsi="Palatino Linotype" w:cs="Palatino Linotype"/>
        </w:rPr>
        <w:t>,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48C0E5D9" w14:textId="77777777" w:rsidR="00B3308B" w:rsidRPr="008927AD" w:rsidRDefault="00B3308B" w:rsidP="008927AD">
      <w:pPr>
        <w:spacing w:line="360" w:lineRule="auto"/>
        <w:jc w:val="both"/>
        <w:rPr>
          <w:rFonts w:ascii="Palatino Linotype" w:eastAsia="Palatino Linotype" w:hAnsi="Palatino Linotype" w:cs="Palatino Linotype"/>
        </w:rPr>
      </w:pPr>
    </w:p>
    <w:p w14:paraId="2B3E8A6D"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En mérito de lo anterior, se colige que el </w:t>
      </w:r>
      <w:r w:rsidRPr="008927AD">
        <w:rPr>
          <w:rFonts w:ascii="Palatino Linotype" w:eastAsia="Palatino Linotype" w:hAnsi="Palatino Linotype" w:cs="Palatino Linotype"/>
          <w:b/>
        </w:rPr>
        <w:t>SUJETO OBLIGADO</w:t>
      </w:r>
      <w:r w:rsidRPr="008927AD">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de manera enunciativa más no limitada, la Secretaría del Ayuntamiento, Sindicatura y el Órgano de Control Interno.</w:t>
      </w:r>
    </w:p>
    <w:p w14:paraId="19515436" w14:textId="77777777" w:rsidR="00B3308B" w:rsidRPr="008927AD" w:rsidRDefault="00B3308B" w:rsidP="008927AD">
      <w:pPr>
        <w:spacing w:line="360" w:lineRule="auto"/>
        <w:jc w:val="both"/>
        <w:rPr>
          <w:rFonts w:ascii="Palatino Linotype" w:eastAsia="Palatino Linotype" w:hAnsi="Palatino Linotype" w:cs="Palatino Linotype"/>
        </w:rPr>
      </w:pPr>
    </w:p>
    <w:p w14:paraId="60186293" w14:textId="77777777" w:rsidR="00B3308B" w:rsidRPr="008927AD" w:rsidRDefault="00601D2F" w:rsidP="008927AD">
      <w:pPr>
        <w:tabs>
          <w:tab w:val="left" w:pos="426"/>
          <w:tab w:val="left" w:pos="567"/>
        </w:tabs>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Por lo que es dable </w:t>
      </w:r>
      <w:r w:rsidRPr="008927AD">
        <w:rPr>
          <w:rFonts w:ascii="Palatino Linotype" w:eastAsia="Palatino Linotype" w:hAnsi="Palatino Linotype" w:cs="Palatino Linotype"/>
          <w:b/>
        </w:rPr>
        <w:t xml:space="preserve">REVOCAR </w:t>
      </w:r>
      <w:r w:rsidRPr="008927AD">
        <w:rPr>
          <w:rFonts w:ascii="Palatino Linotype" w:eastAsia="Palatino Linotype" w:hAnsi="Palatino Linotype" w:cs="Palatino Linotype"/>
        </w:rPr>
        <w:t xml:space="preserve">la respuesta otorgada y ordenar al </w:t>
      </w:r>
      <w:r w:rsidRPr="008927AD">
        <w:rPr>
          <w:rFonts w:ascii="Palatino Linotype" w:eastAsia="Palatino Linotype" w:hAnsi="Palatino Linotype" w:cs="Palatino Linotype"/>
          <w:b/>
        </w:rPr>
        <w:t>SUJETO OBLIGADO</w:t>
      </w:r>
      <w:r w:rsidRPr="008927AD">
        <w:rPr>
          <w:rFonts w:ascii="Palatino Linotype" w:eastAsia="Palatino Linotype" w:hAnsi="Palatino Linotype" w:cs="Palatino Linotype"/>
        </w:rPr>
        <w:t xml:space="preserve"> haga entrega de ser procedente en versión pública de la “cédula de inventario de bienes inmuebles” al quince de diciembre de dos mil veintidós en el que </w:t>
      </w:r>
      <w:r w:rsidRPr="008927AD">
        <w:rPr>
          <w:rFonts w:ascii="Palatino Linotype" w:eastAsia="Palatino Linotype" w:hAnsi="Palatino Linotype" w:cs="Palatino Linotype"/>
        </w:rPr>
        <w:lastRenderedPageBreak/>
        <w:t>se advierta la situación jurídica de predios —invadidos, regularizados y en procedimientos de recuperación administrativa— y observaciones del inicio de la presente administración (1-01-2022) al quince de diciembre de dos mil veintidós.</w:t>
      </w:r>
    </w:p>
    <w:p w14:paraId="228A7BC5" w14:textId="77777777" w:rsidR="00B3308B" w:rsidRPr="008927AD" w:rsidRDefault="00B3308B" w:rsidP="008927AD">
      <w:pPr>
        <w:spacing w:line="360" w:lineRule="auto"/>
        <w:ind w:right="-93"/>
        <w:jc w:val="both"/>
        <w:rPr>
          <w:rFonts w:ascii="Palatino Linotype" w:eastAsia="Palatino Linotype" w:hAnsi="Palatino Linotype" w:cs="Palatino Linotype"/>
        </w:rPr>
      </w:pPr>
    </w:p>
    <w:p w14:paraId="35BAEA4A" w14:textId="77777777" w:rsidR="00B3308B" w:rsidRPr="008927AD" w:rsidRDefault="00601D2F" w:rsidP="008927AD">
      <w:pPr>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rPr>
        <w:t>De la Versión Pública.</w:t>
      </w:r>
    </w:p>
    <w:p w14:paraId="5EBAFBC9"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65A453B" w14:textId="77777777" w:rsidR="00B3308B" w:rsidRPr="008927AD" w:rsidRDefault="00B3308B" w:rsidP="008927AD">
      <w:pPr>
        <w:ind w:right="899"/>
        <w:jc w:val="both"/>
        <w:rPr>
          <w:rFonts w:ascii="Palatino Linotype" w:eastAsia="Palatino Linotype" w:hAnsi="Palatino Linotype" w:cs="Palatino Linotype"/>
        </w:rPr>
      </w:pPr>
    </w:p>
    <w:p w14:paraId="101EC1E7" w14:textId="77777777" w:rsidR="00B3308B" w:rsidRPr="008927AD" w:rsidRDefault="00601D2F" w:rsidP="008927AD">
      <w:pPr>
        <w:ind w:left="851" w:right="901"/>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 xml:space="preserve">“Artículo 3. </w:t>
      </w:r>
      <w:r w:rsidRPr="008927AD">
        <w:rPr>
          <w:rFonts w:ascii="Palatino Linotype" w:eastAsia="Palatino Linotype" w:hAnsi="Palatino Linotype" w:cs="Palatino Linotype"/>
          <w:i/>
          <w:sz w:val="22"/>
          <w:szCs w:val="22"/>
        </w:rPr>
        <w:t xml:space="preserve">Para los efectos de la presente Ley se entenderá por: </w:t>
      </w:r>
    </w:p>
    <w:p w14:paraId="070169C1"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IX.</w:t>
      </w:r>
      <w:r w:rsidRPr="008927AD">
        <w:rPr>
          <w:rFonts w:ascii="Palatino Linotype" w:eastAsia="Palatino Linotype" w:hAnsi="Palatino Linotype" w:cs="Palatino Linotype"/>
          <w:i/>
          <w:sz w:val="22"/>
          <w:szCs w:val="22"/>
        </w:rPr>
        <w:t xml:space="preserve"> </w:t>
      </w:r>
      <w:r w:rsidRPr="008927AD">
        <w:rPr>
          <w:rFonts w:ascii="Palatino Linotype" w:eastAsia="Palatino Linotype" w:hAnsi="Palatino Linotype" w:cs="Palatino Linotype"/>
          <w:b/>
          <w:i/>
          <w:sz w:val="22"/>
          <w:szCs w:val="22"/>
        </w:rPr>
        <w:t xml:space="preserve">Datos personales: </w:t>
      </w:r>
      <w:r w:rsidRPr="008927AD">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5C42B261"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XX.</w:t>
      </w:r>
      <w:r w:rsidRPr="008927AD">
        <w:rPr>
          <w:rFonts w:ascii="Palatino Linotype" w:eastAsia="Palatino Linotype" w:hAnsi="Palatino Linotype" w:cs="Palatino Linotype"/>
          <w:i/>
          <w:sz w:val="22"/>
          <w:szCs w:val="22"/>
        </w:rPr>
        <w:t xml:space="preserve"> </w:t>
      </w:r>
      <w:r w:rsidRPr="008927AD">
        <w:rPr>
          <w:rFonts w:ascii="Palatino Linotype" w:eastAsia="Palatino Linotype" w:hAnsi="Palatino Linotype" w:cs="Palatino Linotype"/>
          <w:b/>
          <w:i/>
          <w:sz w:val="22"/>
          <w:szCs w:val="22"/>
        </w:rPr>
        <w:t>Información clasificada:</w:t>
      </w:r>
      <w:r w:rsidRPr="008927AD">
        <w:rPr>
          <w:rFonts w:ascii="Palatino Linotype" w:eastAsia="Palatino Linotype" w:hAnsi="Palatino Linotype" w:cs="Palatino Linotype"/>
          <w:i/>
          <w:sz w:val="22"/>
          <w:szCs w:val="22"/>
        </w:rPr>
        <w:t xml:space="preserve"> Aquella considerada por la presente Ley como reservada o confidencial; </w:t>
      </w:r>
    </w:p>
    <w:p w14:paraId="05C225F5"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XXI.</w:t>
      </w:r>
      <w:r w:rsidRPr="008927AD">
        <w:rPr>
          <w:rFonts w:ascii="Palatino Linotype" w:eastAsia="Palatino Linotype" w:hAnsi="Palatino Linotype" w:cs="Palatino Linotype"/>
          <w:i/>
          <w:sz w:val="22"/>
          <w:szCs w:val="22"/>
        </w:rPr>
        <w:t xml:space="preserve"> </w:t>
      </w:r>
      <w:r w:rsidRPr="008927AD">
        <w:rPr>
          <w:rFonts w:ascii="Palatino Linotype" w:eastAsia="Palatino Linotype" w:hAnsi="Palatino Linotype" w:cs="Palatino Linotype"/>
          <w:b/>
          <w:i/>
          <w:sz w:val="22"/>
          <w:szCs w:val="22"/>
        </w:rPr>
        <w:t>Información confidencial</w:t>
      </w:r>
      <w:r w:rsidRPr="008927AD">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436DF01"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XLV. Versión pública:</w:t>
      </w:r>
      <w:r w:rsidRPr="008927AD">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4815E947" w14:textId="77777777" w:rsidR="00B3308B" w:rsidRPr="008927AD" w:rsidRDefault="00B3308B" w:rsidP="008927AD">
      <w:pPr>
        <w:ind w:left="851" w:right="899"/>
        <w:jc w:val="both"/>
        <w:rPr>
          <w:rFonts w:ascii="Palatino Linotype" w:eastAsia="Palatino Linotype" w:hAnsi="Palatino Linotype" w:cs="Palatino Linotype"/>
          <w:b/>
          <w:i/>
          <w:sz w:val="22"/>
          <w:szCs w:val="22"/>
        </w:rPr>
      </w:pPr>
    </w:p>
    <w:p w14:paraId="0BA32050"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51.</w:t>
      </w:r>
      <w:r w:rsidRPr="008927AD">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w:t>
      </w:r>
      <w:r w:rsidRPr="008927AD">
        <w:rPr>
          <w:rFonts w:ascii="Palatino Linotype" w:eastAsia="Palatino Linotype" w:hAnsi="Palatino Linotype" w:cs="Palatino Linotype"/>
          <w:i/>
          <w:sz w:val="22"/>
          <w:szCs w:val="22"/>
        </w:rPr>
        <w:lastRenderedPageBreak/>
        <w:t xml:space="preserve">Dicha Unidad será la encargada de tramitar internamente la solicitud de información </w:t>
      </w:r>
      <w:r w:rsidRPr="008927AD">
        <w:rPr>
          <w:rFonts w:ascii="Palatino Linotype" w:eastAsia="Palatino Linotype" w:hAnsi="Palatino Linotype" w:cs="Palatino Linotype"/>
          <w:b/>
          <w:i/>
          <w:sz w:val="22"/>
          <w:szCs w:val="22"/>
        </w:rPr>
        <w:t xml:space="preserve">y tendrá la responsabilidad de verificar en cada caso que la misma no sea confidencial o reservada. </w:t>
      </w:r>
      <w:r w:rsidRPr="008927AD">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0C1B5689" w14:textId="77777777" w:rsidR="00B3308B" w:rsidRPr="008927AD" w:rsidRDefault="00B3308B" w:rsidP="008927AD">
      <w:pPr>
        <w:ind w:left="851" w:right="899"/>
        <w:jc w:val="both"/>
        <w:rPr>
          <w:rFonts w:ascii="Palatino Linotype" w:eastAsia="Palatino Linotype" w:hAnsi="Palatino Linotype" w:cs="Palatino Linotype"/>
          <w:b/>
          <w:i/>
          <w:sz w:val="22"/>
          <w:szCs w:val="22"/>
        </w:rPr>
      </w:pPr>
    </w:p>
    <w:p w14:paraId="0FD38576"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52.</w:t>
      </w:r>
      <w:r w:rsidRPr="008927AD">
        <w:rPr>
          <w:rFonts w:ascii="Palatino Linotype" w:eastAsia="Palatino Linotype" w:hAnsi="Palatino Linotype" w:cs="Palatino Linotype"/>
          <w:i/>
          <w:sz w:val="22"/>
          <w:szCs w:val="22"/>
        </w:rPr>
        <w:t xml:space="preserve"> Las solicitudes de acceso a la información y las respuestas que se les dé, incluyendo, en su caso, </w:t>
      </w:r>
      <w:r w:rsidRPr="008927AD">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927AD">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40B3C27B" w14:textId="77777777" w:rsidR="00B3308B" w:rsidRPr="008927AD" w:rsidRDefault="00601D2F" w:rsidP="008927AD">
      <w:pPr>
        <w:ind w:right="899" w:firstLine="708"/>
        <w:jc w:val="right"/>
        <w:rPr>
          <w:rFonts w:ascii="Palatino Linotype" w:eastAsia="Palatino Linotype" w:hAnsi="Palatino Linotype" w:cs="Palatino Linotype"/>
          <w:sz w:val="16"/>
          <w:szCs w:val="16"/>
        </w:rPr>
      </w:pPr>
      <w:r w:rsidRPr="008927AD">
        <w:rPr>
          <w:rFonts w:ascii="Palatino Linotype" w:eastAsia="Palatino Linotype" w:hAnsi="Palatino Linotype" w:cs="Palatino Linotype"/>
          <w:sz w:val="16"/>
          <w:szCs w:val="16"/>
        </w:rPr>
        <w:t>(Énfasis añadido)</w:t>
      </w:r>
    </w:p>
    <w:p w14:paraId="4B38AE84" w14:textId="77777777" w:rsidR="00B3308B" w:rsidRPr="008927AD" w:rsidRDefault="00B3308B" w:rsidP="008927AD">
      <w:pPr>
        <w:ind w:right="899" w:firstLine="708"/>
        <w:jc w:val="both"/>
        <w:rPr>
          <w:rFonts w:ascii="Palatino Linotype" w:eastAsia="Palatino Linotype" w:hAnsi="Palatino Linotype" w:cs="Palatino Linotype"/>
        </w:rPr>
      </w:pPr>
    </w:p>
    <w:p w14:paraId="588BE2E1"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98BC548" w14:textId="77777777" w:rsidR="00B3308B" w:rsidRPr="008927AD" w:rsidRDefault="00B3308B" w:rsidP="008927AD">
      <w:pPr>
        <w:jc w:val="both"/>
        <w:rPr>
          <w:rFonts w:ascii="Palatino Linotype" w:eastAsia="Palatino Linotype" w:hAnsi="Palatino Linotype" w:cs="Palatino Linotype"/>
        </w:rPr>
      </w:pPr>
    </w:p>
    <w:p w14:paraId="521C1214"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22.</w:t>
      </w:r>
      <w:r w:rsidRPr="008927AD">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9EE6894"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 xml:space="preserve"> </w:t>
      </w:r>
    </w:p>
    <w:p w14:paraId="6A2EAB0A"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Artículo 38.</w:t>
      </w:r>
      <w:r w:rsidRPr="008927AD">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8927AD">
        <w:rPr>
          <w:rFonts w:ascii="Palatino Linotype" w:eastAsia="Palatino Linotype" w:hAnsi="Palatino Linotype" w:cs="Palatino Linotype"/>
          <w:i/>
          <w:sz w:val="22"/>
          <w:szCs w:val="22"/>
        </w:rPr>
        <w:lastRenderedPageBreak/>
        <w:t>tratamiento no autorizado o ilícito, de conformidad con lo dispuesto en los lineamientos que al efecto se expidan.</w:t>
      </w:r>
      <w:r w:rsidRPr="008927AD">
        <w:rPr>
          <w:rFonts w:ascii="Palatino Linotype" w:eastAsia="Palatino Linotype" w:hAnsi="Palatino Linotype" w:cs="Palatino Linotype"/>
          <w:b/>
          <w:i/>
          <w:sz w:val="22"/>
          <w:szCs w:val="22"/>
        </w:rPr>
        <w:t>”</w:t>
      </w:r>
      <w:r w:rsidRPr="008927AD">
        <w:rPr>
          <w:rFonts w:ascii="Palatino Linotype" w:eastAsia="Palatino Linotype" w:hAnsi="Palatino Linotype" w:cs="Palatino Linotype"/>
          <w:i/>
          <w:sz w:val="22"/>
          <w:szCs w:val="22"/>
        </w:rPr>
        <w:t xml:space="preserve"> </w:t>
      </w:r>
    </w:p>
    <w:p w14:paraId="1B647E18" w14:textId="77777777" w:rsidR="00B3308B" w:rsidRPr="008927AD" w:rsidRDefault="00B3308B" w:rsidP="008927AD">
      <w:pPr>
        <w:ind w:left="851" w:right="850"/>
        <w:jc w:val="both"/>
        <w:rPr>
          <w:rFonts w:ascii="Palatino Linotype" w:eastAsia="Palatino Linotype" w:hAnsi="Palatino Linotype" w:cs="Palatino Linotype"/>
          <w:i/>
          <w:sz w:val="22"/>
          <w:szCs w:val="22"/>
        </w:rPr>
      </w:pPr>
    </w:p>
    <w:p w14:paraId="794621ED"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8927AD">
        <w:rPr>
          <w:rFonts w:ascii="Palatino Linotype" w:eastAsia="Palatino Linotype" w:hAnsi="Palatino Linotype" w:cs="Palatino Linotype"/>
          <w:b/>
        </w:rPr>
        <w:t>confidencial</w:t>
      </w:r>
      <w:r w:rsidRPr="008927AD">
        <w:rPr>
          <w:rFonts w:ascii="Palatino Linotype" w:eastAsia="Palatino Linotype" w:hAnsi="Palatino Linotype" w:cs="Palatino Linotype"/>
        </w:rPr>
        <w:t xml:space="preserve">. </w:t>
      </w:r>
    </w:p>
    <w:p w14:paraId="12907EAE" w14:textId="77777777" w:rsidR="00B3308B" w:rsidRPr="008927AD" w:rsidRDefault="00B3308B" w:rsidP="008927AD">
      <w:pPr>
        <w:spacing w:line="360" w:lineRule="auto"/>
        <w:jc w:val="both"/>
        <w:rPr>
          <w:rFonts w:ascii="Palatino Linotype" w:eastAsia="Palatino Linotype" w:hAnsi="Palatino Linotype" w:cs="Palatino Linotype"/>
        </w:rPr>
      </w:pPr>
    </w:p>
    <w:p w14:paraId="4C589D2C"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E927127" w14:textId="77777777" w:rsidR="00B3308B" w:rsidRPr="008927AD" w:rsidRDefault="00B3308B" w:rsidP="008927AD">
      <w:pPr>
        <w:spacing w:line="360" w:lineRule="auto"/>
        <w:jc w:val="both"/>
        <w:rPr>
          <w:rFonts w:ascii="Palatino Linotype" w:eastAsia="Palatino Linotype" w:hAnsi="Palatino Linotype" w:cs="Palatino Linotype"/>
        </w:rPr>
      </w:pPr>
    </w:p>
    <w:p w14:paraId="530BF302"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927AD">
        <w:rPr>
          <w:rFonts w:ascii="Palatino Linotype" w:eastAsia="Palatino Linotype" w:hAnsi="Palatino Linotype" w:cs="Palatino Linotype"/>
          <w:b/>
        </w:rPr>
        <w:t>el Sujeto Obligado,</w:t>
      </w:r>
      <w:r w:rsidRPr="008927AD">
        <w:rPr>
          <w:rFonts w:ascii="Palatino Linotype" w:eastAsia="Palatino Linotype" w:hAnsi="Palatino Linotype" w:cs="Palatino Linotype"/>
        </w:rPr>
        <w:t xml:space="preserve"> por lo que, todo dato personal susceptible de clasificación debe ser protegido.</w:t>
      </w:r>
    </w:p>
    <w:p w14:paraId="0C7667BA" w14:textId="77777777" w:rsidR="00B3308B" w:rsidRPr="008927AD" w:rsidRDefault="00B3308B" w:rsidP="008927AD">
      <w:pPr>
        <w:spacing w:line="360" w:lineRule="auto"/>
        <w:jc w:val="both"/>
        <w:rPr>
          <w:rFonts w:ascii="Palatino Linotype" w:eastAsia="Palatino Linotype" w:hAnsi="Palatino Linotype" w:cs="Palatino Linotype"/>
        </w:rPr>
      </w:pPr>
    </w:p>
    <w:p w14:paraId="3575EF70"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La finalidad de la versión pública de la información es salvaguardar la vida, integridad, seguridad, patrimonio y privacidad de las personas; de tal manera que todo aquello que no tenga por objeto proteger lo anterior, es susceptible de ser entregado; en otras </w:t>
      </w:r>
      <w:r w:rsidRPr="008927AD">
        <w:rPr>
          <w:rFonts w:ascii="Palatino Linotype" w:eastAsia="Palatino Linotype" w:hAnsi="Palatino Linotype" w:cs="Palatino Linotype"/>
        </w:rPr>
        <w:lastRenderedPageBreak/>
        <w:t>palabras, la protección de datos personales, entre ellos el del patrimonio y su confidencialidad, es una derivación del derecho a la intimidad.</w:t>
      </w:r>
    </w:p>
    <w:p w14:paraId="086F5D41" w14:textId="77777777" w:rsidR="00B3308B" w:rsidRPr="008927AD" w:rsidRDefault="00B3308B" w:rsidP="008927AD">
      <w:pPr>
        <w:spacing w:line="360" w:lineRule="auto"/>
        <w:rPr>
          <w:rFonts w:ascii="Palatino Linotype" w:eastAsia="Palatino Linotype" w:hAnsi="Palatino Linotype" w:cs="Palatino Linotype"/>
        </w:rPr>
      </w:pPr>
    </w:p>
    <w:p w14:paraId="3359379E"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los artículos 132, 133, 135 y 137 de la Ley de Transparencia local.</w:t>
      </w:r>
    </w:p>
    <w:p w14:paraId="00B77A4D" w14:textId="77777777" w:rsidR="00B3308B" w:rsidRPr="008927AD" w:rsidRDefault="00B3308B" w:rsidP="008927AD">
      <w:pPr>
        <w:spacing w:line="360" w:lineRule="auto"/>
        <w:jc w:val="both"/>
        <w:rPr>
          <w:rFonts w:ascii="Palatino Linotype" w:eastAsia="Palatino Linotype" w:hAnsi="Palatino Linotype" w:cs="Palatino Linotype"/>
        </w:rPr>
      </w:pPr>
    </w:p>
    <w:p w14:paraId="19DB7D8B" w14:textId="77777777" w:rsidR="00B3308B" w:rsidRPr="008927AD" w:rsidRDefault="00601D2F" w:rsidP="008927AD">
      <w:pPr>
        <w:spacing w:line="360" w:lineRule="auto"/>
        <w:jc w:val="both"/>
        <w:rPr>
          <w:rFonts w:ascii="Palatino Linotype" w:eastAsia="Palatino Linotype" w:hAnsi="Palatino Linotype" w:cs="Palatino Linotype"/>
        </w:rPr>
      </w:pPr>
      <w:bookmarkStart w:id="4" w:name="_3znysh7" w:colFirst="0" w:colLast="0"/>
      <w:bookmarkEnd w:id="4"/>
      <w:r w:rsidRPr="008927AD">
        <w:rPr>
          <w:rFonts w:ascii="Palatino Linotype" w:eastAsia="Palatino Linotype" w:hAnsi="Palatino Linotype" w:cs="Palatino Linotype"/>
        </w:rPr>
        <w:t>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local, así como los numerales Segundo, fracción XVIII,  y del Cuarto al Décimo Primero de los Lineamientos Generales en materia de Clasificación y Desclasificación de la Información</w:t>
      </w:r>
      <w:r w:rsidRPr="008927AD">
        <w:rPr>
          <w:rFonts w:ascii="Palatino Linotype" w:eastAsia="Palatino Linotype" w:hAnsi="Palatino Linotype" w:cs="Palatino Linotype"/>
          <w:vertAlign w:val="superscript"/>
        </w:rPr>
        <w:footnoteReference w:id="14"/>
      </w:r>
      <w:r w:rsidRPr="008927AD">
        <w:rPr>
          <w:rFonts w:ascii="Palatino Linotype" w:eastAsia="Palatino Linotype" w:hAnsi="Palatino Linotype" w:cs="Palatino Linotype"/>
        </w:rPr>
        <w:t xml:space="preserve">, así como para la elaboración de Versiones Públicas, que literalmente expresan: </w:t>
      </w:r>
    </w:p>
    <w:p w14:paraId="146BFF5D" w14:textId="77777777" w:rsidR="00B3308B" w:rsidRPr="008927AD" w:rsidRDefault="00B3308B" w:rsidP="008927AD">
      <w:pPr>
        <w:ind w:left="851" w:right="902"/>
        <w:jc w:val="both"/>
        <w:rPr>
          <w:rFonts w:ascii="Palatino Linotype" w:eastAsia="Palatino Linotype" w:hAnsi="Palatino Linotype" w:cs="Palatino Linotype"/>
          <w:b/>
          <w:i/>
          <w:sz w:val="22"/>
          <w:szCs w:val="22"/>
        </w:rPr>
      </w:pPr>
    </w:p>
    <w:p w14:paraId="0E3044CE" w14:textId="77777777" w:rsidR="00B3308B" w:rsidRPr="008927AD" w:rsidRDefault="00601D2F" w:rsidP="008927AD">
      <w:pPr>
        <w:ind w:left="851" w:right="902"/>
        <w:jc w:val="both"/>
        <w:rPr>
          <w:rFonts w:ascii="Palatino Linotype" w:eastAsia="Palatino Linotype" w:hAnsi="Palatino Linotype" w:cs="Palatino Linotype"/>
          <w:b/>
          <w:i/>
          <w:sz w:val="22"/>
          <w:szCs w:val="22"/>
        </w:rPr>
      </w:pPr>
      <w:r w:rsidRPr="008927AD">
        <w:rPr>
          <w:rFonts w:ascii="Palatino Linotype" w:eastAsia="Palatino Linotype" w:hAnsi="Palatino Linotype" w:cs="Palatino Linotype"/>
          <w:b/>
          <w:i/>
          <w:sz w:val="22"/>
          <w:szCs w:val="22"/>
        </w:rPr>
        <w:t>Ley de Transparencia local.</w:t>
      </w:r>
    </w:p>
    <w:p w14:paraId="6CCC3C88" w14:textId="77777777" w:rsidR="00B3308B" w:rsidRPr="008927AD" w:rsidRDefault="00B3308B" w:rsidP="008927AD">
      <w:pPr>
        <w:ind w:left="851" w:right="902"/>
        <w:jc w:val="both"/>
        <w:rPr>
          <w:rFonts w:ascii="Palatino Linotype" w:eastAsia="Palatino Linotype" w:hAnsi="Palatino Linotype" w:cs="Palatino Linotype"/>
          <w:b/>
          <w:i/>
          <w:sz w:val="22"/>
          <w:szCs w:val="22"/>
        </w:rPr>
      </w:pPr>
    </w:p>
    <w:p w14:paraId="723B1D9C"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 xml:space="preserve">Artículo 49. </w:t>
      </w:r>
      <w:r w:rsidRPr="008927AD">
        <w:rPr>
          <w:rFonts w:ascii="Palatino Linotype" w:eastAsia="Palatino Linotype" w:hAnsi="Palatino Linotype" w:cs="Palatino Linotype"/>
          <w:i/>
          <w:sz w:val="22"/>
          <w:szCs w:val="22"/>
        </w:rPr>
        <w:t>Los Comités de Transparencia tendrán las siguientes atribuciones:</w:t>
      </w:r>
    </w:p>
    <w:p w14:paraId="60EBD6FE"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VIII. Aprobar, modificar o revocar la clasificación de la información;</w:t>
      </w:r>
    </w:p>
    <w:p w14:paraId="52A3A8B6"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6B8C312C"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lastRenderedPageBreak/>
        <w:t>Artículo 132.</w:t>
      </w:r>
      <w:r w:rsidRPr="008927AD">
        <w:rPr>
          <w:rFonts w:ascii="Palatino Linotype" w:eastAsia="Palatino Linotype" w:hAnsi="Palatino Linotype" w:cs="Palatino Linotype"/>
          <w:i/>
          <w:sz w:val="22"/>
          <w:szCs w:val="22"/>
        </w:rPr>
        <w:t xml:space="preserve"> La clasificación de la información se llevará a cabo en el momento en que:</w:t>
      </w:r>
    </w:p>
    <w:p w14:paraId="7C4743C4"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 Se reciba una solicitud de acceso a la información;</w:t>
      </w:r>
    </w:p>
    <w:p w14:paraId="54FFADDD"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II. Se determine mediante resolución de autoridad competente; o</w:t>
      </w:r>
    </w:p>
    <w:p w14:paraId="6FBDD445"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III. Se generen versiones públicas para dar cumplimiento a las obligaciones de transparencia previstas en esta Ley.”</w:t>
      </w:r>
    </w:p>
    <w:p w14:paraId="608544DD"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73AFBE67" w14:textId="77777777" w:rsidR="00B3308B" w:rsidRPr="008927AD" w:rsidRDefault="00601D2F" w:rsidP="008927AD">
      <w:pPr>
        <w:ind w:left="851"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Lineamientos Generales en materia de Clasificación y Desclasificación de la Información.</w:t>
      </w:r>
    </w:p>
    <w:p w14:paraId="382879BE"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w:t>
      </w:r>
      <w:r w:rsidRPr="008927AD">
        <w:rPr>
          <w:rFonts w:ascii="Palatino Linotype" w:eastAsia="Palatino Linotype" w:hAnsi="Palatino Linotype" w:cs="Palatino Linotype"/>
          <w:b/>
          <w:i/>
          <w:sz w:val="22"/>
          <w:szCs w:val="22"/>
        </w:rPr>
        <w:t>Segundo</w:t>
      </w:r>
      <w:r w:rsidRPr="008927AD">
        <w:rPr>
          <w:rFonts w:ascii="Palatino Linotype" w:eastAsia="Palatino Linotype" w:hAnsi="Palatino Linotype" w:cs="Palatino Linotype"/>
          <w:i/>
          <w:sz w:val="22"/>
          <w:szCs w:val="22"/>
        </w:rPr>
        <w:t>.- Para efectos de los presentes Lineamientos Generales, se entenderá por:</w:t>
      </w:r>
    </w:p>
    <w:p w14:paraId="03D33F79"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XVIII.  Versión pública:</w:t>
      </w:r>
      <w:r w:rsidRPr="008927A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A36C971"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02DACEA5"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Tercero: Derogado.</w:t>
      </w:r>
    </w:p>
    <w:p w14:paraId="1F363436"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7D7DABCC"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Cuarto.</w:t>
      </w:r>
      <w:r w:rsidRPr="008927A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349A15"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520803E6"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88A7A74"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13887D33"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Quinto.</w:t>
      </w:r>
      <w:r w:rsidRPr="008927A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37C4D2"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5486AE70"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Sexto: Derogado.</w:t>
      </w:r>
    </w:p>
    <w:p w14:paraId="4DDEEC28"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7C16A2D4"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Séptimo.</w:t>
      </w:r>
      <w:r w:rsidRPr="008927AD">
        <w:rPr>
          <w:rFonts w:ascii="Palatino Linotype" w:eastAsia="Palatino Linotype" w:hAnsi="Palatino Linotype" w:cs="Palatino Linotype"/>
          <w:i/>
          <w:sz w:val="22"/>
          <w:szCs w:val="22"/>
        </w:rPr>
        <w:t xml:space="preserve"> La clasificación de la informaci6n se llevara a cabo en el momento en que:</w:t>
      </w:r>
    </w:p>
    <w:p w14:paraId="0B71993A"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20100370"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lastRenderedPageBreak/>
        <w:t>I. Se reciba una solicitud de acceso a la información;</w:t>
      </w:r>
    </w:p>
    <w:p w14:paraId="2160B076"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155E715E"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632FD619"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3D356AB4"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Los titulares de las áreas deberán revisar la informaci6n requerida al momento de la recepci6n de una solicitud de acceso, para verificar, conforme a su naturaleza, si encuadra en una causal de reserva o de confidencialidad.</w:t>
      </w:r>
    </w:p>
    <w:p w14:paraId="454B4B44" w14:textId="77777777" w:rsidR="00B3308B" w:rsidRPr="008927AD" w:rsidRDefault="00B3308B" w:rsidP="008927AD">
      <w:pPr>
        <w:ind w:left="851" w:right="902"/>
        <w:jc w:val="both"/>
        <w:rPr>
          <w:rFonts w:ascii="Palatino Linotype" w:eastAsia="Palatino Linotype" w:hAnsi="Palatino Linotype" w:cs="Palatino Linotype"/>
          <w:b/>
          <w:i/>
          <w:sz w:val="22"/>
          <w:szCs w:val="22"/>
        </w:rPr>
      </w:pPr>
    </w:p>
    <w:p w14:paraId="74933B4E"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Octavo.</w:t>
      </w:r>
      <w:r w:rsidRPr="008927AD">
        <w:rPr>
          <w:rFonts w:ascii="Palatino Linotype" w:eastAsia="Palatino Linotype" w:hAnsi="Palatino Linotype" w:cs="Palatino Linotype"/>
          <w:i/>
          <w:sz w:val="22"/>
          <w:szCs w:val="22"/>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4F5703BD"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Para motivar la clasificaci6n se deberán señalar las razones o circunstancias especiales que lo llevaron a concluir que el caso particular se ajusta al supuesto previsto por la norma legal invocada como fundamento.</w:t>
      </w:r>
    </w:p>
    <w:p w14:paraId="583752C9" w14:textId="77777777" w:rsidR="00B3308B" w:rsidRPr="008927AD" w:rsidRDefault="00B3308B" w:rsidP="008927AD">
      <w:pPr>
        <w:ind w:left="851" w:right="902"/>
        <w:jc w:val="both"/>
        <w:rPr>
          <w:rFonts w:ascii="Palatino Linotype" w:eastAsia="Palatino Linotype" w:hAnsi="Palatino Linotype" w:cs="Palatino Linotype"/>
          <w:i/>
          <w:sz w:val="22"/>
          <w:szCs w:val="22"/>
        </w:rPr>
      </w:pPr>
    </w:p>
    <w:p w14:paraId="5D6FBCCA"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2AA6E12" w14:textId="77777777" w:rsidR="00B3308B" w:rsidRPr="008927AD" w:rsidRDefault="00B3308B" w:rsidP="008927AD">
      <w:pPr>
        <w:ind w:left="851" w:right="902"/>
        <w:jc w:val="both"/>
        <w:rPr>
          <w:rFonts w:ascii="Palatino Linotype" w:eastAsia="Palatino Linotype" w:hAnsi="Palatino Linotype" w:cs="Palatino Linotype"/>
          <w:b/>
          <w:i/>
          <w:sz w:val="22"/>
          <w:szCs w:val="22"/>
        </w:rPr>
      </w:pPr>
    </w:p>
    <w:p w14:paraId="7F4D7676"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Noveno.</w:t>
      </w:r>
      <w:r w:rsidRPr="008927A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C68979" w14:textId="77777777" w:rsidR="00B3308B" w:rsidRPr="008927AD" w:rsidRDefault="00B3308B" w:rsidP="008927AD">
      <w:pPr>
        <w:ind w:left="851" w:right="902"/>
        <w:jc w:val="both"/>
        <w:rPr>
          <w:rFonts w:ascii="Palatino Linotype" w:eastAsia="Palatino Linotype" w:hAnsi="Palatino Linotype" w:cs="Palatino Linotype"/>
          <w:b/>
          <w:i/>
          <w:sz w:val="22"/>
          <w:szCs w:val="22"/>
        </w:rPr>
      </w:pPr>
    </w:p>
    <w:p w14:paraId="3094C37F"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t>Décimo.</w:t>
      </w:r>
      <w:r w:rsidRPr="008927A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61C9F20"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 xml:space="preserve">En ausencia de los titulares de las áreas, la información será clasificada o desclasificada por la persona que lo supla, en términos de la normativa que rija la actuación del sujeto obligado. </w:t>
      </w:r>
    </w:p>
    <w:p w14:paraId="23116D1D" w14:textId="77777777" w:rsidR="00B3308B" w:rsidRPr="008927AD" w:rsidRDefault="00601D2F" w:rsidP="008927AD">
      <w:pPr>
        <w:ind w:left="851" w:right="902"/>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b/>
          <w:i/>
          <w:sz w:val="22"/>
          <w:szCs w:val="22"/>
        </w:rPr>
        <w:lastRenderedPageBreak/>
        <w:t>Décimo primero.</w:t>
      </w:r>
      <w:r w:rsidRPr="008927A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E93A6E2" w14:textId="77777777" w:rsidR="00B3308B" w:rsidRPr="008927AD" w:rsidRDefault="00B3308B" w:rsidP="008927AD">
      <w:pPr>
        <w:ind w:left="851" w:right="899"/>
        <w:jc w:val="both"/>
        <w:rPr>
          <w:rFonts w:ascii="Palatino Linotype" w:eastAsia="Palatino Linotype" w:hAnsi="Palatino Linotype" w:cs="Palatino Linotype"/>
          <w:b/>
          <w:i/>
        </w:rPr>
      </w:pPr>
    </w:p>
    <w:p w14:paraId="31761288"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9B1AA93" w14:textId="77777777" w:rsidR="00B3308B" w:rsidRPr="008927AD" w:rsidRDefault="00B3308B" w:rsidP="008927AD">
      <w:pPr>
        <w:spacing w:line="360" w:lineRule="auto"/>
        <w:jc w:val="both"/>
        <w:rPr>
          <w:rFonts w:ascii="Palatino Linotype" w:eastAsia="Palatino Linotype" w:hAnsi="Palatino Linotype" w:cs="Palatino Linotype"/>
        </w:rPr>
      </w:pPr>
    </w:p>
    <w:p w14:paraId="4FE98199" w14:textId="77777777" w:rsidR="00B3308B" w:rsidRPr="008927AD" w:rsidRDefault="00601D2F" w:rsidP="008927AD">
      <w:pPr>
        <w:spacing w:line="360" w:lineRule="auto"/>
        <w:ind w:right="-91"/>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Consecuentemente, se destaca que la versión pública que elabore </w:t>
      </w:r>
      <w:r w:rsidRPr="008927AD">
        <w:rPr>
          <w:rFonts w:ascii="Palatino Linotype" w:eastAsia="Palatino Linotype" w:hAnsi="Palatino Linotype" w:cs="Palatino Linotype"/>
          <w:b/>
        </w:rPr>
        <w:t>EL SUJETO OBLIGADO</w:t>
      </w:r>
      <w:r w:rsidRPr="008927AD">
        <w:rPr>
          <w:rFonts w:ascii="Palatino Linotype" w:eastAsia="Palatino Linotype" w:hAnsi="Palatino Linotype" w:cs="Palatino Linotype"/>
        </w:rPr>
        <w:t xml:space="preserve"> debe cumplir con las formalidades exigidas en la Ley, por lo que para tal efecto emitirá el </w:t>
      </w:r>
      <w:r w:rsidRPr="008927AD">
        <w:rPr>
          <w:rFonts w:ascii="Palatino Linotype" w:eastAsia="Palatino Linotype" w:hAnsi="Palatino Linotype" w:cs="Palatino Linotype"/>
          <w:b/>
        </w:rPr>
        <w:t>Acuerdo del Comité de Transparencia</w:t>
      </w:r>
      <w:r w:rsidRPr="008927AD">
        <w:rPr>
          <w:rFonts w:ascii="Palatino Linotype" w:eastAsia="Palatino Linotype" w:hAnsi="Palatino Linotype" w:cs="Palatino Linotype"/>
        </w:rPr>
        <w:t xml:space="preserve"> en términos de los artículos 122 y 124 de la Ley de Transparencia local,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4C1DAD43" w14:textId="77777777" w:rsidR="00B3308B" w:rsidRPr="008927AD" w:rsidRDefault="00B3308B" w:rsidP="008927AD">
      <w:pPr>
        <w:spacing w:line="360" w:lineRule="auto"/>
        <w:ind w:right="-91"/>
        <w:jc w:val="both"/>
        <w:rPr>
          <w:rFonts w:ascii="Palatino Linotype" w:eastAsia="Palatino Linotype" w:hAnsi="Palatino Linotype" w:cs="Palatino Linotype"/>
        </w:rPr>
      </w:pPr>
    </w:p>
    <w:p w14:paraId="188730C6" w14:textId="75B4AEF1" w:rsidR="00B3308B" w:rsidRPr="00B66F75" w:rsidRDefault="00601D2F" w:rsidP="00B66F75">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t xml:space="preserve">Así, con fundamento en lo prescrito en los artículos 5, párrafos trigésimo segundo, trigésimo tercero y trigésimo cuarto, y fracciones IV y V de la Constitución Política del Estado Libre y Soberano de México; 2, fracción II, 29, 36, fracciones I y II, 176, 178, 179, </w:t>
      </w:r>
      <w:r w:rsidRPr="008927AD">
        <w:rPr>
          <w:rFonts w:ascii="Palatino Linotype" w:eastAsia="Palatino Linotype" w:hAnsi="Palatino Linotype" w:cs="Palatino Linotype"/>
        </w:rPr>
        <w:lastRenderedPageBreak/>
        <w:t>181, 185, fracción I, 186 y 188 de la Ley de Transparencia y Acceso a la Información Pública del Estado de México y Municipios, este Pleno:</w:t>
      </w:r>
    </w:p>
    <w:p w14:paraId="1566C9A4" w14:textId="77777777" w:rsidR="008927AD" w:rsidRPr="008927AD" w:rsidRDefault="008927AD" w:rsidP="008927AD">
      <w:pPr>
        <w:rPr>
          <w:rFonts w:ascii="Palatino Linotype" w:eastAsia="Palatino Linotype" w:hAnsi="Palatino Linotype" w:cs="Palatino Linotype"/>
          <w:b/>
          <w:sz w:val="26"/>
          <w:szCs w:val="26"/>
        </w:rPr>
      </w:pPr>
    </w:p>
    <w:p w14:paraId="2352446A" w14:textId="77777777" w:rsidR="00B3308B" w:rsidRPr="008927AD" w:rsidRDefault="00601D2F" w:rsidP="008927AD">
      <w:pPr>
        <w:jc w:val="center"/>
        <w:rPr>
          <w:rFonts w:ascii="Palatino Linotype" w:eastAsia="Palatino Linotype" w:hAnsi="Palatino Linotype" w:cs="Palatino Linotype"/>
          <w:b/>
          <w:sz w:val="26"/>
          <w:szCs w:val="26"/>
        </w:rPr>
      </w:pPr>
      <w:r w:rsidRPr="008927AD">
        <w:rPr>
          <w:rFonts w:ascii="Palatino Linotype" w:eastAsia="Palatino Linotype" w:hAnsi="Palatino Linotype" w:cs="Palatino Linotype"/>
          <w:b/>
          <w:sz w:val="26"/>
          <w:szCs w:val="26"/>
        </w:rPr>
        <w:t>RESUELVE</w:t>
      </w:r>
    </w:p>
    <w:p w14:paraId="261753F3" w14:textId="77777777" w:rsidR="00B3308B" w:rsidRPr="008927AD" w:rsidRDefault="00B3308B" w:rsidP="008927AD">
      <w:pPr>
        <w:ind w:right="49"/>
        <w:jc w:val="both"/>
        <w:rPr>
          <w:rFonts w:ascii="Palatino Linotype" w:eastAsia="Palatino Linotype" w:hAnsi="Palatino Linotype" w:cs="Palatino Linotype"/>
          <w:b/>
        </w:rPr>
      </w:pPr>
    </w:p>
    <w:p w14:paraId="67FC6904"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b/>
          <w:sz w:val="28"/>
          <w:szCs w:val="28"/>
        </w:rPr>
        <w:t>PRIMERO</w:t>
      </w:r>
      <w:r w:rsidRPr="008927AD">
        <w:rPr>
          <w:rFonts w:ascii="Palatino Linotype" w:eastAsia="Palatino Linotype" w:hAnsi="Palatino Linotype" w:cs="Palatino Linotype"/>
          <w:b/>
        </w:rPr>
        <w:t xml:space="preserve">. </w:t>
      </w:r>
      <w:r w:rsidRPr="008927AD">
        <w:rPr>
          <w:rFonts w:ascii="Palatino Linotype" w:eastAsia="Palatino Linotype" w:hAnsi="Palatino Linotype" w:cs="Palatino Linotype"/>
        </w:rPr>
        <w:t xml:space="preserve">Resultan </w:t>
      </w:r>
      <w:r w:rsidRPr="008927AD">
        <w:rPr>
          <w:rFonts w:ascii="Palatino Linotype" w:eastAsia="Palatino Linotype" w:hAnsi="Palatino Linotype" w:cs="Palatino Linotype"/>
          <w:b/>
        </w:rPr>
        <w:t>fundadas</w:t>
      </w:r>
      <w:r w:rsidRPr="008927AD">
        <w:rPr>
          <w:rFonts w:ascii="Palatino Linotype" w:eastAsia="Palatino Linotype" w:hAnsi="Palatino Linotype" w:cs="Palatino Linotype"/>
        </w:rPr>
        <w:t xml:space="preserve"> las razones o motivos de inconformidad planteadas por </w:t>
      </w:r>
      <w:r w:rsidRPr="008927AD">
        <w:rPr>
          <w:rFonts w:ascii="Palatino Linotype" w:eastAsia="Palatino Linotype" w:hAnsi="Palatino Linotype" w:cs="Palatino Linotype"/>
          <w:b/>
        </w:rPr>
        <w:t>LA RECURRENTE</w:t>
      </w:r>
      <w:r w:rsidRPr="008927AD">
        <w:rPr>
          <w:rFonts w:ascii="Palatino Linotype" w:eastAsia="Palatino Linotype" w:hAnsi="Palatino Linotype" w:cs="Palatino Linotype"/>
        </w:rPr>
        <w:t xml:space="preserve">, en términos del Considerando </w:t>
      </w:r>
      <w:r w:rsidRPr="008927AD">
        <w:rPr>
          <w:rFonts w:ascii="Palatino Linotype" w:eastAsia="Palatino Linotype" w:hAnsi="Palatino Linotype" w:cs="Palatino Linotype"/>
          <w:b/>
        </w:rPr>
        <w:t>CUARTO</w:t>
      </w:r>
      <w:r w:rsidRPr="008927AD">
        <w:rPr>
          <w:rFonts w:ascii="Palatino Linotype" w:eastAsia="Palatino Linotype" w:hAnsi="Palatino Linotype" w:cs="Palatino Linotype"/>
        </w:rPr>
        <w:t xml:space="preserve"> de la presente resolución.</w:t>
      </w:r>
    </w:p>
    <w:p w14:paraId="5955B331" w14:textId="77777777" w:rsidR="00B3308B" w:rsidRPr="008927AD" w:rsidRDefault="00B3308B" w:rsidP="008927AD">
      <w:pPr>
        <w:spacing w:line="360" w:lineRule="auto"/>
        <w:jc w:val="both"/>
        <w:rPr>
          <w:rFonts w:ascii="Palatino Linotype" w:eastAsia="Palatino Linotype" w:hAnsi="Palatino Linotype" w:cs="Palatino Linotype"/>
        </w:rPr>
      </w:pPr>
    </w:p>
    <w:p w14:paraId="47C8387D" w14:textId="77777777" w:rsidR="00B3308B" w:rsidRPr="008927AD" w:rsidRDefault="00601D2F" w:rsidP="008927AD">
      <w:pPr>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sz w:val="28"/>
          <w:szCs w:val="28"/>
        </w:rPr>
        <w:t>SEGUNDO</w:t>
      </w:r>
      <w:r w:rsidRPr="008927AD">
        <w:rPr>
          <w:rFonts w:ascii="Palatino Linotype" w:eastAsia="Palatino Linotype" w:hAnsi="Palatino Linotype" w:cs="Palatino Linotype"/>
          <w:b/>
        </w:rPr>
        <w:t xml:space="preserve">. </w:t>
      </w:r>
      <w:r w:rsidRPr="008927AD">
        <w:rPr>
          <w:rFonts w:ascii="Palatino Linotype" w:eastAsia="Palatino Linotype" w:hAnsi="Palatino Linotype" w:cs="Palatino Linotype"/>
        </w:rPr>
        <w:t>Se</w:t>
      </w:r>
      <w:r w:rsidRPr="008927AD">
        <w:rPr>
          <w:rFonts w:ascii="Palatino Linotype" w:eastAsia="Palatino Linotype" w:hAnsi="Palatino Linotype" w:cs="Palatino Linotype"/>
          <w:b/>
        </w:rPr>
        <w:t xml:space="preserve"> REVOCA </w:t>
      </w:r>
      <w:r w:rsidRPr="008927AD">
        <w:rPr>
          <w:rFonts w:ascii="Palatino Linotype" w:eastAsia="Palatino Linotype" w:hAnsi="Palatino Linotype" w:cs="Palatino Linotype"/>
        </w:rPr>
        <w:t xml:space="preserve">la respuesta del </w:t>
      </w:r>
      <w:r w:rsidRPr="008927AD">
        <w:rPr>
          <w:rFonts w:ascii="Palatino Linotype" w:eastAsia="Palatino Linotype" w:hAnsi="Palatino Linotype" w:cs="Palatino Linotype"/>
          <w:b/>
        </w:rPr>
        <w:t xml:space="preserve">SUJETO OBLIGADO </w:t>
      </w:r>
      <w:r w:rsidRPr="008927AD">
        <w:rPr>
          <w:rFonts w:ascii="Palatino Linotype" w:eastAsia="Palatino Linotype" w:hAnsi="Palatino Linotype" w:cs="Palatino Linotype"/>
        </w:rPr>
        <w:t xml:space="preserve">que dio origen al Recurso de Revisión número </w:t>
      </w:r>
      <w:r w:rsidRPr="008927AD">
        <w:rPr>
          <w:rFonts w:ascii="Palatino Linotype" w:eastAsia="Palatino Linotype" w:hAnsi="Palatino Linotype" w:cs="Palatino Linotype"/>
          <w:b/>
        </w:rPr>
        <w:t>00407/INFOEM/IP/RR/2023</w:t>
      </w:r>
      <w:r w:rsidRPr="008927AD">
        <w:rPr>
          <w:rFonts w:ascii="Palatino Linotype" w:eastAsia="Palatino Linotype" w:hAnsi="Palatino Linotype" w:cs="Palatino Linotype"/>
        </w:rPr>
        <w:t xml:space="preserve">, en términos del Considerando </w:t>
      </w:r>
      <w:r w:rsidRPr="008927AD">
        <w:rPr>
          <w:rFonts w:ascii="Palatino Linotype" w:eastAsia="Palatino Linotype" w:hAnsi="Palatino Linotype" w:cs="Palatino Linotype"/>
          <w:b/>
        </w:rPr>
        <w:t>CUARTO</w:t>
      </w:r>
      <w:r w:rsidRPr="008927AD">
        <w:rPr>
          <w:rFonts w:ascii="Palatino Linotype" w:eastAsia="Palatino Linotype" w:hAnsi="Palatino Linotype" w:cs="Palatino Linotype"/>
        </w:rPr>
        <w:t xml:space="preserve"> y, haga entrega al </w:t>
      </w:r>
      <w:r w:rsidRPr="008927AD">
        <w:rPr>
          <w:rFonts w:ascii="Palatino Linotype" w:eastAsia="Palatino Linotype" w:hAnsi="Palatino Linotype" w:cs="Palatino Linotype"/>
          <w:b/>
        </w:rPr>
        <w:t>RECURRENTE</w:t>
      </w:r>
      <w:r w:rsidRPr="008927AD">
        <w:rPr>
          <w:rFonts w:ascii="Palatino Linotype" w:eastAsia="Palatino Linotype" w:hAnsi="Palatino Linotype" w:cs="Palatino Linotype"/>
        </w:rPr>
        <w:t xml:space="preserve">, vía </w:t>
      </w:r>
      <w:r w:rsidRPr="008927AD">
        <w:rPr>
          <w:rFonts w:ascii="Palatino Linotype" w:eastAsia="Palatino Linotype" w:hAnsi="Palatino Linotype" w:cs="Palatino Linotype"/>
          <w:b/>
        </w:rPr>
        <w:t>SAIMEX</w:t>
      </w:r>
      <w:r w:rsidRPr="008927AD">
        <w:rPr>
          <w:rFonts w:ascii="Palatino Linotype" w:eastAsia="Palatino Linotype" w:hAnsi="Palatino Linotype" w:cs="Palatino Linotype"/>
        </w:rPr>
        <w:t xml:space="preserve">, de ser procedente en </w:t>
      </w:r>
      <w:r w:rsidRPr="008927AD">
        <w:rPr>
          <w:rFonts w:ascii="Palatino Linotype" w:eastAsia="Palatino Linotype" w:hAnsi="Palatino Linotype" w:cs="Palatino Linotype"/>
          <w:b/>
        </w:rPr>
        <w:t xml:space="preserve">versión pública </w:t>
      </w:r>
      <w:r w:rsidRPr="008927AD">
        <w:rPr>
          <w:rFonts w:ascii="Palatino Linotype" w:eastAsia="Palatino Linotype" w:hAnsi="Palatino Linotype" w:cs="Palatino Linotype"/>
        </w:rPr>
        <w:t>de lo siguiente:</w:t>
      </w:r>
    </w:p>
    <w:p w14:paraId="672BFD82" w14:textId="77777777" w:rsidR="00B3308B" w:rsidRPr="008927AD" w:rsidRDefault="00B3308B" w:rsidP="008927AD">
      <w:pPr>
        <w:pBdr>
          <w:top w:val="nil"/>
          <w:left w:val="nil"/>
          <w:bottom w:val="nil"/>
          <w:right w:val="nil"/>
          <w:between w:val="nil"/>
        </w:pBdr>
        <w:spacing w:line="276" w:lineRule="auto"/>
        <w:ind w:left="1080" w:right="899"/>
        <w:jc w:val="both"/>
        <w:rPr>
          <w:rFonts w:ascii="Palatino Linotype" w:eastAsia="Palatino Linotype" w:hAnsi="Palatino Linotype" w:cs="Palatino Linotype"/>
          <w:i/>
          <w:sz w:val="22"/>
          <w:szCs w:val="22"/>
        </w:rPr>
      </w:pPr>
    </w:p>
    <w:p w14:paraId="1DA945DC" w14:textId="77777777" w:rsidR="00B3308B" w:rsidRPr="008927AD" w:rsidRDefault="00601D2F" w:rsidP="008927AD">
      <w:pPr>
        <w:numPr>
          <w:ilvl w:val="1"/>
          <w:numId w:val="4"/>
        </w:numPr>
        <w:pBdr>
          <w:top w:val="nil"/>
          <w:left w:val="nil"/>
          <w:bottom w:val="nil"/>
          <w:right w:val="nil"/>
          <w:between w:val="nil"/>
        </w:pBdr>
        <w:spacing w:line="276" w:lineRule="auto"/>
        <w:ind w:right="899"/>
        <w:jc w:val="both"/>
        <w:rPr>
          <w:rFonts w:ascii="Palatino Linotype" w:eastAsia="Palatino Linotype" w:hAnsi="Palatino Linotype" w:cs="Palatino Linotype"/>
          <w:i/>
          <w:sz w:val="22"/>
          <w:szCs w:val="22"/>
        </w:rPr>
      </w:pPr>
      <w:bookmarkStart w:id="5" w:name="_2et92p0" w:colFirst="0" w:colLast="0"/>
      <w:bookmarkEnd w:id="5"/>
      <w:r w:rsidRPr="008927AD">
        <w:rPr>
          <w:rFonts w:ascii="Palatino Linotype" w:eastAsia="Palatino Linotype" w:hAnsi="Palatino Linotype" w:cs="Palatino Linotype"/>
          <w:i/>
          <w:sz w:val="22"/>
          <w:szCs w:val="22"/>
        </w:rPr>
        <w:t xml:space="preserve">Cédula de bienes inmuebles del Municipio de San Mateo Atenco al quince de diciembre de dos mil veintidós en el que se advierta la </w:t>
      </w:r>
      <w:r w:rsidRPr="008927AD">
        <w:rPr>
          <w:rFonts w:ascii="Palatino Linotype" w:eastAsia="Palatino Linotype" w:hAnsi="Palatino Linotype" w:cs="Palatino Linotype"/>
          <w:b/>
          <w:i/>
          <w:sz w:val="22"/>
          <w:szCs w:val="22"/>
        </w:rPr>
        <w:t>situación jurídica</w:t>
      </w:r>
      <w:r w:rsidRPr="008927AD">
        <w:rPr>
          <w:rFonts w:ascii="Palatino Linotype" w:eastAsia="Palatino Linotype" w:hAnsi="Palatino Linotype" w:cs="Palatino Linotype"/>
          <w:i/>
          <w:sz w:val="22"/>
          <w:szCs w:val="22"/>
        </w:rPr>
        <w:t xml:space="preserve"> de predios —invadidos, regularizados y en procedimientos de recuperación administrativa— del primero de enero al quince de diciembre de dos mil veintidós.</w:t>
      </w:r>
    </w:p>
    <w:p w14:paraId="01E9D667" w14:textId="77777777" w:rsidR="00B3308B" w:rsidRPr="008927AD" w:rsidRDefault="00B3308B" w:rsidP="008927AD">
      <w:pPr>
        <w:spacing w:line="276" w:lineRule="auto"/>
        <w:ind w:left="851" w:right="899"/>
        <w:jc w:val="both"/>
        <w:rPr>
          <w:rFonts w:ascii="Palatino Linotype" w:eastAsia="Palatino Linotype" w:hAnsi="Palatino Linotype" w:cs="Palatino Linotype"/>
          <w:i/>
          <w:sz w:val="22"/>
          <w:szCs w:val="22"/>
        </w:rPr>
      </w:pPr>
    </w:p>
    <w:p w14:paraId="02D2D9DB" w14:textId="77777777" w:rsidR="00B3308B" w:rsidRPr="008927AD" w:rsidRDefault="00601D2F" w:rsidP="008927AD">
      <w:pPr>
        <w:spacing w:line="276" w:lineRule="auto"/>
        <w:ind w:left="709"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 xml:space="preserve">Debiendo notificar al </w:t>
      </w:r>
      <w:r w:rsidRPr="008927AD">
        <w:rPr>
          <w:rFonts w:ascii="Palatino Linotype" w:eastAsia="Palatino Linotype" w:hAnsi="Palatino Linotype" w:cs="Palatino Linotype"/>
          <w:b/>
          <w:i/>
          <w:sz w:val="22"/>
          <w:szCs w:val="22"/>
        </w:rPr>
        <w:t>RECURRENTE</w:t>
      </w:r>
      <w:r w:rsidRPr="008927AD">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 ante la eliminación de los datos confidenciales.</w:t>
      </w:r>
    </w:p>
    <w:p w14:paraId="6DFC4F05" w14:textId="77777777" w:rsidR="00B3308B" w:rsidRPr="008927AD" w:rsidRDefault="00B3308B" w:rsidP="008927AD">
      <w:pPr>
        <w:spacing w:line="276" w:lineRule="auto"/>
        <w:ind w:left="709" w:right="899"/>
        <w:jc w:val="both"/>
        <w:rPr>
          <w:rFonts w:ascii="Palatino Linotype" w:eastAsia="Palatino Linotype" w:hAnsi="Palatino Linotype" w:cs="Palatino Linotype"/>
          <w:i/>
          <w:sz w:val="22"/>
          <w:szCs w:val="22"/>
        </w:rPr>
      </w:pPr>
    </w:p>
    <w:p w14:paraId="037066F4" w14:textId="77777777" w:rsidR="00B3308B" w:rsidRPr="008927AD" w:rsidRDefault="00601D2F" w:rsidP="008927AD">
      <w:pPr>
        <w:spacing w:line="276" w:lineRule="auto"/>
        <w:ind w:left="709" w:right="899"/>
        <w:jc w:val="both"/>
        <w:rPr>
          <w:rFonts w:ascii="Palatino Linotype" w:eastAsia="Palatino Linotype" w:hAnsi="Palatino Linotype" w:cs="Palatino Linotype"/>
          <w:i/>
          <w:sz w:val="22"/>
          <w:szCs w:val="22"/>
        </w:rPr>
      </w:pPr>
      <w:r w:rsidRPr="008927AD">
        <w:rPr>
          <w:rFonts w:ascii="Palatino Linotype" w:eastAsia="Palatino Linotype" w:hAnsi="Palatino Linotype" w:cs="Palatino Linotype"/>
          <w:i/>
          <w:sz w:val="22"/>
          <w:szCs w:val="22"/>
        </w:rPr>
        <w:t xml:space="preserve">Para el caso de que no se tengan predios invadidos, regularizados y/o en procedimientos de recuperación administrativa deberá hacerlo del conocimiento del </w:t>
      </w:r>
      <w:r w:rsidRPr="008927AD">
        <w:rPr>
          <w:rFonts w:ascii="Palatino Linotype" w:eastAsia="Palatino Linotype" w:hAnsi="Palatino Linotype" w:cs="Palatino Linotype"/>
          <w:b/>
          <w:i/>
          <w:sz w:val="22"/>
          <w:szCs w:val="22"/>
        </w:rPr>
        <w:t>RECURRENTE</w:t>
      </w:r>
      <w:r w:rsidRPr="008927AD">
        <w:rPr>
          <w:rFonts w:ascii="Palatino Linotype" w:eastAsia="Palatino Linotype" w:hAnsi="Palatino Linotype" w:cs="Palatino Linotype"/>
          <w:i/>
          <w:sz w:val="22"/>
          <w:szCs w:val="22"/>
        </w:rPr>
        <w:t>.</w:t>
      </w:r>
    </w:p>
    <w:p w14:paraId="0A2A5F75" w14:textId="77777777" w:rsidR="00B3308B" w:rsidRPr="008927AD" w:rsidRDefault="00B3308B" w:rsidP="008927AD">
      <w:pPr>
        <w:spacing w:line="276" w:lineRule="auto"/>
        <w:ind w:left="851" w:right="899"/>
        <w:jc w:val="both"/>
        <w:rPr>
          <w:rFonts w:ascii="Palatino Linotype" w:eastAsia="Palatino Linotype" w:hAnsi="Palatino Linotype" w:cs="Palatino Linotype"/>
          <w:i/>
          <w:sz w:val="22"/>
          <w:szCs w:val="22"/>
        </w:rPr>
      </w:pPr>
    </w:p>
    <w:p w14:paraId="169CC38E" w14:textId="77777777" w:rsidR="008927AD" w:rsidRPr="008927AD" w:rsidRDefault="008927AD" w:rsidP="008927AD">
      <w:pPr>
        <w:spacing w:line="276" w:lineRule="auto"/>
        <w:ind w:left="851" w:right="899"/>
        <w:jc w:val="both"/>
        <w:rPr>
          <w:rFonts w:ascii="Palatino Linotype" w:eastAsia="Palatino Linotype" w:hAnsi="Palatino Linotype" w:cs="Palatino Linotype"/>
          <w:i/>
          <w:sz w:val="22"/>
          <w:szCs w:val="22"/>
        </w:rPr>
      </w:pPr>
    </w:p>
    <w:p w14:paraId="1706CCF8" w14:textId="77777777" w:rsidR="00B3308B" w:rsidRPr="008927AD" w:rsidRDefault="00601D2F" w:rsidP="008927AD">
      <w:pPr>
        <w:widowControl w:val="0"/>
        <w:tabs>
          <w:tab w:val="left" w:pos="1701"/>
        </w:tabs>
        <w:spacing w:line="360" w:lineRule="auto"/>
        <w:jc w:val="both"/>
        <w:rPr>
          <w:rFonts w:ascii="Palatino Linotype" w:eastAsia="Palatino Linotype" w:hAnsi="Palatino Linotype" w:cs="Palatino Linotype"/>
          <w:b/>
        </w:rPr>
      </w:pPr>
      <w:r w:rsidRPr="008927AD">
        <w:rPr>
          <w:rFonts w:ascii="Palatino Linotype" w:eastAsia="Palatino Linotype" w:hAnsi="Palatino Linotype" w:cs="Palatino Linotype"/>
          <w:b/>
          <w:sz w:val="28"/>
          <w:szCs w:val="28"/>
        </w:rPr>
        <w:t>TERCERO</w:t>
      </w:r>
      <w:r w:rsidRPr="008927AD">
        <w:rPr>
          <w:rFonts w:ascii="Palatino Linotype" w:eastAsia="Palatino Linotype" w:hAnsi="Palatino Linotype" w:cs="Palatino Linotype"/>
          <w:b/>
        </w:rPr>
        <w:t xml:space="preserve">. Notifíquese </w:t>
      </w:r>
      <w:r w:rsidRPr="008927AD">
        <w:rPr>
          <w:rFonts w:ascii="Palatino Linotype" w:eastAsia="Palatino Linotype" w:hAnsi="Palatino Linotype" w:cs="Palatino Linotype"/>
        </w:rPr>
        <w:t xml:space="preserve">la presente resolución al Titular de la Unidad de </w:t>
      </w:r>
      <w:r w:rsidRPr="008927AD">
        <w:rPr>
          <w:rFonts w:ascii="Palatino Linotype" w:eastAsia="Palatino Linotype" w:hAnsi="Palatino Linotype" w:cs="Palatino Linotype"/>
        </w:rPr>
        <w:lastRenderedPageBreak/>
        <w:t>Transparencia del</w:t>
      </w:r>
      <w:r w:rsidRPr="008927AD">
        <w:rPr>
          <w:rFonts w:ascii="Palatino Linotype" w:eastAsia="Palatino Linotype" w:hAnsi="Palatino Linotype" w:cs="Palatino Linotype"/>
          <w:b/>
        </w:rPr>
        <w:t xml:space="preserve"> SUJETO OBLIGADO</w:t>
      </w:r>
      <w:r w:rsidRPr="008927AD">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w:t>
      </w:r>
      <w:r w:rsidRPr="008927AD">
        <w:rPr>
          <w:rFonts w:ascii="Palatino Linotype" w:eastAsia="Palatino Linotype" w:hAnsi="Palatino Linotype" w:cs="Palatino Linotype"/>
          <w:b/>
        </w:rPr>
        <w:t>de diez días hábiles</w:t>
      </w:r>
      <w:r w:rsidRPr="008927AD">
        <w:rPr>
          <w:rFonts w:ascii="Palatino Linotype" w:eastAsia="Palatino Linotype" w:hAnsi="Palatino Linotype" w:cs="Palatino Linotype"/>
        </w:rPr>
        <w:t>, e informe a este Instituto en un plazo de tres días hábiles siguientes sobre el cumplimiento dado a la presente</w:t>
      </w:r>
      <w:r w:rsidRPr="008927AD">
        <w:rPr>
          <w:rFonts w:ascii="Palatino Linotype" w:eastAsia="Palatino Linotype" w:hAnsi="Palatino Linotype" w:cs="Palatino Linotype"/>
          <w:b/>
        </w:rPr>
        <w:t xml:space="preserv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F20A46" w14:textId="77777777" w:rsidR="00B3308B" w:rsidRPr="008927AD" w:rsidRDefault="00B3308B" w:rsidP="008927AD">
      <w:pPr>
        <w:widowControl w:val="0"/>
        <w:tabs>
          <w:tab w:val="left" w:pos="1701"/>
        </w:tabs>
        <w:spacing w:line="360" w:lineRule="auto"/>
        <w:jc w:val="both"/>
        <w:rPr>
          <w:rFonts w:ascii="Palatino Linotype" w:eastAsia="Palatino Linotype" w:hAnsi="Palatino Linotype" w:cs="Palatino Linotype"/>
          <w:b/>
          <w:u w:val="single"/>
        </w:rPr>
      </w:pPr>
    </w:p>
    <w:p w14:paraId="32812ADF" w14:textId="77777777" w:rsidR="00B3308B" w:rsidRPr="008927AD" w:rsidRDefault="00601D2F" w:rsidP="008927AD">
      <w:pPr>
        <w:widowControl w:val="0"/>
        <w:tabs>
          <w:tab w:val="left" w:pos="1701"/>
        </w:tabs>
        <w:spacing w:line="360" w:lineRule="auto"/>
        <w:jc w:val="both"/>
        <w:rPr>
          <w:rFonts w:ascii="Palatino Linotype" w:eastAsia="Palatino Linotype" w:hAnsi="Palatino Linotype" w:cs="Palatino Linotype"/>
        </w:rPr>
      </w:pPr>
      <w:bookmarkStart w:id="6" w:name="_tyjcwt" w:colFirst="0" w:colLast="0"/>
      <w:bookmarkEnd w:id="6"/>
      <w:r w:rsidRPr="008927AD">
        <w:rPr>
          <w:rFonts w:ascii="Palatino Linotype" w:eastAsia="Palatino Linotype" w:hAnsi="Palatino Linotype" w:cs="Palatino Linotype"/>
          <w:b/>
          <w:sz w:val="28"/>
          <w:szCs w:val="28"/>
        </w:rPr>
        <w:t>CUARTO.</w:t>
      </w:r>
      <w:r w:rsidRPr="008927AD">
        <w:rPr>
          <w:rFonts w:ascii="Palatino Linotype" w:eastAsia="Palatino Linotype" w:hAnsi="Palatino Linotype" w:cs="Palatino Linotype"/>
          <w:b/>
        </w:rPr>
        <w:t xml:space="preserve"> Notifíquese</w:t>
      </w:r>
      <w:r w:rsidRPr="008927AD">
        <w:rPr>
          <w:rFonts w:ascii="Palatino Linotype" w:eastAsia="Palatino Linotype" w:hAnsi="Palatino Linotype" w:cs="Palatino Linotype"/>
        </w:rPr>
        <w:t xml:space="preserve"> a </w:t>
      </w:r>
      <w:r w:rsidRPr="008927AD">
        <w:rPr>
          <w:rFonts w:ascii="Palatino Linotype" w:eastAsia="Palatino Linotype" w:hAnsi="Palatino Linotype" w:cs="Palatino Linotype"/>
          <w:b/>
        </w:rPr>
        <w:t>LA RECURRENTE</w:t>
      </w:r>
      <w:r w:rsidRPr="008927AD">
        <w:rPr>
          <w:rFonts w:ascii="Palatino Linotype" w:eastAsia="Palatino Linotype" w:hAnsi="Palatino Linotype" w:cs="Palatino Linotype"/>
        </w:rPr>
        <w:t xml:space="preserve"> la presente resolución vía Sistema de Acceso a la Información Mexiquense </w:t>
      </w:r>
      <w:r w:rsidRPr="008927AD">
        <w:rPr>
          <w:rFonts w:ascii="Palatino Linotype" w:eastAsia="Palatino Linotype" w:hAnsi="Palatino Linotype" w:cs="Palatino Linotype"/>
          <w:b/>
        </w:rPr>
        <w:t>SAIMEX</w:t>
      </w:r>
      <w:r w:rsidRPr="008927AD">
        <w:rPr>
          <w:rFonts w:ascii="Palatino Linotype" w:eastAsia="Palatino Linotype" w:hAnsi="Palatino Linotype" w:cs="Palatino Linotype"/>
        </w:rPr>
        <w:t>.</w:t>
      </w:r>
    </w:p>
    <w:p w14:paraId="20568834" w14:textId="77777777" w:rsidR="00B3308B" w:rsidRPr="008927AD" w:rsidRDefault="00B3308B" w:rsidP="008927AD">
      <w:pPr>
        <w:widowControl w:val="0"/>
        <w:tabs>
          <w:tab w:val="left" w:pos="1701"/>
        </w:tabs>
        <w:spacing w:line="360" w:lineRule="auto"/>
        <w:jc w:val="both"/>
        <w:rPr>
          <w:rFonts w:ascii="Palatino Linotype" w:eastAsia="Palatino Linotype" w:hAnsi="Palatino Linotype" w:cs="Palatino Linotype"/>
          <w:sz w:val="20"/>
          <w:szCs w:val="20"/>
        </w:rPr>
      </w:pPr>
    </w:p>
    <w:p w14:paraId="32B3E88A" w14:textId="77777777" w:rsidR="00B3308B" w:rsidRPr="008927AD" w:rsidRDefault="00601D2F" w:rsidP="008927AD">
      <w:pPr>
        <w:widowControl w:val="0"/>
        <w:tabs>
          <w:tab w:val="left" w:pos="1276"/>
        </w:tabs>
        <w:spacing w:line="360" w:lineRule="auto"/>
        <w:ind w:right="49"/>
        <w:jc w:val="both"/>
        <w:rPr>
          <w:rFonts w:ascii="Palatino Linotype" w:eastAsia="Palatino Linotype" w:hAnsi="Palatino Linotype" w:cs="Palatino Linotype"/>
        </w:rPr>
      </w:pPr>
      <w:r w:rsidRPr="008927AD">
        <w:rPr>
          <w:rFonts w:ascii="Palatino Linotype" w:eastAsia="Palatino Linotype" w:hAnsi="Palatino Linotype" w:cs="Palatino Linotype"/>
          <w:b/>
          <w:sz w:val="28"/>
          <w:szCs w:val="28"/>
        </w:rPr>
        <w:t>QUINTO.</w:t>
      </w:r>
      <w:r w:rsidRPr="008927AD">
        <w:rPr>
          <w:rFonts w:ascii="Palatino Linotype" w:eastAsia="Palatino Linotype" w:hAnsi="Palatino Linotype" w:cs="Palatino Linotype"/>
        </w:rPr>
        <w:t xml:space="preserve"> </w:t>
      </w:r>
      <w:r w:rsidRPr="008927AD">
        <w:rPr>
          <w:rFonts w:ascii="Palatino Linotype" w:eastAsia="Palatino Linotype" w:hAnsi="Palatino Linotype" w:cs="Palatino Linotype"/>
          <w:b/>
        </w:rPr>
        <w:t>Hágase</w:t>
      </w:r>
      <w:r w:rsidRPr="008927AD">
        <w:rPr>
          <w:rFonts w:ascii="Palatino Linotype" w:eastAsia="Palatino Linotype" w:hAnsi="Palatino Linotype" w:cs="Palatino Linotype"/>
        </w:rPr>
        <w:t xml:space="preserve"> </w:t>
      </w:r>
      <w:r w:rsidRPr="008927AD">
        <w:rPr>
          <w:rFonts w:ascii="Palatino Linotype" w:eastAsia="Palatino Linotype" w:hAnsi="Palatino Linotype" w:cs="Palatino Linotype"/>
          <w:b/>
        </w:rPr>
        <w:t>del conocimiento</w:t>
      </w:r>
      <w:r w:rsidRPr="008927AD">
        <w:rPr>
          <w:rFonts w:ascii="Palatino Linotype" w:eastAsia="Palatino Linotype" w:hAnsi="Palatino Linotype" w:cs="Palatino Linotype"/>
        </w:rPr>
        <w:t xml:space="preserve"> de </w:t>
      </w:r>
      <w:r w:rsidRPr="008927AD">
        <w:rPr>
          <w:rFonts w:ascii="Palatino Linotype" w:eastAsia="Palatino Linotype" w:hAnsi="Palatino Linotype" w:cs="Palatino Linotype"/>
          <w:b/>
        </w:rPr>
        <w:t>LA RECURRENTE</w:t>
      </w:r>
      <w:r w:rsidRPr="008927AD">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AECD212" w14:textId="77777777" w:rsidR="00B3308B" w:rsidRPr="008927AD" w:rsidRDefault="00B3308B" w:rsidP="008927AD">
      <w:pPr>
        <w:widowControl w:val="0"/>
        <w:tabs>
          <w:tab w:val="left" w:pos="1276"/>
        </w:tabs>
        <w:spacing w:line="360" w:lineRule="auto"/>
        <w:ind w:right="49"/>
        <w:jc w:val="both"/>
        <w:rPr>
          <w:rFonts w:ascii="Palatino Linotype" w:eastAsia="Palatino Linotype" w:hAnsi="Palatino Linotype" w:cs="Palatino Linotype"/>
        </w:rPr>
      </w:pPr>
    </w:p>
    <w:p w14:paraId="2A43D182" w14:textId="77777777" w:rsidR="00B3308B" w:rsidRPr="008927AD" w:rsidRDefault="00601D2F" w:rsidP="008927AD">
      <w:pPr>
        <w:widowControl w:val="0"/>
        <w:tabs>
          <w:tab w:val="left" w:pos="1276"/>
        </w:tabs>
        <w:spacing w:line="360" w:lineRule="auto"/>
        <w:ind w:right="49"/>
        <w:jc w:val="both"/>
        <w:rPr>
          <w:rFonts w:ascii="Palatino Linotype" w:eastAsia="Palatino Linotype" w:hAnsi="Palatino Linotype" w:cs="Palatino Linotype"/>
        </w:rPr>
      </w:pPr>
      <w:r w:rsidRPr="008927AD">
        <w:rPr>
          <w:rFonts w:ascii="Palatino Linotype" w:eastAsia="Palatino Linotype" w:hAnsi="Palatino Linotype" w:cs="Palatino Linotype"/>
          <w:b/>
          <w:sz w:val="28"/>
          <w:szCs w:val="28"/>
        </w:rPr>
        <w:t xml:space="preserve">SEXTO. </w:t>
      </w:r>
      <w:r w:rsidRPr="008927A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8927AD">
        <w:rPr>
          <w:rFonts w:ascii="Palatino Linotype" w:eastAsia="Palatino Linotype" w:hAnsi="Palatino Linotype" w:cs="Palatino Linotype"/>
          <w:b/>
        </w:rPr>
        <w:t>EL SUJETO OBLIGADO</w:t>
      </w:r>
      <w:r w:rsidRPr="008927AD">
        <w:rPr>
          <w:rFonts w:ascii="Palatino Linotype" w:eastAsia="Palatino Linotype" w:hAnsi="Palatino Linotype" w:cs="Palatino Linotype"/>
        </w:rPr>
        <w:t xml:space="preserve"> de manera fundada y motivada, podrá solicitar una ampliación de plazo para el cumplimiento de la presente resolución.</w:t>
      </w:r>
    </w:p>
    <w:p w14:paraId="06C94152" w14:textId="77777777" w:rsidR="00B3308B" w:rsidRPr="008927AD" w:rsidRDefault="00601D2F" w:rsidP="008927AD">
      <w:pPr>
        <w:spacing w:line="360" w:lineRule="auto"/>
        <w:jc w:val="both"/>
        <w:rPr>
          <w:rFonts w:ascii="Palatino Linotype" w:eastAsia="Palatino Linotype" w:hAnsi="Palatino Linotype" w:cs="Palatino Linotype"/>
        </w:rPr>
      </w:pPr>
      <w:r w:rsidRPr="008927AD">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OCHO DE FEBRERO DE DOS MIL VEINTICUATRO, ANTE EL SECRETARIO TÉCNICO DEL PLENO, ALEXIS TAPIA RAMÍREZ.</w:t>
      </w:r>
    </w:p>
    <w:p w14:paraId="71DB9923" w14:textId="77777777" w:rsidR="00B3308B" w:rsidRPr="008927AD" w:rsidRDefault="00601D2F" w:rsidP="008927AD">
      <w:pPr>
        <w:spacing w:line="360" w:lineRule="auto"/>
        <w:jc w:val="both"/>
        <w:rPr>
          <w:rFonts w:ascii="Palatino Linotype" w:eastAsia="Palatino Linotype" w:hAnsi="Palatino Linotype" w:cs="Palatino Linotype"/>
          <w:sz w:val="20"/>
          <w:szCs w:val="20"/>
        </w:rPr>
      </w:pPr>
      <w:r w:rsidRPr="008927AD">
        <w:rPr>
          <w:rFonts w:ascii="Palatino Linotype" w:eastAsia="Palatino Linotype" w:hAnsi="Palatino Linotype" w:cs="Palatino Linotype"/>
          <w:sz w:val="20"/>
          <w:szCs w:val="20"/>
        </w:rPr>
        <w:t>SCMM/AGZ/DEMF/ESS</w:t>
      </w:r>
    </w:p>
    <w:p w14:paraId="108ED651" w14:textId="77777777" w:rsidR="00B3308B" w:rsidRPr="008927AD" w:rsidRDefault="00601D2F" w:rsidP="008927AD">
      <w:pPr>
        <w:spacing w:after="160" w:line="259" w:lineRule="auto"/>
        <w:rPr>
          <w:rFonts w:ascii="Palatino Linotype" w:eastAsia="Palatino Linotype" w:hAnsi="Palatino Linotype" w:cs="Palatino Linotype"/>
          <w:sz w:val="20"/>
          <w:szCs w:val="20"/>
        </w:rPr>
      </w:pPr>
      <w:r w:rsidRPr="008927AD">
        <w:br w:type="page"/>
      </w:r>
    </w:p>
    <w:p w14:paraId="52C0ABFB" w14:textId="77777777" w:rsidR="00B3308B" w:rsidRPr="008927AD" w:rsidRDefault="00B3308B" w:rsidP="008927AD">
      <w:pPr>
        <w:spacing w:line="360" w:lineRule="auto"/>
        <w:jc w:val="both"/>
        <w:rPr>
          <w:rFonts w:ascii="Palatino Linotype" w:eastAsia="Palatino Linotype" w:hAnsi="Palatino Linotype" w:cs="Palatino Linotype"/>
          <w:sz w:val="20"/>
          <w:szCs w:val="20"/>
        </w:rPr>
      </w:pPr>
    </w:p>
    <w:p w14:paraId="44928BC2" w14:textId="77777777" w:rsidR="00B3308B" w:rsidRPr="008927AD" w:rsidRDefault="00B3308B" w:rsidP="008927AD">
      <w:pPr>
        <w:spacing w:line="360" w:lineRule="auto"/>
        <w:rPr>
          <w:rFonts w:ascii="Palatino Linotype" w:eastAsia="Palatino Linotype" w:hAnsi="Palatino Linotype" w:cs="Palatino Linotype"/>
        </w:rPr>
      </w:pPr>
    </w:p>
    <w:sectPr w:rsidR="00B3308B" w:rsidRPr="008927AD">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759C6" w14:textId="77777777" w:rsidR="00E65621" w:rsidRDefault="00E65621">
      <w:r>
        <w:separator/>
      </w:r>
    </w:p>
  </w:endnote>
  <w:endnote w:type="continuationSeparator" w:id="0">
    <w:p w14:paraId="5969565F" w14:textId="77777777" w:rsidR="00E65621" w:rsidRDefault="00E65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412D3" w14:textId="77777777" w:rsidR="00B3308B" w:rsidRDefault="00601D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964AB">
      <w:rPr>
        <w:rFonts w:ascii="Palatino Linotype" w:eastAsia="Palatino Linotype" w:hAnsi="Palatino Linotype" w:cs="Palatino Linotype"/>
        <w:noProof/>
        <w:color w:val="000000"/>
        <w:sz w:val="22"/>
        <w:szCs w:val="22"/>
      </w:rPr>
      <w:t>37</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964AB">
      <w:rPr>
        <w:rFonts w:ascii="Palatino Linotype" w:eastAsia="Palatino Linotype" w:hAnsi="Palatino Linotype" w:cs="Palatino Linotype"/>
        <w:noProof/>
        <w:color w:val="000000"/>
        <w:sz w:val="22"/>
        <w:szCs w:val="22"/>
      </w:rPr>
      <w:t>37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AFA61" w14:textId="77777777" w:rsidR="00B3308B" w:rsidRDefault="00601D2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964A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964AB">
      <w:rPr>
        <w:rFonts w:ascii="Palatino Linotype" w:eastAsia="Palatino Linotype" w:hAnsi="Palatino Linotype" w:cs="Palatino Linotype"/>
        <w:noProof/>
        <w:color w:val="000000"/>
        <w:sz w:val="22"/>
        <w:szCs w:val="22"/>
      </w:rPr>
      <w:t>37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C11A2" w14:textId="77777777" w:rsidR="00E65621" w:rsidRDefault="00E65621">
      <w:r>
        <w:separator/>
      </w:r>
    </w:p>
  </w:footnote>
  <w:footnote w:type="continuationSeparator" w:id="0">
    <w:p w14:paraId="1751AD1D" w14:textId="77777777" w:rsidR="00E65621" w:rsidRDefault="00E65621">
      <w:r>
        <w:continuationSeparator/>
      </w:r>
    </w:p>
  </w:footnote>
  <w:footnote w:id="1">
    <w:p w14:paraId="5C02E844"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Es importante señalar que, todas las constancias que integran el expediente 00407/INFOEM/IP/RR/2023 que en esta resolución se resuelve obran en electrónico en el SAIMEX, incluyendo la solicitud en análisis —</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16"/>
          <w:szCs w:val="16"/>
        </w:rPr>
        <w:t>00093/JIQUIPIL/IP/2022—.</w:t>
      </w:r>
    </w:p>
  </w:footnote>
  <w:footnote w:id="2">
    <w:p w14:paraId="76955B61" w14:textId="77777777" w:rsidR="00B3308B" w:rsidRDefault="00601D2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En adelante, Ley de Transparencia local o Ley de la materia.</w:t>
      </w:r>
    </w:p>
  </w:footnote>
  <w:footnote w:id="3">
    <w:p w14:paraId="5ADFA0E8"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2CCA1C"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152683D"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En el caso de que se interponga ante la Unidad de Transparencia, ésta deberá remitir el recurso de revisión al Instituto a más tardar al día siguiente de haberlo recibido.”</w:t>
      </w:r>
    </w:p>
  </w:footnote>
  <w:footnote w:id="4">
    <w:p w14:paraId="3175E4B9"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Sin contemplar en el cómputo los días sábados y domingos, y periodo vacacional considerados como días inhábiles,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5">
    <w:p w14:paraId="12D44AA7" w14:textId="77777777" w:rsidR="00B3308B" w:rsidRDefault="00601D2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6°, Apartado A de la Constitución Política de los Estados Unidos Mexicanos.</w:t>
      </w:r>
    </w:p>
  </w:footnote>
  <w:footnote w:id="6">
    <w:p w14:paraId="75409A0B" w14:textId="77777777" w:rsidR="00B3308B" w:rsidRDefault="00601D2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5°Constitución Política del Estado Libre y Soberano de México. </w:t>
      </w:r>
    </w:p>
  </w:footnote>
  <w:footnote w:id="7">
    <w:p w14:paraId="4A628CBC"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2a. LXXXVIII/2010, 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8">
    <w:p w14:paraId="41BDE223"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2C992A63"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AFBF15C"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9">
    <w:p w14:paraId="7E66FE48"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 Para los efectos de la presente Ley se entenderá por:</w:t>
      </w:r>
    </w:p>
    <w:p w14:paraId="50360245" w14:textId="77777777" w:rsidR="00B3308B" w:rsidRDefault="00601D2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0">
    <w:p w14:paraId="4302037B" w14:textId="77777777" w:rsidR="00B3308B" w:rsidRDefault="00601D2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Lineamientos para el Registro y Control del Inventario y la Conciliación y Desincorporación de Bienes Muebles e Inmuebles para las Entidades Fiscalizables Municipales del Estado de México, publicados en el Periódico Oficial “Gaceta del Gobierno” del Estado Libre y Soberano de México el 11 de julio de 2013. Visible en </w:t>
      </w:r>
      <w:hyperlink r:id="rId1">
        <w:r>
          <w:rPr>
            <w:rFonts w:ascii="Palatino Linotype" w:eastAsia="Palatino Linotype" w:hAnsi="Palatino Linotype" w:cs="Palatino Linotype"/>
            <w:color w:val="035899"/>
            <w:sz w:val="16"/>
            <w:szCs w:val="16"/>
          </w:rPr>
          <w:t>https://legislacion.edomex.gob.mx/sites/legislacion.edomex.gob.mx/files/files/vigentes/jul113.PDF</w:t>
        </w:r>
      </w:hyperlink>
      <w:r>
        <w:rPr>
          <w:rFonts w:ascii="Palatino Linotype" w:eastAsia="Palatino Linotype" w:hAnsi="Palatino Linotype" w:cs="Palatino Linotype"/>
          <w:color w:val="000000"/>
          <w:sz w:val="16"/>
          <w:szCs w:val="16"/>
        </w:rPr>
        <w:t xml:space="preserve"> </w:t>
      </w:r>
    </w:p>
  </w:footnote>
  <w:footnote w:id="11">
    <w:p w14:paraId="3F4C6D89" w14:textId="77777777" w:rsidR="00B3308B" w:rsidRDefault="00601D2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Localizable en: </w:t>
      </w:r>
      <w:hyperlink r:id="rId2">
        <w:r>
          <w:rPr>
            <w:rFonts w:ascii="Palatino Linotype" w:eastAsia="Palatino Linotype" w:hAnsi="Palatino Linotype" w:cs="Palatino Linotype"/>
            <w:color w:val="035899"/>
            <w:sz w:val="16"/>
            <w:szCs w:val="16"/>
          </w:rPr>
          <w:t>https://www.osfem.gob.mx/assets/plataforma_digital/com_informes_trimestrales/anexo_02_com_info-trim.pdf</w:t>
        </w:r>
      </w:hyperlink>
      <w:r>
        <w:rPr>
          <w:rFonts w:ascii="Palatino Linotype" w:eastAsia="Palatino Linotype" w:hAnsi="Palatino Linotype" w:cs="Palatino Linotype"/>
          <w:color w:val="000000"/>
          <w:sz w:val="16"/>
          <w:szCs w:val="16"/>
        </w:rPr>
        <w:t xml:space="preserve"> </w:t>
      </w:r>
    </w:p>
  </w:footnote>
  <w:footnote w:id="12">
    <w:p w14:paraId="7212F12A" w14:textId="77777777" w:rsidR="00B3308B" w:rsidRDefault="00601D2F">
      <w:pP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Artículo 150 de la Ley de Transparencia local.</w:t>
      </w:r>
    </w:p>
  </w:footnote>
  <w:footnote w:id="13">
    <w:p w14:paraId="5BBAD4A3" w14:textId="77777777" w:rsidR="00B3308B" w:rsidRDefault="00601D2F">
      <w:pP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16"/>
          <w:szCs w:val="16"/>
        </w:rPr>
        <w:t>Artículo 165</w:t>
      </w:r>
      <w:r>
        <w:t xml:space="preserve"> </w:t>
      </w:r>
      <w:r>
        <w:rPr>
          <w:rFonts w:ascii="Palatino Linotype" w:eastAsia="Palatino Linotype" w:hAnsi="Palatino Linotype" w:cs="Palatino Linotype"/>
          <w:color w:val="000000"/>
          <w:sz w:val="16"/>
          <w:szCs w:val="16"/>
        </w:rPr>
        <w:t>Ley de Transparencia local.</w:t>
      </w:r>
    </w:p>
  </w:footnote>
  <w:footnote w:id="14">
    <w:p w14:paraId="297C5F23" w14:textId="77777777" w:rsidR="00B3308B" w:rsidRDefault="00601D2F">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Lineamientos expedidos el 15 de abril de 2016, por el Consejo Nacional del Sistema Nacional de Transparencia, Acceso a la Información Pública y Protección de Datos Personales, consultable en </w:t>
      </w:r>
      <w:hyperlink r:id="rId3" w:anchor="gsc.tab=0">
        <w:r>
          <w:rPr>
            <w:rFonts w:ascii="Palatino Linotype" w:eastAsia="Palatino Linotype" w:hAnsi="Palatino Linotype" w:cs="Palatino Linotype"/>
            <w:color w:val="035899"/>
            <w:sz w:val="18"/>
            <w:szCs w:val="18"/>
          </w:rPr>
          <w:t>https://www.dof.gob.mx/nota_detalle.php?codigo=5433280&amp;fecha=15/04/2016#gsc.tab=0</w:t>
        </w:r>
      </w:hyperlink>
      <w:r>
        <w:rPr>
          <w:rFonts w:ascii="Palatino Linotype" w:eastAsia="Palatino Linotype" w:hAnsi="Palatino Linotype" w:cs="Palatino Linotype"/>
          <w:color w:val="000000"/>
          <w:sz w:val="18"/>
          <w:szCs w:val="18"/>
        </w:rPr>
        <w:t xml:space="preserve">; modificados en cuanto a los artículos Sexagésimo segundo, Sexagésimo tercero y Quinto Transitorio el 29 de julio de 2016, visible </w:t>
      </w:r>
      <w:hyperlink r:id="rId4" w:anchor="gsc.tab=0">
        <w:r>
          <w:rPr>
            <w:rFonts w:ascii="Palatino Linotype" w:eastAsia="Palatino Linotype" w:hAnsi="Palatino Linotype" w:cs="Palatino Linotype"/>
            <w:color w:val="035899"/>
            <w:sz w:val="18"/>
            <w:szCs w:val="18"/>
          </w:rPr>
          <w:t>https://www.dof.gob.mx/nota_detalle.php?codigo=5446230&amp;fecha=29/07/2016#gsc.tab=0</w:t>
        </w:r>
      </w:hyperlink>
      <w:r>
        <w:rPr>
          <w:rFonts w:ascii="Palatino Linotype" w:eastAsia="Palatino Linotype" w:hAnsi="Palatino Linotype" w:cs="Palatino Linotype"/>
          <w:color w:val="000000"/>
          <w:sz w:val="18"/>
          <w:szCs w:val="18"/>
        </w:rPr>
        <w:t xml:space="preserve"> y, posteriormente el 18 de noviembre de 2022, se modificaron diversos numerales, entrando en vigor a partir del 17 de enero de 2023, consultable en </w:t>
      </w:r>
      <w:hyperlink r:id="rId5" w:anchor="gsc.tab=0">
        <w:r>
          <w:rPr>
            <w:rFonts w:ascii="Palatino Linotype" w:eastAsia="Palatino Linotype" w:hAnsi="Palatino Linotype" w:cs="Palatino Linotype"/>
            <w:color w:val="035899"/>
            <w:sz w:val="18"/>
            <w:szCs w:val="18"/>
          </w:rPr>
          <w:t>https://www.dof.gob.mx/nota_detalle.php?codigo=5671860&amp;fecha=18/11/2022#gsc.tab=0</w:t>
        </w:r>
      </w:hyperlink>
      <w:r>
        <w:rPr>
          <w:rFonts w:ascii="Palatino Linotype" w:eastAsia="Palatino Linotype" w:hAnsi="Palatino Linotype" w:cs="Palatino Linotype"/>
          <w:color w:val="000000"/>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01893" w14:textId="77777777" w:rsidR="00B3308B" w:rsidRDefault="00E65621">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6C89B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40pt;height:10in;z-index:-251658240;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11CD9" w14:textId="77777777" w:rsidR="00B3308B" w:rsidRDefault="00B3308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
      <w:tblW w:w="9534" w:type="dxa"/>
      <w:tblInd w:w="-142" w:type="dxa"/>
      <w:tblLayout w:type="fixed"/>
      <w:tblLook w:val="0400" w:firstRow="0" w:lastRow="0" w:firstColumn="0" w:lastColumn="0" w:noHBand="0" w:noVBand="1"/>
    </w:tblPr>
    <w:tblGrid>
      <w:gridCol w:w="2977"/>
      <w:gridCol w:w="2552"/>
      <w:gridCol w:w="4005"/>
    </w:tblGrid>
    <w:tr w:rsidR="00B3308B" w14:paraId="35E77723" w14:textId="77777777">
      <w:tc>
        <w:tcPr>
          <w:tcW w:w="2977" w:type="dxa"/>
          <w:vMerge w:val="restart"/>
        </w:tcPr>
        <w:p w14:paraId="25FCAA84" w14:textId="77777777" w:rsidR="00B3308B" w:rsidRDefault="00601D2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7A846445" wp14:editId="4407A161">
                <wp:extent cx="1692162" cy="852673"/>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69266331" w14:textId="77777777" w:rsidR="00B3308B" w:rsidRDefault="00601D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005" w:type="dxa"/>
          <w:shd w:val="clear" w:color="auto" w:fill="auto"/>
          <w:vAlign w:val="center"/>
        </w:tcPr>
        <w:p w14:paraId="00B83575" w14:textId="77777777" w:rsidR="00B3308B" w:rsidRDefault="00601D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00407/INFOEM/IP/RR/2023</w:t>
          </w:r>
        </w:p>
      </w:tc>
    </w:tr>
    <w:tr w:rsidR="00B3308B" w14:paraId="4D8DFF1B" w14:textId="77777777">
      <w:tc>
        <w:tcPr>
          <w:tcW w:w="2977" w:type="dxa"/>
          <w:vMerge/>
        </w:tcPr>
        <w:p w14:paraId="0BD244F3" w14:textId="77777777" w:rsidR="00B3308B" w:rsidRDefault="00B3308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CABC4F1" w14:textId="77777777" w:rsidR="00B3308B" w:rsidRDefault="00601D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005" w:type="dxa"/>
          <w:shd w:val="clear" w:color="auto" w:fill="auto"/>
          <w:vAlign w:val="center"/>
        </w:tcPr>
        <w:p w14:paraId="04AF20E7" w14:textId="77777777" w:rsidR="00B3308B" w:rsidRDefault="00601D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Mateo Atenco</w:t>
          </w:r>
        </w:p>
      </w:tc>
    </w:tr>
    <w:tr w:rsidR="00B3308B" w14:paraId="216FF9C2" w14:textId="77777777">
      <w:trPr>
        <w:trHeight w:val="228"/>
      </w:trPr>
      <w:tc>
        <w:tcPr>
          <w:tcW w:w="2977" w:type="dxa"/>
          <w:vMerge/>
        </w:tcPr>
        <w:p w14:paraId="5B8089B2" w14:textId="77777777" w:rsidR="00B3308B" w:rsidRDefault="00B3308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6D2F582A" w14:textId="77777777" w:rsidR="00B3308B" w:rsidRDefault="00601D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005" w:type="dxa"/>
          <w:shd w:val="clear" w:color="auto" w:fill="auto"/>
        </w:tcPr>
        <w:p w14:paraId="4C562FAE" w14:textId="77777777" w:rsidR="00B3308B" w:rsidRDefault="00601D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5FCD4F42" w14:textId="77777777" w:rsidR="00B3308B" w:rsidRDefault="00B3308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D98E7" w14:textId="77777777" w:rsidR="00B3308B" w:rsidRDefault="00E65621">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3C6D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1pt;margin-top:-139.8pt;width:540pt;height:10in;z-index:-251659264;mso-position-horizontal:absolute;mso-position-horizontal-relative:margin;mso-position-vertical:absolute;mso-position-vertical-relative:margin">
          <v:imagedata r:id="rId1" o:title="image4"/>
          <w10:wrap anchorx="margin" anchory="margin"/>
        </v:shape>
      </w:pict>
    </w:r>
  </w:p>
  <w:tbl>
    <w:tblPr>
      <w:tblStyle w:val="a0"/>
      <w:tblW w:w="10631" w:type="dxa"/>
      <w:tblInd w:w="-1276" w:type="dxa"/>
      <w:tblLayout w:type="fixed"/>
      <w:tblLook w:val="0400" w:firstRow="0" w:lastRow="0" w:firstColumn="0" w:lastColumn="0" w:noHBand="0" w:noVBand="1"/>
    </w:tblPr>
    <w:tblGrid>
      <w:gridCol w:w="4110"/>
      <w:gridCol w:w="2552"/>
      <w:gridCol w:w="3969"/>
    </w:tblGrid>
    <w:tr w:rsidR="00B3308B" w14:paraId="2D05FB17" w14:textId="77777777">
      <w:tc>
        <w:tcPr>
          <w:tcW w:w="4111" w:type="dxa"/>
          <w:vMerge w:val="restart"/>
          <w:shd w:val="clear" w:color="auto" w:fill="auto"/>
        </w:tcPr>
        <w:p w14:paraId="6FBF8C8A" w14:textId="77777777" w:rsidR="00B3308B" w:rsidRDefault="00601D2F">
          <w:pPr>
            <w:rPr>
              <w:rFonts w:ascii="Palatino Linotype" w:eastAsia="Palatino Linotype" w:hAnsi="Palatino Linotype" w:cs="Palatino Linotype"/>
              <w:b/>
              <w:sz w:val="22"/>
              <w:szCs w:val="22"/>
            </w:rPr>
          </w:pP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noProof/>
              <w:sz w:val="28"/>
              <w:szCs w:val="28"/>
            </w:rPr>
            <w:drawing>
              <wp:inline distT="0" distB="0" distL="0" distR="0" wp14:anchorId="2E7B3D5B" wp14:editId="48ED8B39">
                <wp:extent cx="1692162" cy="852673"/>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r>
            <w:rPr>
              <w:rFonts w:ascii="Palatino Linotype" w:eastAsia="Palatino Linotype" w:hAnsi="Palatino Linotype" w:cs="Palatino Linotype"/>
              <w:b/>
              <w:sz w:val="22"/>
              <w:szCs w:val="22"/>
            </w:rPr>
            <w:t xml:space="preserve">       </w:t>
          </w:r>
        </w:p>
      </w:tc>
      <w:tc>
        <w:tcPr>
          <w:tcW w:w="2552" w:type="dxa"/>
          <w:shd w:val="clear" w:color="auto" w:fill="auto"/>
        </w:tcPr>
        <w:p w14:paraId="227F73EF" w14:textId="77777777" w:rsidR="00B3308B" w:rsidRDefault="00601D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0E8F5D96" w14:textId="77777777" w:rsidR="00B3308B" w:rsidRDefault="00601D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00407/INFOEM/IP/RR/2023</w:t>
          </w:r>
        </w:p>
      </w:tc>
    </w:tr>
    <w:tr w:rsidR="00B3308B" w14:paraId="501EFC76" w14:textId="77777777">
      <w:tc>
        <w:tcPr>
          <w:tcW w:w="4111" w:type="dxa"/>
          <w:vMerge/>
          <w:shd w:val="clear" w:color="auto" w:fill="auto"/>
        </w:tcPr>
        <w:p w14:paraId="597E72A7" w14:textId="77777777" w:rsidR="00B3308B" w:rsidRDefault="00B3308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63014D94" w14:textId="77777777" w:rsidR="00B3308B" w:rsidRDefault="00601D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440A0999" w14:textId="2713A1CB" w:rsidR="00B3308B" w:rsidRDefault="00F964AB">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XXXXX </w:t>
          </w:r>
          <w:proofErr w:type="spellStart"/>
          <w:r>
            <w:rPr>
              <w:rFonts w:ascii="Palatino Linotype" w:eastAsia="Palatino Linotype" w:hAnsi="Palatino Linotype" w:cs="Palatino Linotype"/>
              <w:b/>
              <w:sz w:val="20"/>
              <w:szCs w:val="20"/>
            </w:rPr>
            <w:t>XXXXX</w:t>
          </w:r>
          <w:proofErr w:type="spellEnd"/>
          <w:r>
            <w:rPr>
              <w:rFonts w:ascii="Palatino Linotype" w:eastAsia="Palatino Linotype" w:hAnsi="Palatino Linotype" w:cs="Palatino Linotype"/>
              <w:b/>
              <w:sz w:val="20"/>
              <w:szCs w:val="20"/>
            </w:rPr>
            <w:t xml:space="preserve"> XXXXXXXX</w:t>
          </w:r>
        </w:p>
      </w:tc>
    </w:tr>
    <w:tr w:rsidR="00B3308B" w14:paraId="6759B546" w14:textId="77777777">
      <w:trPr>
        <w:trHeight w:val="228"/>
      </w:trPr>
      <w:tc>
        <w:tcPr>
          <w:tcW w:w="4111" w:type="dxa"/>
          <w:vMerge/>
          <w:shd w:val="clear" w:color="auto" w:fill="auto"/>
        </w:tcPr>
        <w:p w14:paraId="4FC81874" w14:textId="77777777" w:rsidR="00B3308B" w:rsidRDefault="00B3308B">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552" w:type="dxa"/>
          <w:shd w:val="clear" w:color="auto" w:fill="auto"/>
        </w:tcPr>
        <w:p w14:paraId="4A5EEEF6" w14:textId="77777777" w:rsidR="00B3308B" w:rsidRDefault="00601D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37021E85" w14:textId="77777777" w:rsidR="00B3308B" w:rsidRDefault="00601D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Mateo Atenco</w:t>
          </w:r>
        </w:p>
      </w:tc>
    </w:tr>
    <w:tr w:rsidR="00B3308B" w14:paraId="244D8169" w14:textId="77777777">
      <w:tc>
        <w:tcPr>
          <w:tcW w:w="4111" w:type="dxa"/>
          <w:vMerge/>
          <w:shd w:val="clear" w:color="auto" w:fill="auto"/>
        </w:tcPr>
        <w:p w14:paraId="778C19EA" w14:textId="77777777" w:rsidR="00B3308B" w:rsidRDefault="00B3308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4CB1DE4" w14:textId="77777777" w:rsidR="00B3308B" w:rsidRDefault="00601D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tcPr>
        <w:p w14:paraId="0F46A5A6" w14:textId="77777777" w:rsidR="00B3308B" w:rsidRDefault="00601D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4C6A6426" w14:textId="77777777" w:rsidR="00B3308B" w:rsidRDefault="00B3308B">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22CCC"/>
    <w:multiLevelType w:val="multilevel"/>
    <w:tmpl w:val="B4C435EE"/>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E7F85"/>
    <w:multiLevelType w:val="multilevel"/>
    <w:tmpl w:val="E7F08FA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F7792"/>
    <w:multiLevelType w:val="multilevel"/>
    <w:tmpl w:val="DCCE4982"/>
    <w:lvl w:ilvl="0">
      <w:start w:val="1"/>
      <w:numFmt w:val="lowerLetter"/>
      <w:lvlText w:val="%1."/>
      <w:lvlJc w:val="left"/>
      <w:pPr>
        <w:ind w:left="360" w:hanging="360"/>
      </w:pPr>
      <w:rPr>
        <w:b/>
      </w:r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3B809C4"/>
    <w:multiLevelType w:val="multilevel"/>
    <w:tmpl w:val="A8C8B2C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33980F61"/>
    <w:multiLevelType w:val="multilevel"/>
    <w:tmpl w:val="439057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08B"/>
    <w:rsid w:val="000745C8"/>
    <w:rsid w:val="00601D2F"/>
    <w:rsid w:val="006A3440"/>
    <w:rsid w:val="008927AD"/>
    <w:rsid w:val="00B308A7"/>
    <w:rsid w:val="00B3308B"/>
    <w:rsid w:val="00B66F75"/>
    <w:rsid w:val="00C81495"/>
    <w:rsid w:val="00E65621"/>
    <w:rsid w:val="00F964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8AB9937"/>
  <w15:docId w15:val="{168F8B7A-C8BA-4B5E-9B4C-88BB6E3D9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Piedepgina">
    <w:name w:val="footer"/>
    <w:basedOn w:val="Normal"/>
    <w:link w:val="PiedepginaCar"/>
    <w:uiPriority w:val="99"/>
    <w:unhideWhenUsed/>
    <w:rsid w:val="00F964AB"/>
    <w:pPr>
      <w:tabs>
        <w:tab w:val="center" w:pos="4419"/>
        <w:tab w:val="right" w:pos="8838"/>
      </w:tabs>
    </w:pPr>
  </w:style>
  <w:style w:type="character" w:customStyle="1" w:styleId="PiedepginaCar">
    <w:name w:val="Pie de página Car"/>
    <w:basedOn w:val="Fuentedeprrafopredeter"/>
    <w:link w:val="Piedepgina"/>
    <w:uiPriority w:val="99"/>
    <w:rsid w:val="00F96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30.png"/><Relationship Id="rId7" Type="http://schemas.openxmlformats.org/officeDocument/2006/relationships/hyperlink" Target="https://www.ipomex.org.mx/ipo3/Igt/indice/SANMATEOATENCO.web?token=03AFY_a8Wvfxiyxrfr2n4RSw0edADRkv6Bsy_HYpT8Q2Ls86vkhOPoY54u1BgA6vBX2x4tVEPP4MdWmCKcstxQAIDbXZ-Z717_k7QpBIL_R_UAscyNEhrJnWQTDR8jkG4zv9WaDFyACx-UbR_xKEyVW6Y8mNdP9C79VaowslSqyfMHK_zkchM5Uajl2O6KX_NST_aztgoWWug2OpKyqrtoezQJ2118gbUCk0kixYTpTZKRNGFhOK8QlqvYVHdWTz1if_QunT037FGtWCVAzEciPWpbtv44Nm0jE8FiyOxyxazZd187q09X1v7GT_s57bYmDKHF7ty3p3zbE8KsKVRvX7WgZ72HfOFiKwhseP5gXf_7q47GQf63LLBHCz2RFE4eHHdu_6S48Zp4RCmauT58pFT6jDRfHmVvXcZ7gmuUhVKVMQxYyyLnF-F0hW4ciDEQOor3OAEG4pD-VxIkVEIkXW4Jjt8BaDpmgx9eyxRTBhFwKLVJCzV7G9Vx4VGNkJNgH_htvXrBBUb9" TargetMode="Externa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33280&amp;fecha=15/04/2016" TargetMode="External"/><Relationship Id="rId2" Type="http://schemas.openxmlformats.org/officeDocument/2006/relationships/hyperlink" Target="https://www.osfem.gob.mx/assets/plataforma_digital/com_informes_trimestrales/anexo_02_com_info-trim.pdf" TargetMode="External"/><Relationship Id="rId1" Type="http://schemas.openxmlformats.org/officeDocument/2006/relationships/hyperlink" Target="https://legislacion.edomex.gob.mx/sites/legislacion.edomex.gob.mx/files/files/vigentes/jul113.PDF" TargetMode="External"/><Relationship Id="rId5" Type="http://schemas.openxmlformats.org/officeDocument/2006/relationships/hyperlink" Target="https://www.dof.gob.mx/nota_detalle.php?codigo=5671860&amp;fecha=18/11/2022" TargetMode="External"/><Relationship Id="rId4" Type="http://schemas.openxmlformats.org/officeDocument/2006/relationships/hyperlink" Target="https://www.dof.gob.mx/nota_detalle.php?codigo=5446230&amp;fecha=29/07/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37</Pages>
  <Words>8085</Words>
  <Characters>44473</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infoem607b</dc:creator>
  <cp:lastModifiedBy>INFOEM381</cp:lastModifiedBy>
  <cp:revision>7</cp:revision>
  <cp:lastPrinted>2024-02-12T20:49:00Z</cp:lastPrinted>
  <dcterms:created xsi:type="dcterms:W3CDTF">2024-02-07T20:20:00Z</dcterms:created>
  <dcterms:modified xsi:type="dcterms:W3CDTF">2024-02-27T19:20:00Z</dcterms:modified>
</cp:coreProperties>
</file>