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A818" w14:textId="77777777" w:rsidR="00AB0D98" w:rsidRPr="000E18A3" w:rsidRDefault="00E944F7">
      <w:pPr>
        <w:spacing w:before="120"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 Resolución del Pleno del Instituto de Transparencia, Acceso a la Información Pública y Protección de Datos Personales del Estado de México y Municipios, con domicilio en Metepec, Estado de México, a trece de noviembre de dos mil veinticuatro.</w:t>
      </w:r>
    </w:p>
    <w:p w14:paraId="47BF83A0" w14:textId="77777777" w:rsidR="00AB0D98" w:rsidRPr="000E18A3" w:rsidRDefault="00AB0D98">
      <w:pPr>
        <w:tabs>
          <w:tab w:val="left" w:pos="6720"/>
        </w:tabs>
        <w:spacing w:after="0" w:line="360" w:lineRule="auto"/>
        <w:jc w:val="both"/>
        <w:rPr>
          <w:rFonts w:ascii="Palatino Linotype" w:eastAsia="Palatino Linotype" w:hAnsi="Palatino Linotype" w:cs="Palatino Linotype"/>
          <w:sz w:val="24"/>
          <w:szCs w:val="24"/>
        </w:rPr>
      </w:pPr>
    </w:p>
    <w:p w14:paraId="192961FA" w14:textId="1B578F01"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Visto </w:t>
      </w:r>
      <w:r w:rsidRPr="000E18A3">
        <w:rPr>
          <w:rFonts w:ascii="Palatino Linotype" w:eastAsia="Palatino Linotype" w:hAnsi="Palatino Linotype" w:cs="Palatino Linotype"/>
          <w:sz w:val="24"/>
          <w:szCs w:val="24"/>
        </w:rPr>
        <w:t xml:space="preserve">el expediente relativo al recurso de revisión </w:t>
      </w:r>
      <w:r w:rsidRPr="000E18A3">
        <w:rPr>
          <w:rFonts w:ascii="Palatino Linotype" w:eastAsia="Palatino Linotype" w:hAnsi="Palatino Linotype" w:cs="Palatino Linotype"/>
          <w:b/>
          <w:sz w:val="24"/>
          <w:szCs w:val="24"/>
        </w:rPr>
        <w:t>06059/INFOEM/IP/RR/2024</w:t>
      </w:r>
      <w:r w:rsidRPr="000E18A3">
        <w:rPr>
          <w:rFonts w:ascii="Palatino Linotype" w:eastAsia="Palatino Linotype" w:hAnsi="Palatino Linotype" w:cs="Palatino Linotype"/>
          <w:sz w:val="24"/>
          <w:szCs w:val="24"/>
        </w:rPr>
        <w:t>, interpuesto por</w:t>
      </w:r>
      <w:r w:rsidRPr="000E18A3">
        <w:rPr>
          <w:rFonts w:ascii="Palatino Linotype" w:eastAsia="Palatino Linotype" w:hAnsi="Palatino Linotype" w:cs="Palatino Linotype"/>
          <w:b/>
          <w:sz w:val="24"/>
          <w:szCs w:val="24"/>
        </w:rPr>
        <w:t xml:space="preserve"> </w:t>
      </w:r>
      <w:r w:rsidR="00C76E8A" w:rsidRPr="00C76E8A">
        <w:rPr>
          <w:rFonts w:ascii="Palatino Linotype" w:eastAsia="Palatino Linotype" w:hAnsi="Palatino Linotype" w:cs="Palatino Linotype"/>
          <w:b/>
          <w:sz w:val="24"/>
          <w:szCs w:val="24"/>
        </w:rPr>
        <w:t>XXX XXXXXX XXXXXXX XXXXXX</w:t>
      </w:r>
      <w:r w:rsidRPr="000E18A3">
        <w:rPr>
          <w:rFonts w:ascii="Palatino Linotype" w:eastAsia="Palatino Linotype" w:hAnsi="Palatino Linotype" w:cs="Palatino Linotype"/>
          <w:sz w:val="24"/>
          <w:szCs w:val="24"/>
        </w:rPr>
        <w:t xml:space="preserve">, en lo sucesivo se le denominara </w:t>
      </w:r>
      <w:r w:rsidRPr="000E18A3">
        <w:rPr>
          <w:rFonts w:ascii="Palatino Linotype" w:eastAsia="Palatino Linotype" w:hAnsi="Palatino Linotype" w:cs="Palatino Linotype"/>
          <w:b/>
          <w:sz w:val="24"/>
          <w:szCs w:val="24"/>
        </w:rPr>
        <w:t>LA PARTE RECURRENTE</w:t>
      </w:r>
      <w:r w:rsidRPr="000E18A3">
        <w:rPr>
          <w:rFonts w:ascii="Palatino Linotype" w:eastAsia="Palatino Linotype" w:hAnsi="Palatino Linotype" w:cs="Palatino Linotype"/>
          <w:sz w:val="24"/>
          <w:szCs w:val="24"/>
        </w:rPr>
        <w:t xml:space="preserve">, en contra de la respuesta a la solicitud de información con número de folio </w:t>
      </w:r>
      <w:r w:rsidRPr="000E18A3">
        <w:rPr>
          <w:rFonts w:ascii="Palatino Linotype" w:eastAsia="Palatino Linotype" w:hAnsi="Palatino Linotype" w:cs="Palatino Linotype"/>
          <w:b/>
          <w:sz w:val="24"/>
          <w:szCs w:val="24"/>
        </w:rPr>
        <w:t>00110/SAASCAEM/IP/2024</w:t>
      </w:r>
      <w:r w:rsidRPr="000E18A3">
        <w:rPr>
          <w:rFonts w:ascii="Palatino Linotype" w:eastAsia="Palatino Linotype" w:hAnsi="Palatino Linotype" w:cs="Palatino Linotype"/>
          <w:sz w:val="24"/>
          <w:szCs w:val="24"/>
        </w:rPr>
        <w:t xml:space="preserve">, por parte del </w:t>
      </w:r>
      <w:r w:rsidRPr="000E18A3">
        <w:rPr>
          <w:rFonts w:ascii="Palatino Linotype" w:eastAsia="Palatino Linotype" w:hAnsi="Palatino Linotype" w:cs="Palatino Linotype"/>
          <w:b/>
          <w:sz w:val="24"/>
          <w:szCs w:val="24"/>
        </w:rPr>
        <w:t>Sistema de Autopistas, Aeropuertos, Servicios Conexos y Auxiliares del Estado de México</w:t>
      </w:r>
      <w:r w:rsidRPr="000E18A3">
        <w:rPr>
          <w:rFonts w:ascii="Palatino Linotype" w:eastAsia="Palatino Linotype" w:hAnsi="Palatino Linotype" w:cs="Palatino Linotype"/>
          <w:sz w:val="24"/>
          <w:szCs w:val="24"/>
        </w:rPr>
        <w:t>, en lo sucesivo</w:t>
      </w:r>
      <w:r w:rsidRPr="000E18A3">
        <w:rPr>
          <w:rFonts w:ascii="Palatino Linotype" w:eastAsia="Palatino Linotype" w:hAnsi="Palatino Linotype" w:cs="Palatino Linotype"/>
          <w:b/>
          <w:sz w:val="24"/>
          <w:szCs w:val="24"/>
        </w:rPr>
        <w:t xml:space="preserve"> EL SUJETO OBLIGADO; </w:t>
      </w:r>
      <w:r w:rsidRPr="000E18A3">
        <w:rPr>
          <w:rFonts w:ascii="Palatino Linotype" w:eastAsia="Palatino Linotype" w:hAnsi="Palatino Linotype" w:cs="Palatino Linotype"/>
          <w:sz w:val="24"/>
          <w:szCs w:val="24"/>
        </w:rPr>
        <w:t xml:space="preserve">se procede a dictar la presente resolución, con base en lo siguiente. </w:t>
      </w:r>
    </w:p>
    <w:p w14:paraId="63A066EB" w14:textId="77777777" w:rsidR="00AB0D98" w:rsidRPr="000E18A3" w:rsidRDefault="00E944F7">
      <w:pPr>
        <w:spacing w:after="0" w:line="360" w:lineRule="auto"/>
        <w:ind w:right="49"/>
        <w:jc w:val="center"/>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A N T E C E D E N T E S</w:t>
      </w:r>
    </w:p>
    <w:p w14:paraId="1B9940EE"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15CB217"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1.</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 xml:space="preserve">SOLICITUD DE INFORMACIÓN. </w:t>
      </w:r>
      <w:r w:rsidRPr="000E18A3">
        <w:rPr>
          <w:rFonts w:ascii="Palatino Linotype" w:eastAsia="Palatino Linotype" w:hAnsi="Palatino Linotype" w:cs="Palatino Linotype"/>
          <w:sz w:val="24"/>
          <w:szCs w:val="24"/>
        </w:rPr>
        <w:t xml:space="preserve">Con fecha veintiocho de agosto de dos mil veinticuatro, </w:t>
      </w:r>
      <w:r w:rsidRPr="000E18A3">
        <w:rPr>
          <w:rFonts w:ascii="Palatino Linotype" w:eastAsia="Palatino Linotype" w:hAnsi="Palatino Linotype" w:cs="Palatino Linotype"/>
          <w:b/>
          <w:sz w:val="24"/>
          <w:szCs w:val="24"/>
        </w:rPr>
        <w:t>LA PARTE RECURRENTE</w:t>
      </w:r>
      <w:r w:rsidRPr="000E18A3">
        <w:rPr>
          <w:rFonts w:ascii="Palatino Linotype" w:eastAsia="Palatino Linotype" w:hAnsi="Palatino Linotype" w:cs="Palatino Linotype"/>
          <w:sz w:val="24"/>
          <w:szCs w:val="24"/>
        </w:rPr>
        <w:t>, presentó a través del Sistema de Acceso a la Información Mexiquense (</w:t>
      </w:r>
      <w:r w:rsidRPr="000E18A3">
        <w:rPr>
          <w:rFonts w:ascii="Palatino Linotype" w:eastAsia="Palatino Linotype" w:hAnsi="Palatino Linotype" w:cs="Palatino Linotype"/>
          <w:b/>
          <w:sz w:val="24"/>
          <w:szCs w:val="24"/>
        </w:rPr>
        <w:t>SAIMEX)</w:t>
      </w:r>
      <w:r w:rsidRPr="000E18A3">
        <w:rPr>
          <w:rFonts w:ascii="Palatino Linotype" w:eastAsia="Palatino Linotype" w:hAnsi="Palatino Linotype" w:cs="Palatino Linotype"/>
          <w:sz w:val="24"/>
          <w:szCs w:val="24"/>
        </w:rPr>
        <w:t xml:space="preserve"> ante </w:t>
      </w:r>
      <w:r w:rsidRPr="000E18A3">
        <w:rPr>
          <w:rFonts w:ascii="Palatino Linotype" w:eastAsia="Palatino Linotype" w:hAnsi="Palatino Linotype" w:cs="Palatino Linotype"/>
          <w:b/>
          <w:sz w:val="24"/>
          <w:szCs w:val="24"/>
        </w:rPr>
        <w:t>EL SUJETO OBLIGADO</w:t>
      </w:r>
      <w:r w:rsidRPr="000E18A3">
        <w:rPr>
          <w:rFonts w:ascii="Palatino Linotype" w:eastAsia="Palatino Linotype" w:hAnsi="Palatino Linotype" w:cs="Palatino Linotype"/>
          <w:sz w:val="24"/>
          <w:szCs w:val="24"/>
        </w:rPr>
        <w:t>, solicitud de acceso a la información pública, registrada bajo el número de expediente</w:t>
      </w:r>
      <w:r w:rsidRPr="000E18A3">
        <w:rPr>
          <w:rFonts w:ascii="Verdana" w:eastAsia="Verdana" w:hAnsi="Verdana" w:cs="Verdana"/>
          <w:b/>
        </w:rPr>
        <w:t> </w:t>
      </w:r>
      <w:r w:rsidRPr="000E18A3">
        <w:rPr>
          <w:rFonts w:ascii="Palatino Linotype" w:eastAsia="Palatino Linotype" w:hAnsi="Palatino Linotype" w:cs="Palatino Linotype"/>
          <w:b/>
          <w:sz w:val="24"/>
          <w:szCs w:val="24"/>
        </w:rPr>
        <w:t>00110/SAASCAEM/IP/2024</w:t>
      </w: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mediante la cual solicitó la siguiente información:</w:t>
      </w:r>
    </w:p>
    <w:p w14:paraId="3C290F12"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0E3402E7" w14:textId="77777777" w:rsidR="00AB0D98" w:rsidRPr="000E18A3" w:rsidRDefault="00E944F7">
      <w:pPr>
        <w:spacing w:after="0" w:line="276" w:lineRule="auto"/>
        <w:ind w:left="709" w:right="758"/>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 xml:space="preserve">“Solicito copia de las actas de "entrega-recepción" que se firmaron con el relevo o cambio en la administración pública en septiembre del 2023 y que tuvieron que signarse entre los nuevos titulares administrativos y los anteriores en esa oficina pública. De no haberse realizado un relevo favor de especificar. Por otro </w:t>
      </w:r>
      <w:proofErr w:type="gramStart"/>
      <w:r w:rsidRPr="000E18A3">
        <w:rPr>
          <w:rFonts w:ascii="Palatino Linotype" w:eastAsia="Palatino Linotype" w:hAnsi="Palatino Linotype" w:cs="Palatino Linotype"/>
          <w:i/>
        </w:rPr>
        <w:t>lado</w:t>
      </w:r>
      <w:proofErr w:type="gramEnd"/>
      <w:r w:rsidRPr="000E18A3">
        <w:rPr>
          <w:rFonts w:ascii="Palatino Linotype" w:eastAsia="Palatino Linotype" w:hAnsi="Palatino Linotype" w:cs="Palatino Linotype"/>
          <w:i/>
        </w:rPr>
        <w:t xml:space="preserve"> y debido a que no soy experta en administración pública, me permito invocar el "principio pro persona", a fin de que cualquier defecto, falta o fallo detectado en esta redacción se supla o complemente de buena </w:t>
      </w:r>
      <w:proofErr w:type="spellStart"/>
      <w:r w:rsidRPr="000E18A3">
        <w:rPr>
          <w:rFonts w:ascii="Palatino Linotype" w:eastAsia="Palatino Linotype" w:hAnsi="Palatino Linotype" w:cs="Palatino Linotype"/>
          <w:i/>
        </w:rPr>
        <w:t>fé</w:t>
      </w:r>
      <w:proofErr w:type="spellEnd"/>
      <w:r w:rsidRPr="000E18A3">
        <w:rPr>
          <w:rFonts w:ascii="Palatino Linotype" w:eastAsia="Palatino Linotype" w:hAnsi="Palatino Linotype" w:cs="Palatino Linotype"/>
          <w:i/>
        </w:rPr>
        <w:t xml:space="preserve"> a </w:t>
      </w:r>
      <w:proofErr w:type="spellStart"/>
      <w:r w:rsidRPr="000E18A3">
        <w:rPr>
          <w:rFonts w:ascii="Palatino Linotype" w:eastAsia="Palatino Linotype" w:hAnsi="Palatino Linotype" w:cs="Palatino Linotype"/>
          <w:i/>
        </w:rPr>
        <w:t>fn</w:t>
      </w:r>
      <w:proofErr w:type="spellEnd"/>
      <w:r w:rsidRPr="000E18A3">
        <w:rPr>
          <w:rFonts w:ascii="Palatino Linotype" w:eastAsia="Palatino Linotype" w:hAnsi="Palatino Linotype" w:cs="Palatino Linotype"/>
          <w:i/>
        </w:rPr>
        <w:t xml:space="preserve"> de cumplir a plenitud con los principios de la transparencia y se atienda mi derecho de acceso a la información. Sin más, dejo un cordial saludo. Gracias.” (Sic).</w:t>
      </w:r>
    </w:p>
    <w:p w14:paraId="7C6017D4" w14:textId="77777777" w:rsidR="00AB0D98" w:rsidRPr="000E18A3" w:rsidRDefault="00AB0D98">
      <w:pPr>
        <w:spacing w:after="0" w:line="276" w:lineRule="auto"/>
        <w:ind w:right="758"/>
        <w:jc w:val="both"/>
        <w:rPr>
          <w:rFonts w:ascii="Palatino Linotype" w:eastAsia="Palatino Linotype" w:hAnsi="Palatino Linotype" w:cs="Palatino Linotype"/>
          <w:sz w:val="24"/>
          <w:szCs w:val="24"/>
        </w:rPr>
      </w:pPr>
    </w:p>
    <w:p w14:paraId="0D7F1DE6"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Modalidad de entrega: A través del </w:t>
      </w:r>
      <w:r w:rsidRPr="000E18A3">
        <w:rPr>
          <w:rFonts w:ascii="Palatino Linotype" w:eastAsia="Palatino Linotype" w:hAnsi="Palatino Linotype" w:cs="Palatino Linotype"/>
          <w:b/>
          <w:sz w:val="24"/>
          <w:szCs w:val="24"/>
        </w:rPr>
        <w:t>SAIMEX</w:t>
      </w:r>
      <w:r w:rsidRPr="000E18A3">
        <w:rPr>
          <w:rFonts w:ascii="Palatino Linotype" w:eastAsia="Palatino Linotype" w:hAnsi="Palatino Linotype" w:cs="Palatino Linotype"/>
          <w:sz w:val="24"/>
          <w:szCs w:val="24"/>
        </w:rPr>
        <w:t xml:space="preserve">. </w:t>
      </w:r>
    </w:p>
    <w:p w14:paraId="60AABA06"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0AF5E3C"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2. RESPUESTA.  </w:t>
      </w:r>
      <w:r w:rsidRPr="000E18A3">
        <w:rPr>
          <w:rFonts w:ascii="Palatino Linotype" w:eastAsia="Palatino Linotype" w:hAnsi="Palatino Linotype" w:cs="Palatino Linotype"/>
          <w:sz w:val="24"/>
          <w:szCs w:val="24"/>
        </w:rPr>
        <w:t xml:space="preserve">Con fecha diecisiete de septiembre del dos mil veinticuatro, </w:t>
      </w:r>
      <w:r w:rsidRPr="000E18A3">
        <w:rPr>
          <w:rFonts w:ascii="Palatino Linotype" w:eastAsia="Palatino Linotype" w:hAnsi="Palatino Linotype" w:cs="Palatino Linotype"/>
          <w:b/>
          <w:sz w:val="24"/>
          <w:szCs w:val="24"/>
        </w:rPr>
        <w:t>EL SUJETO OBLIGADO</w:t>
      </w:r>
      <w:r w:rsidRPr="000E18A3">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32BEE669"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09A0FFA"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63CEC0" w14:textId="2D711AAA"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Oficio Núm. 220C0201000500S/302/2024 Naucalpan de Juárez, México 17 de septiembre de 2024 Solicitud de información: 00110/SAASCAEM/IP/2024 </w:t>
      </w:r>
      <w:r w:rsidR="00C76E8A">
        <w:rPr>
          <w:rFonts w:ascii="Palatino Linotype" w:eastAsia="Palatino Linotype" w:hAnsi="Palatino Linotype" w:cs="Palatino Linotype"/>
          <w:i/>
        </w:rPr>
        <w:t>XXXXXXXXXX XX XXXXXXXXXX</w:t>
      </w:r>
      <w:r w:rsidRPr="000E18A3">
        <w:rPr>
          <w:rFonts w:ascii="Palatino Linotype" w:eastAsia="Palatino Linotype" w:hAnsi="Palatino Linotype" w:cs="Palatino Linotype"/>
          <w:i/>
        </w:rPr>
        <w:t xml:space="preserve"> Presente: En atención a su solicitud de información con número de folio 00110/SAASCAEM/IP/2024, recibida el 28 de agosto de 2024, a través del Sistema de Acceso a la Información Mexiquense (SAIMEX) en la cual se solicita lo siguiente: “Solicito copia de las actas de "entrega-recepción" que se firmaron con el relevo o cambio en la administración pública en septiembre del 2023 y que tuvieron que signarse entre los nuevos </w:t>
      </w:r>
      <w:r w:rsidRPr="000E18A3">
        <w:rPr>
          <w:rFonts w:ascii="Palatino Linotype" w:eastAsia="Palatino Linotype" w:hAnsi="Palatino Linotype" w:cs="Palatino Linotype"/>
          <w:i/>
        </w:rPr>
        <w:lastRenderedPageBreak/>
        <w:t xml:space="preserve">titulares administrativos y los anteriores en esa oficina pública. De no haberse realizado un relevo favor de especificar. Por otro </w:t>
      </w:r>
      <w:proofErr w:type="gramStart"/>
      <w:r w:rsidRPr="000E18A3">
        <w:rPr>
          <w:rFonts w:ascii="Palatino Linotype" w:eastAsia="Palatino Linotype" w:hAnsi="Palatino Linotype" w:cs="Palatino Linotype"/>
          <w:i/>
        </w:rPr>
        <w:t>lado</w:t>
      </w:r>
      <w:proofErr w:type="gramEnd"/>
      <w:r w:rsidRPr="000E18A3">
        <w:rPr>
          <w:rFonts w:ascii="Palatino Linotype" w:eastAsia="Palatino Linotype" w:hAnsi="Palatino Linotype" w:cs="Palatino Linotype"/>
          <w:i/>
        </w:rPr>
        <w:t xml:space="preserve"> y debido a que no soy experta en administración pública, me permito invocar el "principio pro persona", a fin de que cualquier defecto, falta o fallo detectado en esta redacción se supla o complemente de buena </w:t>
      </w:r>
      <w:proofErr w:type="spellStart"/>
      <w:r w:rsidRPr="000E18A3">
        <w:rPr>
          <w:rFonts w:ascii="Palatino Linotype" w:eastAsia="Palatino Linotype" w:hAnsi="Palatino Linotype" w:cs="Palatino Linotype"/>
          <w:i/>
        </w:rPr>
        <w:t>fé</w:t>
      </w:r>
      <w:proofErr w:type="spellEnd"/>
      <w:r w:rsidRPr="000E18A3">
        <w:rPr>
          <w:rFonts w:ascii="Palatino Linotype" w:eastAsia="Palatino Linotype" w:hAnsi="Palatino Linotype" w:cs="Palatino Linotype"/>
          <w:i/>
        </w:rPr>
        <w:t xml:space="preserve"> a </w:t>
      </w:r>
      <w:proofErr w:type="spellStart"/>
      <w:r w:rsidRPr="000E18A3">
        <w:rPr>
          <w:rFonts w:ascii="Palatino Linotype" w:eastAsia="Palatino Linotype" w:hAnsi="Palatino Linotype" w:cs="Palatino Linotype"/>
          <w:i/>
        </w:rPr>
        <w:t>fn</w:t>
      </w:r>
      <w:proofErr w:type="spellEnd"/>
      <w:r w:rsidRPr="000E18A3">
        <w:rPr>
          <w:rFonts w:ascii="Palatino Linotype" w:eastAsia="Palatino Linotype" w:hAnsi="Palatino Linotype" w:cs="Palatino Linotype"/>
          <w:i/>
        </w:rPr>
        <w:t xml:space="preserve"> de cumplir a plenitud con los principios de la transparencia y se atienda mi derecho de acceso a la información. Sin más, dejo un cordial saludo. Gracias”. Sic. Al respecto, se anexa al presente la respuesta emitida por el Órgano Interno de Control y la Unidad de Apoyo Administrativo del Sistema de Autopistas, Aeropuertos, Servicios Conexos y Auxiliares del Estado de México (SAASCAEM); mediante los oficios con número 220C0201000300S/207/2024 y el 220C0201000200S/594/2024. Lo anterior, se sustenta con los artículos 1, 4, 6, 16, y 17 de la Ley General de Transparencia y Acceso a la Información Pública y 1, 2, 7, 8, 12 párrafo segundo, 24 último párrafo, 50, 51, 52, 53 fracciones II, V, VI y XII, 58, 59 y demás aplicables de la Ley de Transparencia y Acceso a la Información Pública del Estado de México y Municipios; asimismo, se notifica que, en términos de los artículos 176, 177, 178 y 179 de la ley de Transparencia y Acceso a la Información Pública del Estado de México y Municipios, usted puede hacer valer su derecho y cuenta con 15 días hábiles siguientes a la fecha de la notificación de la respuesta, para interponer un recurso de revisión de manera directa o por medios electrónicos. Sin más por el momento, aprovecho la ocasión para enviarle un cordial saludo. ATENTAMENTE LIC. SAIDA GISELA MENDOZA SORIA JEFA DE LA UNIDAD DE APOYO TÉCNICO E INFORMÁTICA Y TITULAR DE LA UNIDAD DE TRANSPARENCIA.</w:t>
      </w:r>
    </w:p>
    <w:p w14:paraId="3CFF68ED"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ATENTAMENTE</w:t>
      </w:r>
    </w:p>
    <w:p w14:paraId="2D692963"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LIC. SAIDA GISELA MENDOZA SORIA”</w:t>
      </w:r>
    </w:p>
    <w:p w14:paraId="366573E9" w14:textId="77777777" w:rsidR="00AB0D98" w:rsidRPr="000E18A3" w:rsidRDefault="00AB0D98">
      <w:pPr>
        <w:spacing w:after="0" w:line="276" w:lineRule="auto"/>
        <w:ind w:left="851" w:right="902"/>
        <w:jc w:val="both"/>
        <w:rPr>
          <w:rFonts w:ascii="Palatino Linotype" w:eastAsia="Palatino Linotype" w:hAnsi="Palatino Linotype" w:cs="Palatino Linotype"/>
          <w:sz w:val="24"/>
          <w:szCs w:val="24"/>
        </w:rPr>
      </w:pPr>
    </w:p>
    <w:p w14:paraId="6D1C8D48" w14:textId="77777777" w:rsidR="00AB0D98" w:rsidRPr="000E18A3" w:rsidRDefault="00E944F7">
      <w:pPr>
        <w:spacing w:after="0" w:line="360" w:lineRule="auto"/>
        <w:ind w:right="51"/>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EL SUJETO OBLIGADO</w:t>
      </w:r>
      <w:r w:rsidRPr="000E18A3">
        <w:rPr>
          <w:rFonts w:ascii="Palatino Linotype" w:eastAsia="Palatino Linotype" w:hAnsi="Palatino Linotype" w:cs="Palatino Linotype"/>
          <w:sz w:val="24"/>
          <w:szCs w:val="24"/>
        </w:rPr>
        <w:t xml:space="preserve"> adjuntó para tal efecto los archivos electrónicos siguientes:</w:t>
      </w:r>
    </w:p>
    <w:p w14:paraId="7B64E29D" w14:textId="77777777" w:rsidR="00AB0D98" w:rsidRPr="000E18A3" w:rsidRDefault="00AB0D98">
      <w:pPr>
        <w:spacing w:after="0" w:line="360" w:lineRule="auto"/>
        <w:ind w:right="51"/>
        <w:jc w:val="both"/>
        <w:rPr>
          <w:rFonts w:ascii="Palatino Linotype" w:eastAsia="Palatino Linotype" w:hAnsi="Palatino Linotype" w:cs="Palatino Linotype"/>
          <w:sz w:val="24"/>
          <w:szCs w:val="24"/>
        </w:rPr>
      </w:pPr>
    </w:p>
    <w:p w14:paraId="68568AC2"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w:t>
      </w:r>
      <w:r w:rsidRPr="000E18A3">
        <w:rPr>
          <w:rFonts w:ascii="Palatino Linotype" w:eastAsia="Palatino Linotype" w:hAnsi="Palatino Linotype" w:cs="Palatino Linotype"/>
          <w:b/>
          <w:i/>
          <w:sz w:val="24"/>
          <w:szCs w:val="24"/>
          <w:u w:val="single"/>
        </w:rPr>
        <w:t>Respuesta.pdf</w:t>
      </w:r>
      <w:r w:rsidRPr="000E18A3">
        <w:rPr>
          <w:rFonts w:ascii="Palatino Linotype" w:eastAsia="Palatino Linotype" w:hAnsi="Palatino Linotype" w:cs="Palatino Linotype"/>
          <w:sz w:val="24"/>
          <w:szCs w:val="24"/>
        </w:rPr>
        <w:t xml:space="preserve">”: Oficio de fecha dos de septiembre de dos mil veinticuatro, signado por la Suplente del Titular del Órgano Interno de </w:t>
      </w:r>
      <w:proofErr w:type="gramStart"/>
      <w:r w:rsidRPr="000E18A3">
        <w:rPr>
          <w:rFonts w:ascii="Palatino Linotype" w:eastAsia="Palatino Linotype" w:hAnsi="Palatino Linotype" w:cs="Palatino Linotype"/>
          <w:sz w:val="24"/>
          <w:szCs w:val="24"/>
        </w:rPr>
        <w:t>Control,  mediante</w:t>
      </w:r>
      <w:proofErr w:type="gramEnd"/>
      <w:r w:rsidRPr="000E18A3">
        <w:rPr>
          <w:rFonts w:ascii="Palatino Linotype" w:eastAsia="Palatino Linotype" w:hAnsi="Palatino Linotype" w:cs="Palatino Linotype"/>
          <w:sz w:val="24"/>
          <w:szCs w:val="24"/>
        </w:rPr>
        <w:t xml:space="preserve"> el cual señala que la información solicitada no corresponde a las acciones que realiza, citando para tal efecto, diversas acciones que desempeña, siendo las siguientes:</w:t>
      </w:r>
    </w:p>
    <w:p w14:paraId="5B1619B4" w14:textId="77777777" w:rsidR="00AB0D98" w:rsidRPr="000E18A3" w:rsidRDefault="00E944F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El Órgano Interno de Control funge como representante de la Secretaría de la Contraloría, cuando así se le designe, en </w:t>
      </w:r>
      <w:proofErr w:type="gramStart"/>
      <w:r w:rsidRPr="000E18A3">
        <w:rPr>
          <w:rFonts w:ascii="Palatino Linotype" w:eastAsia="Palatino Linotype" w:hAnsi="Palatino Linotype" w:cs="Palatino Linotype"/>
          <w:sz w:val="24"/>
          <w:szCs w:val="24"/>
        </w:rPr>
        <w:t>los proceso</w:t>
      </w:r>
      <w:proofErr w:type="gramEnd"/>
      <w:r w:rsidRPr="000E18A3">
        <w:rPr>
          <w:rFonts w:ascii="Palatino Linotype" w:eastAsia="Palatino Linotype" w:hAnsi="Palatino Linotype" w:cs="Palatino Linotype"/>
          <w:sz w:val="24"/>
          <w:szCs w:val="24"/>
        </w:rPr>
        <w:t xml:space="preserve"> de entrega y recepción de las unidades administrativas de la Dependencia u Organismo Auxiliar, verificando su apego a la normatividad correspondiente; de conformidad con el artículo 43 fracción XXIII del Reglamento Interior de la Secretaría de la Contraloría.</w:t>
      </w:r>
    </w:p>
    <w:p w14:paraId="79E4F770" w14:textId="77777777" w:rsidR="00AB0D98" w:rsidRPr="000E18A3" w:rsidRDefault="00E944F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La persona representante del Órgano Interno de Control participa en el acto de Entrega y Recepción, quien revisará el contenido y los anexos del Acta Administrativa, la cual firmará de manera autógrafa o electrónica, con la presencia de dos personas que funjan como testigos de asistencia, sin que ello implique validación o responsabilidad; de conformidad con lo establecido en el artículo 8 del Reglamento para los procesos de Entrega y Recepción y de Rendición de Cuentas de la Administración Pública del Estado de México.</w:t>
      </w:r>
    </w:p>
    <w:p w14:paraId="5FF576DA" w14:textId="77777777" w:rsidR="00AB0D98" w:rsidRPr="000E18A3" w:rsidRDefault="00E944F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Una vez concluido el proceso de Entrega y Recepción, el Acta Administrativa se deberá procesar, firmar y emitir de manera electrónica o, en su caso, imprimir y firmar de manera autógrafa, con la distribución siguiente:</w:t>
      </w:r>
    </w:p>
    <w:p w14:paraId="66DD6A13" w14:textId="77777777" w:rsidR="00AB0D98" w:rsidRPr="000E18A3" w:rsidRDefault="00E944F7">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I. Para la Persona que entrega;</w:t>
      </w:r>
    </w:p>
    <w:p w14:paraId="573B55C9" w14:textId="77777777" w:rsidR="00AB0D98" w:rsidRPr="000E18A3" w:rsidRDefault="00E944F7">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II. Para la Persona que recibe, y</w:t>
      </w:r>
    </w:p>
    <w:p w14:paraId="1A56D5AA" w14:textId="77777777" w:rsidR="00AB0D98" w:rsidRPr="000E18A3" w:rsidRDefault="00E944F7">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III. Para la o el representante del Órgano Interno de Control o de la Contraloría.</w:t>
      </w:r>
    </w:p>
    <w:p w14:paraId="104FA5D7" w14:textId="77777777" w:rsidR="00AB0D98" w:rsidRPr="000E18A3" w:rsidRDefault="00E944F7">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La persona que entrega </w:t>
      </w:r>
      <w:proofErr w:type="gramStart"/>
      <w:r w:rsidRPr="000E18A3">
        <w:rPr>
          <w:rFonts w:ascii="Palatino Linotype" w:eastAsia="Palatino Linotype" w:hAnsi="Palatino Linotype" w:cs="Palatino Linotype"/>
          <w:sz w:val="24"/>
          <w:szCs w:val="24"/>
        </w:rPr>
        <w:t>manifestara</w:t>
      </w:r>
      <w:proofErr w:type="gramEnd"/>
      <w:r w:rsidRPr="000E18A3">
        <w:rPr>
          <w:rFonts w:ascii="Palatino Linotype" w:eastAsia="Palatino Linotype" w:hAnsi="Palatino Linotype" w:cs="Palatino Linotype"/>
          <w:sz w:val="24"/>
          <w:szCs w:val="24"/>
        </w:rPr>
        <w:t xml:space="preserve"> el Acta Administrativa que conoce su contenido y el de sus anexos; sin embargo, la veracidad, oportunidad y confiabilidad de la información será responsabilidad directa del titular de la unidad administrativa que la genera; de conformidad con lo establecido en el artículo 18 del Reglamento para los proceso de Entrega y Recepción de Cuentas de la Administración Pública del Estado de México. </w:t>
      </w:r>
    </w:p>
    <w:p w14:paraId="5A99DCB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 </w:t>
      </w:r>
    </w:p>
    <w:p w14:paraId="5BB5D18A"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Por lo cual declara insuficiente para la atención de la solicitud, </w:t>
      </w:r>
      <w:proofErr w:type="gramStart"/>
      <w:r w:rsidRPr="000E18A3">
        <w:rPr>
          <w:rFonts w:ascii="Palatino Linotype" w:eastAsia="Palatino Linotype" w:hAnsi="Palatino Linotype" w:cs="Palatino Linotype"/>
          <w:sz w:val="24"/>
          <w:szCs w:val="24"/>
        </w:rPr>
        <w:t>ya que</w:t>
      </w:r>
      <w:proofErr w:type="gramEnd"/>
      <w:r w:rsidRPr="000E18A3">
        <w:rPr>
          <w:rFonts w:ascii="Palatino Linotype" w:eastAsia="Palatino Linotype" w:hAnsi="Palatino Linotype" w:cs="Palatino Linotype"/>
          <w:sz w:val="24"/>
          <w:szCs w:val="24"/>
        </w:rPr>
        <w:t xml:space="preserve"> si bien se cuenta con un ejemplar de las Actas Administrativas de los procesos de Entrega y Recepción en los que se participa como representante, no es información que genere como parte de sus funciones y/o atribuciones. </w:t>
      </w:r>
    </w:p>
    <w:p w14:paraId="693492A4"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0EA92E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i/>
          <w:sz w:val="24"/>
          <w:szCs w:val="24"/>
          <w:u w:val="single"/>
        </w:rPr>
        <w:t>Respuesta de Sol. Información 00110.pdff</w:t>
      </w:r>
      <w:r w:rsidRPr="000E18A3">
        <w:rPr>
          <w:rFonts w:ascii="Palatino Linotype" w:eastAsia="Palatino Linotype" w:hAnsi="Palatino Linotype" w:cs="Palatino Linotype"/>
          <w:sz w:val="24"/>
          <w:szCs w:val="24"/>
        </w:rPr>
        <w:t xml:space="preserve">”: Oficio de fecha trece de septiembre de dos mil </w:t>
      </w:r>
      <w:proofErr w:type="gramStart"/>
      <w:r w:rsidRPr="000E18A3">
        <w:rPr>
          <w:rFonts w:ascii="Palatino Linotype" w:eastAsia="Palatino Linotype" w:hAnsi="Palatino Linotype" w:cs="Palatino Linotype"/>
          <w:sz w:val="24"/>
          <w:szCs w:val="24"/>
        </w:rPr>
        <w:t>veinticuatro,  signado</w:t>
      </w:r>
      <w:proofErr w:type="gramEnd"/>
      <w:r w:rsidRPr="000E18A3">
        <w:rPr>
          <w:rFonts w:ascii="Palatino Linotype" w:eastAsia="Palatino Linotype" w:hAnsi="Palatino Linotype" w:cs="Palatino Linotype"/>
          <w:sz w:val="24"/>
          <w:szCs w:val="24"/>
        </w:rPr>
        <w:t xml:space="preserve"> por el Jefe de la Unidad de Apoyo Administrativo, mediante el cual señala que, si bien, tiene conocimiento de las personas servidores públicas adscritas al </w:t>
      </w:r>
      <w:r w:rsidRPr="000E18A3">
        <w:rPr>
          <w:rFonts w:ascii="Palatino Linotype" w:eastAsia="Palatino Linotype" w:hAnsi="Palatino Linotype" w:cs="Palatino Linotype"/>
          <w:b/>
          <w:sz w:val="24"/>
          <w:szCs w:val="24"/>
        </w:rPr>
        <w:t xml:space="preserve">SUJETO OBLIGADO </w:t>
      </w:r>
      <w:r w:rsidRPr="000E18A3">
        <w:rPr>
          <w:rFonts w:ascii="Palatino Linotype" w:eastAsia="Palatino Linotype" w:hAnsi="Palatino Linotype" w:cs="Palatino Linotype"/>
          <w:sz w:val="24"/>
          <w:szCs w:val="24"/>
        </w:rPr>
        <w:t xml:space="preserve">que dan vista formal del inicio del proceso de Entrega – Recepción, no tiene la atribución de resguardar en sus archivos copias de las Actas de Entrega Recepción que deriven de dichos procesos. </w:t>
      </w:r>
    </w:p>
    <w:p w14:paraId="62130614"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EDD1CC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 xml:space="preserve">Toda vez que se realizó una búsqueda exhaustiva y razonable en los archivos, no existen registros de personas servidoras públicas que hayan notificado el inicio del proceso de Entrega – Recepción por motivo del cambio de administración durante el mes de septiembre de 2023, por lo que no se tiene información que proporcionar a la solicitud. </w:t>
      </w:r>
    </w:p>
    <w:p w14:paraId="53A5231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1409A7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w:t>
      </w:r>
      <w:proofErr w:type="spellStart"/>
      <w:r w:rsidRPr="000E18A3">
        <w:rPr>
          <w:rFonts w:ascii="Palatino Linotype" w:eastAsia="Palatino Linotype" w:hAnsi="Palatino Linotype" w:cs="Palatino Linotype"/>
          <w:b/>
          <w:i/>
          <w:sz w:val="24"/>
          <w:szCs w:val="24"/>
          <w:u w:val="single"/>
        </w:rPr>
        <w:t>resp</w:t>
      </w:r>
      <w:proofErr w:type="spellEnd"/>
      <w:r w:rsidRPr="000E18A3">
        <w:rPr>
          <w:rFonts w:ascii="Palatino Linotype" w:eastAsia="Palatino Linotype" w:hAnsi="Palatino Linotype" w:cs="Palatino Linotype"/>
          <w:b/>
          <w:i/>
          <w:sz w:val="24"/>
          <w:szCs w:val="24"/>
          <w:u w:val="single"/>
        </w:rPr>
        <w:t xml:space="preserve"> sol 110.pd</w:t>
      </w:r>
      <w:proofErr w:type="gramStart"/>
      <w:r w:rsidRPr="000E18A3">
        <w:rPr>
          <w:rFonts w:ascii="Palatino Linotype" w:eastAsia="Palatino Linotype" w:hAnsi="Palatino Linotype" w:cs="Palatino Linotype"/>
          <w:sz w:val="24"/>
          <w:szCs w:val="24"/>
        </w:rPr>
        <w:t>”:Oficio</w:t>
      </w:r>
      <w:proofErr w:type="gramEnd"/>
      <w:r w:rsidRPr="000E18A3">
        <w:rPr>
          <w:rFonts w:ascii="Palatino Linotype" w:eastAsia="Palatino Linotype" w:hAnsi="Palatino Linotype" w:cs="Palatino Linotype"/>
          <w:sz w:val="24"/>
          <w:szCs w:val="24"/>
        </w:rPr>
        <w:t xml:space="preserve"> de fecha diecisiete de septiembre de dos mil veinticuatro, signado por la Jefa de la Unidad de Apoyo Técnico e Informática y Titular de la Unidad de Transparencia, mediante el cual señala que se anexa la respuesta emitida por el Órgano Interno de Control y la Unidad de Apoyo Administrativo. </w:t>
      </w:r>
    </w:p>
    <w:p w14:paraId="267301B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5161A62" w14:textId="77777777" w:rsidR="00AB0D98" w:rsidRPr="000E18A3" w:rsidRDefault="00E944F7">
      <w:pPr>
        <w:spacing w:after="0" w:line="360" w:lineRule="auto"/>
        <w:ind w:right="-234"/>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3. DEL RECURSO DE REVISIÓN. </w:t>
      </w:r>
      <w:r w:rsidRPr="000E18A3">
        <w:rPr>
          <w:rFonts w:ascii="Palatino Linotype" w:eastAsia="Palatino Linotype" w:hAnsi="Palatino Linotype" w:cs="Palatino Linotype"/>
          <w:sz w:val="24"/>
          <w:szCs w:val="24"/>
        </w:rPr>
        <w:t>Inconforme con la respuesta del</w:t>
      </w:r>
      <w:r w:rsidRPr="000E18A3">
        <w:rPr>
          <w:rFonts w:ascii="Palatino Linotype" w:eastAsia="Palatino Linotype" w:hAnsi="Palatino Linotype" w:cs="Palatino Linotype"/>
          <w:b/>
          <w:sz w:val="24"/>
          <w:szCs w:val="24"/>
        </w:rPr>
        <w:t xml:space="preserve"> SUJETO OBLIGADO</w:t>
      </w: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en fecha ocho de octubre de dos mil veinticuatro,</w:t>
      </w:r>
      <w:r w:rsidRPr="000E18A3">
        <w:rPr>
          <w:rFonts w:ascii="Palatino Linotype" w:eastAsia="Palatino Linotype" w:hAnsi="Palatino Linotype" w:cs="Palatino Linotype"/>
          <w:b/>
          <w:sz w:val="24"/>
          <w:szCs w:val="24"/>
        </w:rPr>
        <w:t xml:space="preserve"> LA PARTE RECURRENTE </w:t>
      </w:r>
      <w:r w:rsidRPr="000E18A3">
        <w:rPr>
          <w:rFonts w:ascii="Palatino Linotype" w:eastAsia="Palatino Linotype" w:hAnsi="Palatino Linotype" w:cs="Palatino Linotype"/>
          <w:sz w:val="24"/>
          <w:szCs w:val="24"/>
        </w:rPr>
        <w:t>interpuso el recurso de revisión, el cual fue registrado</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 xml:space="preserve">en el sistema electrónico con el expediente número </w:t>
      </w:r>
      <w:r w:rsidRPr="000E18A3">
        <w:rPr>
          <w:rFonts w:ascii="Palatino Linotype" w:eastAsia="Palatino Linotype" w:hAnsi="Palatino Linotype" w:cs="Palatino Linotype"/>
          <w:b/>
          <w:sz w:val="24"/>
          <w:szCs w:val="24"/>
        </w:rPr>
        <w:t>06059/INFOEM/IP/RR/2024</w:t>
      </w:r>
      <w:r w:rsidRPr="000E18A3">
        <w:rPr>
          <w:rFonts w:ascii="Palatino Linotype" w:eastAsia="Palatino Linotype" w:hAnsi="Palatino Linotype" w:cs="Palatino Linotype"/>
          <w:sz w:val="24"/>
          <w:szCs w:val="24"/>
        </w:rPr>
        <w:t>, en el cual manifiesta, lo siguiente:</w:t>
      </w:r>
    </w:p>
    <w:p w14:paraId="5BFEF076" w14:textId="77777777" w:rsidR="00AB0D98" w:rsidRPr="000E18A3" w:rsidRDefault="00AB0D98">
      <w:pPr>
        <w:spacing w:after="0" w:line="360" w:lineRule="auto"/>
        <w:ind w:right="-234"/>
        <w:jc w:val="both"/>
        <w:rPr>
          <w:rFonts w:ascii="Palatino Linotype" w:eastAsia="Palatino Linotype" w:hAnsi="Palatino Linotype" w:cs="Palatino Linotype"/>
          <w:sz w:val="24"/>
          <w:szCs w:val="24"/>
        </w:rPr>
      </w:pPr>
    </w:p>
    <w:p w14:paraId="5E5BD2AB" w14:textId="77777777" w:rsidR="00AB0D98" w:rsidRPr="000E18A3" w:rsidRDefault="00E944F7">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0E18A3">
        <w:rPr>
          <w:rFonts w:ascii="Palatino Linotype" w:eastAsia="Palatino Linotype" w:hAnsi="Palatino Linotype" w:cs="Palatino Linotype"/>
          <w:b/>
          <w:i/>
          <w:sz w:val="24"/>
          <w:szCs w:val="24"/>
        </w:rPr>
        <w:t>Acto Impugnado:</w:t>
      </w:r>
    </w:p>
    <w:p w14:paraId="03ADCC95" w14:textId="77777777" w:rsidR="00AB0D98" w:rsidRPr="000E18A3" w:rsidRDefault="00E944F7">
      <w:pPr>
        <w:tabs>
          <w:tab w:val="left" w:pos="8222"/>
        </w:tabs>
        <w:spacing w:before="240" w:after="240" w:line="276" w:lineRule="auto"/>
        <w:ind w:left="851" w:right="616"/>
        <w:jc w:val="both"/>
        <w:rPr>
          <w:rFonts w:ascii="Palatino Linotype" w:eastAsia="Palatino Linotype" w:hAnsi="Palatino Linotype" w:cs="Palatino Linotype"/>
          <w:i/>
        </w:rPr>
      </w:pPr>
      <w:r w:rsidRPr="000E18A3">
        <w:rPr>
          <w:rFonts w:ascii="Palatino Linotype" w:eastAsia="Palatino Linotype" w:hAnsi="Palatino Linotype" w:cs="Palatino Linotype"/>
          <w:i/>
        </w:rPr>
        <w:t>“Respuesta incompleta, imprecisa y que ante la falta de claridad considero personalmente como una negativa a proporcionar la información.” [sic]</w:t>
      </w:r>
    </w:p>
    <w:p w14:paraId="3D8E172B" w14:textId="77777777" w:rsidR="00AB0D98" w:rsidRPr="000E18A3" w:rsidRDefault="00E944F7">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0E18A3">
        <w:rPr>
          <w:rFonts w:ascii="Palatino Linotype" w:eastAsia="Palatino Linotype" w:hAnsi="Palatino Linotype" w:cs="Palatino Linotype"/>
          <w:b/>
          <w:i/>
          <w:sz w:val="24"/>
          <w:szCs w:val="24"/>
        </w:rPr>
        <w:t>Razones o Motivos de Inconformidad</w:t>
      </w:r>
      <w:r w:rsidRPr="000E18A3">
        <w:rPr>
          <w:rFonts w:ascii="Palatino Linotype" w:eastAsia="Palatino Linotype" w:hAnsi="Palatino Linotype" w:cs="Palatino Linotype"/>
          <w:i/>
          <w:sz w:val="24"/>
          <w:szCs w:val="24"/>
        </w:rPr>
        <w:t>:</w:t>
      </w:r>
    </w:p>
    <w:p w14:paraId="0F1B9874" w14:textId="77777777" w:rsidR="00AB0D98" w:rsidRPr="000E18A3" w:rsidRDefault="00E944F7">
      <w:pPr>
        <w:spacing w:before="240" w:after="240" w:line="276" w:lineRule="auto"/>
        <w:ind w:left="851" w:right="616"/>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w:t>
      </w:r>
      <w:proofErr w:type="gramStart"/>
      <w:r w:rsidRPr="000E18A3">
        <w:rPr>
          <w:rFonts w:ascii="Palatino Linotype" w:eastAsia="Palatino Linotype" w:hAnsi="Palatino Linotype" w:cs="Palatino Linotype"/>
          <w:i/>
        </w:rPr>
        <w:t>Las respuesta</w:t>
      </w:r>
      <w:proofErr w:type="gramEnd"/>
      <w:r w:rsidRPr="000E18A3">
        <w:rPr>
          <w:rFonts w:ascii="Palatino Linotype" w:eastAsia="Palatino Linotype" w:hAnsi="Palatino Linotype" w:cs="Palatino Linotype"/>
          <w:i/>
        </w:rPr>
        <w:t xml:space="preserve"> que me proporciona el sujeto obligado es incompleta e imprecisa, ya que de ella se podría deducir que no hubo ningún cambio administrativo a partir del cambio de administración en el Poder Ejecutivo -dado que señala que el Órgano Interno de Control no cuenta con actas de entrega-recepción-, sin aclararlo a plenitud. Por otra </w:t>
      </w:r>
      <w:proofErr w:type="gramStart"/>
      <w:r w:rsidRPr="000E18A3">
        <w:rPr>
          <w:rFonts w:ascii="Palatino Linotype" w:eastAsia="Palatino Linotype" w:hAnsi="Palatino Linotype" w:cs="Palatino Linotype"/>
          <w:i/>
        </w:rPr>
        <w:t>parte</w:t>
      </w:r>
      <w:proofErr w:type="gramEnd"/>
      <w:r w:rsidRPr="000E18A3">
        <w:rPr>
          <w:rFonts w:ascii="Palatino Linotype" w:eastAsia="Palatino Linotype" w:hAnsi="Palatino Linotype" w:cs="Palatino Linotype"/>
          <w:i/>
        </w:rPr>
        <w:t xml:space="preserve"> en mi solicitud </w:t>
      </w:r>
      <w:proofErr w:type="spellStart"/>
      <w:r w:rsidRPr="000E18A3">
        <w:rPr>
          <w:rFonts w:ascii="Palatino Linotype" w:eastAsia="Palatino Linotype" w:hAnsi="Palatino Linotype" w:cs="Palatino Linotype"/>
          <w:i/>
        </w:rPr>
        <w:t>pedi</w:t>
      </w:r>
      <w:proofErr w:type="spellEnd"/>
      <w:r w:rsidRPr="000E18A3">
        <w:rPr>
          <w:rFonts w:ascii="Palatino Linotype" w:eastAsia="Palatino Linotype" w:hAnsi="Palatino Linotype" w:cs="Palatino Linotype"/>
          <w:i/>
        </w:rPr>
        <w:t xml:space="preserve"> que se me precisara por favor si hubo o no relevo al interior del sistema a partir del cambio del Poder Ejecutivo en 2023, pero tampoco responde este punto de manera clara, por lo cual solicito atentamente se revise la respuesta que me fue entregada. Por otro </w:t>
      </w:r>
      <w:proofErr w:type="gramStart"/>
      <w:r w:rsidRPr="000E18A3">
        <w:rPr>
          <w:rFonts w:ascii="Palatino Linotype" w:eastAsia="Palatino Linotype" w:hAnsi="Palatino Linotype" w:cs="Palatino Linotype"/>
          <w:i/>
        </w:rPr>
        <w:t>lado</w:t>
      </w:r>
      <w:proofErr w:type="gramEnd"/>
      <w:r w:rsidRPr="000E18A3">
        <w:rPr>
          <w:rFonts w:ascii="Palatino Linotype" w:eastAsia="Palatino Linotype" w:hAnsi="Palatino Linotype" w:cs="Palatino Linotype"/>
          <w:i/>
        </w:rPr>
        <w:t xml:space="preserve"> yo no presente mi solicitud de forma específica al órgano interno de control del sistema de autopistas, sino a la titularidad del organismo en sí, independientemente del área responsable de </w:t>
      </w:r>
      <w:proofErr w:type="spellStart"/>
      <w:r w:rsidRPr="000E18A3">
        <w:rPr>
          <w:rFonts w:ascii="Palatino Linotype" w:eastAsia="Palatino Linotype" w:hAnsi="Palatino Linotype" w:cs="Palatino Linotype"/>
          <w:i/>
        </w:rPr>
        <w:t>ateder</w:t>
      </w:r>
      <w:proofErr w:type="spellEnd"/>
      <w:r w:rsidRPr="000E18A3">
        <w:rPr>
          <w:rFonts w:ascii="Palatino Linotype" w:eastAsia="Palatino Linotype" w:hAnsi="Palatino Linotype" w:cs="Palatino Linotype"/>
          <w:i/>
        </w:rPr>
        <w:t xml:space="preserve"> mi solicitud. Por lo anterior solicito atentamente que se revise la respuesta entregada, se confirme o no de manera clara si hubo relevo en el organismo o sistema, o no lo hubo, para no insistir. De haberse realizado el relevo, reitero mi solicitud de acceso a esa información con la entrega de las actas de entrega recepción respectivas. Gracias.” [sic]</w:t>
      </w:r>
    </w:p>
    <w:p w14:paraId="30B446B9"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LA PARTE RECURRENTE </w:t>
      </w:r>
      <w:r w:rsidRPr="000E18A3">
        <w:rPr>
          <w:rFonts w:ascii="Palatino Linotype" w:eastAsia="Palatino Linotype" w:hAnsi="Palatino Linotype" w:cs="Palatino Linotype"/>
          <w:sz w:val="24"/>
          <w:szCs w:val="24"/>
        </w:rPr>
        <w:t>proporciono</w:t>
      </w:r>
      <w:r w:rsidRPr="000E18A3">
        <w:rPr>
          <w:rFonts w:ascii="Palatino Linotype" w:eastAsia="Palatino Linotype" w:hAnsi="Palatino Linotype" w:cs="Palatino Linotype"/>
          <w:sz w:val="36"/>
          <w:szCs w:val="36"/>
        </w:rPr>
        <w:t xml:space="preserve"> </w:t>
      </w:r>
      <w:r w:rsidRPr="000E18A3">
        <w:rPr>
          <w:rFonts w:ascii="Palatino Linotype" w:eastAsia="Palatino Linotype" w:hAnsi="Palatino Linotype" w:cs="Palatino Linotype"/>
          <w:sz w:val="24"/>
          <w:szCs w:val="24"/>
        </w:rPr>
        <w:t>los archivos electrónicos:</w:t>
      </w:r>
    </w:p>
    <w:p w14:paraId="0F0A03F9"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E4715FE"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w:t>
      </w:r>
      <w:proofErr w:type="gramStart"/>
      <w:r w:rsidRPr="000E18A3">
        <w:rPr>
          <w:rFonts w:ascii="Palatino Linotype" w:eastAsia="Palatino Linotype" w:hAnsi="Palatino Linotype" w:cs="Palatino Linotype"/>
          <w:b/>
          <w:i/>
          <w:sz w:val="24"/>
          <w:szCs w:val="24"/>
          <w:u w:val="single"/>
        </w:rPr>
        <w:t>Respuesta.pdf</w:t>
      </w:r>
      <w:r w:rsidRPr="000E18A3">
        <w:rPr>
          <w:rFonts w:ascii="Palatino Linotype" w:eastAsia="Palatino Linotype" w:hAnsi="Palatino Linotype" w:cs="Palatino Linotype"/>
          <w:sz w:val="24"/>
          <w:szCs w:val="24"/>
        </w:rPr>
        <w:t>“</w:t>
      </w:r>
      <w:proofErr w:type="gramEnd"/>
      <w:r w:rsidRPr="000E18A3">
        <w:rPr>
          <w:rFonts w:ascii="Palatino Linotype" w:eastAsia="Palatino Linotype" w:hAnsi="Palatino Linotype" w:cs="Palatino Linotype"/>
          <w:sz w:val="24"/>
          <w:szCs w:val="24"/>
        </w:rPr>
        <w:t xml:space="preserve">: Oficio de fecha dos de septiembre de dos mil veinticuatro, signado por la Suplente del Titular del Órgano Interno de Control, proporcionado en respuesta. </w:t>
      </w:r>
    </w:p>
    <w:p w14:paraId="58235D08"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5FB4D8BE"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i/>
          <w:sz w:val="24"/>
          <w:szCs w:val="24"/>
          <w:u w:val="single"/>
        </w:rPr>
        <w:t xml:space="preserve">Respuesta de Sol. Información </w:t>
      </w:r>
      <w:proofErr w:type="gramStart"/>
      <w:r w:rsidRPr="000E18A3">
        <w:rPr>
          <w:rFonts w:ascii="Palatino Linotype" w:eastAsia="Palatino Linotype" w:hAnsi="Palatino Linotype" w:cs="Palatino Linotype"/>
          <w:b/>
          <w:i/>
          <w:sz w:val="24"/>
          <w:szCs w:val="24"/>
          <w:u w:val="single"/>
        </w:rPr>
        <w:t>00110.pdf</w:t>
      </w:r>
      <w:r w:rsidRPr="000E18A3">
        <w:rPr>
          <w:rFonts w:ascii="Palatino Linotype" w:eastAsia="Palatino Linotype" w:hAnsi="Palatino Linotype" w:cs="Palatino Linotype"/>
          <w:sz w:val="24"/>
          <w:szCs w:val="24"/>
        </w:rPr>
        <w:t>“</w:t>
      </w:r>
      <w:proofErr w:type="gramEnd"/>
      <w:r w:rsidRPr="000E18A3">
        <w:rPr>
          <w:rFonts w:ascii="Palatino Linotype" w:eastAsia="Palatino Linotype" w:hAnsi="Palatino Linotype" w:cs="Palatino Linotype"/>
          <w:sz w:val="24"/>
          <w:szCs w:val="24"/>
        </w:rPr>
        <w:t xml:space="preserve">:Oficio de fecha trece de septiembre de dos mil veinticuatro,  signado por el Jefe de la Unidad de Apoyo Administrativo, proporcionado en respuesta. </w:t>
      </w:r>
    </w:p>
    <w:p w14:paraId="37EBCCE3"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C1FEE76"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lastRenderedPageBreak/>
        <w:t xml:space="preserve">4. TURNO. </w:t>
      </w:r>
      <w:r w:rsidRPr="000E18A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E18A3">
        <w:rPr>
          <w:rFonts w:ascii="Palatino Linotype" w:eastAsia="Palatino Linotype" w:hAnsi="Palatino Linotype" w:cs="Palatino Linotype"/>
          <w:b/>
          <w:sz w:val="24"/>
          <w:szCs w:val="24"/>
        </w:rPr>
        <w:t xml:space="preserve">Guadalupe Ramírez Peña, </w:t>
      </w:r>
      <w:r w:rsidRPr="000E18A3">
        <w:rPr>
          <w:rFonts w:ascii="Palatino Linotype" w:eastAsia="Palatino Linotype" w:hAnsi="Palatino Linotype" w:cs="Palatino Linotype"/>
          <w:sz w:val="24"/>
          <w:szCs w:val="24"/>
        </w:rPr>
        <w:t xml:space="preserve">a efecto de que analizara sobre su admisión o su </w:t>
      </w:r>
      <w:proofErr w:type="spellStart"/>
      <w:r w:rsidRPr="000E18A3">
        <w:rPr>
          <w:rFonts w:ascii="Palatino Linotype" w:eastAsia="Palatino Linotype" w:hAnsi="Palatino Linotype" w:cs="Palatino Linotype"/>
          <w:sz w:val="24"/>
          <w:szCs w:val="24"/>
        </w:rPr>
        <w:t>desechamiento</w:t>
      </w:r>
      <w:proofErr w:type="spellEnd"/>
      <w:r w:rsidRPr="000E18A3">
        <w:rPr>
          <w:rFonts w:ascii="Palatino Linotype" w:eastAsia="Palatino Linotype" w:hAnsi="Palatino Linotype" w:cs="Palatino Linotype"/>
          <w:sz w:val="24"/>
          <w:szCs w:val="24"/>
        </w:rPr>
        <w:t>.</w:t>
      </w:r>
    </w:p>
    <w:p w14:paraId="200C287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D784F65"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5. ADMISIÓN DEL RECURSO DE REVISIÓN.</w:t>
      </w:r>
      <w:r w:rsidRPr="000E18A3">
        <w:rPr>
          <w:rFonts w:ascii="Palatino Linotype" w:eastAsia="Palatino Linotype" w:hAnsi="Palatino Linotype" w:cs="Palatino Linotype"/>
          <w:sz w:val="24"/>
          <w:szCs w:val="24"/>
        </w:rPr>
        <w:t xml:space="preserve"> Con fecha</w:t>
      </w:r>
      <w:r w:rsidRPr="000E18A3">
        <w:rPr>
          <w:rFonts w:ascii="Palatino Linotype" w:eastAsia="Palatino Linotype" w:hAnsi="Palatino Linotype" w:cs="Palatino Linotype"/>
          <w:b/>
          <w:sz w:val="24"/>
          <w:szCs w:val="24"/>
        </w:rPr>
        <w:t xml:space="preserve"> once de octubre de dos mil veinticuatro</w:t>
      </w: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0E18A3">
        <w:rPr>
          <w:rFonts w:ascii="Palatino Linotype" w:eastAsia="Palatino Linotype" w:hAnsi="Palatino Linotype" w:cs="Palatino Linotype"/>
          <w:b/>
          <w:sz w:val="24"/>
          <w:szCs w:val="24"/>
        </w:rPr>
        <w:t>EL</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 xml:space="preserve">SUJETO OBLIGADO </w:t>
      </w:r>
      <w:r w:rsidRPr="000E18A3">
        <w:rPr>
          <w:rFonts w:ascii="Palatino Linotype" w:eastAsia="Palatino Linotype" w:hAnsi="Palatino Linotype" w:cs="Palatino Linotype"/>
          <w:sz w:val="24"/>
          <w:szCs w:val="24"/>
        </w:rPr>
        <w:t>presentará su informe justificado.</w:t>
      </w:r>
    </w:p>
    <w:p w14:paraId="5B8A8F16" w14:textId="77777777" w:rsidR="00AB0D98" w:rsidRPr="000E18A3" w:rsidRDefault="00AB0D98">
      <w:pPr>
        <w:spacing w:before="120" w:after="0" w:line="360" w:lineRule="auto"/>
        <w:jc w:val="both"/>
        <w:rPr>
          <w:rFonts w:ascii="Palatino Linotype" w:eastAsia="Palatino Linotype" w:hAnsi="Palatino Linotype" w:cs="Palatino Linotype"/>
          <w:sz w:val="24"/>
          <w:szCs w:val="24"/>
        </w:rPr>
      </w:pPr>
    </w:p>
    <w:p w14:paraId="6DA01E13"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6. MANIFESTACIONES.</w:t>
      </w:r>
      <w:r w:rsidRPr="000E18A3">
        <w:rPr>
          <w:rFonts w:ascii="Palatino Linotype" w:eastAsia="Palatino Linotype" w:hAnsi="Palatino Linotype" w:cs="Palatino Linotype"/>
          <w:sz w:val="24"/>
          <w:szCs w:val="24"/>
        </w:rPr>
        <w:t xml:space="preserve"> Con fecha catorce de octubre de dos mil veinticuatro se recibió, a través del Sistema de Acceso a la Información Mexiquense (SAIMEX), el informe justificado del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 xml:space="preserve">a través del siguiente archivo electrónico: </w:t>
      </w:r>
    </w:p>
    <w:p w14:paraId="32AEAC00"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72094175" w14:textId="77777777" w:rsidR="00AB0D98" w:rsidRPr="000E18A3" w:rsidRDefault="00E944F7">
      <w:pPr>
        <w:spacing w:after="0" w:line="360" w:lineRule="auto"/>
        <w:ind w:right="51"/>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w:t>
      </w:r>
      <w:proofErr w:type="spellStart"/>
      <w:r w:rsidRPr="000E18A3">
        <w:rPr>
          <w:rFonts w:ascii="Palatino Linotype" w:eastAsia="Palatino Linotype" w:hAnsi="Palatino Linotype" w:cs="Palatino Linotype"/>
          <w:b/>
          <w:i/>
          <w:sz w:val="24"/>
          <w:szCs w:val="24"/>
          <w:u w:val="single"/>
        </w:rPr>
        <w:t>inf</w:t>
      </w:r>
      <w:proofErr w:type="spellEnd"/>
      <w:r w:rsidRPr="000E18A3">
        <w:rPr>
          <w:rFonts w:ascii="Palatino Linotype" w:eastAsia="Palatino Linotype" w:hAnsi="Palatino Linotype" w:cs="Palatino Linotype"/>
          <w:b/>
          <w:i/>
          <w:sz w:val="24"/>
          <w:szCs w:val="24"/>
          <w:u w:val="single"/>
        </w:rPr>
        <w:t xml:space="preserve"> justificado </w:t>
      </w:r>
      <w:proofErr w:type="spellStart"/>
      <w:r w:rsidRPr="000E18A3">
        <w:rPr>
          <w:rFonts w:ascii="Palatino Linotype" w:eastAsia="Palatino Linotype" w:hAnsi="Palatino Linotype" w:cs="Palatino Linotype"/>
          <w:b/>
          <w:i/>
          <w:sz w:val="24"/>
          <w:szCs w:val="24"/>
          <w:u w:val="single"/>
        </w:rPr>
        <w:t>rec</w:t>
      </w:r>
      <w:proofErr w:type="spellEnd"/>
      <w:r w:rsidRPr="000E18A3">
        <w:rPr>
          <w:rFonts w:ascii="Palatino Linotype" w:eastAsia="Palatino Linotype" w:hAnsi="Palatino Linotype" w:cs="Palatino Linotype"/>
          <w:b/>
          <w:i/>
          <w:sz w:val="24"/>
          <w:szCs w:val="24"/>
          <w:u w:val="single"/>
        </w:rPr>
        <w:t xml:space="preserve"> </w:t>
      </w:r>
      <w:proofErr w:type="spellStart"/>
      <w:r w:rsidRPr="000E18A3">
        <w:rPr>
          <w:rFonts w:ascii="Palatino Linotype" w:eastAsia="Palatino Linotype" w:hAnsi="Palatino Linotype" w:cs="Palatino Linotype"/>
          <w:b/>
          <w:i/>
          <w:sz w:val="24"/>
          <w:szCs w:val="24"/>
          <w:u w:val="single"/>
        </w:rPr>
        <w:t>rev</w:t>
      </w:r>
      <w:proofErr w:type="spellEnd"/>
      <w:r w:rsidRPr="000E18A3">
        <w:rPr>
          <w:rFonts w:ascii="Palatino Linotype" w:eastAsia="Palatino Linotype" w:hAnsi="Palatino Linotype" w:cs="Palatino Linotype"/>
          <w:b/>
          <w:i/>
          <w:sz w:val="24"/>
          <w:szCs w:val="24"/>
          <w:u w:val="single"/>
        </w:rPr>
        <w:t xml:space="preserve"> 06059 sol 110.pdf</w:t>
      </w:r>
      <w:r w:rsidRPr="000E18A3">
        <w:rPr>
          <w:rFonts w:ascii="Palatino Linotype" w:eastAsia="Palatino Linotype" w:hAnsi="Palatino Linotype" w:cs="Palatino Linotype"/>
          <w:sz w:val="24"/>
          <w:szCs w:val="24"/>
        </w:rPr>
        <w:t xml:space="preserve">”: Oficio de fecha catorce de octubre de dos mil veinticuatro, signado por el Titular de la Unidad de Transparencia, mediante el </w:t>
      </w:r>
      <w:r w:rsidRPr="000E18A3">
        <w:rPr>
          <w:rFonts w:ascii="Palatino Linotype" w:eastAsia="Palatino Linotype" w:hAnsi="Palatino Linotype" w:cs="Palatino Linotype"/>
          <w:sz w:val="24"/>
          <w:szCs w:val="24"/>
        </w:rPr>
        <w:lastRenderedPageBreak/>
        <w:t xml:space="preserve">cual describe las constancias que obran en el SAIMEX, aunado a ello, señala que de acuerdo a lo que establece que no cuenta con información de personal servidor público que haya realizado un proceso de Entrega – Recepción por motivo de cambio de administración, durante el mes de septiembre de 2023, por lo que se encuentra imposibilitado para hacer entrega de actas de ENTREGA – RECEPCIÓN, solicitando se tenga por presentado su informe justificado y se confirme su respuesta emitida. </w:t>
      </w:r>
    </w:p>
    <w:p w14:paraId="68210DF4"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Correo electrónico de fecha veintiocho de agosto de dos mil veinticuatro, dirigido por la Jefa de la Unidad de Apoyo Técnico e Informática y Titular de Transparencia, dirigido al Jefe de la Unidad de Apoyo Administrativo y Servidor Público y al Suplente del Titular del Órgano Interno de Control, mediante el cual se les solicita se coordinen con la finalidad de que realice una búsqueda exhaustiva de la información que se requiere en la solicitud con número de folio 00110/SAASCAEM/IP/2024 y emitan una respuesta. </w:t>
      </w:r>
    </w:p>
    <w:p w14:paraId="57212B92"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Acuse de la solicitud de información.</w:t>
      </w:r>
    </w:p>
    <w:p w14:paraId="2E916964"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Oficio de fecha dos de septiembre de dos mil veinticuatro, signado por la Suplencia del Titular de Órgano Interno de Control emitido en respuesta. </w:t>
      </w:r>
    </w:p>
    <w:p w14:paraId="1B84E3A4"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Oficio de fecha once de septiembre de dos mil veinticuatro, signado por la </w:t>
      </w:r>
      <w:proofErr w:type="gramStart"/>
      <w:r w:rsidRPr="000E18A3">
        <w:rPr>
          <w:rFonts w:ascii="Palatino Linotype" w:eastAsia="Palatino Linotype" w:hAnsi="Palatino Linotype" w:cs="Palatino Linotype"/>
          <w:sz w:val="24"/>
          <w:szCs w:val="24"/>
        </w:rPr>
        <w:t>Jefa</w:t>
      </w:r>
      <w:proofErr w:type="gramEnd"/>
      <w:r w:rsidRPr="000E18A3">
        <w:rPr>
          <w:rFonts w:ascii="Palatino Linotype" w:eastAsia="Palatino Linotype" w:hAnsi="Palatino Linotype" w:cs="Palatino Linotype"/>
          <w:sz w:val="24"/>
          <w:szCs w:val="24"/>
        </w:rPr>
        <w:t xml:space="preserve"> de la Unidad de Apoyo Técnico e Informática, dirigido al Jefe de la Unidad de Apoyo Administrativo, en donde se señalan que tiene como fecha de vencimiento el 19 de septiembre de 2024. </w:t>
      </w:r>
    </w:p>
    <w:p w14:paraId="541DDAE6"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 xml:space="preserve">Oficio de fecha trece de septiembre de dos mil veinticuatro, signado por el </w:t>
      </w:r>
      <w:proofErr w:type="gramStart"/>
      <w:r w:rsidRPr="000E18A3">
        <w:rPr>
          <w:rFonts w:ascii="Palatino Linotype" w:eastAsia="Palatino Linotype" w:hAnsi="Palatino Linotype" w:cs="Palatino Linotype"/>
          <w:sz w:val="24"/>
          <w:szCs w:val="24"/>
        </w:rPr>
        <w:t>Jefe</w:t>
      </w:r>
      <w:proofErr w:type="gramEnd"/>
      <w:r w:rsidRPr="000E18A3">
        <w:rPr>
          <w:rFonts w:ascii="Palatino Linotype" w:eastAsia="Palatino Linotype" w:hAnsi="Palatino Linotype" w:cs="Palatino Linotype"/>
          <w:sz w:val="24"/>
          <w:szCs w:val="24"/>
        </w:rPr>
        <w:t xml:space="preserve"> de la Unidad de Apoyo Administrativo, dirigido al Jefe de la Unidad de Apoyo Técnico e Informática y Titular de la Unidad de Transparencia, entregado en respuesta. </w:t>
      </w:r>
    </w:p>
    <w:p w14:paraId="18639EF8"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Oficio de fecha diecisiete de septiembre de dos mil veinticuatro, signado por la </w:t>
      </w:r>
      <w:proofErr w:type="gramStart"/>
      <w:r w:rsidRPr="000E18A3">
        <w:rPr>
          <w:rFonts w:ascii="Palatino Linotype" w:eastAsia="Palatino Linotype" w:hAnsi="Palatino Linotype" w:cs="Palatino Linotype"/>
          <w:sz w:val="24"/>
          <w:szCs w:val="24"/>
        </w:rPr>
        <w:t>Jefa</w:t>
      </w:r>
      <w:proofErr w:type="gramEnd"/>
      <w:r w:rsidRPr="000E18A3">
        <w:rPr>
          <w:rFonts w:ascii="Palatino Linotype" w:eastAsia="Palatino Linotype" w:hAnsi="Palatino Linotype" w:cs="Palatino Linotype"/>
          <w:sz w:val="24"/>
          <w:szCs w:val="24"/>
        </w:rPr>
        <w:t xml:space="preserve"> de la Unidad de Apoyo Técnico e Informática y Titular de la Unidad de Transparencia, dirigido al solicitante, proporcionado en respuesta. </w:t>
      </w:r>
    </w:p>
    <w:p w14:paraId="40D65BC6"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Oficio de fecha ocho de octubre de dos mil veinticuatro, signado por la </w:t>
      </w:r>
      <w:proofErr w:type="gramStart"/>
      <w:r w:rsidRPr="000E18A3">
        <w:rPr>
          <w:rFonts w:ascii="Palatino Linotype" w:eastAsia="Palatino Linotype" w:hAnsi="Palatino Linotype" w:cs="Palatino Linotype"/>
          <w:sz w:val="24"/>
          <w:szCs w:val="24"/>
        </w:rPr>
        <w:t>Jefa</w:t>
      </w:r>
      <w:proofErr w:type="gramEnd"/>
      <w:r w:rsidRPr="000E18A3">
        <w:rPr>
          <w:rFonts w:ascii="Palatino Linotype" w:eastAsia="Palatino Linotype" w:hAnsi="Palatino Linotype" w:cs="Palatino Linotype"/>
          <w:sz w:val="24"/>
          <w:szCs w:val="24"/>
        </w:rPr>
        <w:t xml:space="preserve"> de la Unidad de Apoyo Técnico e Informática y Titular de Transparencia, dirigido al Jefe de la Unidad de Apoyo Administrativo y a la Suplente del Titular del Órgano Interno de Control, mediante el cual solicita se coordinen, para que en el ámbito de sus atribuciones remitan el informe justificado. </w:t>
      </w:r>
    </w:p>
    <w:p w14:paraId="7A8B7FEF"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Correo electrónico de fecha ocho de octubre de dos mil veinticuatro, signado por la </w:t>
      </w:r>
      <w:proofErr w:type="gramStart"/>
      <w:r w:rsidRPr="000E18A3">
        <w:rPr>
          <w:rFonts w:ascii="Palatino Linotype" w:eastAsia="Palatino Linotype" w:hAnsi="Palatino Linotype" w:cs="Palatino Linotype"/>
          <w:sz w:val="24"/>
          <w:szCs w:val="24"/>
        </w:rPr>
        <w:t>Jefa</w:t>
      </w:r>
      <w:proofErr w:type="gramEnd"/>
      <w:r w:rsidRPr="000E18A3">
        <w:rPr>
          <w:rFonts w:ascii="Palatino Linotype" w:eastAsia="Palatino Linotype" w:hAnsi="Palatino Linotype" w:cs="Palatino Linotype"/>
          <w:sz w:val="24"/>
          <w:szCs w:val="24"/>
        </w:rPr>
        <w:t xml:space="preserve"> de la Unidad de Apoyo Técnico e Informática y Titular de Transparencia, dirigido al Jefe de la Unidad de Apoyo Administrativo y a la Suplente del Titular del Órgano Interno de Control, mediante el cual les señala que remitan su informe justificado. </w:t>
      </w:r>
    </w:p>
    <w:p w14:paraId="54B7FF31"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Acuse del Recurso de Revisión. </w:t>
      </w:r>
    </w:p>
    <w:p w14:paraId="31C5CEF2"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Oficio de fecha diez de octubre de dos mil veinticuatro, signado por la Suplencia del Titular del Órgano Interno de Control, dirigido a la Jefa de la Unidad de Apoyo Técnico e Informática y Titular de Transparencia, mediante el cual describe las constancias que obran en el SAIMEX, en donde señala que </w:t>
      </w:r>
      <w:r w:rsidRPr="000E18A3">
        <w:rPr>
          <w:rFonts w:ascii="Palatino Linotype" w:eastAsia="Palatino Linotype" w:hAnsi="Palatino Linotype" w:cs="Palatino Linotype"/>
          <w:sz w:val="24"/>
          <w:szCs w:val="24"/>
        </w:rPr>
        <w:lastRenderedPageBreak/>
        <w:t xml:space="preserve">derivado de la búsqueda exhaustiva realizada en los archivos que obran en el Órgano Interno de Control, no se tiene registro alguno de participación en actos de Entrega y Recepción de servidores públicos adscritos al </w:t>
      </w:r>
      <w:r w:rsidRPr="000E18A3">
        <w:rPr>
          <w:rFonts w:ascii="Palatino Linotype" w:eastAsia="Palatino Linotype" w:hAnsi="Palatino Linotype" w:cs="Palatino Linotype"/>
          <w:b/>
          <w:sz w:val="24"/>
          <w:szCs w:val="24"/>
        </w:rPr>
        <w:t xml:space="preserve">SUJETO OBLIGADO </w:t>
      </w:r>
      <w:r w:rsidRPr="000E18A3">
        <w:rPr>
          <w:rFonts w:ascii="Palatino Linotype" w:eastAsia="Palatino Linotype" w:hAnsi="Palatino Linotype" w:cs="Palatino Linotype"/>
          <w:sz w:val="24"/>
          <w:szCs w:val="24"/>
        </w:rPr>
        <w:t xml:space="preserve">durante el periodo del 16 al 30 de septiembre de 2023, celebrados con motivo del cambio de administración del Poder Ejecutivo del Estado de México. </w:t>
      </w:r>
    </w:p>
    <w:p w14:paraId="0CA0F315" w14:textId="77777777" w:rsidR="00AB0D98" w:rsidRPr="000E18A3" w:rsidRDefault="00E944F7">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Oficio de fecha once de octubre de dos mil veinticuatro, signado por el Jefe de la Unidad de Apoyo Administrativo, dirigido a la Jefa de la Unidad de Apoyo Técnico e Informática, mediante el cual describe las constancias que obran en el SAIMEX, mediante el cual informa que tiene conocimiento de las personas servidoras públicas que inician su proceso de Entrega-Recepción, por lo que se detalló que no se tiene información de personal servidor público que haya realizado su proceso de Entrega – Recepción por motivo de cambio de administración, durante el mes de septiembre de 2023, por lo cual considera que se dio cumplimiento a lo solicitado, no siendo necesario que el Comité de Transparencia emita una resolución que confirme la inexistencia de la información.</w:t>
      </w:r>
    </w:p>
    <w:p w14:paraId="159A25F4"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55AEB364"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No obstante, dicha información no se puso a la vista de </w:t>
      </w:r>
      <w:r w:rsidRPr="000E18A3">
        <w:rPr>
          <w:rFonts w:ascii="Palatino Linotype" w:eastAsia="Palatino Linotype" w:hAnsi="Palatino Linotype" w:cs="Palatino Linotype"/>
          <w:b/>
          <w:sz w:val="24"/>
          <w:szCs w:val="24"/>
        </w:rPr>
        <w:t xml:space="preserve">LA PARTE </w:t>
      </w:r>
      <w:proofErr w:type="gramStart"/>
      <w:r w:rsidRPr="000E18A3">
        <w:rPr>
          <w:rFonts w:ascii="Palatino Linotype" w:eastAsia="Palatino Linotype" w:hAnsi="Palatino Linotype" w:cs="Palatino Linotype"/>
          <w:b/>
          <w:sz w:val="24"/>
          <w:szCs w:val="24"/>
        </w:rPr>
        <w:t xml:space="preserve">RECURRENTE </w:t>
      </w:r>
      <w:r w:rsidRPr="000E18A3">
        <w:rPr>
          <w:rFonts w:ascii="Palatino Linotype" w:eastAsia="Palatino Linotype" w:hAnsi="Palatino Linotype" w:cs="Palatino Linotype"/>
          <w:sz w:val="24"/>
          <w:szCs w:val="24"/>
        </w:rPr>
        <w:t xml:space="preserve"> ya</w:t>
      </w:r>
      <w:proofErr w:type="gramEnd"/>
      <w:r w:rsidRPr="000E18A3">
        <w:rPr>
          <w:rFonts w:ascii="Palatino Linotype" w:eastAsia="Palatino Linotype" w:hAnsi="Palatino Linotype" w:cs="Palatino Linotype"/>
          <w:sz w:val="24"/>
          <w:szCs w:val="24"/>
        </w:rPr>
        <w:t xml:space="preserve"> que se observa un correo electrónico de un particular. </w:t>
      </w:r>
    </w:p>
    <w:p w14:paraId="2A24F48C"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6C663F1" w14:textId="77777777" w:rsidR="00AB0D98" w:rsidRPr="000E18A3" w:rsidRDefault="00E944F7">
      <w:pPr>
        <w:spacing w:after="0" w:line="360" w:lineRule="auto"/>
        <w:ind w:right="51"/>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lastRenderedPageBreak/>
        <w:t xml:space="preserve">7. CIERRE DE INSTRUCCIÓN. </w:t>
      </w:r>
      <w:r w:rsidRPr="000E18A3">
        <w:rPr>
          <w:rFonts w:ascii="Palatino Linotype" w:eastAsia="Palatino Linotype" w:hAnsi="Palatino Linotype" w:cs="Palatino Linotype"/>
          <w:sz w:val="24"/>
          <w:szCs w:val="24"/>
        </w:rPr>
        <w:t>El treinta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3F50085"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4921E4B4"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44FA6EE"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EC3D49F" w14:textId="77777777" w:rsidR="00AB0D98" w:rsidRPr="000E18A3" w:rsidRDefault="00E944F7">
      <w:pPr>
        <w:widowControl w:val="0"/>
        <w:spacing w:after="0" w:line="360" w:lineRule="auto"/>
        <w:jc w:val="center"/>
        <w:rPr>
          <w:rFonts w:ascii="Palatino Linotype" w:eastAsia="Palatino Linotype" w:hAnsi="Palatino Linotype" w:cs="Palatino Linotype"/>
          <w:b/>
          <w:sz w:val="24"/>
          <w:szCs w:val="24"/>
        </w:rPr>
      </w:pPr>
      <w:r w:rsidRPr="000E18A3">
        <w:rPr>
          <w:rFonts w:ascii="Palatino Linotype" w:eastAsia="Palatino Linotype" w:hAnsi="Palatino Linotype" w:cs="Palatino Linotype"/>
          <w:b/>
          <w:sz w:val="24"/>
          <w:szCs w:val="24"/>
        </w:rPr>
        <w:t>C O N S I D E R A N D O S</w:t>
      </w:r>
    </w:p>
    <w:p w14:paraId="69C0C1A2" w14:textId="77777777" w:rsidR="00AB0D98" w:rsidRPr="000E18A3" w:rsidRDefault="00AB0D98">
      <w:pPr>
        <w:widowControl w:val="0"/>
        <w:spacing w:after="0" w:line="360" w:lineRule="auto"/>
        <w:jc w:val="center"/>
        <w:rPr>
          <w:rFonts w:ascii="Palatino Linotype" w:eastAsia="Palatino Linotype" w:hAnsi="Palatino Linotype" w:cs="Palatino Linotype"/>
          <w:b/>
          <w:sz w:val="24"/>
          <w:szCs w:val="24"/>
        </w:rPr>
      </w:pPr>
    </w:p>
    <w:p w14:paraId="22D15705"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PRIMERO. COMPETENCIA.</w:t>
      </w:r>
      <w:r w:rsidRPr="000E18A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w:t>
      </w:r>
      <w:r w:rsidRPr="000E18A3">
        <w:rPr>
          <w:rFonts w:ascii="Palatino Linotype" w:eastAsia="Palatino Linotype" w:hAnsi="Palatino Linotype" w:cs="Palatino Linotype"/>
          <w:sz w:val="24"/>
          <w:szCs w:val="24"/>
        </w:rPr>
        <w:lastRenderedPageBreak/>
        <w:t>y XXIII y 11 del Reglamento Interior del Instituto de Transparencia, Acceso a la Información Pública y Protección de Datos Personales del Estado de México y Municipios.</w:t>
      </w:r>
    </w:p>
    <w:p w14:paraId="5404154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3BB078E4"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SEGUNDO. OPORTUNIDAD Y PROCEDIBILIDAD DEL RECURSO DE REVISIÓN.  </w:t>
      </w:r>
      <w:r w:rsidRPr="000E18A3">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C1A9C97"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3F63DED"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0E18A3">
        <w:rPr>
          <w:rFonts w:ascii="Palatino Linotype" w:eastAsia="Palatino Linotype" w:hAnsi="Palatino Linotype" w:cs="Palatino Linotype"/>
          <w:b/>
          <w:sz w:val="24"/>
          <w:szCs w:val="24"/>
        </w:rPr>
        <w:t xml:space="preserve"> EL SUJETO OBLIGADO </w:t>
      </w:r>
      <w:r w:rsidRPr="000E18A3">
        <w:rPr>
          <w:rFonts w:ascii="Palatino Linotype" w:eastAsia="Palatino Linotype" w:hAnsi="Palatino Linotype" w:cs="Palatino Linotype"/>
          <w:sz w:val="24"/>
          <w:szCs w:val="24"/>
        </w:rPr>
        <w:t xml:space="preserve">emitió la respuesta, toda vez que esta fue pronunciada el día diecisiete de septiembre del año dos mil veinticuatro, mientras que </w:t>
      </w:r>
      <w:r w:rsidRPr="000E18A3">
        <w:rPr>
          <w:rFonts w:ascii="Palatino Linotype" w:eastAsia="Palatino Linotype" w:hAnsi="Palatino Linotype" w:cs="Palatino Linotype"/>
          <w:b/>
          <w:sz w:val="24"/>
          <w:szCs w:val="24"/>
        </w:rPr>
        <w:t>LA PARTE</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RECURRENTE</w:t>
      </w:r>
      <w:r w:rsidRPr="000E18A3">
        <w:rPr>
          <w:rFonts w:ascii="Palatino Linotype" w:eastAsia="Palatino Linotype" w:hAnsi="Palatino Linotype" w:cs="Palatino Linotype"/>
          <w:sz w:val="24"/>
          <w:szCs w:val="24"/>
        </w:rPr>
        <w:t xml:space="preserve"> interpuso el recurso de revisión en fecha ocho de octubre de dos mil veinticuatro, es decir, al décimo catorce día hábil de haber recibido la respuesta. </w:t>
      </w:r>
    </w:p>
    <w:p w14:paraId="38B2645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EBF729C" w14:textId="77777777" w:rsidR="00AB0D98" w:rsidRPr="000E18A3" w:rsidRDefault="00E944F7">
      <w:pPr>
        <w:spacing w:after="0" w:line="360" w:lineRule="auto"/>
        <w:jc w:val="both"/>
        <w:rPr>
          <w:rFonts w:ascii="Palatino Linotype" w:eastAsia="Palatino Linotype" w:hAnsi="Palatino Linotype" w:cs="Palatino Linotype"/>
          <w:b/>
          <w:sz w:val="24"/>
          <w:szCs w:val="24"/>
        </w:rPr>
      </w:pPr>
      <w:r w:rsidRPr="000E18A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0E18A3">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0E18A3">
        <w:rPr>
          <w:rFonts w:ascii="Palatino Linotype" w:eastAsia="Palatino Linotype" w:hAnsi="Palatino Linotype" w:cs="Palatino Linotype"/>
          <w:b/>
          <w:sz w:val="24"/>
          <w:szCs w:val="24"/>
        </w:rPr>
        <w:t xml:space="preserve">EL SAIMEX.  </w:t>
      </w:r>
    </w:p>
    <w:p w14:paraId="019C95D4" w14:textId="77777777" w:rsidR="00AB0D98" w:rsidRPr="000E18A3" w:rsidRDefault="00AB0D98">
      <w:pPr>
        <w:spacing w:after="0" w:line="360" w:lineRule="auto"/>
        <w:jc w:val="both"/>
        <w:rPr>
          <w:rFonts w:ascii="Palatino Linotype" w:eastAsia="Palatino Linotype" w:hAnsi="Palatino Linotype" w:cs="Palatino Linotype"/>
          <w:b/>
          <w:sz w:val="24"/>
          <w:szCs w:val="24"/>
        </w:rPr>
      </w:pPr>
    </w:p>
    <w:p w14:paraId="6F2CA09B" w14:textId="77777777" w:rsidR="00AB0D98" w:rsidRPr="000E18A3" w:rsidRDefault="00E944F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Finalmente, resulta procedente la interposición del recurso, según lo aducido por </w:t>
      </w:r>
      <w:r w:rsidRPr="000E18A3">
        <w:rPr>
          <w:rFonts w:ascii="Palatino Linotype" w:eastAsia="Palatino Linotype" w:hAnsi="Palatino Linotype" w:cs="Palatino Linotype"/>
          <w:b/>
          <w:sz w:val="24"/>
          <w:szCs w:val="24"/>
        </w:rPr>
        <w:t>LA PARTE RECURRENTE</w:t>
      </w:r>
      <w:r w:rsidRPr="000E18A3">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1E1A5C2A" w14:textId="77777777" w:rsidR="00AB0D98" w:rsidRPr="000E18A3" w:rsidRDefault="00AB0D9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44E6E07" w14:textId="77777777" w:rsidR="00AB0D98" w:rsidRPr="000E18A3" w:rsidRDefault="00E944F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179</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rPr>
        <w:t>El recurso de revisión</w:t>
      </w:r>
      <w:r w:rsidRPr="000E18A3">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7FDFFA46" w14:textId="77777777" w:rsidR="00AB0D98" w:rsidRPr="000E18A3" w:rsidRDefault="00E944F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4E9159D2" w14:textId="77777777" w:rsidR="00AB0D98" w:rsidRPr="000E18A3" w:rsidRDefault="00E944F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0E18A3">
        <w:rPr>
          <w:rFonts w:ascii="Palatino Linotype" w:eastAsia="Palatino Linotype" w:hAnsi="Palatino Linotype" w:cs="Palatino Linotype"/>
          <w:i/>
        </w:rPr>
        <w:t>V. La entrega de información incompleta;”</w:t>
      </w:r>
    </w:p>
    <w:p w14:paraId="392FBA03"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6FFCE11"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TERCERO. MATERIA DE LA REVISIÓN. </w:t>
      </w:r>
      <w:r w:rsidRPr="000E18A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0E18A3">
        <w:rPr>
          <w:rFonts w:ascii="Palatino Linotype" w:eastAsia="Palatino Linotype" w:hAnsi="Palatino Linotype" w:cs="Palatino Linotype"/>
          <w:b/>
          <w:sz w:val="24"/>
          <w:szCs w:val="24"/>
        </w:rPr>
        <w:t>EL</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satisface el derecho de acceso a la información pública de </w:t>
      </w:r>
      <w:r w:rsidRPr="000E18A3">
        <w:rPr>
          <w:rFonts w:ascii="Palatino Linotype" w:eastAsia="Palatino Linotype" w:hAnsi="Palatino Linotype" w:cs="Palatino Linotype"/>
          <w:b/>
          <w:sz w:val="24"/>
          <w:szCs w:val="24"/>
        </w:rPr>
        <w:t>LA PARTE</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RECURRENTE</w:t>
      </w:r>
      <w:r w:rsidRPr="000E18A3">
        <w:rPr>
          <w:rFonts w:ascii="Palatino Linotype" w:eastAsia="Palatino Linotype" w:hAnsi="Palatino Linotype" w:cs="Palatino Linotype"/>
          <w:sz w:val="24"/>
          <w:szCs w:val="24"/>
        </w:rPr>
        <w:t>, o en su defecto, en caso de ser procedente, ordenar la entrega de información.</w:t>
      </w:r>
    </w:p>
    <w:p w14:paraId="4E915F3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39FF3A6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lastRenderedPageBreak/>
        <w:t xml:space="preserve">CUARTO. ESTUDIO Y RESOLUCIÓN DEL ASUNTO.  </w:t>
      </w:r>
      <w:r w:rsidRPr="000E18A3">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F70E880" w14:textId="77777777" w:rsidR="00AB0D98" w:rsidRPr="000E18A3" w:rsidRDefault="00E944F7">
      <w:pPr>
        <w:tabs>
          <w:tab w:val="left" w:pos="709"/>
        </w:tabs>
        <w:spacing w:after="0" w:line="276" w:lineRule="auto"/>
        <w:ind w:left="851" w:right="850"/>
        <w:jc w:val="both"/>
        <w:rPr>
          <w:rFonts w:ascii="Palatino Linotype" w:eastAsia="Palatino Linotype" w:hAnsi="Palatino Linotype" w:cs="Palatino Linotype"/>
          <w:i/>
        </w:rPr>
      </w:pPr>
      <w:r w:rsidRPr="000E18A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0E18A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99430DE" w14:textId="77777777" w:rsidR="00AB0D98" w:rsidRPr="000E18A3" w:rsidRDefault="00E944F7">
      <w:pPr>
        <w:tabs>
          <w:tab w:val="left" w:pos="709"/>
        </w:tabs>
        <w:spacing w:after="0" w:line="276" w:lineRule="auto"/>
        <w:ind w:left="851" w:right="850"/>
        <w:jc w:val="both"/>
        <w:rPr>
          <w:rFonts w:ascii="Palatino Linotype" w:eastAsia="Palatino Linotype" w:hAnsi="Palatino Linotype" w:cs="Palatino Linotype"/>
          <w:b/>
          <w:i/>
        </w:rPr>
      </w:pPr>
      <w:r w:rsidRPr="000E18A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523A198" w14:textId="77777777" w:rsidR="00AB0D98" w:rsidRPr="000E18A3" w:rsidRDefault="00E944F7">
      <w:pPr>
        <w:tabs>
          <w:tab w:val="left" w:pos="709"/>
        </w:tabs>
        <w:spacing w:after="0" w:line="276" w:lineRule="auto"/>
        <w:ind w:left="851" w:right="850"/>
        <w:jc w:val="both"/>
        <w:rPr>
          <w:rFonts w:ascii="Palatino Linotype" w:eastAsia="Palatino Linotype" w:hAnsi="Palatino Linotype" w:cs="Palatino Linotype"/>
          <w:i/>
        </w:rPr>
      </w:pPr>
      <w:r w:rsidRPr="000E18A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E18A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2FB2242" w14:textId="77777777" w:rsidR="00AB0D98" w:rsidRPr="000E18A3" w:rsidRDefault="00E944F7">
      <w:pPr>
        <w:tabs>
          <w:tab w:val="left" w:pos="709"/>
        </w:tabs>
        <w:spacing w:after="0" w:line="276" w:lineRule="auto"/>
        <w:ind w:left="851" w:right="850"/>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775DEFE0" w14:textId="77777777" w:rsidR="00AB0D98" w:rsidRPr="000E18A3" w:rsidRDefault="00E944F7">
      <w:pPr>
        <w:spacing w:after="0" w:line="276" w:lineRule="auto"/>
        <w:ind w:left="851" w:right="901"/>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6o.</w:t>
      </w:r>
    </w:p>
    <w:p w14:paraId="69C86387" w14:textId="77777777" w:rsidR="00AB0D98" w:rsidRPr="000E18A3" w:rsidRDefault="00E944F7">
      <w:pPr>
        <w:spacing w:after="0" w:line="276" w:lineRule="auto"/>
        <w:ind w:left="851" w:right="901"/>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479F2C40"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lastRenderedPageBreak/>
        <w:t xml:space="preserve">A. Para el ejercicio del derecho de acceso a la información, la Federación y </w:t>
      </w:r>
      <w:r w:rsidRPr="000E18A3">
        <w:rPr>
          <w:rFonts w:ascii="Palatino Linotype" w:eastAsia="Palatino Linotype" w:hAnsi="Palatino Linotype" w:cs="Palatino Linotype"/>
          <w:b/>
          <w:i/>
          <w:u w:val="single"/>
        </w:rPr>
        <w:t>las entidades federativas</w:t>
      </w:r>
      <w:r w:rsidRPr="000E18A3">
        <w:rPr>
          <w:rFonts w:ascii="Palatino Linotype" w:eastAsia="Palatino Linotype" w:hAnsi="Palatino Linotype" w:cs="Palatino Linotype"/>
          <w:b/>
          <w:i/>
        </w:rPr>
        <w:t>,</w:t>
      </w:r>
      <w:r w:rsidRPr="000E18A3">
        <w:rPr>
          <w:rFonts w:ascii="Palatino Linotype" w:eastAsia="Palatino Linotype" w:hAnsi="Palatino Linotype" w:cs="Palatino Linotype"/>
          <w:i/>
        </w:rPr>
        <w:t xml:space="preserve"> en el ámbito de sus respectivas competencias, se regirán por los siguientes principios y bases:</w:t>
      </w:r>
    </w:p>
    <w:p w14:paraId="407176E8"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I. </w:t>
      </w:r>
      <w:r w:rsidRPr="000E18A3">
        <w:rPr>
          <w:rFonts w:ascii="Palatino Linotype" w:eastAsia="Palatino Linotype" w:hAnsi="Palatino Linotype" w:cs="Palatino Linotype"/>
          <w:b/>
          <w:i/>
          <w:u w:val="single"/>
        </w:rPr>
        <w:t>Toda la información en posesión de cualquier autoridad, entidad, órgano y organismo de los Poderes</w:t>
      </w:r>
      <w:r w:rsidRPr="000E18A3">
        <w:rPr>
          <w:rFonts w:ascii="Palatino Linotype" w:eastAsia="Palatino Linotype" w:hAnsi="Palatino Linotype" w:cs="Palatino Linotype"/>
          <w:i/>
        </w:rPr>
        <w:t xml:space="preserve"> Ejecutivo, Legislativo </w:t>
      </w:r>
      <w:r w:rsidRPr="000E18A3">
        <w:rPr>
          <w:rFonts w:ascii="Palatino Linotype" w:eastAsia="Palatino Linotype" w:hAnsi="Palatino Linotype" w:cs="Palatino Linotype"/>
          <w:b/>
          <w:i/>
          <w:u w:val="single"/>
        </w:rPr>
        <w:t>y Judicial</w:t>
      </w:r>
      <w:r w:rsidRPr="000E18A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E18A3">
        <w:rPr>
          <w:rFonts w:ascii="Palatino Linotype" w:eastAsia="Palatino Linotype" w:hAnsi="Palatino Linotype" w:cs="Palatino Linotype"/>
          <w:b/>
          <w:i/>
        </w:rPr>
        <w:t>es pública y sólo podrá ser reservada temporalmente por razones de interés público y seguridad nacional,</w:t>
      </w:r>
      <w:r w:rsidRPr="000E18A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EB6C16" w14:textId="77777777" w:rsidR="00AB0D98" w:rsidRPr="000E18A3" w:rsidRDefault="00E944F7">
      <w:pPr>
        <w:spacing w:after="0" w:line="276" w:lineRule="auto"/>
        <w:ind w:left="851" w:right="851"/>
        <w:jc w:val="both"/>
        <w:rPr>
          <w:rFonts w:ascii="Palatino Linotype" w:eastAsia="Palatino Linotype" w:hAnsi="Palatino Linotype" w:cs="Palatino Linotype"/>
          <w:b/>
          <w:i/>
        </w:rPr>
      </w:pPr>
      <w:r w:rsidRPr="000E18A3">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19E5E9B"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III. </w:t>
      </w:r>
      <w:r w:rsidRPr="000E18A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0E18A3">
        <w:rPr>
          <w:rFonts w:ascii="Palatino Linotype" w:eastAsia="Palatino Linotype" w:hAnsi="Palatino Linotype" w:cs="Palatino Linotype"/>
          <w:i/>
        </w:rPr>
        <w:t xml:space="preserve"> a sus datos personales o a la rectificación de éstos.</w:t>
      </w:r>
    </w:p>
    <w:p w14:paraId="63A05F9C"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IV. </w:t>
      </w:r>
      <w:r w:rsidRPr="000E18A3">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A80D4E4"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V. </w:t>
      </w:r>
      <w:r w:rsidRPr="000E18A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B73F3E9"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VI. </w:t>
      </w:r>
      <w:r w:rsidRPr="000E18A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A611D9F"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lastRenderedPageBreak/>
        <w:t xml:space="preserve">VII. </w:t>
      </w:r>
      <w:r w:rsidRPr="000E18A3">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ABA066C" w14:textId="77777777" w:rsidR="00AB0D98" w:rsidRPr="000E18A3" w:rsidRDefault="00AB0D98">
      <w:pPr>
        <w:tabs>
          <w:tab w:val="left" w:pos="709"/>
        </w:tabs>
        <w:spacing w:after="0" w:line="360" w:lineRule="auto"/>
        <w:jc w:val="both"/>
        <w:rPr>
          <w:rFonts w:ascii="Palatino Linotype" w:eastAsia="Palatino Linotype" w:hAnsi="Palatino Linotype" w:cs="Palatino Linotype"/>
          <w:sz w:val="24"/>
          <w:szCs w:val="24"/>
        </w:rPr>
      </w:pPr>
    </w:p>
    <w:p w14:paraId="5D9536C6" w14:textId="77777777" w:rsidR="00AB0D98" w:rsidRPr="000E18A3" w:rsidRDefault="00E944F7">
      <w:pPr>
        <w:tabs>
          <w:tab w:val="left" w:pos="709"/>
        </w:tabs>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0632617" w14:textId="77777777" w:rsidR="00AB0D98" w:rsidRPr="000E18A3" w:rsidRDefault="00AB0D98">
      <w:pPr>
        <w:tabs>
          <w:tab w:val="left" w:pos="709"/>
        </w:tabs>
        <w:spacing w:after="0" w:line="360" w:lineRule="auto"/>
        <w:jc w:val="both"/>
        <w:rPr>
          <w:rFonts w:ascii="Palatino Linotype" w:eastAsia="Palatino Linotype" w:hAnsi="Palatino Linotype" w:cs="Palatino Linotype"/>
          <w:sz w:val="24"/>
          <w:szCs w:val="24"/>
        </w:rPr>
      </w:pPr>
    </w:p>
    <w:p w14:paraId="36B92A3B" w14:textId="77777777" w:rsidR="00AB0D98" w:rsidRPr="000E18A3" w:rsidRDefault="00E944F7">
      <w:pPr>
        <w:tabs>
          <w:tab w:val="left" w:pos="709"/>
        </w:tabs>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En primer lugar, es conveniente analizar si la respuesta del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895E628" w14:textId="77777777" w:rsidR="00AB0D98" w:rsidRPr="000E18A3" w:rsidRDefault="00AB0D98">
      <w:pPr>
        <w:tabs>
          <w:tab w:val="left" w:pos="709"/>
        </w:tabs>
        <w:spacing w:after="0" w:line="360" w:lineRule="auto"/>
        <w:jc w:val="both"/>
        <w:rPr>
          <w:rFonts w:ascii="Palatino Linotype" w:eastAsia="Palatino Linotype" w:hAnsi="Palatino Linotype" w:cs="Palatino Linotype"/>
          <w:sz w:val="24"/>
          <w:szCs w:val="24"/>
        </w:rPr>
      </w:pPr>
    </w:p>
    <w:p w14:paraId="29AB8CBC" w14:textId="77777777" w:rsidR="00AB0D98" w:rsidRPr="000E18A3" w:rsidRDefault="00E944F7">
      <w:pPr>
        <w:spacing w:after="0" w:line="276" w:lineRule="auto"/>
        <w:ind w:left="709"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w:t>
      </w:r>
      <w:r w:rsidRPr="000E18A3">
        <w:rPr>
          <w:rFonts w:ascii="Palatino Linotype" w:eastAsia="Palatino Linotype" w:hAnsi="Palatino Linotype" w:cs="Palatino Linotype"/>
          <w:b/>
          <w:i/>
        </w:rPr>
        <w:t>Artículo 4.</w:t>
      </w:r>
      <w:r w:rsidRPr="000E18A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542DA0B" w14:textId="77777777" w:rsidR="00AB0D98" w:rsidRPr="000E18A3" w:rsidRDefault="00E944F7">
      <w:pPr>
        <w:spacing w:after="0" w:line="276" w:lineRule="auto"/>
        <w:ind w:left="709" w:right="760"/>
        <w:jc w:val="both"/>
        <w:rPr>
          <w:rFonts w:ascii="Palatino Linotype" w:eastAsia="Palatino Linotype" w:hAnsi="Palatino Linotype" w:cs="Palatino Linotype"/>
          <w:i/>
        </w:rPr>
      </w:pPr>
      <w:r w:rsidRPr="000E18A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0E18A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0B3B85A" w14:textId="77777777" w:rsidR="00AB0D98" w:rsidRPr="000E18A3" w:rsidRDefault="00E944F7">
      <w:pPr>
        <w:spacing w:after="0" w:line="276" w:lineRule="auto"/>
        <w:ind w:left="709" w:right="760"/>
        <w:jc w:val="both"/>
        <w:rPr>
          <w:rFonts w:ascii="Palatino Linotype" w:eastAsia="Palatino Linotype" w:hAnsi="Palatino Linotype" w:cs="Palatino Linotype"/>
          <w:i/>
        </w:rPr>
      </w:pPr>
      <w:r w:rsidRPr="000E18A3">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0E18A3">
        <w:rPr>
          <w:rFonts w:ascii="Palatino Linotype" w:eastAsia="Palatino Linotype" w:hAnsi="Palatino Linotype" w:cs="Palatino Linotype"/>
          <w:i/>
        </w:rPr>
        <w:t>.”</w:t>
      </w:r>
    </w:p>
    <w:p w14:paraId="69B44529" w14:textId="77777777" w:rsidR="00AB0D98" w:rsidRPr="000E18A3" w:rsidRDefault="00AB0D98">
      <w:pPr>
        <w:spacing w:after="0" w:line="360" w:lineRule="auto"/>
        <w:ind w:left="709" w:right="760"/>
        <w:jc w:val="both"/>
        <w:rPr>
          <w:rFonts w:ascii="Palatino Linotype" w:eastAsia="Palatino Linotype" w:hAnsi="Palatino Linotype" w:cs="Palatino Linotype"/>
          <w:sz w:val="24"/>
          <w:szCs w:val="24"/>
        </w:rPr>
      </w:pPr>
    </w:p>
    <w:p w14:paraId="43CE286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6F0266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55FEC983" w14:textId="77777777" w:rsidR="00AB0D98" w:rsidRPr="000E18A3" w:rsidRDefault="00E944F7">
      <w:pPr>
        <w:spacing w:after="0" w:line="276" w:lineRule="auto"/>
        <w:ind w:left="567"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w:t>
      </w:r>
      <w:r w:rsidRPr="000E18A3">
        <w:rPr>
          <w:rFonts w:ascii="Palatino Linotype" w:eastAsia="Palatino Linotype" w:hAnsi="Palatino Linotype" w:cs="Palatino Linotype"/>
          <w:b/>
          <w:i/>
        </w:rPr>
        <w:t>Artículo 12.-</w:t>
      </w:r>
      <w:r w:rsidRPr="000E18A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A857CFC" w14:textId="77777777" w:rsidR="00AB0D98" w:rsidRPr="000E18A3" w:rsidRDefault="00AB0D98">
      <w:pPr>
        <w:spacing w:after="0" w:line="276" w:lineRule="auto"/>
        <w:ind w:left="567" w:right="760"/>
        <w:jc w:val="both"/>
        <w:rPr>
          <w:rFonts w:ascii="Palatino Linotype" w:eastAsia="Palatino Linotype" w:hAnsi="Palatino Linotype" w:cs="Palatino Linotype"/>
          <w:i/>
        </w:rPr>
      </w:pPr>
    </w:p>
    <w:p w14:paraId="5E189395" w14:textId="77777777" w:rsidR="00AB0D98" w:rsidRPr="000E18A3" w:rsidRDefault="00E944F7">
      <w:pPr>
        <w:spacing w:after="0" w:line="276" w:lineRule="auto"/>
        <w:ind w:left="567" w:right="760"/>
        <w:jc w:val="both"/>
        <w:rPr>
          <w:rFonts w:ascii="Palatino Linotype" w:eastAsia="Palatino Linotype" w:hAnsi="Palatino Linotype" w:cs="Palatino Linotype"/>
          <w:i/>
        </w:rPr>
      </w:pPr>
      <w:r w:rsidRPr="000E18A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FE29245"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212446B" w14:textId="77777777" w:rsidR="00AB0D98" w:rsidRPr="000E18A3" w:rsidRDefault="00E944F7">
      <w:pPr>
        <w:spacing w:after="0" w:line="360" w:lineRule="auto"/>
        <w:jc w:val="both"/>
        <w:rPr>
          <w:rFonts w:ascii="Palatino Linotype" w:eastAsia="Palatino Linotype" w:hAnsi="Palatino Linotype" w:cs="Palatino Linotype"/>
          <w:strike/>
          <w:sz w:val="24"/>
          <w:szCs w:val="24"/>
        </w:rPr>
      </w:pPr>
      <w:r w:rsidRPr="000E18A3">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0E18A3">
        <w:rPr>
          <w:rFonts w:ascii="Palatino Linotype" w:eastAsia="Palatino Linotype" w:hAnsi="Palatino Linotype" w:cs="Palatino Linotype"/>
          <w:strike/>
          <w:sz w:val="24"/>
          <w:szCs w:val="24"/>
        </w:rPr>
        <w:t xml:space="preserve"> </w:t>
      </w:r>
    </w:p>
    <w:p w14:paraId="71D7B7AD" w14:textId="77777777" w:rsidR="00AB0D98" w:rsidRPr="000E18A3" w:rsidRDefault="00AB0D98">
      <w:pPr>
        <w:spacing w:after="0" w:line="360" w:lineRule="auto"/>
        <w:jc w:val="both"/>
        <w:rPr>
          <w:rFonts w:ascii="Palatino Linotype" w:eastAsia="Palatino Linotype" w:hAnsi="Palatino Linotype" w:cs="Palatino Linotype"/>
          <w:strike/>
          <w:sz w:val="24"/>
          <w:szCs w:val="24"/>
        </w:rPr>
      </w:pPr>
    </w:p>
    <w:p w14:paraId="7BAE5CE2"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B2E3FD0"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6852F630"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1BB715E"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EF90C80"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18.</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0E18A3">
        <w:rPr>
          <w:rFonts w:ascii="Palatino Linotype" w:eastAsia="Palatino Linotype" w:hAnsi="Palatino Linotype" w:cs="Palatino Linotype"/>
          <w:i/>
        </w:rPr>
        <w:t xml:space="preserve"> y reutilización de la información que generen.</w:t>
      </w:r>
    </w:p>
    <w:p w14:paraId="53614CD0"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Artículo 19. </w:t>
      </w:r>
      <w:r w:rsidRPr="000E18A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0E18A3">
        <w:rPr>
          <w:rFonts w:ascii="Palatino Linotype" w:eastAsia="Palatino Linotype" w:hAnsi="Palatino Linotype" w:cs="Palatino Linotype"/>
          <w:i/>
        </w:rPr>
        <w:t>.</w:t>
      </w:r>
    </w:p>
    <w:p w14:paraId="56CC97E2"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01EBAE85"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4992C9A1" w14:textId="77777777" w:rsidR="00AB0D98" w:rsidRPr="000E18A3" w:rsidRDefault="00AB0D98">
      <w:pPr>
        <w:spacing w:after="0" w:line="276" w:lineRule="auto"/>
        <w:ind w:left="851" w:right="851"/>
        <w:jc w:val="both"/>
        <w:rPr>
          <w:rFonts w:ascii="Palatino Linotype" w:eastAsia="Palatino Linotype" w:hAnsi="Palatino Linotype" w:cs="Palatino Linotype"/>
          <w:i/>
          <w:sz w:val="24"/>
          <w:szCs w:val="24"/>
        </w:rPr>
      </w:pPr>
    </w:p>
    <w:p w14:paraId="1F4E10DD"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0E18A3">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10E9C3EE"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30E4C89"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69B2420"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8C598F3"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 xml:space="preserve">Artículo 3. </w:t>
      </w:r>
      <w:r w:rsidRPr="000E18A3">
        <w:rPr>
          <w:rFonts w:ascii="Palatino Linotype" w:eastAsia="Palatino Linotype" w:hAnsi="Palatino Linotype" w:cs="Palatino Linotype"/>
          <w:i/>
        </w:rPr>
        <w:t>Para los efectos de la presente Ley se entenderá por:</w:t>
      </w:r>
    </w:p>
    <w:p w14:paraId="1F895408"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726981C2"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XI. Documento:</w:t>
      </w:r>
      <w:r w:rsidRPr="000E18A3">
        <w:rPr>
          <w:rFonts w:ascii="Palatino Linotype" w:eastAsia="Palatino Linotype" w:hAnsi="Palatino Linotype" w:cs="Palatino Linotype"/>
          <w:i/>
        </w:rPr>
        <w:t xml:space="preserve"> Los expedientes, reportes, estudios, actas</w:t>
      </w:r>
      <w:r w:rsidRPr="000E18A3">
        <w:rPr>
          <w:rFonts w:ascii="Palatino Linotype" w:eastAsia="Palatino Linotype" w:hAnsi="Palatino Linotype" w:cs="Palatino Linotype"/>
          <w:b/>
          <w:i/>
        </w:rPr>
        <w:t>,</w:t>
      </w:r>
      <w:r w:rsidRPr="000E18A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4A3DAEC" w14:textId="77777777" w:rsidR="00AB0D98" w:rsidRPr="000E18A3" w:rsidRDefault="00AB0D98">
      <w:pPr>
        <w:spacing w:after="0" w:line="360" w:lineRule="auto"/>
        <w:ind w:left="851" w:right="899"/>
        <w:jc w:val="both"/>
        <w:rPr>
          <w:rFonts w:ascii="Palatino Linotype" w:eastAsia="Palatino Linotype" w:hAnsi="Palatino Linotype" w:cs="Palatino Linotype"/>
          <w:sz w:val="24"/>
          <w:szCs w:val="24"/>
        </w:rPr>
      </w:pPr>
    </w:p>
    <w:p w14:paraId="2D127BD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0E18A3">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39265E85"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004E59E" w14:textId="77777777" w:rsidR="00AB0D98" w:rsidRPr="000E18A3" w:rsidRDefault="00E944F7">
      <w:pPr>
        <w:spacing w:after="0" w:line="276" w:lineRule="auto"/>
        <w:ind w:left="851" w:right="902"/>
        <w:jc w:val="both"/>
        <w:rPr>
          <w:rFonts w:ascii="Palatino Linotype" w:eastAsia="Palatino Linotype" w:hAnsi="Palatino Linotype" w:cs="Palatino Linotype"/>
          <w:b/>
          <w:i/>
        </w:rPr>
      </w:pPr>
      <w:r w:rsidRPr="000E18A3">
        <w:rPr>
          <w:rFonts w:ascii="Palatino Linotype" w:eastAsia="Palatino Linotype" w:hAnsi="Palatino Linotype" w:cs="Palatino Linotype"/>
          <w:b/>
        </w:rPr>
        <w:t>“</w:t>
      </w:r>
      <w:r w:rsidRPr="000E18A3">
        <w:rPr>
          <w:rFonts w:ascii="Palatino Linotype" w:eastAsia="Palatino Linotype" w:hAnsi="Palatino Linotype" w:cs="Palatino Linotype"/>
          <w:b/>
          <w:i/>
        </w:rPr>
        <w:t>CRITERIO 0002-11</w:t>
      </w:r>
    </w:p>
    <w:p w14:paraId="26E994F3"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0E18A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03EABE"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En </w:t>
      </w:r>
      <w:proofErr w:type="gramStart"/>
      <w:r w:rsidRPr="000E18A3">
        <w:rPr>
          <w:rFonts w:ascii="Palatino Linotype" w:eastAsia="Palatino Linotype" w:hAnsi="Palatino Linotype" w:cs="Palatino Linotype"/>
          <w:i/>
        </w:rPr>
        <w:t>consecuencia</w:t>
      </w:r>
      <w:proofErr w:type="gramEnd"/>
      <w:r w:rsidRPr="000E18A3">
        <w:rPr>
          <w:rFonts w:ascii="Palatino Linotype" w:eastAsia="Palatino Linotype" w:hAnsi="Palatino Linotype" w:cs="Palatino Linotype"/>
          <w:i/>
        </w:rPr>
        <w:t xml:space="preserve"> el acceso a la información se refiere a que se cumplan cualquiera de los siguientes tres supuestos:</w:t>
      </w:r>
    </w:p>
    <w:p w14:paraId="33516B44"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1) Que se trate de información registrada en cualquier soporte documental, </w:t>
      </w:r>
      <w:proofErr w:type="gramStart"/>
      <w:r w:rsidRPr="000E18A3">
        <w:rPr>
          <w:rFonts w:ascii="Palatino Linotype" w:eastAsia="Palatino Linotype" w:hAnsi="Palatino Linotype" w:cs="Palatino Linotype"/>
          <w:i/>
        </w:rPr>
        <w:t>que</w:t>
      </w:r>
      <w:proofErr w:type="gramEnd"/>
      <w:r w:rsidRPr="000E18A3">
        <w:rPr>
          <w:rFonts w:ascii="Palatino Linotype" w:eastAsia="Palatino Linotype" w:hAnsi="Palatino Linotype" w:cs="Palatino Linotype"/>
          <w:i/>
        </w:rPr>
        <w:t xml:space="preserve"> en ejercicio de las atribuciones conferidas, sea generada por los Sujetos Obligados;</w:t>
      </w:r>
    </w:p>
    <w:p w14:paraId="558CED4A"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2) Que se trate de información registrada en cualquier soporte documental, </w:t>
      </w:r>
      <w:proofErr w:type="gramStart"/>
      <w:r w:rsidRPr="000E18A3">
        <w:rPr>
          <w:rFonts w:ascii="Palatino Linotype" w:eastAsia="Palatino Linotype" w:hAnsi="Palatino Linotype" w:cs="Palatino Linotype"/>
          <w:i/>
        </w:rPr>
        <w:t>que</w:t>
      </w:r>
      <w:proofErr w:type="gramEnd"/>
      <w:r w:rsidRPr="000E18A3">
        <w:rPr>
          <w:rFonts w:ascii="Palatino Linotype" w:eastAsia="Palatino Linotype" w:hAnsi="Palatino Linotype" w:cs="Palatino Linotype"/>
          <w:i/>
        </w:rPr>
        <w:t xml:space="preserve"> en ejercicio de las atribuciones conferidas, sea administrada por los Sujetos Obligados, y</w:t>
      </w:r>
    </w:p>
    <w:p w14:paraId="1A7804B4"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3) Que se trate de información registrada en cualquier soporte documental, </w:t>
      </w:r>
      <w:proofErr w:type="gramStart"/>
      <w:r w:rsidRPr="000E18A3">
        <w:rPr>
          <w:rFonts w:ascii="Palatino Linotype" w:eastAsia="Palatino Linotype" w:hAnsi="Palatino Linotype" w:cs="Palatino Linotype"/>
          <w:i/>
        </w:rPr>
        <w:t>que</w:t>
      </w:r>
      <w:proofErr w:type="gramEnd"/>
      <w:r w:rsidRPr="000E18A3">
        <w:rPr>
          <w:rFonts w:ascii="Palatino Linotype" w:eastAsia="Palatino Linotype" w:hAnsi="Palatino Linotype" w:cs="Palatino Linotype"/>
          <w:i/>
        </w:rPr>
        <w:t xml:space="preserve"> en ejercicio de las atribuciones conferidas, se encuentre en posesión de los Sujetos Obligados.” </w:t>
      </w:r>
    </w:p>
    <w:p w14:paraId="0959388C" w14:textId="77777777" w:rsidR="00AB0D98" w:rsidRPr="000E18A3" w:rsidRDefault="00AB0D98">
      <w:pPr>
        <w:spacing w:after="0" w:line="276" w:lineRule="auto"/>
        <w:ind w:left="851" w:right="902"/>
        <w:jc w:val="both"/>
        <w:rPr>
          <w:rFonts w:ascii="Palatino Linotype" w:eastAsia="Palatino Linotype" w:hAnsi="Palatino Linotype" w:cs="Palatino Linotype"/>
          <w:sz w:val="24"/>
          <w:szCs w:val="24"/>
        </w:rPr>
      </w:pPr>
    </w:p>
    <w:p w14:paraId="3EDB0D74"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De ahí que </w:t>
      </w:r>
      <w:r w:rsidRPr="000E18A3">
        <w:rPr>
          <w:rFonts w:ascii="Palatino Linotype" w:eastAsia="Palatino Linotype" w:hAnsi="Palatino Linotype" w:cs="Palatino Linotype"/>
          <w:b/>
          <w:sz w:val="24"/>
          <w:szCs w:val="24"/>
        </w:rPr>
        <w:t>EL SUJETO OBLIGADO</w:t>
      </w:r>
      <w:r w:rsidRPr="000E18A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w:t>
      </w:r>
      <w:r w:rsidRPr="000E18A3">
        <w:rPr>
          <w:rFonts w:ascii="Palatino Linotype" w:eastAsia="Palatino Linotype" w:hAnsi="Palatino Linotype" w:cs="Palatino Linotype"/>
          <w:sz w:val="24"/>
          <w:szCs w:val="24"/>
        </w:rPr>
        <w:lastRenderedPageBreak/>
        <w:t>con aquella que se genere de acuerdo con sus facultades, atribuciones y obligaciones señaladas por la Ley en la materia</w:t>
      </w:r>
      <w:r w:rsidRPr="000E18A3">
        <w:rPr>
          <w:rFonts w:ascii="Palatino Linotype" w:eastAsia="Palatino Linotype" w:hAnsi="Palatino Linotype" w:cs="Palatino Linotype"/>
          <w:sz w:val="24"/>
          <w:szCs w:val="24"/>
          <w:vertAlign w:val="superscript"/>
        </w:rPr>
        <w:footnoteReference w:id="1"/>
      </w:r>
      <w:r w:rsidRPr="000E18A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0E18A3">
        <w:rPr>
          <w:rFonts w:ascii="Palatino Linotype" w:eastAsia="Palatino Linotype" w:hAnsi="Palatino Linotype" w:cs="Palatino Linotype"/>
          <w:sz w:val="24"/>
          <w:szCs w:val="24"/>
          <w:vertAlign w:val="superscript"/>
        </w:rPr>
        <w:footnoteReference w:id="2"/>
      </w:r>
      <w:r w:rsidRPr="000E18A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49FF6A0"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37C55003" w14:textId="77777777" w:rsidR="00AB0D98" w:rsidRPr="000E18A3" w:rsidRDefault="00E944F7">
      <w:pPr>
        <w:spacing w:after="24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678"/>
        <w:gridCol w:w="2268"/>
      </w:tblGrid>
      <w:tr w:rsidR="000E18A3" w:rsidRPr="000E18A3" w14:paraId="43BDD551" w14:textId="77777777">
        <w:tc>
          <w:tcPr>
            <w:tcW w:w="1980" w:type="dxa"/>
            <w:shd w:val="clear" w:color="auto" w:fill="AEAAAA"/>
          </w:tcPr>
          <w:p w14:paraId="279B4E8B" w14:textId="77777777" w:rsidR="00AB0D98" w:rsidRPr="000E18A3" w:rsidRDefault="00E944F7">
            <w:pPr>
              <w:spacing w:before="240" w:after="240" w:line="276" w:lineRule="auto"/>
              <w:jc w:val="both"/>
              <w:rPr>
                <w:rFonts w:ascii="Palatino Linotype" w:eastAsia="Palatino Linotype" w:hAnsi="Palatino Linotype" w:cs="Palatino Linotype"/>
                <w:sz w:val="20"/>
                <w:szCs w:val="20"/>
              </w:rPr>
            </w:pPr>
            <w:r w:rsidRPr="000E18A3">
              <w:rPr>
                <w:rFonts w:ascii="Palatino Linotype" w:eastAsia="Palatino Linotype" w:hAnsi="Palatino Linotype" w:cs="Palatino Linotype"/>
                <w:b/>
                <w:sz w:val="20"/>
                <w:szCs w:val="20"/>
              </w:rPr>
              <w:t>Solicitud</w:t>
            </w:r>
            <w:r w:rsidRPr="000E18A3">
              <w:rPr>
                <w:rFonts w:ascii="Palatino Linotype" w:eastAsia="Palatino Linotype" w:hAnsi="Palatino Linotype" w:cs="Palatino Linotype"/>
                <w:sz w:val="20"/>
                <w:szCs w:val="20"/>
              </w:rPr>
              <w:t xml:space="preserve"> </w:t>
            </w:r>
          </w:p>
        </w:tc>
        <w:tc>
          <w:tcPr>
            <w:tcW w:w="4678" w:type="dxa"/>
            <w:shd w:val="clear" w:color="auto" w:fill="AEAAAA"/>
          </w:tcPr>
          <w:p w14:paraId="0C2100F8" w14:textId="77777777" w:rsidR="00AB0D98" w:rsidRPr="000E18A3" w:rsidRDefault="00E944F7">
            <w:pPr>
              <w:spacing w:before="240" w:after="240" w:line="360" w:lineRule="auto"/>
              <w:jc w:val="center"/>
              <w:rPr>
                <w:rFonts w:ascii="Palatino Linotype" w:eastAsia="Palatino Linotype" w:hAnsi="Palatino Linotype" w:cs="Palatino Linotype"/>
                <w:b/>
                <w:sz w:val="20"/>
                <w:szCs w:val="20"/>
              </w:rPr>
            </w:pPr>
            <w:r w:rsidRPr="000E18A3">
              <w:rPr>
                <w:rFonts w:ascii="Palatino Linotype" w:eastAsia="Palatino Linotype" w:hAnsi="Palatino Linotype" w:cs="Palatino Linotype"/>
                <w:b/>
                <w:sz w:val="20"/>
                <w:szCs w:val="20"/>
              </w:rPr>
              <w:t>Respuesta</w:t>
            </w:r>
          </w:p>
        </w:tc>
        <w:tc>
          <w:tcPr>
            <w:tcW w:w="2268" w:type="dxa"/>
            <w:shd w:val="clear" w:color="auto" w:fill="AEAAAA"/>
          </w:tcPr>
          <w:p w14:paraId="692ECEBB" w14:textId="77777777" w:rsidR="00AB0D98" w:rsidRPr="000E18A3" w:rsidRDefault="00E944F7">
            <w:pPr>
              <w:spacing w:before="240" w:after="240" w:line="360" w:lineRule="auto"/>
              <w:jc w:val="center"/>
              <w:rPr>
                <w:rFonts w:ascii="Palatino Linotype" w:eastAsia="Palatino Linotype" w:hAnsi="Palatino Linotype" w:cs="Palatino Linotype"/>
                <w:b/>
                <w:sz w:val="20"/>
                <w:szCs w:val="20"/>
              </w:rPr>
            </w:pPr>
            <w:r w:rsidRPr="000E18A3">
              <w:rPr>
                <w:rFonts w:ascii="Palatino Linotype" w:eastAsia="Palatino Linotype" w:hAnsi="Palatino Linotype" w:cs="Palatino Linotype"/>
                <w:b/>
                <w:sz w:val="20"/>
                <w:szCs w:val="20"/>
              </w:rPr>
              <w:t>Informe Justificado</w:t>
            </w:r>
          </w:p>
        </w:tc>
      </w:tr>
      <w:tr w:rsidR="00AB0D98" w:rsidRPr="000E18A3" w14:paraId="483D8CCB" w14:textId="77777777">
        <w:tc>
          <w:tcPr>
            <w:tcW w:w="1980" w:type="dxa"/>
            <w:shd w:val="clear" w:color="auto" w:fill="auto"/>
          </w:tcPr>
          <w:p w14:paraId="64AD6827" w14:textId="77777777" w:rsidR="00AB0D98" w:rsidRPr="000E18A3" w:rsidRDefault="00E944F7">
            <w:pPr>
              <w:spacing w:before="240" w:after="240" w:line="276" w:lineRule="auto"/>
              <w:jc w:val="both"/>
              <w:rPr>
                <w:rFonts w:ascii="Palatino Linotype" w:eastAsia="Palatino Linotype" w:hAnsi="Palatino Linotype" w:cs="Palatino Linotype"/>
                <w:sz w:val="20"/>
                <w:szCs w:val="20"/>
              </w:rPr>
            </w:pPr>
            <w:r w:rsidRPr="000E18A3">
              <w:rPr>
                <w:rFonts w:ascii="Palatino Linotype" w:eastAsia="Palatino Linotype" w:hAnsi="Palatino Linotype" w:cs="Palatino Linotype"/>
                <w:sz w:val="20"/>
                <w:szCs w:val="20"/>
              </w:rPr>
              <w:t xml:space="preserve">Copia de las actas de "entrega-recepción" que se generaron el mes de septiembre de dos </w:t>
            </w:r>
            <w:r w:rsidRPr="000E18A3">
              <w:rPr>
                <w:rFonts w:ascii="Palatino Linotype" w:eastAsia="Palatino Linotype" w:hAnsi="Palatino Linotype" w:cs="Palatino Linotype"/>
                <w:sz w:val="20"/>
                <w:szCs w:val="20"/>
              </w:rPr>
              <w:lastRenderedPageBreak/>
              <w:t xml:space="preserve">mil veintitrés entre los nuevos y anteriores titulares con el relevo o cambio en la administración pública, de no haberse realizado se deberá especificar. </w:t>
            </w:r>
          </w:p>
        </w:tc>
        <w:tc>
          <w:tcPr>
            <w:tcW w:w="4678" w:type="dxa"/>
            <w:shd w:val="clear" w:color="auto" w:fill="auto"/>
          </w:tcPr>
          <w:p w14:paraId="6B81974D" w14:textId="77777777" w:rsidR="00AB0D98" w:rsidRPr="000E18A3" w:rsidRDefault="00E944F7">
            <w:pPr>
              <w:spacing w:before="240" w:after="240" w:line="360" w:lineRule="auto"/>
              <w:jc w:val="both"/>
              <w:rPr>
                <w:rFonts w:ascii="Palatino Linotype" w:eastAsia="Palatino Linotype" w:hAnsi="Palatino Linotype" w:cs="Palatino Linotype"/>
                <w:sz w:val="20"/>
                <w:szCs w:val="20"/>
              </w:rPr>
            </w:pPr>
            <w:r w:rsidRPr="000E18A3">
              <w:rPr>
                <w:rFonts w:ascii="Palatino Linotype" w:eastAsia="Palatino Linotype" w:hAnsi="Palatino Linotype" w:cs="Palatino Linotype"/>
                <w:sz w:val="20"/>
                <w:szCs w:val="20"/>
              </w:rPr>
              <w:lastRenderedPageBreak/>
              <w:t xml:space="preserve">La Suplente del Titular del Órgano Interno de </w:t>
            </w:r>
            <w:proofErr w:type="gramStart"/>
            <w:r w:rsidRPr="000E18A3">
              <w:rPr>
                <w:rFonts w:ascii="Palatino Linotype" w:eastAsia="Palatino Linotype" w:hAnsi="Palatino Linotype" w:cs="Palatino Linotype"/>
                <w:sz w:val="20"/>
                <w:szCs w:val="20"/>
              </w:rPr>
              <w:t>Control,  señala</w:t>
            </w:r>
            <w:proofErr w:type="gramEnd"/>
            <w:r w:rsidRPr="000E18A3">
              <w:rPr>
                <w:rFonts w:ascii="Palatino Linotype" w:eastAsia="Palatino Linotype" w:hAnsi="Palatino Linotype" w:cs="Palatino Linotype"/>
                <w:sz w:val="20"/>
                <w:szCs w:val="20"/>
              </w:rPr>
              <w:t xml:space="preserve"> que la información solicitada no corresponde a las acciones que realiza, citando para tal efecto, diversas acciones que desempeña, </w:t>
            </w:r>
            <w:r w:rsidRPr="000E18A3">
              <w:rPr>
                <w:rFonts w:ascii="Palatino Linotype" w:eastAsia="Palatino Linotype" w:hAnsi="Palatino Linotype" w:cs="Palatino Linotype"/>
                <w:sz w:val="20"/>
                <w:szCs w:val="20"/>
              </w:rPr>
              <w:lastRenderedPageBreak/>
              <w:t xml:space="preserve">declarando como insuficiente para la atención de la solicitud, ya que si bien se cuenta con un ejemplar de las Actas Administrativas de los procesos de Entrega y Recepción en los que se participa como representante, no es información que genere como parte de sus funciones y/o atribuciones. </w:t>
            </w:r>
          </w:p>
          <w:p w14:paraId="65965DD4" w14:textId="77777777" w:rsidR="00AB0D98" w:rsidRPr="000E18A3" w:rsidRDefault="00E944F7">
            <w:pPr>
              <w:spacing w:before="240" w:after="240" w:line="360" w:lineRule="auto"/>
              <w:jc w:val="both"/>
              <w:rPr>
                <w:rFonts w:ascii="Palatino Linotype" w:eastAsia="Palatino Linotype" w:hAnsi="Palatino Linotype" w:cs="Palatino Linotype"/>
                <w:sz w:val="20"/>
                <w:szCs w:val="20"/>
              </w:rPr>
            </w:pPr>
            <w:r w:rsidRPr="000E18A3">
              <w:rPr>
                <w:rFonts w:ascii="Palatino Linotype" w:eastAsia="Palatino Linotype" w:hAnsi="Palatino Linotype" w:cs="Palatino Linotype"/>
                <w:sz w:val="20"/>
                <w:szCs w:val="20"/>
              </w:rPr>
              <w:t>El Jefe de la Unidad de Apoyo Administrativo, señala que, si bien, tiene conocimiento de las personas servidores públicas adscritas al SUJETO OBLIGADO que dan vista formal del inicio del proceso de Entrega – Recepción, no tiene la atribución de resguardar en sus archivos copias de las Actas de Entrega Recepción que deriven de dichos procesos, no obstante de una búsqueda exhaustiva y razonable en los archivos, no existen registros de personas servidoras públicas que hayan notificado el inicio del proceso de Entrega – Recepción por motivo del cambio de administración durante el mes de septiembre de 2023, por lo que no se tiene información que proporcionar a la solicitud.</w:t>
            </w:r>
          </w:p>
        </w:tc>
        <w:tc>
          <w:tcPr>
            <w:tcW w:w="2268" w:type="dxa"/>
            <w:shd w:val="clear" w:color="auto" w:fill="auto"/>
          </w:tcPr>
          <w:p w14:paraId="549A8DC4" w14:textId="77777777" w:rsidR="00AB0D98" w:rsidRPr="000E18A3" w:rsidRDefault="00E944F7">
            <w:pPr>
              <w:spacing w:before="240" w:after="240" w:line="276" w:lineRule="auto"/>
              <w:ind w:right="51"/>
              <w:jc w:val="both"/>
              <w:rPr>
                <w:rFonts w:ascii="Palatino Linotype" w:eastAsia="Palatino Linotype" w:hAnsi="Palatino Linotype" w:cs="Palatino Linotype"/>
                <w:sz w:val="20"/>
                <w:szCs w:val="20"/>
              </w:rPr>
            </w:pPr>
            <w:r w:rsidRPr="000E18A3">
              <w:rPr>
                <w:rFonts w:ascii="Palatino Linotype" w:eastAsia="Palatino Linotype" w:hAnsi="Palatino Linotype" w:cs="Palatino Linotype"/>
                <w:sz w:val="20"/>
                <w:szCs w:val="20"/>
              </w:rPr>
              <w:lastRenderedPageBreak/>
              <w:t xml:space="preserve">Ratifica, no obstante, por su parte Órgano Interno de Control, señala que derivado de la búsqueda </w:t>
            </w:r>
            <w:r w:rsidRPr="000E18A3">
              <w:rPr>
                <w:rFonts w:ascii="Palatino Linotype" w:eastAsia="Palatino Linotype" w:hAnsi="Palatino Linotype" w:cs="Palatino Linotype"/>
                <w:sz w:val="20"/>
                <w:szCs w:val="20"/>
              </w:rPr>
              <w:lastRenderedPageBreak/>
              <w:t xml:space="preserve">exhaustiva realizada en los archivos, no se tiene registro alguno de participación en actos de Entrega y Recepción de servidores públicos adscritos al SUJETO OBLIGADO durante el periodo del 16 al 30 de septiembre de 2023, celebrados con motivo del cambio de administración del Poder Ejecutivo del Estado de México, sin embargo, no se puso a la vista, por observarse datos personales. </w:t>
            </w:r>
          </w:p>
        </w:tc>
      </w:tr>
    </w:tbl>
    <w:p w14:paraId="7C4F137F"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0ABE17B" w14:textId="77777777" w:rsidR="00AB0D98" w:rsidRPr="000E18A3" w:rsidRDefault="00E944F7">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Ahora bien, respecto a la información solicitada, debe observarse lo establecido por el Reglamento para la Entrega y Recepción de las Unidades Administrativas de la </w:t>
      </w:r>
      <w:r w:rsidRPr="000E18A3">
        <w:rPr>
          <w:rFonts w:ascii="Palatino Linotype" w:eastAsia="Palatino Linotype" w:hAnsi="Palatino Linotype" w:cs="Palatino Linotype"/>
          <w:sz w:val="24"/>
          <w:szCs w:val="24"/>
        </w:rPr>
        <w:lastRenderedPageBreak/>
        <w:t>Administración Pública del Estado de México los cuales se transcriben a continuación:</w:t>
      </w:r>
    </w:p>
    <w:p w14:paraId="5CF5E65A" w14:textId="77777777" w:rsidR="00AB0D98" w:rsidRPr="000E18A3" w:rsidRDefault="00AB0D98">
      <w:pPr>
        <w:pBdr>
          <w:top w:val="nil"/>
          <w:left w:val="nil"/>
          <w:bottom w:val="nil"/>
          <w:right w:val="nil"/>
          <w:between w:val="nil"/>
        </w:pBdr>
        <w:tabs>
          <w:tab w:val="left" w:pos="426"/>
          <w:tab w:val="left" w:pos="567"/>
        </w:tabs>
        <w:spacing w:after="0" w:line="360" w:lineRule="auto"/>
        <w:jc w:val="both"/>
        <w:rPr>
          <w:rFonts w:ascii="Palatino Linotype" w:eastAsia="Palatino Linotype" w:hAnsi="Palatino Linotype" w:cs="Palatino Linotype"/>
          <w:sz w:val="24"/>
          <w:szCs w:val="24"/>
        </w:rPr>
      </w:pPr>
    </w:p>
    <w:p w14:paraId="6092ED27" w14:textId="77777777" w:rsidR="00AB0D98" w:rsidRPr="000E18A3" w:rsidRDefault="00E944F7">
      <w:pPr>
        <w:spacing w:after="0" w:line="276" w:lineRule="auto"/>
        <w:ind w:left="567" w:right="567"/>
        <w:jc w:val="both"/>
        <w:rPr>
          <w:rFonts w:ascii="Palatino Linotype" w:eastAsia="Palatino Linotype" w:hAnsi="Palatino Linotype" w:cs="Palatino Linotype"/>
          <w:b/>
          <w:i/>
        </w:rPr>
      </w:pPr>
      <w:r w:rsidRPr="000E18A3">
        <w:rPr>
          <w:rFonts w:ascii="Palatino Linotype" w:eastAsia="Palatino Linotype" w:hAnsi="Palatino Linotype" w:cs="Palatino Linotype"/>
          <w:b/>
          <w:i/>
        </w:rPr>
        <w:t>“Artículo 3.-</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u w:val="single"/>
        </w:rPr>
        <w:t>La Entrega y Recepción se realizará cuando un servidor público se separe de su empleo, cargo o comisión, por cualquier motivo, incluyendo licencias, suplencias, encargos o Término del Periodo Constitucional</w:t>
      </w:r>
      <w:r w:rsidRPr="000E18A3">
        <w:rPr>
          <w:rFonts w:ascii="Palatino Linotype" w:eastAsia="Palatino Linotype" w:hAnsi="Palatino Linotype" w:cs="Palatino Linotype"/>
          <w:b/>
          <w:i/>
        </w:rPr>
        <w:t xml:space="preserve">. </w:t>
      </w:r>
    </w:p>
    <w:p w14:paraId="7FA0CA08"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La Entrega y Recepción también deberá de llevarse a cabo en los casos de escisión, eliminación, readscripción, descentralización, desconcentración, extinción, liquidación o fusión, de Unidades Administrativas, Dependencias u Organismos Auxiliares, según corresponda, que impliquen la transferencia total o parcial de Unidades Administrativas o funciones, independientemente de que haya continuidad de servidores públicos.</w:t>
      </w:r>
    </w:p>
    <w:p w14:paraId="56737F14" w14:textId="77777777" w:rsidR="00AB0D98" w:rsidRPr="000E18A3" w:rsidRDefault="00E944F7">
      <w:pPr>
        <w:spacing w:after="0" w:line="276" w:lineRule="auto"/>
        <w:ind w:left="567" w:right="567"/>
        <w:jc w:val="both"/>
        <w:rPr>
          <w:rFonts w:ascii="Palatino Linotype" w:eastAsia="Palatino Linotype" w:hAnsi="Palatino Linotype" w:cs="Palatino Linotype"/>
          <w:b/>
          <w:i/>
        </w:rPr>
      </w:pPr>
      <w:r w:rsidRPr="000E18A3">
        <w:rPr>
          <w:rFonts w:ascii="Palatino Linotype" w:eastAsia="Palatino Linotype" w:hAnsi="Palatino Linotype" w:cs="Palatino Linotype"/>
          <w:b/>
          <w:i/>
        </w:rPr>
        <w:t>Artículo 4.</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rPr>
        <w:t xml:space="preserve">Son sujetos obligados a la Entrega y Recepción, los servidores públicos desde el Gobernador del Estado </w:t>
      </w:r>
      <w:r w:rsidRPr="000E18A3">
        <w:rPr>
          <w:rFonts w:ascii="Palatino Linotype" w:eastAsia="Palatino Linotype" w:hAnsi="Palatino Linotype" w:cs="Palatino Linotype"/>
          <w:b/>
          <w:i/>
          <w:u w:val="single"/>
        </w:rPr>
        <w:t xml:space="preserve">hasta </w:t>
      </w:r>
      <w:proofErr w:type="gramStart"/>
      <w:r w:rsidRPr="000E18A3">
        <w:rPr>
          <w:rFonts w:ascii="Palatino Linotype" w:eastAsia="Palatino Linotype" w:hAnsi="Palatino Linotype" w:cs="Palatino Linotype"/>
          <w:b/>
          <w:i/>
          <w:u w:val="single"/>
        </w:rPr>
        <w:t>Jefes</w:t>
      </w:r>
      <w:proofErr w:type="gramEnd"/>
      <w:r w:rsidRPr="000E18A3">
        <w:rPr>
          <w:rFonts w:ascii="Palatino Linotype" w:eastAsia="Palatino Linotype" w:hAnsi="Palatino Linotype" w:cs="Palatino Linotype"/>
          <w:b/>
          <w:i/>
          <w:u w:val="single"/>
        </w:rPr>
        <w:t xml:space="preserve"> de Departamento, </w:t>
      </w:r>
      <w:r w:rsidRPr="000E18A3">
        <w:rPr>
          <w:rFonts w:ascii="Palatino Linotype" w:eastAsia="Palatino Linotype" w:hAnsi="Palatino Linotype" w:cs="Palatino Linotype"/>
          <w:b/>
          <w:i/>
        </w:rPr>
        <w:t>así como sus equivalentes en los Organismos Auxiliares.</w:t>
      </w:r>
    </w:p>
    <w:p w14:paraId="27DF0AF1"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Los titulares, suplentes o encargados de las Unidades Administrativas, desde el Gobernador hasta </w:t>
      </w:r>
      <w:proofErr w:type="gramStart"/>
      <w:r w:rsidRPr="000E18A3">
        <w:rPr>
          <w:rFonts w:ascii="Palatino Linotype" w:eastAsia="Palatino Linotype" w:hAnsi="Palatino Linotype" w:cs="Palatino Linotype"/>
          <w:i/>
        </w:rPr>
        <w:t>Jefes</w:t>
      </w:r>
      <w:proofErr w:type="gramEnd"/>
      <w:r w:rsidRPr="000E18A3">
        <w:rPr>
          <w:rFonts w:ascii="Palatino Linotype" w:eastAsia="Palatino Linotype" w:hAnsi="Palatino Linotype" w:cs="Palatino Linotype"/>
          <w:i/>
        </w:rPr>
        <w:t xml:space="preserve"> de Departamento, así como sus equivalentes en los Organismos Auxiliares, deberán entregar su oficina y las Unidades Administrativas a su cargo, conforme a lo establecido en el Manual. </w:t>
      </w:r>
    </w:p>
    <w:p w14:paraId="32B38FE0" w14:textId="77777777" w:rsidR="00AB0D98" w:rsidRPr="000E18A3" w:rsidRDefault="00E944F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El titular de la Dependencia u Organismo Auxiliar determinará, mediante acuerdo publicado en la “Gaceta del Gobierno”, a los servidores públicos de puestos distintos a los señalados en este artículo, que sean responsables de fondos, valores, almacenes, bienes, documentos, funciones, actividades o asuntos que considere de importancia, como sujetos obligados a la Entrega y Recepción, informando de ello, mediante oficio, a la Contraloría.</w:t>
      </w:r>
    </w:p>
    <w:p w14:paraId="2DA3536D"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10</w:t>
      </w:r>
      <w:r w:rsidRPr="000E18A3">
        <w:rPr>
          <w:rFonts w:ascii="Palatino Linotype" w:eastAsia="Palatino Linotype" w:hAnsi="Palatino Linotype" w:cs="Palatino Linotype"/>
          <w:i/>
        </w:rPr>
        <w:t xml:space="preserve">. La </w:t>
      </w:r>
      <w:r w:rsidRPr="000E18A3">
        <w:rPr>
          <w:rFonts w:ascii="Palatino Linotype" w:eastAsia="Palatino Linotype" w:hAnsi="Palatino Linotype" w:cs="Palatino Linotype"/>
          <w:b/>
          <w:i/>
          <w:u w:val="single"/>
        </w:rPr>
        <w:t>Entrega y Recepción deberá documentarse en un acta administrativa y sus anexos, en la que intervendrán los sujetos obligados, los testigos correspondientes, el representante del Órgano de Control Interno y, a falta de éste, el de la Contraloría.</w:t>
      </w:r>
      <w:r w:rsidRPr="000E18A3">
        <w:rPr>
          <w:rFonts w:ascii="Palatino Linotype" w:eastAsia="Palatino Linotype" w:hAnsi="Palatino Linotype" w:cs="Palatino Linotype"/>
          <w:i/>
        </w:rPr>
        <w:t xml:space="preserve"> </w:t>
      </w:r>
    </w:p>
    <w:p w14:paraId="6DC44846"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El acta se firmará de manera autógrafa dentro de los cinco días hábiles siguientes, al día en que se presentó el supuesto conforme al artículo 3 del presente Reglamento. </w:t>
      </w:r>
    </w:p>
    <w:p w14:paraId="1E1590CE"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Los anexos del acta serán firmados por quienes los elaboren y por el servidor público que entregue la Unidad Administrativa correspondiente.</w:t>
      </w:r>
    </w:p>
    <w:p w14:paraId="3C60ED8D" w14:textId="77777777" w:rsidR="00AB0D98" w:rsidRPr="000E18A3" w:rsidRDefault="00E944F7">
      <w:pPr>
        <w:spacing w:after="0" w:line="276" w:lineRule="auto"/>
        <w:ind w:left="567" w:right="567"/>
        <w:jc w:val="both"/>
        <w:rPr>
          <w:rFonts w:ascii="Palatino Linotype" w:eastAsia="Palatino Linotype" w:hAnsi="Palatino Linotype" w:cs="Palatino Linotype"/>
          <w:b/>
          <w:i/>
          <w:u w:val="single"/>
        </w:rPr>
      </w:pPr>
      <w:r w:rsidRPr="000E18A3">
        <w:rPr>
          <w:rFonts w:ascii="Palatino Linotype" w:eastAsia="Palatino Linotype" w:hAnsi="Palatino Linotype" w:cs="Palatino Linotype"/>
          <w:b/>
          <w:i/>
          <w:u w:val="single"/>
        </w:rPr>
        <w:t xml:space="preserve">Artículo 11. El acta y sus anexos se elaborarán en original y dos copias; el original quedará bajo resguardo del servidor público que recibe; una copia será para quien entrega; y otra para el Órgano de Control Interno, y a falta de éste a la Contraloría. </w:t>
      </w:r>
    </w:p>
    <w:p w14:paraId="6D861555"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Cuando el Órgano de Control Interno o la Contraloría no hubieren intervenido, la copia respectiva le será enviada por el servidor público que recibe, dentro de los cinco días hábiles siguientes al acto de Entrega y Recepción.</w:t>
      </w:r>
    </w:p>
    <w:p w14:paraId="4BED5949"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15</w:t>
      </w:r>
      <w:r w:rsidRPr="000E18A3">
        <w:rPr>
          <w:rFonts w:ascii="Palatino Linotype" w:eastAsia="Palatino Linotype" w:hAnsi="Palatino Linotype" w:cs="Palatino Linotype"/>
          <w:i/>
        </w:rPr>
        <w:t xml:space="preserve">. El servidor público que recibe podrá solicitar por escrito aclaraciones o precisiones a quien le entregó, dentro de los treinta días hábiles siguientes al de la firma del acta. El servidor público que entregó tendrá la obligación de dar respuesta a las mismas en un plazo igual, contado a partir del requerimiento. </w:t>
      </w:r>
    </w:p>
    <w:p w14:paraId="6B8725A6"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El servidor público que recibe debe proporcionar y permitir el acceso al servidor público que entregó, a los archivos que estuvieron a su cargo, cuando se le requiera alguna aclaración o precisión sobre el contenido del acta, informes, anexos o demás Documentos de la Entrega y Recepción. </w:t>
      </w:r>
    </w:p>
    <w:p w14:paraId="3ABC533B"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Lo dispuesto en este artículo, es sin perjuicio de la responsabilidad administrativa en que pudieron haber incurrido los servidores públicos.</w:t>
      </w:r>
    </w:p>
    <w:p w14:paraId="65D1D712"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16.</w:t>
      </w:r>
      <w:r w:rsidRPr="000E18A3">
        <w:rPr>
          <w:rFonts w:ascii="Palatino Linotype" w:eastAsia="Palatino Linotype" w:hAnsi="Palatino Linotype" w:cs="Palatino Linotype"/>
          <w:i/>
        </w:rPr>
        <w:t xml:space="preserve"> El acta de Entrega y Recepción, y sus anexos, deberán elaborarse utilizando los criterios y formatos establecidos en el Manual y en el Sistema, en los cuales se requerirán los Documentos vinculados con la actuación de la Unidad Administrativa que corresponda, cuando menos, a los apartados siguientes:</w:t>
      </w:r>
    </w:p>
    <w:p w14:paraId="3E34C92C"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b/>
          <w:i/>
        </w:rPr>
        <w:t>I.</w:t>
      </w:r>
      <w:r w:rsidRPr="000E18A3">
        <w:rPr>
          <w:rFonts w:ascii="Palatino Linotype" w:eastAsia="Palatino Linotype" w:hAnsi="Palatino Linotype" w:cs="Palatino Linotype"/>
          <w:i/>
        </w:rPr>
        <w:t xml:space="preserve"> Marco Jurídico: Relación de leyes, reglamentos, decretos, acuerdos y demás disposiciones vigentes.</w:t>
      </w:r>
    </w:p>
    <w:p w14:paraId="0A166B96"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II. Planeación: Plan de Desarrollo del Estado de México, programas sectoriales, regionales, especiales, y anual de metas por proyecto y unidad ejecutora. </w:t>
      </w:r>
    </w:p>
    <w:p w14:paraId="192A21BA"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III. Derechos y Obligaciones: Relación de instrumentos jurídicos que generen derechos u obligaciones que deba cumplir o exigir la Unidad Administrativa, como contratos, convenios, acuerdos, y anexos, suscritos por los Titulares del Ejecutivo Estatal, de las Dependencias, Organismos Auxiliares o de las Unidades Administrativas, con la </w:t>
      </w:r>
      <w:r w:rsidRPr="000E18A3">
        <w:rPr>
          <w:rFonts w:ascii="Palatino Linotype" w:eastAsia="Palatino Linotype" w:hAnsi="Palatino Linotype" w:cs="Palatino Linotype"/>
          <w:i/>
        </w:rPr>
        <w:lastRenderedPageBreak/>
        <w:t xml:space="preserve">federación, entidades federativas, municipios, sindicatos o sectores social o privado; concesiones; fideicomisos; condiciones generales de trabajo; seguros; fianzas; procesos jurisdiccionales, entre otros. </w:t>
      </w:r>
    </w:p>
    <w:p w14:paraId="005C93F2"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IV. Organización: Reglamento Interior; estructura orgánica autorizada; manuales generales de organización, de procedimientos, y de trámites y servicios. </w:t>
      </w:r>
    </w:p>
    <w:p w14:paraId="7AA4674E"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V. Recursos Humanos: Plantilla de personal actualizada y, en su caso, la relación de personal contratado por honorarios asimilables al salario, por tiempo u obra determinada, comisionado, por lista de raya; y tabuladores de sueldos. </w:t>
      </w:r>
    </w:p>
    <w:p w14:paraId="101C049D"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VI. Recursos Materiales: Inventarios de bienes muebles, inmuebles, semovientes, bienes incautados y existencias en almacenes; resguardo de bienes bajo custodia del titular. También se incluyen los sistemas de información, software, adquisiciones pendientes y en proceso; así como el programa anual de adquisiciones. </w:t>
      </w:r>
    </w:p>
    <w:p w14:paraId="1DE9C4D8"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VII. Recursos Presupuestales y Financieros: Documentos relativos al presupuesto autorizado, ejercido, comprometido, disponible y metas relacionadas; ingresos estimados y reales; recursos federales; estados financieros; cuenta pública; deuda pública; cartera vencida; cuentas bancarias y de inversión; fondos; valores en custodia; contenido de cajas fuertes y listado de pagos pendientes, corte de formas valoradas, conciliaciones bancarias, arqueos de caja, entre otros.</w:t>
      </w:r>
    </w:p>
    <w:p w14:paraId="2C3142B9"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VIII. Obra Pública: Programa anual; relación de obra pública y servicios relacionados con la misma, por fuente de recursos, y documentos de adjudicación.</w:t>
      </w:r>
    </w:p>
    <w:p w14:paraId="78D98C25"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IX. Archivos: Relación de documentos no convencionales, históricos, de trámite, de concentración, biblio-hemerográficos, así como el listado de información reservada y confidencial. </w:t>
      </w:r>
    </w:p>
    <w:p w14:paraId="4CE25895"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X. Control y Fiscalización: Relación de observaciones o salvedades en proceso de atención, determinadas por las autoridades federales o estatales competentes, y por los auditores externos; así como de procedimientos administrativos de responsabilidades. </w:t>
      </w:r>
    </w:p>
    <w:p w14:paraId="226D30C2"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XI. Informe de Gestión: Reportes sobre el cumplimiento de obligaciones derivadas de los instrumentos jurídicos referidos en el apartado de derechos y obligaciones; sobre el avance del presupuesto, programas y proyectos a su cargo; y uno ejecutivo que describa el estado en que se recibió y en el que se entrega la Unidad Administrativa. </w:t>
      </w:r>
    </w:p>
    <w:p w14:paraId="51F45A24"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 xml:space="preserve">Asimismo, los resultados alcanzados; la relación de compromisos y actividades prioritarios dentro de los noventa días naturales siguientes, a cargo de la Unidad Administrativa, así como de aquellas que dependan de ésta; y, en su caso, las recomendaciones que se consideren pertinentes. </w:t>
      </w:r>
    </w:p>
    <w:p w14:paraId="263304DA"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En materia de transparencia las solicitudes de información en proceso de atención y, en su caso, los recursos de revisión pendientes de resolver.</w:t>
      </w:r>
    </w:p>
    <w:p w14:paraId="0E4DD6A5"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El servidor público que entrega, deberá presentar los Certificados de No Adeudo expedidos por la Secretaría, tratándose de Dependencias; y por el área competente en el caso de Organismos Auxiliares. </w:t>
      </w:r>
    </w:p>
    <w:p w14:paraId="5B303B4D"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XII. Generales: Los bienes muebles que se encuentren bajo custodia del servidor público que no cuenten con el respectivo resguardo. </w:t>
      </w:r>
    </w:p>
    <w:p w14:paraId="645FDE20"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También se deberán entregar, en su caso, credenciales, gafetes, claves de acceso, combinaciones de cajas fuertes y llaves, entre otros. </w:t>
      </w:r>
    </w:p>
    <w:p w14:paraId="4CD953B5"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El servidor público que entrega debe llenar los formatos e incorporar los Documentos de acuerdo a los apartados que le resulten aplicables. </w:t>
      </w:r>
    </w:p>
    <w:p w14:paraId="486D17AD"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Además, debe manifestar en el acta que conoce su contenido y el de sus anexos; y, cuando corresponda adjuntará copia del acuse de recibo de su renuncia. </w:t>
      </w:r>
    </w:p>
    <w:p w14:paraId="1C322848" w14:textId="77777777" w:rsidR="00AB0D98" w:rsidRPr="000E18A3" w:rsidRDefault="00E944F7">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i/>
        </w:rPr>
        <w:t>Los documentos publicados en la página oficial del Gobierno del Estado de México, podrán entregarse señalando su dirección electrónica, siempre y cuando no se contravenga lo dispuesto en el Manual.”</w:t>
      </w:r>
    </w:p>
    <w:p w14:paraId="4B40233A"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De acuerdo a lo anterior, la Entrega y Recepción se realizará cuando un servidor público se separe de su empleo, cargo o comisión, por cualquier motivo, incluyendo licencias, suplencias, encargos o Término del Periodo Constitucional, siendo sujetos obligados a la Entrega y Recepción, los servidores públicos desde el Gobernador del Estado hasta Jefes de Departamento, así como sus equivalentes en los Organismos Auxiliares, La Entrega y Recepción deberá documentarse en un acta administrativa y sus anexos, en la que intervendrán los sujetos obligados, los testigos correspondientes, el representante del Órgano de Control Interno y, a falta de éste, </w:t>
      </w:r>
      <w:r w:rsidRPr="000E18A3">
        <w:rPr>
          <w:rFonts w:ascii="Palatino Linotype" w:eastAsia="Palatino Linotype" w:hAnsi="Palatino Linotype" w:cs="Palatino Linotype"/>
          <w:sz w:val="24"/>
          <w:szCs w:val="24"/>
        </w:rPr>
        <w:lastRenderedPageBreak/>
        <w:t>el de la Contraloría, por ello, el acta y sus anexos se elaborarán en original y dos copias; el original quedará bajo resguardo del servidor público que recibe; una copia será para quien entrega; y otra para el Órgano de Control Interno, y a falta de éste a la Contraloría.</w:t>
      </w:r>
    </w:p>
    <w:p w14:paraId="76945670"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33C4F5E2"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Aclarado lo anterior, es de recordar que en respuesta la Unidad de Apoyo Administrativo, señala que, si bien, no tiene la atribución de resguardar en sus archivos copias de las Actas de Entrega Recepción, no cuenta con registros de personas servidoras públicas que hayan notificado el inicio del proceso de Entrega – Recepción por motivo del cambio de administración durante el mes de septiembre de 2023. </w:t>
      </w:r>
    </w:p>
    <w:p w14:paraId="2619A7DC"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414964B6"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Por su parte, el Órgano Interno de Control en respuesta señala que la información solicitada no corresponde a las acciones que realiza, sin embargo, </w:t>
      </w:r>
      <w:proofErr w:type="gramStart"/>
      <w:r w:rsidRPr="000E18A3">
        <w:rPr>
          <w:rFonts w:ascii="Palatino Linotype" w:eastAsia="Palatino Linotype" w:hAnsi="Palatino Linotype" w:cs="Palatino Linotype"/>
          <w:sz w:val="24"/>
          <w:szCs w:val="24"/>
        </w:rPr>
        <w:t>en  el</w:t>
      </w:r>
      <w:proofErr w:type="gramEnd"/>
      <w:r w:rsidRPr="000E18A3">
        <w:rPr>
          <w:rFonts w:ascii="Palatino Linotype" w:eastAsia="Palatino Linotype" w:hAnsi="Palatino Linotype" w:cs="Palatino Linotype"/>
          <w:sz w:val="24"/>
          <w:szCs w:val="24"/>
        </w:rPr>
        <w:t xml:space="preserve"> informe justificado refiere que no se tiene registro alguno de participación en actos de Entrega y Recepción de servidores públicos adscritos al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durante el periodo del 16 al 30 de septiembre de 2023, celebrados con motivo del cambio de administración del Poder Ejecutivo del Estado de México</w:t>
      </w:r>
    </w:p>
    <w:p w14:paraId="37A96007"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7D5B21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tal motivo, es oportuno señalar que dichas unidades administrativas, cuenta con las siguientes atribuciones:</w:t>
      </w:r>
    </w:p>
    <w:p w14:paraId="5C1D725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0B79186" w14:textId="77777777" w:rsidR="00AB0D98" w:rsidRPr="000E18A3" w:rsidRDefault="00E944F7">
      <w:pPr>
        <w:spacing w:after="0" w:line="276" w:lineRule="auto"/>
        <w:ind w:left="851" w:right="902"/>
        <w:jc w:val="both"/>
        <w:rPr>
          <w:rFonts w:ascii="Palatino Linotype" w:eastAsia="Palatino Linotype" w:hAnsi="Palatino Linotype" w:cs="Palatino Linotype"/>
          <w:b/>
          <w:i/>
        </w:rPr>
      </w:pPr>
      <w:r w:rsidRPr="000E18A3">
        <w:rPr>
          <w:rFonts w:ascii="Palatino Linotype" w:eastAsia="Palatino Linotype" w:hAnsi="Palatino Linotype" w:cs="Palatino Linotype"/>
          <w:b/>
          <w:i/>
        </w:rPr>
        <w:lastRenderedPageBreak/>
        <w:t>“MANUAL GENERAL DE ORGANIZACIÓN DEL SISTEMA DE AUTOPISTAS, AEROPUERTOS, SERVICIOS CONEXOS Y AUXILIARES DEL ESTADO DE MÉXICO</w:t>
      </w:r>
    </w:p>
    <w:p w14:paraId="4D56A46F" w14:textId="77777777" w:rsidR="00AB0D98" w:rsidRPr="000E18A3" w:rsidRDefault="00AB0D98">
      <w:pPr>
        <w:spacing w:after="0" w:line="276" w:lineRule="auto"/>
        <w:ind w:left="851" w:right="902"/>
        <w:jc w:val="both"/>
        <w:rPr>
          <w:rFonts w:ascii="Palatino Linotype" w:eastAsia="Palatino Linotype" w:hAnsi="Palatino Linotype" w:cs="Palatino Linotype"/>
          <w:b/>
          <w:i/>
        </w:rPr>
      </w:pPr>
    </w:p>
    <w:p w14:paraId="0FEF1FC0"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220C0201000200S UNIDAD DE APOYO ADMINISTRATIVO</w:t>
      </w:r>
    </w:p>
    <w:p w14:paraId="63A1D207"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FUNCIONES:</w:t>
      </w:r>
    </w:p>
    <w:p w14:paraId="5203491C"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63188698"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Apoyar en la entrega-recepción de las unidades administrativas del Sistema que lo soliciten, para el cumplimiento de las normas y procedimientos establecidos en la materia.</w:t>
      </w:r>
    </w:p>
    <w:p w14:paraId="3EF063BD" w14:textId="77777777" w:rsidR="00AB0D98" w:rsidRPr="000E18A3" w:rsidRDefault="00AB0D98">
      <w:pPr>
        <w:spacing w:after="0" w:line="276" w:lineRule="auto"/>
        <w:ind w:left="851" w:right="902"/>
        <w:jc w:val="both"/>
        <w:rPr>
          <w:rFonts w:ascii="Palatino Linotype" w:eastAsia="Palatino Linotype" w:hAnsi="Palatino Linotype" w:cs="Palatino Linotype"/>
          <w:i/>
        </w:rPr>
      </w:pPr>
    </w:p>
    <w:p w14:paraId="272F206E"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220C0201000300S ÓRGANO INTERNO DE CONTROL</w:t>
      </w:r>
    </w:p>
    <w:p w14:paraId="55FBDC79"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FUNCIONES:</w:t>
      </w:r>
    </w:p>
    <w:p w14:paraId="3A45F6DB"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291C14CA" w14:textId="77777777" w:rsidR="00AB0D98" w:rsidRPr="000E18A3" w:rsidRDefault="00E944F7">
      <w:pPr>
        <w:spacing w:after="0" w:line="276" w:lineRule="auto"/>
        <w:ind w:left="851"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Participar por sí, o a través de una persona representante formalmente designada, en los actos de entrega y recepción de las unidades administrativas del organismo, a fin de verificar su correcto cumplimiento.”</w:t>
      </w:r>
    </w:p>
    <w:p w14:paraId="35564C12" w14:textId="77777777" w:rsidR="00AB0D98" w:rsidRPr="000E18A3" w:rsidRDefault="00AB0D98">
      <w:pPr>
        <w:spacing w:after="0" w:line="276" w:lineRule="auto"/>
        <w:ind w:right="900"/>
        <w:jc w:val="both"/>
        <w:rPr>
          <w:rFonts w:ascii="Palatino Linotype" w:eastAsia="Palatino Linotype" w:hAnsi="Palatino Linotype" w:cs="Palatino Linotype"/>
          <w:i/>
          <w:sz w:val="24"/>
          <w:szCs w:val="24"/>
        </w:rPr>
      </w:pPr>
    </w:p>
    <w:p w14:paraId="4AB11B57"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De acuerdo a lo anterior la Unidad de Apoyo Administrativo, apoya en la entrega- recepción de las unidades administrativas del Sistema que lo soliciten y el Órgano Interno de Control participa por sí, o a través de una persona representante formalmente designada, en los actos de entrega y recepción de las unidades administrativas del organismo, a fin de verificar su correcto cumplimiento,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w:t>
      </w:r>
      <w:r w:rsidRPr="000E18A3">
        <w:rPr>
          <w:rFonts w:ascii="Palatino Linotype" w:eastAsia="Palatino Linotype" w:hAnsi="Palatino Linotype" w:cs="Palatino Linotype"/>
          <w:sz w:val="24"/>
          <w:szCs w:val="24"/>
        </w:rPr>
        <w:lastRenderedPageBreak/>
        <w:t xml:space="preserve">de sus propias funciones se encuentra la de </w:t>
      </w:r>
      <w:r w:rsidRPr="000E18A3">
        <w:rPr>
          <w:rFonts w:ascii="Palatino Linotype" w:eastAsia="Palatino Linotype" w:hAnsi="Palatino Linotype" w:cs="Palatino Linotype"/>
          <w:b/>
          <w:sz w:val="24"/>
          <w:szCs w:val="24"/>
        </w:rPr>
        <w:t>tramitar ante las Áreas poseedoras de la información lo que se solicita</w:t>
      </w:r>
      <w:r w:rsidRPr="000E18A3">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772B96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573FE50F" w14:textId="77777777" w:rsidR="00AB0D98" w:rsidRPr="000E18A3" w:rsidRDefault="00E944F7">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0E18A3">
        <w:rPr>
          <w:rFonts w:ascii="Palatino Linotype" w:eastAsia="Palatino Linotype" w:hAnsi="Palatino Linotype" w:cs="Palatino Linotype"/>
          <w:b/>
        </w:rPr>
        <w:t>“Ley de Transparencia y Acceso a la Información Pública del Estado de México y Municipios</w:t>
      </w:r>
    </w:p>
    <w:p w14:paraId="49434A37" w14:textId="77777777" w:rsidR="00AB0D98" w:rsidRPr="000E18A3" w:rsidRDefault="00AB0D98">
      <w:pPr>
        <w:tabs>
          <w:tab w:val="left" w:pos="709"/>
        </w:tabs>
        <w:spacing w:after="0" w:line="276" w:lineRule="auto"/>
        <w:ind w:left="851" w:right="760"/>
        <w:jc w:val="both"/>
        <w:rPr>
          <w:rFonts w:ascii="Palatino Linotype" w:eastAsia="Palatino Linotype" w:hAnsi="Palatino Linotype" w:cs="Palatino Linotype"/>
          <w:i/>
          <w:sz w:val="20"/>
          <w:szCs w:val="20"/>
        </w:rPr>
      </w:pPr>
    </w:p>
    <w:p w14:paraId="3582EAAF"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7A721915"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0E18A3">
        <w:rPr>
          <w:rFonts w:ascii="Palatino Linotype" w:eastAsia="Palatino Linotype" w:hAnsi="Palatino Linotype" w:cs="Palatino Linotype"/>
          <w:b/>
          <w:i/>
          <w:u w:val="single"/>
        </w:rPr>
        <w:t>Dicha Unidad será la encargada de tramitar internamente la solicitud de información</w:t>
      </w:r>
      <w:r w:rsidRPr="000E18A3">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6392ED9"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5AC6E3D1"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Artículo 53. Las Unidades de Transparencia tendrán las siguientes funciones:</w:t>
      </w:r>
    </w:p>
    <w:p w14:paraId="1B1EB07B"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03651336"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II. Recibir, tramitar y dar respuesta a las solicitudes de acceso a la información; </w:t>
      </w:r>
    </w:p>
    <w:p w14:paraId="579EBEC1"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0008DE8A"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b/>
          <w:i/>
          <w:u w:val="single"/>
        </w:rPr>
      </w:pPr>
      <w:r w:rsidRPr="000E18A3">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6F4E013D"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V. Entregar, en su caso, a los particulares la información solicitada; </w:t>
      </w:r>
    </w:p>
    <w:p w14:paraId="1E926857" w14:textId="77777777" w:rsidR="00AB0D98" w:rsidRPr="000E18A3" w:rsidRDefault="00E944F7">
      <w:pPr>
        <w:tabs>
          <w:tab w:val="left" w:pos="709"/>
        </w:tabs>
        <w:spacing w:after="0" w:line="276" w:lineRule="auto"/>
        <w:ind w:left="851" w:right="760"/>
        <w:jc w:val="both"/>
        <w:rPr>
          <w:rFonts w:ascii="Palatino Linotype" w:eastAsia="Palatino Linotype" w:hAnsi="Palatino Linotype" w:cs="Palatino Linotype"/>
          <w:i/>
        </w:rPr>
      </w:pPr>
      <w:r w:rsidRPr="000E18A3">
        <w:rPr>
          <w:rFonts w:ascii="Palatino Linotype" w:eastAsia="Palatino Linotype" w:hAnsi="Palatino Linotype" w:cs="Palatino Linotype"/>
          <w:i/>
        </w:rPr>
        <w:t>VI. Efectuar las notificaciones a los solicitantes;”</w:t>
      </w:r>
    </w:p>
    <w:p w14:paraId="71B9975C" w14:textId="77777777" w:rsidR="00AB0D98" w:rsidRPr="000E18A3" w:rsidRDefault="00AB0D98">
      <w:pPr>
        <w:tabs>
          <w:tab w:val="left" w:pos="709"/>
        </w:tabs>
        <w:spacing w:after="0" w:line="276" w:lineRule="auto"/>
        <w:ind w:left="851" w:right="760"/>
        <w:jc w:val="both"/>
        <w:rPr>
          <w:rFonts w:ascii="Palatino Linotype" w:eastAsia="Palatino Linotype" w:hAnsi="Palatino Linotype" w:cs="Palatino Linotype"/>
          <w:i/>
        </w:rPr>
      </w:pPr>
    </w:p>
    <w:p w14:paraId="77F0A8BE"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 xml:space="preserve">Aunado a lo anterior, se debe señalar que aunque la solicitud de información y la respuesta estén dirigidas y atendidas por un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lo cierto es que también tienen diversas Unidades Administrativas y cada área cuenta con un </w:t>
      </w:r>
      <w:r w:rsidRPr="000E18A3">
        <w:rPr>
          <w:rFonts w:ascii="Palatino Linotype" w:eastAsia="Palatino Linotype" w:hAnsi="Palatino Linotype" w:cs="Palatino Linotype"/>
          <w:b/>
          <w:sz w:val="24"/>
          <w:szCs w:val="24"/>
        </w:rPr>
        <w:t>Servidor Público Habilitado</w:t>
      </w:r>
      <w:r w:rsidRPr="000E18A3">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68678D5" w14:textId="77777777" w:rsidR="00AB0D98" w:rsidRPr="000E18A3" w:rsidRDefault="00AB0D98">
      <w:pPr>
        <w:spacing w:after="0" w:line="360" w:lineRule="auto"/>
        <w:rPr>
          <w:rFonts w:ascii="Palatino Linotype" w:eastAsia="Palatino Linotype" w:hAnsi="Palatino Linotype" w:cs="Palatino Linotype"/>
          <w:sz w:val="24"/>
          <w:szCs w:val="24"/>
        </w:rPr>
      </w:pPr>
    </w:p>
    <w:p w14:paraId="4FD66E4D"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3.</w:t>
      </w:r>
      <w:r w:rsidRPr="000E18A3">
        <w:rPr>
          <w:rFonts w:ascii="Palatino Linotype" w:eastAsia="Palatino Linotype" w:hAnsi="Palatino Linotype" w:cs="Palatino Linotype"/>
          <w:i/>
        </w:rPr>
        <w:t xml:space="preserve"> Para los efectos de la presente Ley se entenderá por:</w:t>
      </w:r>
    </w:p>
    <w:p w14:paraId="70526187"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237464EA"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XXXIX. Servidor público habilitado: </w:t>
      </w:r>
      <w:r w:rsidRPr="000E18A3">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3503C00"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781AA16A" w14:textId="77777777" w:rsidR="00AB0D98" w:rsidRPr="000E18A3" w:rsidRDefault="00E944F7">
      <w:pPr>
        <w:spacing w:after="0" w:line="276" w:lineRule="auto"/>
        <w:ind w:left="567" w:right="708"/>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58.</w:t>
      </w:r>
      <w:r w:rsidRPr="000E18A3">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0AF6269" w14:textId="77777777" w:rsidR="00AB0D98" w:rsidRPr="000E18A3" w:rsidRDefault="00E944F7">
      <w:pPr>
        <w:spacing w:after="0" w:line="276" w:lineRule="auto"/>
        <w:ind w:left="567" w:right="708"/>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59.</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u w:val="single"/>
        </w:rPr>
        <w:t>Los servidores públicos habilitados</w:t>
      </w:r>
      <w:r w:rsidRPr="000E18A3">
        <w:rPr>
          <w:rFonts w:ascii="Palatino Linotype" w:eastAsia="Palatino Linotype" w:hAnsi="Palatino Linotype" w:cs="Palatino Linotype"/>
          <w:i/>
        </w:rPr>
        <w:t xml:space="preserve"> tendrán las funciones siguientes:</w:t>
      </w:r>
    </w:p>
    <w:p w14:paraId="535F1635" w14:textId="77777777" w:rsidR="00AB0D98" w:rsidRPr="000E18A3" w:rsidRDefault="00E944F7">
      <w:pPr>
        <w:spacing w:after="0" w:line="276" w:lineRule="auto"/>
        <w:ind w:left="567" w:right="708"/>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 </w:t>
      </w:r>
      <w:r w:rsidRPr="000E18A3">
        <w:rPr>
          <w:rFonts w:ascii="Palatino Linotype" w:eastAsia="Palatino Linotype" w:hAnsi="Palatino Linotype" w:cs="Palatino Linotype"/>
          <w:b/>
          <w:i/>
          <w:u w:val="single"/>
        </w:rPr>
        <w:t>Localizar la información que le solicite la Unidad de Transparencia</w:t>
      </w:r>
      <w:r w:rsidRPr="000E18A3">
        <w:rPr>
          <w:rFonts w:ascii="Palatino Linotype" w:eastAsia="Palatino Linotype" w:hAnsi="Palatino Linotype" w:cs="Palatino Linotype"/>
          <w:i/>
        </w:rPr>
        <w:t>;</w:t>
      </w:r>
    </w:p>
    <w:p w14:paraId="01E3D4B6" w14:textId="77777777" w:rsidR="00AB0D98" w:rsidRPr="000E18A3" w:rsidRDefault="00E944F7">
      <w:pPr>
        <w:spacing w:after="0" w:line="276" w:lineRule="auto"/>
        <w:ind w:left="567" w:right="708"/>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II. </w:t>
      </w:r>
      <w:r w:rsidRPr="000E18A3">
        <w:rPr>
          <w:rFonts w:ascii="Palatino Linotype" w:eastAsia="Palatino Linotype" w:hAnsi="Palatino Linotype" w:cs="Palatino Linotype"/>
          <w:b/>
          <w:i/>
          <w:u w:val="single"/>
        </w:rPr>
        <w:t>Proporcionar la información que obre en los archivos y que le sea solicitada por la Unidad de Transparencia</w:t>
      </w:r>
      <w:r w:rsidRPr="000E18A3">
        <w:rPr>
          <w:rFonts w:ascii="Palatino Linotype" w:eastAsia="Palatino Linotype" w:hAnsi="Palatino Linotype" w:cs="Palatino Linotype"/>
          <w:i/>
        </w:rPr>
        <w:t>;</w:t>
      </w:r>
    </w:p>
    <w:p w14:paraId="1C63FB59"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III. Apoyar a la Unidad de Transparencia en lo que esta le solicite para el cumplimiento de sus funciones;</w:t>
      </w:r>
    </w:p>
    <w:p w14:paraId="42AE45C6"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IV. Proporcionar a la Unidad de Transparencia, las modificaciones a la información pública de oficio que obre en su poder;</w:t>
      </w:r>
    </w:p>
    <w:p w14:paraId="32B78F80"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70901C8"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VI. Verificar, una vez analizado el contenido de la información, que no se encuentre en los supuestos de información clasificada; y</w:t>
      </w:r>
    </w:p>
    <w:p w14:paraId="3F963F28"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VII. Dar cuenta a la Unidad de Transparencia del vencimiento de los plazos de reserva.”</w:t>
      </w:r>
    </w:p>
    <w:p w14:paraId="0201B1C9"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60E0DBD"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En otras palabras, </w:t>
      </w:r>
      <w:r w:rsidRPr="000E18A3">
        <w:rPr>
          <w:rFonts w:ascii="Palatino Linotype" w:eastAsia="Palatino Linotype" w:hAnsi="Palatino Linotype" w:cs="Palatino Linotype"/>
          <w:b/>
          <w:sz w:val="24"/>
          <w:szCs w:val="24"/>
        </w:rPr>
        <w:t xml:space="preserve">EL SUJETO OBLIGADO </w:t>
      </w:r>
      <w:r w:rsidRPr="000E18A3">
        <w:rPr>
          <w:rFonts w:ascii="Palatino Linotype" w:eastAsia="Palatino Linotype" w:hAnsi="Palatino Linotype" w:cs="Palatino Linotype"/>
          <w:sz w:val="24"/>
          <w:szCs w:val="24"/>
        </w:rPr>
        <w:t xml:space="preserve">cumplió con lo </w:t>
      </w:r>
      <w:proofErr w:type="gramStart"/>
      <w:r w:rsidRPr="000E18A3">
        <w:rPr>
          <w:rFonts w:ascii="Palatino Linotype" w:eastAsia="Palatino Linotype" w:hAnsi="Palatino Linotype" w:cs="Palatino Linotype"/>
          <w:sz w:val="24"/>
          <w:szCs w:val="24"/>
        </w:rPr>
        <w:t>que</w:t>
      </w:r>
      <w:proofErr w:type="gramEnd"/>
      <w:r w:rsidRPr="000E18A3">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3431DB76" w14:textId="77777777" w:rsidR="00AB0D98" w:rsidRPr="000E18A3" w:rsidRDefault="00AB0D98">
      <w:pPr>
        <w:rPr>
          <w:rFonts w:ascii="Palatino Linotype" w:eastAsia="Palatino Linotype" w:hAnsi="Palatino Linotype" w:cs="Palatino Linotype"/>
          <w:sz w:val="24"/>
          <w:szCs w:val="24"/>
        </w:rPr>
      </w:pPr>
    </w:p>
    <w:p w14:paraId="77BD1980"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rPr>
        <w:t xml:space="preserve">Artículo 162. </w:t>
      </w:r>
      <w:r w:rsidRPr="000E18A3">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 xml:space="preserve"> [Énfasis añadido]</w:t>
      </w:r>
    </w:p>
    <w:p w14:paraId="2C884953" w14:textId="77777777" w:rsidR="00AB0D98" w:rsidRPr="000E18A3" w:rsidRDefault="00AB0D98">
      <w:pPr>
        <w:rPr>
          <w:rFonts w:ascii="Palatino Linotype" w:eastAsia="Palatino Linotype" w:hAnsi="Palatino Linotype" w:cs="Palatino Linotype"/>
          <w:sz w:val="24"/>
          <w:szCs w:val="24"/>
        </w:rPr>
      </w:pPr>
    </w:p>
    <w:p w14:paraId="0371B884" w14:textId="77777777" w:rsidR="00AB0D98" w:rsidRPr="000E18A3" w:rsidRDefault="00E944F7">
      <w:pPr>
        <w:tabs>
          <w:tab w:val="left" w:pos="7938"/>
        </w:tabs>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3CC05EBE" w14:textId="77777777" w:rsidR="00AB0D98" w:rsidRPr="000E18A3" w:rsidRDefault="00AB0D98">
      <w:pPr>
        <w:spacing w:after="0" w:line="360" w:lineRule="auto"/>
        <w:ind w:right="51"/>
        <w:jc w:val="both"/>
        <w:rPr>
          <w:rFonts w:ascii="Palatino Linotype" w:eastAsia="Palatino Linotype" w:hAnsi="Palatino Linotype" w:cs="Palatino Linotype"/>
          <w:sz w:val="24"/>
          <w:szCs w:val="24"/>
        </w:rPr>
      </w:pPr>
    </w:p>
    <w:p w14:paraId="3AFF811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Sin embargo, a pesar de que se pronunció la Unidad de Apoyo Administrativo y la Contraloría Interna, que en específico la Contraloría Interna quien es el servidor público habilitado competente, a consideración de este Órgano Garante no se realizó adecuadamente el proceso de búsqueda de la información, ya que, el pronunciamiento efectuado únicamente abarca la temporalidad al mes de septiembre de dos mil veintitrés. </w:t>
      </w:r>
    </w:p>
    <w:p w14:paraId="7708B9BA"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4CA1B5E"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7888B64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FC65096"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660E4F59" w14:textId="77777777" w:rsidR="00AB0D98" w:rsidRPr="000E18A3" w:rsidRDefault="00AB0D98">
      <w:pPr>
        <w:spacing w:after="0" w:line="360" w:lineRule="auto"/>
        <w:jc w:val="both"/>
        <w:rPr>
          <w:rFonts w:ascii="Palatino Linotype" w:eastAsia="Palatino Linotype" w:hAnsi="Palatino Linotype" w:cs="Palatino Linotype"/>
        </w:rPr>
      </w:pPr>
    </w:p>
    <w:p w14:paraId="4E0706C3" w14:textId="77777777" w:rsidR="00AB0D98" w:rsidRPr="000E18A3" w:rsidRDefault="00E944F7">
      <w:pPr>
        <w:spacing w:after="0" w:line="276" w:lineRule="auto"/>
        <w:ind w:left="567" w:right="709"/>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“BÚSQUEDA EXHAUSTIVA. SU EJERCICIO PARA LOCALIZAR LA INFORMACIÓN SOLICITADA, NO CONSTITUYE UNA INVESTIGACIÓN A LA CUAL SE REFIERE EL ARTÍCULO 12 DE LA LEY DE TRANSPARENCIA Y ACCESO A LA INFORMACIÓN PÚBLICA DEL </w:t>
      </w:r>
      <w:r w:rsidRPr="000E18A3">
        <w:rPr>
          <w:rFonts w:ascii="Palatino Linotype" w:eastAsia="Palatino Linotype" w:hAnsi="Palatino Linotype" w:cs="Palatino Linotype"/>
          <w:b/>
          <w:i/>
        </w:rPr>
        <w:lastRenderedPageBreak/>
        <w:t xml:space="preserve">ESTADO DE MÉXICO Y MUNICIPIOS. </w:t>
      </w:r>
      <w:r w:rsidRPr="000E18A3">
        <w:rPr>
          <w:rFonts w:ascii="Palatino Linotype" w:eastAsia="Palatino Linotype" w:hAnsi="Palatino Linotype" w:cs="Palatino Linotype"/>
          <w:i/>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7E9B4339"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56EE07D"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Lo anterior, ya que el ente público, de manera particular el Órgano Interno de Control, limitó la búsqueda de la información, al mes de septiembre, no </w:t>
      </w:r>
      <w:proofErr w:type="gramStart"/>
      <w:r w:rsidRPr="000E18A3">
        <w:rPr>
          <w:rFonts w:ascii="Palatino Linotype" w:eastAsia="Palatino Linotype" w:hAnsi="Palatino Linotype" w:cs="Palatino Linotype"/>
          <w:sz w:val="24"/>
          <w:szCs w:val="24"/>
        </w:rPr>
        <w:t>obstante</w:t>
      </w:r>
      <w:proofErr w:type="gramEnd"/>
      <w:r w:rsidRPr="000E18A3">
        <w:rPr>
          <w:rFonts w:ascii="Palatino Linotype" w:eastAsia="Palatino Linotype" w:hAnsi="Palatino Linotype" w:cs="Palatino Linotype"/>
          <w:sz w:val="24"/>
          <w:szCs w:val="24"/>
        </w:rPr>
        <w:t xml:space="preserve"> lo solicitado fueron las actas que se generaron derivado del cambio del período constitucional a la fecha de la solicitud, esto es en efecto del mes de septiembre de </w:t>
      </w:r>
      <w:r w:rsidRPr="000E18A3">
        <w:rPr>
          <w:rFonts w:ascii="Palatino Linotype" w:eastAsia="Palatino Linotype" w:hAnsi="Palatino Linotype" w:cs="Palatino Linotype"/>
          <w:sz w:val="24"/>
          <w:szCs w:val="24"/>
        </w:rPr>
        <w:lastRenderedPageBreak/>
        <w:t xml:space="preserve">2023 a la fecha de la solicitud, por lo que la búsqueda fue limitada en cuanto a la temporalidad. </w:t>
      </w:r>
    </w:p>
    <w:p w14:paraId="29A6DBC6"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14A15E6"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tal sentido, resulta aplicable el Criterio 02/17 emitido por el Peno del Instituto Nacional de Transparencia y Acceso a la Información y Protección de Datos Personales, de título y texto siguientes:</w:t>
      </w:r>
    </w:p>
    <w:p w14:paraId="1236B94D" w14:textId="77777777" w:rsidR="00AB0D98" w:rsidRPr="000E18A3" w:rsidRDefault="00AB0D98">
      <w:pPr>
        <w:pBdr>
          <w:top w:val="nil"/>
          <w:left w:val="nil"/>
          <w:bottom w:val="nil"/>
          <w:right w:val="nil"/>
          <w:between w:val="nil"/>
        </w:pBdr>
        <w:spacing w:after="0" w:line="360" w:lineRule="auto"/>
        <w:jc w:val="both"/>
        <w:rPr>
          <w:sz w:val="24"/>
          <w:szCs w:val="24"/>
        </w:rPr>
      </w:pPr>
    </w:p>
    <w:p w14:paraId="586F80E9" w14:textId="77777777" w:rsidR="00AB0D98" w:rsidRPr="000E18A3" w:rsidRDefault="00E944F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sz w:val="24"/>
          <w:szCs w:val="24"/>
        </w:rPr>
      </w:pPr>
      <w:r w:rsidRPr="000E18A3">
        <w:rPr>
          <w:rFonts w:ascii="Palatino Linotype" w:eastAsia="Palatino Linotype" w:hAnsi="Palatino Linotype" w:cs="Palatino Linotype"/>
          <w:b/>
          <w:i/>
          <w:sz w:val="24"/>
          <w:szCs w:val="24"/>
        </w:rPr>
        <w:t>“</w:t>
      </w:r>
      <w:r w:rsidRPr="000E18A3">
        <w:rPr>
          <w:rFonts w:ascii="Palatino Linotype" w:eastAsia="Palatino Linotype" w:hAnsi="Palatino Linotype" w:cs="Palatino Linotype"/>
          <w:b/>
          <w:i/>
        </w:rPr>
        <w:t xml:space="preserve">Congruencia y exhaustividad. Sus alcances para garantizar el derecho de acceso a la información. </w:t>
      </w:r>
      <w:r w:rsidRPr="000E18A3">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0E18A3">
        <w:rPr>
          <w:rFonts w:ascii="Palatino Linotype" w:eastAsia="Palatino Linotype" w:hAnsi="Palatino Linotype" w:cs="Palatino Linotype"/>
          <w:b/>
          <w:i/>
        </w:rPr>
        <w:t>la congruencia implica que exista concordancia entre el requerimiento formulado por el particular y la respuesta proporcionada por el sujeto obligado</w:t>
      </w:r>
      <w:r w:rsidRPr="000E18A3">
        <w:rPr>
          <w:rFonts w:ascii="Palatino Linotype" w:eastAsia="Palatino Linotype" w:hAnsi="Palatino Linotype" w:cs="Palatino Linotype"/>
          <w:i/>
        </w:rPr>
        <w:t xml:space="preserve">; mientras que </w:t>
      </w:r>
      <w:r w:rsidRPr="000E18A3">
        <w:rPr>
          <w:rFonts w:ascii="Palatino Linotype" w:eastAsia="Palatino Linotype" w:hAnsi="Palatino Linotype" w:cs="Palatino Linotype"/>
          <w:b/>
          <w:i/>
        </w:rPr>
        <w:t>la exhaustividad significa que dicha respuesta se refiera expresamente a cada uno de los puntos solicitados</w:t>
      </w:r>
      <w:r w:rsidRPr="000E18A3">
        <w:rPr>
          <w:rFonts w:ascii="Palatino Linotype" w:eastAsia="Palatino Linotype" w:hAnsi="Palatino Linotype" w:cs="Palatino Linotype"/>
          <w:i/>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8B149FE" w14:textId="77777777" w:rsidR="00AB0D98" w:rsidRPr="000E18A3" w:rsidRDefault="00AB0D98">
      <w:pPr>
        <w:spacing w:after="0" w:line="360" w:lineRule="auto"/>
        <w:ind w:right="-7"/>
        <w:jc w:val="both"/>
        <w:rPr>
          <w:rFonts w:ascii="Palatino Linotype" w:eastAsia="Palatino Linotype" w:hAnsi="Palatino Linotype" w:cs="Palatino Linotype"/>
          <w:sz w:val="24"/>
          <w:szCs w:val="24"/>
        </w:rPr>
      </w:pPr>
    </w:p>
    <w:p w14:paraId="54706140"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De ahí que, la respuesta proporcionada al requerimiento en análisis no cumple con los principios de búsqueda exhaustiva, congruencia y exhaustividad.</w:t>
      </w:r>
    </w:p>
    <w:p w14:paraId="764FB521" w14:textId="77777777" w:rsidR="00AB0D98" w:rsidRPr="000E18A3" w:rsidRDefault="00AB0D98">
      <w:pPr>
        <w:spacing w:after="0" w:line="360" w:lineRule="auto"/>
        <w:ind w:right="51"/>
        <w:jc w:val="both"/>
        <w:rPr>
          <w:rFonts w:ascii="Palatino Linotype" w:eastAsia="Palatino Linotype" w:hAnsi="Palatino Linotype" w:cs="Palatino Linotype"/>
          <w:sz w:val="24"/>
          <w:szCs w:val="24"/>
        </w:rPr>
      </w:pPr>
    </w:p>
    <w:p w14:paraId="6AE4ADDE" w14:textId="77777777" w:rsidR="00AB0D98" w:rsidRPr="000E18A3" w:rsidRDefault="00E944F7">
      <w:pPr>
        <w:spacing w:after="0" w:line="360" w:lineRule="auto"/>
        <w:jc w:val="both"/>
        <w:rPr>
          <w:rFonts w:ascii="Palatino Linotype" w:eastAsia="Palatino Linotype" w:hAnsi="Palatino Linotype" w:cs="Palatino Linotype"/>
          <w:b/>
          <w:sz w:val="24"/>
          <w:szCs w:val="24"/>
        </w:rPr>
      </w:pPr>
      <w:r w:rsidRPr="000E18A3">
        <w:rPr>
          <w:rFonts w:ascii="Palatino Linotype" w:eastAsia="Palatino Linotype" w:hAnsi="Palatino Linotype" w:cs="Palatino Linotype"/>
          <w:sz w:val="24"/>
          <w:szCs w:val="24"/>
        </w:rPr>
        <w:lastRenderedPageBreak/>
        <w:t xml:space="preserve">De esta manera, es que a criterio de este Órgano Garante los motivos de inconformidad hechos valer por </w:t>
      </w:r>
      <w:r w:rsidRPr="000E18A3">
        <w:rPr>
          <w:rFonts w:ascii="Palatino Linotype" w:eastAsia="Palatino Linotype" w:hAnsi="Palatino Linotype" w:cs="Palatino Linotype"/>
          <w:b/>
          <w:sz w:val="24"/>
          <w:szCs w:val="24"/>
        </w:rPr>
        <w:t xml:space="preserve">LA PARTE RECURRENTE </w:t>
      </w:r>
      <w:r w:rsidRPr="000E18A3">
        <w:rPr>
          <w:rFonts w:ascii="Palatino Linotype" w:eastAsia="Palatino Linotype" w:hAnsi="Palatino Linotype" w:cs="Palatino Linotype"/>
          <w:sz w:val="24"/>
          <w:szCs w:val="24"/>
        </w:rPr>
        <w:t xml:space="preserve">en el recurso de resultan ser fundados, siendo procedente </w:t>
      </w:r>
      <w:r w:rsidRPr="000E18A3">
        <w:rPr>
          <w:rFonts w:ascii="Palatino Linotype" w:eastAsia="Palatino Linotype" w:hAnsi="Palatino Linotype" w:cs="Palatino Linotype"/>
          <w:b/>
          <w:sz w:val="24"/>
          <w:szCs w:val="24"/>
        </w:rPr>
        <w:t xml:space="preserve">MODIFICAR </w:t>
      </w:r>
      <w:r w:rsidRPr="000E18A3">
        <w:rPr>
          <w:rFonts w:ascii="Palatino Linotype" w:eastAsia="Palatino Linotype" w:hAnsi="Palatino Linotype" w:cs="Palatino Linotype"/>
          <w:sz w:val="24"/>
          <w:szCs w:val="24"/>
        </w:rPr>
        <w:t xml:space="preserve">la respuesta del </w:t>
      </w:r>
      <w:r w:rsidRPr="000E18A3">
        <w:rPr>
          <w:rFonts w:ascii="Palatino Linotype" w:eastAsia="Palatino Linotype" w:hAnsi="Palatino Linotype" w:cs="Palatino Linotype"/>
          <w:b/>
          <w:sz w:val="24"/>
          <w:szCs w:val="24"/>
        </w:rPr>
        <w:t xml:space="preserve">SUJETO OBLIGADO </w:t>
      </w:r>
      <w:r w:rsidRPr="000E18A3">
        <w:rPr>
          <w:rFonts w:ascii="Palatino Linotype" w:eastAsia="Palatino Linotype" w:hAnsi="Palatino Linotype" w:cs="Palatino Linotype"/>
          <w:sz w:val="24"/>
          <w:szCs w:val="24"/>
        </w:rPr>
        <w:t xml:space="preserve">y ordenar las actas de entrega recepción generadas por el cambio de administración del gobierno estatal, esto es del 16 de septiembre de 2023 al veintiocho de agosto de dos mil veinticuatro, en versión pública en términos del considerando quinto. </w:t>
      </w:r>
    </w:p>
    <w:p w14:paraId="61EF19A7" w14:textId="77777777" w:rsidR="00AB0D98" w:rsidRPr="000E18A3" w:rsidRDefault="00AB0D98">
      <w:pPr>
        <w:spacing w:after="0" w:line="360" w:lineRule="auto"/>
        <w:ind w:right="-91"/>
        <w:jc w:val="both"/>
        <w:rPr>
          <w:rFonts w:ascii="Palatino Linotype" w:eastAsia="Palatino Linotype" w:hAnsi="Palatino Linotype" w:cs="Palatino Linotype"/>
          <w:sz w:val="24"/>
          <w:szCs w:val="24"/>
        </w:rPr>
      </w:pPr>
    </w:p>
    <w:p w14:paraId="2CB80D30"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QUINTO. VERSIÓN PÚBLICA. </w:t>
      </w:r>
      <w:r w:rsidRPr="000E18A3">
        <w:rPr>
          <w:rFonts w:ascii="Palatino Linotype" w:eastAsia="Palatino Linotype" w:hAnsi="Palatino Linotype" w:cs="Palatino Linotype"/>
          <w:sz w:val="24"/>
          <w:szCs w:val="24"/>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BDEA508"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176DFF66" w14:textId="77777777" w:rsidR="00AB0D98" w:rsidRPr="000E18A3" w:rsidRDefault="00E944F7">
      <w:pPr>
        <w:spacing w:after="0" w:line="360" w:lineRule="auto"/>
        <w:ind w:right="50"/>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71EB9736" w14:textId="77777777" w:rsidR="00AB0D98" w:rsidRPr="000E18A3" w:rsidRDefault="00AB0D98">
      <w:pPr>
        <w:spacing w:after="0" w:line="360" w:lineRule="auto"/>
        <w:ind w:right="50"/>
        <w:jc w:val="both"/>
        <w:rPr>
          <w:rFonts w:ascii="Palatino Linotype" w:eastAsia="Palatino Linotype" w:hAnsi="Palatino Linotype" w:cs="Palatino Linotype"/>
          <w:sz w:val="24"/>
          <w:szCs w:val="24"/>
        </w:rPr>
      </w:pPr>
    </w:p>
    <w:p w14:paraId="7614E46E"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Artículo 3</w:t>
      </w:r>
      <w:r w:rsidRPr="000E18A3">
        <w:rPr>
          <w:rFonts w:ascii="Palatino Linotype" w:eastAsia="Palatino Linotype" w:hAnsi="Palatino Linotype" w:cs="Palatino Linotype"/>
          <w:i/>
        </w:rPr>
        <w:t>. Para los efectos de la presente Ley se entenderá por:</w:t>
      </w:r>
    </w:p>
    <w:p w14:paraId="1A8C4CDE"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136DB2B3"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IX. Datos personales:</w:t>
      </w:r>
      <w:r w:rsidRPr="000E18A3">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726D2C87"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XX. Información clasificada</w:t>
      </w:r>
      <w:r w:rsidRPr="000E18A3">
        <w:rPr>
          <w:rFonts w:ascii="Palatino Linotype" w:eastAsia="Palatino Linotype" w:hAnsi="Palatino Linotype" w:cs="Palatino Linotype"/>
          <w:i/>
        </w:rPr>
        <w:t>: Aquella considerada por la presente Ley como reservada o confidencial;</w:t>
      </w:r>
    </w:p>
    <w:p w14:paraId="61523D63"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XXI. Información confidencial:</w:t>
      </w:r>
      <w:r w:rsidRPr="000E18A3">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B09F308"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XLV. Versión pública:</w:t>
      </w:r>
      <w:r w:rsidRPr="000E18A3">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37BD3B3F"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7196A258"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Artículo 91. </w:t>
      </w:r>
      <w:r w:rsidRPr="000E18A3">
        <w:rPr>
          <w:rFonts w:ascii="Palatino Linotype" w:eastAsia="Palatino Linotype" w:hAnsi="Palatino Linotype" w:cs="Palatino Linotype"/>
          <w:i/>
        </w:rPr>
        <w:t>El acceso a la información pública será restringido excepcionalmente, cuando ésta sea clasificada como reservada o confidencial.</w:t>
      </w:r>
    </w:p>
    <w:p w14:paraId="3ADF0E98"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Artículo 132. </w:t>
      </w:r>
      <w:r w:rsidRPr="000E18A3">
        <w:rPr>
          <w:rFonts w:ascii="Palatino Linotype" w:eastAsia="Palatino Linotype" w:hAnsi="Palatino Linotype" w:cs="Palatino Linotype"/>
          <w:i/>
        </w:rPr>
        <w:t>La clasificación de la información se llevará a cabo en el momento en que:</w:t>
      </w:r>
    </w:p>
    <w:p w14:paraId="1A3FA42E"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w:t>
      </w:r>
      <w:r w:rsidRPr="000E18A3">
        <w:rPr>
          <w:rFonts w:ascii="Palatino Linotype" w:eastAsia="Palatino Linotype" w:hAnsi="Palatino Linotype" w:cs="Palatino Linotype"/>
          <w:i/>
        </w:rPr>
        <w:t>. Se reciba una solicitud de acceso a la información;</w:t>
      </w:r>
    </w:p>
    <w:p w14:paraId="168A2CB7"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II</w:t>
      </w:r>
      <w:r w:rsidRPr="000E18A3">
        <w:rPr>
          <w:rFonts w:ascii="Palatino Linotype" w:eastAsia="Palatino Linotype" w:hAnsi="Palatino Linotype" w:cs="Palatino Linotype"/>
          <w:i/>
        </w:rPr>
        <w:t>. Se determine mediante resolución de autoridad competente; o</w:t>
      </w:r>
    </w:p>
    <w:p w14:paraId="4DE21E34"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III</w:t>
      </w:r>
      <w:r w:rsidRPr="000E18A3">
        <w:rPr>
          <w:rFonts w:ascii="Palatino Linotype" w:eastAsia="Palatino Linotype" w:hAnsi="Palatino Linotype" w:cs="Palatino Linotype"/>
          <w:i/>
        </w:rPr>
        <w:t>. Se generen versiones públicas para dar cumplimiento a las obligaciones de transparencia previstas en esta Ley.</w:t>
      </w:r>
    </w:p>
    <w:p w14:paraId="76AD93CB"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p>
    <w:p w14:paraId="7C0BC9F4"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143</w:t>
      </w:r>
      <w:r w:rsidRPr="000E18A3">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B4F958A"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w:t>
      </w:r>
      <w:r w:rsidRPr="000E18A3">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728D1BB"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t>II.</w:t>
      </w:r>
      <w:r w:rsidRPr="000E18A3">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402E3DA"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b/>
          <w:i/>
        </w:rPr>
        <w:lastRenderedPageBreak/>
        <w:t>III</w:t>
      </w:r>
      <w:r w:rsidRPr="000E18A3">
        <w:rPr>
          <w:rFonts w:ascii="Palatino Linotype" w:eastAsia="Palatino Linotype" w:hAnsi="Palatino Linotype" w:cs="Palatino Linotype"/>
          <w:i/>
        </w:rPr>
        <w:t>. La que presenten los particulares a los sujetos obligados, de conformidad con lo dispuesto por las leyes o los tratados internacionales.</w:t>
      </w:r>
    </w:p>
    <w:p w14:paraId="1DEBF1C6"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7FA6E8A8" w14:textId="77777777" w:rsidR="00AB0D98" w:rsidRPr="000E18A3" w:rsidRDefault="00E944F7">
      <w:pPr>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13869EB" w14:textId="77777777" w:rsidR="00AB0D98" w:rsidRPr="000E18A3" w:rsidRDefault="00AB0D98">
      <w:pPr>
        <w:spacing w:after="0" w:line="276" w:lineRule="auto"/>
        <w:ind w:left="567" w:right="902"/>
        <w:jc w:val="both"/>
        <w:rPr>
          <w:rFonts w:ascii="Palatino Linotype" w:eastAsia="Palatino Linotype" w:hAnsi="Palatino Linotype" w:cs="Palatino Linotype"/>
          <w:i/>
          <w:sz w:val="24"/>
          <w:szCs w:val="24"/>
        </w:rPr>
      </w:pPr>
    </w:p>
    <w:p w14:paraId="2C444400"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1F16F7E"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siendo estas las siguientes:</w:t>
      </w:r>
    </w:p>
    <w:p w14:paraId="364F1728"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3381FF8" w14:textId="77777777" w:rsidR="00AB0D98" w:rsidRPr="000E18A3" w:rsidRDefault="00E944F7">
      <w:pPr>
        <w:spacing w:after="0" w:line="276" w:lineRule="auto"/>
        <w:ind w:left="567"/>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“CAPÍTULO VIII </w:t>
      </w:r>
    </w:p>
    <w:p w14:paraId="6B2F16AD" w14:textId="77777777" w:rsidR="00AB0D98" w:rsidRPr="000E18A3" w:rsidRDefault="00E944F7">
      <w:pPr>
        <w:spacing w:after="0" w:line="276" w:lineRule="auto"/>
        <w:ind w:left="567"/>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 xml:space="preserve">DE LOS ELEMENTOS PARA LA CLASIFICACIÓN </w:t>
      </w:r>
    </w:p>
    <w:p w14:paraId="0885E3C9" w14:textId="77777777" w:rsidR="00AB0D98" w:rsidRPr="000E18A3" w:rsidRDefault="00E944F7">
      <w:pP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b/>
          <w:i/>
        </w:rPr>
        <w:t>Quincuagésimo.</w:t>
      </w:r>
      <w:r w:rsidRPr="000E18A3">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3805018" w14:textId="77777777" w:rsidR="00AB0D98" w:rsidRPr="000E18A3" w:rsidRDefault="00E944F7">
      <w:pP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b/>
          <w:i/>
        </w:rPr>
        <w:t>Quincuagésimo primero.</w:t>
      </w:r>
      <w:r w:rsidRPr="000E18A3">
        <w:rPr>
          <w:rFonts w:ascii="Palatino Linotype" w:eastAsia="Palatino Linotype" w:hAnsi="Palatino Linotype" w:cs="Palatino Linotype"/>
          <w:i/>
        </w:rPr>
        <w:t xml:space="preserve"> Toda acta del Comité de Transparencia deberá contener: </w:t>
      </w:r>
    </w:p>
    <w:p w14:paraId="3C8D536E" w14:textId="77777777" w:rsidR="00AB0D98" w:rsidRPr="000E18A3" w:rsidRDefault="00E944F7">
      <w:pPr>
        <w:numPr>
          <w:ilvl w:val="1"/>
          <w:numId w:val="6"/>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El número de sesión y fecha; </w:t>
      </w:r>
    </w:p>
    <w:p w14:paraId="14C66AF8" w14:textId="77777777" w:rsidR="00AB0D98" w:rsidRPr="000E18A3" w:rsidRDefault="00E944F7">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El nombre del área que solicitó la clasificación de información; </w:t>
      </w:r>
    </w:p>
    <w:p w14:paraId="1B0274ED" w14:textId="77777777" w:rsidR="00AB0D98" w:rsidRPr="000E18A3" w:rsidRDefault="00E944F7">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La fundamentación legal y motivación correspondiente; </w:t>
      </w:r>
    </w:p>
    <w:p w14:paraId="484C70DA" w14:textId="77777777" w:rsidR="00AB0D98" w:rsidRPr="000E18A3" w:rsidRDefault="00E944F7">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La resolución o resoluciones aprobadas; y </w:t>
      </w:r>
    </w:p>
    <w:p w14:paraId="37924359" w14:textId="77777777" w:rsidR="00AB0D98" w:rsidRPr="000E18A3" w:rsidRDefault="00E944F7">
      <w:pPr>
        <w:numPr>
          <w:ilvl w:val="1"/>
          <w:numId w:val="6"/>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La rúbrica o firma digital de cada integrante del Comité de Transparencia. </w:t>
      </w:r>
    </w:p>
    <w:p w14:paraId="012E733F"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6E07D70E"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I. Los motivos y razonamientos que sustenten la confirmación o modificación de la prueba de daño;</w:t>
      </w:r>
    </w:p>
    <w:p w14:paraId="3DD22382"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II. Descripción de las partes o secciones reservadas, en caso de clasificación parcial; </w:t>
      </w:r>
    </w:p>
    <w:p w14:paraId="41A8F523"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III. El periodo por el que mantendrá su clasificación y fecha de expiración; y </w:t>
      </w:r>
    </w:p>
    <w:p w14:paraId="09D1216D"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IV. El nombre del titular y área encargada de realizar la versión pública del documento, en su caso. </w:t>
      </w:r>
    </w:p>
    <w:p w14:paraId="36FC00AE"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CB2E1E2"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0E18A3">
        <w:rPr>
          <w:rFonts w:ascii="Palatino Linotype" w:eastAsia="Palatino Linotype" w:hAnsi="Palatino Linotype" w:cs="Palatino Linotype"/>
          <w:b/>
          <w:i/>
        </w:rPr>
        <w:t>En los casos de resoluciones del Comité de Transparencia en las que se confirme la clasificación de información confidencial solo se deberán de identificar los tipos de datos protegidos, de conformidad con el lineamiento trigésimo octavo.</w:t>
      </w:r>
    </w:p>
    <w:p w14:paraId="759090A9"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Quincuagésimo segundo. </w:t>
      </w:r>
      <w:r w:rsidRPr="000E18A3">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60AA372"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bookmarkStart w:id="0" w:name="_heading=h.lnxbz9" w:colFirst="0" w:colLast="0"/>
      <w:bookmarkEnd w:id="0"/>
      <w:r w:rsidRPr="000E18A3">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212D3697"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I. Fijar la fecha en que se elaboró la versión pública y la fecha en la cual el Comité de</w:t>
      </w:r>
    </w:p>
    <w:p w14:paraId="5E940117"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Transparencia confirmó dicha versión;</w:t>
      </w:r>
    </w:p>
    <w:p w14:paraId="6EFABF12"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4810F13"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III. Señalar las personas o instancias autorizadas a acceder a la información clasificada.</w:t>
      </w:r>
    </w:p>
    <w:p w14:paraId="062C175C"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488D486" w14:textId="77777777" w:rsidR="00AB0D98" w:rsidRPr="000E18A3" w:rsidRDefault="00AB0D98">
      <w:pPr>
        <w:pBdr>
          <w:top w:val="nil"/>
          <w:left w:val="nil"/>
          <w:bottom w:val="nil"/>
          <w:right w:val="nil"/>
          <w:between w:val="nil"/>
        </w:pBdr>
        <w:spacing w:after="0" w:line="276" w:lineRule="auto"/>
        <w:ind w:right="900"/>
        <w:jc w:val="both"/>
        <w:rPr>
          <w:rFonts w:ascii="Palatino Linotype" w:eastAsia="Palatino Linotype" w:hAnsi="Palatino Linotype" w:cs="Palatino Linotype"/>
          <w:b/>
          <w:i/>
        </w:rPr>
      </w:pPr>
    </w:p>
    <w:p w14:paraId="704E0A0B"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Quincuagésimo cuarto. </w:t>
      </w:r>
      <w:r w:rsidRPr="000E18A3">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CE44160" w14:textId="77777777" w:rsidR="00AB0D98" w:rsidRPr="000E18A3" w:rsidRDefault="00AB0D9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p>
    <w:p w14:paraId="5BAD09F7" w14:textId="77777777" w:rsidR="00AB0D98" w:rsidRPr="000E18A3" w:rsidRDefault="00E944F7">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Quincuagésimo quinto. </w:t>
      </w:r>
      <w:r w:rsidRPr="000E18A3">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0E18A3">
        <w:rPr>
          <w:rFonts w:ascii="Palatino Linotype" w:eastAsia="Palatino Linotype" w:hAnsi="Palatino Linotype" w:cs="Palatino Linotype"/>
          <w:i/>
        </w:rPr>
        <w:t>testado</w:t>
      </w:r>
      <w:proofErr w:type="spellEnd"/>
      <w:r w:rsidRPr="000E18A3">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8643FF2" w14:textId="77777777" w:rsidR="00AB0D98" w:rsidRPr="000E18A3" w:rsidRDefault="00AB0D9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sz w:val="24"/>
          <w:szCs w:val="24"/>
        </w:rPr>
      </w:pPr>
    </w:p>
    <w:p w14:paraId="58F5DA04"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a testar, suprimir o </w:t>
      </w:r>
      <w:r w:rsidRPr="000E18A3">
        <w:rPr>
          <w:rFonts w:ascii="Palatino Linotype" w:eastAsia="Palatino Linotype" w:hAnsi="Palatino Linotype" w:cs="Palatino Linotype"/>
          <w:sz w:val="24"/>
          <w:szCs w:val="24"/>
        </w:rPr>
        <w:lastRenderedPageBreak/>
        <w:t>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AB9A0A5"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E54C7EF"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0E18A3">
        <w:rPr>
          <w:rFonts w:ascii="Palatino Linotype" w:eastAsia="Palatino Linotype" w:hAnsi="Palatino Linotype" w:cs="Palatino Linotype"/>
          <w:b/>
          <w:sz w:val="24"/>
          <w:szCs w:val="24"/>
        </w:rPr>
        <w:t>Registro Federal de Contribuyentes</w:t>
      </w:r>
      <w:r w:rsidRPr="000E18A3">
        <w:rPr>
          <w:rFonts w:ascii="Palatino Linotype" w:eastAsia="Palatino Linotype" w:hAnsi="Palatino Linotype" w:cs="Palatino Linotype"/>
          <w:sz w:val="24"/>
          <w:szCs w:val="24"/>
        </w:rPr>
        <w:t xml:space="preserve"> (RFC) y la </w:t>
      </w:r>
      <w:r w:rsidRPr="000E18A3">
        <w:rPr>
          <w:rFonts w:ascii="Palatino Linotype" w:eastAsia="Palatino Linotype" w:hAnsi="Palatino Linotype" w:cs="Palatino Linotype"/>
          <w:b/>
          <w:sz w:val="24"/>
          <w:szCs w:val="24"/>
        </w:rPr>
        <w:t>Clave Única de Registro de Población</w:t>
      </w:r>
      <w:r w:rsidRPr="000E18A3">
        <w:rPr>
          <w:rFonts w:ascii="Palatino Linotype" w:eastAsia="Palatino Linotype" w:hAnsi="Palatino Linotype" w:cs="Palatino Linotype"/>
          <w:sz w:val="24"/>
          <w:szCs w:val="24"/>
        </w:rPr>
        <w:t xml:space="preserve"> (CURP).</w:t>
      </w:r>
    </w:p>
    <w:p w14:paraId="45870E8A"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6945A191"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Por cuanto hace al </w:t>
      </w:r>
      <w:r w:rsidRPr="000E18A3">
        <w:rPr>
          <w:rFonts w:ascii="Palatino Linotype" w:eastAsia="Palatino Linotype" w:hAnsi="Palatino Linotype" w:cs="Palatino Linotype"/>
          <w:b/>
          <w:sz w:val="24"/>
          <w:szCs w:val="24"/>
        </w:rPr>
        <w:t>Registro Federal de Contribuyentes (RFC),</w:t>
      </w:r>
      <w:r w:rsidRPr="000E18A3">
        <w:rPr>
          <w:rFonts w:ascii="Palatino Linotype" w:eastAsia="Palatino Linotype" w:hAnsi="Palatino Linotype" w:cs="Palatino Linotype"/>
          <w:sz w:val="24"/>
          <w:szCs w:val="24"/>
        </w:rPr>
        <w:t xml:space="preserve"> de las personas físicas, constituye un dato personal, pues se genera con caracteres alfanuméricos a partir del nombre y la fecha de nacimiento de cada persona, y finalmente la </w:t>
      </w:r>
      <w:proofErr w:type="spellStart"/>
      <w:r w:rsidRPr="000E18A3">
        <w:rPr>
          <w:rFonts w:ascii="Palatino Linotype" w:eastAsia="Palatino Linotype" w:hAnsi="Palatino Linotype" w:cs="Palatino Linotype"/>
          <w:sz w:val="24"/>
          <w:szCs w:val="24"/>
        </w:rPr>
        <w:t>homoclave</w:t>
      </w:r>
      <w:proofErr w:type="spellEnd"/>
      <w:r w:rsidRPr="000E18A3">
        <w:rPr>
          <w:rFonts w:ascii="Palatino Linotype" w:eastAsia="Palatino Linotype" w:hAnsi="Palatino Linotype" w:cs="Palatino Linotype"/>
          <w:sz w:val="24"/>
          <w:szCs w:val="24"/>
        </w:rPr>
        <w:t>, por lo que para su obtención es necesario acreditar ante la autoridad fiscal previamente la identidad de la persona, su fecha de nacimiento, entre otros aspectos.</w:t>
      </w:r>
    </w:p>
    <w:p w14:paraId="2F5424EC"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4A194521"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67DE33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681D7B1"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Lo anterior es compartido por el entonces Instituto Federal de Acceso a la Información Pública y Protección de Datos Personales (IFAI) a través del Criterio 19/17, el cual es del tenor literal siguiente:</w:t>
      </w:r>
    </w:p>
    <w:p w14:paraId="1E3C9C09" w14:textId="77777777" w:rsidR="00AB0D98" w:rsidRPr="000E18A3" w:rsidRDefault="00AB0D98">
      <w:pPr>
        <w:spacing w:after="0" w:line="360" w:lineRule="auto"/>
        <w:ind w:left="851" w:right="900"/>
        <w:jc w:val="both"/>
        <w:rPr>
          <w:rFonts w:ascii="Palatino Linotype" w:eastAsia="Palatino Linotype" w:hAnsi="Palatino Linotype" w:cs="Palatino Linotype"/>
          <w:b/>
          <w:i/>
          <w:sz w:val="24"/>
          <w:szCs w:val="24"/>
        </w:rPr>
      </w:pPr>
    </w:p>
    <w:p w14:paraId="163ACCFB" w14:textId="77777777" w:rsidR="00AB0D98" w:rsidRPr="000E18A3" w:rsidRDefault="00E944F7">
      <w:pPr>
        <w:spacing w:after="0" w:line="360" w:lineRule="auto"/>
        <w:ind w:left="851" w:right="900"/>
        <w:jc w:val="both"/>
        <w:rPr>
          <w:rFonts w:ascii="Palatino Linotype" w:eastAsia="Palatino Linotype" w:hAnsi="Palatino Linotype" w:cs="Palatino Linotype"/>
          <w:i/>
        </w:rPr>
      </w:pPr>
      <w:r w:rsidRPr="000E18A3">
        <w:rPr>
          <w:rFonts w:ascii="Palatino Linotype" w:eastAsia="Palatino Linotype" w:hAnsi="Palatino Linotype" w:cs="Palatino Linotype"/>
          <w:b/>
          <w:i/>
        </w:rPr>
        <w:t>“Registro Federal de Contribuyentes (RFC) de personas físicas</w:t>
      </w:r>
      <w:r w:rsidRPr="000E18A3">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68D66623"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4194C52"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sidRPr="000E18A3">
        <w:rPr>
          <w:rFonts w:ascii="Palatino Linotype" w:eastAsia="Palatino Linotype" w:hAnsi="Palatino Linotype" w:cs="Palatino Linotype"/>
          <w:sz w:val="24"/>
          <w:szCs w:val="24"/>
        </w:rPr>
        <w:t>homoclave</w:t>
      </w:r>
      <w:proofErr w:type="spellEnd"/>
      <w:r w:rsidRPr="000E18A3">
        <w:rPr>
          <w:rFonts w:ascii="Palatino Linotype" w:eastAsia="Palatino Linotype" w:hAnsi="Palatino Linotype" w:cs="Palatino Linotype"/>
          <w:sz w:val="24"/>
          <w:szCs w:val="24"/>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w:t>
      </w:r>
      <w:r w:rsidRPr="000E18A3">
        <w:rPr>
          <w:rFonts w:ascii="Palatino Linotype" w:eastAsia="Palatino Linotype" w:hAnsi="Palatino Linotype" w:cs="Palatino Linotype"/>
          <w:sz w:val="24"/>
          <w:szCs w:val="24"/>
        </w:rPr>
        <w:lastRenderedPageBreak/>
        <w:t>de México y Municipios, y  4 fracciones XI y XII de la Ley de Protección de Datos Personales en Posesión de los Sujetos Obligados del Estado de México y Municipios.</w:t>
      </w:r>
    </w:p>
    <w:p w14:paraId="5991A614"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439D214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De igual manera la </w:t>
      </w:r>
      <w:r w:rsidRPr="000E18A3">
        <w:rPr>
          <w:rFonts w:ascii="Palatino Linotype" w:eastAsia="Palatino Linotype" w:hAnsi="Palatino Linotype" w:cs="Palatino Linotype"/>
          <w:b/>
          <w:sz w:val="24"/>
          <w:szCs w:val="24"/>
        </w:rPr>
        <w:t>Clave Única de Registro de Población (CURP)</w:t>
      </w:r>
      <w:r w:rsidRPr="000E18A3">
        <w:rPr>
          <w:rFonts w:ascii="Palatino Linotype" w:eastAsia="Palatino Linotype" w:hAnsi="Palatino Linotype" w:cs="Palatino Linotype"/>
          <w:sz w:val="24"/>
          <w:szCs w:val="24"/>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E11D290"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CC7EC9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Argumento que es compartido por el Instituto Nacional de Transparencia, Acceso a la Información y Protección de Datos Personales, INAI</w:t>
      </w:r>
      <w:r w:rsidRPr="000E18A3">
        <w:rPr>
          <w:rFonts w:ascii="Palatino Linotype" w:eastAsia="Palatino Linotype" w:hAnsi="Palatino Linotype" w:cs="Palatino Linotype"/>
          <w:b/>
          <w:sz w:val="24"/>
          <w:szCs w:val="24"/>
        </w:rPr>
        <w:t xml:space="preserve">, conforme al </w:t>
      </w:r>
      <w:r w:rsidRPr="000E18A3">
        <w:rPr>
          <w:rFonts w:ascii="Palatino Linotype" w:eastAsia="Palatino Linotype" w:hAnsi="Palatino Linotype" w:cs="Palatino Linotype"/>
          <w:sz w:val="24"/>
          <w:szCs w:val="24"/>
        </w:rPr>
        <w:t xml:space="preserve">criterio 18/17, el cual refiere: </w:t>
      </w:r>
    </w:p>
    <w:p w14:paraId="6CCCA76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023E59D5"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 xml:space="preserve">“Clave Única de Registro de Población (CURP). </w:t>
      </w:r>
      <w:r w:rsidRPr="000E18A3">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D090457" w14:textId="77777777" w:rsidR="00AB0D98" w:rsidRPr="000E18A3" w:rsidRDefault="00AB0D98">
      <w:pPr>
        <w:spacing w:after="0" w:line="360" w:lineRule="auto"/>
        <w:ind w:right="-91"/>
        <w:jc w:val="both"/>
        <w:rPr>
          <w:rFonts w:ascii="Palatino Linotype" w:eastAsia="Palatino Linotype" w:hAnsi="Palatino Linotype" w:cs="Palatino Linotype"/>
          <w:sz w:val="24"/>
          <w:szCs w:val="24"/>
        </w:rPr>
      </w:pPr>
    </w:p>
    <w:p w14:paraId="4DF84DC8" w14:textId="77777777" w:rsidR="00AB0D98" w:rsidRPr="000E18A3" w:rsidRDefault="00E944F7">
      <w:pPr>
        <w:spacing w:after="0" w:line="360" w:lineRule="auto"/>
        <w:ind w:right="-93"/>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 xml:space="preserve">Al respecto, es de señalar que </w:t>
      </w:r>
      <w:r w:rsidRPr="000E18A3">
        <w:rPr>
          <w:rFonts w:ascii="Palatino Linotype" w:eastAsia="Palatino Linotype" w:hAnsi="Palatino Linotype" w:cs="Palatino Linotype"/>
          <w:b/>
          <w:sz w:val="24"/>
          <w:szCs w:val="24"/>
        </w:rPr>
        <w:t xml:space="preserve">la firma </w:t>
      </w:r>
      <w:r w:rsidRPr="000E18A3">
        <w:rPr>
          <w:rFonts w:ascii="Palatino Linotype" w:eastAsia="Palatino Linotype" w:hAnsi="Palatino Linotype" w:cs="Palatino Linotype"/>
          <w:sz w:val="24"/>
          <w:szCs w:val="24"/>
        </w:rPr>
        <w:t xml:space="preserve">es considerada un dato personal, al tratarse de información gráfica a través de la cual su titular exterioriza su voluntad en actos públicos y privados; no obstante, en el presente caso, dicho dato, es de la autoridad emisora. </w:t>
      </w:r>
    </w:p>
    <w:p w14:paraId="49CCC9C6" w14:textId="77777777" w:rsidR="00AB0D98" w:rsidRPr="000E18A3" w:rsidRDefault="00AB0D98">
      <w:pPr>
        <w:spacing w:after="0" w:line="360" w:lineRule="auto"/>
        <w:ind w:right="-93"/>
        <w:jc w:val="both"/>
        <w:rPr>
          <w:rFonts w:ascii="Palatino Linotype" w:eastAsia="Palatino Linotype" w:hAnsi="Palatino Linotype" w:cs="Palatino Linotype"/>
          <w:sz w:val="24"/>
          <w:szCs w:val="24"/>
        </w:rPr>
      </w:pPr>
    </w:p>
    <w:p w14:paraId="50657BC8" w14:textId="77777777" w:rsidR="00AB0D98" w:rsidRPr="000E18A3" w:rsidRDefault="00E944F7">
      <w:pPr>
        <w:spacing w:after="0" w:line="360" w:lineRule="auto"/>
        <w:ind w:right="-93"/>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Al respecto, este Instituto, considera que entregar </w:t>
      </w:r>
      <w:proofErr w:type="gramStart"/>
      <w:r w:rsidRPr="000E18A3">
        <w:rPr>
          <w:rFonts w:ascii="Palatino Linotype" w:eastAsia="Palatino Linotype" w:hAnsi="Palatino Linotype" w:cs="Palatino Linotype"/>
          <w:sz w:val="24"/>
          <w:szCs w:val="24"/>
        </w:rPr>
        <w:t>la firmas</w:t>
      </w:r>
      <w:proofErr w:type="gramEnd"/>
      <w:r w:rsidRPr="000E18A3">
        <w:rPr>
          <w:rFonts w:ascii="Palatino Linotype" w:eastAsia="Palatino Linotype" w:hAnsi="Palatino Linotype" w:cs="Palatino Linotype"/>
          <w:sz w:val="24"/>
          <w:szCs w:val="24"/>
        </w:rPr>
        <w:t xml:space="preserve">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604A931A" w14:textId="77777777" w:rsidR="00AB0D98" w:rsidRPr="000E18A3" w:rsidRDefault="00AB0D98">
      <w:pPr>
        <w:spacing w:after="0" w:line="360" w:lineRule="auto"/>
        <w:ind w:right="-93"/>
        <w:jc w:val="both"/>
        <w:rPr>
          <w:rFonts w:ascii="Palatino Linotype" w:eastAsia="Palatino Linotype" w:hAnsi="Palatino Linotype" w:cs="Palatino Linotype"/>
          <w:sz w:val="24"/>
          <w:szCs w:val="24"/>
        </w:rPr>
      </w:pPr>
    </w:p>
    <w:p w14:paraId="27FA386B" w14:textId="77777777" w:rsidR="00AB0D98" w:rsidRPr="000E18A3" w:rsidRDefault="00E944F7">
      <w:pPr>
        <w:spacing w:after="0" w:line="360" w:lineRule="auto"/>
        <w:ind w:right="-93"/>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455330E5" w14:textId="77777777" w:rsidR="00AB0D98" w:rsidRPr="000E18A3" w:rsidRDefault="00AB0D98">
      <w:pPr>
        <w:spacing w:after="0" w:line="360" w:lineRule="auto"/>
        <w:ind w:right="-93"/>
        <w:jc w:val="both"/>
        <w:rPr>
          <w:rFonts w:ascii="Palatino Linotype" w:eastAsia="Palatino Linotype" w:hAnsi="Palatino Linotype" w:cs="Palatino Linotype"/>
          <w:sz w:val="24"/>
          <w:szCs w:val="24"/>
        </w:rPr>
      </w:pPr>
    </w:p>
    <w:p w14:paraId="23879ABC"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Sirve de sustento a lo anterior el Criterio de Interpretación 02/19 emitido por el Instituto Nacional de Transparencia, Acceso a la Información y Protección de Datos Personales, cuyo rubro y texto establecen lo siguiente:</w:t>
      </w:r>
    </w:p>
    <w:p w14:paraId="2447D419" w14:textId="77777777" w:rsidR="00AB0D98" w:rsidRPr="000E18A3" w:rsidRDefault="00E944F7">
      <w:pPr>
        <w:tabs>
          <w:tab w:val="left" w:pos="7513"/>
        </w:tabs>
        <w:spacing w:after="0" w:line="276" w:lineRule="auto"/>
        <w:ind w:left="567" w:right="902"/>
        <w:jc w:val="both"/>
        <w:rPr>
          <w:rFonts w:ascii="Palatino Linotype" w:eastAsia="Palatino Linotype" w:hAnsi="Palatino Linotype" w:cs="Palatino Linotype"/>
          <w:i/>
        </w:rPr>
      </w:pP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FIRMA Y RÚBRICA DE SERVIDORES PÚBLICOS.</w:t>
      </w:r>
      <w:r w:rsidRPr="000E18A3">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2A08697"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35841F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lo que se refiere a la credencial para votar, constituyen datos personales el nombre, domicilio, huella digital, fotografía del elector, clave de registro o elector, Clave Única del Registro de Población y firma, tal como se refiere en el artículo 156 numeral 1, incisos d), g) e i) de la Ley General de Instituciones y Procedimientos Electorales que enlista los datos que, cuando menos, debe contener la credencial para votar, como son: </w:t>
      </w:r>
    </w:p>
    <w:p w14:paraId="3BE6BAC1"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D974FCA"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Artículo 156</w:t>
      </w:r>
      <w:r w:rsidRPr="000E18A3">
        <w:rPr>
          <w:rFonts w:ascii="Palatino Linotype" w:eastAsia="Palatino Linotype" w:hAnsi="Palatino Linotype" w:cs="Palatino Linotype"/>
          <w:i/>
        </w:rPr>
        <w:t>.</w:t>
      </w:r>
    </w:p>
    <w:p w14:paraId="50DCAB69"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b/>
          <w:i/>
        </w:rPr>
        <w:t>1.</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u w:val="single"/>
        </w:rPr>
        <w:t>La credencial para votar deberá contener, cuando menos, los siguientes datos del elector</w:t>
      </w:r>
      <w:r w:rsidRPr="000E18A3">
        <w:rPr>
          <w:rFonts w:ascii="Palatino Linotype" w:eastAsia="Palatino Linotype" w:hAnsi="Palatino Linotype" w:cs="Palatino Linotype"/>
          <w:i/>
        </w:rPr>
        <w:t>:</w:t>
      </w:r>
    </w:p>
    <w:p w14:paraId="3CA8A95F"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w:t>
      </w:r>
    </w:p>
    <w:p w14:paraId="2D766D44"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 xml:space="preserve">d) </w:t>
      </w:r>
      <w:r w:rsidRPr="000E18A3">
        <w:rPr>
          <w:rFonts w:ascii="Palatino Linotype" w:eastAsia="Palatino Linotype" w:hAnsi="Palatino Linotype" w:cs="Palatino Linotype"/>
          <w:b/>
          <w:i/>
          <w:u w:val="single"/>
        </w:rPr>
        <w:t>Domicilio</w:t>
      </w:r>
      <w:r w:rsidRPr="000E18A3">
        <w:rPr>
          <w:rFonts w:ascii="Palatino Linotype" w:eastAsia="Palatino Linotype" w:hAnsi="Palatino Linotype" w:cs="Palatino Linotype"/>
          <w:i/>
        </w:rPr>
        <w:t>;</w:t>
      </w:r>
    </w:p>
    <w:p w14:paraId="334A95AE"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w:t>
      </w:r>
    </w:p>
    <w:p w14:paraId="4F5D1518"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 xml:space="preserve">g) </w:t>
      </w:r>
      <w:r w:rsidRPr="000E18A3">
        <w:rPr>
          <w:rFonts w:ascii="Palatino Linotype" w:eastAsia="Palatino Linotype" w:hAnsi="Palatino Linotype" w:cs="Palatino Linotype"/>
          <w:b/>
          <w:i/>
        </w:rPr>
        <w:t>Firma</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u w:val="single"/>
        </w:rPr>
        <w:t>huella digital</w:t>
      </w:r>
      <w:r w:rsidRPr="000E18A3">
        <w:rPr>
          <w:rFonts w:ascii="Palatino Linotype" w:eastAsia="Palatino Linotype" w:hAnsi="Palatino Linotype" w:cs="Palatino Linotype"/>
          <w:i/>
        </w:rPr>
        <w:t xml:space="preserve"> y </w:t>
      </w:r>
      <w:r w:rsidRPr="000E18A3">
        <w:rPr>
          <w:rFonts w:ascii="Palatino Linotype" w:eastAsia="Palatino Linotype" w:hAnsi="Palatino Linotype" w:cs="Palatino Linotype"/>
          <w:b/>
          <w:i/>
          <w:u w:val="single"/>
        </w:rPr>
        <w:t>fotografía del elector</w:t>
      </w:r>
      <w:r w:rsidRPr="000E18A3">
        <w:rPr>
          <w:rFonts w:ascii="Palatino Linotype" w:eastAsia="Palatino Linotype" w:hAnsi="Palatino Linotype" w:cs="Palatino Linotype"/>
          <w:i/>
        </w:rPr>
        <w:t>;</w:t>
      </w:r>
    </w:p>
    <w:p w14:paraId="40FF0E3D"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w:t>
      </w:r>
    </w:p>
    <w:p w14:paraId="13D20FCE"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 xml:space="preserve">i) </w:t>
      </w:r>
      <w:r w:rsidRPr="000E18A3">
        <w:rPr>
          <w:rFonts w:ascii="Palatino Linotype" w:eastAsia="Palatino Linotype" w:hAnsi="Palatino Linotype" w:cs="Palatino Linotype"/>
          <w:b/>
          <w:i/>
          <w:u w:val="single"/>
        </w:rPr>
        <w:t>Clave Única del Registro de Población</w:t>
      </w:r>
      <w:proofErr w:type="gramStart"/>
      <w:r w:rsidRPr="000E18A3">
        <w:rPr>
          <w:rFonts w:ascii="Palatino Linotype" w:eastAsia="Palatino Linotype" w:hAnsi="Palatino Linotype" w:cs="Palatino Linotype"/>
          <w:i/>
        </w:rPr>
        <w:t>. ”</w:t>
      </w:r>
      <w:proofErr w:type="gramEnd"/>
      <w:r w:rsidRPr="000E18A3">
        <w:rPr>
          <w:rFonts w:ascii="Palatino Linotype" w:eastAsia="Palatino Linotype" w:hAnsi="Palatino Linotype" w:cs="Palatino Linotype"/>
          <w:i/>
        </w:rPr>
        <w:t xml:space="preserve"> (Énfasis añadido)</w:t>
      </w:r>
    </w:p>
    <w:p w14:paraId="7CB51CE9" w14:textId="77777777" w:rsidR="00AB0D98" w:rsidRPr="000E18A3" w:rsidRDefault="00AB0D98">
      <w:pPr>
        <w:spacing w:after="0" w:line="360" w:lineRule="auto"/>
        <w:rPr>
          <w:rFonts w:ascii="Palatino Linotype" w:eastAsia="Palatino Linotype" w:hAnsi="Palatino Linotype" w:cs="Palatino Linotype"/>
          <w:sz w:val="24"/>
          <w:szCs w:val="24"/>
        </w:rPr>
      </w:pPr>
    </w:p>
    <w:p w14:paraId="4B2316FF" w14:textId="77777777" w:rsidR="00AB0D98" w:rsidRPr="000E18A3" w:rsidRDefault="00E944F7">
      <w:pPr>
        <w:spacing w:after="0" w:line="360" w:lineRule="auto"/>
        <w:jc w:val="both"/>
        <w:rPr>
          <w:sz w:val="24"/>
          <w:szCs w:val="24"/>
        </w:rPr>
      </w:pPr>
      <w:r w:rsidRPr="000E18A3">
        <w:rPr>
          <w:rFonts w:ascii="Palatino Linotype" w:eastAsia="Palatino Linotype" w:hAnsi="Palatino Linotype" w:cs="Palatino Linotype"/>
          <w:sz w:val="24"/>
          <w:szCs w:val="24"/>
        </w:rPr>
        <w:t>Así, el conocimiento de dichos datos afecta la esfera más íntima de su Titular, en razón de que su utilización indebida pueda dar origen a un riesgo grave para éste.</w:t>
      </w:r>
    </w:p>
    <w:p w14:paraId="1C36145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w:t>
      </w:r>
      <w:r w:rsidRPr="000E18A3">
        <w:rPr>
          <w:rFonts w:ascii="Palatino Linotype" w:eastAsia="Palatino Linotype" w:hAnsi="Palatino Linotype" w:cs="Palatino Linotype"/>
          <w:sz w:val="24"/>
          <w:szCs w:val="24"/>
        </w:rPr>
        <w:lastRenderedPageBreak/>
        <w:t>que el Sistema de Administración Tributaria en su catálogo de trámites contempla como identificación oficial los siguientes documentos:</w:t>
      </w:r>
    </w:p>
    <w:p w14:paraId="61B665E7"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D70402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8">
        <w:r w:rsidRPr="000E18A3">
          <w:rPr>
            <w:rFonts w:ascii="Palatino Linotype" w:eastAsia="Palatino Linotype" w:hAnsi="Palatino Linotype" w:cs="Palatino Linotype"/>
            <w:sz w:val="24"/>
            <w:szCs w:val="24"/>
            <w:u w:val="single"/>
          </w:rPr>
          <w:t>http://portalanterior.ine.mx/archivos2/portal/credencial/pdf-credencial/ABC_credenciales_ INE_2015.pdf</w:t>
        </w:r>
      </w:hyperlink>
      <w:r w:rsidRPr="000E18A3">
        <w:rPr>
          <w:rFonts w:ascii="Palatino Linotype" w:eastAsia="Palatino Linotype" w:hAnsi="Palatino Linotype" w:cs="Palatino Linotype"/>
          <w:sz w:val="24"/>
          <w:szCs w:val="24"/>
        </w:rPr>
        <w:t xml:space="preserve"> , como se muestra a continuación, en su parte medular: </w:t>
      </w:r>
    </w:p>
    <w:p w14:paraId="465943CC"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698AD514"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0E1D56A8"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6921E36"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el caso de la edad, se trata de un dato personal sensible que concierne únicamente a su titular, al corresponder a su esfera más íntima. </w:t>
      </w:r>
    </w:p>
    <w:p w14:paraId="7E9DB36A" w14:textId="77777777" w:rsidR="00AB0D98" w:rsidRPr="000E18A3" w:rsidRDefault="00AB0D98">
      <w:pPr>
        <w:spacing w:after="0" w:line="360" w:lineRule="auto"/>
        <w:jc w:val="both"/>
        <w:rPr>
          <w:sz w:val="24"/>
          <w:szCs w:val="24"/>
        </w:rPr>
      </w:pPr>
    </w:p>
    <w:p w14:paraId="02F8D363"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El código de barras bidimensional y cifrado, como fue anteriormente mencionado, se trata de un medio de almacenamiento de información, </w:t>
      </w:r>
      <w:proofErr w:type="gramStart"/>
      <w:r w:rsidRPr="000E18A3">
        <w:rPr>
          <w:rFonts w:ascii="Palatino Linotype" w:eastAsia="Palatino Linotype" w:hAnsi="Palatino Linotype" w:cs="Palatino Linotype"/>
          <w:sz w:val="24"/>
          <w:szCs w:val="24"/>
        </w:rPr>
        <w:t>que</w:t>
      </w:r>
      <w:proofErr w:type="gramEnd"/>
      <w:r w:rsidRPr="000E18A3">
        <w:rPr>
          <w:rFonts w:ascii="Palatino Linotype" w:eastAsia="Palatino Linotype" w:hAnsi="Palatino Linotype" w:cs="Palatino Linotype"/>
          <w:sz w:val="24"/>
          <w:szCs w:val="24"/>
        </w:rPr>
        <w:t xml:space="preserve"> en el caso de las credenciales para votar, contiene datos e información, utilizada para efectos </w:t>
      </w:r>
      <w:r w:rsidRPr="000E18A3">
        <w:rPr>
          <w:rFonts w:ascii="Palatino Linotype" w:eastAsia="Palatino Linotype" w:hAnsi="Palatino Linotype" w:cs="Palatino Linotype"/>
          <w:sz w:val="24"/>
          <w:szCs w:val="24"/>
        </w:rPr>
        <w:lastRenderedPageBreak/>
        <w:t>electorales, misma, que únicamente concierne a las autoridades competentes en la materia y a su propio titular.</w:t>
      </w:r>
    </w:p>
    <w:p w14:paraId="1ED22368"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EA50739"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lo que se refiere a la CURP</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C1320A0"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4D76AFA"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Lo anterior, tiene sustento en los artículos 86 y 91 de la Ley General de Población, la cual señala lo siguiente:</w:t>
      </w:r>
    </w:p>
    <w:p w14:paraId="772FABEB"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AE351ED" w14:textId="77777777" w:rsidR="00AB0D98" w:rsidRPr="000E18A3" w:rsidRDefault="00E944F7">
      <w:pPr>
        <w:spacing w:after="0" w:line="276" w:lineRule="auto"/>
        <w:ind w:left="567" w:right="851"/>
        <w:jc w:val="both"/>
      </w:pP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 xml:space="preserve">Artículo 86. </w:t>
      </w:r>
      <w:r w:rsidRPr="000E18A3">
        <w:rPr>
          <w:rFonts w:ascii="Palatino Linotype" w:eastAsia="Palatino Linotype" w:hAnsi="Palatino Linotype" w:cs="Palatino Linotype"/>
          <w:i/>
        </w:rPr>
        <w:t>El Registro Nacional de Población tiene como finalidad registrar a cada una de las personas que integran la población del país, con los datos que permitan certificar y acreditar fehacientemente su identidad.</w:t>
      </w:r>
    </w:p>
    <w:p w14:paraId="7DCADF2A" w14:textId="77777777" w:rsidR="00AB0D98" w:rsidRPr="000E18A3" w:rsidRDefault="00E944F7">
      <w:pPr>
        <w:spacing w:after="0" w:line="276" w:lineRule="auto"/>
        <w:ind w:left="567" w:right="851"/>
        <w:jc w:val="both"/>
        <w:rPr>
          <w:rFonts w:ascii="Palatino Linotype" w:eastAsia="Palatino Linotype" w:hAnsi="Palatino Linotype" w:cs="Palatino Linotype"/>
          <w:i/>
        </w:rPr>
      </w:pPr>
      <w:r w:rsidRPr="000E18A3">
        <w:rPr>
          <w:rFonts w:ascii="Palatino Linotype" w:eastAsia="Palatino Linotype" w:hAnsi="Palatino Linotype" w:cs="Palatino Linotype"/>
          <w:b/>
          <w:i/>
        </w:rPr>
        <w:t>Artículo 91. Al incorporar a una persona en el Registro Nacional de Población</w:t>
      </w:r>
      <w:r w:rsidRPr="000E18A3">
        <w:rPr>
          <w:rFonts w:ascii="Palatino Linotype" w:eastAsia="Palatino Linotype" w:hAnsi="Palatino Linotype" w:cs="Palatino Linotype"/>
          <w:i/>
        </w:rPr>
        <w:t xml:space="preserve">, se le asignará una clave </w:t>
      </w:r>
      <w:r w:rsidRPr="000E18A3">
        <w:rPr>
          <w:rFonts w:ascii="Palatino Linotype" w:eastAsia="Palatino Linotype" w:hAnsi="Palatino Linotype" w:cs="Palatino Linotype"/>
          <w:b/>
          <w:i/>
        </w:rPr>
        <w:t>que se denominará Clave Única de Registro de Población</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rPr>
        <w:t>Esta servirá para</w:t>
      </w:r>
      <w:r w:rsidRPr="000E18A3">
        <w:rPr>
          <w:rFonts w:ascii="Palatino Linotype" w:eastAsia="Palatino Linotype" w:hAnsi="Palatino Linotype" w:cs="Palatino Linotype"/>
          <w:i/>
        </w:rPr>
        <w:t xml:space="preserve"> registrarla e </w:t>
      </w:r>
      <w:r w:rsidRPr="000E18A3">
        <w:rPr>
          <w:rFonts w:ascii="Palatino Linotype" w:eastAsia="Palatino Linotype" w:hAnsi="Palatino Linotype" w:cs="Palatino Linotype"/>
          <w:b/>
          <w:i/>
        </w:rPr>
        <w:t>identificarla en forma individual</w:t>
      </w:r>
      <w:proofErr w:type="gramStart"/>
      <w:r w:rsidRPr="000E18A3">
        <w:rPr>
          <w:rFonts w:ascii="Palatino Linotype" w:eastAsia="Palatino Linotype" w:hAnsi="Palatino Linotype" w:cs="Palatino Linotype"/>
          <w:i/>
        </w:rPr>
        <w:t>.”(</w:t>
      </w:r>
      <w:proofErr w:type="gramEnd"/>
      <w:r w:rsidRPr="000E18A3">
        <w:rPr>
          <w:rFonts w:ascii="Palatino Linotype" w:eastAsia="Palatino Linotype" w:hAnsi="Palatino Linotype" w:cs="Palatino Linotype"/>
          <w:i/>
        </w:rPr>
        <w:t>Énfasis añadido)</w:t>
      </w:r>
    </w:p>
    <w:p w14:paraId="6AE04804" w14:textId="77777777" w:rsidR="00AB0D98" w:rsidRPr="000E18A3" w:rsidRDefault="00AB0D98">
      <w:pPr>
        <w:spacing w:after="0" w:line="360" w:lineRule="auto"/>
        <w:ind w:left="567" w:right="851"/>
        <w:jc w:val="both"/>
        <w:rPr>
          <w:rFonts w:ascii="Palatino Linotype" w:eastAsia="Palatino Linotype" w:hAnsi="Palatino Linotype" w:cs="Palatino Linotype"/>
          <w:sz w:val="24"/>
          <w:szCs w:val="24"/>
        </w:rPr>
      </w:pPr>
    </w:p>
    <w:p w14:paraId="3937A1BD"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w:t>
      </w:r>
      <w:r w:rsidRPr="000E18A3">
        <w:rPr>
          <w:rFonts w:ascii="Palatino Linotype" w:eastAsia="Palatino Linotype" w:hAnsi="Palatino Linotype" w:cs="Palatino Linotype"/>
          <w:sz w:val="24"/>
          <w:szCs w:val="24"/>
        </w:rPr>
        <w:lastRenderedPageBreak/>
        <w:t>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264492DF" w14:textId="77777777" w:rsidR="00AB0D98" w:rsidRPr="000E18A3" w:rsidRDefault="00AB0D98">
      <w:pPr>
        <w:spacing w:after="0" w:line="360" w:lineRule="auto"/>
        <w:jc w:val="both"/>
        <w:rPr>
          <w:sz w:val="24"/>
          <w:szCs w:val="24"/>
        </w:rPr>
      </w:pPr>
    </w:p>
    <w:p w14:paraId="2FC34C3B"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Al respecto, el INAI, a través del Criterio 18/17 de la Segunda Época, señala literalmente lo siguiente:</w:t>
      </w:r>
    </w:p>
    <w:p w14:paraId="72503764" w14:textId="77777777" w:rsidR="00AB0D98" w:rsidRPr="000E18A3" w:rsidRDefault="00AB0D98">
      <w:pPr>
        <w:spacing w:after="0" w:line="360" w:lineRule="auto"/>
        <w:jc w:val="both"/>
        <w:rPr>
          <w:sz w:val="24"/>
          <w:szCs w:val="24"/>
        </w:rPr>
      </w:pPr>
    </w:p>
    <w:p w14:paraId="0A69EDDE"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w:t>
      </w:r>
      <w:r w:rsidRPr="000E18A3">
        <w:rPr>
          <w:rFonts w:ascii="Palatino Linotype" w:eastAsia="Palatino Linotype" w:hAnsi="Palatino Linotype" w:cs="Palatino Linotype"/>
          <w:b/>
          <w:i/>
        </w:rPr>
        <w:t>Clave Única de Registro de Población (CURP).</w:t>
      </w:r>
      <w:r w:rsidRPr="000E18A3">
        <w:rPr>
          <w:rFonts w:ascii="Palatino Linotype" w:eastAsia="Palatino Linotype" w:hAnsi="Palatino Linotype" w:cs="Palatino Linotype"/>
          <w:i/>
        </w:rPr>
        <w:t xml:space="preserve"> </w:t>
      </w:r>
      <w:r w:rsidRPr="000E18A3">
        <w:rPr>
          <w:rFonts w:ascii="Palatino Linotype" w:eastAsia="Palatino Linotype" w:hAnsi="Palatino Linotype" w:cs="Palatino Linotype"/>
          <w:b/>
          <w:i/>
        </w:rPr>
        <w:t>La Clave Única de Registro de Población se integra por datos personales que sólo conciernen al particular titular</w:t>
      </w:r>
      <w:r w:rsidRPr="000E18A3">
        <w:rPr>
          <w:rFonts w:ascii="Palatino Linotype" w:eastAsia="Palatino Linotype" w:hAnsi="Palatino Linotype" w:cs="Palatino Linotype"/>
          <w:i/>
        </w:rPr>
        <w:t xml:space="preserve"> de la misma, </w:t>
      </w:r>
      <w:r w:rsidRPr="000E18A3">
        <w:rPr>
          <w:rFonts w:ascii="Palatino Linotype" w:eastAsia="Palatino Linotype" w:hAnsi="Palatino Linotype" w:cs="Palatino Linotype"/>
          <w:b/>
          <w:i/>
        </w:rPr>
        <w:t>como lo son su nombre, apellidos, fecha de nacimiento, lugar de nacimiento y sexo</w:t>
      </w:r>
      <w:r w:rsidRPr="000E18A3">
        <w:rPr>
          <w:rFonts w:ascii="Palatino Linotype" w:eastAsia="Palatino Linotype" w:hAnsi="Palatino Linotype" w:cs="Palatino Linotype"/>
          <w:i/>
        </w:rPr>
        <w:t xml:space="preserve">. Dichos datos, constituyen información que distingue plenamente a una persona física del resto de los habitantes del país, </w:t>
      </w:r>
      <w:r w:rsidRPr="000E18A3">
        <w:rPr>
          <w:rFonts w:ascii="Palatino Linotype" w:eastAsia="Palatino Linotype" w:hAnsi="Palatino Linotype" w:cs="Palatino Linotype"/>
          <w:b/>
          <w:i/>
        </w:rPr>
        <w:t>por lo que la CURP está considerada como información confidencial</w:t>
      </w:r>
      <w:r w:rsidRPr="000E18A3">
        <w:rPr>
          <w:rFonts w:ascii="Palatino Linotype" w:eastAsia="Palatino Linotype" w:hAnsi="Palatino Linotype" w:cs="Palatino Linotype"/>
          <w:i/>
        </w:rPr>
        <w:t>. </w:t>
      </w:r>
    </w:p>
    <w:p w14:paraId="1CD71EEA"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Resoluciones:</w:t>
      </w:r>
    </w:p>
    <w:p w14:paraId="03C9B281"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 xml:space="preserve">• RRA 3995/16. Secretaría de la Defensa Nacional. 1 de febrero de 2017. Por unanimidad. Comisionado Ponente </w:t>
      </w:r>
      <w:proofErr w:type="spellStart"/>
      <w:r w:rsidRPr="000E18A3">
        <w:rPr>
          <w:rFonts w:ascii="Palatino Linotype" w:eastAsia="Palatino Linotype" w:hAnsi="Palatino Linotype" w:cs="Palatino Linotype"/>
          <w:i/>
        </w:rPr>
        <w:t>Rosendoevgueni</w:t>
      </w:r>
      <w:proofErr w:type="spellEnd"/>
      <w:r w:rsidRPr="000E18A3">
        <w:rPr>
          <w:rFonts w:ascii="Palatino Linotype" w:eastAsia="Palatino Linotype" w:hAnsi="Palatino Linotype" w:cs="Palatino Linotype"/>
          <w:i/>
        </w:rPr>
        <w:t xml:space="preserve"> Monterrey </w:t>
      </w:r>
      <w:proofErr w:type="spellStart"/>
      <w:r w:rsidRPr="000E18A3">
        <w:rPr>
          <w:rFonts w:ascii="Palatino Linotype" w:eastAsia="Palatino Linotype" w:hAnsi="Palatino Linotype" w:cs="Palatino Linotype"/>
          <w:i/>
        </w:rPr>
        <w:t>Chepov</w:t>
      </w:r>
      <w:proofErr w:type="spellEnd"/>
      <w:r w:rsidRPr="000E18A3">
        <w:rPr>
          <w:rFonts w:ascii="Palatino Linotype" w:eastAsia="Palatino Linotype" w:hAnsi="Palatino Linotype" w:cs="Palatino Linotype"/>
          <w:i/>
        </w:rPr>
        <w:t>.</w:t>
      </w:r>
    </w:p>
    <w:p w14:paraId="6BD1BAE1" w14:textId="77777777" w:rsidR="00AB0D98" w:rsidRPr="000E18A3" w:rsidRDefault="00E944F7">
      <w:pPr>
        <w:spacing w:after="0" w:line="276" w:lineRule="auto"/>
        <w:ind w:left="851" w:right="851"/>
        <w:jc w:val="both"/>
      </w:pPr>
      <w:r w:rsidRPr="000E18A3">
        <w:rPr>
          <w:rFonts w:ascii="Palatino Linotype" w:eastAsia="Palatino Linotype" w:hAnsi="Palatino Linotype" w:cs="Palatino Linotype"/>
          <w:i/>
        </w:rPr>
        <w:t>• RRA 0937/17. Senado de la República. 15 de marzo de 2017. Por unanimidad. Comisionada Ponente Ximena Puente de la Mora. </w:t>
      </w:r>
    </w:p>
    <w:p w14:paraId="67FB3688" w14:textId="77777777" w:rsidR="00AB0D98" w:rsidRPr="000E18A3" w:rsidRDefault="00E944F7">
      <w:pP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i/>
        </w:rPr>
        <w:t>• RRA 0478/17. Secretaría de Relaciones Exteriores. 26 de abril de 2017. Por unanimidad. Comisionada Ponente Areli Cano Guadiana.” (Énfasis añadido)</w:t>
      </w:r>
    </w:p>
    <w:p w14:paraId="2B67F5B8" w14:textId="77777777" w:rsidR="00AB0D98" w:rsidRPr="000E18A3" w:rsidRDefault="00AB0D98">
      <w:pPr>
        <w:spacing w:line="276" w:lineRule="auto"/>
        <w:ind w:left="851" w:right="851"/>
        <w:jc w:val="both"/>
        <w:rPr>
          <w:rFonts w:ascii="Palatino Linotype" w:eastAsia="Palatino Linotype" w:hAnsi="Palatino Linotype" w:cs="Palatino Linotype"/>
          <w:sz w:val="24"/>
          <w:szCs w:val="24"/>
        </w:rPr>
      </w:pPr>
    </w:p>
    <w:p w14:paraId="4E4A666A" w14:textId="77777777" w:rsidR="00AB0D98" w:rsidRPr="000E18A3" w:rsidRDefault="00E944F7">
      <w:pPr>
        <w:tabs>
          <w:tab w:val="left" w:pos="6570"/>
        </w:tabs>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De lo anterior, se desprende que la CURP se encuentra vinculada al nombre y apellidos de la persona, permitiendo identificar fecha y lugar de nacimiento, así como el sexo; datos que únicamente le atañen a su titular, por lo que, ésta constituye </w:t>
      </w:r>
      <w:r w:rsidRPr="000E18A3">
        <w:rPr>
          <w:rFonts w:ascii="Palatino Linotype" w:eastAsia="Palatino Linotype" w:hAnsi="Palatino Linotype" w:cs="Palatino Linotype"/>
          <w:sz w:val="24"/>
          <w:szCs w:val="24"/>
        </w:rPr>
        <w:lastRenderedPageBreak/>
        <w:t>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747D0CB" w14:textId="77777777" w:rsidR="00AB0D98" w:rsidRPr="000E18A3" w:rsidRDefault="00AB0D98">
      <w:pPr>
        <w:tabs>
          <w:tab w:val="left" w:pos="6570"/>
        </w:tabs>
        <w:spacing w:after="0" w:line="360" w:lineRule="auto"/>
        <w:jc w:val="both"/>
        <w:rPr>
          <w:sz w:val="24"/>
          <w:szCs w:val="24"/>
        </w:rPr>
      </w:pPr>
    </w:p>
    <w:p w14:paraId="3921BEE2"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5EA4B459" w14:textId="77777777" w:rsidR="00AB0D98" w:rsidRPr="000E18A3" w:rsidRDefault="00AB0D98">
      <w:pPr>
        <w:spacing w:after="0" w:line="360" w:lineRule="auto"/>
        <w:jc w:val="both"/>
        <w:rPr>
          <w:sz w:val="24"/>
          <w:szCs w:val="24"/>
        </w:rPr>
      </w:pPr>
    </w:p>
    <w:p w14:paraId="6FA7A8C6"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lo que la clasificación del domicilio particular, por tratarse de un dato personal confidencial, en términos del artículo 143, fracción I de la Ley de Transparencia y Acceso a la Información Pública del Estado de México y Municipios. </w:t>
      </w:r>
    </w:p>
    <w:p w14:paraId="0E02AA18" w14:textId="77777777" w:rsidR="00AB0D98" w:rsidRPr="000E18A3" w:rsidRDefault="00AB0D98">
      <w:pPr>
        <w:spacing w:after="0" w:line="360" w:lineRule="auto"/>
        <w:jc w:val="both"/>
        <w:rPr>
          <w:sz w:val="24"/>
          <w:szCs w:val="24"/>
        </w:rPr>
      </w:pPr>
    </w:p>
    <w:p w14:paraId="17441F6E" w14:textId="77777777" w:rsidR="00AB0D98" w:rsidRPr="000E18A3" w:rsidRDefault="00E944F7">
      <w:pPr>
        <w:spacing w:after="0" w:line="360" w:lineRule="auto"/>
        <w:jc w:val="both"/>
        <w:rPr>
          <w:sz w:val="24"/>
          <w:szCs w:val="24"/>
        </w:rPr>
      </w:pPr>
      <w:r w:rsidRPr="000E18A3">
        <w:rPr>
          <w:rFonts w:ascii="Palatino Linotype" w:eastAsia="Palatino Linotype" w:hAnsi="Palatino Linotype" w:cs="Palatino Linotype"/>
          <w:sz w:val="24"/>
          <w:szCs w:val="24"/>
        </w:rPr>
        <w:t xml:space="preserve">En lo que corresponde a la huella dactilar, la Academia Mexicana de la Lengua y el Diccionario de la Real Academia de la Lengua Española, establecen que la huella </w:t>
      </w:r>
      <w:r w:rsidRPr="000E18A3">
        <w:rPr>
          <w:rFonts w:ascii="Palatino Linotype" w:eastAsia="Palatino Linotype" w:hAnsi="Palatino Linotype" w:cs="Palatino Linotype"/>
          <w:sz w:val="24"/>
          <w:szCs w:val="24"/>
        </w:rPr>
        <w:lastRenderedPageBreak/>
        <w:t xml:space="preserve">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9">
        <w:r w:rsidRPr="000E18A3">
          <w:rPr>
            <w:rFonts w:ascii="Palatino Linotype" w:eastAsia="Palatino Linotype" w:hAnsi="Palatino Linotype" w:cs="Palatino Linotype"/>
            <w:sz w:val="24"/>
            <w:szCs w:val="24"/>
            <w:u w:val="single"/>
          </w:rPr>
          <w:t>https://docplayer.es/5455342-Nuevas-tecnologias-biometricas-instituto-nacional-de-ciencias-penales-procuraduria-general-de-la-republica-version-1-0.html</w:t>
        </w:r>
      </w:hyperlink>
      <w:r w:rsidRPr="000E18A3">
        <w:rPr>
          <w:rFonts w:ascii="Palatino Linotype" w:eastAsia="Palatino Linotype" w:hAnsi="Palatino Linotype" w:cs="Palatino Linotype"/>
          <w:sz w:val="24"/>
          <w:szCs w:val="24"/>
        </w:rPr>
        <w:t>, se indica que existen tres principios fundamentales para la identificación de las huellas dactilares, a saber: </w:t>
      </w:r>
    </w:p>
    <w:p w14:paraId="2B768818"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7D4FBEFB" w14:textId="77777777" w:rsidR="00AB0D98" w:rsidRPr="000E18A3" w:rsidRDefault="00E944F7">
      <w:pPr>
        <w:numPr>
          <w:ilvl w:val="0"/>
          <w:numId w:val="7"/>
        </w:numPr>
        <w:spacing w:after="0" w:line="360" w:lineRule="auto"/>
        <w:ind w:right="474"/>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Primer principio. La huella es una característica individual. No hay dos huellas con características en las crestas que sean idénticas. </w:t>
      </w:r>
    </w:p>
    <w:p w14:paraId="775EA136" w14:textId="77777777" w:rsidR="00AB0D98" w:rsidRPr="000E18A3" w:rsidRDefault="00E944F7">
      <w:pPr>
        <w:numPr>
          <w:ilvl w:val="0"/>
          <w:numId w:val="7"/>
        </w:numPr>
        <w:spacing w:after="0" w:line="360" w:lineRule="auto"/>
        <w:ind w:right="474"/>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Segundo principio. Una huella permanece sin cambios durante toda la vida de un individuo (sin embargo, puede adquirir cicatrices o cualquier otra deformación que impida su identificación clara). </w:t>
      </w:r>
    </w:p>
    <w:p w14:paraId="045B828A" w14:textId="77777777" w:rsidR="00AB0D98" w:rsidRPr="000E18A3" w:rsidRDefault="00E944F7">
      <w:pPr>
        <w:numPr>
          <w:ilvl w:val="0"/>
          <w:numId w:val="7"/>
        </w:numPr>
        <w:spacing w:after="0" w:line="360" w:lineRule="auto"/>
        <w:ind w:right="474"/>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Tercer principio. Las huellas tienen patrones que se forman con sus crestas, lo que hace posible clasificarlas sistemáticamente para agilizar las búsquedas. </w:t>
      </w:r>
    </w:p>
    <w:p w14:paraId="45ABAD97" w14:textId="77777777" w:rsidR="00AB0D98" w:rsidRPr="000E18A3" w:rsidRDefault="00AB0D98">
      <w:pPr>
        <w:spacing w:after="0" w:line="360" w:lineRule="auto"/>
        <w:rPr>
          <w:rFonts w:ascii="Palatino Linotype" w:eastAsia="Palatino Linotype" w:hAnsi="Palatino Linotype" w:cs="Palatino Linotype"/>
          <w:sz w:val="24"/>
          <w:szCs w:val="24"/>
        </w:rPr>
      </w:pPr>
    </w:p>
    <w:p w14:paraId="662F624E" w14:textId="77777777" w:rsidR="00AB0D98" w:rsidRPr="000E18A3" w:rsidRDefault="00E944F7">
      <w:pPr>
        <w:spacing w:after="0" w:line="360" w:lineRule="auto"/>
        <w:jc w:val="both"/>
        <w:rPr>
          <w:sz w:val="24"/>
          <w:szCs w:val="24"/>
        </w:rPr>
      </w:pPr>
      <w:r w:rsidRPr="000E18A3">
        <w:rPr>
          <w:rFonts w:ascii="Palatino Linotype" w:eastAsia="Palatino Linotype" w:hAnsi="Palatino Linotype" w:cs="Palatino Linotype"/>
          <w:sz w:val="24"/>
          <w:szCs w:val="24"/>
        </w:rPr>
        <w:t xml:space="preserve">Conforme a lo expuesto, es indubitable que la huella dactilar es una característica propia de un individuo que permite su reconocimiento. Por tanto, sin duda, se considera que es una característica individual que se utiliza como medio de </w:t>
      </w:r>
      <w:r w:rsidRPr="000E18A3">
        <w:rPr>
          <w:rFonts w:ascii="Palatino Linotype" w:eastAsia="Palatino Linotype" w:hAnsi="Palatino Linotype" w:cs="Palatino Linotype"/>
          <w:sz w:val="24"/>
          <w:szCs w:val="24"/>
        </w:rPr>
        <w:lastRenderedPageBreak/>
        <w:t>identificación de las personas y, por tanto, constituye un dato personal, de conformidad con lo establecido en el artículo 143, fracción I de la Ley de la materia.</w:t>
      </w:r>
    </w:p>
    <w:p w14:paraId="42DB2C1E" w14:textId="77777777" w:rsidR="00AB0D98" w:rsidRPr="000E18A3" w:rsidRDefault="00AB0D98">
      <w:pPr>
        <w:spacing w:after="0" w:line="360" w:lineRule="auto"/>
        <w:rPr>
          <w:rFonts w:ascii="Palatino Linotype" w:eastAsia="Palatino Linotype" w:hAnsi="Palatino Linotype" w:cs="Palatino Linotype"/>
          <w:sz w:val="24"/>
          <w:szCs w:val="24"/>
        </w:rPr>
      </w:pPr>
    </w:p>
    <w:p w14:paraId="6D38564F" w14:textId="77777777" w:rsidR="00AB0D98" w:rsidRPr="000E18A3" w:rsidRDefault="00E944F7">
      <w:pPr>
        <w:spacing w:after="0" w:line="360" w:lineRule="auto"/>
        <w:jc w:val="both"/>
        <w:rPr>
          <w:sz w:val="24"/>
          <w:szCs w:val="24"/>
        </w:rPr>
      </w:pPr>
      <w:r w:rsidRPr="000E18A3">
        <w:rPr>
          <w:rFonts w:ascii="Palatino Linotype" w:eastAsia="Palatino Linotype" w:hAnsi="Palatino Linotype" w:cs="Palatino Linotype"/>
          <w:sz w:val="24"/>
          <w:szCs w:val="24"/>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2554059E" w14:textId="77777777" w:rsidR="00AB0D98" w:rsidRPr="000E18A3" w:rsidRDefault="00AB0D98">
      <w:pPr>
        <w:spacing w:after="0" w:line="360" w:lineRule="auto"/>
        <w:rPr>
          <w:rFonts w:ascii="Palatino Linotype" w:eastAsia="Palatino Linotype" w:hAnsi="Palatino Linotype" w:cs="Palatino Linotype"/>
          <w:sz w:val="24"/>
          <w:szCs w:val="24"/>
        </w:rPr>
      </w:pPr>
    </w:p>
    <w:p w14:paraId="23684E0D" w14:textId="77777777" w:rsidR="00AB0D98" w:rsidRPr="000E18A3" w:rsidRDefault="00E944F7">
      <w:pPr>
        <w:spacing w:after="0" w:line="276" w:lineRule="auto"/>
        <w:ind w:left="567" w:right="567"/>
        <w:jc w:val="both"/>
        <w:rPr>
          <w:rFonts w:ascii="Palatino Linotype" w:eastAsia="Palatino Linotype" w:hAnsi="Palatino Linotype" w:cs="Palatino Linotype"/>
          <w:i/>
        </w:rPr>
      </w:pPr>
      <w:r w:rsidRPr="000E18A3">
        <w:rPr>
          <w:rFonts w:ascii="Palatino Linotype" w:eastAsia="Palatino Linotype" w:hAnsi="Palatino Linotype" w:cs="Palatino Linotype"/>
          <w:b/>
          <w:i/>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0E18A3">
        <w:rPr>
          <w:rFonts w:ascii="Palatino Linotype" w:eastAsia="Palatino Linotype" w:hAnsi="Palatino Linotype" w:cs="Palatino Linotype"/>
          <w:i/>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w:t>
      </w:r>
      <w:proofErr w:type="gramStart"/>
      <w:r w:rsidRPr="000E18A3">
        <w:rPr>
          <w:rFonts w:ascii="Palatino Linotype" w:eastAsia="Palatino Linotype" w:hAnsi="Palatino Linotype" w:cs="Palatino Linotype"/>
          <w:i/>
        </w:rPr>
        <w:t>como</w:t>
      </w:r>
      <w:proofErr w:type="gramEnd"/>
      <w:r w:rsidRPr="000E18A3">
        <w:rPr>
          <w:rFonts w:ascii="Palatino Linotype" w:eastAsia="Palatino Linotype" w:hAnsi="Palatino Linotype" w:cs="Palatino Linotype"/>
          <w:i/>
        </w:rPr>
        <w:t xml:space="preserve">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w:t>
      </w:r>
      <w:r w:rsidRPr="000E18A3">
        <w:rPr>
          <w:rFonts w:ascii="Palatino Linotype" w:eastAsia="Palatino Linotype" w:hAnsi="Palatino Linotype" w:cs="Palatino Linotype"/>
          <w:i/>
        </w:rPr>
        <w:lastRenderedPageBreak/>
        <w:t>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7386FF6B" w14:textId="77777777" w:rsidR="00AB0D98" w:rsidRPr="000E18A3" w:rsidRDefault="00AB0D98">
      <w:pPr>
        <w:spacing w:after="0" w:line="360" w:lineRule="auto"/>
        <w:ind w:left="567" w:right="567"/>
        <w:jc w:val="both"/>
        <w:rPr>
          <w:rFonts w:ascii="Palatino Linotype" w:eastAsia="Palatino Linotype" w:hAnsi="Palatino Linotype" w:cs="Palatino Linotype"/>
          <w:sz w:val="28"/>
          <w:szCs w:val="28"/>
        </w:rPr>
      </w:pPr>
    </w:p>
    <w:p w14:paraId="1D019CA4" w14:textId="77777777" w:rsidR="00AB0D98" w:rsidRPr="000E18A3" w:rsidRDefault="00E944F7">
      <w:pPr>
        <w:spacing w:after="0" w:line="360" w:lineRule="auto"/>
        <w:jc w:val="both"/>
        <w:rPr>
          <w:sz w:val="24"/>
          <w:szCs w:val="24"/>
        </w:rPr>
      </w:pPr>
      <w:r w:rsidRPr="000E18A3">
        <w:rPr>
          <w:rFonts w:ascii="Palatino Linotype" w:eastAsia="Palatino Linotype" w:hAnsi="Palatino Linotype" w:cs="Palatino Linotype"/>
          <w:sz w:val="24"/>
          <w:szCs w:val="24"/>
        </w:rPr>
        <w:t xml:space="preserve"> En la actualidad existen sistemas denominados AFIS por sus siglas en inglés </w:t>
      </w:r>
      <w:proofErr w:type="spellStart"/>
      <w:r w:rsidRPr="000E18A3">
        <w:rPr>
          <w:rFonts w:ascii="Palatino Linotype" w:eastAsia="Palatino Linotype" w:hAnsi="Palatino Linotype" w:cs="Palatino Linotype"/>
          <w:i/>
          <w:sz w:val="24"/>
          <w:szCs w:val="24"/>
        </w:rPr>
        <w:t>Automated</w:t>
      </w:r>
      <w:proofErr w:type="spellEnd"/>
      <w:r w:rsidRPr="000E18A3">
        <w:rPr>
          <w:rFonts w:ascii="Palatino Linotype" w:eastAsia="Palatino Linotype" w:hAnsi="Palatino Linotype" w:cs="Palatino Linotype"/>
          <w:i/>
          <w:sz w:val="24"/>
          <w:szCs w:val="24"/>
        </w:rPr>
        <w:t xml:space="preserve"> </w:t>
      </w:r>
      <w:proofErr w:type="spellStart"/>
      <w:r w:rsidRPr="000E18A3">
        <w:rPr>
          <w:rFonts w:ascii="Palatino Linotype" w:eastAsia="Palatino Linotype" w:hAnsi="Palatino Linotype" w:cs="Palatino Linotype"/>
          <w:i/>
          <w:sz w:val="24"/>
          <w:szCs w:val="24"/>
        </w:rPr>
        <w:t>Fingerprint</w:t>
      </w:r>
      <w:proofErr w:type="spellEnd"/>
      <w:r w:rsidRPr="000E18A3">
        <w:rPr>
          <w:rFonts w:ascii="Palatino Linotype" w:eastAsia="Palatino Linotype" w:hAnsi="Palatino Linotype" w:cs="Palatino Linotype"/>
          <w:i/>
          <w:sz w:val="24"/>
          <w:szCs w:val="24"/>
        </w:rPr>
        <w:t xml:space="preserve"> </w:t>
      </w:r>
      <w:proofErr w:type="spellStart"/>
      <w:r w:rsidRPr="000E18A3">
        <w:rPr>
          <w:rFonts w:ascii="Palatino Linotype" w:eastAsia="Palatino Linotype" w:hAnsi="Palatino Linotype" w:cs="Palatino Linotype"/>
          <w:i/>
          <w:sz w:val="24"/>
          <w:szCs w:val="24"/>
        </w:rPr>
        <w:t>Identification</w:t>
      </w:r>
      <w:proofErr w:type="spellEnd"/>
      <w:r w:rsidRPr="000E18A3">
        <w:rPr>
          <w:rFonts w:ascii="Palatino Linotype" w:eastAsia="Palatino Linotype" w:hAnsi="Palatino Linotype" w:cs="Palatino Linotype"/>
          <w:i/>
          <w:sz w:val="24"/>
          <w:szCs w:val="24"/>
        </w:rPr>
        <w:t xml:space="preserve"> </w:t>
      </w:r>
      <w:proofErr w:type="spellStart"/>
      <w:r w:rsidRPr="000E18A3">
        <w:rPr>
          <w:rFonts w:ascii="Palatino Linotype" w:eastAsia="Palatino Linotype" w:hAnsi="Palatino Linotype" w:cs="Palatino Linotype"/>
          <w:i/>
          <w:sz w:val="24"/>
          <w:szCs w:val="24"/>
        </w:rPr>
        <w:t>System</w:t>
      </w:r>
      <w:proofErr w:type="spellEnd"/>
      <w:r w:rsidRPr="000E18A3">
        <w:rPr>
          <w:rFonts w:ascii="Palatino Linotype" w:eastAsia="Palatino Linotype" w:hAnsi="Palatino Linotype" w:cs="Palatino Linotype"/>
          <w:sz w:val="24"/>
          <w:szCs w:val="24"/>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61E3014A" w14:textId="77777777" w:rsidR="00AB0D98" w:rsidRPr="000E18A3" w:rsidRDefault="00AB0D98">
      <w:pPr>
        <w:spacing w:after="0" w:line="360" w:lineRule="auto"/>
        <w:rPr>
          <w:sz w:val="24"/>
          <w:szCs w:val="24"/>
        </w:rPr>
      </w:pPr>
    </w:p>
    <w:p w14:paraId="5CB5592F" w14:textId="77777777" w:rsidR="00AB0D98" w:rsidRPr="000E18A3" w:rsidRDefault="00E944F7">
      <w:pPr>
        <w:spacing w:after="0" w:line="360" w:lineRule="auto"/>
        <w:jc w:val="both"/>
        <w:rPr>
          <w:sz w:val="24"/>
          <w:szCs w:val="24"/>
        </w:rPr>
      </w:pPr>
      <w:r w:rsidRPr="000E18A3">
        <w:rPr>
          <w:rFonts w:ascii="Palatino Linotype" w:eastAsia="Palatino Linotype" w:hAnsi="Palatino Linotype" w:cs="Palatino Linotype"/>
          <w:sz w:val="24"/>
          <w:szCs w:val="24"/>
        </w:rPr>
        <w:t xml:space="preserve">En términos de la calidad de la imagen se debe observar que en la NOM-151-SCFI-2016 publicada en el Diario Oficial de la Federación el 30 de </w:t>
      </w:r>
      <w:proofErr w:type="gramStart"/>
      <w:r w:rsidRPr="000E18A3">
        <w:rPr>
          <w:rFonts w:ascii="Palatino Linotype" w:eastAsia="Palatino Linotype" w:hAnsi="Palatino Linotype" w:cs="Palatino Linotype"/>
          <w:sz w:val="24"/>
          <w:szCs w:val="24"/>
        </w:rPr>
        <w:t>Marzo</w:t>
      </w:r>
      <w:proofErr w:type="gramEnd"/>
      <w:r w:rsidRPr="000E18A3">
        <w:rPr>
          <w:rFonts w:ascii="Palatino Linotype" w:eastAsia="Palatino Linotype" w:hAnsi="Palatino Linotype" w:cs="Palatino Linotype"/>
          <w:sz w:val="24"/>
          <w:szCs w:val="24"/>
        </w:rPr>
        <w:t xml:space="preserve">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w:t>
      </w:r>
      <w:r w:rsidRPr="000E18A3">
        <w:rPr>
          <w:rFonts w:ascii="Palatino Linotype" w:eastAsia="Palatino Linotype" w:hAnsi="Palatino Linotype" w:cs="Palatino Linotype"/>
          <w:sz w:val="24"/>
          <w:szCs w:val="24"/>
        </w:rPr>
        <w:lastRenderedPageBreak/>
        <w:t>poder ser puesta a disposición de un sistema AFIS por medio de escáneres y multifuncionales de venta al público general de diversas marcas y que pueden proporcionar una resolución de hasta 600 pixeles por pulgada. </w:t>
      </w:r>
    </w:p>
    <w:p w14:paraId="342B5018" w14:textId="77777777" w:rsidR="00AB0D98" w:rsidRPr="000E18A3" w:rsidRDefault="00AB0D98">
      <w:pPr>
        <w:spacing w:after="0" w:line="360" w:lineRule="auto"/>
        <w:rPr>
          <w:rFonts w:ascii="Palatino Linotype" w:eastAsia="Palatino Linotype" w:hAnsi="Palatino Linotype" w:cs="Palatino Linotype"/>
          <w:sz w:val="24"/>
          <w:szCs w:val="24"/>
        </w:rPr>
      </w:pPr>
    </w:p>
    <w:p w14:paraId="7CAC7165"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7E87373C"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245EE944"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6827A1E7"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537B10B4"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Ahora bien, con relación a las observaciones de las actas de entrega-recepción que serán materia de cumplimiento, se destaca que para el caso de que las observaciones se encuentren pendientes de solventar a la fecha de la solicitud o bien aquellas de las que derive algún procedimiento administrativo en trámite, el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deberá emitir el Acuerdo del Comité de Transparencia, donde clasifique de manera </w:t>
      </w:r>
      <w:r w:rsidRPr="000E18A3">
        <w:rPr>
          <w:rFonts w:ascii="Palatino Linotype" w:eastAsia="Palatino Linotype" w:hAnsi="Palatino Linotype" w:cs="Palatino Linotype"/>
          <w:sz w:val="24"/>
          <w:szCs w:val="24"/>
        </w:rPr>
        <w:lastRenderedPageBreak/>
        <w:t>fundada y motivada estos soportes documentales, ello en términos de los artículos 49, fracciones II y VIII, 140 fracción VIII, así como 141 de la Ley de Transparencia y Acceso a la Información Pública del Estado de México y Municipios.</w:t>
      </w:r>
    </w:p>
    <w:p w14:paraId="333CB7E9" w14:textId="77777777" w:rsidR="00AB0D98" w:rsidRPr="000E18A3" w:rsidRDefault="00AB0D98">
      <w:pPr>
        <w:spacing w:after="0" w:line="360" w:lineRule="auto"/>
        <w:rPr>
          <w:rFonts w:ascii="Palatino Linotype" w:eastAsia="Palatino Linotype" w:hAnsi="Palatino Linotype" w:cs="Palatino Linotype"/>
          <w:sz w:val="24"/>
          <w:szCs w:val="24"/>
        </w:rPr>
      </w:pPr>
    </w:p>
    <w:p w14:paraId="3B683C69" w14:textId="77777777" w:rsidR="00AB0D98" w:rsidRPr="000E18A3" w:rsidRDefault="00E944F7">
      <w:pPr>
        <w:pBdr>
          <w:top w:val="nil"/>
          <w:left w:val="nil"/>
          <w:bottom w:val="nil"/>
          <w:right w:val="nil"/>
          <w:between w:val="nil"/>
        </w:pBdr>
        <w:spacing w:after="0" w:line="360" w:lineRule="auto"/>
        <w:jc w:val="both"/>
        <w:rPr>
          <w:sz w:val="24"/>
          <w:szCs w:val="24"/>
        </w:rPr>
      </w:pPr>
      <w:r w:rsidRPr="000E18A3">
        <w:rPr>
          <w:rFonts w:ascii="Palatino Linotype" w:eastAsia="Palatino Linotype" w:hAnsi="Palatino Linotype" w:cs="Palatino Linotype"/>
          <w:sz w:val="24"/>
          <w:szCs w:val="24"/>
        </w:rPr>
        <w:t xml:space="preserve">Bajo este contexto, se considera que en el supuesto de que la información se encuentre en el supuesto antes establecido, el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deberá clasificar las observaciones, emitiendo en su caso el acuerdo correspondiente</w:t>
      </w:r>
      <w:r w:rsidRPr="000E18A3">
        <w:rPr>
          <w:rFonts w:ascii="Palatino Linotype" w:eastAsia="Palatino Linotype" w:hAnsi="Palatino Linotype" w:cs="Palatino Linotype"/>
          <w:b/>
          <w:sz w:val="24"/>
          <w:szCs w:val="24"/>
        </w:rPr>
        <w:t>,</w:t>
      </w:r>
      <w:r w:rsidRPr="000E18A3">
        <w:rPr>
          <w:rFonts w:ascii="Palatino Linotype" w:eastAsia="Palatino Linotype" w:hAnsi="Palatino Linotype" w:cs="Palatino Linotype"/>
          <w:sz w:val="24"/>
          <w:szCs w:val="24"/>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0E18A3">
        <w:rPr>
          <w:rFonts w:ascii="Palatino Linotype" w:eastAsia="Palatino Linotype" w:hAnsi="Palatino Linotype" w:cs="Palatino Linotype"/>
          <w:b/>
          <w:i/>
          <w:sz w:val="24"/>
          <w:szCs w:val="24"/>
        </w:rPr>
        <w:t xml:space="preserve">“prueba de daño”, </w:t>
      </w:r>
      <w:r w:rsidRPr="000E18A3">
        <w:rPr>
          <w:rFonts w:ascii="Palatino Linotype" w:eastAsia="Palatino Linotype" w:hAnsi="Palatino Linotype" w:cs="Palatino Linotype"/>
          <w:sz w:val="24"/>
          <w:szCs w:val="24"/>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28E26F06" w14:textId="77777777" w:rsidR="00AB0D98" w:rsidRPr="000E18A3" w:rsidRDefault="00AB0D98">
      <w:pPr>
        <w:spacing w:after="0" w:line="360" w:lineRule="auto"/>
        <w:rPr>
          <w:rFonts w:ascii="Palatino Linotype" w:eastAsia="Palatino Linotype" w:hAnsi="Palatino Linotype" w:cs="Palatino Linotype"/>
          <w:sz w:val="24"/>
          <w:szCs w:val="24"/>
        </w:rPr>
      </w:pPr>
    </w:p>
    <w:p w14:paraId="11C9FBB8" w14:textId="77777777" w:rsidR="00AB0D98" w:rsidRPr="000E18A3" w:rsidRDefault="00E944F7">
      <w:pPr>
        <w:pBdr>
          <w:top w:val="nil"/>
          <w:left w:val="nil"/>
          <w:bottom w:val="nil"/>
          <w:right w:val="nil"/>
          <w:between w:val="nil"/>
        </w:pBdr>
        <w:spacing w:after="0" w:line="360" w:lineRule="auto"/>
        <w:jc w:val="both"/>
        <w:rPr>
          <w:sz w:val="24"/>
          <w:szCs w:val="24"/>
        </w:rPr>
      </w:pPr>
      <w:r w:rsidRPr="000E18A3">
        <w:rPr>
          <w:rFonts w:ascii="Palatino Linotype" w:eastAsia="Palatino Linotype" w:hAnsi="Palatino Linotype" w:cs="Palatino Linotype"/>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w:t>
      </w:r>
      <w:r w:rsidRPr="000E18A3">
        <w:rPr>
          <w:rFonts w:ascii="Palatino Linotype" w:eastAsia="Palatino Linotype" w:hAnsi="Palatino Linotype" w:cs="Palatino Linotype"/>
          <w:sz w:val="24"/>
          <w:szCs w:val="24"/>
        </w:rPr>
        <w:lastRenderedPageBreak/>
        <w:t xml:space="preserve">caso por caso, esto es, no se puede hacer una prueba de daño de un expediente completo, </w:t>
      </w:r>
      <w:r w:rsidRPr="000E18A3">
        <w:rPr>
          <w:rFonts w:ascii="Palatino Linotype" w:eastAsia="Palatino Linotype" w:hAnsi="Palatino Linotype" w:cs="Palatino Linotype"/>
          <w:b/>
          <w:sz w:val="24"/>
          <w:szCs w:val="24"/>
          <w:u w:val="single"/>
        </w:rPr>
        <w:t>sino de cada uno de los documentos que lo integran</w:t>
      </w:r>
      <w:r w:rsidRPr="000E18A3">
        <w:rPr>
          <w:rFonts w:ascii="Palatino Linotype" w:eastAsia="Palatino Linotype" w:hAnsi="Palatino Linotype" w:cs="Palatino Linotype"/>
          <w:sz w:val="24"/>
          <w:szCs w:val="24"/>
        </w:rPr>
        <w:t>.</w:t>
      </w:r>
    </w:p>
    <w:p w14:paraId="0CCA80B6" w14:textId="77777777" w:rsidR="00AB0D98" w:rsidRPr="000E18A3" w:rsidRDefault="00AB0D98">
      <w:pPr>
        <w:spacing w:after="0" w:line="360" w:lineRule="auto"/>
        <w:rPr>
          <w:sz w:val="24"/>
          <w:szCs w:val="24"/>
        </w:rPr>
      </w:pPr>
    </w:p>
    <w:p w14:paraId="4FB888CE" w14:textId="77777777" w:rsidR="00AB0D98" w:rsidRPr="000E18A3" w:rsidRDefault="00E944F7">
      <w:pPr>
        <w:pBdr>
          <w:top w:val="nil"/>
          <w:left w:val="nil"/>
          <w:bottom w:val="nil"/>
          <w:right w:val="nil"/>
          <w:between w:val="nil"/>
        </w:pBdr>
        <w:spacing w:after="0" w:line="360" w:lineRule="auto"/>
        <w:jc w:val="both"/>
        <w:rPr>
          <w:sz w:val="24"/>
          <w:szCs w:val="24"/>
        </w:rPr>
      </w:pPr>
      <w:r w:rsidRPr="000E18A3">
        <w:rPr>
          <w:rFonts w:ascii="Palatino Linotype" w:eastAsia="Palatino Linotype" w:hAnsi="Palatino Linotype" w:cs="Palatino Linotype"/>
          <w:sz w:val="24"/>
          <w:szCs w:val="24"/>
        </w:rPr>
        <w:t>Para aplicar la prueba de daño, se deberán de precisar las razones objetivas por las que la apertura genera una afectación, acreditando que:</w:t>
      </w:r>
    </w:p>
    <w:p w14:paraId="756513A2" w14:textId="77777777" w:rsidR="00AB0D98" w:rsidRPr="000E18A3" w:rsidRDefault="00AB0D98">
      <w:pPr>
        <w:spacing w:after="0" w:line="360" w:lineRule="auto"/>
        <w:rPr>
          <w:rFonts w:ascii="Palatino Linotype" w:eastAsia="Palatino Linotype" w:hAnsi="Palatino Linotype" w:cs="Palatino Linotype"/>
          <w:sz w:val="24"/>
          <w:szCs w:val="24"/>
        </w:rPr>
      </w:pPr>
    </w:p>
    <w:p w14:paraId="41AF3506" w14:textId="77777777" w:rsidR="00AB0D98" w:rsidRPr="000E18A3" w:rsidRDefault="00E944F7">
      <w:pPr>
        <w:pBdr>
          <w:top w:val="nil"/>
          <w:left w:val="nil"/>
          <w:bottom w:val="nil"/>
          <w:right w:val="nil"/>
          <w:between w:val="nil"/>
        </w:pBdr>
        <w:spacing w:after="0" w:line="360" w:lineRule="auto"/>
        <w:ind w:left="567" w:right="851"/>
        <w:jc w:val="both"/>
        <w:rPr>
          <w:sz w:val="24"/>
          <w:szCs w:val="24"/>
        </w:rPr>
      </w:pPr>
      <w:r w:rsidRPr="000E18A3">
        <w:rPr>
          <w:rFonts w:ascii="Palatino Linotype" w:eastAsia="Palatino Linotype" w:hAnsi="Palatino Linotype" w:cs="Palatino Linotype"/>
          <w:sz w:val="24"/>
          <w:szCs w:val="24"/>
        </w:rPr>
        <w:t>I. La divulgación de la información representa un riesgo real, demostrable e identificable del perjuicio significativo al interés público o a la seguridad pública; </w:t>
      </w:r>
    </w:p>
    <w:p w14:paraId="7991F4BA" w14:textId="77777777" w:rsidR="00AB0D98" w:rsidRPr="000E18A3" w:rsidRDefault="00E944F7">
      <w:pPr>
        <w:pBdr>
          <w:top w:val="nil"/>
          <w:left w:val="nil"/>
          <w:bottom w:val="nil"/>
          <w:right w:val="nil"/>
          <w:between w:val="nil"/>
        </w:pBdr>
        <w:spacing w:after="0" w:line="360" w:lineRule="auto"/>
        <w:ind w:left="567" w:right="851"/>
        <w:jc w:val="both"/>
        <w:rPr>
          <w:sz w:val="24"/>
          <w:szCs w:val="24"/>
        </w:rPr>
      </w:pPr>
      <w:r w:rsidRPr="000E18A3">
        <w:rPr>
          <w:rFonts w:ascii="Palatino Linotype" w:eastAsia="Palatino Linotype" w:hAnsi="Palatino Linotype" w:cs="Palatino Linotype"/>
          <w:sz w:val="24"/>
          <w:szCs w:val="24"/>
        </w:rPr>
        <w:t>II. El riesgo de perjuicio que supondría la divulgación supera el interés público general de que se difunda; y </w:t>
      </w:r>
    </w:p>
    <w:p w14:paraId="6F6683B2" w14:textId="77777777" w:rsidR="00AB0D98" w:rsidRPr="000E18A3" w:rsidRDefault="00E944F7">
      <w:pPr>
        <w:pBdr>
          <w:top w:val="nil"/>
          <w:left w:val="nil"/>
          <w:bottom w:val="nil"/>
          <w:right w:val="nil"/>
          <w:between w:val="nil"/>
        </w:pBdr>
        <w:spacing w:after="0" w:line="360" w:lineRule="auto"/>
        <w:ind w:left="567" w:right="851"/>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III. La limitación se adecua al principio de proporcionalidad y representa el medio menos restrictivo disponible para evitar el perjuicio. </w:t>
      </w:r>
    </w:p>
    <w:p w14:paraId="4AD734E1" w14:textId="77777777" w:rsidR="00AB0D98" w:rsidRPr="000E18A3" w:rsidRDefault="00AB0D98">
      <w:pPr>
        <w:pBdr>
          <w:top w:val="nil"/>
          <w:left w:val="nil"/>
          <w:bottom w:val="nil"/>
          <w:right w:val="nil"/>
          <w:between w:val="nil"/>
        </w:pBdr>
        <w:spacing w:after="0" w:line="360" w:lineRule="auto"/>
        <w:ind w:left="567" w:right="851"/>
        <w:jc w:val="both"/>
        <w:rPr>
          <w:sz w:val="24"/>
          <w:szCs w:val="24"/>
        </w:rPr>
      </w:pPr>
    </w:p>
    <w:p w14:paraId="3D148743" w14:textId="77777777" w:rsidR="00AB0D98" w:rsidRPr="000E18A3" w:rsidRDefault="00E944F7">
      <w:pPr>
        <w:pBdr>
          <w:top w:val="nil"/>
          <w:left w:val="nil"/>
          <w:bottom w:val="nil"/>
          <w:right w:val="nil"/>
          <w:between w:val="nil"/>
        </w:pBdr>
        <w:spacing w:after="0" w:line="360" w:lineRule="auto"/>
        <w:jc w:val="both"/>
        <w:rPr>
          <w:sz w:val="24"/>
          <w:szCs w:val="24"/>
        </w:rPr>
      </w:pPr>
      <w:r w:rsidRPr="000E18A3">
        <w:rPr>
          <w:rFonts w:ascii="Palatino Linotype" w:eastAsia="Palatino Linotype" w:hAnsi="Palatino Linotype" w:cs="Palatino Linotype"/>
          <w:sz w:val="24"/>
          <w:szCs w:val="24"/>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5795E1EA" w14:textId="77777777" w:rsidR="00AB0D98" w:rsidRPr="000E18A3" w:rsidRDefault="00AB0D98">
      <w:pPr>
        <w:spacing w:after="0" w:line="360" w:lineRule="auto"/>
        <w:rPr>
          <w:rFonts w:ascii="Palatino Linotype" w:eastAsia="Palatino Linotype" w:hAnsi="Palatino Linotype" w:cs="Palatino Linotype"/>
          <w:sz w:val="24"/>
          <w:szCs w:val="24"/>
        </w:rPr>
      </w:pPr>
    </w:p>
    <w:p w14:paraId="2C08C046" w14:textId="77777777" w:rsidR="00AB0D98" w:rsidRPr="000E18A3" w:rsidRDefault="00E944F7">
      <w:pPr>
        <w:pBdr>
          <w:top w:val="nil"/>
          <w:left w:val="nil"/>
          <w:bottom w:val="nil"/>
          <w:right w:val="nil"/>
          <w:between w:val="nil"/>
        </w:pBdr>
        <w:spacing w:after="0" w:line="360" w:lineRule="auto"/>
        <w:jc w:val="both"/>
        <w:rPr>
          <w:sz w:val="24"/>
          <w:szCs w:val="24"/>
        </w:rPr>
      </w:pPr>
      <w:r w:rsidRPr="000E18A3">
        <w:rPr>
          <w:rFonts w:ascii="Palatino Linotype" w:eastAsia="Palatino Linotype" w:hAnsi="Palatino Linotype" w:cs="Palatino Linotype"/>
          <w:sz w:val="24"/>
          <w:szCs w:val="24"/>
        </w:rPr>
        <w:lastRenderedPageBreak/>
        <w:t>Identificado ese riesgo, se debe demostrar que el mismo supera el interés público general porque se difunda dicha información. </w:t>
      </w:r>
    </w:p>
    <w:p w14:paraId="66C51757" w14:textId="77777777" w:rsidR="00AB0D98" w:rsidRPr="000E18A3" w:rsidRDefault="00AB0D98">
      <w:pPr>
        <w:spacing w:after="0" w:line="360" w:lineRule="auto"/>
        <w:rPr>
          <w:rFonts w:ascii="Palatino Linotype" w:eastAsia="Palatino Linotype" w:hAnsi="Palatino Linotype" w:cs="Palatino Linotype"/>
          <w:sz w:val="24"/>
          <w:szCs w:val="24"/>
        </w:rPr>
      </w:pPr>
    </w:p>
    <w:p w14:paraId="321D639C"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2C832CF1" w14:textId="77777777" w:rsidR="00AB0D98" w:rsidRPr="000E18A3" w:rsidRDefault="00AB0D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F5FE827"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Es así, </w:t>
      </w:r>
      <w:proofErr w:type="gramStart"/>
      <w:r w:rsidRPr="000E18A3">
        <w:rPr>
          <w:rFonts w:ascii="Palatino Linotype" w:eastAsia="Palatino Linotype" w:hAnsi="Palatino Linotype" w:cs="Palatino Linotype"/>
          <w:sz w:val="24"/>
          <w:szCs w:val="24"/>
        </w:rPr>
        <w:t>que</w:t>
      </w:r>
      <w:proofErr w:type="gramEnd"/>
      <w:r w:rsidRPr="000E18A3">
        <w:rPr>
          <w:rFonts w:ascii="Palatino Linotype" w:eastAsia="Palatino Linotype" w:hAnsi="Palatino Linotype" w:cs="Palatino Linotype"/>
          <w:sz w:val="24"/>
          <w:szCs w:val="24"/>
        </w:rPr>
        <w:t xml:space="preserve"> al configurarse tales requisitos, se otorga certidumbre jurídica y se protege la esfera más íntima del derecho humano constitucional y convencionalmente reconocido. </w:t>
      </w:r>
    </w:p>
    <w:p w14:paraId="5D59E866" w14:textId="77777777" w:rsidR="00AB0D98" w:rsidRPr="000E18A3" w:rsidRDefault="00AB0D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D356ECA"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virtud de lo anterior, se desprende que los Acuerdos de Reserva deberán de cumplir los siguientes parámetros de forma y fondo:</w:t>
      </w:r>
    </w:p>
    <w:p w14:paraId="65E81E23" w14:textId="77777777" w:rsidR="00AB0D98" w:rsidRPr="000E18A3" w:rsidRDefault="00AB0D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4D90DFE" w14:textId="77777777" w:rsidR="00AB0D98" w:rsidRPr="000E18A3" w:rsidRDefault="00E944F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Número de folio de la solicitud</w:t>
      </w:r>
    </w:p>
    <w:p w14:paraId="65FA849D" w14:textId="77777777" w:rsidR="00AB0D98" w:rsidRPr="000E18A3" w:rsidRDefault="00E944F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Referencia a la información solicitada</w:t>
      </w:r>
    </w:p>
    <w:p w14:paraId="56BE75D7" w14:textId="77777777" w:rsidR="00AB0D98" w:rsidRPr="000E18A3" w:rsidRDefault="00E944F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Causal aplicable del artículo 113 de la Ley General, vinculándola con el Lineamiento específico del presente ordenamiento y, cuando corresponda, el </w:t>
      </w:r>
      <w:r w:rsidRPr="000E18A3">
        <w:rPr>
          <w:rFonts w:ascii="Palatino Linotype" w:eastAsia="Palatino Linotype" w:hAnsi="Palatino Linotype" w:cs="Palatino Linotype"/>
          <w:sz w:val="24"/>
          <w:szCs w:val="24"/>
        </w:rPr>
        <w:lastRenderedPageBreak/>
        <w:t>supuesto normativo que expresamente le otorga el carácter de información reservada</w:t>
      </w:r>
    </w:p>
    <w:p w14:paraId="63BBAE24" w14:textId="77777777" w:rsidR="00AB0D98" w:rsidRPr="000E18A3" w:rsidRDefault="00E944F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Fundamento y motivación legal</w:t>
      </w:r>
    </w:p>
    <w:p w14:paraId="321490A4" w14:textId="77777777" w:rsidR="00AB0D98" w:rsidRPr="000E18A3" w:rsidRDefault="00E944F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Conexión entre los fundamentos y motivos que dieron origen a la reserva de la información</w:t>
      </w:r>
    </w:p>
    <w:p w14:paraId="59FDBD31" w14:textId="77777777" w:rsidR="00AB0D98" w:rsidRPr="000E18A3" w:rsidRDefault="00E944F7">
      <w:pPr>
        <w:pBdr>
          <w:top w:val="nil"/>
          <w:left w:val="nil"/>
          <w:bottom w:val="nil"/>
          <w:right w:val="nil"/>
          <w:between w:val="nil"/>
        </w:pBdr>
        <w:spacing w:after="0" w:line="360" w:lineRule="auto"/>
        <w:jc w:val="both"/>
        <w:rPr>
          <w:sz w:val="24"/>
          <w:szCs w:val="24"/>
        </w:rPr>
      </w:pPr>
      <w:r w:rsidRPr="000E18A3">
        <w:rPr>
          <w:rFonts w:ascii="Palatino Linotype" w:eastAsia="Palatino Linotype" w:hAnsi="Palatino Linotype" w:cs="Palatino Linotype"/>
          <w:b/>
          <w:sz w:val="24"/>
          <w:szCs w:val="24"/>
        </w:rPr>
        <w:t>Prueba de daño </w:t>
      </w:r>
    </w:p>
    <w:p w14:paraId="764FE3EE" w14:textId="77777777" w:rsidR="00AB0D98" w:rsidRPr="000E18A3" w:rsidRDefault="00E944F7">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Riesgo real, demostrable e identificable (modo, tiempo y lugar)</w:t>
      </w:r>
    </w:p>
    <w:p w14:paraId="71E80736" w14:textId="77777777" w:rsidR="00AB0D98" w:rsidRPr="000E18A3" w:rsidRDefault="00E944F7">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Temporalidad de la reserva de la información</w:t>
      </w:r>
    </w:p>
    <w:p w14:paraId="6D69963B" w14:textId="77777777" w:rsidR="00AB0D98" w:rsidRPr="000E18A3" w:rsidRDefault="00E944F7">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Autoridades competentes </w:t>
      </w:r>
    </w:p>
    <w:p w14:paraId="06B539C4" w14:textId="77777777" w:rsidR="00AB0D98" w:rsidRPr="000E18A3" w:rsidRDefault="00AB0D98">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7175D011"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4FBC2166" w14:textId="77777777" w:rsidR="00AB0D98" w:rsidRPr="000E18A3" w:rsidRDefault="00AB0D98">
      <w:pPr>
        <w:pBdr>
          <w:top w:val="nil"/>
          <w:left w:val="nil"/>
          <w:bottom w:val="nil"/>
          <w:right w:val="nil"/>
          <w:between w:val="nil"/>
        </w:pBdr>
        <w:spacing w:after="0" w:line="360" w:lineRule="auto"/>
        <w:jc w:val="both"/>
        <w:rPr>
          <w:sz w:val="24"/>
          <w:szCs w:val="24"/>
        </w:rPr>
      </w:pPr>
    </w:p>
    <w:p w14:paraId="7F5A1E64"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 xml:space="preserve"> “Artículo 140. El acceso a la información pública será restringido excepcionalmente, cuando por razones de interés público, ésta sea clasificada como reservada, conforme a los criterios siguientes: </w:t>
      </w:r>
    </w:p>
    <w:p w14:paraId="3F4CE873"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I. Comprometa la seguridad pública y cuente con un propósito genuino y un efecto demostrable; </w:t>
      </w:r>
    </w:p>
    <w:p w14:paraId="047E6304"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II. Pueda menoscabar la conducción de las negociaciones y relaciones internacionales; </w:t>
      </w:r>
    </w:p>
    <w:p w14:paraId="7FA93EC1"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lastRenderedPageBreak/>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1AD97C0F"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IV. Ponga en riesgo la vida, la seguridad o la salud de una persona física; </w:t>
      </w:r>
    </w:p>
    <w:p w14:paraId="24790E5D"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V. Aquella cuya divulgación obstruya o pueda causar un serio perjuicio a: </w:t>
      </w:r>
    </w:p>
    <w:p w14:paraId="5328C121" w14:textId="77777777" w:rsidR="00AB0D98" w:rsidRPr="000E18A3" w:rsidRDefault="00E944F7">
      <w:pPr>
        <w:pBdr>
          <w:top w:val="nil"/>
          <w:left w:val="nil"/>
          <w:bottom w:val="nil"/>
          <w:right w:val="nil"/>
          <w:between w:val="nil"/>
        </w:pBdr>
        <w:spacing w:after="0" w:line="276" w:lineRule="auto"/>
        <w:ind w:left="851" w:right="851"/>
        <w:jc w:val="both"/>
      </w:pPr>
      <w:bookmarkStart w:id="1" w:name="_heading=h.35nkun2" w:colFirst="0" w:colLast="0"/>
      <w:bookmarkEnd w:id="1"/>
      <w:r w:rsidRPr="000E18A3">
        <w:rPr>
          <w:rFonts w:ascii="Palatino Linotype" w:eastAsia="Palatino Linotype" w:hAnsi="Palatino Linotype" w:cs="Palatino Linotype"/>
          <w:i/>
        </w:rPr>
        <w:t>1. Las actividades de fiscalización, verificación, inspección, comprobación y auditoría sobre el cumplimiento de las Leyes; o </w:t>
      </w:r>
    </w:p>
    <w:p w14:paraId="5D85E36E"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2. La recaudación de las contribuciones. </w:t>
      </w:r>
    </w:p>
    <w:p w14:paraId="7472E7FF"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73B1732"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VII. La que contengan las opiniones, recomendaciones o puntos de vista que formen parte del proceso deliberativo de los servidores públicos, hasta en tanto sea adoptada la decisión definitiva, la cual deberá estar documentada; </w:t>
      </w:r>
    </w:p>
    <w:p w14:paraId="30F5D938"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VIII. Vulnere la conducción de los expedientes judiciales o de los procedimientos administrativos seguidos en forma de juicio, en tanto no hayan quedado firmes; </w:t>
      </w:r>
    </w:p>
    <w:p w14:paraId="629AFD27"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IX. Se encuentre contenida dentro de las investigaciones de hechos que la Ley señale como delitos y se tramiten ante el Ministerio Público; </w:t>
      </w:r>
    </w:p>
    <w:p w14:paraId="6EEEA9C4"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54F3B3EC"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 xml:space="preserve">Cuando se trate de información sobre estudios y proyectos cuya divulgación pueda causar daños al interés del Estado o suponga un riesgo para su realización, </w:t>
      </w:r>
      <w:r w:rsidRPr="000E18A3">
        <w:rPr>
          <w:rFonts w:ascii="Palatino Linotype" w:eastAsia="Palatino Linotype" w:hAnsi="Palatino Linotype" w:cs="Palatino Linotype"/>
          <w:i/>
        </w:rPr>
        <w:lastRenderedPageBreak/>
        <w:t>siempre que esté directamente relacionado con procesos o procedimientos administrativos o judiciales que no hayan quedado firmes; y </w:t>
      </w:r>
    </w:p>
    <w:p w14:paraId="244A37FB" w14:textId="77777777" w:rsidR="00AB0D98" w:rsidRPr="000E18A3" w:rsidRDefault="00E944F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XI. Las que por disposición expresa de una ley tengan tal carácter, siempre que sean acordes con las bases, principios y disposiciones establecidos en esta Ley y no la contravengan; así como las previstas en tratados internacionales.” </w:t>
      </w:r>
    </w:p>
    <w:p w14:paraId="4E526A74" w14:textId="77777777" w:rsidR="00AB0D98" w:rsidRPr="000E18A3" w:rsidRDefault="00AB0D98">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sz w:val="24"/>
          <w:szCs w:val="24"/>
        </w:rPr>
      </w:pPr>
    </w:p>
    <w:p w14:paraId="4ACACEEA"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rPr>
        <w:t xml:space="preserve">En </w:t>
      </w:r>
      <w:r w:rsidRPr="000E18A3">
        <w:rPr>
          <w:rFonts w:ascii="Palatino Linotype" w:eastAsia="Palatino Linotype" w:hAnsi="Palatino Linotype" w:cs="Palatino Linotype"/>
          <w:sz w:val="24"/>
          <w:szCs w:val="24"/>
        </w:rPr>
        <w:t xml:space="preserve">virtud de lo anterior, resulta competencia del </w:t>
      </w:r>
      <w:r w:rsidRPr="000E18A3">
        <w:rPr>
          <w:rFonts w:ascii="Palatino Linotype" w:eastAsia="Palatino Linotype" w:hAnsi="Palatino Linotype" w:cs="Palatino Linotype"/>
          <w:b/>
          <w:sz w:val="24"/>
          <w:szCs w:val="24"/>
        </w:rPr>
        <w:t xml:space="preserve">Sujeto Obligado </w:t>
      </w:r>
      <w:r w:rsidRPr="000E18A3">
        <w:rPr>
          <w:rFonts w:ascii="Palatino Linotype" w:eastAsia="Palatino Linotype" w:hAnsi="Palatino Linotype" w:cs="Palatino Linotype"/>
          <w:sz w:val="24"/>
          <w:szCs w:val="24"/>
        </w:rPr>
        <w:t xml:space="preserve">apreciar el contenido de la información en cita, a efecto de valorar la posible actualización de una causal de reserva, </w:t>
      </w:r>
      <w:proofErr w:type="gramStart"/>
      <w:r w:rsidRPr="000E18A3">
        <w:rPr>
          <w:rFonts w:ascii="Palatino Linotype" w:eastAsia="Palatino Linotype" w:hAnsi="Palatino Linotype" w:cs="Palatino Linotype"/>
          <w:sz w:val="24"/>
          <w:szCs w:val="24"/>
        </w:rPr>
        <w:t>y</w:t>
      </w:r>
      <w:proofErr w:type="gramEnd"/>
      <w:r w:rsidRPr="000E18A3">
        <w:rPr>
          <w:rFonts w:ascii="Palatino Linotype" w:eastAsia="Palatino Linotype" w:hAnsi="Palatino Linotype" w:cs="Palatino Linotype"/>
          <w:sz w:val="24"/>
          <w:szCs w:val="24"/>
        </w:rPr>
        <w:t xml:space="preserve">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6170BAA0" w14:textId="77777777" w:rsidR="00AB0D98" w:rsidRPr="000E18A3" w:rsidRDefault="00AB0D9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CB4813D"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“Artículo 142. Bajo ninguna circunstancia podrá invocarse el carácter de reservado cuando:</w:t>
      </w:r>
    </w:p>
    <w:p w14:paraId="73CED753"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 I. Se trate de violaciones graves de derechos humanos, calificada así por autoridad competente; </w:t>
      </w:r>
    </w:p>
    <w:p w14:paraId="61278702"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44733B4E" w14:textId="77777777" w:rsidR="00AB0D98" w:rsidRPr="000E18A3" w:rsidRDefault="00E944F7">
      <w:pPr>
        <w:pBdr>
          <w:top w:val="nil"/>
          <w:left w:val="nil"/>
          <w:bottom w:val="nil"/>
          <w:right w:val="nil"/>
          <w:between w:val="nil"/>
        </w:pBdr>
        <w:spacing w:after="0" w:line="276" w:lineRule="auto"/>
        <w:ind w:left="851" w:right="851"/>
        <w:jc w:val="both"/>
      </w:pPr>
      <w:r w:rsidRPr="000E18A3">
        <w:rPr>
          <w:rFonts w:ascii="Palatino Linotype" w:eastAsia="Palatino Linotype" w:hAnsi="Palatino Linotype" w:cs="Palatino Linotype"/>
          <w:i/>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13B7088A" w14:textId="77777777" w:rsidR="00AB0D98" w:rsidRPr="000E18A3" w:rsidRDefault="00E944F7">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0E18A3">
        <w:rPr>
          <w:rFonts w:ascii="Palatino Linotype" w:eastAsia="Palatino Linotype" w:hAnsi="Palatino Linotype" w:cs="Palatino Linotype"/>
          <w:i/>
        </w:rPr>
        <w:t xml:space="preserve">IV. Se trate de información relacionada con actos de corrupción de conformidad con las disposiciones jurídicas aplicables.” </w:t>
      </w:r>
    </w:p>
    <w:p w14:paraId="6FCF4A81" w14:textId="77777777" w:rsidR="00AB0D98" w:rsidRPr="000E18A3" w:rsidRDefault="00AB0D98">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sz w:val="24"/>
          <w:szCs w:val="24"/>
        </w:rPr>
      </w:pPr>
    </w:p>
    <w:p w14:paraId="7E6A35CA"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4B9E7B3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19E90DE6" w14:textId="77777777" w:rsidR="00AB0D98" w:rsidRPr="000E18A3" w:rsidRDefault="00E944F7">
      <w:pPr>
        <w:spacing w:after="0" w:line="360" w:lineRule="auto"/>
        <w:ind w:left="1080"/>
        <w:jc w:val="center"/>
        <w:rPr>
          <w:rFonts w:ascii="Palatino Linotype" w:eastAsia="Palatino Linotype" w:hAnsi="Palatino Linotype" w:cs="Palatino Linotype"/>
          <w:b/>
          <w:sz w:val="24"/>
          <w:szCs w:val="24"/>
        </w:rPr>
      </w:pPr>
      <w:r w:rsidRPr="000E18A3">
        <w:rPr>
          <w:rFonts w:ascii="Palatino Linotype" w:eastAsia="Palatino Linotype" w:hAnsi="Palatino Linotype" w:cs="Palatino Linotype"/>
          <w:b/>
          <w:sz w:val="24"/>
          <w:szCs w:val="24"/>
        </w:rPr>
        <w:t>R E S U E L V E</w:t>
      </w:r>
    </w:p>
    <w:p w14:paraId="1CC6F724" w14:textId="77777777" w:rsidR="00AB0D98" w:rsidRPr="000E18A3" w:rsidRDefault="00AB0D98">
      <w:pPr>
        <w:spacing w:after="0" w:line="360" w:lineRule="auto"/>
        <w:ind w:left="1080"/>
        <w:rPr>
          <w:rFonts w:ascii="Palatino Linotype" w:eastAsia="Palatino Linotype" w:hAnsi="Palatino Linotype" w:cs="Palatino Linotype"/>
          <w:b/>
          <w:sz w:val="24"/>
          <w:szCs w:val="24"/>
        </w:rPr>
      </w:pPr>
    </w:p>
    <w:p w14:paraId="1803D79A"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PRIMERO. </w:t>
      </w:r>
      <w:r w:rsidRPr="000E18A3">
        <w:rPr>
          <w:rFonts w:ascii="Palatino Linotype" w:eastAsia="Palatino Linotype" w:hAnsi="Palatino Linotype" w:cs="Palatino Linotype"/>
          <w:sz w:val="24"/>
          <w:szCs w:val="24"/>
        </w:rPr>
        <w:t xml:space="preserve">Resultan parcialmente fundados los motivos de inconformidad hechos valer por </w:t>
      </w:r>
      <w:r w:rsidRPr="000E18A3">
        <w:rPr>
          <w:rFonts w:ascii="Palatino Linotype" w:eastAsia="Palatino Linotype" w:hAnsi="Palatino Linotype" w:cs="Palatino Linotype"/>
          <w:b/>
          <w:sz w:val="24"/>
          <w:szCs w:val="24"/>
        </w:rPr>
        <w:t>LA PARTE RECURRENTE</w:t>
      </w:r>
      <w:r w:rsidRPr="000E18A3">
        <w:rPr>
          <w:rFonts w:ascii="Palatino Linotype" w:eastAsia="Palatino Linotype" w:hAnsi="Palatino Linotype" w:cs="Palatino Linotype"/>
          <w:sz w:val="24"/>
          <w:szCs w:val="24"/>
        </w:rPr>
        <w:t xml:space="preserve"> en el Recurso de Revisión </w:t>
      </w:r>
      <w:r w:rsidRPr="000E18A3">
        <w:rPr>
          <w:rFonts w:ascii="Palatino Linotype" w:eastAsia="Palatino Linotype" w:hAnsi="Palatino Linotype" w:cs="Palatino Linotype"/>
          <w:b/>
          <w:sz w:val="24"/>
          <w:szCs w:val="24"/>
        </w:rPr>
        <w:t>06059/INFOEM/IP/RR/2024</w:t>
      </w: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 xml:space="preserve">por lo que, en términos del considerando </w:t>
      </w:r>
      <w:r w:rsidRPr="000E18A3">
        <w:rPr>
          <w:rFonts w:ascii="Palatino Linotype" w:eastAsia="Palatino Linotype" w:hAnsi="Palatino Linotype" w:cs="Palatino Linotype"/>
          <w:b/>
          <w:sz w:val="24"/>
          <w:szCs w:val="24"/>
        </w:rPr>
        <w:t xml:space="preserve">Cuarto </w:t>
      </w:r>
      <w:r w:rsidRPr="000E18A3">
        <w:rPr>
          <w:rFonts w:ascii="Palatino Linotype" w:eastAsia="Palatino Linotype" w:hAnsi="Palatino Linotype" w:cs="Palatino Linotype"/>
          <w:sz w:val="24"/>
          <w:szCs w:val="24"/>
        </w:rPr>
        <w:t xml:space="preserve">de esta resolución, se </w:t>
      </w:r>
      <w:r w:rsidRPr="000E18A3">
        <w:rPr>
          <w:rFonts w:ascii="Palatino Linotype" w:eastAsia="Palatino Linotype" w:hAnsi="Palatino Linotype" w:cs="Palatino Linotype"/>
          <w:b/>
          <w:sz w:val="24"/>
          <w:szCs w:val="24"/>
        </w:rPr>
        <w:t xml:space="preserve">MODIFICA </w:t>
      </w:r>
      <w:r w:rsidRPr="000E18A3">
        <w:rPr>
          <w:rFonts w:ascii="Palatino Linotype" w:eastAsia="Palatino Linotype" w:hAnsi="Palatino Linotype" w:cs="Palatino Linotype"/>
          <w:sz w:val="24"/>
          <w:szCs w:val="24"/>
        </w:rPr>
        <w:t xml:space="preserve">la respuesta emitida por </w:t>
      </w:r>
      <w:r w:rsidRPr="000E18A3">
        <w:rPr>
          <w:rFonts w:ascii="Palatino Linotype" w:eastAsia="Palatino Linotype" w:hAnsi="Palatino Linotype" w:cs="Palatino Linotype"/>
          <w:b/>
          <w:sz w:val="24"/>
          <w:szCs w:val="24"/>
        </w:rPr>
        <w:t>EL</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w:t>
      </w:r>
    </w:p>
    <w:p w14:paraId="6672F946" w14:textId="77777777" w:rsidR="00AB0D98" w:rsidRPr="000E18A3" w:rsidRDefault="00AB0D98">
      <w:pPr>
        <w:tabs>
          <w:tab w:val="left" w:pos="7938"/>
        </w:tabs>
        <w:spacing w:after="0" w:line="360" w:lineRule="auto"/>
        <w:jc w:val="both"/>
        <w:rPr>
          <w:rFonts w:ascii="Palatino Linotype" w:eastAsia="Palatino Linotype" w:hAnsi="Palatino Linotype" w:cs="Palatino Linotype"/>
          <w:sz w:val="24"/>
          <w:szCs w:val="24"/>
        </w:rPr>
      </w:pPr>
    </w:p>
    <w:p w14:paraId="63D1D376"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bookmarkStart w:id="2" w:name="_heading=h.1fob9te" w:colFirst="0" w:colLast="0"/>
      <w:bookmarkEnd w:id="2"/>
      <w:r w:rsidRPr="000E18A3">
        <w:rPr>
          <w:rFonts w:ascii="Palatino Linotype" w:eastAsia="Palatino Linotype" w:hAnsi="Palatino Linotype" w:cs="Palatino Linotype"/>
          <w:b/>
          <w:sz w:val="24"/>
          <w:szCs w:val="24"/>
        </w:rPr>
        <w:t xml:space="preserve">SEGUNDO. </w:t>
      </w:r>
      <w:r w:rsidRPr="000E18A3">
        <w:rPr>
          <w:rFonts w:ascii="Palatino Linotype" w:eastAsia="Palatino Linotype" w:hAnsi="Palatino Linotype" w:cs="Palatino Linotype"/>
          <w:sz w:val="24"/>
          <w:szCs w:val="24"/>
        </w:rPr>
        <w:t xml:space="preserve">Se </w:t>
      </w:r>
      <w:r w:rsidRPr="000E18A3">
        <w:rPr>
          <w:rFonts w:ascii="Palatino Linotype" w:eastAsia="Palatino Linotype" w:hAnsi="Palatino Linotype" w:cs="Palatino Linotype"/>
          <w:b/>
          <w:sz w:val="24"/>
          <w:szCs w:val="24"/>
        </w:rPr>
        <w:t xml:space="preserve">Ordena </w:t>
      </w:r>
      <w:r w:rsidRPr="000E18A3">
        <w:rPr>
          <w:rFonts w:ascii="Palatino Linotype" w:eastAsia="Palatino Linotype" w:hAnsi="Palatino Linotype" w:cs="Palatino Linotype"/>
          <w:sz w:val="24"/>
          <w:szCs w:val="24"/>
        </w:rPr>
        <w:t xml:space="preserve">al </w:t>
      </w:r>
      <w:r w:rsidRPr="000E18A3">
        <w:rPr>
          <w:rFonts w:ascii="Palatino Linotype" w:eastAsia="Palatino Linotype" w:hAnsi="Palatino Linotype" w:cs="Palatino Linotype"/>
          <w:b/>
          <w:sz w:val="24"/>
          <w:szCs w:val="24"/>
        </w:rPr>
        <w:t>SUJETO OBLIGADO</w:t>
      </w:r>
      <w:r w:rsidRPr="000E18A3">
        <w:rPr>
          <w:rFonts w:ascii="Palatino Linotype" w:eastAsia="Palatino Linotype" w:hAnsi="Palatino Linotype" w:cs="Palatino Linotype"/>
          <w:sz w:val="24"/>
          <w:szCs w:val="24"/>
        </w:rPr>
        <w:t xml:space="preserve"> entregue, a</w:t>
      </w:r>
      <w:r w:rsidRPr="000E18A3">
        <w:rPr>
          <w:rFonts w:ascii="Palatino Linotype" w:eastAsia="Palatino Linotype" w:hAnsi="Palatino Linotype" w:cs="Palatino Linotype"/>
          <w:b/>
          <w:sz w:val="24"/>
          <w:szCs w:val="24"/>
        </w:rPr>
        <w:t xml:space="preserve"> LA PARTE</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RECURRENTE</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vía SAIMEX</w:t>
      </w:r>
      <w:r w:rsidRPr="000E18A3">
        <w:rPr>
          <w:rFonts w:ascii="Palatino Linotype" w:eastAsia="Palatino Linotype" w:hAnsi="Palatino Linotype" w:cs="Palatino Linotype"/>
          <w:sz w:val="24"/>
          <w:szCs w:val="24"/>
        </w:rPr>
        <w:t>, previa búsqueda exhaustiva y razonable en términos de los</w:t>
      </w:r>
      <w:r w:rsidRPr="000E18A3">
        <w:rPr>
          <w:rFonts w:ascii="Palatino Linotype" w:eastAsia="Palatino Linotype" w:hAnsi="Palatino Linotype" w:cs="Palatino Linotype"/>
          <w:b/>
          <w:sz w:val="24"/>
          <w:szCs w:val="24"/>
        </w:rPr>
        <w:t xml:space="preserve"> Considerandos</w:t>
      </w:r>
      <w:r w:rsidRPr="000E18A3">
        <w:rPr>
          <w:rFonts w:ascii="Palatino Linotype" w:eastAsia="Palatino Linotype" w:hAnsi="Palatino Linotype" w:cs="Palatino Linotype"/>
          <w:sz w:val="24"/>
          <w:szCs w:val="24"/>
        </w:rPr>
        <w:t xml:space="preserve"> </w:t>
      </w:r>
      <w:r w:rsidRPr="000E18A3">
        <w:rPr>
          <w:rFonts w:ascii="Palatino Linotype" w:eastAsia="Palatino Linotype" w:hAnsi="Palatino Linotype" w:cs="Palatino Linotype"/>
          <w:b/>
          <w:sz w:val="24"/>
          <w:szCs w:val="24"/>
        </w:rPr>
        <w:t>Cuarto y Quinto</w:t>
      </w:r>
      <w:r w:rsidRPr="000E18A3">
        <w:rPr>
          <w:rFonts w:ascii="Palatino Linotype" w:eastAsia="Palatino Linotype" w:hAnsi="Palatino Linotype" w:cs="Palatino Linotype"/>
          <w:sz w:val="24"/>
          <w:szCs w:val="24"/>
        </w:rPr>
        <w:t>,</w:t>
      </w:r>
      <w:r w:rsidRPr="000E18A3">
        <w:rPr>
          <w:rFonts w:ascii="Palatino Linotype" w:eastAsia="Palatino Linotype" w:hAnsi="Palatino Linotype" w:cs="Palatino Linotype"/>
          <w:b/>
          <w:sz w:val="24"/>
          <w:szCs w:val="24"/>
        </w:rPr>
        <w:t xml:space="preserve"> </w:t>
      </w:r>
      <w:r w:rsidRPr="000E18A3">
        <w:rPr>
          <w:rFonts w:ascii="Palatino Linotype" w:eastAsia="Palatino Linotype" w:hAnsi="Palatino Linotype" w:cs="Palatino Linotype"/>
          <w:sz w:val="24"/>
          <w:szCs w:val="24"/>
        </w:rPr>
        <w:t>en versión pública, de lo siguiente:</w:t>
      </w:r>
    </w:p>
    <w:p w14:paraId="03AA3854"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343F958E" w14:textId="77777777" w:rsidR="00AB0D98" w:rsidRPr="000E18A3" w:rsidRDefault="00E944F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 xml:space="preserve">- Actas de entrega-recepción generadas por el cambio constitucional del Gobernador, a partir del dieciséis de septiembre de dos mil veintitrés al veintiocho de agosto de dos mil veinticuatro. </w:t>
      </w:r>
    </w:p>
    <w:p w14:paraId="0659346B" w14:textId="77777777" w:rsidR="00AB0D98" w:rsidRPr="000E18A3" w:rsidRDefault="00AB0D98">
      <w:pPr>
        <w:pBdr>
          <w:top w:val="nil"/>
          <w:left w:val="nil"/>
          <w:bottom w:val="nil"/>
          <w:right w:val="nil"/>
          <w:between w:val="nil"/>
        </w:pBdr>
        <w:spacing w:after="0" w:line="360" w:lineRule="auto"/>
        <w:ind w:left="644" w:right="49"/>
        <w:jc w:val="both"/>
        <w:rPr>
          <w:rFonts w:ascii="Palatino Linotype" w:eastAsia="Palatino Linotype" w:hAnsi="Palatino Linotype" w:cs="Palatino Linotype"/>
          <w:b/>
          <w:sz w:val="24"/>
          <w:szCs w:val="24"/>
        </w:rPr>
      </w:pPr>
      <w:bookmarkStart w:id="3" w:name="_heading=h.gjdgxs" w:colFirst="0" w:colLast="0"/>
      <w:bookmarkEnd w:id="3"/>
    </w:p>
    <w:p w14:paraId="273C9975" w14:textId="77777777" w:rsidR="00AB0D98" w:rsidRPr="000E18A3" w:rsidRDefault="00E944F7">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0E18A3">
        <w:rPr>
          <w:rFonts w:ascii="Palatino Linotype" w:eastAsia="Palatino Linotype" w:hAnsi="Palatino Linotype" w:cs="Palatino Linotype"/>
          <w:i/>
        </w:rPr>
        <w:lastRenderedPageBreak/>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0E18A3">
        <w:rPr>
          <w:rFonts w:ascii="Palatino Linotype" w:eastAsia="Palatino Linotype" w:hAnsi="Palatino Linotype" w:cs="Palatino Linotype"/>
          <w:b/>
          <w:i/>
        </w:rPr>
        <w:t>LA PARTE RECURRENTE</w:t>
      </w:r>
      <w:r w:rsidRPr="000E18A3">
        <w:rPr>
          <w:rFonts w:ascii="Palatino Linotype" w:eastAsia="Palatino Linotype" w:hAnsi="Palatino Linotype" w:cs="Palatino Linotype"/>
          <w:i/>
        </w:rPr>
        <w:t>.</w:t>
      </w:r>
    </w:p>
    <w:p w14:paraId="5AD7D3E7" w14:textId="77777777" w:rsidR="00AB0D98" w:rsidRPr="000E18A3" w:rsidRDefault="00AB0D98">
      <w:pPr>
        <w:spacing w:after="0" w:line="360" w:lineRule="auto"/>
        <w:ind w:right="51"/>
        <w:jc w:val="both"/>
        <w:rPr>
          <w:rFonts w:ascii="Palatino Linotype" w:eastAsia="Palatino Linotype" w:hAnsi="Palatino Linotype" w:cs="Palatino Linotype"/>
          <w:sz w:val="24"/>
          <w:szCs w:val="24"/>
        </w:rPr>
      </w:pPr>
    </w:p>
    <w:p w14:paraId="24E919D0"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TERCERO.  Notifíquese vía SAIMEX, </w:t>
      </w:r>
      <w:r w:rsidRPr="000E18A3">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D9012B0" w14:textId="77777777" w:rsidR="00AB0D98" w:rsidRPr="000E18A3" w:rsidRDefault="00AB0D98">
      <w:pPr>
        <w:spacing w:after="0" w:line="360" w:lineRule="auto"/>
        <w:ind w:right="49"/>
        <w:jc w:val="both"/>
        <w:rPr>
          <w:rFonts w:ascii="Palatino Linotype" w:eastAsia="Palatino Linotype" w:hAnsi="Palatino Linotype" w:cs="Palatino Linotype"/>
          <w:sz w:val="24"/>
          <w:szCs w:val="24"/>
        </w:rPr>
      </w:pPr>
    </w:p>
    <w:p w14:paraId="3B29A069" w14:textId="77777777" w:rsidR="00AB0D98" w:rsidRPr="000E18A3" w:rsidRDefault="00E944F7">
      <w:pP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t xml:space="preserve">CUARTO. </w:t>
      </w:r>
      <w:r w:rsidRPr="000E18A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0E18A3">
        <w:rPr>
          <w:rFonts w:ascii="Palatino Linotype" w:eastAsia="Palatino Linotype" w:hAnsi="Palatino Linotype" w:cs="Palatino Linotype"/>
          <w:b/>
          <w:sz w:val="24"/>
          <w:szCs w:val="24"/>
        </w:rPr>
        <w:t>EL SUJETO OBLIGADO</w:t>
      </w:r>
      <w:r w:rsidRPr="000E18A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6FBB802" w14:textId="77777777" w:rsidR="00AB0D98" w:rsidRPr="000E18A3" w:rsidRDefault="00AB0D98">
      <w:pPr>
        <w:spacing w:after="0" w:line="360" w:lineRule="auto"/>
        <w:jc w:val="both"/>
        <w:rPr>
          <w:rFonts w:ascii="Palatino Linotype" w:eastAsia="Palatino Linotype" w:hAnsi="Palatino Linotype" w:cs="Palatino Linotype"/>
          <w:sz w:val="24"/>
          <w:szCs w:val="24"/>
        </w:rPr>
      </w:pPr>
    </w:p>
    <w:p w14:paraId="41CEF2BA" w14:textId="77777777" w:rsidR="00AB0D98" w:rsidRPr="000E18A3" w:rsidRDefault="00E944F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b/>
          <w:sz w:val="24"/>
          <w:szCs w:val="24"/>
        </w:rPr>
        <w:lastRenderedPageBreak/>
        <w:t xml:space="preserve">QUINTO. Notifíquese, </w:t>
      </w:r>
      <w:r w:rsidRPr="000E18A3">
        <w:rPr>
          <w:rFonts w:ascii="Palatino Linotype" w:eastAsia="Palatino Linotype" w:hAnsi="Palatino Linotype" w:cs="Palatino Linotype"/>
          <w:sz w:val="24"/>
          <w:szCs w:val="24"/>
        </w:rPr>
        <w:t xml:space="preserve">vía </w:t>
      </w:r>
      <w:r w:rsidRPr="000E18A3">
        <w:rPr>
          <w:rFonts w:ascii="Palatino Linotype" w:eastAsia="Palatino Linotype" w:hAnsi="Palatino Linotype" w:cs="Palatino Linotype"/>
          <w:b/>
          <w:sz w:val="24"/>
          <w:szCs w:val="24"/>
        </w:rPr>
        <w:t>SAIMEX</w:t>
      </w:r>
      <w:r w:rsidRPr="000E18A3">
        <w:rPr>
          <w:rFonts w:ascii="Palatino Linotype" w:eastAsia="Palatino Linotype" w:hAnsi="Palatino Linotype" w:cs="Palatino Linotype"/>
          <w:sz w:val="24"/>
          <w:szCs w:val="24"/>
        </w:rPr>
        <w:t xml:space="preserve">, a </w:t>
      </w:r>
      <w:r w:rsidRPr="000E18A3">
        <w:rPr>
          <w:rFonts w:ascii="Palatino Linotype" w:eastAsia="Palatino Linotype" w:hAnsi="Palatino Linotype" w:cs="Palatino Linotype"/>
          <w:b/>
          <w:sz w:val="24"/>
          <w:szCs w:val="24"/>
        </w:rPr>
        <w:t>LA PARTE RECURRENTE</w:t>
      </w:r>
      <w:r w:rsidRPr="000E18A3">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B42A6C8" w14:textId="77777777" w:rsidR="00AB0D98" w:rsidRPr="000E18A3" w:rsidRDefault="00AB0D98">
      <w:pPr>
        <w:spacing w:after="0" w:line="360" w:lineRule="auto"/>
        <w:ind w:right="51"/>
        <w:jc w:val="both"/>
        <w:rPr>
          <w:rFonts w:ascii="Palatino Linotype" w:eastAsia="Palatino Linotype" w:hAnsi="Palatino Linotype" w:cs="Palatino Linotype"/>
          <w:sz w:val="24"/>
          <w:szCs w:val="24"/>
        </w:rPr>
      </w:pPr>
    </w:p>
    <w:p w14:paraId="07051F00" w14:textId="77777777" w:rsidR="00AB0D98" w:rsidRPr="000E18A3" w:rsidRDefault="00E944F7">
      <w:pPr>
        <w:spacing w:after="0" w:line="360" w:lineRule="auto"/>
        <w:ind w:right="49"/>
        <w:jc w:val="both"/>
        <w:rPr>
          <w:rFonts w:ascii="Palatino Linotype" w:eastAsia="Palatino Linotype" w:hAnsi="Palatino Linotype" w:cs="Palatino Linotype"/>
          <w:sz w:val="24"/>
          <w:szCs w:val="24"/>
        </w:rPr>
      </w:pPr>
      <w:r w:rsidRPr="000E18A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837E6" w:rsidRPr="000E18A3">
        <w:rPr>
          <w:rFonts w:ascii="Palatino Linotype" w:eastAsia="Palatino Linotype" w:hAnsi="Palatino Linotype" w:cs="Palatino Linotype"/>
          <w:sz w:val="24"/>
          <w:szCs w:val="24"/>
        </w:rPr>
        <w:t xml:space="preserve"> (EMITIENDO VOTO PARTICULAR)</w:t>
      </w:r>
      <w:r w:rsidRPr="000E18A3">
        <w:rPr>
          <w:rFonts w:ascii="Palatino Linotype" w:eastAsia="Palatino Linotype" w:hAnsi="Palatino Linotype" w:cs="Palatino Linotype"/>
          <w:sz w:val="24"/>
          <w:szCs w:val="24"/>
        </w:rPr>
        <w:t xml:space="preserve"> Y GUADALUPE RAMÍREZ PEÑA; EN LA TRIGÉSIMA NOVENA SESIÓN ORDINARIA CELEBRADA EL TRECE DE NOVIEMBRE DE DOS MIL VEINTICUATRO, ANTE EL SECRETARIO TÉCNICO DEL PLENO ALEXIS TAPIA RAMÍREZ.</w:t>
      </w:r>
    </w:p>
    <w:p w14:paraId="6A82FC65" w14:textId="77777777" w:rsidR="00AB0D98" w:rsidRPr="000E18A3" w:rsidRDefault="00AB0D98">
      <w:pPr>
        <w:spacing w:after="0" w:line="360" w:lineRule="auto"/>
        <w:ind w:right="51"/>
        <w:jc w:val="both"/>
        <w:rPr>
          <w:rFonts w:ascii="Palatino Linotype" w:eastAsia="Palatino Linotype" w:hAnsi="Palatino Linotype" w:cs="Palatino Linotype"/>
          <w:sz w:val="24"/>
          <w:szCs w:val="24"/>
        </w:rPr>
      </w:pPr>
    </w:p>
    <w:p w14:paraId="3E198DC7" w14:textId="77777777" w:rsidR="009837E6" w:rsidRPr="000E18A3" w:rsidRDefault="009837E6">
      <w:pPr>
        <w:spacing w:after="0" w:line="360" w:lineRule="auto"/>
        <w:ind w:right="51"/>
        <w:jc w:val="both"/>
        <w:rPr>
          <w:rFonts w:ascii="Palatino Linotype" w:eastAsia="Palatino Linotype" w:hAnsi="Palatino Linotype" w:cs="Palatino Linotype"/>
          <w:sz w:val="24"/>
          <w:szCs w:val="24"/>
        </w:rPr>
      </w:pPr>
    </w:p>
    <w:p w14:paraId="7560D206" w14:textId="77777777" w:rsidR="009837E6" w:rsidRPr="000E18A3" w:rsidRDefault="009837E6">
      <w:pPr>
        <w:spacing w:after="0" w:line="360" w:lineRule="auto"/>
        <w:ind w:right="51"/>
        <w:jc w:val="both"/>
        <w:rPr>
          <w:rFonts w:ascii="Palatino Linotype" w:eastAsia="Palatino Linotype" w:hAnsi="Palatino Linotype" w:cs="Palatino Linotype"/>
          <w:sz w:val="24"/>
          <w:szCs w:val="24"/>
        </w:rPr>
      </w:pPr>
    </w:p>
    <w:p w14:paraId="1E661C01" w14:textId="77777777" w:rsidR="009837E6" w:rsidRPr="000E18A3" w:rsidRDefault="009837E6">
      <w:pPr>
        <w:spacing w:after="0" w:line="360" w:lineRule="auto"/>
        <w:ind w:right="51"/>
        <w:jc w:val="both"/>
        <w:rPr>
          <w:rFonts w:ascii="Palatino Linotype" w:eastAsia="Palatino Linotype" w:hAnsi="Palatino Linotype" w:cs="Palatino Linotype"/>
          <w:sz w:val="24"/>
          <w:szCs w:val="24"/>
        </w:rPr>
      </w:pPr>
    </w:p>
    <w:p w14:paraId="4E4D1486" w14:textId="77777777" w:rsidR="009837E6" w:rsidRPr="000E18A3" w:rsidRDefault="009837E6">
      <w:pPr>
        <w:spacing w:after="0" w:line="360" w:lineRule="auto"/>
        <w:ind w:right="51"/>
        <w:jc w:val="both"/>
        <w:rPr>
          <w:rFonts w:ascii="Palatino Linotype" w:eastAsia="Palatino Linotype" w:hAnsi="Palatino Linotype" w:cs="Palatino Linotype"/>
          <w:sz w:val="24"/>
          <w:szCs w:val="24"/>
        </w:rPr>
      </w:pPr>
    </w:p>
    <w:p w14:paraId="7E19416D" w14:textId="77777777" w:rsidR="009837E6" w:rsidRPr="000E18A3" w:rsidRDefault="009837E6">
      <w:pPr>
        <w:spacing w:after="0" w:line="360" w:lineRule="auto"/>
        <w:ind w:right="51"/>
        <w:jc w:val="both"/>
        <w:rPr>
          <w:rFonts w:ascii="Palatino Linotype" w:eastAsia="Palatino Linotype" w:hAnsi="Palatino Linotype" w:cs="Palatino Linotype"/>
          <w:sz w:val="24"/>
          <w:szCs w:val="24"/>
        </w:rPr>
      </w:pPr>
    </w:p>
    <w:p w14:paraId="29EFF041" w14:textId="77777777" w:rsidR="009837E6" w:rsidRPr="000E18A3" w:rsidRDefault="009837E6">
      <w:pPr>
        <w:spacing w:after="0" w:line="360" w:lineRule="auto"/>
        <w:ind w:right="51"/>
        <w:jc w:val="both"/>
        <w:rPr>
          <w:rFonts w:ascii="Palatino Linotype" w:eastAsia="Palatino Linotype" w:hAnsi="Palatino Linotype" w:cs="Palatino Linotype"/>
          <w:sz w:val="24"/>
          <w:szCs w:val="24"/>
        </w:rPr>
      </w:pPr>
    </w:p>
    <w:sectPr w:rsidR="009837E6" w:rsidRPr="000E18A3">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1D35" w14:textId="77777777" w:rsidR="00E944F7" w:rsidRDefault="00E944F7">
      <w:pPr>
        <w:spacing w:after="0" w:line="240" w:lineRule="auto"/>
      </w:pPr>
      <w:r>
        <w:separator/>
      </w:r>
    </w:p>
  </w:endnote>
  <w:endnote w:type="continuationSeparator" w:id="0">
    <w:p w14:paraId="18588B33" w14:textId="77777777" w:rsidR="00E944F7" w:rsidRDefault="00E9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1565" w14:textId="77777777" w:rsidR="00AB0D98" w:rsidRDefault="00E944F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837E6">
      <w:rPr>
        <w:rFonts w:ascii="Arial" w:eastAsia="Arial" w:hAnsi="Arial" w:cs="Arial"/>
        <w:b/>
        <w:noProof/>
        <w:color w:val="000000"/>
        <w:sz w:val="20"/>
        <w:szCs w:val="20"/>
      </w:rPr>
      <w:t>61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837E6">
      <w:rPr>
        <w:rFonts w:ascii="Arial" w:eastAsia="Arial" w:hAnsi="Arial" w:cs="Arial"/>
        <w:b/>
        <w:noProof/>
        <w:color w:val="000000"/>
        <w:sz w:val="20"/>
        <w:szCs w:val="20"/>
      </w:rPr>
      <w:t>64</w:t>
    </w:r>
    <w:r>
      <w:rPr>
        <w:rFonts w:ascii="Arial" w:eastAsia="Arial" w:hAnsi="Arial" w:cs="Arial"/>
        <w:b/>
        <w:color w:val="000000"/>
        <w:sz w:val="20"/>
        <w:szCs w:val="20"/>
      </w:rPr>
      <w:fldChar w:fldCharType="end"/>
    </w:r>
  </w:p>
  <w:p w14:paraId="0909BB6E" w14:textId="77777777" w:rsidR="00AB0D98" w:rsidRDefault="00AB0D9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6B56" w14:textId="77777777" w:rsidR="00AB0D98" w:rsidRDefault="00E944F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837E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837E6">
      <w:rPr>
        <w:rFonts w:ascii="Arial" w:eastAsia="Arial" w:hAnsi="Arial" w:cs="Arial"/>
        <w:b/>
        <w:noProof/>
        <w:color w:val="000000"/>
        <w:sz w:val="20"/>
        <w:szCs w:val="20"/>
      </w:rPr>
      <w:t>63</w:t>
    </w:r>
    <w:r>
      <w:rPr>
        <w:rFonts w:ascii="Arial" w:eastAsia="Arial" w:hAnsi="Arial" w:cs="Arial"/>
        <w:b/>
        <w:color w:val="000000"/>
        <w:sz w:val="20"/>
        <w:szCs w:val="20"/>
      </w:rPr>
      <w:fldChar w:fldCharType="end"/>
    </w:r>
  </w:p>
  <w:p w14:paraId="5FD8762A" w14:textId="77777777" w:rsidR="00AB0D98" w:rsidRDefault="00AB0D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B89D" w14:textId="77777777" w:rsidR="00E944F7" w:rsidRDefault="00E944F7">
      <w:pPr>
        <w:spacing w:after="0" w:line="240" w:lineRule="auto"/>
      </w:pPr>
      <w:r>
        <w:separator/>
      </w:r>
    </w:p>
  </w:footnote>
  <w:footnote w:type="continuationSeparator" w:id="0">
    <w:p w14:paraId="56A7E499" w14:textId="77777777" w:rsidR="00E944F7" w:rsidRDefault="00E944F7">
      <w:pPr>
        <w:spacing w:after="0" w:line="240" w:lineRule="auto"/>
      </w:pPr>
      <w:r>
        <w:continuationSeparator/>
      </w:r>
    </w:p>
  </w:footnote>
  <w:footnote w:id="1">
    <w:p w14:paraId="1963AB1E" w14:textId="77777777" w:rsidR="00AB0D98" w:rsidRDefault="00E944F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FA84FCE" w14:textId="77777777" w:rsidR="00AB0D98" w:rsidRDefault="00E944F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97C0" w14:textId="77777777" w:rsidR="00AB0D98" w:rsidRDefault="00AB0D98">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AB0D98" w14:paraId="0496C060" w14:textId="77777777">
      <w:trPr>
        <w:trHeight w:val="246"/>
      </w:trPr>
      <w:tc>
        <w:tcPr>
          <w:tcW w:w="5716" w:type="dxa"/>
        </w:tcPr>
        <w:p w14:paraId="66E16096" w14:textId="77777777" w:rsidR="00AB0D98" w:rsidRDefault="00E944F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F435167" w14:textId="77777777" w:rsidR="00AB0D98" w:rsidRDefault="00E944F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06059/INFOEM/IP/RR/2024.</w:t>
          </w:r>
        </w:p>
      </w:tc>
    </w:tr>
    <w:tr w:rsidR="00AB0D98" w14:paraId="15B37A0C" w14:textId="77777777">
      <w:trPr>
        <w:trHeight w:val="212"/>
      </w:trPr>
      <w:tc>
        <w:tcPr>
          <w:tcW w:w="5716" w:type="dxa"/>
        </w:tcPr>
        <w:p w14:paraId="265EE257" w14:textId="77777777" w:rsidR="00AB0D98" w:rsidRDefault="00E944F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r>
            <w:rPr>
              <w:noProof/>
            </w:rPr>
            <w:drawing>
              <wp:anchor distT="0" distB="0" distL="0" distR="0" simplePos="0" relativeHeight="251658240" behindDoc="1" locked="0" layoutInCell="1" hidden="0" allowOverlap="1" wp14:anchorId="0BD1296A" wp14:editId="722E7E21">
                <wp:simplePos x="0" y="0"/>
                <wp:positionH relativeFrom="column">
                  <wp:posOffset>59690</wp:posOffset>
                </wp:positionH>
                <wp:positionV relativeFrom="paragraph">
                  <wp:posOffset>-253999</wp:posOffset>
                </wp:positionV>
                <wp:extent cx="7353300" cy="8658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211DF7AD" w14:textId="77777777" w:rsidR="00AB0D98" w:rsidRDefault="00AB0D98">
          <w:pPr>
            <w:spacing w:after="120"/>
            <w:ind w:left="-486" w:right="214" w:firstLine="567"/>
            <w:jc w:val="right"/>
            <w:rPr>
              <w:rFonts w:ascii="Palatino Linotype" w:eastAsia="Palatino Linotype" w:hAnsi="Palatino Linotype" w:cs="Palatino Linotype"/>
              <w:sz w:val="24"/>
              <w:szCs w:val="24"/>
            </w:rPr>
          </w:pPr>
        </w:p>
      </w:tc>
    </w:tr>
    <w:tr w:rsidR="00AB0D98" w14:paraId="7AF92FBF" w14:textId="77777777">
      <w:trPr>
        <w:trHeight w:val="264"/>
      </w:trPr>
      <w:tc>
        <w:tcPr>
          <w:tcW w:w="5716" w:type="dxa"/>
        </w:tcPr>
        <w:p w14:paraId="215DDBCE" w14:textId="77777777" w:rsidR="00AB0D98" w:rsidRDefault="00E944F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8C61F37" w14:textId="77777777" w:rsidR="00AB0D98" w:rsidRDefault="00E944F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Sistema de Autopistas, Aeropuertos, Servicios Conexos y Auxiliares </w:t>
          </w:r>
        </w:p>
        <w:p w14:paraId="53A84F5B" w14:textId="77777777" w:rsidR="00AB0D98" w:rsidRDefault="00E944F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Estado de México.</w:t>
          </w:r>
        </w:p>
      </w:tc>
    </w:tr>
    <w:tr w:rsidR="00AB0D98" w14:paraId="26703AB0" w14:textId="77777777">
      <w:trPr>
        <w:trHeight w:val="373"/>
      </w:trPr>
      <w:tc>
        <w:tcPr>
          <w:tcW w:w="5716" w:type="dxa"/>
        </w:tcPr>
        <w:p w14:paraId="44A99C7C" w14:textId="77777777" w:rsidR="00AB0D98" w:rsidRDefault="00E944F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9E522AE" w14:textId="77777777" w:rsidR="00AB0D98" w:rsidRDefault="00E944F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A8844BC" w14:textId="77777777" w:rsidR="00AB0D98" w:rsidRDefault="00AB0D9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AF08" w14:textId="77777777" w:rsidR="00AB0D98" w:rsidRDefault="00AB0D98">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AB0D98" w14:paraId="3CC4F395" w14:textId="77777777">
      <w:trPr>
        <w:trHeight w:val="246"/>
      </w:trPr>
      <w:tc>
        <w:tcPr>
          <w:tcW w:w="5716" w:type="dxa"/>
        </w:tcPr>
        <w:p w14:paraId="61789029" w14:textId="77777777" w:rsidR="00AB0D98" w:rsidRDefault="00E944F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9264" behindDoc="1" locked="0" layoutInCell="1" hidden="0" allowOverlap="1" wp14:anchorId="7CA9A1C9" wp14:editId="12B08825">
                <wp:simplePos x="0" y="0"/>
                <wp:positionH relativeFrom="column">
                  <wp:posOffset>69215</wp:posOffset>
                </wp:positionH>
                <wp:positionV relativeFrom="paragraph">
                  <wp:posOffset>53340</wp:posOffset>
                </wp:positionV>
                <wp:extent cx="7353300" cy="865822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693F4EF5" w14:textId="77777777" w:rsidR="00AB0D98" w:rsidRDefault="00E944F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06059/INFOEM/IP/RR/2024.</w:t>
          </w:r>
        </w:p>
      </w:tc>
    </w:tr>
    <w:tr w:rsidR="00AB0D98" w14:paraId="6F13C049" w14:textId="77777777">
      <w:trPr>
        <w:trHeight w:val="212"/>
      </w:trPr>
      <w:tc>
        <w:tcPr>
          <w:tcW w:w="5716" w:type="dxa"/>
        </w:tcPr>
        <w:p w14:paraId="6AC16827" w14:textId="77777777" w:rsidR="00AB0D98" w:rsidRDefault="00E944F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8C595E2" w14:textId="327F541C" w:rsidR="00AB0D98" w:rsidRDefault="00C76E8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 XXXXXX XXXXXXX XXXXXX</w:t>
          </w:r>
          <w:r w:rsidR="00E944F7">
            <w:rPr>
              <w:rFonts w:ascii="Palatino Linotype" w:eastAsia="Palatino Linotype" w:hAnsi="Palatino Linotype" w:cs="Palatino Linotype"/>
              <w:sz w:val="24"/>
              <w:szCs w:val="24"/>
            </w:rPr>
            <w:t>.</w:t>
          </w:r>
        </w:p>
      </w:tc>
    </w:tr>
    <w:tr w:rsidR="00AB0D98" w14:paraId="640303F1" w14:textId="77777777">
      <w:trPr>
        <w:trHeight w:val="264"/>
      </w:trPr>
      <w:tc>
        <w:tcPr>
          <w:tcW w:w="5716" w:type="dxa"/>
        </w:tcPr>
        <w:p w14:paraId="63C4B1C5" w14:textId="77777777" w:rsidR="00AB0D98" w:rsidRDefault="00E944F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BE4B926" w14:textId="77777777" w:rsidR="00AB0D98" w:rsidRDefault="00E944F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Sistema de Autopistas, Aeropuertos, Servicios Conexos y Auxiliares </w:t>
          </w:r>
        </w:p>
        <w:p w14:paraId="609F8D77" w14:textId="77777777" w:rsidR="00AB0D98" w:rsidRDefault="00E944F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Estado de México.</w:t>
          </w:r>
        </w:p>
      </w:tc>
    </w:tr>
    <w:tr w:rsidR="00AB0D98" w14:paraId="79445F61" w14:textId="77777777">
      <w:trPr>
        <w:trHeight w:val="373"/>
      </w:trPr>
      <w:tc>
        <w:tcPr>
          <w:tcW w:w="5716" w:type="dxa"/>
        </w:tcPr>
        <w:p w14:paraId="62BB1C1A" w14:textId="77777777" w:rsidR="00AB0D98" w:rsidRDefault="00E944F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F31EC55" w14:textId="77777777" w:rsidR="00AB0D98" w:rsidRDefault="00E944F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F0BF8A9" w14:textId="77777777" w:rsidR="00AB0D98" w:rsidRDefault="00AB0D9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1BF"/>
    <w:multiLevelType w:val="multilevel"/>
    <w:tmpl w:val="20A80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592E79"/>
    <w:multiLevelType w:val="multilevel"/>
    <w:tmpl w:val="2DD22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678F9"/>
    <w:multiLevelType w:val="multilevel"/>
    <w:tmpl w:val="8EA4D3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6E6E7D"/>
    <w:multiLevelType w:val="multilevel"/>
    <w:tmpl w:val="0F9893B6"/>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7B3525"/>
    <w:multiLevelType w:val="multilevel"/>
    <w:tmpl w:val="28580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7D57E80"/>
    <w:multiLevelType w:val="multilevel"/>
    <w:tmpl w:val="AAEEEF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D910966"/>
    <w:multiLevelType w:val="multilevel"/>
    <w:tmpl w:val="7F8EE13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DFE3A88"/>
    <w:multiLevelType w:val="multilevel"/>
    <w:tmpl w:val="859E71B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98"/>
    <w:rsid w:val="000E18A3"/>
    <w:rsid w:val="009837E6"/>
    <w:rsid w:val="00AB0D98"/>
    <w:rsid w:val="00C76E8A"/>
    <w:rsid w:val="00E94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3E38"/>
  <w15:docId w15:val="{4E574B19-047C-42A2-931E-73ADFF34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5F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A75F7"/>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A75F7"/>
  </w:style>
  <w:style w:type="paragraph" w:styleId="Piedepgina">
    <w:name w:val="footer"/>
    <w:basedOn w:val="Normal"/>
    <w:link w:val="PiedepginaCar"/>
    <w:uiPriority w:val="99"/>
    <w:unhideWhenUsed/>
    <w:rsid w:val="000A75F7"/>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0A75F7"/>
  </w:style>
  <w:style w:type="paragraph" w:styleId="Prrafodelista">
    <w:name w:val="List Paragraph"/>
    <w:basedOn w:val="Normal"/>
    <w:uiPriority w:val="34"/>
    <w:qFormat/>
    <w:rsid w:val="00A275E3"/>
    <w:pPr>
      <w:ind w:left="720"/>
      <w:contextualSpacing/>
    </w:pPr>
  </w:style>
  <w:style w:type="paragraph" w:styleId="Listaconvietas3">
    <w:name w:val="List Bullet 3"/>
    <w:basedOn w:val="Normal"/>
    <w:uiPriority w:val="99"/>
    <w:unhideWhenUsed/>
    <w:rsid w:val="00773CEE"/>
    <w:pPr>
      <w:numPr>
        <w:numId w:val="8"/>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rtalanterior.ine.mx/archivos2/portal/credencial/pdf-credencial/ABC_credenciales_%20INE_201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player.es/5455342-Nuevas-tecnologias-biometricas-instituto-nacional-de-ciencias-penales-procuraduria-general-de-la-republica-version-1-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WTkQITr8PHWj1hs4kFW4NNtuAg==">CgMxLjAyCGgubG54Yno5MgloLjM1bmt1bjIyCWguMWZvYjl0ZTIIaC5namRneHM4AHIhMTIwcGd6aGRrVS0zd093SThoRjYyNVdBOERIcVZ3ME9G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15068</Words>
  <Characters>82876</Characters>
  <Application>Microsoft Office Word</Application>
  <DocSecurity>0</DocSecurity>
  <Lines>690</Lines>
  <Paragraphs>195</Paragraphs>
  <ScaleCrop>false</ScaleCrop>
  <Company>HP Inc.</Company>
  <LinksUpToDate>false</LinksUpToDate>
  <CharactersWithSpaces>97749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dcterms:created xsi:type="dcterms:W3CDTF">2024-12-04T18:14:00Z</dcterms:created>
  <dcterms:modified xsi:type="dcterms:W3CDTF">2024-12-04T18:14:00Z</dcterms:modified>
</cp:coreProperties>
</file>