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86C52" w14:textId="77777777" w:rsidR="00EA744E" w:rsidRPr="00875B7E" w:rsidRDefault="00EA744E" w:rsidP="00EA744E">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Resolución del Pleno del Instituto de Transparencia, Acceso a la Infor</w:t>
      </w:r>
      <w:bookmarkStart w:id="0" w:name="_GoBack"/>
      <w:bookmarkEnd w:id="0"/>
      <w:r w:rsidRPr="00875B7E">
        <w:rPr>
          <w:rFonts w:eastAsia="Palatino Linotype" w:cs="Palatino Linotype"/>
          <w:color w:val="000000"/>
          <w:szCs w:val="24"/>
        </w:rPr>
        <w:t xml:space="preserve">mación Pública y Protección de Datos Personales del Estado de México y Municipios, con domicilio en Metepec, Estado de </w:t>
      </w:r>
      <w:r w:rsidRPr="006F000C">
        <w:rPr>
          <w:rFonts w:eastAsia="Palatino Linotype" w:cs="Palatino Linotype"/>
          <w:color w:val="000000"/>
          <w:szCs w:val="24"/>
        </w:rPr>
        <w:t>México, a</w:t>
      </w:r>
      <w:r>
        <w:rPr>
          <w:rFonts w:eastAsia="Palatino Linotype" w:cs="Palatino Linotype"/>
          <w:color w:val="000000"/>
          <w:szCs w:val="24"/>
        </w:rPr>
        <w:t xml:space="preserve"> </w:t>
      </w:r>
      <w:r w:rsidRPr="000D12AF">
        <w:rPr>
          <w:rFonts w:eastAsia="Palatino Linotype" w:cs="Palatino Linotype"/>
          <w:color w:val="000000"/>
          <w:szCs w:val="24"/>
        </w:rPr>
        <w:t>treinta y uno de enero de dos mil veinticuatro</w:t>
      </w:r>
      <w:r w:rsidRPr="00875B7E">
        <w:rPr>
          <w:rFonts w:eastAsia="Palatino Linotype" w:cs="Palatino Linotype"/>
          <w:color w:val="000000"/>
          <w:szCs w:val="24"/>
        </w:rPr>
        <w:t>.</w:t>
      </w:r>
    </w:p>
    <w:p w14:paraId="77E04B3F" w14:textId="77777777" w:rsidR="00EA744E" w:rsidRPr="00875B7E" w:rsidRDefault="00EA744E" w:rsidP="00EA744E">
      <w:pPr>
        <w:pBdr>
          <w:top w:val="nil"/>
          <w:left w:val="nil"/>
          <w:bottom w:val="nil"/>
          <w:right w:val="nil"/>
          <w:between w:val="nil"/>
        </w:pBdr>
        <w:contextualSpacing/>
        <w:rPr>
          <w:rFonts w:eastAsia="Palatino Linotype" w:cs="Palatino Linotype"/>
          <w:color w:val="000000"/>
          <w:szCs w:val="24"/>
        </w:rPr>
      </w:pPr>
    </w:p>
    <w:p w14:paraId="72B39856" w14:textId="77777777" w:rsidR="00EA744E" w:rsidRPr="00875B7E" w:rsidRDefault="00EA744E" w:rsidP="00EA744E">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b/>
          <w:color w:val="000000"/>
          <w:szCs w:val="24"/>
        </w:rPr>
        <w:t>VISTO</w:t>
      </w:r>
      <w:r w:rsidRPr="00875B7E">
        <w:rPr>
          <w:rFonts w:eastAsia="Palatino Linotype" w:cs="Palatino Linotype"/>
          <w:color w:val="000000"/>
          <w:szCs w:val="24"/>
        </w:rPr>
        <w:t xml:space="preserve"> el expediente electrónico formado con motivo del recurso de revisión número </w:t>
      </w:r>
      <w:r>
        <w:rPr>
          <w:rFonts w:eastAsia="Palatino Linotype" w:cs="Palatino Linotype"/>
          <w:b/>
          <w:color w:val="000000"/>
          <w:szCs w:val="24"/>
        </w:rPr>
        <w:t>04810/</w:t>
      </w:r>
      <w:r w:rsidRPr="00875B7E">
        <w:rPr>
          <w:rFonts w:eastAsia="Palatino Linotype" w:cs="Palatino Linotype"/>
          <w:b/>
          <w:color w:val="000000"/>
          <w:szCs w:val="24"/>
        </w:rPr>
        <w:t>INFOEM/IP/RR/202</w:t>
      </w:r>
      <w:r>
        <w:rPr>
          <w:rFonts w:eastAsia="Palatino Linotype" w:cs="Palatino Linotype"/>
          <w:b/>
          <w:color w:val="000000"/>
          <w:szCs w:val="24"/>
        </w:rPr>
        <w:t>3</w:t>
      </w:r>
      <w:r w:rsidRPr="00875B7E">
        <w:rPr>
          <w:rFonts w:eastAsia="Palatino Linotype" w:cs="Palatino Linotype"/>
          <w:color w:val="000000"/>
          <w:szCs w:val="24"/>
        </w:rPr>
        <w:t>, interpuesto por</w:t>
      </w:r>
      <w:r w:rsidR="00300CE0">
        <w:rPr>
          <w:rFonts w:eastAsia="Palatino Linotype" w:cs="Palatino Linotype"/>
          <w:color w:val="000000"/>
          <w:szCs w:val="24"/>
        </w:rPr>
        <w:t xml:space="preserve"> </w:t>
      </w:r>
      <w:r>
        <w:rPr>
          <w:rFonts w:eastAsia="Palatino Linotype" w:cs="Palatino Linotype"/>
          <w:color w:val="000000"/>
          <w:szCs w:val="24"/>
        </w:rPr>
        <w:t>un particular que no brindo nombre o seudónimo para ser identificado</w:t>
      </w:r>
      <w:r>
        <w:rPr>
          <w:rFonts w:cs="Arial"/>
          <w:szCs w:val="24"/>
        </w:rPr>
        <w:t xml:space="preserve">, </w:t>
      </w:r>
      <w:r w:rsidRPr="00875B7E">
        <w:rPr>
          <w:rFonts w:eastAsia="Palatino Linotype" w:cs="Palatino Linotype"/>
          <w:color w:val="000000"/>
          <w:szCs w:val="24"/>
        </w:rPr>
        <w:t xml:space="preserve">en lo sucesivo el </w:t>
      </w:r>
      <w:r w:rsidRPr="00875B7E">
        <w:rPr>
          <w:rFonts w:eastAsia="Palatino Linotype" w:cs="Palatino Linotype"/>
          <w:b/>
          <w:color w:val="000000"/>
          <w:szCs w:val="24"/>
        </w:rPr>
        <w:t>Recurrente</w:t>
      </w:r>
      <w:r w:rsidRPr="00875B7E">
        <w:rPr>
          <w:rFonts w:eastAsia="Palatino Linotype" w:cs="Palatino Linotype"/>
          <w:color w:val="000000"/>
          <w:szCs w:val="24"/>
        </w:rPr>
        <w:t xml:space="preserve">, en contra de la respuesta del </w:t>
      </w:r>
      <w:r>
        <w:rPr>
          <w:rFonts w:eastAsia="Palatino Linotype" w:cs="Palatino Linotype"/>
          <w:b/>
          <w:color w:val="000000"/>
          <w:szCs w:val="24"/>
        </w:rPr>
        <w:t>Ayuntamiento de Zinacantepec</w:t>
      </w:r>
      <w:r w:rsidRPr="00875B7E">
        <w:rPr>
          <w:rFonts w:eastAsia="Palatino Linotype" w:cs="Palatino Linotype"/>
          <w:color w:val="000000"/>
          <w:szCs w:val="24"/>
        </w:rPr>
        <w:t>, en lo subsecuente</w:t>
      </w:r>
      <w:r w:rsidRPr="00875B7E">
        <w:rPr>
          <w:rFonts w:eastAsia="Palatino Linotype" w:cs="Palatino Linotype"/>
          <w:b/>
          <w:color w:val="000000"/>
          <w:szCs w:val="24"/>
        </w:rPr>
        <w:t xml:space="preserve"> </w:t>
      </w:r>
      <w:r w:rsidRPr="00875B7E">
        <w:rPr>
          <w:rFonts w:eastAsia="Palatino Linotype" w:cs="Palatino Linotype"/>
          <w:color w:val="000000"/>
          <w:szCs w:val="24"/>
        </w:rPr>
        <w:t>el</w:t>
      </w:r>
      <w:r w:rsidRPr="00875B7E">
        <w:rPr>
          <w:rFonts w:eastAsia="Palatino Linotype" w:cs="Palatino Linotype"/>
          <w:b/>
          <w:color w:val="000000"/>
          <w:szCs w:val="24"/>
        </w:rPr>
        <w:t xml:space="preserve"> Sujeto Obligado, </w:t>
      </w:r>
      <w:r w:rsidRPr="00875B7E">
        <w:rPr>
          <w:rFonts w:eastAsia="Palatino Linotype" w:cs="Palatino Linotype"/>
          <w:color w:val="000000"/>
          <w:szCs w:val="24"/>
        </w:rPr>
        <w:t>se procede a dictar la presente resolución.</w:t>
      </w:r>
    </w:p>
    <w:p w14:paraId="6EE7FD2C" w14:textId="77777777" w:rsidR="00EA744E" w:rsidRPr="00875B7E" w:rsidRDefault="00EA744E" w:rsidP="00EA744E">
      <w:pPr>
        <w:pBdr>
          <w:top w:val="nil"/>
          <w:left w:val="nil"/>
          <w:bottom w:val="nil"/>
          <w:right w:val="nil"/>
          <w:between w:val="nil"/>
        </w:pBdr>
        <w:contextualSpacing/>
        <w:rPr>
          <w:rFonts w:eastAsia="Palatino Linotype" w:cs="Palatino Linotype"/>
          <w:color w:val="000000"/>
          <w:szCs w:val="24"/>
        </w:rPr>
      </w:pPr>
    </w:p>
    <w:p w14:paraId="54E86A68" w14:textId="77777777" w:rsidR="00EA744E" w:rsidRPr="006922F5" w:rsidRDefault="00EA744E" w:rsidP="00EA744E">
      <w:pPr>
        <w:pStyle w:val="Ttulo1"/>
        <w:rPr>
          <w:rFonts w:eastAsia="Palatino Linotype"/>
          <w:lang w:val="es-ES_tradnl"/>
        </w:rPr>
      </w:pPr>
      <w:r w:rsidRPr="006922F5">
        <w:rPr>
          <w:rFonts w:eastAsia="Palatino Linotype"/>
          <w:lang w:val="es-ES_tradnl"/>
        </w:rPr>
        <w:t>A N T E C E D E N T E S</w:t>
      </w:r>
    </w:p>
    <w:p w14:paraId="7347077F" w14:textId="77777777" w:rsidR="00EA744E" w:rsidRPr="00875B7E" w:rsidRDefault="00EA744E" w:rsidP="00EA744E">
      <w:pPr>
        <w:pBdr>
          <w:top w:val="nil"/>
          <w:left w:val="nil"/>
          <w:bottom w:val="nil"/>
          <w:right w:val="nil"/>
          <w:between w:val="nil"/>
        </w:pBdr>
        <w:contextualSpacing/>
        <w:rPr>
          <w:rFonts w:eastAsia="Palatino Linotype" w:cs="Palatino Linotype"/>
          <w:color w:val="000000"/>
          <w:szCs w:val="24"/>
        </w:rPr>
      </w:pPr>
    </w:p>
    <w:p w14:paraId="06F78CAD" w14:textId="77777777" w:rsidR="00EA744E" w:rsidRPr="006922F5" w:rsidRDefault="00EA744E" w:rsidP="00EA744E">
      <w:pPr>
        <w:pStyle w:val="Ttulo2"/>
        <w:rPr>
          <w:rFonts w:eastAsia="Palatino Linotype"/>
        </w:rPr>
      </w:pPr>
      <w:r w:rsidRPr="006922F5">
        <w:rPr>
          <w:rFonts w:eastAsia="Palatino Linotype"/>
        </w:rPr>
        <w:t>PRIMERO. De la Solicitud de Información.</w:t>
      </w:r>
    </w:p>
    <w:p w14:paraId="61DC6DEF" w14:textId="77777777" w:rsidR="00EA744E" w:rsidRPr="006922F5" w:rsidRDefault="00EA744E" w:rsidP="00EA744E">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Pr>
          <w:rFonts w:eastAsia="Palatino Linotype" w:cs="Palatino Linotype"/>
          <w:color w:val="000000"/>
          <w:szCs w:val="24"/>
        </w:rPr>
        <w:t xml:space="preserve"> tres de agosto de dos mil veintitrés</w:t>
      </w:r>
      <w:r w:rsidRPr="006922F5">
        <w:rPr>
          <w:rFonts w:eastAsia="Palatino Linotype" w:cs="Palatino Linotype"/>
          <w:color w:val="000000"/>
          <w:szCs w:val="24"/>
        </w:rPr>
        <w:t xml:space="preserve">, </w:t>
      </w:r>
      <w:r>
        <w:rPr>
          <w:rFonts w:eastAsia="Palatino Linotype" w:cs="Palatino Linotype"/>
          <w:color w:val="000000"/>
          <w:szCs w:val="24"/>
        </w:rPr>
        <w:t>el</w:t>
      </w:r>
      <w:r w:rsidRPr="006922F5">
        <w:rPr>
          <w:rFonts w:eastAsia="Palatino Linotype" w:cs="Palatino Linotype"/>
          <w:color w:val="000000"/>
          <w:szCs w:val="24"/>
        </w:rPr>
        <w:t xml:space="preserve"> Recurrente presentó mediante el Sistema de Acceso a la Información Mexiquense (SAIMEX), solicitud de información registrada con el número de </w:t>
      </w:r>
      <w:r w:rsidRPr="000147D3">
        <w:rPr>
          <w:rFonts w:eastAsia="Palatino Linotype" w:cs="Palatino Linotype"/>
          <w:szCs w:val="24"/>
        </w:rPr>
        <w:t>expediente</w:t>
      </w:r>
      <w:r>
        <w:rPr>
          <w:rFonts w:ascii="Verdana" w:hAnsi="Verdana"/>
          <w:b/>
          <w:bCs/>
          <w:color w:val="FF0000"/>
        </w:rPr>
        <w:t> </w:t>
      </w:r>
      <w:r w:rsidRPr="00EA744E">
        <w:rPr>
          <w:b/>
          <w:bCs/>
        </w:rPr>
        <w:t>01115/ZINACANT/IP/2023</w:t>
      </w:r>
      <w:r w:rsidRPr="00802B59">
        <w:rPr>
          <w:rFonts w:eastAsia="Palatino Linotype" w:cs="Palatino Linotype"/>
          <w:szCs w:val="24"/>
        </w:rPr>
        <w:t>,</w:t>
      </w:r>
      <w:r w:rsidRPr="00802B59">
        <w:rPr>
          <w:rFonts w:eastAsia="Palatino Linotype" w:cs="Palatino Linotype"/>
          <w:b/>
          <w:szCs w:val="24"/>
        </w:rPr>
        <w:t xml:space="preserve"> </w:t>
      </w:r>
      <w:r w:rsidRPr="006922F5">
        <w:rPr>
          <w:rFonts w:eastAsia="Palatino Linotype" w:cs="Palatino Linotype"/>
          <w:color w:val="000000"/>
          <w:szCs w:val="24"/>
        </w:rPr>
        <w:t>mediante la cual solicitó información en el tenor siguiente:</w:t>
      </w:r>
    </w:p>
    <w:p w14:paraId="607266A7" w14:textId="77777777" w:rsidR="00EA744E" w:rsidRPr="00875B7E" w:rsidRDefault="00EA744E" w:rsidP="00EA744E">
      <w:pPr>
        <w:pBdr>
          <w:top w:val="nil"/>
          <w:left w:val="nil"/>
          <w:bottom w:val="nil"/>
          <w:right w:val="nil"/>
          <w:between w:val="nil"/>
        </w:pBdr>
        <w:contextualSpacing/>
        <w:rPr>
          <w:rFonts w:eastAsia="Palatino Linotype" w:cs="Palatino Linotype"/>
          <w:color w:val="000000"/>
          <w:szCs w:val="24"/>
        </w:rPr>
      </w:pPr>
    </w:p>
    <w:p w14:paraId="1FD90609" w14:textId="77777777" w:rsidR="00EA744E" w:rsidRPr="006922F5" w:rsidRDefault="00EA744E" w:rsidP="00EA744E">
      <w:pPr>
        <w:pStyle w:val="Fundamentos"/>
      </w:pPr>
      <w:r w:rsidRPr="0018777B">
        <w:rPr>
          <w:szCs w:val="22"/>
        </w:rPr>
        <w:t>“</w:t>
      </w:r>
      <w:r w:rsidRPr="00EA744E">
        <w:rPr>
          <w:sz w:val="24"/>
        </w:rPr>
        <w:t>SOLICITO SABER CON CUANTOS MODULOS DE ATENCIÓN PARA TURISTAS CUENTA EL MUNICIPIO.”</w:t>
      </w:r>
      <w:r>
        <w:rPr>
          <w:rFonts w:ascii="Verdana" w:hAnsi="Verdana"/>
          <w:sz w:val="14"/>
          <w:szCs w:val="14"/>
        </w:rPr>
        <w:t xml:space="preserve"> </w:t>
      </w:r>
      <w:r>
        <w:t xml:space="preserve"> </w:t>
      </w:r>
      <w:r w:rsidRPr="006922F5">
        <w:t>(Sic)</w:t>
      </w:r>
    </w:p>
    <w:p w14:paraId="63C95A4A" w14:textId="77777777" w:rsidR="00EA744E" w:rsidRPr="00875B7E" w:rsidRDefault="00EA744E" w:rsidP="00EA744E">
      <w:pPr>
        <w:pBdr>
          <w:top w:val="nil"/>
          <w:left w:val="nil"/>
          <w:bottom w:val="nil"/>
          <w:right w:val="nil"/>
          <w:between w:val="nil"/>
        </w:pBdr>
        <w:contextualSpacing/>
        <w:rPr>
          <w:rFonts w:eastAsia="Palatino Linotype" w:cs="Palatino Linotype"/>
          <w:color w:val="000000"/>
          <w:szCs w:val="24"/>
        </w:rPr>
      </w:pPr>
    </w:p>
    <w:p w14:paraId="3E99AC9D" w14:textId="77777777" w:rsidR="00EA744E" w:rsidRPr="006922F5" w:rsidRDefault="00EA744E" w:rsidP="00EA744E">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Pr="006922F5">
        <w:rPr>
          <w:rFonts w:eastAsia="Palatino Linotype" w:cs="Palatino Linotype"/>
          <w:b/>
          <w:color w:val="000000"/>
          <w:szCs w:val="24"/>
        </w:rPr>
        <w:t>A través del SAIMEX</w:t>
      </w:r>
      <w:r w:rsidRPr="006922F5">
        <w:rPr>
          <w:rFonts w:eastAsia="Palatino Linotype" w:cs="Palatino Linotype"/>
          <w:color w:val="000000"/>
          <w:szCs w:val="24"/>
        </w:rPr>
        <w:t>.</w:t>
      </w:r>
    </w:p>
    <w:p w14:paraId="287FD3CF" w14:textId="77777777" w:rsidR="00EA744E" w:rsidRDefault="00EA744E" w:rsidP="00EA744E">
      <w:pPr>
        <w:pBdr>
          <w:top w:val="nil"/>
          <w:left w:val="nil"/>
          <w:bottom w:val="nil"/>
          <w:right w:val="nil"/>
          <w:between w:val="nil"/>
        </w:pBdr>
        <w:contextualSpacing/>
        <w:rPr>
          <w:rFonts w:eastAsia="Palatino Linotype" w:cs="Palatino Linotype"/>
          <w:color w:val="000000"/>
          <w:szCs w:val="24"/>
        </w:rPr>
      </w:pPr>
    </w:p>
    <w:p w14:paraId="4AED7EB2" w14:textId="77777777" w:rsidR="00EA744E" w:rsidRPr="0018777B" w:rsidRDefault="00EA744E" w:rsidP="00EA744E">
      <w:pPr>
        <w:pStyle w:val="Ttulo2"/>
        <w:rPr>
          <w:rFonts w:eastAsia="Palatino Linotype"/>
        </w:rPr>
      </w:pPr>
      <w:r>
        <w:rPr>
          <w:rFonts w:eastAsia="Palatino Linotype"/>
        </w:rPr>
        <w:lastRenderedPageBreak/>
        <w:t>SEGUNDO</w:t>
      </w:r>
      <w:r w:rsidRPr="006922F5">
        <w:rPr>
          <w:rFonts w:eastAsia="Palatino Linotype"/>
        </w:rPr>
        <w:t>. De la respuesta del Sujeto Obligado.</w:t>
      </w:r>
    </w:p>
    <w:p w14:paraId="14224BFB" w14:textId="77777777" w:rsidR="00EA744E" w:rsidRPr="008B6A8F" w:rsidRDefault="00EA744E" w:rsidP="00EA744E">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De las constancias que obran en el expediente electrónico, se observa que el </w:t>
      </w:r>
      <w:r>
        <w:rPr>
          <w:rFonts w:eastAsia="Palatino Linotype" w:cs="Palatino Linotype"/>
          <w:color w:val="000000"/>
          <w:szCs w:val="24"/>
        </w:rPr>
        <w:t>día veinticuatro de agosto de dos mil veintitrés</w:t>
      </w:r>
      <w:r w:rsidRPr="006922F5">
        <w:rPr>
          <w:rFonts w:eastAsia="Palatino Linotype" w:cs="Palatino Linotype"/>
          <w:color w:val="000000"/>
          <w:szCs w:val="24"/>
        </w:rPr>
        <w:t>, el Sujeto Obligado dio respuesta a la solicitud de información manifestando lo siguiente:</w:t>
      </w:r>
    </w:p>
    <w:tbl>
      <w:tblPr>
        <w:tblW w:w="8216" w:type="dxa"/>
        <w:jc w:val="center"/>
        <w:tblCellSpacing w:w="0" w:type="dxa"/>
        <w:tblCellMar>
          <w:left w:w="0" w:type="dxa"/>
          <w:right w:w="0" w:type="dxa"/>
        </w:tblCellMar>
        <w:tblLook w:val="04A0" w:firstRow="1" w:lastRow="0" w:firstColumn="1" w:lastColumn="0" w:noHBand="0" w:noVBand="1"/>
      </w:tblPr>
      <w:tblGrid>
        <w:gridCol w:w="8216"/>
      </w:tblGrid>
      <w:tr w:rsidR="00EA744E" w:rsidRPr="00EA744E" w14:paraId="0C8FF5EE" w14:textId="77777777" w:rsidTr="00EA744E">
        <w:trPr>
          <w:trHeight w:val="320"/>
          <w:tblCellSpacing w:w="0" w:type="dxa"/>
          <w:jc w:val="center"/>
        </w:trPr>
        <w:tc>
          <w:tcPr>
            <w:tcW w:w="0" w:type="auto"/>
            <w:vAlign w:val="center"/>
            <w:hideMark/>
          </w:tcPr>
          <w:p w14:paraId="02C9A372" w14:textId="77777777" w:rsidR="00EA744E" w:rsidRPr="00EA744E" w:rsidRDefault="00EA744E" w:rsidP="00EA744E">
            <w:pPr>
              <w:spacing w:line="240" w:lineRule="auto"/>
              <w:jc w:val="right"/>
              <w:rPr>
                <w:rFonts w:eastAsia="Times New Roman" w:cs="Times New Roman"/>
                <w:i/>
                <w:sz w:val="22"/>
                <w:lang w:val="es-MX"/>
              </w:rPr>
            </w:pPr>
            <w:r w:rsidRPr="00EA744E">
              <w:rPr>
                <w:rFonts w:eastAsia="Times New Roman" w:cs="Times New Roman"/>
                <w:i/>
                <w:sz w:val="22"/>
                <w:lang w:val="es-MX"/>
              </w:rPr>
              <w:t>Zinacantepec, México a 24 de Agosto de 2023</w:t>
            </w:r>
          </w:p>
        </w:tc>
      </w:tr>
      <w:tr w:rsidR="00EA744E" w:rsidRPr="00EA744E" w14:paraId="1756DE6D" w14:textId="77777777" w:rsidTr="00EA744E">
        <w:trPr>
          <w:trHeight w:val="320"/>
          <w:tblCellSpacing w:w="0" w:type="dxa"/>
          <w:jc w:val="center"/>
        </w:trPr>
        <w:tc>
          <w:tcPr>
            <w:tcW w:w="0" w:type="auto"/>
            <w:vAlign w:val="center"/>
            <w:hideMark/>
          </w:tcPr>
          <w:p w14:paraId="09DA50B5" w14:textId="77777777" w:rsidR="00EA744E" w:rsidRPr="00EA744E" w:rsidRDefault="00EA744E" w:rsidP="00EA744E">
            <w:pPr>
              <w:spacing w:line="240" w:lineRule="auto"/>
              <w:jc w:val="right"/>
              <w:rPr>
                <w:rFonts w:eastAsia="Times New Roman" w:cs="Times New Roman"/>
                <w:i/>
                <w:sz w:val="22"/>
                <w:lang w:val="es-MX"/>
              </w:rPr>
            </w:pPr>
            <w:r w:rsidRPr="00EA744E">
              <w:rPr>
                <w:rFonts w:eastAsia="Times New Roman" w:cs="Times New Roman"/>
                <w:i/>
                <w:sz w:val="22"/>
                <w:lang w:val="es-MX"/>
              </w:rPr>
              <w:t>Nombre del solicitante: C. Solicitante</w:t>
            </w:r>
          </w:p>
        </w:tc>
      </w:tr>
      <w:tr w:rsidR="00EA744E" w:rsidRPr="00EA744E" w14:paraId="5F713EF8" w14:textId="77777777" w:rsidTr="00EA744E">
        <w:trPr>
          <w:trHeight w:val="320"/>
          <w:tblCellSpacing w:w="0" w:type="dxa"/>
          <w:jc w:val="center"/>
        </w:trPr>
        <w:tc>
          <w:tcPr>
            <w:tcW w:w="0" w:type="auto"/>
            <w:vAlign w:val="center"/>
            <w:hideMark/>
          </w:tcPr>
          <w:p w14:paraId="7A9FCC65" w14:textId="77777777" w:rsidR="00EA744E" w:rsidRPr="00EA744E" w:rsidRDefault="00EA744E" w:rsidP="00EA744E">
            <w:pPr>
              <w:spacing w:line="240" w:lineRule="auto"/>
              <w:jc w:val="right"/>
              <w:rPr>
                <w:rFonts w:eastAsia="Times New Roman" w:cs="Times New Roman"/>
                <w:i/>
                <w:sz w:val="22"/>
                <w:lang w:val="es-MX"/>
              </w:rPr>
            </w:pPr>
            <w:r w:rsidRPr="00EA744E">
              <w:rPr>
                <w:rFonts w:eastAsia="Times New Roman" w:cs="Times New Roman"/>
                <w:i/>
                <w:sz w:val="22"/>
                <w:lang w:val="es-MX"/>
              </w:rPr>
              <w:t>Folio de la solicitud: 01115/ZINACANT/IP/2023</w:t>
            </w:r>
          </w:p>
        </w:tc>
      </w:tr>
      <w:tr w:rsidR="00EA744E" w:rsidRPr="00EA744E" w14:paraId="354F6991" w14:textId="77777777" w:rsidTr="00EA744E">
        <w:trPr>
          <w:trHeight w:val="481"/>
          <w:tblCellSpacing w:w="0" w:type="dxa"/>
          <w:jc w:val="center"/>
        </w:trPr>
        <w:tc>
          <w:tcPr>
            <w:tcW w:w="0" w:type="auto"/>
            <w:vAlign w:val="center"/>
            <w:hideMark/>
          </w:tcPr>
          <w:p w14:paraId="168988BD" w14:textId="77777777" w:rsidR="00EA744E" w:rsidRPr="00EA744E" w:rsidRDefault="00EA744E" w:rsidP="00EA744E">
            <w:pPr>
              <w:spacing w:line="240" w:lineRule="auto"/>
              <w:jc w:val="right"/>
              <w:rPr>
                <w:rFonts w:eastAsia="Times New Roman" w:cs="Times New Roman"/>
                <w:i/>
                <w:sz w:val="22"/>
                <w:lang w:val="es-MX"/>
              </w:rPr>
            </w:pPr>
          </w:p>
        </w:tc>
      </w:tr>
      <w:tr w:rsidR="00EA744E" w:rsidRPr="00EA744E" w14:paraId="69D7A206" w14:textId="77777777" w:rsidTr="00EA744E">
        <w:trPr>
          <w:trHeight w:val="160"/>
          <w:tblCellSpacing w:w="0" w:type="dxa"/>
          <w:jc w:val="center"/>
        </w:trPr>
        <w:tc>
          <w:tcPr>
            <w:tcW w:w="0" w:type="auto"/>
            <w:vAlign w:val="center"/>
            <w:hideMark/>
          </w:tcPr>
          <w:p w14:paraId="4291AE47" w14:textId="77777777" w:rsidR="00EA744E" w:rsidRPr="00EA744E" w:rsidRDefault="00EA744E" w:rsidP="00EA744E">
            <w:pPr>
              <w:spacing w:line="240" w:lineRule="auto"/>
              <w:jc w:val="left"/>
              <w:rPr>
                <w:rFonts w:eastAsia="Times New Roman" w:cs="Times New Roman"/>
                <w:i/>
                <w:sz w:val="22"/>
                <w:lang w:val="es-MX"/>
              </w:rPr>
            </w:pPr>
            <w:r w:rsidRPr="00EA744E">
              <w:rPr>
                <w:rFonts w:eastAsia="Times New Roman" w:cs="Times New Roman"/>
                <w:i/>
                <w:sz w:val="22"/>
                <w:lang w:val="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EA744E" w:rsidRPr="00EA744E" w14:paraId="2509FCC4" w14:textId="77777777" w:rsidTr="00EA744E">
        <w:trPr>
          <w:trHeight w:val="401"/>
          <w:tblCellSpacing w:w="0" w:type="dxa"/>
          <w:jc w:val="center"/>
        </w:trPr>
        <w:tc>
          <w:tcPr>
            <w:tcW w:w="0" w:type="auto"/>
            <w:vAlign w:val="center"/>
            <w:hideMark/>
          </w:tcPr>
          <w:p w14:paraId="106F9DEB" w14:textId="77777777" w:rsidR="00EA744E" w:rsidRPr="00EA744E" w:rsidRDefault="00EA744E" w:rsidP="00EA744E">
            <w:pPr>
              <w:spacing w:line="240" w:lineRule="auto"/>
              <w:jc w:val="left"/>
              <w:rPr>
                <w:rFonts w:eastAsia="Times New Roman" w:cs="Times New Roman"/>
                <w:i/>
                <w:sz w:val="22"/>
                <w:lang w:val="es-MX"/>
              </w:rPr>
            </w:pPr>
          </w:p>
        </w:tc>
      </w:tr>
      <w:tr w:rsidR="00EA744E" w:rsidRPr="00EA744E" w14:paraId="324E703E" w14:textId="77777777" w:rsidTr="00EA744E">
        <w:trPr>
          <w:trHeight w:val="160"/>
          <w:tblCellSpacing w:w="0" w:type="dxa"/>
          <w:jc w:val="center"/>
        </w:trPr>
        <w:tc>
          <w:tcPr>
            <w:tcW w:w="0" w:type="auto"/>
            <w:vAlign w:val="center"/>
            <w:hideMark/>
          </w:tcPr>
          <w:p w14:paraId="0B32AE1E" w14:textId="77777777" w:rsidR="00EA744E" w:rsidRPr="00EA744E" w:rsidRDefault="00EA744E" w:rsidP="00EA744E">
            <w:pPr>
              <w:spacing w:line="240" w:lineRule="auto"/>
              <w:jc w:val="left"/>
              <w:rPr>
                <w:rFonts w:eastAsia="Times New Roman" w:cs="Times New Roman"/>
                <w:i/>
                <w:sz w:val="22"/>
                <w:lang w:val="es-MX"/>
              </w:rPr>
            </w:pPr>
            <w:r w:rsidRPr="00EA744E">
              <w:rPr>
                <w:rFonts w:eastAsia="Times New Roman" w:cs="Times New Roman"/>
                <w:i/>
                <w:sz w:val="22"/>
                <w:lang w:val="es-MX"/>
              </w:rPr>
              <w:t>SE PROPORCIONA RESPUESTA A LA SOLICITUD DE FOLIO: 01115/ZINACANT/IP/2023 A TRAVÉS DEL DOCUMENTO</w:t>
            </w:r>
          </w:p>
        </w:tc>
      </w:tr>
    </w:tbl>
    <w:p w14:paraId="0634CEF9" w14:textId="77777777" w:rsidR="00EA744E" w:rsidRDefault="00EA744E" w:rsidP="00EA744E">
      <w:pPr>
        <w:pBdr>
          <w:top w:val="nil"/>
          <w:left w:val="nil"/>
          <w:bottom w:val="nil"/>
          <w:right w:val="nil"/>
          <w:between w:val="nil"/>
        </w:pBdr>
        <w:contextualSpacing/>
        <w:rPr>
          <w:rFonts w:eastAsia="Palatino Linotype" w:cs="Palatino Linotype"/>
          <w:color w:val="000000"/>
          <w:szCs w:val="24"/>
        </w:rPr>
      </w:pPr>
    </w:p>
    <w:p w14:paraId="32F4CEC5" w14:textId="77777777" w:rsidR="00EA744E" w:rsidRDefault="00EA744E" w:rsidP="00EA744E">
      <w:pPr>
        <w:pBdr>
          <w:top w:val="nil"/>
          <w:left w:val="nil"/>
          <w:bottom w:val="nil"/>
          <w:right w:val="nil"/>
          <w:between w:val="nil"/>
        </w:pBdr>
        <w:contextualSpacing/>
        <w:rPr>
          <w:rFonts w:eastAsia="Palatino Linotype" w:cs="Palatino Linotype"/>
          <w:color w:val="000000"/>
          <w:szCs w:val="24"/>
        </w:rPr>
      </w:pPr>
    </w:p>
    <w:p w14:paraId="74AD2AC3" w14:textId="77777777" w:rsidR="00EA744E" w:rsidRPr="00C0188E" w:rsidRDefault="00EA744E" w:rsidP="00EA744E">
      <w:pPr>
        <w:pBdr>
          <w:top w:val="nil"/>
          <w:left w:val="nil"/>
          <w:bottom w:val="nil"/>
          <w:right w:val="nil"/>
          <w:between w:val="nil"/>
        </w:pBdr>
        <w:contextualSpacing/>
        <w:rPr>
          <w:szCs w:val="24"/>
        </w:rPr>
      </w:pPr>
      <w:r w:rsidRPr="0037112D">
        <w:rPr>
          <w:rFonts w:eastAsia="Palatino Linotype" w:cs="Palatino Linotype"/>
          <w:color w:val="000000"/>
          <w:szCs w:val="24"/>
        </w:rPr>
        <w:t xml:space="preserve">El Sujeto Obligado </w:t>
      </w:r>
      <w:r>
        <w:rPr>
          <w:rFonts w:eastAsia="Palatino Linotype" w:cs="Palatino Linotype"/>
          <w:color w:val="000000"/>
          <w:szCs w:val="24"/>
        </w:rPr>
        <w:t>adjuntó a su respuesta los documentos denominados</w:t>
      </w:r>
      <w:r>
        <w:rPr>
          <w:rFonts w:eastAsia="Palatino Linotype" w:cs="Palatino Linotype"/>
          <w:b/>
          <w:bCs/>
          <w:color w:val="000000"/>
          <w:szCs w:val="24"/>
        </w:rPr>
        <w:t xml:space="preserve"> </w:t>
      </w:r>
      <w:r w:rsidRPr="00EA744E">
        <w:rPr>
          <w:rFonts w:eastAsia="Palatino Linotype" w:cs="Palatino Linotype"/>
          <w:b/>
          <w:bCs/>
          <w:i/>
          <w:szCs w:val="24"/>
        </w:rPr>
        <w:t>“</w:t>
      </w:r>
      <w:hyperlink r:id="rId7" w:tgtFrame="_blank" w:history="1">
        <w:r w:rsidRPr="00EA744E">
          <w:rPr>
            <w:rStyle w:val="Hipervnculo"/>
            <w:rFonts w:cs="Arial"/>
            <w:b/>
            <w:bCs/>
            <w:i/>
            <w:color w:val="auto"/>
            <w:szCs w:val="24"/>
          </w:rPr>
          <w:t>img023.pdf</w:t>
        </w:r>
      </w:hyperlink>
      <w:r>
        <w:rPr>
          <w:i/>
          <w:szCs w:val="24"/>
        </w:rPr>
        <w:t xml:space="preserve">” y </w:t>
      </w:r>
      <w:r w:rsidRPr="00EA744E">
        <w:rPr>
          <w:rFonts w:cs="Arial"/>
          <w:b/>
          <w:bCs/>
          <w:i/>
          <w:szCs w:val="24"/>
        </w:rPr>
        <w:br/>
      </w:r>
      <w:r>
        <w:rPr>
          <w:i/>
          <w:szCs w:val="24"/>
        </w:rPr>
        <w:t>“</w:t>
      </w:r>
      <w:hyperlink r:id="rId8" w:tgtFrame="_blank" w:history="1">
        <w:r w:rsidRPr="00EA744E">
          <w:rPr>
            <w:rStyle w:val="Hipervnculo"/>
            <w:rFonts w:cs="Arial"/>
            <w:b/>
            <w:bCs/>
            <w:i/>
            <w:color w:val="auto"/>
            <w:szCs w:val="24"/>
          </w:rPr>
          <w:t>SOLICITUD 1115.pdf</w:t>
        </w:r>
      </w:hyperlink>
      <w:r>
        <w:rPr>
          <w:i/>
          <w:szCs w:val="24"/>
        </w:rPr>
        <w:t>”</w:t>
      </w:r>
      <w:r w:rsidRPr="007A5B0F">
        <w:rPr>
          <w:rFonts w:eastAsia="Palatino Linotype" w:cs="Palatino Linotype"/>
          <w:szCs w:val="24"/>
        </w:rPr>
        <w:t>,</w:t>
      </w:r>
      <w:r w:rsidRPr="00802B59">
        <w:rPr>
          <w:rFonts w:eastAsia="Palatino Linotype" w:cs="Palatino Linotype"/>
          <w:szCs w:val="24"/>
        </w:rPr>
        <w:t xml:space="preserve"> </w:t>
      </w:r>
      <w:r>
        <w:rPr>
          <w:rFonts w:eastAsia="Palatino Linotype" w:cs="Palatino Linotype"/>
          <w:color w:val="000000"/>
          <w:szCs w:val="24"/>
        </w:rPr>
        <w:t>los cuales no se reproducen por ser del conocimiento de las partes; no obstante, su contenido será motivo de análisis en el estudio correspondiente.</w:t>
      </w:r>
    </w:p>
    <w:p w14:paraId="324E7AD2" w14:textId="77777777" w:rsidR="00EA744E" w:rsidRPr="0037112D" w:rsidRDefault="00EA744E" w:rsidP="00EA744E">
      <w:pPr>
        <w:pBdr>
          <w:top w:val="nil"/>
          <w:left w:val="nil"/>
          <w:bottom w:val="nil"/>
          <w:right w:val="nil"/>
          <w:between w:val="nil"/>
        </w:pBdr>
        <w:contextualSpacing/>
        <w:rPr>
          <w:rFonts w:eastAsia="Palatino Linotype" w:cs="Palatino Linotype"/>
          <w:color w:val="000000"/>
          <w:szCs w:val="24"/>
        </w:rPr>
      </w:pPr>
    </w:p>
    <w:p w14:paraId="07CA870F" w14:textId="77777777" w:rsidR="00EA744E" w:rsidRPr="006922F5" w:rsidRDefault="00EA744E" w:rsidP="00EA744E">
      <w:pPr>
        <w:pStyle w:val="Ttulo2"/>
        <w:rPr>
          <w:rFonts w:eastAsia="Palatino Linotype"/>
        </w:rPr>
      </w:pPr>
      <w:r>
        <w:rPr>
          <w:rFonts w:eastAsia="Palatino Linotype"/>
        </w:rPr>
        <w:t>TERCERO</w:t>
      </w:r>
      <w:r w:rsidRPr="006922F5">
        <w:rPr>
          <w:rFonts w:eastAsia="Palatino Linotype"/>
        </w:rPr>
        <w:t>. Del recurso de revisión.</w:t>
      </w:r>
    </w:p>
    <w:p w14:paraId="7FAC09D6" w14:textId="77777777" w:rsidR="00EA744E" w:rsidRPr="006922F5" w:rsidRDefault="00EA744E" w:rsidP="00EA744E">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Inconforme con la respuesta emitida por el Sujeto Obligado, </w:t>
      </w:r>
      <w:r>
        <w:rPr>
          <w:rFonts w:eastAsia="Palatino Linotype" w:cs="Palatino Linotype"/>
          <w:color w:val="000000"/>
          <w:szCs w:val="24"/>
        </w:rPr>
        <w:t>el</w:t>
      </w:r>
      <w:r w:rsidRPr="006922F5">
        <w:rPr>
          <w:rFonts w:eastAsia="Palatino Linotype" w:cs="Palatino Linotype"/>
          <w:color w:val="000000"/>
          <w:szCs w:val="24"/>
        </w:rPr>
        <w:t xml:space="preserve"> Recurrente interpuso el presente recurso de revisión el </w:t>
      </w:r>
      <w:r>
        <w:rPr>
          <w:rFonts w:eastAsia="Palatino Linotype" w:cs="Palatino Linotype"/>
          <w:color w:val="000000"/>
          <w:szCs w:val="24"/>
        </w:rPr>
        <w:t xml:space="preserve">día </w:t>
      </w:r>
      <w:r w:rsidR="000D5020">
        <w:rPr>
          <w:rFonts w:eastAsia="Palatino Linotype" w:cs="Palatino Linotype"/>
          <w:color w:val="000000"/>
          <w:szCs w:val="24"/>
        </w:rPr>
        <w:t xml:space="preserve">veinticuatro de agosto de </w:t>
      </w:r>
      <w:r>
        <w:rPr>
          <w:rFonts w:eastAsia="Palatino Linotype" w:cs="Palatino Linotype"/>
          <w:color w:val="000000"/>
          <w:szCs w:val="24"/>
        </w:rPr>
        <w:t>dos mil veintitrés</w:t>
      </w:r>
      <w:r w:rsidRPr="006922F5">
        <w:rPr>
          <w:rFonts w:eastAsia="Palatino Linotype" w:cs="Palatino Linotype"/>
          <w:color w:val="000000"/>
          <w:szCs w:val="24"/>
        </w:rPr>
        <w:t xml:space="preserve">, el cual se registró con el expediente número </w:t>
      </w:r>
      <w:r>
        <w:rPr>
          <w:rFonts w:eastAsia="Palatino Linotype" w:cs="Palatino Linotype"/>
          <w:b/>
          <w:color w:val="000000"/>
          <w:szCs w:val="24"/>
        </w:rPr>
        <w:t>04810/INFOEM/IP/RR/2023</w:t>
      </w:r>
      <w:r w:rsidRPr="006922F5">
        <w:rPr>
          <w:rFonts w:eastAsia="Palatino Linotype" w:cs="Palatino Linotype"/>
          <w:color w:val="000000"/>
          <w:szCs w:val="24"/>
        </w:rPr>
        <w:t>, manifestando lo siguiente:</w:t>
      </w:r>
    </w:p>
    <w:p w14:paraId="06024A36" w14:textId="77777777" w:rsidR="00EA744E" w:rsidRPr="006922F5" w:rsidRDefault="00EA744E" w:rsidP="00EA744E">
      <w:pPr>
        <w:pBdr>
          <w:top w:val="nil"/>
          <w:left w:val="nil"/>
          <w:bottom w:val="nil"/>
          <w:right w:val="nil"/>
          <w:between w:val="nil"/>
        </w:pBdr>
        <w:contextualSpacing/>
        <w:rPr>
          <w:rFonts w:eastAsia="Palatino Linotype" w:cs="Palatino Linotype"/>
          <w:color w:val="000000"/>
          <w:szCs w:val="24"/>
        </w:rPr>
      </w:pPr>
    </w:p>
    <w:p w14:paraId="20E5A9A6" w14:textId="77777777" w:rsidR="00EA744E" w:rsidRPr="006922F5" w:rsidRDefault="00EA744E" w:rsidP="00EA744E">
      <w:pPr>
        <w:contextualSpacing/>
        <w:rPr>
          <w:rFonts w:eastAsia="Palatino Linotype" w:cs="Palatino Linotype"/>
          <w:b/>
        </w:rPr>
      </w:pPr>
      <w:r w:rsidRPr="006922F5">
        <w:rPr>
          <w:rFonts w:eastAsia="Palatino Linotype" w:cs="Palatino Linotype"/>
          <w:b/>
        </w:rPr>
        <w:t xml:space="preserve">Acto Impugnado: </w:t>
      </w:r>
    </w:p>
    <w:p w14:paraId="25AA0957" w14:textId="77777777" w:rsidR="00EA744E" w:rsidRPr="00C47FB8" w:rsidRDefault="00EA744E" w:rsidP="00EA744E">
      <w:pPr>
        <w:pStyle w:val="Fundamentos"/>
        <w:rPr>
          <w:b/>
          <w:szCs w:val="22"/>
        </w:rPr>
      </w:pPr>
      <w:r w:rsidRPr="00C47FB8">
        <w:rPr>
          <w:szCs w:val="22"/>
        </w:rPr>
        <w:lastRenderedPageBreak/>
        <w:t>“</w:t>
      </w:r>
      <w:r w:rsidR="000D5020">
        <w:rPr>
          <w:color w:val="auto"/>
          <w:szCs w:val="22"/>
        </w:rPr>
        <w:t>NO ENTREGA LA INFORMACIÓN</w:t>
      </w:r>
      <w:r w:rsidRPr="00C47FB8">
        <w:rPr>
          <w:szCs w:val="22"/>
        </w:rPr>
        <w:t>” Sic)</w:t>
      </w:r>
    </w:p>
    <w:p w14:paraId="073525C0" w14:textId="77777777" w:rsidR="00EA744E" w:rsidRPr="006922F5" w:rsidRDefault="00EA744E" w:rsidP="00EA744E">
      <w:pPr>
        <w:contextualSpacing/>
        <w:rPr>
          <w:rFonts w:eastAsia="Palatino Linotype" w:cs="Palatino Linotype"/>
          <w:iCs/>
          <w:szCs w:val="24"/>
        </w:rPr>
      </w:pPr>
    </w:p>
    <w:p w14:paraId="1CF5F3BE" w14:textId="77777777" w:rsidR="00EA744E" w:rsidRPr="006922F5" w:rsidRDefault="00EA744E" w:rsidP="00EA744E">
      <w:pPr>
        <w:contextualSpacing/>
        <w:rPr>
          <w:rFonts w:eastAsia="Palatino Linotype" w:cs="Palatino Linotype"/>
        </w:rPr>
      </w:pPr>
      <w:r w:rsidRPr="006922F5">
        <w:rPr>
          <w:rFonts w:eastAsia="Palatino Linotype" w:cs="Palatino Linotype"/>
          <w:b/>
        </w:rPr>
        <w:t>Razones o Motivos de Inconformidad</w:t>
      </w:r>
      <w:r w:rsidRPr="006922F5">
        <w:rPr>
          <w:rFonts w:eastAsia="Palatino Linotype" w:cs="Palatino Linotype"/>
        </w:rPr>
        <w:t>:</w:t>
      </w:r>
    </w:p>
    <w:p w14:paraId="22949452" w14:textId="77777777" w:rsidR="00EA744E" w:rsidRPr="00951868" w:rsidRDefault="00EA744E" w:rsidP="00EA744E">
      <w:pPr>
        <w:pStyle w:val="Fundamentos"/>
        <w:rPr>
          <w:sz w:val="24"/>
        </w:rPr>
      </w:pPr>
      <w:r w:rsidRPr="00C47FB8">
        <w:rPr>
          <w:szCs w:val="22"/>
        </w:rPr>
        <w:t>“</w:t>
      </w:r>
      <w:r w:rsidR="000D5020">
        <w:rPr>
          <w:color w:val="auto"/>
          <w:szCs w:val="22"/>
        </w:rPr>
        <w:t>NO ENTREGA LA INFORMACIÓN</w:t>
      </w:r>
      <w:r w:rsidRPr="00C47FB8">
        <w:rPr>
          <w:szCs w:val="22"/>
        </w:rPr>
        <w:t xml:space="preserve">” </w:t>
      </w:r>
      <w:r w:rsidRPr="00951868">
        <w:rPr>
          <w:sz w:val="24"/>
        </w:rPr>
        <w:t>(Sic)</w:t>
      </w:r>
    </w:p>
    <w:p w14:paraId="390ACE87" w14:textId="77777777" w:rsidR="00EA744E" w:rsidRPr="006922F5" w:rsidRDefault="00EA744E" w:rsidP="00EA744E">
      <w:pPr>
        <w:pBdr>
          <w:top w:val="nil"/>
          <w:left w:val="nil"/>
          <w:bottom w:val="nil"/>
          <w:right w:val="nil"/>
          <w:between w:val="nil"/>
        </w:pBdr>
        <w:contextualSpacing/>
        <w:rPr>
          <w:rFonts w:eastAsia="Palatino Linotype" w:cs="Palatino Linotype"/>
          <w:color w:val="000000"/>
          <w:szCs w:val="24"/>
        </w:rPr>
      </w:pPr>
    </w:p>
    <w:p w14:paraId="6EA1E87B" w14:textId="77777777" w:rsidR="00EA744E" w:rsidRPr="006922F5" w:rsidRDefault="00EA744E" w:rsidP="00EA744E">
      <w:pPr>
        <w:pStyle w:val="Ttulo2"/>
        <w:rPr>
          <w:rFonts w:eastAsia="Palatino Linotype"/>
        </w:rPr>
      </w:pPr>
      <w:r>
        <w:rPr>
          <w:rFonts w:eastAsia="Palatino Linotype"/>
        </w:rPr>
        <w:t>CUARTO</w:t>
      </w:r>
      <w:r w:rsidRPr="006922F5">
        <w:rPr>
          <w:rFonts w:eastAsia="Palatino Linotype"/>
        </w:rPr>
        <w:t>. Del turno y admisión del recurso de revisión.</w:t>
      </w:r>
    </w:p>
    <w:p w14:paraId="5460B5E9" w14:textId="77777777" w:rsidR="00EA744E" w:rsidRPr="006922F5" w:rsidRDefault="00EA744E" w:rsidP="00EA744E">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Medio de impugnación que le fue turnado al </w:t>
      </w:r>
      <w:r w:rsidRPr="006922F5">
        <w:rPr>
          <w:rFonts w:eastAsia="Palatino Linotype" w:cs="Palatino Linotype"/>
          <w:b/>
          <w:color w:val="000000"/>
          <w:szCs w:val="24"/>
        </w:rPr>
        <w:t>Comisionado Presidente José Martínez Vilchis</w:t>
      </w:r>
      <w:r w:rsidRPr="006922F5">
        <w:rPr>
          <w:rFonts w:eastAsia="Palatino Linotype" w:cs="Palatino Linotype"/>
          <w:color w:val="000000"/>
          <w:szCs w:val="24"/>
        </w:rPr>
        <w:t>, por medio del sistema electrónico en términos del numeral 185 fracción I de la Ley de Transparencia y Acceso a la información Pública del Estado de México y Municipios, al cual recayó acuerdo de admisión de fecha</w:t>
      </w:r>
      <w:r>
        <w:rPr>
          <w:rFonts w:eastAsia="Palatino Linotype" w:cs="Palatino Linotype"/>
          <w:color w:val="000000"/>
          <w:szCs w:val="24"/>
        </w:rPr>
        <w:t xml:space="preserve"> </w:t>
      </w:r>
      <w:r w:rsidR="000D5020">
        <w:rPr>
          <w:rFonts w:eastAsia="Palatino Linotype" w:cs="Palatino Linotype"/>
          <w:b/>
          <w:color w:val="000000"/>
          <w:szCs w:val="24"/>
        </w:rPr>
        <w:t xml:space="preserve">treinta de agosto </w:t>
      </w:r>
      <w:r>
        <w:rPr>
          <w:rFonts w:eastAsia="Palatino Linotype" w:cs="Palatino Linotype"/>
          <w:color w:val="000000"/>
          <w:szCs w:val="24"/>
        </w:rPr>
        <w:t>de dos mil veintitrés</w:t>
      </w:r>
      <w:r w:rsidRPr="006922F5">
        <w:rPr>
          <w:rFonts w:eastAsia="Palatino Linotype" w:cs="Palatino Linotype"/>
          <w:color w:val="000000"/>
          <w:szCs w:val="24"/>
        </w:rPr>
        <w:t xml:space="preserve">, </w:t>
      </w:r>
      <w:r w:rsidRPr="006922F5">
        <w:rPr>
          <w:rFonts w:eastAsia="Palatino Linotype" w:cs="Palatino Linotype"/>
          <w:szCs w:val="24"/>
        </w:rPr>
        <w:t>otorgándose</w:t>
      </w:r>
      <w:r w:rsidRPr="006922F5">
        <w:rPr>
          <w:rFonts w:eastAsia="Palatino Linotype" w:cs="Palatino Linotype"/>
          <w:color w:val="000000"/>
          <w:szCs w:val="24"/>
        </w:rPr>
        <w:t xml:space="preserve"> en él un plazo de siete días para que las partes manifestaran lo que a su derecho corresponda en términos del numeral ya citado.</w:t>
      </w:r>
    </w:p>
    <w:p w14:paraId="1D2F95F8" w14:textId="77777777" w:rsidR="00EA744E" w:rsidRPr="006922F5" w:rsidRDefault="00EA744E" w:rsidP="00EA744E">
      <w:pPr>
        <w:pBdr>
          <w:top w:val="nil"/>
          <w:left w:val="nil"/>
          <w:bottom w:val="nil"/>
          <w:right w:val="nil"/>
          <w:between w:val="nil"/>
        </w:pBdr>
        <w:contextualSpacing/>
        <w:rPr>
          <w:rFonts w:eastAsia="Palatino Linotype" w:cs="Palatino Linotype"/>
          <w:color w:val="000000"/>
          <w:szCs w:val="24"/>
        </w:rPr>
      </w:pPr>
    </w:p>
    <w:p w14:paraId="45991B44" w14:textId="77777777" w:rsidR="00EA744E" w:rsidRPr="006922F5" w:rsidRDefault="00EA744E" w:rsidP="00EA744E">
      <w:pPr>
        <w:pStyle w:val="Ttulo2"/>
        <w:rPr>
          <w:rFonts w:eastAsia="Palatino Linotype"/>
        </w:rPr>
      </w:pPr>
      <w:r>
        <w:rPr>
          <w:rFonts w:eastAsia="Palatino Linotype"/>
        </w:rPr>
        <w:t>QUINTO</w:t>
      </w:r>
      <w:r w:rsidRPr="006922F5">
        <w:rPr>
          <w:rFonts w:eastAsia="Palatino Linotype"/>
        </w:rPr>
        <w:t>. De la etapa de instrucción.</w:t>
      </w:r>
    </w:p>
    <w:p w14:paraId="1DB7E72E" w14:textId="77777777" w:rsidR="00EA744E" w:rsidRPr="009849E0" w:rsidRDefault="00EA744E" w:rsidP="00EA744E">
      <w:pPr>
        <w:pBdr>
          <w:top w:val="nil"/>
          <w:left w:val="nil"/>
          <w:bottom w:val="nil"/>
          <w:right w:val="nil"/>
          <w:between w:val="nil"/>
        </w:pBdr>
        <w:contextualSpacing/>
        <w:rPr>
          <w:rFonts w:eastAsia="Palatino Linotype" w:cs="Palatino Linotype"/>
          <w:color w:val="000000"/>
          <w:szCs w:val="24"/>
        </w:rPr>
      </w:pPr>
      <w:r w:rsidRPr="006F65AC">
        <w:rPr>
          <w:rFonts w:eastAsia="Palatino Linotype" w:cs="Palatino Linotype"/>
          <w:color w:val="000000"/>
          <w:szCs w:val="24"/>
        </w:rPr>
        <w:t>Una vez a</w:t>
      </w:r>
      <w:r>
        <w:rPr>
          <w:rFonts w:eastAsia="Palatino Linotype" w:cs="Palatino Linotype"/>
          <w:color w:val="000000"/>
          <w:szCs w:val="24"/>
        </w:rPr>
        <w:t xml:space="preserve">bierta la etapa de instrucción, el Sujeto Obligado fue omiso al rendir </w:t>
      </w:r>
      <w:r w:rsidRPr="006F65AC">
        <w:rPr>
          <w:rFonts w:eastAsia="Palatino Linotype" w:cs="Palatino Linotype"/>
          <w:color w:val="000000"/>
          <w:szCs w:val="24"/>
        </w:rPr>
        <w:t>su Informe Justificado</w:t>
      </w:r>
      <w:r>
        <w:rPr>
          <w:rFonts w:eastAsia="Palatino Linotype" w:cs="Palatino Linotype"/>
          <w:color w:val="000000"/>
          <w:szCs w:val="24"/>
        </w:rPr>
        <w:t>. Por su</w:t>
      </w:r>
      <w:r w:rsidRPr="006F65AC">
        <w:rPr>
          <w:rFonts w:eastAsia="Palatino Linotype" w:cs="Palatino Linotype"/>
          <w:color w:val="000000"/>
          <w:szCs w:val="24"/>
        </w:rPr>
        <w:t xml:space="preserve"> parte, </w:t>
      </w:r>
      <w:r>
        <w:rPr>
          <w:rFonts w:eastAsia="Palatino Linotype" w:cs="Palatino Linotype"/>
          <w:color w:val="000000"/>
          <w:szCs w:val="24"/>
        </w:rPr>
        <w:t xml:space="preserve">el Recurrente no realizó manifestaciones, vertió alegatos ni presentó pruebas que a su derecho convinieran. </w:t>
      </w:r>
    </w:p>
    <w:p w14:paraId="332CA3A2" w14:textId="77777777" w:rsidR="00EA744E" w:rsidRPr="006922F5" w:rsidRDefault="00EA744E" w:rsidP="00EA744E">
      <w:pPr>
        <w:pBdr>
          <w:top w:val="nil"/>
          <w:left w:val="nil"/>
          <w:bottom w:val="nil"/>
          <w:right w:val="nil"/>
          <w:between w:val="nil"/>
        </w:pBdr>
        <w:contextualSpacing/>
        <w:rPr>
          <w:rFonts w:eastAsia="Palatino Linotype" w:cs="Palatino Linotype"/>
          <w:color w:val="000000"/>
          <w:szCs w:val="24"/>
        </w:rPr>
      </w:pPr>
    </w:p>
    <w:p w14:paraId="528E421C" w14:textId="77777777" w:rsidR="00EA744E" w:rsidRPr="006922F5" w:rsidRDefault="00EA744E" w:rsidP="00EA744E">
      <w:pPr>
        <w:pStyle w:val="Ttulo2"/>
        <w:rPr>
          <w:rFonts w:eastAsia="Palatino Linotype"/>
        </w:rPr>
      </w:pPr>
      <w:r w:rsidRPr="006922F5">
        <w:rPr>
          <w:rFonts w:eastAsia="Palatino Linotype"/>
        </w:rPr>
        <w:t>S</w:t>
      </w:r>
      <w:r>
        <w:rPr>
          <w:rFonts w:eastAsia="Palatino Linotype"/>
        </w:rPr>
        <w:t>EXTO</w:t>
      </w:r>
      <w:r w:rsidRPr="006922F5">
        <w:rPr>
          <w:rFonts w:eastAsia="Palatino Linotype"/>
        </w:rPr>
        <w:t>. Del cierre de instrucción.</w:t>
      </w:r>
    </w:p>
    <w:p w14:paraId="368B1838" w14:textId="77777777" w:rsidR="000D5020" w:rsidRPr="000D5020" w:rsidRDefault="00EA744E" w:rsidP="000D5020">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instrucción en fecha</w:t>
      </w:r>
      <w:r>
        <w:rPr>
          <w:rFonts w:eastAsia="Palatino Linotype" w:cs="Palatino Linotype"/>
          <w:color w:val="000000"/>
          <w:szCs w:val="24"/>
        </w:rPr>
        <w:t xml:space="preserve"> </w:t>
      </w:r>
      <w:r w:rsidR="000D5020">
        <w:rPr>
          <w:rFonts w:eastAsia="Palatino Linotype" w:cs="Palatino Linotype"/>
          <w:b/>
          <w:color w:val="000000"/>
          <w:szCs w:val="24"/>
        </w:rPr>
        <w:t xml:space="preserve">doce de septiembre </w:t>
      </w:r>
      <w:r>
        <w:rPr>
          <w:rFonts w:eastAsia="Palatino Linotype" w:cs="Palatino Linotype"/>
          <w:color w:val="000000"/>
          <w:szCs w:val="24"/>
        </w:rPr>
        <w:t>de dos mil veintitrés</w:t>
      </w:r>
      <w:r w:rsidRPr="006922F5">
        <w:rPr>
          <w:rFonts w:eastAsia="Palatino Linotype" w:cs="Palatino Linotype"/>
          <w:color w:val="000000"/>
          <w:szCs w:val="24"/>
        </w:rPr>
        <w:t>, en términos del artículo 185 fracción VI de la Ley de Transparencia y Acceso a la Información Pública del Estado de México y Municipios, iniciando el término legal para dictar resolución definitiva del asunto.</w:t>
      </w:r>
    </w:p>
    <w:p w14:paraId="112CF357" w14:textId="77777777" w:rsidR="000D5020" w:rsidRPr="00705051" w:rsidRDefault="000D5020" w:rsidP="000D5020">
      <w:pPr>
        <w:pStyle w:val="Ttulo2"/>
        <w:rPr>
          <w:rFonts w:eastAsia="Times New Roman"/>
          <w:lang w:eastAsia="en-US"/>
        </w:rPr>
      </w:pPr>
      <w:r w:rsidRPr="00705051">
        <w:rPr>
          <w:rFonts w:eastAsia="Times New Roman"/>
          <w:lang w:eastAsia="en-US"/>
        </w:rPr>
        <w:lastRenderedPageBreak/>
        <w:t>SÉPTIMO. De la ampliación del término para resolver.</w:t>
      </w:r>
    </w:p>
    <w:p w14:paraId="047FFFAA" w14:textId="77777777" w:rsidR="000D5020" w:rsidRPr="006922F5" w:rsidRDefault="000D5020" w:rsidP="000D5020">
      <w:pPr>
        <w:rPr>
          <w:rFonts w:cs="Times New Roman"/>
          <w:szCs w:val="24"/>
          <w:lang w:eastAsia="en-US"/>
        </w:rPr>
      </w:pPr>
      <w:r w:rsidRPr="00705051">
        <w:rPr>
          <w:rFonts w:cs="Times New Roman"/>
          <w:szCs w:val="24"/>
          <w:lang w:eastAsia="en-US"/>
        </w:rPr>
        <w:t xml:space="preserve">En fecha </w:t>
      </w:r>
      <w:r>
        <w:rPr>
          <w:rFonts w:cs="Times New Roman"/>
          <w:szCs w:val="24"/>
          <w:lang w:eastAsia="en-US"/>
        </w:rPr>
        <w:t xml:space="preserve">once de octubre </w:t>
      </w:r>
      <w:r w:rsidRPr="00705051">
        <w:rPr>
          <w:rFonts w:cs="Times New Roman"/>
          <w:szCs w:val="24"/>
          <w:lang w:eastAsia="en-US"/>
        </w:rPr>
        <w:t>de dos mil veinti</w:t>
      </w:r>
      <w:r>
        <w:rPr>
          <w:rFonts w:cs="Times New Roman"/>
          <w:szCs w:val="24"/>
          <w:lang w:eastAsia="en-US"/>
        </w:rPr>
        <w:t>trés</w:t>
      </w:r>
      <w:r w:rsidRPr="00705051">
        <w:rPr>
          <w:rFonts w:cs="Times New Roman"/>
          <w:szCs w:val="24"/>
          <w:lang w:eastAsia="en-US"/>
        </w:rPr>
        <w:t>, se amplió el término para resolver el recurso de revisión en términos del artículo 181 párrafo tercero de la Ley de Transparencia y Acceso a la Información Pública del Estado de México y Municipios.</w:t>
      </w:r>
    </w:p>
    <w:p w14:paraId="3D7FD2EE" w14:textId="77777777" w:rsidR="000D5020" w:rsidRDefault="000D5020" w:rsidP="000D5020">
      <w:pPr>
        <w:contextualSpacing/>
        <w:rPr>
          <w:rFonts w:cs="Palatino Linotype"/>
          <w:color w:val="000000"/>
          <w:szCs w:val="24"/>
        </w:rPr>
      </w:pPr>
    </w:p>
    <w:p w14:paraId="6BCBDAD0" w14:textId="77777777" w:rsidR="000D5020" w:rsidRPr="00711DC7" w:rsidRDefault="000D5020" w:rsidP="000D5020">
      <w:pPr>
        <w:contextualSpacing/>
        <w:rPr>
          <w:rFonts w:cs="Times New Roman"/>
          <w:szCs w:val="24"/>
          <w:lang w:eastAsia="en-US"/>
        </w:rPr>
      </w:pPr>
      <w:r w:rsidRPr="00711DC7">
        <w:rPr>
          <w:rFonts w:cs="Times New Roman"/>
          <w:szCs w:val="24"/>
          <w:lang w:eastAsia="en-US"/>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06963C0D" w14:textId="77777777" w:rsidR="000D5020" w:rsidRPr="00711DC7" w:rsidRDefault="000D5020" w:rsidP="000D5020">
      <w:pPr>
        <w:contextualSpacing/>
        <w:rPr>
          <w:rFonts w:cs="Times New Roman"/>
          <w:szCs w:val="24"/>
          <w:lang w:eastAsia="en-US"/>
        </w:rPr>
      </w:pPr>
      <w:r w:rsidRPr="00711DC7">
        <w:rPr>
          <w:rFonts w:cs="Times New Roman"/>
          <w:szCs w:val="24"/>
          <w:lang w:eastAsia="en-US"/>
        </w:rPr>
        <w:t xml:space="preserve"> </w:t>
      </w:r>
    </w:p>
    <w:p w14:paraId="4C8A7425" w14:textId="77777777" w:rsidR="000D5020" w:rsidRPr="00711DC7" w:rsidRDefault="000D5020" w:rsidP="000D5020">
      <w:pPr>
        <w:contextualSpacing/>
        <w:rPr>
          <w:rFonts w:cs="Times New Roman"/>
          <w:szCs w:val="24"/>
          <w:lang w:eastAsia="en-US"/>
        </w:rPr>
      </w:pPr>
      <w:r w:rsidRPr="00711DC7">
        <w:rPr>
          <w:rFonts w:cs="Times New Roman"/>
          <w:szCs w:val="24"/>
          <w:lang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6969CD5" w14:textId="77777777" w:rsidR="000D5020" w:rsidRPr="00711DC7" w:rsidRDefault="000D5020" w:rsidP="000D5020">
      <w:pPr>
        <w:contextualSpacing/>
        <w:rPr>
          <w:rFonts w:cs="Times New Roman"/>
          <w:szCs w:val="24"/>
          <w:lang w:eastAsia="en-US"/>
        </w:rPr>
      </w:pPr>
      <w:r w:rsidRPr="00711DC7">
        <w:rPr>
          <w:rFonts w:cs="Times New Roman"/>
          <w:szCs w:val="24"/>
          <w:lang w:eastAsia="en-US"/>
        </w:rPr>
        <w:t xml:space="preserve"> </w:t>
      </w:r>
    </w:p>
    <w:p w14:paraId="0B0B9F14" w14:textId="77777777" w:rsidR="000D5020" w:rsidRPr="00711DC7" w:rsidRDefault="000D5020" w:rsidP="000D5020">
      <w:pPr>
        <w:contextualSpacing/>
        <w:rPr>
          <w:rFonts w:cs="Times New Roman"/>
          <w:szCs w:val="24"/>
          <w:lang w:eastAsia="en-US"/>
        </w:rPr>
      </w:pPr>
      <w:r w:rsidRPr="00711DC7">
        <w:rPr>
          <w:rFonts w:cs="Times New Roman"/>
          <w:szCs w:val="24"/>
          <w:lang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7E273F1" w14:textId="77777777" w:rsidR="000D5020" w:rsidRPr="00711DC7" w:rsidRDefault="000D5020" w:rsidP="000D5020">
      <w:pPr>
        <w:contextualSpacing/>
        <w:rPr>
          <w:rFonts w:cs="Times New Roman"/>
          <w:szCs w:val="24"/>
          <w:lang w:eastAsia="en-US"/>
        </w:rPr>
      </w:pPr>
      <w:r w:rsidRPr="00711DC7">
        <w:rPr>
          <w:rFonts w:cs="Times New Roman"/>
          <w:szCs w:val="24"/>
          <w:lang w:eastAsia="en-US"/>
        </w:rPr>
        <w:t xml:space="preserve"> </w:t>
      </w:r>
    </w:p>
    <w:p w14:paraId="2586CECD" w14:textId="77777777" w:rsidR="000D5020" w:rsidRPr="00711DC7" w:rsidRDefault="000D5020" w:rsidP="000D5020">
      <w:pPr>
        <w:contextualSpacing/>
        <w:rPr>
          <w:rFonts w:cs="Times New Roman"/>
          <w:szCs w:val="24"/>
          <w:lang w:eastAsia="en-US"/>
        </w:rPr>
      </w:pPr>
      <w:r w:rsidRPr="00711DC7">
        <w:rPr>
          <w:rFonts w:cs="Times New Roman"/>
          <w:szCs w:val="24"/>
          <w:lang w:eastAsia="en-US"/>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FB857AE" w14:textId="77777777" w:rsidR="000D5020" w:rsidRPr="00711DC7" w:rsidRDefault="000D5020" w:rsidP="000D5020">
      <w:pPr>
        <w:contextualSpacing/>
        <w:rPr>
          <w:rFonts w:cs="Times New Roman"/>
          <w:szCs w:val="24"/>
          <w:lang w:eastAsia="en-US"/>
        </w:rPr>
      </w:pPr>
      <w:r w:rsidRPr="00711DC7">
        <w:rPr>
          <w:rFonts w:cs="Times New Roman"/>
          <w:szCs w:val="24"/>
          <w:lang w:eastAsia="en-US"/>
        </w:rPr>
        <w:t xml:space="preserve"> </w:t>
      </w:r>
    </w:p>
    <w:p w14:paraId="1E087372" w14:textId="77777777" w:rsidR="000D5020" w:rsidRPr="00711DC7" w:rsidRDefault="000D5020" w:rsidP="000D5020">
      <w:pPr>
        <w:contextualSpacing/>
        <w:rPr>
          <w:rFonts w:cs="Times New Roman"/>
          <w:szCs w:val="24"/>
          <w:lang w:eastAsia="en-US"/>
        </w:rPr>
      </w:pPr>
      <w:r w:rsidRPr="00711DC7">
        <w:rPr>
          <w:rFonts w:cs="Times New Roman"/>
          <w:szCs w:val="24"/>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4541AFF6" w14:textId="77777777" w:rsidR="000D5020" w:rsidRPr="00711DC7" w:rsidRDefault="000D5020" w:rsidP="000D5020">
      <w:pPr>
        <w:contextualSpacing/>
        <w:rPr>
          <w:rFonts w:cs="Times New Roman"/>
          <w:szCs w:val="24"/>
          <w:lang w:eastAsia="en-US"/>
        </w:rPr>
      </w:pPr>
    </w:p>
    <w:p w14:paraId="04083827" w14:textId="77777777" w:rsidR="000D5020" w:rsidRPr="00CD3C51" w:rsidRDefault="000D5020" w:rsidP="000D5020">
      <w:pPr>
        <w:pStyle w:val="Prrafodelista"/>
        <w:numPr>
          <w:ilvl w:val="0"/>
          <w:numId w:val="5"/>
        </w:numPr>
        <w:contextualSpacing/>
        <w:rPr>
          <w:lang w:eastAsia="en-US"/>
        </w:rPr>
      </w:pPr>
      <w:r w:rsidRPr="00CD3C51">
        <w:rPr>
          <w:lang w:eastAsia="en-US"/>
        </w:rPr>
        <w:t>Complejidad del asunto: La complejidad de la prueba, la pluralidad de sujetos procesales, el tiempo transcurrido, las características y contexto del recurso.</w:t>
      </w:r>
    </w:p>
    <w:p w14:paraId="4A5EE418" w14:textId="77777777" w:rsidR="000D5020" w:rsidRPr="00CD3C51" w:rsidRDefault="000D5020" w:rsidP="000D5020">
      <w:pPr>
        <w:pStyle w:val="Prrafodelista"/>
        <w:numPr>
          <w:ilvl w:val="0"/>
          <w:numId w:val="5"/>
        </w:numPr>
        <w:contextualSpacing/>
        <w:rPr>
          <w:lang w:eastAsia="en-US"/>
        </w:rPr>
      </w:pPr>
      <w:r w:rsidRPr="00CD3C51">
        <w:rPr>
          <w:lang w:eastAsia="en-US"/>
        </w:rPr>
        <w:t>Actividad Procesal del interesado: Acciones u omisiones del interesado.</w:t>
      </w:r>
    </w:p>
    <w:p w14:paraId="356141D7" w14:textId="77777777" w:rsidR="000D5020" w:rsidRPr="00CD3C51" w:rsidRDefault="000D5020" w:rsidP="000D5020">
      <w:pPr>
        <w:pStyle w:val="Prrafodelista"/>
        <w:numPr>
          <w:ilvl w:val="0"/>
          <w:numId w:val="5"/>
        </w:numPr>
        <w:contextualSpacing/>
        <w:rPr>
          <w:lang w:eastAsia="en-US"/>
        </w:rPr>
      </w:pPr>
      <w:r w:rsidRPr="00CD3C51">
        <w:rPr>
          <w:lang w:eastAsia="en-US"/>
        </w:rPr>
        <w:t>Conducta de la Autoridad: Las Acciones u omisiones realizadas en el procedimiento. Así como si la autoridad actuó con la debida diligencia.</w:t>
      </w:r>
    </w:p>
    <w:p w14:paraId="6F2795C4" w14:textId="77777777" w:rsidR="000D5020" w:rsidRPr="00CD3C51" w:rsidRDefault="000D5020" w:rsidP="000D5020">
      <w:pPr>
        <w:pStyle w:val="Prrafodelista"/>
        <w:numPr>
          <w:ilvl w:val="0"/>
          <w:numId w:val="5"/>
        </w:numPr>
        <w:contextualSpacing/>
        <w:rPr>
          <w:lang w:eastAsia="en-US"/>
        </w:rPr>
      </w:pPr>
      <w:r w:rsidRPr="00CD3C51">
        <w:rPr>
          <w:lang w:eastAsia="en-US"/>
        </w:rPr>
        <w:t>La afectación generada en la situación jurídica de la persona involucrada en el proceso: Violación a sus derechos humanos.</w:t>
      </w:r>
    </w:p>
    <w:p w14:paraId="5CA9770A" w14:textId="77777777" w:rsidR="000D5020" w:rsidRPr="00711DC7" w:rsidRDefault="000D5020" w:rsidP="000D5020">
      <w:pPr>
        <w:contextualSpacing/>
        <w:rPr>
          <w:rFonts w:cs="Times New Roman"/>
          <w:szCs w:val="24"/>
          <w:lang w:eastAsia="en-US"/>
        </w:rPr>
      </w:pPr>
    </w:p>
    <w:p w14:paraId="6C4897C4" w14:textId="77777777" w:rsidR="000D5020" w:rsidRPr="00711DC7" w:rsidRDefault="000D5020" w:rsidP="000D5020">
      <w:pPr>
        <w:contextualSpacing/>
        <w:rPr>
          <w:rFonts w:cs="Times New Roman"/>
          <w:szCs w:val="24"/>
          <w:lang w:eastAsia="en-US"/>
        </w:rPr>
      </w:pPr>
      <w:r w:rsidRPr="00711DC7">
        <w:rPr>
          <w:rFonts w:cs="Times New Roman"/>
          <w:szCs w:val="24"/>
          <w:lang w:eastAsia="en-U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7F331F0" w14:textId="77777777" w:rsidR="000D5020" w:rsidRPr="00711DC7" w:rsidRDefault="000D5020" w:rsidP="000D5020">
      <w:pPr>
        <w:contextualSpacing/>
        <w:rPr>
          <w:rFonts w:cs="Times New Roman"/>
          <w:szCs w:val="24"/>
          <w:lang w:eastAsia="en-US"/>
        </w:rPr>
      </w:pPr>
    </w:p>
    <w:p w14:paraId="07CFA838" w14:textId="77777777" w:rsidR="000D5020" w:rsidRPr="00711DC7" w:rsidRDefault="000D5020" w:rsidP="000D5020">
      <w:pPr>
        <w:contextualSpacing/>
        <w:rPr>
          <w:rFonts w:cs="Times New Roman"/>
          <w:szCs w:val="24"/>
          <w:lang w:eastAsia="en-US"/>
        </w:rPr>
      </w:pPr>
      <w:r w:rsidRPr="00711DC7">
        <w:rPr>
          <w:rFonts w:cs="Times New Roman"/>
          <w:szCs w:val="24"/>
          <w:lang w:eastAsia="en-US"/>
        </w:rPr>
        <w:lastRenderedPageBreak/>
        <w:t>Argumento que encuentra sustento en la jurisprudencia P</w:t>
      </w:r>
      <w:proofErr w:type="gramStart"/>
      <w:r w:rsidRPr="00711DC7">
        <w:rPr>
          <w:rFonts w:cs="Times New Roman"/>
          <w:szCs w:val="24"/>
          <w:lang w:eastAsia="en-US"/>
        </w:rPr>
        <w:t>./</w:t>
      </w:r>
      <w:proofErr w:type="gramEnd"/>
      <w:r w:rsidRPr="00711DC7">
        <w:rPr>
          <w:rFonts w:cs="Times New Roman"/>
          <w:szCs w:val="24"/>
          <w:lang w:eastAsia="en-US"/>
        </w:rPr>
        <w:t xml:space="preserve">J. 32/92 emitida por el Pleno de la Suprema Corte de </w:t>
      </w:r>
      <w:r>
        <w:rPr>
          <w:rFonts w:cs="Times New Roman"/>
          <w:szCs w:val="24"/>
          <w:lang w:eastAsia="en-US"/>
        </w:rPr>
        <w:t>Justicia de la Nación de rubro «</w:t>
      </w:r>
      <w:r w:rsidRPr="00711DC7">
        <w:rPr>
          <w:rFonts w:cs="Times New Roman"/>
          <w:szCs w:val="24"/>
          <w:lang w:eastAsia="en-US"/>
        </w:rPr>
        <w:t xml:space="preserve">TÉRMINOS PROCESALES. PARA DETERMINAR SI UN FUNCIONARIO JUDICIAL ACTUÓ INDEBIDAMENTE POR NO RESPETARLOS SE DEBE ATENDER AL PRESUPUESTO QUE CONSIDERÓ EL LEGISLADOR AL FIJARLOS </w:t>
      </w:r>
      <w:r>
        <w:rPr>
          <w:rFonts w:cs="Times New Roman"/>
          <w:szCs w:val="24"/>
          <w:lang w:eastAsia="en-US"/>
        </w:rPr>
        <w:t>Y LAS CARACTERÍSTICAS DEL CASO»</w:t>
      </w:r>
      <w:r w:rsidRPr="00711DC7">
        <w:rPr>
          <w:rFonts w:cs="Times New Roman"/>
          <w:szCs w:val="24"/>
          <w:lang w:eastAsia="en-US"/>
        </w:rPr>
        <w:t>, visible en la Gaceta del Seminario Judicial de la Federación con el registro digital 205635.</w:t>
      </w:r>
    </w:p>
    <w:p w14:paraId="447532A0" w14:textId="77777777" w:rsidR="000D5020" w:rsidRPr="00711DC7" w:rsidRDefault="000D5020" w:rsidP="000D5020">
      <w:pPr>
        <w:contextualSpacing/>
        <w:rPr>
          <w:rFonts w:cs="Times New Roman"/>
          <w:szCs w:val="24"/>
          <w:lang w:eastAsia="en-US"/>
        </w:rPr>
      </w:pPr>
    </w:p>
    <w:p w14:paraId="5F240C80" w14:textId="77777777" w:rsidR="000D5020" w:rsidRPr="00711DC7" w:rsidRDefault="000D5020" w:rsidP="000D5020">
      <w:pPr>
        <w:contextualSpacing/>
        <w:rPr>
          <w:rFonts w:cs="Times New Roman"/>
          <w:szCs w:val="24"/>
          <w:lang w:eastAsia="en-US"/>
        </w:rPr>
      </w:pPr>
      <w:r w:rsidRPr="00711DC7">
        <w:rPr>
          <w:rFonts w:cs="Times New Roman"/>
          <w:szCs w:val="24"/>
          <w:lang w:eastAsia="en-U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Al respecto, también son de considerar los criterios sostenidos por el Cuarto Tribunal Colegiado en Materia Administrativa del Primer Circuito, cuyos rubros y datos de identificación son los siguientes:</w:t>
      </w:r>
    </w:p>
    <w:p w14:paraId="05006551" w14:textId="77777777" w:rsidR="000D5020" w:rsidRPr="00711DC7" w:rsidRDefault="000D5020" w:rsidP="000D5020">
      <w:pPr>
        <w:contextualSpacing/>
        <w:rPr>
          <w:rFonts w:cs="Times New Roman"/>
          <w:szCs w:val="24"/>
          <w:lang w:eastAsia="en-US"/>
        </w:rPr>
      </w:pPr>
    </w:p>
    <w:p w14:paraId="7B3B8D98" w14:textId="77777777" w:rsidR="000D5020" w:rsidRPr="00711DC7" w:rsidRDefault="000D5020" w:rsidP="000D5020">
      <w:pPr>
        <w:contextualSpacing/>
        <w:rPr>
          <w:rFonts w:cs="Times New Roman"/>
          <w:szCs w:val="24"/>
          <w:lang w:eastAsia="en-US"/>
        </w:rPr>
      </w:pPr>
      <w:r>
        <w:rPr>
          <w:rFonts w:cs="Times New Roman"/>
          <w:szCs w:val="24"/>
          <w:lang w:eastAsia="en-US"/>
        </w:rPr>
        <w:t>«</w:t>
      </w:r>
      <w:r w:rsidRPr="00711DC7">
        <w:rPr>
          <w:rFonts w:cs="Times New Roman"/>
          <w:szCs w:val="24"/>
          <w:lang w:eastAsia="en-US"/>
        </w:rPr>
        <w:t>PLAZO RAZONABLE PARA RESOLVER. DIMENSIÓN Y EFECTOS DE ESTE CONCEPTO CUANDO SE A</w:t>
      </w:r>
      <w:r>
        <w:rPr>
          <w:rFonts w:cs="Times New Roman"/>
          <w:szCs w:val="24"/>
          <w:lang w:eastAsia="en-US"/>
        </w:rPr>
        <w:t>DUCE EXCESIVA CARGA DE TRABAJO»,</w:t>
      </w:r>
      <w:r w:rsidRPr="00711DC7">
        <w:rPr>
          <w:rFonts w:cs="Times New Roman"/>
          <w:szCs w:val="24"/>
          <w:lang w:eastAsia="en-US"/>
        </w:rPr>
        <w:t xml:space="preserve"> consultable en el Seminario Judicial de la Federación y su gaceta, con el registro digital 2002351.</w:t>
      </w:r>
    </w:p>
    <w:p w14:paraId="36B3F0C3" w14:textId="77777777" w:rsidR="000D5020" w:rsidRPr="00711DC7" w:rsidRDefault="000D5020" w:rsidP="000D5020">
      <w:pPr>
        <w:contextualSpacing/>
        <w:rPr>
          <w:rFonts w:cs="Times New Roman"/>
          <w:szCs w:val="24"/>
          <w:lang w:eastAsia="en-US"/>
        </w:rPr>
      </w:pPr>
    </w:p>
    <w:p w14:paraId="30283C16" w14:textId="77777777" w:rsidR="000D5020" w:rsidRPr="00711DC7" w:rsidRDefault="000D5020" w:rsidP="000D5020">
      <w:pPr>
        <w:contextualSpacing/>
        <w:rPr>
          <w:rFonts w:cs="Times New Roman"/>
          <w:szCs w:val="24"/>
          <w:lang w:eastAsia="en-US"/>
        </w:rPr>
      </w:pPr>
      <w:r>
        <w:rPr>
          <w:rFonts w:cs="Times New Roman"/>
          <w:szCs w:val="24"/>
          <w:lang w:eastAsia="en-US"/>
        </w:rPr>
        <w:lastRenderedPageBreak/>
        <w:t>«</w:t>
      </w:r>
      <w:r w:rsidRPr="00711DC7">
        <w:rPr>
          <w:rFonts w:cs="Times New Roman"/>
          <w:szCs w:val="24"/>
          <w:lang w:eastAsia="en-US"/>
        </w:rPr>
        <w:t>PLAZO RAZONABLE PARA RESOLVER. CONCEPTO Y ELEMENTOS QUE LO INTEGRAN A LA LUZ DEL DERECHO INTERNA</w:t>
      </w:r>
      <w:r>
        <w:rPr>
          <w:rFonts w:cs="Times New Roman"/>
          <w:szCs w:val="24"/>
          <w:lang w:eastAsia="en-US"/>
        </w:rPr>
        <w:t>CIONAL DE LOS DERECHOS HUMANOS»</w:t>
      </w:r>
      <w:r w:rsidRPr="00711DC7">
        <w:rPr>
          <w:rFonts w:cs="Times New Roman"/>
          <w:szCs w:val="24"/>
          <w:lang w:eastAsia="en-US"/>
        </w:rPr>
        <w:t>, visible en el Seminario Judicial de la Federación y su gaceta, con el registro digital 2002350.</w:t>
      </w:r>
    </w:p>
    <w:p w14:paraId="1295EA44" w14:textId="77777777" w:rsidR="000D5020" w:rsidRPr="00711DC7" w:rsidRDefault="000D5020" w:rsidP="000D5020">
      <w:pPr>
        <w:contextualSpacing/>
        <w:rPr>
          <w:rFonts w:cs="Times New Roman"/>
          <w:szCs w:val="24"/>
          <w:lang w:eastAsia="en-US"/>
        </w:rPr>
      </w:pPr>
    </w:p>
    <w:p w14:paraId="1C48F71D" w14:textId="77777777" w:rsidR="000D5020" w:rsidRDefault="000D5020" w:rsidP="000D5020">
      <w:pPr>
        <w:pStyle w:val="Ttulo1"/>
        <w:jc w:val="both"/>
        <w:rPr>
          <w:rFonts w:cs="Times New Roman"/>
          <w:szCs w:val="24"/>
          <w:lang w:eastAsia="en-US"/>
        </w:rPr>
      </w:pPr>
      <w:r w:rsidRPr="00711DC7">
        <w:rPr>
          <w:rFonts w:cs="Times New Roman"/>
          <w:szCs w:val="24"/>
          <w:lang w:eastAsia="en-US"/>
        </w:rPr>
        <w:t>Por ello, este organismo garante comprometido con la tutela de los derechos humanos confiados señala que este exceso</w:t>
      </w:r>
    </w:p>
    <w:p w14:paraId="363CE728" w14:textId="77777777" w:rsidR="000D5020" w:rsidRPr="000D5020" w:rsidRDefault="000D5020" w:rsidP="000D5020">
      <w:pPr>
        <w:rPr>
          <w:lang w:val="es-ES" w:eastAsia="en-US"/>
        </w:rPr>
      </w:pPr>
    </w:p>
    <w:p w14:paraId="597CB848" w14:textId="77777777" w:rsidR="00EA744E" w:rsidRPr="006922F5" w:rsidRDefault="00EA744E" w:rsidP="00EA744E">
      <w:pPr>
        <w:pStyle w:val="Ttulo1"/>
        <w:rPr>
          <w:rFonts w:eastAsia="Palatino Linotype"/>
          <w:lang w:val="es-ES_tradnl"/>
        </w:rPr>
      </w:pPr>
      <w:r w:rsidRPr="006922F5">
        <w:rPr>
          <w:rFonts w:eastAsia="Palatino Linotype"/>
          <w:lang w:val="es-ES_tradnl"/>
        </w:rPr>
        <w:t>C O N S I D E R A N D O</w:t>
      </w:r>
    </w:p>
    <w:p w14:paraId="20B67853" w14:textId="77777777" w:rsidR="00EA744E" w:rsidRPr="006922F5" w:rsidRDefault="00EA744E" w:rsidP="00EA744E">
      <w:pPr>
        <w:pBdr>
          <w:top w:val="nil"/>
          <w:left w:val="nil"/>
          <w:bottom w:val="nil"/>
          <w:right w:val="nil"/>
          <w:between w:val="nil"/>
        </w:pBdr>
        <w:contextualSpacing/>
        <w:rPr>
          <w:rFonts w:eastAsia="Palatino Linotype" w:cs="Palatino Linotype"/>
          <w:color w:val="000000"/>
          <w:szCs w:val="24"/>
        </w:rPr>
      </w:pPr>
    </w:p>
    <w:p w14:paraId="1332DDA6" w14:textId="77777777" w:rsidR="00EA744E" w:rsidRPr="006922F5" w:rsidRDefault="00EA744E" w:rsidP="00EA744E">
      <w:pPr>
        <w:pStyle w:val="Ttulo2"/>
        <w:rPr>
          <w:rFonts w:eastAsia="Palatino Linotype"/>
        </w:rPr>
      </w:pPr>
      <w:r w:rsidRPr="006922F5">
        <w:rPr>
          <w:rFonts w:eastAsia="Palatino Linotype"/>
        </w:rPr>
        <w:t>PRIMERO. De la competencia.</w:t>
      </w:r>
    </w:p>
    <w:p w14:paraId="216DE673" w14:textId="77777777" w:rsidR="00EA744E" w:rsidRPr="006922F5" w:rsidRDefault="00EA744E" w:rsidP="00EA744E">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102E85A6" w14:textId="77777777" w:rsidR="00EA744E" w:rsidRPr="006922F5" w:rsidRDefault="00EA744E" w:rsidP="00EA744E">
      <w:pPr>
        <w:pBdr>
          <w:top w:val="nil"/>
          <w:left w:val="nil"/>
          <w:bottom w:val="nil"/>
          <w:right w:val="nil"/>
          <w:between w:val="nil"/>
        </w:pBdr>
        <w:contextualSpacing/>
        <w:rPr>
          <w:rFonts w:eastAsia="Palatino Linotype" w:cs="Palatino Linotype"/>
          <w:color w:val="000000"/>
          <w:szCs w:val="24"/>
        </w:rPr>
      </w:pPr>
    </w:p>
    <w:p w14:paraId="63C9E9CC" w14:textId="77777777" w:rsidR="00EA744E" w:rsidRPr="006922F5" w:rsidRDefault="00EA744E" w:rsidP="00EA744E">
      <w:pPr>
        <w:pStyle w:val="Ttulo2"/>
        <w:rPr>
          <w:rFonts w:eastAsia="Palatino Linotype"/>
        </w:rPr>
      </w:pPr>
      <w:r w:rsidRPr="006922F5">
        <w:rPr>
          <w:rFonts w:eastAsia="Palatino Linotype"/>
        </w:rPr>
        <w:lastRenderedPageBreak/>
        <w:t xml:space="preserve">SEGUNDO. Sobre los alcances del recurso de revisión. </w:t>
      </w:r>
    </w:p>
    <w:p w14:paraId="541B35AA" w14:textId="77777777" w:rsidR="00EA744E" w:rsidRDefault="00EA744E" w:rsidP="00EA744E">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2E68C95" w14:textId="77777777" w:rsidR="00EA744E" w:rsidRDefault="00EA744E" w:rsidP="00EA744E"/>
    <w:p w14:paraId="51ABF117" w14:textId="77777777" w:rsidR="000D5020" w:rsidRPr="00E06B6E" w:rsidRDefault="000D5020" w:rsidP="000D5020">
      <w:pPr>
        <w:pStyle w:val="Ttulo2"/>
        <w:rPr>
          <w:rFonts w:eastAsia="Times New Roman"/>
        </w:rPr>
      </w:pPr>
      <w:r w:rsidRPr="00E06B6E">
        <w:rPr>
          <w:rFonts w:eastAsia="Times New Roman"/>
        </w:rPr>
        <w:t>TERCERO. Cuestiones de previo y especial pronunciamiento.</w:t>
      </w:r>
    </w:p>
    <w:p w14:paraId="4C4CEBB4" w14:textId="77777777" w:rsidR="000D5020" w:rsidRPr="00FB173E" w:rsidRDefault="000D5020" w:rsidP="000D5020">
      <w:pPr>
        <w:contextualSpacing/>
        <w:rPr>
          <w:rFonts w:cs="Palatino Linotype"/>
          <w:szCs w:val="24"/>
        </w:rPr>
      </w:pPr>
      <w:r w:rsidRPr="00FB173E">
        <w:rPr>
          <w:rFonts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3DFB24E5" w14:textId="77777777" w:rsidR="000D5020" w:rsidRPr="00FB173E" w:rsidRDefault="000D5020" w:rsidP="000D5020">
      <w:pPr>
        <w:contextualSpacing/>
        <w:rPr>
          <w:rFonts w:cs="Palatino Linotype"/>
          <w:szCs w:val="24"/>
        </w:rPr>
      </w:pPr>
    </w:p>
    <w:p w14:paraId="66C32A20" w14:textId="77777777" w:rsidR="000D5020" w:rsidRPr="00FB173E" w:rsidRDefault="000D5020" w:rsidP="000D5020">
      <w:pPr>
        <w:spacing w:line="240" w:lineRule="auto"/>
        <w:ind w:left="567" w:right="567"/>
        <w:contextualSpacing/>
        <w:rPr>
          <w:rFonts w:cs="Palatino Linotype"/>
          <w:i/>
          <w:sz w:val="22"/>
        </w:rPr>
      </w:pPr>
      <w:r w:rsidRPr="00FB173E">
        <w:rPr>
          <w:rFonts w:cs="Palatino Linotype"/>
          <w:b/>
          <w:i/>
          <w:sz w:val="22"/>
        </w:rPr>
        <w:t xml:space="preserve">Artículo 180. </w:t>
      </w:r>
      <w:r w:rsidRPr="00FB173E">
        <w:rPr>
          <w:rFonts w:cs="Palatino Linotype"/>
          <w:i/>
          <w:sz w:val="22"/>
        </w:rPr>
        <w:t>El recurso de revisión contendrá:</w:t>
      </w:r>
    </w:p>
    <w:p w14:paraId="6833EBA8" w14:textId="77777777" w:rsidR="000D5020" w:rsidRPr="00FB173E" w:rsidRDefault="000D5020" w:rsidP="000D5020">
      <w:pPr>
        <w:spacing w:line="240" w:lineRule="auto"/>
        <w:ind w:left="567" w:right="567"/>
        <w:contextualSpacing/>
        <w:rPr>
          <w:rFonts w:cs="Palatino Linotype"/>
          <w:i/>
          <w:sz w:val="22"/>
        </w:rPr>
      </w:pPr>
      <w:r w:rsidRPr="00FB173E">
        <w:rPr>
          <w:rFonts w:cs="Palatino Linotype"/>
          <w:i/>
          <w:sz w:val="22"/>
        </w:rPr>
        <w:t>I. El sujeto obligado ante la cual se presentó la solicitud;</w:t>
      </w:r>
    </w:p>
    <w:p w14:paraId="2AE48AA9" w14:textId="77777777" w:rsidR="000D5020" w:rsidRPr="00FB173E" w:rsidRDefault="000D5020" w:rsidP="000D5020">
      <w:pPr>
        <w:spacing w:line="240" w:lineRule="auto"/>
        <w:ind w:left="567" w:right="567"/>
        <w:contextualSpacing/>
        <w:rPr>
          <w:rFonts w:cs="Palatino Linotype"/>
          <w:i/>
          <w:sz w:val="22"/>
        </w:rPr>
      </w:pPr>
      <w:r w:rsidRPr="00FB173E">
        <w:rPr>
          <w:rFonts w:cs="Palatino Linotype"/>
          <w:b/>
          <w:i/>
          <w:sz w:val="22"/>
        </w:rPr>
        <w:t>II. El nombre del solicitante que recurre</w:t>
      </w:r>
      <w:r w:rsidRPr="00FB173E">
        <w:rPr>
          <w:rFonts w:cs="Palatino Linotype"/>
          <w:i/>
          <w:sz w:val="22"/>
        </w:rPr>
        <w:t xml:space="preserve"> o de su representante y, en su caso, del tercero interesado, así como la dirección o medio que señale para recibir notificaciones;</w:t>
      </w:r>
    </w:p>
    <w:p w14:paraId="1CA84E30" w14:textId="77777777" w:rsidR="000D5020" w:rsidRPr="00FB173E" w:rsidRDefault="000D5020" w:rsidP="000D5020">
      <w:pPr>
        <w:spacing w:line="240" w:lineRule="auto"/>
        <w:ind w:left="567" w:right="567"/>
        <w:contextualSpacing/>
        <w:rPr>
          <w:rFonts w:cs="Palatino Linotype"/>
          <w:i/>
          <w:sz w:val="22"/>
        </w:rPr>
      </w:pPr>
      <w:r w:rsidRPr="00FB173E">
        <w:rPr>
          <w:rFonts w:cs="Palatino Linotype"/>
          <w:i/>
          <w:sz w:val="22"/>
        </w:rPr>
        <w:t>III. El número de folio de respuesta de la solicitud de acceso;</w:t>
      </w:r>
    </w:p>
    <w:p w14:paraId="7FCC4447" w14:textId="77777777" w:rsidR="000D5020" w:rsidRPr="00FB173E" w:rsidRDefault="000D5020" w:rsidP="000D5020">
      <w:pPr>
        <w:spacing w:line="240" w:lineRule="auto"/>
        <w:ind w:left="567" w:right="567"/>
        <w:contextualSpacing/>
        <w:rPr>
          <w:rFonts w:cs="Palatino Linotype"/>
          <w:i/>
          <w:sz w:val="22"/>
        </w:rPr>
      </w:pPr>
      <w:r w:rsidRPr="00FB173E">
        <w:rPr>
          <w:rFonts w:cs="Palatino Linotype"/>
          <w:i/>
          <w:sz w:val="22"/>
        </w:rPr>
        <w:t>IV. La fecha en que fue notificada la respuesta al solicitante o tuvo conocimiento del acto reclamado, o de presentación de la solicitud, en caso de falta de respuesta;</w:t>
      </w:r>
    </w:p>
    <w:p w14:paraId="5A644483" w14:textId="77777777" w:rsidR="000D5020" w:rsidRPr="00FB173E" w:rsidRDefault="000D5020" w:rsidP="000D5020">
      <w:pPr>
        <w:spacing w:line="240" w:lineRule="auto"/>
        <w:ind w:left="567" w:right="567"/>
        <w:contextualSpacing/>
        <w:rPr>
          <w:rFonts w:cs="Palatino Linotype"/>
          <w:i/>
          <w:sz w:val="22"/>
        </w:rPr>
      </w:pPr>
      <w:r w:rsidRPr="00FB173E">
        <w:rPr>
          <w:rFonts w:cs="Palatino Linotype"/>
          <w:i/>
          <w:sz w:val="22"/>
        </w:rPr>
        <w:t>V. El acto que se recurre;</w:t>
      </w:r>
    </w:p>
    <w:p w14:paraId="53A54502" w14:textId="77777777" w:rsidR="000D5020" w:rsidRPr="00FB173E" w:rsidRDefault="000D5020" w:rsidP="000D5020">
      <w:pPr>
        <w:spacing w:line="240" w:lineRule="auto"/>
        <w:ind w:left="567" w:right="567"/>
        <w:contextualSpacing/>
        <w:rPr>
          <w:rFonts w:cs="Palatino Linotype"/>
          <w:i/>
          <w:sz w:val="22"/>
        </w:rPr>
      </w:pPr>
      <w:r w:rsidRPr="00FB173E">
        <w:rPr>
          <w:rFonts w:cs="Palatino Linotype"/>
          <w:i/>
          <w:sz w:val="22"/>
        </w:rPr>
        <w:t>VI. Las razones o motivos de inconformidad;</w:t>
      </w:r>
    </w:p>
    <w:p w14:paraId="06553B64" w14:textId="77777777" w:rsidR="000D5020" w:rsidRPr="00FB173E" w:rsidRDefault="000D5020" w:rsidP="000D5020">
      <w:pPr>
        <w:spacing w:line="240" w:lineRule="auto"/>
        <w:ind w:left="567" w:right="567"/>
        <w:contextualSpacing/>
        <w:rPr>
          <w:rFonts w:cs="Palatino Linotype"/>
          <w:i/>
          <w:sz w:val="22"/>
        </w:rPr>
      </w:pPr>
      <w:r w:rsidRPr="00FB173E">
        <w:rPr>
          <w:rFonts w:cs="Palatino Linotype"/>
          <w:i/>
          <w:sz w:val="22"/>
        </w:rPr>
        <w:t>VII. La copia de la respuesta que se impugna y, en su caso, de la notificación correspondiente, en el caso de respuesta de la solicitud; y</w:t>
      </w:r>
    </w:p>
    <w:p w14:paraId="0ED420C1" w14:textId="77777777" w:rsidR="000D5020" w:rsidRPr="00FB173E" w:rsidRDefault="000D5020" w:rsidP="000D5020">
      <w:pPr>
        <w:spacing w:line="240" w:lineRule="auto"/>
        <w:ind w:left="567" w:right="567"/>
        <w:contextualSpacing/>
        <w:rPr>
          <w:rFonts w:cs="Palatino Linotype"/>
          <w:i/>
          <w:sz w:val="22"/>
        </w:rPr>
      </w:pPr>
      <w:r w:rsidRPr="00FB173E">
        <w:rPr>
          <w:rFonts w:cs="Palatino Linotype"/>
          <w:i/>
          <w:sz w:val="22"/>
        </w:rPr>
        <w:t>VIII. Firma del recurrente, en su caso, cuando se presente por escrito, requisito sin el cual se dará trámite al recurso.</w:t>
      </w:r>
    </w:p>
    <w:p w14:paraId="7AF95324" w14:textId="77777777" w:rsidR="000D5020" w:rsidRPr="00FB173E" w:rsidRDefault="000D5020" w:rsidP="000D5020">
      <w:pPr>
        <w:spacing w:line="240" w:lineRule="auto"/>
        <w:ind w:left="567" w:right="567"/>
        <w:contextualSpacing/>
        <w:rPr>
          <w:rFonts w:cs="Palatino Linotype"/>
          <w:i/>
          <w:sz w:val="22"/>
        </w:rPr>
      </w:pPr>
    </w:p>
    <w:p w14:paraId="49F793C6" w14:textId="77777777" w:rsidR="000D5020" w:rsidRPr="00FB173E" w:rsidRDefault="000D5020" w:rsidP="000D5020">
      <w:pPr>
        <w:spacing w:line="240" w:lineRule="auto"/>
        <w:ind w:left="567" w:right="567"/>
        <w:contextualSpacing/>
        <w:rPr>
          <w:rFonts w:cs="Palatino Linotype"/>
          <w:i/>
          <w:sz w:val="22"/>
        </w:rPr>
      </w:pPr>
      <w:r w:rsidRPr="00FB173E">
        <w:rPr>
          <w:rFonts w:cs="Palatino Linotype"/>
          <w:i/>
          <w:sz w:val="22"/>
        </w:rPr>
        <w:t>Adicionalmente, se podrán anexar las pruebas y demás elementos que considere procedentes someter a juicio del Instituto.</w:t>
      </w:r>
    </w:p>
    <w:p w14:paraId="39ECEAF9" w14:textId="77777777" w:rsidR="000D5020" w:rsidRPr="00FB173E" w:rsidRDefault="000D5020" w:rsidP="000D5020">
      <w:pPr>
        <w:spacing w:line="240" w:lineRule="auto"/>
        <w:ind w:left="567" w:right="567"/>
        <w:contextualSpacing/>
        <w:rPr>
          <w:rFonts w:cs="Palatino Linotype"/>
          <w:i/>
          <w:sz w:val="22"/>
        </w:rPr>
      </w:pPr>
    </w:p>
    <w:p w14:paraId="50FF1657" w14:textId="77777777" w:rsidR="000D5020" w:rsidRPr="00FB173E" w:rsidRDefault="000D5020" w:rsidP="000D5020">
      <w:pPr>
        <w:spacing w:line="240" w:lineRule="auto"/>
        <w:ind w:left="567" w:right="567"/>
        <w:contextualSpacing/>
        <w:rPr>
          <w:rFonts w:cs="Palatino Linotype"/>
          <w:i/>
          <w:sz w:val="22"/>
        </w:rPr>
      </w:pPr>
      <w:r w:rsidRPr="00FB173E">
        <w:rPr>
          <w:rFonts w:cs="Palatino Linotype"/>
          <w:i/>
          <w:sz w:val="22"/>
        </w:rPr>
        <w:t>En ningún caso será necesario que el particular ratifique el recurso de revisión interpuesto.</w:t>
      </w:r>
    </w:p>
    <w:p w14:paraId="6508F72C" w14:textId="77777777" w:rsidR="000D5020" w:rsidRPr="00FB173E" w:rsidRDefault="000D5020" w:rsidP="000D5020">
      <w:pPr>
        <w:spacing w:line="240" w:lineRule="auto"/>
        <w:ind w:left="567" w:right="567"/>
        <w:contextualSpacing/>
        <w:rPr>
          <w:rFonts w:cs="Palatino Linotype"/>
          <w:i/>
          <w:sz w:val="22"/>
        </w:rPr>
      </w:pPr>
    </w:p>
    <w:p w14:paraId="23FF3E95" w14:textId="77777777" w:rsidR="000D5020" w:rsidRPr="00FB173E" w:rsidRDefault="000D5020" w:rsidP="000D5020">
      <w:pPr>
        <w:spacing w:line="240" w:lineRule="auto"/>
        <w:ind w:left="567" w:right="567"/>
        <w:contextualSpacing/>
        <w:rPr>
          <w:rFonts w:cs="Palatino Linotype"/>
          <w:i/>
          <w:sz w:val="22"/>
        </w:rPr>
      </w:pPr>
      <w:r w:rsidRPr="00FB173E">
        <w:rPr>
          <w:rFonts w:cs="Palatino Linotype"/>
          <w:b/>
          <w:i/>
          <w:sz w:val="22"/>
        </w:rPr>
        <w:t>En caso de que el recurso se interponga de manera electrónica no será indispensable que contengan los requisitos establecidos en las fracciones II</w:t>
      </w:r>
      <w:r w:rsidRPr="00FB173E">
        <w:rPr>
          <w:rFonts w:cs="Palatino Linotype"/>
          <w:i/>
          <w:sz w:val="22"/>
        </w:rPr>
        <w:t>, IV, VII y VIII.</w:t>
      </w:r>
    </w:p>
    <w:p w14:paraId="1210ADAD" w14:textId="77777777" w:rsidR="000D5020" w:rsidRPr="00FB173E" w:rsidRDefault="000D5020" w:rsidP="000D5020">
      <w:pPr>
        <w:ind w:right="567"/>
        <w:contextualSpacing/>
        <w:rPr>
          <w:rFonts w:cs="Palatino Linotype"/>
          <w:szCs w:val="24"/>
        </w:rPr>
      </w:pPr>
    </w:p>
    <w:p w14:paraId="24E38DA2" w14:textId="77777777" w:rsidR="000D5020" w:rsidRDefault="000D5020" w:rsidP="000D5020">
      <w:pPr>
        <w:ind w:right="49"/>
        <w:contextualSpacing/>
        <w:rPr>
          <w:rFonts w:cs="Palatino Linotype"/>
          <w:szCs w:val="24"/>
        </w:rPr>
      </w:pPr>
      <w:r w:rsidRPr="00FB173E">
        <w:rPr>
          <w:rFonts w:cs="Palatino Linotype"/>
          <w:szCs w:val="24"/>
        </w:rPr>
        <w:t>Por otra parte, del contenido del artículo 1 de la Constitución Política de los Estados Unidos Mexicanos, se destaca lo siguiente:</w:t>
      </w:r>
    </w:p>
    <w:p w14:paraId="48BD33C7" w14:textId="77777777" w:rsidR="000D5020" w:rsidRPr="00FB173E" w:rsidRDefault="000D5020" w:rsidP="000D5020">
      <w:pPr>
        <w:ind w:right="49"/>
        <w:contextualSpacing/>
        <w:rPr>
          <w:rFonts w:cs="Palatino Linotype"/>
          <w:szCs w:val="24"/>
        </w:rPr>
      </w:pPr>
    </w:p>
    <w:p w14:paraId="1D782E6A" w14:textId="77777777" w:rsidR="000D5020" w:rsidRPr="00FB173E" w:rsidRDefault="000D5020" w:rsidP="000D5020">
      <w:pPr>
        <w:spacing w:line="240" w:lineRule="auto"/>
        <w:ind w:left="567" w:right="567"/>
        <w:contextualSpacing/>
        <w:rPr>
          <w:rFonts w:cs="Palatino Linotype"/>
          <w:i/>
          <w:sz w:val="22"/>
        </w:rPr>
      </w:pPr>
      <w:r w:rsidRPr="00FB173E">
        <w:rPr>
          <w:rFonts w:cs="Palatino Linotype"/>
          <w:b/>
          <w:i/>
          <w:sz w:val="22"/>
        </w:rPr>
        <w:t>Artículo 1o</w:t>
      </w:r>
      <w:r w:rsidRPr="00FB173E">
        <w:rPr>
          <w:rFonts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699592C" w14:textId="77777777" w:rsidR="000D5020" w:rsidRPr="00FB173E" w:rsidRDefault="000D5020" w:rsidP="000D5020">
      <w:pPr>
        <w:spacing w:line="240" w:lineRule="auto"/>
        <w:ind w:left="567" w:right="567"/>
        <w:contextualSpacing/>
        <w:rPr>
          <w:rFonts w:cs="Palatino Linotype"/>
          <w:i/>
          <w:sz w:val="22"/>
        </w:rPr>
      </w:pPr>
    </w:p>
    <w:p w14:paraId="63FEBD75" w14:textId="77777777" w:rsidR="000D5020" w:rsidRPr="00FB173E" w:rsidRDefault="000D5020" w:rsidP="000D5020">
      <w:pPr>
        <w:spacing w:line="240" w:lineRule="auto"/>
        <w:ind w:left="567" w:right="567"/>
        <w:contextualSpacing/>
        <w:rPr>
          <w:rFonts w:cs="Palatino Linotype"/>
          <w:i/>
          <w:sz w:val="22"/>
        </w:rPr>
      </w:pPr>
      <w:r w:rsidRPr="00FB173E">
        <w:rPr>
          <w:rFonts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3EB70E7E" w14:textId="77777777" w:rsidR="000D5020" w:rsidRPr="00FB173E" w:rsidRDefault="000D5020" w:rsidP="000D5020">
      <w:pPr>
        <w:spacing w:line="240" w:lineRule="auto"/>
        <w:ind w:left="567" w:right="567"/>
        <w:contextualSpacing/>
        <w:rPr>
          <w:rFonts w:cs="Palatino Linotype"/>
          <w:i/>
          <w:sz w:val="22"/>
        </w:rPr>
      </w:pPr>
    </w:p>
    <w:p w14:paraId="0FB3BB36" w14:textId="77777777" w:rsidR="000D5020" w:rsidRPr="00FB173E" w:rsidRDefault="000D5020" w:rsidP="000D5020">
      <w:pPr>
        <w:spacing w:line="240" w:lineRule="auto"/>
        <w:ind w:left="567" w:right="567"/>
        <w:contextualSpacing/>
        <w:rPr>
          <w:rFonts w:cs="Palatino Linotype"/>
          <w:i/>
          <w:sz w:val="22"/>
        </w:rPr>
      </w:pPr>
      <w:r w:rsidRPr="00FB173E">
        <w:rPr>
          <w:rFonts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D21CC5F" w14:textId="77777777" w:rsidR="000D5020" w:rsidRDefault="000D5020" w:rsidP="000D5020">
      <w:pPr>
        <w:contextualSpacing/>
        <w:rPr>
          <w:sz w:val="20"/>
        </w:rPr>
      </w:pPr>
    </w:p>
    <w:p w14:paraId="14AA5CD7" w14:textId="77777777" w:rsidR="000D5020" w:rsidRPr="00FB173E" w:rsidRDefault="000D5020" w:rsidP="000D5020">
      <w:pPr>
        <w:contextualSpacing/>
        <w:rPr>
          <w:rFonts w:cs="Palatino Linotype"/>
          <w:szCs w:val="24"/>
        </w:rPr>
      </w:pPr>
      <w:r w:rsidRPr="00FB173E">
        <w:rPr>
          <w:rFonts w:cs="Palatino Linotype"/>
          <w:szCs w:val="24"/>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66B84F30" w14:textId="77777777" w:rsidR="000D5020" w:rsidRPr="00FB173E" w:rsidRDefault="000D5020" w:rsidP="000D5020">
      <w:pPr>
        <w:contextualSpacing/>
        <w:rPr>
          <w:rFonts w:cs="Palatino Linotype"/>
          <w:sz w:val="20"/>
          <w:szCs w:val="24"/>
        </w:rPr>
      </w:pPr>
    </w:p>
    <w:p w14:paraId="47C2CF49" w14:textId="77777777" w:rsidR="000D5020" w:rsidRDefault="000D5020" w:rsidP="000D5020">
      <w:pPr>
        <w:contextualSpacing/>
        <w:rPr>
          <w:rFonts w:cs="Palatino Linotype"/>
          <w:color w:val="000000"/>
          <w:szCs w:val="24"/>
        </w:rPr>
      </w:pPr>
      <w:r w:rsidRPr="00FB173E">
        <w:rPr>
          <w:rFonts w:cs="Palatino Linotype"/>
          <w:color w:val="000000"/>
          <w:szCs w:val="24"/>
        </w:rPr>
        <w:t>En conclusión, se cubrieron los requisitos de procedencia y procedibilidad y conforme a las constancias que obran en el expediente.</w:t>
      </w:r>
    </w:p>
    <w:p w14:paraId="1796FE1C" w14:textId="77777777" w:rsidR="000D5020" w:rsidRDefault="000D5020" w:rsidP="000D5020">
      <w:pPr>
        <w:contextualSpacing/>
        <w:rPr>
          <w:rFonts w:cs="Palatino Linotype"/>
          <w:color w:val="000000"/>
          <w:szCs w:val="24"/>
        </w:rPr>
      </w:pPr>
    </w:p>
    <w:p w14:paraId="169F42CE" w14:textId="77777777" w:rsidR="000D5020" w:rsidRPr="006922F5" w:rsidRDefault="000D5020" w:rsidP="000D5020">
      <w:pPr>
        <w:pStyle w:val="Ttulo2"/>
        <w:rPr>
          <w:rFonts w:eastAsia="Times New Roman"/>
        </w:rPr>
      </w:pPr>
      <w:r>
        <w:rPr>
          <w:rFonts w:eastAsia="Times New Roman"/>
        </w:rPr>
        <w:t>CUARTO</w:t>
      </w:r>
      <w:r w:rsidRPr="006922F5">
        <w:rPr>
          <w:rFonts w:eastAsia="Times New Roman"/>
        </w:rPr>
        <w:t>. De las causas de improcedencia.</w:t>
      </w:r>
    </w:p>
    <w:p w14:paraId="76D28903" w14:textId="77777777" w:rsidR="000D5020" w:rsidRPr="006922F5" w:rsidRDefault="000D5020" w:rsidP="000D5020">
      <w:pPr>
        <w:contextualSpacing/>
        <w:rPr>
          <w:rFonts w:cs="Palatino Linotype"/>
          <w:color w:val="000000"/>
          <w:szCs w:val="24"/>
        </w:rPr>
      </w:pPr>
      <w:r w:rsidRPr="006922F5">
        <w:rPr>
          <w:rFonts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5DF306E" w14:textId="77777777" w:rsidR="000D5020" w:rsidRPr="006922F5" w:rsidRDefault="000D5020" w:rsidP="000D5020">
      <w:pPr>
        <w:contextualSpacing/>
        <w:rPr>
          <w:rFonts w:cs="Palatino Linotype"/>
          <w:color w:val="000000"/>
          <w:szCs w:val="24"/>
        </w:rPr>
      </w:pPr>
    </w:p>
    <w:p w14:paraId="5E5194A5" w14:textId="77777777" w:rsidR="000D5020" w:rsidRPr="006922F5" w:rsidRDefault="000D5020" w:rsidP="000D5020">
      <w:pPr>
        <w:contextualSpacing/>
        <w:rPr>
          <w:rFonts w:cs="Palatino Linotype"/>
          <w:color w:val="000000"/>
          <w:szCs w:val="24"/>
        </w:rPr>
      </w:pPr>
      <w:r w:rsidRPr="006922F5">
        <w:rPr>
          <w:rFonts w:cs="Palatino Linotype"/>
          <w:color w:val="000000"/>
          <w:szCs w:val="24"/>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6922F5">
        <w:rPr>
          <w:rFonts w:cs="Palatino Linotype"/>
          <w:color w:val="000000"/>
          <w:szCs w:val="24"/>
          <w:vertAlign w:val="superscript"/>
        </w:rPr>
        <w:footnoteReference w:id="1"/>
      </w:r>
      <w:r w:rsidRPr="006922F5">
        <w:rPr>
          <w:rFonts w:cs="Palatino Linotype"/>
          <w:color w:val="000000"/>
          <w:szCs w:val="24"/>
        </w:rPr>
        <w:t xml:space="preserve">, la cual permite dilucidar alguna </w:t>
      </w:r>
      <w:r w:rsidRPr="006922F5">
        <w:rPr>
          <w:rFonts w:cs="Palatino Linotype"/>
          <w:color w:val="000000"/>
          <w:szCs w:val="24"/>
        </w:rPr>
        <w:lastRenderedPageBreak/>
        <w:t>causal que impida el estudio y resolución, cuando una vez admitido el recurso de revisión se advierta una causa de improcedencia que permita sobreseerlo, sin estudiar el fondo del asunto.</w:t>
      </w:r>
    </w:p>
    <w:p w14:paraId="7AC06FFB" w14:textId="77777777" w:rsidR="000D5020" w:rsidRPr="006922F5" w:rsidRDefault="000D5020" w:rsidP="000D5020">
      <w:pPr>
        <w:contextualSpacing/>
        <w:rPr>
          <w:rFonts w:cs="Palatino Linotype"/>
          <w:color w:val="000000"/>
          <w:szCs w:val="24"/>
        </w:rPr>
      </w:pPr>
    </w:p>
    <w:p w14:paraId="4394DB8E" w14:textId="77777777" w:rsidR="00EA744E" w:rsidRPr="000D5020" w:rsidRDefault="000D5020" w:rsidP="000D5020">
      <w:pPr>
        <w:contextualSpacing/>
        <w:rPr>
          <w:rFonts w:cs="Palatino Linotype"/>
          <w:color w:val="000000"/>
          <w:szCs w:val="24"/>
        </w:rPr>
      </w:pPr>
      <w:r w:rsidRPr="006922F5">
        <w:rPr>
          <w:rFonts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40B7BBAA" w14:textId="77777777" w:rsidR="00EA744E" w:rsidRPr="00231378" w:rsidRDefault="00EA744E" w:rsidP="00EA744E">
      <w:pPr>
        <w:pStyle w:val="Prrafodelista"/>
        <w:autoSpaceDE w:val="0"/>
        <w:autoSpaceDN w:val="0"/>
        <w:adjustRightInd w:val="0"/>
        <w:ind w:left="0"/>
        <w:rPr>
          <w:rFonts w:cs="Arial"/>
        </w:rPr>
      </w:pPr>
    </w:p>
    <w:p w14:paraId="63A743DE" w14:textId="77777777" w:rsidR="00EA744E" w:rsidRDefault="000D5020" w:rsidP="00EA744E">
      <w:pPr>
        <w:pStyle w:val="Ttulo2"/>
        <w:rPr>
          <w:rFonts w:eastAsia="Palatino Linotype"/>
        </w:rPr>
      </w:pPr>
      <w:r>
        <w:rPr>
          <w:rFonts w:eastAsia="Palatino Linotype"/>
        </w:rPr>
        <w:t>QUINTO</w:t>
      </w:r>
      <w:r w:rsidR="00EA744E">
        <w:rPr>
          <w:rFonts w:eastAsia="Palatino Linotype"/>
        </w:rPr>
        <w:t xml:space="preserve">. </w:t>
      </w:r>
      <w:r w:rsidR="00EA744E" w:rsidRPr="006922F5">
        <w:rPr>
          <w:rFonts w:eastAsia="Palatino Linotype"/>
        </w:rPr>
        <w:t>Estudio y resolución del asunto.</w:t>
      </w:r>
    </w:p>
    <w:p w14:paraId="22E3970F" w14:textId="77777777" w:rsidR="00EA744E" w:rsidRPr="00231378" w:rsidRDefault="00EA744E" w:rsidP="00EA744E"/>
    <w:p w14:paraId="1026D426" w14:textId="77777777" w:rsidR="00EA744E" w:rsidRPr="006922F5" w:rsidRDefault="00EA744E" w:rsidP="00EA744E">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w:t>
      </w:r>
      <w:r w:rsidRPr="006922F5">
        <w:rPr>
          <w:rFonts w:eastAsia="Palatino Linotype" w:cs="Palatino Linotype"/>
          <w:color w:val="000000"/>
          <w:szCs w:val="24"/>
        </w:rPr>
        <w:lastRenderedPageBreak/>
        <w:t>demás leyes aplicables en la materia, así como en los tratados internacionales en los que el Estado Mexicano sea parte, en concordancia con el párrafo tercero del artículo 1 de la Constitución Federal y el diverso 8 de la Ley de Transparencia local.</w:t>
      </w:r>
    </w:p>
    <w:p w14:paraId="3CA56409" w14:textId="77777777" w:rsidR="00EA744E" w:rsidRPr="006922F5" w:rsidRDefault="00EA744E" w:rsidP="00EA744E">
      <w:pPr>
        <w:pBdr>
          <w:top w:val="nil"/>
          <w:left w:val="nil"/>
          <w:bottom w:val="nil"/>
          <w:right w:val="nil"/>
          <w:between w:val="nil"/>
        </w:pBdr>
        <w:contextualSpacing/>
        <w:rPr>
          <w:rFonts w:eastAsia="Palatino Linotype" w:cs="Palatino Linotype"/>
          <w:color w:val="000000"/>
          <w:szCs w:val="24"/>
        </w:rPr>
      </w:pPr>
    </w:p>
    <w:p w14:paraId="2FFB89E2" w14:textId="77777777" w:rsidR="00EA744E" w:rsidRDefault="00EA744E" w:rsidP="00EA744E">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Por tanto, es conveniente recordar que </w:t>
      </w:r>
      <w:r>
        <w:rPr>
          <w:rFonts w:eastAsia="Palatino Linotype" w:cs="Palatino Linotype"/>
          <w:color w:val="000000"/>
          <w:szCs w:val="24"/>
        </w:rPr>
        <w:t>el</w:t>
      </w:r>
      <w:r w:rsidRPr="006922F5">
        <w:rPr>
          <w:rFonts w:eastAsia="Palatino Linotype" w:cs="Palatino Linotype"/>
          <w:color w:val="000000"/>
          <w:szCs w:val="24"/>
        </w:rPr>
        <w:t xml:space="preserve"> hoy Recurrente requirió </w:t>
      </w:r>
      <w:r>
        <w:rPr>
          <w:rFonts w:eastAsia="Palatino Linotype" w:cs="Palatino Linotype"/>
          <w:color w:val="000000"/>
          <w:szCs w:val="24"/>
        </w:rPr>
        <w:t>del Sujeto Obligado, de la actual administración, lo siguiente:</w:t>
      </w:r>
    </w:p>
    <w:p w14:paraId="5FE56A0F" w14:textId="77777777" w:rsidR="00EA744E" w:rsidRDefault="00EA744E" w:rsidP="00EA744E">
      <w:pPr>
        <w:pBdr>
          <w:top w:val="nil"/>
          <w:left w:val="nil"/>
          <w:bottom w:val="nil"/>
          <w:right w:val="nil"/>
          <w:between w:val="nil"/>
        </w:pBdr>
        <w:contextualSpacing/>
        <w:rPr>
          <w:rFonts w:eastAsia="Palatino Linotype" w:cs="Palatino Linotype"/>
          <w:color w:val="000000"/>
          <w:szCs w:val="24"/>
        </w:rPr>
      </w:pPr>
    </w:p>
    <w:p w14:paraId="7F229BCF" w14:textId="77777777" w:rsidR="00EA744E" w:rsidRPr="00802B59" w:rsidRDefault="000D5020" w:rsidP="00EA744E">
      <w:pPr>
        <w:pStyle w:val="Prrafodelista"/>
        <w:numPr>
          <w:ilvl w:val="0"/>
          <w:numId w:val="1"/>
        </w:numPr>
        <w:pBdr>
          <w:top w:val="nil"/>
          <w:left w:val="nil"/>
          <w:bottom w:val="nil"/>
          <w:right w:val="nil"/>
          <w:between w:val="nil"/>
        </w:pBdr>
        <w:contextualSpacing/>
        <w:rPr>
          <w:rFonts w:eastAsia="Palatino Linotype" w:cs="Palatino Linotype"/>
          <w:color w:val="000000"/>
        </w:rPr>
      </w:pPr>
      <w:r>
        <w:rPr>
          <w:i/>
          <w:color w:val="000000"/>
        </w:rPr>
        <w:t xml:space="preserve">Con cuantos módulos de atención para turistas cuanta el municipio </w:t>
      </w:r>
    </w:p>
    <w:p w14:paraId="6DC056A6" w14:textId="77777777" w:rsidR="00EA744E" w:rsidRPr="002E1E77" w:rsidRDefault="00EA744E" w:rsidP="00EA744E">
      <w:pPr>
        <w:pStyle w:val="Prrafodelista"/>
        <w:pBdr>
          <w:top w:val="nil"/>
          <w:left w:val="nil"/>
          <w:bottom w:val="nil"/>
          <w:right w:val="nil"/>
          <w:between w:val="nil"/>
        </w:pBdr>
        <w:ind w:left="1069"/>
        <w:contextualSpacing/>
        <w:rPr>
          <w:rFonts w:eastAsia="Palatino Linotype" w:cs="Palatino Linotype"/>
          <w:color w:val="000000"/>
        </w:rPr>
      </w:pPr>
    </w:p>
    <w:p w14:paraId="06C9014A" w14:textId="77777777" w:rsidR="00EA744E" w:rsidRDefault="00EA744E" w:rsidP="00EA744E">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Por lo que atento a la solicitud de información el Sujeto Obligado hizo entrega de los siguientes archivos electrónicos:</w:t>
      </w:r>
    </w:p>
    <w:p w14:paraId="68432569" w14:textId="77777777" w:rsidR="000D5020" w:rsidRDefault="000D5020" w:rsidP="00EA744E">
      <w:pPr>
        <w:pBdr>
          <w:top w:val="nil"/>
          <w:left w:val="nil"/>
          <w:bottom w:val="nil"/>
          <w:right w:val="nil"/>
          <w:between w:val="nil"/>
        </w:pBdr>
        <w:contextualSpacing/>
        <w:rPr>
          <w:rFonts w:eastAsia="Palatino Linotype" w:cs="Palatino Linotype"/>
          <w:color w:val="000000"/>
          <w:szCs w:val="24"/>
        </w:rPr>
      </w:pPr>
    </w:p>
    <w:p w14:paraId="72FF0974" w14:textId="77777777" w:rsidR="000D5020" w:rsidRPr="000D5020" w:rsidRDefault="000D5020" w:rsidP="000D5020">
      <w:pPr>
        <w:pStyle w:val="Prrafodelista"/>
        <w:numPr>
          <w:ilvl w:val="0"/>
          <w:numId w:val="6"/>
        </w:numPr>
        <w:rPr>
          <w:rFonts w:eastAsia="Palatino Linotype" w:cs="Palatino Linotype"/>
        </w:rPr>
      </w:pPr>
      <w:r w:rsidRPr="000D5020">
        <w:rPr>
          <w:rFonts w:eastAsiaTheme="majorEastAsia" w:cs="Arial"/>
          <w:b/>
          <w:bCs/>
        </w:rPr>
        <w:t>img023.pdf</w:t>
      </w:r>
      <w:r>
        <w:rPr>
          <w:rFonts w:eastAsiaTheme="majorEastAsia" w:cs="Arial"/>
          <w:b/>
          <w:bCs/>
        </w:rPr>
        <w:t xml:space="preserve">: </w:t>
      </w:r>
      <w:r>
        <w:rPr>
          <w:rFonts w:eastAsiaTheme="majorEastAsia" w:cs="Arial"/>
          <w:bCs/>
        </w:rPr>
        <w:t>Documento que consta de una foja en formato PDF de fecha diecisiete de agosto de dos mil veintitrés con número de oficio ZIN/</w:t>
      </w:r>
      <w:proofErr w:type="spellStart"/>
      <w:r>
        <w:rPr>
          <w:rFonts w:eastAsiaTheme="majorEastAsia" w:cs="Arial"/>
          <w:bCs/>
        </w:rPr>
        <w:t>DCyT</w:t>
      </w:r>
      <w:proofErr w:type="spellEnd"/>
      <w:r>
        <w:rPr>
          <w:rFonts w:eastAsiaTheme="majorEastAsia" w:cs="Arial"/>
          <w:bCs/>
        </w:rPr>
        <w:t xml:space="preserve">/0215/2023 por medio del cual la directora de la Dirección de Cultura y Turismo informa que su dirección cuenta con un módulo fijo turístico que se encuentra en las instalaciones de la casa de cultura “Matilde </w:t>
      </w:r>
      <w:proofErr w:type="spellStart"/>
      <w:r>
        <w:rPr>
          <w:rFonts w:eastAsiaTheme="majorEastAsia" w:cs="Arial"/>
          <w:bCs/>
        </w:rPr>
        <w:t>Zuñiga</w:t>
      </w:r>
      <w:proofErr w:type="spellEnd"/>
      <w:r>
        <w:rPr>
          <w:rFonts w:eastAsiaTheme="majorEastAsia" w:cs="Arial"/>
          <w:bCs/>
        </w:rPr>
        <w:t>” y un módulo movible que se encuentra en cada evento realizado por su dirección.</w:t>
      </w:r>
    </w:p>
    <w:p w14:paraId="3D1A9EF4" w14:textId="77777777" w:rsidR="000D5020" w:rsidRPr="000D5020" w:rsidRDefault="000D5020" w:rsidP="000D5020">
      <w:pPr>
        <w:rPr>
          <w:rFonts w:eastAsia="Palatino Linotype" w:cs="Palatino Linotype"/>
        </w:rPr>
      </w:pPr>
    </w:p>
    <w:p w14:paraId="4150BB33" w14:textId="77777777" w:rsidR="000D5020" w:rsidRPr="000D5020" w:rsidRDefault="000D5020" w:rsidP="000D5020">
      <w:pPr>
        <w:pStyle w:val="Prrafodelista"/>
        <w:numPr>
          <w:ilvl w:val="0"/>
          <w:numId w:val="6"/>
        </w:numPr>
        <w:rPr>
          <w:rFonts w:eastAsia="Palatino Linotype" w:cs="Palatino Linotype"/>
        </w:rPr>
      </w:pPr>
      <w:r w:rsidRPr="000D5020">
        <w:rPr>
          <w:rFonts w:eastAsiaTheme="majorEastAsia" w:cs="Arial"/>
          <w:b/>
          <w:bCs/>
        </w:rPr>
        <w:t>SOLICITUD 1115.pdf</w:t>
      </w:r>
      <w:r>
        <w:rPr>
          <w:rFonts w:eastAsiaTheme="majorEastAsia" w:cs="Arial"/>
          <w:b/>
          <w:bCs/>
        </w:rPr>
        <w:t xml:space="preserve">: </w:t>
      </w:r>
      <w:r>
        <w:rPr>
          <w:rFonts w:eastAsiaTheme="majorEastAsia" w:cs="Arial"/>
          <w:bCs/>
        </w:rPr>
        <w:t xml:space="preserve">Documento que consta de una foja en formato PDF de fecha veinticuatro de agosto de dos mil veintitrés con número de folio ZIN/UT/385/2023 </w:t>
      </w:r>
      <w:r w:rsidR="00C354A6">
        <w:rPr>
          <w:rFonts w:eastAsiaTheme="majorEastAsia" w:cs="Arial"/>
          <w:bCs/>
        </w:rPr>
        <w:t>por medio del cual la Titular de la Unidad de Transparencia turna la solicitud de información al área poseedora de la información.</w:t>
      </w:r>
    </w:p>
    <w:p w14:paraId="512A7515" w14:textId="77777777" w:rsidR="000D5020" w:rsidRDefault="000D5020" w:rsidP="00EA744E">
      <w:pPr>
        <w:rPr>
          <w:rFonts w:eastAsia="Palatino Linotype" w:cs="Palatino Linotype"/>
          <w:color w:val="000000"/>
        </w:rPr>
      </w:pPr>
    </w:p>
    <w:p w14:paraId="64DA937F" w14:textId="77777777" w:rsidR="00EA744E" w:rsidRDefault="00EA744E" w:rsidP="00EA744E">
      <w:pPr>
        <w:rPr>
          <w:rFonts w:eastAsia="Palatino Linotype" w:cs="Palatino Linotype"/>
          <w:color w:val="000000"/>
        </w:rPr>
      </w:pPr>
      <w:r w:rsidRPr="00031639">
        <w:rPr>
          <w:rFonts w:eastAsia="Palatino Linotype" w:cs="Palatino Linotype"/>
          <w:color w:val="000000"/>
        </w:rPr>
        <w:lastRenderedPageBreak/>
        <w:t xml:space="preserve">Ante la respuesta emitida por el Sujeto Obligado, el Recurrente consideró que su derecho a la información pública había sido conculcado, por lo que interpuso el recurso de revisión al rubro citado, señalando como acto impugnado </w:t>
      </w:r>
      <w:r w:rsidR="00C354A6">
        <w:rPr>
          <w:rFonts w:eastAsia="Palatino Linotype" w:cs="Palatino Linotype"/>
          <w:color w:val="000000"/>
        </w:rPr>
        <w:t>y motivos de inconformidad la negativa de entregar la información</w:t>
      </w:r>
      <w:r w:rsidRPr="00031639">
        <w:rPr>
          <w:rFonts w:eastAsia="Palatino Linotype" w:cs="Palatino Linotype"/>
          <w:i/>
          <w:color w:val="000000"/>
        </w:rPr>
        <w:t>,</w:t>
      </w:r>
      <w:r w:rsidRPr="00031639">
        <w:rPr>
          <w:rFonts w:eastAsia="Palatino Linotype" w:cs="Palatino Linotype"/>
          <w:i/>
          <w:color w:val="000000"/>
          <w:sz w:val="22"/>
        </w:rPr>
        <w:t xml:space="preserve"> </w:t>
      </w:r>
      <w:r w:rsidRPr="00031639">
        <w:rPr>
          <w:rFonts w:eastAsia="Palatino Linotype" w:cs="Palatino Linotype"/>
          <w:color w:val="000000"/>
        </w:rPr>
        <w:t>en este sentido el Recurrente considero que el Ayuntamiento de</w:t>
      </w:r>
      <w:r w:rsidR="00C354A6">
        <w:rPr>
          <w:rFonts w:eastAsia="Palatino Linotype" w:cs="Palatino Linotype"/>
          <w:color w:val="000000"/>
        </w:rPr>
        <w:t xml:space="preserve"> Zinacantepec no le entrego la cantidad de módulos de atención para turistas con los que cuenta el municipio</w:t>
      </w:r>
      <w:r>
        <w:rPr>
          <w:rFonts w:eastAsia="Palatino Linotype" w:cs="Palatino Linotype"/>
          <w:color w:val="000000"/>
        </w:rPr>
        <w:t>.</w:t>
      </w:r>
    </w:p>
    <w:p w14:paraId="30596C6B" w14:textId="77777777" w:rsidR="00EA744E" w:rsidRDefault="00EA744E" w:rsidP="00EA744E">
      <w:pPr>
        <w:rPr>
          <w:szCs w:val="24"/>
        </w:rPr>
      </w:pPr>
    </w:p>
    <w:p w14:paraId="71A11351" w14:textId="77777777" w:rsidR="00EA744E" w:rsidRPr="00B7320F" w:rsidRDefault="00EA744E" w:rsidP="00EA744E">
      <w:pPr>
        <w:tabs>
          <w:tab w:val="left" w:pos="709"/>
        </w:tabs>
        <w:contextualSpacing/>
        <w:rPr>
          <w:rFonts w:cs="Arial"/>
        </w:rPr>
      </w:pPr>
      <w:r>
        <w:rPr>
          <w:rFonts w:cs="Arial"/>
        </w:rPr>
        <w:t xml:space="preserve">De lo anterior se debe </w:t>
      </w:r>
      <w:r w:rsidRPr="00B7320F">
        <w:rPr>
          <w:rFonts w:cs="Arial"/>
        </w:rPr>
        <w:t>señalar que el artículo 4, párrafo segundo de la Ley de Transparencia y Acceso a la Información Pública del Estado de México y Municipios, dispone:</w:t>
      </w:r>
    </w:p>
    <w:p w14:paraId="4B6F1172" w14:textId="77777777" w:rsidR="00EA744E" w:rsidRPr="00B7320F" w:rsidRDefault="00EA744E" w:rsidP="00EA744E">
      <w:pPr>
        <w:pStyle w:val="Sinespaciado"/>
      </w:pPr>
    </w:p>
    <w:p w14:paraId="7EFD288A" w14:textId="77777777" w:rsidR="00EA744E" w:rsidRPr="00B7320F" w:rsidRDefault="00EA744E" w:rsidP="00EA744E">
      <w:pPr>
        <w:ind w:left="567" w:right="616"/>
        <w:rPr>
          <w:rFonts w:cs="Arial"/>
          <w:i/>
          <w:sz w:val="22"/>
        </w:rPr>
      </w:pPr>
      <w:r w:rsidRPr="00B7320F">
        <w:rPr>
          <w:rFonts w:cs="Arial"/>
          <w:i/>
          <w:sz w:val="22"/>
        </w:rPr>
        <w:t>“</w:t>
      </w:r>
      <w:r w:rsidRPr="00B7320F">
        <w:rPr>
          <w:rFonts w:cs="Arial"/>
          <w:b/>
          <w:i/>
          <w:sz w:val="22"/>
        </w:rPr>
        <w:t xml:space="preserve">Artículo 4. </w:t>
      </w:r>
      <w:r w:rsidRPr="00B7320F">
        <w:rPr>
          <w:rFonts w:cs="Arial"/>
          <w:i/>
          <w:sz w:val="22"/>
        </w:rPr>
        <w:t xml:space="preserve">… </w:t>
      </w:r>
    </w:p>
    <w:p w14:paraId="51092613" w14:textId="77777777" w:rsidR="00EA744E" w:rsidRPr="00B7320F" w:rsidRDefault="00EA744E" w:rsidP="00EA744E">
      <w:pPr>
        <w:ind w:left="567" w:right="616"/>
        <w:rPr>
          <w:rFonts w:cs="Arial"/>
          <w:i/>
          <w:sz w:val="22"/>
        </w:rPr>
      </w:pPr>
      <w:r w:rsidRPr="00B7320F">
        <w:rPr>
          <w:rFonts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7068F20" w14:textId="77777777" w:rsidR="00EA744E" w:rsidRPr="00B7320F" w:rsidRDefault="00EA744E" w:rsidP="00EA744E">
      <w:pPr>
        <w:tabs>
          <w:tab w:val="left" w:pos="709"/>
        </w:tabs>
        <w:contextualSpacing/>
        <w:rPr>
          <w:rFonts w:cs="Arial"/>
        </w:rPr>
      </w:pPr>
    </w:p>
    <w:p w14:paraId="01ADB1DE" w14:textId="77777777" w:rsidR="00EA744E" w:rsidRDefault="00EA744E" w:rsidP="00EA744E">
      <w:pPr>
        <w:tabs>
          <w:tab w:val="left" w:pos="709"/>
        </w:tabs>
        <w:contextualSpacing/>
        <w:rPr>
          <w:rFonts w:cs="Arial"/>
        </w:rPr>
      </w:pPr>
      <w:r w:rsidRPr="00B7320F">
        <w:rPr>
          <w:rFonts w:cs="Aria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7F8D530F" w14:textId="77777777" w:rsidR="00EA744E" w:rsidRPr="00B7320F" w:rsidRDefault="00EA744E" w:rsidP="00EA744E">
      <w:pPr>
        <w:tabs>
          <w:tab w:val="left" w:pos="709"/>
        </w:tabs>
        <w:contextualSpacing/>
        <w:rPr>
          <w:rFonts w:cs="Arial"/>
        </w:rPr>
      </w:pPr>
    </w:p>
    <w:p w14:paraId="6BB8563E" w14:textId="77777777" w:rsidR="00EA744E" w:rsidRPr="00B7320F" w:rsidRDefault="00EA744E" w:rsidP="00EA744E">
      <w:pPr>
        <w:tabs>
          <w:tab w:val="left" w:pos="709"/>
        </w:tabs>
        <w:contextualSpacing/>
        <w:rPr>
          <w:rFonts w:cs="Arial"/>
        </w:rPr>
      </w:pPr>
      <w:r w:rsidRPr="00B7320F">
        <w:rPr>
          <w:rFonts w:cs="Arial"/>
        </w:rPr>
        <w:lastRenderedPageBreak/>
        <w:t xml:space="preserve">En esta misma tesitura, el derecho de acceso a la información pública, consiste en que la información solicitada conste en un soporte documental en cualquiera de sus formas, a saber: </w:t>
      </w:r>
      <w:r w:rsidRPr="00B7320F">
        <w:rPr>
          <w:rFonts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B7320F">
        <w:rPr>
          <w:rFonts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19D179BE" w14:textId="77777777" w:rsidR="00EA744E" w:rsidRPr="00B7320F" w:rsidRDefault="00EA744E" w:rsidP="00EA744E">
      <w:pPr>
        <w:pStyle w:val="Sinespaciado"/>
      </w:pPr>
    </w:p>
    <w:p w14:paraId="1438332F" w14:textId="77777777" w:rsidR="00EA744E" w:rsidRPr="00B7320F" w:rsidRDefault="00EA744E" w:rsidP="00EA744E">
      <w:pPr>
        <w:ind w:left="567" w:right="616"/>
        <w:rPr>
          <w:rFonts w:cs="Arial"/>
          <w:i/>
          <w:sz w:val="22"/>
        </w:rPr>
      </w:pPr>
      <w:r w:rsidRPr="00B7320F">
        <w:rPr>
          <w:rFonts w:cs="Arial"/>
          <w:i/>
          <w:sz w:val="22"/>
        </w:rPr>
        <w:t>“</w:t>
      </w:r>
      <w:r w:rsidRPr="00B7320F">
        <w:rPr>
          <w:rFonts w:cs="Arial"/>
          <w:b/>
          <w:i/>
          <w:sz w:val="22"/>
        </w:rPr>
        <w:t xml:space="preserve">Artículo 3. </w:t>
      </w:r>
      <w:r w:rsidRPr="00B7320F">
        <w:rPr>
          <w:rFonts w:cs="Arial"/>
          <w:i/>
          <w:sz w:val="22"/>
        </w:rPr>
        <w:t>Para los efectos de la presente Ley se entenderá por:</w:t>
      </w:r>
    </w:p>
    <w:p w14:paraId="4B105EA7" w14:textId="77777777" w:rsidR="00EA744E" w:rsidRPr="00B7320F" w:rsidRDefault="00EA744E" w:rsidP="00EA744E">
      <w:pPr>
        <w:ind w:left="567" w:right="616"/>
        <w:rPr>
          <w:rFonts w:cs="Arial"/>
          <w:i/>
          <w:sz w:val="22"/>
        </w:rPr>
      </w:pPr>
      <w:r w:rsidRPr="00B7320F">
        <w:rPr>
          <w:rFonts w:cs="Arial"/>
          <w:i/>
          <w:sz w:val="22"/>
        </w:rPr>
        <w:t>(…)</w:t>
      </w:r>
    </w:p>
    <w:p w14:paraId="4E0BF892" w14:textId="77777777" w:rsidR="00EA744E" w:rsidRPr="00B7320F" w:rsidRDefault="00EA744E" w:rsidP="00EA744E">
      <w:pPr>
        <w:ind w:left="567" w:right="616"/>
        <w:rPr>
          <w:rFonts w:cs="Arial"/>
          <w:i/>
          <w:sz w:val="22"/>
        </w:rPr>
      </w:pPr>
      <w:r w:rsidRPr="00B7320F">
        <w:rPr>
          <w:rFonts w:cs="Arial"/>
          <w:b/>
          <w:i/>
          <w:sz w:val="22"/>
        </w:rPr>
        <w:t>XI. Documento:</w:t>
      </w:r>
      <w:r w:rsidRPr="00B7320F">
        <w:rPr>
          <w:rFonts w:cs="Arial"/>
          <w:i/>
          <w:sz w:val="22"/>
        </w:rPr>
        <w:t xml:space="preserve"> Los expedientes, reportes, estudios, actas, resoluciones, oficios, correspondencia, acuerdos, directivas, directrices, circulares, contratos, convenios, instructivos, notas, memorandos, estadísticas o bien, cualquier otro </w:t>
      </w:r>
      <w:r w:rsidRPr="00B7320F">
        <w:rPr>
          <w:rFonts w:cs="Arial"/>
          <w:b/>
          <w:i/>
          <w:sz w:val="22"/>
          <w:u w:val="single"/>
        </w:rPr>
        <w:t>registro que documente el ejercicio de las facultades, funciones y competencias de los sujetos obligados</w:t>
      </w:r>
      <w:r w:rsidRPr="00B7320F">
        <w:rPr>
          <w:rFonts w:cs="Arial"/>
          <w:i/>
          <w:sz w:val="22"/>
          <w:u w:val="single"/>
        </w:rPr>
        <w:t>,</w:t>
      </w:r>
      <w:r w:rsidRPr="00B7320F">
        <w:rPr>
          <w:rFonts w:cs="Arial"/>
          <w:i/>
          <w:sz w:val="22"/>
        </w:rPr>
        <w:t xml:space="preserve"> sus servidores públicos e integrantes, </w:t>
      </w:r>
      <w:r w:rsidRPr="00B7320F">
        <w:rPr>
          <w:rFonts w:cs="Arial"/>
          <w:b/>
          <w:i/>
          <w:sz w:val="22"/>
          <w:u w:val="single"/>
        </w:rPr>
        <w:t>sin importar su fuente o fecha de elaboración.</w:t>
      </w:r>
      <w:r w:rsidRPr="00B7320F">
        <w:rPr>
          <w:rFonts w:cs="Arial"/>
          <w:i/>
          <w:sz w:val="22"/>
        </w:rPr>
        <w:t xml:space="preserve"> Los documentos podrán estar en cualquier medio, sea escrito, impreso, sonoro, visual, electrónico, informático u holográfico;</w:t>
      </w:r>
    </w:p>
    <w:p w14:paraId="3C4BD2F4" w14:textId="77777777" w:rsidR="00EA744E" w:rsidRPr="00B7320F" w:rsidRDefault="00EA744E" w:rsidP="00EA744E">
      <w:pPr>
        <w:ind w:left="567" w:right="616"/>
        <w:rPr>
          <w:rFonts w:cs="Arial"/>
          <w:i/>
          <w:sz w:val="22"/>
        </w:rPr>
      </w:pPr>
      <w:r w:rsidRPr="00B7320F">
        <w:rPr>
          <w:rFonts w:cs="Arial"/>
          <w:i/>
          <w:sz w:val="22"/>
        </w:rPr>
        <w:t>(…)”</w:t>
      </w:r>
    </w:p>
    <w:p w14:paraId="43E8B348" w14:textId="77777777" w:rsidR="00EA744E" w:rsidRPr="00B7320F" w:rsidRDefault="00EA744E" w:rsidP="00EA744E"/>
    <w:p w14:paraId="5132A66D" w14:textId="77777777" w:rsidR="00EA744E" w:rsidRDefault="00EA744E" w:rsidP="00EA744E">
      <w:pPr>
        <w:spacing w:before="240" w:after="240"/>
        <w:ind w:right="49"/>
        <w:contextualSpacing/>
        <w:rPr>
          <w:rFonts w:eastAsia="MS Mincho"/>
        </w:rPr>
      </w:pPr>
      <w:r w:rsidRPr="00B7320F">
        <w:rPr>
          <w:rFonts w:cs="Arial"/>
        </w:rPr>
        <w:t xml:space="preserve">Además, </w:t>
      </w:r>
      <w:r w:rsidRPr="00B7320F">
        <w:rPr>
          <w:rFonts w:eastAsia="MS Mincho"/>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w:t>
      </w:r>
      <w:r w:rsidRPr="00B7320F">
        <w:rPr>
          <w:rFonts w:eastAsia="MS Mincho"/>
        </w:rPr>
        <w:lastRenderedPageBreak/>
        <w:t>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1F277233" w14:textId="77777777" w:rsidR="00EA744E" w:rsidRPr="006A187E" w:rsidRDefault="00EA744E" w:rsidP="00EA744E">
      <w:pPr>
        <w:spacing w:before="240" w:after="240"/>
        <w:ind w:right="49"/>
        <w:contextualSpacing/>
        <w:rPr>
          <w:rFonts w:eastAsia="MS Mincho"/>
        </w:rPr>
      </w:pPr>
    </w:p>
    <w:p w14:paraId="4754D6C2" w14:textId="77777777" w:rsidR="00EA744E" w:rsidRPr="006A187E" w:rsidRDefault="00EA744E" w:rsidP="00EA744E">
      <w:pPr>
        <w:spacing w:before="240" w:after="240"/>
        <w:ind w:right="49"/>
        <w:contextualSpacing/>
        <w:rPr>
          <w:rFonts w:eastAsia="MS Mincho" w:cs="Tahoma"/>
        </w:rPr>
      </w:pPr>
      <w:r w:rsidRPr="00B7320F">
        <w:rPr>
          <w:rFonts w:cs="Arial"/>
        </w:rPr>
        <w:t xml:space="preserve">De la misma forma, </w:t>
      </w:r>
      <w:r w:rsidRPr="00B7320F">
        <w:rPr>
          <w:rFonts w:eastAsia="MS Mincho"/>
        </w:rPr>
        <w:t>de acuerdo al contenido del artículo 160,</w:t>
      </w:r>
      <w:r w:rsidRPr="00B7320F">
        <w:rPr>
          <w:rFonts w:cs="Arial"/>
        </w:rPr>
        <w:t xml:space="preserve"> de la Ley </w:t>
      </w:r>
      <w:r w:rsidRPr="00B7320F">
        <w:rPr>
          <w:rFonts w:eastAsia="MS Mincho" w:cs="Tahoma"/>
        </w:rPr>
        <w:t>General de Transparencia y Acceso a la Información Pública que a la letra dispone:</w:t>
      </w:r>
    </w:p>
    <w:p w14:paraId="1CBFAE37" w14:textId="77777777" w:rsidR="00EA744E" w:rsidRPr="00B7320F" w:rsidRDefault="00EA744E" w:rsidP="00EA744E">
      <w:pPr>
        <w:ind w:left="567" w:right="616"/>
        <w:contextualSpacing/>
        <w:rPr>
          <w:rFonts w:cs="Arial"/>
          <w:i/>
          <w:sz w:val="22"/>
          <w:lang w:eastAsia="gl-ES"/>
        </w:rPr>
      </w:pPr>
      <w:r w:rsidRPr="00B7320F">
        <w:rPr>
          <w:rFonts w:cs="Arial"/>
          <w:b/>
          <w:i/>
          <w:sz w:val="22"/>
          <w:lang w:eastAsia="gl-ES"/>
        </w:rPr>
        <w:t>Artículo 160</w:t>
      </w:r>
      <w:r w:rsidRPr="00B7320F">
        <w:rPr>
          <w:rFonts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008B3060" w14:textId="77777777" w:rsidR="00EA744E" w:rsidRPr="00B7320F" w:rsidRDefault="00EA744E" w:rsidP="00EA744E">
      <w:pPr>
        <w:pStyle w:val="Sinespaciado"/>
      </w:pPr>
    </w:p>
    <w:p w14:paraId="76CB95C8" w14:textId="77777777" w:rsidR="00EA744E" w:rsidRPr="00B7320F" w:rsidRDefault="00EA744E" w:rsidP="00EA744E">
      <w:pPr>
        <w:contextualSpacing/>
        <w:rPr>
          <w:rFonts w:cs="Arial"/>
        </w:rPr>
      </w:pPr>
      <w:r w:rsidRPr="00B7320F">
        <w:rPr>
          <w:rFonts w:cs="Arial"/>
          <w:bCs/>
        </w:rPr>
        <w:t xml:space="preserve">Además, </w:t>
      </w:r>
      <w:r w:rsidRPr="00B7320F">
        <w:rPr>
          <w:rFonts w:cs="Arial"/>
        </w:rPr>
        <w:t xml:space="preserve">a Ley de Transparencia y Acceso a la Información Pública del Estado de México y Municipios, prevé en su artículo 23, fracción </w:t>
      </w:r>
      <w:r>
        <w:rPr>
          <w:rFonts w:cs="Arial"/>
        </w:rPr>
        <w:t>IV</w:t>
      </w:r>
      <w:r w:rsidRPr="00B7320F">
        <w:rPr>
          <w:rFonts w:cs="Arial"/>
        </w:rPr>
        <w:t>, que son Sujetos Obligados a Transparentar y permitir el acceso a su información y proteger los datos que obren en su poder:</w:t>
      </w:r>
    </w:p>
    <w:p w14:paraId="7B3E21B9" w14:textId="77777777" w:rsidR="00EA744E" w:rsidRPr="00B7320F" w:rsidRDefault="00EA744E" w:rsidP="00EA744E">
      <w:pPr>
        <w:pStyle w:val="Sinespaciado"/>
      </w:pPr>
    </w:p>
    <w:p w14:paraId="19A0BC8E" w14:textId="77777777" w:rsidR="00EA744E" w:rsidRDefault="00EA744E" w:rsidP="00EA744E">
      <w:pPr>
        <w:ind w:left="567" w:right="616"/>
        <w:contextualSpacing/>
        <w:rPr>
          <w:rFonts w:cs="Arial"/>
          <w:i/>
          <w:sz w:val="22"/>
        </w:rPr>
      </w:pPr>
      <w:r w:rsidRPr="00B7320F">
        <w:rPr>
          <w:rFonts w:cs="Arial"/>
          <w:b/>
          <w:i/>
          <w:sz w:val="22"/>
        </w:rPr>
        <w:t>Artículo 23.</w:t>
      </w:r>
      <w:r w:rsidRPr="00B7320F">
        <w:rPr>
          <w:rFonts w:cs="Arial"/>
          <w:i/>
          <w:sz w:val="22"/>
        </w:rPr>
        <w:t xml:space="preserve"> Son sujetos obligados a transparentar y permitir el acceso a su información y proteger los datos personales que obren en su poder:</w:t>
      </w:r>
    </w:p>
    <w:p w14:paraId="466E6149" w14:textId="77777777" w:rsidR="00EA744E" w:rsidRDefault="00EA744E" w:rsidP="00EA744E">
      <w:pPr>
        <w:ind w:left="567" w:right="616"/>
        <w:contextualSpacing/>
        <w:rPr>
          <w:rFonts w:cs="Arial"/>
          <w:b/>
          <w:i/>
          <w:sz w:val="22"/>
        </w:rPr>
      </w:pPr>
    </w:p>
    <w:p w14:paraId="13971539" w14:textId="77777777" w:rsidR="00EA744E" w:rsidRPr="006A187E" w:rsidRDefault="00EA744E" w:rsidP="00EA744E">
      <w:pPr>
        <w:ind w:left="567" w:right="616"/>
        <w:contextualSpacing/>
        <w:rPr>
          <w:rFonts w:cs="Arial"/>
          <w:bCs/>
          <w:i/>
          <w:sz w:val="22"/>
        </w:rPr>
      </w:pPr>
      <w:r w:rsidRPr="004C6BB5">
        <w:rPr>
          <w:rFonts w:cs="Arial"/>
          <w:b/>
          <w:i/>
          <w:sz w:val="22"/>
        </w:rPr>
        <w:t xml:space="preserve">IV. </w:t>
      </w:r>
      <w:r w:rsidRPr="004C6BB5">
        <w:rPr>
          <w:rFonts w:cs="Arial"/>
          <w:bCs/>
          <w:i/>
          <w:sz w:val="22"/>
        </w:rPr>
        <w:t>Los ayuntamientos y las dependencias, organismos, órganos y entidades de la administración municipal;</w:t>
      </w:r>
    </w:p>
    <w:p w14:paraId="2615EE2C" w14:textId="77777777" w:rsidR="00EA744E" w:rsidRPr="00322CE7" w:rsidRDefault="00EA744E" w:rsidP="00EA744E">
      <w:pPr>
        <w:rPr>
          <w:rFonts w:eastAsiaTheme="minorHAnsi" w:cs="Arial"/>
          <w:lang w:val="es-MX" w:eastAsia="en-US"/>
        </w:rPr>
      </w:pPr>
      <w:r w:rsidRPr="00B7320F">
        <w:rPr>
          <w:rFonts w:eastAsiaTheme="minorHAnsi" w:cs="Arial"/>
          <w:lang w:val="es-MX" w:eastAsia="en-US"/>
        </w:rPr>
        <w:lastRenderedPageBreak/>
        <w:t xml:space="preserve">Expuesto lo anterior, se procede al análisis de la totalidad de las constancias que integran el expediente electrónico del </w:t>
      </w:r>
      <w:r w:rsidRPr="00B7320F">
        <w:rPr>
          <w:rFonts w:eastAsiaTheme="minorHAnsi" w:cs="Arial"/>
          <w:b/>
          <w:lang w:val="es-MX" w:eastAsia="en-US"/>
        </w:rPr>
        <w:t>SAIMEX</w:t>
      </w:r>
      <w:r w:rsidRPr="00B7320F">
        <w:rPr>
          <w:rFonts w:eastAsiaTheme="minorHAnsi" w:cs="Arial"/>
          <w:lang w:val="es-MX" w:eastAsia="en-US"/>
        </w:rPr>
        <w:t xml:space="preserve">, a efecto de determinar si con la información remitida por </w:t>
      </w:r>
      <w:r w:rsidRPr="00B7320F">
        <w:rPr>
          <w:rFonts w:eastAsiaTheme="minorHAnsi" w:cs="Arial"/>
          <w:b/>
          <w:lang w:val="es-MX" w:eastAsia="en-US"/>
        </w:rPr>
        <w:t>El Sujeto Obligado</w:t>
      </w:r>
      <w:r w:rsidRPr="00B7320F">
        <w:rPr>
          <w:rFonts w:eastAsiaTheme="minorHAnsi" w:cs="Arial"/>
          <w:lang w:val="es-MX" w:eastAsia="en-US"/>
        </w:rPr>
        <w:t xml:space="preserve"> a través de su respuesta se colma lo requerido en dicha solicitud.</w:t>
      </w:r>
    </w:p>
    <w:p w14:paraId="325EC5E2" w14:textId="77777777" w:rsidR="00EA744E" w:rsidRDefault="00EA744E" w:rsidP="00EA744E">
      <w:pPr>
        <w:rPr>
          <w:rFonts w:eastAsia="Palatino Linotype" w:cs="Palatino Linotype"/>
          <w:color w:val="000000"/>
          <w:szCs w:val="24"/>
        </w:rPr>
      </w:pPr>
    </w:p>
    <w:p w14:paraId="78DA35E8" w14:textId="77777777" w:rsidR="00EA744E" w:rsidRDefault="00EA744E" w:rsidP="00EA744E">
      <w:r w:rsidRPr="00036045">
        <w:t xml:space="preserve">De lo anterior, </w:t>
      </w:r>
      <w:r>
        <w:t xml:space="preserve">resulta pertinente delimitar la competencia del Sujeto Obligado es imprescindible traer a colación los artículos </w:t>
      </w:r>
      <w:r w:rsidR="00C354A6">
        <w:t xml:space="preserve">20 fracción VIII, 21, 58, 59, 80 fracción XVII </w:t>
      </w:r>
      <w:r>
        <w:t>de su Bando Municipal, los cuales establecen lo siguiente;</w:t>
      </w:r>
    </w:p>
    <w:p w14:paraId="6652F812" w14:textId="77777777" w:rsidR="004414E0" w:rsidRDefault="004414E0" w:rsidP="00EA744E"/>
    <w:p w14:paraId="1803AEDF" w14:textId="77777777" w:rsidR="00C354A6" w:rsidRPr="004414E0" w:rsidRDefault="004414E0" w:rsidP="004414E0">
      <w:pPr>
        <w:tabs>
          <w:tab w:val="left" w:pos="2880"/>
        </w:tabs>
        <w:jc w:val="center"/>
        <w:rPr>
          <w:i/>
          <w:sz w:val="22"/>
        </w:rPr>
      </w:pPr>
      <w:r>
        <w:rPr>
          <w:i/>
          <w:sz w:val="22"/>
        </w:rPr>
        <w:t>“</w:t>
      </w:r>
      <w:r w:rsidRPr="004414E0">
        <w:rPr>
          <w:i/>
          <w:sz w:val="22"/>
        </w:rPr>
        <w:t>DE LOS PRINCIPIOS RECTORES DE LA ADMINISTRACIÓN</w:t>
      </w:r>
    </w:p>
    <w:p w14:paraId="60585CCE" w14:textId="77777777" w:rsidR="00C354A6" w:rsidRPr="004414E0" w:rsidRDefault="00C354A6" w:rsidP="00C354A6">
      <w:pPr>
        <w:tabs>
          <w:tab w:val="left" w:pos="3105"/>
        </w:tabs>
        <w:ind w:left="708"/>
        <w:rPr>
          <w:i/>
          <w:sz w:val="22"/>
        </w:rPr>
      </w:pPr>
      <w:r w:rsidRPr="004414E0">
        <w:rPr>
          <w:i/>
          <w:sz w:val="22"/>
        </w:rPr>
        <w:t>Artículo 20. Para el debido alcance de la administración del Municipio de Zinacantepec se deben seguir los siguientes principios rectores:</w:t>
      </w:r>
    </w:p>
    <w:p w14:paraId="38ED22BA" w14:textId="77777777" w:rsidR="00C354A6" w:rsidRPr="004414E0" w:rsidRDefault="00C354A6" w:rsidP="00C354A6">
      <w:pPr>
        <w:tabs>
          <w:tab w:val="left" w:pos="3105"/>
        </w:tabs>
        <w:ind w:left="1416"/>
        <w:rPr>
          <w:i/>
          <w:sz w:val="22"/>
        </w:rPr>
      </w:pPr>
      <w:r w:rsidRPr="004414E0">
        <w:rPr>
          <w:i/>
          <w:sz w:val="22"/>
        </w:rPr>
        <w:t>(…)</w:t>
      </w:r>
    </w:p>
    <w:p w14:paraId="7C5A15E1" w14:textId="77777777" w:rsidR="00C354A6" w:rsidRPr="004414E0" w:rsidRDefault="00C354A6" w:rsidP="00C354A6">
      <w:pPr>
        <w:tabs>
          <w:tab w:val="left" w:pos="3105"/>
        </w:tabs>
        <w:ind w:left="1416"/>
        <w:rPr>
          <w:i/>
          <w:sz w:val="22"/>
        </w:rPr>
      </w:pPr>
    </w:p>
    <w:p w14:paraId="2706508D" w14:textId="77777777" w:rsidR="00C354A6" w:rsidRPr="004414E0" w:rsidRDefault="00C354A6" w:rsidP="00C354A6">
      <w:pPr>
        <w:tabs>
          <w:tab w:val="left" w:pos="3105"/>
        </w:tabs>
        <w:ind w:left="1416"/>
        <w:rPr>
          <w:i/>
          <w:sz w:val="22"/>
        </w:rPr>
      </w:pPr>
      <w:r w:rsidRPr="004414E0">
        <w:rPr>
          <w:i/>
          <w:sz w:val="22"/>
        </w:rPr>
        <w:t>VIII. Promover el desarrollo de las actividades políticas, culturales, económicas, agrícolas, industriales, comerciales, artesanales, turísticas, ecológicas, entre otras;</w:t>
      </w:r>
    </w:p>
    <w:p w14:paraId="384CF5C8" w14:textId="77777777" w:rsidR="00C354A6" w:rsidRPr="004414E0" w:rsidRDefault="00C354A6" w:rsidP="00C354A6">
      <w:pPr>
        <w:tabs>
          <w:tab w:val="left" w:pos="3105"/>
        </w:tabs>
        <w:ind w:left="1416"/>
        <w:rPr>
          <w:i/>
          <w:sz w:val="22"/>
        </w:rPr>
      </w:pPr>
    </w:p>
    <w:p w14:paraId="7B7DDB36" w14:textId="77777777" w:rsidR="00C354A6" w:rsidRPr="004414E0" w:rsidRDefault="00C354A6" w:rsidP="00C354A6">
      <w:pPr>
        <w:tabs>
          <w:tab w:val="left" w:pos="3105"/>
        </w:tabs>
        <w:ind w:left="1416"/>
        <w:rPr>
          <w:b/>
          <w:bCs/>
          <w:i/>
          <w:iCs/>
          <w:sz w:val="22"/>
        </w:rPr>
      </w:pPr>
      <w:r w:rsidRPr="004414E0">
        <w:rPr>
          <w:i/>
          <w:sz w:val="22"/>
        </w:rPr>
        <w:t>(…)</w:t>
      </w:r>
      <w:r w:rsidR="004414E0">
        <w:rPr>
          <w:i/>
          <w:sz w:val="22"/>
        </w:rPr>
        <w:t>”</w:t>
      </w:r>
    </w:p>
    <w:p w14:paraId="264F937D" w14:textId="77777777" w:rsidR="00C354A6" w:rsidRPr="004414E0" w:rsidRDefault="00C354A6" w:rsidP="00EA744E">
      <w:pPr>
        <w:rPr>
          <w:b/>
          <w:bCs/>
          <w:i/>
          <w:iCs/>
          <w:sz w:val="22"/>
        </w:rPr>
      </w:pPr>
    </w:p>
    <w:p w14:paraId="55D9F967" w14:textId="77777777" w:rsidR="004414E0" w:rsidRDefault="004414E0" w:rsidP="004414E0">
      <w:pPr>
        <w:ind w:left="708"/>
        <w:jc w:val="center"/>
        <w:rPr>
          <w:i/>
          <w:sz w:val="22"/>
        </w:rPr>
      </w:pPr>
      <w:r>
        <w:rPr>
          <w:i/>
          <w:sz w:val="22"/>
        </w:rPr>
        <w:t>“</w:t>
      </w:r>
      <w:r w:rsidR="00C354A6" w:rsidRPr="004414E0">
        <w:rPr>
          <w:i/>
          <w:sz w:val="22"/>
        </w:rPr>
        <w:t>DE LA ORGANIZACIÓN ADMINISTRATIVA</w:t>
      </w:r>
    </w:p>
    <w:p w14:paraId="2641B9D7" w14:textId="77777777" w:rsidR="00C354A6" w:rsidRPr="004414E0" w:rsidRDefault="00C354A6" w:rsidP="00C354A6">
      <w:pPr>
        <w:ind w:left="708"/>
        <w:rPr>
          <w:i/>
          <w:sz w:val="22"/>
        </w:rPr>
      </w:pPr>
      <w:r w:rsidRPr="004414E0">
        <w:rPr>
          <w:i/>
          <w:sz w:val="22"/>
        </w:rPr>
        <w:t>Artículo 21. El Presidente Municipal para el ejercicio de sus funciones, se auxiliará de las siguientes Unidades Administrativas:</w:t>
      </w:r>
    </w:p>
    <w:p w14:paraId="42832347" w14:textId="77777777" w:rsidR="00C354A6" w:rsidRPr="004414E0" w:rsidRDefault="00C354A6" w:rsidP="00C354A6">
      <w:pPr>
        <w:ind w:left="708" w:firstLine="708"/>
        <w:rPr>
          <w:i/>
          <w:sz w:val="22"/>
        </w:rPr>
      </w:pPr>
      <w:r w:rsidRPr="004414E0">
        <w:rPr>
          <w:i/>
          <w:sz w:val="22"/>
        </w:rPr>
        <w:t>(…)</w:t>
      </w:r>
    </w:p>
    <w:p w14:paraId="3BED4125" w14:textId="77777777" w:rsidR="00C354A6" w:rsidRPr="004414E0" w:rsidRDefault="00C354A6" w:rsidP="00C354A6">
      <w:pPr>
        <w:ind w:left="360"/>
        <w:rPr>
          <w:i/>
          <w:sz w:val="22"/>
        </w:rPr>
      </w:pPr>
      <w:r w:rsidRPr="004414E0">
        <w:rPr>
          <w:i/>
          <w:sz w:val="22"/>
        </w:rPr>
        <w:lastRenderedPageBreak/>
        <w:t xml:space="preserve">Para el despacho de los asuntos municipales, el Ayuntamiento se auxiliará de dependencias, organismos públicos descentralizados, desconcentrados y autónomos de la administración pública municipal, necesarios para el desarrollo de sus actividades, siendo los siguientes: </w:t>
      </w:r>
    </w:p>
    <w:p w14:paraId="17E906EE" w14:textId="77777777" w:rsidR="00C354A6" w:rsidRPr="004414E0" w:rsidRDefault="00C354A6" w:rsidP="00C354A6">
      <w:pPr>
        <w:ind w:left="360"/>
        <w:rPr>
          <w:i/>
          <w:sz w:val="22"/>
        </w:rPr>
      </w:pPr>
    </w:p>
    <w:p w14:paraId="61BB8DCF" w14:textId="77777777" w:rsidR="00C354A6" w:rsidRPr="004414E0" w:rsidRDefault="00C354A6" w:rsidP="00C354A6">
      <w:pPr>
        <w:pStyle w:val="Prrafodelista"/>
        <w:numPr>
          <w:ilvl w:val="0"/>
          <w:numId w:val="7"/>
        </w:numPr>
        <w:rPr>
          <w:i/>
          <w:sz w:val="22"/>
          <w:szCs w:val="22"/>
        </w:rPr>
      </w:pPr>
      <w:r w:rsidRPr="004414E0">
        <w:rPr>
          <w:i/>
          <w:sz w:val="22"/>
          <w:szCs w:val="22"/>
        </w:rPr>
        <w:t>DEPENDENCIAS ADMINISTRATIVAS</w:t>
      </w:r>
    </w:p>
    <w:p w14:paraId="733C24A0" w14:textId="77777777" w:rsidR="00C354A6" w:rsidRPr="004414E0" w:rsidRDefault="00C354A6" w:rsidP="00C354A6">
      <w:pPr>
        <w:pStyle w:val="Prrafodelista"/>
        <w:ind w:left="1080" w:firstLine="336"/>
        <w:rPr>
          <w:b/>
          <w:bCs/>
          <w:i/>
          <w:iCs/>
          <w:sz w:val="22"/>
          <w:szCs w:val="22"/>
        </w:rPr>
      </w:pPr>
      <w:r w:rsidRPr="004414E0">
        <w:rPr>
          <w:b/>
          <w:bCs/>
          <w:i/>
          <w:iCs/>
          <w:sz w:val="22"/>
          <w:szCs w:val="22"/>
        </w:rPr>
        <w:t>(…)</w:t>
      </w:r>
    </w:p>
    <w:p w14:paraId="6555F393" w14:textId="77777777" w:rsidR="00C354A6" w:rsidRPr="004414E0" w:rsidRDefault="00C354A6" w:rsidP="00C354A6">
      <w:pPr>
        <w:pStyle w:val="Prrafodelista"/>
        <w:ind w:left="1080" w:firstLine="336"/>
        <w:rPr>
          <w:i/>
          <w:sz w:val="22"/>
          <w:szCs w:val="22"/>
        </w:rPr>
      </w:pPr>
      <w:r w:rsidRPr="004414E0">
        <w:rPr>
          <w:i/>
          <w:sz w:val="22"/>
          <w:szCs w:val="22"/>
        </w:rPr>
        <w:t>12. Dirección de Cultura y Turismo</w:t>
      </w:r>
    </w:p>
    <w:p w14:paraId="2D6E4C82" w14:textId="77777777" w:rsidR="00C354A6" w:rsidRPr="004414E0" w:rsidRDefault="00C354A6" w:rsidP="00C354A6">
      <w:pPr>
        <w:pStyle w:val="Prrafodelista"/>
        <w:ind w:left="1080" w:firstLine="336"/>
        <w:rPr>
          <w:i/>
          <w:sz w:val="22"/>
          <w:szCs w:val="22"/>
        </w:rPr>
      </w:pPr>
      <w:r w:rsidRPr="004414E0">
        <w:rPr>
          <w:i/>
          <w:sz w:val="22"/>
          <w:szCs w:val="22"/>
        </w:rPr>
        <w:t>(…)</w:t>
      </w:r>
      <w:r w:rsidR="004414E0">
        <w:rPr>
          <w:i/>
          <w:sz w:val="22"/>
          <w:szCs w:val="22"/>
        </w:rPr>
        <w:t>”</w:t>
      </w:r>
    </w:p>
    <w:p w14:paraId="7B79E599" w14:textId="77777777" w:rsidR="00C354A6" w:rsidRPr="004414E0" w:rsidRDefault="00C354A6" w:rsidP="004414E0">
      <w:pPr>
        <w:rPr>
          <w:b/>
          <w:bCs/>
          <w:i/>
          <w:iCs/>
          <w:sz w:val="22"/>
        </w:rPr>
      </w:pPr>
    </w:p>
    <w:p w14:paraId="0E6A1EA3" w14:textId="77777777" w:rsidR="004414E0" w:rsidRDefault="004414E0" w:rsidP="004414E0">
      <w:pPr>
        <w:ind w:left="708"/>
        <w:jc w:val="center"/>
        <w:rPr>
          <w:i/>
          <w:sz w:val="22"/>
        </w:rPr>
      </w:pPr>
      <w:r>
        <w:rPr>
          <w:i/>
          <w:sz w:val="22"/>
        </w:rPr>
        <w:t>“</w:t>
      </w:r>
      <w:r w:rsidR="00C354A6" w:rsidRPr="004414E0">
        <w:rPr>
          <w:i/>
          <w:sz w:val="22"/>
        </w:rPr>
        <w:t>DE LA PROMOCIÓN CULTURAL, TURÍSTICA Y PUEBLO CON ENCANTO</w:t>
      </w:r>
    </w:p>
    <w:p w14:paraId="18261707" w14:textId="77777777" w:rsidR="00C354A6" w:rsidRPr="004414E0" w:rsidRDefault="00C354A6" w:rsidP="00C354A6">
      <w:pPr>
        <w:ind w:left="708"/>
        <w:rPr>
          <w:i/>
          <w:sz w:val="22"/>
        </w:rPr>
      </w:pPr>
      <w:r w:rsidRPr="004414E0">
        <w:rPr>
          <w:i/>
          <w:sz w:val="22"/>
        </w:rPr>
        <w:t xml:space="preserve">Artículo 58. El Ayuntamiento fomentará, difundirá y ofertará diferentes actividades culturales, turísticas y artísticas en beneficio de los habitantes del municipio y población en general. Para alcanzar los objetivos y fines se desarrollarán las siguientes estrategias: </w:t>
      </w:r>
    </w:p>
    <w:p w14:paraId="084E29C9" w14:textId="77777777" w:rsidR="00C354A6" w:rsidRPr="004414E0" w:rsidRDefault="00C354A6" w:rsidP="00C354A6">
      <w:pPr>
        <w:pStyle w:val="Prrafodelista"/>
        <w:numPr>
          <w:ilvl w:val="0"/>
          <w:numId w:val="8"/>
        </w:numPr>
        <w:rPr>
          <w:b/>
          <w:i/>
          <w:sz w:val="22"/>
          <w:szCs w:val="22"/>
        </w:rPr>
      </w:pPr>
      <w:r w:rsidRPr="004414E0">
        <w:rPr>
          <w:b/>
          <w:i/>
          <w:sz w:val="22"/>
          <w:szCs w:val="22"/>
        </w:rPr>
        <w:t xml:space="preserve">Garantizar el acceso de la comunidad a la oferta de servicios y bienes culturales, poniendo énfasis en los programas de cultura. </w:t>
      </w:r>
    </w:p>
    <w:p w14:paraId="39A5A703" w14:textId="77777777" w:rsidR="00C354A6" w:rsidRPr="004414E0" w:rsidRDefault="00C354A6" w:rsidP="00C354A6">
      <w:pPr>
        <w:pStyle w:val="Prrafodelista"/>
        <w:numPr>
          <w:ilvl w:val="0"/>
          <w:numId w:val="8"/>
        </w:numPr>
        <w:rPr>
          <w:b/>
          <w:bCs/>
          <w:i/>
          <w:iCs/>
          <w:sz w:val="22"/>
          <w:szCs w:val="22"/>
        </w:rPr>
      </w:pPr>
      <w:r w:rsidRPr="004414E0">
        <w:rPr>
          <w:i/>
          <w:sz w:val="22"/>
          <w:szCs w:val="22"/>
        </w:rPr>
        <w:t xml:space="preserve"> </w:t>
      </w:r>
      <w:r w:rsidRPr="004414E0">
        <w:rPr>
          <w:b/>
          <w:i/>
          <w:sz w:val="22"/>
          <w:szCs w:val="22"/>
        </w:rPr>
        <w:t xml:space="preserve">Promover y difundir las diversas manifestaciones turísticas y artísticas en la comunidad. </w:t>
      </w:r>
    </w:p>
    <w:p w14:paraId="2304F143" w14:textId="77777777" w:rsidR="00C354A6" w:rsidRPr="004414E0" w:rsidRDefault="00C354A6" w:rsidP="00C354A6">
      <w:pPr>
        <w:pStyle w:val="Prrafodelista"/>
        <w:numPr>
          <w:ilvl w:val="0"/>
          <w:numId w:val="8"/>
        </w:numPr>
        <w:rPr>
          <w:b/>
          <w:bCs/>
          <w:i/>
          <w:iCs/>
          <w:sz w:val="22"/>
          <w:szCs w:val="22"/>
        </w:rPr>
      </w:pPr>
      <w:r w:rsidRPr="004414E0">
        <w:rPr>
          <w:i/>
          <w:sz w:val="22"/>
          <w:szCs w:val="22"/>
        </w:rPr>
        <w:t xml:space="preserve">Apoyar por los diversos medios, la creación artística de manera integral en todas las disciplinas. </w:t>
      </w:r>
    </w:p>
    <w:p w14:paraId="0FA862A5" w14:textId="77777777" w:rsidR="00C354A6" w:rsidRPr="004414E0" w:rsidRDefault="00C354A6" w:rsidP="00C354A6">
      <w:pPr>
        <w:pStyle w:val="Prrafodelista"/>
        <w:numPr>
          <w:ilvl w:val="0"/>
          <w:numId w:val="8"/>
        </w:numPr>
        <w:rPr>
          <w:b/>
          <w:bCs/>
          <w:i/>
          <w:iCs/>
          <w:sz w:val="22"/>
          <w:szCs w:val="22"/>
        </w:rPr>
      </w:pPr>
      <w:r w:rsidRPr="004414E0">
        <w:rPr>
          <w:i/>
          <w:sz w:val="22"/>
          <w:szCs w:val="22"/>
        </w:rPr>
        <w:t>Impulsar la realización de festivales, certámenes y otros eventos, que permitan el acceso de la población al conocimiento de la diversidad cultural, en los que se incentive la creatividad, la identidad, el humanismo, los valores universales; así como la búsqueda del desarrollo integral del individuo y la colectividad.</w:t>
      </w:r>
    </w:p>
    <w:p w14:paraId="49DD1C79" w14:textId="77777777" w:rsidR="00C354A6" w:rsidRPr="004414E0" w:rsidRDefault="00C354A6" w:rsidP="00C354A6">
      <w:pPr>
        <w:pStyle w:val="Prrafodelista"/>
        <w:numPr>
          <w:ilvl w:val="0"/>
          <w:numId w:val="8"/>
        </w:numPr>
        <w:rPr>
          <w:b/>
          <w:bCs/>
          <w:i/>
          <w:iCs/>
          <w:sz w:val="22"/>
          <w:szCs w:val="22"/>
        </w:rPr>
      </w:pPr>
      <w:r w:rsidRPr="004414E0">
        <w:rPr>
          <w:b/>
          <w:i/>
          <w:sz w:val="22"/>
          <w:szCs w:val="22"/>
        </w:rPr>
        <w:t xml:space="preserve">Coordinar los programas culturales municipales, con los desarrollados por el gobierno estatal y federal. </w:t>
      </w:r>
    </w:p>
    <w:p w14:paraId="429A2134" w14:textId="77777777" w:rsidR="00C354A6" w:rsidRPr="004414E0" w:rsidRDefault="00C354A6" w:rsidP="00C354A6">
      <w:pPr>
        <w:pStyle w:val="Prrafodelista"/>
        <w:numPr>
          <w:ilvl w:val="0"/>
          <w:numId w:val="8"/>
        </w:numPr>
        <w:rPr>
          <w:b/>
          <w:bCs/>
          <w:i/>
          <w:iCs/>
          <w:sz w:val="22"/>
          <w:szCs w:val="22"/>
        </w:rPr>
      </w:pPr>
      <w:r w:rsidRPr="004414E0">
        <w:rPr>
          <w:i/>
          <w:sz w:val="22"/>
          <w:szCs w:val="22"/>
        </w:rPr>
        <w:lastRenderedPageBreak/>
        <w:t xml:space="preserve">Rescatar las tradiciones culturales e historia del municipio, impulsándolas por medio de acciones que informen e inviten a la participación ciudadana y conservar y proyectar el nombramiento de ¨Pueblo con Encanto”. </w:t>
      </w:r>
    </w:p>
    <w:p w14:paraId="2DF89A2A" w14:textId="77777777" w:rsidR="00C354A6" w:rsidRPr="004414E0" w:rsidRDefault="00C354A6" w:rsidP="007406D7">
      <w:pPr>
        <w:pStyle w:val="Prrafodelista"/>
        <w:numPr>
          <w:ilvl w:val="0"/>
          <w:numId w:val="8"/>
        </w:numPr>
        <w:rPr>
          <w:b/>
          <w:i/>
          <w:sz w:val="22"/>
          <w:szCs w:val="22"/>
        </w:rPr>
      </w:pPr>
      <w:r w:rsidRPr="004414E0">
        <w:rPr>
          <w:i/>
          <w:sz w:val="22"/>
          <w:szCs w:val="22"/>
        </w:rPr>
        <w:t xml:space="preserve">Rescatar, preservar y salvaguardar, así como promover el patrimonio arquitectónico, pictórico como lo señala el INAH (Instituto Nacional de Antropología e Historia), la SEP (Secretaría de Educación Pública), la SDS (Secretaría de Desarrollo Social), la SC (Secretaría de Cultura) y otras instituciones involucradas en el tema. </w:t>
      </w:r>
    </w:p>
    <w:p w14:paraId="353F01AB" w14:textId="77777777" w:rsidR="00C354A6" w:rsidRPr="004414E0" w:rsidRDefault="00C354A6" w:rsidP="007406D7">
      <w:pPr>
        <w:pStyle w:val="Prrafodelista"/>
        <w:numPr>
          <w:ilvl w:val="0"/>
          <w:numId w:val="8"/>
        </w:numPr>
        <w:rPr>
          <w:b/>
          <w:i/>
          <w:sz w:val="22"/>
          <w:szCs w:val="22"/>
        </w:rPr>
      </w:pPr>
      <w:r w:rsidRPr="004414E0">
        <w:rPr>
          <w:i/>
          <w:sz w:val="22"/>
          <w:szCs w:val="22"/>
        </w:rPr>
        <w:t xml:space="preserve">Promover la defensa y la conservación del patrimonio cultural inmueble municipal. </w:t>
      </w:r>
    </w:p>
    <w:p w14:paraId="4D2FD0BE" w14:textId="77777777" w:rsidR="00C354A6" w:rsidRPr="004414E0" w:rsidRDefault="00C354A6" w:rsidP="007406D7">
      <w:pPr>
        <w:pStyle w:val="Prrafodelista"/>
        <w:numPr>
          <w:ilvl w:val="0"/>
          <w:numId w:val="8"/>
        </w:numPr>
        <w:rPr>
          <w:b/>
          <w:i/>
          <w:sz w:val="22"/>
          <w:szCs w:val="22"/>
        </w:rPr>
      </w:pPr>
      <w:r w:rsidRPr="004414E0">
        <w:rPr>
          <w:i/>
          <w:sz w:val="22"/>
          <w:szCs w:val="22"/>
        </w:rPr>
        <w:t>Apoyar a la recuperación, continuidad y desarrollo de la cultura indígena presente en el municipio, mediante proyectos de iniciativa social, comunitaria e institucional, que fortalezca su sistema de creación, composición, desarrollo artístico y producción cultural</w:t>
      </w:r>
    </w:p>
    <w:p w14:paraId="3E67D7C6" w14:textId="77777777" w:rsidR="00C354A6" w:rsidRPr="004414E0" w:rsidRDefault="00C354A6" w:rsidP="00C354A6">
      <w:pPr>
        <w:pStyle w:val="Prrafodelista"/>
        <w:ind w:left="2136"/>
        <w:rPr>
          <w:b/>
          <w:i/>
          <w:sz w:val="22"/>
          <w:szCs w:val="22"/>
        </w:rPr>
      </w:pPr>
    </w:p>
    <w:p w14:paraId="30CD9D19" w14:textId="77777777" w:rsidR="00C354A6" w:rsidRPr="004414E0" w:rsidRDefault="004414E0" w:rsidP="00C354A6">
      <w:pPr>
        <w:ind w:left="708"/>
        <w:rPr>
          <w:i/>
          <w:sz w:val="22"/>
        </w:rPr>
      </w:pPr>
      <w:r>
        <w:rPr>
          <w:i/>
          <w:sz w:val="22"/>
        </w:rPr>
        <w:t>“</w:t>
      </w:r>
      <w:r w:rsidR="00C354A6" w:rsidRPr="004414E0">
        <w:rPr>
          <w:i/>
          <w:sz w:val="22"/>
        </w:rPr>
        <w:t xml:space="preserve">Artículo 59. El Ayuntamiento impulsará la actividad turística, mediante acciones tendientes a la preservación y aprovechamiento de los atractivos turísticos, por lo que tendrá las siguientes atribuciones: </w:t>
      </w:r>
    </w:p>
    <w:p w14:paraId="5B109D93" w14:textId="77777777" w:rsidR="00C354A6" w:rsidRPr="004414E0" w:rsidRDefault="00C354A6" w:rsidP="00C354A6">
      <w:pPr>
        <w:pStyle w:val="Prrafodelista"/>
        <w:numPr>
          <w:ilvl w:val="0"/>
          <w:numId w:val="9"/>
        </w:numPr>
        <w:rPr>
          <w:i/>
          <w:sz w:val="22"/>
          <w:szCs w:val="22"/>
        </w:rPr>
      </w:pPr>
      <w:r w:rsidRPr="004414E0">
        <w:rPr>
          <w:i/>
          <w:sz w:val="22"/>
          <w:szCs w:val="22"/>
        </w:rPr>
        <w:t>Elaborar y ejecutar programas de desarrollo turístico municipal, acordes con el programa sectorial turístico del gobierno estatal y federal.</w:t>
      </w:r>
    </w:p>
    <w:p w14:paraId="2779F3E9" w14:textId="77777777" w:rsidR="00C354A6" w:rsidRPr="004414E0" w:rsidRDefault="004414E0" w:rsidP="00C354A6">
      <w:pPr>
        <w:pStyle w:val="Prrafodelista"/>
        <w:numPr>
          <w:ilvl w:val="0"/>
          <w:numId w:val="9"/>
        </w:numPr>
        <w:rPr>
          <w:b/>
          <w:i/>
          <w:sz w:val="22"/>
          <w:szCs w:val="22"/>
        </w:rPr>
      </w:pPr>
      <w:r w:rsidRPr="004414E0">
        <w:rPr>
          <w:i/>
          <w:sz w:val="22"/>
          <w:szCs w:val="22"/>
        </w:rPr>
        <w:t xml:space="preserve"> </w:t>
      </w:r>
      <w:r w:rsidR="00C354A6" w:rsidRPr="004414E0">
        <w:rPr>
          <w:i/>
          <w:sz w:val="22"/>
          <w:szCs w:val="22"/>
        </w:rPr>
        <w:t xml:space="preserve"> Impulsar la innovación, diversificación y consolidación de la oferta turística. </w:t>
      </w:r>
    </w:p>
    <w:p w14:paraId="0C8EED84" w14:textId="77777777" w:rsidR="00C354A6" w:rsidRPr="004414E0" w:rsidRDefault="00C354A6" w:rsidP="00C354A6">
      <w:pPr>
        <w:pStyle w:val="Prrafodelista"/>
        <w:numPr>
          <w:ilvl w:val="0"/>
          <w:numId w:val="9"/>
        </w:numPr>
        <w:rPr>
          <w:b/>
          <w:i/>
          <w:sz w:val="22"/>
          <w:szCs w:val="22"/>
        </w:rPr>
      </w:pPr>
      <w:r w:rsidRPr="004414E0">
        <w:rPr>
          <w:b/>
          <w:i/>
          <w:sz w:val="22"/>
          <w:szCs w:val="22"/>
        </w:rPr>
        <w:t>Fortalecer las ventajas competitivas de la oferta turística, promoviendo un turismo sustentable y de calidad</w:t>
      </w:r>
    </w:p>
    <w:p w14:paraId="623A9973" w14:textId="77777777" w:rsidR="00C354A6" w:rsidRPr="004414E0" w:rsidRDefault="00C354A6" w:rsidP="00C354A6">
      <w:pPr>
        <w:pStyle w:val="Prrafodelista"/>
        <w:numPr>
          <w:ilvl w:val="0"/>
          <w:numId w:val="9"/>
        </w:numPr>
        <w:rPr>
          <w:b/>
          <w:i/>
          <w:sz w:val="22"/>
          <w:szCs w:val="22"/>
        </w:rPr>
      </w:pPr>
      <w:r w:rsidRPr="004414E0">
        <w:rPr>
          <w:i/>
          <w:sz w:val="22"/>
          <w:szCs w:val="22"/>
        </w:rPr>
        <w:t xml:space="preserve"> Gestionar y promover la suscripción de convenios. </w:t>
      </w:r>
    </w:p>
    <w:p w14:paraId="7D1DA8F7" w14:textId="77777777" w:rsidR="00C354A6" w:rsidRPr="004414E0" w:rsidRDefault="00C354A6" w:rsidP="00C354A6">
      <w:pPr>
        <w:pStyle w:val="Prrafodelista"/>
        <w:numPr>
          <w:ilvl w:val="0"/>
          <w:numId w:val="9"/>
        </w:numPr>
        <w:rPr>
          <w:b/>
          <w:i/>
          <w:sz w:val="22"/>
          <w:szCs w:val="22"/>
        </w:rPr>
      </w:pPr>
      <w:r w:rsidRPr="004414E0">
        <w:rPr>
          <w:i/>
          <w:sz w:val="22"/>
          <w:szCs w:val="22"/>
        </w:rPr>
        <w:t>Generar proyectos para impulsar el turismo local y promover la oferta de servicios turísticos.</w:t>
      </w:r>
    </w:p>
    <w:p w14:paraId="75E803EA" w14:textId="77777777" w:rsidR="00C354A6" w:rsidRPr="004414E0" w:rsidRDefault="00C354A6" w:rsidP="00C354A6">
      <w:pPr>
        <w:pStyle w:val="Prrafodelista"/>
        <w:numPr>
          <w:ilvl w:val="0"/>
          <w:numId w:val="9"/>
        </w:numPr>
        <w:rPr>
          <w:b/>
          <w:i/>
          <w:sz w:val="22"/>
          <w:szCs w:val="22"/>
        </w:rPr>
      </w:pPr>
      <w:r w:rsidRPr="004414E0">
        <w:rPr>
          <w:i/>
          <w:sz w:val="22"/>
          <w:szCs w:val="22"/>
        </w:rPr>
        <w:lastRenderedPageBreak/>
        <w:t xml:space="preserve">Generar de manera constante acciones de fomento turístico reflejado en inversión pública, desarrollos turísticos, nuevas empresas del rubro, generación de empleos en el sector turístico y programas de capacitación y certificación turística; </w:t>
      </w:r>
    </w:p>
    <w:p w14:paraId="60EB0F55" w14:textId="77777777" w:rsidR="00C354A6" w:rsidRPr="004414E0" w:rsidRDefault="00C354A6" w:rsidP="00C354A6">
      <w:pPr>
        <w:pStyle w:val="Prrafodelista"/>
        <w:numPr>
          <w:ilvl w:val="0"/>
          <w:numId w:val="9"/>
        </w:numPr>
        <w:rPr>
          <w:b/>
          <w:i/>
          <w:sz w:val="22"/>
          <w:szCs w:val="22"/>
        </w:rPr>
      </w:pPr>
      <w:r w:rsidRPr="004414E0">
        <w:rPr>
          <w:i/>
          <w:sz w:val="22"/>
          <w:szCs w:val="22"/>
        </w:rPr>
        <w:t>Las demás que establezcan las leyes y reglamentos aplicables.</w:t>
      </w:r>
      <w:r w:rsidR="004414E0">
        <w:rPr>
          <w:i/>
          <w:sz w:val="22"/>
          <w:szCs w:val="22"/>
        </w:rPr>
        <w:t>”</w:t>
      </w:r>
    </w:p>
    <w:p w14:paraId="34B81C4D" w14:textId="77777777" w:rsidR="00C354A6" w:rsidRPr="004414E0" w:rsidRDefault="00C354A6" w:rsidP="00EA744E">
      <w:pPr>
        <w:rPr>
          <w:b/>
          <w:i/>
          <w:sz w:val="22"/>
        </w:rPr>
      </w:pPr>
    </w:p>
    <w:p w14:paraId="16228972" w14:textId="77777777" w:rsidR="00C354A6" w:rsidRPr="004414E0" w:rsidRDefault="004414E0" w:rsidP="004414E0">
      <w:pPr>
        <w:ind w:left="708"/>
        <w:rPr>
          <w:i/>
          <w:sz w:val="22"/>
        </w:rPr>
      </w:pPr>
      <w:r>
        <w:rPr>
          <w:i/>
          <w:sz w:val="22"/>
        </w:rPr>
        <w:t>“</w:t>
      </w:r>
      <w:r w:rsidR="00C354A6" w:rsidRPr="004414E0">
        <w:rPr>
          <w:i/>
          <w:sz w:val="22"/>
        </w:rPr>
        <w:t>Artículo 80. El Municipio tiene a su cargo la planeación, prestación, administración, ejecución, conservación y evaluación de los servicios públicos municipales, de los cuales se consideran de manera enunciativa y no limitativa los siguientes:</w:t>
      </w:r>
    </w:p>
    <w:p w14:paraId="45FF9B3A" w14:textId="77777777" w:rsidR="004414E0" w:rsidRPr="004414E0" w:rsidRDefault="004414E0" w:rsidP="004414E0">
      <w:pPr>
        <w:ind w:left="708" w:firstLine="708"/>
        <w:rPr>
          <w:i/>
          <w:sz w:val="22"/>
        </w:rPr>
      </w:pPr>
      <w:r w:rsidRPr="004414E0">
        <w:rPr>
          <w:i/>
          <w:sz w:val="22"/>
        </w:rPr>
        <w:t>(…)</w:t>
      </w:r>
    </w:p>
    <w:p w14:paraId="79F2DE7A" w14:textId="77777777" w:rsidR="00C354A6" w:rsidRPr="004414E0" w:rsidRDefault="00C354A6" w:rsidP="004414E0">
      <w:pPr>
        <w:ind w:left="708" w:firstLine="708"/>
        <w:rPr>
          <w:b/>
          <w:i/>
          <w:sz w:val="22"/>
        </w:rPr>
      </w:pPr>
      <w:r w:rsidRPr="004414E0">
        <w:rPr>
          <w:b/>
          <w:i/>
          <w:sz w:val="22"/>
        </w:rPr>
        <w:t>XVII. Promoción turística.</w:t>
      </w:r>
    </w:p>
    <w:p w14:paraId="754DE96D" w14:textId="77777777" w:rsidR="004414E0" w:rsidRPr="004414E0" w:rsidRDefault="004414E0" w:rsidP="004414E0">
      <w:pPr>
        <w:ind w:left="708" w:firstLine="708"/>
        <w:rPr>
          <w:b/>
          <w:i/>
          <w:sz w:val="22"/>
        </w:rPr>
      </w:pPr>
      <w:r w:rsidRPr="004414E0">
        <w:rPr>
          <w:b/>
          <w:i/>
          <w:sz w:val="22"/>
        </w:rPr>
        <w:t>(…)</w:t>
      </w:r>
      <w:r>
        <w:rPr>
          <w:b/>
          <w:i/>
          <w:sz w:val="22"/>
        </w:rPr>
        <w:t>”</w:t>
      </w:r>
    </w:p>
    <w:p w14:paraId="4900E538" w14:textId="77777777" w:rsidR="00C354A6" w:rsidRDefault="00C354A6" w:rsidP="00EA744E">
      <w:pPr>
        <w:rPr>
          <w:b/>
          <w:i/>
        </w:rPr>
      </w:pPr>
    </w:p>
    <w:p w14:paraId="42668177" w14:textId="77777777" w:rsidR="00EA744E" w:rsidRDefault="00EA744E" w:rsidP="004414E0">
      <w:r>
        <w:t>De l</w:t>
      </w:r>
      <w:r w:rsidRPr="00B23341">
        <w:t>o</w:t>
      </w:r>
      <w:r>
        <w:t xml:space="preserve"> anterior se desprende que es por medio de la </w:t>
      </w:r>
      <w:r w:rsidR="004414E0">
        <w:t>Dirección de Cultura y Turismo</w:t>
      </w:r>
      <w:r w:rsidR="00300CE0">
        <w:t xml:space="preserve"> es</w:t>
      </w:r>
      <w:r w:rsidR="004414E0">
        <w:t xml:space="preserve"> </w:t>
      </w:r>
      <w:r>
        <w:t xml:space="preserve">que el ayuntamiento se auxilia para </w:t>
      </w:r>
      <w:r w:rsidR="00300CE0">
        <w:t xml:space="preserve">fomentar actividades tendientes a proteger, acrecentar, difundir y promover la cultura  lo anterior conforme lo establecido por el artículo  81 del Reglamento Orgánico Municipal de Zinacantepec </w:t>
      </w:r>
      <w:r>
        <w:t>por lo que en harás de no violentar el dere</w:t>
      </w:r>
      <w:r w:rsidR="004414E0">
        <w:t xml:space="preserve">cho al acceso a la información la directora de la dirección de turismo </w:t>
      </w:r>
      <w:r>
        <w:t xml:space="preserve"> brindo respuesta </w:t>
      </w:r>
      <w:r w:rsidR="004414E0">
        <w:t>externando que contaba con un módulo fijo y uno movible</w:t>
      </w:r>
      <w:r w:rsidR="00300CE0">
        <w:t>.</w:t>
      </w:r>
    </w:p>
    <w:p w14:paraId="71819030" w14:textId="77777777" w:rsidR="004414E0" w:rsidRDefault="004414E0" w:rsidP="004414E0"/>
    <w:p w14:paraId="1285791A" w14:textId="77777777" w:rsidR="00EA744E" w:rsidRPr="00C66B92" w:rsidRDefault="00300CE0" w:rsidP="00EA744E">
      <w:pPr>
        <w:ind w:right="49"/>
      </w:pPr>
      <w:r>
        <w:t xml:space="preserve">Por lo tanto al satisfacer la solicitud de información mediante respuesta primigenia resultan infundadas las razones de inconformidad vertidas por el Recurrente </w:t>
      </w:r>
      <w:r>
        <w:rPr>
          <w:rFonts w:eastAsia="Arial Unicode MS" w:cs="Arial"/>
        </w:rPr>
        <w:t xml:space="preserve"> por lo que e</w:t>
      </w:r>
      <w:r w:rsidR="00EA744E" w:rsidRPr="00637AC7">
        <w:rPr>
          <w:rFonts w:eastAsia="Arial Unicode MS" w:cs="Arial"/>
        </w:rPr>
        <w:t>n mérito de lo ex</w:t>
      </w:r>
      <w:r w:rsidR="00EA744E" w:rsidRPr="00637AC7">
        <w:rPr>
          <w:rFonts w:cs="Arial"/>
        </w:rPr>
        <w:t>puesto en líneas anteriores c</w:t>
      </w:r>
      <w:r w:rsidR="00EA744E">
        <w:rPr>
          <w:rFonts w:cs="Arial"/>
        </w:rPr>
        <w:t>on fundamento en la fracción II</w:t>
      </w:r>
      <w:r w:rsidR="00EA744E" w:rsidRPr="00637AC7">
        <w:rPr>
          <w:rFonts w:cs="Arial"/>
        </w:rPr>
        <w:t xml:space="preserve"> del artículo 186, de la Ley de Transparencia y Acceso a la Información Pública del Estado de México y Municipios, se </w:t>
      </w:r>
      <w:r w:rsidR="00EA744E">
        <w:rPr>
          <w:rFonts w:cs="Arial"/>
          <w:b/>
        </w:rPr>
        <w:t xml:space="preserve">CONFIRMA </w:t>
      </w:r>
      <w:r w:rsidR="00EA744E" w:rsidRPr="00637AC7">
        <w:rPr>
          <w:rFonts w:cs="Arial"/>
        </w:rPr>
        <w:t>la respuesta del sujeto obligado a la solicitud de información número</w:t>
      </w:r>
      <w:r>
        <w:rPr>
          <w:rFonts w:ascii="Verdana" w:hAnsi="Verdana"/>
          <w:color w:val="000000"/>
          <w:sz w:val="15"/>
          <w:szCs w:val="15"/>
        </w:rPr>
        <w:t>  </w:t>
      </w:r>
      <w:r w:rsidRPr="00300CE0">
        <w:rPr>
          <w:i/>
          <w:color w:val="000000"/>
          <w:szCs w:val="24"/>
        </w:rPr>
        <w:t>01115/ZINACANT/IP/2023</w:t>
      </w:r>
      <w:r w:rsidR="00EA744E" w:rsidRPr="00300CE0">
        <w:rPr>
          <w:rFonts w:cs="Arial"/>
          <w:b/>
          <w:i/>
          <w:szCs w:val="24"/>
        </w:rPr>
        <w:t>,</w:t>
      </w:r>
      <w:r w:rsidR="00EA744E" w:rsidRPr="00C66B92">
        <w:rPr>
          <w:rFonts w:cs="Arial"/>
          <w:b/>
          <w:sz w:val="20"/>
          <w:szCs w:val="20"/>
        </w:rPr>
        <w:t xml:space="preserve"> </w:t>
      </w:r>
      <w:r w:rsidR="00EA744E" w:rsidRPr="00637AC7">
        <w:rPr>
          <w:rFonts w:cs="Arial"/>
        </w:rPr>
        <w:t>que ha sido materia del presente fallo.</w:t>
      </w:r>
    </w:p>
    <w:p w14:paraId="25839112" w14:textId="77777777" w:rsidR="00EA744E" w:rsidRDefault="00EA744E" w:rsidP="00EA744E">
      <w:pPr>
        <w:autoSpaceDE w:val="0"/>
        <w:autoSpaceDN w:val="0"/>
        <w:adjustRightInd w:val="0"/>
        <w:rPr>
          <w:rFonts w:eastAsiaTheme="minorHAnsi" w:cs="Arial"/>
          <w:szCs w:val="24"/>
        </w:rPr>
      </w:pPr>
    </w:p>
    <w:p w14:paraId="436122FA" w14:textId="77777777" w:rsidR="00EA744E" w:rsidRDefault="00EA744E" w:rsidP="00EA744E">
      <w:pPr>
        <w:rPr>
          <w:szCs w:val="24"/>
        </w:rPr>
      </w:pPr>
      <w:r>
        <w:rPr>
          <w:szCs w:val="24"/>
        </w:rPr>
        <w:t xml:space="preserve">Por lo antes expuesto y fundado. </w:t>
      </w:r>
    </w:p>
    <w:p w14:paraId="00879695" w14:textId="77777777" w:rsidR="00EA744E" w:rsidRDefault="00EA744E" w:rsidP="00EA744E">
      <w:pPr>
        <w:rPr>
          <w:rFonts w:cstheme="minorBidi"/>
          <w:szCs w:val="24"/>
        </w:rPr>
      </w:pPr>
    </w:p>
    <w:p w14:paraId="6CA889B9" w14:textId="77777777" w:rsidR="00EA744E" w:rsidRPr="00693D2D" w:rsidRDefault="00EA744E" w:rsidP="00EA744E">
      <w:pPr>
        <w:rPr>
          <w:rFonts w:cstheme="minorBidi"/>
          <w:szCs w:val="24"/>
        </w:rPr>
      </w:pPr>
    </w:p>
    <w:p w14:paraId="18B875DF" w14:textId="77777777" w:rsidR="00EA744E" w:rsidRDefault="00EA744E" w:rsidP="00EA744E">
      <w:pPr>
        <w:jc w:val="center"/>
        <w:rPr>
          <w:rFonts w:cstheme="minorBidi"/>
          <w:b/>
          <w:bCs/>
          <w:spacing w:val="60"/>
          <w:szCs w:val="24"/>
        </w:rPr>
      </w:pPr>
      <w:r>
        <w:rPr>
          <w:b/>
          <w:bCs/>
          <w:spacing w:val="60"/>
          <w:szCs w:val="24"/>
        </w:rPr>
        <w:t>SE    RESUELVE</w:t>
      </w:r>
    </w:p>
    <w:p w14:paraId="778EAE2C" w14:textId="77777777" w:rsidR="00EA744E" w:rsidRDefault="00EA744E" w:rsidP="00EA744E">
      <w:pPr>
        <w:rPr>
          <w:rFonts w:cs="Arial"/>
          <w:b/>
          <w:szCs w:val="24"/>
        </w:rPr>
      </w:pPr>
    </w:p>
    <w:p w14:paraId="37BCB6BC" w14:textId="77777777" w:rsidR="00EA744E" w:rsidRPr="00EB6776" w:rsidRDefault="00EA744E" w:rsidP="00EA744E">
      <w:r w:rsidRPr="00EB6776">
        <w:rPr>
          <w:b/>
        </w:rPr>
        <w:t>PRIMERO</w:t>
      </w:r>
      <w:r w:rsidRPr="00EB6776">
        <w:t xml:space="preserve">. </w:t>
      </w:r>
      <w:r w:rsidRPr="00692461">
        <w:rPr>
          <w:rFonts w:eastAsia="Arial Unicode MS" w:cs="Arial"/>
        </w:rPr>
        <w:t>Se</w:t>
      </w:r>
      <w:r w:rsidRPr="00692461">
        <w:rPr>
          <w:rFonts w:cs="Arial"/>
        </w:rPr>
        <w:t xml:space="preserve"> </w:t>
      </w:r>
      <w:r>
        <w:rPr>
          <w:rFonts w:cs="Arial"/>
          <w:b/>
        </w:rPr>
        <w:t xml:space="preserve">CONFIRMA </w:t>
      </w:r>
      <w:r w:rsidRPr="00692461">
        <w:rPr>
          <w:rFonts w:eastAsia="Arial Unicode MS" w:cs="Arial"/>
        </w:rPr>
        <w:t xml:space="preserve">la respuesta entregada por </w:t>
      </w:r>
      <w:r w:rsidRPr="00692461">
        <w:rPr>
          <w:rFonts w:eastAsia="Arial Unicode MS" w:cs="Arial"/>
          <w:b/>
        </w:rPr>
        <w:t xml:space="preserve">el Sujeto Obligado </w:t>
      </w:r>
      <w:r w:rsidRPr="00692461">
        <w:rPr>
          <w:rFonts w:eastAsia="Arial Unicode MS" w:cs="Arial"/>
        </w:rPr>
        <w:t>a la solicitud de información número</w:t>
      </w:r>
      <w:r w:rsidR="00300CE0">
        <w:rPr>
          <w:rFonts w:eastAsia="Arial Unicode MS" w:cs="Arial"/>
        </w:rPr>
        <w:t xml:space="preserve"> </w:t>
      </w:r>
      <w:r w:rsidR="00300CE0" w:rsidRPr="00300CE0">
        <w:rPr>
          <w:b/>
          <w:color w:val="000000"/>
          <w:szCs w:val="24"/>
        </w:rPr>
        <w:t>01115/ZINACANT/IP/2023</w:t>
      </w:r>
      <w:r w:rsidRPr="00C66B92">
        <w:rPr>
          <w:rFonts w:cs="Arial"/>
          <w:b/>
          <w:szCs w:val="24"/>
        </w:rPr>
        <w:t>,</w:t>
      </w:r>
      <w:r w:rsidRPr="00C66B92">
        <w:rPr>
          <w:rFonts w:cs="Arial"/>
          <w:b/>
          <w:sz w:val="20"/>
          <w:szCs w:val="20"/>
        </w:rPr>
        <w:t xml:space="preserve"> </w:t>
      </w:r>
      <w:r w:rsidRPr="00692461">
        <w:rPr>
          <w:rFonts w:cs="Arial"/>
        </w:rPr>
        <w:t xml:space="preserve">al resultar </w:t>
      </w:r>
      <w:r>
        <w:rPr>
          <w:rFonts w:cs="Arial"/>
        </w:rPr>
        <w:t>inf</w:t>
      </w:r>
      <w:r w:rsidRPr="00692461">
        <w:rPr>
          <w:rFonts w:cs="Arial"/>
        </w:rPr>
        <w:t xml:space="preserve">undadas las razones o motivos de inconformidad que manifestó la recurrente, </w:t>
      </w:r>
      <w:r w:rsidRPr="00692461">
        <w:rPr>
          <w:rFonts w:eastAsia="Arial Unicode MS" w:cs="Arial"/>
        </w:rPr>
        <w:t xml:space="preserve">en términos del </w:t>
      </w:r>
      <w:r w:rsidRPr="00692461">
        <w:rPr>
          <w:rFonts w:cs="Arial"/>
        </w:rPr>
        <w:t xml:space="preserve">Considerando </w:t>
      </w:r>
      <w:r>
        <w:rPr>
          <w:rFonts w:cs="Arial"/>
          <w:b/>
        </w:rPr>
        <w:t xml:space="preserve">CUARTO </w:t>
      </w:r>
      <w:r w:rsidRPr="00692461">
        <w:rPr>
          <w:rFonts w:cs="Arial"/>
        </w:rPr>
        <w:t>de la presente resolución.</w:t>
      </w:r>
    </w:p>
    <w:p w14:paraId="5DBB21BD" w14:textId="77777777" w:rsidR="00EA744E" w:rsidRPr="00EB6776" w:rsidRDefault="00EA744E" w:rsidP="00EA744E"/>
    <w:p w14:paraId="6F0A2886" w14:textId="00B9CACF" w:rsidR="00EA744E" w:rsidRDefault="00EA744E" w:rsidP="00EA744E">
      <w:pPr>
        <w:tabs>
          <w:tab w:val="left" w:pos="2400"/>
        </w:tabs>
        <w:ind w:right="51"/>
      </w:pPr>
      <w:r w:rsidRPr="00692461">
        <w:rPr>
          <w:b/>
        </w:rPr>
        <w:t>SEGUNDO.</w:t>
      </w:r>
      <w:r w:rsidRPr="00692461">
        <w:rPr>
          <w:rFonts w:cs="Arial"/>
        </w:rPr>
        <w:t xml:space="preserve"> </w:t>
      </w:r>
      <w:r w:rsidR="00174085" w:rsidRPr="00692461">
        <w:rPr>
          <w:rFonts w:cs="Arial"/>
          <w:b/>
        </w:rPr>
        <w:t>Notifíquese</w:t>
      </w:r>
      <w:r>
        <w:rPr>
          <w:rFonts w:eastAsia="Palatino Linotype" w:cs="Palatino Linotype"/>
          <w:b/>
        </w:rPr>
        <w:t xml:space="preserve">, </w:t>
      </w:r>
      <w:r>
        <w:rPr>
          <w:rFonts w:eastAsia="Palatino Linotype" w:cs="Palatino Linotype"/>
        </w:rPr>
        <w:t xml:space="preserve">vía Sistema de Acceso a la Información Mexiquense (SAIMEX), la presente resolución al Titular de la Unidad de Transparencia del </w:t>
      </w:r>
      <w:r>
        <w:rPr>
          <w:rFonts w:eastAsia="Palatino Linotype" w:cs="Palatino Linotype"/>
          <w:b/>
        </w:rPr>
        <w:t>SUJETO OBLIGADO.</w:t>
      </w:r>
    </w:p>
    <w:p w14:paraId="73C186DA" w14:textId="77777777" w:rsidR="00EA744E" w:rsidRPr="00692461" w:rsidRDefault="00EA744E" w:rsidP="00EA744E">
      <w:pPr>
        <w:tabs>
          <w:tab w:val="left" w:pos="8647"/>
        </w:tabs>
        <w:ind w:right="51"/>
        <w:rPr>
          <w:rFonts w:cs="Arial"/>
        </w:rPr>
      </w:pPr>
    </w:p>
    <w:p w14:paraId="625F41DE" w14:textId="77777777" w:rsidR="00EA744E" w:rsidRPr="00DB40B2" w:rsidRDefault="00EA744E" w:rsidP="00EA744E">
      <w:pPr>
        <w:tabs>
          <w:tab w:val="left" w:pos="8647"/>
        </w:tabs>
        <w:ind w:right="51"/>
        <w:rPr>
          <w:b/>
        </w:rPr>
      </w:pPr>
      <w:r w:rsidRPr="00692461">
        <w:rPr>
          <w:rFonts w:cs="Arial"/>
          <w:b/>
          <w:sz w:val="28"/>
        </w:rPr>
        <w:t>TERCERO</w:t>
      </w:r>
      <w:r w:rsidRPr="00692461">
        <w:rPr>
          <w:b/>
        </w:rPr>
        <w:t xml:space="preserve">. </w:t>
      </w:r>
      <w:r w:rsidRPr="00692461">
        <w:rPr>
          <w:rFonts w:cs="Arial"/>
          <w:b/>
        </w:rPr>
        <w:t>Notifíquese</w:t>
      </w:r>
      <w:r w:rsidRPr="00692461">
        <w:rPr>
          <w:rFonts w:cs="Arial"/>
        </w:rPr>
        <w:t xml:space="preserve"> </w:t>
      </w:r>
      <w:r>
        <w:rPr>
          <w:rFonts w:cs="Arial"/>
          <w:b/>
        </w:rPr>
        <w:t>al</w:t>
      </w:r>
      <w:r w:rsidRPr="00692461">
        <w:rPr>
          <w:rFonts w:cs="Arial"/>
          <w:b/>
        </w:rPr>
        <w:t xml:space="preserve"> Recurrente</w:t>
      </w:r>
      <w:r w:rsidRPr="00692461">
        <w:rPr>
          <w:rFonts w:cs="Arial"/>
        </w:rPr>
        <w:t xml:space="preserve"> la presente resolución a través del Sistema de Acceso a la Información Mexiquense </w:t>
      </w:r>
      <w:r w:rsidRPr="00692461">
        <w:rPr>
          <w:rFonts w:cs="Arial"/>
          <w:b/>
        </w:rPr>
        <w:t>(SAIMEX)</w:t>
      </w:r>
      <w:r w:rsidRPr="00692461">
        <w:rPr>
          <w:rFonts w:cs="Arial"/>
        </w:rPr>
        <w:t>,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7B6ED868" w14:textId="77777777" w:rsidR="00EA744E" w:rsidRDefault="00EA744E" w:rsidP="00EA744E">
      <w:pPr>
        <w:rPr>
          <w:rFonts w:cs="Arial"/>
          <w:color w:val="000000"/>
          <w:szCs w:val="24"/>
        </w:rPr>
      </w:pPr>
    </w:p>
    <w:p w14:paraId="66710A29" w14:textId="77777777" w:rsidR="00EA744E" w:rsidRDefault="00EA744E" w:rsidP="00EA744E">
      <w:pPr>
        <w:rPr>
          <w:rFonts w:cs="Arial"/>
          <w:color w:val="000000"/>
          <w:szCs w:val="24"/>
        </w:rPr>
      </w:pPr>
    </w:p>
    <w:p w14:paraId="1EE87B50" w14:textId="37F64134" w:rsidR="00EA744E" w:rsidRDefault="00EA744E" w:rsidP="00EA744E">
      <w:pPr>
        <w:rPr>
          <w:rFonts w:cs="Arial"/>
          <w:szCs w:val="24"/>
        </w:rPr>
      </w:pPr>
      <w:r>
        <w:rPr>
          <w:rFonts w:cs="Arial"/>
          <w:szCs w:val="24"/>
        </w:rPr>
        <w:lastRenderedPageBreak/>
        <w:t>ASÍ LO RESUELVE, POR UNANIMIDAD DE VOTOS EL PLENO DEL</w:t>
      </w:r>
      <w:r>
        <w:rPr>
          <w:rFonts w:eastAsia="Arial Unicode MS" w:cs="Arial"/>
          <w:szCs w:val="24"/>
        </w:rPr>
        <w:t xml:space="preserve"> INSTITUTO DE TRANSPARENCIA, ACCESO A LA INFORMACIÓN PÚBLICA Y PROTECCIÓN DE DATOS PERSONALES DEL ESTADO DE MÉXICO Y MUNICIPIOS</w:t>
      </w:r>
      <w:r>
        <w:rPr>
          <w:rFonts w:cs="Arial"/>
          <w:szCs w:val="24"/>
        </w:rPr>
        <w:t>, CONFORMADO POR LOS COMISIONADOS JOSÉ MARTÍNEZ VILCHIS, MARÍA DEL ROSARIO MEJÍA AYALA, SHARON CRISTINA MORALES MARTÍNEZ, LUIS GUSTAVO PARRA NORIEGA Y GUADALUPE RAMÍREZ PEÑA, EN LA</w:t>
      </w:r>
      <w:r w:rsidR="00300CE0">
        <w:rPr>
          <w:rFonts w:cs="Arial"/>
          <w:szCs w:val="24"/>
          <w:lang w:val="es-419"/>
        </w:rPr>
        <w:t xml:space="preserve"> TERCERA SESIÓN ORDINARIA CELEBRADA EL TREINTA Y UNO DE ENERO DE DOS MIL VEINTICUATRO</w:t>
      </w:r>
      <w:r>
        <w:rPr>
          <w:rFonts w:cs="Arial"/>
          <w:szCs w:val="24"/>
        </w:rPr>
        <w:t>, ANTE EL SECRETARIO TÉCNICO DEL PLENO, ALEXIS TAPIA RAMÍREZ. --------------------------------------------------------------------------------------------------------------------------------------------</w:t>
      </w:r>
      <w:r w:rsidR="00D14EFC">
        <w:rPr>
          <w:rFonts w:cs="Arial"/>
        </w:rPr>
        <w:t>------------------------------------------------------------------------------------------------------------------------------------------------------------------------------------------------------------------------------------------------------------------------------------------------------------------------------------------------------------------------------------------------------------------------------------------------------------------------------------------------------------------------------------------------------------------------------------------------------------------------------------------------------------------------------------------------------------------------------------------------------------------------------------------------------------------------------------------------------------------------------------------------------------------------------------------------------------------------------------------------------------------------------------------------------------------------------------------------------------------------------------------------------------------------------------------------------------------------------------------------------------------------------------------------------------------------------------------------------------------------------------------------------------------------------------------------------------------------------------------------------------------------------------------------------------------------------------------------------------------------------------------------------------------------------------------------------</w:t>
      </w:r>
    </w:p>
    <w:p w14:paraId="4B33A313" w14:textId="77777777" w:rsidR="00EA744E" w:rsidRDefault="00EA744E" w:rsidP="00EA744E">
      <w:pPr>
        <w:rPr>
          <w:rFonts w:cs="Arial"/>
          <w:sz w:val="20"/>
        </w:rPr>
      </w:pPr>
      <w:r>
        <w:rPr>
          <w:rFonts w:cs="Arial"/>
          <w:sz w:val="20"/>
        </w:rPr>
        <w:t>JMV/CCR/NJMB</w:t>
      </w:r>
    </w:p>
    <w:p w14:paraId="1703DDFB" w14:textId="77777777" w:rsidR="00EA744E" w:rsidRDefault="00EA744E" w:rsidP="00EA744E">
      <w:pPr>
        <w:rPr>
          <w:rFonts w:cs="Arial"/>
          <w:sz w:val="20"/>
        </w:rPr>
      </w:pPr>
    </w:p>
    <w:p w14:paraId="0A67A401" w14:textId="77777777" w:rsidR="00EA744E" w:rsidRDefault="00EA744E" w:rsidP="00EA744E">
      <w:pPr>
        <w:rPr>
          <w:rFonts w:cs="Arial"/>
          <w:sz w:val="20"/>
        </w:rPr>
      </w:pPr>
    </w:p>
    <w:p w14:paraId="450B6838" w14:textId="77777777" w:rsidR="00EA744E" w:rsidRPr="004B7011" w:rsidRDefault="00EA744E" w:rsidP="00EA744E">
      <w:pPr>
        <w:pBdr>
          <w:top w:val="nil"/>
          <w:left w:val="nil"/>
          <w:bottom w:val="nil"/>
          <w:right w:val="nil"/>
          <w:between w:val="nil"/>
        </w:pBdr>
        <w:contextualSpacing/>
        <w:rPr>
          <w:rFonts w:eastAsia="Palatino Linotype" w:cs="Palatino Linotype"/>
          <w:color w:val="000000"/>
          <w:sz w:val="20"/>
          <w:szCs w:val="20"/>
        </w:rPr>
      </w:pPr>
    </w:p>
    <w:p w14:paraId="61AA0C7A" w14:textId="77777777" w:rsidR="00EA744E" w:rsidRPr="004B7011" w:rsidRDefault="00EA744E" w:rsidP="00EA744E">
      <w:pPr>
        <w:pBdr>
          <w:top w:val="nil"/>
          <w:left w:val="nil"/>
          <w:bottom w:val="nil"/>
          <w:right w:val="nil"/>
          <w:between w:val="nil"/>
        </w:pBdr>
        <w:contextualSpacing/>
        <w:rPr>
          <w:rFonts w:eastAsia="Palatino Linotype" w:cs="Palatino Linotype"/>
          <w:color w:val="000000"/>
          <w:sz w:val="20"/>
          <w:szCs w:val="20"/>
        </w:rPr>
      </w:pPr>
    </w:p>
    <w:p w14:paraId="53AD7FE2" w14:textId="77777777" w:rsidR="00EA744E" w:rsidRPr="004B7011" w:rsidRDefault="00EA744E" w:rsidP="00EA744E">
      <w:pPr>
        <w:pBdr>
          <w:top w:val="nil"/>
          <w:left w:val="nil"/>
          <w:bottom w:val="nil"/>
          <w:right w:val="nil"/>
          <w:between w:val="nil"/>
        </w:pBdr>
        <w:contextualSpacing/>
        <w:rPr>
          <w:rFonts w:eastAsia="Palatino Linotype" w:cs="Palatino Linotype"/>
          <w:color w:val="000000"/>
          <w:sz w:val="20"/>
          <w:szCs w:val="20"/>
        </w:rPr>
      </w:pPr>
    </w:p>
    <w:p w14:paraId="420FD998" w14:textId="77777777" w:rsidR="00EA744E" w:rsidRPr="004B7011" w:rsidRDefault="00EA744E" w:rsidP="00EA744E">
      <w:pPr>
        <w:pBdr>
          <w:top w:val="nil"/>
          <w:left w:val="nil"/>
          <w:bottom w:val="nil"/>
          <w:right w:val="nil"/>
          <w:between w:val="nil"/>
        </w:pBdr>
        <w:contextualSpacing/>
        <w:rPr>
          <w:rFonts w:eastAsia="Palatino Linotype" w:cs="Palatino Linotype"/>
          <w:color w:val="000000"/>
          <w:sz w:val="20"/>
          <w:szCs w:val="20"/>
        </w:rPr>
      </w:pPr>
    </w:p>
    <w:p w14:paraId="751B638C" w14:textId="77777777" w:rsidR="00EA744E" w:rsidRPr="004B7011" w:rsidRDefault="00EA744E" w:rsidP="00EA744E">
      <w:pPr>
        <w:pBdr>
          <w:top w:val="nil"/>
          <w:left w:val="nil"/>
          <w:bottom w:val="nil"/>
          <w:right w:val="nil"/>
          <w:between w:val="nil"/>
        </w:pBdr>
        <w:contextualSpacing/>
        <w:rPr>
          <w:rFonts w:eastAsia="Palatino Linotype" w:cs="Palatino Linotype"/>
          <w:color w:val="000000"/>
          <w:sz w:val="20"/>
          <w:szCs w:val="20"/>
        </w:rPr>
      </w:pPr>
    </w:p>
    <w:p w14:paraId="36C6EF11" w14:textId="77777777" w:rsidR="00EA744E" w:rsidRPr="004B7011" w:rsidRDefault="00EA744E" w:rsidP="00EA744E">
      <w:pPr>
        <w:pBdr>
          <w:top w:val="nil"/>
          <w:left w:val="nil"/>
          <w:bottom w:val="nil"/>
          <w:right w:val="nil"/>
          <w:between w:val="nil"/>
        </w:pBdr>
        <w:contextualSpacing/>
        <w:rPr>
          <w:rFonts w:eastAsia="Palatino Linotype" w:cs="Palatino Linotype"/>
          <w:color w:val="000000"/>
          <w:sz w:val="20"/>
          <w:szCs w:val="20"/>
        </w:rPr>
      </w:pPr>
    </w:p>
    <w:p w14:paraId="08CE26BC" w14:textId="77777777" w:rsidR="00EA744E" w:rsidRPr="004B7011" w:rsidRDefault="00EA744E" w:rsidP="00EA744E">
      <w:pPr>
        <w:pBdr>
          <w:top w:val="nil"/>
          <w:left w:val="nil"/>
          <w:bottom w:val="nil"/>
          <w:right w:val="nil"/>
          <w:between w:val="nil"/>
        </w:pBdr>
        <w:contextualSpacing/>
        <w:rPr>
          <w:rFonts w:eastAsia="Palatino Linotype" w:cs="Palatino Linotype"/>
          <w:color w:val="000000"/>
          <w:sz w:val="20"/>
          <w:szCs w:val="20"/>
        </w:rPr>
      </w:pPr>
    </w:p>
    <w:p w14:paraId="67B0BFAE" w14:textId="77777777" w:rsidR="00EA744E" w:rsidRPr="004B7011" w:rsidRDefault="00EA744E" w:rsidP="00EA744E">
      <w:pPr>
        <w:pBdr>
          <w:top w:val="nil"/>
          <w:left w:val="nil"/>
          <w:bottom w:val="nil"/>
          <w:right w:val="nil"/>
          <w:between w:val="nil"/>
        </w:pBdr>
        <w:contextualSpacing/>
        <w:rPr>
          <w:rFonts w:eastAsia="Palatino Linotype" w:cs="Palatino Linotype"/>
          <w:color w:val="000000"/>
          <w:sz w:val="20"/>
          <w:szCs w:val="20"/>
        </w:rPr>
      </w:pPr>
    </w:p>
    <w:p w14:paraId="02B657B2" w14:textId="77777777" w:rsidR="00EA744E" w:rsidRPr="004B7011" w:rsidRDefault="00EA744E" w:rsidP="00EA744E">
      <w:pPr>
        <w:pBdr>
          <w:top w:val="nil"/>
          <w:left w:val="nil"/>
          <w:bottom w:val="nil"/>
          <w:right w:val="nil"/>
          <w:between w:val="nil"/>
        </w:pBdr>
        <w:contextualSpacing/>
        <w:rPr>
          <w:rFonts w:eastAsia="Palatino Linotype" w:cs="Palatino Linotype"/>
          <w:color w:val="000000"/>
          <w:sz w:val="20"/>
          <w:szCs w:val="20"/>
        </w:rPr>
      </w:pPr>
    </w:p>
    <w:p w14:paraId="284F0734" w14:textId="77777777" w:rsidR="00EA744E" w:rsidRPr="004B7011" w:rsidRDefault="00EA744E" w:rsidP="00EA744E"/>
    <w:p w14:paraId="7AD430ED" w14:textId="77777777" w:rsidR="00EA744E" w:rsidRDefault="00EA744E" w:rsidP="00EA744E"/>
    <w:p w14:paraId="3965FF8A" w14:textId="77777777" w:rsidR="00EA744E" w:rsidRDefault="00EA744E" w:rsidP="00EA744E"/>
    <w:p w14:paraId="19092C53" w14:textId="77777777" w:rsidR="004F16CB" w:rsidRPr="00EA744E" w:rsidRDefault="004F16CB" w:rsidP="00EA744E"/>
    <w:sectPr w:rsidR="004F16CB" w:rsidRPr="00EA744E" w:rsidSect="00125AB3">
      <w:headerReference w:type="even" r:id="rId9"/>
      <w:headerReference w:type="default" r:id="rId10"/>
      <w:footerReference w:type="default" r:id="rId11"/>
      <w:headerReference w:type="first" r:id="rId12"/>
      <w:footerReference w:type="first" r:id="rId13"/>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720C4" w14:textId="77777777" w:rsidR="000F5E25" w:rsidRDefault="000F5E25" w:rsidP="00EA744E">
      <w:pPr>
        <w:spacing w:line="240" w:lineRule="auto"/>
      </w:pPr>
      <w:r>
        <w:separator/>
      </w:r>
    </w:p>
  </w:endnote>
  <w:endnote w:type="continuationSeparator" w:id="0">
    <w:p w14:paraId="1928DCA7" w14:textId="77777777" w:rsidR="000F5E25" w:rsidRDefault="000F5E25" w:rsidP="00EA74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2EC19" w14:textId="77777777" w:rsidR="00247238" w:rsidRPr="00871A91" w:rsidRDefault="00CE4AB6" w:rsidP="009B1929">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063303">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063303">
      <w:rPr>
        <w:rFonts w:ascii="Palatino Linotype" w:hAnsi="Palatino Linotype"/>
        <w:b/>
        <w:bCs/>
        <w:noProof/>
        <w:sz w:val="20"/>
      </w:rPr>
      <w:t>22</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0D46C" w14:textId="77777777" w:rsidR="00247238" w:rsidRPr="00871A91" w:rsidRDefault="00CE4AB6" w:rsidP="009B1929">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063303">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063303">
      <w:rPr>
        <w:rFonts w:ascii="Palatino Linotype" w:hAnsi="Palatino Linotype"/>
        <w:b/>
        <w:bCs/>
        <w:noProof/>
        <w:sz w:val="20"/>
      </w:rPr>
      <w:t>22</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661C1" w14:textId="77777777" w:rsidR="000F5E25" w:rsidRDefault="000F5E25" w:rsidP="00EA744E">
      <w:pPr>
        <w:spacing w:line="240" w:lineRule="auto"/>
      </w:pPr>
      <w:r>
        <w:separator/>
      </w:r>
    </w:p>
  </w:footnote>
  <w:footnote w:type="continuationSeparator" w:id="0">
    <w:p w14:paraId="12A6BB02" w14:textId="77777777" w:rsidR="000F5E25" w:rsidRDefault="000F5E25" w:rsidP="00EA744E">
      <w:pPr>
        <w:spacing w:line="240" w:lineRule="auto"/>
      </w:pPr>
      <w:r>
        <w:continuationSeparator/>
      </w:r>
    </w:p>
  </w:footnote>
  <w:footnote w:id="1">
    <w:p w14:paraId="1F35630C" w14:textId="77777777" w:rsidR="000D5020" w:rsidRPr="0031280C" w:rsidRDefault="000D5020" w:rsidP="000D5020">
      <w:pPr>
        <w:spacing w:line="240" w:lineRule="auto"/>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5E2586CB" w14:textId="77777777" w:rsidR="000D5020" w:rsidRPr="0031280C" w:rsidRDefault="000D5020" w:rsidP="000D5020">
      <w:pPr>
        <w:spacing w:line="240" w:lineRule="auto"/>
        <w:rPr>
          <w:rFonts w:cs="Palatino Linotype"/>
          <w:color w:val="000000"/>
          <w:sz w:val="20"/>
          <w:szCs w:val="20"/>
        </w:rPr>
      </w:pPr>
    </w:p>
    <w:p w14:paraId="60B105DE" w14:textId="77777777" w:rsidR="000D5020" w:rsidRPr="0031280C" w:rsidRDefault="000D5020" w:rsidP="000D5020">
      <w:pPr>
        <w:spacing w:line="240" w:lineRule="auto"/>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023AF39D" w14:textId="77777777" w:rsidR="000D5020" w:rsidRDefault="000D5020" w:rsidP="000D5020">
      <w:pPr>
        <w:spacing w:line="240" w:lineRule="auto"/>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FB720" w14:textId="77777777" w:rsidR="00247238" w:rsidRDefault="00063303">
    <w:pPr>
      <w:pStyle w:val="Encabezado"/>
    </w:pPr>
    <w:r>
      <w:rPr>
        <w:noProof/>
        <w:lang w:val="es-MX" w:eastAsia="es-MX"/>
      </w:rPr>
      <w:pict w14:anchorId="455650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alt="" style="position:absolute;left:0;text-align:left;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802B59" w:rsidRPr="00B17577" w14:paraId="7A141DB3" w14:textId="77777777" w:rsidTr="009B1929">
      <w:trPr>
        <w:trHeight w:val="227"/>
      </w:trPr>
      <w:tc>
        <w:tcPr>
          <w:tcW w:w="5103" w:type="dxa"/>
          <w:hideMark/>
        </w:tcPr>
        <w:p w14:paraId="005DEA9A" w14:textId="77777777" w:rsidR="00247238" w:rsidRPr="00096248" w:rsidRDefault="00CE4AB6" w:rsidP="009B1929">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2DFDBBA3" w14:textId="77777777" w:rsidR="00247238" w:rsidRPr="00096248" w:rsidRDefault="00CE4AB6" w:rsidP="009B1929">
          <w:pPr>
            <w:spacing w:after="120" w:line="240" w:lineRule="auto"/>
            <w:ind w:right="71"/>
            <w:jc w:val="right"/>
            <w:rPr>
              <w:rFonts w:cs="Arial"/>
              <w:b/>
              <w:szCs w:val="24"/>
            </w:rPr>
          </w:pPr>
          <w:r>
            <w:rPr>
              <w:rFonts w:cs="Arial"/>
              <w:b/>
              <w:bCs/>
              <w:szCs w:val="24"/>
            </w:rPr>
            <w:t>0</w:t>
          </w:r>
          <w:r w:rsidR="00EA744E">
            <w:rPr>
              <w:rFonts w:cs="Arial"/>
              <w:b/>
              <w:bCs/>
              <w:szCs w:val="24"/>
            </w:rPr>
            <w:t>4810</w:t>
          </w:r>
          <w:r w:rsidRPr="00096248">
            <w:rPr>
              <w:rFonts w:cs="Arial"/>
              <w:b/>
              <w:bCs/>
              <w:szCs w:val="24"/>
            </w:rPr>
            <w:t>/INFOEM/IP/RR/202</w:t>
          </w:r>
          <w:r>
            <w:rPr>
              <w:rFonts w:cs="Arial"/>
              <w:b/>
              <w:bCs/>
              <w:szCs w:val="24"/>
            </w:rPr>
            <w:t>3</w:t>
          </w:r>
        </w:p>
      </w:tc>
    </w:tr>
    <w:tr w:rsidR="00802B59" w14:paraId="3D47B2EE" w14:textId="77777777" w:rsidTr="009B1929">
      <w:trPr>
        <w:trHeight w:val="242"/>
      </w:trPr>
      <w:tc>
        <w:tcPr>
          <w:tcW w:w="5103" w:type="dxa"/>
          <w:hideMark/>
        </w:tcPr>
        <w:p w14:paraId="70C4612C" w14:textId="77777777" w:rsidR="00247238" w:rsidRPr="00096248" w:rsidRDefault="00CE4AB6" w:rsidP="009B1929">
          <w:pPr>
            <w:spacing w:after="120" w:line="240" w:lineRule="auto"/>
            <w:ind w:right="69"/>
            <w:jc w:val="right"/>
            <w:rPr>
              <w:rFonts w:cs="Arial"/>
              <w:b/>
              <w:szCs w:val="24"/>
            </w:rPr>
          </w:pPr>
          <w:r w:rsidRPr="00096248">
            <w:rPr>
              <w:rFonts w:cs="Arial"/>
              <w:b/>
              <w:szCs w:val="24"/>
            </w:rPr>
            <w:t>Sujeto Obligado:</w:t>
          </w:r>
        </w:p>
      </w:tc>
      <w:tc>
        <w:tcPr>
          <w:tcW w:w="4395" w:type="dxa"/>
          <w:hideMark/>
        </w:tcPr>
        <w:p w14:paraId="38D0CCA5" w14:textId="77777777" w:rsidR="00247238" w:rsidRPr="00096248" w:rsidRDefault="00CE4AB6" w:rsidP="00EA744E">
          <w:pPr>
            <w:spacing w:after="120" w:line="240" w:lineRule="auto"/>
            <w:ind w:left="-81" w:right="71"/>
            <w:jc w:val="right"/>
            <w:rPr>
              <w:rFonts w:cs="Arial"/>
              <w:szCs w:val="24"/>
            </w:rPr>
          </w:pPr>
          <w:r>
            <w:rPr>
              <w:rFonts w:cs="Arial"/>
              <w:szCs w:val="24"/>
            </w:rPr>
            <w:t xml:space="preserve">Ayuntamiento de </w:t>
          </w:r>
          <w:r w:rsidR="00EA744E">
            <w:rPr>
              <w:rFonts w:cs="Arial"/>
              <w:szCs w:val="24"/>
            </w:rPr>
            <w:t>Zinacantepec</w:t>
          </w:r>
        </w:p>
      </w:tc>
    </w:tr>
    <w:tr w:rsidR="00802B59" w:rsidRPr="00F63239" w14:paraId="32F7B579" w14:textId="77777777" w:rsidTr="009B1929">
      <w:trPr>
        <w:trHeight w:val="342"/>
      </w:trPr>
      <w:tc>
        <w:tcPr>
          <w:tcW w:w="5103" w:type="dxa"/>
          <w:hideMark/>
        </w:tcPr>
        <w:p w14:paraId="02A817E7" w14:textId="77777777" w:rsidR="00247238" w:rsidRPr="00096248" w:rsidRDefault="00CE4AB6" w:rsidP="009B1929">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05A99851" w14:textId="77777777" w:rsidR="00247238" w:rsidRDefault="00CE4AB6" w:rsidP="009B1929">
          <w:pPr>
            <w:spacing w:after="120" w:line="240" w:lineRule="auto"/>
            <w:ind w:left="-486" w:right="71" w:firstLine="567"/>
            <w:jc w:val="right"/>
            <w:rPr>
              <w:rFonts w:cs="Arial"/>
              <w:szCs w:val="24"/>
            </w:rPr>
          </w:pPr>
          <w:r w:rsidRPr="00096248">
            <w:rPr>
              <w:rFonts w:cs="Arial"/>
              <w:szCs w:val="24"/>
            </w:rPr>
            <w:t>José Martínez Vilchis</w:t>
          </w:r>
        </w:p>
        <w:p w14:paraId="56451306" w14:textId="77777777" w:rsidR="00247238" w:rsidRPr="00711916" w:rsidRDefault="00247238" w:rsidP="009B1929">
          <w:pPr>
            <w:spacing w:after="120" w:line="240" w:lineRule="auto"/>
            <w:ind w:left="-486" w:right="71" w:firstLine="567"/>
            <w:jc w:val="right"/>
            <w:rPr>
              <w:rFonts w:cs="Arial"/>
              <w:sz w:val="2"/>
              <w:szCs w:val="2"/>
            </w:rPr>
          </w:pPr>
        </w:p>
      </w:tc>
    </w:tr>
  </w:tbl>
  <w:p w14:paraId="63F9A784" w14:textId="77777777" w:rsidR="00247238" w:rsidRPr="00871A91" w:rsidRDefault="00063303">
    <w:pPr>
      <w:pStyle w:val="Encabezado"/>
      <w:rPr>
        <w:sz w:val="2"/>
      </w:rPr>
    </w:pPr>
    <w:r>
      <w:rPr>
        <w:noProof/>
        <w:lang w:val="es-MX" w:eastAsia="es-MX"/>
      </w:rPr>
      <w:pict w14:anchorId="1B6C9C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1.55pt;margin-top:-142.95pt;width:609.4pt;height:793.75pt;z-index:-251656192;mso-wrap-edited:f;mso-width-percent:0;mso-height-percent:0;mso-position-horizontal-relative:margin;mso-position-vertical-relative:margin;mso-width-percent:0;mso-height-percent:0" o:allowincell="f">
          <v:imagedata r:id="rId1" o:title="infoem"/>
          <w10:wrap anchorx="margin" anchory="margin"/>
        </v:shape>
      </w:pict>
    </w:r>
    <w:r w:rsidR="00CE4AB6">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802B59" w14:paraId="76DF5C94" w14:textId="77777777" w:rsidTr="009B1929">
      <w:trPr>
        <w:trHeight w:val="227"/>
      </w:trPr>
      <w:tc>
        <w:tcPr>
          <w:tcW w:w="5103" w:type="dxa"/>
          <w:hideMark/>
        </w:tcPr>
        <w:p w14:paraId="7F417851" w14:textId="77777777" w:rsidR="00247238" w:rsidRPr="00663A37" w:rsidRDefault="00CE4AB6" w:rsidP="009B1929">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0DB1BE54" w14:textId="77777777" w:rsidR="00247238" w:rsidRPr="001776EC" w:rsidRDefault="00CE4AB6" w:rsidP="001776EC">
          <w:pPr>
            <w:spacing w:after="120" w:line="240" w:lineRule="auto"/>
            <w:ind w:left="-486" w:right="68" w:firstLine="558"/>
            <w:jc w:val="right"/>
            <w:rPr>
              <w:rFonts w:cs="Arial"/>
              <w:b/>
              <w:bCs/>
              <w:szCs w:val="24"/>
            </w:rPr>
          </w:pPr>
          <w:r>
            <w:rPr>
              <w:rFonts w:cs="Arial"/>
              <w:b/>
              <w:bCs/>
              <w:szCs w:val="24"/>
            </w:rPr>
            <w:t>0</w:t>
          </w:r>
          <w:r w:rsidR="00EA744E">
            <w:rPr>
              <w:rFonts w:cs="Arial"/>
              <w:b/>
              <w:bCs/>
              <w:szCs w:val="24"/>
            </w:rPr>
            <w:t>4810</w:t>
          </w:r>
          <w:r>
            <w:rPr>
              <w:rFonts w:cs="Arial"/>
              <w:b/>
              <w:bCs/>
              <w:szCs w:val="24"/>
            </w:rPr>
            <w:t>/INFOEM/IP/RR/2023</w:t>
          </w:r>
        </w:p>
      </w:tc>
    </w:tr>
    <w:tr w:rsidR="00802B59" w:rsidRPr="001F57CD" w14:paraId="1F7C9D72" w14:textId="77777777" w:rsidTr="009B1929">
      <w:trPr>
        <w:trHeight w:val="196"/>
      </w:trPr>
      <w:tc>
        <w:tcPr>
          <w:tcW w:w="5103" w:type="dxa"/>
          <w:hideMark/>
        </w:tcPr>
        <w:p w14:paraId="71EF7F37" w14:textId="77777777" w:rsidR="00247238" w:rsidRPr="00663A37" w:rsidRDefault="00CE4AB6" w:rsidP="009B1929">
          <w:pPr>
            <w:spacing w:after="120" w:line="240" w:lineRule="auto"/>
            <w:ind w:right="68"/>
            <w:jc w:val="right"/>
            <w:rPr>
              <w:rFonts w:cs="Arial"/>
              <w:b/>
              <w:szCs w:val="24"/>
            </w:rPr>
          </w:pPr>
          <w:r w:rsidRPr="00663A37">
            <w:rPr>
              <w:rFonts w:cs="Arial"/>
              <w:b/>
              <w:szCs w:val="24"/>
            </w:rPr>
            <w:t>Recurrente:</w:t>
          </w:r>
          <w:r>
            <w:rPr>
              <w:rFonts w:cs="Arial"/>
              <w:b/>
              <w:szCs w:val="24"/>
            </w:rPr>
            <w:t xml:space="preserve">     </w:t>
          </w:r>
        </w:p>
      </w:tc>
      <w:tc>
        <w:tcPr>
          <w:tcW w:w="4395" w:type="dxa"/>
          <w:hideMark/>
        </w:tcPr>
        <w:p w14:paraId="0BF05F17" w14:textId="1FE59249" w:rsidR="00247238" w:rsidRPr="00663A37" w:rsidRDefault="00063303" w:rsidP="009B1929">
          <w:pPr>
            <w:spacing w:after="120" w:line="240" w:lineRule="auto"/>
            <w:ind w:right="68"/>
            <w:jc w:val="right"/>
            <w:rPr>
              <w:rFonts w:cs="Arial"/>
              <w:szCs w:val="24"/>
            </w:rPr>
          </w:pPr>
          <w:r>
            <w:rPr>
              <w:rFonts w:cs="Arial"/>
              <w:szCs w:val="24"/>
            </w:rPr>
            <w:t>XXXX</w:t>
          </w:r>
        </w:p>
      </w:tc>
    </w:tr>
    <w:tr w:rsidR="00802B59" w14:paraId="05C250F2" w14:textId="77777777" w:rsidTr="009B1929">
      <w:trPr>
        <w:trHeight w:val="242"/>
      </w:trPr>
      <w:tc>
        <w:tcPr>
          <w:tcW w:w="5103" w:type="dxa"/>
          <w:hideMark/>
        </w:tcPr>
        <w:p w14:paraId="0AB0D8B6" w14:textId="77777777" w:rsidR="00247238" w:rsidRPr="00663A37" w:rsidRDefault="00CE4AB6" w:rsidP="009B1929">
          <w:pPr>
            <w:spacing w:after="120" w:line="240" w:lineRule="auto"/>
            <w:ind w:right="68"/>
            <w:jc w:val="right"/>
            <w:rPr>
              <w:rFonts w:cs="Arial"/>
              <w:b/>
              <w:szCs w:val="24"/>
            </w:rPr>
          </w:pPr>
          <w:r w:rsidRPr="00663A37">
            <w:rPr>
              <w:rFonts w:cs="Arial"/>
              <w:b/>
              <w:szCs w:val="24"/>
            </w:rPr>
            <w:t>Sujeto Obligado:</w:t>
          </w:r>
        </w:p>
      </w:tc>
      <w:tc>
        <w:tcPr>
          <w:tcW w:w="4395" w:type="dxa"/>
          <w:hideMark/>
        </w:tcPr>
        <w:p w14:paraId="3D767DBB" w14:textId="77777777" w:rsidR="00247238" w:rsidRPr="00663A37" w:rsidRDefault="00CE4AB6" w:rsidP="00EA744E">
          <w:pPr>
            <w:spacing w:after="120" w:line="240" w:lineRule="auto"/>
            <w:ind w:left="-70" w:right="68"/>
            <w:jc w:val="right"/>
            <w:rPr>
              <w:rFonts w:cs="Arial"/>
              <w:szCs w:val="24"/>
            </w:rPr>
          </w:pPr>
          <w:r>
            <w:rPr>
              <w:rFonts w:cs="Arial"/>
              <w:szCs w:val="24"/>
            </w:rPr>
            <w:t xml:space="preserve">Ayuntamiento de </w:t>
          </w:r>
          <w:r w:rsidR="00EA744E">
            <w:rPr>
              <w:rFonts w:cs="Arial"/>
              <w:szCs w:val="24"/>
            </w:rPr>
            <w:t>Zinacantepec</w:t>
          </w:r>
        </w:p>
      </w:tc>
    </w:tr>
    <w:tr w:rsidR="00802B59" w14:paraId="66837D91" w14:textId="77777777" w:rsidTr="009B1929">
      <w:trPr>
        <w:trHeight w:val="342"/>
      </w:trPr>
      <w:tc>
        <w:tcPr>
          <w:tcW w:w="5103" w:type="dxa"/>
          <w:hideMark/>
        </w:tcPr>
        <w:p w14:paraId="0AA7F782" w14:textId="77777777" w:rsidR="00247238" w:rsidRPr="00663A37" w:rsidRDefault="00CE4AB6" w:rsidP="009B1929">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8CEF46A" w14:textId="77777777" w:rsidR="00247238" w:rsidRPr="00663A37" w:rsidRDefault="00CE4AB6" w:rsidP="009B1929">
          <w:pPr>
            <w:spacing w:after="120" w:line="240" w:lineRule="auto"/>
            <w:ind w:left="-486" w:right="68" w:firstLine="567"/>
            <w:jc w:val="right"/>
            <w:rPr>
              <w:rFonts w:cs="Arial"/>
              <w:szCs w:val="24"/>
            </w:rPr>
          </w:pPr>
          <w:r w:rsidRPr="00663A37">
            <w:rPr>
              <w:rFonts w:cs="Arial"/>
              <w:szCs w:val="24"/>
            </w:rPr>
            <w:t>José Martínez Vilchis</w:t>
          </w:r>
        </w:p>
      </w:tc>
    </w:tr>
  </w:tbl>
  <w:p w14:paraId="5D751591" w14:textId="77777777" w:rsidR="00247238" w:rsidRPr="00871A91" w:rsidRDefault="00CE4AB6">
    <w:pPr>
      <w:pStyle w:val="Encabezado"/>
      <w:rPr>
        <w:sz w:val="2"/>
      </w:rPr>
    </w:pPr>
    <w:r>
      <w:rPr>
        <w:noProof/>
        <w:lang w:val="es-MX" w:eastAsia="es-MX"/>
      </w:rPr>
      <w:drawing>
        <wp:anchor distT="0" distB="0" distL="114300" distR="114300" simplePos="0" relativeHeight="251661312" behindDoc="1" locked="0" layoutInCell="0" allowOverlap="1" wp14:anchorId="30AE384A" wp14:editId="26B23F5C">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50347"/>
    <w:multiLevelType w:val="hybridMultilevel"/>
    <w:tmpl w:val="741A9054"/>
    <w:lvl w:ilvl="0" w:tplc="247C098A">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1E042B98"/>
    <w:multiLevelType w:val="hybridMultilevel"/>
    <w:tmpl w:val="74D0B596"/>
    <w:lvl w:ilvl="0" w:tplc="529A64C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3F2B0EA3"/>
    <w:multiLevelType w:val="hybridMultilevel"/>
    <w:tmpl w:val="26D638C4"/>
    <w:lvl w:ilvl="0" w:tplc="D72EACE4">
      <w:start w:val="1"/>
      <w:numFmt w:val="decimal"/>
      <w:lvlText w:val="%1."/>
      <w:lvlJc w:val="left"/>
      <w:pPr>
        <w:ind w:left="1069" w:hanging="360"/>
      </w:pPr>
      <w:rPr>
        <w:rFonts w:eastAsia="Times New Roman" w:cs="Times New Roman"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51DC3C40"/>
    <w:multiLevelType w:val="hybridMultilevel"/>
    <w:tmpl w:val="138C69A8"/>
    <w:lvl w:ilvl="0" w:tplc="AFFE295C">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nsid w:val="54CE3670"/>
    <w:multiLevelType w:val="hybridMultilevel"/>
    <w:tmpl w:val="52C834D4"/>
    <w:lvl w:ilvl="0" w:tplc="46F6CEC8">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nsid w:val="6125084A"/>
    <w:multiLevelType w:val="hybridMultilevel"/>
    <w:tmpl w:val="0ED0BEBE"/>
    <w:lvl w:ilvl="0" w:tplc="2FB6D926">
      <w:start w:val="1"/>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EFA2B1A"/>
    <w:multiLevelType w:val="hybridMultilevel"/>
    <w:tmpl w:val="FFFFFFFF"/>
    <w:lvl w:ilvl="0" w:tplc="8AAA2ED4">
      <w:start w:val="1"/>
      <w:numFmt w:val="lowerLetter"/>
      <w:lvlText w:val="%1)"/>
      <w:lvlJc w:val="left"/>
      <w:pPr>
        <w:ind w:left="709" w:hanging="425"/>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nsid w:val="735C72E2"/>
    <w:multiLevelType w:val="hybridMultilevel"/>
    <w:tmpl w:val="A7D2CDCE"/>
    <w:lvl w:ilvl="0" w:tplc="A808BC7E">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8">
    <w:nsid w:val="79AE4A8D"/>
    <w:multiLevelType w:val="hybridMultilevel"/>
    <w:tmpl w:val="D15E80B8"/>
    <w:lvl w:ilvl="0" w:tplc="142C2A16">
      <w:numFmt w:val="bullet"/>
      <w:lvlText w:val=""/>
      <w:lvlJc w:val="left"/>
      <w:pPr>
        <w:ind w:left="720" w:hanging="360"/>
      </w:pPr>
      <w:rPr>
        <w:rFonts w:ascii="Symbol" w:eastAsia="Calibri" w:hAnsi="Symbol" w:cs="Calibri"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6"/>
  </w:num>
  <w:num w:numId="6">
    <w:abstractNumId w:val="8"/>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44E"/>
    <w:rsid w:val="00063303"/>
    <w:rsid w:val="000D12AF"/>
    <w:rsid w:val="000D5020"/>
    <w:rsid w:val="000F5E25"/>
    <w:rsid w:val="00125AB3"/>
    <w:rsid w:val="00174085"/>
    <w:rsid w:val="00247238"/>
    <w:rsid w:val="00300CE0"/>
    <w:rsid w:val="004414E0"/>
    <w:rsid w:val="004F16CB"/>
    <w:rsid w:val="006A2C1C"/>
    <w:rsid w:val="00C354A6"/>
    <w:rsid w:val="00CE4AB6"/>
    <w:rsid w:val="00D14EFC"/>
    <w:rsid w:val="00EA74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1D9E332"/>
  <w15:chartTrackingRefBased/>
  <w15:docId w15:val="{26BBB536-732F-42AD-A3C9-B1794812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44E"/>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EA744E"/>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EA744E"/>
    <w:pPr>
      <w:keepNext/>
      <w:keepLines/>
      <w:outlineLvl w:val="1"/>
    </w:pPr>
    <w:rPr>
      <w:rFonts w:eastAsiaTheme="majorEastAsia" w:cstheme="majorBidi"/>
      <w:b/>
      <w:color w:val="000000" w:themeColor="tex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Res Car"/>
    <w:basedOn w:val="Fuentedeprrafopredeter"/>
    <w:link w:val="Ttulo1"/>
    <w:uiPriority w:val="9"/>
    <w:rsid w:val="00EA744E"/>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EA744E"/>
    <w:rPr>
      <w:rFonts w:ascii="Palatino Linotype" w:eastAsiaTheme="majorEastAsia" w:hAnsi="Palatino Linotype" w:cstheme="majorBidi"/>
      <w:b/>
      <w:color w:val="000000" w:themeColor="text1"/>
      <w:sz w:val="26"/>
      <w:szCs w:val="26"/>
      <w:lang w:val="es-ES_tradnl" w:eastAsia="es-MX"/>
    </w:rPr>
  </w:style>
  <w:style w:type="paragraph" w:styleId="Encabezado">
    <w:name w:val="header"/>
    <w:basedOn w:val="Normal"/>
    <w:link w:val="EncabezadoCar"/>
    <w:uiPriority w:val="99"/>
    <w:unhideWhenUsed/>
    <w:rsid w:val="00EA744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EA744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EA744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EA744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A744E"/>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EA744E"/>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EA744E"/>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EA744E"/>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EA744E"/>
    <w:rPr>
      <w:color w:val="0563C1" w:themeColor="hyperlink"/>
      <w:u w:val="single"/>
    </w:rPr>
  </w:style>
  <w:style w:type="paragraph" w:customStyle="1" w:styleId="Fundamentos">
    <w:name w:val="Fundamentos"/>
    <w:basedOn w:val="Normal"/>
    <w:qFormat/>
    <w:rsid w:val="00EA744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styleId="Sinespaciado">
    <w:name w:val="No Spacing"/>
    <w:aliases w:val="Francesa,INAI"/>
    <w:link w:val="SinespaciadoCar"/>
    <w:uiPriority w:val="1"/>
    <w:qFormat/>
    <w:rsid w:val="00EA744E"/>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EA744E"/>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06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872024.pag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aimex.org.mx/saimex/solicitud/downloadAttach/1868638.pag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22</Pages>
  <Words>4748</Words>
  <Characters>26115</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INFOEM557</cp:lastModifiedBy>
  <cp:revision>4</cp:revision>
  <dcterms:created xsi:type="dcterms:W3CDTF">2024-01-31T22:59:00Z</dcterms:created>
  <dcterms:modified xsi:type="dcterms:W3CDTF">2024-02-07T18:30:00Z</dcterms:modified>
</cp:coreProperties>
</file>