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F061E" w14:textId="77777777" w:rsidR="00B1082B" w:rsidRPr="00BA1ADF" w:rsidRDefault="00A9208E">
      <w:pPr>
        <w:spacing w:before="240" w:after="240" w:line="360" w:lineRule="auto"/>
        <w:jc w:val="both"/>
        <w:rPr>
          <w:rFonts w:ascii="Palatino Linotype" w:eastAsia="Palatino Linotype" w:hAnsi="Palatino Linotype" w:cs="Palatino Linotype"/>
        </w:rPr>
      </w:pPr>
      <w:r w:rsidRPr="00BA1ADF">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w:t>
      </w:r>
      <w:r w:rsidRPr="00BA1ADF">
        <w:rPr>
          <w:rFonts w:ascii="Palatino Linotype" w:eastAsia="Palatino Linotype" w:hAnsi="Palatino Linotype" w:cs="Palatino Linotype"/>
          <w:b/>
        </w:rPr>
        <w:t>tres de abril de dos mil veinticuatro</w:t>
      </w:r>
      <w:r w:rsidRPr="00BA1ADF">
        <w:rPr>
          <w:rFonts w:ascii="Palatino Linotype" w:eastAsia="Palatino Linotype" w:hAnsi="Palatino Linotype" w:cs="Palatino Linotype"/>
        </w:rPr>
        <w:t xml:space="preserve">. </w:t>
      </w:r>
    </w:p>
    <w:p w14:paraId="3E2A8B75" w14:textId="77777777" w:rsidR="00B1082B" w:rsidRPr="00BA1ADF" w:rsidRDefault="00A9208E">
      <w:pPr>
        <w:spacing w:before="240" w:after="240" w:line="360" w:lineRule="auto"/>
        <w:jc w:val="both"/>
        <w:rPr>
          <w:rFonts w:ascii="Palatino Linotype" w:eastAsia="Palatino Linotype" w:hAnsi="Palatino Linotype" w:cs="Palatino Linotype"/>
          <w:b/>
        </w:rPr>
      </w:pPr>
      <w:r w:rsidRPr="00BA1ADF">
        <w:rPr>
          <w:rFonts w:ascii="Palatino Linotype" w:eastAsia="Palatino Linotype" w:hAnsi="Palatino Linotype" w:cs="Palatino Linotype"/>
          <w:b/>
        </w:rPr>
        <w:t>Visto</w:t>
      </w:r>
      <w:r w:rsidRPr="00BA1ADF">
        <w:rPr>
          <w:rFonts w:ascii="Palatino Linotype" w:eastAsia="Palatino Linotype" w:hAnsi="Palatino Linotype" w:cs="Palatino Linotype"/>
        </w:rPr>
        <w:t xml:space="preserve"> el expediente formado con motivo del recurso de revisión </w:t>
      </w:r>
      <w:r w:rsidRPr="00BA1ADF">
        <w:rPr>
          <w:rFonts w:ascii="Palatino Linotype" w:eastAsia="Palatino Linotype" w:hAnsi="Palatino Linotype" w:cs="Palatino Linotype"/>
          <w:b/>
        </w:rPr>
        <w:t>00029/INFOEM/IP/RR/2024</w:t>
      </w:r>
      <w:r w:rsidRPr="00BA1ADF">
        <w:rPr>
          <w:rFonts w:ascii="Palatino Linotype" w:eastAsia="Palatino Linotype" w:hAnsi="Palatino Linotype" w:cs="Palatino Linotype"/>
        </w:rPr>
        <w:t>, interpuesto por</w:t>
      </w:r>
      <w:r w:rsidRPr="00BA1ADF">
        <w:rPr>
          <w:rFonts w:ascii="Palatino Linotype" w:eastAsia="Palatino Linotype" w:hAnsi="Palatino Linotype" w:cs="Palatino Linotype"/>
          <w:b/>
        </w:rPr>
        <w:t xml:space="preserve"> un particular de manera anónima</w:t>
      </w:r>
      <w:r w:rsidRPr="00BA1ADF">
        <w:rPr>
          <w:rFonts w:ascii="Palatino Linotype" w:eastAsia="Palatino Linotype" w:hAnsi="Palatino Linotype" w:cs="Palatino Linotype"/>
        </w:rPr>
        <w:t xml:space="preserve">, en lo sucesivo </w:t>
      </w:r>
      <w:r w:rsidRPr="00BA1ADF">
        <w:rPr>
          <w:rFonts w:ascii="Palatino Linotype" w:eastAsia="Palatino Linotype" w:hAnsi="Palatino Linotype" w:cs="Palatino Linotype"/>
          <w:b/>
        </w:rPr>
        <w:t>la</w:t>
      </w:r>
      <w:r w:rsidRPr="00BA1ADF">
        <w:rPr>
          <w:rFonts w:ascii="Palatino Linotype" w:eastAsia="Palatino Linotype" w:hAnsi="Palatino Linotype" w:cs="Palatino Linotype"/>
        </w:rPr>
        <w:t xml:space="preserve"> </w:t>
      </w:r>
      <w:r w:rsidRPr="00BA1ADF">
        <w:rPr>
          <w:rFonts w:ascii="Palatino Linotype" w:eastAsia="Palatino Linotype" w:hAnsi="Palatino Linotype" w:cs="Palatino Linotype"/>
          <w:b/>
        </w:rPr>
        <w:t>parte</w:t>
      </w:r>
      <w:r w:rsidRPr="00BA1ADF">
        <w:rPr>
          <w:rFonts w:ascii="Palatino Linotype" w:eastAsia="Palatino Linotype" w:hAnsi="Palatino Linotype" w:cs="Palatino Linotype"/>
        </w:rPr>
        <w:t xml:space="preserve"> </w:t>
      </w:r>
      <w:r w:rsidRPr="00BA1ADF">
        <w:rPr>
          <w:rFonts w:ascii="Palatino Linotype" w:eastAsia="Palatino Linotype" w:hAnsi="Palatino Linotype" w:cs="Palatino Linotype"/>
          <w:b/>
        </w:rPr>
        <w:t>Recurrente,</w:t>
      </w:r>
      <w:r w:rsidRPr="00BA1ADF">
        <w:rPr>
          <w:rFonts w:ascii="Palatino Linotype" w:eastAsia="Palatino Linotype" w:hAnsi="Palatino Linotype" w:cs="Palatino Linotype"/>
        </w:rPr>
        <w:t xml:space="preserve"> en contra de la respuesta a su solicitud por parte del </w:t>
      </w:r>
      <w:r w:rsidRPr="00BA1ADF">
        <w:rPr>
          <w:rFonts w:ascii="Palatino Linotype" w:eastAsia="Palatino Linotype" w:hAnsi="Palatino Linotype" w:cs="Palatino Linotype"/>
          <w:b/>
        </w:rPr>
        <w:t xml:space="preserve">Secretaría Ejecutiva del Sistema Estatal Anticorrupción, </w:t>
      </w:r>
      <w:r w:rsidRPr="00BA1ADF">
        <w:rPr>
          <w:rFonts w:ascii="Palatino Linotype" w:eastAsia="Palatino Linotype" w:hAnsi="Palatino Linotype" w:cs="Palatino Linotype"/>
        </w:rPr>
        <w:t xml:space="preserve">en lo sucesivo el </w:t>
      </w:r>
      <w:r w:rsidRPr="00BA1ADF">
        <w:rPr>
          <w:rFonts w:ascii="Palatino Linotype" w:eastAsia="Palatino Linotype" w:hAnsi="Palatino Linotype" w:cs="Palatino Linotype"/>
          <w:b/>
        </w:rPr>
        <w:t xml:space="preserve">Sujeto Obligado, </w:t>
      </w:r>
      <w:r w:rsidRPr="00BA1ADF">
        <w:rPr>
          <w:rFonts w:ascii="Palatino Linotype" w:eastAsia="Palatino Linotype" w:hAnsi="Palatino Linotype" w:cs="Palatino Linotype"/>
        </w:rPr>
        <w:t xml:space="preserve">se procede a dictar la presente resolución con base en los siguientes: </w:t>
      </w:r>
    </w:p>
    <w:p w14:paraId="0134EA30" w14:textId="77777777" w:rsidR="00B1082B" w:rsidRPr="00BA1ADF" w:rsidRDefault="00A9208E">
      <w:pPr>
        <w:spacing w:before="240" w:after="240" w:line="360" w:lineRule="auto"/>
        <w:jc w:val="center"/>
        <w:rPr>
          <w:rFonts w:ascii="Palatino Linotype" w:eastAsia="Palatino Linotype" w:hAnsi="Palatino Linotype" w:cs="Palatino Linotype"/>
          <w:b/>
        </w:rPr>
      </w:pPr>
      <w:r w:rsidRPr="00BA1ADF">
        <w:rPr>
          <w:rFonts w:ascii="Palatino Linotype" w:eastAsia="Palatino Linotype" w:hAnsi="Palatino Linotype" w:cs="Palatino Linotype"/>
          <w:b/>
        </w:rPr>
        <w:t>I. A N T E C E D E N T E S</w:t>
      </w:r>
    </w:p>
    <w:p w14:paraId="6608EF61" w14:textId="77777777" w:rsidR="00B1082B" w:rsidRPr="00BA1ADF" w:rsidRDefault="00A9208E">
      <w:pPr>
        <w:spacing w:before="240" w:after="240" w:line="360" w:lineRule="auto"/>
        <w:jc w:val="both"/>
        <w:rPr>
          <w:rFonts w:ascii="Palatino Linotype" w:eastAsia="Palatino Linotype" w:hAnsi="Palatino Linotype" w:cs="Palatino Linotype"/>
        </w:rPr>
      </w:pPr>
      <w:r w:rsidRPr="00BA1ADF">
        <w:rPr>
          <w:rFonts w:ascii="Palatino Linotype" w:eastAsia="Palatino Linotype" w:hAnsi="Palatino Linotype" w:cs="Palatino Linotype"/>
          <w:b/>
        </w:rPr>
        <w:t>1. Solicitud de acceso a la información.</w:t>
      </w:r>
      <w:r w:rsidRPr="00BA1ADF">
        <w:rPr>
          <w:rFonts w:ascii="Palatino Linotype" w:eastAsia="Palatino Linotype" w:hAnsi="Palatino Linotype" w:cs="Palatino Linotype"/>
        </w:rPr>
        <w:t xml:space="preserve"> El </w:t>
      </w:r>
      <w:r w:rsidRPr="00BA1ADF">
        <w:rPr>
          <w:rFonts w:ascii="Palatino Linotype" w:eastAsia="Palatino Linotype" w:hAnsi="Palatino Linotype" w:cs="Palatino Linotype"/>
          <w:b/>
        </w:rPr>
        <w:t>cinco de diciembre del dos mil veintitrés,</w:t>
      </w:r>
      <w:r w:rsidRPr="00BA1ADF">
        <w:rPr>
          <w:rFonts w:ascii="Palatino Linotype" w:eastAsia="Palatino Linotype" w:hAnsi="Palatino Linotype" w:cs="Palatino Linotype"/>
        </w:rPr>
        <w:t xml:space="preserve"> </w:t>
      </w:r>
      <w:r w:rsidRPr="00BA1ADF">
        <w:rPr>
          <w:rFonts w:ascii="Palatino Linotype" w:eastAsia="Palatino Linotype" w:hAnsi="Palatino Linotype" w:cs="Palatino Linotype"/>
          <w:b/>
        </w:rPr>
        <w:t xml:space="preserve">la parte Recurrente </w:t>
      </w:r>
      <w:r w:rsidRPr="00BA1ADF">
        <w:rPr>
          <w:rFonts w:ascii="Palatino Linotype" w:eastAsia="Palatino Linotype" w:hAnsi="Palatino Linotype" w:cs="Palatino Linotype"/>
        </w:rPr>
        <w:t xml:space="preserve">presentó, a través del Sistema de Acceso a la Información Mexiquense, en lo subsecuente el </w:t>
      </w:r>
      <w:r w:rsidRPr="00BA1ADF">
        <w:rPr>
          <w:rFonts w:ascii="Palatino Linotype" w:eastAsia="Palatino Linotype" w:hAnsi="Palatino Linotype" w:cs="Palatino Linotype"/>
          <w:b/>
        </w:rPr>
        <w:t>SAIMEX,</w:t>
      </w:r>
      <w:r w:rsidRPr="00BA1ADF">
        <w:rPr>
          <w:rFonts w:ascii="Palatino Linotype" w:eastAsia="Palatino Linotype" w:hAnsi="Palatino Linotype" w:cs="Palatino Linotype"/>
        </w:rPr>
        <w:t xml:space="preserve"> ante el </w:t>
      </w:r>
      <w:r w:rsidRPr="00BA1ADF">
        <w:rPr>
          <w:rFonts w:ascii="Palatino Linotype" w:eastAsia="Palatino Linotype" w:hAnsi="Palatino Linotype" w:cs="Palatino Linotype"/>
          <w:b/>
        </w:rPr>
        <w:t>Sujeto Obligado</w:t>
      </w:r>
      <w:r w:rsidRPr="00BA1ADF">
        <w:rPr>
          <w:rFonts w:ascii="Palatino Linotype" w:eastAsia="Palatino Linotype" w:hAnsi="Palatino Linotype" w:cs="Palatino Linotype"/>
        </w:rPr>
        <w:t>, la solicitud de acceso a la información pública, a la que se le asignó el número</w:t>
      </w:r>
      <w:r w:rsidRPr="00BA1ADF">
        <w:rPr>
          <w:rFonts w:ascii="Palatino Linotype" w:eastAsia="Palatino Linotype" w:hAnsi="Palatino Linotype" w:cs="Palatino Linotype"/>
          <w:b/>
        </w:rPr>
        <w:t xml:space="preserve"> 00372/SESEA/IP/2023, </w:t>
      </w:r>
      <w:r w:rsidRPr="00BA1ADF">
        <w:rPr>
          <w:rFonts w:ascii="Palatino Linotype" w:eastAsia="Palatino Linotype" w:hAnsi="Palatino Linotype" w:cs="Palatino Linotype"/>
        </w:rPr>
        <w:t xml:space="preserve">mediante la cual requirió la información siguiente: </w:t>
      </w:r>
    </w:p>
    <w:p w14:paraId="7FD44210" w14:textId="77777777" w:rsidR="00B1082B" w:rsidRPr="00BA1ADF" w:rsidRDefault="00A9208E">
      <w:pPr>
        <w:spacing w:before="240"/>
        <w:ind w:left="851" w:right="902"/>
        <w:jc w:val="both"/>
        <w:rPr>
          <w:rFonts w:ascii="Palatino Linotype" w:eastAsia="Palatino Linotype" w:hAnsi="Palatino Linotype" w:cs="Palatino Linotype"/>
          <w:i/>
          <w:sz w:val="22"/>
          <w:szCs w:val="22"/>
        </w:rPr>
      </w:pPr>
      <w:bookmarkStart w:id="0" w:name="_heading=h.gjdgxs" w:colFirst="0" w:colLast="0"/>
      <w:bookmarkEnd w:id="0"/>
      <w:r w:rsidRPr="00BA1ADF">
        <w:rPr>
          <w:rFonts w:ascii="Palatino Linotype" w:eastAsia="Palatino Linotype" w:hAnsi="Palatino Linotype" w:cs="Palatino Linotype"/>
          <w:i/>
          <w:sz w:val="22"/>
          <w:szCs w:val="22"/>
        </w:rPr>
        <w:t xml:space="preserve">“Solicito evidencia del año 2018 a la fecha de las </w:t>
      </w:r>
      <w:r w:rsidRPr="00BA1ADF">
        <w:rPr>
          <w:rFonts w:ascii="Palatino Linotype" w:eastAsia="Palatino Linotype" w:hAnsi="Palatino Linotype" w:cs="Palatino Linotype"/>
          <w:b/>
          <w:i/>
          <w:sz w:val="22"/>
          <w:szCs w:val="22"/>
        </w:rPr>
        <w:t>propuestas de escritos de demanda o contestación de la Unidad Jurídica, en acciones legales para; promover y desistirse, previa autorización escrita por el Secretario Técnico</w:t>
      </w:r>
      <w:r w:rsidRPr="00BA1ADF">
        <w:rPr>
          <w:rFonts w:ascii="Palatino Linotype" w:eastAsia="Palatino Linotype" w:hAnsi="Palatino Linotype" w:cs="Palatino Linotype"/>
          <w:i/>
          <w:sz w:val="22"/>
          <w:szCs w:val="22"/>
        </w:rPr>
        <w:t>.” (Sic)</w:t>
      </w:r>
    </w:p>
    <w:p w14:paraId="0CF765B6" w14:textId="77777777" w:rsidR="00B1082B" w:rsidRPr="00BA1ADF" w:rsidRDefault="00B1082B">
      <w:pPr>
        <w:spacing w:before="240"/>
        <w:ind w:left="851" w:right="902"/>
        <w:jc w:val="both"/>
        <w:rPr>
          <w:rFonts w:ascii="Palatino Linotype" w:eastAsia="Palatino Linotype" w:hAnsi="Palatino Linotype" w:cs="Palatino Linotype"/>
          <w:i/>
          <w:sz w:val="22"/>
          <w:szCs w:val="22"/>
        </w:rPr>
      </w:pPr>
    </w:p>
    <w:p w14:paraId="0A05C160" w14:textId="77777777" w:rsidR="00B1082B" w:rsidRPr="00BA1ADF" w:rsidRDefault="00A9208E">
      <w:pPr>
        <w:spacing w:line="360" w:lineRule="auto"/>
        <w:jc w:val="both"/>
        <w:rPr>
          <w:rFonts w:ascii="Palatino Linotype" w:eastAsia="Palatino Linotype" w:hAnsi="Palatino Linotype" w:cs="Palatino Linotype"/>
        </w:rPr>
      </w:pPr>
      <w:r w:rsidRPr="00BA1ADF">
        <w:rPr>
          <w:rFonts w:ascii="Palatino Linotype" w:eastAsia="Palatino Linotype" w:hAnsi="Palatino Linotype" w:cs="Palatino Linotype"/>
          <w:b/>
        </w:rPr>
        <w:t>Modalidad de Entrega:</w:t>
      </w:r>
      <w:r w:rsidRPr="00BA1ADF">
        <w:rPr>
          <w:rFonts w:ascii="Palatino Linotype" w:eastAsia="Palatino Linotype" w:hAnsi="Palatino Linotype" w:cs="Palatino Linotype"/>
        </w:rPr>
        <w:t xml:space="preserve"> A través de </w:t>
      </w:r>
      <w:r w:rsidRPr="00BA1ADF">
        <w:rPr>
          <w:rFonts w:ascii="Palatino Linotype" w:eastAsia="Palatino Linotype" w:hAnsi="Palatino Linotype" w:cs="Palatino Linotype"/>
          <w:b/>
        </w:rPr>
        <w:t>SAIMEX</w:t>
      </w:r>
      <w:r w:rsidRPr="00BA1ADF">
        <w:rPr>
          <w:rFonts w:ascii="Palatino Linotype" w:eastAsia="Palatino Linotype" w:hAnsi="Palatino Linotype" w:cs="Palatino Linotype"/>
        </w:rPr>
        <w:t>.</w:t>
      </w:r>
    </w:p>
    <w:p w14:paraId="19D83394" w14:textId="77777777" w:rsidR="00B1082B" w:rsidRPr="00BA1ADF" w:rsidRDefault="00B1082B">
      <w:pPr>
        <w:spacing w:line="360" w:lineRule="auto"/>
        <w:ind w:right="900"/>
        <w:rPr>
          <w:rFonts w:ascii="Palatino Linotype" w:eastAsia="Palatino Linotype" w:hAnsi="Palatino Linotype" w:cs="Palatino Linotype"/>
          <w:sz w:val="22"/>
          <w:szCs w:val="22"/>
        </w:rPr>
      </w:pPr>
    </w:p>
    <w:p w14:paraId="163F74FB" w14:textId="77777777" w:rsidR="00B1082B" w:rsidRPr="00BA1ADF" w:rsidRDefault="00A9208E">
      <w:pPr>
        <w:spacing w:after="240" w:line="360" w:lineRule="auto"/>
        <w:jc w:val="both"/>
        <w:rPr>
          <w:rFonts w:ascii="Palatino Linotype" w:eastAsia="Palatino Linotype" w:hAnsi="Palatino Linotype" w:cs="Palatino Linotype"/>
        </w:rPr>
      </w:pPr>
      <w:r w:rsidRPr="00BA1ADF">
        <w:rPr>
          <w:rFonts w:ascii="Palatino Linotype" w:eastAsia="Palatino Linotype" w:hAnsi="Palatino Linotype" w:cs="Palatino Linotype"/>
          <w:b/>
        </w:rPr>
        <w:lastRenderedPageBreak/>
        <w:t xml:space="preserve">2. Respuesta. </w:t>
      </w:r>
      <w:r w:rsidRPr="00BA1ADF">
        <w:rPr>
          <w:rFonts w:ascii="Palatino Linotype" w:eastAsia="Palatino Linotype" w:hAnsi="Palatino Linotype" w:cs="Palatino Linotype"/>
        </w:rPr>
        <w:t xml:space="preserve">El </w:t>
      </w:r>
      <w:r w:rsidRPr="00BA1ADF">
        <w:rPr>
          <w:rFonts w:ascii="Palatino Linotype" w:eastAsia="Palatino Linotype" w:hAnsi="Palatino Linotype" w:cs="Palatino Linotype"/>
          <w:b/>
        </w:rPr>
        <w:t>trece de diciembre de dos mil veintitrés</w:t>
      </w:r>
      <w:r w:rsidRPr="00BA1ADF">
        <w:rPr>
          <w:rFonts w:ascii="Palatino Linotype" w:eastAsia="Palatino Linotype" w:hAnsi="Palatino Linotype" w:cs="Palatino Linotype"/>
        </w:rPr>
        <w:t xml:space="preserve">, el </w:t>
      </w:r>
      <w:r w:rsidRPr="00BA1ADF">
        <w:rPr>
          <w:rFonts w:ascii="Palatino Linotype" w:eastAsia="Palatino Linotype" w:hAnsi="Palatino Linotype" w:cs="Palatino Linotype"/>
          <w:b/>
        </w:rPr>
        <w:t xml:space="preserve">Sujeto Obligado </w:t>
      </w:r>
      <w:r w:rsidRPr="00BA1ADF">
        <w:rPr>
          <w:rFonts w:ascii="Palatino Linotype" w:eastAsia="Palatino Linotype" w:hAnsi="Palatino Linotype" w:cs="Palatino Linotype"/>
        </w:rPr>
        <w:t xml:space="preserve">remitió su respuesta para atender la solicitud de acceso a la información a través de SAIMEX, sustancialmente en los términos siguientes:   </w:t>
      </w:r>
    </w:p>
    <w:p w14:paraId="1B778E36" w14:textId="77777777" w:rsidR="00B1082B" w:rsidRPr="00BA1ADF" w:rsidRDefault="00A9208E">
      <w:pPr>
        <w:spacing w:before="240" w:after="240"/>
        <w:ind w:left="567" w:right="902"/>
        <w:jc w:val="both"/>
        <w:rPr>
          <w:rFonts w:ascii="Palatino Linotype" w:eastAsia="Palatino Linotype" w:hAnsi="Palatino Linotype" w:cs="Palatino Linotype"/>
          <w:i/>
          <w:sz w:val="22"/>
          <w:szCs w:val="22"/>
        </w:rPr>
      </w:pPr>
      <w:r w:rsidRPr="00BA1ADF">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4977CF7" w14:textId="77777777" w:rsidR="00B1082B" w:rsidRPr="00BA1ADF" w:rsidRDefault="00A9208E">
      <w:pPr>
        <w:spacing w:before="240" w:after="240"/>
        <w:ind w:left="567" w:right="902"/>
        <w:jc w:val="both"/>
        <w:rPr>
          <w:rFonts w:ascii="Palatino Linotype" w:eastAsia="Palatino Linotype" w:hAnsi="Palatino Linotype" w:cs="Palatino Linotype"/>
          <w:i/>
          <w:sz w:val="22"/>
          <w:szCs w:val="22"/>
        </w:rPr>
      </w:pPr>
      <w:r w:rsidRPr="00BA1ADF">
        <w:rPr>
          <w:rFonts w:ascii="Palatino Linotype" w:eastAsia="Palatino Linotype" w:hAnsi="Palatino Linotype" w:cs="Palatino Linotype"/>
          <w:i/>
          <w:sz w:val="22"/>
          <w:szCs w:val="22"/>
        </w:rPr>
        <w:t xml:space="preserve">Toluca, Estado de México; a 13 de diciembre del 2023 Ciudadano (a) solicitante de información pública con folio 000372/SESEA/IP/2023 Presente. Con fundamento en los artículos 50, 51, 52, 53 fracciones II, IV, V, VI y XIV, 156, 160, 161, 163, 164, 166 y 168 de la Ley de Transparencia y Acceso a la Información Pública del Estado de México y Municipios, se otorga respuesta a la solicitud de información pública 000372/SESEA/IP/2023. Atentamente </w:t>
      </w:r>
      <w:proofErr w:type="spellStart"/>
      <w:r w:rsidRPr="00BA1ADF">
        <w:rPr>
          <w:rFonts w:ascii="Palatino Linotype" w:eastAsia="Palatino Linotype" w:hAnsi="Palatino Linotype" w:cs="Palatino Linotype"/>
          <w:i/>
          <w:sz w:val="22"/>
          <w:szCs w:val="22"/>
        </w:rPr>
        <w:t>Ivan</w:t>
      </w:r>
      <w:proofErr w:type="spellEnd"/>
      <w:r w:rsidRPr="00BA1ADF">
        <w:rPr>
          <w:rFonts w:ascii="Palatino Linotype" w:eastAsia="Palatino Linotype" w:hAnsi="Palatino Linotype" w:cs="Palatino Linotype"/>
          <w:i/>
          <w:sz w:val="22"/>
          <w:szCs w:val="22"/>
        </w:rPr>
        <w:t xml:space="preserve"> Medina Arcos Suplente en la Titularidad de la Unidad de Planeación y Transparencia de la Secretaría Ejecutiva del Sistema Estatal Anticorrupción</w:t>
      </w:r>
    </w:p>
    <w:p w14:paraId="52A1F748" w14:textId="77777777" w:rsidR="00B1082B" w:rsidRPr="00BA1ADF" w:rsidRDefault="00A9208E">
      <w:pPr>
        <w:spacing w:before="240" w:after="240"/>
        <w:ind w:left="567" w:right="902"/>
        <w:jc w:val="both"/>
        <w:rPr>
          <w:rFonts w:ascii="Palatino Linotype" w:eastAsia="Palatino Linotype" w:hAnsi="Palatino Linotype" w:cs="Palatino Linotype"/>
          <w:i/>
          <w:sz w:val="22"/>
          <w:szCs w:val="22"/>
        </w:rPr>
      </w:pPr>
      <w:r w:rsidRPr="00BA1ADF">
        <w:rPr>
          <w:rFonts w:ascii="Palatino Linotype" w:eastAsia="Palatino Linotype" w:hAnsi="Palatino Linotype" w:cs="Palatino Linotype"/>
          <w:i/>
          <w:sz w:val="22"/>
          <w:szCs w:val="22"/>
        </w:rPr>
        <w:t>ATENTAMENTE</w:t>
      </w:r>
    </w:p>
    <w:p w14:paraId="2A98600C" w14:textId="77777777" w:rsidR="00B1082B" w:rsidRPr="00BA1ADF" w:rsidRDefault="00A9208E">
      <w:pPr>
        <w:spacing w:before="240" w:after="240"/>
        <w:ind w:left="567" w:right="902"/>
        <w:jc w:val="both"/>
        <w:rPr>
          <w:rFonts w:ascii="Palatino Linotype" w:eastAsia="Palatino Linotype" w:hAnsi="Palatino Linotype" w:cs="Palatino Linotype"/>
          <w:i/>
          <w:sz w:val="22"/>
          <w:szCs w:val="22"/>
        </w:rPr>
      </w:pPr>
      <w:r w:rsidRPr="00BA1ADF">
        <w:rPr>
          <w:rFonts w:ascii="Palatino Linotype" w:eastAsia="Palatino Linotype" w:hAnsi="Palatino Linotype" w:cs="Palatino Linotype"/>
          <w:i/>
          <w:sz w:val="22"/>
          <w:szCs w:val="22"/>
        </w:rPr>
        <w:t xml:space="preserve">C. Unidad de Planeación y Transparencia” (Sic) </w:t>
      </w:r>
    </w:p>
    <w:p w14:paraId="32A96C80" w14:textId="77777777" w:rsidR="00B1082B" w:rsidRPr="00BA1ADF" w:rsidRDefault="00A9208E">
      <w:pPr>
        <w:spacing w:before="240" w:after="240" w:line="360" w:lineRule="auto"/>
        <w:ind w:left="567" w:right="49"/>
        <w:jc w:val="both"/>
        <w:rPr>
          <w:rFonts w:ascii="Palatino Linotype" w:eastAsia="Palatino Linotype" w:hAnsi="Palatino Linotype" w:cs="Palatino Linotype"/>
          <w:b/>
        </w:rPr>
      </w:pPr>
      <w:r w:rsidRPr="00BA1ADF">
        <w:rPr>
          <w:rFonts w:ascii="Palatino Linotype" w:eastAsia="Palatino Linotype" w:hAnsi="Palatino Linotype" w:cs="Palatino Linotype"/>
          <w:b/>
        </w:rPr>
        <w:t xml:space="preserve">Archivos adjuntos: </w:t>
      </w:r>
    </w:p>
    <w:p w14:paraId="28B4308F" w14:textId="77777777" w:rsidR="00B1082B" w:rsidRPr="00BA1ADF" w:rsidRDefault="00A9208E">
      <w:pPr>
        <w:spacing w:before="240" w:after="240" w:line="360" w:lineRule="auto"/>
        <w:ind w:left="567" w:right="900"/>
        <w:jc w:val="both"/>
        <w:rPr>
          <w:rFonts w:ascii="Palatino Linotype" w:eastAsia="Palatino Linotype" w:hAnsi="Palatino Linotype" w:cs="Palatino Linotype"/>
        </w:rPr>
      </w:pPr>
      <w:r w:rsidRPr="00BA1ADF">
        <w:rPr>
          <w:rFonts w:ascii="Palatino Linotype" w:eastAsia="Palatino Linotype" w:hAnsi="Palatino Linotype" w:cs="Palatino Linotype"/>
          <w:b/>
          <w:i/>
        </w:rPr>
        <w:t xml:space="preserve">“LSAEMYM.pdf”: </w:t>
      </w:r>
      <w:r w:rsidRPr="00BA1ADF">
        <w:rPr>
          <w:rFonts w:ascii="Palatino Linotype" w:eastAsia="Palatino Linotype" w:hAnsi="Palatino Linotype" w:cs="Palatino Linotype"/>
        </w:rPr>
        <w:t>Consiste en la Ley del Sistema Anticorrupción del Estado de México y Municipios</w:t>
      </w:r>
    </w:p>
    <w:p w14:paraId="23B7B16C" w14:textId="77777777" w:rsidR="00B1082B" w:rsidRPr="00BA1ADF" w:rsidRDefault="00A9208E">
      <w:pPr>
        <w:spacing w:before="240" w:after="240" w:line="360" w:lineRule="auto"/>
        <w:ind w:left="567" w:right="900"/>
        <w:jc w:val="both"/>
        <w:rPr>
          <w:rFonts w:ascii="Palatino Linotype" w:eastAsia="Palatino Linotype" w:hAnsi="Palatino Linotype" w:cs="Palatino Linotype"/>
        </w:rPr>
      </w:pPr>
      <w:r w:rsidRPr="00BA1ADF">
        <w:rPr>
          <w:rFonts w:ascii="Palatino Linotype" w:eastAsia="Palatino Linotype" w:hAnsi="Palatino Linotype" w:cs="Palatino Linotype"/>
          <w:b/>
          <w:i/>
        </w:rPr>
        <w:t>“</w:t>
      </w:r>
      <w:proofErr w:type="spellStart"/>
      <w:r w:rsidRPr="00BA1ADF">
        <w:rPr>
          <w:rFonts w:ascii="Palatino Linotype" w:eastAsia="Palatino Linotype" w:hAnsi="Palatino Linotype" w:cs="Palatino Linotype"/>
          <w:b/>
          <w:i/>
        </w:rPr>
        <w:t>resp</w:t>
      </w:r>
      <w:proofErr w:type="spellEnd"/>
      <w:r w:rsidRPr="00BA1ADF">
        <w:rPr>
          <w:rFonts w:ascii="Palatino Linotype" w:eastAsia="Palatino Linotype" w:hAnsi="Palatino Linotype" w:cs="Palatino Linotype"/>
          <w:b/>
          <w:i/>
        </w:rPr>
        <w:t xml:space="preserve"> a sol 372.pdf”: </w:t>
      </w:r>
      <w:r w:rsidRPr="00BA1ADF">
        <w:rPr>
          <w:rFonts w:ascii="Palatino Linotype" w:eastAsia="Palatino Linotype" w:hAnsi="Palatino Linotype" w:cs="Palatino Linotype"/>
        </w:rPr>
        <w:t xml:space="preserve">Oficio no. 41100100030000S/00649/2023, suscrito por el Titular de la Unidad de Transparencia, quien remite a la persona solicitante la respuesta a su solicitud de información, en formato </w:t>
      </w:r>
      <w:proofErr w:type="spellStart"/>
      <w:r w:rsidRPr="00BA1ADF">
        <w:rPr>
          <w:rFonts w:ascii="Palatino Linotype" w:eastAsia="Palatino Linotype" w:hAnsi="Palatino Linotype" w:cs="Palatino Linotype"/>
        </w:rPr>
        <w:t>pdf</w:t>
      </w:r>
      <w:proofErr w:type="spellEnd"/>
      <w:r w:rsidRPr="00BA1ADF">
        <w:rPr>
          <w:rFonts w:ascii="Palatino Linotype" w:eastAsia="Palatino Linotype" w:hAnsi="Palatino Linotype" w:cs="Palatino Linotype"/>
        </w:rPr>
        <w:t xml:space="preserve"> y firmado por este servidor público.</w:t>
      </w:r>
    </w:p>
    <w:p w14:paraId="591E3D0C" w14:textId="77777777" w:rsidR="00B1082B" w:rsidRPr="00BA1ADF" w:rsidRDefault="00A9208E">
      <w:pPr>
        <w:spacing w:before="240" w:after="240" w:line="360" w:lineRule="auto"/>
        <w:ind w:left="567" w:right="900"/>
        <w:jc w:val="both"/>
        <w:rPr>
          <w:rFonts w:ascii="Palatino Linotype" w:eastAsia="Palatino Linotype" w:hAnsi="Palatino Linotype" w:cs="Palatino Linotype"/>
        </w:rPr>
      </w:pPr>
      <w:r w:rsidRPr="00BA1ADF">
        <w:rPr>
          <w:rFonts w:ascii="Palatino Linotype" w:eastAsia="Palatino Linotype" w:hAnsi="Palatino Linotype" w:cs="Palatino Linotype"/>
          <w:b/>
          <w:i/>
        </w:rPr>
        <w:lastRenderedPageBreak/>
        <w:t>“</w:t>
      </w:r>
      <w:proofErr w:type="spellStart"/>
      <w:r w:rsidRPr="00BA1ADF">
        <w:rPr>
          <w:rFonts w:ascii="Palatino Linotype" w:eastAsia="Palatino Linotype" w:hAnsi="Palatino Linotype" w:cs="Palatino Linotype"/>
          <w:b/>
          <w:i/>
        </w:rPr>
        <w:t>resp</w:t>
      </w:r>
      <w:proofErr w:type="spellEnd"/>
      <w:r w:rsidRPr="00BA1ADF">
        <w:rPr>
          <w:rFonts w:ascii="Palatino Linotype" w:eastAsia="Palatino Linotype" w:hAnsi="Palatino Linotype" w:cs="Palatino Linotype"/>
          <w:b/>
          <w:i/>
        </w:rPr>
        <w:t xml:space="preserve"> a sol </w:t>
      </w:r>
      <w:proofErr w:type="spellStart"/>
      <w:r w:rsidRPr="00BA1ADF">
        <w:rPr>
          <w:rFonts w:ascii="Palatino Linotype" w:eastAsia="Palatino Linotype" w:hAnsi="Palatino Linotype" w:cs="Palatino Linotype"/>
          <w:b/>
          <w:i/>
        </w:rPr>
        <w:t>uni</w:t>
      </w:r>
      <w:proofErr w:type="spellEnd"/>
      <w:r w:rsidRPr="00BA1ADF">
        <w:rPr>
          <w:rFonts w:ascii="Palatino Linotype" w:eastAsia="Palatino Linotype" w:hAnsi="Palatino Linotype" w:cs="Palatino Linotype"/>
          <w:b/>
          <w:i/>
        </w:rPr>
        <w:t xml:space="preserve"> 372.pdf”: </w:t>
      </w:r>
      <w:r w:rsidRPr="00BA1ADF">
        <w:rPr>
          <w:rFonts w:ascii="Palatino Linotype" w:eastAsia="Palatino Linotype" w:hAnsi="Palatino Linotype" w:cs="Palatino Linotype"/>
        </w:rPr>
        <w:t xml:space="preserve">Oficio No. 41100102000000S/215/2023, suscrito por el Titular de la Unidad de Asuntos Jurídicos, quien señala lo siguiente: </w:t>
      </w:r>
    </w:p>
    <w:p w14:paraId="7818D3C4" w14:textId="77777777" w:rsidR="00B1082B" w:rsidRPr="00BA1ADF" w:rsidRDefault="00A9208E">
      <w:pPr>
        <w:spacing w:before="240" w:after="240" w:line="360" w:lineRule="auto"/>
        <w:ind w:left="567" w:right="900"/>
        <w:jc w:val="both"/>
        <w:rPr>
          <w:rFonts w:ascii="Palatino Linotype" w:eastAsia="Palatino Linotype" w:hAnsi="Palatino Linotype" w:cs="Palatino Linotype"/>
          <w:b/>
          <w:i/>
        </w:rPr>
      </w:pPr>
      <w:r w:rsidRPr="00BA1ADF">
        <w:rPr>
          <w:rFonts w:ascii="Palatino Linotype" w:eastAsia="Palatino Linotype" w:hAnsi="Palatino Linotype" w:cs="Palatino Linotype"/>
          <w:b/>
          <w:i/>
          <w:noProof/>
        </w:rPr>
        <w:drawing>
          <wp:inline distT="0" distB="0" distL="0" distR="0" wp14:anchorId="2F912E98" wp14:editId="6FB53CC1">
            <wp:extent cx="4333274" cy="873579"/>
            <wp:effectExtent l="9525" t="9525" r="9525" b="9525"/>
            <wp:docPr id="2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t="56673" r="1551" b="24621"/>
                    <a:stretch>
                      <a:fillRect/>
                    </a:stretch>
                  </pic:blipFill>
                  <pic:spPr>
                    <a:xfrm>
                      <a:off x="0" y="0"/>
                      <a:ext cx="4333274" cy="873579"/>
                    </a:xfrm>
                    <a:prstGeom prst="rect">
                      <a:avLst/>
                    </a:prstGeom>
                    <a:ln w="9525">
                      <a:solidFill>
                        <a:srgbClr val="000000"/>
                      </a:solidFill>
                      <a:prstDash val="solid"/>
                    </a:ln>
                  </pic:spPr>
                </pic:pic>
              </a:graphicData>
            </a:graphic>
          </wp:inline>
        </w:drawing>
      </w:r>
    </w:p>
    <w:p w14:paraId="6B81014F" w14:textId="77777777" w:rsidR="00B1082B" w:rsidRPr="00BA1ADF" w:rsidRDefault="00A9208E">
      <w:pPr>
        <w:spacing w:before="240" w:after="240" w:line="360" w:lineRule="auto"/>
        <w:ind w:left="567" w:right="900"/>
        <w:jc w:val="both"/>
        <w:rPr>
          <w:rFonts w:ascii="Palatino Linotype" w:eastAsia="Palatino Linotype" w:hAnsi="Palatino Linotype" w:cs="Palatino Linotype"/>
          <w:b/>
          <w:i/>
        </w:rPr>
      </w:pPr>
      <w:r w:rsidRPr="00BA1ADF">
        <w:rPr>
          <w:rFonts w:ascii="Palatino Linotype" w:eastAsia="Palatino Linotype" w:hAnsi="Palatino Linotype" w:cs="Palatino Linotype"/>
          <w:b/>
          <w:i/>
        </w:rPr>
        <w:t xml:space="preserve">“LTAIPEMYM.pdf”: </w:t>
      </w:r>
      <w:r w:rsidRPr="00BA1ADF">
        <w:rPr>
          <w:rFonts w:ascii="Palatino Linotype" w:eastAsia="Palatino Linotype" w:hAnsi="Palatino Linotype" w:cs="Palatino Linotype"/>
        </w:rPr>
        <w:t>Contiene la Ley de Transparencia y Acceso a la Información Pública del Estado de México y Municipios.</w:t>
      </w:r>
    </w:p>
    <w:p w14:paraId="4F1C1E52" w14:textId="77777777" w:rsidR="00B1082B" w:rsidRPr="00BA1ADF" w:rsidRDefault="00A9208E">
      <w:pPr>
        <w:spacing w:before="240" w:after="240" w:line="360" w:lineRule="auto"/>
        <w:ind w:left="567" w:right="900"/>
        <w:jc w:val="both"/>
        <w:rPr>
          <w:rFonts w:ascii="Palatino Linotype" w:eastAsia="Palatino Linotype" w:hAnsi="Palatino Linotype" w:cs="Palatino Linotype"/>
        </w:rPr>
      </w:pPr>
      <w:r w:rsidRPr="00BA1ADF">
        <w:rPr>
          <w:rFonts w:ascii="Palatino Linotype" w:eastAsia="Palatino Linotype" w:hAnsi="Palatino Linotype" w:cs="Palatino Linotype"/>
          <w:b/>
          <w:i/>
        </w:rPr>
        <w:t>“OFIC RESP A SOL 372.docx”:</w:t>
      </w:r>
      <w:r w:rsidRPr="00BA1ADF">
        <w:t xml:space="preserve"> </w:t>
      </w:r>
      <w:r w:rsidRPr="00BA1ADF">
        <w:rPr>
          <w:rFonts w:ascii="Palatino Linotype" w:eastAsia="Palatino Linotype" w:hAnsi="Palatino Linotype" w:cs="Palatino Linotype"/>
        </w:rPr>
        <w:t>Oficio no. 41100100030000S/00649/2023, suscrito por el Titular de la Unidad de Transparencia, quien remite a la persona solicitante la respuesta a su solicitud de información.</w:t>
      </w:r>
    </w:p>
    <w:p w14:paraId="04C41BEA" w14:textId="77777777" w:rsidR="00B1082B" w:rsidRPr="00BA1ADF" w:rsidRDefault="00A9208E">
      <w:pPr>
        <w:spacing w:before="240" w:after="240" w:line="360" w:lineRule="auto"/>
        <w:ind w:right="49"/>
        <w:jc w:val="both"/>
        <w:rPr>
          <w:rFonts w:ascii="Palatino Linotype" w:eastAsia="Palatino Linotype" w:hAnsi="Palatino Linotype" w:cs="Palatino Linotype"/>
        </w:rPr>
      </w:pPr>
      <w:r w:rsidRPr="00BA1ADF">
        <w:rPr>
          <w:rFonts w:ascii="Palatino Linotype" w:eastAsia="Palatino Linotype" w:hAnsi="Palatino Linotype" w:cs="Palatino Linotype"/>
          <w:b/>
        </w:rPr>
        <w:t xml:space="preserve">3. Interposición del recurso de revisión. </w:t>
      </w:r>
      <w:r w:rsidRPr="00BA1ADF">
        <w:rPr>
          <w:rFonts w:ascii="Palatino Linotype" w:eastAsia="Palatino Linotype" w:hAnsi="Palatino Linotype" w:cs="Palatino Linotype"/>
        </w:rPr>
        <w:t xml:space="preserve">Inconforme con los términos de la respuesta emitida por parte del </w:t>
      </w:r>
      <w:r w:rsidRPr="00BA1ADF">
        <w:rPr>
          <w:rFonts w:ascii="Palatino Linotype" w:eastAsia="Palatino Linotype" w:hAnsi="Palatino Linotype" w:cs="Palatino Linotype"/>
          <w:b/>
        </w:rPr>
        <w:t>Sujeto Obligado</w:t>
      </w:r>
      <w:r w:rsidRPr="00BA1ADF">
        <w:rPr>
          <w:rFonts w:ascii="Palatino Linotype" w:eastAsia="Palatino Linotype" w:hAnsi="Palatino Linotype" w:cs="Palatino Linotype"/>
        </w:rPr>
        <w:t xml:space="preserve">, el </w:t>
      </w:r>
      <w:r w:rsidRPr="00BA1ADF">
        <w:rPr>
          <w:rFonts w:ascii="Palatino Linotype" w:eastAsia="Palatino Linotype" w:hAnsi="Palatino Linotype" w:cs="Palatino Linotype"/>
          <w:b/>
        </w:rPr>
        <w:t>once de enero de dos mil veinticuatro,</w:t>
      </w:r>
      <w:r w:rsidRPr="00BA1ADF">
        <w:rPr>
          <w:rFonts w:ascii="Palatino Linotype" w:eastAsia="Palatino Linotype" w:hAnsi="Palatino Linotype" w:cs="Palatino Linotype"/>
        </w:rPr>
        <w:t xml:space="preserve"> </w:t>
      </w:r>
      <w:r w:rsidRPr="00BA1ADF">
        <w:rPr>
          <w:rFonts w:ascii="Palatino Linotype" w:eastAsia="Palatino Linotype" w:hAnsi="Palatino Linotype" w:cs="Palatino Linotype"/>
          <w:b/>
        </w:rPr>
        <w:t>la parte Recurrente</w:t>
      </w:r>
      <w:r w:rsidRPr="00BA1ADF">
        <w:rPr>
          <w:rFonts w:ascii="Palatino Linotype" w:eastAsia="Palatino Linotype" w:hAnsi="Palatino Linotype" w:cs="Palatino Linotype"/>
        </w:rPr>
        <w:t xml:space="preserve"> interpuso el recurso de revisión a través de </w:t>
      </w:r>
      <w:r w:rsidRPr="00BA1ADF">
        <w:rPr>
          <w:rFonts w:ascii="Palatino Linotype" w:eastAsia="Palatino Linotype" w:hAnsi="Palatino Linotype" w:cs="Palatino Linotype"/>
          <w:b/>
        </w:rPr>
        <w:t xml:space="preserve">SAIMEX, </w:t>
      </w:r>
      <w:r w:rsidRPr="00BA1ADF">
        <w:rPr>
          <w:rFonts w:ascii="Palatino Linotype" w:eastAsia="Palatino Linotype" w:hAnsi="Palatino Linotype" w:cs="Palatino Linotype"/>
        </w:rPr>
        <w:t>en donde se manifestó de la siguiente manera:</w:t>
      </w:r>
    </w:p>
    <w:p w14:paraId="726F979A" w14:textId="77777777" w:rsidR="00B1082B" w:rsidRPr="00BA1ADF" w:rsidRDefault="00A9208E">
      <w:pPr>
        <w:tabs>
          <w:tab w:val="left" w:pos="2745"/>
        </w:tabs>
        <w:spacing w:before="240" w:after="240" w:line="360" w:lineRule="auto"/>
        <w:ind w:left="567"/>
        <w:jc w:val="both"/>
        <w:rPr>
          <w:rFonts w:ascii="Palatino Linotype" w:eastAsia="Palatino Linotype" w:hAnsi="Palatino Linotype" w:cs="Palatino Linotype"/>
          <w:b/>
        </w:rPr>
      </w:pPr>
      <w:r w:rsidRPr="00BA1ADF">
        <w:rPr>
          <w:rFonts w:ascii="Palatino Linotype" w:eastAsia="Palatino Linotype" w:hAnsi="Palatino Linotype" w:cs="Palatino Linotype"/>
          <w:b/>
        </w:rPr>
        <w:t xml:space="preserve">a) Acto impugnado: </w:t>
      </w:r>
      <w:r w:rsidRPr="00BA1ADF">
        <w:rPr>
          <w:rFonts w:ascii="Palatino Linotype" w:eastAsia="Palatino Linotype" w:hAnsi="Palatino Linotype" w:cs="Palatino Linotype"/>
          <w:b/>
        </w:rPr>
        <w:tab/>
      </w:r>
    </w:p>
    <w:p w14:paraId="3E17E69B" w14:textId="77777777" w:rsidR="00B1082B" w:rsidRPr="00BA1ADF" w:rsidRDefault="00A9208E">
      <w:pPr>
        <w:ind w:left="567" w:right="902"/>
        <w:jc w:val="both"/>
        <w:rPr>
          <w:rFonts w:ascii="Palatino Linotype" w:eastAsia="Palatino Linotype" w:hAnsi="Palatino Linotype" w:cs="Palatino Linotype"/>
          <w:i/>
          <w:sz w:val="22"/>
          <w:szCs w:val="22"/>
        </w:rPr>
      </w:pPr>
      <w:r w:rsidRPr="00BA1ADF">
        <w:rPr>
          <w:rFonts w:ascii="Palatino Linotype" w:eastAsia="Palatino Linotype" w:hAnsi="Palatino Linotype" w:cs="Palatino Linotype"/>
          <w:i/>
          <w:sz w:val="22"/>
          <w:szCs w:val="22"/>
        </w:rPr>
        <w:t>“</w:t>
      </w:r>
      <w:r w:rsidRPr="00BA1ADF">
        <w:rPr>
          <w:rFonts w:ascii="Palatino Linotype" w:eastAsia="Palatino Linotype" w:hAnsi="Palatino Linotype" w:cs="Palatino Linotype"/>
          <w:b/>
          <w:i/>
          <w:sz w:val="22"/>
          <w:szCs w:val="22"/>
          <w:u w:val="single"/>
        </w:rPr>
        <w:t>Información incompleta, hacen falta oficios de gestión realizados por la unidad administrativa encargada de dar respuesta a dicha solicitud</w:t>
      </w:r>
      <w:r w:rsidRPr="00BA1ADF">
        <w:rPr>
          <w:rFonts w:ascii="Palatino Linotype" w:eastAsia="Palatino Linotype" w:hAnsi="Palatino Linotype" w:cs="Palatino Linotype"/>
          <w:i/>
          <w:sz w:val="22"/>
          <w:szCs w:val="22"/>
        </w:rPr>
        <w:t>.” (Sic)</w:t>
      </w:r>
    </w:p>
    <w:p w14:paraId="35F6A54C" w14:textId="77777777" w:rsidR="00B1082B" w:rsidRPr="00BA1ADF" w:rsidRDefault="00B1082B">
      <w:pPr>
        <w:ind w:left="851" w:right="902"/>
        <w:jc w:val="both"/>
        <w:rPr>
          <w:rFonts w:ascii="Palatino Linotype" w:eastAsia="Palatino Linotype" w:hAnsi="Palatino Linotype" w:cs="Palatino Linotype"/>
          <w:i/>
          <w:sz w:val="22"/>
          <w:szCs w:val="22"/>
        </w:rPr>
      </w:pPr>
    </w:p>
    <w:p w14:paraId="5230180B" w14:textId="77777777" w:rsidR="00B1082B" w:rsidRPr="00BA1ADF" w:rsidRDefault="00A9208E">
      <w:pPr>
        <w:spacing w:line="360" w:lineRule="auto"/>
        <w:ind w:left="567"/>
        <w:jc w:val="both"/>
        <w:rPr>
          <w:rFonts w:ascii="Palatino Linotype" w:eastAsia="Palatino Linotype" w:hAnsi="Palatino Linotype" w:cs="Palatino Linotype"/>
        </w:rPr>
      </w:pPr>
      <w:r w:rsidRPr="00BA1ADF">
        <w:rPr>
          <w:rFonts w:ascii="Palatino Linotype" w:eastAsia="Palatino Linotype" w:hAnsi="Palatino Linotype" w:cs="Palatino Linotype"/>
          <w:b/>
        </w:rPr>
        <w:t>b) Razones o motivos de inconformidad</w:t>
      </w:r>
      <w:r w:rsidRPr="00BA1ADF">
        <w:rPr>
          <w:rFonts w:ascii="Palatino Linotype" w:eastAsia="Palatino Linotype" w:hAnsi="Palatino Linotype" w:cs="Palatino Linotype"/>
        </w:rPr>
        <w:t>:</w:t>
      </w:r>
    </w:p>
    <w:p w14:paraId="1A174A1F" w14:textId="77777777" w:rsidR="00B1082B" w:rsidRPr="00BA1ADF" w:rsidRDefault="00A9208E">
      <w:pPr>
        <w:ind w:left="567" w:right="902"/>
        <w:jc w:val="both"/>
        <w:rPr>
          <w:rFonts w:ascii="Palatino Linotype" w:eastAsia="Palatino Linotype" w:hAnsi="Palatino Linotype" w:cs="Palatino Linotype"/>
          <w:i/>
          <w:sz w:val="22"/>
          <w:szCs w:val="22"/>
        </w:rPr>
      </w:pPr>
      <w:bookmarkStart w:id="1" w:name="_heading=h.30j0zll" w:colFirst="0" w:colLast="0"/>
      <w:bookmarkEnd w:id="1"/>
      <w:r w:rsidRPr="00BA1ADF">
        <w:rPr>
          <w:rFonts w:ascii="Palatino Linotype" w:eastAsia="Palatino Linotype" w:hAnsi="Palatino Linotype" w:cs="Palatino Linotype"/>
          <w:i/>
          <w:sz w:val="22"/>
          <w:szCs w:val="22"/>
        </w:rPr>
        <w:t xml:space="preserve"> “Información incompleta” (Sic)</w:t>
      </w:r>
    </w:p>
    <w:p w14:paraId="0A833EDD" w14:textId="77777777" w:rsidR="00B1082B" w:rsidRPr="00BA1ADF" w:rsidRDefault="00B1082B">
      <w:pPr>
        <w:ind w:right="902"/>
        <w:jc w:val="both"/>
        <w:rPr>
          <w:rFonts w:ascii="Palatino Linotype" w:eastAsia="Palatino Linotype" w:hAnsi="Palatino Linotype" w:cs="Palatino Linotype"/>
          <w:i/>
          <w:sz w:val="22"/>
          <w:szCs w:val="22"/>
        </w:rPr>
      </w:pPr>
    </w:p>
    <w:p w14:paraId="680F4F38" w14:textId="77777777" w:rsidR="00B1082B" w:rsidRPr="00BA1ADF" w:rsidRDefault="00B1082B">
      <w:pPr>
        <w:ind w:left="851" w:right="902"/>
        <w:jc w:val="both"/>
        <w:rPr>
          <w:rFonts w:ascii="Palatino Linotype" w:eastAsia="Palatino Linotype" w:hAnsi="Palatino Linotype" w:cs="Palatino Linotype"/>
          <w:i/>
          <w:sz w:val="22"/>
          <w:szCs w:val="22"/>
        </w:rPr>
      </w:pPr>
    </w:p>
    <w:p w14:paraId="2E5EF442" w14:textId="77777777" w:rsidR="00B1082B" w:rsidRPr="00BA1ADF" w:rsidRDefault="00A9208E">
      <w:pPr>
        <w:spacing w:line="360" w:lineRule="auto"/>
        <w:ind w:right="51"/>
        <w:jc w:val="both"/>
        <w:rPr>
          <w:rFonts w:ascii="Palatino Linotype" w:eastAsia="Palatino Linotype" w:hAnsi="Palatino Linotype" w:cs="Palatino Linotype"/>
        </w:rPr>
      </w:pPr>
      <w:r w:rsidRPr="00BA1ADF">
        <w:rPr>
          <w:rFonts w:ascii="Palatino Linotype" w:eastAsia="Palatino Linotype" w:hAnsi="Palatino Linotype" w:cs="Palatino Linotype"/>
          <w:b/>
        </w:rPr>
        <w:t xml:space="preserve">4. Turno. </w:t>
      </w:r>
      <w:r w:rsidRPr="00BA1ADF">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w:t>
      </w:r>
      <w:r w:rsidRPr="00BA1ADF">
        <w:rPr>
          <w:rFonts w:ascii="Palatino Linotype" w:eastAsia="Palatino Linotype" w:hAnsi="Palatino Linotype" w:cs="Palatino Linotype"/>
          <w:b/>
        </w:rPr>
        <w:t>Comisionada</w:t>
      </w:r>
      <w:r w:rsidRPr="00BA1ADF">
        <w:rPr>
          <w:rFonts w:ascii="Palatino Linotype" w:eastAsia="Palatino Linotype" w:hAnsi="Palatino Linotype" w:cs="Palatino Linotype"/>
        </w:rPr>
        <w:t xml:space="preserve"> </w:t>
      </w:r>
      <w:r w:rsidRPr="00BA1ADF">
        <w:rPr>
          <w:rFonts w:ascii="Palatino Linotype" w:eastAsia="Palatino Linotype" w:hAnsi="Palatino Linotype" w:cs="Palatino Linotype"/>
          <w:b/>
        </w:rPr>
        <w:t xml:space="preserve">Guadalupe Ramírez Peña, </w:t>
      </w:r>
      <w:r w:rsidRPr="00BA1ADF">
        <w:rPr>
          <w:rFonts w:ascii="Palatino Linotype" w:eastAsia="Palatino Linotype" w:hAnsi="Palatino Linotype" w:cs="Palatino Linotype"/>
        </w:rPr>
        <w:t xml:space="preserve">a efecto de que analizara sobre su admisión o su </w:t>
      </w:r>
      <w:proofErr w:type="spellStart"/>
      <w:r w:rsidRPr="00BA1ADF">
        <w:rPr>
          <w:rFonts w:ascii="Palatino Linotype" w:eastAsia="Palatino Linotype" w:hAnsi="Palatino Linotype" w:cs="Palatino Linotype"/>
        </w:rPr>
        <w:t>desechamiento</w:t>
      </w:r>
      <w:proofErr w:type="spellEnd"/>
      <w:r w:rsidRPr="00BA1ADF">
        <w:rPr>
          <w:rFonts w:ascii="Palatino Linotype" w:eastAsia="Palatino Linotype" w:hAnsi="Palatino Linotype" w:cs="Palatino Linotype"/>
        </w:rPr>
        <w:t>.</w:t>
      </w:r>
    </w:p>
    <w:p w14:paraId="0BCD4472" w14:textId="77777777" w:rsidR="00B1082B" w:rsidRPr="00BA1ADF" w:rsidRDefault="00B1082B">
      <w:pPr>
        <w:spacing w:line="360" w:lineRule="auto"/>
        <w:ind w:right="51"/>
        <w:jc w:val="both"/>
        <w:rPr>
          <w:rFonts w:ascii="Palatino Linotype" w:eastAsia="Palatino Linotype" w:hAnsi="Palatino Linotype" w:cs="Palatino Linotype"/>
        </w:rPr>
      </w:pPr>
    </w:p>
    <w:p w14:paraId="5CC7934B" w14:textId="77777777" w:rsidR="00B1082B" w:rsidRPr="00BA1ADF" w:rsidRDefault="00A9208E">
      <w:pPr>
        <w:spacing w:after="240" w:line="360" w:lineRule="auto"/>
        <w:jc w:val="both"/>
        <w:rPr>
          <w:rFonts w:ascii="Palatino Linotype" w:eastAsia="Palatino Linotype" w:hAnsi="Palatino Linotype" w:cs="Palatino Linotype"/>
        </w:rPr>
      </w:pPr>
      <w:r w:rsidRPr="00BA1ADF">
        <w:rPr>
          <w:rFonts w:ascii="Palatino Linotype" w:eastAsia="Palatino Linotype" w:hAnsi="Palatino Linotype" w:cs="Palatino Linotype"/>
          <w:b/>
        </w:rPr>
        <w:t>5. Admisión del Recurso de Revisión.</w:t>
      </w:r>
      <w:r w:rsidRPr="00BA1ADF">
        <w:rPr>
          <w:rFonts w:ascii="Palatino Linotype" w:eastAsia="Palatino Linotype" w:hAnsi="Palatino Linotype" w:cs="Palatino Linotype"/>
        </w:rPr>
        <w:t xml:space="preserve"> El</w:t>
      </w:r>
      <w:r w:rsidRPr="00BA1ADF">
        <w:rPr>
          <w:rFonts w:ascii="Palatino Linotype" w:eastAsia="Palatino Linotype" w:hAnsi="Palatino Linotype" w:cs="Palatino Linotype"/>
          <w:b/>
        </w:rPr>
        <w:t xml:space="preserve"> dieciséis de enero de dos mil veinticuatro, </w:t>
      </w:r>
      <w:r w:rsidRPr="00BA1ADF">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BA1ADF">
        <w:rPr>
          <w:rFonts w:ascii="Palatino Linotype" w:eastAsia="Palatino Linotype" w:hAnsi="Palatino Linotype" w:cs="Palatino Linotype"/>
          <w:b/>
        </w:rPr>
        <w:t xml:space="preserve">Sujeto Obligado </w:t>
      </w:r>
      <w:r w:rsidRPr="00BA1ADF">
        <w:rPr>
          <w:rFonts w:ascii="Palatino Linotype" w:eastAsia="Palatino Linotype" w:hAnsi="Palatino Linotype" w:cs="Palatino Linotype"/>
        </w:rPr>
        <w:t>presentara su informe justificado.</w:t>
      </w:r>
    </w:p>
    <w:p w14:paraId="6F6A81D4" w14:textId="77777777" w:rsidR="00B1082B" w:rsidRPr="00BA1ADF" w:rsidRDefault="00A9208E">
      <w:pPr>
        <w:spacing w:after="240" w:line="360" w:lineRule="auto"/>
        <w:jc w:val="both"/>
        <w:rPr>
          <w:rFonts w:ascii="Palatino Linotype" w:eastAsia="Palatino Linotype" w:hAnsi="Palatino Linotype" w:cs="Palatino Linotype"/>
          <w:b/>
          <w:i/>
        </w:rPr>
      </w:pPr>
      <w:bookmarkStart w:id="2" w:name="_heading=h.2s8eyo1" w:colFirst="0" w:colLast="0"/>
      <w:bookmarkEnd w:id="2"/>
      <w:r w:rsidRPr="00BA1ADF">
        <w:rPr>
          <w:rFonts w:ascii="Palatino Linotype" w:eastAsia="Palatino Linotype" w:hAnsi="Palatino Linotype" w:cs="Palatino Linotype"/>
          <w:b/>
        </w:rPr>
        <w:t>6. Manifestaciones</w:t>
      </w:r>
      <w:r w:rsidRPr="00BA1ADF">
        <w:rPr>
          <w:rFonts w:ascii="Palatino Linotype" w:eastAsia="Palatino Linotype" w:hAnsi="Palatino Linotype" w:cs="Palatino Linotype"/>
        </w:rPr>
        <w:t xml:space="preserve">. Durante este plazo, se tiene constancia que el </w:t>
      </w:r>
      <w:r w:rsidRPr="00BA1ADF">
        <w:rPr>
          <w:rFonts w:ascii="Palatino Linotype" w:eastAsia="Palatino Linotype" w:hAnsi="Palatino Linotype" w:cs="Palatino Linotype"/>
          <w:b/>
        </w:rPr>
        <w:t>Sujeto Obligado</w:t>
      </w:r>
      <w:r w:rsidRPr="00BA1ADF">
        <w:rPr>
          <w:rFonts w:ascii="Palatino Linotype" w:eastAsia="Palatino Linotype" w:hAnsi="Palatino Linotype" w:cs="Palatino Linotype"/>
        </w:rPr>
        <w:t xml:space="preserve"> remitió los archivos electrónicos “</w:t>
      </w:r>
      <w:r w:rsidRPr="00BA1ADF">
        <w:rPr>
          <w:rFonts w:ascii="Palatino Linotype" w:eastAsia="Palatino Linotype" w:hAnsi="Palatino Linotype" w:cs="Palatino Linotype"/>
          <w:b/>
          <w:i/>
        </w:rPr>
        <w:t xml:space="preserve">Informe Justificado RR 29.pdf” y “Oficio 22 </w:t>
      </w:r>
      <w:proofErr w:type="spellStart"/>
      <w:r w:rsidRPr="00BA1ADF">
        <w:rPr>
          <w:rFonts w:ascii="Palatino Linotype" w:eastAsia="Palatino Linotype" w:hAnsi="Palatino Linotype" w:cs="Palatino Linotype"/>
          <w:b/>
          <w:i/>
        </w:rPr>
        <w:t>UAJeIG</w:t>
      </w:r>
      <w:proofErr w:type="spellEnd"/>
      <w:r w:rsidRPr="00BA1ADF">
        <w:rPr>
          <w:rFonts w:ascii="Palatino Linotype" w:eastAsia="Palatino Linotype" w:hAnsi="Palatino Linotype" w:cs="Palatino Linotype"/>
          <w:b/>
          <w:i/>
        </w:rPr>
        <w:t xml:space="preserve"> RR 0029.pdf”</w:t>
      </w:r>
      <w:r w:rsidRPr="00BA1ADF">
        <w:rPr>
          <w:rFonts w:ascii="Palatino Linotype" w:eastAsia="Palatino Linotype" w:hAnsi="Palatino Linotype" w:cs="Palatino Linotype"/>
        </w:rPr>
        <w:t xml:space="preserve">, los cuales se describen a continuación: </w:t>
      </w:r>
    </w:p>
    <w:p w14:paraId="64039D32" w14:textId="77777777" w:rsidR="00B1082B" w:rsidRPr="00BA1ADF" w:rsidRDefault="00A9208E">
      <w:pPr>
        <w:spacing w:after="240" w:line="360" w:lineRule="auto"/>
        <w:ind w:left="567" w:right="900"/>
        <w:jc w:val="both"/>
        <w:rPr>
          <w:rFonts w:ascii="Palatino Linotype" w:eastAsia="Palatino Linotype" w:hAnsi="Palatino Linotype" w:cs="Palatino Linotype"/>
        </w:rPr>
      </w:pPr>
      <w:r w:rsidRPr="00BA1ADF">
        <w:rPr>
          <w:rFonts w:ascii="Palatino Linotype" w:eastAsia="Palatino Linotype" w:hAnsi="Palatino Linotype" w:cs="Palatino Linotype"/>
        </w:rPr>
        <w:t>“</w:t>
      </w:r>
      <w:r w:rsidRPr="00BA1ADF">
        <w:rPr>
          <w:rFonts w:ascii="Palatino Linotype" w:eastAsia="Palatino Linotype" w:hAnsi="Palatino Linotype" w:cs="Palatino Linotype"/>
          <w:b/>
          <w:i/>
        </w:rPr>
        <w:t xml:space="preserve">Informe Justificado RR 29.pdf”: </w:t>
      </w:r>
      <w:r w:rsidRPr="00BA1ADF">
        <w:rPr>
          <w:rFonts w:ascii="Palatino Linotype" w:eastAsia="Palatino Linotype" w:hAnsi="Palatino Linotype" w:cs="Palatino Linotype"/>
        </w:rPr>
        <w:t xml:space="preserve">Documento de diez fojas suscrito por el Titular de la Unidad de Transparencia, dirigido a la Comisionada Ponente en el que medularmente señala que se actualiza el hecho negativo por no contar con propuestas de escritos de demanda o </w:t>
      </w:r>
      <w:r w:rsidRPr="00BA1ADF">
        <w:rPr>
          <w:rFonts w:ascii="Palatino Linotype" w:eastAsia="Palatino Linotype" w:hAnsi="Palatino Linotype" w:cs="Palatino Linotype"/>
        </w:rPr>
        <w:lastRenderedPageBreak/>
        <w:t>contestación, asimismo solicita a la Comisionada Ponente el sobreseimiento por impugnar la veracidad.</w:t>
      </w:r>
    </w:p>
    <w:p w14:paraId="79B278AD" w14:textId="77777777" w:rsidR="00B1082B" w:rsidRPr="00BA1ADF" w:rsidRDefault="00A9208E">
      <w:pPr>
        <w:spacing w:after="240" w:line="360" w:lineRule="auto"/>
        <w:ind w:left="567" w:right="900"/>
        <w:jc w:val="both"/>
        <w:rPr>
          <w:rFonts w:ascii="Palatino Linotype" w:eastAsia="Palatino Linotype" w:hAnsi="Palatino Linotype" w:cs="Palatino Linotype"/>
        </w:rPr>
      </w:pPr>
      <w:r w:rsidRPr="00BA1ADF">
        <w:rPr>
          <w:rFonts w:ascii="Palatino Linotype" w:eastAsia="Palatino Linotype" w:hAnsi="Palatino Linotype" w:cs="Palatino Linotype"/>
          <w:b/>
          <w:i/>
        </w:rPr>
        <w:t xml:space="preserve"> “Oficio 22 </w:t>
      </w:r>
      <w:proofErr w:type="spellStart"/>
      <w:r w:rsidRPr="00BA1ADF">
        <w:rPr>
          <w:rFonts w:ascii="Palatino Linotype" w:eastAsia="Palatino Linotype" w:hAnsi="Palatino Linotype" w:cs="Palatino Linotype"/>
          <w:b/>
          <w:i/>
        </w:rPr>
        <w:t>UAJeIG</w:t>
      </w:r>
      <w:proofErr w:type="spellEnd"/>
      <w:r w:rsidRPr="00BA1ADF">
        <w:rPr>
          <w:rFonts w:ascii="Palatino Linotype" w:eastAsia="Palatino Linotype" w:hAnsi="Palatino Linotype" w:cs="Palatino Linotype"/>
          <w:b/>
          <w:i/>
        </w:rPr>
        <w:t xml:space="preserve"> RR 0029.pdf”: </w:t>
      </w:r>
      <w:r w:rsidRPr="00BA1ADF">
        <w:rPr>
          <w:rFonts w:ascii="Palatino Linotype" w:eastAsia="Palatino Linotype" w:hAnsi="Palatino Linotype" w:cs="Palatino Linotype"/>
        </w:rPr>
        <w:t xml:space="preserve">Documento de cuatro fojas signado por el Titular de la Unidad de Asuntos Jurídicos e Igualdad de Género, el cual señala que no existe información en los expedientes de “propuestas de escritos de demanda o contestación”, más aún, ésta no se encuentra contemplada en el artículo 24 del Estatuto Orgánico de la Secretaría Ejecutiva del Secretaría Ejecutiva del Sistema Estatal Anticorrupción, ordenamiento legal que establece las atribuciones de dicha unidad administrativa. </w:t>
      </w:r>
    </w:p>
    <w:p w14:paraId="4ECC8C2B" w14:textId="77777777" w:rsidR="00B1082B" w:rsidRPr="00BA1ADF" w:rsidRDefault="00A9208E">
      <w:pPr>
        <w:spacing w:after="240" w:line="360" w:lineRule="auto"/>
        <w:ind w:left="567" w:right="900"/>
        <w:jc w:val="both"/>
        <w:rPr>
          <w:rFonts w:ascii="Palatino Linotype" w:eastAsia="Palatino Linotype" w:hAnsi="Palatino Linotype" w:cs="Palatino Linotype"/>
        </w:rPr>
      </w:pPr>
      <w:r w:rsidRPr="00BA1ADF">
        <w:rPr>
          <w:rFonts w:ascii="Palatino Linotype" w:eastAsia="Palatino Linotype" w:hAnsi="Palatino Linotype" w:cs="Palatino Linotype"/>
        </w:rPr>
        <w:t xml:space="preserve">Por lo anteriormente, solicita que al elaborar el informe justificado sean tomadas en cuenta las cuestiones previstas por el artículo 191, fracción V de la Ley de Transparencia Local. </w:t>
      </w:r>
    </w:p>
    <w:p w14:paraId="182A2943" w14:textId="77777777" w:rsidR="00B1082B" w:rsidRPr="00BA1ADF" w:rsidRDefault="00A9208E">
      <w:pPr>
        <w:spacing w:after="240" w:line="360" w:lineRule="auto"/>
        <w:jc w:val="both"/>
        <w:rPr>
          <w:rFonts w:ascii="Palatino Linotype" w:eastAsia="Palatino Linotype" w:hAnsi="Palatino Linotype" w:cs="Palatino Linotype"/>
        </w:rPr>
      </w:pPr>
      <w:r w:rsidRPr="00BA1ADF">
        <w:rPr>
          <w:rFonts w:ascii="Palatino Linotype" w:eastAsia="Palatino Linotype" w:hAnsi="Palatino Linotype" w:cs="Palatino Linotype"/>
        </w:rPr>
        <w:t xml:space="preserve">Es de precisar que una vez analizada esta documentación, se determinó ponerla a la vista de </w:t>
      </w:r>
      <w:r w:rsidRPr="00BA1ADF">
        <w:rPr>
          <w:rFonts w:ascii="Palatino Linotype" w:eastAsia="Palatino Linotype" w:hAnsi="Palatino Linotype" w:cs="Palatino Linotype"/>
          <w:b/>
        </w:rPr>
        <w:t>la parte Recurrente</w:t>
      </w:r>
      <w:r w:rsidRPr="00BA1ADF">
        <w:rPr>
          <w:rFonts w:ascii="Palatino Linotype" w:eastAsia="Palatino Linotype" w:hAnsi="Palatino Linotype" w:cs="Palatino Linotype"/>
        </w:rPr>
        <w:t xml:space="preserve"> el seis de marzo de dos mil veinticuatro, teniendo así que </w:t>
      </w:r>
      <w:r w:rsidRPr="00BA1ADF">
        <w:rPr>
          <w:rFonts w:ascii="Palatino Linotype" w:eastAsia="Palatino Linotype" w:hAnsi="Palatino Linotype" w:cs="Palatino Linotype"/>
          <w:b/>
        </w:rPr>
        <w:t>la parte Recurrente</w:t>
      </w:r>
      <w:r w:rsidRPr="00BA1ADF">
        <w:rPr>
          <w:rFonts w:ascii="Palatino Linotype" w:eastAsia="Palatino Linotype" w:hAnsi="Palatino Linotype" w:cs="Palatino Linotype"/>
        </w:rPr>
        <w:t xml:space="preserve"> fue omisa en pronunciarse dentro del plazo establecido por la normatividad, por lo que se tiene por precluido su derecho para tal efecto. </w:t>
      </w:r>
    </w:p>
    <w:p w14:paraId="247DA870" w14:textId="77777777" w:rsidR="00B1082B" w:rsidRPr="00BA1ADF" w:rsidRDefault="00A9208E">
      <w:pPr>
        <w:spacing w:after="240" w:line="360" w:lineRule="auto"/>
        <w:jc w:val="both"/>
        <w:rPr>
          <w:rFonts w:ascii="Palatino Linotype" w:eastAsia="Palatino Linotype" w:hAnsi="Palatino Linotype" w:cs="Palatino Linotype"/>
        </w:rPr>
      </w:pPr>
      <w:r w:rsidRPr="00BA1ADF">
        <w:rPr>
          <w:rFonts w:ascii="Palatino Linotype" w:eastAsia="Palatino Linotype" w:hAnsi="Palatino Linotype" w:cs="Palatino Linotype"/>
          <w:noProof/>
        </w:rPr>
        <w:lastRenderedPageBreak/>
        <w:drawing>
          <wp:inline distT="0" distB="0" distL="0" distR="0" wp14:anchorId="16E8B984" wp14:editId="7921CB1A">
            <wp:extent cx="5612130" cy="2348865"/>
            <wp:effectExtent l="0" t="0" r="0" b="0"/>
            <wp:docPr id="3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612130" cy="2348865"/>
                    </a:xfrm>
                    <a:prstGeom prst="rect">
                      <a:avLst/>
                    </a:prstGeom>
                    <a:ln/>
                  </pic:spPr>
                </pic:pic>
              </a:graphicData>
            </a:graphic>
          </wp:inline>
        </w:drawing>
      </w:r>
    </w:p>
    <w:p w14:paraId="03B393E7" w14:textId="77777777" w:rsidR="00B1082B" w:rsidRPr="00BA1ADF" w:rsidRDefault="00A9208E">
      <w:pPr>
        <w:widowControl w:val="0"/>
        <w:spacing w:after="240" w:line="360" w:lineRule="auto"/>
        <w:jc w:val="both"/>
        <w:rPr>
          <w:rFonts w:ascii="Palatino Linotype" w:eastAsia="Palatino Linotype" w:hAnsi="Palatino Linotype" w:cs="Palatino Linotype"/>
        </w:rPr>
      </w:pPr>
      <w:r w:rsidRPr="00BA1ADF">
        <w:rPr>
          <w:rFonts w:ascii="Palatino Linotype" w:eastAsia="Palatino Linotype" w:hAnsi="Palatino Linotype" w:cs="Palatino Linotype"/>
          <w:b/>
        </w:rPr>
        <w:t>7.</w:t>
      </w:r>
      <w:r w:rsidRPr="00BA1ADF">
        <w:rPr>
          <w:rFonts w:ascii="Palatino Linotype" w:eastAsia="Palatino Linotype" w:hAnsi="Palatino Linotype" w:cs="Palatino Linotype"/>
        </w:rPr>
        <w:t xml:space="preserve"> </w:t>
      </w:r>
      <w:r w:rsidRPr="00BA1ADF">
        <w:rPr>
          <w:rFonts w:ascii="Palatino Linotype" w:eastAsia="Palatino Linotype" w:hAnsi="Palatino Linotype" w:cs="Palatino Linotype"/>
          <w:b/>
        </w:rPr>
        <w:t>Ampliación del término para resolver</w:t>
      </w:r>
      <w:r w:rsidRPr="00BA1ADF">
        <w:rPr>
          <w:rFonts w:ascii="Palatino Linotype" w:eastAsia="Palatino Linotype" w:hAnsi="Palatino Linotype" w:cs="Palatino Linotype"/>
        </w:rPr>
        <w:t xml:space="preserve">. El </w:t>
      </w:r>
      <w:r w:rsidRPr="00BA1ADF">
        <w:rPr>
          <w:rFonts w:ascii="Palatino Linotype" w:eastAsia="Palatino Linotype" w:hAnsi="Palatino Linotype" w:cs="Palatino Linotype"/>
          <w:b/>
        </w:rPr>
        <w:t>siete de marzo del año dos mil veinticuatro</w:t>
      </w:r>
      <w:r w:rsidRPr="00BA1ADF">
        <w:rPr>
          <w:rFonts w:ascii="Palatino Linotype" w:eastAsia="Palatino Linotype" w:hAnsi="Palatino Linotype" w:cs="Palatino Linotype"/>
        </w:rPr>
        <w:t>, con fundamento en el artículo 181, párrafo tercero de la Ley de Transparencia y Acceso a la Información Pública del Estado de México y Municipios, se acordó la ampliación del plazo para su resolución.</w:t>
      </w:r>
    </w:p>
    <w:p w14:paraId="1B3DB5C6" w14:textId="77777777" w:rsidR="00B1082B" w:rsidRPr="00BA1ADF" w:rsidRDefault="00A9208E">
      <w:pPr>
        <w:spacing w:after="240" w:line="360" w:lineRule="auto"/>
        <w:jc w:val="both"/>
        <w:rPr>
          <w:rFonts w:ascii="Palatino Linotype" w:eastAsia="Palatino Linotype" w:hAnsi="Palatino Linotype" w:cs="Palatino Linotype"/>
          <w:b/>
        </w:rPr>
      </w:pPr>
      <w:r w:rsidRPr="00BA1ADF">
        <w:rPr>
          <w:rFonts w:ascii="Palatino Linotype" w:eastAsia="Palatino Linotype" w:hAnsi="Palatino Linotype" w:cs="Palatino Linotype"/>
          <w:b/>
        </w:rPr>
        <w:t xml:space="preserve">8. Cierre de instrucción. </w:t>
      </w:r>
      <w:r w:rsidRPr="00BA1ADF">
        <w:rPr>
          <w:rFonts w:ascii="Palatino Linotype" w:eastAsia="Palatino Linotype" w:hAnsi="Palatino Linotype" w:cs="Palatino Linotype"/>
        </w:rPr>
        <w:t xml:space="preserve">Una vez transcurrido el periodo otorgado a las partes para realizar sus manifestaciones y no habiendo documentos que integrar al expediente, el </w:t>
      </w:r>
      <w:r w:rsidRPr="00BA1ADF">
        <w:rPr>
          <w:rFonts w:ascii="Palatino Linotype" w:eastAsia="Palatino Linotype" w:hAnsi="Palatino Linotype" w:cs="Palatino Linotype"/>
          <w:b/>
        </w:rPr>
        <w:t>doce de marzo de dos mil veinticuatro</w:t>
      </w:r>
      <w:r w:rsidRPr="00BA1ADF">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297330E4" w14:textId="77777777" w:rsidR="00B1082B" w:rsidRPr="00BA1ADF" w:rsidRDefault="00A9208E">
      <w:pPr>
        <w:spacing w:before="240" w:after="240" w:line="360" w:lineRule="auto"/>
        <w:jc w:val="both"/>
        <w:rPr>
          <w:rFonts w:ascii="Palatino Linotype" w:eastAsia="Palatino Linotype" w:hAnsi="Palatino Linotype" w:cs="Palatino Linotype"/>
        </w:rPr>
      </w:pPr>
      <w:r w:rsidRPr="00BA1ADF">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43276B00" w14:textId="77777777" w:rsidR="00B1082B" w:rsidRPr="00BA1ADF" w:rsidRDefault="00B1082B">
      <w:pPr>
        <w:spacing w:before="240" w:after="240" w:line="360" w:lineRule="auto"/>
        <w:jc w:val="both"/>
        <w:rPr>
          <w:rFonts w:ascii="Palatino Linotype" w:eastAsia="Palatino Linotype" w:hAnsi="Palatino Linotype" w:cs="Palatino Linotype"/>
        </w:rPr>
      </w:pPr>
    </w:p>
    <w:p w14:paraId="5A40C67A" w14:textId="77777777" w:rsidR="00B1082B" w:rsidRPr="00BA1ADF" w:rsidRDefault="00A9208E">
      <w:pPr>
        <w:widowControl w:val="0"/>
        <w:spacing w:line="360" w:lineRule="auto"/>
        <w:jc w:val="center"/>
        <w:rPr>
          <w:rFonts w:ascii="Palatino Linotype" w:eastAsia="Palatino Linotype" w:hAnsi="Palatino Linotype" w:cs="Palatino Linotype"/>
          <w:b/>
        </w:rPr>
      </w:pPr>
      <w:r w:rsidRPr="00BA1ADF">
        <w:rPr>
          <w:rFonts w:ascii="Palatino Linotype" w:eastAsia="Palatino Linotype" w:hAnsi="Palatino Linotype" w:cs="Palatino Linotype"/>
          <w:b/>
        </w:rPr>
        <w:lastRenderedPageBreak/>
        <w:t>II. C O N S I D E R A N D O S</w:t>
      </w:r>
    </w:p>
    <w:p w14:paraId="020B0A3E" w14:textId="77777777" w:rsidR="00B1082B" w:rsidRPr="00BA1ADF" w:rsidRDefault="00A9208E">
      <w:pPr>
        <w:spacing w:line="360" w:lineRule="auto"/>
        <w:jc w:val="both"/>
        <w:rPr>
          <w:rFonts w:ascii="Palatino Linotype" w:eastAsia="Palatino Linotype" w:hAnsi="Palatino Linotype" w:cs="Palatino Linotype"/>
        </w:rPr>
      </w:pPr>
      <w:r w:rsidRPr="00BA1ADF">
        <w:rPr>
          <w:rFonts w:ascii="Palatino Linotype" w:eastAsia="Palatino Linotype" w:hAnsi="Palatino Linotype" w:cs="Palatino Linotype"/>
          <w:b/>
        </w:rPr>
        <w:t>Primero. Competencia.</w:t>
      </w:r>
      <w:r w:rsidRPr="00BA1ADF">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w:t>
      </w:r>
      <w:r w:rsidRPr="00BA1ADF">
        <w:rPr>
          <w:rFonts w:ascii="Palatino Linotype" w:eastAsia="Palatino Linotype" w:hAnsi="Palatino Linotype" w:cs="Palatino Linotype"/>
          <w:b/>
        </w:rPr>
        <w:t>la parte Recurrente</w:t>
      </w:r>
      <w:r w:rsidRPr="00BA1ADF">
        <w:rPr>
          <w:rFonts w:ascii="Palatino Linotype" w:eastAsia="Palatino Linotype" w:hAnsi="Palatino Linotype" w:cs="Palatino Linotype"/>
        </w:rPr>
        <w:t>,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7C94B0C8" w14:textId="77777777" w:rsidR="00B1082B" w:rsidRPr="00BA1ADF" w:rsidRDefault="00A9208E">
      <w:pPr>
        <w:spacing w:before="240" w:after="240" w:line="360" w:lineRule="auto"/>
        <w:jc w:val="both"/>
        <w:rPr>
          <w:rFonts w:ascii="Palatino Linotype" w:eastAsia="Palatino Linotype" w:hAnsi="Palatino Linotype" w:cs="Palatino Linotype"/>
        </w:rPr>
      </w:pPr>
      <w:bookmarkStart w:id="3" w:name="_heading=h.tyjcwt" w:colFirst="0" w:colLast="0"/>
      <w:bookmarkEnd w:id="3"/>
      <w:r w:rsidRPr="00BA1ADF">
        <w:rPr>
          <w:rFonts w:ascii="Palatino Linotype" w:eastAsia="Palatino Linotype" w:hAnsi="Palatino Linotype" w:cs="Palatino Linotype"/>
          <w:b/>
        </w:rPr>
        <w:t xml:space="preserve">Segundo. Oportunidad y Procedibilidad del Recurso de Revisión. </w:t>
      </w:r>
      <w:r w:rsidRPr="00BA1ADF">
        <w:rPr>
          <w:rFonts w:ascii="Palatino Linotype" w:eastAsia="Palatino Linotype" w:hAnsi="Palatino Linotype" w:cs="Palatino Linotype"/>
        </w:rPr>
        <w:t>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6F4ED4B4" w14:textId="77777777" w:rsidR="00B1082B" w:rsidRPr="00BA1ADF" w:rsidRDefault="00A9208E">
      <w:pPr>
        <w:pBdr>
          <w:top w:val="nil"/>
          <w:left w:val="nil"/>
          <w:bottom w:val="nil"/>
          <w:right w:val="nil"/>
          <w:between w:val="nil"/>
        </w:pBdr>
        <w:spacing w:line="360" w:lineRule="auto"/>
        <w:jc w:val="both"/>
        <w:rPr>
          <w:rFonts w:ascii="Palatino Linotype" w:eastAsia="Palatino Linotype" w:hAnsi="Palatino Linotype" w:cs="Palatino Linotype"/>
        </w:rPr>
      </w:pPr>
      <w:r w:rsidRPr="00BA1ADF">
        <w:rPr>
          <w:rFonts w:ascii="Palatino Linotype" w:eastAsia="Palatino Linotype" w:hAnsi="Palatino Linotype" w:cs="Palatino Linotype"/>
        </w:rPr>
        <w:t xml:space="preserve">El recurso de revisión fue interpuesto dentro del plazo de quince días hábiles, previsto en el artículo 178 de la Ley de Transparencia, toda vez que </w:t>
      </w:r>
      <w:r w:rsidRPr="00BA1ADF">
        <w:rPr>
          <w:rFonts w:ascii="Palatino Linotype" w:eastAsia="Palatino Linotype" w:hAnsi="Palatino Linotype" w:cs="Palatino Linotype"/>
          <w:b/>
        </w:rPr>
        <w:t>el Sujeto Obligado</w:t>
      </w:r>
      <w:r w:rsidRPr="00BA1ADF">
        <w:rPr>
          <w:rFonts w:ascii="Palatino Linotype" w:eastAsia="Palatino Linotype" w:hAnsi="Palatino Linotype" w:cs="Palatino Linotype"/>
        </w:rPr>
        <w:t xml:space="preserve"> respondió a la solicitud de información el </w:t>
      </w:r>
      <w:r w:rsidRPr="00BA1ADF">
        <w:rPr>
          <w:rFonts w:ascii="Palatino Linotype" w:eastAsia="Palatino Linotype" w:hAnsi="Palatino Linotype" w:cs="Palatino Linotype"/>
          <w:b/>
        </w:rPr>
        <w:t xml:space="preserve">trece de diciembre de dos mil veintitrés, </w:t>
      </w:r>
      <w:r w:rsidRPr="00BA1ADF">
        <w:rPr>
          <w:rFonts w:ascii="Palatino Linotype" w:eastAsia="Palatino Linotype" w:hAnsi="Palatino Linotype" w:cs="Palatino Linotype"/>
        </w:rPr>
        <w:t xml:space="preserve">mientras que el recurso de revisión se interpuso el </w:t>
      </w:r>
      <w:r w:rsidRPr="00BA1ADF">
        <w:rPr>
          <w:rFonts w:ascii="Palatino Linotype" w:eastAsia="Palatino Linotype" w:hAnsi="Palatino Linotype" w:cs="Palatino Linotype"/>
          <w:b/>
        </w:rPr>
        <w:t>once de enero de dos mil veinticuatro</w:t>
      </w:r>
      <w:r w:rsidRPr="00BA1ADF">
        <w:rPr>
          <w:rFonts w:ascii="Palatino Linotype" w:eastAsia="Palatino Linotype" w:hAnsi="Palatino Linotype" w:cs="Palatino Linotype"/>
        </w:rPr>
        <w:t xml:space="preserve">, esto es, el </w:t>
      </w:r>
      <w:r w:rsidRPr="00BA1ADF">
        <w:rPr>
          <w:rFonts w:ascii="Palatino Linotype" w:eastAsia="Palatino Linotype" w:hAnsi="Palatino Linotype" w:cs="Palatino Linotype"/>
          <w:b/>
        </w:rPr>
        <w:t xml:space="preserve">sexto día hábil </w:t>
      </w:r>
      <w:r w:rsidRPr="00BA1ADF">
        <w:rPr>
          <w:rFonts w:ascii="Palatino Linotype" w:eastAsia="Palatino Linotype" w:hAnsi="Palatino Linotype" w:cs="Palatino Linotype"/>
        </w:rPr>
        <w:t>posterior en que tuvo conocimiento de la respuesta impugnada.</w:t>
      </w:r>
    </w:p>
    <w:p w14:paraId="3E42EB76" w14:textId="77777777" w:rsidR="00B1082B" w:rsidRPr="00BA1ADF" w:rsidRDefault="00A9208E">
      <w:pPr>
        <w:spacing w:before="240" w:after="240" w:line="360" w:lineRule="auto"/>
        <w:jc w:val="both"/>
        <w:rPr>
          <w:rFonts w:ascii="Palatino Linotype" w:eastAsia="Palatino Linotype" w:hAnsi="Palatino Linotype" w:cs="Palatino Linotype"/>
        </w:rPr>
      </w:pPr>
      <w:r w:rsidRPr="00BA1ADF">
        <w:rPr>
          <w:rFonts w:ascii="Palatino Linotype" w:eastAsia="Palatino Linotype" w:hAnsi="Palatino Linotype" w:cs="Palatino Linotype"/>
        </w:rPr>
        <w:lastRenderedPageBreak/>
        <w:t xml:space="preserve">En este sentido, al considerar la fecha en que se formuló la solicitud y la fecha en que respondió a esta el </w:t>
      </w:r>
      <w:r w:rsidRPr="00BA1ADF">
        <w:rPr>
          <w:rFonts w:ascii="Palatino Linotype" w:eastAsia="Palatino Linotype" w:hAnsi="Palatino Linotype" w:cs="Palatino Linotype"/>
          <w:b/>
        </w:rPr>
        <w:t>Sujeto Obligado</w:t>
      </w:r>
      <w:r w:rsidRPr="00BA1ADF">
        <w:rPr>
          <w:rFonts w:ascii="Palatino Linotype" w:eastAsia="Palatino Linotype" w:hAnsi="Palatino Linotype" w:cs="Palatino Linotype"/>
        </w:rPr>
        <w:t>; así como la fecha en que se interpuso el recurso de revisión, se concluye que el presente recurso de revisión se encuentra dentro de los márgenes temporales previstos las disposiciones legales referidas.</w:t>
      </w:r>
    </w:p>
    <w:p w14:paraId="284FE144" w14:textId="77777777" w:rsidR="00B1082B" w:rsidRPr="00BA1ADF" w:rsidRDefault="00A9208E">
      <w:pPr>
        <w:pBdr>
          <w:top w:val="nil"/>
          <w:left w:val="nil"/>
          <w:bottom w:val="nil"/>
          <w:right w:val="nil"/>
          <w:between w:val="nil"/>
        </w:pBdr>
        <w:spacing w:before="240" w:after="240" w:line="360" w:lineRule="auto"/>
        <w:ind w:right="49"/>
        <w:jc w:val="both"/>
      </w:pPr>
      <w:r w:rsidRPr="00BA1ADF">
        <w:rPr>
          <w:rFonts w:ascii="Palatino Linotype" w:eastAsia="Palatino Linotype" w:hAnsi="Palatino Linotype" w:cs="Palatino Linotype"/>
        </w:rPr>
        <w:t xml:space="preserve">Por cuanto hace a la procedibilidad del recurso de revisión, es de suma importancia señalar que </w:t>
      </w:r>
      <w:r w:rsidRPr="00BA1ADF">
        <w:rPr>
          <w:rFonts w:ascii="Palatino Linotype" w:eastAsia="Palatino Linotype" w:hAnsi="Palatino Linotype" w:cs="Palatino Linotype"/>
          <w:b/>
        </w:rPr>
        <w:t>la parte</w:t>
      </w:r>
      <w:r w:rsidRPr="00BA1ADF">
        <w:rPr>
          <w:rFonts w:ascii="Palatino Linotype" w:eastAsia="Palatino Linotype" w:hAnsi="Palatino Linotype" w:cs="Palatino Linotype"/>
        </w:rPr>
        <w:t xml:space="preserve"> </w:t>
      </w:r>
      <w:r w:rsidRPr="00BA1ADF">
        <w:rPr>
          <w:rFonts w:ascii="Palatino Linotype" w:eastAsia="Palatino Linotype" w:hAnsi="Palatino Linotype" w:cs="Palatino Linotype"/>
          <w:b/>
        </w:rPr>
        <w:t>Recurrente</w:t>
      </w:r>
      <w:r w:rsidRPr="00BA1ADF">
        <w:rPr>
          <w:rFonts w:ascii="Palatino Linotype" w:eastAsia="Palatino Linotype" w:hAnsi="Palatino Linotype" w:cs="Palatino Linotype"/>
        </w:rPr>
        <w:t>, no proporcionó su nombre</w:t>
      </w:r>
      <w:r w:rsidRPr="00BA1ADF">
        <w:rPr>
          <w:rFonts w:ascii="Palatino Linotype" w:eastAsia="Palatino Linotype" w:hAnsi="Palatino Linotype" w:cs="Palatino Linotype"/>
          <w:b/>
        </w:rPr>
        <w:t>,</w:t>
      </w:r>
      <w:r w:rsidRPr="00BA1ADF">
        <w:rPr>
          <w:rFonts w:ascii="Palatino Linotype" w:eastAsia="Palatino Linotype" w:hAnsi="Palatino Linotype" w:cs="Palatino Linotype"/>
        </w:rPr>
        <w:t xml:space="preserve"> como se advierte en el detalle de seguimiento del SAIMEX, no obstante lo anterior, no proporcionar el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1B81A78D" w14:textId="77777777" w:rsidR="00B1082B" w:rsidRPr="00BA1ADF" w:rsidRDefault="00A9208E">
      <w:pPr>
        <w:pBdr>
          <w:top w:val="nil"/>
          <w:left w:val="nil"/>
          <w:bottom w:val="nil"/>
          <w:right w:val="nil"/>
          <w:between w:val="nil"/>
        </w:pBdr>
        <w:spacing w:before="240" w:after="240"/>
        <w:ind w:left="851" w:right="902"/>
        <w:jc w:val="both"/>
      </w:pPr>
      <w:r w:rsidRPr="00BA1ADF">
        <w:rPr>
          <w:rFonts w:ascii="Palatino Linotype" w:eastAsia="Palatino Linotype" w:hAnsi="Palatino Linotype" w:cs="Palatino Linotype"/>
          <w:i/>
          <w:sz w:val="22"/>
          <w:szCs w:val="22"/>
        </w:rPr>
        <w:t>"</w:t>
      </w:r>
      <w:r w:rsidRPr="00BA1ADF">
        <w:rPr>
          <w:rFonts w:ascii="Palatino Linotype" w:eastAsia="Palatino Linotype" w:hAnsi="Palatino Linotype" w:cs="Palatino Linotype"/>
          <w:b/>
          <w:i/>
          <w:sz w:val="22"/>
          <w:szCs w:val="22"/>
        </w:rPr>
        <w:t xml:space="preserve">Las solicitudes </w:t>
      </w:r>
      <w:r w:rsidRPr="00BA1ADF">
        <w:rPr>
          <w:rFonts w:ascii="Palatino Linotype" w:eastAsia="Palatino Linotype" w:hAnsi="Palatino Linotype" w:cs="Palatino Linotype"/>
          <w:i/>
          <w:sz w:val="22"/>
          <w:szCs w:val="22"/>
        </w:rPr>
        <w:t xml:space="preserve">anónimas, con </w:t>
      </w:r>
      <w:r w:rsidRPr="00BA1ADF">
        <w:rPr>
          <w:rFonts w:ascii="Palatino Linotype" w:eastAsia="Palatino Linotype" w:hAnsi="Palatino Linotype" w:cs="Palatino Linotype"/>
          <w:b/>
          <w:i/>
          <w:sz w:val="22"/>
          <w:szCs w:val="22"/>
        </w:rPr>
        <w:t>nombre incompleto o seudónimo</w:t>
      </w:r>
      <w:r w:rsidRPr="00BA1ADF">
        <w:rPr>
          <w:rFonts w:ascii="Palatino Linotype" w:eastAsia="Palatino Linotype" w:hAnsi="Palatino Linotype" w:cs="Palatino Linotype"/>
          <w:i/>
          <w:sz w:val="22"/>
          <w:szCs w:val="22"/>
        </w:rPr>
        <w:t xml:space="preserve"> </w:t>
      </w:r>
      <w:r w:rsidRPr="00BA1ADF">
        <w:rPr>
          <w:rFonts w:ascii="Palatino Linotype" w:eastAsia="Palatino Linotype" w:hAnsi="Palatino Linotype" w:cs="Palatino Linotype"/>
          <w:b/>
          <w:i/>
          <w:sz w:val="22"/>
          <w:szCs w:val="22"/>
        </w:rPr>
        <w:t>serán procedentes para su trámite por parte del sujeto obligado ante quien se presente</w:t>
      </w:r>
      <w:r w:rsidRPr="00BA1ADF">
        <w:rPr>
          <w:rFonts w:ascii="Palatino Linotype" w:eastAsia="Palatino Linotype" w:hAnsi="Palatino Linotype" w:cs="Palatino Linotype"/>
          <w:i/>
          <w:sz w:val="22"/>
          <w:szCs w:val="22"/>
        </w:rPr>
        <w:t>. No podrá requerirse información adicional con motivo del nombre proporcionado por el solicitante."</w:t>
      </w:r>
    </w:p>
    <w:p w14:paraId="58058864" w14:textId="77777777" w:rsidR="00B1082B" w:rsidRPr="00BA1ADF" w:rsidRDefault="00A9208E">
      <w:pPr>
        <w:spacing w:before="240" w:after="240" w:line="360" w:lineRule="auto"/>
        <w:jc w:val="both"/>
        <w:rPr>
          <w:rFonts w:ascii="Palatino Linotype" w:eastAsia="Palatino Linotype" w:hAnsi="Palatino Linotype" w:cs="Palatino Linotype"/>
        </w:rPr>
      </w:pPr>
      <w:r w:rsidRPr="00BA1ADF">
        <w:rPr>
          <w:rFonts w:ascii="Palatino Linotype" w:eastAsia="Palatino Linotype" w:hAnsi="Palatino Linotype" w:cs="Palatino Linotype"/>
        </w:rPr>
        <w:t>Así también,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674E38B2" w14:textId="77777777" w:rsidR="00B1082B" w:rsidRPr="00BA1ADF" w:rsidRDefault="00A9208E">
      <w:pPr>
        <w:pBdr>
          <w:top w:val="nil"/>
          <w:left w:val="nil"/>
          <w:bottom w:val="nil"/>
          <w:right w:val="nil"/>
          <w:between w:val="nil"/>
        </w:pBdr>
        <w:spacing w:before="240" w:after="240" w:line="360" w:lineRule="auto"/>
        <w:ind w:right="-147"/>
        <w:jc w:val="both"/>
        <w:rPr>
          <w:rFonts w:ascii="Palatino Linotype" w:eastAsia="Palatino Linotype" w:hAnsi="Palatino Linotype" w:cs="Palatino Linotype"/>
        </w:rPr>
      </w:pPr>
      <w:r w:rsidRPr="00BA1ADF">
        <w:rPr>
          <w:rFonts w:ascii="Palatino Linotype" w:eastAsia="Palatino Linotype" w:hAnsi="Palatino Linotype" w:cs="Palatino Linotype"/>
        </w:rPr>
        <w:t xml:space="preserve">Ahora bien, resulta procedente la interposición del recurso, según lo aducido por la parte recurrente en sus razones o motivos de inconformidad, de acuerdo al artículo </w:t>
      </w:r>
      <w:r w:rsidRPr="00BA1ADF">
        <w:rPr>
          <w:rFonts w:ascii="Palatino Linotype" w:eastAsia="Palatino Linotype" w:hAnsi="Palatino Linotype" w:cs="Palatino Linotype"/>
        </w:rPr>
        <w:lastRenderedPageBreak/>
        <w:t>179, fracción V de la Ley de Transparencia y Acceso a la Información Pública del Estado de México y Municipios; que a la letra dice:</w:t>
      </w:r>
    </w:p>
    <w:p w14:paraId="3EE1F2BC" w14:textId="77777777" w:rsidR="00B1082B" w:rsidRPr="00BA1ADF" w:rsidRDefault="00A9208E">
      <w:pPr>
        <w:pBdr>
          <w:top w:val="nil"/>
          <w:left w:val="nil"/>
          <w:bottom w:val="nil"/>
          <w:right w:val="nil"/>
          <w:between w:val="nil"/>
        </w:pBdr>
        <w:spacing w:before="240" w:after="240" w:line="276" w:lineRule="auto"/>
        <w:ind w:left="992" w:right="1043"/>
        <w:jc w:val="both"/>
        <w:rPr>
          <w:rFonts w:ascii="Palatino Linotype" w:eastAsia="Palatino Linotype" w:hAnsi="Palatino Linotype" w:cs="Palatino Linotype"/>
          <w:i/>
          <w:sz w:val="22"/>
          <w:szCs w:val="22"/>
        </w:rPr>
      </w:pPr>
      <w:r w:rsidRPr="00BA1ADF">
        <w:rPr>
          <w:rFonts w:ascii="Palatino Linotype" w:eastAsia="Palatino Linotype" w:hAnsi="Palatino Linotype" w:cs="Palatino Linotype"/>
          <w:b/>
          <w:i/>
          <w:sz w:val="22"/>
          <w:szCs w:val="22"/>
        </w:rPr>
        <w:t>“Artículo 179</w:t>
      </w:r>
      <w:r w:rsidRPr="00BA1ADF">
        <w:rPr>
          <w:rFonts w:ascii="Palatino Linotype" w:eastAsia="Palatino Linotype" w:hAnsi="Palatino Linotype" w:cs="Palatino Linotype"/>
          <w:i/>
          <w:sz w:val="22"/>
          <w:szCs w:val="22"/>
        </w:rPr>
        <w:t xml:space="preserve">. </w:t>
      </w:r>
      <w:r w:rsidRPr="00BA1ADF">
        <w:rPr>
          <w:rFonts w:ascii="Palatino Linotype" w:eastAsia="Palatino Linotype" w:hAnsi="Palatino Linotype" w:cs="Palatino Linotype"/>
          <w:b/>
          <w:i/>
          <w:sz w:val="22"/>
          <w:szCs w:val="22"/>
        </w:rPr>
        <w:t>El recurso de revisión</w:t>
      </w:r>
      <w:r w:rsidRPr="00BA1ADF">
        <w:rPr>
          <w:rFonts w:ascii="Palatino Linotype" w:eastAsia="Palatino Linotype" w:hAnsi="Palatino Linotype" w:cs="Palatino Linotype"/>
          <w:i/>
          <w:sz w:val="22"/>
          <w:szCs w:val="22"/>
        </w:rPr>
        <w:t xml:space="preserve"> es un medio de protección que la Ley otorga a los particulares, para hacer valer su derecho de acceso a la información pública</w:t>
      </w:r>
      <w:r w:rsidRPr="00BA1ADF">
        <w:rPr>
          <w:rFonts w:ascii="Palatino Linotype" w:eastAsia="Palatino Linotype" w:hAnsi="Palatino Linotype" w:cs="Palatino Linotype"/>
          <w:b/>
          <w:i/>
          <w:sz w:val="22"/>
          <w:szCs w:val="22"/>
        </w:rPr>
        <w:t>, y procederá en contra de las siguientes causas</w:t>
      </w:r>
      <w:r w:rsidRPr="00BA1ADF">
        <w:rPr>
          <w:rFonts w:ascii="Palatino Linotype" w:eastAsia="Palatino Linotype" w:hAnsi="Palatino Linotype" w:cs="Palatino Linotype"/>
          <w:i/>
          <w:sz w:val="22"/>
          <w:szCs w:val="22"/>
        </w:rPr>
        <w:t>:</w:t>
      </w:r>
    </w:p>
    <w:p w14:paraId="7D29E99D" w14:textId="77777777" w:rsidR="00B1082B" w:rsidRPr="00BA1ADF" w:rsidRDefault="00A9208E">
      <w:pPr>
        <w:pBdr>
          <w:top w:val="nil"/>
          <w:left w:val="nil"/>
          <w:bottom w:val="nil"/>
          <w:right w:val="nil"/>
          <w:between w:val="nil"/>
        </w:pBdr>
        <w:spacing w:before="240" w:after="240" w:line="276" w:lineRule="auto"/>
        <w:ind w:left="992" w:right="1043"/>
        <w:jc w:val="both"/>
        <w:rPr>
          <w:rFonts w:ascii="Palatino Linotype" w:eastAsia="Palatino Linotype" w:hAnsi="Palatino Linotype" w:cs="Palatino Linotype"/>
          <w:i/>
          <w:sz w:val="22"/>
          <w:szCs w:val="22"/>
        </w:rPr>
      </w:pPr>
      <w:r w:rsidRPr="00BA1ADF">
        <w:rPr>
          <w:rFonts w:ascii="Palatino Linotype" w:eastAsia="Palatino Linotype" w:hAnsi="Palatino Linotype" w:cs="Palatino Linotype"/>
          <w:i/>
          <w:sz w:val="22"/>
          <w:szCs w:val="22"/>
        </w:rPr>
        <w:t>…</w:t>
      </w:r>
    </w:p>
    <w:p w14:paraId="4BF42BA3" w14:textId="77777777" w:rsidR="00B1082B" w:rsidRPr="00BA1ADF" w:rsidRDefault="00A9208E">
      <w:pPr>
        <w:pBdr>
          <w:top w:val="nil"/>
          <w:left w:val="nil"/>
          <w:bottom w:val="nil"/>
          <w:right w:val="nil"/>
          <w:between w:val="nil"/>
        </w:pBdr>
        <w:spacing w:before="240" w:after="240" w:line="276" w:lineRule="auto"/>
        <w:ind w:left="992" w:right="1043"/>
        <w:jc w:val="both"/>
        <w:rPr>
          <w:rFonts w:ascii="Palatino Linotype" w:eastAsia="Palatino Linotype" w:hAnsi="Palatino Linotype" w:cs="Palatino Linotype"/>
          <w:i/>
          <w:sz w:val="22"/>
          <w:szCs w:val="22"/>
        </w:rPr>
      </w:pPr>
      <w:r w:rsidRPr="00BA1ADF">
        <w:rPr>
          <w:rFonts w:ascii="Palatino Linotype" w:eastAsia="Palatino Linotype" w:hAnsi="Palatino Linotype" w:cs="Palatino Linotype"/>
          <w:b/>
          <w:i/>
          <w:sz w:val="22"/>
          <w:szCs w:val="22"/>
          <w:u w:val="single"/>
        </w:rPr>
        <w:t>V. La entrega de información incompleta</w:t>
      </w:r>
      <w:r w:rsidRPr="00BA1ADF">
        <w:rPr>
          <w:rFonts w:ascii="Palatino Linotype" w:eastAsia="Palatino Linotype" w:hAnsi="Palatino Linotype" w:cs="Palatino Linotype"/>
          <w:i/>
          <w:sz w:val="22"/>
          <w:szCs w:val="22"/>
          <w:u w:val="single"/>
        </w:rPr>
        <w:t>;</w:t>
      </w:r>
      <w:r w:rsidRPr="00BA1ADF">
        <w:rPr>
          <w:rFonts w:ascii="Palatino Linotype" w:eastAsia="Palatino Linotype" w:hAnsi="Palatino Linotype" w:cs="Palatino Linotype"/>
          <w:i/>
          <w:sz w:val="22"/>
          <w:szCs w:val="22"/>
        </w:rPr>
        <w:t>” (Énfasis añadido)</w:t>
      </w:r>
    </w:p>
    <w:p w14:paraId="713AF2F0" w14:textId="77777777" w:rsidR="00B1082B" w:rsidRPr="00BA1ADF" w:rsidRDefault="00A9208E">
      <w:pPr>
        <w:pBdr>
          <w:top w:val="nil"/>
          <w:left w:val="nil"/>
          <w:bottom w:val="nil"/>
          <w:right w:val="nil"/>
          <w:between w:val="nil"/>
        </w:pBdr>
        <w:spacing w:line="360" w:lineRule="auto"/>
        <w:jc w:val="both"/>
      </w:pPr>
      <w:r w:rsidRPr="00BA1ADF">
        <w:rPr>
          <w:rFonts w:ascii="Palatino Linotype" w:eastAsia="Palatino Linotype" w:hAnsi="Palatino Linotype" w:cs="Palatino Linotype"/>
          <w:b/>
        </w:rPr>
        <w:t>Tercero. Análisis de las causales de Sobreseimiento</w:t>
      </w:r>
      <w:r w:rsidRPr="00BA1ADF">
        <w:rPr>
          <w:rFonts w:ascii="Palatino Linotype" w:eastAsia="Palatino Linotype" w:hAnsi="Palatino Linotype" w:cs="Palatino Linotype"/>
          <w:b/>
          <w:sz w:val="28"/>
          <w:szCs w:val="28"/>
        </w:rPr>
        <w:t xml:space="preserve">. </w:t>
      </w:r>
      <w:r w:rsidRPr="00BA1ADF">
        <w:rPr>
          <w:rFonts w:ascii="Palatino Linotype" w:eastAsia="Palatino Linotype" w:hAnsi="Palatino Linotype" w:cs="Palatino Linotype"/>
        </w:rPr>
        <w:t>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7D86E283" w14:textId="77777777" w:rsidR="00B1082B" w:rsidRPr="00BA1ADF" w:rsidRDefault="00A9208E">
      <w:pPr>
        <w:pBdr>
          <w:top w:val="nil"/>
          <w:left w:val="nil"/>
          <w:bottom w:val="nil"/>
          <w:right w:val="nil"/>
          <w:between w:val="nil"/>
        </w:pBdr>
        <w:spacing w:line="360" w:lineRule="auto"/>
        <w:jc w:val="both"/>
      </w:pPr>
      <w:r w:rsidRPr="00BA1ADF">
        <w:rPr>
          <w:rFonts w:ascii="Palatino Linotype" w:eastAsia="Palatino Linotype" w:hAnsi="Palatino Linotype" w:cs="Palatino Linotype"/>
        </w:rPr>
        <w:br/>
        <w:t xml:space="preserve">Siendo una facultad legal entrar al estudio de las causas de improcedencia que hagan valer las partes o que se adviertan de oficio por este Instituto;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w:t>
      </w:r>
      <w:r w:rsidRPr="00BA1ADF">
        <w:rPr>
          <w:rFonts w:ascii="Palatino Linotype" w:eastAsia="Palatino Linotype" w:hAnsi="Palatino Linotype" w:cs="Palatino Linotype"/>
        </w:rPr>
        <w:lastRenderedPageBreak/>
        <w:t>derecho de acceso a la justicia, ya que éste no se coarta por regular causas de improcedencia y sobreseimiento con tales fines.</w:t>
      </w:r>
    </w:p>
    <w:p w14:paraId="3AACA936" w14:textId="77777777" w:rsidR="00B1082B" w:rsidRPr="00BA1ADF" w:rsidRDefault="00B1082B">
      <w:pPr>
        <w:spacing w:line="360" w:lineRule="auto"/>
      </w:pPr>
    </w:p>
    <w:p w14:paraId="0CE44C92" w14:textId="77777777" w:rsidR="00B1082B" w:rsidRPr="00BA1ADF" w:rsidRDefault="00A9208E">
      <w:pPr>
        <w:pBdr>
          <w:top w:val="nil"/>
          <w:left w:val="nil"/>
          <w:bottom w:val="nil"/>
          <w:right w:val="nil"/>
          <w:between w:val="nil"/>
        </w:pBdr>
        <w:spacing w:line="360" w:lineRule="auto"/>
        <w:jc w:val="both"/>
      </w:pPr>
      <w:r w:rsidRPr="00BA1ADF">
        <w:rPr>
          <w:rFonts w:ascii="Palatino Linotype" w:eastAsia="Palatino Linotype" w:hAnsi="Palatino Linotype" w:cs="Palatino Linotype"/>
        </w:rPr>
        <w:t>En primer término es necesario hacer alusión a las solicitudes de información ya que de ellas deriva por un lado al procedimiento de acceso a la información ante el sujeto obligado, y por otro lado la materia sobre la que versara el recurso de revisión ante este Organismo Garante; se resalta la innegable necesidad de interpretar el texto de las solicitudes, porque no se podría entender el derecho de acceso a la información sin la existencia de solicitudes de información a la luz de su interpretación ya que ésta es la fuente de la materia objeto de la transparencia específica en cada recurso de revisión; es decir, no podemos establecer una materia o un tema como objeto de derecho de acceso a la información, si de la solicitud no se entiende o no se precisan temas o materias objetivas; por ello es de notoria importancia el trabajo de interpretación que se le dé a las solicitudes de información, ya que el sujeto obligado puede considerar una circunstancia en particular diversa a la que el particular objetivamente requiere.</w:t>
      </w:r>
    </w:p>
    <w:p w14:paraId="2D5A2940" w14:textId="77777777" w:rsidR="00B1082B" w:rsidRPr="00BA1ADF" w:rsidRDefault="00B1082B">
      <w:pPr>
        <w:spacing w:line="360" w:lineRule="auto"/>
      </w:pPr>
    </w:p>
    <w:p w14:paraId="76ED362B" w14:textId="77777777" w:rsidR="00B1082B" w:rsidRPr="00BA1ADF" w:rsidRDefault="00A9208E">
      <w:pPr>
        <w:pBdr>
          <w:top w:val="nil"/>
          <w:left w:val="nil"/>
          <w:bottom w:val="nil"/>
          <w:right w:val="nil"/>
          <w:between w:val="nil"/>
        </w:pBdr>
        <w:spacing w:line="360" w:lineRule="auto"/>
        <w:jc w:val="both"/>
      </w:pPr>
      <w:r w:rsidRPr="00BA1ADF">
        <w:rPr>
          <w:rFonts w:ascii="Palatino Linotype" w:eastAsia="Palatino Linotype" w:hAnsi="Palatino Linotype" w:cs="Palatino Linotype"/>
        </w:rPr>
        <w:t>Ya que el planteamiento del problema es de toral importancia, a efecto de determinar la intención o voluntad del recurrente a la luz de la interpretación de la solicitud de información, y que puede generar de forma objetiva y material el sujeto obligado que se relacione con esa intención, respecto del presente asunto se realiza a continuación.</w:t>
      </w:r>
    </w:p>
    <w:p w14:paraId="0543F920" w14:textId="77777777" w:rsidR="00B1082B" w:rsidRPr="00BA1ADF" w:rsidRDefault="00B1082B">
      <w:pPr>
        <w:spacing w:line="360" w:lineRule="auto"/>
      </w:pPr>
    </w:p>
    <w:p w14:paraId="1BB8EA83" w14:textId="77777777" w:rsidR="00B1082B" w:rsidRPr="00BA1ADF" w:rsidRDefault="00A9208E">
      <w:pPr>
        <w:pBdr>
          <w:top w:val="nil"/>
          <w:left w:val="nil"/>
          <w:bottom w:val="nil"/>
          <w:right w:val="nil"/>
          <w:between w:val="nil"/>
        </w:pBdr>
        <w:spacing w:line="360" w:lineRule="auto"/>
        <w:jc w:val="both"/>
      </w:pPr>
      <w:r w:rsidRPr="00BA1ADF">
        <w:rPr>
          <w:rFonts w:ascii="Palatino Linotype" w:eastAsia="Palatino Linotype" w:hAnsi="Palatino Linotype" w:cs="Palatino Linotype"/>
        </w:rPr>
        <w:lastRenderedPageBreak/>
        <w:t>La Ley de Transparencia de la entidad, en su artículo 192, contempla la figura jurídica del sobreseimiento, y específicamente en sus hipótesis inmersas en la fracción IV, refieren que se sobreseerá el asunto cuando admitido el recurso de revisión, aparezca alguna causal de improcedencia en los términos de la presente Ley.</w:t>
      </w:r>
    </w:p>
    <w:p w14:paraId="20096BAC" w14:textId="77777777" w:rsidR="00B1082B" w:rsidRPr="00BA1ADF" w:rsidRDefault="00B1082B">
      <w:pPr>
        <w:spacing w:line="360" w:lineRule="auto"/>
      </w:pPr>
    </w:p>
    <w:p w14:paraId="24747549" w14:textId="77777777" w:rsidR="00B1082B" w:rsidRPr="00BA1ADF" w:rsidRDefault="00A9208E">
      <w:pPr>
        <w:pBdr>
          <w:top w:val="nil"/>
          <w:left w:val="nil"/>
          <w:bottom w:val="nil"/>
          <w:right w:val="nil"/>
          <w:between w:val="nil"/>
        </w:pBdr>
        <w:spacing w:line="360" w:lineRule="auto"/>
        <w:ind w:right="51"/>
        <w:jc w:val="both"/>
      </w:pPr>
      <w:r w:rsidRPr="00BA1ADF">
        <w:rPr>
          <w:rFonts w:ascii="Palatino Linotype" w:eastAsia="Palatino Linotype" w:hAnsi="Palatino Linotype" w:cs="Palatino Linotype"/>
        </w:rPr>
        <w:t>De manera preliminar en el caso concreto conviene analizar si se actualiza alguna de las causales de sobreseimiento del recurso de revisión.</w:t>
      </w:r>
    </w:p>
    <w:p w14:paraId="22C43628" w14:textId="77777777" w:rsidR="00B1082B" w:rsidRPr="00BA1ADF" w:rsidRDefault="00A9208E">
      <w:pPr>
        <w:pBdr>
          <w:top w:val="nil"/>
          <w:left w:val="nil"/>
          <w:bottom w:val="nil"/>
          <w:right w:val="nil"/>
          <w:between w:val="nil"/>
        </w:pBdr>
        <w:spacing w:line="360" w:lineRule="auto"/>
        <w:ind w:right="51"/>
        <w:jc w:val="both"/>
      </w:pPr>
      <w:r w:rsidRPr="00BA1ADF">
        <w:rPr>
          <w:rFonts w:ascii="Palatino Linotype" w:eastAsia="Palatino Linotype" w:hAnsi="Palatino Linotype" w:cs="Palatino Linotype"/>
        </w:rPr>
        <w:br/>
        <w:t xml:space="preserve">Así, del análisis de la solicitud </w:t>
      </w:r>
      <w:r w:rsidRPr="00BA1ADF">
        <w:rPr>
          <w:rFonts w:ascii="Palatino Linotype" w:eastAsia="Palatino Linotype" w:hAnsi="Palatino Linotype" w:cs="Palatino Linotype"/>
          <w:b/>
        </w:rPr>
        <w:t xml:space="preserve">00372/SESEA/IP/2023, </w:t>
      </w:r>
      <w:r w:rsidRPr="00BA1ADF">
        <w:rPr>
          <w:rFonts w:ascii="Palatino Linotype" w:eastAsia="Palatino Linotype" w:hAnsi="Palatino Linotype" w:cs="Palatino Linotype"/>
        </w:rPr>
        <w:t xml:space="preserve">motivo del recurso de revisión que ahora se resuelve, se advierte que </w:t>
      </w:r>
      <w:r w:rsidRPr="00BA1ADF">
        <w:rPr>
          <w:rFonts w:ascii="Palatino Linotype" w:eastAsia="Palatino Linotype" w:hAnsi="Palatino Linotype" w:cs="Palatino Linotype"/>
          <w:b/>
        </w:rPr>
        <w:t>la parte</w:t>
      </w:r>
      <w:r w:rsidRPr="00BA1ADF">
        <w:rPr>
          <w:rFonts w:ascii="Palatino Linotype" w:eastAsia="Palatino Linotype" w:hAnsi="Palatino Linotype" w:cs="Palatino Linotype"/>
        </w:rPr>
        <w:t xml:space="preserve"> </w:t>
      </w:r>
      <w:r w:rsidRPr="00BA1ADF">
        <w:rPr>
          <w:rFonts w:ascii="Palatino Linotype" w:eastAsia="Palatino Linotype" w:hAnsi="Palatino Linotype" w:cs="Palatino Linotype"/>
          <w:b/>
        </w:rPr>
        <w:t>Recurrente</w:t>
      </w:r>
      <w:r w:rsidRPr="00BA1ADF">
        <w:rPr>
          <w:rFonts w:ascii="Palatino Linotype" w:eastAsia="Palatino Linotype" w:hAnsi="Palatino Linotype" w:cs="Palatino Linotype"/>
        </w:rPr>
        <w:t xml:space="preserve"> requirió al </w:t>
      </w:r>
      <w:r w:rsidRPr="00BA1ADF">
        <w:rPr>
          <w:rFonts w:ascii="Palatino Linotype" w:eastAsia="Palatino Linotype" w:hAnsi="Palatino Linotype" w:cs="Palatino Linotype"/>
          <w:b/>
        </w:rPr>
        <w:t>Sujeto Obligado</w:t>
      </w:r>
      <w:r w:rsidRPr="00BA1ADF">
        <w:rPr>
          <w:rFonts w:ascii="Palatino Linotype" w:eastAsia="Palatino Linotype" w:hAnsi="Palatino Linotype" w:cs="Palatino Linotype"/>
        </w:rPr>
        <w:t xml:space="preserve"> le proporcione información, consistente en:</w:t>
      </w:r>
      <w:r w:rsidRPr="00BA1ADF">
        <w:t> </w:t>
      </w:r>
    </w:p>
    <w:p w14:paraId="5C5E5EB1" w14:textId="77777777" w:rsidR="00B1082B" w:rsidRPr="00BA1ADF" w:rsidRDefault="00A9208E">
      <w:r w:rsidRPr="00BA1ADF">
        <w:br/>
      </w:r>
    </w:p>
    <w:p w14:paraId="2B63950D" w14:textId="77777777" w:rsidR="00B1082B" w:rsidRPr="00BA1ADF" w:rsidRDefault="00A9208E">
      <w:pPr>
        <w:numPr>
          <w:ilvl w:val="0"/>
          <w:numId w:val="1"/>
        </w:numPr>
        <w:pBdr>
          <w:top w:val="nil"/>
          <w:left w:val="nil"/>
          <w:bottom w:val="nil"/>
          <w:right w:val="nil"/>
          <w:between w:val="nil"/>
        </w:pBdr>
        <w:spacing w:line="360" w:lineRule="auto"/>
        <w:ind w:right="900"/>
        <w:jc w:val="both"/>
        <w:rPr>
          <w:rFonts w:ascii="Palatino Linotype" w:eastAsia="Palatino Linotype" w:hAnsi="Palatino Linotype" w:cs="Palatino Linotype"/>
        </w:rPr>
      </w:pPr>
      <w:r w:rsidRPr="00BA1ADF">
        <w:rPr>
          <w:rFonts w:ascii="Palatino Linotype" w:eastAsia="Palatino Linotype" w:hAnsi="Palatino Linotype" w:cs="Palatino Linotype"/>
        </w:rPr>
        <w:t>Evidencia del año 2018 a la fecha de las propuestas de escritos de demanda o contestación de la Unidad Jurídica, en acciones legales para; promover y desistirse, previa autorización escrita por el Secretario Técnico.</w:t>
      </w:r>
    </w:p>
    <w:p w14:paraId="2659EB04" w14:textId="77777777" w:rsidR="00B1082B" w:rsidRPr="00BA1ADF" w:rsidRDefault="00B1082B"/>
    <w:p w14:paraId="6299C361" w14:textId="77777777" w:rsidR="00B1082B" w:rsidRPr="00BA1ADF" w:rsidRDefault="00A9208E">
      <w:pPr>
        <w:pBdr>
          <w:top w:val="nil"/>
          <w:left w:val="nil"/>
          <w:bottom w:val="nil"/>
          <w:right w:val="nil"/>
          <w:between w:val="nil"/>
        </w:pBdr>
        <w:spacing w:line="360" w:lineRule="auto"/>
        <w:jc w:val="both"/>
        <w:rPr>
          <w:rFonts w:ascii="Palatino Linotype" w:eastAsia="Palatino Linotype" w:hAnsi="Palatino Linotype" w:cs="Palatino Linotype"/>
        </w:rPr>
      </w:pPr>
      <w:r w:rsidRPr="00BA1ADF">
        <w:rPr>
          <w:rFonts w:ascii="Palatino Linotype" w:eastAsia="Palatino Linotype" w:hAnsi="Palatino Linotype" w:cs="Palatino Linotype"/>
        </w:rPr>
        <w:t xml:space="preserve">En la respuesta, </w:t>
      </w:r>
      <w:r w:rsidRPr="00BA1ADF">
        <w:rPr>
          <w:rFonts w:ascii="Palatino Linotype" w:eastAsia="Palatino Linotype" w:hAnsi="Palatino Linotype" w:cs="Palatino Linotype"/>
          <w:b/>
        </w:rPr>
        <w:t>el Sujeto Obligado</w:t>
      </w:r>
      <w:r w:rsidRPr="00BA1ADF">
        <w:rPr>
          <w:rFonts w:ascii="Palatino Linotype" w:eastAsia="Palatino Linotype" w:hAnsi="Palatino Linotype" w:cs="Palatino Linotype"/>
        </w:rPr>
        <w:t xml:space="preserve"> a través de su Unidad de Asuntos Jurídicos e Igualdad de Género, informó lo siguiente:</w:t>
      </w:r>
    </w:p>
    <w:p w14:paraId="3FE952A7" w14:textId="77777777" w:rsidR="00B1082B" w:rsidRPr="00BA1ADF" w:rsidRDefault="00B1082B">
      <w:pPr>
        <w:pBdr>
          <w:top w:val="nil"/>
          <w:left w:val="nil"/>
          <w:bottom w:val="nil"/>
          <w:right w:val="nil"/>
          <w:between w:val="nil"/>
        </w:pBdr>
        <w:spacing w:line="360" w:lineRule="auto"/>
        <w:jc w:val="both"/>
      </w:pPr>
    </w:p>
    <w:p w14:paraId="7514B884" w14:textId="77777777" w:rsidR="00B1082B" w:rsidRPr="00BA1ADF" w:rsidRDefault="00A9208E">
      <w:pPr>
        <w:spacing w:line="360" w:lineRule="auto"/>
        <w:jc w:val="center"/>
      </w:pPr>
      <w:r w:rsidRPr="00BA1ADF">
        <w:rPr>
          <w:rFonts w:ascii="Palatino Linotype" w:eastAsia="Palatino Linotype" w:hAnsi="Palatino Linotype" w:cs="Palatino Linotype"/>
          <w:b/>
          <w:i/>
          <w:noProof/>
        </w:rPr>
        <w:drawing>
          <wp:inline distT="0" distB="0" distL="0" distR="0" wp14:anchorId="20798F98" wp14:editId="72868A77">
            <wp:extent cx="4333274" cy="873579"/>
            <wp:effectExtent l="9525" t="9525" r="9525" b="9525"/>
            <wp:docPr id="3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t="56673" r="1551" b="24621"/>
                    <a:stretch>
                      <a:fillRect/>
                    </a:stretch>
                  </pic:blipFill>
                  <pic:spPr>
                    <a:xfrm>
                      <a:off x="0" y="0"/>
                      <a:ext cx="4333274" cy="873579"/>
                    </a:xfrm>
                    <a:prstGeom prst="rect">
                      <a:avLst/>
                    </a:prstGeom>
                    <a:ln w="9525">
                      <a:solidFill>
                        <a:srgbClr val="000000"/>
                      </a:solidFill>
                      <a:prstDash val="solid"/>
                    </a:ln>
                  </pic:spPr>
                </pic:pic>
              </a:graphicData>
            </a:graphic>
          </wp:inline>
        </w:drawing>
      </w:r>
    </w:p>
    <w:p w14:paraId="36F796B7" w14:textId="77777777" w:rsidR="00B1082B" w:rsidRPr="00BA1ADF" w:rsidRDefault="00A9208E">
      <w:pPr>
        <w:pBdr>
          <w:top w:val="nil"/>
          <w:left w:val="nil"/>
          <w:bottom w:val="nil"/>
          <w:right w:val="nil"/>
          <w:between w:val="nil"/>
        </w:pBdr>
        <w:spacing w:line="360" w:lineRule="auto"/>
        <w:jc w:val="both"/>
      </w:pPr>
      <w:r w:rsidRPr="00BA1ADF">
        <w:rPr>
          <w:rFonts w:ascii="Palatino Linotype" w:eastAsia="Palatino Linotype" w:hAnsi="Palatino Linotype" w:cs="Palatino Linotype"/>
        </w:rPr>
        <w:lastRenderedPageBreak/>
        <w:t xml:space="preserve">Derivado de ello, </w:t>
      </w:r>
      <w:r w:rsidRPr="00BA1ADF">
        <w:rPr>
          <w:rFonts w:ascii="Palatino Linotype" w:eastAsia="Palatino Linotype" w:hAnsi="Palatino Linotype" w:cs="Palatino Linotype"/>
          <w:b/>
        </w:rPr>
        <w:t>la parte Recurrente</w:t>
      </w:r>
      <w:r w:rsidRPr="00BA1ADF">
        <w:rPr>
          <w:rFonts w:ascii="Palatino Linotype" w:eastAsia="Palatino Linotype" w:hAnsi="Palatino Linotype" w:cs="Palatino Linotype"/>
        </w:rPr>
        <w:t xml:space="preserve">, presentó su recurso de revisión en el que manifestó textualmente lo siguiente </w:t>
      </w:r>
      <w:r w:rsidRPr="00BA1ADF">
        <w:rPr>
          <w:rFonts w:ascii="Palatino Linotype" w:eastAsia="Palatino Linotype" w:hAnsi="Palatino Linotype" w:cs="Palatino Linotype"/>
          <w:i/>
          <w:sz w:val="22"/>
          <w:szCs w:val="22"/>
        </w:rPr>
        <w:t>“</w:t>
      </w:r>
      <w:r w:rsidRPr="00BA1ADF">
        <w:rPr>
          <w:rFonts w:ascii="Palatino Linotype" w:eastAsia="Palatino Linotype" w:hAnsi="Palatino Linotype" w:cs="Palatino Linotype"/>
          <w:i/>
        </w:rPr>
        <w:t>Información incompleta, hacen falta oficios de gestión realizados por la unidad administrativa encargada de dar respuesta a dicha solicitud</w:t>
      </w:r>
      <w:r w:rsidRPr="00BA1ADF">
        <w:rPr>
          <w:rFonts w:ascii="Palatino Linotype" w:eastAsia="Palatino Linotype" w:hAnsi="Palatino Linotype" w:cs="Palatino Linotype"/>
          <w:i/>
          <w:sz w:val="22"/>
          <w:szCs w:val="22"/>
        </w:rPr>
        <w:t>” (Sic).</w:t>
      </w:r>
    </w:p>
    <w:p w14:paraId="535DC092" w14:textId="77777777" w:rsidR="00B1082B" w:rsidRPr="00BA1ADF" w:rsidRDefault="00B1082B"/>
    <w:p w14:paraId="4EB195ED" w14:textId="77777777" w:rsidR="00B1082B" w:rsidRPr="00BA1ADF" w:rsidRDefault="00A9208E">
      <w:pPr>
        <w:pBdr>
          <w:top w:val="nil"/>
          <w:left w:val="nil"/>
          <w:bottom w:val="nil"/>
          <w:right w:val="nil"/>
          <w:between w:val="nil"/>
        </w:pBdr>
        <w:spacing w:line="360" w:lineRule="auto"/>
        <w:jc w:val="both"/>
      </w:pPr>
      <w:r w:rsidRPr="00BA1ADF">
        <w:rPr>
          <w:rFonts w:ascii="Palatino Linotype" w:eastAsia="Palatino Linotype" w:hAnsi="Palatino Linotype" w:cs="Palatino Linotype"/>
        </w:rPr>
        <w:t xml:space="preserve">Posteriormente, mediante informe justificado el </w:t>
      </w:r>
      <w:r w:rsidRPr="00BA1ADF">
        <w:rPr>
          <w:rFonts w:ascii="Palatino Linotype" w:eastAsia="Palatino Linotype" w:hAnsi="Palatino Linotype" w:cs="Palatino Linotype"/>
          <w:b/>
        </w:rPr>
        <w:t>Sujeto Obligado</w:t>
      </w:r>
      <w:r w:rsidRPr="00BA1ADF">
        <w:rPr>
          <w:rFonts w:ascii="Palatino Linotype" w:eastAsia="Palatino Linotype" w:hAnsi="Palatino Linotype" w:cs="Palatino Linotype"/>
        </w:rPr>
        <w:t>, ratificó su respuesta inicial. </w:t>
      </w:r>
    </w:p>
    <w:p w14:paraId="0DD18CBA" w14:textId="77777777" w:rsidR="00B1082B" w:rsidRPr="00BA1ADF" w:rsidRDefault="00B1082B">
      <w:pPr>
        <w:spacing w:line="360" w:lineRule="auto"/>
      </w:pPr>
    </w:p>
    <w:p w14:paraId="3B107710" w14:textId="77777777" w:rsidR="00B1082B" w:rsidRPr="00BA1ADF" w:rsidRDefault="00A9208E">
      <w:pPr>
        <w:pBdr>
          <w:top w:val="nil"/>
          <w:left w:val="nil"/>
          <w:bottom w:val="nil"/>
          <w:right w:val="nil"/>
          <w:between w:val="nil"/>
        </w:pBdr>
        <w:spacing w:line="360" w:lineRule="auto"/>
        <w:jc w:val="both"/>
      </w:pPr>
      <w:r w:rsidRPr="00BA1ADF">
        <w:rPr>
          <w:rFonts w:ascii="Palatino Linotype" w:eastAsia="Palatino Linotype" w:hAnsi="Palatino Linotype" w:cs="Palatino Linotype"/>
        </w:rPr>
        <w:t xml:space="preserve">Ahora bien, en cuanto a los motivos de inconformidad de </w:t>
      </w:r>
      <w:r w:rsidRPr="00BA1ADF">
        <w:rPr>
          <w:rFonts w:ascii="Palatino Linotype" w:eastAsia="Palatino Linotype" w:hAnsi="Palatino Linotype" w:cs="Palatino Linotype"/>
          <w:b/>
        </w:rPr>
        <w:t>la parte</w:t>
      </w:r>
      <w:r w:rsidRPr="00BA1ADF">
        <w:rPr>
          <w:rFonts w:ascii="Palatino Linotype" w:eastAsia="Palatino Linotype" w:hAnsi="Palatino Linotype" w:cs="Palatino Linotype"/>
        </w:rPr>
        <w:t xml:space="preserve"> </w:t>
      </w:r>
      <w:r w:rsidRPr="00BA1ADF">
        <w:rPr>
          <w:rFonts w:ascii="Palatino Linotype" w:eastAsia="Palatino Linotype" w:hAnsi="Palatino Linotype" w:cs="Palatino Linotype"/>
          <w:b/>
        </w:rPr>
        <w:t>Recurrente</w:t>
      </w:r>
      <w:r w:rsidRPr="00BA1ADF">
        <w:rPr>
          <w:rFonts w:ascii="Palatino Linotype" w:eastAsia="Palatino Linotype" w:hAnsi="Palatino Linotype" w:cs="Palatino Linotype"/>
        </w:rPr>
        <w:t>, en donde señaló:</w:t>
      </w:r>
    </w:p>
    <w:p w14:paraId="01B48333" w14:textId="77777777" w:rsidR="00B1082B" w:rsidRPr="00BA1ADF" w:rsidRDefault="00B1082B"/>
    <w:p w14:paraId="0519DB9A" w14:textId="77777777" w:rsidR="00B1082B" w:rsidRPr="00BA1ADF" w:rsidRDefault="00A9208E">
      <w:pPr>
        <w:pBdr>
          <w:top w:val="nil"/>
          <w:left w:val="nil"/>
          <w:bottom w:val="nil"/>
          <w:right w:val="nil"/>
          <w:between w:val="nil"/>
        </w:pBdr>
        <w:ind w:left="567" w:right="567"/>
        <w:jc w:val="both"/>
      </w:pPr>
      <w:r w:rsidRPr="00BA1ADF">
        <w:rPr>
          <w:rFonts w:ascii="Palatino Linotype" w:eastAsia="Palatino Linotype" w:hAnsi="Palatino Linotype" w:cs="Palatino Linotype"/>
          <w:i/>
          <w:sz w:val="22"/>
          <w:szCs w:val="22"/>
        </w:rPr>
        <w:t>“Información incompleta, hacen falta oficios de gestión realizados por la unidad administrativa encargada de dar respuesta a dicha solicitud” (Sic).</w:t>
      </w:r>
    </w:p>
    <w:p w14:paraId="4C0A4C88" w14:textId="77777777" w:rsidR="00B1082B" w:rsidRPr="00BA1ADF" w:rsidRDefault="00B1082B">
      <w:pPr>
        <w:pBdr>
          <w:top w:val="nil"/>
          <w:left w:val="nil"/>
          <w:bottom w:val="nil"/>
          <w:right w:val="nil"/>
          <w:between w:val="nil"/>
        </w:pBdr>
        <w:spacing w:after="240"/>
        <w:ind w:right="49"/>
        <w:jc w:val="both"/>
        <w:rPr>
          <w:rFonts w:ascii="Palatino Linotype" w:eastAsia="Palatino Linotype" w:hAnsi="Palatino Linotype" w:cs="Palatino Linotype"/>
        </w:rPr>
      </w:pPr>
    </w:p>
    <w:p w14:paraId="4226E6F9" w14:textId="77777777" w:rsidR="00B1082B" w:rsidRPr="00BA1ADF" w:rsidRDefault="00A9208E">
      <w:pPr>
        <w:pBdr>
          <w:top w:val="nil"/>
          <w:left w:val="nil"/>
          <w:bottom w:val="nil"/>
          <w:right w:val="nil"/>
          <w:between w:val="nil"/>
        </w:pBdr>
        <w:spacing w:after="240" w:line="360" w:lineRule="auto"/>
        <w:ind w:right="49"/>
        <w:jc w:val="both"/>
      </w:pPr>
      <w:r w:rsidRPr="00BA1ADF">
        <w:rPr>
          <w:rFonts w:ascii="Palatino Linotype" w:eastAsia="Palatino Linotype" w:hAnsi="Palatino Linotype" w:cs="Palatino Linotype"/>
        </w:rPr>
        <w:t xml:space="preserve">Es de precisar que esta circunstancia constituye para este Organismo Garante un nuevo requerimiento de información, configurándose así lo que se conoce como </w:t>
      </w:r>
      <w:r w:rsidRPr="00BA1ADF">
        <w:rPr>
          <w:rFonts w:ascii="Palatino Linotype" w:eastAsia="Palatino Linotype" w:hAnsi="Palatino Linotype" w:cs="Palatino Linotype"/>
          <w:i/>
        </w:rPr>
        <w:t xml:space="preserve">plus </w:t>
      </w:r>
      <w:proofErr w:type="spellStart"/>
      <w:r w:rsidRPr="00BA1ADF">
        <w:rPr>
          <w:rFonts w:ascii="Palatino Linotype" w:eastAsia="Palatino Linotype" w:hAnsi="Palatino Linotype" w:cs="Palatino Linotype"/>
          <w:i/>
        </w:rPr>
        <w:t>petitio</w:t>
      </w:r>
      <w:proofErr w:type="spellEnd"/>
      <w:r w:rsidRPr="00BA1ADF">
        <w:rPr>
          <w:rFonts w:ascii="Palatino Linotype" w:eastAsia="Palatino Linotype" w:hAnsi="Palatino Linotype" w:cs="Palatino Linotype"/>
          <w:b/>
          <w:i/>
        </w:rPr>
        <w:t xml:space="preserve">, </w:t>
      </w:r>
      <w:r w:rsidRPr="00BA1ADF">
        <w:rPr>
          <w:rFonts w:ascii="Palatino Linotype" w:eastAsia="Palatino Linotype" w:hAnsi="Palatino Linotype" w:cs="Palatino Linotype"/>
        </w:rPr>
        <w:t xml:space="preserve">que consiste en una ampliación a su requerimiento informativo, argumentos que no son susceptibles de ser valorados en términos de la fracción VII del Artículo 191 de la Ley de Transparencia y Acceso a la Información Pública del Estado de México y Municipios, el cual señala la improcedencia cuando </w:t>
      </w:r>
      <w:r w:rsidRPr="00BA1ADF">
        <w:rPr>
          <w:rFonts w:ascii="Palatino Linotype" w:eastAsia="Palatino Linotype" w:hAnsi="Palatino Linotype" w:cs="Palatino Linotype"/>
          <w:b/>
        </w:rPr>
        <w:t>la parte Recurrente</w:t>
      </w:r>
      <w:r w:rsidRPr="00BA1ADF">
        <w:rPr>
          <w:rFonts w:ascii="Palatino Linotype" w:eastAsia="Palatino Linotype" w:hAnsi="Palatino Linotype" w:cs="Palatino Linotype"/>
        </w:rPr>
        <w:t xml:space="preserve"> amplíe su solicitud en el Recurso de Revisión, </w:t>
      </w:r>
      <w:r w:rsidRPr="00BA1ADF">
        <w:rPr>
          <w:rFonts w:ascii="Palatino Linotype" w:eastAsia="Palatino Linotype" w:hAnsi="Palatino Linotype" w:cs="Palatino Linotype"/>
          <w:b/>
          <w:u w:val="single"/>
        </w:rPr>
        <w:t xml:space="preserve">únicamente respecto de los nuevos contenidos; </w:t>
      </w:r>
      <w:r w:rsidRPr="00BA1ADF">
        <w:rPr>
          <w:rFonts w:ascii="Palatino Linotype" w:eastAsia="Palatino Linotype" w:hAnsi="Palatino Linotype" w:cs="Palatino Linotype"/>
        </w:rPr>
        <w:t xml:space="preserve">cuestión que tuvo lugar en el presente caso, pues </w:t>
      </w:r>
      <w:r w:rsidRPr="00BA1ADF">
        <w:rPr>
          <w:rFonts w:ascii="Palatino Linotype" w:eastAsia="Palatino Linotype" w:hAnsi="Palatino Linotype" w:cs="Palatino Linotype"/>
          <w:b/>
        </w:rPr>
        <w:t>la parte</w:t>
      </w:r>
      <w:r w:rsidRPr="00BA1ADF">
        <w:rPr>
          <w:rFonts w:ascii="Palatino Linotype" w:eastAsia="Palatino Linotype" w:hAnsi="Palatino Linotype" w:cs="Palatino Linotype"/>
        </w:rPr>
        <w:t xml:space="preserve"> </w:t>
      </w:r>
      <w:r w:rsidRPr="00BA1ADF">
        <w:rPr>
          <w:rFonts w:ascii="Palatino Linotype" w:eastAsia="Palatino Linotype" w:hAnsi="Palatino Linotype" w:cs="Palatino Linotype"/>
          <w:b/>
        </w:rPr>
        <w:t>Recurrente</w:t>
      </w:r>
      <w:r w:rsidRPr="00BA1ADF">
        <w:rPr>
          <w:rFonts w:ascii="Palatino Linotype" w:eastAsia="Palatino Linotype" w:hAnsi="Palatino Linotype" w:cs="Palatino Linotype"/>
        </w:rPr>
        <w:t xml:space="preserve"> formuló un nuevo requerimiento, en los que solicitó información que no formó parte de su solicitud inicial y por lo tanto son inatendibles a través del recurso de revisión.</w:t>
      </w:r>
    </w:p>
    <w:p w14:paraId="6977A663" w14:textId="77777777" w:rsidR="00B1082B" w:rsidRPr="00BA1ADF" w:rsidRDefault="00A9208E">
      <w:pPr>
        <w:pBdr>
          <w:top w:val="nil"/>
          <w:left w:val="nil"/>
          <w:bottom w:val="nil"/>
          <w:right w:val="nil"/>
          <w:between w:val="nil"/>
        </w:pBdr>
        <w:spacing w:after="240" w:line="360" w:lineRule="auto"/>
        <w:ind w:right="49"/>
        <w:jc w:val="both"/>
      </w:pPr>
      <w:r w:rsidRPr="00BA1ADF">
        <w:rPr>
          <w:rFonts w:ascii="Palatino Linotype" w:eastAsia="Palatino Linotype" w:hAnsi="Palatino Linotype" w:cs="Palatino Linotype"/>
        </w:rPr>
        <w:lastRenderedPageBreak/>
        <w:t xml:space="preserve">Es pertinente aclarar, que de las constancias del SAIMEX se advierte que la Unidad de Transparencia turnó la solicitud al servidor público habilitado de la Unidad de Asuntos Jurídicos e Igualdad de Género y este dio contestación a través del oficio número 41100100030000S/00649/2023, sin que de la solicitud se advierta que </w:t>
      </w:r>
      <w:r w:rsidRPr="00BA1ADF">
        <w:rPr>
          <w:rFonts w:ascii="Palatino Linotype" w:eastAsia="Palatino Linotype" w:hAnsi="Palatino Linotype" w:cs="Palatino Linotype"/>
          <w:b/>
        </w:rPr>
        <w:t>la parte Recurrente</w:t>
      </w:r>
      <w:r w:rsidRPr="00BA1ADF">
        <w:rPr>
          <w:rFonts w:ascii="Palatino Linotype" w:eastAsia="Palatino Linotype" w:hAnsi="Palatino Linotype" w:cs="Palatino Linotype"/>
        </w:rPr>
        <w:t xml:space="preserve"> requiera los oficios de turno.</w:t>
      </w:r>
    </w:p>
    <w:p w14:paraId="2E370C31" w14:textId="77777777" w:rsidR="00B1082B" w:rsidRPr="00BA1ADF" w:rsidRDefault="00A9208E">
      <w:pPr>
        <w:pBdr>
          <w:top w:val="nil"/>
          <w:left w:val="nil"/>
          <w:bottom w:val="nil"/>
          <w:right w:val="nil"/>
          <w:between w:val="nil"/>
        </w:pBdr>
        <w:spacing w:line="360" w:lineRule="auto"/>
        <w:ind w:right="51"/>
        <w:jc w:val="both"/>
        <w:rPr>
          <w:rFonts w:ascii="Palatino Linotype" w:eastAsia="Palatino Linotype" w:hAnsi="Palatino Linotype" w:cs="Palatino Linotype"/>
          <w:b/>
        </w:rPr>
      </w:pPr>
      <w:bookmarkStart w:id="4" w:name="_heading=h.1fob9te" w:colFirst="0" w:colLast="0"/>
      <w:bookmarkEnd w:id="4"/>
      <w:r w:rsidRPr="00BA1ADF">
        <w:rPr>
          <w:rFonts w:ascii="Palatino Linotype" w:eastAsia="Palatino Linotype" w:hAnsi="Palatino Linotype" w:cs="Palatino Linotype"/>
        </w:rPr>
        <w:t xml:space="preserve">Por ello, es posible determinar que el argumento formulado como motivos de inconformidad, antes señalado, es una ampliación a la solicitud inicial y corresponde a un nuevo requerimiento de información, que no se encuentran relacionados con lo solicitado en un primer momento; en razón de que </w:t>
      </w:r>
      <w:r w:rsidRPr="00BA1ADF">
        <w:rPr>
          <w:rFonts w:ascii="Palatino Linotype" w:eastAsia="Palatino Linotype" w:hAnsi="Palatino Linotype" w:cs="Palatino Linotype"/>
          <w:b/>
        </w:rPr>
        <w:t>la parte</w:t>
      </w:r>
      <w:r w:rsidRPr="00BA1ADF">
        <w:rPr>
          <w:rFonts w:ascii="Palatino Linotype" w:eastAsia="Palatino Linotype" w:hAnsi="Palatino Linotype" w:cs="Palatino Linotype"/>
        </w:rPr>
        <w:t xml:space="preserve"> </w:t>
      </w:r>
      <w:r w:rsidRPr="00BA1ADF">
        <w:rPr>
          <w:rFonts w:ascii="Palatino Linotype" w:eastAsia="Palatino Linotype" w:hAnsi="Palatino Linotype" w:cs="Palatino Linotype"/>
          <w:b/>
        </w:rPr>
        <w:t>Recurrente</w:t>
      </w:r>
      <w:r w:rsidRPr="00BA1ADF">
        <w:rPr>
          <w:rFonts w:ascii="Palatino Linotype" w:eastAsia="Palatino Linotype" w:hAnsi="Palatino Linotype" w:cs="Palatino Linotype"/>
        </w:rPr>
        <w:t xml:space="preserve"> fue claro en solicitar inicialmente evidencia del año 2018  a la fecha de las propuestas de escritos de demanda o contestación de la Unidad Jurídica, en acciones legales para; promover y desistirse, previa autorización escrita por el Secretario Técnico, información que refirió no haber generado, no obstante </w:t>
      </w:r>
      <w:r w:rsidRPr="00BA1ADF">
        <w:rPr>
          <w:rFonts w:ascii="Palatino Linotype" w:eastAsia="Palatino Linotype" w:hAnsi="Palatino Linotype" w:cs="Palatino Linotype"/>
          <w:b/>
        </w:rPr>
        <w:t xml:space="preserve">mediante el escrito </w:t>
      </w:r>
      <w:proofErr w:type="spellStart"/>
      <w:r w:rsidRPr="00BA1ADF">
        <w:rPr>
          <w:rFonts w:ascii="Palatino Linotype" w:eastAsia="Palatino Linotype" w:hAnsi="Palatino Linotype" w:cs="Palatino Linotype"/>
          <w:b/>
        </w:rPr>
        <w:t>recursal</w:t>
      </w:r>
      <w:proofErr w:type="spellEnd"/>
      <w:r w:rsidRPr="00BA1ADF">
        <w:rPr>
          <w:rFonts w:ascii="Palatino Linotype" w:eastAsia="Palatino Linotype" w:hAnsi="Palatino Linotype" w:cs="Palatino Linotype"/>
          <w:b/>
        </w:rPr>
        <w:t xml:space="preserve">, solicita le proporcionen los oficios de gestión realizados por la unidad administrativa encargada de dar respuesta a dicha solicitud; en este sentido, debemos entender que los oficios de gestión son los documentos a través de los cuales el Titular de la Unidad de Transparencia turnó a los Servidores </w:t>
      </w:r>
      <w:proofErr w:type="spellStart"/>
      <w:r w:rsidRPr="00BA1ADF">
        <w:rPr>
          <w:rFonts w:ascii="Palatino Linotype" w:eastAsia="Palatino Linotype" w:hAnsi="Palatino Linotype" w:cs="Palatino Linotype"/>
          <w:b/>
        </w:rPr>
        <w:t>Publicos</w:t>
      </w:r>
      <w:proofErr w:type="spellEnd"/>
      <w:r w:rsidRPr="00BA1ADF">
        <w:rPr>
          <w:rFonts w:ascii="Palatino Linotype" w:eastAsia="Palatino Linotype" w:hAnsi="Palatino Linotype" w:cs="Palatino Linotype"/>
          <w:b/>
        </w:rPr>
        <w:t xml:space="preserve"> Habilitados la solicitud de información, </w:t>
      </w:r>
      <w:r w:rsidRPr="00BA1ADF">
        <w:rPr>
          <w:rFonts w:ascii="Palatino Linotype" w:eastAsia="Palatino Linotype" w:hAnsi="Palatino Linotype" w:cs="Palatino Linotype"/>
        </w:rPr>
        <w:t>teniendo así que es  información que no fue requerida inicialmente,</w:t>
      </w:r>
      <w:r w:rsidRPr="00BA1ADF">
        <w:rPr>
          <w:rFonts w:ascii="Palatino Linotype" w:eastAsia="Palatino Linotype" w:hAnsi="Palatino Linotype" w:cs="Palatino Linotype"/>
          <w:b/>
        </w:rPr>
        <w:t xml:space="preserve"> </w:t>
      </w:r>
      <w:r w:rsidRPr="00BA1ADF">
        <w:rPr>
          <w:rFonts w:ascii="Palatino Linotype" w:eastAsia="Palatino Linotype" w:hAnsi="Palatino Linotype" w:cs="Palatino Linotype"/>
        </w:rPr>
        <w:t>por lo que se actualiza el supuesto de improcedencia previsto en el artículo 191 fracción VII de la Ley de Transparencia y Acceso a la Información Pública del Estado de México y Municipios; que prevé que son improcedentes los Recursos de Revisión en los que se plantean ampliaciones a las solicitudes iniciales.</w:t>
      </w:r>
    </w:p>
    <w:p w14:paraId="10DB80AE" w14:textId="77777777" w:rsidR="00B1082B" w:rsidRPr="00BA1ADF" w:rsidRDefault="00B1082B">
      <w:pPr>
        <w:spacing w:line="360" w:lineRule="auto"/>
      </w:pPr>
    </w:p>
    <w:p w14:paraId="4FE4549F" w14:textId="77777777" w:rsidR="00B1082B" w:rsidRPr="00BA1ADF" w:rsidRDefault="00A9208E">
      <w:pPr>
        <w:pBdr>
          <w:top w:val="nil"/>
          <w:left w:val="nil"/>
          <w:bottom w:val="nil"/>
          <w:right w:val="nil"/>
          <w:between w:val="nil"/>
        </w:pBdr>
        <w:spacing w:after="240" w:line="360" w:lineRule="auto"/>
        <w:jc w:val="both"/>
      </w:pPr>
      <w:r w:rsidRPr="00BA1ADF">
        <w:rPr>
          <w:rFonts w:ascii="Palatino Linotype" w:eastAsia="Palatino Linotype" w:hAnsi="Palatino Linotype" w:cs="Palatino Linotype"/>
        </w:rPr>
        <w:t>En este orden de ideas, una vez formulada su solicitud inicial,</w:t>
      </w:r>
      <w:r w:rsidRPr="00BA1ADF">
        <w:rPr>
          <w:rFonts w:ascii="Palatino Linotype" w:eastAsia="Palatino Linotype" w:hAnsi="Palatino Linotype" w:cs="Palatino Linotype"/>
          <w:i/>
        </w:rPr>
        <w:t xml:space="preserve"> </w:t>
      </w:r>
      <w:r w:rsidRPr="00BA1ADF">
        <w:rPr>
          <w:rFonts w:ascii="Palatino Linotype" w:eastAsia="Palatino Linotype" w:hAnsi="Palatino Linotype" w:cs="Palatino Linotype"/>
        </w:rPr>
        <w:t>los particulares no pueden modificarla o ampliarla a través de posteriores promociones o en el momento de ingresar su recurso de revisión; por tanto, la materia de las solicitudes de información se circunscribe a que se permita el acceso a los documentos inicialmente solicitados y en su caso a los aclarados o corregidos.</w:t>
      </w:r>
    </w:p>
    <w:p w14:paraId="058F478F" w14:textId="77777777" w:rsidR="00B1082B" w:rsidRPr="00BA1ADF" w:rsidRDefault="00A9208E">
      <w:pPr>
        <w:pBdr>
          <w:top w:val="nil"/>
          <w:left w:val="nil"/>
          <w:bottom w:val="nil"/>
          <w:right w:val="nil"/>
          <w:between w:val="nil"/>
        </w:pBdr>
        <w:spacing w:before="240" w:after="240" w:line="360" w:lineRule="auto"/>
        <w:jc w:val="both"/>
      </w:pPr>
      <w:r w:rsidRPr="00BA1ADF">
        <w:rPr>
          <w:rFonts w:ascii="Palatino Linotype" w:eastAsia="Palatino Linotype" w:hAnsi="Palatino Linotype" w:cs="Palatino Linotype"/>
        </w:rPr>
        <w:t>Robustece lo anterior lo plasmado en el criterio orientador número 01/17 emitido por el Instituto Nacional de Transparencia, Acceso a la Información y Protección de Datos Personales, INAI, que lleva por rubro y texto lo que a continuación se transcribe:</w:t>
      </w:r>
    </w:p>
    <w:p w14:paraId="64B8ECB9" w14:textId="77777777" w:rsidR="00B1082B" w:rsidRPr="00BA1ADF" w:rsidRDefault="00A9208E">
      <w:pPr>
        <w:pBdr>
          <w:top w:val="nil"/>
          <w:left w:val="nil"/>
          <w:bottom w:val="nil"/>
          <w:right w:val="nil"/>
          <w:between w:val="nil"/>
        </w:pBdr>
        <w:spacing w:before="240" w:after="240"/>
        <w:ind w:left="851" w:right="900"/>
        <w:jc w:val="both"/>
      </w:pPr>
      <w:r w:rsidRPr="00BA1ADF">
        <w:rPr>
          <w:rFonts w:ascii="Palatino Linotype" w:eastAsia="Palatino Linotype" w:hAnsi="Palatino Linotype" w:cs="Palatino Linotype"/>
          <w:i/>
          <w:sz w:val="22"/>
          <w:szCs w:val="22"/>
        </w:rPr>
        <w:t>“</w:t>
      </w:r>
      <w:r w:rsidRPr="00BA1ADF">
        <w:rPr>
          <w:rFonts w:ascii="Palatino Linotype" w:eastAsia="Palatino Linotype" w:hAnsi="Palatino Linotype" w:cs="Palatino Linotype"/>
          <w:b/>
          <w:i/>
          <w:sz w:val="22"/>
          <w:szCs w:val="22"/>
        </w:rPr>
        <w:t xml:space="preserve">Es improcedente ampliar las solicitudes de acceso a información, a través de la interposición del recurso de revisión. </w:t>
      </w:r>
      <w:r w:rsidRPr="00BA1ADF">
        <w:rPr>
          <w:rFonts w:ascii="Palatino Linotype" w:eastAsia="Palatino Linotype" w:hAnsi="Palatino Linotype" w:cs="Palatino Linotype"/>
          <w:i/>
          <w:sz w:val="22"/>
          <w:szCs w:val="22"/>
        </w:rPr>
        <w:t>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amplíen los alcances de la solicitud de información inicial, los nuevos contenidos no podrán constituir materia del procedimiento a sustanciarse por el Instituto Nacional de Transparencia, Acceso a la Información y Protección de Datos Personales; actualizándose la hipótesis de improcedencia respectiva</w:t>
      </w:r>
      <w:r w:rsidRPr="00BA1ADF">
        <w:rPr>
          <w:rFonts w:ascii="Palatino Linotype" w:eastAsia="Palatino Linotype" w:hAnsi="Palatino Linotype" w:cs="Palatino Linotype"/>
          <w:b/>
          <w:i/>
          <w:sz w:val="22"/>
          <w:szCs w:val="22"/>
        </w:rPr>
        <w:t>.</w:t>
      </w:r>
      <w:r w:rsidRPr="00BA1ADF">
        <w:rPr>
          <w:rFonts w:ascii="Palatino Linotype" w:eastAsia="Palatino Linotype" w:hAnsi="Palatino Linotype" w:cs="Palatino Linotype"/>
          <w:i/>
          <w:sz w:val="22"/>
          <w:szCs w:val="22"/>
        </w:rPr>
        <w:t>”</w:t>
      </w:r>
    </w:p>
    <w:p w14:paraId="255E62C1" w14:textId="77777777" w:rsidR="00B1082B" w:rsidRPr="00BA1ADF" w:rsidRDefault="00B1082B"/>
    <w:p w14:paraId="30FF4F05" w14:textId="77777777" w:rsidR="00B1082B" w:rsidRPr="00BA1ADF" w:rsidRDefault="00A9208E">
      <w:pPr>
        <w:pBdr>
          <w:top w:val="nil"/>
          <w:left w:val="nil"/>
          <w:bottom w:val="nil"/>
          <w:right w:val="nil"/>
          <w:between w:val="nil"/>
        </w:pBdr>
        <w:spacing w:line="360" w:lineRule="auto"/>
        <w:ind w:right="49"/>
        <w:jc w:val="both"/>
      </w:pPr>
      <w:r w:rsidRPr="00BA1ADF">
        <w:rPr>
          <w:rFonts w:ascii="Palatino Linotype" w:eastAsia="Palatino Linotype" w:hAnsi="Palatino Linotype" w:cs="Palatino Linotype"/>
        </w:rPr>
        <w:t>Conforme a todo lo anterior, se actualiza lo dispuesto en el artículo 191 fracción VII de la Ley de Transparencia y Acceso a la Información Pública del Estado de México y Municipios, por al haber ampliado su requerimiento primigenio a través del recurso de revisión y no actualice algún supuesto de la ley de la Materia, las cuales disponen lo siguiente:</w:t>
      </w:r>
    </w:p>
    <w:p w14:paraId="4D87428A" w14:textId="77777777" w:rsidR="00B1082B" w:rsidRPr="00BA1ADF" w:rsidRDefault="00B1082B"/>
    <w:p w14:paraId="59108C29" w14:textId="77777777" w:rsidR="00B1082B" w:rsidRPr="00BA1ADF" w:rsidRDefault="00A9208E">
      <w:pPr>
        <w:pBdr>
          <w:top w:val="nil"/>
          <w:left w:val="nil"/>
          <w:bottom w:val="nil"/>
          <w:right w:val="nil"/>
          <w:between w:val="nil"/>
        </w:pBdr>
        <w:ind w:left="851" w:right="822"/>
        <w:jc w:val="both"/>
      </w:pPr>
      <w:r w:rsidRPr="00BA1ADF">
        <w:rPr>
          <w:rFonts w:ascii="Palatino Linotype" w:eastAsia="Palatino Linotype" w:hAnsi="Palatino Linotype" w:cs="Palatino Linotype"/>
          <w:i/>
          <w:sz w:val="22"/>
          <w:szCs w:val="22"/>
        </w:rPr>
        <w:lastRenderedPageBreak/>
        <w:t>“Artículo 191. El recurso será desechado por improcedente cuando:</w:t>
      </w:r>
    </w:p>
    <w:p w14:paraId="6ADDED8A" w14:textId="77777777" w:rsidR="00B1082B" w:rsidRPr="00BA1ADF" w:rsidRDefault="00A9208E">
      <w:pPr>
        <w:pBdr>
          <w:top w:val="nil"/>
          <w:left w:val="nil"/>
          <w:bottom w:val="nil"/>
          <w:right w:val="nil"/>
          <w:between w:val="nil"/>
        </w:pBdr>
        <w:ind w:left="851" w:right="822"/>
        <w:jc w:val="both"/>
      </w:pPr>
      <w:r w:rsidRPr="00BA1ADF">
        <w:rPr>
          <w:rFonts w:ascii="Palatino Linotype" w:eastAsia="Palatino Linotype" w:hAnsi="Palatino Linotype" w:cs="Palatino Linotype"/>
          <w:i/>
          <w:sz w:val="22"/>
          <w:szCs w:val="22"/>
        </w:rPr>
        <w:t>I. Sea extemporáneo por haber transcurrido el plazo establecido en la presente Ley, a partir de la respuesta; </w:t>
      </w:r>
    </w:p>
    <w:p w14:paraId="5EEEAF82" w14:textId="77777777" w:rsidR="00B1082B" w:rsidRPr="00BA1ADF" w:rsidRDefault="00A9208E">
      <w:pPr>
        <w:pBdr>
          <w:top w:val="nil"/>
          <w:left w:val="nil"/>
          <w:bottom w:val="nil"/>
          <w:right w:val="nil"/>
          <w:between w:val="nil"/>
        </w:pBdr>
        <w:ind w:left="851" w:right="822"/>
        <w:jc w:val="both"/>
      </w:pPr>
      <w:r w:rsidRPr="00BA1ADF">
        <w:rPr>
          <w:rFonts w:ascii="Palatino Linotype" w:eastAsia="Palatino Linotype" w:hAnsi="Palatino Linotype" w:cs="Palatino Linotype"/>
          <w:i/>
          <w:sz w:val="22"/>
          <w:szCs w:val="22"/>
        </w:rPr>
        <w:t>II. Se esté tramitando ante el Poder Judicial de la Federación algún recurso o medio de defensa interpuesto por el recurrente; </w:t>
      </w:r>
    </w:p>
    <w:p w14:paraId="05CFE91E" w14:textId="77777777" w:rsidR="00B1082B" w:rsidRPr="00BA1ADF" w:rsidRDefault="00A9208E">
      <w:pPr>
        <w:pBdr>
          <w:top w:val="nil"/>
          <w:left w:val="nil"/>
          <w:bottom w:val="nil"/>
          <w:right w:val="nil"/>
          <w:between w:val="nil"/>
        </w:pBdr>
        <w:ind w:left="851" w:right="822"/>
        <w:jc w:val="both"/>
      </w:pPr>
      <w:r w:rsidRPr="00BA1ADF">
        <w:rPr>
          <w:rFonts w:ascii="Palatino Linotype" w:eastAsia="Palatino Linotype" w:hAnsi="Palatino Linotype" w:cs="Palatino Linotype"/>
          <w:i/>
          <w:sz w:val="22"/>
          <w:szCs w:val="22"/>
        </w:rPr>
        <w:t>III. No actualice alguno de los supuestos previstos en la presente Ley; </w:t>
      </w:r>
    </w:p>
    <w:p w14:paraId="142EE40A" w14:textId="77777777" w:rsidR="00B1082B" w:rsidRPr="00BA1ADF" w:rsidRDefault="00A9208E">
      <w:pPr>
        <w:pBdr>
          <w:top w:val="nil"/>
          <w:left w:val="nil"/>
          <w:bottom w:val="nil"/>
          <w:right w:val="nil"/>
          <w:between w:val="nil"/>
        </w:pBdr>
        <w:ind w:left="851" w:right="822"/>
        <w:jc w:val="both"/>
      </w:pPr>
      <w:r w:rsidRPr="00BA1ADF">
        <w:rPr>
          <w:rFonts w:ascii="Palatino Linotype" w:eastAsia="Palatino Linotype" w:hAnsi="Palatino Linotype" w:cs="Palatino Linotype"/>
          <w:i/>
          <w:sz w:val="22"/>
          <w:szCs w:val="22"/>
        </w:rPr>
        <w:t>IV. No se haya desahogado la prevención en los términos establecidos en la presente Ley; </w:t>
      </w:r>
    </w:p>
    <w:p w14:paraId="65EF19B0" w14:textId="77777777" w:rsidR="00B1082B" w:rsidRPr="00BA1ADF" w:rsidRDefault="00A9208E">
      <w:pPr>
        <w:pBdr>
          <w:top w:val="nil"/>
          <w:left w:val="nil"/>
          <w:bottom w:val="nil"/>
          <w:right w:val="nil"/>
          <w:between w:val="nil"/>
        </w:pBdr>
        <w:ind w:left="851" w:right="822"/>
        <w:jc w:val="both"/>
      </w:pPr>
      <w:r w:rsidRPr="00BA1ADF">
        <w:rPr>
          <w:rFonts w:ascii="Palatino Linotype" w:eastAsia="Palatino Linotype" w:hAnsi="Palatino Linotype" w:cs="Palatino Linotype"/>
          <w:i/>
          <w:sz w:val="22"/>
          <w:szCs w:val="22"/>
        </w:rPr>
        <w:t>V. Se impugne la veracidad de la información proporcionada; </w:t>
      </w:r>
    </w:p>
    <w:p w14:paraId="20B96EC6" w14:textId="77777777" w:rsidR="00B1082B" w:rsidRPr="00BA1ADF" w:rsidRDefault="00A9208E">
      <w:pPr>
        <w:pBdr>
          <w:top w:val="nil"/>
          <w:left w:val="nil"/>
          <w:bottom w:val="nil"/>
          <w:right w:val="nil"/>
          <w:between w:val="nil"/>
        </w:pBdr>
        <w:ind w:left="851" w:right="822"/>
        <w:jc w:val="both"/>
      </w:pPr>
      <w:r w:rsidRPr="00BA1ADF">
        <w:rPr>
          <w:rFonts w:ascii="Palatino Linotype" w:eastAsia="Palatino Linotype" w:hAnsi="Palatino Linotype" w:cs="Palatino Linotype"/>
          <w:i/>
          <w:sz w:val="22"/>
          <w:szCs w:val="22"/>
        </w:rPr>
        <w:t>VI. Se trate de una consulta, o trámite en específico; y </w:t>
      </w:r>
    </w:p>
    <w:p w14:paraId="04DB62BF" w14:textId="77777777" w:rsidR="00B1082B" w:rsidRPr="00BA1ADF" w:rsidRDefault="00A9208E">
      <w:pPr>
        <w:pBdr>
          <w:top w:val="nil"/>
          <w:left w:val="nil"/>
          <w:bottom w:val="nil"/>
          <w:right w:val="nil"/>
          <w:between w:val="nil"/>
        </w:pBdr>
        <w:ind w:left="851" w:right="822"/>
        <w:jc w:val="both"/>
      </w:pPr>
      <w:r w:rsidRPr="00BA1ADF">
        <w:rPr>
          <w:rFonts w:ascii="Palatino Linotype" w:eastAsia="Palatino Linotype" w:hAnsi="Palatino Linotype" w:cs="Palatino Linotype"/>
          <w:b/>
          <w:i/>
          <w:sz w:val="22"/>
          <w:szCs w:val="22"/>
        </w:rPr>
        <w:t xml:space="preserve">VII. El recurrente amplíe su solicitud en el recurso de revisión, únicamente respecto de los nuevos contenidos.” </w:t>
      </w:r>
    </w:p>
    <w:p w14:paraId="6F67F16E" w14:textId="77777777" w:rsidR="00B1082B" w:rsidRPr="00BA1ADF" w:rsidRDefault="00B1082B"/>
    <w:p w14:paraId="01A60412" w14:textId="77777777" w:rsidR="00B1082B" w:rsidRPr="00BA1ADF" w:rsidRDefault="00A9208E">
      <w:pPr>
        <w:pBdr>
          <w:top w:val="nil"/>
          <w:left w:val="nil"/>
          <w:bottom w:val="nil"/>
          <w:right w:val="nil"/>
          <w:between w:val="nil"/>
        </w:pBdr>
        <w:spacing w:line="360" w:lineRule="auto"/>
        <w:jc w:val="both"/>
      </w:pPr>
      <w:r w:rsidRPr="00BA1ADF">
        <w:rPr>
          <w:rFonts w:ascii="Palatino Linotype" w:eastAsia="Palatino Linotype" w:hAnsi="Palatino Linotype" w:cs="Palatino Linotype"/>
        </w:rPr>
        <w:t>La fracción VII del citado precepto legal, contempla la improcedencia del recurso cuando se amplíe la solicitud en el recurso de revisión.</w:t>
      </w:r>
    </w:p>
    <w:p w14:paraId="58F6EACC" w14:textId="77777777" w:rsidR="00B1082B" w:rsidRPr="00BA1ADF" w:rsidRDefault="00B1082B">
      <w:pPr>
        <w:spacing w:line="360" w:lineRule="auto"/>
      </w:pPr>
    </w:p>
    <w:p w14:paraId="139A8029" w14:textId="77777777" w:rsidR="00B1082B" w:rsidRPr="00BA1ADF" w:rsidRDefault="00A9208E">
      <w:pPr>
        <w:pBdr>
          <w:top w:val="nil"/>
          <w:left w:val="nil"/>
          <w:bottom w:val="nil"/>
          <w:right w:val="nil"/>
          <w:between w:val="nil"/>
        </w:pBdr>
        <w:spacing w:line="360" w:lineRule="auto"/>
        <w:jc w:val="both"/>
      </w:pPr>
      <w:r w:rsidRPr="00BA1ADF">
        <w:rPr>
          <w:rFonts w:ascii="Palatino Linotype" w:eastAsia="Palatino Linotype" w:hAnsi="Palatino Linotype" w:cs="Palatino Linotype"/>
        </w:rPr>
        <w:t>Sin embargo, al haber sido admitido el recurso de revisión, aún y cuando actualiza una causal de improcedencia, es necesario traer a contexto el artículo 192 fracción IV, de la multicitada Ley de Transparencia:</w:t>
      </w:r>
    </w:p>
    <w:p w14:paraId="293360FD" w14:textId="77777777" w:rsidR="00B1082B" w:rsidRPr="00BA1ADF" w:rsidRDefault="00B1082B"/>
    <w:p w14:paraId="331C9750" w14:textId="77777777" w:rsidR="00B1082B" w:rsidRPr="00BA1ADF" w:rsidRDefault="00A9208E">
      <w:pPr>
        <w:pBdr>
          <w:top w:val="nil"/>
          <w:left w:val="nil"/>
          <w:bottom w:val="nil"/>
          <w:right w:val="nil"/>
          <w:between w:val="nil"/>
        </w:pBdr>
        <w:ind w:left="851" w:right="822"/>
        <w:jc w:val="both"/>
      </w:pPr>
      <w:r w:rsidRPr="00BA1ADF">
        <w:rPr>
          <w:rFonts w:ascii="Palatino Linotype" w:eastAsia="Palatino Linotype" w:hAnsi="Palatino Linotype" w:cs="Palatino Linotype"/>
          <w:i/>
          <w:sz w:val="22"/>
          <w:szCs w:val="22"/>
        </w:rPr>
        <w:t>“Artículo 192. El recurso será sobreseído, en todo o en parte, cuando una vez admitido, se actualicen alguno de los siguientes supuestos:</w:t>
      </w:r>
    </w:p>
    <w:p w14:paraId="6AE5A3E3" w14:textId="77777777" w:rsidR="00B1082B" w:rsidRPr="00BA1ADF" w:rsidRDefault="00A9208E">
      <w:pPr>
        <w:pBdr>
          <w:top w:val="nil"/>
          <w:left w:val="nil"/>
          <w:bottom w:val="nil"/>
          <w:right w:val="nil"/>
          <w:between w:val="nil"/>
        </w:pBdr>
        <w:ind w:left="851" w:right="822"/>
        <w:jc w:val="both"/>
      </w:pPr>
      <w:r w:rsidRPr="00BA1ADF">
        <w:rPr>
          <w:rFonts w:ascii="Palatino Linotype" w:eastAsia="Palatino Linotype" w:hAnsi="Palatino Linotype" w:cs="Palatino Linotype"/>
          <w:i/>
          <w:sz w:val="22"/>
          <w:szCs w:val="22"/>
        </w:rPr>
        <w:t>I. El recurrente se desista expresamente del recurso; </w:t>
      </w:r>
    </w:p>
    <w:p w14:paraId="06CD34C7" w14:textId="77777777" w:rsidR="00B1082B" w:rsidRPr="00BA1ADF" w:rsidRDefault="00A9208E">
      <w:pPr>
        <w:pBdr>
          <w:top w:val="nil"/>
          <w:left w:val="nil"/>
          <w:bottom w:val="nil"/>
          <w:right w:val="nil"/>
          <w:between w:val="nil"/>
        </w:pBdr>
        <w:ind w:left="851" w:right="822"/>
        <w:jc w:val="both"/>
      </w:pPr>
      <w:r w:rsidRPr="00BA1ADF">
        <w:rPr>
          <w:rFonts w:ascii="Palatino Linotype" w:eastAsia="Palatino Linotype" w:hAnsi="Palatino Linotype" w:cs="Palatino Linotype"/>
          <w:i/>
          <w:sz w:val="22"/>
          <w:szCs w:val="22"/>
        </w:rPr>
        <w:t>II. El recurrente fallezca o, tratándose de personas jurídicas colectivas, se disuelva; </w:t>
      </w:r>
    </w:p>
    <w:p w14:paraId="096E6CC5" w14:textId="77777777" w:rsidR="00B1082B" w:rsidRPr="00BA1ADF" w:rsidRDefault="00A9208E">
      <w:pPr>
        <w:pBdr>
          <w:top w:val="nil"/>
          <w:left w:val="nil"/>
          <w:bottom w:val="nil"/>
          <w:right w:val="nil"/>
          <w:between w:val="nil"/>
        </w:pBdr>
        <w:ind w:left="851" w:right="822"/>
        <w:jc w:val="both"/>
      </w:pPr>
      <w:r w:rsidRPr="00BA1ADF">
        <w:rPr>
          <w:rFonts w:ascii="Palatino Linotype" w:eastAsia="Palatino Linotype" w:hAnsi="Palatino Linotype" w:cs="Palatino Linotype"/>
          <w:i/>
          <w:sz w:val="22"/>
          <w:szCs w:val="22"/>
        </w:rPr>
        <w:t>III. El sujeto obligado responsable del acto lo modifique o revoque de tal manera que el recurso de revisión quede sin materia; </w:t>
      </w:r>
    </w:p>
    <w:p w14:paraId="6C4F7710" w14:textId="77777777" w:rsidR="00B1082B" w:rsidRPr="00BA1ADF" w:rsidRDefault="00A9208E">
      <w:pPr>
        <w:pBdr>
          <w:top w:val="nil"/>
          <w:left w:val="nil"/>
          <w:bottom w:val="nil"/>
          <w:right w:val="nil"/>
          <w:between w:val="nil"/>
        </w:pBdr>
        <w:ind w:left="851" w:right="822"/>
        <w:jc w:val="both"/>
      </w:pPr>
      <w:r w:rsidRPr="00BA1ADF">
        <w:rPr>
          <w:rFonts w:ascii="Palatino Linotype" w:eastAsia="Palatino Linotype" w:hAnsi="Palatino Linotype" w:cs="Palatino Linotype"/>
          <w:b/>
          <w:i/>
          <w:sz w:val="22"/>
          <w:szCs w:val="22"/>
        </w:rPr>
        <w:t>IV. Admitido el recurso de revisión, aparezca alguna causal de improcedencia en los términos de la presente Ley; y </w:t>
      </w:r>
    </w:p>
    <w:p w14:paraId="3F97952D" w14:textId="77777777" w:rsidR="00B1082B" w:rsidRPr="00BA1ADF" w:rsidRDefault="00A9208E">
      <w:pPr>
        <w:pBdr>
          <w:top w:val="nil"/>
          <w:left w:val="nil"/>
          <w:bottom w:val="nil"/>
          <w:right w:val="nil"/>
          <w:between w:val="nil"/>
        </w:pBdr>
        <w:ind w:left="851" w:right="822"/>
        <w:jc w:val="both"/>
      </w:pPr>
      <w:r w:rsidRPr="00BA1ADF">
        <w:rPr>
          <w:rFonts w:ascii="Palatino Linotype" w:eastAsia="Palatino Linotype" w:hAnsi="Palatino Linotype" w:cs="Palatino Linotype"/>
          <w:i/>
          <w:sz w:val="22"/>
          <w:szCs w:val="22"/>
        </w:rPr>
        <w:t xml:space="preserve">V. Cuando por cualquier motivo quede sin materia el recurso.” </w:t>
      </w:r>
    </w:p>
    <w:p w14:paraId="3542BCA2" w14:textId="77777777" w:rsidR="00B1082B" w:rsidRPr="00BA1ADF" w:rsidRDefault="00B1082B"/>
    <w:p w14:paraId="5C4B7229" w14:textId="77777777" w:rsidR="00B1082B" w:rsidRPr="00BA1ADF" w:rsidRDefault="00A9208E">
      <w:pPr>
        <w:pBdr>
          <w:top w:val="nil"/>
          <w:left w:val="nil"/>
          <w:bottom w:val="nil"/>
          <w:right w:val="nil"/>
          <w:between w:val="nil"/>
        </w:pBdr>
        <w:spacing w:line="360" w:lineRule="auto"/>
        <w:jc w:val="both"/>
        <w:rPr>
          <w:rFonts w:ascii="Palatino Linotype" w:eastAsia="Palatino Linotype" w:hAnsi="Palatino Linotype" w:cs="Palatino Linotype"/>
        </w:rPr>
      </w:pPr>
      <w:r w:rsidRPr="00BA1ADF">
        <w:rPr>
          <w:rFonts w:ascii="Palatino Linotype" w:eastAsia="Palatino Linotype" w:hAnsi="Palatino Linotype" w:cs="Palatino Linotype"/>
        </w:rPr>
        <w:t xml:space="preserve">Es así que, el recurso de revisión actualiza la causal de sobreseimiento establecida en la fracción IV del artículo 192, en relación a la fracción VII del artículo 191, ambos </w:t>
      </w:r>
      <w:r w:rsidRPr="00BA1ADF">
        <w:rPr>
          <w:rFonts w:ascii="Palatino Linotype" w:eastAsia="Palatino Linotype" w:hAnsi="Palatino Linotype" w:cs="Palatino Linotype"/>
        </w:rPr>
        <w:lastRenderedPageBreak/>
        <w:t>de la Ley de Transparencia y Acceso a la Información Pública del Estado de México y Municipios.</w:t>
      </w:r>
    </w:p>
    <w:p w14:paraId="55676A88" w14:textId="77777777" w:rsidR="00B1082B" w:rsidRPr="00BA1ADF" w:rsidRDefault="00B1082B">
      <w:pPr>
        <w:pBdr>
          <w:top w:val="nil"/>
          <w:left w:val="nil"/>
          <w:bottom w:val="nil"/>
          <w:right w:val="nil"/>
          <w:between w:val="nil"/>
        </w:pBdr>
        <w:spacing w:line="360" w:lineRule="auto"/>
        <w:jc w:val="both"/>
      </w:pPr>
    </w:p>
    <w:p w14:paraId="7B6EC2DD" w14:textId="77777777" w:rsidR="00B1082B" w:rsidRPr="00BA1ADF" w:rsidRDefault="00A9208E">
      <w:pPr>
        <w:pBdr>
          <w:top w:val="nil"/>
          <w:left w:val="nil"/>
          <w:bottom w:val="nil"/>
          <w:right w:val="nil"/>
          <w:between w:val="nil"/>
        </w:pBdr>
        <w:spacing w:line="360" w:lineRule="auto"/>
        <w:jc w:val="both"/>
      </w:pPr>
      <w:r w:rsidRPr="00BA1ADF">
        <w:rPr>
          <w:rFonts w:ascii="Palatino Linotype" w:eastAsia="Palatino Linotype" w:hAnsi="Palatino Linotype" w:cs="Palatino Linotype"/>
        </w:rPr>
        <w:t>Lo anterior tiene sustento en la Tesis: I.7o.C.54 K, del Séptimo Tribunal Colegiado en Materia Civil Del Primer Circuito publicada en el Semanario Judicial de la Federación y su Gaceta, de la Novena Época, en el Tomo XXIX, Enero de 2009, a página 2837, que literalmente establece:</w:t>
      </w:r>
    </w:p>
    <w:p w14:paraId="633681DB" w14:textId="77777777" w:rsidR="00B1082B" w:rsidRPr="00BA1ADF" w:rsidRDefault="00B1082B"/>
    <w:p w14:paraId="3D20AC37" w14:textId="77777777" w:rsidR="00B1082B" w:rsidRPr="00BA1ADF" w:rsidRDefault="00A9208E">
      <w:pPr>
        <w:pBdr>
          <w:top w:val="nil"/>
          <w:left w:val="nil"/>
          <w:bottom w:val="nil"/>
          <w:right w:val="nil"/>
          <w:between w:val="nil"/>
        </w:pBdr>
        <w:ind w:left="567" w:right="567"/>
        <w:jc w:val="both"/>
      </w:pPr>
      <w:r w:rsidRPr="00BA1ADF">
        <w:rPr>
          <w:rFonts w:ascii="Palatino Linotype" w:eastAsia="Palatino Linotype" w:hAnsi="Palatino Linotype" w:cs="Palatino Linotype"/>
          <w:i/>
          <w:sz w:val="22"/>
          <w:szCs w:val="22"/>
        </w:rPr>
        <w:t>“</w:t>
      </w:r>
      <w:r w:rsidRPr="00BA1ADF">
        <w:rPr>
          <w:rFonts w:ascii="Palatino Linotype" w:eastAsia="Palatino Linotype" w:hAnsi="Palatino Linotype" w:cs="Palatino Linotype"/>
          <w:b/>
          <w:i/>
          <w:sz w:val="22"/>
          <w:szCs w:val="22"/>
        </w:rPr>
        <w:t>SOBRESEIMIENTO EN EL JUICIO DE AMPARO DIRECTO. IMPIDE EL ESTUDIO DE LAS VIOLACIONES PROCESALES PLANTEADAS EN LOS CONCEPTOS DE VIOLACIÓN.</w:t>
      </w:r>
      <w:r w:rsidRPr="00BA1ADF">
        <w:rPr>
          <w:rFonts w:ascii="Palatino Linotype" w:eastAsia="Palatino Linotype" w:hAnsi="Palatino Linotype" w:cs="Palatino Linotype"/>
          <w:i/>
          <w:sz w:val="22"/>
          <w:szCs w:val="22"/>
        </w:rPr>
        <w:t xml:space="preserve"> El sobreseimiento en el juicio de amparo directo provoca la terminación de la controversia planteada por el quejoso en la demanda de amparo, sin hacer un pronunciamiento de fondo sobre la legalidad o ilegalidad de la sentencia reclamada. Por consiguiente, si al sobreseerse en el juicio de amparo 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p>
    <w:p w14:paraId="297B84E9" w14:textId="77777777" w:rsidR="00B1082B" w:rsidRPr="00BA1ADF" w:rsidRDefault="00A9208E">
      <w:pPr>
        <w:pBdr>
          <w:top w:val="nil"/>
          <w:left w:val="nil"/>
          <w:bottom w:val="nil"/>
          <w:right w:val="nil"/>
          <w:between w:val="nil"/>
        </w:pBdr>
        <w:ind w:left="567" w:right="567"/>
        <w:jc w:val="both"/>
      </w:pPr>
      <w:r w:rsidRPr="00BA1ADF">
        <w:rPr>
          <w:rFonts w:ascii="Palatino Linotype" w:eastAsia="Palatino Linotype" w:hAnsi="Palatino Linotype" w:cs="Palatino Linotype"/>
          <w:i/>
          <w:sz w:val="22"/>
          <w:szCs w:val="22"/>
        </w:rPr>
        <w:t>SEPTIMO TRIBUNAL COLEGIADO EN MATERIA CIVIL DEL PRIMER CIRCUITO</w:t>
      </w:r>
    </w:p>
    <w:p w14:paraId="02A6AAB3" w14:textId="77777777" w:rsidR="00B1082B" w:rsidRPr="00BA1ADF" w:rsidRDefault="00A9208E">
      <w:pPr>
        <w:pBdr>
          <w:top w:val="nil"/>
          <w:left w:val="nil"/>
          <w:bottom w:val="nil"/>
          <w:right w:val="nil"/>
          <w:between w:val="nil"/>
        </w:pBdr>
        <w:ind w:left="567" w:right="567"/>
        <w:jc w:val="both"/>
      </w:pPr>
      <w:r w:rsidRPr="00BA1ADF">
        <w:rPr>
          <w:rFonts w:ascii="Palatino Linotype" w:eastAsia="Palatino Linotype" w:hAnsi="Palatino Linotype" w:cs="Palatino Linotype"/>
          <w:i/>
          <w:sz w:val="22"/>
          <w:szCs w:val="22"/>
        </w:rPr>
        <w:t>Amparo directo 699/2008. Mariana Leticia González Steele. 13 de noviembre de 2008. Unanimidad de votos. Ponente: Sara Judith Montalvo Trejo. Secretario: Arnulfo Mateos García.”</w:t>
      </w:r>
    </w:p>
    <w:p w14:paraId="4EEF5684" w14:textId="77777777" w:rsidR="00B1082B" w:rsidRPr="00BA1ADF" w:rsidRDefault="00B1082B"/>
    <w:p w14:paraId="4ED6D65A" w14:textId="77777777" w:rsidR="00B1082B" w:rsidRPr="00BA1ADF" w:rsidRDefault="00A9208E">
      <w:pPr>
        <w:pBdr>
          <w:top w:val="nil"/>
          <w:left w:val="nil"/>
          <w:bottom w:val="nil"/>
          <w:right w:val="nil"/>
          <w:between w:val="nil"/>
        </w:pBdr>
        <w:spacing w:line="360" w:lineRule="auto"/>
        <w:jc w:val="both"/>
      </w:pPr>
      <w:r w:rsidRPr="00BA1ADF">
        <w:rPr>
          <w:rFonts w:ascii="Palatino Linotype" w:eastAsia="Palatino Linotype" w:hAnsi="Palatino Linotype" w:cs="Palatino Linotype"/>
        </w:rPr>
        <w:t xml:space="preserve">Siendo el </w:t>
      </w:r>
      <w:r w:rsidRPr="00BA1ADF">
        <w:rPr>
          <w:rFonts w:ascii="Palatino Linotype" w:eastAsia="Palatino Linotype" w:hAnsi="Palatino Linotype" w:cs="Palatino Linotype"/>
          <w:i/>
        </w:rPr>
        <w:t>sobreseimiento</w:t>
      </w:r>
      <w:r w:rsidRPr="00BA1ADF">
        <w:rPr>
          <w:rFonts w:ascii="Palatino Linotype" w:eastAsia="Palatino Linotype" w:hAnsi="Palatino Linotype" w:cs="Palatino Linotype"/>
        </w:rPr>
        <w:t xml:space="preserve"> un acto que da por terminado el procedimiento administrativo de impugnación sin resolver el fondo de la cuestión planteada, por presentarse causas que impiden a la autoridad referirse a lo sustancial de lo planteado por el recurrente, los efectos del sobreseimiento consisten en dar por concluido el recurso administrativo sin entrar al estudio de fondo del asunto de que se trate; lo anterior con apoyo en el criterio del Poder Judicial de la Federación con rubro:</w:t>
      </w:r>
    </w:p>
    <w:p w14:paraId="22EA27B8" w14:textId="77777777" w:rsidR="00B1082B" w:rsidRPr="00BA1ADF" w:rsidRDefault="00B1082B"/>
    <w:p w14:paraId="0C027C56" w14:textId="77777777" w:rsidR="00B1082B" w:rsidRPr="00BA1ADF" w:rsidRDefault="00A9208E">
      <w:pPr>
        <w:pBdr>
          <w:top w:val="nil"/>
          <w:left w:val="nil"/>
          <w:bottom w:val="nil"/>
          <w:right w:val="nil"/>
          <w:between w:val="nil"/>
        </w:pBdr>
        <w:spacing w:after="120"/>
        <w:ind w:left="851" w:right="902"/>
        <w:jc w:val="both"/>
      </w:pPr>
      <w:r w:rsidRPr="00BA1ADF">
        <w:rPr>
          <w:rFonts w:ascii="Palatino Linotype" w:eastAsia="Palatino Linotype" w:hAnsi="Palatino Linotype" w:cs="Palatino Linotype"/>
          <w:i/>
          <w:sz w:val="22"/>
          <w:szCs w:val="22"/>
        </w:rPr>
        <w:t>“</w:t>
      </w:r>
      <w:r w:rsidRPr="00BA1ADF">
        <w:rPr>
          <w:rFonts w:ascii="Palatino Linotype" w:eastAsia="Palatino Linotype" w:hAnsi="Palatino Linotype" w:cs="Palatino Linotype"/>
          <w:b/>
          <w:i/>
          <w:sz w:val="22"/>
          <w:szCs w:val="22"/>
        </w:rPr>
        <w:t>SOBRESEIMIENTO, NO PERMITE ENTRAR AL ESTUDIO DE LAS CUESTIONES DE FONDO</w:t>
      </w:r>
    </w:p>
    <w:p w14:paraId="5668B573" w14:textId="77777777" w:rsidR="00B1082B" w:rsidRPr="00BA1ADF" w:rsidRDefault="00A9208E">
      <w:pPr>
        <w:pBdr>
          <w:top w:val="nil"/>
          <w:left w:val="nil"/>
          <w:bottom w:val="nil"/>
          <w:right w:val="nil"/>
          <w:between w:val="nil"/>
        </w:pBdr>
        <w:spacing w:before="120" w:after="120"/>
        <w:ind w:left="851" w:right="902"/>
        <w:jc w:val="both"/>
      </w:pPr>
      <w:r w:rsidRPr="00BA1ADF">
        <w:rPr>
          <w:rFonts w:ascii="Palatino Linotype" w:eastAsia="Palatino Linotype" w:hAnsi="Palatino Linotype" w:cs="Palatino Linotype"/>
          <w:i/>
          <w:sz w:val="22"/>
          <w:szCs w:val="22"/>
        </w:rPr>
        <w:t>Localización: 213609. II.2o.183 K. Tribunales Colegiados de Circuito. Octava Época. Semanario Judicial de la Federación. Tomo XIII, Febrero de 1994, Pág. 420</w:t>
      </w:r>
    </w:p>
    <w:p w14:paraId="0A05DE30" w14:textId="77777777" w:rsidR="00B1082B" w:rsidRPr="00BA1ADF" w:rsidRDefault="00A9208E">
      <w:pPr>
        <w:pBdr>
          <w:top w:val="nil"/>
          <w:left w:val="nil"/>
          <w:bottom w:val="nil"/>
          <w:right w:val="nil"/>
          <w:between w:val="nil"/>
        </w:pBdr>
        <w:spacing w:before="120" w:after="120"/>
        <w:ind w:left="851" w:right="902"/>
        <w:jc w:val="both"/>
      </w:pPr>
      <w:r w:rsidRPr="00BA1ADF">
        <w:rPr>
          <w:rFonts w:ascii="Palatino Linotype" w:eastAsia="Palatino Linotype" w:hAnsi="Palatino Linotype" w:cs="Palatino Linotype"/>
          <w:i/>
          <w:sz w:val="22"/>
          <w:szCs w:val="22"/>
        </w:rPr>
        <w:t xml:space="preserve">Cuerpo de tesis: No causa agravio la sentencia que no se ocupa de los razonamientos tendientes a demostrar la inconstitucionalidad de los actos reclamados de las autoridades responsables, que constituyen el problema de fondo, si se decreta el sobreseimiento del juicio.” </w:t>
      </w:r>
    </w:p>
    <w:p w14:paraId="1E299003" w14:textId="77777777" w:rsidR="00B1082B" w:rsidRPr="00BA1ADF" w:rsidRDefault="00B1082B"/>
    <w:p w14:paraId="3B867BE3" w14:textId="77777777" w:rsidR="00B1082B" w:rsidRPr="00BA1ADF" w:rsidRDefault="00A9208E">
      <w:pPr>
        <w:pBdr>
          <w:top w:val="nil"/>
          <w:left w:val="nil"/>
          <w:bottom w:val="nil"/>
          <w:right w:val="nil"/>
          <w:between w:val="nil"/>
        </w:pBdr>
        <w:spacing w:line="360" w:lineRule="auto"/>
        <w:ind w:right="96"/>
        <w:jc w:val="both"/>
      </w:pPr>
      <w:r w:rsidRPr="00BA1ADF">
        <w:rPr>
          <w:rFonts w:ascii="Palatino Linotype" w:eastAsia="Palatino Linotype" w:hAnsi="Palatino Linotype" w:cs="Palatino Linotype"/>
        </w:rPr>
        <w:t>Así, con fundamento en lo prescrito en los artículos 5 párrafos trigésimo segundo, trigésimo tercero y trigésimo cuarto de la Constitución Política del Estado Libre y Soberano de México; 2, fracción II; 29, 36 fracciones I y II; 176, 178, 181, 185 y 186 fracción II de la Ley de Transparencia y Acceso a la Información Pública del Estado de México y Municipios, este Pleno:</w:t>
      </w:r>
    </w:p>
    <w:p w14:paraId="314B812B" w14:textId="77777777" w:rsidR="00B1082B" w:rsidRPr="00BA1ADF" w:rsidRDefault="00B1082B"/>
    <w:p w14:paraId="38A70FF6" w14:textId="77777777" w:rsidR="00B1082B" w:rsidRPr="00BA1ADF" w:rsidRDefault="00A9208E">
      <w:pPr>
        <w:pBdr>
          <w:top w:val="nil"/>
          <w:left w:val="nil"/>
          <w:bottom w:val="nil"/>
          <w:right w:val="nil"/>
          <w:between w:val="nil"/>
        </w:pBdr>
        <w:jc w:val="center"/>
      </w:pPr>
      <w:r w:rsidRPr="00BA1ADF">
        <w:rPr>
          <w:rFonts w:ascii="Palatino Linotype" w:eastAsia="Palatino Linotype" w:hAnsi="Palatino Linotype" w:cs="Palatino Linotype"/>
          <w:b/>
        </w:rPr>
        <w:t>III. R E S U E L V E:</w:t>
      </w:r>
    </w:p>
    <w:p w14:paraId="7C1C12D3" w14:textId="77777777" w:rsidR="00B1082B" w:rsidRPr="00BA1ADF" w:rsidRDefault="00B1082B">
      <w:pPr>
        <w:pBdr>
          <w:top w:val="nil"/>
          <w:left w:val="nil"/>
          <w:bottom w:val="nil"/>
          <w:right w:val="nil"/>
          <w:between w:val="nil"/>
        </w:pBdr>
        <w:spacing w:line="360" w:lineRule="auto"/>
        <w:jc w:val="both"/>
        <w:rPr>
          <w:rFonts w:ascii="Palatino Linotype" w:eastAsia="Palatino Linotype" w:hAnsi="Palatino Linotype" w:cs="Palatino Linotype"/>
          <w:b/>
        </w:rPr>
      </w:pPr>
    </w:p>
    <w:p w14:paraId="5C0B2D46" w14:textId="77777777" w:rsidR="00B1082B" w:rsidRPr="00BA1ADF" w:rsidRDefault="00A9208E">
      <w:pPr>
        <w:pBdr>
          <w:top w:val="nil"/>
          <w:left w:val="nil"/>
          <w:bottom w:val="nil"/>
          <w:right w:val="nil"/>
          <w:between w:val="nil"/>
        </w:pBdr>
        <w:spacing w:line="360" w:lineRule="auto"/>
        <w:jc w:val="both"/>
      </w:pPr>
      <w:r w:rsidRPr="00BA1ADF">
        <w:rPr>
          <w:rFonts w:ascii="Palatino Linotype" w:eastAsia="Palatino Linotype" w:hAnsi="Palatino Linotype" w:cs="Palatino Linotype"/>
          <w:b/>
        </w:rPr>
        <w:t xml:space="preserve">Primero. </w:t>
      </w:r>
      <w:r w:rsidRPr="00BA1ADF">
        <w:rPr>
          <w:rFonts w:ascii="Palatino Linotype" w:eastAsia="Palatino Linotype" w:hAnsi="Palatino Linotype" w:cs="Palatino Linotype"/>
        </w:rPr>
        <w:t>Se</w:t>
      </w:r>
      <w:r w:rsidRPr="00BA1ADF">
        <w:rPr>
          <w:rFonts w:ascii="Palatino Linotype" w:eastAsia="Palatino Linotype" w:hAnsi="Palatino Linotype" w:cs="Palatino Linotype"/>
          <w:b/>
        </w:rPr>
        <w:t xml:space="preserve"> Sobresee </w:t>
      </w:r>
      <w:r w:rsidRPr="00BA1ADF">
        <w:rPr>
          <w:rFonts w:ascii="Palatino Linotype" w:eastAsia="Palatino Linotype" w:hAnsi="Palatino Linotype" w:cs="Palatino Linotype"/>
        </w:rPr>
        <w:t xml:space="preserve">el recurso de revisión número </w:t>
      </w:r>
      <w:r w:rsidRPr="00BA1ADF">
        <w:rPr>
          <w:rFonts w:ascii="Palatino Linotype" w:eastAsia="Palatino Linotype" w:hAnsi="Palatino Linotype" w:cs="Palatino Linotype"/>
          <w:b/>
        </w:rPr>
        <w:t>00029/INFOEM/IP/RR/2024</w:t>
      </w:r>
      <w:r w:rsidRPr="00BA1ADF">
        <w:rPr>
          <w:rFonts w:ascii="Palatino Linotype" w:eastAsia="Palatino Linotype" w:hAnsi="Palatino Linotype" w:cs="Palatino Linotype"/>
        </w:rPr>
        <w:t>, porque una vez admitido se actualizó la causal de improcedencia prevista en artículo 192 fracción IV, en relación con la fracción VII del artículo 191, de la Ley de Transparencia y Acceso a la Información Pública del Estado de México y Municipios, que lo dejó sin materia en términos del Considerando</w:t>
      </w:r>
      <w:r w:rsidRPr="00BA1ADF">
        <w:rPr>
          <w:rFonts w:ascii="Palatino Linotype" w:eastAsia="Palatino Linotype" w:hAnsi="Palatino Linotype" w:cs="Palatino Linotype"/>
          <w:b/>
        </w:rPr>
        <w:t xml:space="preserve"> </w:t>
      </w:r>
      <w:r w:rsidRPr="00BA1ADF">
        <w:rPr>
          <w:rFonts w:ascii="Palatino Linotype" w:eastAsia="Palatino Linotype" w:hAnsi="Palatino Linotype" w:cs="Palatino Linotype"/>
        </w:rPr>
        <w:t>Tercero</w:t>
      </w:r>
      <w:r w:rsidRPr="00BA1ADF">
        <w:rPr>
          <w:rFonts w:ascii="Palatino Linotype" w:eastAsia="Palatino Linotype" w:hAnsi="Palatino Linotype" w:cs="Palatino Linotype"/>
          <w:b/>
        </w:rPr>
        <w:t xml:space="preserve"> </w:t>
      </w:r>
      <w:r w:rsidRPr="00BA1ADF">
        <w:rPr>
          <w:rFonts w:ascii="Palatino Linotype" w:eastAsia="Palatino Linotype" w:hAnsi="Palatino Linotype" w:cs="Palatino Linotype"/>
        </w:rPr>
        <w:t>de la presente resolución.</w:t>
      </w:r>
    </w:p>
    <w:p w14:paraId="33D4C3C0" w14:textId="77777777" w:rsidR="00B1082B" w:rsidRPr="00BA1ADF" w:rsidRDefault="00B1082B">
      <w:pPr>
        <w:spacing w:line="360" w:lineRule="auto"/>
      </w:pPr>
    </w:p>
    <w:p w14:paraId="0466771E" w14:textId="77777777" w:rsidR="00B1082B" w:rsidRPr="00BA1ADF" w:rsidRDefault="00A9208E">
      <w:pPr>
        <w:pBdr>
          <w:top w:val="nil"/>
          <w:left w:val="nil"/>
          <w:bottom w:val="nil"/>
          <w:right w:val="nil"/>
          <w:between w:val="nil"/>
        </w:pBdr>
        <w:spacing w:line="360" w:lineRule="auto"/>
        <w:jc w:val="both"/>
      </w:pPr>
      <w:r w:rsidRPr="00BA1ADF">
        <w:rPr>
          <w:rFonts w:ascii="Palatino Linotype" w:eastAsia="Palatino Linotype" w:hAnsi="Palatino Linotype" w:cs="Palatino Linotype"/>
          <w:b/>
        </w:rPr>
        <w:t xml:space="preserve">Segundo. Notifíquese, </w:t>
      </w:r>
      <w:r w:rsidRPr="00BA1ADF">
        <w:rPr>
          <w:rFonts w:ascii="Palatino Linotype" w:eastAsia="Palatino Linotype" w:hAnsi="Palatino Linotype" w:cs="Palatino Linotype"/>
        </w:rPr>
        <w:t>vía</w:t>
      </w:r>
      <w:r w:rsidRPr="00BA1ADF">
        <w:rPr>
          <w:rFonts w:ascii="Palatino Linotype" w:eastAsia="Palatino Linotype" w:hAnsi="Palatino Linotype" w:cs="Palatino Linotype"/>
          <w:b/>
        </w:rPr>
        <w:t xml:space="preserve"> SAIMEX,</w:t>
      </w:r>
      <w:r w:rsidRPr="00BA1ADF">
        <w:rPr>
          <w:rFonts w:ascii="Palatino Linotype" w:eastAsia="Palatino Linotype" w:hAnsi="Palatino Linotype" w:cs="Palatino Linotype"/>
        </w:rPr>
        <w:t xml:space="preserve"> al Titular de la Unidad de Transparencia del </w:t>
      </w:r>
      <w:r w:rsidRPr="00BA1ADF">
        <w:rPr>
          <w:rFonts w:ascii="Palatino Linotype" w:eastAsia="Palatino Linotype" w:hAnsi="Palatino Linotype" w:cs="Palatino Linotype"/>
          <w:b/>
        </w:rPr>
        <w:t>Sujeto Obligado</w:t>
      </w:r>
      <w:r w:rsidRPr="00BA1ADF">
        <w:rPr>
          <w:rFonts w:ascii="Palatino Linotype" w:eastAsia="Palatino Linotype" w:hAnsi="Palatino Linotype" w:cs="Palatino Linotype"/>
        </w:rPr>
        <w:t xml:space="preserve"> la presente resolución, para su conocimiento.</w:t>
      </w:r>
    </w:p>
    <w:p w14:paraId="69F46F9F" w14:textId="77777777" w:rsidR="00B1082B" w:rsidRPr="00BA1ADF" w:rsidRDefault="00B1082B">
      <w:pPr>
        <w:spacing w:line="360" w:lineRule="auto"/>
      </w:pPr>
    </w:p>
    <w:p w14:paraId="616B09AA" w14:textId="77777777" w:rsidR="00B1082B" w:rsidRPr="00BA1ADF" w:rsidRDefault="00A9208E">
      <w:pPr>
        <w:pBdr>
          <w:top w:val="nil"/>
          <w:left w:val="nil"/>
          <w:bottom w:val="nil"/>
          <w:right w:val="nil"/>
          <w:between w:val="nil"/>
        </w:pBdr>
        <w:spacing w:line="360" w:lineRule="auto"/>
        <w:jc w:val="both"/>
      </w:pPr>
      <w:r w:rsidRPr="00BA1ADF">
        <w:rPr>
          <w:rFonts w:ascii="Palatino Linotype" w:eastAsia="Palatino Linotype" w:hAnsi="Palatino Linotype" w:cs="Palatino Linotype"/>
          <w:b/>
        </w:rPr>
        <w:lastRenderedPageBreak/>
        <w:t xml:space="preserve">Tercero. Notifíquese, </w:t>
      </w:r>
      <w:r w:rsidRPr="00BA1ADF">
        <w:rPr>
          <w:rFonts w:ascii="Palatino Linotype" w:eastAsia="Palatino Linotype" w:hAnsi="Palatino Linotype" w:cs="Palatino Linotype"/>
        </w:rPr>
        <w:t>vía</w:t>
      </w:r>
      <w:r w:rsidRPr="00BA1ADF">
        <w:rPr>
          <w:rFonts w:ascii="Palatino Linotype" w:eastAsia="Palatino Linotype" w:hAnsi="Palatino Linotype" w:cs="Palatino Linotype"/>
          <w:b/>
        </w:rPr>
        <w:t xml:space="preserve"> SAIMEX</w:t>
      </w:r>
      <w:r w:rsidRPr="00BA1ADF">
        <w:rPr>
          <w:rFonts w:ascii="Palatino Linotype" w:eastAsia="Palatino Linotype" w:hAnsi="Palatino Linotype" w:cs="Palatino Linotype"/>
        </w:rPr>
        <w:t>, a</w:t>
      </w:r>
      <w:r w:rsidRPr="00BA1ADF">
        <w:rPr>
          <w:rFonts w:ascii="Palatino Linotype" w:eastAsia="Palatino Linotype" w:hAnsi="Palatino Linotype" w:cs="Palatino Linotype"/>
          <w:b/>
        </w:rPr>
        <w:t xml:space="preserve"> la parte</w:t>
      </w:r>
      <w:r w:rsidRPr="00BA1ADF">
        <w:rPr>
          <w:rFonts w:ascii="Palatino Linotype" w:eastAsia="Palatino Linotype" w:hAnsi="Palatino Linotype" w:cs="Palatino Linotype"/>
        </w:rPr>
        <w:t xml:space="preserve"> </w:t>
      </w:r>
      <w:r w:rsidRPr="00BA1ADF">
        <w:rPr>
          <w:rFonts w:ascii="Palatino Linotype" w:eastAsia="Palatino Linotype" w:hAnsi="Palatino Linotype" w:cs="Palatino Linotype"/>
          <w:b/>
        </w:rPr>
        <w:t>Recurrente</w:t>
      </w:r>
      <w:r w:rsidRPr="00BA1ADF">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podrá impugnarla vía el Juicio de Amparo en los términos de las leyes aplicables.</w:t>
      </w:r>
    </w:p>
    <w:p w14:paraId="625EB5F8" w14:textId="77777777" w:rsidR="00B1082B" w:rsidRPr="00BA1ADF" w:rsidRDefault="00A9208E">
      <w:pPr>
        <w:spacing w:before="240" w:after="240" w:line="360" w:lineRule="auto"/>
        <w:jc w:val="both"/>
        <w:rPr>
          <w:rFonts w:ascii="Palatino Linotype" w:eastAsia="Palatino Linotype" w:hAnsi="Palatino Linotype" w:cs="Palatino Linotype"/>
        </w:rPr>
      </w:pPr>
      <w:r w:rsidRPr="00BA1ADF">
        <w:rPr>
          <w:rFonts w:ascii="Palatino Linotype" w:eastAsia="Palatino Linotype" w:hAnsi="Palatino Linotype" w:cs="Palatino Linotype"/>
        </w:rPr>
        <w:t>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PRIMERA SESIÓN ORDINARIA CELEBRADA EL TRES DE ABRIL DE DOS MIL VEINTICUATRO, ANTE EL SECRETARIO TÉCNICO DEL PLENO ALEXIS TAPIA RAMÍREZ.</w:t>
      </w:r>
    </w:p>
    <w:p w14:paraId="6677C48E" w14:textId="77777777" w:rsidR="00B1082B" w:rsidRPr="00BA1ADF" w:rsidRDefault="00B1082B">
      <w:pPr>
        <w:spacing w:before="240" w:after="240" w:line="360" w:lineRule="auto"/>
        <w:jc w:val="both"/>
        <w:rPr>
          <w:rFonts w:ascii="Palatino Linotype" w:eastAsia="Palatino Linotype" w:hAnsi="Palatino Linotype" w:cs="Palatino Linotype"/>
        </w:rPr>
      </w:pPr>
    </w:p>
    <w:p w14:paraId="1BBC7725" w14:textId="77777777" w:rsidR="00B1082B" w:rsidRPr="00BA1ADF" w:rsidRDefault="00B1082B">
      <w:pPr>
        <w:spacing w:before="240" w:after="240" w:line="360" w:lineRule="auto"/>
        <w:jc w:val="both"/>
        <w:rPr>
          <w:rFonts w:ascii="Palatino Linotype" w:eastAsia="Palatino Linotype" w:hAnsi="Palatino Linotype" w:cs="Palatino Linotype"/>
        </w:rPr>
      </w:pPr>
    </w:p>
    <w:p w14:paraId="28338E13" w14:textId="77777777" w:rsidR="00B1082B" w:rsidRPr="00BA1ADF" w:rsidRDefault="00B1082B">
      <w:pPr>
        <w:spacing w:before="240" w:after="240" w:line="360" w:lineRule="auto"/>
        <w:jc w:val="both"/>
        <w:rPr>
          <w:rFonts w:ascii="Palatino Linotype" w:eastAsia="Palatino Linotype" w:hAnsi="Palatino Linotype" w:cs="Palatino Linotype"/>
        </w:rPr>
      </w:pPr>
    </w:p>
    <w:p w14:paraId="5CDE3B41" w14:textId="77777777" w:rsidR="00B1082B" w:rsidRPr="00BA1ADF" w:rsidRDefault="00B1082B">
      <w:pPr>
        <w:spacing w:before="240" w:after="240" w:line="360" w:lineRule="auto"/>
        <w:jc w:val="both"/>
        <w:rPr>
          <w:rFonts w:ascii="Palatino Linotype" w:eastAsia="Palatino Linotype" w:hAnsi="Palatino Linotype" w:cs="Palatino Linotype"/>
        </w:rPr>
      </w:pPr>
    </w:p>
    <w:p w14:paraId="549409F9" w14:textId="77777777" w:rsidR="00B1082B" w:rsidRPr="00BA1ADF" w:rsidRDefault="00B1082B">
      <w:pPr>
        <w:spacing w:before="240" w:after="240" w:line="360" w:lineRule="auto"/>
        <w:jc w:val="both"/>
        <w:rPr>
          <w:rFonts w:ascii="Palatino Linotype" w:eastAsia="Palatino Linotype" w:hAnsi="Palatino Linotype" w:cs="Palatino Linotype"/>
        </w:rPr>
      </w:pPr>
    </w:p>
    <w:p w14:paraId="4E4F7BBC" w14:textId="77777777" w:rsidR="00B1082B" w:rsidRPr="00BA1ADF" w:rsidRDefault="00B1082B">
      <w:pPr>
        <w:spacing w:before="240" w:after="240" w:line="360" w:lineRule="auto"/>
        <w:jc w:val="both"/>
        <w:rPr>
          <w:rFonts w:ascii="Palatino Linotype" w:eastAsia="Palatino Linotype" w:hAnsi="Palatino Linotype" w:cs="Palatino Linotype"/>
        </w:rPr>
      </w:pPr>
    </w:p>
    <w:p w14:paraId="5A4AB2D0" w14:textId="77777777" w:rsidR="00B1082B" w:rsidRPr="00BA1ADF" w:rsidRDefault="00B1082B">
      <w:pPr>
        <w:spacing w:before="240" w:after="240" w:line="360" w:lineRule="auto"/>
        <w:jc w:val="both"/>
        <w:rPr>
          <w:rFonts w:ascii="Palatino Linotype" w:eastAsia="Palatino Linotype" w:hAnsi="Palatino Linotype" w:cs="Palatino Linotype"/>
        </w:rPr>
      </w:pPr>
    </w:p>
    <w:p w14:paraId="7EBAB564" w14:textId="77777777" w:rsidR="00B1082B" w:rsidRPr="00BA1ADF" w:rsidRDefault="00B1082B">
      <w:pPr>
        <w:spacing w:before="240" w:after="240" w:line="360" w:lineRule="auto"/>
        <w:jc w:val="both"/>
        <w:rPr>
          <w:rFonts w:ascii="Palatino Linotype" w:eastAsia="Palatino Linotype" w:hAnsi="Palatino Linotype" w:cs="Palatino Linotype"/>
        </w:rPr>
      </w:pPr>
    </w:p>
    <w:p w14:paraId="5BCDC9BE" w14:textId="77777777" w:rsidR="00B1082B" w:rsidRPr="00BA1ADF" w:rsidRDefault="00B1082B">
      <w:pPr>
        <w:spacing w:before="240" w:after="240" w:line="360" w:lineRule="auto"/>
        <w:jc w:val="both"/>
        <w:rPr>
          <w:rFonts w:ascii="Palatino Linotype" w:eastAsia="Palatino Linotype" w:hAnsi="Palatino Linotype" w:cs="Palatino Linotype"/>
        </w:rPr>
      </w:pPr>
    </w:p>
    <w:p w14:paraId="00C16727" w14:textId="77777777" w:rsidR="00B1082B" w:rsidRPr="00BA1ADF" w:rsidRDefault="00B1082B">
      <w:pPr>
        <w:spacing w:before="240" w:after="240" w:line="360" w:lineRule="auto"/>
        <w:jc w:val="both"/>
        <w:rPr>
          <w:rFonts w:ascii="Palatino Linotype" w:eastAsia="Palatino Linotype" w:hAnsi="Palatino Linotype" w:cs="Palatino Linotype"/>
        </w:rPr>
      </w:pPr>
    </w:p>
    <w:p w14:paraId="169EF094" w14:textId="77777777" w:rsidR="00B1082B" w:rsidRPr="00BA1ADF" w:rsidRDefault="00B1082B">
      <w:pPr>
        <w:spacing w:before="240" w:after="240" w:line="360" w:lineRule="auto"/>
        <w:jc w:val="both"/>
        <w:rPr>
          <w:rFonts w:ascii="Palatino Linotype" w:eastAsia="Palatino Linotype" w:hAnsi="Palatino Linotype" w:cs="Palatino Linotype"/>
        </w:rPr>
      </w:pPr>
    </w:p>
    <w:p w14:paraId="6A801416" w14:textId="77777777" w:rsidR="00B1082B" w:rsidRPr="00BA1ADF" w:rsidRDefault="00B1082B">
      <w:pPr>
        <w:spacing w:before="240" w:after="240" w:line="360" w:lineRule="auto"/>
        <w:jc w:val="both"/>
        <w:rPr>
          <w:rFonts w:ascii="Palatino Linotype" w:eastAsia="Palatino Linotype" w:hAnsi="Palatino Linotype" w:cs="Palatino Linotype"/>
        </w:rPr>
      </w:pPr>
    </w:p>
    <w:p w14:paraId="4E8F8FC8" w14:textId="77777777" w:rsidR="00B1082B" w:rsidRPr="00BA1ADF" w:rsidRDefault="00B1082B">
      <w:pPr>
        <w:spacing w:before="240" w:after="240" w:line="360" w:lineRule="auto"/>
        <w:jc w:val="both"/>
        <w:rPr>
          <w:rFonts w:ascii="Palatino Linotype" w:eastAsia="Palatino Linotype" w:hAnsi="Palatino Linotype" w:cs="Palatino Linotype"/>
        </w:rPr>
      </w:pPr>
    </w:p>
    <w:p w14:paraId="748BD082" w14:textId="77777777" w:rsidR="00B1082B" w:rsidRPr="00BA1ADF" w:rsidRDefault="00B1082B">
      <w:pPr>
        <w:spacing w:before="240" w:after="240" w:line="360" w:lineRule="auto"/>
        <w:jc w:val="both"/>
        <w:rPr>
          <w:rFonts w:ascii="Palatino Linotype" w:eastAsia="Palatino Linotype" w:hAnsi="Palatino Linotype" w:cs="Palatino Linotype"/>
        </w:rPr>
      </w:pPr>
    </w:p>
    <w:p w14:paraId="32CAF7CC" w14:textId="77777777" w:rsidR="00B1082B" w:rsidRPr="00BA1ADF" w:rsidRDefault="00B1082B">
      <w:pPr>
        <w:spacing w:before="240" w:after="240" w:line="360" w:lineRule="auto"/>
        <w:jc w:val="both"/>
        <w:rPr>
          <w:rFonts w:ascii="Palatino Linotype" w:eastAsia="Palatino Linotype" w:hAnsi="Palatino Linotype" w:cs="Palatino Linotype"/>
        </w:rPr>
      </w:pPr>
    </w:p>
    <w:sectPr w:rsidR="00B1082B" w:rsidRPr="00BA1ADF">
      <w:headerReference w:type="default" r:id="rId10"/>
      <w:footerReference w:type="default" r:id="rId11"/>
      <w:headerReference w:type="first" r:id="rId12"/>
      <w:footerReference w:type="first" r:id="rId13"/>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73745" w14:textId="77777777" w:rsidR="000543B0" w:rsidRDefault="000543B0">
      <w:r>
        <w:separator/>
      </w:r>
    </w:p>
  </w:endnote>
  <w:endnote w:type="continuationSeparator" w:id="0">
    <w:p w14:paraId="3E21035E" w14:textId="77777777" w:rsidR="000543B0" w:rsidRDefault="00054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3CEDB" w14:textId="77777777" w:rsidR="00B1082B" w:rsidRDefault="00A9208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2906CD">
      <w:rPr>
        <w:rFonts w:ascii="Palatino Linotype" w:eastAsia="Palatino Linotype" w:hAnsi="Palatino Linotype" w:cs="Palatino Linotype"/>
        <w:b/>
        <w:noProof/>
        <w:color w:val="000000"/>
        <w:sz w:val="20"/>
        <w:szCs w:val="20"/>
      </w:rPr>
      <w:t>19</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2906CD">
      <w:rPr>
        <w:rFonts w:ascii="Palatino Linotype" w:eastAsia="Palatino Linotype" w:hAnsi="Palatino Linotype" w:cs="Palatino Linotype"/>
        <w:b/>
        <w:noProof/>
        <w:color w:val="000000"/>
        <w:sz w:val="20"/>
        <w:szCs w:val="20"/>
      </w:rPr>
      <w:t>19</w:t>
    </w:r>
    <w:r>
      <w:rPr>
        <w:rFonts w:ascii="Palatino Linotype" w:eastAsia="Palatino Linotype" w:hAnsi="Palatino Linotype" w:cs="Palatino Linotype"/>
        <w:b/>
        <w:color w:val="000000"/>
        <w:sz w:val="20"/>
        <w:szCs w:val="20"/>
      </w:rPr>
      <w:fldChar w:fldCharType="end"/>
    </w:r>
  </w:p>
  <w:p w14:paraId="11139C74" w14:textId="77777777" w:rsidR="00B1082B" w:rsidRDefault="00B1082B">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2AA5E" w14:textId="77777777" w:rsidR="00B1082B" w:rsidRDefault="00A9208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2906CD">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2906CD">
      <w:rPr>
        <w:rFonts w:ascii="Palatino Linotype" w:eastAsia="Palatino Linotype" w:hAnsi="Palatino Linotype" w:cs="Palatino Linotype"/>
        <w:b/>
        <w:noProof/>
        <w:color w:val="000000"/>
        <w:sz w:val="20"/>
        <w:szCs w:val="20"/>
      </w:rPr>
      <w:t>19</w:t>
    </w:r>
    <w:r>
      <w:rPr>
        <w:rFonts w:ascii="Palatino Linotype" w:eastAsia="Palatino Linotype" w:hAnsi="Palatino Linotype" w:cs="Palatino Linotype"/>
        <w:b/>
        <w:color w:val="000000"/>
        <w:sz w:val="20"/>
        <w:szCs w:val="20"/>
      </w:rPr>
      <w:fldChar w:fldCharType="end"/>
    </w:r>
  </w:p>
  <w:p w14:paraId="681EC5B1" w14:textId="77777777" w:rsidR="00B1082B" w:rsidRDefault="00B1082B">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AE5AD" w14:textId="77777777" w:rsidR="000543B0" w:rsidRDefault="000543B0">
      <w:r>
        <w:separator/>
      </w:r>
    </w:p>
  </w:footnote>
  <w:footnote w:type="continuationSeparator" w:id="0">
    <w:p w14:paraId="4CB47DAE" w14:textId="77777777" w:rsidR="000543B0" w:rsidRDefault="000543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20EE2" w14:textId="77777777" w:rsidR="00B1082B" w:rsidRDefault="00A9208E">
    <w:pPr>
      <w:rPr>
        <w:rFonts w:ascii="Cambria" w:eastAsia="Cambria" w:hAnsi="Cambria" w:cs="Cambria"/>
        <w:color w:val="000000"/>
      </w:rPr>
    </w:pPr>
    <w:r>
      <w:rPr>
        <w:noProof/>
      </w:rPr>
      <w:drawing>
        <wp:anchor distT="0" distB="0" distL="0" distR="0" simplePos="0" relativeHeight="251658240" behindDoc="1" locked="0" layoutInCell="1" hidden="0" allowOverlap="1" wp14:anchorId="294E96CD" wp14:editId="46FC0B71">
          <wp:simplePos x="0" y="0"/>
          <wp:positionH relativeFrom="column">
            <wp:posOffset>-1127121</wp:posOffset>
          </wp:positionH>
          <wp:positionV relativeFrom="paragraph">
            <wp:posOffset>-344801</wp:posOffset>
          </wp:positionV>
          <wp:extent cx="7809865" cy="10165715"/>
          <wp:effectExtent l="0" t="0" r="0" b="0"/>
          <wp:wrapNone/>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7"/>
      <w:tblW w:w="6945" w:type="dxa"/>
      <w:tblInd w:w="3261" w:type="dxa"/>
      <w:tblLayout w:type="fixed"/>
      <w:tblLook w:val="0400" w:firstRow="0" w:lastRow="0" w:firstColumn="0" w:lastColumn="0" w:noHBand="0" w:noVBand="1"/>
    </w:tblPr>
    <w:tblGrid>
      <w:gridCol w:w="2489"/>
      <w:gridCol w:w="4456"/>
    </w:tblGrid>
    <w:tr w:rsidR="00B1082B" w14:paraId="0B025020" w14:textId="77777777">
      <w:tc>
        <w:tcPr>
          <w:tcW w:w="2489" w:type="dxa"/>
          <w:shd w:val="clear" w:color="auto" w:fill="auto"/>
        </w:tcPr>
        <w:p w14:paraId="50A1DD00" w14:textId="77777777" w:rsidR="00B1082B" w:rsidRDefault="00A9208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456" w:type="dxa"/>
          <w:shd w:val="clear" w:color="auto" w:fill="auto"/>
          <w:vAlign w:val="center"/>
        </w:tcPr>
        <w:p w14:paraId="6CA82E3A" w14:textId="77777777" w:rsidR="00B1082B" w:rsidRDefault="00A9208E">
          <w:pPr>
            <w:ind w:left="-53"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00029/INFOEM/IP/RR/2024</w:t>
          </w:r>
        </w:p>
      </w:tc>
    </w:tr>
    <w:tr w:rsidR="00B1082B" w14:paraId="3609F53F" w14:textId="77777777">
      <w:trPr>
        <w:trHeight w:val="228"/>
      </w:trPr>
      <w:tc>
        <w:tcPr>
          <w:tcW w:w="2489" w:type="dxa"/>
          <w:shd w:val="clear" w:color="auto" w:fill="auto"/>
          <w:vAlign w:val="center"/>
        </w:tcPr>
        <w:p w14:paraId="72C88236" w14:textId="77777777" w:rsidR="00B1082B" w:rsidRDefault="00A9208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456" w:type="dxa"/>
          <w:shd w:val="clear" w:color="auto" w:fill="auto"/>
          <w:vAlign w:val="center"/>
        </w:tcPr>
        <w:p w14:paraId="1138405D" w14:textId="77777777" w:rsidR="00B1082B" w:rsidRDefault="00A9208E">
          <w:pPr>
            <w:ind w:left="-45" w:right="1019"/>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Secretaría Ejecutiva del Sistema Estatal Anticorrupción</w:t>
          </w:r>
        </w:p>
      </w:tc>
    </w:tr>
    <w:tr w:rsidR="00B1082B" w14:paraId="29AF3493" w14:textId="77777777">
      <w:tc>
        <w:tcPr>
          <w:tcW w:w="2489" w:type="dxa"/>
          <w:shd w:val="clear" w:color="auto" w:fill="auto"/>
          <w:vAlign w:val="center"/>
        </w:tcPr>
        <w:p w14:paraId="371233F9" w14:textId="77777777" w:rsidR="00B1082B" w:rsidRDefault="00A9208E">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456" w:type="dxa"/>
          <w:shd w:val="clear" w:color="auto" w:fill="auto"/>
          <w:vAlign w:val="center"/>
        </w:tcPr>
        <w:p w14:paraId="5060B93D" w14:textId="77777777" w:rsidR="00B1082B" w:rsidRDefault="00A9208E">
          <w:pPr>
            <w:ind w:left="-53"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180B5F5" w14:textId="77777777" w:rsidR="00B1082B" w:rsidRDefault="00A9208E">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53ECA" w14:textId="77777777" w:rsidR="00B1082B" w:rsidRDefault="00A9208E">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4E4FC724" wp14:editId="659788CB">
          <wp:simplePos x="0" y="0"/>
          <wp:positionH relativeFrom="column">
            <wp:posOffset>-1035683</wp:posOffset>
          </wp:positionH>
          <wp:positionV relativeFrom="paragraph">
            <wp:posOffset>-183513</wp:posOffset>
          </wp:positionV>
          <wp:extent cx="7809865" cy="10165715"/>
          <wp:effectExtent l="0" t="0" r="0" b="0"/>
          <wp:wrapNone/>
          <wp:docPr id="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6"/>
      <w:tblW w:w="6520" w:type="dxa"/>
      <w:tblInd w:w="3261" w:type="dxa"/>
      <w:tblLayout w:type="fixed"/>
      <w:tblLook w:val="0400" w:firstRow="0" w:lastRow="0" w:firstColumn="0" w:lastColumn="0" w:noHBand="0" w:noVBand="1"/>
    </w:tblPr>
    <w:tblGrid>
      <w:gridCol w:w="2551"/>
      <w:gridCol w:w="3969"/>
    </w:tblGrid>
    <w:tr w:rsidR="00B1082B" w14:paraId="63DC47F0" w14:textId="77777777">
      <w:tc>
        <w:tcPr>
          <w:tcW w:w="2551" w:type="dxa"/>
          <w:shd w:val="clear" w:color="auto" w:fill="auto"/>
          <w:vAlign w:val="center"/>
        </w:tcPr>
        <w:p w14:paraId="3CC6883A" w14:textId="77777777" w:rsidR="00B1082B" w:rsidRDefault="00A9208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69" w:type="dxa"/>
          <w:shd w:val="clear" w:color="auto" w:fill="auto"/>
          <w:vAlign w:val="center"/>
        </w:tcPr>
        <w:p w14:paraId="2764DF6E" w14:textId="77777777" w:rsidR="00B1082B" w:rsidRDefault="00A9208E">
          <w:pPr>
            <w:tabs>
              <w:tab w:val="left" w:pos="3153"/>
            </w:tabs>
            <w:ind w:left="-11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00029/INFOEM/IP/RR/2024</w:t>
          </w:r>
        </w:p>
      </w:tc>
    </w:tr>
    <w:tr w:rsidR="00B1082B" w14:paraId="55BFA1FB" w14:textId="77777777">
      <w:trPr>
        <w:trHeight w:val="130"/>
      </w:trPr>
      <w:tc>
        <w:tcPr>
          <w:tcW w:w="2551" w:type="dxa"/>
          <w:shd w:val="clear" w:color="auto" w:fill="auto"/>
          <w:vAlign w:val="center"/>
        </w:tcPr>
        <w:p w14:paraId="14C0BF3F" w14:textId="77777777" w:rsidR="00B1082B" w:rsidRDefault="00A9208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969" w:type="dxa"/>
          <w:shd w:val="clear" w:color="auto" w:fill="auto"/>
          <w:vAlign w:val="center"/>
        </w:tcPr>
        <w:p w14:paraId="41758D6F" w14:textId="77777777" w:rsidR="00B1082B" w:rsidRDefault="00B1082B">
          <w:pPr>
            <w:ind w:left="-115" w:right="176"/>
            <w:jc w:val="both"/>
            <w:rPr>
              <w:rFonts w:ascii="Palatino Linotype" w:eastAsia="Palatino Linotype" w:hAnsi="Palatino Linotype" w:cs="Palatino Linotype"/>
              <w:b/>
              <w:sz w:val="22"/>
              <w:szCs w:val="22"/>
            </w:rPr>
          </w:pPr>
        </w:p>
      </w:tc>
    </w:tr>
    <w:tr w:rsidR="00B1082B" w14:paraId="45C26183" w14:textId="77777777">
      <w:trPr>
        <w:trHeight w:val="228"/>
      </w:trPr>
      <w:tc>
        <w:tcPr>
          <w:tcW w:w="2551" w:type="dxa"/>
          <w:shd w:val="clear" w:color="auto" w:fill="auto"/>
          <w:vAlign w:val="center"/>
        </w:tcPr>
        <w:p w14:paraId="33B5FF0A" w14:textId="77777777" w:rsidR="00B1082B" w:rsidRDefault="00A9208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69" w:type="dxa"/>
          <w:shd w:val="clear" w:color="auto" w:fill="auto"/>
          <w:vAlign w:val="center"/>
        </w:tcPr>
        <w:p w14:paraId="6805E8D7" w14:textId="77777777" w:rsidR="00B1082B" w:rsidRDefault="00A9208E">
          <w:pPr>
            <w:ind w:left="-115" w:right="73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Secretaría Ejecutiva del Sistema Estatal Anticorrupción</w:t>
          </w:r>
        </w:p>
      </w:tc>
    </w:tr>
    <w:tr w:rsidR="00B1082B" w14:paraId="50CFB1CE" w14:textId="77777777">
      <w:tc>
        <w:tcPr>
          <w:tcW w:w="2551" w:type="dxa"/>
          <w:shd w:val="clear" w:color="auto" w:fill="auto"/>
          <w:vAlign w:val="center"/>
        </w:tcPr>
        <w:p w14:paraId="4D23BD86" w14:textId="77777777" w:rsidR="00B1082B" w:rsidRDefault="00A9208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969" w:type="dxa"/>
          <w:shd w:val="clear" w:color="auto" w:fill="auto"/>
          <w:vAlign w:val="center"/>
        </w:tcPr>
        <w:p w14:paraId="6F2A9CD6" w14:textId="77777777" w:rsidR="00B1082B" w:rsidRDefault="00A9208E">
          <w:pPr>
            <w:ind w:left="-115"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AE5139C" w14:textId="77777777" w:rsidR="00B1082B" w:rsidRDefault="00B1082B">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125C0"/>
    <w:multiLevelType w:val="multilevel"/>
    <w:tmpl w:val="D3366A1E"/>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1EC4C4F"/>
    <w:multiLevelType w:val="multilevel"/>
    <w:tmpl w:val="6D3C25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82B"/>
    <w:rsid w:val="000543B0"/>
    <w:rsid w:val="002906CD"/>
    <w:rsid w:val="00756BFE"/>
    <w:rsid w:val="008C60AB"/>
    <w:rsid w:val="00A9208E"/>
    <w:rsid w:val="00B1082B"/>
    <w:rsid w:val="00BA1ADF"/>
    <w:rsid w:val="00EE3D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72108"/>
  <w15:docId w15:val="{2E5C93E0-C7B3-41C0-8C4E-A6AD61A39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689"/>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uiPriority w:val="9"/>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
    <w:link w:val="SinespaciadoCar"/>
    <w:uiPriority w:val="1"/>
    <w:qFormat/>
    <w:rsid w:val="002944C8"/>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8">
    <w:name w:val="8"/>
    <w:basedOn w:val="TableNormal10"/>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7">
    <w:name w:val="7"/>
    <w:basedOn w:val="TableNormal10"/>
    <w:tblPr>
      <w:tblStyleRowBandSize w:val="1"/>
      <w:tblStyleColBandSize w:val="1"/>
      <w:tblCellMar>
        <w:left w:w="115" w:type="dxa"/>
        <w:right w:w="115" w:type="dxa"/>
      </w:tblCellMar>
    </w:tblPr>
  </w:style>
  <w:style w:type="table" w:customStyle="1" w:styleId="6">
    <w:name w:val="6"/>
    <w:basedOn w:val="TableNormal10"/>
    <w:tblPr>
      <w:tblStyleRowBandSize w:val="1"/>
      <w:tblStyleColBandSize w:val="1"/>
      <w:tblCellMar>
        <w:left w:w="115" w:type="dxa"/>
        <w:right w:w="115" w:type="dxa"/>
      </w:tblCellMar>
    </w:tblPr>
  </w:style>
  <w:style w:type="table" w:customStyle="1" w:styleId="5">
    <w:name w:val="5"/>
    <w:basedOn w:val="TableNormal10"/>
    <w:tblPr>
      <w:tblStyleRowBandSize w:val="1"/>
      <w:tblStyleColBandSize w:val="1"/>
      <w:tblCellMar>
        <w:left w:w="108" w:type="dxa"/>
        <w:right w:w="108" w:type="dxa"/>
      </w:tblCellMar>
    </w:tblPr>
  </w:style>
  <w:style w:type="table" w:customStyle="1" w:styleId="4">
    <w:name w:val="4"/>
    <w:basedOn w:val="TableNormal10"/>
    <w:tblPr>
      <w:tblStyleRowBandSize w:val="1"/>
      <w:tblStyleColBandSize w:val="1"/>
      <w:tblCellMar>
        <w:left w:w="115" w:type="dxa"/>
        <w:right w:w="115" w:type="dxa"/>
      </w:tblCellMar>
    </w:tblPr>
  </w:style>
  <w:style w:type="table" w:customStyle="1" w:styleId="3">
    <w:name w:val="3"/>
    <w:basedOn w:val="TableNormal10"/>
    <w:tblPr>
      <w:tblStyleRowBandSize w:val="1"/>
      <w:tblStyleColBandSize w:val="1"/>
      <w:tblCellMar>
        <w:left w:w="115" w:type="dxa"/>
        <w:right w:w="115" w:type="dxa"/>
      </w:tblCellMar>
    </w:tblPr>
  </w:style>
  <w:style w:type="table" w:customStyle="1" w:styleId="2">
    <w:name w:val="2"/>
    <w:basedOn w:val="TableNormal10"/>
    <w:tblPr>
      <w:tblStyleRowBandSize w:val="1"/>
      <w:tblStyleColBandSize w:val="1"/>
      <w:tblCellMar>
        <w:left w:w="115" w:type="dxa"/>
        <w:right w:w="115" w:type="dxa"/>
      </w:tblCellMar>
    </w:tblPr>
  </w:style>
  <w:style w:type="table" w:customStyle="1" w:styleId="1">
    <w:name w:val="1"/>
    <w:basedOn w:val="TableNormal10"/>
    <w:tblPr>
      <w:tblStyleRowBandSize w:val="1"/>
      <w:tblStyleColBandSize w:val="1"/>
      <w:tblCellMar>
        <w:left w:w="115" w:type="dxa"/>
        <w:right w:w="115" w:type="dxa"/>
      </w:tblCellMar>
    </w:tblPr>
  </w:style>
  <w:style w:type="table" w:customStyle="1" w:styleId="Tablaconcuadrcula1">
    <w:name w:val="Tabla con cuadrícula1"/>
    <w:basedOn w:val="Tablanormal"/>
    <w:next w:val="Tablaconcuadrcula"/>
    <w:uiPriority w:val="59"/>
    <w:rsid w:val="00311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3"/>
    <w:tblPr>
      <w:tblStyleRowBandSize w:val="1"/>
      <w:tblStyleColBandSize w:val="1"/>
      <w:tblCellMar>
        <w:left w:w="115" w:type="dxa"/>
        <w:right w:w="115"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Tabladelista1clara-nfasis111">
    <w:name w:val="Tabla de lista 1 clara - Énfasis 111"/>
    <w:basedOn w:val="Tablanormal"/>
    <w:uiPriority w:val="46"/>
    <w:rsid w:val="0044086B"/>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jb19iU9DOJHh+oqXH1SIOlRcNw==">CgMxLjAyCGguZ2pkZ3hzMgloLjMwajB6bGwyCWguMnM4ZXlvMTIIaC50eWpjd3QyCWguMWZvYjl0ZTgAciExTEt5SzdXNldVanhVamk1MXBKWGdXNXVLN1JyUDJWbzE=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3959</Words>
  <Characters>21780</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2024-04-05T18:08:00Z</cp:lastPrinted>
  <dcterms:created xsi:type="dcterms:W3CDTF">2024-04-22T16:34:00Z</dcterms:created>
  <dcterms:modified xsi:type="dcterms:W3CDTF">2024-04-22T16:34:00Z</dcterms:modified>
</cp:coreProperties>
</file>