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5D8EF5A"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595331">
        <w:rPr>
          <w:rFonts w:ascii="Palatino Linotype" w:hAnsi="Palatino Linotype" w:cs="Arial"/>
          <w:color w:val="000000"/>
          <w:lang w:val="es-MX" w:eastAsia="es-MX"/>
        </w:rPr>
        <w:t>tres de octubre</w:t>
      </w:r>
      <w:r w:rsidR="005878BD">
        <w:rPr>
          <w:rFonts w:ascii="Palatino Linotype" w:hAnsi="Palatino Linotype" w:cs="Arial"/>
          <w:color w:val="000000"/>
          <w:lang w:val="es-MX" w:eastAsia="es-MX"/>
        </w:rPr>
        <w:t xml:space="preserve"> de</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63E91835"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595331">
        <w:rPr>
          <w:rFonts w:ascii="Palatino Linotype" w:eastAsiaTheme="minorHAnsi" w:hAnsi="Palatino Linotype" w:cs="Arial"/>
          <w:b/>
          <w:lang w:val="es-MX" w:eastAsia="en-US"/>
        </w:rPr>
        <w:t>4305</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595331">
        <w:rPr>
          <w:rFonts w:ascii="Palatino Linotype" w:hAnsi="Palatino Linotype" w:cs="Arial"/>
        </w:rPr>
        <w:t>la</w:t>
      </w:r>
      <w:r w:rsidR="008A5263">
        <w:rPr>
          <w:rFonts w:ascii="Palatino Linotype" w:hAnsi="Palatino Linotype" w:cs="Arial"/>
        </w:rPr>
        <w:t xml:space="preserve"> </w:t>
      </w:r>
      <w:r w:rsidR="008A5263" w:rsidRPr="008A5263">
        <w:rPr>
          <w:rFonts w:ascii="Palatino Linotype" w:hAnsi="Palatino Linotype" w:cs="Arial"/>
          <w:b/>
          <w:bCs/>
        </w:rPr>
        <w:t xml:space="preserve">C. </w:t>
      </w:r>
      <w:r w:rsidR="0046629A">
        <w:rPr>
          <w:rFonts w:ascii="Palatino Linotype" w:hAnsi="Palatino Linotype" w:cs="Arial"/>
          <w:b/>
          <w:bCs/>
        </w:rPr>
        <w:t>XXXXXXXXXXXXX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595331" w:rsidRPr="00595331">
        <w:rPr>
          <w:rFonts w:ascii="Palatino Linotype" w:eastAsiaTheme="minorHAnsi" w:hAnsi="Palatino Linotype" w:cs="Arial"/>
          <w:b/>
          <w:lang w:val="es-MX" w:eastAsia="en-US"/>
        </w:rPr>
        <w:t>Sistema Municipal Para el Desarrollo Integral de la Familia de la Paz</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6248DB3B"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442F4D">
        <w:rPr>
          <w:rFonts w:ascii="Palatino Linotype" w:eastAsiaTheme="minorHAnsi" w:hAnsi="Palatino Linotype" w:cs="Arial"/>
          <w:szCs w:val="22"/>
          <w:lang w:val="es-MX" w:eastAsia="en-US"/>
        </w:rPr>
        <w:t xml:space="preserve">trece de </w:t>
      </w:r>
      <w:r w:rsidR="00DB10FE">
        <w:rPr>
          <w:rFonts w:ascii="Palatino Linotype" w:eastAsiaTheme="minorHAnsi" w:hAnsi="Palatino Linotype" w:cs="Arial"/>
          <w:szCs w:val="22"/>
          <w:lang w:val="es-MX" w:eastAsia="en-US"/>
        </w:rPr>
        <w:t>junio</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del Sistema de Acceso a la Informa</w:t>
      </w:r>
      <w:bookmarkStart w:id="2" w:name="_GoBack"/>
      <w:bookmarkEnd w:id="2"/>
      <w:r w:rsidRPr="00B7320F">
        <w:rPr>
          <w:rFonts w:ascii="Palatino Linotype" w:eastAsiaTheme="minorHAnsi" w:hAnsi="Palatino Linotype" w:cs="Arial"/>
          <w:szCs w:val="22"/>
          <w:lang w:val="es-MX" w:eastAsia="en-US"/>
        </w:rPr>
        <w:t xml:space="preserve">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DB10FE" w:rsidRPr="00DB10FE">
        <w:rPr>
          <w:rFonts w:ascii="Palatino Linotype" w:eastAsiaTheme="minorHAnsi" w:hAnsi="Palatino Linotype" w:cs="Arial"/>
          <w:b/>
          <w:szCs w:val="22"/>
          <w:lang w:val="es-MX" w:eastAsia="en-US"/>
        </w:rPr>
        <w:t>00013/DIFLAPAZ/IP/2024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A4B8A">
      <w:pPr>
        <w:spacing w:line="360" w:lineRule="auto"/>
        <w:jc w:val="both"/>
        <w:rPr>
          <w:rFonts w:ascii="Palatino Linotype" w:eastAsiaTheme="minorHAnsi" w:hAnsi="Palatino Linotype" w:cs="Arial"/>
          <w:szCs w:val="22"/>
          <w:lang w:val="es-MX" w:eastAsia="en-US"/>
        </w:rPr>
      </w:pPr>
    </w:p>
    <w:p w14:paraId="58D1202C" w14:textId="65E66B59" w:rsidR="004309A2" w:rsidRPr="00ED7B11" w:rsidRDefault="0029071C" w:rsidP="00CA4B8A">
      <w:pPr>
        <w:spacing w:line="360"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00DB10FE" w:rsidRPr="00DB10FE">
        <w:rPr>
          <w:rFonts w:ascii="Palatino Linotype" w:hAnsi="Palatino Linotype"/>
          <w:i/>
          <w:sz w:val="22"/>
          <w:szCs w:val="20"/>
          <w:lang w:val="es-MX" w:eastAsia="es-MX"/>
        </w:rPr>
        <w:t>SOLICITO SABER PORQUE EN EL IPOMEX PUBLICO DEL DIF NO SE ENCUENTRA NINGÚN TIPO DE INFORMACIÓN, PORQUE LA OCULTAN</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CC0B81">
      <w:pPr>
        <w:tabs>
          <w:tab w:val="left" w:pos="5647"/>
        </w:tabs>
        <w:spacing w:line="360" w:lineRule="auto"/>
        <w:ind w:right="850"/>
        <w:jc w:val="both"/>
        <w:rPr>
          <w:rFonts w:ascii="Palatino Linotype" w:hAnsi="Palatino Linotype"/>
          <w:b/>
          <w:lang w:val="es-ES_tradnl"/>
        </w:rPr>
      </w:pPr>
    </w:p>
    <w:p w14:paraId="27AA5EF2" w14:textId="0ED7989A"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7A0CF064" w14:textId="77777777" w:rsidR="008A5263" w:rsidRDefault="008A5263" w:rsidP="0029071C">
      <w:pPr>
        <w:spacing w:line="360" w:lineRule="auto"/>
        <w:jc w:val="both"/>
        <w:rPr>
          <w:rFonts w:ascii="Palatino Linotype" w:eastAsiaTheme="minorHAnsi" w:hAnsi="Palatino Linotype" w:cs="Arial"/>
          <w:b/>
          <w:szCs w:val="22"/>
          <w:lang w:val="es-MX" w:eastAsia="en-US"/>
        </w:rPr>
      </w:pPr>
    </w:p>
    <w:p w14:paraId="05841E30" w14:textId="3F56A536"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1986AB41"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DB10FE">
        <w:rPr>
          <w:rFonts w:ascii="Palatino Linotype" w:eastAsiaTheme="minorHAnsi" w:hAnsi="Palatino Linotype" w:cs="Arial"/>
          <w:lang w:val="es-MX" w:eastAsia="en-US"/>
        </w:rPr>
        <w:t>tres de julio</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5B5084F2" w14:textId="77777777" w:rsidR="00DB10FE" w:rsidRPr="00DB10FE" w:rsidRDefault="0029071C" w:rsidP="00DB10FE">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DB10FE" w:rsidRPr="00DB10FE">
        <w:rPr>
          <w:rFonts w:ascii="Palatino Linotype" w:hAnsi="Palatino Linotype"/>
          <w:i/>
          <w:sz w:val="22"/>
          <w:szCs w:val="22"/>
          <w:lang w:val="es-MX" w:eastAsia="es-MX"/>
        </w:rPr>
        <w:t>Estimado Solicitante: En atención a su solicitud de acceso a la información el cual se le asignó el folio número 00013/DIFLAPAZ/IP/2024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Con fundamento en los artículos 92, 93, 94 y 151 de la Ley de Transparencia y Acceso a la Información Pública del Estado de México y Municipios, me permito mencionarle al solicitante que la respuesta a su solicitud se encuentra anexa al oficio adjunto.</w:t>
      </w:r>
    </w:p>
    <w:p w14:paraId="7224D780" w14:textId="77777777" w:rsidR="00DB10FE" w:rsidRDefault="00DB10FE" w:rsidP="00DB10FE">
      <w:pPr>
        <w:spacing w:line="276" w:lineRule="auto"/>
        <w:ind w:left="567" w:right="567"/>
        <w:jc w:val="both"/>
        <w:rPr>
          <w:rFonts w:ascii="Palatino Linotype" w:hAnsi="Palatino Linotype"/>
          <w:i/>
          <w:sz w:val="22"/>
          <w:szCs w:val="22"/>
          <w:lang w:val="es-MX" w:eastAsia="es-MX"/>
        </w:rPr>
      </w:pPr>
    </w:p>
    <w:p w14:paraId="3B090FF5" w14:textId="0F740D09" w:rsidR="00DB10FE" w:rsidRPr="00DB10FE" w:rsidRDefault="00DB10FE" w:rsidP="00DB10FE">
      <w:pPr>
        <w:spacing w:line="276" w:lineRule="auto"/>
        <w:ind w:left="567" w:right="567"/>
        <w:jc w:val="both"/>
        <w:rPr>
          <w:rFonts w:ascii="Palatino Linotype" w:hAnsi="Palatino Linotype"/>
          <w:i/>
          <w:sz w:val="22"/>
          <w:szCs w:val="22"/>
          <w:lang w:val="es-MX" w:eastAsia="es-MX"/>
        </w:rPr>
      </w:pPr>
      <w:r w:rsidRPr="00DB10FE">
        <w:rPr>
          <w:rFonts w:ascii="Palatino Linotype" w:hAnsi="Palatino Linotype"/>
          <w:i/>
          <w:sz w:val="22"/>
          <w:szCs w:val="22"/>
          <w:lang w:val="es-MX" w:eastAsia="es-MX"/>
        </w:rPr>
        <w:t>ATENTAMENTE</w:t>
      </w:r>
    </w:p>
    <w:p w14:paraId="02CE162F" w14:textId="65B5EDE3" w:rsidR="0029071C" w:rsidRPr="00B7320F" w:rsidRDefault="00DB10FE" w:rsidP="00DB10FE">
      <w:pPr>
        <w:spacing w:line="276" w:lineRule="auto"/>
        <w:ind w:left="567" w:right="567"/>
        <w:jc w:val="both"/>
        <w:rPr>
          <w:rFonts w:ascii="Palatino Linotype" w:hAnsi="Palatino Linotype"/>
          <w:i/>
          <w:sz w:val="22"/>
          <w:szCs w:val="22"/>
          <w:lang w:val="es-MX" w:eastAsia="es-MX"/>
        </w:rPr>
      </w:pPr>
      <w:r w:rsidRPr="00DB10FE">
        <w:rPr>
          <w:rFonts w:ascii="Palatino Linotype" w:hAnsi="Palatino Linotype"/>
          <w:i/>
          <w:sz w:val="22"/>
          <w:szCs w:val="22"/>
          <w:lang w:val="es-MX" w:eastAsia="es-MX"/>
        </w:rPr>
        <w:t>LIC. YETNALESSI SELENE DE LÁZARO CRUZ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514B4990"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442F4D">
        <w:rPr>
          <w:rFonts w:ascii="Palatino Linotype" w:eastAsiaTheme="minorHAnsi" w:hAnsi="Palatino Linotype" w:cs="Arial"/>
          <w:lang w:val="es-MX" w:eastAsia="en-US"/>
        </w:rPr>
        <w:t>el a</w:t>
      </w:r>
      <w:r w:rsidR="001D2DE0" w:rsidRPr="00B7320F">
        <w:rPr>
          <w:rFonts w:ascii="Palatino Linotype" w:eastAsiaTheme="minorHAnsi" w:hAnsi="Palatino Linotype" w:cs="Arial"/>
          <w:lang w:val="es-MX" w:eastAsia="en-US"/>
        </w:rPr>
        <w:t>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DB10FE" w:rsidRPr="00DB10FE">
        <w:rPr>
          <w:rFonts w:ascii="Palatino Linotype" w:eastAsiaTheme="minorHAnsi" w:hAnsi="Palatino Linotype" w:cs="Arial"/>
          <w:i/>
          <w:lang w:val="es-MX" w:eastAsia="en-US"/>
        </w:rPr>
        <w:t>13-2024.pdf</w:t>
      </w:r>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0B0AE59C"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14508964" w14:textId="07B3FA19" w:rsidR="00CA4B8A"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DB10FE">
        <w:rPr>
          <w:rFonts w:ascii="Palatino Linotype" w:eastAsiaTheme="minorHAnsi" w:hAnsi="Palatino Linotype" w:cs="Arial"/>
          <w:lang w:val="es-MX" w:eastAsia="en-US"/>
        </w:rPr>
        <w:t>nueve de julio</w:t>
      </w:r>
      <w:r w:rsidR="00DF0080" w:rsidRPr="00B7320F">
        <w:rPr>
          <w:rFonts w:ascii="Palatino Linotype" w:eastAsiaTheme="minorHAnsi" w:hAnsi="Palatino Linotype" w:cs="Arial"/>
          <w:lang w:val="es-MX" w:eastAsia="en-US"/>
        </w:rPr>
        <w:t xml:space="preserve"> de 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DB10FE">
        <w:rPr>
          <w:rFonts w:ascii="Palatino Linotype" w:eastAsiaTheme="minorHAnsi" w:hAnsi="Palatino Linotype" w:cs="Arial"/>
          <w:b/>
          <w:bCs/>
          <w:lang w:val="es-MX" w:eastAsia="es-MX"/>
        </w:rPr>
        <w:t>4305</w:t>
      </w:r>
      <w:r w:rsidR="00B250D7"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33188C08" w14:textId="77777777" w:rsidR="00CA4B8A" w:rsidRPr="00B7320F" w:rsidRDefault="00CA4B8A" w:rsidP="00CC0B81">
      <w:pPr>
        <w:spacing w:line="360" w:lineRule="auto"/>
        <w:jc w:val="both"/>
        <w:rPr>
          <w:rFonts w:ascii="Palatino Linotype" w:eastAsiaTheme="minorHAnsi" w:hAnsi="Palatino Linotype" w:cs="Arial"/>
          <w:lang w:val="es-MX" w:eastAsia="en-US"/>
        </w:rPr>
      </w:pPr>
    </w:p>
    <w:p w14:paraId="0460E6F1" w14:textId="7D0155C1" w:rsidR="00CC0B81" w:rsidRPr="00B7320F" w:rsidRDefault="0029071C" w:rsidP="00442F4D">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DB10FE" w:rsidRPr="00DB10FE">
        <w:rPr>
          <w:rFonts w:ascii="Palatino Linotype" w:eastAsiaTheme="minorHAnsi" w:hAnsi="Palatino Linotype" w:cstheme="minorBidi"/>
          <w:i/>
          <w:color w:val="000000"/>
          <w:sz w:val="22"/>
          <w:szCs w:val="22"/>
          <w:lang w:val="es-MX" w:eastAsia="en-US"/>
        </w:rPr>
        <w:t>LA NEGATIVA A LA ENTREGA DE LA INFORMACIÓN</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57EC5A73" w:rsidR="00E74701" w:rsidRPr="00B7320F" w:rsidRDefault="0029071C" w:rsidP="00442F4D">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DB10FE" w:rsidRPr="00DB10FE">
        <w:rPr>
          <w:rFonts w:ascii="Palatino Linotype" w:eastAsiaTheme="minorHAnsi" w:hAnsi="Palatino Linotype" w:cstheme="minorBidi"/>
          <w:i/>
          <w:color w:val="000000"/>
          <w:sz w:val="22"/>
          <w:szCs w:val="22"/>
          <w:lang w:val="es-MX" w:eastAsia="en-US"/>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B7320F">
        <w:rPr>
          <w:rFonts w:ascii="Palatino Linotype" w:eastAsiaTheme="minorHAnsi" w:hAnsi="Palatino Linotype" w:cstheme="minorBidi"/>
          <w:i/>
          <w:color w:val="000000"/>
          <w:sz w:val="22"/>
          <w:szCs w:val="22"/>
          <w:lang w:val="es-MX" w:eastAsia="en-US"/>
        </w:rPr>
        <w:t>” (Sic)</w:t>
      </w:r>
    </w:p>
    <w:p w14:paraId="74C88F0C" w14:textId="77777777" w:rsidR="00CA4B8A" w:rsidRPr="00CA4B8A" w:rsidRDefault="00CA4B8A" w:rsidP="00DB10FE">
      <w:pPr>
        <w:pStyle w:val="Sinespaciado"/>
        <w:rPr>
          <w:lang w:eastAsia="es-MX"/>
        </w:rPr>
      </w:pPr>
    </w:p>
    <w:p w14:paraId="37958889" w14:textId="112734E9"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68EDE035" w14:textId="2C305F99" w:rsidR="00BA27FC"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B10FE">
        <w:rPr>
          <w:rFonts w:ascii="Palatino Linotype" w:eastAsiaTheme="minorHAnsi" w:hAnsi="Palatino Linotype" w:cs="Arial"/>
          <w:lang w:val="es-MX" w:eastAsia="en-US"/>
        </w:rPr>
        <w:t>quince de julio</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w:t>
      </w:r>
      <w:r w:rsidR="008A5263">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B7320F" w:rsidRDefault="00DB10FE" w:rsidP="00DC1583">
      <w:pPr>
        <w:spacing w:line="360" w:lineRule="auto"/>
        <w:jc w:val="both"/>
        <w:rPr>
          <w:rFonts w:ascii="Palatino Linotype" w:eastAsiaTheme="minorHAnsi" w:hAnsi="Palatino Linotype" w:cs="Arial"/>
          <w:lang w:val="es-MX" w:eastAsia="en-US"/>
        </w:rPr>
      </w:pPr>
    </w:p>
    <w:p w14:paraId="08BF4F10" w14:textId="731970AB" w:rsidR="0029071C" w:rsidRPr="00B7320F" w:rsidRDefault="00154DCB"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4A0733CC" w14:textId="7827EBF9" w:rsidR="003376C6" w:rsidRPr="00DB10FE" w:rsidRDefault="00CF1DF5" w:rsidP="00DB10FE">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3376C6">
        <w:rPr>
          <w:rFonts w:ascii="Palatino Linotype" w:eastAsiaTheme="minorHAnsi" w:hAnsi="Palatino Linotype" w:cs="Arial"/>
          <w:lang w:val="es-MX" w:eastAsia="en-US"/>
        </w:rPr>
        <w:t xml:space="preserve"> </w:t>
      </w:r>
      <w:r w:rsidR="00CA4B8A">
        <w:rPr>
          <w:rFonts w:ascii="Palatino Linotype" w:eastAsiaTheme="minorHAnsi" w:hAnsi="Palatino Linotype" w:cs="Arial"/>
          <w:lang w:val="es-MX" w:eastAsia="en-US"/>
        </w:rPr>
        <w:t xml:space="preserve">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DB10FE">
        <w:rPr>
          <w:rFonts w:ascii="Palatino Linotype" w:eastAsiaTheme="minorHAnsi" w:hAnsi="Palatino Linotype" w:cs="Arial"/>
          <w:lang w:val="es-MX" w:eastAsia="en-US"/>
        </w:rPr>
        <w:t>fue omiso en rendir</w:t>
      </w:r>
      <w:r w:rsidR="00CA4B8A">
        <w:rPr>
          <w:rFonts w:ascii="Palatino Linotype" w:eastAsiaTheme="minorHAnsi" w:hAnsi="Palatino Linotype" w:cs="Arial"/>
          <w:lang w:val="es-MX" w:eastAsia="en-US"/>
        </w:rPr>
        <w:t xml:space="preserve"> su informe justificado</w:t>
      </w:r>
      <w:r w:rsidR="00DB10FE">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3376C6">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 xml:space="preserve">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DB10FE">
        <w:rPr>
          <w:rFonts w:ascii="Palatino Linotype" w:eastAsiaTheme="minorHAnsi" w:hAnsi="Palatino Linotype" w:cs="Arial"/>
          <w:lang w:val="es-MX" w:eastAsia="en-US"/>
        </w:rPr>
        <w:t>tampoco emitió alegatos p</w:t>
      </w:r>
      <w:r w:rsidR="00DB10FE" w:rsidRPr="00DB10FE">
        <w:rPr>
          <w:rFonts w:ascii="Palatino Linotype" w:eastAsiaTheme="minorHAnsi" w:hAnsi="Palatino Linotype" w:cs="Arial"/>
          <w:lang w:val="es-MX" w:eastAsia="en-US"/>
        </w:rPr>
        <w:t xml:space="preserve">ruebas o </w:t>
      </w:r>
      <w:r w:rsidR="00DB10FE">
        <w:rPr>
          <w:rFonts w:ascii="Palatino Linotype" w:eastAsiaTheme="minorHAnsi" w:hAnsi="Palatino Linotype" w:cs="Arial"/>
          <w:lang w:val="es-MX" w:eastAsia="en-US"/>
        </w:rPr>
        <w:t>m</w:t>
      </w:r>
      <w:r w:rsidR="00DB10FE" w:rsidRPr="00DB10FE">
        <w:rPr>
          <w:rFonts w:ascii="Palatino Linotype" w:eastAsiaTheme="minorHAnsi" w:hAnsi="Palatino Linotype" w:cs="Arial"/>
          <w:lang w:val="es-MX" w:eastAsia="en-US"/>
        </w:rPr>
        <w:t>anifestaciones</w:t>
      </w:r>
      <w:r w:rsidR="003376C6">
        <w:rPr>
          <w:rFonts w:ascii="Palatino Linotype" w:eastAsiaTheme="minorHAnsi" w:hAnsi="Palatino Linotype" w:cs="Arial"/>
          <w:lang w:val="es-MX" w:eastAsia="en-US"/>
        </w:rPr>
        <w:t>; lo anterior de conformidad con la siguiente captura de pantalla:</w:t>
      </w:r>
    </w:p>
    <w:p w14:paraId="115AF979" w14:textId="594E3B2A" w:rsidR="003376C6" w:rsidRPr="003376C6" w:rsidRDefault="00DB10FE" w:rsidP="00DB10FE">
      <w:pPr>
        <w:spacing w:line="360" w:lineRule="auto"/>
        <w:jc w:val="center"/>
        <w:rPr>
          <w:rFonts w:ascii="Palatino Linotype" w:eastAsiaTheme="minorHAnsi" w:hAnsi="Palatino Linotype" w:cs="Arial"/>
          <w:lang w:val="es-MX" w:eastAsia="en-US"/>
        </w:rPr>
      </w:pPr>
      <w:r w:rsidRPr="00DB10FE">
        <w:rPr>
          <w:rFonts w:ascii="Palatino Linotype" w:eastAsiaTheme="minorHAnsi" w:hAnsi="Palatino Linotype" w:cs="Arial"/>
          <w:noProof/>
          <w:lang w:val="es-MX" w:eastAsia="es-MX"/>
        </w:rPr>
        <w:drawing>
          <wp:inline distT="0" distB="0" distL="0" distR="0" wp14:anchorId="2940B2E5" wp14:editId="27A43085">
            <wp:extent cx="5616846" cy="1238885"/>
            <wp:effectExtent l="152400" t="152400" r="365125" b="361315"/>
            <wp:docPr id="14534509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50930" name=""/>
                    <pic:cNvPicPr/>
                  </pic:nvPicPr>
                  <pic:blipFill>
                    <a:blip r:embed="rId8"/>
                    <a:stretch>
                      <a:fillRect/>
                    </a:stretch>
                  </pic:blipFill>
                  <pic:spPr>
                    <a:xfrm>
                      <a:off x="0" y="0"/>
                      <a:ext cx="5658535" cy="12480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8D7D5F" w14:textId="77777777" w:rsidR="003376C6" w:rsidRPr="003376C6" w:rsidRDefault="003376C6" w:rsidP="003376C6">
      <w:pPr>
        <w:pStyle w:val="Sinespaciado"/>
        <w:rPr>
          <w:rFonts w:eastAsiaTheme="minorHAnsi"/>
          <w:lang w:eastAsia="en-US"/>
        </w:rPr>
      </w:pPr>
    </w:p>
    <w:p w14:paraId="2F723466" w14:textId="395525D4" w:rsidR="0029071C" w:rsidRPr="00B7320F" w:rsidRDefault="00715F45"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w:t>
      </w:r>
      <w:r w:rsidR="00154DCB">
        <w:rPr>
          <w:rFonts w:ascii="Palatino Linotype" w:eastAsiaTheme="minorHAnsi" w:hAnsi="Palatino Linotype" w:cs="Arial"/>
          <w:b/>
          <w:sz w:val="28"/>
          <w:lang w:val="es-MX" w:eastAsia="en-US"/>
        </w:rPr>
        <w:t>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7E36A21A" w:rsidR="00CC0B81"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DB10FE">
        <w:rPr>
          <w:rFonts w:ascii="Palatino Linotype" w:eastAsiaTheme="minorHAnsi" w:hAnsi="Palatino Linotype" w:cs="Arial"/>
          <w:lang w:val="es-MX" w:eastAsia="en-US"/>
        </w:rPr>
        <w:t>ocho de agosto</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w:t>
      </w:r>
      <w:r w:rsidR="00F43DB2">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0B20F72" w14:textId="77777777" w:rsidR="003376C6" w:rsidRDefault="003376C6" w:rsidP="0029071C">
      <w:pPr>
        <w:spacing w:line="360" w:lineRule="auto"/>
        <w:jc w:val="both"/>
        <w:rPr>
          <w:rFonts w:ascii="Palatino Linotype" w:eastAsiaTheme="minorHAnsi" w:hAnsi="Palatino Linotype" w:cs="Arial"/>
          <w:lang w:val="es-MX" w:eastAsia="en-US"/>
        </w:rPr>
      </w:pPr>
    </w:p>
    <w:p w14:paraId="44D59646" w14:textId="44E55946" w:rsidR="00165EE8" w:rsidRPr="00165EE8" w:rsidRDefault="00165EE8" w:rsidP="00165EE8">
      <w:pPr>
        <w:spacing w:line="360" w:lineRule="auto"/>
        <w:rPr>
          <w:rFonts w:ascii="Palatino Linotype" w:hAnsi="Palatino Linotype"/>
          <w:b/>
          <w:sz w:val="28"/>
          <w:szCs w:val="26"/>
          <w:lang w:val="es-MX"/>
        </w:rPr>
      </w:pPr>
      <w:r>
        <w:rPr>
          <w:rFonts w:ascii="Palatino Linotype" w:hAnsi="Palatino Linotype"/>
          <w:b/>
          <w:sz w:val="28"/>
          <w:szCs w:val="26"/>
          <w:lang w:val="es-MX"/>
        </w:rPr>
        <w:t>SÉPTIMO</w:t>
      </w:r>
      <w:r w:rsidRPr="00165EE8">
        <w:rPr>
          <w:rFonts w:ascii="Palatino Linotype" w:hAnsi="Palatino Linotype"/>
          <w:b/>
          <w:sz w:val="28"/>
          <w:szCs w:val="26"/>
          <w:lang w:val="es-MX"/>
        </w:rPr>
        <w:t>. De la ampliación del término para resolver.</w:t>
      </w:r>
    </w:p>
    <w:p w14:paraId="50F2DBB6" w14:textId="7ED931F1" w:rsidR="00165EE8" w:rsidRPr="00165EE8" w:rsidRDefault="00165EE8" w:rsidP="00165EE8">
      <w:pPr>
        <w:spacing w:line="360" w:lineRule="auto"/>
        <w:jc w:val="both"/>
        <w:rPr>
          <w:rFonts w:ascii="Palatino Linotype" w:hAnsi="Palatino Linotype"/>
          <w:lang w:val="es-MX"/>
        </w:rPr>
      </w:pPr>
      <w:r w:rsidRPr="00165EE8">
        <w:rPr>
          <w:rFonts w:ascii="Palatino Linotype" w:hAnsi="Palatino Linotype"/>
          <w:lang w:val="es-MX"/>
        </w:rPr>
        <w:t xml:space="preserve">En fecha </w:t>
      </w:r>
      <w:r w:rsidR="00DB10FE">
        <w:rPr>
          <w:rFonts w:ascii="Palatino Linotype" w:hAnsi="Palatino Linotype"/>
          <w:lang w:val="es-MX"/>
        </w:rPr>
        <w:t>diez de septiembre</w:t>
      </w:r>
      <w:r w:rsidRPr="00165EE8">
        <w:rPr>
          <w:rFonts w:ascii="Palatino Linotype" w:hAnsi="Palatino Linotype"/>
          <w:lang w:val="es-MX"/>
        </w:rPr>
        <w:t xml:space="preserve"> de dos mil veinti</w:t>
      </w:r>
      <w:r w:rsidR="005A0FF4">
        <w:rPr>
          <w:rFonts w:ascii="Palatino Linotype" w:hAnsi="Palatino Linotype"/>
          <w:lang w:val="es-MX"/>
        </w:rPr>
        <w:t>cuatro</w:t>
      </w:r>
      <w:r w:rsidRPr="00165EE8">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3CA218C0" w14:textId="77777777" w:rsidR="009F7D41" w:rsidRPr="00B7320F" w:rsidRDefault="009F7D41"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275583">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0B513129" w:rsidR="00612EFB" w:rsidRDefault="00F43DB2"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612EFB" w:rsidRPr="00C400AC">
        <w:rPr>
          <w:rFonts w:ascii="Palatino Linotype" w:hAnsi="Palatino Linotype" w:cs="Arial"/>
          <w:b/>
          <w:sz w:val="28"/>
        </w:rPr>
        <w:t>O. Del estudio de las causas de improcedencia y sobreseimiento.</w:t>
      </w:r>
    </w:p>
    <w:p w14:paraId="66CF332C" w14:textId="77777777"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 xml:space="preserve">Es importante resaltar que en el procedimiento de acceso a la información pública y de los medios de impugnación de la materia, se advierten diversos supuestos de </w:t>
      </w:r>
      <w:proofErr w:type="spellStart"/>
      <w:r w:rsidRPr="00980A47">
        <w:rPr>
          <w:rFonts w:ascii="Palatino Linotype" w:eastAsiaTheme="minorHAnsi" w:hAnsi="Palatino Linotype" w:cstheme="minorBidi"/>
          <w:lang w:val="es-MX" w:eastAsia="en-US"/>
        </w:rPr>
        <w:t>procedibilidad</w:t>
      </w:r>
      <w:proofErr w:type="spellEnd"/>
      <w:r w:rsidRPr="00980A47">
        <w:rPr>
          <w:rFonts w:ascii="Palatino Linotype" w:eastAsiaTheme="minorHAnsi" w:hAnsi="Palatino Linotype" w:cstheme="minorBidi"/>
          <w:lang w:val="es-MX" w:eastAsia="en-U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CC073B2"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p>
    <w:p w14:paraId="35EAFE85" w14:textId="77777777"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w:t>
      </w:r>
      <w:r w:rsidRPr="00980A47">
        <w:rPr>
          <w:rFonts w:ascii="Palatino Linotype" w:eastAsiaTheme="minorHAnsi" w:hAnsi="Palatino Linotype" w:cstheme="minorBidi"/>
          <w:lang w:val="es-MX" w:eastAsia="en-US"/>
        </w:rPr>
        <w:lastRenderedPageBreak/>
        <w:t>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964566D"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p>
    <w:p w14:paraId="1332FE80" w14:textId="77777777" w:rsidR="00980A47" w:rsidRDefault="00980A47" w:rsidP="00980A47">
      <w:pPr>
        <w:autoSpaceDE w:val="0"/>
        <w:autoSpaceDN w:val="0"/>
        <w:adjustRightInd w:val="0"/>
        <w:spacing w:line="360" w:lineRule="auto"/>
        <w:jc w:val="both"/>
        <w:rPr>
          <w:rFonts w:ascii="Palatino Linotype" w:hAnsi="Palatino Linotype" w:cs="Arial"/>
        </w:rPr>
      </w:pPr>
      <w:r w:rsidRPr="00980A47">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980A47">
        <w:rPr>
          <w:rFonts w:ascii="Palatino Linotype" w:hAnsi="Palatino Linotype" w:cs="Arial"/>
          <w:vertAlign w:val="superscript"/>
        </w:rPr>
        <w:footnoteReference w:id="1"/>
      </w:r>
      <w:r w:rsidRPr="00980A47">
        <w:rPr>
          <w:rFonts w:ascii="Palatino Linotype" w:hAnsi="Palatino Linotype" w:cs="Arial"/>
        </w:rPr>
        <w:t>.</w:t>
      </w:r>
    </w:p>
    <w:p w14:paraId="26FA133B" w14:textId="77777777" w:rsidR="00980A47" w:rsidRPr="00980A47" w:rsidRDefault="00980A47" w:rsidP="00980A47">
      <w:pPr>
        <w:autoSpaceDE w:val="0"/>
        <w:autoSpaceDN w:val="0"/>
        <w:adjustRightInd w:val="0"/>
        <w:spacing w:line="360" w:lineRule="auto"/>
        <w:jc w:val="both"/>
        <w:rPr>
          <w:rFonts w:ascii="Palatino Linotype" w:hAnsi="Palatino Linotype" w:cs="Arial"/>
        </w:rPr>
      </w:pPr>
    </w:p>
    <w:p w14:paraId="265A213C" w14:textId="77777777"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w:t>
      </w:r>
      <w:r w:rsidRPr="00980A47">
        <w:rPr>
          <w:rFonts w:ascii="Palatino Linotype" w:eastAsiaTheme="minorHAnsi" w:hAnsi="Palatino Linotype" w:cstheme="minorBidi"/>
          <w:lang w:val="es-MX" w:eastAsia="en-US"/>
        </w:rPr>
        <w:lastRenderedPageBreak/>
        <w:t>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10EF2EFE"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p>
    <w:p w14:paraId="6AB9BF21" w14:textId="77777777"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B69C899"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p>
    <w:p w14:paraId="72E64800" w14:textId="77777777"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EB26484"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p>
    <w:p w14:paraId="0765213D" w14:textId="77777777" w:rsidR="00980A47" w:rsidRP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68EA26F2" w14:textId="79E50E71" w:rsidR="00980A47" w:rsidRDefault="00980A47" w:rsidP="00980A47">
      <w:p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lastRenderedPageBreak/>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27F7A7DD" w14:textId="77777777" w:rsidR="00980A47" w:rsidRDefault="00980A47" w:rsidP="00980A47">
      <w:pPr>
        <w:spacing w:line="360" w:lineRule="auto"/>
        <w:jc w:val="both"/>
        <w:rPr>
          <w:rFonts w:ascii="Palatino Linotype" w:eastAsiaTheme="minorHAnsi" w:hAnsi="Palatino Linotype" w:cstheme="minorBidi"/>
          <w:lang w:val="es-MX" w:eastAsia="en-US"/>
        </w:rPr>
      </w:pPr>
    </w:p>
    <w:p w14:paraId="462CC99D" w14:textId="27CC6FCF" w:rsidR="00980A47" w:rsidRDefault="00980A47" w:rsidP="00980A47">
      <w:pPr>
        <w:spacing w:line="360" w:lineRule="auto"/>
        <w:jc w:val="both"/>
        <w:rPr>
          <w:rFonts w:ascii="Palatino Linotype" w:eastAsiaTheme="minorHAnsi" w:hAnsi="Palatino Linotype" w:cs="Arial"/>
          <w:lang w:val="es-MX" w:eastAsia="en-US"/>
        </w:rPr>
      </w:pPr>
      <w:r w:rsidRPr="00980A47">
        <w:rPr>
          <w:rFonts w:ascii="Palatino Linotype" w:eastAsiaTheme="minorHAnsi" w:hAnsi="Palatino Linotype" w:cs="Arial"/>
          <w:lang w:val="es-MX" w:eastAsia="en-US"/>
        </w:rPr>
        <w:t>En este sentido y de forma inicial, se trae a colación la solicitud de información consistente en:</w:t>
      </w:r>
    </w:p>
    <w:p w14:paraId="1ADF5C01" w14:textId="77777777" w:rsidR="00980A47" w:rsidRDefault="00980A47" w:rsidP="00980A47">
      <w:pPr>
        <w:spacing w:line="360" w:lineRule="auto"/>
        <w:jc w:val="both"/>
        <w:rPr>
          <w:rFonts w:ascii="Palatino Linotype" w:eastAsiaTheme="minorHAnsi" w:hAnsi="Palatino Linotype" w:cs="Arial"/>
          <w:lang w:val="es-MX" w:eastAsia="en-US"/>
        </w:rPr>
      </w:pPr>
    </w:p>
    <w:p w14:paraId="7B283CF9" w14:textId="62339B14" w:rsidR="00980A47" w:rsidRPr="00980A47" w:rsidRDefault="00980A47" w:rsidP="00980A47">
      <w:pPr>
        <w:pStyle w:val="Prrafodelista"/>
        <w:numPr>
          <w:ilvl w:val="0"/>
          <w:numId w:val="40"/>
        </w:numPr>
        <w:spacing w:line="360" w:lineRule="auto"/>
        <w:jc w:val="both"/>
        <w:rPr>
          <w:rFonts w:ascii="Palatino Linotype" w:eastAsiaTheme="minorHAnsi" w:hAnsi="Palatino Linotype" w:cstheme="minorBidi"/>
          <w:lang w:val="es-MX" w:eastAsia="en-US"/>
        </w:rPr>
      </w:pPr>
      <w:r w:rsidRPr="00980A47">
        <w:rPr>
          <w:rFonts w:ascii="Palatino Linotype" w:eastAsiaTheme="minorHAnsi" w:hAnsi="Palatino Linotype" w:cstheme="minorBidi"/>
          <w:lang w:val="es-MX" w:eastAsia="en-US"/>
        </w:rPr>
        <w:t xml:space="preserve">Solicito </w:t>
      </w:r>
      <w:bookmarkStart w:id="3" w:name="_Hlk177486570"/>
      <w:bookmarkStart w:id="4" w:name="_Hlk177486584"/>
      <w:r w:rsidRPr="009B4E83">
        <w:rPr>
          <w:rFonts w:ascii="Palatino Linotype" w:eastAsiaTheme="minorHAnsi" w:hAnsi="Palatino Linotype" w:cstheme="minorBidi"/>
          <w:b/>
          <w:bCs/>
          <w:u w:val="single"/>
          <w:lang w:val="es-MX" w:eastAsia="en-US"/>
        </w:rPr>
        <w:t>saber porque</w:t>
      </w:r>
      <w:r w:rsidRPr="00980A47">
        <w:rPr>
          <w:rFonts w:ascii="Palatino Linotype" w:eastAsiaTheme="minorHAnsi" w:hAnsi="Palatino Linotype" w:cstheme="minorBidi"/>
          <w:lang w:val="es-MX" w:eastAsia="en-US"/>
        </w:rPr>
        <w:t xml:space="preserve"> </w:t>
      </w:r>
      <w:bookmarkEnd w:id="3"/>
      <w:r w:rsidRPr="00980A47">
        <w:rPr>
          <w:rFonts w:ascii="Palatino Linotype" w:eastAsiaTheme="minorHAnsi" w:hAnsi="Palatino Linotype" w:cstheme="minorBidi"/>
          <w:lang w:val="es-MX" w:eastAsia="en-US"/>
        </w:rPr>
        <w:t>en el IPOMEX público del DIF</w:t>
      </w:r>
      <w:r>
        <w:rPr>
          <w:rFonts w:ascii="Palatino Linotype" w:eastAsiaTheme="minorHAnsi" w:hAnsi="Palatino Linotype" w:cstheme="minorBidi"/>
          <w:lang w:val="es-MX" w:eastAsia="en-US"/>
        </w:rPr>
        <w:t>,</w:t>
      </w:r>
      <w:r w:rsidRPr="00980A47">
        <w:rPr>
          <w:rFonts w:ascii="Palatino Linotype" w:eastAsiaTheme="minorHAnsi" w:hAnsi="Palatino Linotype" w:cstheme="minorBidi"/>
          <w:lang w:val="es-MX" w:eastAsia="en-US"/>
        </w:rPr>
        <w:t xml:space="preserve"> no se encuentra ningún tipo de información, porque la ocultan</w:t>
      </w:r>
      <w:bookmarkEnd w:id="4"/>
      <w:r w:rsidR="009B4E83">
        <w:rPr>
          <w:rFonts w:ascii="Palatino Linotype" w:eastAsiaTheme="minorHAnsi" w:hAnsi="Palatino Linotype" w:cstheme="minorBidi"/>
          <w:lang w:val="es-MX" w:eastAsia="en-US"/>
        </w:rPr>
        <w:t>.</w:t>
      </w:r>
    </w:p>
    <w:p w14:paraId="05859733" w14:textId="77777777" w:rsidR="009B4E83" w:rsidRDefault="009B4E83" w:rsidP="00612EFB">
      <w:pPr>
        <w:autoSpaceDE w:val="0"/>
        <w:autoSpaceDN w:val="0"/>
        <w:adjustRightInd w:val="0"/>
        <w:spacing w:line="360" w:lineRule="auto"/>
        <w:jc w:val="both"/>
        <w:rPr>
          <w:rFonts w:ascii="Palatino Linotype" w:hAnsi="Palatino Linotype" w:cs="Arial"/>
          <w:bCs/>
          <w:szCs w:val="22"/>
          <w:lang w:val="es-MX"/>
        </w:rPr>
      </w:pPr>
    </w:p>
    <w:p w14:paraId="10B9B634" w14:textId="2B952B72" w:rsidR="009B4E83" w:rsidRDefault="005F0251" w:rsidP="00612EFB">
      <w:pPr>
        <w:autoSpaceDE w:val="0"/>
        <w:autoSpaceDN w:val="0"/>
        <w:adjustRightInd w:val="0"/>
        <w:spacing w:line="360" w:lineRule="auto"/>
        <w:jc w:val="both"/>
        <w:rPr>
          <w:rFonts w:ascii="Palatino Linotype" w:hAnsi="Palatino Linotype" w:cs="Arial"/>
          <w:bCs/>
          <w:szCs w:val="22"/>
          <w:lang w:val="es-MX"/>
        </w:rPr>
      </w:pPr>
      <w:r>
        <w:rPr>
          <w:rFonts w:ascii="Palatino Linotype" w:hAnsi="Palatino Linotype" w:cs="Arial"/>
          <w:bCs/>
          <w:szCs w:val="22"/>
          <w:lang w:val="es-MX"/>
        </w:rPr>
        <w:t>Por lo que</w:t>
      </w:r>
      <w:r w:rsidR="009B4E83">
        <w:rPr>
          <w:rFonts w:ascii="Palatino Linotype" w:hAnsi="Palatino Linotype" w:cs="Arial"/>
          <w:bCs/>
          <w:szCs w:val="22"/>
          <w:lang w:val="es-MX"/>
        </w:rPr>
        <w:t xml:space="preserve">, el </w:t>
      </w:r>
      <w:r w:rsidR="009B4E83" w:rsidRPr="009B4E83">
        <w:rPr>
          <w:rFonts w:ascii="Palatino Linotype" w:hAnsi="Palatino Linotype" w:cs="Arial"/>
          <w:b/>
          <w:szCs w:val="22"/>
          <w:lang w:val="es-MX"/>
        </w:rPr>
        <w:t>Sujeto Obligado</w:t>
      </w:r>
      <w:r w:rsidR="009B4E83">
        <w:rPr>
          <w:rFonts w:ascii="Palatino Linotype" w:hAnsi="Palatino Linotype" w:cs="Arial"/>
          <w:bCs/>
          <w:szCs w:val="22"/>
          <w:lang w:val="es-MX"/>
        </w:rPr>
        <w:t xml:space="preserve">, mediante el oficio de fecha tres de julio de dos mil veinticuatro, firmado por la Titular de la Unidad de Transparencia, informó que, con fundamento en los artículos 92, 93, 94 y 151 de la Ley de Transparencia y Acceso a la Información Pública del Estado de México y Municipios, indicó las formas de acceder a la información </w:t>
      </w:r>
      <w:r w:rsidR="00695624">
        <w:rPr>
          <w:rFonts w:ascii="Palatino Linotype" w:hAnsi="Palatino Linotype" w:cs="Arial"/>
          <w:bCs/>
          <w:szCs w:val="22"/>
          <w:lang w:val="es-MX"/>
        </w:rPr>
        <w:t>pública</w:t>
      </w:r>
      <w:r w:rsidR="009B4E83">
        <w:rPr>
          <w:rFonts w:ascii="Palatino Linotype" w:hAnsi="Palatino Linotype" w:cs="Arial"/>
          <w:bCs/>
          <w:szCs w:val="22"/>
          <w:lang w:val="es-MX"/>
        </w:rPr>
        <w:t xml:space="preserve"> en el portal IPOMEX del </w:t>
      </w:r>
      <w:r w:rsidR="009B4E83" w:rsidRPr="009B4E83">
        <w:rPr>
          <w:rFonts w:ascii="Palatino Linotype" w:hAnsi="Palatino Linotype" w:cs="Arial"/>
          <w:bCs/>
          <w:szCs w:val="22"/>
          <w:lang w:val="es-MX"/>
        </w:rPr>
        <w:t>Sistema Municipal Para el Desarrollo Integral de la Familia de la Paz</w:t>
      </w:r>
      <w:r w:rsidR="009B4E83">
        <w:rPr>
          <w:rFonts w:ascii="Palatino Linotype" w:hAnsi="Palatino Linotype" w:cs="Arial"/>
          <w:bCs/>
          <w:szCs w:val="22"/>
          <w:lang w:val="es-MX"/>
        </w:rPr>
        <w:t xml:space="preserve">; finalmente, comunicó que ese Organismo no oculta información. </w:t>
      </w:r>
    </w:p>
    <w:p w14:paraId="5C06B105" w14:textId="77777777" w:rsidR="009B4E83" w:rsidRDefault="009B4E83" w:rsidP="00612EFB">
      <w:pPr>
        <w:autoSpaceDE w:val="0"/>
        <w:autoSpaceDN w:val="0"/>
        <w:adjustRightInd w:val="0"/>
        <w:spacing w:line="360" w:lineRule="auto"/>
        <w:jc w:val="both"/>
        <w:rPr>
          <w:rFonts w:ascii="Palatino Linotype" w:hAnsi="Palatino Linotype" w:cs="Arial"/>
          <w:bCs/>
          <w:szCs w:val="22"/>
          <w:lang w:val="es-MX"/>
        </w:rPr>
      </w:pPr>
    </w:p>
    <w:p w14:paraId="025200A1" w14:textId="37FCD656" w:rsidR="009B4E83" w:rsidRDefault="009B4E83"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r w:rsidRPr="009B4E83">
        <w:rPr>
          <w:rFonts w:ascii="Palatino Linotype" w:eastAsia="Palatino Linotype" w:hAnsi="Palatino Linotype" w:cs="Palatino Linotype"/>
          <w:color w:val="000000"/>
          <w:lang w:val="es-MX" w:eastAsia="en-US"/>
        </w:rPr>
        <w:t xml:space="preserve">Ante la respuesta del </w:t>
      </w:r>
      <w:r w:rsidRPr="009B4E83">
        <w:rPr>
          <w:rFonts w:ascii="Palatino Linotype" w:eastAsia="Palatino Linotype" w:hAnsi="Palatino Linotype" w:cs="Palatino Linotype"/>
          <w:b/>
          <w:bCs/>
          <w:color w:val="000000"/>
          <w:lang w:val="es-MX" w:eastAsia="en-US"/>
        </w:rPr>
        <w:t>Sujeto Obligado,</w:t>
      </w:r>
      <w:r>
        <w:rPr>
          <w:rFonts w:ascii="Palatino Linotype" w:eastAsia="Palatino Linotype" w:hAnsi="Palatino Linotype" w:cs="Palatino Linotype"/>
          <w:b/>
          <w:bCs/>
          <w:color w:val="000000"/>
          <w:lang w:val="es-MX" w:eastAsia="en-US"/>
        </w:rPr>
        <w:t xml:space="preserve"> </w:t>
      </w:r>
      <w:r w:rsidRPr="009B4E83">
        <w:rPr>
          <w:rFonts w:ascii="Palatino Linotype" w:eastAsia="Palatino Linotype" w:hAnsi="Palatino Linotype" w:cs="Palatino Linotype"/>
          <w:color w:val="000000"/>
          <w:lang w:val="es-MX" w:eastAsia="en-US"/>
        </w:rPr>
        <w:t xml:space="preserve">la parte </w:t>
      </w:r>
      <w:r w:rsidRPr="009B4E83">
        <w:rPr>
          <w:rFonts w:ascii="Palatino Linotype" w:eastAsia="Palatino Linotype" w:hAnsi="Palatino Linotype" w:cs="Palatino Linotype"/>
          <w:b/>
          <w:bCs/>
          <w:color w:val="000000"/>
          <w:lang w:val="es-MX" w:eastAsia="en-US"/>
        </w:rPr>
        <w:t>Recurrente</w:t>
      </w:r>
      <w:r w:rsidRPr="009B4E83">
        <w:rPr>
          <w:rFonts w:ascii="Palatino Linotype" w:eastAsia="Palatino Linotype" w:hAnsi="Palatino Linotype" w:cs="Palatino Linotype"/>
          <w:color w:val="000000"/>
          <w:lang w:val="es-MX" w:eastAsia="en-US"/>
        </w:rPr>
        <w:t xml:space="preserve"> consideró que se trasgredió su derecho de acceso a la información, por lo que interpuso el presente recurso de revisión señalando lo siguiente:</w:t>
      </w:r>
      <w:r w:rsidR="005F0251">
        <w:rPr>
          <w:rFonts w:ascii="Palatino Linotype" w:eastAsia="Palatino Linotype" w:hAnsi="Palatino Linotype" w:cs="Palatino Linotype"/>
          <w:color w:val="000000"/>
          <w:lang w:val="es-MX" w:eastAsia="en-US"/>
        </w:rPr>
        <w:t xml:space="preserve"> </w:t>
      </w:r>
      <w:r w:rsidR="005F0251" w:rsidRPr="005F0251">
        <w:rPr>
          <w:rFonts w:ascii="Palatino Linotype" w:eastAsia="Palatino Linotype" w:hAnsi="Palatino Linotype" w:cs="Palatino Linotype"/>
          <w:i/>
          <w:iCs/>
          <w:color w:val="000000"/>
          <w:lang w:val="es-MX" w:eastAsia="en-US"/>
        </w:rPr>
        <w:t>“LA NEGATIVA A LA ENTREGA DE LA INFORMACIÓN”</w:t>
      </w:r>
      <w:r w:rsidR="005F0251">
        <w:rPr>
          <w:rFonts w:ascii="Palatino Linotype" w:eastAsia="Palatino Linotype" w:hAnsi="Palatino Linotype" w:cs="Palatino Linotype"/>
          <w:color w:val="000000"/>
          <w:lang w:val="es-MX" w:eastAsia="en-US"/>
        </w:rPr>
        <w:t xml:space="preserve"> </w:t>
      </w:r>
      <w:r w:rsidR="005F0251" w:rsidRPr="005F0251">
        <w:rPr>
          <w:rFonts w:ascii="Palatino Linotype" w:eastAsia="Palatino Linotype" w:hAnsi="Palatino Linotype" w:cs="Palatino Linotype"/>
          <w:i/>
          <w:iCs/>
          <w:color w:val="000000"/>
          <w:lang w:val="es-MX" w:eastAsia="en-US"/>
        </w:rPr>
        <w:t>(Sic)</w:t>
      </w:r>
      <w:r w:rsidR="005F0251">
        <w:rPr>
          <w:rFonts w:ascii="Palatino Linotype" w:eastAsia="Palatino Linotype" w:hAnsi="Palatino Linotype" w:cs="Palatino Linotype"/>
          <w:color w:val="000000"/>
          <w:lang w:val="es-MX" w:eastAsia="en-US"/>
        </w:rPr>
        <w:t xml:space="preserve"> y </w:t>
      </w:r>
      <w:r w:rsidR="005F0251" w:rsidRPr="005F0251">
        <w:rPr>
          <w:rFonts w:ascii="Palatino Linotype" w:eastAsia="Palatino Linotype" w:hAnsi="Palatino Linotype" w:cs="Palatino Linotype"/>
          <w:i/>
          <w:iCs/>
          <w:color w:val="000000"/>
          <w:lang w:val="es-MX" w:eastAsia="en-US"/>
        </w:rPr>
        <w:t xml:space="preserve">“El DIF de la paz nuevamente insiste en ignorar las solicitudes de </w:t>
      </w:r>
      <w:r w:rsidR="005F0251" w:rsidRPr="005F0251">
        <w:rPr>
          <w:rFonts w:ascii="Palatino Linotype" w:eastAsia="Palatino Linotype" w:hAnsi="Palatino Linotype" w:cs="Palatino Linotype"/>
          <w:i/>
          <w:iCs/>
          <w:color w:val="000000"/>
          <w:lang w:val="es-MX" w:eastAsia="en-US"/>
        </w:rPr>
        <w:lastRenderedPageBreak/>
        <w:t>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 (Sic).</w:t>
      </w:r>
      <w:r w:rsidR="005F0251">
        <w:rPr>
          <w:rFonts w:ascii="Palatino Linotype" w:eastAsia="Palatino Linotype" w:hAnsi="Palatino Linotype" w:cs="Palatino Linotype"/>
          <w:color w:val="000000"/>
          <w:lang w:val="es-MX" w:eastAsia="en-US"/>
        </w:rPr>
        <w:t xml:space="preserve"> </w:t>
      </w:r>
    </w:p>
    <w:p w14:paraId="0DDD131B"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14D85E5B" w14:textId="4396C0CB"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i/>
          <w:iCs/>
          <w:color w:val="000000"/>
          <w:lang w:val="es-MX" w:eastAsia="en-US"/>
        </w:rPr>
      </w:pPr>
      <w:r w:rsidRPr="005F0251">
        <w:rPr>
          <w:rFonts w:ascii="Palatino Linotype" w:eastAsia="Palatino Linotype" w:hAnsi="Palatino Linotype" w:cs="Palatino Linotype"/>
          <w:color w:val="000000"/>
          <w:lang w:val="es-MX" w:eastAsia="en-US"/>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materia de derecho de acceso a la información sobre la que </w:t>
      </w:r>
      <w:r w:rsidRPr="005F0251">
        <w:rPr>
          <w:rFonts w:ascii="Palatino Linotype" w:eastAsia="Palatino Linotype" w:hAnsi="Palatino Linotype" w:cs="Palatino Linotype"/>
          <w:b/>
          <w:bCs/>
          <w:color w:val="000000"/>
          <w:lang w:val="es-MX" w:eastAsia="en-US"/>
        </w:rPr>
        <w:t>El Sujeto Obligado</w:t>
      </w:r>
      <w:r w:rsidRPr="005F0251">
        <w:rPr>
          <w:rFonts w:ascii="Palatino Linotype" w:eastAsia="Palatino Linotype" w:hAnsi="Palatino Linotype" w:cs="Palatino Linotype"/>
          <w:color w:val="000000"/>
          <w:lang w:val="es-MX" w:eastAsia="en-US"/>
        </w:rPr>
        <w:t xml:space="preserve"> pueda entregar información alguna, ello es así porque</w:t>
      </w:r>
      <w:r>
        <w:rPr>
          <w:rFonts w:ascii="Palatino Linotype" w:eastAsia="Palatino Linotype" w:hAnsi="Palatino Linotype" w:cs="Palatino Linotype"/>
          <w:color w:val="000000"/>
          <w:lang w:val="es-MX" w:eastAsia="en-US"/>
        </w:rPr>
        <w:t xml:space="preserve"> la parte </w:t>
      </w:r>
      <w:r w:rsidRPr="005F0251">
        <w:rPr>
          <w:rFonts w:ascii="Palatino Linotype" w:eastAsia="Palatino Linotype" w:hAnsi="Palatino Linotype" w:cs="Palatino Linotype"/>
          <w:b/>
          <w:bCs/>
          <w:color w:val="000000"/>
          <w:lang w:val="es-MX" w:eastAsia="en-US"/>
        </w:rPr>
        <w:t>Recurrente</w:t>
      </w:r>
      <w:r w:rsidRPr="005F0251">
        <w:rPr>
          <w:rFonts w:ascii="Palatino Linotype" w:eastAsia="Palatino Linotype" w:hAnsi="Palatino Linotype" w:cs="Palatino Linotype"/>
          <w:color w:val="000000"/>
          <w:lang w:val="es-MX" w:eastAsia="en-US"/>
        </w:rPr>
        <w:t xml:space="preserve"> requiere le sean respondidos una serie de cuestionamientos </w:t>
      </w:r>
      <w:r w:rsidRPr="005F0251">
        <w:rPr>
          <w:rFonts w:ascii="Palatino Linotype" w:eastAsia="Palatino Linotype" w:hAnsi="Palatino Linotype" w:cs="Palatino Linotype"/>
          <w:i/>
          <w:iCs/>
          <w:color w:val="000000"/>
          <w:lang w:val="es-MX" w:eastAsia="en-US"/>
        </w:rPr>
        <w:t>“…</w:t>
      </w:r>
      <w:r w:rsidRPr="005F0251">
        <w:rPr>
          <w:rFonts w:ascii="Palatino Linotype" w:eastAsia="Palatino Linotype" w:hAnsi="Palatino Linotype" w:cs="Palatino Linotype"/>
          <w:b/>
          <w:bCs/>
          <w:i/>
          <w:iCs/>
          <w:color w:val="000000"/>
          <w:u w:val="single"/>
          <w:lang w:val="es-MX" w:eastAsia="en-US"/>
        </w:rPr>
        <w:t xml:space="preserve">saber porque </w:t>
      </w:r>
      <w:r w:rsidRPr="005F0251">
        <w:rPr>
          <w:rFonts w:ascii="Palatino Linotype" w:eastAsia="Palatino Linotype" w:hAnsi="Palatino Linotype" w:cs="Palatino Linotype"/>
          <w:i/>
          <w:iCs/>
          <w:color w:val="000000"/>
          <w:lang w:val="es-MX" w:eastAsia="en-US"/>
        </w:rPr>
        <w:t xml:space="preserve">en el IPOMEX público del DIF, no se encuentra ningún tipo de información, </w:t>
      </w:r>
      <w:r w:rsidRPr="005F0251">
        <w:rPr>
          <w:rFonts w:ascii="Palatino Linotype" w:eastAsia="Palatino Linotype" w:hAnsi="Palatino Linotype" w:cs="Palatino Linotype"/>
          <w:b/>
          <w:bCs/>
          <w:i/>
          <w:iCs/>
          <w:color w:val="000000"/>
          <w:u w:val="single"/>
          <w:lang w:val="es-MX" w:eastAsia="en-US"/>
        </w:rPr>
        <w:t>porque la ocultan</w:t>
      </w:r>
      <w:r w:rsidRPr="005F0251">
        <w:rPr>
          <w:rFonts w:ascii="Palatino Linotype" w:eastAsia="Palatino Linotype" w:hAnsi="Palatino Linotype" w:cs="Palatino Linotype"/>
          <w:i/>
          <w:iCs/>
          <w:color w:val="000000"/>
          <w:lang w:val="es-MX" w:eastAsia="en-US"/>
        </w:rPr>
        <w:t xml:space="preserve">”, </w:t>
      </w:r>
    </w:p>
    <w:p w14:paraId="00CC18F9"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i/>
          <w:iCs/>
          <w:color w:val="000000"/>
          <w:lang w:val="es-MX" w:eastAsia="en-US"/>
        </w:rPr>
      </w:pPr>
    </w:p>
    <w:p w14:paraId="5B69DA1B" w14:textId="134CB1CE"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r w:rsidRPr="005F0251">
        <w:rPr>
          <w:rFonts w:ascii="Palatino Linotype" w:eastAsia="Palatino Linotype" w:hAnsi="Palatino Linotype" w:cs="Palatino Linotype"/>
          <w:color w:val="000000"/>
          <w:lang w:val="es-MX" w:eastAsia="en-US"/>
        </w:rPr>
        <w:t>Lo anterior implica que</w:t>
      </w:r>
      <w:r>
        <w:rPr>
          <w:rFonts w:ascii="Palatino Linotype" w:eastAsia="Palatino Linotype" w:hAnsi="Palatino Linotype" w:cs="Palatino Linotype"/>
          <w:color w:val="000000"/>
          <w:lang w:val="es-MX" w:eastAsia="en-US"/>
        </w:rPr>
        <w:t xml:space="preserve">, el </w:t>
      </w:r>
      <w:r w:rsidRPr="005F0251">
        <w:rPr>
          <w:rFonts w:ascii="Palatino Linotype" w:eastAsia="Palatino Linotype" w:hAnsi="Palatino Linotype" w:cs="Palatino Linotype"/>
          <w:b/>
          <w:bCs/>
          <w:color w:val="000000"/>
          <w:lang w:val="es-MX" w:eastAsia="en-US"/>
        </w:rPr>
        <w:t>Sujeto Obligado</w:t>
      </w:r>
      <w:r w:rsidRPr="005F0251">
        <w:rPr>
          <w:rFonts w:ascii="Palatino Linotype" w:eastAsia="Palatino Linotype" w:hAnsi="Palatino Linotype" w:cs="Palatino Linotype"/>
          <w:color w:val="000000"/>
          <w:lang w:val="es-MX" w:eastAsia="en-US"/>
        </w:rPr>
        <w:t xml:space="preserve"> emita pronunciamiento específico respecto de la situación planteada por la particular, quien en su solicitud de información de información pretende expresar su preocupación o inconformidad ante una situación que se considera indebida.</w:t>
      </w:r>
    </w:p>
    <w:p w14:paraId="06E1333A"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5317E3F9" w14:textId="004DECE1" w:rsidR="005F0251" w:rsidRDefault="005F0251" w:rsidP="005F0251">
      <w:pPr>
        <w:pBdr>
          <w:top w:val="nil"/>
          <w:left w:val="nil"/>
          <w:bottom w:val="nil"/>
          <w:right w:val="nil"/>
          <w:between w:val="nil"/>
        </w:pBdr>
        <w:tabs>
          <w:tab w:val="left" w:pos="1020"/>
        </w:tabs>
        <w:spacing w:after="160" w:line="360" w:lineRule="auto"/>
        <w:contextualSpacing/>
        <w:jc w:val="both"/>
        <w:rPr>
          <w:rFonts w:ascii="Palatino Linotype" w:eastAsia="Palatino Linotype" w:hAnsi="Palatino Linotype" w:cs="Palatino Linotype"/>
          <w:color w:val="000000"/>
          <w:lang w:val="es-MX" w:eastAsia="en-US"/>
        </w:rPr>
      </w:pPr>
      <w:r w:rsidRPr="005F0251">
        <w:rPr>
          <w:rFonts w:ascii="Palatino Linotype" w:eastAsia="Palatino Linotype" w:hAnsi="Palatino Linotype" w:cs="Palatino Linotype"/>
          <w:color w:val="000000"/>
          <w:lang w:val="es-MX" w:eastAsia="en-US"/>
        </w:rPr>
        <w:t xml:space="preserve">En ese tenor, cabe aclarar que cuando los planteamientos que formulen los particulares se pueda colmar con la entrega de documentos que los sujetos obligados generen, posean o administren en ejercicio de sus atribuciones, se está en presencia del derecho </w:t>
      </w:r>
      <w:r w:rsidRPr="005F0251">
        <w:rPr>
          <w:rFonts w:ascii="Palatino Linotype" w:eastAsia="Palatino Linotype" w:hAnsi="Palatino Linotype" w:cs="Palatino Linotype"/>
          <w:color w:val="000000"/>
          <w:lang w:val="es-MX" w:eastAsia="en-US"/>
        </w:rPr>
        <w:lastRenderedPageBreak/>
        <w:t>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354FD0E6" w14:textId="77777777" w:rsidR="005F0251" w:rsidRPr="005F0251" w:rsidRDefault="005F0251" w:rsidP="005F0251">
      <w:pPr>
        <w:pBdr>
          <w:top w:val="nil"/>
          <w:left w:val="nil"/>
          <w:bottom w:val="nil"/>
          <w:right w:val="nil"/>
          <w:between w:val="nil"/>
        </w:pBdr>
        <w:tabs>
          <w:tab w:val="left" w:pos="1020"/>
        </w:tabs>
        <w:spacing w:after="160" w:line="360" w:lineRule="auto"/>
        <w:contextualSpacing/>
        <w:jc w:val="both"/>
        <w:rPr>
          <w:rFonts w:ascii="Palatino Linotype" w:eastAsia="Palatino Linotype" w:hAnsi="Palatino Linotype" w:cs="Palatino Linotype"/>
          <w:color w:val="000000"/>
          <w:lang w:val="es-MX" w:eastAsia="en-US"/>
        </w:rPr>
      </w:pPr>
    </w:p>
    <w:p w14:paraId="5691AC76" w14:textId="77777777" w:rsidR="005F0251" w:rsidRDefault="005F0251" w:rsidP="005F0251">
      <w:pPr>
        <w:pBdr>
          <w:top w:val="nil"/>
          <w:left w:val="nil"/>
          <w:bottom w:val="nil"/>
          <w:right w:val="nil"/>
          <w:between w:val="nil"/>
        </w:pBdr>
        <w:tabs>
          <w:tab w:val="left" w:pos="1020"/>
        </w:tabs>
        <w:spacing w:after="160" w:line="360" w:lineRule="auto"/>
        <w:contextualSpacing/>
        <w:jc w:val="both"/>
        <w:rPr>
          <w:rFonts w:ascii="Palatino Linotype" w:eastAsia="Palatino Linotype" w:hAnsi="Palatino Linotype" w:cs="Palatino Linotype"/>
          <w:color w:val="000000"/>
          <w:lang w:val="es-MX" w:eastAsia="en-US"/>
        </w:rPr>
      </w:pPr>
      <w:r w:rsidRPr="005F0251">
        <w:rPr>
          <w:rFonts w:ascii="Palatino Linotype" w:eastAsia="Palatino Linotype" w:hAnsi="Palatino Linotype" w:cs="Palatino Linotype"/>
          <w:color w:val="000000"/>
          <w:lang w:val="es-MX" w:eastAsia="en-U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78A0FBF7" w14:textId="77777777" w:rsidR="005F0251" w:rsidRPr="005F0251" w:rsidRDefault="005F0251" w:rsidP="005F0251">
      <w:pPr>
        <w:pBdr>
          <w:top w:val="nil"/>
          <w:left w:val="nil"/>
          <w:bottom w:val="nil"/>
          <w:right w:val="nil"/>
          <w:between w:val="nil"/>
        </w:pBdr>
        <w:tabs>
          <w:tab w:val="left" w:pos="1020"/>
        </w:tabs>
        <w:spacing w:after="160" w:line="360" w:lineRule="auto"/>
        <w:contextualSpacing/>
        <w:jc w:val="both"/>
        <w:rPr>
          <w:rFonts w:ascii="Palatino Linotype" w:eastAsia="Palatino Linotype" w:hAnsi="Palatino Linotype" w:cs="Palatino Linotype"/>
          <w:color w:val="000000"/>
          <w:lang w:val="es-MX" w:eastAsia="en-US"/>
        </w:rPr>
      </w:pPr>
    </w:p>
    <w:p w14:paraId="2D91FF03" w14:textId="77777777" w:rsidR="005F0251" w:rsidRPr="005F0251" w:rsidRDefault="005F0251" w:rsidP="005F0251">
      <w:pPr>
        <w:ind w:left="567" w:right="616"/>
        <w:jc w:val="both"/>
        <w:rPr>
          <w:rFonts w:ascii="Palatino Linotype" w:eastAsiaTheme="minorHAnsi" w:hAnsi="Palatino Linotype" w:cs="Arial"/>
          <w:b/>
          <w:bCs/>
          <w:i/>
          <w:sz w:val="22"/>
          <w:szCs w:val="22"/>
          <w:lang w:val="es-MX" w:eastAsia="en-US"/>
        </w:rPr>
      </w:pPr>
      <w:r w:rsidRPr="005F0251">
        <w:rPr>
          <w:rFonts w:ascii="Palatino Linotype" w:eastAsiaTheme="minorHAnsi" w:hAnsi="Palatino Linotype" w:cs="Arial"/>
          <w:b/>
          <w:bCs/>
          <w:i/>
          <w:sz w:val="22"/>
          <w:szCs w:val="22"/>
          <w:lang w:val="es-MX" w:eastAsia="en-US"/>
        </w:rPr>
        <w:t xml:space="preserve">“CUANDO EN UNA SOLICITUD DE INFORMACIÓN NO SE IDENTIFIQUE UN DOCUMENTO EN ESPECÍFICO, SI ÉSTA TIENE UNA EXPRESIÓN DOCUMENTAL, EL SUJETO OBLIGADO DEBERÁ ENTREGAR AL PARTICULAR EL DOCUMENTO EN ESPECÍFICO. </w:t>
      </w:r>
    </w:p>
    <w:p w14:paraId="54F0EF41" w14:textId="77777777" w:rsidR="005F0251" w:rsidRPr="005F0251" w:rsidRDefault="005F0251" w:rsidP="005F0251">
      <w:pPr>
        <w:ind w:left="567" w:right="616"/>
        <w:jc w:val="both"/>
        <w:rPr>
          <w:rFonts w:ascii="Palatino Linotype" w:eastAsiaTheme="minorHAnsi" w:hAnsi="Palatino Linotype" w:cs="Arial"/>
          <w:b/>
          <w:bCs/>
          <w:i/>
          <w:sz w:val="22"/>
          <w:szCs w:val="22"/>
          <w:lang w:val="es-MX" w:eastAsia="en-US"/>
        </w:rPr>
      </w:pPr>
      <w:r w:rsidRPr="005F0251">
        <w:rPr>
          <w:rFonts w:ascii="Palatino Linotype" w:eastAsiaTheme="minorHAnsi" w:hAnsi="Palatino Linotype" w:cs="Arial"/>
          <w:i/>
          <w:sz w:val="22"/>
          <w:szCs w:val="22"/>
          <w:lang w:val="es-MX" w:eastAsia="en-US"/>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w:t>
      </w:r>
      <w:r w:rsidRPr="005F0251">
        <w:rPr>
          <w:rFonts w:ascii="Palatino Linotype" w:eastAsiaTheme="minorHAnsi" w:hAnsi="Palatino Linotype" w:cs="Arial"/>
          <w:i/>
          <w:sz w:val="22"/>
          <w:szCs w:val="22"/>
          <w:lang w:val="es-MX" w:eastAsia="en-US"/>
        </w:rPr>
        <w:lastRenderedPageBreak/>
        <w:t xml:space="preserve">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 </w:t>
      </w:r>
      <w:r w:rsidRPr="005F0251">
        <w:rPr>
          <w:rFonts w:ascii="Palatino Linotype" w:eastAsiaTheme="minorHAnsi" w:hAnsi="Palatino Linotype" w:cs="Arial"/>
          <w:b/>
          <w:bCs/>
          <w:i/>
          <w:sz w:val="22"/>
          <w:szCs w:val="22"/>
          <w:lang w:val="es-MX" w:eastAsia="en-US"/>
        </w:rPr>
        <w:t>(Sic)</w:t>
      </w:r>
    </w:p>
    <w:p w14:paraId="3A17704C"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05CF096D" w14:textId="62ED1C8D"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r w:rsidRPr="005F0251">
        <w:rPr>
          <w:rFonts w:ascii="Palatino Linotype" w:eastAsia="Palatino Linotype" w:hAnsi="Palatino Linotype" w:cs="Palatino Linotype"/>
          <w:color w:val="000000"/>
          <w:lang w:eastAsia="en-US"/>
        </w:rPr>
        <w:t>Así, con apego a lo dispuesto en el artículo 9 fracciones IV y VI</w:t>
      </w:r>
      <w:r>
        <w:rPr>
          <w:rFonts w:ascii="Palatino Linotype" w:eastAsia="Palatino Linotype" w:hAnsi="Palatino Linotype" w:cs="Palatino Linotype"/>
          <w:color w:val="000000"/>
          <w:lang w:eastAsia="en-US"/>
        </w:rPr>
        <w:t>,</w:t>
      </w:r>
      <w:r w:rsidRPr="005F0251">
        <w:rPr>
          <w:rFonts w:ascii="Palatino Linotype" w:eastAsia="Palatino Linotype" w:hAnsi="Palatino Linotype" w:cs="Palatino Linotype"/>
          <w:color w:val="000000"/>
          <w:lang w:eastAsia="en-US"/>
        </w:rPr>
        <w:t xml:space="preserve">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20EA9231"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66C8822E" w14:textId="61F726A8"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r w:rsidRPr="005F0251">
        <w:rPr>
          <w:rFonts w:ascii="Palatino Linotype" w:eastAsia="Palatino Linotype" w:hAnsi="Palatino Linotype" w:cs="Palatino Linotype"/>
          <w:color w:val="000000"/>
          <w:lang w:eastAsia="en-US"/>
        </w:rPr>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5E52A341"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7ABF6C44"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bCs/>
          <w:color w:val="000000"/>
          <w:lang w:eastAsia="en-US"/>
        </w:rPr>
      </w:pPr>
      <w:r w:rsidRPr="005F0251">
        <w:rPr>
          <w:rFonts w:ascii="Palatino Linotype" w:eastAsia="Palatino Linotype" w:hAnsi="Palatino Linotype" w:cs="Palatino Linotype"/>
          <w:color w:val="000000"/>
          <w:lang w:eastAsia="en-US"/>
        </w:rPr>
        <w:t>Por tanto, se debe precisar que</w:t>
      </w:r>
      <w:r w:rsidRPr="005F0251">
        <w:rPr>
          <w:rFonts w:ascii="Palatino Linotype" w:eastAsia="Palatino Linotype" w:hAnsi="Palatino Linotype" w:cs="Palatino Linotype"/>
          <w:b/>
          <w:color w:val="000000"/>
          <w:lang w:eastAsia="en-US"/>
        </w:rPr>
        <w:t xml:space="preserve"> </w:t>
      </w:r>
      <w:r w:rsidRPr="005F0251">
        <w:rPr>
          <w:rFonts w:ascii="Palatino Linotype" w:eastAsia="Palatino Linotype" w:hAnsi="Palatino Linotype" w:cs="Palatino Linotype"/>
          <w:bCs/>
          <w:color w:val="000000"/>
          <w:lang w:eastAsia="en-US"/>
        </w:rPr>
        <w:t xml:space="preserve">la naturaleza del derecho de acceso a la información impide que se dé contestación a requerimientos que conllevan al pronunciamiento específico de interrogantes sobre variados temas, se brinde una asesoría legal o se requiera una consulta específica mediante el SAIMEX. </w:t>
      </w:r>
    </w:p>
    <w:p w14:paraId="2AEEF02A" w14:textId="77777777"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1D34197F" w14:textId="0B1FC220"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r w:rsidRPr="005F0251">
        <w:rPr>
          <w:rFonts w:ascii="Palatino Linotype" w:eastAsia="Palatino Linotype" w:hAnsi="Palatino Linotype" w:cs="Palatino Linotype"/>
          <w:color w:val="000000"/>
          <w:lang w:eastAsia="en-US"/>
        </w:rPr>
        <w:t xml:space="preserve">Consecuentemente, se estima que la solicitud de información es improcedente en virtud de que el requerimiento consiste en un pronunciamiento sobre cuestionamientos derivados de juicios subjetivos por parte </w:t>
      </w:r>
      <w:r>
        <w:rPr>
          <w:rFonts w:ascii="Palatino Linotype" w:eastAsia="Palatino Linotype" w:hAnsi="Palatino Linotype" w:cs="Palatino Linotype"/>
          <w:color w:val="000000"/>
          <w:lang w:eastAsia="en-US"/>
        </w:rPr>
        <w:t>la</w:t>
      </w:r>
      <w:r w:rsidRPr="005F0251">
        <w:rPr>
          <w:rFonts w:ascii="Palatino Linotype" w:eastAsia="Palatino Linotype" w:hAnsi="Palatino Linotype" w:cs="Palatino Linotype"/>
          <w:color w:val="000000"/>
          <w:lang w:eastAsia="en-US"/>
        </w:rPr>
        <w:t xml:space="preserve"> </w:t>
      </w:r>
      <w:r w:rsidRPr="005F0251">
        <w:rPr>
          <w:rFonts w:ascii="Palatino Linotype" w:eastAsia="Palatino Linotype" w:hAnsi="Palatino Linotype" w:cs="Palatino Linotype"/>
          <w:b/>
          <w:bCs/>
          <w:color w:val="000000"/>
          <w:lang w:eastAsia="en-US"/>
        </w:rPr>
        <w:t>Recurrente,</w:t>
      </w:r>
      <w:r w:rsidRPr="005F0251">
        <w:rPr>
          <w:rFonts w:ascii="Palatino Linotype" w:eastAsia="Palatino Linotype" w:hAnsi="Palatino Linotype" w:cs="Palatino Linotype"/>
          <w:color w:val="000000"/>
          <w:lang w:eastAsia="en-US"/>
        </w:rPr>
        <w:t xml:space="preserve"> sin que se </w:t>
      </w:r>
      <w:r w:rsidRPr="005F0251">
        <w:rPr>
          <w:rFonts w:ascii="Palatino Linotype" w:eastAsia="Palatino Linotype" w:hAnsi="Palatino Linotype" w:cs="Palatino Linotype"/>
          <w:color w:val="000000"/>
          <w:lang w:eastAsia="en-US"/>
        </w:rPr>
        <w:lastRenderedPageBreak/>
        <w:t xml:space="preserve">requiriera específicamente un documento generado en el ejercicio de las atribuciones del </w:t>
      </w:r>
      <w:r w:rsidRPr="005F0251">
        <w:rPr>
          <w:rFonts w:ascii="Palatino Linotype" w:eastAsia="Palatino Linotype" w:hAnsi="Palatino Linotype" w:cs="Palatino Linotype"/>
          <w:b/>
          <w:bCs/>
          <w:color w:val="000000"/>
          <w:lang w:eastAsia="en-US"/>
        </w:rPr>
        <w:t>Sujeto Obligado</w:t>
      </w:r>
      <w:r w:rsidRPr="005F0251">
        <w:rPr>
          <w:rFonts w:ascii="Palatino Linotype" w:eastAsia="Palatino Linotype" w:hAnsi="Palatino Linotype" w:cs="Palatino Linotype"/>
          <w:color w:val="000000"/>
          <w:lang w:eastAsia="en-US"/>
        </w:rPr>
        <w:t xml:space="preserve"> que permita a este localizarlo y, en su caso, ponerlo a su disposición.</w:t>
      </w:r>
    </w:p>
    <w:p w14:paraId="74893676"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72C2CED0" w14:textId="77777777" w:rsid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r w:rsidRPr="005F0251">
        <w:rPr>
          <w:rFonts w:ascii="Palatino Linotype" w:eastAsia="Palatino Linotype" w:hAnsi="Palatino Linotype" w:cs="Palatino Linotype"/>
          <w:color w:val="000000"/>
          <w:lang w:eastAsia="en-US"/>
        </w:rPr>
        <w:t>Lo anterior con fundamento en lo establecido por el artículo 6 apartado A fracciones I, II y III de la Constitución Política de los Estados Unidos Mexicanos que a la letra señala lo siguiente:</w:t>
      </w:r>
    </w:p>
    <w:p w14:paraId="176158F7"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3684EBD0" w14:textId="77777777" w:rsidR="005F0251" w:rsidRPr="005F0251" w:rsidRDefault="005F0251" w:rsidP="005F0251">
      <w:pPr>
        <w:spacing w:after="240"/>
        <w:ind w:left="851" w:right="851"/>
        <w:jc w:val="both"/>
        <w:rPr>
          <w:rFonts w:ascii="Palatino Linotype" w:eastAsiaTheme="minorHAnsi" w:hAnsi="Palatino Linotype" w:cs="Arial"/>
          <w:i/>
          <w:color w:val="000000"/>
          <w:sz w:val="22"/>
          <w:szCs w:val="22"/>
          <w:lang w:eastAsia="en-US"/>
        </w:rPr>
      </w:pPr>
      <w:r w:rsidRPr="005F0251">
        <w:rPr>
          <w:rFonts w:ascii="Palatino Linotype" w:eastAsiaTheme="minorHAnsi" w:hAnsi="Palatino Linotype" w:cs="Arial"/>
          <w:i/>
          <w:sz w:val="22"/>
          <w:szCs w:val="22"/>
          <w:lang w:eastAsia="en-US"/>
        </w:rPr>
        <w:t>“</w:t>
      </w:r>
      <w:r w:rsidRPr="005F0251">
        <w:rPr>
          <w:rFonts w:ascii="Palatino Linotype" w:eastAsiaTheme="minorHAnsi" w:hAnsi="Palatino Linotype" w:cs="Arial"/>
          <w:b/>
          <w:bCs/>
          <w:i/>
          <w:sz w:val="22"/>
          <w:szCs w:val="22"/>
          <w:lang w:eastAsia="en-US"/>
        </w:rPr>
        <w:t>Artículo 6o.</w:t>
      </w:r>
      <w:r w:rsidRPr="005F0251">
        <w:rPr>
          <w:rFonts w:ascii="Palatino Linotype" w:eastAsiaTheme="minorHAnsi" w:hAnsi="Palatino Linotype" w:cs="Arial"/>
          <w:i/>
          <w:sz w:val="22"/>
          <w:szCs w:val="22"/>
          <w:lang w:eastAsia="en-US"/>
        </w:rPr>
        <w:t xml:space="preserve"> […] </w:t>
      </w:r>
    </w:p>
    <w:p w14:paraId="245753EB" w14:textId="77777777" w:rsidR="005F0251" w:rsidRPr="005F0251" w:rsidRDefault="005F0251" w:rsidP="005F0251">
      <w:pPr>
        <w:spacing w:after="240"/>
        <w:ind w:left="851" w:right="851"/>
        <w:jc w:val="both"/>
        <w:rPr>
          <w:rFonts w:ascii="Palatino Linotype" w:eastAsiaTheme="minorHAnsi" w:hAnsi="Palatino Linotype" w:cs="Arial"/>
          <w:i/>
          <w:color w:val="000000"/>
          <w:sz w:val="22"/>
          <w:szCs w:val="22"/>
          <w:lang w:eastAsia="en-US"/>
        </w:rPr>
      </w:pPr>
      <w:r w:rsidRPr="005F0251">
        <w:rPr>
          <w:rFonts w:ascii="Palatino Linotype" w:eastAsiaTheme="minorHAnsi" w:hAnsi="Palatino Linotype" w:cs="Arial"/>
          <w:i/>
          <w:sz w:val="22"/>
          <w:szCs w:val="22"/>
          <w:lang w:eastAsia="en-US"/>
        </w:rPr>
        <w:t>A. Para el ejercicio del derecho de acceso a la información, la Federación, los Estados y el Distrito Federal, en el ámbito de sus respectivas competencias, se regirán por los siguientes principios y bases:</w:t>
      </w:r>
    </w:p>
    <w:p w14:paraId="453B318B" w14:textId="77777777" w:rsidR="005F0251" w:rsidRPr="005F0251" w:rsidRDefault="005F0251" w:rsidP="005F0251">
      <w:pPr>
        <w:spacing w:after="240"/>
        <w:ind w:left="851" w:right="851"/>
        <w:jc w:val="both"/>
        <w:rPr>
          <w:rFonts w:ascii="Palatino Linotype" w:eastAsiaTheme="minorHAnsi" w:hAnsi="Palatino Linotype" w:cs="Arial"/>
          <w:i/>
          <w:color w:val="000000"/>
          <w:sz w:val="22"/>
          <w:szCs w:val="22"/>
          <w:lang w:eastAsia="en-US"/>
        </w:rPr>
      </w:pPr>
      <w:r w:rsidRPr="005F0251">
        <w:rPr>
          <w:rFonts w:ascii="Palatino Linotype" w:eastAsiaTheme="minorHAnsi" w:hAnsi="Palatino Linotype" w:cs="Arial"/>
          <w:i/>
          <w:sz w:val="22"/>
          <w:szCs w:val="22"/>
          <w:lang w:eastAsia="en-US"/>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E86CCD" w14:textId="77777777" w:rsidR="005F0251" w:rsidRPr="005F0251" w:rsidRDefault="005F0251" w:rsidP="005F0251">
      <w:pPr>
        <w:spacing w:after="240"/>
        <w:ind w:left="851" w:right="851"/>
        <w:jc w:val="both"/>
        <w:rPr>
          <w:rFonts w:ascii="Palatino Linotype" w:eastAsiaTheme="minorHAnsi" w:hAnsi="Palatino Linotype" w:cs="Arial"/>
          <w:i/>
          <w:color w:val="000000"/>
          <w:sz w:val="22"/>
          <w:szCs w:val="22"/>
          <w:lang w:eastAsia="en-US"/>
        </w:rPr>
      </w:pPr>
      <w:r w:rsidRPr="005F0251">
        <w:rPr>
          <w:rFonts w:ascii="Palatino Linotype" w:eastAsiaTheme="minorHAnsi" w:hAnsi="Palatino Linotype" w:cs="Arial"/>
          <w:i/>
          <w:sz w:val="22"/>
          <w:szCs w:val="22"/>
          <w:lang w:eastAsia="en-US"/>
        </w:rPr>
        <w:t>II. La información que se refiere a la vida privada y los datos personales será protegida en los términos y con las excepciones que fijen las leyes.</w:t>
      </w:r>
    </w:p>
    <w:p w14:paraId="11A2BD02" w14:textId="77777777" w:rsidR="005F0251" w:rsidRPr="005F0251" w:rsidRDefault="005F0251" w:rsidP="005F0251">
      <w:pPr>
        <w:spacing w:after="240"/>
        <w:ind w:left="851" w:right="851"/>
        <w:jc w:val="both"/>
        <w:rPr>
          <w:rFonts w:ascii="Palatino Linotype" w:eastAsiaTheme="minorHAnsi" w:hAnsi="Palatino Linotype" w:cs="Arial"/>
          <w:i/>
          <w:sz w:val="22"/>
          <w:szCs w:val="22"/>
          <w:lang w:eastAsia="en-US"/>
        </w:rPr>
      </w:pPr>
      <w:r w:rsidRPr="005F0251">
        <w:rPr>
          <w:rFonts w:ascii="Palatino Linotype" w:eastAsiaTheme="minorHAnsi" w:hAnsi="Palatino Linotype" w:cs="Arial"/>
          <w:i/>
          <w:sz w:val="22"/>
          <w:szCs w:val="22"/>
          <w:lang w:eastAsia="en-US"/>
        </w:rPr>
        <w:t>III. Toda persona, sin necesidad de acreditar interés alguno o justificar su utilización, tendrá acceso gratuito a la información pública, a sus datos personales o a la rectificación de éstos.” (Sic)</w:t>
      </w:r>
    </w:p>
    <w:p w14:paraId="2B39A29C" w14:textId="77777777" w:rsidR="005F0251" w:rsidRPr="005F0251" w:rsidRDefault="005F0251" w:rsidP="005F0251">
      <w:pPr>
        <w:spacing w:after="160" w:line="360" w:lineRule="auto"/>
        <w:jc w:val="both"/>
        <w:rPr>
          <w:rFonts w:ascii="Palatino Linotype" w:eastAsiaTheme="minorHAnsi" w:hAnsi="Palatino Linotype" w:cstheme="minorBidi"/>
          <w:lang w:eastAsia="en-US"/>
        </w:rPr>
      </w:pPr>
    </w:p>
    <w:p w14:paraId="5D200CF1" w14:textId="77777777" w:rsidR="005F0251" w:rsidRP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lastRenderedPageBreak/>
        <w:t xml:space="preserve">Del precepto constitucional en cita se desprende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15C8E07A" w14:textId="77777777" w:rsidR="005F0251" w:rsidRDefault="005F0251" w:rsidP="005F0251">
      <w:pPr>
        <w:spacing w:line="360" w:lineRule="auto"/>
        <w:jc w:val="both"/>
        <w:rPr>
          <w:rFonts w:ascii="Palatino Linotype" w:eastAsiaTheme="minorHAnsi" w:hAnsi="Palatino Linotype" w:cstheme="minorBidi"/>
          <w:lang w:eastAsia="en-US"/>
        </w:rPr>
      </w:pPr>
    </w:p>
    <w:p w14:paraId="319D6453" w14:textId="610EF48E" w:rsid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t xml:space="preserve">Asimismo, resulta aplicable lo dispuesto en los artículos 4 y 12 de la Ley de Transparencia local, que a la letra estipulan lo siguiente: </w:t>
      </w:r>
    </w:p>
    <w:p w14:paraId="42BF46A0" w14:textId="77777777" w:rsidR="005F0251" w:rsidRPr="005F0251" w:rsidRDefault="005F0251" w:rsidP="005F0251">
      <w:pPr>
        <w:pStyle w:val="Sinespaciado"/>
        <w:rPr>
          <w:rFonts w:eastAsiaTheme="minorHAnsi"/>
          <w:lang w:eastAsia="en-US"/>
        </w:rPr>
      </w:pPr>
    </w:p>
    <w:p w14:paraId="7E1E97C5"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b/>
          <w:i/>
          <w:sz w:val="22"/>
          <w:szCs w:val="22"/>
          <w:lang w:val="es-MX" w:eastAsia="en-US"/>
        </w:rPr>
        <w:t>“Artículo 4.</w:t>
      </w:r>
      <w:r w:rsidRPr="005F0251">
        <w:rPr>
          <w:rFonts w:ascii="Palatino Linotype" w:eastAsiaTheme="minorHAnsi" w:hAnsi="Palatino Linotype" w:cs="Arial"/>
          <w:i/>
          <w:sz w:val="22"/>
          <w:szCs w:val="22"/>
          <w:lang w:val="es-MX" w:eastAsia="en-U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6B155AD"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C30CA75"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i/>
          <w:sz w:val="22"/>
          <w:szCs w:val="22"/>
          <w:lang w:val="es-MX" w:eastAsia="en-US"/>
        </w:rPr>
        <w:t>Los sujetos obligados deben poner en práctica, políticas y programas de acceso a la información que se apeguen a criterios de publicidad, veracidad, oportunidad, precisión y suficiencia en beneficio de los solicitantes.</w:t>
      </w:r>
    </w:p>
    <w:p w14:paraId="46D3A0AD"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b/>
          <w:i/>
          <w:sz w:val="22"/>
          <w:szCs w:val="22"/>
          <w:lang w:val="es-MX" w:eastAsia="en-US"/>
        </w:rPr>
        <w:t>Artículo 12.</w:t>
      </w:r>
      <w:r w:rsidRPr="005F0251">
        <w:rPr>
          <w:rFonts w:ascii="Palatino Linotype" w:eastAsiaTheme="minorHAns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w:t>
      </w:r>
    </w:p>
    <w:p w14:paraId="74C9CA02" w14:textId="4C25DA71" w:rsidR="005F0251" w:rsidRPr="005F0251" w:rsidRDefault="005F0251" w:rsidP="005F0251">
      <w:pPr>
        <w:spacing w:after="160"/>
        <w:ind w:left="567" w:right="616"/>
        <w:jc w:val="both"/>
        <w:rPr>
          <w:rFonts w:ascii="Palatino Linotype" w:eastAsiaTheme="minorHAnsi" w:hAnsi="Palatino Linotype" w:cs="Arial"/>
          <w:b/>
          <w:bCs/>
          <w:i/>
          <w:sz w:val="22"/>
          <w:szCs w:val="22"/>
          <w:lang w:val="es-MX" w:eastAsia="en-US"/>
        </w:rPr>
      </w:pPr>
      <w:r w:rsidRPr="005F0251">
        <w:rPr>
          <w:rFonts w:ascii="Palatino Linotype" w:eastAsiaTheme="minorHAnsi" w:hAnsi="Palatino Linotype" w:cs="Arial"/>
          <w:i/>
          <w:sz w:val="22"/>
          <w:szCs w:val="22"/>
          <w:lang w:val="es-MX" w:eastAsia="en-U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5F0251">
        <w:rPr>
          <w:rFonts w:ascii="Palatino Linotype" w:eastAsiaTheme="minorHAnsi" w:hAnsi="Palatino Linotype" w:cs="Arial"/>
          <w:b/>
          <w:bCs/>
          <w:i/>
          <w:sz w:val="22"/>
          <w:szCs w:val="22"/>
          <w:lang w:val="es-MX" w:eastAsia="en-US"/>
        </w:rPr>
        <w:t>(Sic)</w:t>
      </w:r>
    </w:p>
    <w:p w14:paraId="0B75EAB8" w14:textId="45BA3DFB" w:rsidR="005F0251" w:rsidRP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lastRenderedPageBreak/>
        <w:t>De los artículos referidos se desprende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4FA41198" w14:textId="77777777" w:rsidR="005F0251" w:rsidRDefault="005F0251" w:rsidP="005F0251">
      <w:pPr>
        <w:spacing w:line="360" w:lineRule="auto"/>
        <w:jc w:val="both"/>
        <w:rPr>
          <w:rFonts w:ascii="Palatino Linotype" w:eastAsiaTheme="minorHAnsi" w:hAnsi="Palatino Linotype" w:cstheme="minorBidi"/>
          <w:lang w:eastAsia="en-US"/>
        </w:rPr>
      </w:pPr>
    </w:p>
    <w:p w14:paraId="1889E405" w14:textId="23438D78" w:rsid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t>Además, de conformidad con lo establecido en el artículo 12</w:t>
      </w:r>
      <w:r>
        <w:rPr>
          <w:rFonts w:ascii="Palatino Linotype" w:eastAsiaTheme="minorHAnsi" w:hAnsi="Palatino Linotype" w:cstheme="minorBidi"/>
          <w:lang w:eastAsia="en-US"/>
        </w:rPr>
        <w:t>,</w:t>
      </w:r>
      <w:r w:rsidRPr="005F0251">
        <w:rPr>
          <w:rFonts w:ascii="Palatino Linotype" w:eastAsiaTheme="minorHAnsi" w:hAnsi="Palatino Linotype" w:cstheme="minorBidi"/>
          <w:lang w:eastAsia="en-US"/>
        </w:rPr>
        <w:t xml:space="preserve"> de la Ley de la materia referido anteriormente, los sujetos obligados sólo proporcionarán la información que obra en sus archivos, lo que </w:t>
      </w:r>
      <w:r w:rsidRPr="005F0251">
        <w:rPr>
          <w:rFonts w:ascii="Palatino Linotype" w:eastAsiaTheme="minorHAnsi" w:hAnsi="Palatino Linotype" w:cstheme="minorBidi"/>
          <w:i/>
          <w:lang w:eastAsia="en-US"/>
        </w:rPr>
        <w:t>a contrario sensu</w:t>
      </w:r>
      <w:r w:rsidRPr="005F0251">
        <w:rPr>
          <w:rFonts w:ascii="Palatino Linotype" w:eastAsiaTheme="minorHAnsi" w:hAnsi="Palatino Linotype" w:cstheme="minorBidi"/>
          <w:lang w:eastAsia="en-US"/>
        </w:rPr>
        <w:t xml:space="preserve"> significa que no se está obligado a proporcionar lo que no obre en sus archivos.</w:t>
      </w:r>
    </w:p>
    <w:p w14:paraId="49653D44" w14:textId="77777777" w:rsidR="005F0251" w:rsidRDefault="005F0251" w:rsidP="005F0251">
      <w:pPr>
        <w:spacing w:line="360" w:lineRule="auto"/>
        <w:jc w:val="both"/>
        <w:rPr>
          <w:rFonts w:ascii="Palatino Linotype" w:eastAsiaTheme="minorHAnsi" w:hAnsi="Palatino Linotype" w:cstheme="minorBidi"/>
          <w:lang w:eastAsia="en-US"/>
        </w:rPr>
      </w:pPr>
    </w:p>
    <w:p w14:paraId="6D2E4B30" w14:textId="6A98F2F6" w:rsidR="005F0251" w:rsidRP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t xml:space="preserve">Por lo anterior, al no constituirse dicho cuestionamiento como materia del derecho de acceso a la información, se considera que el </w:t>
      </w:r>
      <w:r w:rsidRPr="005F0251">
        <w:rPr>
          <w:rFonts w:ascii="Palatino Linotype" w:eastAsiaTheme="minorHAnsi" w:hAnsi="Palatino Linotype" w:cstheme="minorBidi"/>
          <w:b/>
          <w:bCs/>
          <w:lang w:eastAsia="en-US"/>
        </w:rPr>
        <w:t>Sujeto Obligado</w:t>
      </w:r>
      <w:r w:rsidRPr="005F0251">
        <w:rPr>
          <w:rFonts w:ascii="Palatino Linotype" w:eastAsiaTheme="minorHAnsi" w:hAnsi="Palatino Linotype" w:cstheme="minorBidi"/>
          <w:lang w:eastAsia="en-US"/>
        </w:rPr>
        <w:t xml:space="preserve"> no está constreñido a emitir una respuesta al mismo, por lo que se estiman infundados los motivos de inconformidad de</w:t>
      </w:r>
      <w:r>
        <w:rPr>
          <w:rFonts w:ascii="Palatino Linotype" w:eastAsiaTheme="minorHAnsi" w:hAnsi="Palatino Linotype" w:cstheme="minorBidi"/>
          <w:lang w:eastAsia="en-US"/>
        </w:rPr>
        <w:t xml:space="preserve"> la </w:t>
      </w:r>
      <w:r w:rsidRPr="005F0251">
        <w:rPr>
          <w:rFonts w:ascii="Palatino Linotype" w:eastAsiaTheme="minorHAnsi" w:hAnsi="Palatino Linotype" w:cstheme="minorBidi"/>
          <w:b/>
          <w:bCs/>
          <w:lang w:eastAsia="en-US"/>
        </w:rPr>
        <w:t>Recurrente</w:t>
      </w:r>
      <w:r w:rsidRPr="005F0251">
        <w:rPr>
          <w:rFonts w:ascii="Palatino Linotype" w:eastAsiaTheme="minorHAnsi" w:hAnsi="Palatino Linotype" w:cstheme="minorBidi"/>
          <w:lang w:eastAsia="en-US"/>
        </w:rPr>
        <w:t>.</w:t>
      </w:r>
    </w:p>
    <w:p w14:paraId="2A5F40BE" w14:textId="77777777" w:rsidR="005F0251" w:rsidRDefault="005F0251" w:rsidP="005F0251">
      <w:pPr>
        <w:spacing w:line="360" w:lineRule="auto"/>
        <w:jc w:val="both"/>
        <w:rPr>
          <w:rFonts w:ascii="Palatino Linotype" w:eastAsiaTheme="minorHAnsi" w:hAnsi="Palatino Linotype" w:cstheme="minorBidi"/>
          <w:lang w:eastAsia="en-US"/>
        </w:rPr>
      </w:pPr>
    </w:p>
    <w:p w14:paraId="2407531F" w14:textId="098F6E9A" w:rsid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eastAsia="en-US"/>
        </w:rPr>
        <w:t>En conclusión, la Ley de la materia establece como causas de improcedencia que se trate de una consulta, o tramite en específico, lo que en el caso en concreto actualiza lo dispuesto en artículo 192 fracción IV</w:t>
      </w:r>
      <w:r>
        <w:rPr>
          <w:rFonts w:ascii="Palatino Linotype" w:eastAsiaTheme="minorHAnsi" w:hAnsi="Palatino Linotype" w:cstheme="minorBidi"/>
          <w:lang w:eastAsia="en-US"/>
        </w:rPr>
        <w:t>,</w:t>
      </w:r>
      <w:r w:rsidRPr="005F0251">
        <w:rPr>
          <w:rFonts w:ascii="Palatino Linotype" w:eastAsiaTheme="minorHAnsi" w:hAnsi="Palatino Linotype" w:cstheme="minorBidi"/>
          <w:lang w:eastAsia="en-US"/>
        </w:rPr>
        <w:t xml:space="preserve"> con relación al 191 fracción VI</w:t>
      </w:r>
      <w:r>
        <w:rPr>
          <w:rFonts w:ascii="Palatino Linotype" w:eastAsiaTheme="minorHAnsi" w:hAnsi="Palatino Linotype" w:cstheme="minorBidi"/>
          <w:lang w:eastAsia="en-US"/>
        </w:rPr>
        <w:t>,</w:t>
      </w:r>
      <w:r w:rsidRPr="005F0251">
        <w:rPr>
          <w:rFonts w:ascii="Palatino Linotype" w:eastAsiaTheme="minorHAnsi" w:hAnsi="Palatino Linotype" w:cstheme="minorBidi"/>
          <w:lang w:eastAsia="en-US"/>
        </w:rPr>
        <w:t xml:space="preserve"> de la Ley de Transparencia estatal, que a la letra estipulan lo siguiente:</w:t>
      </w:r>
    </w:p>
    <w:p w14:paraId="3C23C4CE" w14:textId="77777777" w:rsidR="005F0251" w:rsidRPr="005F0251" w:rsidRDefault="005F0251" w:rsidP="005F0251">
      <w:pPr>
        <w:spacing w:line="360" w:lineRule="auto"/>
        <w:jc w:val="both"/>
        <w:rPr>
          <w:rFonts w:ascii="Palatino Linotype" w:eastAsiaTheme="minorHAnsi" w:hAnsi="Palatino Linotype" w:cstheme="minorBidi"/>
          <w:lang w:eastAsia="en-US"/>
        </w:rPr>
      </w:pPr>
    </w:p>
    <w:p w14:paraId="480C8847"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b/>
          <w:i/>
          <w:sz w:val="22"/>
          <w:szCs w:val="22"/>
          <w:lang w:val="es-MX" w:eastAsia="en-US"/>
        </w:rPr>
        <w:t xml:space="preserve">“Artículo 191. </w:t>
      </w:r>
      <w:r w:rsidRPr="005F0251">
        <w:rPr>
          <w:rFonts w:ascii="Palatino Linotype" w:eastAsiaTheme="minorHAnsi" w:hAnsi="Palatino Linotype" w:cs="Arial"/>
          <w:i/>
          <w:sz w:val="22"/>
          <w:szCs w:val="22"/>
          <w:lang w:val="es-MX" w:eastAsia="en-US"/>
        </w:rPr>
        <w:t>El recurso será desechado por improcedente cuando:</w:t>
      </w:r>
    </w:p>
    <w:p w14:paraId="23D4F897"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i/>
          <w:sz w:val="22"/>
          <w:szCs w:val="22"/>
          <w:lang w:val="es-MX" w:eastAsia="en-US"/>
        </w:rPr>
        <w:lastRenderedPageBreak/>
        <w:t>(…)</w:t>
      </w:r>
    </w:p>
    <w:p w14:paraId="3C5188CE"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b/>
          <w:i/>
          <w:sz w:val="22"/>
          <w:szCs w:val="22"/>
          <w:lang w:val="es-MX" w:eastAsia="en-US"/>
        </w:rPr>
        <w:t xml:space="preserve">VI. </w:t>
      </w:r>
      <w:r w:rsidRPr="005F0251">
        <w:rPr>
          <w:rFonts w:ascii="Palatino Linotype" w:eastAsiaTheme="minorHAnsi" w:hAnsi="Palatino Linotype" w:cs="Arial"/>
          <w:b/>
          <w:i/>
          <w:sz w:val="22"/>
          <w:szCs w:val="22"/>
          <w:u w:val="single"/>
          <w:lang w:val="es-MX" w:eastAsia="en-US"/>
        </w:rPr>
        <w:t>Se trate de una consulta, o trámite en específico</w:t>
      </w:r>
      <w:r w:rsidRPr="005F0251">
        <w:rPr>
          <w:rFonts w:ascii="Palatino Linotype" w:eastAsiaTheme="minorHAnsi" w:hAnsi="Palatino Linotype" w:cs="Arial"/>
          <w:i/>
          <w:sz w:val="22"/>
          <w:szCs w:val="22"/>
          <w:lang w:val="es-MX" w:eastAsia="en-US"/>
        </w:rPr>
        <w:t>; y</w:t>
      </w:r>
    </w:p>
    <w:p w14:paraId="1EFA1969"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i/>
          <w:sz w:val="22"/>
          <w:szCs w:val="22"/>
          <w:lang w:val="es-MX" w:eastAsia="en-US"/>
        </w:rPr>
        <w:t>(…)</w:t>
      </w:r>
    </w:p>
    <w:p w14:paraId="7BAD8B10"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b/>
          <w:i/>
          <w:sz w:val="22"/>
          <w:szCs w:val="22"/>
          <w:lang w:val="es-MX" w:eastAsia="en-US"/>
        </w:rPr>
        <w:t xml:space="preserve">Artículo 192. </w:t>
      </w:r>
      <w:r w:rsidRPr="005F0251">
        <w:rPr>
          <w:rFonts w:ascii="Palatino Linotype" w:eastAsiaTheme="minorHAnsi" w:hAnsi="Palatino Linotype" w:cs="Arial"/>
          <w:i/>
          <w:sz w:val="22"/>
          <w:szCs w:val="22"/>
          <w:lang w:val="es-MX" w:eastAsia="en-US"/>
        </w:rPr>
        <w:t>El recurso será sobreseído, en todo o en parte, cuando una vez admitido, se actualicen alguno de los siguientes supuestos:</w:t>
      </w:r>
    </w:p>
    <w:p w14:paraId="4BBCCE50" w14:textId="77777777" w:rsidR="005F0251" w:rsidRPr="005F0251" w:rsidRDefault="005F0251" w:rsidP="005F0251">
      <w:pPr>
        <w:spacing w:after="160"/>
        <w:ind w:left="567" w:right="616"/>
        <w:jc w:val="both"/>
        <w:rPr>
          <w:rFonts w:ascii="Palatino Linotype" w:eastAsiaTheme="minorHAnsi" w:hAnsi="Palatino Linotype" w:cs="Arial"/>
          <w:i/>
          <w:sz w:val="22"/>
          <w:szCs w:val="22"/>
          <w:lang w:val="es-MX" w:eastAsia="en-US"/>
        </w:rPr>
      </w:pPr>
      <w:r w:rsidRPr="005F0251">
        <w:rPr>
          <w:rFonts w:ascii="Palatino Linotype" w:eastAsiaTheme="minorHAnsi" w:hAnsi="Palatino Linotype" w:cs="Arial"/>
          <w:i/>
          <w:sz w:val="22"/>
          <w:szCs w:val="22"/>
          <w:lang w:val="es-MX" w:eastAsia="en-US"/>
        </w:rPr>
        <w:t>(…)</w:t>
      </w:r>
    </w:p>
    <w:p w14:paraId="2543A350" w14:textId="77777777" w:rsidR="005F0251" w:rsidRPr="005F0251" w:rsidRDefault="005F0251" w:rsidP="005F0251">
      <w:pPr>
        <w:spacing w:after="160"/>
        <w:ind w:left="567" w:right="616"/>
        <w:jc w:val="both"/>
        <w:rPr>
          <w:rFonts w:ascii="Palatino Linotype" w:eastAsiaTheme="minorHAnsi" w:hAnsi="Palatino Linotype" w:cs="Arial"/>
          <w:b/>
          <w:i/>
          <w:sz w:val="22"/>
          <w:szCs w:val="22"/>
          <w:lang w:val="es-MX" w:eastAsia="en-US"/>
        </w:rPr>
      </w:pPr>
      <w:r w:rsidRPr="005F0251">
        <w:rPr>
          <w:rFonts w:ascii="Palatino Linotype" w:eastAsiaTheme="minorHAnsi" w:hAnsi="Palatino Linotype" w:cs="Arial"/>
          <w:b/>
          <w:i/>
          <w:sz w:val="22"/>
          <w:szCs w:val="22"/>
          <w:lang w:val="es-MX" w:eastAsia="en-US"/>
        </w:rPr>
        <w:t xml:space="preserve">IV. </w:t>
      </w:r>
      <w:r w:rsidRPr="005F0251">
        <w:rPr>
          <w:rFonts w:ascii="Palatino Linotype" w:eastAsiaTheme="minorHAnsi" w:hAnsi="Palatino Linotype" w:cs="Arial"/>
          <w:i/>
          <w:sz w:val="22"/>
          <w:szCs w:val="22"/>
          <w:lang w:val="es-MX" w:eastAsia="en-US"/>
        </w:rPr>
        <w:t>Admitido el recurso de revisión, aparezca alguna causal de improcedencia en los términos de la presente Ley; y</w:t>
      </w:r>
    </w:p>
    <w:p w14:paraId="2EDCFC25" w14:textId="77777777" w:rsidR="005F0251" w:rsidRPr="005F0251" w:rsidRDefault="005F0251" w:rsidP="005F0251">
      <w:pPr>
        <w:spacing w:after="160"/>
        <w:ind w:left="567" w:right="616"/>
        <w:jc w:val="both"/>
        <w:rPr>
          <w:rFonts w:ascii="Palatino Linotype" w:eastAsiaTheme="minorHAnsi" w:hAnsi="Palatino Linotype" w:cs="Arial"/>
          <w:b/>
          <w:bCs/>
          <w:i/>
          <w:sz w:val="22"/>
          <w:szCs w:val="22"/>
          <w:lang w:val="es-MX" w:eastAsia="en-US"/>
        </w:rPr>
      </w:pPr>
      <w:r w:rsidRPr="005F0251">
        <w:rPr>
          <w:rFonts w:ascii="Palatino Linotype" w:eastAsiaTheme="minorHAnsi" w:hAnsi="Palatino Linotype" w:cs="Arial"/>
          <w:i/>
          <w:sz w:val="22"/>
          <w:szCs w:val="22"/>
          <w:lang w:val="es-MX" w:eastAsia="en-US"/>
        </w:rPr>
        <w:t xml:space="preserve">(…)” </w:t>
      </w:r>
      <w:r w:rsidRPr="005F0251">
        <w:rPr>
          <w:rFonts w:ascii="Palatino Linotype" w:eastAsiaTheme="minorHAnsi" w:hAnsi="Palatino Linotype" w:cs="Arial"/>
          <w:b/>
          <w:bCs/>
          <w:i/>
          <w:sz w:val="22"/>
          <w:szCs w:val="22"/>
          <w:lang w:val="es-MX" w:eastAsia="en-US"/>
        </w:rPr>
        <w:t>(Sic)</w:t>
      </w:r>
    </w:p>
    <w:p w14:paraId="6EC1E73D" w14:textId="77777777" w:rsidR="005F0251" w:rsidRPr="005F0251"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eastAsia="en-US"/>
        </w:rPr>
      </w:pPr>
    </w:p>
    <w:p w14:paraId="1FD0FA29" w14:textId="77777777" w:rsidR="005F0251" w:rsidRDefault="005F0251" w:rsidP="005F0251">
      <w:pPr>
        <w:spacing w:line="360" w:lineRule="auto"/>
        <w:jc w:val="both"/>
        <w:rPr>
          <w:rFonts w:ascii="Palatino Linotype" w:eastAsiaTheme="minorHAnsi" w:hAnsi="Palatino Linotype" w:cstheme="minorBidi"/>
          <w:lang w:eastAsia="en-US"/>
        </w:rPr>
      </w:pPr>
      <w:r w:rsidRPr="005F0251">
        <w:rPr>
          <w:rFonts w:ascii="Palatino Linotype" w:eastAsiaTheme="minorHAnsi" w:hAnsi="Palatino Linotype" w:cstheme="minorBidi"/>
          <w:lang w:val="es-MX" w:eastAsia="en-US"/>
        </w:rPr>
        <w:t xml:space="preserve">En ese sentido, es necesario referir que </w:t>
      </w:r>
      <w:r w:rsidRPr="005F0251">
        <w:rPr>
          <w:rFonts w:ascii="Palatino Linotype" w:eastAsiaTheme="minorHAnsi" w:hAnsi="Palatino Linotype" w:cstheme="minorBidi"/>
          <w:lang w:eastAsia="en-US"/>
        </w:rPr>
        <w:t>las causales de improcedencia deben ser examinadas de oficio y si de dicho examen se actualiza una causal de improcedencia, por técnica jurídica, es de estudio preferente. Sirve como criterio orientador, lo establecido en la jurisprudencia por reiteración con número de registro digital 194697</w:t>
      </w:r>
      <w:r w:rsidRPr="005F0251">
        <w:rPr>
          <w:rFonts w:ascii="Palatino Linotype" w:eastAsiaTheme="minorHAnsi" w:hAnsi="Palatino Linotype" w:cstheme="minorBidi"/>
          <w:vertAlign w:val="superscript"/>
          <w:lang w:eastAsia="en-US"/>
        </w:rPr>
        <w:footnoteReference w:id="2"/>
      </w:r>
      <w:r w:rsidRPr="005F0251">
        <w:rPr>
          <w:rFonts w:ascii="Palatino Linotype" w:eastAsiaTheme="minorHAnsi" w:hAnsi="Palatino Linotype" w:cstheme="minorBidi"/>
          <w:lang w:eastAsia="en-US"/>
        </w:rPr>
        <w:t xml:space="preserve">, emitida por la Primera Sala de la Suprema Corte de Justicia de la Nación, en la que se dispone lo siguiente: </w:t>
      </w:r>
    </w:p>
    <w:p w14:paraId="39DA8006" w14:textId="77777777" w:rsidR="005F0251" w:rsidRPr="005F0251" w:rsidRDefault="005F0251" w:rsidP="005F0251">
      <w:pPr>
        <w:spacing w:line="360" w:lineRule="auto"/>
        <w:jc w:val="both"/>
        <w:rPr>
          <w:rFonts w:ascii="Palatino Linotype" w:eastAsiaTheme="minorHAnsi" w:hAnsi="Palatino Linotype" w:cstheme="minorBidi"/>
          <w:lang w:eastAsia="en-US"/>
        </w:rPr>
      </w:pPr>
    </w:p>
    <w:p w14:paraId="2F19B90F" w14:textId="77777777" w:rsidR="005F0251" w:rsidRPr="005F0251" w:rsidRDefault="005F0251" w:rsidP="005F0251">
      <w:pPr>
        <w:ind w:left="567" w:right="616"/>
        <w:jc w:val="both"/>
        <w:rPr>
          <w:rFonts w:ascii="Palatino Linotype" w:eastAsiaTheme="minorHAnsi" w:hAnsi="Palatino Linotype" w:cs="Arial"/>
          <w:b/>
          <w:bCs/>
          <w:i/>
          <w:sz w:val="22"/>
          <w:szCs w:val="22"/>
          <w:lang w:val="es-MX"/>
        </w:rPr>
      </w:pPr>
      <w:r w:rsidRPr="005F0251">
        <w:rPr>
          <w:rFonts w:ascii="Palatino Linotype" w:eastAsiaTheme="minorHAnsi" w:hAnsi="Palatino Linotype" w:cs="Arial"/>
          <w:b/>
          <w:bCs/>
          <w:i/>
          <w:sz w:val="22"/>
          <w:szCs w:val="22"/>
          <w:lang w:val="es-MX"/>
        </w:rPr>
        <w:t xml:space="preserve">“IMPROCEDENCIA. ESTUDIO PREFERENCIAL DE LAS CAUSALES PREVISTAS EN EL ARTÍCULO 73 DE LA LEY DE AMPARO. </w:t>
      </w:r>
    </w:p>
    <w:p w14:paraId="08DD36D7" w14:textId="77777777" w:rsidR="005F0251" w:rsidRPr="005F0251" w:rsidRDefault="005F0251" w:rsidP="005F0251">
      <w:pPr>
        <w:spacing w:after="160"/>
        <w:ind w:left="567" w:right="616"/>
        <w:jc w:val="both"/>
        <w:rPr>
          <w:rFonts w:ascii="Palatino Linotype" w:eastAsiaTheme="minorHAnsi" w:hAnsi="Palatino Linotype" w:cs="Arial"/>
          <w:b/>
          <w:bCs/>
          <w:i/>
          <w:sz w:val="22"/>
          <w:szCs w:val="22"/>
          <w:lang w:val="es-MX"/>
        </w:rPr>
      </w:pPr>
      <w:r w:rsidRPr="005F0251">
        <w:rPr>
          <w:rFonts w:ascii="Palatino Linotype" w:eastAsiaTheme="minorHAnsi" w:hAnsi="Palatino Linotype" w:cs="Arial"/>
          <w:i/>
          <w:sz w:val="22"/>
          <w:szCs w:val="22"/>
          <w:lang w:val="es-MX"/>
        </w:rPr>
        <w:t xml:space="preserve">De conformidad con lo dispuesto en el último párrafo del artículo 73 de la Ley de Amparo </w:t>
      </w:r>
      <w:r w:rsidRPr="005F0251">
        <w:rPr>
          <w:rFonts w:ascii="Palatino Linotype" w:eastAsiaTheme="minorHAnsi" w:hAnsi="Palatino Linotype" w:cs="Arial"/>
          <w:i/>
          <w:sz w:val="22"/>
          <w:szCs w:val="22"/>
          <w:u w:val="single"/>
          <w:lang w:val="es-MX"/>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la Recurrente</w:t>
      </w:r>
      <w:r w:rsidRPr="005F0251">
        <w:rPr>
          <w:rFonts w:ascii="Palatino Linotype" w:eastAsiaTheme="minorHAnsi" w:hAnsi="Palatino Linotype" w:cs="Arial"/>
          <w:i/>
          <w:sz w:val="22"/>
          <w:szCs w:val="22"/>
          <w:lang w:val="es-MX"/>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5F0251">
        <w:rPr>
          <w:rFonts w:ascii="Palatino Linotype" w:eastAsiaTheme="minorHAnsi" w:hAnsi="Palatino Linotype" w:cs="Arial"/>
          <w:i/>
          <w:sz w:val="22"/>
          <w:szCs w:val="22"/>
          <w:lang w:val="es-MX"/>
        </w:rPr>
        <w:t>definitividad</w:t>
      </w:r>
      <w:proofErr w:type="spellEnd"/>
      <w:r w:rsidRPr="005F0251">
        <w:rPr>
          <w:rFonts w:ascii="Palatino Linotype" w:eastAsiaTheme="minorHAnsi" w:hAnsi="Palatino Linotype" w:cs="Arial"/>
          <w:i/>
          <w:sz w:val="22"/>
          <w:szCs w:val="22"/>
          <w:lang w:val="es-MX"/>
        </w:rPr>
        <w:t xml:space="preserve"> que rige en el juicio de garantías, porque si, efectivamente, no se atendió a ese principio, la acción en sí misma es </w:t>
      </w:r>
      <w:r w:rsidRPr="005F0251">
        <w:rPr>
          <w:rFonts w:ascii="Palatino Linotype" w:eastAsiaTheme="minorHAnsi" w:hAnsi="Palatino Linotype" w:cs="Arial"/>
          <w:i/>
          <w:sz w:val="22"/>
          <w:szCs w:val="22"/>
          <w:lang w:val="es-MX"/>
        </w:rPr>
        <w:lastRenderedPageBreak/>
        <w:t xml:space="preserve">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5F0251">
        <w:rPr>
          <w:rFonts w:ascii="Palatino Linotype" w:eastAsiaTheme="minorHAnsi" w:hAnsi="Palatino Linotype" w:cs="Arial"/>
          <w:i/>
          <w:sz w:val="22"/>
          <w:szCs w:val="22"/>
          <w:lang w:val="es-MX"/>
        </w:rPr>
        <w:t>definitividad</w:t>
      </w:r>
      <w:proofErr w:type="spellEnd"/>
      <w:r w:rsidRPr="005F0251">
        <w:rPr>
          <w:rFonts w:ascii="Palatino Linotype" w:eastAsiaTheme="minorHAnsi" w:hAnsi="Palatino Linotype" w:cs="Arial"/>
          <w:i/>
          <w:sz w:val="22"/>
          <w:szCs w:val="22"/>
          <w:lang w:val="es-MX"/>
        </w:rPr>
        <w:t xml:space="preserve">)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 </w:t>
      </w:r>
      <w:r w:rsidRPr="005F0251">
        <w:rPr>
          <w:rFonts w:ascii="Palatino Linotype" w:eastAsiaTheme="minorHAnsi" w:hAnsi="Palatino Linotype" w:cs="Arial"/>
          <w:b/>
          <w:bCs/>
          <w:i/>
          <w:sz w:val="22"/>
          <w:szCs w:val="22"/>
          <w:lang w:val="es-MX"/>
        </w:rPr>
        <w:t>(Sic)</w:t>
      </w:r>
    </w:p>
    <w:p w14:paraId="41ABDD4B" w14:textId="77777777" w:rsidR="00980A47" w:rsidRPr="00C400AC" w:rsidRDefault="00980A47" w:rsidP="005F0251">
      <w:pPr>
        <w:autoSpaceDE w:val="0"/>
        <w:autoSpaceDN w:val="0"/>
        <w:adjustRightInd w:val="0"/>
        <w:spacing w:line="360" w:lineRule="auto"/>
        <w:ind w:right="850"/>
        <w:jc w:val="both"/>
        <w:rPr>
          <w:rFonts w:ascii="Palatino Linotype" w:hAnsi="Palatino Linotype" w:cs="Arial"/>
        </w:rPr>
      </w:pPr>
    </w:p>
    <w:p w14:paraId="68DF63B6" w14:textId="3377C898" w:rsidR="00A83099" w:rsidRDefault="00612EFB" w:rsidP="00A83099">
      <w:pPr>
        <w:autoSpaceDE w:val="0"/>
        <w:autoSpaceDN w:val="0"/>
        <w:adjustRightInd w:val="0"/>
        <w:spacing w:line="360" w:lineRule="auto"/>
        <w:jc w:val="both"/>
        <w:rPr>
          <w:rFonts w:ascii="Palatino Linotype" w:hAnsi="Palatino Linotype"/>
          <w:b/>
          <w:u w:val="single"/>
        </w:rPr>
      </w:pPr>
      <w:r w:rsidRPr="00C400AC">
        <w:rPr>
          <w:rFonts w:ascii="Palatino Linotype" w:hAnsi="Palatino Linotype"/>
        </w:rPr>
        <w:t xml:space="preserve">Es importante resaltar a manera de analogía que la Suprema Corte de Justicia de la Nación mediante el número 2 de la Serie </w:t>
      </w:r>
      <w:r w:rsidRPr="00C400AC">
        <w:rPr>
          <w:rFonts w:ascii="Palatino Linotype" w:hAnsi="Palatino Linotype"/>
          <w:i/>
        </w:rPr>
        <w:t xml:space="preserve">Estudios Introductorios sobre el Juicio de Amparo </w:t>
      </w:r>
      <w:r w:rsidRPr="00C400AC">
        <w:rPr>
          <w:rFonts w:ascii="Palatino Linotype" w:hAnsi="Palatino Linotype"/>
        </w:rPr>
        <w:t xml:space="preserve">relativo a </w:t>
      </w:r>
      <w:r w:rsidRPr="00C400AC">
        <w:rPr>
          <w:rFonts w:ascii="Palatino Linotype" w:hAnsi="Palatino Linotype"/>
          <w:i/>
        </w:rPr>
        <w:t xml:space="preserve">LA IMPROCEDENCIA DE LA ACCIÓN DE AMPARO </w:t>
      </w:r>
      <w:r w:rsidRPr="00C400A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400AC">
        <w:rPr>
          <w:rFonts w:ascii="Palatino Linotype" w:hAnsi="Palatino Linotype"/>
          <w:b/>
          <w:u w:val="single"/>
        </w:rPr>
        <w:t>lo que generará que la demanda sea desechada; o bien, después de admitida la demanda, lo que tendrá como consecuencia que se sobresea en el ju</w:t>
      </w:r>
      <w:r w:rsidR="00A83099">
        <w:rPr>
          <w:rFonts w:ascii="Palatino Linotype" w:hAnsi="Palatino Linotype"/>
          <w:b/>
          <w:u w:val="single"/>
        </w:rPr>
        <w:t>icio.</w:t>
      </w:r>
    </w:p>
    <w:p w14:paraId="4F220710" w14:textId="77777777" w:rsidR="005F0251" w:rsidRPr="00A83099" w:rsidRDefault="005F0251" w:rsidP="00A83099">
      <w:pPr>
        <w:autoSpaceDE w:val="0"/>
        <w:autoSpaceDN w:val="0"/>
        <w:adjustRightInd w:val="0"/>
        <w:spacing w:line="360" w:lineRule="auto"/>
        <w:jc w:val="both"/>
        <w:rPr>
          <w:rFonts w:ascii="Palatino Linotype" w:hAnsi="Palatino Linotype"/>
          <w:b/>
          <w:u w:val="single"/>
        </w:rPr>
      </w:pPr>
    </w:p>
    <w:p w14:paraId="1C7BFFE7" w14:textId="77777777" w:rsidR="00612EFB" w:rsidRPr="00C400AC" w:rsidRDefault="00612EFB" w:rsidP="00612EFB">
      <w:pPr>
        <w:spacing w:line="360" w:lineRule="auto"/>
        <w:jc w:val="both"/>
        <w:rPr>
          <w:rFonts w:ascii="Palatino Linotype" w:eastAsia="Calibri" w:hAnsi="Palatino Linotype" w:cs="Calibri"/>
          <w:bCs/>
          <w:szCs w:val="22"/>
          <w:lang w:val="es-MX" w:eastAsia="es-MX"/>
        </w:rPr>
      </w:pPr>
      <w:r w:rsidRPr="00C400A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5C1513CA" w14:textId="77777777" w:rsidR="00612EFB" w:rsidRPr="00C400AC" w:rsidRDefault="00612EFB" w:rsidP="00612EFB">
      <w:pPr>
        <w:spacing w:line="360" w:lineRule="auto"/>
        <w:jc w:val="both"/>
        <w:rPr>
          <w:rFonts w:ascii="Palatino Linotype" w:eastAsia="Palatino Linotype" w:hAnsi="Palatino Linotype" w:cs="Palatino Linotype"/>
          <w:szCs w:val="22"/>
          <w:lang w:val="es-ES_tradnl" w:eastAsia="es-MX"/>
        </w:rPr>
      </w:pPr>
    </w:p>
    <w:p w14:paraId="2FA5022D" w14:textId="77777777" w:rsidR="00612EFB" w:rsidRPr="00C400AC" w:rsidRDefault="00612EFB" w:rsidP="00612EFB">
      <w:pPr>
        <w:ind w:left="567" w:right="567"/>
        <w:jc w:val="both"/>
        <w:rPr>
          <w:rFonts w:ascii="Palatino Linotype" w:eastAsia="Palatino Linotype" w:hAnsi="Palatino Linotype" w:cs="Palatino Linotype"/>
          <w:b/>
          <w:bCs/>
          <w:iCs/>
          <w:sz w:val="22"/>
          <w:szCs w:val="22"/>
          <w:lang w:val="es-ES_tradnl"/>
        </w:rPr>
      </w:pPr>
      <w:r w:rsidRPr="00C400AC">
        <w:rPr>
          <w:rFonts w:ascii="Palatino Linotype" w:eastAsia="Palatino Linotype" w:hAnsi="Palatino Linotype" w:cs="Palatino Linotype"/>
          <w:b/>
          <w:bCs/>
          <w:i/>
          <w:iCs/>
          <w:sz w:val="22"/>
          <w:szCs w:val="22"/>
          <w:lang w:val="es-ES_tradnl"/>
        </w:rPr>
        <w:lastRenderedPageBreak/>
        <w:t>SOBRESEIMIENTO. IMPIDE EL ESTUDIO DE LAS CUESTIONES DE FONDO.</w:t>
      </w:r>
    </w:p>
    <w:p w14:paraId="12AB2E89" w14:textId="5D0133CD" w:rsidR="00612EFB" w:rsidRPr="00A83099" w:rsidRDefault="00612EFB" w:rsidP="00A83099">
      <w:pPr>
        <w:ind w:left="567" w:right="567"/>
        <w:jc w:val="both"/>
        <w:rPr>
          <w:rFonts w:ascii="Palatino Linotype" w:eastAsia="Palatino Linotype" w:hAnsi="Palatino Linotype" w:cs="Palatino Linotype"/>
          <w:iCs/>
          <w:sz w:val="22"/>
          <w:szCs w:val="22"/>
          <w:lang w:val="es-ES_tradnl"/>
        </w:rPr>
      </w:pPr>
      <w:r w:rsidRPr="00C400A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09E5DEFC" w14:textId="77777777" w:rsidR="008805A5" w:rsidRDefault="008805A5" w:rsidP="00612EFB">
      <w:pPr>
        <w:pStyle w:val="Prrafodelista"/>
        <w:spacing w:line="360" w:lineRule="auto"/>
        <w:ind w:left="0" w:right="51"/>
        <w:jc w:val="both"/>
        <w:rPr>
          <w:rFonts w:ascii="Palatino Linotype" w:hAnsi="Palatino Linotype" w:cs="Arial"/>
        </w:rPr>
      </w:pPr>
    </w:p>
    <w:p w14:paraId="4C24F7C3" w14:textId="2496E2B0" w:rsidR="00612EFB" w:rsidRPr="00C400AC" w:rsidRDefault="00612EFB" w:rsidP="00612EFB">
      <w:pPr>
        <w:pStyle w:val="Prrafodelista"/>
        <w:spacing w:line="360" w:lineRule="auto"/>
        <w:ind w:left="0" w:right="51"/>
        <w:jc w:val="both"/>
        <w:rPr>
          <w:rFonts w:ascii="Palatino Linotype" w:hAnsi="Palatino Linotype" w:cs="Arial"/>
          <w:bCs/>
          <w:lang w:eastAsia="es-MX"/>
        </w:rPr>
      </w:pPr>
      <w:r w:rsidRPr="00C400AC">
        <w:rPr>
          <w:rFonts w:ascii="Palatino Linotype" w:hAnsi="Palatino Linotype" w:cs="Arial"/>
        </w:rPr>
        <w:t>En mérito de lo expuesto en líneas anteriores</w:t>
      </w:r>
      <w:r w:rsidRPr="00C400AC">
        <w:rPr>
          <w:rFonts w:ascii="Palatino Linotype" w:hAnsi="Palatino Linotype"/>
          <w:noProof/>
          <w:lang w:eastAsia="es-MX"/>
        </w:rPr>
        <w:t xml:space="preserve">, resultan parcialmente procedentes los motivos de inconformidad que arguye la parte </w:t>
      </w:r>
      <w:r w:rsidRPr="00C400AC">
        <w:rPr>
          <w:rFonts w:ascii="Palatino Linotype" w:hAnsi="Palatino Linotype"/>
          <w:b/>
          <w:noProof/>
          <w:lang w:eastAsia="es-MX"/>
        </w:rPr>
        <w:t>Recurrente</w:t>
      </w:r>
      <w:r w:rsidRPr="00C400AC">
        <w:rPr>
          <w:rFonts w:ascii="Palatino Linotype" w:hAnsi="Palatino Linotype"/>
          <w:noProof/>
          <w:lang w:eastAsia="es-MX"/>
        </w:rPr>
        <w:t xml:space="preserve"> en su medio de impugnación que fue materia de estudio, </w:t>
      </w:r>
      <w:r w:rsidRPr="00C400AC">
        <w:rPr>
          <w:rFonts w:ascii="Palatino Linotype" w:hAnsi="Palatino Linotype" w:cs="Arial"/>
        </w:rPr>
        <w:t xml:space="preserve">por ello con fundamento en el artículo 186, fracción I, en concordancia con el artículo 192, fracción </w:t>
      </w:r>
      <w:r w:rsidR="00487D4F">
        <w:rPr>
          <w:rFonts w:ascii="Palatino Linotype" w:hAnsi="Palatino Linotype" w:cs="Arial"/>
        </w:rPr>
        <w:t>IV</w:t>
      </w:r>
      <w:r w:rsidRPr="00C400AC">
        <w:rPr>
          <w:rFonts w:ascii="Palatino Linotype" w:hAnsi="Palatino Linotype" w:cs="Arial"/>
        </w:rPr>
        <w:t xml:space="preserve">, de la Ley de Transparencia y Acceso a la Información Pública del Estado de México y Municipios, se </w:t>
      </w:r>
      <w:r w:rsidRPr="00C400AC">
        <w:rPr>
          <w:rFonts w:ascii="Palatino Linotype" w:hAnsi="Palatino Linotype" w:cs="Arial"/>
          <w:b/>
        </w:rPr>
        <w:t>SOBRESEE</w:t>
      </w:r>
      <w:r w:rsidRPr="00C400AC">
        <w:rPr>
          <w:rFonts w:ascii="Palatino Linotype" w:hAnsi="Palatino Linotype" w:cs="Arial"/>
        </w:rPr>
        <w:t xml:space="preserve"> el recurso de revisión </w:t>
      </w:r>
      <w:r w:rsidRPr="00C400AC">
        <w:rPr>
          <w:rFonts w:ascii="Palatino Linotype" w:eastAsiaTheme="minorEastAsia" w:hAnsi="Palatino Linotype" w:cstheme="minorBidi"/>
          <w:b/>
          <w:lang w:val="es-ES_tradnl"/>
        </w:rPr>
        <w:t>0</w:t>
      </w:r>
      <w:r w:rsidR="005F0251">
        <w:rPr>
          <w:rFonts w:ascii="Palatino Linotype" w:eastAsiaTheme="minorEastAsia" w:hAnsi="Palatino Linotype" w:cstheme="minorBidi"/>
          <w:b/>
          <w:lang w:val="es-ES_tradnl"/>
        </w:rPr>
        <w:t>4305</w:t>
      </w:r>
      <w:r w:rsidRPr="00C400AC">
        <w:rPr>
          <w:rFonts w:ascii="Palatino Linotype" w:eastAsiaTheme="minorEastAsia" w:hAnsi="Palatino Linotype" w:cstheme="minorBidi"/>
          <w:b/>
          <w:lang w:val="es-ES_tradnl"/>
        </w:rPr>
        <w:t>/INFOEM/IP/RR/202</w:t>
      </w:r>
      <w:r w:rsidR="008A5263">
        <w:rPr>
          <w:rFonts w:ascii="Palatino Linotype" w:eastAsiaTheme="minorEastAsia" w:hAnsi="Palatino Linotype" w:cstheme="minorBidi"/>
          <w:b/>
          <w:lang w:val="es-ES_tradnl"/>
        </w:rPr>
        <w:t>4</w:t>
      </w:r>
      <w:r w:rsidRPr="00C400AC">
        <w:rPr>
          <w:rFonts w:ascii="Palatino Linotype" w:eastAsiaTheme="minorEastAsia" w:hAnsi="Palatino Linotype" w:cstheme="minorBidi"/>
          <w:lang w:val="es-ES_tradnl"/>
        </w:rPr>
        <w:t>,</w:t>
      </w:r>
      <w:r w:rsidRPr="00C400AC">
        <w:rPr>
          <w:rFonts w:ascii="Palatino Linotype" w:eastAsiaTheme="minorEastAsia" w:hAnsi="Palatino Linotype" w:cstheme="minorBidi"/>
          <w:b/>
          <w:lang w:val="es-ES_tradnl"/>
        </w:rPr>
        <w:t xml:space="preserve"> </w:t>
      </w:r>
      <w:r w:rsidRPr="00C400AC">
        <w:rPr>
          <w:rFonts w:ascii="Palatino Linotype" w:hAnsi="Palatino Linotype" w:cs="Arial"/>
          <w:bCs/>
          <w:lang w:eastAsia="es-MX"/>
        </w:rPr>
        <w:t>que ha sido materia del presente fallo.</w:t>
      </w:r>
    </w:p>
    <w:p w14:paraId="4141E44F" w14:textId="77777777" w:rsidR="00612EFB" w:rsidRPr="00C400AC" w:rsidRDefault="00612EFB" w:rsidP="00612EFB">
      <w:pPr>
        <w:pStyle w:val="Prrafodelista"/>
        <w:spacing w:line="360" w:lineRule="auto"/>
        <w:ind w:left="0" w:right="51"/>
        <w:jc w:val="both"/>
        <w:rPr>
          <w:rFonts w:ascii="Palatino Linotype" w:hAnsi="Palatino Linotype" w:cs="Arial"/>
          <w:bCs/>
          <w:lang w:eastAsia="es-MX"/>
        </w:rPr>
      </w:pPr>
    </w:p>
    <w:p w14:paraId="17E076D4" w14:textId="77777777" w:rsidR="00612EFB" w:rsidRPr="00C400AC" w:rsidRDefault="00612EFB" w:rsidP="00612EFB">
      <w:pPr>
        <w:tabs>
          <w:tab w:val="left" w:pos="8931"/>
        </w:tabs>
        <w:spacing w:line="360" w:lineRule="auto"/>
        <w:ind w:right="51"/>
        <w:jc w:val="both"/>
        <w:rPr>
          <w:rFonts w:ascii="Palatino Linotype" w:hAnsi="Palatino Linotype"/>
        </w:rPr>
      </w:pPr>
      <w:r w:rsidRPr="00C400AC">
        <w:rPr>
          <w:rFonts w:ascii="Palatino Linotype" w:hAnsi="Palatino Linotype"/>
        </w:rPr>
        <w:t>Por lo antes expuesto y fundado es de resolverse y,</w:t>
      </w:r>
    </w:p>
    <w:p w14:paraId="193B6B79" w14:textId="77777777" w:rsidR="00612EFB" w:rsidRPr="00C400AC" w:rsidRDefault="00612EFB" w:rsidP="00612EFB">
      <w:pPr>
        <w:tabs>
          <w:tab w:val="left" w:pos="8931"/>
        </w:tabs>
        <w:spacing w:line="360" w:lineRule="auto"/>
        <w:ind w:right="51"/>
        <w:jc w:val="both"/>
        <w:rPr>
          <w:rFonts w:ascii="Palatino Linotype" w:hAnsi="Palatino Linotype"/>
        </w:rPr>
      </w:pPr>
    </w:p>
    <w:p w14:paraId="1796CD3D" w14:textId="77777777" w:rsidR="00612EFB" w:rsidRPr="00C400AC" w:rsidRDefault="00612EFB" w:rsidP="00612EFB">
      <w:pPr>
        <w:spacing w:line="360" w:lineRule="auto"/>
        <w:jc w:val="center"/>
        <w:rPr>
          <w:rFonts w:ascii="Palatino Linotype" w:hAnsi="Palatino Linotype"/>
          <w:b/>
          <w:bCs/>
          <w:spacing w:val="60"/>
          <w:sz w:val="28"/>
          <w:lang w:val="es-ES_tradnl"/>
        </w:rPr>
      </w:pPr>
      <w:r w:rsidRPr="00C400AC">
        <w:rPr>
          <w:rFonts w:ascii="Palatino Linotype" w:hAnsi="Palatino Linotype"/>
          <w:b/>
          <w:bCs/>
          <w:spacing w:val="60"/>
          <w:sz w:val="28"/>
          <w:lang w:val="es-ES_tradnl"/>
        </w:rPr>
        <w:t>SE    RESUELVE</w:t>
      </w:r>
    </w:p>
    <w:p w14:paraId="0F4C4D31" w14:textId="77777777" w:rsidR="00612EFB" w:rsidRPr="00C400AC" w:rsidRDefault="00612EFB" w:rsidP="00612EFB">
      <w:pPr>
        <w:spacing w:line="360" w:lineRule="auto"/>
        <w:jc w:val="center"/>
        <w:rPr>
          <w:rFonts w:ascii="Palatino Linotype" w:hAnsi="Palatino Linotype"/>
          <w:b/>
          <w:bCs/>
          <w:spacing w:val="60"/>
          <w:sz w:val="14"/>
          <w:lang w:val="es-ES_tradnl"/>
        </w:rPr>
      </w:pPr>
    </w:p>
    <w:p w14:paraId="7CF5822E" w14:textId="6CB4BDE6" w:rsidR="005F0251" w:rsidRPr="005F0251" w:rsidRDefault="00612EFB" w:rsidP="005F0251">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n-US"/>
        </w:rPr>
      </w:pPr>
      <w:r w:rsidRPr="00C400AC">
        <w:rPr>
          <w:rFonts w:ascii="Palatino Linotype" w:hAnsi="Palatino Linotype"/>
          <w:b/>
          <w:bCs/>
          <w:sz w:val="28"/>
          <w:lang w:eastAsia="es-MX"/>
        </w:rPr>
        <w:t>PRIMERO</w:t>
      </w:r>
      <w:r w:rsidRPr="00C400AC">
        <w:rPr>
          <w:rFonts w:ascii="Palatino Linotype" w:hAnsi="Palatino Linotype"/>
          <w:sz w:val="28"/>
          <w:lang w:eastAsia="es-MX"/>
        </w:rPr>
        <w:t xml:space="preserve">. </w:t>
      </w:r>
      <w:r w:rsidRPr="00C400AC">
        <w:rPr>
          <w:rFonts w:ascii="Palatino Linotype" w:hAnsi="Palatino Linotype" w:cs="Arial"/>
          <w:lang w:val="es-ES_tradnl"/>
        </w:rPr>
        <w:t xml:space="preserve">Se </w:t>
      </w:r>
      <w:r w:rsidRPr="00C400AC">
        <w:rPr>
          <w:rFonts w:ascii="Palatino Linotype" w:hAnsi="Palatino Linotype" w:cs="Arial"/>
          <w:b/>
          <w:lang w:val="es-ES_tradnl"/>
        </w:rPr>
        <w:t>SOBRESEE</w:t>
      </w:r>
      <w:r w:rsidRPr="00C400AC">
        <w:rPr>
          <w:rFonts w:ascii="Palatino Linotype" w:hAnsi="Palatino Linotype" w:cs="Arial"/>
          <w:lang w:val="es-ES_tradnl"/>
        </w:rPr>
        <w:t xml:space="preserve"> el recurso de revisión número </w:t>
      </w:r>
      <w:r w:rsidRPr="00C400AC">
        <w:rPr>
          <w:rFonts w:ascii="Palatino Linotype" w:eastAsiaTheme="minorEastAsia" w:hAnsi="Palatino Linotype"/>
          <w:b/>
          <w:lang w:val="es-ES_tradnl"/>
        </w:rPr>
        <w:t>0</w:t>
      </w:r>
      <w:r w:rsidR="005F0251">
        <w:rPr>
          <w:rFonts w:ascii="Palatino Linotype" w:eastAsiaTheme="minorEastAsia" w:hAnsi="Palatino Linotype"/>
          <w:b/>
          <w:lang w:val="es-ES_tradnl"/>
        </w:rPr>
        <w:t>4305</w:t>
      </w:r>
      <w:r w:rsidRPr="00C400AC">
        <w:rPr>
          <w:rFonts w:ascii="Palatino Linotype" w:eastAsiaTheme="minorEastAsia" w:hAnsi="Palatino Linotype"/>
          <w:b/>
          <w:lang w:val="es-ES_tradnl"/>
        </w:rPr>
        <w:t>/INFOEM/IP/RR/202</w:t>
      </w:r>
      <w:r w:rsidR="008A5263">
        <w:rPr>
          <w:rFonts w:ascii="Palatino Linotype" w:eastAsiaTheme="minorEastAsia" w:hAnsi="Palatino Linotype"/>
          <w:b/>
          <w:lang w:val="es-ES_tradnl"/>
        </w:rPr>
        <w:t>4</w:t>
      </w:r>
      <w:r w:rsidRPr="00C400AC">
        <w:rPr>
          <w:rFonts w:ascii="Palatino Linotype" w:eastAsiaTheme="minorEastAsia" w:hAnsi="Palatino Linotype"/>
          <w:lang w:val="es-ES_tradnl"/>
        </w:rPr>
        <w:t xml:space="preserve">, </w:t>
      </w:r>
      <w:r w:rsidR="005F0251" w:rsidRPr="005F0251">
        <w:rPr>
          <w:rFonts w:ascii="Palatino Linotype" w:eastAsia="Palatino Linotype" w:hAnsi="Palatino Linotype" w:cs="Palatino Linotype"/>
          <w:color w:val="000000"/>
          <w:lang w:val="es-MX" w:eastAsia="en-US"/>
        </w:rPr>
        <w:t xml:space="preserve">por improcedente al actualizarse lo dispuesto en el artículo 192 fracción IV, </w:t>
      </w:r>
      <w:r w:rsidR="00487D4F">
        <w:rPr>
          <w:rFonts w:ascii="Palatino Linotype" w:eastAsia="Palatino Linotype" w:hAnsi="Palatino Linotype" w:cs="Palatino Linotype"/>
          <w:color w:val="000000"/>
          <w:lang w:val="es-MX" w:eastAsia="en-US"/>
        </w:rPr>
        <w:t>en</w:t>
      </w:r>
      <w:r w:rsidR="005F0251" w:rsidRPr="005F0251">
        <w:rPr>
          <w:rFonts w:ascii="Palatino Linotype" w:eastAsia="Palatino Linotype" w:hAnsi="Palatino Linotype" w:cs="Palatino Linotype"/>
          <w:color w:val="000000"/>
          <w:lang w:val="es-MX" w:eastAsia="en-US"/>
        </w:rPr>
        <w:t xml:space="preserve"> relación </w:t>
      </w:r>
      <w:r w:rsidR="00487D4F">
        <w:rPr>
          <w:rFonts w:ascii="Palatino Linotype" w:eastAsia="Palatino Linotype" w:hAnsi="Palatino Linotype" w:cs="Palatino Linotype"/>
          <w:color w:val="000000"/>
          <w:lang w:val="es-MX" w:eastAsia="en-US"/>
        </w:rPr>
        <w:t>con</w:t>
      </w:r>
      <w:r w:rsidR="005F0251" w:rsidRPr="005F0251">
        <w:rPr>
          <w:rFonts w:ascii="Palatino Linotype" w:eastAsia="Palatino Linotype" w:hAnsi="Palatino Linotype" w:cs="Palatino Linotype"/>
          <w:color w:val="000000"/>
          <w:lang w:val="es-MX" w:eastAsia="en-US"/>
        </w:rPr>
        <w:t xml:space="preserve"> la fracción VI</w:t>
      </w:r>
      <w:r w:rsidR="005F0251">
        <w:rPr>
          <w:rFonts w:ascii="Palatino Linotype" w:eastAsia="Palatino Linotype" w:hAnsi="Palatino Linotype" w:cs="Palatino Linotype"/>
          <w:color w:val="000000"/>
          <w:lang w:val="es-MX" w:eastAsia="en-US"/>
        </w:rPr>
        <w:t>,</w:t>
      </w:r>
      <w:r w:rsidR="005F0251" w:rsidRPr="005F0251">
        <w:rPr>
          <w:rFonts w:ascii="Palatino Linotype" w:eastAsia="Palatino Linotype" w:hAnsi="Palatino Linotype" w:cs="Palatino Linotype"/>
          <w:color w:val="000000"/>
          <w:lang w:val="es-MX" w:eastAsia="en-US"/>
        </w:rPr>
        <w:t xml:space="preserve"> del artículo 191</w:t>
      </w:r>
      <w:r w:rsidR="005F0251">
        <w:rPr>
          <w:rFonts w:ascii="Palatino Linotype" w:eastAsia="Palatino Linotype" w:hAnsi="Palatino Linotype" w:cs="Palatino Linotype"/>
          <w:color w:val="000000"/>
          <w:lang w:val="es-MX" w:eastAsia="en-US"/>
        </w:rPr>
        <w:t>,</w:t>
      </w:r>
      <w:r w:rsidR="005F0251" w:rsidRPr="005F0251">
        <w:rPr>
          <w:rFonts w:ascii="Palatino Linotype" w:eastAsia="Palatino Linotype" w:hAnsi="Palatino Linotype" w:cs="Palatino Linotype"/>
          <w:color w:val="000000"/>
          <w:lang w:val="es-MX" w:eastAsia="en-US"/>
        </w:rPr>
        <w:t xml:space="preserve"> de la </w:t>
      </w:r>
      <w:r w:rsidR="005F0251" w:rsidRPr="005F0251">
        <w:rPr>
          <w:rFonts w:ascii="Palatino Linotype" w:eastAsia="Palatino Linotype" w:hAnsi="Palatino Linotype" w:cs="Palatino Linotype"/>
          <w:lang w:val="es-MX" w:eastAsia="en-US"/>
        </w:rPr>
        <w:t xml:space="preserve">Ley de Transparencia y Acceso a la Información Pública del Estado de México y Municipios, </w:t>
      </w:r>
      <w:r w:rsidR="005F0251" w:rsidRPr="005F0251">
        <w:rPr>
          <w:rFonts w:ascii="Palatino Linotype" w:eastAsia="Palatino Linotype" w:hAnsi="Palatino Linotype" w:cs="Palatino Linotype"/>
          <w:color w:val="000000"/>
          <w:lang w:val="es-MX" w:eastAsia="en-US"/>
        </w:rPr>
        <w:t xml:space="preserve">en términos del </w:t>
      </w:r>
      <w:r w:rsidR="005F0251" w:rsidRPr="005F0251">
        <w:rPr>
          <w:rFonts w:ascii="Palatino Linotype" w:eastAsia="Palatino Linotype" w:hAnsi="Palatino Linotype" w:cs="Palatino Linotype"/>
          <w:bCs/>
          <w:color w:val="000000"/>
          <w:lang w:val="es-MX" w:eastAsia="en-US"/>
        </w:rPr>
        <w:t>Considerando</w:t>
      </w:r>
      <w:r w:rsidR="005F0251" w:rsidRPr="005F0251">
        <w:rPr>
          <w:rFonts w:ascii="Palatino Linotype" w:eastAsia="Palatino Linotype" w:hAnsi="Palatino Linotype" w:cs="Palatino Linotype"/>
          <w:b/>
          <w:color w:val="000000"/>
          <w:lang w:val="es-MX" w:eastAsia="en-US"/>
        </w:rPr>
        <w:t xml:space="preserve"> </w:t>
      </w:r>
      <w:r w:rsidR="005F0251">
        <w:rPr>
          <w:rFonts w:ascii="Palatino Linotype" w:eastAsia="Palatino Linotype" w:hAnsi="Palatino Linotype" w:cs="Palatino Linotype"/>
          <w:b/>
          <w:color w:val="000000"/>
          <w:lang w:val="es-MX" w:eastAsia="en-US"/>
        </w:rPr>
        <w:t>TERCERO</w:t>
      </w:r>
      <w:r w:rsidR="005F0251" w:rsidRPr="005F0251">
        <w:rPr>
          <w:rFonts w:ascii="Palatino Linotype" w:eastAsia="Palatino Linotype" w:hAnsi="Palatino Linotype" w:cs="Palatino Linotype"/>
          <w:color w:val="000000"/>
          <w:lang w:val="es-MX" w:eastAsia="en-US"/>
        </w:rPr>
        <w:t xml:space="preserve"> de la presente resolución.</w:t>
      </w:r>
    </w:p>
    <w:p w14:paraId="383E2CE2" w14:textId="719015FE" w:rsidR="00612EFB" w:rsidRPr="005F0251" w:rsidRDefault="00612EFB" w:rsidP="00612EFB">
      <w:pPr>
        <w:spacing w:line="360" w:lineRule="auto"/>
        <w:jc w:val="both"/>
        <w:rPr>
          <w:rFonts w:ascii="Palatino Linotype" w:eastAsiaTheme="minorEastAsia" w:hAnsi="Palatino Linotype"/>
          <w:lang w:val="es-MX"/>
        </w:rPr>
      </w:pPr>
    </w:p>
    <w:p w14:paraId="444CBD88" w14:textId="77777777" w:rsidR="00612EFB" w:rsidRPr="00C400AC" w:rsidRDefault="00612EFB" w:rsidP="00612EFB">
      <w:pPr>
        <w:pStyle w:val="Textoindependiente"/>
        <w:spacing w:after="0" w:line="360" w:lineRule="auto"/>
        <w:jc w:val="both"/>
        <w:rPr>
          <w:rFonts w:ascii="Palatino Linotype" w:hAnsi="Palatino Linotype"/>
          <w:sz w:val="24"/>
          <w:szCs w:val="24"/>
        </w:rPr>
      </w:pPr>
      <w:r w:rsidRPr="00C400AC">
        <w:rPr>
          <w:rFonts w:ascii="Palatino Linotype" w:hAnsi="Palatino Linotype"/>
          <w:b/>
          <w:sz w:val="28"/>
          <w:szCs w:val="24"/>
        </w:rPr>
        <w:lastRenderedPageBreak/>
        <w:t>SEGUNDO.</w:t>
      </w:r>
      <w:r w:rsidRPr="00C400AC">
        <w:rPr>
          <w:rFonts w:ascii="Palatino Linotype" w:hAnsi="Palatino Linotype" w:cs="Arial"/>
          <w:sz w:val="28"/>
          <w:szCs w:val="24"/>
        </w:rPr>
        <w:t xml:space="preserve"> </w:t>
      </w:r>
      <w:r w:rsidRPr="00C400AC">
        <w:rPr>
          <w:rFonts w:ascii="Palatino Linotype" w:hAnsi="Palatino Linotype"/>
          <w:b/>
          <w:sz w:val="24"/>
          <w:szCs w:val="24"/>
        </w:rPr>
        <w:t>NOTIFÍQUESE</w:t>
      </w:r>
      <w:r w:rsidRPr="00C400AC">
        <w:rPr>
          <w:rFonts w:ascii="Palatino Linotype" w:hAnsi="Palatino Linotype"/>
          <w:sz w:val="24"/>
          <w:szCs w:val="24"/>
        </w:rPr>
        <w:t xml:space="preserve"> vía Sistema de Acceso a la Información Mexiquense </w:t>
      </w:r>
      <w:r w:rsidRPr="00C400AC">
        <w:rPr>
          <w:rFonts w:ascii="Palatino Linotype" w:hAnsi="Palatino Linotype"/>
          <w:b/>
          <w:sz w:val="24"/>
          <w:szCs w:val="24"/>
        </w:rPr>
        <w:t>(SAIMEX)</w:t>
      </w:r>
      <w:r w:rsidRPr="00C400AC">
        <w:rPr>
          <w:rFonts w:ascii="Palatino Linotype" w:hAnsi="Palatino Linotype"/>
          <w:sz w:val="24"/>
          <w:szCs w:val="24"/>
        </w:rPr>
        <w:t xml:space="preserve">, la presente resolución al Titular de la Unidad de Transparencia del </w:t>
      </w:r>
      <w:r w:rsidRPr="00C400AC">
        <w:rPr>
          <w:rFonts w:ascii="Palatino Linotype" w:hAnsi="Palatino Linotype"/>
          <w:b/>
          <w:sz w:val="24"/>
          <w:szCs w:val="24"/>
        </w:rPr>
        <w:t>Sujeto Obligado</w:t>
      </w:r>
      <w:r w:rsidRPr="00C400AC">
        <w:rPr>
          <w:rFonts w:ascii="Palatino Linotype" w:hAnsi="Palatino Linotype"/>
          <w:sz w:val="24"/>
          <w:szCs w:val="24"/>
        </w:rPr>
        <w:t>.</w:t>
      </w:r>
    </w:p>
    <w:p w14:paraId="62FFA16D" w14:textId="77777777" w:rsidR="003000FC" w:rsidRPr="00B01721" w:rsidRDefault="003000FC" w:rsidP="003000FC">
      <w:pPr>
        <w:autoSpaceDE w:val="0"/>
        <w:autoSpaceDN w:val="0"/>
        <w:adjustRightInd w:val="0"/>
        <w:spacing w:line="360" w:lineRule="auto"/>
        <w:ind w:right="49"/>
        <w:jc w:val="both"/>
        <w:rPr>
          <w:rFonts w:ascii="Palatino Linotype" w:hAnsi="Palatino Linotype" w:cs="Arial"/>
          <w:b/>
          <w:szCs w:val="28"/>
        </w:rPr>
      </w:pPr>
    </w:p>
    <w:p w14:paraId="2C6FF08D" w14:textId="5BB82338" w:rsidR="00FA5223" w:rsidRDefault="00612EFB" w:rsidP="003000FC">
      <w:pPr>
        <w:autoSpaceDE w:val="0"/>
        <w:autoSpaceDN w:val="0"/>
        <w:adjustRightInd w:val="0"/>
        <w:spacing w:line="360" w:lineRule="auto"/>
        <w:ind w:right="49"/>
        <w:jc w:val="both"/>
        <w:rPr>
          <w:rFonts w:ascii="Palatino Linotype" w:hAnsi="Palatino Linotype" w:cs="Arial"/>
        </w:rPr>
      </w:pPr>
      <w:r>
        <w:rPr>
          <w:rFonts w:ascii="Palatino Linotype" w:hAnsi="Palatino Linotype" w:cs="Arial"/>
          <w:b/>
          <w:sz w:val="28"/>
          <w:szCs w:val="28"/>
        </w:rPr>
        <w:t>TERCERO</w:t>
      </w:r>
      <w:r w:rsidR="003000FC" w:rsidRPr="00B01721">
        <w:rPr>
          <w:rFonts w:ascii="Palatino Linotype" w:hAnsi="Palatino Linotype" w:cs="Arial"/>
          <w:b/>
          <w:sz w:val="28"/>
          <w:szCs w:val="28"/>
        </w:rPr>
        <w:t>.</w:t>
      </w:r>
      <w:r w:rsidR="003000FC" w:rsidRPr="00B01721">
        <w:rPr>
          <w:rFonts w:ascii="Palatino Linotype" w:hAnsi="Palatino Linotype" w:cs="Arial"/>
          <w:b/>
        </w:rPr>
        <w:t xml:space="preserve"> NOTIFÍQUESE</w:t>
      </w:r>
      <w:r w:rsidR="003000FC" w:rsidRPr="00B01721">
        <w:rPr>
          <w:rFonts w:ascii="Palatino Linotype" w:hAnsi="Palatino Linotype" w:cs="Arial"/>
        </w:rPr>
        <w:t xml:space="preserve"> a</w:t>
      </w:r>
      <w:r w:rsidR="003000FC">
        <w:rPr>
          <w:rFonts w:ascii="Palatino Linotype" w:hAnsi="Palatino Linotype" w:cs="Arial"/>
        </w:rPr>
        <w:t xml:space="preserve"> la parte</w:t>
      </w:r>
      <w:r w:rsidR="003000FC" w:rsidRPr="00B01721">
        <w:rPr>
          <w:rFonts w:ascii="Palatino Linotype" w:hAnsi="Palatino Linotype" w:cs="Arial"/>
        </w:rPr>
        <w:t xml:space="preserve"> </w:t>
      </w:r>
      <w:r w:rsidR="003000FC" w:rsidRPr="00B01721">
        <w:rPr>
          <w:rFonts w:ascii="Palatino Linotype" w:hAnsi="Palatino Linotype" w:cs="Arial"/>
          <w:b/>
        </w:rPr>
        <w:t>Recurrente</w:t>
      </w:r>
      <w:r w:rsidR="003000FC" w:rsidRPr="00B01721">
        <w:rPr>
          <w:rFonts w:ascii="Palatino Linotype" w:hAnsi="Palatino Linotype" w:cs="Arial"/>
        </w:rPr>
        <w:t xml:space="preserve"> la presente resolución a través del Sistema de Acceso a la Información Mexiquense </w:t>
      </w:r>
      <w:r w:rsidR="003000FC" w:rsidRPr="00B01721">
        <w:rPr>
          <w:rFonts w:ascii="Palatino Linotype" w:hAnsi="Palatino Linotype" w:cs="Arial"/>
          <w:b/>
        </w:rPr>
        <w:t>(SAIMEX),</w:t>
      </w:r>
      <w:r w:rsidR="003000FC" w:rsidRPr="00B0172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5127C4" w:rsidRPr="00612EFB">
        <w:rPr>
          <w:rFonts w:ascii="Palatino Linotype" w:hAnsi="Palatino Linotype" w:cs="Arial"/>
        </w:rPr>
        <w:t>.</w:t>
      </w:r>
    </w:p>
    <w:p w14:paraId="3F75A02D" w14:textId="77777777" w:rsidR="003000FC" w:rsidRPr="00B7320F" w:rsidRDefault="003000FC" w:rsidP="003000FC">
      <w:pPr>
        <w:autoSpaceDE w:val="0"/>
        <w:autoSpaceDN w:val="0"/>
        <w:adjustRightInd w:val="0"/>
        <w:spacing w:line="360" w:lineRule="auto"/>
        <w:ind w:right="49"/>
        <w:jc w:val="both"/>
        <w:rPr>
          <w:rFonts w:ascii="Palatino Linotype" w:hAnsi="Palatino Linotype" w:cs="Arial"/>
        </w:rPr>
      </w:pPr>
    </w:p>
    <w:p w14:paraId="5D487E30" w14:textId="6C8D0341"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442F4D">
        <w:rPr>
          <w:rFonts w:ascii="Palatino Linotype" w:eastAsiaTheme="minorHAnsi" w:hAnsi="Palatino Linotype" w:cs="Arial"/>
          <w:lang w:val="es-MX" w:eastAsia="en-US"/>
        </w:rPr>
        <w:t>TR</w:t>
      </w:r>
      <w:r w:rsidR="00CA4B8A">
        <w:rPr>
          <w:rFonts w:ascii="Palatino Linotype" w:eastAsiaTheme="minorHAnsi" w:hAnsi="Palatino Linotype" w:cs="Arial"/>
          <w:lang w:val="es-MX" w:eastAsia="en-US"/>
        </w:rPr>
        <w:t>IGÉSIMA</w:t>
      </w:r>
      <w:r w:rsidR="00154DCB">
        <w:rPr>
          <w:rFonts w:ascii="Palatino Linotype" w:eastAsiaTheme="minorHAnsi" w:hAnsi="Palatino Linotype" w:cs="Arial"/>
          <w:lang w:val="es-MX" w:eastAsia="en-US"/>
        </w:rPr>
        <w:t xml:space="preserve"> </w:t>
      </w:r>
      <w:r w:rsidR="00595331">
        <w:rPr>
          <w:rFonts w:ascii="Palatino Linotype" w:eastAsiaTheme="minorHAnsi" w:hAnsi="Palatino Linotype" w:cs="Arial"/>
          <w:lang w:val="es-MX" w:eastAsia="en-US"/>
        </w:rPr>
        <w:t>QUINT</w:t>
      </w:r>
      <w:r w:rsidR="00154DCB">
        <w:rPr>
          <w:rFonts w:ascii="Palatino Linotype" w:eastAsiaTheme="minorHAnsi" w:hAnsi="Palatino Linotype" w:cs="Arial"/>
          <w:lang w:val="es-MX" w:eastAsia="en-US"/>
        </w:rPr>
        <w:t>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595331">
        <w:rPr>
          <w:rFonts w:ascii="Palatino Linotype" w:hAnsi="Palatino Linotype" w:cs="Arial"/>
          <w:color w:val="000000"/>
          <w:lang w:val="es-MX" w:eastAsia="es-MX"/>
        </w:rPr>
        <w:t>TRES DE OCTUBRE</w:t>
      </w:r>
      <w:r w:rsidR="00154DCB" w:rsidRPr="00154DCB">
        <w:rPr>
          <w:rFonts w:ascii="Palatino Linotype" w:hAnsi="Palatino Linotype" w:cs="Arial"/>
          <w:color w:val="000000"/>
          <w:lang w:val="es-MX" w:eastAsia="es-MX"/>
        </w:rPr>
        <w:t xml:space="preserve"> </w:t>
      </w:r>
      <w:r w:rsidR="008E0F52" w:rsidRPr="008E0F52">
        <w:rPr>
          <w:rFonts w:ascii="Palatino Linotype" w:hAnsi="Palatino Linotype" w:cs="Arial"/>
          <w:color w:val="000000"/>
          <w:lang w:val="es-MX" w:eastAsia="es-MX"/>
        </w:rPr>
        <w:t>DOS 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D7525" w:rsidRPr="00B7320F">
        <w:rPr>
          <w:rFonts w:ascii="Palatino Linotype" w:eastAsiaTheme="minorHAnsi" w:hAnsi="Palatino Linotype" w:cs="Arial"/>
          <w:lang w:val="es-MX" w:eastAsia="en-US"/>
        </w:rPr>
        <w:t>--------------------------------------------------------------------------------------------------------</w:t>
      </w:r>
      <w:r w:rsidR="005878BD" w:rsidRPr="005878BD">
        <w:rPr>
          <w:rFonts w:ascii="Palatino Linotype" w:eastAsiaTheme="minorHAnsi" w:hAnsi="Palatino Linotype" w:cs="Arial"/>
          <w:lang w:val="es-MX" w:eastAsia="en-US"/>
        </w:rPr>
        <w:t xml:space="preserve"> </w:t>
      </w:r>
      <w:r w:rsidR="005878BD" w:rsidRPr="00B7320F">
        <w:rPr>
          <w:rFonts w:ascii="Palatino Linotype" w:eastAsiaTheme="minorHAnsi" w:hAnsi="Palatino Linotype" w:cs="Arial"/>
          <w:lang w:val="es-MX" w:eastAsia="en-US"/>
        </w:rPr>
        <w:t>------------------------------------------------------------</w:t>
      </w:r>
      <w:r w:rsidR="005878BD">
        <w:rPr>
          <w:rFonts w:ascii="Palatino Linotype" w:eastAsiaTheme="minorHAnsi" w:hAnsi="Palatino Linotype" w:cs="Arial"/>
          <w:lang w:val="es-MX" w:eastAsia="en-US"/>
        </w:rPr>
        <w:t>------------------------------------------------------</w:t>
      </w:r>
      <w:r w:rsidR="005878BD" w:rsidRPr="00B7320F">
        <w:rPr>
          <w:rFonts w:ascii="Palatino Linotype" w:eastAsiaTheme="minorHAnsi" w:hAnsi="Palatino Linotype" w:cs="Arial"/>
          <w:lang w:val="es-MX" w:eastAsia="en-US"/>
        </w:rPr>
        <w:t>------------------------------------------------------------</w:t>
      </w:r>
      <w:r w:rsidR="005878BD">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D99E" w14:textId="77777777" w:rsidR="00863F8F" w:rsidRDefault="00863F8F" w:rsidP="000B5E25">
      <w:r>
        <w:separator/>
      </w:r>
    </w:p>
  </w:endnote>
  <w:endnote w:type="continuationSeparator" w:id="0">
    <w:p w14:paraId="246B3D91" w14:textId="77777777" w:rsidR="00863F8F" w:rsidRDefault="00863F8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6629A">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6629A">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6629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6629A">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B43E" w14:textId="77777777" w:rsidR="00863F8F" w:rsidRDefault="00863F8F" w:rsidP="000B5E25">
      <w:r>
        <w:separator/>
      </w:r>
    </w:p>
  </w:footnote>
  <w:footnote w:type="continuationSeparator" w:id="0">
    <w:p w14:paraId="4E4E51CE" w14:textId="77777777" w:rsidR="00863F8F" w:rsidRDefault="00863F8F" w:rsidP="000B5E25">
      <w:r>
        <w:continuationSeparator/>
      </w:r>
    </w:p>
  </w:footnote>
  <w:footnote w:id="1">
    <w:p w14:paraId="3F3F558A" w14:textId="77777777" w:rsidR="00980A47" w:rsidRPr="00EF0560" w:rsidRDefault="00980A47" w:rsidP="00980A47">
      <w:pPr>
        <w:jc w:val="both"/>
        <w:rPr>
          <w:rFonts w:ascii="Palatino Linotype"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7BC1703D" w14:textId="77777777" w:rsidR="00980A47" w:rsidRPr="008544CF" w:rsidRDefault="00980A47" w:rsidP="00980A47">
      <w:pPr>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98D8709" w14:textId="77777777" w:rsidR="005F0251" w:rsidRDefault="005F0251" w:rsidP="005F0251">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46629A">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B62DD88" w:rsidR="00EC47E5" w:rsidRPr="0029071C" w:rsidRDefault="001116BA"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95331">
            <w:rPr>
              <w:rFonts w:ascii="Palatino Linotype" w:hAnsi="Palatino Linotype"/>
              <w:sz w:val="22"/>
              <w:szCs w:val="22"/>
              <w:lang w:val="es-ES_tradnl"/>
            </w:rPr>
            <w:t>4305</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7343189" w:rsidR="00EC47E5" w:rsidRPr="0029071C" w:rsidRDefault="00595331" w:rsidP="008A5263">
          <w:pPr>
            <w:jc w:val="right"/>
            <w:rPr>
              <w:rFonts w:ascii="Palatino Linotype" w:hAnsi="Palatino Linotype"/>
              <w:sz w:val="22"/>
              <w:szCs w:val="22"/>
            </w:rPr>
          </w:pPr>
          <w:r w:rsidRPr="00595331">
            <w:rPr>
              <w:rFonts w:ascii="Palatino Linotype" w:hAnsi="Palatino Linotype"/>
              <w:sz w:val="22"/>
              <w:szCs w:val="22"/>
            </w:rPr>
            <w:t>Sistema Municipal Para el Desarrollo Integral de la Familia de la Paz</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46629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0.6pt;margin-top:-11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2C019F9" w:rsidR="00EC47E5" w:rsidRPr="0029071C" w:rsidRDefault="001116BA"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595331">
            <w:rPr>
              <w:rFonts w:ascii="Palatino Linotype" w:hAnsi="Palatino Linotype"/>
              <w:sz w:val="22"/>
              <w:szCs w:val="22"/>
              <w:lang w:val="es-ES_tradnl"/>
            </w:rPr>
            <w:t>4305</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A838204" w:rsidR="00EC47E5" w:rsidRPr="006D30E6" w:rsidRDefault="0046629A"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C3C8D86" w:rsidR="00EC47E5" w:rsidRPr="0029071C" w:rsidRDefault="00595331" w:rsidP="00F030FC">
          <w:pPr>
            <w:jc w:val="right"/>
            <w:rPr>
              <w:rFonts w:ascii="Palatino Linotype" w:hAnsi="Palatino Linotype"/>
              <w:sz w:val="22"/>
              <w:szCs w:val="22"/>
            </w:rPr>
          </w:pPr>
          <w:r w:rsidRPr="00595331">
            <w:rPr>
              <w:rFonts w:ascii="Palatino Linotype" w:hAnsi="Palatino Linotype"/>
              <w:sz w:val="22"/>
              <w:szCs w:val="22"/>
            </w:rPr>
            <w:t>Sistema Municipal Para el Desarrollo Integral de la Familia de la Paz</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46629A">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9pt;height:10.9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0014AC"/>
    <w:multiLevelType w:val="hybridMultilevel"/>
    <w:tmpl w:val="9C143EBC"/>
    <w:lvl w:ilvl="0" w:tplc="0C30F84A">
      <w:start w:val="1"/>
      <w:numFmt w:val="decimal"/>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5"/>
  </w:num>
  <w:num w:numId="2">
    <w:abstractNumId w:val="12"/>
  </w:num>
  <w:num w:numId="3">
    <w:abstractNumId w:val="7"/>
  </w:num>
  <w:num w:numId="4">
    <w:abstractNumId w:val="30"/>
  </w:num>
  <w:num w:numId="5">
    <w:abstractNumId w:val="10"/>
  </w:num>
  <w:num w:numId="6">
    <w:abstractNumId w:val="8"/>
  </w:num>
  <w:num w:numId="7">
    <w:abstractNumId w:val="33"/>
  </w:num>
  <w:num w:numId="8">
    <w:abstractNumId w:val="38"/>
  </w:num>
  <w:num w:numId="9">
    <w:abstractNumId w:val="16"/>
  </w:num>
  <w:num w:numId="10">
    <w:abstractNumId w:val="3"/>
  </w:num>
  <w:num w:numId="11">
    <w:abstractNumId w:val="9"/>
  </w:num>
  <w:num w:numId="12">
    <w:abstractNumId w:val="22"/>
  </w:num>
  <w:num w:numId="13">
    <w:abstractNumId w:val="21"/>
  </w:num>
  <w:num w:numId="14">
    <w:abstractNumId w:val="26"/>
  </w:num>
  <w:num w:numId="15">
    <w:abstractNumId w:val="6"/>
  </w:num>
  <w:num w:numId="16">
    <w:abstractNumId w:val="39"/>
  </w:num>
  <w:num w:numId="17">
    <w:abstractNumId w:val="20"/>
  </w:num>
  <w:num w:numId="18">
    <w:abstractNumId w:val="23"/>
  </w:num>
  <w:num w:numId="19">
    <w:abstractNumId w:val="2"/>
  </w:num>
  <w:num w:numId="20">
    <w:abstractNumId w:val="32"/>
  </w:num>
  <w:num w:numId="21">
    <w:abstractNumId w:val="17"/>
  </w:num>
  <w:num w:numId="22">
    <w:abstractNumId w:val="27"/>
  </w:num>
  <w:num w:numId="23">
    <w:abstractNumId w:val="31"/>
  </w:num>
  <w:num w:numId="24">
    <w:abstractNumId w:val="18"/>
  </w:num>
  <w:num w:numId="25">
    <w:abstractNumId w:val="1"/>
  </w:num>
  <w:num w:numId="26">
    <w:abstractNumId w:val="25"/>
  </w:num>
  <w:num w:numId="27">
    <w:abstractNumId w:val="0"/>
  </w:num>
  <w:num w:numId="28">
    <w:abstractNumId w:val="5"/>
  </w:num>
  <w:num w:numId="29">
    <w:abstractNumId w:val="28"/>
  </w:num>
  <w:num w:numId="30">
    <w:abstractNumId w:val="14"/>
  </w:num>
  <w:num w:numId="31">
    <w:abstractNumId w:val="13"/>
  </w:num>
  <w:num w:numId="32">
    <w:abstractNumId w:val="34"/>
  </w:num>
  <w:num w:numId="33">
    <w:abstractNumId w:val="37"/>
  </w:num>
  <w:num w:numId="34">
    <w:abstractNumId w:val="29"/>
  </w:num>
  <w:num w:numId="35">
    <w:abstractNumId w:val="24"/>
  </w:num>
  <w:num w:numId="36">
    <w:abstractNumId w:val="15"/>
  </w:num>
  <w:num w:numId="37">
    <w:abstractNumId w:val="36"/>
  </w:num>
  <w:num w:numId="38">
    <w:abstractNumId w:val="11"/>
  </w:num>
  <w:num w:numId="39">
    <w:abstractNumId w:val="4"/>
  </w:num>
  <w:num w:numId="4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5840"/>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629A"/>
    <w:rsid w:val="004672ED"/>
    <w:rsid w:val="004741E9"/>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878BD"/>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78BF"/>
    <w:rsid w:val="00863F8F"/>
    <w:rsid w:val="008660D6"/>
    <w:rsid w:val="008803EF"/>
    <w:rsid w:val="008805A5"/>
    <w:rsid w:val="00882980"/>
    <w:rsid w:val="0088642E"/>
    <w:rsid w:val="00896D29"/>
    <w:rsid w:val="008A12CF"/>
    <w:rsid w:val="008A1A90"/>
    <w:rsid w:val="008A5263"/>
    <w:rsid w:val="008A5FCD"/>
    <w:rsid w:val="008A64CB"/>
    <w:rsid w:val="008B082B"/>
    <w:rsid w:val="008B6546"/>
    <w:rsid w:val="008C3B24"/>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61002"/>
    <w:rsid w:val="00973F9B"/>
    <w:rsid w:val="009756C2"/>
    <w:rsid w:val="009758CB"/>
    <w:rsid w:val="00980909"/>
    <w:rsid w:val="00980A47"/>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77A"/>
    <w:rsid w:val="00BD6CEB"/>
    <w:rsid w:val="00BD74AF"/>
    <w:rsid w:val="00BE233B"/>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1E26"/>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8513C"/>
    <w:rsid w:val="00F90EBA"/>
    <w:rsid w:val="00F94863"/>
    <w:rsid w:val="00F97C38"/>
    <w:rsid w:val="00FA5223"/>
    <w:rsid w:val="00FA7ED5"/>
    <w:rsid w:val="00FB32CD"/>
    <w:rsid w:val="00FC079F"/>
    <w:rsid w:val="00FC0DAE"/>
    <w:rsid w:val="00FC1FC5"/>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1746-6444-4700-BF2C-8CCEEA00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4584</Words>
  <Characters>25215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2024-09-17T22:57:00Z</dcterms:created>
  <dcterms:modified xsi:type="dcterms:W3CDTF">2024-10-29T19:22:00Z</dcterms:modified>
</cp:coreProperties>
</file>