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DC19D6" w:rsidRDefault="00AE3DA7" w:rsidP="00141876">
          <w:pPr>
            <w:pStyle w:val="TtulodeTDC"/>
            <w:spacing w:before="0" w:line="240" w:lineRule="auto"/>
            <w:rPr>
              <w:rFonts w:ascii="Palatino Linotype" w:hAnsi="Palatino Linotype"/>
              <w:sz w:val="22"/>
              <w:szCs w:val="22"/>
              <w:lang w:val="es-ES"/>
            </w:rPr>
          </w:pPr>
          <w:r w:rsidRPr="00DC19D6">
            <w:rPr>
              <w:rFonts w:ascii="Palatino Linotype" w:hAnsi="Palatino Linotype"/>
              <w:sz w:val="22"/>
              <w:szCs w:val="22"/>
              <w:lang w:val="es-ES"/>
            </w:rPr>
            <w:t>Contenido</w:t>
          </w:r>
        </w:p>
        <w:p w14:paraId="3EB312A7" w14:textId="77777777" w:rsidR="00AA6EA9" w:rsidRPr="00DC19D6" w:rsidRDefault="00AA6EA9" w:rsidP="00141876">
          <w:pPr>
            <w:spacing w:line="240" w:lineRule="auto"/>
            <w:rPr>
              <w:szCs w:val="22"/>
              <w:lang w:val="es-ES" w:eastAsia="es-MX"/>
            </w:rPr>
          </w:pPr>
        </w:p>
        <w:p w14:paraId="002E33F8" w14:textId="77777777" w:rsidR="00026454" w:rsidRPr="00DC19D6" w:rsidRDefault="00AE3DA7">
          <w:pPr>
            <w:pStyle w:val="TDC1"/>
            <w:tabs>
              <w:tab w:val="right" w:leader="dot" w:pos="9034"/>
            </w:tabs>
            <w:rPr>
              <w:rFonts w:asciiTheme="minorHAnsi" w:eastAsiaTheme="minorEastAsia" w:hAnsiTheme="minorHAnsi" w:cstheme="minorBidi"/>
              <w:noProof/>
              <w:szCs w:val="22"/>
              <w:lang w:eastAsia="es-MX"/>
            </w:rPr>
          </w:pPr>
          <w:r w:rsidRPr="00DC19D6">
            <w:rPr>
              <w:szCs w:val="22"/>
            </w:rPr>
            <w:fldChar w:fldCharType="begin"/>
          </w:r>
          <w:r w:rsidRPr="00DC19D6">
            <w:rPr>
              <w:szCs w:val="22"/>
            </w:rPr>
            <w:instrText xml:space="preserve"> TOC \o "1-3" \h \z \u </w:instrText>
          </w:r>
          <w:r w:rsidRPr="00DC19D6">
            <w:rPr>
              <w:szCs w:val="22"/>
            </w:rPr>
            <w:fldChar w:fldCharType="separate"/>
          </w:r>
          <w:hyperlink w:anchor="_Toc175586249" w:history="1">
            <w:r w:rsidR="00026454" w:rsidRPr="00DC19D6">
              <w:rPr>
                <w:rStyle w:val="Hipervnculo"/>
                <w:noProof/>
              </w:rPr>
              <w:t>ANTECEDENTES</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_Toc175586249 \h </w:instrText>
            </w:r>
            <w:r w:rsidR="00026454" w:rsidRPr="00DC19D6">
              <w:rPr>
                <w:noProof/>
                <w:webHidden/>
              </w:rPr>
            </w:r>
            <w:r w:rsidR="00026454" w:rsidRPr="00DC19D6">
              <w:rPr>
                <w:noProof/>
                <w:webHidden/>
              </w:rPr>
              <w:fldChar w:fldCharType="separate"/>
            </w:r>
            <w:r w:rsidR="00F51362">
              <w:rPr>
                <w:noProof/>
                <w:webHidden/>
              </w:rPr>
              <w:t>1</w:t>
            </w:r>
            <w:r w:rsidR="00026454" w:rsidRPr="00DC19D6">
              <w:rPr>
                <w:noProof/>
                <w:webHidden/>
              </w:rPr>
              <w:fldChar w:fldCharType="end"/>
            </w:r>
          </w:hyperlink>
        </w:p>
        <w:p w14:paraId="078C4FF8" w14:textId="77777777" w:rsidR="00026454" w:rsidRPr="00DC19D6" w:rsidRDefault="009156B5">
          <w:pPr>
            <w:pStyle w:val="TDC2"/>
            <w:rPr>
              <w:rFonts w:asciiTheme="minorHAnsi" w:eastAsiaTheme="minorEastAsia" w:hAnsiTheme="minorHAnsi" w:cstheme="minorBidi"/>
              <w:noProof/>
              <w:szCs w:val="22"/>
              <w:lang w:eastAsia="es-MX"/>
            </w:rPr>
          </w:pPr>
          <w:hyperlink w:anchor="_Toc175586250" w:history="1">
            <w:r w:rsidR="00026454" w:rsidRPr="00DC19D6">
              <w:rPr>
                <w:rStyle w:val="Hipervnculo"/>
                <w:noProof/>
              </w:rPr>
              <w:t>DE LA SOLICITUD DE INFORMACIÓN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_Toc175586250 \h </w:instrText>
            </w:r>
            <w:r w:rsidR="00026454" w:rsidRPr="00DC19D6">
              <w:rPr>
                <w:noProof/>
                <w:webHidden/>
              </w:rPr>
            </w:r>
            <w:r w:rsidR="00026454" w:rsidRPr="00DC19D6">
              <w:rPr>
                <w:noProof/>
                <w:webHidden/>
              </w:rPr>
              <w:fldChar w:fldCharType="separate"/>
            </w:r>
            <w:r w:rsidR="00F51362">
              <w:rPr>
                <w:noProof/>
                <w:webHidden/>
              </w:rPr>
              <w:t>1</w:t>
            </w:r>
            <w:r w:rsidR="00026454" w:rsidRPr="00DC19D6">
              <w:rPr>
                <w:noProof/>
                <w:webHidden/>
              </w:rPr>
              <w:fldChar w:fldCharType="end"/>
            </w:r>
          </w:hyperlink>
        </w:p>
        <w:p w14:paraId="2CE48A47" w14:textId="77777777" w:rsidR="00026454" w:rsidRPr="00DC19D6" w:rsidRDefault="009156B5">
          <w:pPr>
            <w:pStyle w:val="TDC3"/>
            <w:rPr>
              <w:rFonts w:asciiTheme="minorHAnsi" w:eastAsiaTheme="minorEastAsia" w:hAnsiTheme="minorHAnsi" w:cstheme="minorBidi"/>
              <w:noProof/>
              <w:szCs w:val="22"/>
              <w:lang w:eastAsia="es-MX"/>
            </w:rPr>
          </w:pPr>
          <w:hyperlink w:anchor="_Toc175586251" w:history="1">
            <w:r w:rsidR="00026454" w:rsidRPr="00DC19D6">
              <w:rPr>
                <w:rStyle w:val="Hipervnculo"/>
                <w:noProof/>
              </w:rPr>
              <w:t>a) Solicitud de información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_Toc175586251 \h </w:instrText>
            </w:r>
            <w:r w:rsidR="00026454" w:rsidRPr="00DC19D6">
              <w:rPr>
                <w:noProof/>
                <w:webHidden/>
              </w:rPr>
            </w:r>
            <w:r w:rsidR="00026454" w:rsidRPr="00DC19D6">
              <w:rPr>
                <w:noProof/>
                <w:webHidden/>
              </w:rPr>
              <w:fldChar w:fldCharType="separate"/>
            </w:r>
            <w:r w:rsidR="00F51362">
              <w:rPr>
                <w:noProof/>
                <w:webHidden/>
              </w:rPr>
              <w:t>1</w:t>
            </w:r>
            <w:r w:rsidR="00026454" w:rsidRPr="00DC19D6">
              <w:rPr>
                <w:noProof/>
                <w:webHidden/>
              </w:rPr>
              <w:fldChar w:fldCharType="end"/>
            </w:r>
          </w:hyperlink>
        </w:p>
        <w:p w14:paraId="56999BF3" w14:textId="77777777" w:rsidR="00026454" w:rsidRPr="00DC19D6" w:rsidRDefault="009156B5">
          <w:pPr>
            <w:pStyle w:val="TDC3"/>
            <w:rPr>
              <w:rFonts w:asciiTheme="minorHAnsi" w:eastAsiaTheme="minorEastAsia" w:hAnsiTheme="minorHAnsi" w:cstheme="minorBidi"/>
              <w:noProof/>
              <w:szCs w:val="22"/>
              <w:lang w:eastAsia="es-MX"/>
            </w:rPr>
          </w:pPr>
          <w:hyperlink w:anchor="_Toc175586252" w:history="1">
            <w:r w:rsidR="00026454" w:rsidRPr="00DC19D6">
              <w:rPr>
                <w:rStyle w:val="Hipervnculo"/>
                <w:noProof/>
              </w:rPr>
              <w:t xml:space="preserve">b) </w:t>
            </w:r>
            <w:r w:rsidR="00026454" w:rsidRPr="00DC19D6">
              <w:rPr>
                <w:rStyle w:val="Hipervnculo"/>
                <w:bCs/>
                <w:noProof/>
              </w:rPr>
              <w:t>Turno de la solicitud de información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_Toc175586252 \h </w:instrText>
            </w:r>
            <w:r w:rsidR="00026454" w:rsidRPr="00DC19D6">
              <w:rPr>
                <w:noProof/>
                <w:webHidden/>
              </w:rPr>
            </w:r>
            <w:r w:rsidR="00026454" w:rsidRPr="00DC19D6">
              <w:rPr>
                <w:noProof/>
                <w:webHidden/>
              </w:rPr>
              <w:fldChar w:fldCharType="separate"/>
            </w:r>
            <w:r w:rsidR="00F51362">
              <w:rPr>
                <w:noProof/>
                <w:webHidden/>
              </w:rPr>
              <w:t>2</w:t>
            </w:r>
            <w:r w:rsidR="00026454" w:rsidRPr="00DC19D6">
              <w:rPr>
                <w:noProof/>
                <w:webHidden/>
              </w:rPr>
              <w:fldChar w:fldCharType="end"/>
            </w:r>
          </w:hyperlink>
        </w:p>
        <w:p w14:paraId="5E00A5E2" w14:textId="77777777" w:rsidR="00026454" w:rsidRPr="00DC19D6" w:rsidRDefault="009156B5">
          <w:pPr>
            <w:pStyle w:val="TDC3"/>
            <w:rPr>
              <w:rFonts w:asciiTheme="minorHAnsi" w:eastAsiaTheme="minorEastAsia" w:hAnsiTheme="minorHAnsi" w:cstheme="minorBidi"/>
              <w:noProof/>
              <w:szCs w:val="22"/>
              <w:lang w:eastAsia="es-MX"/>
            </w:rPr>
          </w:pPr>
          <w:hyperlink w:anchor="_Toc175586253" w:history="1">
            <w:r w:rsidR="00026454" w:rsidRPr="00DC19D6">
              <w:rPr>
                <w:rStyle w:val="Hipervnculo"/>
                <w:noProof/>
                <w:lang w:val="es-ES"/>
              </w:rPr>
              <w:t xml:space="preserve">c) Respuesta </w:t>
            </w:r>
            <w:r w:rsidR="00026454" w:rsidRPr="00DC19D6">
              <w:rPr>
                <w:rStyle w:val="Hipervnculo"/>
                <w:rFonts w:eastAsia="Calibri"/>
                <w:noProof/>
                <w:lang w:eastAsia="en-US"/>
              </w:rPr>
              <w:t>del Sujeto Obligado</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_Toc175586253 \h </w:instrText>
            </w:r>
            <w:r w:rsidR="00026454" w:rsidRPr="00DC19D6">
              <w:rPr>
                <w:noProof/>
                <w:webHidden/>
              </w:rPr>
            </w:r>
            <w:r w:rsidR="00026454" w:rsidRPr="00DC19D6">
              <w:rPr>
                <w:noProof/>
                <w:webHidden/>
              </w:rPr>
              <w:fldChar w:fldCharType="separate"/>
            </w:r>
            <w:r w:rsidR="00F51362">
              <w:rPr>
                <w:noProof/>
                <w:webHidden/>
              </w:rPr>
              <w:t>2</w:t>
            </w:r>
            <w:r w:rsidR="00026454" w:rsidRPr="00DC19D6">
              <w:rPr>
                <w:noProof/>
                <w:webHidden/>
              </w:rPr>
              <w:fldChar w:fldCharType="end"/>
            </w:r>
          </w:hyperlink>
        </w:p>
        <w:p w14:paraId="59E8C723" w14:textId="77777777" w:rsidR="00026454" w:rsidRPr="00DC19D6" w:rsidRDefault="009156B5">
          <w:pPr>
            <w:pStyle w:val="TDC2"/>
            <w:rPr>
              <w:rFonts w:asciiTheme="minorHAnsi" w:eastAsiaTheme="minorEastAsia" w:hAnsiTheme="minorHAnsi" w:cstheme="minorBidi"/>
              <w:noProof/>
              <w:szCs w:val="22"/>
              <w:lang w:eastAsia="es-MX"/>
            </w:rPr>
          </w:pPr>
          <w:hyperlink w:anchor="_Toc175586254" w:history="1">
            <w:r w:rsidR="00026454" w:rsidRPr="00DC19D6">
              <w:rPr>
                <w:rStyle w:val="Hipervnculo"/>
                <w:noProof/>
              </w:rPr>
              <w:t>DEL RECURSO DE REVISIÓN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_Toc175586254 \h </w:instrText>
            </w:r>
            <w:r w:rsidR="00026454" w:rsidRPr="00DC19D6">
              <w:rPr>
                <w:noProof/>
                <w:webHidden/>
              </w:rPr>
            </w:r>
            <w:r w:rsidR="00026454" w:rsidRPr="00DC19D6">
              <w:rPr>
                <w:noProof/>
                <w:webHidden/>
              </w:rPr>
              <w:fldChar w:fldCharType="separate"/>
            </w:r>
            <w:r w:rsidR="00F51362">
              <w:rPr>
                <w:noProof/>
                <w:webHidden/>
              </w:rPr>
              <w:t>6</w:t>
            </w:r>
            <w:r w:rsidR="00026454" w:rsidRPr="00DC19D6">
              <w:rPr>
                <w:noProof/>
                <w:webHidden/>
              </w:rPr>
              <w:fldChar w:fldCharType="end"/>
            </w:r>
          </w:hyperlink>
        </w:p>
        <w:p w14:paraId="522C631A" w14:textId="77777777" w:rsidR="00026454" w:rsidRPr="00DC19D6" w:rsidRDefault="009156B5">
          <w:pPr>
            <w:pStyle w:val="TDC3"/>
            <w:rPr>
              <w:rFonts w:asciiTheme="minorHAnsi" w:eastAsiaTheme="minorEastAsia" w:hAnsiTheme="minorHAnsi" w:cstheme="minorBidi"/>
              <w:noProof/>
              <w:szCs w:val="22"/>
              <w:lang w:eastAsia="es-MX"/>
            </w:rPr>
          </w:pPr>
          <w:hyperlink w:anchor="_Toc175586255" w:history="1">
            <w:r w:rsidR="00026454" w:rsidRPr="00DC19D6">
              <w:rPr>
                <w:rStyle w:val="Hipervnculo"/>
                <w:noProof/>
              </w:rPr>
              <w:t>a) Interposición del Recurso de Revisión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_Toc175586255 \h </w:instrText>
            </w:r>
            <w:r w:rsidR="00026454" w:rsidRPr="00DC19D6">
              <w:rPr>
                <w:noProof/>
                <w:webHidden/>
              </w:rPr>
            </w:r>
            <w:r w:rsidR="00026454" w:rsidRPr="00DC19D6">
              <w:rPr>
                <w:noProof/>
                <w:webHidden/>
              </w:rPr>
              <w:fldChar w:fldCharType="separate"/>
            </w:r>
            <w:r w:rsidR="00F51362">
              <w:rPr>
                <w:noProof/>
                <w:webHidden/>
              </w:rPr>
              <w:t>6</w:t>
            </w:r>
            <w:r w:rsidR="00026454" w:rsidRPr="00DC19D6">
              <w:rPr>
                <w:noProof/>
                <w:webHidden/>
              </w:rPr>
              <w:fldChar w:fldCharType="end"/>
            </w:r>
          </w:hyperlink>
        </w:p>
        <w:p w14:paraId="0BE2D10A" w14:textId="77777777" w:rsidR="00026454" w:rsidRPr="00DC19D6" w:rsidRDefault="009156B5">
          <w:pPr>
            <w:pStyle w:val="TDC3"/>
            <w:rPr>
              <w:rFonts w:asciiTheme="minorHAnsi" w:eastAsiaTheme="minorEastAsia" w:hAnsiTheme="minorHAnsi" w:cstheme="minorBidi"/>
              <w:noProof/>
              <w:szCs w:val="22"/>
              <w:lang w:eastAsia="es-MX"/>
            </w:rPr>
          </w:pPr>
          <w:hyperlink w:anchor="_Toc175586256" w:history="1">
            <w:r w:rsidR="00026454" w:rsidRPr="00DC19D6">
              <w:rPr>
                <w:rStyle w:val="Hipervnculo"/>
                <w:noProof/>
              </w:rPr>
              <w:t>b) Turno del Recurso de Revisión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_Toc175586256 \h </w:instrText>
            </w:r>
            <w:r w:rsidR="00026454" w:rsidRPr="00DC19D6">
              <w:rPr>
                <w:noProof/>
                <w:webHidden/>
              </w:rPr>
            </w:r>
            <w:r w:rsidR="00026454" w:rsidRPr="00DC19D6">
              <w:rPr>
                <w:noProof/>
                <w:webHidden/>
              </w:rPr>
              <w:fldChar w:fldCharType="separate"/>
            </w:r>
            <w:r w:rsidR="00F51362">
              <w:rPr>
                <w:noProof/>
                <w:webHidden/>
              </w:rPr>
              <w:t>6</w:t>
            </w:r>
            <w:r w:rsidR="00026454" w:rsidRPr="00DC19D6">
              <w:rPr>
                <w:noProof/>
                <w:webHidden/>
              </w:rPr>
              <w:fldChar w:fldCharType="end"/>
            </w:r>
          </w:hyperlink>
        </w:p>
        <w:p w14:paraId="177A1206" w14:textId="77777777" w:rsidR="00026454" w:rsidRPr="00DC19D6" w:rsidRDefault="009156B5">
          <w:pPr>
            <w:pStyle w:val="TDC3"/>
            <w:rPr>
              <w:rFonts w:asciiTheme="minorHAnsi" w:eastAsiaTheme="minorEastAsia" w:hAnsiTheme="minorHAnsi" w:cstheme="minorBidi"/>
              <w:noProof/>
              <w:szCs w:val="22"/>
              <w:lang w:eastAsia="es-MX"/>
            </w:rPr>
          </w:pPr>
          <w:hyperlink w:anchor="_Toc175586257" w:history="1">
            <w:r w:rsidR="00026454" w:rsidRPr="00DC19D6">
              <w:rPr>
                <w:rStyle w:val="Hipervnculo"/>
                <w:noProof/>
              </w:rPr>
              <w:t>c) Admisión del Recurso de Revisión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_Toc175586257 \h </w:instrText>
            </w:r>
            <w:r w:rsidR="00026454" w:rsidRPr="00DC19D6">
              <w:rPr>
                <w:noProof/>
                <w:webHidden/>
              </w:rPr>
            </w:r>
            <w:r w:rsidR="00026454" w:rsidRPr="00DC19D6">
              <w:rPr>
                <w:noProof/>
                <w:webHidden/>
              </w:rPr>
              <w:fldChar w:fldCharType="separate"/>
            </w:r>
            <w:r w:rsidR="00F51362">
              <w:rPr>
                <w:noProof/>
                <w:webHidden/>
              </w:rPr>
              <w:t>6</w:t>
            </w:r>
            <w:r w:rsidR="00026454" w:rsidRPr="00DC19D6">
              <w:rPr>
                <w:noProof/>
                <w:webHidden/>
              </w:rPr>
              <w:fldChar w:fldCharType="end"/>
            </w:r>
          </w:hyperlink>
        </w:p>
        <w:p w14:paraId="41123C28" w14:textId="77777777" w:rsidR="00026454" w:rsidRPr="00DC19D6" w:rsidRDefault="009156B5">
          <w:pPr>
            <w:pStyle w:val="TDC3"/>
            <w:rPr>
              <w:rFonts w:asciiTheme="minorHAnsi" w:eastAsiaTheme="minorEastAsia" w:hAnsiTheme="minorHAnsi" w:cstheme="minorBidi"/>
              <w:noProof/>
              <w:szCs w:val="22"/>
              <w:lang w:eastAsia="es-MX"/>
            </w:rPr>
          </w:pPr>
          <w:hyperlink w:anchor="_Toc175586258" w:history="1">
            <w:r w:rsidR="00026454" w:rsidRPr="00DC19D6">
              <w:rPr>
                <w:rStyle w:val="Hipervnculo"/>
                <w:noProof/>
              </w:rPr>
              <w:t>d) Informe Justificado del Sujeto Obligado</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_Toc175586258 \h </w:instrText>
            </w:r>
            <w:r w:rsidR="00026454" w:rsidRPr="00DC19D6">
              <w:rPr>
                <w:noProof/>
                <w:webHidden/>
              </w:rPr>
            </w:r>
            <w:r w:rsidR="00026454" w:rsidRPr="00DC19D6">
              <w:rPr>
                <w:noProof/>
                <w:webHidden/>
              </w:rPr>
              <w:fldChar w:fldCharType="separate"/>
            </w:r>
            <w:r w:rsidR="00F51362">
              <w:rPr>
                <w:noProof/>
                <w:webHidden/>
              </w:rPr>
              <w:t>7</w:t>
            </w:r>
            <w:r w:rsidR="00026454" w:rsidRPr="00DC19D6">
              <w:rPr>
                <w:noProof/>
                <w:webHidden/>
              </w:rPr>
              <w:fldChar w:fldCharType="end"/>
            </w:r>
          </w:hyperlink>
        </w:p>
        <w:p w14:paraId="739AAB69" w14:textId="77777777" w:rsidR="00026454" w:rsidRPr="00DC19D6" w:rsidRDefault="009156B5">
          <w:pPr>
            <w:pStyle w:val="TDC3"/>
            <w:rPr>
              <w:rFonts w:asciiTheme="minorHAnsi" w:eastAsiaTheme="minorEastAsia" w:hAnsiTheme="minorHAnsi" w:cstheme="minorBidi"/>
              <w:noProof/>
              <w:szCs w:val="22"/>
              <w:lang w:eastAsia="es-MX"/>
            </w:rPr>
          </w:pPr>
          <w:hyperlink w:anchor="_Toc175586259" w:history="1">
            <w:r w:rsidR="00026454" w:rsidRPr="00DC19D6">
              <w:rPr>
                <w:rStyle w:val="Hipervnculo"/>
                <w:rFonts w:eastAsia="Calibri"/>
                <w:bCs/>
                <w:noProof/>
                <w:lang w:eastAsia="en-US"/>
              </w:rPr>
              <w:t>e)</w:t>
            </w:r>
            <w:r w:rsidR="00026454" w:rsidRPr="00DC19D6">
              <w:rPr>
                <w:rStyle w:val="Hipervnculo"/>
                <w:noProof/>
              </w:rPr>
              <w:t xml:space="preserve"> </w:t>
            </w:r>
            <w:r w:rsidR="00026454" w:rsidRPr="00DC19D6">
              <w:rPr>
                <w:rStyle w:val="Hipervnculo"/>
                <w:noProof/>
                <w:lang w:val="es-ES"/>
              </w:rPr>
              <w:t>Manifestaciones de la Parte Recurrente</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_Toc175586259 \h </w:instrText>
            </w:r>
            <w:r w:rsidR="00026454" w:rsidRPr="00DC19D6">
              <w:rPr>
                <w:noProof/>
                <w:webHidden/>
              </w:rPr>
            </w:r>
            <w:r w:rsidR="00026454" w:rsidRPr="00DC19D6">
              <w:rPr>
                <w:noProof/>
                <w:webHidden/>
              </w:rPr>
              <w:fldChar w:fldCharType="separate"/>
            </w:r>
            <w:r w:rsidR="00F51362">
              <w:rPr>
                <w:noProof/>
                <w:webHidden/>
              </w:rPr>
              <w:t>7</w:t>
            </w:r>
            <w:r w:rsidR="00026454" w:rsidRPr="00DC19D6">
              <w:rPr>
                <w:noProof/>
                <w:webHidden/>
              </w:rPr>
              <w:fldChar w:fldCharType="end"/>
            </w:r>
          </w:hyperlink>
        </w:p>
        <w:p w14:paraId="0FAED608" w14:textId="77777777" w:rsidR="00026454" w:rsidRPr="00DC19D6" w:rsidRDefault="009156B5">
          <w:pPr>
            <w:pStyle w:val="TDC3"/>
            <w:rPr>
              <w:rFonts w:asciiTheme="minorHAnsi" w:eastAsiaTheme="minorEastAsia" w:hAnsiTheme="minorHAnsi" w:cstheme="minorBidi"/>
              <w:noProof/>
              <w:szCs w:val="22"/>
              <w:lang w:eastAsia="es-MX"/>
            </w:rPr>
          </w:pPr>
          <w:hyperlink w:anchor="_Toc175586260" w:history="1">
            <w:r w:rsidR="00026454" w:rsidRPr="00DC19D6">
              <w:rPr>
                <w:rStyle w:val="Hipervnculo"/>
                <w:noProof/>
              </w:rPr>
              <w:t>f) Cierre de instrucción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_Toc175586260 \h </w:instrText>
            </w:r>
            <w:r w:rsidR="00026454" w:rsidRPr="00DC19D6">
              <w:rPr>
                <w:noProof/>
                <w:webHidden/>
              </w:rPr>
            </w:r>
            <w:r w:rsidR="00026454" w:rsidRPr="00DC19D6">
              <w:rPr>
                <w:noProof/>
                <w:webHidden/>
              </w:rPr>
              <w:fldChar w:fldCharType="separate"/>
            </w:r>
            <w:r w:rsidR="00F51362">
              <w:rPr>
                <w:noProof/>
                <w:webHidden/>
              </w:rPr>
              <w:t>7</w:t>
            </w:r>
            <w:r w:rsidR="00026454" w:rsidRPr="00DC19D6">
              <w:rPr>
                <w:noProof/>
                <w:webHidden/>
              </w:rPr>
              <w:fldChar w:fldCharType="end"/>
            </w:r>
          </w:hyperlink>
        </w:p>
        <w:p w14:paraId="4155A030" w14:textId="77777777" w:rsidR="00026454" w:rsidRPr="00DC19D6" w:rsidRDefault="009156B5">
          <w:pPr>
            <w:pStyle w:val="TDC1"/>
            <w:tabs>
              <w:tab w:val="right" w:leader="dot" w:pos="9034"/>
            </w:tabs>
            <w:rPr>
              <w:rFonts w:asciiTheme="minorHAnsi" w:eastAsiaTheme="minorEastAsia" w:hAnsiTheme="minorHAnsi" w:cstheme="minorBidi"/>
              <w:noProof/>
              <w:szCs w:val="22"/>
              <w:lang w:eastAsia="es-MX"/>
            </w:rPr>
          </w:pPr>
          <w:hyperlink w:anchor="_Toc175586261" w:history="1">
            <w:r w:rsidR="00026454" w:rsidRPr="00DC19D6">
              <w:rPr>
                <w:rStyle w:val="Hipervnculo"/>
                <w:rFonts w:eastAsiaTheme="minorHAnsi"/>
                <w:noProof/>
                <w:lang w:eastAsia="en-US"/>
              </w:rPr>
              <w:t>CONSIDERANDOS</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_Toc175586261 \h </w:instrText>
            </w:r>
            <w:r w:rsidR="00026454" w:rsidRPr="00DC19D6">
              <w:rPr>
                <w:noProof/>
                <w:webHidden/>
              </w:rPr>
            </w:r>
            <w:r w:rsidR="00026454" w:rsidRPr="00DC19D6">
              <w:rPr>
                <w:noProof/>
                <w:webHidden/>
              </w:rPr>
              <w:fldChar w:fldCharType="separate"/>
            </w:r>
            <w:r w:rsidR="00F51362">
              <w:rPr>
                <w:noProof/>
                <w:webHidden/>
              </w:rPr>
              <w:t>7</w:t>
            </w:r>
            <w:r w:rsidR="00026454" w:rsidRPr="00DC19D6">
              <w:rPr>
                <w:noProof/>
                <w:webHidden/>
              </w:rPr>
              <w:fldChar w:fldCharType="end"/>
            </w:r>
          </w:hyperlink>
        </w:p>
        <w:p w14:paraId="0CEF1C85" w14:textId="77777777" w:rsidR="00026454" w:rsidRPr="00DC19D6" w:rsidRDefault="009156B5">
          <w:pPr>
            <w:pStyle w:val="TDC2"/>
            <w:rPr>
              <w:rFonts w:asciiTheme="minorHAnsi" w:eastAsiaTheme="minorEastAsia" w:hAnsiTheme="minorHAnsi" w:cstheme="minorBidi"/>
              <w:noProof/>
              <w:szCs w:val="22"/>
              <w:lang w:eastAsia="es-MX"/>
            </w:rPr>
          </w:pPr>
          <w:hyperlink w:anchor="_Toc175586262" w:history="1">
            <w:r w:rsidR="00026454" w:rsidRPr="00DC19D6">
              <w:rPr>
                <w:rStyle w:val="Hipervnculo"/>
                <w:rFonts w:eastAsia="Batang"/>
                <w:noProof/>
              </w:rPr>
              <w:t>PRIMERO. Procedibilidad</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_Toc175586262 \h </w:instrText>
            </w:r>
            <w:r w:rsidR="00026454" w:rsidRPr="00DC19D6">
              <w:rPr>
                <w:noProof/>
                <w:webHidden/>
              </w:rPr>
            </w:r>
            <w:r w:rsidR="00026454" w:rsidRPr="00DC19D6">
              <w:rPr>
                <w:noProof/>
                <w:webHidden/>
              </w:rPr>
              <w:fldChar w:fldCharType="separate"/>
            </w:r>
            <w:r w:rsidR="00F51362">
              <w:rPr>
                <w:noProof/>
                <w:webHidden/>
              </w:rPr>
              <w:t>8</w:t>
            </w:r>
            <w:r w:rsidR="00026454" w:rsidRPr="00DC19D6">
              <w:rPr>
                <w:noProof/>
                <w:webHidden/>
              </w:rPr>
              <w:fldChar w:fldCharType="end"/>
            </w:r>
          </w:hyperlink>
        </w:p>
        <w:p w14:paraId="4C25CDF1" w14:textId="77777777" w:rsidR="00026454" w:rsidRPr="00DC19D6" w:rsidRDefault="009156B5">
          <w:pPr>
            <w:pStyle w:val="TDC3"/>
            <w:rPr>
              <w:rFonts w:asciiTheme="minorHAnsi" w:eastAsiaTheme="minorEastAsia" w:hAnsiTheme="minorHAnsi" w:cstheme="minorBidi"/>
              <w:noProof/>
              <w:szCs w:val="22"/>
              <w:lang w:eastAsia="es-MX"/>
            </w:rPr>
          </w:pPr>
          <w:hyperlink w:anchor="_Toc175586263" w:history="1">
            <w:r w:rsidR="00026454" w:rsidRPr="00DC19D6">
              <w:rPr>
                <w:rStyle w:val="Hipervnculo"/>
                <w:noProof/>
              </w:rPr>
              <w:t>a) Competencia del Instituto</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_Toc175586263 \h </w:instrText>
            </w:r>
            <w:r w:rsidR="00026454" w:rsidRPr="00DC19D6">
              <w:rPr>
                <w:noProof/>
                <w:webHidden/>
              </w:rPr>
            </w:r>
            <w:r w:rsidR="00026454" w:rsidRPr="00DC19D6">
              <w:rPr>
                <w:noProof/>
                <w:webHidden/>
              </w:rPr>
              <w:fldChar w:fldCharType="separate"/>
            </w:r>
            <w:r w:rsidR="00F51362">
              <w:rPr>
                <w:noProof/>
                <w:webHidden/>
              </w:rPr>
              <w:t>8</w:t>
            </w:r>
            <w:r w:rsidR="00026454" w:rsidRPr="00DC19D6">
              <w:rPr>
                <w:noProof/>
                <w:webHidden/>
              </w:rPr>
              <w:fldChar w:fldCharType="end"/>
            </w:r>
          </w:hyperlink>
        </w:p>
        <w:p w14:paraId="615A7628" w14:textId="77777777" w:rsidR="00026454" w:rsidRPr="00DC19D6" w:rsidRDefault="009156B5">
          <w:pPr>
            <w:pStyle w:val="TDC3"/>
            <w:rPr>
              <w:rFonts w:asciiTheme="minorHAnsi" w:eastAsiaTheme="minorEastAsia" w:hAnsiTheme="minorHAnsi" w:cstheme="minorBidi"/>
              <w:noProof/>
              <w:szCs w:val="22"/>
              <w:lang w:eastAsia="es-MX"/>
            </w:rPr>
          </w:pPr>
          <w:hyperlink w:anchor="_Toc175586264" w:history="1">
            <w:r w:rsidR="00026454" w:rsidRPr="00DC19D6">
              <w:rPr>
                <w:rStyle w:val="Hipervnculo"/>
                <w:noProof/>
              </w:rPr>
              <w:t>b) Legitimidad de la parte recurrente</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_Toc175586264 \h </w:instrText>
            </w:r>
            <w:r w:rsidR="00026454" w:rsidRPr="00DC19D6">
              <w:rPr>
                <w:noProof/>
                <w:webHidden/>
              </w:rPr>
            </w:r>
            <w:r w:rsidR="00026454" w:rsidRPr="00DC19D6">
              <w:rPr>
                <w:noProof/>
                <w:webHidden/>
              </w:rPr>
              <w:fldChar w:fldCharType="separate"/>
            </w:r>
            <w:r w:rsidR="00F51362">
              <w:rPr>
                <w:noProof/>
                <w:webHidden/>
              </w:rPr>
              <w:t>8</w:t>
            </w:r>
            <w:r w:rsidR="00026454" w:rsidRPr="00DC19D6">
              <w:rPr>
                <w:noProof/>
                <w:webHidden/>
              </w:rPr>
              <w:fldChar w:fldCharType="end"/>
            </w:r>
          </w:hyperlink>
        </w:p>
        <w:p w14:paraId="6673D40A" w14:textId="77777777" w:rsidR="00026454" w:rsidRPr="00DC19D6" w:rsidRDefault="009156B5">
          <w:pPr>
            <w:pStyle w:val="TDC3"/>
            <w:rPr>
              <w:rFonts w:asciiTheme="minorHAnsi" w:eastAsiaTheme="minorEastAsia" w:hAnsiTheme="minorHAnsi" w:cstheme="minorBidi"/>
              <w:noProof/>
              <w:szCs w:val="22"/>
              <w:lang w:eastAsia="es-MX"/>
            </w:rPr>
          </w:pPr>
          <w:hyperlink w:anchor="_Toc175586265" w:history="1">
            <w:r w:rsidR="00026454" w:rsidRPr="00DC19D6">
              <w:rPr>
                <w:rStyle w:val="Hipervnculo"/>
                <w:rFonts w:eastAsia="Calibri"/>
                <w:noProof/>
                <w:lang w:eastAsia="es-ES_tradnl"/>
              </w:rPr>
              <w:t>c) Plazo para interponer el recurso</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_Toc175586265 \h </w:instrText>
            </w:r>
            <w:r w:rsidR="00026454" w:rsidRPr="00DC19D6">
              <w:rPr>
                <w:noProof/>
                <w:webHidden/>
              </w:rPr>
            </w:r>
            <w:r w:rsidR="00026454" w:rsidRPr="00DC19D6">
              <w:rPr>
                <w:noProof/>
                <w:webHidden/>
              </w:rPr>
              <w:fldChar w:fldCharType="separate"/>
            </w:r>
            <w:r w:rsidR="00F51362">
              <w:rPr>
                <w:noProof/>
                <w:webHidden/>
              </w:rPr>
              <w:t>8</w:t>
            </w:r>
            <w:r w:rsidR="00026454" w:rsidRPr="00DC19D6">
              <w:rPr>
                <w:noProof/>
                <w:webHidden/>
              </w:rPr>
              <w:fldChar w:fldCharType="end"/>
            </w:r>
          </w:hyperlink>
        </w:p>
        <w:p w14:paraId="049A78F9" w14:textId="77777777" w:rsidR="00026454" w:rsidRPr="00DC19D6" w:rsidRDefault="009156B5">
          <w:pPr>
            <w:pStyle w:val="TDC3"/>
            <w:rPr>
              <w:rFonts w:asciiTheme="minorHAnsi" w:eastAsiaTheme="minorEastAsia" w:hAnsiTheme="minorHAnsi" w:cstheme="minorBidi"/>
              <w:noProof/>
              <w:szCs w:val="22"/>
              <w:lang w:eastAsia="es-MX"/>
            </w:rPr>
          </w:pPr>
          <w:hyperlink w:anchor="_Toc175586266" w:history="1">
            <w:r w:rsidR="00026454" w:rsidRPr="00DC19D6">
              <w:rPr>
                <w:rStyle w:val="Hipervnculo"/>
                <w:rFonts w:eastAsia="Calibri"/>
                <w:noProof/>
                <w:lang w:eastAsia="es-ES_tradnl"/>
              </w:rPr>
              <w:t>d) Causal de Procedencia</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_Toc175586266 \h </w:instrText>
            </w:r>
            <w:r w:rsidR="00026454" w:rsidRPr="00DC19D6">
              <w:rPr>
                <w:noProof/>
                <w:webHidden/>
              </w:rPr>
            </w:r>
            <w:r w:rsidR="00026454" w:rsidRPr="00DC19D6">
              <w:rPr>
                <w:noProof/>
                <w:webHidden/>
              </w:rPr>
              <w:fldChar w:fldCharType="separate"/>
            </w:r>
            <w:r w:rsidR="00F51362">
              <w:rPr>
                <w:noProof/>
                <w:webHidden/>
              </w:rPr>
              <w:t>9</w:t>
            </w:r>
            <w:r w:rsidR="00026454" w:rsidRPr="00DC19D6">
              <w:rPr>
                <w:noProof/>
                <w:webHidden/>
              </w:rPr>
              <w:fldChar w:fldCharType="end"/>
            </w:r>
          </w:hyperlink>
        </w:p>
        <w:p w14:paraId="351FAD2B" w14:textId="77777777" w:rsidR="00026454" w:rsidRPr="00DC19D6" w:rsidRDefault="009156B5">
          <w:pPr>
            <w:pStyle w:val="TDC3"/>
            <w:rPr>
              <w:rFonts w:asciiTheme="minorHAnsi" w:eastAsiaTheme="minorEastAsia" w:hAnsiTheme="minorHAnsi" w:cstheme="minorBidi"/>
              <w:noProof/>
              <w:szCs w:val="22"/>
              <w:lang w:eastAsia="es-MX"/>
            </w:rPr>
          </w:pPr>
          <w:hyperlink w:anchor="_Toc175586267" w:history="1">
            <w:r w:rsidR="00026454" w:rsidRPr="00DC19D6">
              <w:rPr>
                <w:rStyle w:val="Hipervnculo"/>
                <w:noProof/>
              </w:rPr>
              <w:t>e) Requisitos formales para la interposición del recurso</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_Toc175586267 \h </w:instrText>
            </w:r>
            <w:r w:rsidR="00026454" w:rsidRPr="00DC19D6">
              <w:rPr>
                <w:noProof/>
                <w:webHidden/>
              </w:rPr>
            </w:r>
            <w:r w:rsidR="00026454" w:rsidRPr="00DC19D6">
              <w:rPr>
                <w:noProof/>
                <w:webHidden/>
              </w:rPr>
              <w:fldChar w:fldCharType="separate"/>
            </w:r>
            <w:r w:rsidR="00F51362">
              <w:rPr>
                <w:noProof/>
                <w:webHidden/>
              </w:rPr>
              <w:t>9</w:t>
            </w:r>
            <w:r w:rsidR="00026454" w:rsidRPr="00DC19D6">
              <w:rPr>
                <w:noProof/>
                <w:webHidden/>
              </w:rPr>
              <w:fldChar w:fldCharType="end"/>
            </w:r>
          </w:hyperlink>
        </w:p>
        <w:p w14:paraId="1B4313C1" w14:textId="77777777" w:rsidR="00026454" w:rsidRPr="00DC19D6" w:rsidRDefault="009156B5">
          <w:pPr>
            <w:pStyle w:val="TDC2"/>
            <w:rPr>
              <w:rFonts w:asciiTheme="minorHAnsi" w:eastAsiaTheme="minorEastAsia" w:hAnsiTheme="minorHAnsi" w:cstheme="minorBidi"/>
              <w:noProof/>
              <w:szCs w:val="22"/>
              <w:lang w:eastAsia="es-MX"/>
            </w:rPr>
          </w:pPr>
          <w:hyperlink w:anchor="_Toc175586268" w:history="1">
            <w:r w:rsidR="00026454" w:rsidRPr="00DC19D6">
              <w:rPr>
                <w:rStyle w:val="Hipervnculo"/>
                <w:noProof/>
              </w:rPr>
              <w:t>SEGUNDO. Estudio de Fondo</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_Toc175586268 \h </w:instrText>
            </w:r>
            <w:r w:rsidR="00026454" w:rsidRPr="00DC19D6">
              <w:rPr>
                <w:noProof/>
                <w:webHidden/>
              </w:rPr>
            </w:r>
            <w:r w:rsidR="00026454" w:rsidRPr="00DC19D6">
              <w:rPr>
                <w:noProof/>
                <w:webHidden/>
              </w:rPr>
              <w:fldChar w:fldCharType="separate"/>
            </w:r>
            <w:r w:rsidR="00F51362">
              <w:rPr>
                <w:noProof/>
                <w:webHidden/>
              </w:rPr>
              <w:t>10</w:t>
            </w:r>
            <w:r w:rsidR="00026454" w:rsidRPr="00DC19D6">
              <w:rPr>
                <w:noProof/>
                <w:webHidden/>
              </w:rPr>
              <w:fldChar w:fldCharType="end"/>
            </w:r>
          </w:hyperlink>
        </w:p>
        <w:p w14:paraId="77599160" w14:textId="77777777" w:rsidR="00026454" w:rsidRPr="00DC19D6" w:rsidRDefault="009156B5">
          <w:pPr>
            <w:pStyle w:val="TDC3"/>
            <w:rPr>
              <w:rFonts w:asciiTheme="minorHAnsi" w:eastAsiaTheme="minorEastAsia" w:hAnsiTheme="minorHAnsi" w:cstheme="minorBidi"/>
              <w:noProof/>
              <w:szCs w:val="22"/>
              <w:lang w:eastAsia="es-MX"/>
            </w:rPr>
          </w:pPr>
          <w:hyperlink w:anchor="_Toc175586269" w:history="1">
            <w:r w:rsidR="00026454" w:rsidRPr="00DC19D6">
              <w:rPr>
                <w:rStyle w:val="Hipervnculo"/>
                <w:noProof/>
              </w:rPr>
              <w:t>a) Mandato de transparencia y responsabilidad del Sujeto Obligado</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_Toc175586269 \h </w:instrText>
            </w:r>
            <w:r w:rsidR="00026454" w:rsidRPr="00DC19D6">
              <w:rPr>
                <w:noProof/>
                <w:webHidden/>
              </w:rPr>
            </w:r>
            <w:r w:rsidR="00026454" w:rsidRPr="00DC19D6">
              <w:rPr>
                <w:noProof/>
                <w:webHidden/>
              </w:rPr>
              <w:fldChar w:fldCharType="separate"/>
            </w:r>
            <w:r w:rsidR="00F51362">
              <w:rPr>
                <w:noProof/>
                <w:webHidden/>
              </w:rPr>
              <w:t>10</w:t>
            </w:r>
            <w:r w:rsidR="00026454" w:rsidRPr="00DC19D6">
              <w:rPr>
                <w:noProof/>
                <w:webHidden/>
              </w:rPr>
              <w:fldChar w:fldCharType="end"/>
            </w:r>
          </w:hyperlink>
        </w:p>
        <w:p w14:paraId="422B0DE8" w14:textId="77777777" w:rsidR="00026454" w:rsidRPr="00DC19D6" w:rsidRDefault="009156B5">
          <w:pPr>
            <w:pStyle w:val="TDC3"/>
            <w:rPr>
              <w:rFonts w:asciiTheme="minorHAnsi" w:eastAsiaTheme="minorEastAsia" w:hAnsiTheme="minorHAnsi" w:cstheme="minorBidi"/>
              <w:noProof/>
              <w:szCs w:val="22"/>
              <w:lang w:eastAsia="es-MX"/>
            </w:rPr>
          </w:pPr>
          <w:hyperlink w:anchor="_Toc175586270" w:history="1">
            <w:r w:rsidR="00026454" w:rsidRPr="00DC19D6">
              <w:rPr>
                <w:rStyle w:val="Hipervnculo"/>
                <w:rFonts w:eastAsia="Calibri"/>
                <w:noProof/>
                <w:lang w:eastAsia="es-ES_tradnl"/>
              </w:rPr>
              <w:t>b) Controversia a resolver</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_Toc175586270 \h </w:instrText>
            </w:r>
            <w:r w:rsidR="00026454" w:rsidRPr="00DC19D6">
              <w:rPr>
                <w:noProof/>
                <w:webHidden/>
              </w:rPr>
            </w:r>
            <w:r w:rsidR="00026454" w:rsidRPr="00DC19D6">
              <w:rPr>
                <w:noProof/>
                <w:webHidden/>
              </w:rPr>
              <w:fldChar w:fldCharType="separate"/>
            </w:r>
            <w:r w:rsidR="00F51362">
              <w:rPr>
                <w:noProof/>
                <w:webHidden/>
              </w:rPr>
              <w:t>12</w:t>
            </w:r>
            <w:r w:rsidR="00026454" w:rsidRPr="00DC19D6">
              <w:rPr>
                <w:noProof/>
                <w:webHidden/>
              </w:rPr>
              <w:fldChar w:fldCharType="end"/>
            </w:r>
          </w:hyperlink>
        </w:p>
        <w:p w14:paraId="08C144D7" w14:textId="77777777" w:rsidR="00026454" w:rsidRPr="00DC19D6" w:rsidRDefault="009156B5">
          <w:pPr>
            <w:pStyle w:val="TDC3"/>
            <w:rPr>
              <w:rFonts w:asciiTheme="minorHAnsi" w:eastAsiaTheme="minorEastAsia" w:hAnsiTheme="minorHAnsi" w:cstheme="minorBidi"/>
              <w:noProof/>
              <w:szCs w:val="22"/>
              <w:lang w:eastAsia="es-MX"/>
            </w:rPr>
          </w:pPr>
          <w:hyperlink w:anchor="_Toc175586271" w:history="1">
            <w:r w:rsidR="00026454" w:rsidRPr="00DC19D6">
              <w:rPr>
                <w:rStyle w:val="Hipervnculo"/>
                <w:noProof/>
              </w:rPr>
              <w:t>c) Estudio de la controversia</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_Toc175586271 \h </w:instrText>
            </w:r>
            <w:r w:rsidR="00026454" w:rsidRPr="00DC19D6">
              <w:rPr>
                <w:noProof/>
                <w:webHidden/>
              </w:rPr>
            </w:r>
            <w:r w:rsidR="00026454" w:rsidRPr="00DC19D6">
              <w:rPr>
                <w:noProof/>
                <w:webHidden/>
              </w:rPr>
              <w:fldChar w:fldCharType="separate"/>
            </w:r>
            <w:r w:rsidR="00F51362">
              <w:rPr>
                <w:noProof/>
                <w:webHidden/>
              </w:rPr>
              <w:t>14</w:t>
            </w:r>
            <w:r w:rsidR="00026454" w:rsidRPr="00DC19D6">
              <w:rPr>
                <w:noProof/>
                <w:webHidden/>
              </w:rPr>
              <w:fldChar w:fldCharType="end"/>
            </w:r>
          </w:hyperlink>
        </w:p>
        <w:p w14:paraId="797AB17C" w14:textId="77777777" w:rsidR="00026454" w:rsidRPr="00DC19D6" w:rsidRDefault="009156B5">
          <w:pPr>
            <w:pStyle w:val="TDC3"/>
            <w:rPr>
              <w:rFonts w:asciiTheme="minorHAnsi" w:eastAsiaTheme="minorEastAsia" w:hAnsiTheme="minorHAnsi" w:cstheme="minorBidi"/>
              <w:noProof/>
              <w:szCs w:val="22"/>
              <w:lang w:eastAsia="es-MX"/>
            </w:rPr>
          </w:pPr>
          <w:hyperlink w:anchor="_Toc175586272" w:history="1">
            <w:r w:rsidR="00026454" w:rsidRPr="00DC19D6">
              <w:rPr>
                <w:rStyle w:val="Hipervnculo"/>
                <w:noProof/>
              </w:rPr>
              <w:t>d) Versión pública</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_Toc175586272 \h </w:instrText>
            </w:r>
            <w:r w:rsidR="00026454" w:rsidRPr="00DC19D6">
              <w:rPr>
                <w:noProof/>
                <w:webHidden/>
              </w:rPr>
            </w:r>
            <w:r w:rsidR="00026454" w:rsidRPr="00DC19D6">
              <w:rPr>
                <w:noProof/>
                <w:webHidden/>
              </w:rPr>
              <w:fldChar w:fldCharType="separate"/>
            </w:r>
            <w:r w:rsidR="00F51362">
              <w:rPr>
                <w:noProof/>
                <w:webHidden/>
              </w:rPr>
              <w:t>25</w:t>
            </w:r>
            <w:r w:rsidR="00026454" w:rsidRPr="00DC19D6">
              <w:rPr>
                <w:noProof/>
                <w:webHidden/>
              </w:rPr>
              <w:fldChar w:fldCharType="end"/>
            </w:r>
          </w:hyperlink>
        </w:p>
        <w:p w14:paraId="72F7E9E4" w14:textId="77777777" w:rsidR="00026454" w:rsidRPr="00DC19D6" w:rsidRDefault="009156B5">
          <w:pPr>
            <w:pStyle w:val="TDC3"/>
            <w:rPr>
              <w:rFonts w:asciiTheme="minorHAnsi" w:eastAsiaTheme="minorEastAsia" w:hAnsiTheme="minorHAnsi" w:cstheme="minorBidi"/>
              <w:noProof/>
              <w:szCs w:val="22"/>
              <w:lang w:eastAsia="es-MX"/>
            </w:rPr>
          </w:pPr>
          <w:hyperlink w:anchor="_Toc175586273" w:history="1">
            <w:r w:rsidR="00026454" w:rsidRPr="00DC19D6">
              <w:rPr>
                <w:rStyle w:val="Hipervnculo"/>
                <w:rFonts w:eastAsia="Calibri"/>
                <w:noProof/>
              </w:rPr>
              <w:t xml:space="preserve">e) </w:t>
            </w:r>
            <w:r w:rsidR="00026454" w:rsidRPr="00DC19D6">
              <w:rPr>
                <w:rStyle w:val="Hipervnculo"/>
                <w:noProof/>
              </w:rPr>
              <w:t>Conclusión</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_Toc175586273 \h </w:instrText>
            </w:r>
            <w:r w:rsidR="00026454" w:rsidRPr="00DC19D6">
              <w:rPr>
                <w:noProof/>
                <w:webHidden/>
              </w:rPr>
            </w:r>
            <w:r w:rsidR="00026454" w:rsidRPr="00DC19D6">
              <w:rPr>
                <w:noProof/>
                <w:webHidden/>
              </w:rPr>
              <w:fldChar w:fldCharType="separate"/>
            </w:r>
            <w:r w:rsidR="00F51362">
              <w:rPr>
                <w:noProof/>
                <w:webHidden/>
              </w:rPr>
              <w:t>36</w:t>
            </w:r>
            <w:r w:rsidR="00026454" w:rsidRPr="00DC19D6">
              <w:rPr>
                <w:noProof/>
                <w:webHidden/>
              </w:rPr>
              <w:fldChar w:fldCharType="end"/>
            </w:r>
          </w:hyperlink>
        </w:p>
        <w:p w14:paraId="2BD4B5CF" w14:textId="77777777" w:rsidR="00026454" w:rsidRPr="00DC19D6" w:rsidRDefault="009156B5">
          <w:pPr>
            <w:pStyle w:val="TDC1"/>
            <w:tabs>
              <w:tab w:val="right" w:leader="dot" w:pos="9034"/>
            </w:tabs>
            <w:rPr>
              <w:rFonts w:asciiTheme="minorHAnsi" w:eastAsiaTheme="minorEastAsia" w:hAnsiTheme="minorHAnsi" w:cstheme="minorBidi"/>
              <w:noProof/>
              <w:szCs w:val="22"/>
              <w:lang w:eastAsia="es-MX"/>
            </w:rPr>
          </w:pPr>
          <w:hyperlink w:anchor="_Toc175586274" w:history="1">
            <w:r w:rsidR="00026454" w:rsidRPr="00DC19D6">
              <w:rPr>
                <w:rStyle w:val="Hipervnculo"/>
                <w:noProof/>
              </w:rPr>
              <w:t>RESUELVE</w:t>
            </w:r>
            <w:r w:rsidR="00026454" w:rsidRPr="00DC19D6">
              <w:rPr>
                <w:noProof/>
                <w:webHidden/>
              </w:rPr>
              <w:tab/>
            </w:r>
            <w:r w:rsidR="00026454" w:rsidRPr="00DC19D6">
              <w:rPr>
                <w:noProof/>
                <w:webHidden/>
              </w:rPr>
              <w:fldChar w:fldCharType="begin"/>
            </w:r>
            <w:r w:rsidR="00026454" w:rsidRPr="00DC19D6">
              <w:rPr>
                <w:noProof/>
                <w:webHidden/>
              </w:rPr>
              <w:instrText xml:space="preserve"> PAGEREF _Toc175586274 \h </w:instrText>
            </w:r>
            <w:r w:rsidR="00026454" w:rsidRPr="00DC19D6">
              <w:rPr>
                <w:noProof/>
                <w:webHidden/>
              </w:rPr>
            </w:r>
            <w:r w:rsidR="00026454" w:rsidRPr="00DC19D6">
              <w:rPr>
                <w:noProof/>
                <w:webHidden/>
              </w:rPr>
              <w:fldChar w:fldCharType="separate"/>
            </w:r>
            <w:r w:rsidR="00F51362">
              <w:rPr>
                <w:noProof/>
                <w:webHidden/>
              </w:rPr>
              <w:t>37</w:t>
            </w:r>
            <w:r w:rsidR="00026454" w:rsidRPr="00DC19D6">
              <w:rPr>
                <w:noProof/>
                <w:webHidden/>
              </w:rPr>
              <w:fldChar w:fldCharType="end"/>
            </w:r>
          </w:hyperlink>
        </w:p>
        <w:p w14:paraId="0C82FD7A" w14:textId="0A98B40F" w:rsidR="009B2945" w:rsidRPr="00DC19D6" w:rsidRDefault="00AE3DA7" w:rsidP="00A0449B">
          <w:pPr>
            <w:pStyle w:val="TDC1"/>
            <w:tabs>
              <w:tab w:val="right" w:leader="dot" w:pos="9034"/>
            </w:tabs>
            <w:rPr>
              <w:b/>
              <w:bCs/>
              <w:szCs w:val="22"/>
              <w:lang w:val="es-ES"/>
            </w:rPr>
          </w:pPr>
          <w:r w:rsidRPr="00DC19D6">
            <w:rPr>
              <w:b/>
              <w:bCs/>
              <w:szCs w:val="22"/>
              <w:lang w:val="es-ES"/>
            </w:rPr>
            <w:fldChar w:fldCharType="end"/>
          </w:r>
        </w:p>
      </w:sdtContent>
    </w:sdt>
    <w:p w14:paraId="603A07E2" w14:textId="77777777" w:rsidR="00646436" w:rsidRPr="00DC19D6" w:rsidRDefault="00646436" w:rsidP="00664420">
      <w:pPr>
        <w:rPr>
          <w:rFonts w:cs="Tahoma"/>
          <w:szCs w:val="22"/>
        </w:rPr>
        <w:sectPr w:rsidR="00646436" w:rsidRPr="00DC19D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0FF868E" w:rsidR="00775BFC" w:rsidRPr="00DC19D6" w:rsidRDefault="00775BFC" w:rsidP="00775BFC">
      <w:pPr>
        <w:rPr>
          <w:b/>
          <w:szCs w:val="22"/>
        </w:rPr>
      </w:pPr>
      <w:r w:rsidRPr="00DC19D6">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E57D9" w:rsidRPr="00DC19D6">
        <w:rPr>
          <w:b/>
          <w:szCs w:val="22"/>
        </w:rPr>
        <w:t>veinti</w:t>
      </w:r>
      <w:r w:rsidR="003A552F" w:rsidRPr="00DC19D6">
        <w:rPr>
          <w:b/>
          <w:szCs w:val="22"/>
        </w:rPr>
        <w:t>ocho</w:t>
      </w:r>
      <w:r w:rsidR="00ED7170" w:rsidRPr="00DC19D6">
        <w:rPr>
          <w:b/>
          <w:szCs w:val="22"/>
        </w:rPr>
        <w:t xml:space="preserve"> de </w:t>
      </w:r>
      <w:r w:rsidR="00E33714" w:rsidRPr="00DC19D6">
        <w:rPr>
          <w:b/>
          <w:szCs w:val="22"/>
        </w:rPr>
        <w:t>agosto</w:t>
      </w:r>
      <w:r w:rsidR="00ED7170" w:rsidRPr="00DC19D6">
        <w:rPr>
          <w:b/>
          <w:szCs w:val="22"/>
        </w:rPr>
        <w:t xml:space="preserve"> de dos mil veinticuatro.</w:t>
      </w:r>
    </w:p>
    <w:p w14:paraId="0AF3AAC4" w14:textId="77777777" w:rsidR="00775BFC" w:rsidRPr="00DC19D6" w:rsidRDefault="00775BFC" w:rsidP="00775BFC">
      <w:pPr>
        <w:rPr>
          <w:szCs w:val="22"/>
        </w:rPr>
      </w:pPr>
    </w:p>
    <w:p w14:paraId="40EAE038" w14:textId="17EE6222" w:rsidR="00775BFC" w:rsidRPr="00DC19D6" w:rsidRDefault="00775BFC" w:rsidP="00775BFC">
      <w:pPr>
        <w:rPr>
          <w:szCs w:val="22"/>
        </w:rPr>
      </w:pPr>
      <w:r w:rsidRPr="00DC19D6">
        <w:rPr>
          <w:b/>
          <w:szCs w:val="22"/>
        </w:rPr>
        <w:t xml:space="preserve">VISTO </w:t>
      </w:r>
      <w:r w:rsidRPr="00DC19D6">
        <w:rPr>
          <w:szCs w:val="22"/>
        </w:rPr>
        <w:t xml:space="preserve">el expediente formado con motivo del Recurso de Revisión </w:t>
      </w:r>
      <w:r w:rsidR="00427AFE" w:rsidRPr="00DC19D6">
        <w:rPr>
          <w:rFonts w:eastAsia="Calibri"/>
          <w:b/>
          <w:szCs w:val="22"/>
          <w:lang w:eastAsia="en-US"/>
        </w:rPr>
        <w:t>04192/INFOEM/IP/RR/2024</w:t>
      </w:r>
      <w:r w:rsidR="005314A3" w:rsidRPr="00DC19D6">
        <w:rPr>
          <w:rFonts w:eastAsia="Calibri"/>
          <w:b/>
          <w:szCs w:val="22"/>
          <w:lang w:eastAsia="en-US"/>
        </w:rPr>
        <w:t xml:space="preserve"> </w:t>
      </w:r>
      <w:r w:rsidRPr="00DC19D6">
        <w:rPr>
          <w:szCs w:val="22"/>
        </w:rPr>
        <w:t xml:space="preserve">interpuesto por </w:t>
      </w:r>
      <w:r w:rsidR="00427AFE" w:rsidRPr="00DC19D6">
        <w:rPr>
          <w:b/>
          <w:bCs/>
          <w:szCs w:val="22"/>
        </w:rPr>
        <w:t>una persona que no se identificó</w:t>
      </w:r>
      <w:r w:rsidRPr="00DC19D6">
        <w:rPr>
          <w:szCs w:val="22"/>
        </w:rPr>
        <w:t xml:space="preserve">, a quien en lo subsecuente se le denominará </w:t>
      </w:r>
      <w:r w:rsidRPr="00DC19D6">
        <w:rPr>
          <w:b/>
          <w:bCs/>
          <w:szCs w:val="22"/>
        </w:rPr>
        <w:t>LA PARTE RECURRENTE</w:t>
      </w:r>
      <w:r w:rsidRPr="00DC19D6">
        <w:rPr>
          <w:szCs w:val="22"/>
        </w:rPr>
        <w:t>, en contra de la respuesta emitida por</w:t>
      </w:r>
      <w:r w:rsidR="00A0449B" w:rsidRPr="00DC19D6">
        <w:rPr>
          <w:szCs w:val="22"/>
        </w:rPr>
        <w:t xml:space="preserve"> </w:t>
      </w:r>
      <w:r w:rsidR="002E2C99" w:rsidRPr="00DC19D6">
        <w:rPr>
          <w:szCs w:val="22"/>
        </w:rPr>
        <w:t>l</w:t>
      </w:r>
      <w:r w:rsidR="00427AFE" w:rsidRPr="00DC19D6">
        <w:rPr>
          <w:szCs w:val="22"/>
        </w:rPr>
        <w:t>a</w:t>
      </w:r>
      <w:r w:rsidR="000748DF" w:rsidRPr="00DC19D6">
        <w:rPr>
          <w:szCs w:val="22"/>
        </w:rPr>
        <w:t xml:space="preserve"> </w:t>
      </w:r>
      <w:r w:rsidR="00427AFE" w:rsidRPr="00DC19D6">
        <w:rPr>
          <w:b/>
          <w:bCs/>
          <w:szCs w:val="22"/>
        </w:rPr>
        <w:t>Comisión del Agua del Estado de México</w:t>
      </w:r>
      <w:r w:rsidRPr="00DC19D6">
        <w:rPr>
          <w:szCs w:val="22"/>
        </w:rPr>
        <w:t xml:space="preserve">, en adelante </w:t>
      </w:r>
      <w:r w:rsidRPr="00DC19D6">
        <w:rPr>
          <w:b/>
          <w:bCs/>
          <w:szCs w:val="22"/>
        </w:rPr>
        <w:t>EL SUJETO OBLIGADO</w:t>
      </w:r>
      <w:r w:rsidRPr="00DC19D6">
        <w:rPr>
          <w:rFonts w:eastAsia="Calibri"/>
          <w:szCs w:val="22"/>
          <w:lang w:eastAsia="en-US"/>
        </w:rPr>
        <w:t xml:space="preserve">, </w:t>
      </w:r>
      <w:r w:rsidRPr="00DC19D6">
        <w:rPr>
          <w:szCs w:val="22"/>
        </w:rPr>
        <w:t>se emite la presente Resolución con base en los Antecedentes y Considerandos que se exponen a continuación:</w:t>
      </w:r>
    </w:p>
    <w:p w14:paraId="2116968C" w14:textId="77777777" w:rsidR="00775BFC" w:rsidRPr="00DC19D6" w:rsidRDefault="00775BFC" w:rsidP="00775BFC">
      <w:pPr>
        <w:rPr>
          <w:szCs w:val="22"/>
        </w:rPr>
      </w:pPr>
    </w:p>
    <w:p w14:paraId="5A444FB6" w14:textId="639D3567" w:rsidR="00664420" w:rsidRPr="00DC19D6" w:rsidRDefault="00664420" w:rsidP="00664420">
      <w:pPr>
        <w:pStyle w:val="Ttulo1"/>
        <w:rPr>
          <w:szCs w:val="22"/>
        </w:rPr>
      </w:pPr>
      <w:bookmarkStart w:id="2" w:name="_Toc175586249"/>
      <w:r w:rsidRPr="00DC19D6">
        <w:rPr>
          <w:szCs w:val="22"/>
        </w:rPr>
        <w:t>ANTECEDENTES</w:t>
      </w:r>
      <w:bookmarkEnd w:id="2"/>
    </w:p>
    <w:p w14:paraId="7CE9E53D" w14:textId="77777777" w:rsidR="00E37A3F" w:rsidRPr="00DC19D6" w:rsidRDefault="00E37A3F" w:rsidP="00E37A3F">
      <w:pPr>
        <w:rPr>
          <w:szCs w:val="22"/>
        </w:rPr>
      </w:pPr>
    </w:p>
    <w:p w14:paraId="09B2D38F" w14:textId="6E49D146" w:rsidR="00664420" w:rsidRPr="00DC19D6" w:rsidRDefault="00E37A3F" w:rsidP="00C80B14">
      <w:pPr>
        <w:pStyle w:val="Ttulo2"/>
        <w:rPr>
          <w:szCs w:val="22"/>
        </w:rPr>
      </w:pPr>
      <w:bookmarkStart w:id="3" w:name="_Toc175586250"/>
      <w:r w:rsidRPr="00DC19D6">
        <w:rPr>
          <w:szCs w:val="22"/>
        </w:rPr>
        <w:t>DE LA SOLICITUD DE INFORMACIÓN</w:t>
      </w:r>
      <w:bookmarkEnd w:id="3"/>
    </w:p>
    <w:p w14:paraId="7B7535DF" w14:textId="77777777" w:rsidR="00E37A3F" w:rsidRPr="00DC19D6" w:rsidRDefault="00E37A3F" w:rsidP="00E37A3F">
      <w:pPr>
        <w:rPr>
          <w:szCs w:val="22"/>
        </w:rPr>
      </w:pPr>
    </w:p>
    <w:p w14:paraId="2C6AD1A5" w14:textId="0405B3CD" w:rsidR="00664420" w:rsidRPr="00DC19D6" w:rsidRDefault="00E37A3F" w:rsidP="00E37A3F">
      <w:pPr>
        <w:pStyle w:val="Ttulo3"/>
        <w:rPr>
          <w:szCs w:val="22"/>
        </w:rPr>
      </w:pPr>
      <w:bookmarkStart w:id="4" w:name="_Toc175586251"/>
      <w:r w:rsidRPr="00DC19D6">
        <w:rPr>
          <w:szCs w:val="22"/>
        </w:rPr>
        <w:t xml:space="preserve">a) </w:t>
      </w:r>
      <w:r w:rsidR="006B10B0" w:rsidRPr="00DC19D6">
        <w:rPr>
          <w:szCs w:val="22"/>
        </w:rPr>
        <w:t>S</w:t>
      </w:r>
      <w:r w:rsidR="00664420" w:rsidRPr="00DC19D6">
        <w:rPr>
          <w:szCs w:val="22"/>
        </w:rPr>
        <w:t xml:space="preserve">olicitud de </w:t>
      </w:r>
      <w:r w:rsidR="006B10B0" w:rsidRPr="00DC19D6">
        <w:rPr>
          <w:szCs w:val="22"/>
        </w:rPr>
        <w:t>i</w:t>
      </w:r>
      <w:r w:rsidR="00664420" w:rsidRPr="00DC19D6">
        <w:rPr>
          <w:szCs w:val="22"/>
        </w:rPr>
        <w:t>nformación</w:t>
      </w:r>
      <w:bookmarkEnd w:id="4"/>
    </w:p>
    <w:p w14:paraId="06DCD29D" w14:textId="6FEF665F" w:rsidR="009A2D78" w:rsidRPr="00DC19D6" w:rsidRDefault="006B10B0" w:rsidP="000748DF">
      <w:pPr>
        <w:pStyle w:val="Prrafodelista"/>
        <w:tabs>
          <w:tab w:val="left" w:pos="851"/>
        </w:tabs>
        <w:ind w:left="0"/>
        <w:contextualSpacing w:val="0"/>
        <w:rPr>
          <w:rFonts w:cs="Tahoma"/>
          <w:szCs w:val="22"/>
        </w:rPr>
      </w:pPr>
      <w:r w:rsidRPr="00DC19D6">
        <w:rPr>
          <w:rFonts w:cs="Tahoma"/>
          <w:szCs w:val="22"/>
        </w:rPr>
        <w:t>El</w:t>
      </w:r>
      <w:r w:rsidR="00664420" w:rsidRPr="00DC19D6">
        <w:rPr>
          <w:rFonts w:cs="Tahoma"/>
          <w:szCs w:val="22"/>
        </w:rPr>
        <w:t xml:space="preserve"> </w:t>
      </w:r>
      <w:r w:rsidR="00427AFE" w:rsidRPr="00DC19D6">
        <w:rPr>
          <w:rFonts w:cs="Tahoma"/>
          <w:b/>
          <w:bCs/>
          <w:szCs w:val="22"/>
        </w:rPr>
        <w:t>seis de junio</w:t>
      </w:r>
      <w:r w:rsidR="00664420" w:rsidRPr="00DC19D6">
        <w:rPr>
          <w:rFonts w:cs="Tahoma"/>
          <w:b/>
          <w:bCs/>
          <w:szCs w:val="22"/>
        </w:rPr>
        <w:t xml:space="preserve"> de dos mil </w:t>
      </w:r>
      <w:r w:rsidR="004B56B4" w:rsidRPr="00DC19D6">
        <w:rPr>
          <w:rFonts w:cs="Tahoma"/>
          <w:b/>
          <w:bCs/>
          <w:szCs w:val="22"/>
        </w:rPr>
        <w:t>veinticuatro</w:t>
      </w:r>
      <w:r w:rsidR="00664420" w:rsidRPr="00DC19D6">
        <w:rPr>
          <w:rFonts w:cs="Tahoma"/>
          <w:szCs w:val="22"/>
        </w:rPr>
        <w:t xml:space="preserve">, </w:t>
      </w:r>
      <w:r w:rsidRPr="00DC19D6">
        <w:rPr>
          <w:b/>
          <w:bCs/>
          <w:szCs w:val="22"/>
        </w:rPr>
        <w:t>LA PARTE RECURRENTE</w:t>
      </w:r>
      <w:r w:rsidR="00664420" w:rsidRPr="00DC19D6">
        <w:rPr>
          <w:rFonts w:cs="Tahoma"/>
          <w:szCs w:val="22"/>
        </w:rPr>
        <w:t xml:space="preserve"> presentó una solicitud de acceso a la información pública </w:t>
      </w:r>
      <w:r w:rsidR="001F3515" w:rsidRPr="00DC19D6">
        <w:rPr>
          <w:rFonts w:cs="Tahoma"/>
          <w:szCs w:val="22"/>
        </w:rPr>
        <w:t xml:space="preserve">ante el </w:t>
      </w:r>
      <w:r w:rsidR="001F3515" w:rsidRPr="00DC19D6">
        <w:rPr>
          <w:rFonts w:cs="Tahoma"/>
          <w:b/>
          <w:bCs/>
          <w:szCs w:val="22"/>
        </w:rPr>
        <w:t>SUJETO OBLIGADO</w:t>
      </w:r>
      <w:r w:rsidR="001F3515" w:rsidRPr="00DC19D6">
        <w:rPr>
          <w:rFonts w:cs="Tahoma"/>
          <w:szCs w:val="22"/>
        </w:rPr>
        <w:t xml:space="preserve">, </w:t>
      </w:r>
      <w:r w:rsidR="00664420" w:rsidRPr="00DC19D6">
        <w:rPr>
          <w:rFonts w:cs="Tahoma"/>
          <w:szCs w:val="22"/>
        </w:rPr>
        <w:t>a través del Sistema de Acceso a la Información Mexiquense</w:t>
      </w:r>
      <w:r w:rsidRPr="00DC19D6">
        <w:rPr>
          <w:rFonts w:cs="Tahoma"/>
          <w:szCs w:val="22"/>
        </w:rPr>
        <w:t xml:space="preserve"> </w:t>
      </w:r>
      <w:r w:rsidR="009A2D78" w:rsidRPr="00DC19D6">
        <w:rPr>
          <w:rFonts w:cs="Tahoma"/>
          <w:szCs w:val="22"/>
        </w:rPr>
        <w:t>(</w:t>
      </w:r>
      <w:r w:rsidRPr="00DC19D6">
        <w:rPr>
          <w:rFonts w:cs="Tahoma"/>
          <w:b/>
          <w:szCs w:val="22"/>
        </w:rPr>
        <w:t>SAIMEX</w:t>
      </w:r>
      <w:r w:rsidR="009A2D78" w:rsidRPr="00DC19D6">
        <w:rPr>
          <w:rFonts w:cs="Tahoma"/>
          <w:szCs w:val="22"/>
        </w:rPr>
        <w:t>). Dicha solicitud quedó</w:t>
      </w:r>
      <w:r w:rsidRPr="00DC19D6">
        <w:rPr>
          <w:rFonts w:cs="Tahoma"/>
          <w:szCs w:val="22"/>
        </w:rPr>
        <w:t xml:space="preserve"> registrada c</w:t>
      </w:r>
      <w:r w:rsidR="00664420" w:rsidRPr="00DC19D6">
        <w:rPr>
          <w:rFonts w:cs="Tahoma"/>
          <w:szCs w:val="22"/>
        </w:rPr>
        <w:t>on el número de folio</w:t>
      </w:r>
      <w:r w:rsidR="00664420" w:rsidRPr="00DC19D6">
        <w:rPr>
          <w:rFonts w:cs="Tahoma"/>
          <w:b/>
          <w:bCs/>
          <w:szCs w:val="22"/>
        </w:rPr>
        <w:t xml:space="preserve"> </w:t>
      </w:r>
      <w:r w:rsidR="00427AFE" w:rsidRPr="00DC19D6">
        <w:rPr>
          <w:rFonts w:cs="Tahoma"/>
          <w:b/>
          <w:bCs/>
          <w:szCs w:val="22"/>
        </w:rPr>
        <w:t xml:space="preserve"> 00295/CAEM/IP/2024</w:t>
      </w:r>
      <w:r w:rsidR="005314A3" w:rsidRPr="00DC19D6">
        <w:rPr>
          <w:rFonts w:cs="Tahoma"/>
          <w:b/>
          <w:bCs/>
          <w:szCs w:val="22"/>
        </w:rPr>
        <w:t xml:space="preserve"> </w:t>
      </w:r>
      <w:r w:rsidR="002A3601" w:rsidRPr="00DC19D6">
        <w:rPr>
          <w:rFonts w:cs="Tahoma"/>
          <w:szCs w:val="22"/>
        </w:rPr>
        <w:t xml:space="preserve">y en ella </w:t>
      </w:r>
      <w:r w:rsidR="009A2D78" w:rsidRPr="00DC19D6">
        <w:rPr>
          <w:rFonts w:cs="Tahoma"/>
          <w:szCs w:val="22"/>
        </w:rPr>
        <w:t>se requirió la siguiente información:</w:t>
      </w:r>
    </w:p>
    <w:p w14:paraId="596FDDE9" w14:textId="77777777" w:rsidR="002E2C99" w:rsidRPr="00DC19D6" w:rsidRDefault="002E2C99" w:rsidP="002E2C99">
      <w:pPr>
        <w:tabs>
          <w:tab w:val="left" w:pos="4667"/>
        </w:tabs>
        <w:ind w:right="567"/>
        <w:rPr>
          <w:rFonts w:eastAsiaTheme="majorEastAsia" w:cstheme="majorBidi"/>
          <w:i/>
          <w:kern w:val="28"/>
          <w:szCs w:val="22"/>
        </w:rPr>
      </w:pPr>
    </w:p>
    <w:p w14:paraId="04BE93E4" w14:textId="0D3D924B" w:rsidR="002E2C99" w:rsidRPr="00DC19D6" w:rsidRDefault="00427AFE" w:rsidP="003B6BE8">
      <w:pPr>
        <w:pStyle w:val="Puesto"/>
      </w:pPr>
      <w:r w:rsidRPr="00DC19D6">
        <w:t xml:space="preserve">solicito la lista de las personas que han dado de baja a partir del 01 de septiembre de 2023 al 06 de junio del 2024, la razón de porque se les dio de baja junto con los oficios en donde el vocal ejecutivo requiere de su baja de cada uno de ellos, como bien lo marca el manual general de organización de la comisión del Estado de México (sic) Contratar, nombrar y remover al personal adscrito a la Comisión. </w:t>
      </w:r>
      <w:proofErr w:type="gramStart"/>
      <w:r w:rsidRPr="00DC19D6">
        <w:t>que</w:t>
      </w:r>
      <w:proofErr w:type="gramEnd"/>
      <w:r w:rsidRPr="00DC19D6">
        <w:t xml:space="preserve"> es el único con esas facultades, y también el visto bueno por parte de la </w:t>
      </w:r>
      <w:proofErr w:type="spellStart"/>
      <w:r w:rsidRPr="00DC19D6">
        <w:t>contraloria</w:t>
      </w:r>
      <w:proofErr w:type="spellEnd"/>
      <w:r w:rsidRPr="00DC19D6">
        <w:t xml:space="preserve"> interna de la </w:t>
      </w:r>
      <w:proofErr w:type="spellStart"/>
      <w:r w:rsidRPr="00DC19D6">
        <w:t>Caem</w:t>
      </w:r>
      <w:proofErr w:type="spellEnd"/>
      <w:r w:rsidRPr="00DC19D6">
        <w:t xml:space="preserve"> así como también el oficio por </w:t>
      </w:r>
      <w:r w:rsidRPr="00DC19D6">
        <w:lastRenderedPageBreak/>
        <w:t xml:space="preserve">parte del vocal en donde de autorización a la </w:t>
      </w:r>
      <w:proofErr w:type="spellStart"/>
      <w:r w:rsidRPr="00DC19D6">
        <w:t>lic.</w:t>
      </w:r>
      <w:proofErr w:type="spellEnd"/>
      <w:r w:rsidRPr="00DC19D6">
        <w:t xml:space="preserve"> </w:t>
      </w:r>
      <w:proofErr w:type="gramStart"/>
      <w:r w:rsidRPr="00DC19D6">
        <w:t>diana</w:t>
      </w:r>
      <w:proofErr w:type="gramEnd"/>
      <w:r w:rsidRPr="00DC19D6">
        <w:t xml:space="preserve"> </w:t>
      </w:r>
      <w:proofErr w:type="spellStart"/>
      <w:r w:rsidRPr="00DC19D6">
        <w:t>Hernandez</w:t>
      </w:r>
      <w:proofErr w:type="spellEnd"/>
      <w:r w:rsidRPr="00DC19D6">
        <w:t xml:space="preserve"> </w:t>
      </w:r>
      <w:proofErr w:type="spellStart"/>
      <w:r w:rsidRPr="00DC19D6">
        <w:t>orta</w:t>
      </w:r>
      <w:proofErr w:type="spellEnd"/>
      <w:r w:rsidRPr="00DC19D6">
        <w:t xml:space="preserve"> y al </w:t>
      </w:r>
      <w:proofErr w:type="spellStart"/>
      <w:r w:rsidRPr="00DC19D6">
        <w:t>lic</w:t>
      </w:r>
      <w:proofErr w:type="spellEnd"/>
      <w:r w:rsidRPr="00DC19D6">
        <w:t xml:space="preserve"> Eric Alberto soriano vega para poder correr a la gente (ya que no </w:t>
      </w:r>
      <w:proofErr w:type="spellStart"/>
      <w:r w:rsidRPr="00DC19D6">
        <w:t>esta</w:t>
      </w:r>
      <w:proofErr w:type="spellEnd"/>
      <w:r w:rsidRPr="00DC19D6">
        <w:t xml:space="preserve"> dentro de sus facultades al ser del departamento de dirección general de asuntos jurídicos como bien lo dice su manual interno ) así como el visto bueno por parte del director general de asuntos jurídicos , también quiero saber de las personas de la </w:t>
      </w:r>
      <w:proofErr w:type="spellStart"/>
      <w:r w:rsidRPr="00DC19D6">
        <w:t>lic.</w:t>
      </w:r>
      <w:proofErr w:type="spellEnd"/>
      <w:r w:rsidRPr="00DC19D6">
        <w:t xml:space="preserve"> </w:t>
      </w:r>
      <w:proofErr w:type="gramStart"/>
      <w:r w:rsidRPr="00DC19D6">
        <w:t>diana</w:t>
      </w:r>
      <w:proofErr w:type="gramEnd"/>
      <w:r w:rsidRPr="00DC19D6">
        <w:t xml:space="preserve"> así como del </w:t>
      </w:r>
      <w:proofErr w:type="spellStart"/>
      <w:r w:rsidRPr="00DC19D6">
        <w:t>lic.</w:t>
      </w:r>
      <w:proofErr w:type="spellEnd"/>
      <w:r w:rsidRPr="00DC19D6">
        <w:t xml:space="preserve"> Eric su adscripción , su </w:t>
      </w:r>
      <w:proofErr w:type="spellStart"/>
      <w:r w:rsidRPr="00DC19D6">
        <w:t>titulo</w:t>
      </w:r>
      <w:proofErr w:type="spellEnd"/>
      <w:r w:rsidRPr="00DC19D6">
        <w:t xml:space="preserve"> profesional , su nivel desde cuando tienen ese nivel hora de entrada y hora de salida si no checan entrada ni salida el oficio correspondiente así como el visto bueno por parte del vocal ejecutivo así como del contralor interno</w:t>
      </w:r>
    </w:p>
    <w:p w14:paraId="5418ABEC" w14:textId="77777777" w:rsidR="001A1B81" w:rsidRPr="00DC19D6" w:rsidRDefault="001A1B81" w:rsidP="002E2C99">
      <w:pPr>
        <w:tabs>
          <w:tab w:val="left" w:pos="4667"/>
        </w:tabs>
        <w:ind w:right="567"/>
        <w:rPr>
          <w:rFonts w:cs="Tahoma"/>
          <w:bCs/>
          <w:szCs w:val="22"/>
        </w:rPr>
      </w:pPr>
    </w:p>
    <w:p w14:paraId="0BD6321D" w14:textId="03EF0C7C" w:rsidR="00664420" w:rsidRPr="00DC19D6" w:rsidRDefault="009A2D78" w:rsidP="002E2C99">
      <w:pPr>
        <w:tabs>
          <w:tab w:val="left" w:pos="4667"/>
        </w:tabs>
        <w:ind w:right="567"/>
        <w:rPr>
          <w:rFonts w:cs="Tahoma"/>
          <w:bCs/>
          <w:i/>
          <w:szCs w:val="22"/>
        </w:rPr>
      </w:pPr>
      <w:r w:rsidRPr="00DC19D6">
        <w:rPr>
          <w:rFonts w:cs="Tahoma"/>
          <w:b/>
          <w:bCs/>
          <w:szCs w:val="22"/>
        </w:rPr>
        <w:t>Modalidad de entrega</w:t>
      </w:r>
      <w:r w:rsidRPr="00DC19D6">
        <w:rPr>
          <w:rFonts w:cs="Tahoma"/>
          <w:bCs/>
          <w:szCs w:val="22"/>
        </w:rPr>
        <w:t>: a</w:t>
      </w:r>
      <w:r w:rsidR="00664420" w:rsidRPr="00DC19D6">
        <w:rPr>
          <w:rFonts w:cs="Tahoma"/>
          <w:bCs/>
          <w:i/>
          <w:szCs w:val="22"/>
        </w:rPr>
        <w:t xml:space="preserve"> través del </w:t>
      </w:r>
      <w:r w:rsidR="00664420" w:rsidRPr="00DC19D6">
        <w:rPr>
          <w:rFonts w:cs="Tahoma"/>
          <w:b/>
          <w:bCs/>
          <w:i/>
          <w:szCs w:val="22"/>
        </w:rPr>
        <w:t>SAIMEX</w:t>
      </w:r>
      <w:r w:rsidRPr="00DC19D6">
        <w:rPr>
          <w:rFonts w:cs="Tahoma"/>
          <w:bCs/>
          <w:i/>
          <w:szCs w:val="22"/>
        </w:rPr>
        <w:t>.</w:t>
      </w:r>
    </w:p>
    <w:p w14:paraId="23D7A976" w14:textId="77777777" w:rsidR="000748DF" w:rsidRPr="00DC19D6" w:rsidRDefault="000748DF" w:rsidP="008F3837">
      <w:pPr>
        <w:tabs>
          <w:tab w:val="left" w:pos="4667"/>
        </w:tabs>
        <w:ind w:right="567"/>
        <w:rPr>
          <w:rFonts w:cs="Tahoma"/>
          <w:bCs/>
          <w:szCs w:val="22"/>
        </w:rPr>
      </w:pPr>
    </w:p>
    <w:p w14:paraId="51E30624" w14:textId="0258823E" w:rsidR="008F3837" w:rsidRPr="00DC19D6" w:rsidRDefault="008F3837" w:rsidP="008F3837">
      <w:pPr>
        <w:pStyle w:val="Ttulo3"/>
        <w:rPr>
          <w:szCs w:val="22"/>
        </w:rPr>
      </w:pPr>
      <w:bookmarkStart w:id="5" w:name="_Toc175586252"/>
      <w:r w:rsidRPr="00DC19D6">
        <w:rPr>
          <w:szCs w:val="22"/>
        </w:rPr>
        <w:t xml:space="preserve">b) </w:t>
      </w:r>
      <w:r w:rsidR="00FA7155" w:rsidRPr="00DC19D6">
        <w:rPr>
          <w:bCs/>
          <w:szCs w:val="22"/>
        </w:rPr>
        <w:t>Turno de la solicitud de información</w:t>
      </w:r>
      <w:bookmarkEnd w:id="5"/>
    </w:p>
    <w:p w14:paraId="73DA7815" w14:textId="131AC407" w:rsidR="008F3837" w:rsidRPr="00DC19D6" w:rsidRDefault="008F3837" w:rsidP="00EF7FAA">
      <w:pPr>
        <w:tabs>
          <w:tab w:val="left" w:pos="4667"/>
        </w:tabs>
        <w:ind w:right="113"/>
        <w:rPr>
          <w:rFonts w:cs="Tahoma"/>
          <w:bCs/>
          <w:szCs w:val="22"/>
        </w:rPr>
      </w:pPr>
      <w:r w:rsidRPr="00DC19D6">
        <w:rPr>
          <w:rFonts w:cs="Tahoma"/>
          <w:bCs/>
          <w:szCs w:val="22"/>
        </w:rPr>
        <w:t>En cumplimiento al artículo 162 de la Ley de Transparencia y Acceso a la Información Pública del Estado de México y Municipios,</w:t>
      </w:r>
      <w:r w:rsidRPr="00DC19D6">
        <w:rPr>
          <w:rFonts w:cs="Tahoma"/>
          <w:b/>
          <w:bCs/>
          <w:szCs w:val="22"/>
        </w:rPr>
        <w:t xml:space="preserve"> </w:t>
      </w:r>
      <w:r w:rsidR="00B83A8E" w:rsidRPr="00DC19D6">
        <w:rPr>
          <w:rFonts w:cs="Tahoma"/>
          <w:b/>
          <w:bCs/>
          <w:szCs w:val="22"/>
        </w:rPr>
        <w:t>doce de junio</w:t>
      </w:r>
      <w:r w:rsidRPr="00DC19D6">
        <w:rPr>
          <w:rFonts w:cs="Tahoma"/>
          <w:b/>
          <w:bCs/>
          <w:szCs w:val="22"/>
        </w:rPr>
        <w:t xml:space="preserve"> de dos mil veinticuatro</w:t>
      </w:r>
      <w:r w:rsidRPr="00DC19D6">
        <w:rPr>
          <w:rFonts w:cs="Tahoma"/>
          <w:bCs/>
          <w:szCs w:val="22"/>
        </w:rPr>
        <w:t xml:space="preserve">, el Titular de la Unidad de Transparencia del </w:t>
      </w:r>
      <w:r w:rsidRPr="00DC19D6">
        <w:rPr>
          <w:rFonts w:cs="Tahoma"/>
          <w:b/>
          <w:bCs/>
          <w:szCs w:val="22"/>
        </w:rPr>
        <w:t>SUJETO OBLIGADO</w:t>
      </w:r>
      <w:r w:rsidRPr="00DC19D6">
        <w:rPr>
          <w:rFonts w:cs="Tahoma"/>
          <w:bCs/>
          <w:szCs w:val="22"/>
        </w:rPr>
        <w:t xml:space="preserve"> turnó la solicitud de información a los servidores públicos habilitados que estimó pertinente.</w:t>
      </w:r>
    </w:p>
    <w:p w14:paraId="1C0542AF" w14:textId="77777777" w:rsidR="008F3837" w:rsidRPr="00DC19D6" w:rsidRDefault="008F3837" w:rsidP="008F3837">
      <w:pPr>
        <w:tabs>
          <w:tab w:val="left" w:pos="4667"/>
        </w:tabs>
        <w:ind w:right="567"/>
        <w:rPr>
          <w:rFonts w:cs="Tahoma"/>
          <w:bCs/>
          <w:szCs w:val="22"/>
        </w:rPr>
      </w:pPr>
    </w:p>
    <w:p w14:paraId="3212BA4D" w14:textId="091C39CE" w:rsidR="00664420" w:rsidRPr="00DC19D6" w:rsidRDefault="002E2C99" w:rsidP="00E37A3F">
      <w:pPr>
        <w:pStyle w:val="Ttulo3"/>
        <w:rPr>
          <w:color w:val="000000"/>
          <w:szCs w:val="22"/>
        </w:rPr>
      </w:pPr>
      <w:bookmarkStart w:id="6" w:name="_Toc175586253"/>
      <w:r w:rsidRPr="00DC19D6">
        <w:rPr>
          <w:szCs w:val="22"/>
          <w:lang w:val="es-ES"/>
        </w:rPr>
        <w:t xml:space="preserve">c) </w:t>
      </w:r>
      <w:r w:rsidR="00664420" w:rsidRPr="00DC19D6">
        <w:rPr>
          <w:szCs w:val="22"/>
          <w:lang w:val="es-ES"/>
        </w:rPr>
        <w:t xml:space="preserve">Respuesta </w:t>
      </w:r>
      <w:r w:rsidR="00664420" w:rsidRPr="00DC19D6">
        <w:rPr>
          <w:rFonts w:eastAsia="Calibri"/>
          <w:szCs w:val="22"/>
          <w:lang w:eastAsia="en-US"/>
        </w:rPr>
        <w:t>del Sujeto Obligado</w:t>
      </w:r>
      <w:bookmarkEnd w:id="6"/>
    </w:p>
    <w:p w14:paraId="79199CC1" w14:textId="139D89D9" w:rsidR="00664420" w:rsidRPr="00DC19D6" w:rsidRDefault="00664420" w:rsidP="000748DF">
      <w:pPr>
        <w:pStyle w:val="Sinespaciado"/>
        <w:spacing w:line="360" w:lineRule="auto"/>
        <w:rPr>
          <w:szCs w:val="22"/>
          <w:lang w:val="es-ES"/>
        </w:rPr>
      </w:pPr>
      <w:r w:rsidRPr="00DC19D6">
        <w:rPr>
          <w:szCs w:val="22"/>
          <w:lang w:val="es-ES"/>
        </w:rPr>
        <w:t xml:space="preserve">El </w:t>
      </w:r>
      <w:r w:rsidR="00B83A8E" w:rsidRPr="00DC19D6">
        <w:rPr>
          <w:rFonts w:eastAsia="Calibri" w:cs="Arial"/>
          <w:b/>
          <w:bCs/>
          <w:szCs w:val="22"/>
          <w:lang w:val="es-ES" w:eastAsia="en-US"/>
        </w:rPr>
        <w:t>veintisiete</w:t>
      </w:r>
      <w:r w:rsidR="001A1B81" w:rsidRPr="00DC19D6">
        <w:rPr>
          <w:rFonts w:eastAsia="Calibri" w:cs="Arial"/>
          <w:b/>
          <w:bCs/>
          <w:szCs w:val="22"/>
          <w:lang w:val="es-ES" w:eastAsia="en-US"/>
        </w:rPr>
        <w:t xml:space="preserve"> de junio</w:t>
      </w:r>
      <w:r w:rsidR="000748DF" w:rsidRPr="00DC19D6">
        <w:rPr>
          <w:rFonts w:eastAsia="Calibri" w:cs="Arial"/>
          <w:b/>
          <w:bCs/>
          <w:szCs w:val="22"/>
          <w:lang w:val="es-ES" w:eastAsia="en-US"/>
        </w:rPr>
        <w:t xml:space="preserve"> </w:t>
      </w:r>
      <w:r w:rsidR="000748DF" w:rsidRPr="00DC19D6">
        <w:rPr>
          <w:rFonts w:eastAsia="Calibri" w:cs="Arial"/>
          <w:b/>
          <w:szCs w:val="22"/>
          <w:lang w:val="es-ES" w:eastAsia="en-US"/>
        </w:rPr>
        <w:t>de dos mil veinticuatro</w:t>
      </w:r>
      <w:r w:rsidR="00983EEF" w:rsidRPr="00DC19D6">
        <w:rPr>
          <w:b/>
          <w:szCs w:val="22"/>
          <w:lang w:val="es-ES"/>
        </w:rPr>
        <w:t xml:space="preserve">, </w:t>
      </w:r>
      <w:r w:rsidR="00F07EE6" w:rsidRPr="00DC19D6">
        <w:rPr>
          <w:szCs w:val="22"/>
          <w:lang w:val="es-ES"/>
        </w:rPr>
        <w:t>l</w:t>
      </w:r>
      <w:r w:rsidR="002268D4" w:rsidRPr="00DC19D6">
        <w:rPr>
          <w:szCs w:val="22"/>
          <w:lang w:val="es-ES"/>
        </w:rPr>
        <w:t>a</w:t>
      </w:r>
      <w:r w:rsidR="00F07EE6" w:rsidRPr="00DC19D6">
        <w:rPr>
          <w:szCs w:val="22"/>
          <w:lang w:val="es-ES"/>
        </w:rPr>
        <w:t xml:space="preserve"> Titular de la Unidad de Transparencia del </w:t>
      </w:r>
      <w:r w:rsidR="00F07EE6" w:rsidRPr="00DC19D6">
        <w:rPr>
          <w:b/>
          <w:szCs w:val="22"/>
          <w:lang w:val="es-ES"/>
        </w:rPr>
        <w:t>SUJETO OBLIGADO</w:t>
      </w:r>
      <w:r w:rsidR="00F07EE6" w:rsidRPr="00DC19D6">
        <w:rPr>
          <w:szCs w:val="22"/>
          <w:lang w:val="es-ES"/>
        </w:rPr>
        <w:t xml:space="preserve"> notificó la siguiente respuesta a través del </w:t>
      </w:r>
      <w:r w:rsidRPr="00DC19D6">
        <w:rPr>
          <w:szCs w:val="22"/>
          <w:lang w:val="es-ES"/>
        </w:rPr>
        <w:t>SAIMEX</w:t>
      </w:r>
      <w:r w:rsidR="00F07EE6" w:rsidRPr="00DC19D6">
        <w:rPr>
          <w:szCs w:val="22"/>
          <w:lang w:val="es-ES"/>
        </w:rPr>
        <w:t>:</w:t>
      </w:r>
    </w:p>
    <w:p w14:paraId="66410657" w14:textId="77777777" w:rsidR="002268D4" w:rsidRPr="00DC19D6" w:rsidRDefault="002268D4" w:rsidP="002E2C99">
      <w:pPr>
        <w:pStyle w:val="Puesto"/>
        <w:ind w:left="0"/>
        <w:rPr>
          <w:szCs w:val="22"/>
        </w:rPr>
      </w:pPr>
    </w:p>
    <w:p w14:paraId="10EDA66C" w14:textId="77777777" w:rsidR="00B83A8E" w:rsidRPr="00DC19D6" w:rsidRDefault="00B83A8E" w:rsidP="003B6BE8">
      <w:pPr>
        <w:pStyle w:val="Puesto"/>
      </w:pPr>
      <w:r w:rsidRPr="00DC19D6">
        <w:t>Folio de la solicitud: 00295/CAEM/IP/2024</w:t>
      </w:r>
    </w:p>
    <w:p w14:paraId="08164638" w14:textId="77777777" w:rsidR="00B83A8E" w:rsidRPr="00DC19D6" w:rsidRDefault="00B83A8E" w:rsidP="003B6BE8">
      <w:pPr>
        <w:pStyle w:val="Puesto"/>
      </w:pPr>
      <w:r w:rsidRPr="00DC19D6">
        <w:t>En respuesta a la solicitud recibida, nos permitimos hacer de su conocimiento que con fundamento en el artículo 53, Fracciones: II, V y VI de la Ley de Transparencia y Acceso a la Información Pública del Estado de México y Municipios, le contestamos que:</w:t>
      </w:r>
    </w:p>
    <w:p w14:paraId="50631659" w14:textId="77777777" w:rsidR="00B83A8E" w:rsidRPr="00DC19D6" w:rsidRDefault="00B83A8E" w:rsidP="003B6BE8">
      <w:pPr>
        <w:pStyle w:val="Puesto"/>
      </w:pPr>
    </w:p>
    <w:p w14:paraId="599082AC" w14:textId="77777777" w:rsidR="00B83A8E" w:rsidRPr="00DC19D6" w:rsidRDefault="00B83A8E" w:rsidP="003B6BE8">
      <w:pPr>
        <w:pStyle w:val="Puesto"/>
      </w:pPr>
      <w:r w:rsidRPr="00DC19D6">
        <w:t xml:space="preserve">Oficio No. 219C0110010000S/ 01376 /2024 Naucalpan de Juárez, Estado de México 25 de junio de 2024 ESTIMADO PETICIONARIO FOLIO DE LA SOLICITUD: 00295/CAEM/IP/2024 En respuesta a la solicitud recibida, nos permitimos hacer de su conocimiento que con fundamento en los artículos 2, fracciones 111, VII; 4; 15; 24 fracciones XI y XXIV de la Ley de Transparencia y Acceso a la Información Pública del </w:t>
      </w:r>
      <w:r w:rsidRPr="00DC19D6">
        <w:lastRenderedPageBreak/>
        <w:t xml:space="preserve">Estado de México y Municipios, y en cumplimiento a lo establecido en el artículo 53, fracciones 11, V y VI, su petición formulada en la Unidad de Transparencia de la Comisión del Agua del Estado de México vía electrónica se ha registrado con el número de folio 00295/CAEM/IP/2024, misma que a la letra dice: “solicito la lista de las personas que han dado de baja a partir del 01 de septiembre de 2023 al 06 de junio del 2024, la razón de porque se les dio de baja junto con los oficios en donde el vocal ejecutivo requiere de su baja de cada uno de ellos, como bien lo marca el manual general de organización de la comisión del Estado de México (sic) Contratar, nombrar y remover al personal adscrito a la Comisión. </w:t>
      </w:r>
      <w:proofErr w:type="gramStart"/>
      <w:r w:rsidRPr="00DC19D6">
        <w:t>que</w:t>
      </w:r>
      <w:proofErr w:type="gramEnd"/>
      <w:r w:rsidRPr="00DC19D6">
        <w:t xml:space="preserve"> es el único con esas facultades, y también el visto bueno por parte de la </w:t>
      </w:r>
      <w:proofErr w:type="spellStart"/>
      <w:r w:rsidRPr="00DC19D6">
        <w:t>contraloria</w:t>
      </w:r>
      <w:proofErr w:type="spellEnd"/>
      <w:r w:rsidRPr="00DC19D6">
        <w:t xml:space="preserve"> interna de la </w:t>
      </w:r>
      <w:proofErr w:type="spellStart"/>
      <w:r w:rsidRPr="00DC19D6">
        <w:t>Caem</w:t>
      </w:r>
      <w:proofErr w:type="spellEnd"/>
      <w:r w:rsidRPr="00DC19D6">
        <w:t xml:space="preserve"> así como también el oficio por parte del vocal en donde de autorización a la </w:t>
      </w:r>
      <w:proofErr w:type="spellStart"/>
      <w:r w:rsidRPr="00DC19D6">
        <w:t>lic.</w:t>
      </w:r>
      <w:proofErr w:type="spellEnd"/>
      <w:r w:rsidRPr="00DC19D6">
        <w:t xml:space="preserve"> Diana </w:t>
      </w:r>
      <w:proofErr w:type="spellStart"/>
      <w:r w:rsidRPr="00DC19D6">
        <w:t>Hernandez</w:t>
      </w:r>
      <w:proofErr w:type="spellEnd"/>
      <w:r w:rsidRPr="00DC19D6">
        <w:t xml:space="preserve"> </w:t>
      </w:r>
      <w:proofErr w:type="spellStart"/>
      <w:r w:rsidRPr="00DC19D6">
        <w:t>orta</w:t>
      </w:r>
      <w:proofErr w:type="spellEnd"/>
      <w:r w:rsidRPr="00DC19D6">
        <w:t xml:space="preserve"> y al </w:t>
      </w:r>
      <w:proofErr w:type="spellStart"/>
      <w:r w:rsidRPr="00DC19D6">
        <w:t>lic</w:t>
      </w:r>
      <w:proofErr w:type="spellEnd"/>
      <w:r w:rsidRPr="00DC19D6">
        <w:t xml:space="preserve"> Eric Alberto soriano vega para poder correr a la gente (ya que no </w:t>
      </w:r>
      <w:proofErr w:type="spellStart"/>
      <w:r w:rsidRPr="00DC19D6">
        <w:t>esta</w:t>
      </w:r>
      <w:proofErr w:type="spellEnd"/>
      <w:r w:rsidRPr="00DC19D6">
        <w:t xml:space="preserve"> dentro de sus facultades al ser del departamento de dirección general de asuntos jurídicos como bien lo dice su manual </w:t>
      </w:r>
      <w:proofErr w:type="gramStart"/>
      <w:r w:rsidRPr="00DC19D6">
        <w:t>interno )</w:t>
      </w:r>
      <w:proofErr w:type="gramEnd"/>
      <w:r w:rsidRPr="00DC19D6">
        <w:t xml:space="preserve"> así como el visto bueno por parte del director general de asuntos jurídicos , también quiero saber de las personas de la </w:t>
      </w:r>
      <w:proofErr w:type="spellStart"/>
      <w:r w:rsidRPr="00DC19D6">
        <w:t>lic.</w:t>
      </w:r>
      <w:proofErr w:type="spellEnd"/>
      <w:r w:rsidRPr="00DC19D6">
        <w:t xml:space="preserve"> </w:t>
      </w:r>
      <w:proofErr w:type="gramStart"/>
      <w:r w:rsidRPr="00DC19D6">
        <w:t>diana</w:t>
      </w:r>
      <w:proofErr w:type="gramEnd"/>
      <w:r w:rsidRPr="00DC19D6">
        <w:t xml:space="preserve"> así como del </w:t>
      </w:r>
      <w:proofErr w:type="spellStart"/>
      <w:r w:rsidRPr="00DC19D6">
        <w:t>lic.</w:t>
      </w:r>
      <w:proofErr w:type="spellEnd"/>
      <w:r w:rsidRPr="00DC19D6">
        <w:t xml:space="preserve"> Eric su adscripción , su </w:t>
      </w:r>
      <w:proofErr w:type="spellStart"/>
      <w:r w:rsidRPr="00DC19D6">
        <w:t>titulo</w:t>
      </w:r>
      <w:proofErr w:type="spellEnd"/>
      <w:r w:rsidRPr="00DC19D6">
        <w:t xml:space="preserve"> profesional , su nivel desde cuando tienen ese nivel hora de entrada y hora de salida si no checan entrada ni salida el oficio correspondiente así como el visto bueno por parte del vocal ejecutivo así como del contralor interno”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roofErr w:type="gramStart"/>
      <w:r w:rsidRPr="00DC19D6">
        <w:t>sic</w:t>
      </w:r>
      <w:proofErr w:type="gramEnd"/>
      <w:r w:rsidRPr="00DC19D6">
        <w:t>) Es así que, previa búsqueda exhaustiva y razonable en los archivos que se encuentran bajo resguardo de la Dirección General de Administración y Finanzas y, atendiendo los oficios 219C0117L/1335/2024, 219C0117010000L/1473/2024 y 219C01170100L/628/2024, suscritos por la Directora General de Administración y Finanzas, el Director de Administración y la Subdirectora de Administración de Personal (adjuntos en copia simple) se envía la información correspondiente a lo solicitado. Sin otro particular por el momento, aprovecho la ocasión para enviarle un cordial saludo. A T E N T A M E N T E STEPHANIE VALERO SÁNCHEZ TITULAR DE LA UNIDAD DE TRANSPARENCIA</w:t>
      </w:r>
    </w:p>
    <w:p w14:paraId="181CC030" w14:textId="77777777" w:rsidR="00B83A8E" w:rsidRPr="00DC19D6" w:rsidRDefault="00B83A8E" w:rsidP="003B6BE8">
      <w:pPr>
        <w:pStyle w:val="Puesto"/>
      </w:pPr>
    </w:p>
    <w:p w14:paraId="17F1E065" w14:textId="77777777" w:rsidR="00B83A8E" w:rsidRPr="00DC19D6" w:rsidRDefault="00B83A8E" w:rsidP="003B6BE8">
      <w:pPr>
        <w:pStyle w:val="Puesto"/>
      </w:pPr>
      <w:r w:rsidRPr="00DC19D6">
        <w:t>ATENTAMENTE</w:t>
      </w:r>
    </w:p>
    <w:p w14:paraId="467AF2AE" w14:textId="353A495A" w:rsidR="002E2C99" w:rsidRPr="00DC19D6" w:rsidRDefault="00B83A8E" w:rsidP="003B6BE8">
      <w:pPr>
        <w:pStyle w:val="Puesto"/>
        <w:rPr>
          <w:rFonts w:cs="Tahoma"/>
          <w:bCs/>
        </w:rPr>
      </w:pPr>
      <w:r w:rsidRPr="00DC19D6">
        <w:t>Lic. Stephanie Valero Sánchez</w:t>
      </w:r>
    </w:p>
    <w:p w14:paraId="2205B7A6" w14:textId="77777777" w:rsidR="00B83A8E" w:rsidRPr="00DC19D6" w:rsidRDefault="00B83A8E" w:rsidP="00664420">
      <w:pPr>
        <w:autoSpaceDE w:val="0"/>
        <w:autoSpaceDN w:val="0"/>
        <w:adjustRightInd w:val="0"/>
        <w:ind w:right="-28"/>
        <w:rPr>
          <w:rFonts w:cs="Tahoma"/>
          <w:bCs/>
          <w:szCs w:val="22"/>
          <w:lang w:val="es-ES"/>
        </w:rPr>
      </w:pPr>
    </w:p>
    <w:p w14:paraId="2211D1AB" w14:textId="6F132631" w:rsidR="00983EEF" w:rsidRPr="00DC19D6" w:rsidRDefault="00F07EE6" w:rsidP="00664420">
      <w:pPr>
        <w:autoSpaceDE w:val="0"/>
        <w:autoSpaceDN w:val="0"/>
        <w:adjustRightInd w:val="0"/>
        <w:ind w:right="-28"/>
        <w:rPr>
          <w:rFonts w:cs="Tahoma"/>
          <w:bCs/>
          <w:szCs w:val="22"/>
          <w:lang w:val="es-ES"/>
        </w:rPr>
      </w:pPr>
      <w:r w:rsidRPr="00DC19D6">
        <w:rPr>
          <w:rFonts w:cs="Tahoma"/>
          <w:bCs/>
          <w:szCs w:val="22"/>
          <w:lang w:val="es-ES"/>
        </w:rPr>
        <w:lastRenderedPageBreak/>
        <w:t xml:space="preserve">Asimismo, </w:t>
      </w:r>
      <w:r w:rsidRPr="00DC19D6">
        <w:rPr>
          <w:rFonts w:cs="Tahoma"/>
          <w:b/>
          <w:szCs w:val="22"/>
          <w:lang w:val="es-ES"/>
        </w:rPr>
        <w:t xml:space="preserve">EL SUJETO OBLIGADO </w:t>
      </w:r>
      <w:r w:rsidRPr="00DC19D6">
        <w:rPr>
          <w:rFonts w:cs="Tahoma"/>
          <w:bCs/>
          <w:szCs w:val="22"/>
          <w:lang w:val="es-ES"/>
        </w:rPr>
        <w:t xml:space="preserve">adjuntó a su respuesta </w:t>
      </w:r>
      <w:r w:rsidR="001A1B81" w:rsidRPr="00DC19D6">
        <w:rPr>
          <w:rFonts w:cs="Tahoma"/>
          <w:bCs/>
          <w:szCs w:val="22"/>
          <w:lang w:val="es-ES"/>
        </w:rPr>
        <w:t>l</w:t>
      </w:r>
      <w:r w:rsidR="00B83A8E" w:rsidRPr="00DC19D6">
        <w:rPr>
          <w:rFonts w:cs="Tahoma"/>
          <w:bCs/>
          <w:szCs w:val="22"/>
          <w:lang w:val="es-ES"/>
        </w:rPr>
        <w:t>os</w:t>
      </w:r>
      <w:r w:rsidR="002E2C99" w:rsidRPr="00DC19D6">
        <w:rPr>
          <w:rFonts w:cs="Tahoma"/>
          <w:bCs/>
          <w:szCs w:val="22"/>
          <w:lang w:val="es-ES"/>
        </w:rPr>
        <w:t xml:space="preserve"> </w:t>
      </w:r>
      <w:r w:rsidRPr="00DC19D6">
        <w:rPr>
          <w:rFonts w:cs="Tahoma"/>
          <w:bCs/>
          <w:szCs w:val="22"/>
          <w:lang w:val="es-ES"/>
        </w:rPr>
        <w:t>archivo</w:t>
      </w:r>
      <w:r w:rsidR="00B83A8E" w:rsidRPr="00DC19D6">
        <w:rPr>
          <w:rFonts w:cs="Tahoma"/>
          <w:bCs/>
          <w:szCs w:val="22"/>
          <w:lang w:val="es-ES"/>
        </w:rPr>
        <w:t>s</w:t>
      </w:r>
      <w:r w:rsidRPr="00DC19D6">
        <w:rPr>
          <w:rFonts w:cs="Tahoma"/>
          <w:bCs/>
          <w:szCs w:val="22"/>
          <w:lang w:val="es-ES"/>
        </w:rPr>
        <w:t xml:space="preserve"> electrónico</w:t>
      </w:r>
      <w:r w:rsidR="00B83A8E" w:rsidRPr="00DC19D6">
        <w:rPr>
          <w:rFonts w:cs="Tahoma"/>
          <w:bCs/>
          <w:szCs w:val="22"/>
          <w:lang w:val="es-ES"/>
        </w:rPr>
        <w:t>s</w:t>
      </w:r>
      <w:r w:rsidR="001A1B81" w:rsidRPr="00DC19D6">
        <w:rPr>
          <w:rFonts w:cs="Tahoma"/>
          <w:bCs/>
          <w:szCs w:val="22"/>
          <w:lang w:val="es-ES"/>
        </w:rPr>
        <w:t xml:space="preserve">: </w:t>
      </w:r>
    </w:p>
    <w:p w14:paraId="227E78E4" w14:textId="77777777" w:rsidR="005856CA" w:rsidRPr="00DC19D6" w:rsidRDefault="005856CA" w:rsidP="00664420">
      <w:pPr>
        <w:autoSpaceDE w:val="0"/>
        <w:autoSpaceDN w:val="0"/>
        <w:adjustRightInd w:val="0"/>
        <w:ind w:right="-28"/>
        <w:rPr>
          <w:rFonts w:cs="Tahoma"/>
          <w:bCs/>
          <w:szCs w:val="22"/>
          <w:lang w:val="es-ES"/>
        </w:rPr>
      </w:pPr>
    </w:p>
    <w:p w14:paraId="77BEF594" w14:textId="77777777" w:rsidR="00B83A8E" w:rsidRPr="00DC19D6" w:rsidRDefault="00B83A8E" w:rsidP="00B83A8E">
      <w:pPr>
        <w:pStyle w:val="Prrafodelista"/>
        <w:numPr>
          <w:ilvl w:val="0"/>
          <w:numId w:val="10"/>
        </w:numPr>
        <w:autoSpaceDE w:val="0"/>
        <w:autoSpaceDN w:val="0"/>
        <w:adjustRightInd w:val="0"/>
        <w:ind w:left="1068" w:right="-28"/>
        <w:rPr>
          <w:rFonts w:cs="Tahoma"/>
          <w:b/>
          <w:i/>
          <w:iCs/>
          <w:szCs w:val="22"/>
          <w:lang w:val="es-ES"/>
        </w:rPr>
      </w:pPr>
      <w:r w:rsidRPr="00DC19D6">
        <w:rPr>
          <w:rFonts w:cs="Tahoma"/>
          <w:b/>
          <w:i/>
          <w:iCs/>
          <w:szCs w:val="22"/>
          <w:lang w:val="es-ES"/>
        </w:rPr>
        <w:t>00295-CAEM-IP-2024.pdf</w:t>
      </w:r>
    </w:p>
    <w:p w14:paraId="38CFE855" w14:textId="67493B79" w:rsidR="00B83A8E" w:rsidRPr="00DC19D6" w:rsidRDefault="00CC0AD5" w:rsidP="00CC0AD5">
      <w:pPr>
        <w:autoSpaceDE w:val="0"/>
        <w:autoSpaceDN w:val="0"/>
        <w:adjustRightInd w:val="0"/>
        <w:ind w:left="1068" w:right="-28"/>
        <w:rPr>
          <w:rFonts w:cs="Tahoma"/>
          <w:iCs/>
          <w:szCs w:val="22"/>
          <w:lang w:val="es-ES"/>
        </w:rPr>
      </w:pPr>
      <w:r w:rsidRPr="00DC19D6">
        <w:rPr>
          <w:rFonts w:cs="Tahoma"/>
          <w:iCs/>
          <w:szCs w:val="22"/>
          <w:lang w:val="es-ES"/>
        </w:rPr>
        <w:t>Archivo constante de 14 páginas, en las que se aprecia lo siguiente:</w:t>
      </w:r>
    </w:p>
    <w:p w14:paraId="7F7B8265" w14:textId="72DA58B5" w:rsidR="00CC0AD5" w:rsidRPr="00DC19D6" w:rsidRDefault="00CC0AD5" w:rsidP="00CC0AD5">
      <w:pPr>
        <w:autoSpaceDE w:val="0"/>
        <w:autoSpaceDN w:val="0"/>
        <w:adjustRightInd w:val="0"/>
        <w:ind w:left="1068" w:right="-28"/>
        <w:rPr>
          <w:rFonts w:cs="Tahoma"/>
          <w:iCs/>
          <w:szCs w:val="22"/>
          <w:lang w:val="es-ES"/>
        </w:rPr>
      </w:pPr>
      <w:r w:rsidRPr="00DC19D6">
        <w:rPr>
          <w:rFonts w:cs="Tahoma"/>
          <w:iCs/>
          <w:szCs w:val="22"/>
          <w:lang w:val="es-ES"/>
        </w:rPr>
        <w:t>Página 1. Oficio 219C0117L/1335/2024, de fecha 20 de junio de 2024, suscrito por la Directora General de Administración y Finanzas, dirigido a la Titular de la Unidad de Modernización Administrativa e Informática y Titular de la Unidad de Transparencia, en el que le indica:</w:t>
      </w:r>
    </w:p>
    <w:p w14:paraId="0E8205FC" w14:textId="77777777" w:rsidR="00CC0AD5" w:rsidRPr="00DC19D6" w:rsidRDefault="00CC0AD5" w:rsidP="00CC0AD5">
      <w:pPr>
        <w:autoSpaceDE w:val="0"/>
        <w:autoSpaceDN w:val="0"/>
        <w:adjustRightInd w:val="0"/>
        <w:ind w:left="1068" w:right="-28"/>
        <w:rPr>
          <w:rFonts w:cs="Tahoma"/>
          <w:iCs/>
          <w:szCs w:val="22"/>
          <w:lang w:val="es-ES"/>
        </w:rPr>
      </w:pPr>
    </w:p>
    <w:p w14:paraId="2D2C3A89" w14:textId="7387F9D4" w:rsidR="00CC0AD5" w:rsidRPr="00DC19D6" w:rsidRDefault="00CC0AD5" w:rsidP="00CC0AD5">
      <w:pPr>
        <w:autoSpaceDE w:val="0"/>
        <w:autoSpaceDN w:val="0"/>
        <w:adjustRightInd w:val="0"/>
        <w:ind w:left="1068" w:right="-28"/>
        <w:rPr>
          <w:rFonts w:cs="Tahoma"/>
          <w:iCs/>
          <w:szCs w:val="22"/>
          <w:lang w:val="es-ES"/>
        </w:rPr>
      </w:pPr>
      <w:r w:rsidRPr="00DC19D6">
        <w:rPr>
          <w:rFonts w:cs="Tahoma"/>
          <w:iCs/>
          <w:szCs w:val="22"/>
          <w:lang w:val="es-ES"/>
        </w:rPr>
        <w:t>“Se anexa relación de bajas correspondientes al periodo del 01 de septiembre de 2023 al 06 de junio de 2024).</w:t>
      </w:r>
    </w:p>
    <w:p w14:paraId="428832F3" w14:textId="77777777" w:rsidR="00CC0AD5" w:rsidRPr="00DC19D6" w:rsidRDefault="00CC0AD5" w:rsidP="00CC0AD5">
      <w:pPr>
        <w:autoSpaceDE w:val="0"/>
        <w:autoSpaceDN w:val="0"/>
        <w:adjustRightInd w:val="0"/>
        <w:ind w:left="1068" w:right="-28"/>
        <w:rPr>
          <w:rFonts w:cs="Tahoma"/>
          <w:iCs/>
          <w:szCs w:val="22"/>
          <w:lang w:val="es-ES"/>
        </w:rPr>
      </w:pPr>
    </w:p>
    <w:p w14:paraId="7E1774B5" w14:textId="4ABB855F" w:rsidR="00CC0AD5" w:rsidRPr="00DC19D6" w:rsidRDefault="00CC0AD5" w:rsidP="00CC0AD5">
      <w:pPr>
        <w:autoSpaceDE w:val="0"/>
        <w:autoSpaceDN w:val="0"/>
        <w:adjustRightInd w:val="0"/>
        <w:ind w:left="1068" w:right="-28"/>
        <w:rPr>
          <w:rFonts w:cs="Tahoma"/>
          <w:iCs/>
          <w:szCs w:val="22"/>
          <w:lang w:val="es-ES"/>
        </w:rPr>
      </w:pPr>
      <w:r w:rsidRPr="00DC19D6">
        <w:rPr>
          <w:rFonts w:cs="Tahoma"/>
          <w:iCs/>
          <w:szCs w:val="22"/>
          <w:lang w:val="es-ES"/>
        </w:rPr>
        <w:t>Respecto a los servidores públicos Hernández Orta Diana y Soriano Vega Eric Alberto, se comunica:</w:t>
      </w:r>
    </w:p>
    <w:p w14:paraId="16F85B5D" w14:textId="77777777" w:rsidR="00CC0AD5" w:rsidRPr="00DC19D6" w:rsidRDefault="00CC0AD5" w:rsidP="00CC0AD5">
      <w:pPr>
        <w:autoSpaceDE w:val="0"/>
        <w:autoSpaceDN w:val="0"/>
        <w:adjustRightInd w:val="0"/>
        <w:ind w:left="1068" w:right="-28"/>
        <w:rPr>
          <w:rFonts w:cs="Tahoma"/>
          <w:iCs/>
          <w:szCs w:val="22"/>
          <w:lang w:val="es-ES"/>
        </w:rPr>
      </w:pPr>
    </w:p>
    <w:tbl>
      <w:tblPr>
        <w:tblStyle w:val="Tablaconcuadrcula"/>
        <w:tblW w:w="0" w:type="auto"/>
        <w:tblInd w:w="1068" w:type="dxa"/>
        <w:tblLook w:val="04A0" w:firstRow="1" w:lastRow="0" w:firstColumn="1" w:lastColumn="0" w:noHBand="0" w:noVBand="1"/>
      </w:tblPr>
      <w:tblGrid>
        <w:gridCol w:w="1183"/>
        <w:gridCol w:w="1367"/>
        <w:gridCol w:w="1237"/>
        <w:gridCol w:w="931"/>
        <w:gridCol w:w="1052"/>
        <w:gridCol w:w="1037"/>
        <w:gridCol w:w="1159"/>
      </w:tblGrid>
      <w:tr w:rsidR="00CC0AD5" w:rsidRPr="00DC19D6" w14:paraId="1D6274FD" w14:textId="77777777" w:rsidTr="00CC0AD5">
        <w:tc>
          <w:tcPr>
            <w:tcW w:w="1186" w:type="dxa"/>
          </w:tcPr>
          <w:p w14:paraId="24686F82" w14:textId="337D4D54" w:rsidR="00CC0AD5" w:rsidRPr="00DC19D6" w:rsidRDefault="00CC0AD5" w:rsidP="00CC0AD5">
            <w:pPr>
              <w:autoSpaceDE w:val="0"/>
              <w:autoSpaceDN w:val="0"/>
              <w:adjustRightInd w:val="0"/>
              <w:spacing w:line="240" w:lineRule="auto"/>
              <w:ind w:right="-28"/>
              <w:rPr>
                <w:rFonts w:cs="Tahoma"/>
                <w:b/>
                <w:iCs/>
                <w:sz w:val="18"/>
                <w:szCs w:val="18"/>
              </w:rPr>
            </w:pPr>
            <w:r w:rsidRPr="00DC19D6">
              <w:rPr>
                <w:rFonts w:cs="Tahoma"/>
                <w:b/>
                <w:iCs/>
                <w:sz w:val="18"/>
                <w:szCs w:val="18"/>
              </w:rPr>
              <w:t>Nombre</w:t>
            </w:r>
          </w:p>
        </w:tc>
        <w:tc>
          <w:tcPr>
            <w:tcW w:w="1367" w:type="dxa"/>
          </w:tcPr>
          <w:p w14:paraId="558A82C0" w14:textId="3DA7D2FF" w:rsidR="00CC0AD5" w:rsidRPr="00DC19D6" w:rsidRDefault="00CC0AD5" w:rsidP="00CC0AD5">
            <w:pPr>
              <w:autoSpaceDE w:val="0"/>
              <w:autoSpaceDN w:val="0"/>
              <w:adjustRightInd w:val="0"/>
              <w:spacing w:line="240" w:lineRule="auto"/>
              <w:ind w:right="-28"/>
              <w:rPr>
                <w:rFonts w:cs="Tahoma"/>
                <w:b/>
                <w:iCs/>
                <w:sz w:val="18"/>
                <w:szCs w:val="18"/>
              </w:rPr>
            </w:pPr>
            <w:r w:rsidRPr="00DC19D6">
              <w:rPr>
                <w:rFonts w:cs="Tahoma"/>
                <w:b/>
                <w:iCs/>
                <w:sz w:val="18"/>
                <w:szCs w:val="18"/>
              </w:rPr>
              <w:t>Adscripción</w:t>
            </w:r>
          </w:p>
        </w:tc>
        <w:tc>
          <w:tcPr>
            <w:tcW w:w="1239" w:type="dxa"/>
          </w:tcPr>
          <w:p w14:paraId="3DC6E641" w14:textId="188C0F0D" w:rsidR="00CC0AD5" w:rsidRPr="00DC19D6" w:rsidRDefault="00CC0AD5" w:rsidP="00CC0AD5">
            <w:pPr>
              <w:autoSpaceDE w:val="0"/>
              <w:autoSpaceDN w:val="0"/>
              <w:adjustRightInd w:val="0"/>
              <w:spacing w:line="240" w:lineRule="auto"/>
              <w:ind w:right="-28"/>
              <w:rPr>
                <w:rFonts w:cs="Tahoma"/>
                <w:b/>
                <w:iCs/>
                <w:sz w:val="18"/>
                <w:szCs w:val="18"/>
              </w:rPr>
            </w:pPr>
            <w:r w:rsidRPr="00DC19D6">
              <w:rPr>
                <w:rFonts w:cs="Tahoma"/>
                <w:b/>
                <w:iCs/>
                <w:sz w:val="18"/>
                <w:szCs w:val="18"/>
              </w:rPr>
              <w:t>Título profesional</w:t>
            </w:r>
          </w:p>
        </w:tc>
        <w:tc>
          <w:tcPr>
            <w:tcW w:w="941" w:type="dxa"/>
          </w:tcPr>
          <w:p w14:paraId="127C11AD" w14:textId="41CC4208" w:rsidR="00CC0AD5" w:rsidRPr="00DC19D6" w:rsidRDefault="00CC0AD5" w:rsidP="00CC0AD5">
            <w:pPr>
              <w:autoSpaceDE w:val="0"/>
              <w:autoSpaceDN w:val="0"/>
              <w:adjustRightInd w:val="0"/>
              <w:spacing w:line="240" w:lineRule="auto"/>
              <w:ind w:right="-28"/>
              <w:rPr>
                <w:rFonts w:cs="Tahoma"/>
                <w:b/>
                <w:iCs/>
                <w:sz w:val="18"/>
                <w:szCs w:val="18"/>
              </w:rPr>
            </w:pPr>
            <w:r w:rsidRPr="00DC19D6">
              <w:rPr>
                <w:rFonts w:cs="Tahoma"/>
                <w:b/>
                <w:iCs/>
                <w:sz w:val="18"/>
                <w:szCs w:val="18"/>
              </w:rPr>
              <w:t>Nivel</w:t>
            </w:r>
          </w:p>
        </w:tc>
        <w:tc>
          <w:tcPr>
            <w:tcW w:w="1026" w:type="dxa"/>
          </w:tcPr>
          <w:p w14:paraId="3CBEC6F4" w14:textId="4DFD83C8" w:rsidR="00CC0AD5" w:rsidRPr="00DC19D6" w:rsidRDefault="00CC0AD5" w:rsidP="00CC0AD5">
            <w:pPr>
              <w:autoSpaceDE w:val="0"/>
              <w:autoSpaceDN w:val="0"/>
              <w:adjustRightInd w:val="0"/>
              <w:spacing w:line="240" w:lineRule="auto"/>
              <w:ind w:right="-28"/>
              <w:rPr>
                <w:rFonts w:cs="Tahoma"/>
                <w:b/>
                <w:iCs/>
                <w:sz w:val="18"/>
                <w:szCs w:val="18"/>
              </w:rPr>
            </w:pPr>
            <w:r w:rsidRPr="00DC19D6">
              <w:rPr>
                <w:rFonts w:cs="Tahoma"/>
                <w:b/>
                <w:iCs/>
                <w:sz w:val="18"/>
                <w:szCs w:val="18"/>
              </w:rPr>
              <w:t>Fecha de ingreso al puesto</w:t>
            </w:r>
          </w:p>
        </w:tc>
        <w:tc>
          <w:tcPr>
            <w:tcW w:w="1044" w:type="dxa"/>
          </w:tcPr>
          <w:p w14:paraId="7DE365D0" w14:textId="45FA79DB" w:rsidR="00CC0AD5" w:rsidRPr="00DC19D6" w:rsidRDefault="00CC0AD5" w:rsidP="00CC0AD5">
            <w:pPr>
              <w:autoSpaceDE w:val="0"/>
              <w:autoSpaceDN w:val="0"/>
              <w:adjustRightInd w:val="0"/>
              <w:spacing w:line="240" w:lineRule="auto"/>
              <w:ind w:right="-28"/>
              <w:rPr>
                <w:rFonts w:cs="Tahoma"/>
                <w:b/>
                <w:iCs/>
                <w:sz w:val="18"/>
                <w:szCs w:val="18"/>
              </w:rPr>
            </w:pPr>
            <w:r w:rsidRPr="00DC19D6">
              <w:rPr>
                <w:rFonts w:cs="Tahoma"/>
                <w:b/>
                <w:iCs/>
                <w:sz w:val="18"/>
                <w:szCs w:val="18"/>
              </w:rPr>
              <w:t>Horario Laboral</w:t>
            </w:r>
          </w:p>
        </w:tc>
        <w:tc>
          <w:tcPr>
            <w:tcW w:w="1163" w:type="dxa"/>
          </w:tcPr>
          <w:p w14:paraId="17C5E157" w14:textId="13119F3B" w:rsidR="00CC0AD5" w:rsidRPr="00DC19D6" w:rsidRDefault="00CC0AD5" w:rsidP="00CC0AD5">
            <w:pPr>
              <w:autoSpaceDE w:val="0"/>
              <w:autoSpaceDN w:val="0"/>
              <w:adjustRightInd w:val="0"/>
              <w:spacing w:line="240" w:lineRule="auto"/>
              <w:ind w:right="-28"/>
              <w:rPr>
                <w:rFonts w:cs="Tahoma"/>
                <w:b/>
                <w:iCs/>
                <w:sz w:val="18"/>
                <w:szCs w:val="18"/>
              </w:rPr>
            </w:pPr>
            <w:r w:rsidRPr="00DC19D6">
              <w:rPr>
                <w:rFonts w:cs="Tahoma"/>
                <w:b/>
                <w:iCs/>
                <w:sz w:val="18"/>
                <w:szCs w:val="18"/>
              </w:rPr>
              <w:t>Registro de Asistencia</w:t>
            </w:r>
          </w:p>
        </w:tc>
      </w:tr>
      <w:tr w:rsidR="00CC0AD5" w:rsidRPr="00DC19D6" w14:paraId="039E1941" w14:textId="77777777" w:rsidTr="00CC0AD5">
        <w:tc>
          <w:tcPr>
            <w:tcW w:w="1186" w:type="dxa"/>
          </w:tcPr>
          <w:p w14:paraId="652ED218" w14:textId="22A061CC"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Hernández Orta Diana</w:t>
            </w:r>
          </w:p>
        </w:tc>
        <w:tc>
          <w:tcPr>
            <w:tcW w:w="1367" w:type="dxa"/>
          </w:tcPr>
          <w:p w14:paraId="503EC7CC" w14:textId="76A3524B"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Dirección General de Asuntos jurídicos e Igualdad de Género</w:t>
            </w:r>
          </w:p>
        </w:tc>
        <w:tc>
          <w:tcPr>
            <w:tcW w:w="1239" w:type="dxa"/>
          </w:tcPr>
          <w:p w14:paraId="1383B83A" w14:textId="0764F8A1"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Licenciatura en Derecho (se anexa Título)</w:t>
            </w:r>
          </w:p>
        </w:tc>
        <w:tc>
          <w:tcPr>
            <w:tcW w:w="941" w:type="dxa"/>
          </w:tcPr>
          <w:p w14:paraId="3F3F37C0" w14:textId="08F1D721"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23</w:t>
            </w:r>
          </w:p>
        </w:tc>
        <w:tc>
          <w:tcPr>
            <w:tcW w:w="1026" w:type="dxa"/>
          </w:tcPr>
          <w:p w14:paraId="774AA0CE" w14:textId="0863CECD"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01/01/2024</w:t>
            </w:r>
          </w:p>
        </w:tc>
        <w:tc>
          <w:tcPr>
            <w:tcW w:w="1044" w:type="dxa"/>
          </w:tcPr>
          <w:p w14:paraId="0507F9CC" w14:textId="1F3FF131"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9:00 a 18:00 horas</w:t>
            </w:r>
          </w:p>
        </w:tc>
        <w:tc>
          <w:tcPr>
            <w:tcW w:w="1163" w:type="dxa"/>
          </w:tcPr>
          <w:p w14:paraId="1E06BD6F" w14:textId="3BD549E9"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Sí</w:t>
            </w:r>
          </w:p>
        </w:tc>
      </w:tr>
      <w:tr w:rsidR="00CC0AD5" w:rsidRPr="00DC19D6" w14:paraId="48D4ADC9" w14:textId="77777777" w:rsidTr="00CC0AD5">
        <w:tc>
          <w:tcPr>
            <w:tcW w:w="1186" w:type="dxa"/>
          </w:tcPr>
          <w:p w14:paraId="633B827E" w14:textId="6BC2812E"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Soriano Vega Eric Alberto</w:t>
            </w:r>
          </w:p>
        </w:tc>
        <w:tc>
          <w:tcPr>
            <w:tcW w:w="1367" w:type="dxa"/>
          </w:tcPr>
          <w:p w14:paraId="7D09F83B" w14:textId="65598082"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Departamento en Materia de Consulta, Legislación y Normatividad</w:t>
            </w:r>
          </w:p>
        </w:tc>
        <w:tc>
          <w:tcPr>
            <w:tcW w:w="1239" w:type="dxa"/>
          </w:tcPr>
          <w:p w14:paraId="0284F52F" w14:textId="1A9F94E2"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Licenciatura en Derecho (se anexa Título)</w:t>
            </w:r>
          </w:p>
        </w:tc>
        <w:tc>
          <w:tcPr>
            <w:tcW w:w="941" w:type="dxa"/>
          </w:tcPr>
          <w:p w14:paraId="41BEC864" w14:textId="0B1DD5D6"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22</w:t>
            </w:r>
          </w:p>
        </w:tc>
        <w:tc>
          <w:tcPr>
            <w:tcW w:w="1026" w:type="dxa"/>
          </w:tcPr>
          <w:p w14:paraId="4F1A86A3" w14:textId="30EA731B"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16/02/2024</w:t>
            </w:r>
          </w:p>
        </w:tc>
        <w:tc>
          <w:tcPr>
            <w:tcW w:w="1044" w:type="dxa"/>
          </w:tcPr>
          <w:p w14:paraId="47ABF1AF" w14:textId="7AEE6D42"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9:00 a 18:00 horas</w:t>
            </w:r>
          </w:p>
        </w:tc>
        <w:tc>
          <w:tcPr>
            <w:tcW w:w="1163" w:type="dxa"/>
          </w:tcPr>
          <w:p w14:paraId="2A639194" w14:textId="7C069F0B" w:rsidR="00CC0AD5" w:rsidRPr="00DC19D6" w:rsidRDefault="00CC0AD5" w:rsidP="00CC0AD5">
            <w:pPr>
              <w:autoSpaceDE w:val="0"/>
              <w:autoSpaceDN w:val="0"/>
              <w:adjustRightInd w:val="0"/>
              <w:spacing w:line="240" w:lineRule="auto"/>
              <w:ind w:right="-28"/>
              <w:jc w:val="center"/>
              <w:rPr>
                <w:rFonts w:cs="Tahoma"/>
                <w:iCs/>
                <w:sz w:val="18"/>
                <w:szCs w:val="18"/>
              </w:rPr>
            </w:pPr>
            <w:r w:rsidRPr="00DC19D6">
              <w:rPr>
                <w:rFonts w:cs="Tahoma"/>
                <w:iCs/>
                <w:sz w:val="18"/>
                <w:szCs w:val="18"/>
              </w:rPr>
              <w:t>Sí</w:t>
            </w:r>
          </w:p>
        </w:tc>
      </w:tr>
    </w:tbl>
    <w:p w14:paraId="50D5CE0F" w14:textId="77777777" w:rsidR="00CC0AD5" w:rsidRPr="00DC19D6" w:rsidRDefault="00CC0AD5" w:rsidP="00CC0AD5">
      <w:pPr>
        <w:autoSpaceDE w:val="0"/>
        <w:autoSpaceDN w:val="0"/>
        <w:adjustRightInd w:val="0"/>
        <w:ind w:left="1068" w:right="-28"/>
        <w:rPr>
          <w:rFonts w:cs="Tahoma"/>
          <w:iCs/>
          <w:szCs w:val="22"/>
          <w:lang w:val="es-ES"/>
        </w:rPr>
      </w:pPr>
    </w:p>
    <w:p w14:paraId="3D8A1C14" w14:textId="42A8EC61" w:rsidR="005A4675" w:rsidRPr="00DC19D6" w:rsidRDefault="008B0164" w:rsidP="00CC0AD5">
      <w:pPr>
        <w:autoSpaceDE w:val="0"/>
        <w:autoSpaceDN w:val="0"/>
        <w:adjustRightInd w:val="0"/>
        <w:ind w:left="1068" w:right="-28"/>
        <w:rPr>
          <w:rFonts w:cs="Tahoma"/>
          <w:iCs/>
          <w:szCs w:val="22"/>
          <w:lang w:val="es-ES"/>
        </w:rPr>
      </w:pPr>
      <w:r w:rsidRPr="00DC19D6">
        <w:rPr>
          <w:rFonts w:cs="Tahoma"/>
          <w:iCs/>
          <w:szCs w:val="22"/>
          <w:lang w:val="es-ES"/>
        </w:rPr>
        <w:t>Páginas 2, 6, 8, 10, 12 y 14 en blanco.</w:t>
      </w:r>
    </w:p>
    <w:p w14:paraId="65810EBE" w14:textId="77777777" w:rsidR="008B0164" w:rsidRPr="00DC19D6" w:rsidRDefault="008B0164" w:rsidP="00CC0AD5">
      <w:pPr>
        <w:autoSpaceDE w:val="0"/>
        <w:autoSpaceDN w:val="0"/>
        <w:adjustRightInd w:val="0"/>
        <w:ind w:left="1068" w:right="-28"/>
        <w:rPr>
          <w:rFonts w:cs="Tahoma"/>
          <w:iCs/>
          <w:szCs w:val="22"/>
          <w:lang w:val="es-ES"/>
        </w:rPr>
      </w:pPr>
    </w:p>
    <w:p w14:paraId="3489ED7E" w14:textId="77777777" w:rsidR="008B0164" w:rsidRPr="00DC19D6" w:rsidRDefault="008B0164" w:rsidP="008B0164">
      <w:pPr>
        <w:autoSpaceDE w:val="0"/>
        <w:autoSpaceDN w:val="0"/>
        <w:adjustRightInd w:val="0"/>
        <w:ind w:left="1068" w:right="-28"/>
        <w:rPr>
          <w:rFonts w:cs="Tahoma"/>
          <w:iCs/>
          <w:szCs w:val="22"/>
          <w:lang w:val="es-ES"/>
        </w:rPr>
      </w:pPr>
      <w:r w:rsidRPr="00DC19D6">
        <w:rPr>
          <w:rFonts w:cs="Tahoma"/>
          <w:iCs/>
          <w:szCs w:val="22"/>
          <w:lang w:val="es-ES"/>
        </w:rPr>
        <w:lastRenderedPageBreak/>
        <w:t>Páginas 3 y 4. Oficio 219C0117010000L/1473/2024, de fecha 18 de junio de 2024, suscrito por el Director de Administración y Finanzas, dirigido a la Directora General de Administración y Finanzas, en el que le indica que remite la información con la que cuenta el organismo, derivado de la solicitud de información.</w:t>
      </w:r>
    </w:p>
    <w:p w14:paraId="231F7022" w14:textId="7A76C6E2" w:rsidR="008B0164" w:rsidRPr="00DC19D6" w:rsidRDefault="008B0164" w:rsidP="00CC0AD5">
      <w:pPr>
        <w:autoSpaceDE w:val="0"/>
        <w:autoSpaceDN w:val="0"/>
        <w:adjustRightInd w:val="0"/>
        <w:ind w:left="1068" w:right="-28"/>
        <w:rPr>
          <w:rFonts w:cs="Tahoma"/>
          <w:iCs/>
          <w:szCs w:val="22"/>
          <w:lang w:val="es-ES"/>
        </w:rPr>
      </w:pPr>
      <w:r w:rsidRPr="00DC19D6">
        <w:rPr>
          <w:rFonts w:cs="Tahoma"/>
          <w:iCs/>
          <w:szCs w:val="22"/>
          <w:lang w:val="es-ES"/>
        </w:rPr>
        <w:t>Páginas 7, 9, 11 y 13. Se advierte una tabla, con los rubros No. Nombre, Fecha de baja, Categoría, Nivel y Rango</w:t>
      </w:r>
      <w:r w:rsidR="00A00991" w:rsidRPr="00DC19D6">
        <w:rPr>
          <w:rFonts w:cs="Tahoma"/>
          <w:iCs/>
          <w:szCs w:val="22"/>
          <w:lang w:val="es-ES"/>
        </w:rPr>
        <w:t>, correspondiente a los servidores públicos que causaron baja en el periodo del 01 de septiembre de 2023 al 06 de junio de 2024.</w:t>
      </w:r>
    </w:p>
    <w:p w14:paraId="1C23BC74" w14:textId="77777777" w:rsidR="008B0164" w:rsidRPr="00DC19D6" w:rsidRDefault="008B0164" w:rsidP="00CC0AD5">
      <w:pPr>
        <w:autoSpaceDE w:val="0"/>
        <w:autoSpaceDN w:val="0"/>
        <w:adjustRightInd w:val="0"/>
        <w:ind w:left="1068" w:right="-28"/>
        <w:rPr>
          <w:rFonts w:cs="Tahoma"/>
          <w:iCs/>
          <w:szCs w:val="22"/>
          <w:lang w:val="es-ES"/>
        </w:rPr>
      </w:pPr>
    </w:p>
    <w:p w14:paraId="73E029DF" w14:textId="77777777" w:rsidR="00B83A8E" w:rsidRPr="00DC19D6" w:rsidRDefault="00B83A8E" w:rsidP="00B83A8E">
      <w:pPr>
        <w:pStyle w:val="Prrafodelista"/>
        <w:numPr>
          <w:ilvl w:val="0"/>
          <w:numId w:val="10"/>
        </w:numPr>
        <w:autoSpaceDE w:val="0"/>
        <w:autoSpaceDN w:val="0"/>
        <w:adjustRightInd w:val="0"/>
        <w:ind w:left="1068" w:right="-28"/>
        <w:rPr>
          <w:rFonts w:cs="Tahoma"/>
          <w:b/>
          <w:i/>
          <w:iCs/>
          <w:szCs w:val="22"/>
          <w:lang w:val="es-ES"/>
        </w:rPr>
      </w:pPr>
      <w:r w:rsidRPr="00DC19D6">
        <w:rPr>
          <w:rFonts w:cs="Tahoma"/>
          <w:b/>
          <w:i/>
          <w:iCs/>
          <w:szCs w:val="22"/>
          <w:lang w:val="es-ES"/>
        </w:rPr>
        <w:t>HERNANDEZ ORTA DIANA titulo.pdf</w:t>
      </w:r>
    </w:p>
    <w:p w14:paraId="1B10CB9D" w14:textId="4624A998" w:rsidR="00B83A8E" w:rsidRPr="00DC19D6" w:rsidRDefault="00247756" w:rsidP="00247756">
      <w:pPr>
        <w:autoSpaceDE w:val="0"/>
        <w:autoSpaceDN w:val="0"/>
        <w:adjustRightInd w:val="0"/>
        <w:ind w:left="567" w:right="-28"/>
        <w:rPr>
          <w:rFonts w:cs="Tahoma"/>
          <w:iCs/>
          <w:szCs w:val="22"/>
          <w:lang w:val="es-ES"/>
        </w:rPr>
      </w:pPr>
      <w:r w:rsidRPr="00DC19D6">
        <w:rPr>
          <w:rFonts w:cs="Tahoma"/>
          <w:iCs/>
          <w:szCs w:val="22"/>
          <w:lang w:val="es-ES"/>
        </w:rPr>
        <w:t>Archivo constante de dos páginas, en las que se aprecia un Título profesional de Licenciada en Derecho a favor de Hernández Orta Diana.</w:t>
      </w:r>
    </w:p>
    <w:p w14:paraId="742571A3" w14:textId="77777777" w:rsidR="00B83A8E" w:rsidRPr="00DC19D6" w:rsidRDefault="00B83A8E" w:rsidP="00B83A8E">
      <w:pPr>
        <w:autoSpaceDE w:val="0"/>
        <w:autoSpaceDN w:val="0"/>
        <w:adjustRightInd w:val="0"/>
        <w:ind w:left="348" w:right="-28"/>
        <w:rPr>
          <w:rFonts w:cs="Tahoma"/>
          <w:b/>
          <w:i/>
          <w:iCs/>
          <w:szCs w:val="22"/>
          <w:lang w:val="es-ES"/>
        </w:rPr>
      </w:pPr>
    </w:p>
    <w:p w14:paraId="79B33AA2" w14:textId="77777777" w:rsidR="00B83A8E" w:rsidRPr="00DC19D6" w:rsidRDefault="00B83A8E" w:rsidP="00B83A8E">
      <w:pPr>
        <w:pStyle w:val="Prrafodelista"/>
        <w:numPr>
          <w:ilvl w:val="0"/>
          <w:numId w:val="10"/>
        </w:numPr>
        <w:autoSpaceDE w:val="0"/>
        <w:autoSpaceDN w:val="0"/>
        <w:adjustRightInd w:val="0"/>
        <w:ind w:left="1068" w:right="-28"/>
        <w:rPr>
          <w:rFonts w:cs="Tahoma"/>
          <w:b/>
          <w:i/>
          <w:iCs/>
          <w:szCs w:val="22"/>
          <w:lang w:val="es-ES"/>
        </w:rPr>
      </w:pPr>
      <w:r w:rsidRPr="00DC19D6">
        <w:rPr>
          <w:rFonts w:cs="Tahoma"/>
          <w:b/>
          <w:i/>
          <w:iCs/>
          <w:szCs w:val="22"/>
          <w:lang w:val="es-ES"/>
        </w:rPr>
        <w:t>SORIANO VEGA ERIC ALBERTO TITULO_20240618172442.pdf</w:t>
      </w:r>
    </w:p>
    <w:p w14:paraId="0B94C2C1" w14:textId="6DDA4100" w:rsidR="00247756" w:rsidRPr="00DC19D6" w:rsidRDefault="00247756" w:rsidP="00247756">
      <w:pPr>
        <w:pStyle w:val="Prrafodelista"/>
        <w:autoSpaceDE w:val="0"/>
        <w:autoSpaceDN w:val="0"/>
        <w:adjustRightInd w:val="0"/>
        <w:ind w:left="567" w:right="-28"/>
        <w:rPr>
          <w:rFonts w:cs="Tahoma"/>
          <w:iCs/>
          <w:szCs w:val="22"/>
          <w:lang w:val="es-ES"/>
        </w:rPr>
      </w:pPr>
      <w:r w:rsidRPr="00DC19D6">
        <w:rPr>
          <w:rFonts w:cs="Tahoma"/>
          <w:iCs/>
          <w:szCs w:val="22"/>
          <w:lang w:val="es-ES"/>
        </w:rPr>
        <w:t>Archivo constante de dos páginas, en las que se aprecia un Título profesional de Licenciada en Derecho a favor de Soriano Vega Eric Alberto.</w:t>
      </w:r>
    </w:p>
    <w:p w14:paraId="5B8563A3" w14:textId="77777777" w:rsidR="00B83A8E" w:rsidRPr="00DC19D6" w:rsidRDefault="00B83A8E" w:rsidP="00B83A8E">
      <w:pPr>
        <w:autoSpaceDE w:val="0"/>
        <w:autoSpaceDN w:val="0"/>
        <w:adjustRightInd w:val="0"/>
        <w:ind w:left="348" w:right="-28"/>
        <w:rPr>
          <w:rFonts w:cs="Tahoma"/>
          <w:b/>
          <w:i/>
          <w:iCs/>
          <w:szCs w:val="22"/>
          <w:lang w:val="es-ES"/>
        </w:rPr>
      </w:pPr>
    </w:p>
    <w:p w14:paraId="30D04919" w14:textId="6BDD44F9" w:rsidR="001A1B81" w:rsidRPr="00DC19D6" w:rsidRDefault="00B83A8E" w:rsidP="00B83A8E">
      <w:pPr>
        <w:pStyle w:val="Prrafodelista"/>
        <w:numPr>
          <w:ilvl w:val="0"/>
          <w:numId w:val="10"/>
        </w:numPr>
        <w:autoSpaceDE w:val="0"/>
        <w:autoSpaceDN w:val="0"/>
        <w:adjustRightInd w:val="0"/>
        <w:ind w:left="1068" w:right="-28"/>
        <w:rPr>
          <w:rFonts w:cs="Tahoma"/>
          <w:b/>
          <w:i/>
          <w:iCs/>
          <w:szCs w:val="22"/>
          <w:lang w:val="es-ES"/>
        </w:rPr>
      </w:pPr>
      <w:r w:rsidRPr="00DC19D6">
        <w:rPr>
          <w:rFonts w:cs="Tahoma"/>
          <w:b/>
          <w:i/>
          <w:iCs/>
          <w:szCs w:val="22"/>
          <w:lang w:val="es-ES"/>
        </w:rPr>
        <w:t xml:space="preserve">Respuesta </w:t>
      </w:r>
      <w:proofErr w:type="spellStart"/>
      <w:r w:rsidRPr="00DC19D6">
        <w:rPr>
          <w:rFonts w:cs="Tahoma"/>
          <w:b/>
          <w:i/>
          <w:iCs/>
          <w:szCs w:val="22"/>
          <w:lang w:val="es-ES"/>
        </w:rPr>
        <w:t>saimex</w:t>
      </w:r>
      <w:proofErr w:type="spellEnd"/>
      <w:r w:rsidRPr="00DC19D6">
        <w:rPr>
          <w:rFonts w:cs="Tahoma"/>
          <w:b/>
          <w:i/>
          <w:iCs/>
          <w:szCs w:val="22"/>
          <w:lang w:val="es-ES"/>
        </w:rPr>
        <w:t xml:space="preserve"> 295.pdf.pdf</w:t>
      </w:r>
    </w:p>
    <w:p w14:paraId="22ABE27F" w14:textId="33F8D309" w:rsidR="00B83A8E" w:rsidRPr="00DC19D6" w:rsidRDefault="00247756" w:rsidP="00B83A8E">
      <w:pPr>
        <w:autoSpaceDE w:val="0"/>
        <w:autoSpaceDN w:val="0"/>
        <w:adjustRightInd w:val="0"/>
        <w:ind w:left="708" w:right="-28"/>
        <w:rPr>
          <w:rFonts w:cs="Tahoma"/>
          <w:bCs/>
          <w:szCs w:val="22"/>
          <w:lang w:val="es-ES"/>
        </w:rPr>
      </w:pPr>
      <w:r w:rsidRPr="00DC19D6">
        <w:rPr>
          <w:rFonts w:cs="Tahoma"/>
          <w:bCs/>
          <w:szCs w:val="22"/>
          <w:lang w:val="es-ES"/>
        </w:rPr>
        <w:t>Archivo constante de</w:t>
      </w:r>
      <w:r w:rsidR="002B3136" w:rsidRPr="00DC19D6">
        <w:rPr>
          <w:rFonts w:cs="Tahoma"/>
          <w:bCs/>
          <w:szCs w:val="22"/>
          <w:lang w:val="es-ES"/>
        </w:rPr>
        <w:t xml:space="preserve"> una página, suscrita por la Titular de la Unidad de Transparencia, dirigido al solicitante, en el que le indica que, previa búsqueda exhaustiva y razonable en los archivos que se encuentran bajo resguardo de la Dirección general de Administración y Finanzas, se envía la información correspondiente a lo solicitado.</w:t>
      </w:r>
    </w:p>
    <w:p w14:paraId="63FC19CE" w14:textId="77777777" w:rsidR="00247756" w:rsidRPr="00DC19D6" w:rsidRDefault="00247756" w:rsidP="00B83A8E">
      <w:pPr>
        <w:autoSpaceDE w:val="0"/>
        <w:autoSpaceDN w:val="0"/>
        <w:adjustRightInd w:val="0"/>
        <w:ind w:left="708" w:right="-28"/>
        <w:rPr>
          <w:rFonts w:cs="Tahoma"/>
          <w:bCs/>
          <w:szCs w:val="22"/>
          <w:lang w:val="es-ES"/>
        </w:rPr>
      </w:pPr>
    </w:p>
    <w:p w14:paraId="5A5DAB9E" w14:textId="77777777" w:rsidR="00E37A3F" w:rsidRPr="00DC19D6" w:rsidRDefault="00E37A3F" w:rsidP="00DE1133">
      <w:pPr>
        <w:pStyle w:val="Ttulo2"/>
        <w:jc w:val="left"/>
        <w:rPr>
          <w:szCs w:val="22"/>
        </w:rPr>
      </w:pPr>
      <w:bookmarkStart w:id="7" w:name="_Toc175586254"/>
      <w:r w:rsidRPr="00DC19D6">
        <w:rPr>
          <w:szCs w:val="22"/>
        </w:rPr>
        <w:lastRenderedPageBreak/>
        <w:t>DEL RECURSO DE REVISIÓN</w:t>
      </w:r>
      <w:bookmarkEnd w:id="7"/>
    </w:p>
    <w:p w14:paraId="2B216813" w14:textId="61ADBB2B" w:rsidR="00664420" w:rsidRPr="00DC19D6" w:rsidRDefault="006E25BC" w:rsidP="006E25BC">
      <w:pPr>
        <w:pStyle w:val="Ttulo3"/>
        <w:rPr>
          <w:szCs w:val="22"/>
        </w:rPr>
      </w:pPr>
      <w:bookmarkStart w:id="8" w:name="_Toc175586255"/>
      <w:r w:rsidRPr="00DC19D6">
        <w:rPr>
          <w:szCs w:val="22"/>
        </w:rPr>
        <w:t xml:space="preserve">a) </w:t>
      </w:r>
      <w:r w:rsidR="00664420" w:rsidRPr="00DC19D6">
        <w:rPr>
          <w:szCs w:val="22"/>
        </w:rPr>
        <w:t>Interposición del Recurso de Revisión</w:t>
      </w:r>
      <w:bookmarkEnd w:id="8"/>
    </w:p>
    <w:p w14:paraId="6279C622" w14:textId="0F092B59" w:rsidR="00664420" w:rsidRPr="00DC19D6" w:rsidRDefault="00664420" w:rsidP="00664420">
      <w:pPr>
        <w:autoSpaceDE w:val="0"/>
        <w:autoSpaceDN w:val="0"/>
        <w:adjustRightInd w:val="0"/>
        <w:ind w:right="-28"/>
        <w:rPr>
          <w:rFonts w:cs="Tahoma"/>
          <w:szCs w:val="22"/>
        </w:rPr>
      </w:pPr>
      <w:r w:rsidRPr="00DC19D6">
        <w:rPr>
          <w:rFonts w:cs="Tahoma"/>
          <w:szCs w:val="22"/>
        </w:rPr>
        <w:t xml:space="preserve">El </w:t>
      </w:r>
      <w:r w:rsidR="0099070B" w:rsidRPr="00DC19D6">
        <w:rPr>
          <w:rFonts w:cs="Tahoma"/>
          <w:b/>
          <w:bCs/>
          <w:szCs w:val="22"/>
        </w:rPr>
        <w:t>ocho de julio</w:t>
      </w:r>
      <w:r w:rsidRPr="00DC19D6">
        <w:rPr>
          <w:rFonts w:cs="Tahoma"/>
          <w:b/>
          <w:bCs/>
          <w:szCs w:val="22"/>
        </w:rPr>
        <w:t xml:space="preserve"> de dos mil </w:t>
      </w:r>
      <w:r w:rsidR="00E810F7" w:rsidRPr="00DC19D6">
        <w:rPr>
          <w:rFonts w:cs="Tahoma"/>
          <w:b/>
          <w:bCs/>
          <w:szCs w:val="22"/>
        </w:rPr>
        <w:t>veinticuatro</w:t>
      </w:r>
      <w:r w:rsidR="001A1B81" w:rsidRPr="00DC19D6">
        <w:rPr>
          <w:rFonts w:cs="Tahoma"/>
          <w:b/>
          <w:bCs/>
          <w:szCs w:val="22"/>
        </w:rPr>
        <w:t>,</w:t>
      </w:r>
      <w:r w:rsidRPr="00DC19D6">
        <w:rPr>
          <w:rFonts w:cs="Tahoma"/>
          <w:szCs w:val="22"/>
        </w:rPr>
        <w:t xml:space="preserve"> </w:t>
      </w:r>
      <w:r w:rsidR="00F75D23" w:rsidRPr="00DC19D6">
        <w:rPr>
          <w:rFonts w:cs="Tahoma"/>
          <w:b/>
          <w:bCs/>
          <w:szCs w:val="22"/>
        </w:rPr>
        <w:t>LA PARTE RECURRENTE</w:t>
      </w:r>
      <w:r w:rsidR="00F75D23" w:rsidRPr="00DC19D6">
        <w:rPr>
          <w:rFonts w:cs="Tahoma"/>
          <w:szCs w:val="22"/>
        </w:rPr>
        <w:t xml:space="preserve"> interpuso el recurso de revisión en contra de la respuesta emitida por el </w:t>
      </w:r>
      <w:r w:rsidR="00F75D23" w:rsidRPr="00DC19D6">
        <w:rPr>
          <w:rFonts w:cs="Tahoma"/>
          <w:b/>
          <w:bCs/>
          <w:szCs w:val="22"/>
        </w:rPr>
        <w:t>SUJETO OBLIGADO</w:t>
      </w:r>
      <w:r w:rsidR="00953430" w:rsidRPr="00DC19D6">
        <w:rPr>
          <w:rFonts w:cs="Tahoma"/>
          <w:szCs w:val="22"/>
        </w:rPr>
        <w:t xml:space="preserve">, mismo que fue registrado en el SAIMEX con el número de expediente </w:t>
      </w:r>
      <w:r w:rsidR="00427AFE" w:rsidRPr="00DC19D6">
        <w:rPr>
          <w:rFonts w:cs="Tahoma"/>
          <w:b/>
          <w:bCs/>
          <w:szCs w:val="22"/>
        </w:rPr>
        <w:t>04192/INFOEM/IP/RR/2024</w:t>
      </w:r>
      <w:r w:rsidR="00953430" w:rsidRPr="00DC19D6">
        <w:rPr>
          <w:rFonts w:cs="Tahoma"/>
          <w:szCs w:val="22"/>
        </w:rPr>
        <w:t>, y en el cual manifiesta lo siguiente</w:t>
      </w:r>
      <w:r w:rsidRPr="00DC19D6">
        <w:rPr>
          <w:rFonts w:cs="Tahoma"/>
          <w:szCs w:val="22"/>
        </w:rPr>
        <w:t>:</w:t>
      </w:r>
    </w:p>
    <w:p w14:paraId="74B30008" w14:textId="77777777" w:rsidR="00664420" w:rsidRPr="00DC19D6" w:rsidRDefault="00664420" w:rsidP="00664420">
      <w:pPr>
        <w:tabs>
          <w:tab w:val="left" w:pos="4667"/>
        </w:tabs>
        <w:ind w:right="539"/>
        <w:rPr>
          <w:rFonts w:cs="Tahoma"/>
          <w:szCs w:val="22"/>
        </w:rPr>
      </w:pPr>
    </w:p>
    <w:p w14:paraId="6900A410" w14:textId="77777777" w:rsidR="0009347C" w:rsidRPr="00DC19D6" w:rsidRDefault="00664420" w:rsidP="00664420">
      <w:pPr>
        <w:tabs>
          <w:tab w:val="left" w:pos="4667"/>
        </w:tabs>
        <w:ind w:left="567" w:right="539"/>
        <w:rPr>
          <w:rFonts w:cs="Tahoma"/>
          <w:b/>
          <w:iCs/>
          <w:szCs w:val="22"/>
        </w:rPr>
      </w:pPr>
      <w:r w:rsidRPr="00DC19D6">
        <w:rPr>
          <w:rFonts w:cs="Tahoma"/>
          <w:b/>
          <w:iCs/>
          <w:szCs w:val="22"/>
        </w:rPr>
        <w:t>ACTO IMPUGNADO</w:t>
      </w:r>
    </w:p>
    <w:p w14:paraId="12153283" w14:textId="58A2ED6D" w:rsidR="00664420" w:rsidRPr="00DC19D6" w:rsidRDefault="00664420" w:rsidP="00664420">
      <w:pPr>
        <w:tabs>
          <w:tab w:val="left" w:pos="4667"/>
        </w:tabs>
        <w:ind w:left="567" w:right="539"/>
        <w:rPr>
          <w:rFonts w:cs="Tahoma"/>
          <w:b/>
          <w:iCs/>
          <w:szCs w:val="22"/>
        </w:rPr>
      </w:pPr>
      <w:r w:rsidRPr="00DC19D6">
        <w:rPr>
          <w:rFonts w:cs="Tahoma"/>
          <w:b/>
          <w:iCs/>
          <w:szCs w:val="22"/>
        </w:rPr>
        <w:tab/>
      </w:r>
    </w:p>
    <w:p w14:paraId="6238FEEF" w14:textId="6C0AE5BC" w:rsidR="005856CA" w:rsidRPr="00DC19D6" w:rsidRDefault="0099070B" w:rsidP="003B6BE8">
      <w:pPr>
        <w:pStyle w:val="Puesto"/>
      </w:pPr>
      <w:proofErr w:type="spellStart"/>
      <w:r w:rsidRPr="00DC19D6">
        <w:t>pedi</w:t>
      </w:r>
      <w:proofErr w:type="spellEnd"/>
      <w:r w:rsidRPr="00DC19D6">
        <w:t xml:space="preserve"> los oficios de cada despido autorizado por su jefe inmediatamente y la razón por la cual se les despidió y o me entregaron nada</w:t>
      </w:r>
    </w:p>
    <w:p w14:paraId="1069BF0B" w14:textId="77777777" w:rsidR="002E2C99" w:rsidRPr="00DC19D6" w:rsidRDefault="002E2C99" w:rsidP="00664420">
      <w:pPr>
        <w:tabs>
          <w:tab w:val="left" w:pos="4667"/>
        </w:tabs>
        <w:ind w:left="567" w:right="539"/>
        <w:rPr>
          <w:rFonts w:cs="Tahoma"/>
          <w:b/>
          <w:iCs/>
          <w:szCs w:val="22"/>
        </w:rPr>
      </w:pPr>
    </w:p>
    <w:p w14:paraId="047D036B" w14:textId="77777777" w:rsidR="00664420" w:rsidRPr="00DC19D6" w:rsidRDefault="00664420" w:rsidP="00664420">
      <w:pPr>
        <w:tabs>
          <w:tab w:val="left" w:pos="4667"/>
        </w:tabs>
        <w:ind w:left="567" w:right="539"/>
        <w:rPr>
          <w:rFonts w:cs="Tahoma"/>
          <w:b/>
          <w:iCs/>
          <w:szCs w:val="22"/>
        </w:rPr>
      </w:pPr>
      <w:r w:rsidRPr="00DC19D6">
        <w:rPr>
          <w:rFonts w:cs="Tahoma"/>
          <w:b/>
          <w:iCs/>
          <w:szCs w:val="22"/>
        </w:rPr>
        <w:t>RAZONES O MOTIVOS DE LA INCONFORMIDAD</w:t>
      </w:r>
      <w:r w:rsidRPr="00DC19D6">
        <w:rPr>
          <w:rFonts w:cs="Tahoma"/>
          <w:b/>
          <w:iCs/>
          <w:szCs w:val="22"/>
        </w:rPr>
        <w:tab/>
      </w:r>
    </w:p>
    <w:p w14:paraId="48FE75EA" w14:textId="6F9558DE" w:rsidR="00664420" w:rsidRPr="00DC19D6" w:rsidRDefault="0099070B" w:rsidP="003B6BE8">
      <w:pPr>
        <w:pStyle w:val="Puesto"/>
      </w:pPr>
      <w:proofErr w:type="spellStart"/>
      <w:r w:rsidRPr="00DC19D6">
        <w:t>pedi</w:t>
      </w:r>
      <w:proofErr w:type="spellEnd"/>
      <w:r w:rsidRPr="00DC19D6">
        <w:t xml:space="preserve"> los oficios de cada despido autorizado por su jefe inmediatamente y la razón por la cual se les despidió y o me entregaron nada</w:t>
      </w:r>
    </w:p>
    <w:p w14:paraId="503AD335" w14:textId="77777777" w:rsidR="002E2C99" w:rsidRPr="00DC19D6" w:rsidRDefault="002E2C99" w:rsidP="00664420">
      <w:pPr>
        <w:tabs>
          <w:tab w:val="left" w:pos="4667"/>
        </w:tabs>
        <w:ind w:right="567"/>
        <w:rPr>
          <w:rFonts w:cs="Tahoma"/>
          <w:b/>
          <w:bCs/>
          <w:szCs w:val="22"/>
        </w:rPr>
      </w:pPr>
    </w:p>
    <w:p w14:paraId="6804DEF1" w14:textId="3C4F6CB5" w:rsidR="00664420" w:rsidRPr="00DC19D6" w:rsidRDefault="006E25BC" w:rsidP="006E25BC">
      <w:pPr>
        <w:pStyle w:val="Ttulo3"/>
        <w:rPr>
          <w:szCs w:val="22"/>
        </w:rPr>
      </w:pPr>
      <w:bookmarkStart w:id="9" w:name="_Toc175586256"/>
      <w:r w:rsidRPr="00DC19D6">
        <w:rPr>
          <w:szCs w:val="22"/>
        </w:rPr>
        <w:t>b</w:t>
      </w:r>
      <w:r w:rsidR="00664420" w:rsidRPr="00DC19D6">
        <w:rPr>
          <w:szCs w:val="22"/>
        </w:rPr>
        <w:t>) Turno del Recurso de Revisión</w:t>
      </w:r>
      <w:bookmarkEnd w:id="9"/>
    </w:p>
    <w:p w14:paraId="1173671B" w14:textId="5AC121FE" w:rsidR="00C72DAA" w:rsidRPr="00DC19D6" w:rsidRDefault="00C72DAA" w:rsidP="00C72DAA">
      <w:pPr>
        <w:rPr>
          <w:szCs w:val="22"/>
        </w:rPr>
      </w:pPr>
      <w:r w:rsidRPr="00DC19D6">
        <w:rPr>
          <w:szCs w:val="22"/>
        </w:rPr>
        <w:t>Con fundamento en el artículo 185, fracción I de la Ley de Transparencia y Acceso a la Información Pública del Estado de México y Municipios, el</w:t>
      </w:r>
      <w:r w:rsidRPr="00DC19D6">
        <w:rPr>
          <w:b/>
          <w:bCs/>
          <w:szCs w:val="22"/>
        </w:rPr>
        <w:t xml:space="preserve"> </w:t>
      </w:r>
      <w:r w:rsidR="0099070B" w:rsidRPr="00DC19D6">
        <w:rPr>
          <w:rFonts w:cs="Tahoma"/>
          <w:b/>
          <w:bCs/>
          <w:szCs w:val="22"/>
        </w:rPr>
        <w:t>ocho de julio</w:t>
      </w:r>
      <w:r w:rsidR="004252F1" w:rsidRPr="00DC19D6">
        <w:rPr>
          <w:rFonts w:cs="Tahoma"/>
          <w:b/>
          <w:bCs/>
          <w:szCs w:val="22"/>
        </w:rPr>
        <w:t xml:space="preserve"> de dos mil veinticuatro</w:t>
      </w:r>
      <w:r w:rsidR="00003628" w:rsidRPr="00DC19D6">
        <w:rPr>
          <w:rFonts w:cs="Tahoma"/>
          <w:b/>
          <w:bCs/>
          <w:szCs w:val="22"/>
        </w:rPr>
        <w:t>,</w:t>
      </w:r>
      <w:r w:rsidRPr="00DC19D6">
        <w:rPr>
          <w:szCs w:val="22"/>
        </w:rPr>
        <w:t xml:space="preserve"> se turnó el recurso de revisión a través del</w:t>
      </w:r>
      <w:r w:rsidRPr="00DC19D6">
        <w:rPr>
          <w:rFonts w:eastAsia="Arial Unicode MS"/>
          <w:szCs w:val="22"/>
        </w:rPr>
        <w:t xml:space="preserve"> </w:t>
      </w:r>
      <w:r w:rsidRPr="00DC19D6">
        <w:rPr>
          <w:rFonts w:eastAsia="Arial Unicode MS"/>
          <w:bCs/>
          <w:szCs w:val="22"/>
        </w:rPr>
        <w:t>SAIMEX</w:t>
      </w:r>
      <w:r w:rsidRPr="00DC19D6">
        <w:rPr>
          <w:szCs w:val="22"/>
        </w:rPr>
        <w:t xml:space="preserve"> a la </w:t>
      </w:r>
      <w:r w:rsidRPr="00DC19D6">
        <w:rPr>
          <w:b/>
          <w:szCs w:val="22"/>
        </w:rPr>
        <w:t>Comisionada Sharon Cristina Morales Martínez</w:t>
      </w:r>
      <w:r w:rsidRPr="00DC19D6">
        <w:rPr>
          <w:bCs/>
          <w:szCs w:val="22"/>
        </w:rPr>
        <w:t xml:space="preserve">, </w:t>
      </w:r>
      <w:r w:rsidRPr="00DC19D6">
        <w:rPr>
          <w:szCs w:val="22"/>
        </w:rPr>
        <w:t xml:space="preserve">a efecto de decretar su admisión o </w:t>
      </w:r>
      <w:proofErr w:type="spellStart"/>
      <w:r w:rsidRPr="00DC19D6">
        <w:rPr>
          <w:szCs w:val="22"/>
        </w:rPr>
        <w:t>desechamiento</w:t>
      </w:r>
      <w:proofErr w:type="spellEnd"/>
      <w:r w:rsidRPr="00DC19D6">
        <w:rPr>
          <w:szCs w:val="22"/>
        </w:rPr>
        <w:t xml:space="preserve">. </w:t>
      </w:r>
    </w:p>
    <w:p w14:paraId="18F305CB" w14:textId="77777777" w:rsidR="00664420" w:rsidRPr="00DC19D6" w:rsidRDefault="00664420" w:rsidP="00664420">
      <w:pPr>
        <w:rPr>
          <w:rFonts w:eastAsia="Batang" w:cs="Tahoma"/>
          <w:bCs/>
          <w:szCs w:val="22"/>
        </w:rPr>
      </w:pPr>
    </w:p>
    <w:p w14:paraId="3E31EC2D" w14:textId="295256A1" w:rsidR="00664420" w:rsidRPr="00DC19D6" w:rsidRDefault="006E25BC" w:rsidP="006E25BC">
      <w:pPr>
        <w:pStyle w:val="Ttulo3"/>
        <w:rPr>
          <w:szCs w:val="22"/>
        </w:rPr>
      </w:pPr>
      <w:bookmarkStart w:id="10" w:name="_Toc175586257"/>
      <w:r w:rsidRPr="00DC19D6">
        <w:rPr>
          <w:szCs w:val="22"/>
        </w:rPr>
        <w:t>c</w:t>
      </w:r>
      <w:r w:rsidR="00664420" w:rsidRPr="00DC19D6">
        <w:rPr>
          <w:szCs w:val="22"/>
        </w:rPr>
        <w:t>) Admisión del Recurso de Revisión</w:t>
      </w:r>
      <w:bookmarkEnd w:id="10"/>
    </w:p>
    <w:p w14:paraId="240447D5" w14:textId="25355AC2" w:rsidR="000E09C4" w:rsidRPr="00DC19D6" w:rsidRDefault="000E09C4" w:rsidP="000E09C4">
      <w:pPr>
        <w:rPr>
          <w:rFonts w:cs="Arial"/>
          <w:color w:val="000000" w:themeColor="text1"/>
          <w:szCs w:val="22"/>
        </w:rPr>
      </w:pPr>
      <w:r w:rsidRPr="00DC19D6">
        <w:rPr>
          <w:rFonts w:cs="Arial"/>
          <w:color w:val="000000" w:themeColor="text1"/>
          <w:szCs w:val="22"/>
        </w:rPr>
        <w:t xml:space="preserve">El </w:t>
      </w:r>
      <w:r w:rsidR="0099070B" w:rsidRPr="00DC19D6">
        <w:rPr>
          <w:rFonts w:cs="Arial"/>
          <w:b/>
          <w:bCs/>
          <w:szCs w:val="22"/>
        </w:rPr>
        <w:t>diez de julio</w:t>
      </w:r>
      <w:r w:rsidR="004252F1" w:rsidRPr="00DC19D6">
        <w:rPr>
          <w:rFonts w:cs="Arial"/>
          <w:b/>
          <w:bCs/>
          <w:szCs w:val="22"/>
        </w:rPr>
        <w:t xml:space="preserve"> de dos mil veinticuatro</w:t>
      </w:r>
      <w:r w:rsidR="00003628" w:rsidRPr="00DC19D6">
        <w:rPr>
          <w:rFonts w:cs="Arial"/>
          <w:b/>
          <w:bCs/>
          <w:szCs w:val="22"/>
        </w:rPr>
        <w:t>,</w:t>
      </w:r>
      <w:r w:rsidR="004252F1" w:rsidRPr="00DC19D6">
        <w:rPr>
          <w:rFonts w:cs="Arial"/>
          <w:color w:val="000000" w:themeColor="text1"/>
          <w:szCs w:val="22"/>
        </w:rPr>
        <w:t xml:space="preserve"> </w:t>
      </w:r>
      <w:r w:rsidRPr="00DC19D6">
        <w:rPr>
          <w:rFonts w:cs="Arial"/>
          <w:color w:val="000000" w:themeColor="text1"/>
          <w:szCs w:val="22"/>
        </w:rPr>
        <w:t xml:space="preserve">se acordó la admisión a trámite del Recurso de Revisión y se integró el expediente respectivo, mismo que se puso a disposición de las partes para que, en un plazo de siete días hábiles, manifestaran lo que a su derecho conviniera, </w:t>
      </w:r>
      <w:r w:rsidRPr="00DC19D6">
        <w:rPr>
          <w:rFonts w:cs="Arial"/>
          <w:color w:val="000000" w:themeColor="text1"/>
          <w:szCs w:val="22"/>
        </w:rPr>
        <w:lastRenderedPageBreak/>
        <w:t>conforme a lo dispuesto por el artículo 185</w:t>
      </w:r>
      <w:r w:rsidR="00865CF4" w:rsidRPr="00DC19D6">
        <w:rPr>
          <w:rFonts w:cs="Arial"/>
          <w:color w:val="000000" w:themeColor="text1"/>
          <w:szCs w:val="22"/>
        </w:rPr>
        <w:t>, fracción II</w:t>
      </w:r>
      <w:r w:rsidRPr="00DC19D6">
        <w:rPr>
          <w:rFonts w:cs="Arial"/>
          <w:color w:val="000000" w:themeColor="text1"/>
          <w:szCs w:val="22"/>
        </w:rPr>
        <w:t xml:space="preserve"> de la Ley de Transparencia y Acceso a la Información Pública del Estado de México y Municipios.</w:t>
      </w:r>
    </w:p>
    <w:p w14:paraId="34EC3F86" w14:textId="77777777" w:rsidR="00D2790D" w:rsidRPr="00DC19D6" w:rsidRDefault="00D2790D" w:rsidP="000E09C4">
      <w:pPr>
        <w:rPr>
          <w:rFonts w:cs="Arial"/>
          <w:color w:val="000000" w:themeColor="text1"/>
          <w:szCs w:val="22"/>
        </w:rPr>
      </w:pPr>
    </w:p>
    <w:p w14:paraId="3B820F58" w14:textId="5EBF1699" w:rsidR="00865CF4" w:rsidRPr="00DC19D6" w:rsidRDefault="006E25BC" w:rsidP="006E25BC">
      <w:pPr>
        <w:pStyle w:val="Ttulo3"/>
        <w:rPr>
          <w:szCs w:val="22"/>
        </w:rPr>
      </w:pPr>
      <w:bookmarkStart w:id="11" w:name="_Toc175586258"/>
      <w:r w:rsidRPr="00DC19D6">
        <w:rPr>
          <w:szCs w:val="22"/>
        </w:rPr>
        <w:t>d</w:t>
      </w:r>
      <w:r w:rsidR="00D2790D" w:rsidRPr="00DC19D6">
        <w:rPr>
          <w:szCs w:val="22"/>
        </w:rPr>
        <w:t xml:space="preserve">) </w:t>
      </w:r>
      <w:r w:rsidR="00865CF4" w:rsidRPr="00DC19D6">
        <w:rPr>
          <w:szCs w:val="22"/>
        </w:rPr>
        <w:t>Informe Justificado del Sujeto Obligado</w:t>
      </w:r>
      <w:bookmarkEnd w:id="11"/>
    </w:p>
    <w:p w14:paraId="548E088D" w14:textId="34EF7A82" w:rsidR="00EF577F" w:rsidRPr="00DC19D6" w:rsidRDefault="00EF577F" w:rsidP="00EF577F">
      <w:pPr>
        <w:rPr>
          <w:rFonts w:eastAsia="Arial Unicode MS" w:cs="Arial"/>
          <w:color w:val="000000" w:themeColor="text1"/>
        </w:rPr>
      </w:pPr>
      <w:r w:rsidRPr="00DC19D6">
        <w:rPr>
          <w:rFonts w:cs="Tahoma"/>
          <w:b/>
          <w:szCs w:val="24"/>
        </w:rPr>
        <w:t xml:space="preserve">EL SUJETO OBLIGADO </w:t>
      </w:r>
      <w:r w:rsidRPr="00DC19D6">
        <w:rPr>
          <w:rFonts w:eastAsia="Arial Unicode MS" w:cs="Arial"/>
          <w:color w:val="000000" w:themeColor="text1"/>
        </w:rPr>
        <w:t>no rindió su informe justificado dentro del término legalmente concedido para tal efecto.</w:t>
      </w:r>
    </w:p>
    <w:p w14:paraId="66BA6FC7" w14:textId="77777777" w:rsidR="00865CF4" w:rsidRPr="00DC19D6" w:rsidRDefault="00865CF4" w:rsidP="00865CF4">
      <w:pPr>
        <w:rPr>
          <w:rFonts w:cs="Tahoma"/>
          <w:bCs/>
          <w:szCs w:val="22"/>
        </w:rPr>
      </w:pPr>
    </w:p>
    <w:p w14:paraId="755B7730" w14:textId="2A0EB956" w:rsidR="00664420" w:rsidRPr="00DC19D6" w:rsidRDefault="00E810F7" w:rsidP="00664420">
      <w:pPr>
        <w:pStyle w:val="Ttulo3"/>
        <w:rPr>
          <w:szCs w:val="22"/>
          <w:lang w:val="es-ES"/>
        </w:rPr>
      </w:pPr>
      <w:bookmarkStart w:id="12" w:name="_Toc175586259"/>
      <w:r w:rsidRPr="00DC19D6">
        <w:rPr>
          <w:rFonts w:eastAsia="Calibri"/>
          <w:bCs/>
          <w:szCs w:val="22"/>
          <w:lang w:eastAsia="en-US"/>
        </w:rPr>
        <w:t>e</w:t>
      </w:r>
      <w:r w:rsidR="00664420" w:rsidRPr="00DC19D6">
        <w:rPr>
          <w:rFonts w:eastAsia="Calibri"/>
          <w:bCs/>
          <w:szCs w:val="22"/>
          <w:lang w:eastAsia="en-US"/>
        </w:rPr>
        <w:t>)</w:t>
      </w:r>
      <w:r w:rsidR="00664420" w:rsidRPr="00DC19D6">
        <w:rPr>
          <w:szCs w:val="22"/>
        </w:rPr>
        <w:t xml:space="preserve"> </w:t>
      </w:r>
      <w:r w:rsidR="00865CF4" w:rsidRPr="00DC19D6">
        <w:rPr>
          <w:szCs w:val="22"/>
          <w:lang w:val="es-ES"/>
        </w:rPr>
        <w:t>Manifestaciones de la Parte Recurrente</w:t>
      </w:r>
      <w:bookmarkEnd w:id="12"/>
    </w:p>
    <w:p w14:paraId="217D1747" w14:textId="77777777" w:rsidR="00EF577F" w:rsidRPr="00DC19D6" w:rsidRDefault="00EF577F" w:rsidP="00EF577F">
      <w:pPr>
        <w:rPr>
          <w:color w:val="000000"/>
        </w:rPr>
      </w:pPr>
      <w:r w:rsidRPr="00DC19D6">
        <w:rPr>
          <w:b/>
        </w:rPr>
        <w:t xml:space="preserve">LA PARTE RECURRENTE </w:t>
      </w:r>
      <w:r w:rsidRPr="00DC19D6">
        <w:rPr>
          <w:color w:val="000000"/>
        </w:rPr>
        <w:t>no realizó manifestación alguna dentro del término legalmente concedido para tal efecto, ni presentó pruebas o alegatos.</w:t>
      </w:r>
    </w:p>
    <w:p w14:paraId="6923684C" w14:textId="77777777" w:rsidR="00664420" w:rsidRPr="00DC19D6" w:rsidRDefault="00664420" w:rsidP="00664420">
      <w:pPr>
        <w:rPr>
          <w:rFonts w:cs="Tahoma"/>
          <w:szCs w:val="22"/>
        </w:rPr>
      </w:pPr>
    </w:p>
    <w:p w14:paraId="0E651988" w14:textId="0F42E23C" w:rsidR="00664420" w:rsidRPr="00DC19D6" w:rsidRDefault="0099070B" w:rsidP="00664420">
      <w:pPr>
        <w:pStyle w:val="Ttulo3"/>
        <w:rPr>
          <w:szCs w:val="22"/>
        </w:rPr>
      </w:pPr>
      <w:bookmarkStart w:id="13" w:name="_Toc175586260"/>
      <w:r w:rsidRPr="00DC19D6">
        <w:rPr>
          <w:szCs w:val="22"/>
        </w:rPr>
        <w:t>f</w:t>
      </w:r>
      <w:r w:rsidR="00664420" w:rsidRPr="00DC19D6">
        <w:rPr>
          <w:szCs w:val="22"/>
        </w:rPr>
        <w:t>) Cierre de instrucción</w:t>
      </w:r>
      <w:bookmarkEnd w:id="13"/>
    </w:p>
    <w:p w14:paraId="79AF95DC" w14:textId="550DB1C5" w:rsidR="00664420" w:rsidRPr="00DC19D6" w:rsidRDefault="00BF091A" w:rsidP="00664420">
      <w:pPr>
        <w:rPr>
          <w:color w:val="000000" w:themeColor="text1"/>
          <w:szCs w:val="22"/>
        </w:rPr>
      </w:pPr>
      <w:r w:rsidRPr="00DC19D6">
        <w:rPr>
          <w:rFonts w:cs="Tahoma"/>
          <w:szCs w:val="22"/>
        </w:rPr>
        <w:t>Al no existir diligencias pendientes por desahogar</w:t>
      </w:r>
      <w:r w:rsidRPr="00DC19D6">
        <w:rPr>
          <w:rFonts w:cs="Arial"/>
          <w:color w:val="000000" w:themeColor="text1"/>
          <w:szCs w:val="22"/>
        </w:rPr>
        <w:t xml:space="preserve">, el </w:t>
      </w:r>
      <w:r w:rsidR="0099070B" w:rsidRPr="00DC19D6">
        <w:rPr>
          <w:rFonts w:cs="Tahoma"/>
          <w:b/>
          <w:bCs/>
          <w:szCs w:val="22"/>
        </w:rPr>
        <w:t>catorce</w:t>
      </w:r>
      <w:r w:rsidR="009E57D9" w:rsidRPr="00DC19D6">
        <w:rPr>
          <w:rFonts w:cs="Tahoma"/>
          <w:b/>
          <w:bCs/>
          <w:szCs w:val="22"/>
        </w:rPr>
        <w:t xml:space="preserve"> de agosto</w:t>
      </w:r>
      <w:r w:rsidR="00E810F7" w:rsidRPr="00DC19D6">
        <w:rPr>
          <w:rFonts w:cs="Tahoma"/>
          <w:b/>
          <w:bCs/>
          <w:szCs w:val="22"/>
        </w:rPr>
        <w:t xml:space="preserve"> de dos mil veinticuatro</w:t>
      </w:r>
      <w:r w:rsidR="00003628" w:rsidRPr="00DC19D6">
        <w:rPr>
          <w:rFonts w:cs="Tahoma"/>
          <w:b/>
          <w:bCs/>
          <w:szCs w:val="22"/>
        </w:rPr>
        <w:t>,</w:t>
      </w:r>
      <w:r w:rsidR="00E810F7" w:rsidRPr="00DC19D6">
        <w:rPr>
          <w:rFonts w:cs="Tahoma"/>
          <w:szCs w:val="22"/>
        </w:rPr>
        <w:t xml:space="preserve"> </w:t>
      </w:r>
      <w:r w:rsidRPr="00DC19D6">
        <w:rPr>
          <w:rFonts w:cs="Arial"/>
          <w:color w:val="000000" w:themeColor="text1"/>
          <w:szCs w:val="22"/>
        </w:rPr>
        <w:t xml:space="preserve">la </w:t>
      </w:r>
      <w:r w:rsidRPr="00DC19D6">
        <w:rPr>
          <w:rFonts w:cs="Arial"/>
          <w:b/>
          <w:bCs/>
          <w:color w:val="000000" w:themeColor="text1"/>
          <w:szCs w:val="22"/>
        </w:rPr>
        <w:t xml:space="preserve">Comisionada </w:t>
      </w:r>
      <w:r w:rsidRPr="00DC19D6">
        <w:rPr>
          <w:b/>
          <w:color w:val="000000" w:themeColor="text1"/>
          <w:szCs w:val="22"/>
        </w:rPr>
        <w:t xml:space="preserve">Sharon Cristina Morales Martínez </w:t>
      </w:r>
      <w:r w:rsidRPr="00DC19D6">
        <w:rPr>
          <w:rFonts w:cs="Arial"/>
          <w:color w:val="000000" w:themeColor="text1"/>
          <w:szCs w:val="22"/>
        </w:rPr>
        <w:t>acordó el cierre de instrucción</w:t>
      </w:r>
      <w:r w:rsidR="0011350D" w:rsidRPr="00DC19D6">
        <w:rPr>
          <w:rFonts w:cs="Arial"/>
          <w:color w:val="000000" w:themeColor="text1"/>
          <w:szCs w:val="22"/>
        </w:rPr>
        <w:t xml:space="preserve"> y</w:t>
      </w:r>
      <w:r w:rsidRPr="00DC19D6">
        <w:rPr>
          <w:rFonts w:cs="Arial"/>
          <w:color w:val="000000" w:themeColor="text1"/>
          <w:szCs w:val="22"/>
        </w:rPr>
        <w:t xml:space="preserve"> </w:t>
      </w:r>
      <w:r w:rsidR="0011350D" w:rsidRPr="00DC19D6">
        <w:rPr>
          <w:rFonts w:cs="Arial"/>
          <w:color w:val="000000" w:themeColor="text1"/>
          <w:szCs w:val="22"/>
        </w:rPr>
        <w:t xml:space="preserve">la </w:t>
      </w:r>
      <w:r w:rsidRPr="00DC19D6">
        <w:rPr>
          <w:rFonts w:cs="Arial"/>
          <w:color w:val="000000" w:themeColor="text1"/>
          <w:szCs w:val="22"/>
        </w:rPr>
        <w:t>remisión del expediente a efecto de ser resuelto, de conformidad con lo establecido en el artículo 185 fracciones VI y VIII de la Ley de Transparencia y Acceso a la Información Pública del Estado de México y Municipios</w:t>
      </w:r>
      <w:r w:rsidRPr="00DC19D6">
        <w:rPr>
          <w:color w:val="000000" w:themeColor="text1"/>
          <w:szCs w:val="22"/>
        </w:rPr>
        <w:t>.</w:t>
      </w:r>
      <w:r w:rsidR="0011350D" w:rsidRPr="00DC19D6">
        <w:rPr>
          <w:color w:val="000000" w:themeColor="text1"/>
          <w:szCs w:val="22"/>
        </w:rPr>
        <w:t xml:space="preserve"> Dicho acuerdo </w:t>
      </w:r>
      <w:r w:rsidR="00664420" w:rsidRPr="00DC19D6">
        <w:rPr>
          <w:rFonts w:cs="Tahoma"/>
          <w:szCs w:val="22"/>
        </w:rPr>
        <w:t xml:space="preserve">fue notificado a las partes el mismo día a través del </w:t>
      </w:r>
      <w:r w:rsidR="00664420" w:rsidRPr="00DC19D6">
        <w:rPr>
          <w:rFonts w:cs="Tahoma"/>
          <w:szCs w:val="22"/>
          <w:lang w:val="es-ES"/>
        </w:rPr>
        <w:t>SAIMEX</w:t>
      </w:r>
      <w:r w:rsidR="00664420" w:rsidRPr="00DC19D6">
        <w:rPr>
          <w:rFonts w:cs="Tahoma"/>
          <w:szCs w:val="22"/>
        </w:rPr>
        <w:t>.</w:t>
      </w:r>
    </w:p>
    <w:p w14:paraId="741683E3" w14:textId="77777777" w:rsidR="0011350D" w:rsidRPr="00DC19D6" w:rsidRDefault="0011350D" w:rsidP="00664420">
      <w:pPr>
        <w:rPr>
          <w:rFonts w:cs="Tahoma"/>
          <w:color w:val="000000"/>
          <w:szCs w:val="22"/>
        </w:rPr>
      </w:pPr>
    </w:p>
    <w:p w14:paraId="7A9629DE" w14:textId="77777777" w:rsidR="00664420" w:rsidRPr="00DC19D6" w:rsidRDefault="00664420" w:rsidP="00664420">
      <w:pPr>
        <w:pStyle w:val="Ttulo1"/>
        <w:rPr>
          <w:rFonts w:eastAsiaTheme="minorHAnsi"/>
          <w:szCs w:val="22"/>
          <w:lang w:eastAsia="en-US"/>
        </w:rPr>
      </w:pPr>
      <w:bookmarkStart w:id="14" w:name="_Toc175586261"/>
      <w:r w:rsidRPr="00DC19D6">
        <w:rPr>
          <w:rFonts w:eastAsiaTheme="minorHAnsi"/>
          <w:szCs w:val="22"/>
          <w:lang w:eastAsia="en-US"/>
        </w:rPr>
        <w:t>CONSIDERANDOS</w:t>
      </w:r>
      <w:bookmarkEnd w:id="14"/>
    </w:p>
    <w:p w14:paraId="6DD1243B" w14:textId="77777777" w:rsidR="00664420" w:rsidRPr="00DC19D6" w:rsidRDefault="00664420" w:rsidP="00664420">
      <w:pPr>
        <w:contextualSpacing/>
        <w:jc w:val="center"/>
        <w:rPr>
          <w:rFonts w:eastAsiaTheme="minorHAnsi" w:cs="Tahoma"/>
          <w:b/>
          <w:color w:val="000000" w:themeColor="text1"/>
          <w:szCs w:val="22"/>
          <w:lang w:eastAsia="en-US"/>
        </w:rPr>
      </w:pPr>
    </w:p>
    <w:p w14:paraId="0B67CB92" w14:textId="2E307D3B" w:rsidR="00664420" w:rsidRPr="00DC19D6" w:rsidRDefault="00664420" w:rsidP="00AE3DA7">
      <w:pPr>
        <w:pStyle w:val="Ttulo2"/>
        <w:rPr>
          <w:rFonts w:eastAsia="Batang"/>
          <w:szCs w:val="22"/>
        </w:rPr>
      </w:pPr>
      <w:bookmarkStart w:id="15" w:name="_Toc175586262"/>
      <w:r w:rsidRPr="00DC19D6">
        <w:rPr>
          <w:rFonts w:eastAsia="Batang"/>
          <w:szCs w:val="22"/>
        </w:rPr>
        <w:lastRenderedPageBreak/>
        <w:t xml:space="preserve">PRIMERO. </w:t>
      </w:r>
      <w:r w:rsidR="00BA55A8" w:rsidRPr="00DC19D6">
        <w:rPr>
          <w:rFonts w:eastAsia="Batang"/>
          <w:szCs w:val="22"/>
        </w:rPr>
        <w:t>Procedibilidad</w:t>
      </w:r>
      <w:bookmarkEnd w:id="15"/>
    </w:p>
    <w:p w14:paraId="39C52BC1" w14:textId="56FCC20D" w:rsidR="00BA55A8" w:rsidRPr="00DC19D6" w:rsidRDefault="00BA55A8" w:rsidP="00BA55A8">
      <w:pPr>
        <w:pStyle w:val="Ttulo3"/>
        <w:rPr>
          <w:szCs w:val="22"/>
        </w:rPr>
      </w:pPr>
      <w:bookmarkStart w:id="16" w:name="_Toc175586263"/>
      <w:r w:rsidRPr="00DC19D6">
        <w:rPr>
          <w:szCs w:val="22"/>
        </w:rPr>
        <w:t>a) Competencia</w:t>
      </w:r>
      <w:r w:rsidR="00150C49" w:rsidRPr="00DC19D6">
        <w:rPr>
          <w:szCs w:val="22"/>
        </w:rPr>
        <w:t xml:space="preserve"> del Instituto</w:t>
      </w:r>
      <w:bookmarkEnd w:id="16"/>
    </w:p>
    <w:p w14:paraId="56E64942" w14:textId="6572EDF7" w:rsidR="0011350D" w:rsidRPr="00DC19D6" w:rsidRDefault="0011350D" w:rsidP="0011350D">
      <w:pPr>
        <w:rPr>
          <w:rFonts w:cs="Arial"/>
          <w:color w:val="000000" w:themeColor="text1"/>
          <w:szCs w:val="22"/>
        </w:rPr>
      </w:pPr>
      <w:r w:rsidRPr="00DC19D6">
        <w:rPr>
          <w:color w:val="000000" w:themeColor="text1"/>
          <w:szCs w:val="22"/>
        </w:rPr>
        <w:t xml:space="preserve">Este Instituto de Transparencia, Acceso a la Información Pública y Protección de Datos Personales del Estado de México y Municipios es competente para conocer y resolver </w:t>
      </w:r>
      <w:r w:rsidR="005F65B7" w:rsidRPr="00DC19D6">
        <w:rPr>
          <w:color w:val="000000" w:themeColor="text1"/>
          <w:szCs w:val="22"/>
        </w:rPr>
        <w:t xml:space="preserve">el </w:t>
      </w:r>
      <w:r w:rsidRPr="00DC19D6">
        <w:rPr>
          <w:color w:val="000000" w:themeColor="text1"/>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C19D6">
        <w:rPr>
          <w:rFonts w:cs="Arial"/>
          <w:color w:val="000000" w:themeColor="text1"/>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DC19D6" w:rsidRDefault="00DB1C09" w:rsidP="0011350D">
      <w:pPr>
        <w:rPr>
          <w:rFonts w:cs="Arial"/>
          <w:color w:val="000000" w:themeColor="text1"/>
          <w:szCs w:val="22"/>
        </w:rPr>
      </w:pPr>
    </w:p>
    <w:p w14:paraId="517A2DD6" w14:textId="4169BE4D" w:rsidR="00664420" w:rsidRPr="00DC19D6" w:rsidRDefault="00BA55A8" w:rsidP="00BA55A8">
      <w:pPr>
        <w:pStyle w:val="Ttulo3"/>
        <w:rPr>
          <w:szCs w:val="22"/>
        </w:rPr>
      </w:pPr>
      <w:bookmarkStart w:id="17" w:name="_Toc175586264"/>
      <w:r w:rsidRPr="00DC19D6">
        <w:rPr>
          <w:szCs w:val="22"/>
        </w:rPr>
        <w:t>b)</w:t>
      </w:r>
      <w:r w:rsidR="00664420" w:rsidRPr="00DC19D6">
        <w:rPr>
          <w:szCs w:val="22"/>
        </w:rPr>
        <w:t xml:space="preserve"> </w:t>
      </w:r>
      <w:r w:rsidR="00D91CB4" w:rsidRPr="00DC19D6">
        <w:rPr>
          <w:szCs w:val="22"/>
        </w:rPr>
        <w:t>Legitimidad</w:t>
      </w:r>
      <w:r w:rsidRPr="00DC19D6">
        <w:rPr>
          <w:szCs w:val="22"/>
        </w:rPr>
        <w:t xml:space="preserve"> de la parte recurrente</w:t>
      </w:r>
      <w:bookmarkEnd w:id="17"/>
    </w:p>
    <w:p w14:paraId="26FEA382" w14:textId="0B06695C" w:rsidR="00D91CB4" w:rsidRPr="00DC19D6" w:rsidRDefault="00D91CB4" w:rsidP="00D91CB4">
      <w:pPr>
        <w:rPr>
          <w:rFonts w:cs="Arial"/>
          <w:bCs/>
          <w:color w:val="000000" w:themeColor="text1"/>
          <w:szCs w:val="22"/>
        </w:rPr>
      </w:pPr>
      <w:r w:rsidRPr="00DC19D6">
        <w:rPr>
          <w:rFonts w:cs="Arial"/>
          <w:bCs/>
          <w:color w:val="000000" w:themeColor="text1"/>
          <w:szCs w:val="22"/>
        </w:rPr>
        <w:t>El recurso de revisión fue interpuesto por parte legítima, ya que se presentó por la misma persona que formuló la solicitud de acceso a la Información Pública,</w:t>
      </w:r>
      <w:r w:rsidRPr="00DC19D6">
        <w:rPr>
          <w:rFonts w:cs="Arial"/>
          <w:b/>
          <w:bCs/>
          <w:color w:val="000000" w:themeColor="text1"/>
          <w:szCs w:val="22"/>
        </w:rPr>
        <w:t xml:space="preserve"> </w:t>
      </w:r>
      <w:r w:rsidRPr="00DC19D6">
        <w:rPr>
          <w:rFonts w:cs="Arial"/>
          <w:color w:val="000000" w:themeColor="text1"/>
          <w:szCs w:val="22"/>
        </w:rPr>
        <w:t>debido a que los datos de acceso</w:t>
      </w:r>
      <w:r w:rsidRPr="00DC19D6">
        <w:rPr>
          <w:rFonts w:cs="Arial"/>
          <w:b/>
          <w:bCs/>
          <w:color w:val="000000" w:themeColor="text1"/>
          <w:szCs w:val="22"/>
        </w:rPr>
        <w:t xml:space="preserve"> </w:t>
      </w:r>
      <w:r w:rsidRPr="00DC19D6">
        <w:rPr>
          <w:rFonts w:cs="Arial"/>
          <w:color w:val="000000" w:themeColor="text1"/>
          <w:szCs w:val="22"/>
        </w:rPr>
        <w:t>SAIMEX</w:t>
      </w:r>
      <w:r w:rsidRPr="00DC19D6">
        <w:rPr>
          <w:rFonts w:eastAsia="Calibri" w:cs="Arial"/>
          <w:color w:val="000000" w:themeColor="text1"/>
          <w:szCs w:val="22"/>
          <w:lang w:eastAsia="en-US"/>
        </w:rPr>
        <w:t xml:space="preserve"> son personales e irrepetibles.</w:t>
      </w:r>
    </w:p>
    <w:p w14:paraId="2C367810" w14:textId="77777777" w:rsidR="00D91CB4" w:rsidRPr="00DC19D6" w:rsidRDefault="00D91CB4" w:rsidP="00D91CB4">
      <w:pPr>
        <w:rPr>
          <w:szCs w:val="22"/>
        </w:rPr>
      </w:pPr>
    </w:p>
    <w:p w14:paraId="496490FC" w14:textId="1A5F3FDB" w:rsidR="00D91CB4" w:rsidRPr="00DC19D6" w:rsidRDefault="00BA55A8" w:rsidP="00BA55A8">
      <w:pPr>
        <w:pStyle w:val="Ttulo3"/>
        <w:rPr>
          <w:rFonts w:eastAsia="Calibri"/>
          <w:szCs w:val="22"/>
          <w:lang w:eastAsia="es-ES_tradnl"/>
        </w:rPr>
      </w:pPr>
      <w:bookmarkStart w:id="18" w:name="_Toc175586265"/>
      <w:r w:rsidRPr="00DC19D6">
        <w:rPr>
          <w:rFonts w:eastAsia="Calibri"/>
          <w:szCs w:val="22"/>
          <w:lang w:eastAsia="es-ES_tradnl"/>
        </w:rPr>
        <w:t>c)</w:t>
      </w:r>
      <w:r w:rsidR="00664420" w:rsidRPr="00DC19D6">
        <w:rPr>
          <w:rFonts w:eastAsia="Calibri"/>
          <w:szCs w:val="22"/>
          <w:lang w:eastAsia="es-ES_tradnl"/>
        </w:rPr>
        <w:t xml:space="preserve"> </w:t>
      </w:r>
      <w:r w:rsidR="00D91CB4" w:rsidRPr="00DC19D6">
        <w:rPr>
          <w:rFonts w:eastAsia="Calibri"/>
          <w:szCs w:val="22"/>
          <w:lang w:eastAsia="es-ES_tradnl"/>
        </w:rPr>
        <w:t>Plazo para interponer el recurso</w:t>
      </w:r>
      <w:bookmarkEnd w:id="18"/>
    </w:p>
    <w:p w14:paraId="106D37EE" w14:textId="2BFDA877" w:rsidR="00D91CB4" w:rsidRPr="00DC19D6" w:rsidRDefault="00D91CB4" w:rsidP="00D91CB4">
      <w:pPr>
        <w:rPr>
          <w:rFonts w:eastAsiaTheme="minorEastAsia" w:cs="Arial"/>
          <w:color w:val="000000" w:themeColor="text1"/>
          <w:szCs w:val="22"/>
          <w:lang w:val="es-ES_tradnl"/>
        </w:rPr>
      </w:pPr>
      <w:r w:rsidRPr="00DC19D6">
        <w:rPr>
          <w:rFonts w:cs="Arial"/>
          <w:b/>
          <w:color w:val="000000" w:themeColor="text1"/>
          <w:szCs w:val="22"/>
        </w:rPr>
        <w:t>EL SUJETO OBLIGADO</w:t>
      </w:r>
      <w:r w:rsidRPr="00DC19D6">
        <w:rPr>
          <w:rFonts w:cs="Arial"/>
          <w:color w:val="000000" w:themeColor="text1"/>
          <w:szCs w:val="22"/>
        </w:rPr>
        <w:t xml:space="preserve"> notificó la respuesta a la solicitud de acceso a la Información Pública el </w:t>
      </w:r>
      <w:r w:rsidR="00BB5226" w:rsidRPr="00DC19D6">
        <w:rPr>
          <w:rFonts w:cs="Tahoma"/>
          <w:b/>
          <w:bCs/>
          <w:szCs w:val="22"/>
        </w:rPr>
        <w:t>once de junio</w:t>
      </w:r>
      <w:r w:rsidR="00DE285A" w:rsidRPr="00DC19D6">
        <w:rPr>
          <w:rFonts w:cs="Tahoma"/>
          <w:b/>
          <w:bCs/>
          <w:szCs w:val="22"/>
        </w:rPr>
        <w:t xml:space="preserve"> de dos mil veinticuatro</w:t>
      </w:r>
      <w:r w:rsidR="00DE285A" w:rsidRPr="00DC19D6">
        <w:rPr>
          <w:rFonts w:cs="Tahoma"/>
          <w:szCs w:val="22"/>
        </w:rPr>
        <w:t xml:space="preserve"> </w:t>
      </w:r>
      <w:r w:rsidR="00A53315" w:rsidRPr="00DC19D6">
        <w:rPr>
          <w:rFonts w:cs="Arial"/>
          <w:color w:val="000000" w:themeColor="text1"/>
          <w:szCs w:val="22"/>
        </w:rPr>
        <w:t xml:space="preserve">y el recurso </w:t>
      </w:r>
      <w:r w:rsidR="00A53315" w:rsidRPr="00DC19D6">
        <w:rPr>
          <w:rFonts w:eastAsia="Palatino Linotype" w:cs="Palatino Linotype"/>
          <w:color w:val="000000" w:themeColor="text1"/>
          <w:szCs w:val="22"/>
        </w:rPr>
        <w:t xml:space="preserve">que nos ocupa se </w:t>
      </w:r>
      <w:r w:rsidR="006A61F1" w:rsidRPr="00DC19D6">
        <w:rPr>
          <w:rFonts w:eastAsia="Palatino Linotype" w:cs="Palatino Linotype"/>
          <w:color w:val="000000" w:themeColor="text1"/>
          <w:szCs w:val="22"/>
        </w:rPr>
        <w:t>tuvo por presentado</w:t>
      </w:r>
      <w:r w:rsidR="00A53315" w:rsidRPr="00DC19D6">
        <w:rPr>
          <w:rFonts w:eastAsia="Palatino Linotype" w:cs="Palatino Linotype"/>
          <w:color w:val="000000" w:themeColor="text1"/>
          <w:szCs w:val="22"/>
        </w:rPr>
        <w:t xml:space="preserve"> el </w:t>
      </w:r>
      <w:r w:rsidR="00BB5226" w:rsidRPr="00DC19D6">
        <w:rPr>
          <w:rFonts w:cs="Tahoma"/>
          <w:b/>
          <w:bCs/>
          <w:szCs w:val="22"/>
        </w:rPr>
        <w:t>doce</w:t>
      </w:r>
      <w:r w:rsidR="002F1C00" w:rsidRPr="00DC19D6">
        <w:rPr>
          <w:rFonts w:cs="Tahoma"/>
          <w:b/>
          <w:bCs/>
          <w:szCs w:val="22"/>
        </w:rPr>
        <w:t xml:space="preserve"> de junio</w:t>
      </w:r>
      <w:r w:rsidR="00DE285A" w:rsidRPr="00DC19D6">
        <w:rPr>
          <w:rFonts w:cs="Tahoma"/>
          <w:b/>
          <w:bCs/>
          <w:szCs w:val="22"/>
        </w:rPr>
        <w:t xml:space="preserve"> de dos mil veinticuatro</w:t>
      </w:r>
      <w:r w:rsidR="00A53315" w:rsidRPr="00DC19D6">
        <w:rPr>
          <w:rFonts w:eastAsia="Palatino Linotype" w:cs="Palatino Linotype"/>
          <w:bCs/>
          <w:color w:val="000000" w:themeColor="text1"/>
          <w:szCs w:val="22"/>
        </w:rPr>
        <w:t>;</w:t>
      </w:r>
      <w:r w:rsidR="00A53315" w:rsidRPr="00DC19D6">
        <w:rPr>
          <w:rFonts w:eastAsia="Palatino Linotype" w:cs="Palatino Linotype"/>
          <w:color w:val="000000" w:themeColor="text1"/>
          <w:szCs w:val="22"/>
        </w:rPr>
        <w:t xml:space="preserve"> por lo tanto, éste se encuentra dentro del margen temporal previsto en el artículo 178 de la </w:t>
      </w:r>
      <w:r w:rsidR="00A53315" w:rsidRPr="00DC19D6">
        <w:rPr>
          <w:rFonts w:cs="Arial"/>
          <w:color w:val="000000" w:themeColor="text1"/>
          <w:szCs w:val="22"/>
        </w:rPr>
        <w:t xml:space="preserve">Ley de Transparencia y Acceso a la Información Pública del Estado de México y Municipios, </w:t>
      </w:r>
      <w:r w:rsidR="00A53315" w:rsidRPr="00DC19D6">
        <w:rPr>
          <w:rFonts w:eastAsia="Calibri"/>
          <w:szCs w:val="22"/>
          <w:lang w:eastAsia="es-ES_tradnl"/>
        </w:rPr>
        <w:t xml:space="preserve">el cual </w:t>
      </w:r>
      <w:r w:rsidRPr="00DC19D6">
        <w:rPr>
          <w:rFonts w:cs="Arial"/>
          <w:color w:val="000000" w:themeColor="text1"/>
          <w:szCs w:val="22"/>
        </w:rPr>
        <w:t xml:space="preserve">transcurrió del </w:t>
      </w:r>
      <w:r w:rsidR="00BB5226" w:rsidRPr="00DC19D6">
        <w:rPr>
          <w:rFonts w:cs="Tahoma"/>
          <w:b/>
          <w:bCs/>
          <w:szCs w:val="22"/>
        </w:rPr>
        <w:t>doce de</w:t>
      </w:r>
      <w:r w:rsidR="002F1C00" w:rsidRPr="00DC19D6">
        <w:rPr>
          <w:rFonts w:cs="Tahoma"/>
          <w:b/>
          <w:bCs/>
          <w:szCs w:val="22"/>
        </w:rPr>
        <w:t xml:space="preserve"> junio</w:t>
      </w:r>
      <w:r w:rsidR="00BB5226" w:rsidRPr="00DC19D6">
        <w:rPr>
          <w:rFonts w:cs="Tahoma"/>
          <w:b/>
          <w:bCs/>
          <w:szCs w:val="22"/>
        </w:rPr>
        <w:t xml:space="preserve"> al dos de </w:t>
      </w:r>
      <w:r w:rsidR="00BB5226" w:rsidRPr="00DC19D6">
        <w:rPr>
          <w:rFonts w:cs="Tahoma"/>
          <w:b/>
          <w:bCs/>
          <w:szCs w:val="22"/>
        </w:rPr>
        <w:lastRenderedPageBreak/>
        <w:t>julio</w:t>
      </w:r>
      <w:r w:rsidR="002F1C00" w:rsidRPr="00DC19D6">
        <w:rPr>
          <w:rFonts w:cs="Tahoma"/>
          <w:b/>
          <w:bCs/>
          <w:szCs w:val="22"/>
        </w:rPr>
        <w:t xml:space="preserve"> </w:t>
      </w:r>
      <w:r w:rsidR="00DE285A" w:rsidRPr="00DC19D6">
        <w:rPr>
          <w:rFonts w:cs="Tahoma"/>
          <w:b/>
          <w:bCs/>
          <w:szCs w:val="22"/>
        </w:rPr>
        <w:t>de dos mil veinticuatro</w:t>
      </w:r>
      <w:r w:rsidRPr="00DC19D6">
        <w:rPr>
          <w:rFonts w:cs="Arial"/>
          <w:color w:val="000000" w:themeColor="text1"/>
          <w:szCs w:val="22"/>
        </w:rPr>
        <w:t xml:space="preserve">, </w:t>
      </w:r>
      <w:r w:rsidRPr="00DC19D6">
        <w:rPr>
          <w:rFonts w:eastAsiaTheme="minorEastAsia" w:cs="Arial"/>
          <w:color w:val="000000" w:themeColor="text1"/>
          <w:szCs w:val="22"/>
          <w:lang w:val="es-ES_tradnl"/>
        </w:rPr>
        <w:t xml:space="preserve">sin contemplar en el cómputo los días </w:t>
      </w:r>
      <w:bookmarkStart w:id="19" w:name="_Hlk62134391"/>
      <w:r w:rsidRPr="00DC19D6">
        <w:rPr>
          <w:rFonts w:eastAsiaTheme="minorEastAsia" w:cs="Arial"/>
          <w:color w:val="000000" w:themeColor="text1"/>
          <w:szCs w:val="22"/>
          <w:lang w:val="es-ES_tradnl"/>
        </w:rPr>
        <w:t>sábados</w:t>
      </w:r>
      <w:r w:rsidR="00CB7E9A" w:rsidRPr="00DC19D6">
        <w:rPr>
          <w:rFonts w:eastAsiaTheme="minorEastAsia" w:cs="Arial"/>
          <w:color w:val="000000" w:themeColor="text1"/>
          <w:szCs w:val="22"/>
          <w:lang w:val="es-ES_tradnl"/>
        </w:rPr>
        <w:t xml:space="preserve">, </w:t>
      </w:r>
      <w:r w:rsidRPr="00DC19D6">
        <w:rPr>
          <w:rFonts w:eastAsiaTheme="minorEastAsia" w:cs="Arial"/>
          <w:color w:val="000000" w:themeColor="text1"/>
          <w:szCs w:val="22"/>
          <w:lang w:val="es-ES_tradnl"/>
        </w:rPr>
        <w:t>domingos</w:t>
      </w:r>
      <w:r w:rsidR="00CB7E9A" w:rsidRPr="00DC19D6">
        <w:rPr>
          <w:rFonts w:eastAsiaTheme="minorEastAsia" w:cs="Arial"/>
          <w:color w:val="000000" w:themeColor="text1"/>
          <w:szCs w:val="22"/>
          <w:lang w:val="es-ES_tradnl"/>
        </w:rPr>
        <w:t xml:space="preserve"> y aquellos</w:t>
      </w:r>
      <w:r w:rsidRPr="00DC19D6">
        <w:rPr>
          <w:rFonts w:eastAsiaTheme="minorEastAsia" w:cs="Arial"/>
          <w:color w:val="000000" w:themeColor="text1"/>
          <w:szCs w:val="22"/>
          <w:lang w:val="es-ES_tradnl"/>
        </w:rPr>
        <w:t xml:space="preserve"> considerados como días inhábiles</w:t>
      </w:r>
      <w:r w:rsidR="00CB7E9A" w:rsidRPr="00DC19D6">
        <w:rPr>
          <w:rFonts w:eastAsiaTheme="minorEastAsia" w:cs="Arial"/>
          <w:color w:val="000000" w:themeColor="text1"/>
          <w:szCs w:val="22"/>
          <w:lang w:val="es-ES_tradnl"/>
        </w:rPr>
        <w:t xml:space="preserve"> </w:t>
      </w:r>
      <w:r w:rsidRPr="00DC19D6">
        <w:rPr>
          <w:rFonts w:eastAsiaTheme="minorEastAsia" w:cs="Arial"/>
          <w:color w:val="000000" w:themeColor="text1"/>
          <w:szCs w:val="22"/>
          <w:lang w:val="es-ES_tradnl"/>
        </w:rPr>
        <w:t xml:space="preserve">en términos del </w:t>
      </w:r>
      <w:bookmarkEnd w:id="19"/>
      <w:r w:rsidRPr="00DC19D6">
        <w:rPr>
          <w:rFonts w:eastAsiaTheme="minorEastAsia" w:cs="Arial"/>
          <w:color w:val="000000" w:themeColor="text1"/>
          <w:szCs w:val="22"/>
          <w:lang w:val="es-ES_tradnl"/>
        </w:rPr>
        <w:t>Calendario oficia</w:t>
      </w:r>
      <w:r w:rsidR="00CB7E9A" w:rsidRPr="00DC19D6">
        <w:rPr>
          <w:rFonts w:eastAsiaTheme="minorEastAsia" w:cs="Arial"/>
          <w:color w:val="000000" w:themeColor="text1"/>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DC19D6" w:rsidRDefault="00D91CB4" w:rsidP="00D91CB4">
      <w:pPr>
        <w:rPr>
          <w:rFonts w:eastAsia="Palatino Linotype" w:cs="Palatino Linotype"/>
          <w:color w:val="000000" w:themeColor="text1"/>
          <w:szCs w:val="22"/>
        </w:rPr>
      </w:pPr>
    </w:p>
    <w:p w14:paraId="46C0EB3A" w14:textId="28FD0C2E" w:rsidR="00A53315" w:rsidRPr="00DC19D6" w:rsidRDefault="00BA55A8" w:rsidP="00362A11">
      <w:pPr>
        <w:pStyle w:val="Ttulo3"/>
        <w:rPr>
          <w:rFonts w:eastAsia="Calibri"/>
          <w:szCs w:val="22"/>
          <w:lang w:eastAsia="es-ES_tradnl"/>
        </w:rPr>
      </w:pPr>
      <w:bookmarkStart w:id="20" w:name="_Toc175586266"/>
      <w:r w:rsidRPr="00DC19D6">
        <w:rPr>
          <w:rFonts w:eastAsia="Calibri"/>
          <w:szCs w:val="22"/>
          <w:lang w:eastAsia="es-ES_tradnl"/>
        </w:rPr>
        <w:t>d)</w:t>
      </w:r>
      <w:r w:rsidR="00D91CB4" w:rsidRPr="00DC19D6">
        <w:rPr>
          <w:rFonts w:eastAsia="Calibri"/>
          <w:szCs w:val="22"/>
          <w:lang w:eastAsia="es-ES_tradnl"/>
        </w:rPr>
        <w:t xml:space="preserve"> </w:t>
      </w:r>
      <w:r w:rsidR="00E325AD" w:rsidRPr="00DC19D6">
        <w:rPr>
          <w:rFonts w:eastAsia="Calibri"/>
          <w:szCs w:val="22"/>
          <w:lang w:eastAsia="es-ES_tradnl"/>
        </w:rPr>
        <w:t>Causal de Procedencia</w:t>
      </w:r>
      <w:bookmarkEnd w:id="20"/>
    </w:p>
    <w:p w14:paraId="190404A6" w14:textId="25A2F5CA" w:rsidR="00BA55A8" w:rsidRPr="00DC19D6" w:rsidRDefault="00BA55A8" w:rsidP="00BA55A8">
      <w:pPr>
        <w:rPr>
          <w:szCs w:val="22"/>
        </w:rPr>
      </w:pPr>
      <w:r w:rsidRPr="00DC19D6">
        <w:rPr>
          <w:rFonts w:cs="Arial"/>
          <w:szCs w:val="22"/>
        </w:rPr>
        <w:t xml:space="preserve">Resulta procedente la interposición del recurso de revisión, ya que </w:t>
      </w:r>
      <w:r w:rsidRPr="00DC19D6">
        <w:rPr>
          <w:rFonts w:eastAsia="Calibri" w:cs="Tahoma"/>
          <w:color w:val="000000"/>
          <w:szCs w:val="22"/>
          <w:lang w:eastAsia="es-MX"/>
        </w:rPr>
        <w:t>se actualiza la causal de procedencia señalada en el artículo 179, fracci</w:t>
      </w:r>
      <w:r w:rsidR="002F1C00" w:rsidRPr="00DC19D6">
        <w:rPr>
          <w:rFonts w:eastAsia="Calibri" w:cs="Tahoma"/>
          <w:color w:val="000000"/>
          <w:szCs w:val="22"/>
          <w:lang w:eastAsia="es-MX"/>
        </w:rPr>
        <w:t>ón</w:t>
      </w:r>
      <w:r w:rsidR="00EE1B1C" w:rsidRPr="00DC19D6">
        <w:rPr>
          <w:rFonts w:eastAsia="Calibri" w:cs="Tahoma"/>
          <w:color w:val="000000"/>
          <w:szCs w:val="22"/>
          <w:lang w:eastAsia="es-MX"/>
        </w:rPr>
        <w:t xml:space="preserve"> </w:t>
      </w:r>
      <w:r w:rsidR="00BB5226" w:rsidRPr="00DC19D6">
        <w:rPr>
          <w:rFonts w:eastAsia="Calibri" w:cs="Tahoma"/>
          <w:color w:val="000000"/>
          <w:szCs w:val="22"/>
          <w:lang w:eastAsia="es-MX"/>
        </w:rPr>
        <w:t>I</w:t>
      </w:r>
      <w:r w:rsidR="00EE1B1C" w:rsidRPr="00DC19D6">
        <w:rPr>
          <w:rFonts w:eastAsia="Calibri" w:cs="Tahoma"/>
          <w:color w:val="000000"/>
          <w:szCs w:val="22"/>
          <w:lang w:eastAsia="es-MX"/>
        </w:rPr>
        <w:t xml:space="preserve"> </w:t>
      </w:r>
      <w:r w:rsidRPr="00DC19D6">
        <w:rPr>
          <w:rFonts w:cs="Arial"/>
          <w:szCs w:val="22"/>
        </w:rPr>
        <w:t xml:space="preserve">de la </w:t>
      </w:r>
      <w:r w:rsidRPr="00DC19D6">
        <w:rPr>
          <w:szCs w:val="22"/>
        </w:rPr>
        <w:t>Ley de Transparencia y Acceso a la Información Pública del Estado de México y Municipios.</w:t>
      </w:r>
    </w:p>
    <w:p w14:paraId="15E9B2EA" w14:textId="77777777" w:rsidR="003060FD" w:rsidRPr="00DC19D6" w:rsidRDefault="003060FD" w:rsidP="00BA55A8">
      <w:pPr>
        <w:rPr>
          <w:szCs w:val="22"/>
        </w:rPr>
      </w:pPr>
    </w:p>
    <w:p w14:paraId="2284D7EB" w14:textId="3EE1D036" w:rsidR="00BA55A8" w:rsidRPr="00DC19D6" w:rsidRDefault="00362A11" w:rsidP="00362A11">
      <w:pPr>
        <w:pStyle w:val="Ttulo3"/>
        <w:rPr>
          <w:szCs w:val="22"/>
        </w:rPr>
      </w:pPr>
      <w:bookmarkStart w:id="21" w:name="_Toc175586267"/>
      <w:r w:rsidRPr="00DC19D6">
        <w:rPr>
          <w:szCs w:val="22"/>
        </w:rPr>
        <w:t>e) Requisitos formales para la interposición del recurso</w:t>
      </w:r>
      <w:bookmarkEnd w:id="21"/>
    </w:p>
    <w:p w14:paraId="057A099D" w14:textId="77777777" w:rsidR="0033585B" w:rsidRPr="00DC19D6" w:rsidRDefault="0033585B" w:rsidP="0033585B">
      <w:pPr>
        <w:rPr>
          <w:rFonts w:cs="Arial"/>
          <w:szCs w:val="22"/>
        </w:rPr>
      </w:pPr>
      <w:r w:rsidRPr="00DC19D6">
        <w:rPr>
          <w:rFonts w:cs="Arial"/>
          <w:szCs w:val="22"/>
        </w:rPr>
        <w:t xml:space="preserve">Es importante mencionar que, de la revisión del expediente electrónico del </w:t>
      </w:r>
      <w:r w:rsidRPr="00DC19D6">
        <w:rPr>
          <w:rFonts w:cs="Arial"/>
          <w:b/>
          <w:bCs/>
          <w:szCs w:val="22"/>
        </w:rPr>
        <w:t>SAIMEX</w:t>
      </w:r>
      <w:r w:rsidRPr="00DC19D6">
        <w:rPr>
          <w:rFonts w:cs="Arial"/>
          <w:szCs w:val="22"/>
        </w:rPr>
        <w:t xml:space="preserve">, se observa que </w:t>
      </w:r>
      <w:r w:rsidRPr="00DC19D6">
        <w:rPr>
          <w:rFonts w:cs="Arial"/>
          <w:b/>
          <w:bCs/>
          <w:szCs w:val="22"/>
        </w:rPr>
        <w:t>LA PARTE RECURRENTE</w:t>
      </w:r>
      <w:r w:rsidRPr="00DC19D6">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C19D6">
        <w:rPr>
          <w:rFonts w:cs="Arial"/>
          <w:b/>
          <w:bCs/>
          <w:szCs w:val="22"/>
          <w:u w:val="single"/>
        </w:rPr>
        <w:t>el nombre no es un requisito indispensable</w:t>
      </w:r>
      <w:r w:rsidRPr="00DC19D6">
        <w:rPr>
          <w:rFonts w:cs="Arial"/>
          <w:szCs w:val="22"/>
        </w:rPr>
        <w:t xml:space="preserve"> para que las y los ciudadanos ejerzan el derecho de acceso a la información pública. </w:t>
      </w:r>
    </w:p>
    <w:p w14:paraId="35CF9158" w14:textId="77777777" w:rsidR="0033585B" w:rsidRPr="00DC19D6" w:rsidRDefault="0033585B" w:rsidP="0033585B">
      <w:pPr>
        <w:rPr>
          <w:rFonts w:cs="Arial"/>
          <w:szCs w:val="22"/>
        </w:rPr>
      </w:pPr>
    </w:p>
    <w:p w14:paraId="7707B77B" w14:textId="77777777" w:rsidR="0033585B" w:rsidRPr="00DC19D6" w:rsidRDefault="0033585B" w:rsidP="0033585B">
      <w:pPr>
        <w:rPr>
          <w:rFonts w:cs="Arial"/>
          <w:szCs w:val="22"/>
        </w:rPr>
      </w:pPr>
      <w:r w:rsidRPr="00DC19D6">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C19D6">
        <w:rPr>
          <w:rFonts w:cs="Arial"/>
          <w:b/>
          <w:bCs/>
          <w:szCs w:val="22"/>
        </w:rPr>
        <w:t xml:space="preserve">LA PARTE </w:t>
      </w:r>
      <w:r w:rsidRPr="00DC19D6">
        <w:rPr>
          <w:rFonts w:cs="Arial"/>
          <w:b/>
          <w:bCs/>
          <w:szCs w:val="22"/>
        </w:rPr>
        <w:lastRenderedPageBreak/>
        <w:t>RECURRENTE</w:t>
      </w:r>
      <w:r w:rsidRPr="00DC19D6">
        <w:rPr>
          <w:rFonts w:cs="Arial"/>
          <w:szCs w:val="22"/>
        </w:rPr>
        <w:t xml:space="preserve">; por lo que, en el presente caso, al haber sido presentado el recurso de revisión vía </w:t>
      </w:r>
      <w:r w:rsidRPr="00DC19D6">
        <w:rPr>
          <w:rFonts w:cs="Arial"/>
          <w:b/>
          <w:bCs/>
          <w:szCs w:val="22"/>
        </w:rPr>
        <w:t>SAIMEX</w:t>
      </w:r>
      <w:r w:rsidRPr="00DC19D6">
        <w:rPr>
          <w:rFonts w:cs="Arial"/>
          <w:szCs w:val="22"/>
        </w:rPr>
        <w:t>, dicho requisito resulta innecesario.</w:t>
      </w:r>
    </w:p>
    <w:p w14:paraId="07882DF4" w14:textId="77777777" w:rsidR="0083518A" w:rsidRPr="00DC19D6" w:rsidRDefault="0083518A" w:rsidP="00DE285A">
      <w:pPr>
        <w:rPr>
          <w:bCs/>
          <w:szCs w:val="22"/>
          <w:lang w:val="es-ES_tradnl"/>
        </w:rPr>
      </w:pPr>
    </w:p>
    <w:p w14:paraId="457548E9" w14:textId="3F7AF03B" w:rsidR="00C71CEF" w:rsidRPr="00DC19D6" w:rsidRDefault="00C71CEF" w:rsidP="00C71CEF">
      <w:pPr>
        <w:pStyle w:val="Ttulo2"/>
        <w:rPr>
          <w:szCs w:val="22"/>
        </w:rPr>
      </w:pPr>
      <w:bookmarkStart w:id="22" w:name="_Toc175586268"/>
      <w:r w:rsidRPr="00DC19D6">
        <w:rPr>
          <w:szCs w:val="22"/>
        </w:rPr>
        <w:t>SEGUNDO. Estudio de Fondo</w:t>
      </w:r>
      <w:bookmarkEnd w:id="22"/>
    </w:p>
    <w:p w14:paraId="2A308F59" w14:textId="0FF373F0" w:rsidR="00C049E2" w:rsidRPr="00DC19D6" w:rsidRDefault="00C71CEF" w:rsidP="00A21A20">
      <w:pPr>
        <w:pStyle w:val="Ttulo3"/>
        <w:rPr>
          <w:szCs w:val="22"/>
        </w:rPr>
      </w:pPr>
      <w:bookmarkStart w:id="23" w:name="_Toc175586269"/>
      <w:r w:rsidRPr="00DC19D6">
        <w:rPr>
          <w:szCs w:val="22"/>
        </w:rPr>
        <w:t>a</w:t>
      </w:r>
      <w:r w:rsidR="00C049E2" w:rsidRPr="00DC19D6">
        <w:rPr>
          <w:szCs w:val="22"/>
        </w:rPr>
        <w:t>) Mandato de transparencia y responsabilidad del Sujeto Obligado</w:t>
      </w:r>
      <w:bookmarkEnd w:id="23"/>
    </w:p>
    <w:p w14:paraId="6901A889" w14:textId="59EEDAE1" w:rsidR="00C049E2" w:rsidRPr="00DC19D6" w:rsidRDefault="00C049E2" w:rsidP="00C049E2">
      <w:pPr>
        <w:rPr>
          <w:rFonts w:eastAsia="Palatino Linotype"/>
          <w:szCs w:val="22"/>
        </w:rPr>
      </w:pPr>
      <w:r w:rsidRPr="00DC19D6">
        <w:rPr>
          <w:rFonts w:eastAsia="Palatino Linotype"/>
          <w:szCs w:val="22"/>
        </w:rPr>
        <w:t xml:space="preserve">El </w:t>
      </w:r>
      <w:r w:rsidR="00717E59" w:rsidRPr="00DC19D6">
        <w:rPr>
          <w:rFonts w:eastAsia="Palatino Linotype"/>
          <w:szCs w:val="22"/>
        </w:rPr>
        <w:t>d</w:t>
      </w:r>
      <w:r w:rsidRPr="00DC19D6">
        <w:rPr>
          <w:rFonts w:eastAsia="Palatino Linotype"/>
          <w:szCs w:val="22"/>
        </w:rPr>
        <w:t xml:space="preserve">erecho de </w:t>
      </w:r>
      <w:r w:rsidR="00717E59" w:rsidRPr="00DC19D6">
        <w:rPr>
          <w:rFonts w:eastAsia="Palatino Linotype"/>
          <w:szCs w:val="22"/>
        </w:rPr>
        <w:t>a</w:t>
      </w:r>
      <w:r w:rsidRPr="00DC19D6">
        <w:rPr>
          <w:rFonts w:eastAsia="Palatino Linotype"/>
          <w:szCs w:val="22"/>
        </w:rPr>
        <w:t xml:space="preserve">cceso a la </w:t>
      </w:r>
      <w:r w:rsidR="00717E59" w:rsidRPr="00DC19D6">
        <w:rPr>
          <w:rFonts w:eastAsia="Palatino Linotype"/>
          <w:szCs w:val="22"/>
        </w:rPr>
        <w:t>i</w:t>
      </w:r>
      <w:r w:rsidRPr="00DC19D6">
        <w:rPr>
          <w:rFonts w:eastAsia="Palatino Linotype"/>
          <w:szCs w:val="22"/>
        </w:rPr>
        <w:t xml:space="preserve">nformación </w:t>
      </w:r>
      <w:r w:rsidR="00717E59" w:rsidRPr="00DC19D6">
        <w:rPr>
          <w:rFonts w:eastAsia="Palatino Linotype"/>
          <w:szCs w:val="22"/>
        </w:rPr>
        <w:t>p</w:t>
      </w:r>
      <w:r w:rsidRPr="00DC19D6">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DC19D6">
        <w:rPr>
          <w:rFonts w:eastAsia="Palatino Linotype"/>
          <w:szCs w:val="22"/>
        </w:rPr>
        <w:t>:</w:t>
      </w:r>
    </w:p>
    <w:p w14:paraId="7FAB8D32" w14:textId="77777777" w:rsidR="00C049E2" w:rsidRPr="00DC19D6" w:rsidRDefault="00C049E2" w:rsidP="00C049E2">
      <w:pPr>
        <w:rPr>
          <w:rFonts w:eastAsia="Palatino Linotype"/>
          <w:szCs w:val="22"/>
        </w:rPr>
      </w:pPr>
    </w:p>
    <w:p w14:paraId="05320813" w14:textId="77777777" w:rsidR="00C049E2" w:rsidRPr="00DC19D6" w:rsidRDefault="00C049E2" w:rsidP="0009347C">
      <w:pPr>
        <w:spacing w:line="240" w:lineRule="auto"/>
        <w:ind w:left="567" w:right="539"/>
        <w:rPr>
          <w:rFonts w:eastAsia="Palatino Linotype"/>
          <w:b/>
          <w:i/>
          <w:szCs w:val="22"/>
        </w:rPr>
      </w:pPr>
      <w:r w:rsidRPr="00DC19D6">
        <w:rPr>
          <w:rFonts w:eastAsia="Palatino Linotype"/>
          <w:b/>
          <w:i/>
          <w:szCs w:val="22"/>
        </w:rPr>
        <w:t>Constitución Política de los Estados Unidos Mexicanos</w:t>
      </w:r>
    </w:p>
    <w:p w14:paraId="6B6C67B6" w14:textId="77777777" w:rsidR="00C049E2" w:rsidRPr="00DC19D6" w:rsidRDefault="00C049E2" w:rsidP="0009347C">
      <w:pPr>
        <w:spacing w:line="240" w:lineRule="auto"/>
        <w:ind w:left="567" w:right="539"/>
        <w:rPr>
          <w:rFonts w:eastAsia="Palatino Linotype"/>
          <w:b/>
          <w:i/>
          <w:szCs w:val="22"/>
        </w:rPr>
      </w:pPr>
      <w:r w:rsidRPr="00DC19D6">
        <w:rPr>
          <w:rFonts w:eastAsia="Palatino Linotype"/>
          <w:b/>
          <w:i/>
          <w:szCs w:val="22"/>
        </w:rPr>
        <w:t>“Artículo 6.</w:t>
      </w:r>
    </w:p>
    <w:p w14:paraId="38D3B4C4" w14:textId="77777777" w:rsidR="00C049E2" w:rsidRPr="00DC19D6" w:rsidRDefault="00C049E2" w:rsidP="0009347C">
      <w:pPr>
        <w:spacing w:line="240" w:lineRule="auto"/>
        <w:ind w:left="567" w:right="539"/>
        <w:rPr>
          <w:rFonts w:eastAsia="Palatino Linotype"/>
          <w:i/>
          <w:szCs w:val="22"/>
        </w:rPr>
      </w:pPr>
      <w:r w:rsidRPr="00DC19D6">
        <w:rPr>
          <w:rFonts w:eastAsia="Palatino Linotype"/>
          <w:i/>
          <w:szCs w:val="22"/>
        </w:rPr>
        <w:t>(…)</w:t>
      </w:r>
    </w:p>
    <w:p w14:paraId="2CCAA297" w14:textId="6602827B" w:rsidR="00C049E2" w:rsidRPr="00DC19D6" w:rsidRDefault="00C049E2" w:rsidP="0009347C">
      <w:pPr>
        <w:spacing w:line="240" w:lineRule="auto"/>
        <w:ind w:left="567" w:right="539"/>
        <w:rPr>
          <w:rFonts w:eastAsia="Palatino Linotype"/>
          <w:i/>
          <w:szCs w:val="22"/>
        </w:rPr>
      </w:pPr>
      <w:r w:rsidRPr="00DC19D6">
        <w:rPr>
          <w:rFonts w:eastAsia="Palatino Linotype"/>
          <w:i/>
          <w:szCs w:val="22"/>
        </w:rPr>
        <w:t>Para efectos de lo dispuesto en el presente artículo se observará lo siguiente:</w:t>
      </w:r>
    </w:p>
    <w:p w14:paraId="74CC3718" w14:textId="77777777" w:rsidR="00C049E2" w:rsidRPr="00DC19D6" w:rsidRDefault="00C049E2" w:rsidP="0009347C">
      <w:pPr>
        <w:spacing w:line="240" w:lineRule="auto"/>
        <w:ind w:left="567" w:right="539"/>
        <w:rPr>
          <w:rFonts w:eastAsia="Palatino Linotype"/>
          <w:b/>
          <w:i/>
          <w:szCs w:val="22"/>
        </w:rPr>
      </w:pPr>
      <w:r w:rsidRPr="00DC19D6">
        <w:rPr>
          <w:rFonts w:eastAsia="Palatino Linotype"/>
          <w:b/>
          <w:i/>
          <w:szCs w:val="22"/>
        </w:rPr>
        <w:t>A</w:t>
      </w:r>
      <w:r w:rsidRPr="00DC19D6">
        <w:rPr>
          <w:rFonts w:eastAsia="Palatino Linotype"/>
          <w:i/>
          <w:szCs w:val="22"/>
        </w:rPr>
        <w:t xml:space="preserve">. </w:t>
      </w:r>
      <w:r w:rsidRPr="00DC19D6">
        <w:rPr>
          <w:rFonts w:eastAsia="Palatino Linotype"/>
          <w:b/>
          <w:i/>
          <w:szCs w:val="22"/>
        </w:rPr>
        <w:t>Para el ejercicio del derecho de acceso a la información</w:t>
      </w:r>
      <w:r w:rsidRPr="00DC19D6">
        <w:rPr>
          <w:rFonts w:eastAsia="Palatino Linotype"/>
          <w:i/>
          <w:szCs w:val="22"/>
        </w:rPr>
        <w:t xml:space="preserve">, la Federación y </w:t>
      </w:r>
      <w:r w:rsidRPr="00DC19D6">
        <w:rPr>
          <w:rFonts w:eastAsia="Palatino Linotype"/>
          <w:b/>
          <w:i/>
          <w:szCs w:val="22"/>
        </w:rPr>
        <w:t>las entidades federativas, en el ámbito de sus respectivas competencias, se regirán por los siguientes principios y bases:</w:t>
      </w:r>
    </w:p>
    <w:p w14:paraId="596A956B" w14:textId="77777777" w:rsidR="00C049E2" w:rsidRPr="00DC19D6" w:rsidRDefault="00C049E2" w:rsidP="0009347C">
      <w:pPr>
        <w:spacing w:line="240" w:lineRule="auto"/>
        <w:ind w:left="567" w:right="539"/>
        <w:rPr>
          <w:rFonts w:eastAsia="Palatino Linotype"/>
          <w:i/>
          <w:szCs w:val="22"/>
        </w:rPr>
      </w:pPr>
      <w:r w:rsidRPr="00DC19D6">
        <w:rPr>
          <w:rFonts w:eastAsia="Palatino Linotype"/>
          <w:b/>
          <w:i/>
          <w:szCs w:val="22"/>
        </w:rPr>
        <w:t xml:space="preserve">I. </w:t>
      </w:r>
      <w:r w:rsidRPr="00DC19D6">
        <w:rPr>
          <w:rFonts w:eastAsia="Palatino Linotype"/>
          <w:b/>
          <w:i/>
          <w:szCs w:val="22"/>
        </w:rPr>
        <w:tab/>
        <w:t>Toda la información en posesión de cualquier</w:t>
      </w:r>
      <w:r w:rsidRPr="00DC19D6">
        <w:rPr>
          <w:rFonts w:eastAsia="Palatino Linotype"/>
          <w:i/>
          <w:szCs w:val="22"/>
        </w:rPr>
        <w:t xml:space="preserve"> </w:t>
      </w:r>
      <w:r w:rsidRPr="00DC19D6">
        <w:rPr>
          <w:rFonts w:eastAsia="Palatino Linotype"/>
          <w:b/>
          <w:i/>
          <w:szCs w:val="22"/>
        </w:rPr>
        <w:t>autoridad</w:t>
      </w:r>
      <w:r w:rsidRPr="00DC19D6">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C19D6">
        <w:rPr>
          <w:rFonts w:eastAsia="Palatino Linotype"/>
          <w:b/>
          <w:i/>
          <w:szCs w:val="22"/>
        </w:rPr>
        <w:t>municipal</w:t>
      </w:r>
      <w:r w:rsidRPr="00DC19D6">
        <w:rPr>
          <w:rFonts w:eastAsia="Palatino Linotype"/>
          <w:i/>
          <w:szCs w:val="22"/>
        </w:rPr>
        <w:t xml:space="preserve">, </w:t>
      </w:r>
      <w:r w:rsidRPr="00DC19D6">
        <w:rPr>
          <w:rFonts w:eastAsia="Palatino Linotype"/>
          <w:b/>
          <w:i/>
          <w:szCs w:val="22"/>
        </w:rPr>
        <w:t>es pública</w:t>
      </w:r>
      <w:r w:rsidRPr="00DC19D6">
        <w:rPr>
          <w:rFonts w:eastAsia="Palatino Linotype"/>
          <w:i/>
          <w:szCs w:val="22"/>
        </w:rPr>
        <w:t xml:space="preserve"> y sólo podrá ser reservada temporalmente por razones de interés público y seguridad nacional, en los términos que fijen las leyes. </w:t>
      </w:r>
      <w:r w:rsidRPr="00DC19D6">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DC19D6">
        <w:rPr>
          <w:rFonts w:eastAsia="Palatino Linotype"/>
          <w:i/>
          <w:szCs w:val="22"/>
        </w:rPr>
        <w:t>, la ley determinará los supuestos específicos bajo los cuales procederá la declaración de inexistencia de la información.”</w:t>
      </w:r>
    </w:p>
    <w:p w14:paraId="68F313E4" w14:textId="77777777" w:rsidR="00C049E2" w:rsidRPr="00DC19D6" w:rsidRDefault="00C049E2" w:rsidP="0009347C">
      <w:pPr>
        <w:spacing w:line="240" w:lineRule="auto"/>
        <w:ind w:left="567" w:right="539"/>
        <w:rPr>
          <w:rFonts w:eastAsia="Palatino Linotype"/>
          <w:b/>
          <w:i/>
          <w:szCs w:val="22"/>
        </w:rPr>
      </w:pPr>
    </w:p>
    <w:p w14:paraId="504F12DB" w14:textId="77777777" w:rsidR="00C049E2" w:rsidRPr="00DC19D6" w:rsidRDefault="00C049E2" w:rsidP="0009347C">
      <w:pPr>
        <w:spacing w:line="240" w:lineRule="auto"/>
        <w:ind w:left="567" w:right="539"/>
        <w:rPr>
          <w:rFonts w:eastAsia="Palatino Linotype"/>
          <w:b/>
          <w:i/>
          <w:szCs w:val="22"/>
        </w:rPr>
      </w:pPr>
      <w:r w:rsidRPr="00DC19D6">
        <w:rPr>
          <w:rFonts w:eastAsia="Palatino Linotype"/>
          <w:b/>
          <w:i/>
          <w:szCs w:val="22"/>
        </w:rPr>
        <w:t>Constitución Política del Estado Libre y Soberano de México</w:t>
      </w:r>
    </w:p>
    <w:p w14:paraId="04932D29" w14:textId="77777777" w:rsidR="00C049E2" w:rsidRPr="00DC19D6" w:rsidRDefault="00C049E2" w:rsidP="0009347C">
      <w:pPr>
        <w:spacing w:line="240" w:lineRule="auto"/>
        <w:ind w:left="567" w:right="539"/>
        <w:rPr>
          <w:rFonts w:eastAsia="Palatino Linotype"/>
          <w:i/>
          <w:szCs w:val="22"/>
        </w:rPr>
      </w:pPr>
      <w:r w:rsidRPr="00DC19D6">
        <w:rPr>
          <w:rFonts w:eastAsia="Palatino Linotype"/>
          <w:b/>
          <w:i/>
          <w:szCs w:val="22"/>
        </w:rPr>
        <w:t>“Artículo 5</w:t>
      </w:r>
      <w:r w:rsidRPr="00DC19D6">
        <w:rPr>
          <w:rFonts w:eastAsia="Palatino Linotype"/>
          <w:i/>
          <w:szCs w:val="22"/>
        </w:rPr>
        <w:t xml:space="preserve">.- </w:t>
      </w:r>
    </w:p>
    <w:p w14:paraId="1D3829F4" w14:textId="77777777" w:rsidR="00C049E2" w:rsidRPr="00DC19D6" w:rsidRDefault="00C049E2" w:rsidP="0009347C">
      <w:pPr>
        <w:spacing w:line="240" w:lineRule="auto"/>
        <w:ind w:left="567" w:right="539"/>
        <w:rPr>
          <w:rFonts w:eastAsia="Palatino Linotype"/>
          <w:i/>
          <w:szCs w:val="22"/>
        </w:rPr>
      </w:pPr>
      <w:r w:rsidRPr="00DC19D6">
        <w:rPr>
          <w:rFonts w:eastAsia="Palatino Linotype"/>
          <w:i/>
          <w:szCs w:val="22"/>
        </w:rPr>
        <w:t>(…)</w:t>
      </w:r>
    </w:p>
    <w:p w14:paraId="0EAE47FD" w14:textId="77777777" w:rsidR="00C049E2" w:rsidRPr="00DC19D6" w:rsidRDefault="00C049E2" w:rsidP="0009347C">
      <w:pPr>
        <w:spacing w:line="240" w:lineRule="auto"/>
        <w:ind w:left="567" w:right="539"/>
        <w:rPr>
          <w:rFonts w:eastAsia="Palatino Linotype"/>
          <w:i/>
          <w:szCs w:val="22"/>
        </w:rPr>
      </w:pPr>
      <w:r w:rsidRPr="00DC19D6">
        <w:rPr>
          <w:rFonts w:eastAsia="Palatino Linotype"/>
          <w:b/>
          <w:i/>
          <w:szCs w:val="22"/>
        </w:rPr>
        <w:t>El derecho a la información será garantizado por el Estado. La ley establecerá las previsiones que permitan asegurar la protección, el respeto y la difusión de este derecho</w:t>
      </w:r>
      <w:r w:rsidRPr="00DC19D6">
        <w:rPr>
          <w:rFonts w:eastAsia="Palatino Linotype"/>
          <w:i/>
          <w:szCs w:val="22"/>
        </w:rPr>
        <w:t>.</w:t>
      </w:r>
    </w:p>
    <w:p w14:paraId="4F0C804A" w14:textId="77777777" w:rsidR="00C049E2" w:rsidRPr="00DC19D6" w:rsidRDefault="00C049E2" w:rsidP="0009347C">
      <w:pPr>
        <w:spacing w:line="240" w:lineRule="auto"/>
        <w:ind w:left="567" w:right="539"/>
        <w:rPr>
          <w:rFonts w:eastAsia="Palatino Linotype"/>
          <w:i/>
          <w:szCs w:val="22"/>
        </w:rPr>
      </w:pPr>
      <w:r w:rsidRPr="00DC19D6">
        <w:rPr>
          <w:rFonts w:eastAsia="Palatino Linotype"/>
          <w:i/>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C19D6" w:rsidRDefault="00C049E2" w:rsidP="0009347C">
      <w:pPr>
        <w:spacing w:line="240" w:lineRule="auto"/>
        <w:ind w:left="567" w:right="539"/>
        <w:rPr>
          <w:rFonts w:eastAsia="Palatino Linotype"/>
          <w:i/>
          <w:szCs w:val="22"/>
        </w:rPr>
      </w:pPr>
      <w:r w:rsidRPr="00DC19D6">
        <w:rPr>
          <w:rFonts w:eastAsia="Palatino Linotype"/>
          <w:b/>
          <w:i/>
          <w:szCs w:val="22"/>
        </w:rPr>
        <w:t>Este derecho se regirá por los principios y bases siguientes</w:t>
      </w:r>
      <w:r w:rsidRPr="00DC19D6">
        <w:rPr>
          <w:rFonts w:eastAsia="Palatino Linotype"/>
          <w:i/>
          <w:szCs w:val="22"/>
        </w:rPr>
        <w:t>:</w:t>
      </w:r>
    </w:p>
    <w:p w14:paraId="4A3E8CBA" w14:textId="77777777" w:rsidR="00C049E2" w:rsidRPr="00DC19D6" w:rsidRDefault="00C049E2" w:rsidP="0009347C">
      <w:pPr>
        <w:spacing w:line="240" w:lineRule="auto"/>
        <w:ind w:left="567" w:right="539"/>
        <w:rPr>
          <w:rFonts w:eastAsia="Palatino Linotype"/>
          <w:i/>
          <w:szCs w:val="22"/>
        </w:rPr>
      </w:pPr>
      <w:r w:rsidRPr="00DC19D6">
        <w:rPr>
          <w:rFonts w:eastAsia="Palatino Linotype"/>
          <w:b/>
          <w:i/>
          <w:szCs w:val="22"/>
        </w:rPr>
        <w:t>I. Toda la información en posesión de cualquier autoridad, entidad, órgano y organismos de los</w:t>
      </w:r>
      <w:r w:rsidRPr="00DC19D6">
        <w:rPr>
          <w:rFonts w:eastAsia="Palatino Linotype"/>
          <w:i/>
          <w:szCs w:val="22"/>
        </w:rPr>
        <w:t xml:space="preserve"> Poderes Ejecutivo, Legislativo y Judicial, órganos autónomos, partidos políticos, fideicomisos y fondos públicos estatales y </w:t>
      </w:r>
      <w:r w:rsidRPr="00DC19D6">
        <w:rPr>
          <w:rFonts w:eastAsia="Palatino Linotype"/>
          <w:b/>
          <w:i/>
          <w:szCs w:val="22"/>
        </w:rPr>
        <w:t>municipales</w:t>
      </w:r>
      <w:r w:rsidRPr="00DC19D6">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C19D6">
        <w:rPr>
          <w:rFonts w:eastAsia="Palatino Linotype"/>
          <w:b/>
          <w:i/>
          <w:szCs w:val="22"/>
        </w:rPr>
        <w:t>es pública</w:t>
      </w:r>
      <w:r w:rsidRPr="00DC19D6">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DC19D6">
        <w:rPr>
          <w:rFonts w:eastAsia="Palatino Linotype"/>
          <w:b/>
          <w:i/>
          <w:szCs w:val="22"/>
        </w:rPr>
        <w:t>En la interpretación de este derecho deberá prevalecer el principio de máxima publicidad</w:t>
      </w:r>
      <w:r w:rsidRPr="00DC19D6">
        <w:rPr>
          <w:rFonts w:eastAsia="Palatino Linotype"/>
          <w:i/>
          <w:szCs w:val="22"/>
        </w:rPr>
        <w:t xml:space="preserve">. </w:t>
      </w:r>
      <w:r w:rsidRPr="00DC19D6">
        <w:rPr>
          <w:rFonts w:eastAsia="Palatino Linotype"/>
          <w:b/>
          <w:i/>
          <w:szCs w:val="22"/>
        </w:rPr>
        <w:t>Los sujetos obligados deberán documentar todo acto que derive del ejercicio de sus facultades, competencias o funciones</w:t>
      </w:r>
      <w:r w:rsidRPr="00DC19D6">
        <w:rPr>
          <w:rFonts w:eastAsia="Palatino Linotype"/>
          <w:i/>
          <w:szCs w:val="22"/>
        </w:rPr>
        <w:t>, la ley determinará los supuestos específicos bajo los cuales procederá la declaración de inexistencia de la información.”</w:t>
      </w:r>
    </w:p>
    <w:p w14:paraId="5CA98E37" w14:textId="77777777" w:rsidR="00C049E2" w:rsidRPr="00DC19D6" w:rsidRDefault="00C049E2" w:rsidP="00C049E2">
      <w:pPr>
        <w:rPr>
          <w:rFonts w:eastAsia="Palatino Linotype"/>
          <w:b/>
          <w:i/>
          <w:szCs w:val="22"/>
        </w:rPr>
      </w:pPr>
    </w:p>
    <w:p w14:paraId="6FC1BB3B" w14:textId="3BF4A33D" w:rsidR="00C049E2" w:rsidRPr="00DC19D6" w:rsidRDefault="00717E59" w:rsidP="00331F35">
      <w:pPr>
        <w:rPr>
          <w:rFonts w:eastAsia="Palatino Linotype"/>
          <w:i/>
          <w:szCs w:val="22"/>
        </w:rPr>
      </w:pPr>
      <w:r w:rsidRPr="00DC19D6">
        <w:rPr>
          <w:rFonts w:eastAsia="Palatino Linotype"/>
          <w:szCs w:val="22"/>
        </w:rPr>
        <w:t xml:space="preserve">Asimismo, </w:t>
      </w:r>
      <w:r w:rsidR="00C049E2" w:rsidRPr="00DC19D6">
        <w:rPr>
          <w:rFonts w:eastAsia="Palatino Linotype"/>
          <w:szCs w:val="22"/>
        </w:rPr>
        <w:t>el artículo 150 de la Ley de Transparencia y Acceso a la Información Pública del Estado de México y Municipios</w:t>
      </w:r>
      <w:r w:rsidR="00057B2D" w:rsidRPr="00DC19D6">
        <w:rPr>
          <w:rFonts w:eastAsia="Palatino Linotype"/>
          <w:szCs w:val="22"/>
        </w:rPr>
        <w:t xml:space="preserve"> </w:t>
      </w:r>
      <w:r w:rsidR="00E9335C" w:rsidRPr="00DC19D6">
        <w:rPr>
          <w:rFonts w:eastAsia="Palatino Linotype"/>
          <w:szCs w:val="22"/>
        </w:rPr>
        <w:t xml:space="preserve">indica </w:t>
      </w:r>
      <w:r w:rsidR="00057B2D" w:rsidRPr="00DC19D6">
        <w:rPr>
          <w:rFonts w:eastAsia="Palatino Linotype"/>
          <w:szCs w:val="22"/>
        </w:rPr>
        <w:t>que</w:t>
      </w:r>
      <w:r w:rsidR="00C049E2" w:rsidRPr="00DC19D6">
        <w:rPr>
          <w:rFonts w:eastAsia="Palatino Linotype"/>
          <w:szCs w:val="22"/>
        </w:rPr>
        <w:t xml:space="preserve"> la solicitud es la garantía primaria del Derecho de Acceso a la Información, además, establece que se regirá </w:t>
      </w:r>
      <w:r w:rsidR="00C049E2" w:rsidRPr="00DC19D6">
        <w:rPr>
          <w:rFonts w:eastAsia="Palatino Linotype"/>
          <w:i/>
          <w:szCs w:val="22"/>
        </w:rPr>
        <w:t>por los principios de simplicidad, rapidez</w:t>
      </w:r>
      <w:r w:rsidR="005F65B7" w:rsidRPr="00DC19D6">
        <w:rPr>
          <w:rFonts w:eastAsia="Palatino Linotype"/>
          <w:i/>
          <w:szCs w:val="22"/>
        </w:rPr>
        <w:t>,</w:t>
      </w:r>
      <w:r w:rsidR="00C049E2" w:rsidRPr="00DC19D6">
        <w:rPr>
          <w:rFonts w:eastAsia="Palatino Linotype"/>
          <w:i/>
          <w:szCs w:val="22"/>
        </w:rPr>
        <w:t xml:space="preserve"> gratuidad del procedimiento, auxilio y orientación a los particulare</w:t>
      </w:r>
      <w:r w:rsidR="001A58B3" w:rsidRPr="00DC19D6">
        <w:rPr>
          <w:rFonts w:eastAsia="Palatino Linotype"/>
          <w:i/>
          <w:szCs w:val="22"/>
        </w:rPr>
        <w:t>s.</w:t>
      </w:r>
    </w:p>
    <w:p w14:paraId="033466A6" w14:textId="77777777" w:rsidR="001A58B3" w:rsidRPr="00DC19D6" w:rsidRDefault="001A58B3" w:rsidP="00331F35">
      <w:pPr>
        <w:rPr>
          <w:rFonts w:eastAsia="Palatino Linotype"/>
          <w:i/>
          <w:szCs w:val="22"/>
        </w:rPr>
      </w:pPr>
    </w:p>
    <w:p w14:paraId="04ADA10B" w14:textId="574A944A" w:rsidR="001A58B3" w:rsidRPr="00DC19D6" w:rsidRDefault="00233F17" w:rsidP="00331F35">
      <w:pPr>
        <w:rPr>
          <w:rFonts w:eastAsia="Palatino Linotype" w:cs="Palatino Linotype"/>
          <w:i/>
          <w:szCs w:val="22"/>
        </w:rPr>
      </w:pPr>
      <w:r w:rsidRPr="00DC19D6">
        <w:rPr>
          <w:rFonts w:eastAsia="Palatino Linotype" w:cs="Palatino Linotype"/>
          <w:szCs w:val="22"/>
        </w:rPr>
        <w:t xml:space="preserve">Por su parte, el artículo 4 de </w:t>
      </w:r>
      <w:r w:rsidR="001A58B3" w:rsidRPr="00DC19D6">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C19D6">
        <w:rPr>
          <w:rFonts w:eastAsia="Palatino Linotype" w:cs="Palatino Linotype"/>
          <w:szCs w:val="22"/>
        </w:rPr>
        <w:t>.</w:t>
      </w:r>
    </w:p>
    <w:p w14:paraId="1407DBB8" w14:textId="77777777" w:rsidR="001A58B3" w:rsidRPr="00DC19D6" w:rsidRDefault="001A58B3" w:rsidP="00331F35">
      <w:pPr>
        <w:rPr>
          <w:rFonts w:eastAsia="Palatino Linotype" w:cs="Palatino Linotype"/>
          <w:szCs w:val="22"/>
        </w:rPr>
      </w:pPr>
    </w:p>
    <w:p w14:paraId="7552AA79" w14:textId="5C52E4A4" w:rsidR="001A58B3" w:rsidRPr="00DC19D6" w:rsidRDefault="001A58B3" w:rsidP="00331F35">
      <w:pPr>
        <w:rPr>
          <w:rFonts w:eastAsia="Palatino Linotype" w:cs="Palatino Linotype"/>
          <w:szCs w:val="22"/>
        </w:rPr>
      </w:pPr>
      <w:r w:rsidRPr="00DC19D6">
        <w:rPr>
          <w:rFonts w:eastAsia="Palatino Linotype" w:cs="Palatino Linotype"/>
          <w:szCs w:val="22"/>
        </w:rPr>
        <w:t xml:space="preserve">Esto es, que los Sujetos Obligados </w:t>
      </w:r>
      <w:r w:rsidR="00FA5957" w:rsidRPr="00DC19D6">
        <w:rPr>
          <w:rFonts w:eastAsia="Palatino Linotype" w:cs="Palatino Linotype"/>
          <w:szCs w:val="22"/>
        </w:rPr>
        <w:t>deben</w:t>
      </w:r>
      <w:r w:rsidRPr="00DC19D6">
        <w:rPr>
          <w:rFonts w:eastAsia="Palatino Linotype" w:cs="Palatino Linotype"/>
          <w:szCs w:val="22"/>
        </w:rPr>
        <w:t xml:space="preserve"> atender las solicitudes de acceso a la información pública que se les </w:t>
      </w:r>
      <w:r w:rsidR="00FA5957" w:rsidRPr="00DC19D6">
        <w:rPr>
          <w:rFonts w:eastAsia="Palatino Linotype" w:cs="Palatino Linotype"/>
          <w:szCs w:val="22"/>
        </w:rPr>
        <w:t>sean realizadas,</w:t>
      </w:r>
      <w:r w:rsidRPr="00DC19D6">
        <w:rPr>
          <w:rFonts w:eastAsia="Palatino Linotype" w:cs="Palatino Linotype"/>
          <w:szCs w:val="22"/>
        </w:rPr>
        <w:t xml:space="preserve"> y proporcionar la información pública que obre en su poder</w:t>
      </w:r>
      <w:r w:rsidR="00FA5957" w:rsidRPr="00DC19D6">
        <w:rPr>
          <w:rFonts w:eastAsia="Palatino Linotype" w:cs="Palatino Linotype"/>
          <w:szCs w:val="22"/>
        </w:rPr>
        <w:t>,</w:t>
      </w:r>
      <w:r w:rsidRPr="00DC19D6">
        <w:rPr>
          <w:rFonts w:eastAsia="Palatino Linotype" w:cs="Palatino Linotype"/>
          <w:szCs w:val="22"/>
        </w:rPr>
        <w:t xml:space="preserve"> conforme </w:t>
      </w:r>
      <w:r w:rsidR="00FA5957" w:rsidRPr="00DC19D6">
        <w:rPr>
          <w:rFonts w:eastAsia="Palatino Linotype" w:cs="Palatino Linotype"/>
          <w:szCs w:val="22"/>
        </w:rPr>
        <w:t>a</w:t>
      </w:r>
      <w:r w:rsidRPr="00DC19D6">
        <w:rPr>
          <w:rFonts w:eastAsia="Palatino Linotype" w:cs="Palatino Linotype"/>
          <w:szCs w:val="22"/>
        </w:rPr>
        <w:t xml:space="preserve">l estado </w:t>
      </w:r>
      <w:r w:rsidR="00FA5957" w:rsidRPr="00DC19D6">
        <w:rPr>
          <w:rFonts w:eastAsia="Palatino Linotype" w:cs="Palatino Linotype"/>
          <w:szCs w:val="22"/>
        </w:rPr>
        <w:t xml:space="preserve">en </w:t>
      </w:r>
      <w:r w:rsidRPr="00DC19D6">
        <w:rPr>
          <w:rFonts w:eastAsia="Palatino Linotype" w:cs="Palatino Linotype"/>
          <w:szCs w:val="22"/>
        </w:rPr>
        <w:t>que se encuentr</w:t>
      </w:r>
      <w:r w:rsidR="00FA5957" w:rsidRPr="00DC19D6">
        <w:rPr>
          <w:rFonts w:eastAsia="Palatino Linotype" w:cs="Palatino Linotype"/>
          <w:szCs w:val="22"/>
        </w:rPr>
        <w:t>e, sin que sea necesario</w:t>
      </w:r>
      <w:r w:rsidRPr="00DC19D6">
        <w:rPr>
          <w:rFonts w:eastAsia="Palatino Linotype" w:cs="Palatino Linotype"/>
          <w:szCs w:val="22"/>
        </w:rPr>
        <w:t xml:space="preserve"> </w:t>
      </w:r>
      <w:r w:rsidR="00FA5957" w:rsidRPr="00DC19D6">
        <w:rPr>
          <w:rFonts w:eastAsia="Palatino Linotype" w:cs="Palatino Linotype"/>
          <w:szCs w:val="22"/>
        </w:rPr>
        <w:t>procesar</w:t>
      </w:r>
      <w:r w:rsidRPr="00DC19D6">
        <w:rPr>
          <w:rFonts w:eastAsia="Palatino Linotype" w:cs="Palatino Linotype"/>
          <w:szCs w:val="22"/>
        </w:rPr>
        <w:t xml:space="preserve"> la misma, ni presentarla </w:t>
      </w:r>
      <w:r w:rsidRPr="00DC19D6">
        <w:rPr>
          <w:rFonts w:eastAsia="Palatino Linotype" w:cs="Palatino Linotype"/>
          <w:szCs w:val="22"/>
        </w:rPr>
        <w:lastRenderedPageBreak/>
        <w:t xml:space="preserve">conforme al interés del solicitante; </w:t>
      </w:r>
      <w:r w:rsidR="00FA5957" w:rsidRPr="00DC19D6">
        <w:rPr>
          <w:rFonts w:eastAsia="Palatino Linotype" w:cs="Palatino Linotype"/>
          <w:szCs w:val="22"/>
        </w:rPr>
        <w:t>tal y como</w:t>
      </w:r>
      <w:r w:rsidRPr="00DC19D6">
        <w:rPr>
          <w:rFonts w:eastAsia="Palatino Linotype" w:cs="Palatino Linotype"/>
          <w:szCs w:val="22"/>
        </w:rPr>
        <w:t xml:space="preserve"> lo establece el artículo 12 de la Ley de Transparencia y Acceso a la Información Pública del Estado de México y Municipios</w:t>
      </w:r>
      <w:r w:rsidR="00970EB3" w:rsidRPr="00DC19D6">
        <w:rPr>
          <w:rFonts w:eastAsia="Palatino Linotype" w:cs="Palatino Linotype"/>
          <w:szCs w:val="22"/>
        </w:rPr>
        <w:t>.</w:t>
      </w:r>
    </w:p>
    <w:p w14:paraId="73245195" w14:textId="77777777" w:rsidR="00970EB3" w:rsidRPr="00DC19D6" w:rsidRDefault="00970EB3" w:rsidP="00331F35">
      <w:pPr>
        <w:rPr>
          <w:rFonts w:eastAsia="Palatino Linotype" w:cs="Palatino Linotype"/>
          <w:szCs w:val="22"/>
        </w:rPr>
      </w:pPr>
    </w:p>
    <w:p w14:paraId="7F62D4DF" w14:textId="775730E1" w:rsidR="001A58B3" w:rsidRPr="00DC19D6" w:rsidRDefault="001A58B3" w:rsidP="00331F35">
      <w:pPr>
        <w:rPr>
          <w:rFonts w:eastAsia="Palatino Linotype" w:cs="Palatino Linotype"/>
          <w:szCs w:val="22"/>
        </w:rPr>
      </w:pPr>
      <w:r w:rsidRPr="00DC19D6">
        <w:rPr>
          <w:rFonts w:eastAsia="Palatino Linotype" w:cs="Palatino Linotype"/>
          <w:szCs w:val="22"/>
        </w:rPr>
        <w:t>Es decir, que todo sujeto obligado que genere, recopile, administre, procese, archive, posea o conserven, son responsables de la misma</w:t>
      </w:r>
      <w:r w:rsidR="00970EB3" w:rsidRPr="00DC19D6">
        <w:rPr>
          <w:rFonts w:eastAsia="Palatino Linotype" w:cs="Palatino Linotype"/>
          <w:szCs w:val="22"/>
        </w:rPr>
        <w:t>,</w:t>
      </w:r>
      <w:r w:rsidRPr="00DC19D6">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DC19D6">
        <w:rPr>
          <w:rFonts w:eastAsia="Palatino Linotype" w:cs="Palatino Linotype"/>
          <w:szCs w:val="22"/>
        </w:rPr>
        <w:t>o</w:t>
      </w:r>
      <w:r w:rsidRPr="00DC19D6">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C19D6" w:rsidRDefault="001A58B3" w:rsidP="00331F35">
      <w:pPr>
        <w:rPr>
          <w:rFonts w:eastAsia="Palatino Linotype" w:cs="Palatino Linotype"/>
          <w:szCs w:val="22"/>
        </w:rPr>
      </w:pPr>
    </w:p>
    <w:p w14:paraId="04E42DFE" w14:textId="573F1198" w:rsidR="001A58B3" w:rsidRPr="00DC19D6" w:rsidRDefault="001A58B3" w:rsidP="00331F35">
      <w:pPr>
        <w:rPr>
          <w:rFonts w:eastAsia="Palatino Linotype" w:cs="Palatino Linotype"/>
          <w:szCs w:val="22"/>
        </w:rPr>
      </w:pPr>
      <w:r w:rsidRPr="00DC19D6">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C19D6">
        <w:rPr>
          <w:rFonts w:eastAsia="Palatino Linotype" w:cs="Palatino Linotype"/>
          <w:szCs w:val="22"/>
        </w:rPr>
        <w:t>, s</w:t>
      </w:r>
      <w:r w:rsidRPr="00DC19D6">
        <w:rPr>
          <w:rFonts w:eastAsia="Palatino Linotype" w:cs="Palatino Linotype"/>
          <w:szCs w:val="22"/>
        </w:rPr>
        <w:t xml:space="preserve">iempre y cuando no se trate de información reservada o </w:t>
      </w:r>
      <w:r w:rsidR="00331F35" w:rsidRPr="00DC19D6">
        <w:rPr>
          <w:rFonts w:eastAsia="Palatino Linotype" w:cs="Palatino Linotype"/>
          <w:szCs w:val="22"/>
        </w:rPr>
        <w:t>confidencial.</w:t>
      </w:r>
    </w:p>
    <w:p w14:paraId="40C5219F" w14:textId="77777777" w:rsidR="001A58B3" w:rsidRPr="00DC19D6" w:rsidRDefault="001A58B3" w:rsidP="00331F35">
      <w:pPr>
        <w:rPr>
          <w:rFonts w:eastAsia="Palatino Linotype" w:cs="Palatino Linotype"/>
          <w:szCs w:val="22"/>
        </w:rPr>
      </w:pPr>
    </w:p>
    <w:p w14:paraId="51A0E8B4" w14:textId="676DCA47" w:rsidR="00664420" w:rsidRPr="00DC19D6" w:rsidRDefault="00C71CEF" w:rsidP="00C71CEF">
      <w:pPr>
        <w:pStyle w:val="Ttulo3"/>
        <w:rPr>
          <w:rFonts w:eastAsia="Calibri"/>
          <w:szCs w:val="22"/>
          <w:lang w:eastAsia="es-ES_tradnl"/>
        </w:rPr>
      </w:pPr>
      <w:bookmarkStart w:id="24" w:name="_heading=h.2s8eyo1" w:colFirst="0" w:colLast="0"/>
      <w:bookmarkStart w:id="25" w:name="_Toc175586270"/>
      <w:bookmarkEnd w:id="24"/>
      <w:r w:rsidRPr="00DC19D6">
        <w:rPr>
          <w:rFonts w:eastAsia="Calibri"/>
          <w:szCs w:val="22"/>
          <w:lang w:eastAsia="es-ES_tradnl"/>
        </w:rPr>
        <w:t>b)</w:t>
      </w:r>
      <w:r w:rsidR="00A53315" w:rsidRPr="00DC19D6">
        <w:rPr>
          <w:rFonts w:eastAsia="Calibri"/>
          <w:szCs w:val="22"/>
          <w:lang w:eastAsia="es-ES_tradnl"/>
        </w:rPr>
        <w:t xml:space="preserve"> </w:t>
      </w:r>
      <w:r w:rsidR="00A21A20" w:rsidRPr="00DC19D6">
        <w:rPr>
          <w:rFonts w:eastAsia="Calibri"/>
          <w:szCs w:val="22"/>
          <w:lang w:eastAsia="es-ES_tradnl"/>
        </w:rPr>
        <w:t>Controversia a resolver</w:t>
      </w:r>
      <w:bookmarkEnd w:id="25"/>
    </w:p>
    <w:p w14:paraId="17AD56F8" w14:textId="77777777" w:rsidR="00B55E8A" w:rsidRPr="00DC19D6" w:rsidRDefault="00664420" w:rsidP="00D97C9C">
      <w:pPr>
        <w:rPr>
          <w:rFonts w:eastAsia="Calibri"/>
          <w:szCs w:val="22"/>
          <w:lang w:eastAsia="es-ES_tradnl"/>
        </w:rPr>
      </w:pPr>
      <w:r w:rsidRPr="00DC19D6">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C19D6">
        <w:rPr>
          <w:rFonts w:eastAsia="Calibri"/>
          <w:b/>
          <w:bCs/>
          <w:szCs w:val="22"/>
          <w:lang w:eastAsia="es-ES_tradnl"/>
        </w:rPr>
        <w:t>LA PARTE RECURRENTE</w:t>
      </w:r>
      <w:r w:rsidRPr="00DC19D6">
        <w:rPr>
          <w:rFonts w:eastAsia="Calibri"/>
          <w:szCs w:val="22"/>
          <w:lang w:eastAsia="es-ES_tradnl"/>
        </w:rPr>
        <w:t xml:space="preserve"> solicitó lo siguiente:</w:t>
      </w:r>
      <w:r w:rsidR="00D97C9C" w:rsidRPr="00DC19D6">
        <w:rPr>
          <w:rFonts w:eastAsia="Calibri"/>
          <w:szCs w:val="22"/>
          <w:lang w:eastAsia="es-ES_tradnl"/>
        </w:rPr>
        <w:t xml:space="preserve"> </w:t>
      </w:r>
    </w:p>
    <w:p w14:paraId="1FE8FC14" w14:textId="77777777" w:rsidR="00B55E8A" w:rsidRPr="00DC19D6" w:rsidRDefault="00B55E8A" w:rsidP="00D97C9C">
      <w:pPr>
        <w:rPr>
          <w:rFonts w:eastAsia="Calibri"/>
          <w:szCs w:val="22"/>
          <w:lang w:eastAsia="es-ES_tradnl"/>
        </w:rPr>
      </w:pPr>
    </w:p>
    <w:p w14:paraId="5D7D95FB" w14:textId="14D2828C" w:rsidR="00B55E8A" w:rsidRPr="00DC19D6" w:rsidRDefault="00AB41ED" w:rsidP="00E268F3">
      <w:pPr>
        <w:pStyle w:val="Prrafodelista"/>
        <w:numPr>
          <w:ilvl w:val="0"/>
          <w:numId w:val="11"/>
        </w:numPr>
        <w:rPr>
          <w:rFonts w:cs="Tahoma"/>
          <w:bCs/>
          <w:iCs/>
          <w:szCs w:val="22"/>
        </w:rPr>
      </w:pPr>
      <w:r w:rsidRPr="00DC19D6">
        <w:rPr>
          <w:rFonts w:cs="Tahoma"/>
          <w:bCs/>
          <w:iCs/>
          <w:szCs w:val="22"/>
        </w:rPr>
        <w:t>L</w:t>
      </w:r>
      <w:r w:rsidR="00B55E8A" w:rsidRPr="00DC19D6">
        <w:rPr>
          <w:rFonts w:cs="Tahoma"/>
          <w:bCs/>
          <w:iCs/>
          <w:szCs w:val="22"/>
        </w:rPr>
        <w:t>ista de las personas que han dado de baja</w:t>
      </w:r>
      <w:r w:rsidRPr="00DC19D6">
        <w:rPr>
          <w:rFonts w:cs="Tahoma"/>
          <w:bCs/>
          <w:iCs/>
          <w:szCs w:val="22"/>
        </w:rPr>
        <w:t>,</w:t>
      </w:r>
      <w:r w:rsidR="00B55E8A" w:rsidRPr="00DC19D6">
        <w:rPr>
          <w:rFonts w:cs="Tahoma"/>
          <w:bCs/>
          <w:iCs/>
          <w:szCs w:val="22"/>
        </w:rPr>
        <w:t xml:space="preserve"> a partir del 01 de septiembre d</w:t>
      </w:r>
      <w:r w:rsidRPr="00DC19D6">
        <w:rPr>
          <w:rFonts w:cs="Tahoma"/>
          <w:bCs/>
          <w:iCs/>
          <w:szCs w:val="22"/>
        </w:rPr>
        <w:t>e 2023 al 06 de junio del 2024.</w:t>
      </w:r>
    </w:p>
    <w:p w14:paraId="3A713A20" w14:textId="371AF058" w:rsidR="00AB41ED" w:rsidRPr="00DC19D6" w:rsidRDefault="008C2C22" w:rsidP="00E268F3">
      <w:pPr>
        <w:pStyle w:val="Prrafodelista"/>
        <w:numPr>
          <w:ilvl w:val="0"/>
          <w:numId w:val="11"/>
        </w:numPr>
        <w:rPr>
          <w:rFonts w:cs="Tahoma"/>
          <w:bCs/>
          <w:iCs/>
          <w:szCs w:val="22"/>
        </w:rPr>
      </w:pPr>
      <w:r w:rsidRPr="00DC19D6">
        <w:rPr>
          <w:rFonts w:cs="Tahoma"/>
          <w:bCs/>
          <w:iCs/>
          <w:szCs w:val="22"/>
        </w:rPr>
        <w:lastRenderedPageBreak/>
        <w:t>Causa</w:t>
      </w:r>
      <w:r w:rsidR="00AB41ED" w:rsidRPr="00DC19D6">
        <w:rPr>
          <w:rFonts w:cs="Tahoma"/>
          <w:bCs/>
          <w:iCs/>
          <w:szCs w:val="22"/>
        </w:rPr>
        <w:t xml:space="preserve"> de la baja.</w:t>
      </w:r>
    </w:p>
    <w:p w14:paraId="4AC1AA4F" w14:textId="77777777" w:rsidR="00AB41ED" w:rsidRPr="00DC19D6" w:rsidRDefault="00AB41ED" w:rsidP="00E268F3">
      <w:pPr>
        <w:pStyle w:val="Prrafodelista"/>
        <w:numPr>
          <w:ilvl w:val="0"/>
          <w:numId w:val="11"/>
        </w:numPr>
        <w:rPr>
          <w:rFonts w:cs="Tahoma"/>
          <w:bCs/>
          <w:iCs/>
          <w:szCs w:val="22"/>
        </w:rPr>
      </w:pPr>
      <w:r w:rsidRPr="00DC19D6">
        <w:rPr>
          <w:rFonts w:cs="Tahoma"/>
          <w:bCs/>
          <w:iCs/>
          <w:szCs w:val="22"/>
        </w:rPr>
        <w:t>O</w:t>
      </w:r>
      <w:r w:rsidR="00B55E8A" w:rsidRPr="00DC19D6">
        <w:rPr>
          <w:rFonts w:cs="Tahoma"/>
          <w:bCs/>
          <w:iCs/>
          <w:szCs w:val="22"/>
        </w:rPr>
        <w:t xml:space="preserve">ficios </w:t>
      </w:r>
      <w:r w:rsidRPr="00DC19D6">
        <w:rPr>
          <w:rFonts w:cs="Tahoma"/>
          <w:bCs/>
          <w:iCs/>
          <w:szCs w:val="22"/>
        </w:rPr>
        <w:t>d</w:t>
      </w:r>
      <w:r w:rsidR="00B55E8A" w:rsidRPr="00DC19D6">
        <w:rPr>
          <w:rFonts w:cs="Tahoma"/>
          <w:bCs/>
          <w:iCs/>
          <w:szCs w:val="22"/>
        </w:rPr>
        <w:t xml:space="preserve">el vocal ejecutivo </w:t>
      </w:r>
      <w:r w:rsidRPr="00DC19D6">
        <w:rPr>
          <w:rFonts w:cs="Tahoma"/>
          <w:bCs/>
          <w:iCs/>
          <w:szCs w:val="22"/>
        </w:rPr>
        <w:t xml:space="preserve">en el que </w:t>
      </w:r>
      <w:r w:rsidR="00B55E8A" w:rsidRPr="00DC19D6">
        <w:rPr>
          <w:rFonts w:cs="Tahoma"/>
          <w:bCs/>
          <w:iCs/>
          <w:szCs w:val="22"/>
        </w:rPr>
        <w:t xml:space="preserve">requiere de </w:t>
      </w:r>
      <w:r w:rsidRPr="00DC19D6">
        <w:rPr>
          <w:rFonts w:cs="Tahoma"/>
          <w:bCs/>
          <w:iCs/>
          <w:szCs w:val="22"/>
        </w:rPr>
        <w:t>la</w:t>
      </w:r>
      <w:r w:rsidR="00B55E8A" w:rsidRPr="00DC19D6">
        <w:rPr>
          <w:rFonts w:cs="Tahoma"/>
          <w:bCs/>
          <w:iCs/>
          <w:szCs w:val="22"/>
        </w:rPr>
        <w:t xml:space="preserve"> baja de cada uno de</w:t>
      </w:r>
      <w:r w:rsidRPr="00DC19D6">
        <w:rPr>
          <w:rFonts w:cs="Tahoma"/>
          <w:bCs/>
          <w:iCs/>
          <w:szCs w:val="22"/>
        </w:rPr>
        <w:t xml:space="preserve"> las personas referidas en el listado. </w:t>
      </w:r>
    </w:p>
    <w:p w14:paraId="0C1EE091" w14:textId="20A5D8DA" w:rsidR="00B55E8A" w:rsidRPr="00DC19D6" w:rsidRDefault="00B55E8A" w:rsidP="00E268F3">
      <w:pPr>
        <w:pStyle w:val="Prrafodelista"/>
        <w:numPr>
          <w:ilvl w:val="0"/>
          <w:numId w:val="11"/>
        </w:numPr>
        <w:rPr>
          <w:rFonts w:cs="Tahoma"/>
          <w:bCs/>
          <w:iCs/>
          <w:szCs w:val="22"/>
        </w:rPr>
      </w:pPr>
      <w:r w:rsidRPr="00DC19D6">
        <w:rPr>
          <w:rFonts w:cs="Tahoma"/>
          <w:bCs/>
          <w:iCs/>
          <w:szCs w:val="22"/>
        </w:rPr>
        <w:t xml:space="preserve">Oficio del vocal en donde de autorización a la </w:t>
      </w:r>
      <w:r w:rsidR="00AB41ED" w:rsidRPr="00DC19D6">
        <w:rPr>
          <w:rFonts w:cs="Tahoma"/>
          <w:bCs/>
          <w:iCs/>
          <w:szCs w:val="22"/>
        </w:rPr>
        <w:t>Lic. Diana Hernández Orta</w:t>
      </w:r>
      <w:r w:rsidRPr="00DC19D6">
        <w:rPr>
          <w:rFonts w:cs="Tahoma"/>
          <w:bCs/>
          <w:iCs/>
          <w:szCs w:val="22"/>
        </w:rPr>
        <w:t xml:space="preserve"> y al </w:t>
      </w:r>
      <w:r w:rsidR="00AB41ED" w:rsidRPr="00DC19D6">
        <w:rPr>
          <w:rFonts w:cs="Tahoma"/>
          <w:bCs/>
          <w:iCs/>
          <w:szCs w:val="22"/>
        </w:rPr>
        <w:t xml:space="preserve">Lic. Eric Alberto Soriano Vega, </w:t>
      </w:r>
      <w:r w:rsidRPr="00DC19D6">
        <w:rPr>
          <w:rFonts w:cs="Tahoma"/>
          <w:bCs/>
          <w:iCs/>
          <w:szCs w:val="22"/>
        </w:rPr>
        <w:t xml:space="preserve">para </w:t>
      </w:r>
      <w:r w:rsidR="00AB41ED" w:rsidRPr="00DC19D6">
        <w:rPr>
          <w:rFonts w:cs="Tahoma"/>
          <w:bCs/>
          <w:iCs/>
          <w:szCs w:val="22"/>
        </w:rPr>
        <w:t>despedir</w:t>
      </w:r>
      <w:r w:rsidRPr="00DC19D6">
        <w:rPr>
          <w:rFonts w:cs="Tahoma"/>
          <w:bCs/>
          <w:iCs/>
          <w:szCs w:val="22"/>
        </w:rPr>
        <w:t xml:space="preserve"> a la gente</w:t>
      </w:r>
      <w:r w:rsidR="00AB41ED" w:rsidRPr="00DC19D6">
        <w:rPr>
          <w:rFonts w:cs="Tahoma"/>
          <w:bCs/>
          <w:iCs/>
          <w:szCs w:val="22"/>
        </w:rPr>
        <w:t>, con el v</w:t>
      </w:r>
      <w:r w:rsidRPr="00DC19D6">
        <w:rPr>
          <w:rFonts w:cs="Tahoma"/>
          <w:bCs/>
          <w:iCs/>
          <w:szCs w:val="22"/>
        </w:rPr>
        <w:t xml:space="preserve">isto bueno por parte del </w:t>
      </w:r>
      <w:r w:rsidR="00AB41ED" w:rsidRPr="00DC19D6">
        <w:rPr>
          <w:rFonts w:cs="Tahoma"/>
          <w:bCs/>
          <w:iCs/>
          <w:szCs w:val="22"/>
        </w:rPr>
        <w:t xml:space="preserve">Director General </w:t>
      </w:r>
      <w:r w:rsidRPr="00DC19D6">
        <w:rPr>
          <w:rFonts w:cs="Tahoma"/>
          <w:bCs/>
          <w:iCs/>
          <w:szCs w:val="22"/>
        </w:rPr>
        <w:t xml:space="preserve">de </w:t>
      </w:r>
      <w:r w:rsidR="00AB41ED" w:rsidRPr="00DC19D6">
        <w:rPr>
          <w:rFonts w:cs="Tahoma"/>
          <w:bCs/>
          <w:iCs/>
          <w:szCs w:val="22"/>
        </w:rPr>
        <w:t xml:space="preserve">Asuntos Jurídicos. </w:t>
      </w:r>
      <w:r w:rsidRPr="00DC19D6">
        <w:rPr>
          <w:rFonts w:cs="Tahoma"/>
          <w:bCs/>
          <w:iCs/>
          <w:szCs w:val="22"/>
        </w:rPr>
        <w:t xml:space="preserve"> </w:t>
      </w:r>
    </w:p>
    <w:p w14:paraId="3C96DF97" w14:textId="3F9C74DE" w:rsidR="00AB41ED" w:rsidRPr="00DC19D6" w:rsidRDefault="00E268F3" w:rsidP="00E268F3">
      <w:pPr>
        <w:pStyle w:val="Prrafodelista"/>
        <w:numPr>
          <w:ilvl w:val="0"/>
          <w:numId w:val="11"/>
        </w:numPr>
        <w:rPr>
          <w:rFonts w:cs="Tahoma"/>
          <w:bCs/>
          <w:iCs/>
          <w:szCs w:val="22"/>
        </w:rPr>
      </w:pPr>
      <w:r w:rsidRPr="00DC19D6">
        <w:rPr>
          <w:rFonts w:cs="Tahoma"/>
          <w:bCs/>
          <w:iCs/>
          <w:szCs w:val="22"/>
        </w:rPr>
        <w:t xml:space="preserve">De la </w:t>
      </w:r>
      <w:r w:rsidR="00AB41ED" w:rsidRPr="00DC19D6">
        <w:rPr>
          <w:rFonts w:cs="Tahoma"/>
          <w:bCs/>
          <w:iCs/>
          <w:szCs w:val="22"/>
        </w:rPr>
        <w:t>Lic. Diana Hernández Orta</w:t>
      </w:r>
      <w:r w:rsidRPr="00DC19D6">
        <w:rPr>
          <w:rFonts w:cs="Tahoma"/>
          <w:bCs/>
          <w:iCs/>
          <w:szCs w:val="22"/>
        </w:rPr>
        <w:t xml:space="preserve"> y </w:t>
      </w:r>
      <w:r w:rsidR="00AB41ED" w:rsidRPr="00DC19D6">
        <w:rPr>
          <w:rFonts w:cs="Tahoma"/>
          <w:bCs/>
          <w:iCs/>
          <w:szCs w:val="22"/>
        </w:rPr>
        <w:t>Lic. Eric Alberto Soriano Vega</w:t>
      </w:r>
      <w:r w:rsidRPr="00DC19D6">
        <w:rPr>
          <w:rFonts w:cs="Tahoma"/>
          <w:bCs/>
          <w:iCs/>
          <w:szCs w:val="22"/>
        </w:rPr>
        <w:t>:</w:t>
      </w:r>
      <w:r w:rsidR="00AB41ED" w:rsidRPr="00DC19D6">
        <w:rPr>
          <w:rFonts w:cs="Tahoma"/>
          <w:bCs/>
          <w:iCs/>
          <w:szCs w:val="22"/>
        </w:rPr>
        <w:t xml:space="preserve"> </w:t>
      </w:r>
    </w:p>
    <w:p w14:paraId="02F70FBC" w14:textId="1E132469" w:rsidR="00B55E8A" w:rsidRPr="00DC19D6" w:rsidRDefault="00AB41ED" w:rsidP="00E268F3">
      <w:pPr>
        <w:pStyle w:val="Prrafodelista"/>
        <w:numPr>
          <w:ilvl w:val="0"/>
          <w:numId w:val="12"/>
        </w:numPr>
        <w:rPr>
          <w:rFonts w:cs="Tahoma"/>
          <w:bCs/>
          <w:iCs/>
          <w:szCs w:val="22"/>
        </w:rPr>
      </w:pPr>
      <w:r w:rsidRPr="00DC19D6">
        <w:rPr>
          <w:rFonts w:cs="Tahoma"/>
          <w:bCs/>
          <w:iCs/>
          <w:szCs w:val="22"/>
        </w:rPr>
        <w:t>Adscripción</w:t>
      </w:r>
      <w:r w:rsidR="00B55E8A" w:rsidRPr="00DC19D6">
        <w:rPr>
          <w:rFonts w:cs="Tahoma"/>
          <w:bCs/>
          <w:iCs/>
          <w:szCs w:val="22"/>
        </w:rPr>
        <w:t>.</w:t>
      </w:r>
    </w:p>
    <w:p w14:paraId="4573B194" w14:textId="29323030" w:rsidR="00B55E8A" w:rsidRPr="00DC19D6" w:rsidRDefault="00AB41ED" w:rsidP="00E268F3">
      <w:pPr>
        <w:pStyle w:val="Prrafodelista"/>
        <w:numPr>
          <w:ilvl w:val="0"/>
          <w:numId w:val="12"/>
        </w:numPr>
        <w:rPr>
          <w:rFonts w:cs="Tahoma"/>
          <w:bCs/>
          <w:iCs/>
          <w:szCs w:val="22"/>
        </w:rPr>
      </w:pPr>
      <w:r w:rsidRPr="00DC19D6">
        <w:rPr>
          <w:rFonts w:cs="Tahoma"/>
          <w:bCs/>
          <w:iCs/>
          <w:szCs w:val="22"/>
        </w:rPr>
        <w:t>Título</w:t>
      </w:r>
      <w:r w:rsidR="00B55E8A" w:rsidRPr="00DC19D6">
        <w:rPr>
          <w:rFonts w:cs="Tahoma"/>
          <w:bCs/>
          <w:iCs/>
          <w:szCs w:val="22"/>
        </w:rPr>
        <w:t xml:space="preserve"> profesional.</w:t>
      </w:r>
    </w:p>
    <w:p w14:paraId="3CF42633" w14:textId="63C23922" w:rsidR="00B55E8A" w:rsidRPr="00DC19D6" w:rsidRDefault="00B55E8A" w:rsidP="00E268F3">
      <w:pPr>
        <w:pStyle w:val="Prrafodelista"/>
        <w:numPr>
          <w:ilvl w:val="0"/>
          <w:numId w:val="12"/>
        </w:numPr>
        <w:rPr>
          <w:rFonts w:cs="Tahoma"/>
          <w:bCs/>
          <w:iCs/>
          <w:szCs w:val="22"/>
        </w:rPr>
      </w:pPr>
      <w:r w:rsidRPr="00DC19D6">
        <w:rPr>
          <w:rFonts w:cs="Tahoma"/>
          <w:bCs/>
          <w:iCs/>
          <w:szCs w:val="22"/>
        </w:rPr>
        <w:t>N</w:t>
      </w:r>
      <w:r w:rsidR="00AB41ED" w:rsidRPr="00DC19D6">
        <w:rPr>
          <w:rFonts w:cs="Tahoma"/>
          <w:bCs/>
          <w:iCs/>
          <w:szCs w:val="22"/>
        </w:rPr>
        <w:t>ivel, indicando la fecha de inicio del mismo.</w:t>
      </w:r>
    </w:p>
    <w:p w14:paraId="0B226675" w14:textId="77777777" w:rsidR="00AB41ED" w:rsidRPr="00DC19D6" w:rsidRDefault="00AB41ED" w:rsidP="00E268F3">
      <w:pPr>
        <w:pStyle w:val="Prrafodelista"/>
        <w:numPr>
          <w:ilvl w:val="0"/>
          <w:numId w:val="12"/>
        </w:numPr>
        <w:rPr>
          <w:rFonts w:cs="Tahoma"/>
          <w:bCs/>
          <w:iCs/>
          <w:szCs w:val="22"/>
        </w:rPr>
      </w:pPr>
      <w:r w:rsidRPr="00DC19D6">
        <w:rPr>
          <w:rFonts w:cs="Tahoma"/>
          <w:bCs/>
          <w:iCs/>
          <w:szCs w:val="22"/>
        </w:rPr>
        <w:t>H</w:t>
      </w:r>
      <w:r w:rsidR="00B55E8A" w:rsidRPr="00DC19D6">
        <w:rPr>
          <w:rFonts w:cs="Tahoma"/>
          <w:bCs/>
          <w:iCs/>
          <w:szCs w:val="22"/>
        </w:rPr>
        <w:t>ora de entrada y hora de salida</w:t>
      </w:r>
      <w:r w:rsidRPr="00DC19D6">
        <w:rPr>
          <w:rFonts w:cs="Tahoma"/>
          <w:bCs/>
          <w:iCs/>
          <w:szCs w:val="22"/>
        </w:rPr>
        <w:t>.</w:t>
      </w:r>
    </w:p>
    <w:p w14:paraId="7B399974" w14:textId="6FD0B26F" w:rsidR="00C458D6" w:rsidRPr="00DC19D6" w:rsidRDefault="00AB41ED" w:rsidP="00E268F3">
      <w:pPr>
        <w:pStyle w:val="Prrafodelista"/>
        <w:numPr>
          <w:ilvl w:val="0"/>
          <w:numId w:val="12"/>
        </w:numPr>
        <w:rPr>
          <w:rFonts w:cs="Tahoma"/>
          <w:bCs/>
          <w:iCs/>
          <w:szCs w:val="22"/>
        </w:rPr>
      </w:pPr>
      <w:r w:rsidRPr="00DC19D6">
        <w:rPr>
          <w:rFonts w:cs="Tahoma"/>
          <w:bCs/>
          <w:iCs/>
          <w:szCs w:val="22"/>
        </w:rPr>
        <w:t xml:space="preserve">En su caso oficio de excepción de entrada y salida </w:t>
      </w:r>
      <w:r w:rsidR="00B55E8A" w:rsidRPr="00DC19D6">
        <w:rPr>
          <w:rFonts w:cs="Tahoma"/>
          <w:bCs/>
          <w:iCs/>
          <w:szCs w:val="22"/>
        </w:rPr>
        <w:t xml:space="preserve"> </w:t>
      </w:r>
      <w:r w:rsidRPr="00DC19D6">
        <w:rPr>
          <w:rFonts w:cs="Tahoma"/>
          <w:bCs/>
          <w:iCs/>
          <w:szCs w:val="22"/>
        </w:rPr>
        <w:t>con</w:t>
      </w:r>
      <w:r w:rsidR="00B55E8A" w:rsidRPr="00DC19D6">
        <w:rPr>
          <w:rFonts w:cs="Tahoma"/>
          <w:bCs/>
          <w:iCs/>
          <w:szCs w:val="22"/>
        </w:rPr>
        <w:t xml:space="preserve"> el visto bueno por parte del </w:t>
      </w:r>
      <w:r w:rsidRPr="00DC19D6">
        <w:rPr>
          <w:rFonts w:cs="Tahoma"/>
          <w:bCs/>
          <w:iCs/>
          <w:szCs w:val="22"/>
        </w:rPr>
        <w:t>Vocal Ejecutivo</w:t>
      </w:r>
      <w:r w:rsidR="00B55E8A" w:rsidRPr="00DC19D6">
        <w:rPr>
          <w:rFonts w:cs="Tahoma"/>
          <w:bCs/>
          <w:iCs/>
          <w:szCs w:val="22"/>
        </w:rPr>
        <w:t xml:space="preserve"> </w:t>
      </w:r>
      <w:r w:rsidRPr="00DC19D6">
        <w:rPr>
          <w:rFonts w:cs="Tahoma"/>
          <w:bCs/>
          <w:iCs/>
          <w:szCs w:val="22"/>
        </w:rPr>
        <w:t>y</w:t>
      </w:r>
      <w:r w:rsidR="00B55E8A" w:rsidRPr="00DC19D6">
        <w:rPr>
          <w:rFonts w:cs="Tahoma"/>
          <w:bCs/>
          <w:iCs/>
          <w:szCs w:val="22"/>
        </w:rPr>
        <w:t xml:space="preserve"> del </w:t>
      </w:r>
      <w:r w:rsidRPr="00DC19D6">
        <w:rPr>
          <w:rFonts w:cs="Tahoma"/>
          <w:bCs/>
          <w:iCs/>
          <w:szCs w:val="22"/>
        </w:rPr>
        <w:t>Contralor Interno.</w:t>
      </w:r>
    </w:p>
    <w:p w14:paraId="61CA2026" w14:textId="77777777" w:rsidR="00C458D6" w:rsidRPr="00DC19D6" w:rsidRDefault="00C458D6" w:rsidP="00664420">
      <w:pPr>
        <w:tabs>
          <w:tab w:val="left" w:pos="4962"/>
        </w:tabs>
        <w:contextualSpacing/>
        <w:rPr>
          <w:rFonts w:cs="Tahoma"/>
          <w:bCs/>
          <w:iCs/>
          <w:szCs w:val="22"/>
        </w:rPr>
      </w:pPr>
    </w:p>
    <w:p w14:paraId="27A155B6" w14:textId="70D34818" w:rsidR="00003628" w:rsidRPr="00DC19D6" w:rsidRDefault="00664420" w:rsidP="00207DEA">
      <w:pPr>
        <w:tabs>
          <w:tab w:val="left" w:pos="4962"/>
        </w:tabs>
        <w:contextualSpacing/>
        <w:rPr>
          <w:rFonts w:eastAsiaTheme="minorHAnsi" w:cs="Tahoma"/>
          <w:bCs/>
          <w:iCs/>
          <w:color w:val="000000" w:themeColor="text1"/>
          <w:szCs w:val="22"/>
          <w:lang w:eastAsia="en-US"/>
        </w:rPr>
      </w:pPr>
      <w:r w:rsidRPr="00DC19D6">
        <w:rPr>
          <w:rFonts w:eastAsiaTheme="minorHAnsi" w:cs="Tahoma"/>
          <w:bCs/>
          <w:iCs/>
          <w:color w:val="000000" w:themeColor="text1"/>
          <w:szCs w:val="22"/>
          <w:lang w:eastAsia="en-US"/>
        </w:rPr>
        <w:t>En respuesta,</w:t>
      </w:r>
      <w:r w:rsidR="000820ED" w:rsidRPr="00DC19D6">
        <w:rPr>
          <w:rFonts w:eastAsiaTheme="minorHAnsi" w:cs="Tahoma"/>
          <w:bCs/>
          <w:iCs/>
          <w:color w:val="000000" w:themeColor="text1"/>
          <w:szCs w:val="22"/>
          <w:lang w:eastAsia="en-US"/>
        </w:rPr>
        <w:t xml:space="preserve"> conforme a las constancias que obran en</w:t>
      </w:r>
      <w:r w:rsidR="00837517" w:rsidRPr="00DC19D6">
        <w:rPr>
          <w:rFonts w:eastAsiaTheme="minorHAnsi" w:cs="Tahoma"/>
          <w:bCs/>
          <w:iCs/>
          <w:color w:val="000000" w:themeColor="text1"/>
          <w:szCs w:val="22"/>
          <w:lang w:eastAsia="en-US"/>
        </w:rPr>
        <w:t xml:space="preserve"> </w:t>
      </w:r>
      <w:r w:rsidR="003B6BE8" w:rsidRPr="00DC19D6">
        <w:rPr>
          <w:rFonts w:eastAsiaTheme="minorHAnsi" w:cs="Tahoma"/>
          <w:b/>
          <w:bCs/>
          <w:iCs/>
          <w:color w:val="000000" w:themeColor="text1"/>
          <w:szCs w:val="22"/>
          <w:lang w:eastAsia="en-US"/>
        </w:rPr>
        <w:t>EL SAIMEX</w:t>
      </w:r>
      <w:r w:rsidR="000820ED" w:rsidRPr="00DC19D6">
        <w:rPr>
          <w:rFonts w:eastAsiaTheme="minorHAnsi" w:cs="Tahoma"/>
          <w:bCs/>
          <w:iCs/>
          <w:color w:val="000000" w:themeColor="text1"/>
          <w:szCs w:val="22"/>
          <w:lang w:eastAsia="en-US"/>
        </w:rPr>
        <w:t>,</w:t>
      </w:r>
      <w:r w:rsidRPr="00DC19D6">
        <w:rPr>
          <w:rFonts w:eastAsiaTheme="minorHAnsi" w:cs="Tahoma"/>
          <w:bCs/>
          <w:iCs/>
          <w:color w:val="000000" w:themeColor="text1"/>
          <w:szCs w:val="22"/>
          <w:lang w:eastAsia="en-US"/>
        </w:rPr>
        <w:t xml:space="preserve"> </w:t>
      </w:r>
      <w:r w:rsidR="005D5A50" w:rsidRPr="00DC19D6">
        <w:rPr>
          <w:rFonts w:eastAsiaTheme="minorHAnsi" w:cs="Tahoma"/>
          <w:b/>
          <w:iCs/>
          <w:color w:val="000000" w:themeColor="text1"/>
          <w:szCs w:val="22"/>
          <w:lang w:eastAsia="en-US"/>
        </w:rPr>
        <w:t>EL SUJETO OBLIGADO</w:t>
      </w:r>
      <w:r w:rsidRPr="00DC19D6">
        <w:rPr>
          <w:rFonts w:eastAsiaTheme="minorHAnsi" w:cs="Tahoma"/>
          <w:bCs/>
          <w:iCs/>
          <w:color w:val="000000" w:themeColor="text1"/>
          <w:szCs w:val="22"/>
          <w:lang w:eastAsia="en-US"/>
        </w:rPr>
        <w:t xml:space="preserve"> se pronunció </w:t>
      </w:r>
      <w:r w:rsidR="000820ED" w:rsidRPr="00DC19D6">
        <w:rPr>
          <w:rFonts w:eastAsiaTheme="minorHAnsi" w:cs="Tahoma"/>
          <w:bCs/>
          <w:iCs/>
          <w:color w:val="000000" w:themeColor="text1"/>
          <w:szCs w:val="22"/>
          <w:lang w:eastAsia="en-US"/>
        </w:rPr>
        <w:t>a través de</w:t>
      </w:r>
      <w:r w:rsidR="00D13A56" w:rsidRPr="00DC19D6">
        <w:rPr>
          <w:szCs w:val="22"/>
        </w:rPr>
        <w:t xml:space="preserve">l </w:t>
      </w:r>
      <w:r w:rsidR="00C84E80" w:rsidRPr="00DC19D6">
        <w:rPr>
          <w:szCs w:val="22"/>
        </w:rPr>
        <w:t xml:space="preserve">Director de Administración y la Subdirectora de Administración de Personal, en las que le remitieron el listados de los servidores públicos que causaron baja en el periodo del 01 de septiembre de 2023 al 06 de junio de 2024, asimismo, indicaron respecto de los servidores públicos referidos en la solicitud área de adscripción, nivel, fecha de ingreso al puesto, horario laboral e indicando que si realizan registro de asistencia, y se adjuntó los títulos profesionales. Asimismo, se le manifestó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w:t>
      </w:r>
    </w:p>
    <w:p w14:paraId="1955C728" w14:textId="77777777" w:rsidR="00D13A56" w:rsidRPr="00DC19D6" w:rsidRDefault="00D13A56" w:rsidP="00207DEA">
      <w:pPr>
        <w:tabs>
          <w:tab w:val="left" w:pos="4962"/>
        </w:tabs>
        <w:contextualSpacing/>
        <w:rPr>
          <w:rFonts w:eastAsiaTheme="minorHAnsi" w:cs="Tahoma"/>
          <w:bCs/>
          <w:iCs/>
          <w:color w:val="000000" w:themeColor="text1"/>
          <w:szCs w:val="22"/>
          <w:lang w:eastAsia="en-US"/>
        </w:rPr>
      </w:pPr>
    </w:p>
    <w:p w14:paraId="1D9BEE59" w14:textId="23898F87" w:rsidR="0045486B" w:rsidRPr="00DC19D6" w:rsidRDefault="0045486B" w:rsidP="0045486B">
      <w:pPr>
        <w:tabs>
          <w:tab w:val="left" w:pos="4962"/>
        </w:tabs>
        <w:contextualSpacing/>
        <w:rPr>
          <w:rFonts w:eastAsiaTheme="minorHAnsi" w:cs="Tahoma"/>
          <w:bCs/>
          <w:iCs/>
          <w:color w:val="000000" w:themeColor="text1"/>
          <w:szCs w:val="22"/>
          <w:lang w:eastAsia="en-US"/>
        </w:rPr>
      </w:pPr>
      <w:r w:rsidRPr="00DC19D6">
        <w:rPr>
          <w:rFonts w:eastAsiaTheme="minorHAnsi" w:cs="Tahoma"/>
          <w:bCs/>
          <w:iCs/>
          <w:color w:val="000000" w:themeColor="text1"/>
          <w:szCs w:val="22"/>
          <w:lang w:eastAsia="en-US"/>
        </w:rPr>
        <w:lastRenderedPageBreak/>
        <w:t xml:space="preserve">Ahora bien, en la interposición del presente recurso </w:t>
      </w:r>
      <w:r w:rsidRPr="00DC19D6">
        <w:rPr>
          <w:rFonts w:eastAsiaTheme="minorHAnsi" w:cs="Tahoma"/>
          <w:b/>
          <w:iCs/>
          <w:color w:val="000000" w:themeColor="text1"/>
          <w:szCs w:val="22"/>
          <w:lang w:eastAsia="en-US"/>
        </w:rPr>
        <w:t>LA PARTE RECURRENTE</w:t>
      </w:r>
      <w:r w:rsidRPr="00DC19D6">
        <w:rPr>
          <w:rFonts w:eastAsiaTheme="minorHAnsi" w:cs="Tahoma"/>
          <w:bCs/>
          <w:iCs/>
          <w:color w:val="000000" w:themeColor="text1"/>
          <w:szCs w:val="22"/>
          <w:lang w:eastAsia="en-US"/>
        </w:rPr>
        <w:t xml:space="preserve"> se inconformó de que había solicitado los oficios de cada despido autorizado por su jefe inmediatamente y la razón por la cual se les despidió y o me entregaron nada.</w:t>
      </w:r>
    </w:p>
    <w:p w14:paraId="407A011D" w14:textId="77777777" w:rsidR="0045486B" w:rsidRPr="00DC19D6" w:rsidRDefault="0045486B" w:rsidP="0045486B">
      <w:pPr>
        <w:tabs>
          <w:tab w:val="left" w:pos="4962"/>
        </w:tabs>
        <w:contextualSpacing/>
        <w:rPr>
          <w:rFonts w:eastAsiaTheme="minorHAnsi" w:cs="Tahoma"/>
          <w:bCs/>
          <w:iCs/>
          <w:color w:val="000000" w:themeColor="text1"/>
          <w:szCs w:val="22"/>
          <w:lang w:eastAsia="en-US"/>
        </w:rPr>
      </w:pPr>
    </w:p>
    <w:p w14:paraId="78DD5F22" w14:textId="6147DC36" w:rsidR="0009347C" w:rsidRPr="00DC19D6" w:rsidRDefault="00BC67B0" w:rsidP="00BC67B0">
      <w:pPr>
        <w:tabs>
          <w:tab w:val="left" w:pos="4962"/>
        </w:tabs>
        <w:rPr>
          <w:szCs w:val="22"/>
          <w:lang w:val="es-ES"/>
        </w:rPr>
      </w:pPr>
      <w:r w:rsidRPr="00DC19D6">
        <w:rPr>
          <w:szCs w:val="22"/>
          <w:lang w:val="es-ES"/>
        </w:rPr>
        <w:t xml:space="preserve">Abierta la etapa de instrucción, </w:t>
      </w:r>
      <w:r w:rsidRPr="00DC19D6">
        <w:rPr>
          <w:b/>
          <w:szCs w:val="22"/>
          <w:lang w:val="es-ES"/>
        </w:rPr>
        <w:t>EL SUJETO OBLIGADO</w:t>
      </w:r>
      <w:r w:rsidRPr="00DC19D6">
        <w:rPr>
          <w:szCs w:val="22"/>
          <w:lang w:val="es-ES"/>
        </w:rPr>
        <w:t xml:space="preserve"> </w:t>
      </w:r>
      <w:r w:rsidR="0045486B" w:rsidRPr="00DC19D6">
        <w:rPr>
          <w:szCs w:val="22"/>
          <w:lang w:val="es-ES"/>
        </w:rPr>
        <w:t xml:space="preserve">no </w:t>
      </w:r>
      <w:r w:rsidRPr="00DC19D6">
        <w:rPr>
          <w:szCs w:val="22"/>
          <w:lang w:val="es-ES"/>
        </w:rPr>
        <w:t xml:space="preserve">rindió su Informe Justificado, </w:t>
      </w:r>
      <w:r w:rsidR="00D97C9C" w:rsidRPr="00DC19D6">
        <w:rPr>
          <w:szCs w:val="22"/>
          <w:lang w:val="es-ES"/>
        </w:rPr>
        <w:t>Asimismo,</w:t>
      </w:r>
      <w:r w:rsidR="006D3506" w:rsidRPr="00DC19D6">
        <w:rPr>
          <w:szCs w:val="22"/>
          <w:lang w:val="es-ES"/>
        </w:rPr>
        <w:t xml:space="preserve"> </w:t>
      </w:r>
      <w:r w:rsidR="006D3506" w:rsidRPr="00DC19D6">
        <w:rPr>
          <w:b/>
          <w:bCs/>
          <w:szCs w:val="22"/>
          <w:lang w:val="es-ES"/>
        </w:rPr>
        <w:t xml:space="preserve">LA PARTE RECURRENTE </w:t>
      </w:r>
      <w:r w:rsidR="0045486B" w:rsidRPr="00DC19D6">
        <w:rPr>
          <w:bCs/>
          <w:szCs w:val="22"/>
          <w:lang w:val="es-ES"/>
        </w:rPr>
        <w:t>no</w:t>
      </w:r>
      <w:r w:rsidR="0045486B" w:rsidRPr="00DC19D6">
        <w:rPr>
          <w:b/>
          <w:bCs/>
          <w:szCs w:val="22"/>
          <w:lang w:val="es-ES"/>
        </w:rPr>
        <w:t xml:space="preserve"> </w:t>
      </w:r>
      <w:r w:rsidR="006D3506" w:rsidRPr="00DC19D6">
        <w:rPr>
          <w:szCs w:val="22"/>
          <w:lang w:val="es-ES"/>
        </w:rPr>
        <w:t>realizó las manifestaciones a que su derecho convino.</w:t>
      </w:r>
    </w:p>
    <w:p w14:paraId="2C520154" w14:textId="77777777" w:rsidR="00C82CA9" w:rsidRPr="00DC19D6" w:rsidRDefault="00C82CA9" w:rsidP="00BC67B0">
      <w:pPr>
        <w:tabs>
          <w:tab w:val="left" w:pos="4962"/>
        </w:tabs>
        <w:rPr>
          <w:szCs w:val="22"/>
        </w:rPr>
      </w:pPr>
    </w:p>
    <w:p w14:paraId="256E56D5" w14:textId="1505F210" w:rsidR="00814ADD" w:rsidRPr="00DC19D6" w:rsidRDefault="00814ADD" w:rsidP="00814ADD">
      <w:pPr>
        <w:rPr>
          <w:rFonts w:eastAsia="Palatino Linotype" w:cs="Palatino Linotype"/>
          <w:color w:val="000000"/>
          <w:szCs w:val="22"/>
        </w:rPr>
      </w:pPr>
      <w:r w:rsidRPr="00DC19D6">
        <w:rPr>
          <w:rFonts w:eastAsia="Palatino Linotype" w:cs="Palatino Linotype"/>
          <w:color w:val="000000"/>
          <w:szCs w:val="22"/>
        </w:rPr>
        <w:t xml:space="preserve">Bajo las premisas anteriores, se concluye que la controversia a dilucidar en el presente medio de impugnación será </w:t>
      </w:r>
      <w:r w:rsidRPr="00DC19D6">
        <w:rPr>
          <w:rFonts w:eastAsia="Palatino Linotype" w:cs="Palatino Linotype"/>
          <w:b/>
        </w:rPr>
        <w:t xml:space="preserve">verificar si la información proporcionada en respuesta por EL SUJETO OBLIGADO es adecuada y suficiente para satisfacer el derecho de acceso a la información pública </w:t>
      </w:r>
      <w:r w:rsidRPr="00DC19D6">
        <w:rPr>
          <w:rFonts w:eastAsia="Palatino Linotype" w:cs="Palatino Linotype"/>
        </w:rPr>
        <w:t xml:space="preserve">de </w:t>
      </w:r>
      <w:r w:rsidRPr="00DC19D6">
        <w:rPr>
          <w:rFonts w:eastAsia="Palatino Linotype" w:cs="Palatino Linotype"/>
          <w:b/>
        </w:rPr>
        <w:t>LA PARTE RECURRENTE.</w:t>
      </w:r>
    </w:p>
    <w:p w14:paraId="1435A67C" w14:textId="51C8F510" w:rsidR="001C1AE4" w:rsidRPr="00DC19D6" w:rsidRDefault="001C1AE4" w:rsidP="001C1AE4">
      <w:pPr>
        <w:rPr>
          <w:rFonts w:eastAsia="Palatino Linotype" w:cs="Palatino Linotype"/>
          <w:color w:val="000000"/>
          <w:szCs w:val="22"/>
        </w:rPr>
      </w:pPr>
    </w:p>
    <w:p w14:paraId="414FD2D5" w14:textId="4408E416" w:rsidR="00664420" w:rsidRPr="00DC19D6" w:rsidRDefault="00A21A20" w:rsidP="00A21A20">
      <w:pPr>
        <w:pStyle w:val="Ttulo3"/>
        <w:rPr>
          <w:szCs w:val="22"/>
        </w:rPr>
      </w:pPr>
      <w:bookmarkStart w:id="26" w:name="_Toc175586271"/>
      <w:r w:rsidRPr="00DC19D6">
        <w:rPr>
          <w:szCs w:val="22"/>
        </w:rPr>
        <w:t>c)</w:t>
      </w:r>
      <w:r w:rsidR="00664420" w:rsidRPr="00DC19D6">
        <w:rPr>
          <w:szCs w:val="22"/>
        </w:rPr>
        <w:t xml:space="preserve"> </w:t>
      </w:r>
      <w:r w:rsidRPr="00DC19D6">
        <w:rPr>
          <w:szCs w:val="22"/>
        </w:rPr>
        <w:t>Estudio de la controversia</w:t>
      </w:r>
      <w:bookmarkEnd w:id="26"/>
    </w:p>
    <w:p w14:paraId="739ED887" w14:textId="373459FB" w:rsidR="001F6340" w:rsidRPr="00DC19D6" w:rsidRDefault="001F6340" w:rsidP="001F6340">
      <w:pPr>
        <w:tabs>
          <w:tab w:val="left" w:pos="4962"/>
        </w:tabs>
        <w:rPr>
          <w:rFonts w:eastAsiaTheme="minorHAnsi" w:cs="Tahoma"/>
          <w:bCs/>
          <w:iCs/>
          <w:color w:val="000000" w:themeColor="text1"/>
          <w:szCs w:val="22"/>
          <w:lang w:eastAsia="en-US"/>
        </w:rPr>
      </w:pPr>
      <w:r w:rsidRPr="00DC19D6">
        <w:rPr>
          <w:rFonts w:cs="Arial"/>
          <w:lang w:eastAsia="es-CO"/>
        </w:rPr>
        <w:t xml:space="preserve">En ese tenor, se insiste, que </w:t>
      </w:r>
      <w:r w:rsidRPr="00DC19D6">
        <w:t xml:space="preserve">la persona solicitante, al presentar el medio de impugnación manifestó inconformidad únicamente respecto a los oficios de cada despido autorizado por su jefe inmediatamente y la razón por la cual se les despidió y que no le habían entregado. </w:t>
      </w:r>
    </w:p>
    <w:p w14:paraId="2FE5B173" w14:textId="77777777" w:rsidR="001F6340" w:rsidRPr="00DC19D6" w:rsidRDefault="001F6340" w:rsidP="001F6340">
      <w:pPr>
        <w:tabs>
          <w:tab w:val="left" w:pos="4962"/>
        </w:tabs>
        <w:rPr>
          <w:rFonts w:eastAsiaTheme="minorHAnsi" w:cs="Tahoma"/>
          <w:bCs/>
          <w:iCs/>
          <w:color w:val="000000" w:themeColor="text1"/>
          <w:szCs w:val="22"/>
          <w:lang w:eastAsia="en-US"/>
        </w:rPr>
      </w:pPr>
    </w:p>
    <w:p w14:paraId="19D54CBD" w14:textId="77777777" w:rsidR="001F6340" w:rsidRPr="00DC19D6" w:rsidRDefault="001F6340" w:rsidP="001F6340">
      <w:pPr>
        <w:tabs>
          <w:tab w:val="left" w:pos="4962"/>
        </w:tabs>
      </w:pPr>
      <w:r w:rsidRPr="00DC19D6">
        <w:t xml:space="preserve">Por consiguiente, la parte de la respuesta que no fue impugnada debe declararse </w:t>
      </w:r>
      <w:r w:rsidRPr="00DC19D6">
        <w:rPr>
          <w:b/>
        </w:rPr>
        <w:t>consentida</w:t>
      </w:r>
      <w:r w:rsidRPr="00DC19D6">
        <w:t xml:space="preserve"> por la hoy parte </w:t>
      </w:r>
      <w:r w:rsidRPr="00DC19D6">
        <w:rPr>
          <w:b/>
        </w:rPr>
        <w:t>RECURRENTE</w:t>
      </w:r>
      <w:r w:rsidRPr="00DC19D6">
        <w:t>; pues por estos rubros no expresó manifestaciones de inconformidad, por lo que no pueden producirse efectos jurídicos tendentes a revocar, confirmar o modificar el acto reclamado, ya que se infiere un consentimiento tácito del</w:t>
      </w:r>
      <w:r w:rsidRPr="00DC19D6">
        <w:rPr>
          <w:b/>
        </w:rPr>
        <w:t xml:space="preserve"> RECURRENTE</w:t>
      </w:r>
      <w:r w:rsidRPr="00DC19D6">
        <w:t xml:space="preserve"> ante la falta de impugnación eficaz. </w:t>
      </w:r>
    </w:p>
    <w:p w14:paraId="26EDBED6" w14:textId="77777777" w:rsidR="001F6340" w:rsidRPr="00DC19D6" w:rsidRDefault="001F6340" w:rsidP="001F6340">
      <w:pPr>
        <w:tabs>
          <w:tab w:val="left" w:pos="4962"/>
        </w:tabs>
      </w:pPr>
    </w:p>
    <w:p w14:paraId="09BED8DC" w14:textId="77777777" w:rsidR="001F6340" w:rsidRPr="00DC19D6" w:rsidRDefault="001F6340" w:rsidP="001F6340">
      <w:pPr>
        <w:widowControl w:val="0"/>
        <w:rPr>
          <w:lang w:val="es-ES_tradnl"/>
        </w:rPr>
      </w:pPr>
      <w:r w:rsidRPr="00DC19D6">
        <w:rPr>
          <w:lang w:val="es-ES_tradnl"/>
        </w:rPr>
        <w:t xml:space="preserve">Por tal circunstancia, no se hará pronunciamiento sobre los documentos entregados en </w:t>
      </w:r>
      <w:r w:rsidRPr="00DC19D6">
        <w:rPr>
          <w:lang w:val="es-ES_tradnl"/>
        </w:rPr>
        <w:lastRenderedPageBreak/>
        <w:t xml:space="preserve">respuesta por </w:t>
      </w:r>
      <w:r w:rsidRPr="00DC19D6">
        <w:rPr>
          <w:b/>
          <w:lang w:val="es-ES_tradnl"/>
        </w:rPr>
        <w:t xml:space="preserve">EL SUJETO OBLIGADO </w:t>
      </w:r>
      <w:r w:rsidRPr="00DC19D6">
        <w:rPr>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79921D7A" w14:textId="77777777" w:rsidR="001F6340" w:rsidRPr="00DC19D6" w:rsidRDefault="001F6340" w:rsidP="001F6340">
      <w:pPr>
        <w:widowControl w:val="0"/>
      </w:pPr>
    </w:p>
    <w:p w14:paraId="7581BBF1" w14:textId="77777777" w:rsidR="001F6340" w:rsidRPr="00DC19D6" w:rsidRDefault="001F6340" w:rsidP="001F6340">
      <w:pPr>
        <w:rPr>
          <w:lang w:val="es-ES_tradnl"/>
        </w:rPr>
      </w:pPr>
      <w:r w:rsidRPr="00DC19D6">
        <w:rPr>
          <w:lang w:val="es-ES_tradnl"/>
        </w:rPr>
        <w:t>Sirve de sustento, la tesis jurisprudencial número VI.3o.C. J/60, publicada en el Semanario Judicial de la Federación y su Gaceta bajo el número de registro 176,608 que a la letra dice:</w:t>
      </w:r>
    </w:p>
    <w:p w14:paraId="0D13F8AD" w14:textId="77777777" w:rsidR="001F6340" w:rsidRPr="00DC19D6" w:rsidRDefault="001F6340" w:rsidP="001F6340">
      <w:pPr>
        <w:rPr>
          <w:lang w:val="es-ES_tradnl"/>
        </w:rPr>
      </w:pPr>
    </w:p>
    <w:p w14:paraId="5237BC85" w14:textId="77777777" w:rsidR="001F6340" w:rsidRPr="00DC19D6" w:rsidRDefault="001F6340" w:rsidP="003B6BE8">
      <w:pPr>
        <w:pStyle w:val="Puesto"/>
        <w:rPr>
          <w:lang w:val="es-ES_tradnl"/>
        </w:rPr>
      </w:pPr>
      <w:r w:rsidRPr="00DC19D6">
        <w:rPr>
          <w:bCs/>
          <w:lang w:val="es-ES_tradnl"/>
        </w:rPr>
        <w:t>“</w:t>
      </w:r>
      <w:r w:rsidRPr="00DC19D6">
        <w:rPr>
          <w:b/>
          <w:bCs/>
          <w:lang w:val="es-ES_tradnl"/>
        </w:rPr>
        <w:t xml:space="preserve">ACTOS CONSENTIDOS. SON LOS QUE NO SE IMPUGNAN MEDIANTE EL RECURSO IDÓNEO. </w:t>
      </w:r>
      <w:r w:rsidRPr="00DC19D6">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3F481295" w14:textId="77777777" w:rsidR="001F6340" w:rsidRPr="00DC19D6" w:rsidRDefault="001F6340" w:rsidP="001F6340">
      <w:pPr>
        <w:rPr>
          <w:i/>
          <w:lang w:val="es-ES_tradnl"/>
        </w:rPr>
      </w:pPr>
    </w:p>
    <w:p w14:paraId="4AFDB6EB" w14:textId="77777777" w:rsidR="001F6340" w:rsidRPr="00DC19D6" w:rsidRDefault="001F6340" w:rsidP="001F6340">
      <w:pPr>
        <w:rPr>
          <w:lang w:val="es-ES_tradnl"/>
        </w:rPr>
      </w:pPr>
      <w:r w:rsidRPr="00DC19D6">
        <w:rPr>
          <w:lang w:val="es-ES_tradnl"/>
        </w:rPr>
        <w:t>Lo anterior es así, debido a que cuando el particular</w:t>
      </w:r>
      <w:r w:rsidRPr="00DC19D6">
        <w:rPr>
          <w:b/>
          <w:lang w:val="es-ES_tradnl"/>
        </w:rPr>
        <w:t xml:space="preserve"> </w:t>
      </w:r>
      <w:r w:rsidRPr="00DC19D6">
        <w:rPr>
          <w:lang w:val="es-ES_tradnl"/>
        </w:rPr>
        <w:t xml:space="preserve">impugnó la respuesta del </w:t>
      </w:r>
      <w:r w:rsidRPr="00DC19D6">
        <w:rPr>
          <w:b/>
          <w:lang w:val="es-ES_tradnl"/>
        </w:rPr>
        <w:t>SUJETO OBLIGADO</w:t>
      </w:r>
      <w:r w:rsidRPr="00DC19D6">
        <w:rPr>
          <w:lang w:val="es-ES_tradnl"/>
        </w:rPr>
        <w:t xml:space="preserve">, y no expresó razón o motivo de inconformidad en contra de los rubros entregados, dichos rubros deben declararse atendidos, pues se entiende que </w:t>
      </w:r>
      <w:r w:rsidRPr="00DC19D6">
        <w:rPr>
          <w:b/>
          <w:lang w:val="es-ES_tradnl"/>
        </w:rPr>
        <w:t>EL RECURRENTE</w:t>
      </w:r>
      <w:r w:rsidRPr="00DC19D6">
        <w:rPr>
          <w:lang w:val="es-ES_tradnl"/>
        </w:rPr>
        <w:t xml:space="preserve"> está conforme con la respuesta proporcionada por </w:t>
      </w:r>
      <w:r w:rsidRPr="00DC19D6">
        <w:rPr>
          <w:b/>
          <w:lang w:val="es-ES_tradnl"/>
        </w:rPr>
        <w:t>EL SUJETO OBLIGADO</w:t>
      </w:r>
      <w:r w:rsidRPr="00DC19D6">
        <w:rPr>
          <w:lang w:val="es-ES_tradnl"/>
        </w:rPr>
        <w:t xml:space="preserve">, al no contravenir la misma. </w:t>
      </w:r>
    </w:p>
    <w:p w14:paraId="025F3895" w14:textId="77777777" w:rsidR="001F6340" w:rsidRPr="00DC19D6" w:rsidRDefault="001F6340" w:rsidP="001F6340">
      <w:pPr>
        <w:rPr>
          <w:lang w:val="es-ES_tradnl"/>
        </w:rPr>
      </w:pPr>
    </w:p>
    <w:p w14:paraId="1A0A4C20" w14:textId="77777777" w:rsidR="001F6340" w:rsidRPr="00DC19D6" w:rsidRDefault="001F6340" w:rsidP="001F6340">
      <w:pPr>
        <w:rPr>
          <w:lang w:val="es-ES_tradnl"/>
        </w:rPr>
      </w:pPr>
      <w:r w:rsidRPr="00DC19D6">
        <w:rPr>
          <w:lang w:val="es-ES_tradnl"/>
        </w:rPr>
        <w:t>Atento a ello, es importante traer a contexto la Tesis Jurisprudencial Número 3ª./J.7/91, Publicada en el Semanario Judicial de la Federación y su Gaceta bajo el número de registro 174,177, que establece lo siguiente:</w:t>
      </w:r>
    </w:p>
    <w:p w14:paraId="1817309C" w14:textId="77777777" w:rsidR="001F6340" w:rsidRPr="00DC19D6" w:rsidRDefault="001F6340" w:rsidP="001F6340">
      <w:pPr>
        <w:rPr>
          <w:lang w:val="es-ES_tradnl"/>
        </w:rPr>
      </w:pPr>
    </w:p>
    <w:p w14:paraId="4CB09801" w14:textId="77777777" w:rsidR="001F6340" w:rsidRPr="00DC19D6" w:rsidRDefault="001F6340" w:rsidP="003B6BE8">
      <w:pPr>
        <w:pStyle w:val="Puesto"/>
        <w:rPr>
          <w:lang w:val="es-ES_tradnl"/>
        </w:rPr>
      </w:pPr>
      <w:r w:rsidRPr="00DC19D6">
        <w:rPr>
          <w:b/>
          <w:lang w:val="es-ES_tradnl"/>
        </w:rPr>
        <w:t xml:space="preserve">“REVISIÓN EN AMPARO. LOS RESOLUTIVOS NO COMBATIDOS DEBEN DECLARARSE FIRMES. </w:t>
      </w:r>
      <w:r w:rsidRPr="00DC19D6">
        <w:rPr>
          <w:lang w:val="es-ES_tradnl"/>
        </w:rPr>
        <w:t xml:space="preserve">Cuando algún resolutivo de la sentencia impugnada afecta a </w:t>
      </w:r>
      <w:r w:rsidRPr="00DC19D6">
        <w:rPr>
          <w:lang w:val="es-ES_tradnl"/>
        </w:rPr>
        <w:lastRenderedPageBreak/>
        <w:t>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2DC43535" w14:textId="77777777" w:rsidR="001F6340" w:rsidRPr="00DC19D6" w:rsidRDefault="001F6340" w:rsidP="001F6340">
      <w:pPr>
        <w:ind w:left="851" w:right="616"/>
        <w:rPr>
          <w:bCs/>
          <w:i/>
          <w:iCs/>
          <w:lang w:val="es-ES_tradnl"/>
        </w:rPr>
      </w:pPr>
    </w:p>
    <w:p w14:paraId="5B39F9BC" w14:textId="6E6CC799" w:rsidR="001F6340" w:rsidRPr="00DC19D6" w:rsidRDefault="001F6340" w:rsidP="001F6340">
      <w:pPr>
        <w:rPr>
          <w:lang w:val="es-ES_tradnl"/>
        </w:rPr>
      </w:pPr>
      <w:r w:rsidRPr="00DC19D6">
        <w:rPr>
          <w:lang w:val="es-ES_tradnl"/>
        </w:rPr>
        <w:t xml:space="preserve">Para mayor precisión a lo aquí expuesto, lo anterior guarda relación toda vez que en el caso de que </w:t>
      </w:r>
      <w:r w:rsidRPr="00DC19D6">
        <w:rPr>
          <w:b/>
          <w:lang w:val="es-ES_tradnl"/>
        </w:rPr>
        <w:t>LA PARTE RECURRENTE</w:t>
      </w:r>
      <w:r w:rsidRPr="00DC19D6">
        <w:rPr>
          <w:lang w:val="es-ES_tradnl"/>
        </w:rPr>
        <w:t xml:space="preserve"> no haya manifestado su inconformidad en contra del acto en su totalidad, se tendrá por consentido al no haber realizado argumento alguno que formulara un agravio en su contra, por lo que, en la especie, se válida la respuesta respecto de los documentos remitidas en respuesta y se arriba a la conclusión de que estos quedaron firmes. Situación, que se robustece con el Criterio 01/20, emitido por el Instituto Nacional de Transparencia, Acceso a la Información y Protección de Datos Personales, que establece lo siguiente:</w:t>
      </w:r>
    </w:p>
    <w:p w14:paraId="5A2E8613" w14:textId="77777777" w:rsidR="001F6340" w:rsidRPr="00DC19D6" w:rsidRDefault="001F6340" w:rsidP="001F6340">
      <w:pPr>
        <w:rPr>
          <w:lang w:val="es-ES_tradnl"/>
        </w:rPr>
      </w:pPr>
    </w:p>
    <w:p w14:paraId="45DA6C81" w14:textId="77777777" w:rsidR="001F6340" w:rsidRPr="00DC19D6" w:rsidRDefault="001F6340" w:rsidP="003B6BE8">
      <w:pPr>
        <w:pStyle w:val="Puesto"/>
      </w:pPr>
      <w:r w:rsidRPr="00DC19D6">
        <w:t>“</w:t>
      </w:r>
      <w:r w:rsidRPr="00DC19D6">
        <w:rPr>
          <w:b/>
        </w:rPr>
        <w:t xml:space="preserve">Actos consentidos tácitamente. Improcedencia de su análisis. </w:t>
      </w:r>
      <w:r w:rsidRPr="00DC19D6">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67817664" w14:textId="77777777" w:rsidR="001F6340" w:rsidRPr="00DC19D6" w:rsidRDefault="001F6340" w:rsidP="001F6340">
      <w:pPr>
        <w:rPr>
          <w:bCs/>
          <w:iCs/>
        </w:rPr>
      </w:pPr>
    </w:p>
    <w:p w14:paraId="5E323B7B" w14:textId="3D1FC545" w:rsidR="001F6340" w:rsidRPr="00DC19D6" w:rsidRDefault="001F6340" w:rsidP="001F6340">
      <w:pPr>
        <w:rPr>
          <w:bCs/>
        </w:rPr>
      </w:pPr>
      <w:r w:rsidRPr="00DC19D6">
        <w:t xml:space="preserve">Conforme al Criterio establecido y a todo lo antes expuesto, este Órgano Garante no realizará el análisis de </w:t>
      </w:r>
      <w:r w:rsidRPr="00DC19D6">
        <w:rPr>
          <w:bCs/>
        </w:rPr>
        <w:t xml:space="preserve">los documentos remitidos mediante respuesta por parte </w:t>
      </w:r>
      <w:r w:rsidRPr="00DC19D6">
        <w:t xml:space="preserve">del </w:t>
      </w:r>
      <w:r w:rsidRPr="00DC19D6">
        <w:rPr>
          <w:b/>
        </w:rPr>
        <w:t>SUJETO OBLIGADO</w:t>
      </w:r>
      <w:r w:rsidRPr="00DC19D6">
        <w:t xml:space="preserve"> que no fueron impugnadas por </w:t>
      </w:r>
      <w:r w:rsidRPr="00DC19D6">
        <w:rPr>
          <w:b/>
        </w:rPr>
        <w:t>EL RECURRENTE</w:t>
      </w:r>
      <w:r w:rsidRPr="00DC19D6">
        <w:rPr>
          <w:bCs/>
        </w:rPr>
        <w:t xml:space="preserve">; esto es, por lo que corresponde a la lista de las personas que han dado de baja a partir del 01 de septiembre de 2023 al 06 de junio del 2024, junto con los oficios en donde el vocal ejecutivo requiere de su baja de cada uno de ellos, como bien lo marca el manual general de organización de la comisión del Estado de México (sic) Contratar, nombrar y remover al personal adscrito a la Comisión que es el único con esas facultades, y también el visto bueno por parte de la </w:t>
      </w:r>
      <w:r w:rsidR="003B6BE8" w:rsidRPr="00DC19D6">
        <w:rPr>
          <w:bCs/>
        </w:rPr>
        <w:lastRenderedPageBreak/>
        <w:t xml:space="preserve">Contraloría Interna </w:t>
      </w:r>
      <w:r w:rsidRPr="00DC19D6">
        <w:rPr>
          <w:bCs/>
        </w:rPr>
        <w:t xml:space="preserve">de la </w:t>
      </w:r>
      <w:r w:rsidR="003B6BE8" w:rsidRPr="00DC19D6">
        <w:rPr>
          <w:bCs/>
        </w:rPr>
        <w:t xml:space="preserve">CAEM; </w:t>
      </w:r>
      <w:r w:rsidRPr="00DC19D6">
        <w:rPr>
          <w:bCs/>
        </w:rPr>
        <w:t>así como</w:t>
      </w:r>
      <w:r w:rsidR="003B6BE8" w:rsidRPr="00DC19D6">
        <w:rPr>
          <w:bCs/>
        </w:rPr>
        <w:t>,</w:t>
      </w:r>
      <w:r w:rsidRPr="00DC19D6">
        <w:rPr>
          <w:bCs/>
        </w:rPr>
        <w:t xml:space="preserve"> también el oficio por parte del vocal en donde de autorización a la </w:t>
      </w:r>
      <w:r w:rsidR="003B6BE8" w:rsidRPr="00DC19D6">
        <w:rPr>
          <w:bCs/>
        </w:rPr>
        <w:t xml:space="preserve">Lic. Diana Hernández Orta </w:t>
      </w:r>
      <w:r w:rsidRPr="00DC19D6">
        <w:rPr>
          <w:bCs/>
        </w:rPr>
        <w:t xml:space="preserve">y al </w:t>
      </w:r>
      <w:r w:rsidR="003B6BE8" w:rsidRPr="00DC19D6">
        <w:rPr>
          <w:bCs/>
        </w:rPr>
        <w:t xml:space="preserve">Lic. </w:t>
      </w:r>
      <w:r w:rsidRPr="00DC19D6">
        <w:rPr>
          <w:bCs/>
        </w:rPr>
        <w:t xml:space="preserve">Eric Alberto </w:t>
      </w:r>
      <w:r w:rsidR="003B6BE8" w:rsidRPr="00DC19D6">
        <w:rPr>
          <w:bCs/>
        </w:rPr>
        <w:t xml:space="preserve">Soriano Vega </w:t>
      </w:r>
      <w:r w:rsidRPr="00DC19D6">
        <w:rPr>
          <w:bCs/>
        </w:rPr>
        <w:t xml:space="preserve">para poder correr a la gente (ya que no </w:t>
      </w:r>
      <w:r w:rsidR="003B6BE8" w:rsidRPr="00DC19D6">
        <w:rPr>
          <w:bCs/>
        </w:rPr>
        <w:t>está</w:t>
      </w:r>
      <w:r w:rsidRPr="00DC19D6">
        <w:rPr>
          <w:bCs/>
        </w:rPr>
        <w:t xml:space="preserve"> dentro de sus facultades al ser del departamento de dirección general de asuntos jurídicos como bien lo dice su manual interno ) así como el visto bueno por parte del director general de asuntos jurídicos , también quiero saber de las personas de la </w:t>
      </w:r>
      <w:r w:rsidR="003B6BE8" w:rsidRPr="00DC19D6">
        <w:rPr>
          <w:bCs/>
        </w:rPr>
        <w:t xml:space="preserve">Lic. Diana </w:t>
      </w:r>
      <w:r w:rsidRPr="00DC19D6">
        <w:rPr>
          <w:bCs/>
        </w:rPr>
        <w:t xml:space="preserve">así como del </w:t>
      </w:r>
      <w:r w:rsidR="003B6BE8" w:rsidRPr="00DC19D6">
        <w:rPr>
          <w:bCs/>
        </w:rPr>
        <w:t>Lic</w:t>
      </w:r>
      <w:r w:rsidRPr="00DC19D6">
        <w:rPr>
          <w:bCs/>
        </w:rPr>
        <w:t xml:space="preserve">. Eric su adscripción , su </w:t>
      </w:r>
      <w:r w:rsidR="003B6BE8" w:rsidRPr="00DC19D6">
        <w:rPr>
          <w:bCs/>
        </w:rPr>
        <w:t>título profesional</w:t>
      </w:r>
      <w:r w:rsidRPr="00DC19D6">
        <w:rPr>
          <w:bCs/>
        </w:rPr>
        <w:t>, su nivel desde cuando tienen ese nivel hora de entrada y hora de salida si no checan entrada ni salida el oficio correspondiente así como el visto bueno por parte del vocal ejecutivo así como del contralor interno.</w:t>
      </w:r>
    </w:p>
    <w:p w14:paraId="42A31F4F" w14:textId="77777777" w:rsidR="001F6340" w:rsidRPr="00DC19D6" w:rsidRDefault="001F6340" w:rsidP="001F6340">
      <w:pPr>
        <w:rPr>
          <w:bCs/>
        </w:rPr>
      </w:pPr>
    </w:p>
    <w:p w14:paraId="796CBF24" w14:textId="1628CA0E" w:rsidR="001F6340" w:rsidRPr="00DC19D6" w:rsidRDefault="001F6340" w:rsidP="001F6340">
      <w:pPr>
        <w:rPr>
          <w:bCs/>
        </w:rPr>
      </w:pPr>
      <w:r w:rsidRPr="00DC19D6">
        <w:rPr>
          <w:bCs/>
        </w:rPr>
        <w:t xml:space="preserve">En consecuencia, el estudio únicamente se realizará respecto a la información solicitada que a decir de </w:t>
      </w:r>
      <w:r w:rsidRPr="00DC19D6">
        <w:rPr>
          <w:b/>
          <w:bCs/>
        </w:rPr>
        <w:t>LA PERSONA</w:t>
      </w:r>
      <w:r w:rsidRPr="00DC19D6">
        <w:rPr>
          <w:bCs/>
        </w:rPr>
        <w:t xml:space="preserve"> </w:t>
      </w:r>
      <w:r w:rsidRPr="00DC19D6">
        <w:rPr>
          <w:b/>
          <w:bCs/>
        </w:rPr>
        <w:t xml:space="preserve">RECURRENTE </w:t>
      </w:r>
      <w:r w:rsidRPr="00DC19D6">
        <w:rPr>
          <w:bCs/>
        </w:rPr>
        <w:t>es incompleta y faltante, es decir, respecto de:</w:t>
      </w:r>
      <w:r w:rsidR="007E0654" w:rsidRPr="00DC19D6">
        <w:rPr>
          <w:bCs/>
        </w:rPr>
        <w:t xml:space="preserve"> L</w:t>
      </w:r>
      <w:r w:rsidRPr="00DC19D6">
        <w:rPr>
          <w:bCs/>
        </w:rPr>
        <w:t>a razón de porque se les dio de baja</w:t>
      </w:r>
      <w:r w:rsidR="007E0654" w:rsidRPr="00DC19D6">
        <w:rPr>
          <w:bCs/>
        </w:rPr>
        <w:t>.</w:t>
      </w:r>
    </w:p>
    <w:p w14:paraId="63463051" w14:textId="77777777" w:rsidR="007E0654" w:rsidRPr="00DC19D6" w:rsidRDefault="007E0654" w:rsidP="001F6340">
      <w:pPr>
        <w:rPr>
          <w:bCs/>
        </w:rPr>
      </w:pPr>
    </w:p>
    <w:p w14:paraId="16B86D31" w14:textId="502DC6C7" w:rsidR="007E0654" w:rsidRPr="00DC19D6" w:rsidRDefault="009770E6" w:rsidP="001F6340">
      <w:pPr>
        <w:rPr>
          <w:bCs/>
        </w:rPr>
      </w:pPr>
      <w:r w:rsidRPr="00DC19D6">
        <w:rPr>
          <w:bCs/>
        </w:rPr>
        <w:t xml:space="preserve">Ello es así, por lo antes señalado de que </w:t>
      </w:r>
      <w:r w:rsidRPr="00DC19D6">
        <w:rPr>
          <w:b/>
          <w:bCs/>
        </w:rPr>
        <w:t xml:space="preserve">LA PARTE RECURRENTE </w:t>
      </w:r>
      <w:r w:rsidRPr="00DC19D6">
        <w:rPr>
          <w:bCs/>
        </w:rPr>
        <w:t xml:space="preserve">consintió la información proporcionada en respuesta al no impugnar la misma, </w:t>
      </w:r>
      <w:r w:rsidR="00943CBD" w:rsidRPr="00DC19D6">
        <w:rPr>
          <w:bCs/>
        </w:rPr>
        <w:t xml:space="preserve">y por otro lado, en razón de que de la lectura del acto impugnado y del motivo de inconformidad en contraste con lo peticionado, se advierte que lo relativo a </w:t>
      </w:r>
      <w:r w:rsidR="00943CBD" w:rsidRPr="00DC19D6">
        <w:rPr>
          <w:bCs/>
          <w:i/>
        </w:rPr>
        <w:t>“…los oficios de cada despido autorizado por su jefe inmediatamente…”</w:t>
      </w:r>
      <w:r w:rsidR="00943CBD" w:rsidRPr="00DC19D6">
        <w:rPr>
          <w:bCs/>
        </w:rPr>
        <w:t xml:space="preserve"> Sic., es </w:t>
      </w:r>
      <w:r w:rsidR="00543100" w:rsidRPr="00DC19D6">
        <w:rPr>
          <w:bCs/>
        </w:rPr>
        <w:t>información que no se había solicitado</w:t>
      </w:r>
      <w:r w:rsidR="004953E5" w:rsidRPr="00DC19D6">
        <w:rPr>
          <w:bCs/>
        </w:rPr>
        <w:t>.</w:t>
      </w:r>
    </w:p>
    <w:p w14:paraId="5AF93E88" w14:textId="77777777" w:rsidR="009770E6" w:rsidRPr="00DC19D6" w:rsidRDefault="009770E6" w:rsidP="001F6340">
      <w:pPr>
        <w:rPr>
          <w:bCs/>
        </w:rPr>
      </w:pPr>
    </w:p>
    <w:p w14:paraId="17EF7D2A" w14:textId="70F95478" w:rsidR="009C6DBB" w:rsidRPr="00DC19D6" w:rsidRDefault="009C6DBB" w:rsidP="009C6DBB">
      <w:r w:rsidRPr="00DC19D6">
        <w:rPr>
          <w:rFonts w:eastAsia="Palatino Linotype" w:cs="Palatino Linotype"/>
        </w:rPr>
        <w:t xml:space="preserve">En este tenor, es posible determinar que dicho argumento son una ampliación a la solicitud inicial y corresponde a nuevo requerimiento de información, que no se encuentran relacionados con lo solicitado en un primer momento; </w:t>
      </w:r>
      <w:r w:rsidRPr="00DC19D6">
        <w:t xml:space="preserve">siendo importante señalar que una vez formulada una solicitud, los particulares no pueden modificarla o ampliarla a través de posteriores promociones o en el momento de ingresar su recurso de revisión; por tanto, la </w:t>
      </w:r>
      <w:r w:rsidRPr="00DC19D6">
        <w:lastRenderedPageBreak/>
        <w:t>materia de las solicitudes de información se circunscribe a que se permita el acceso a los documentos inicialmente solicitados y en su caso a los aclarados o corregidos.</w:t>
      </w:r>
    </w:p>
    <w:p w14:paraId="59A16C4E" w14:textId="77777777" w:rsidR="009C6DBB" w:rsidRPr="00DC19D6" w:rsidRDefault="009C6DBB" w:rsidP="009C6DBB">
      <w:pPr>
        <w:pBdr>
          <w:top w:val="nil"/>
          <w:left w:val="nil"/>
          <w:bottom w:val="nil"/>
          <w:right w:val="nil"/>
          <w:between w:val="nil"/>
        </w:pBdr>
        <w:spacing w:before="240" w:after="240"/>
        <w:rPr>
          <w:rFonts w:eastAsia="Palatino Linotype" w:cs="Palatino Linotype"/>
        </w:rPr>
      </w:pPr>
      <w:r w:rsidRPr="00DC19D6">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20C4C115" w14:textId="77777777" w:rsidR="009C6DBB" w:rsidRPr="00DC19D6" w:rsidRDefault="009C6DBB" w:rsidP="003B6BE8">
      <w:pPr>
        <w:pStyle w:val="Puesto"/>
        <w:rPr>
          <w:rFonts w:eastAsia="Palatino Linotype"/>
        </w:rPr>
      </w:pPr>
      <w:r w:rsidRPr="00DC19D6">
        <w:rPr>
          <w:rFonts w:eastAsia="Palatino Linotype"/>
        </w:rPr>
        <w:t>“</w:t>
      </w:r>
      <w:r w:rsidRPr="00DC19D6">
        <w:rPr>
          <w:rFonts w:eastAsia="Palatino Linotype"/>
          <w:b/>
        </w:rPr>
        <w:t xml:space="preserve">Es improcedente ampliar las solicitudes de acceso a información, a través de la interposición del recurso de revisión. </w:t>
      </w:r>
      <w:r w:rsidRPr="00DC19D6">
        <w:rPr>
          <w:rFonts w:eastAsia="Palatino Linotype"/>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DC19D6">
        <w:rPr>
          <w:rFonts w:eastAsia="Palatino Linotype"/>
          <w:b/>
        </w:rPr>
        <w:t>.</w:t>
      </w:r>
      <w:r w:rsidRPr="00DC19D6">
        <w:rPr>
          <w:rFonts w:eastAsia="Palatino Linotype"/>
        </w:rPr>
        <w:t>”(Sic)</w:t>
      </w:r>
    </w:p>
    <w:p w14:paraId="06DFCA4D" w14:textId="77777777" w:rsidR="003B6BE8" w:rsidRPr="00DC19D6" w:rsidRDefault="003B6BE8" w:rsidP="003B6BE8">
      <w:pPr>
        <w:rPr>
          <w:rFonts w:eastAsia="Palatino Linotype"/>
        </w:rPr>
      </w:pPr>
    </w:p>
    <w:p w14:paraId="64647C7B" w14:textId="77777777" w:rsidR="007949B5" w:rsidRPr="00DC19D6" w:rsidRDefault="007949B5" w:rsidP="007949B5">
      <w:pPr>
        <w:ind w:right="49"/>
        <w:rPr>
          <w:rFonts w:eastAsia="Palatino Linotype" w:cs="Palatino Linotype"/>
        </w:rPr>
      </w:pPr>
      <w:r w:rsidRPr="00DC19D6">
        <w:rPr>
          <w:rFonts w:eastAsia="Palatino Linotype" w:cs="Palatino Linotype"/>
        </w:rPr>
        <w:t xml:space="preserve">Ahora bien, respecto de las </w:t>
      </w:r>
      <w:r w:rsidRPr="00DC19D6">
        <w:rPr>
          <w:rFonts w:eastAsia="Palatino Linotype" w:cs="Palatino Linotype"/>
          <w:i/>
        </w:rPr>
        <w:t xml:space="preserve">bajas </w:t>
      </w:r>
      <w:r w:rsidRPr="00DC19D6">
        <w:rPr>
          <w:rFonts w:eastAsia="Palatino Linotype" w:cs="Palatino Linotype"/>
        </w:rPr>
        <w:t xml:space="preserve">la Ley de Trabajo de los Servidores Públicos del Estado de México y Municipio, establece en sus artículos 89, 92, 93 y 95 lo siguiente: </w:t>
      </w:r>
    </w:p>
    <w:p w14:paraId="7E0860CF" w14:textId="77777777" w:rsidR="007949B5" w:rsidRPr="00DC19D6" w:rsidRDefault="007949B5" w:rsidP="007949B5">
      <w:pPr>
        <w:spacing w:line="276" w:lineRule="auto"/>
        <w:ind w:left="567" w:right="843"/>
        <w:rPr>
          <w:rFonts w:eastAsia="Palatino Linotype" w:cs="Palatino Linotype"/>
          <w:b/>
          <w:i/>
          <w:szCs w:val="22"/>
        </w:rPr>
      </w:pPr>
    </w:p>
    <w:p w14:paraId="2276D525" w14:textId="77777777" w:rsidR="007949B5" w:rsidRPr="00DC19D6" w:rsidRDefault="007949B5" w:rsidP="003B6BE8">
      <w:pPr>
        <w:pStyle w:val="Puesto"/>
        <w:rPr>
          <w:rFonts w:eastAsia="Palatino Linotype"/>
        </w:rPr>
      </w:pPr>
      <w:r w:rsidRPr="00DC19D6">
        <w:rPr>
          <w:rFonts w:eastAsia="Palatino Linotype"/>
        </w:rPr>
        <w:t>“</w:t>
      </w:r>
      <w:r w:rsidRPr="00DC19D6">
        <w:rPr>
          <w:rFonts w:eastAsia="Palatino Linotype"/>
          <w:b/>
        </w:rPr>
        <w:t>ARTÍCULO 89.</w:t>
      </w:r>
      <w:r w:rsidRPr="00DC19D6">
        <w:rPr>
          <w:rFonts w:eastAsia="Palatino Linotype"/>
        </w:rPr>
        <w:t xml:space="preserve"> Son causas de terminación de la relación laboral sin responsabilidad para las instituciones públicas:</w:t>
      </w:r>
    </w:p>
    <w:p w14:paraId="43DBAE4E" w14:textId="77777777" w:rsidR="007949B5" w:rsidRPr="00DC19D6" w:rsidRDefault="007949B5" w:rsidP="003B6BE8">
      <w:pPr>
        <w:pStyle w:val="Puesto"/>
        <w:rPr>
          <w:rFonts w:eastAsia="Palatino Linotype"/>
        </w:rPr>
      </w:pPr>
      <w:r w:rsidRPr="00DC19D6">
        <w:rPr>
          <w:rFonts w:eastAsia="Palatino Linotype"/>
        </w:rPr>
        <w:t xml:space="preserve">I. La renuncia del servidor público; </w:t>
      </w:r>
    </w:p>
    <w:p w14:paraId="5DBAB336" w14:textId="77777777" w:rsidR="007949B5" w:rsidRPr="00DC19D6" w:rsidRDefault="007949B5" w:rsidP="003B6BE8">
      <w:pPr>
        <w:pStyle w:val="Puesto"/>
        <w:rPr>
          <w:rFonts w:eastAsia="Palatino Linotype"/>
        </w:rPr>
      </w:pPr>
      <w:r w:rsidRPr="00DC19D6">
        <w:rPr>
          <w:rFonts w:eastAsia="Palatino Linotype"/>
        </w:rPr>
        <w:t xml:space="preserve">II. El mutuo consentimiento de las partes; </w:t>
      </w:r>
    </w:p>
    <w:p w14:paraId="5E7A0664" w14:textId="77777777" w:rsidR="007949B5" w:rsidRPr="00DC19D6" w:rsidRDefault="007949B5" w:rsidP="003B6BE8">
      <w:pPr>
        <w:pStyle w:val="Puesto"/>
        <w:rPr>
          <w:rFonts w:eastAsia="Palatino Linotype"/>
        </w:rPr>
      </w:pPr>
      <w:r w:rsidRPr="00DC19D6">
        <w:rPr>
          <w:rFonts w:eastAsia="Palatino Linotype"/>
        </w:rPr>
        <w:t>III. El vencimiento del término o conclusión de la obra determinantes de la contratación;</w:t>
      </w:r>
    </w:p>
    <w:p w14:paraId="0A541A20" w14:textId="77777777" w:rsidR="007949B5" w:rsidRPr="00DC19D6" w:rsidRDefault="007949B5" w:rsidP="003B6BE8">
      <w:pPr>
        <w:pStyle w:val="Puesto"/>
        <w:rPr>
          <w:rFonts w:eastAsia="Palatino Linotype"/>
        </w:rPr>
      </w:pPr>
      <w:r w:rsidRPr="00DC19D6">
        <w:rPr>
          <w:rFonts w:eastAsia="Palatino Linotype"/>
        </w:rPr>
        <w:t xml:space="preserve">IV. El término o conclusión de la administración en la cual fue contratado el servidor público a que se refiere el artículo 8 de ésta Ley; </w:t>
      </w:r>
    </w:p>
    <w:p w14:paraId="577AF166" w14:textId="77777777" w:rsidR="007949B5" w:rsidRPr="00DC19D6" w:rsidRDefault="007949B5" w:rsidP="003B6BE8">
      <w:pPr>
        <w:pStyle w:val="Puesto"/>
        <w:rPr>
          <w:rFonts w:eastAsia="Palatino Linotype"/>
        </w:rPr>
      </w:pPr>
      <w:r w:rsidRPr="00DC19D6">
        <w:rPr>
          <w:rFonts w:eastAsia="Palatino Linotype"/>
        </w:rPr>
        <w:t xml:space="preserve">V. La muerte del servidor público; y </w:t>
      </w:r>
    </w:p>
    <w:p w14:paraId="228BC39A" w14:textId="77777777" w:rsidR="007949B5" w:rsidRPr="00DC19D6" w:rsidRDefault="007949B5" w:rsidP="003B6BE8">
      <w:pPr>
        <w:pStyle w:val="Puesto"/>
        <w:rPr>
          <w:rFonts w:eastAsia="Palatino Linotype"/>
        </w:rPr>
      </w:pPr>
      <w:r w:rsidRPr="00DC19D6">
        <w:rPr>
          <w:rFonts w:eastAsia="Palatino Linotype"/>
        </w:rPr>
        <w:t>VI. La incapacidad permanente del servidor público que le impida el desempeño de sus labores.</w:t>
      </w:r>
    </w:p>
    <w:p w14:paraId="66DBB3D9" w14:textId="77777777" w:rsidR="007949B5" w:rsidRPr="00DC19D6" w:rsidRDefault="007949B5" w:rsidP="003B6BE8">
      <w:pPr>
        <w:pStyle w:val="Puesto"/>
        <w:rPr>
          <w:rFonts w:eastAsia="Palatino Linotype"/>
        </w:rPr>
      </w:pPr>
      <w:r w:rsidRPr="00DC19D6">
        <w:rPr>
          <w:rFonts w:eastAsia="Palatino Linotype"/>
        </w:rPr>
        <w:t>…</w:t>
      </w:r>
    </w:p>
    <w:p w14:paraId="158F81EC" w14:textId="77777777" w:rsidR="007949B5" w:rsidRPr="00DC19D6" w:rsidRDefault="007949B5" w:rsidP="003B6BE8">
      <w:pPr>
        <w:pStyle w:val="Puesto"/>
        <w:rPr>
          <w:rFonts w:eastAsia="Palatino Linotype"/>
        </w:rPr>
      </w:pPr>
      <w:r w:rsidRPr="00DC19D6">
        <w:rPr>
          <w:rFonts w:eastAsia="Palatino Linotype"/>
          <w:b/>
        </w:rPr>
        <w:t>ARTÍCULO 92.</w:t>
      </w:r>
      <w:r w:rsidRPr="00DC19D6">
        <w:rPr>
          <w:rFonts w:eastAsia="Palatino Linotype"/>
        </w:rPr>
        <w:t xml:space="preserve"> El servidor público o la institución pública podrán rescindir en cualquier tiempo, por causa justificada, la relación laboral.</w:t>
      </w:r>
    </w:p>
    <w:p w14:paraId="3D77F867" w14:textId="77777777" w:rsidR="007949B5" w:rsidRPr="00DC19D6" w:rsidRDefault="007949B5" w:rsidP="003B6BE8">
      <w:pPr>
        <w:pStyle w:val="Puesto"/>
        <w:rPr>
          <w:rFonts w:eastAsia="Palatino Linotype"/>
        </w:rPr>
      </w:pPr>
    </w:p>
    <w:p w14:paraId="3E814DB3" w14:textId="77777777" w:rsidR="007949B5" w:rsidRPr="00DC19D6" w:rsidRDefault="007949B5" w:rsidP="003B6BE8">
      <w:pPr>
        <w:pStyle w:val="Puesto"/>
        <w:rPr>
          <w:rFonts w:eastAsia="Palatino Linotype"/>
          <w:b/>
        </w:rPr>
      </w:pPr>
      <w:r w:rsidRPr="00DC19D6">
        <w:rPr>
          <w:rFonts w:eastAsia="Palatino Linotype"/>
          <w:b/>
        </w:rPr>
        <w:lastRenderedPageBreak/>
        <w:t>ARTÍCULO 93. Son causas de rescisión de la relación laboral</w:t>
      </w:r>
      <w:r w:rsidRPr="00DC19D6">
        <w:rPr>
          <w:rFonts w:eastAsia="Palatino Linotype"/>
        </w:rPr>
        <w:t xml:space="preserve">, </w:t>
      </w:r>
      <w:r w:rsidRPr="00DC19D6">
        <w:rPr>
          <w:rFonts w:eastAsia="Palatino Linotype"/>
          <w:b/>
        </w:rPr>
        <w:t>sin responsabilidad para las instituciones públicas:</w:t>
      </w:r>
    </w:p>
    <w:p w14:paraId="018EB468" w14:textId="77777777" w:rsidR="007949B5" w:rsidRPr="00DC19D6" w:rsidRDefault="007949B5" w:rsidP="003B6BE8">
      <w:pPr>
        <w:pStyle w:val="Puesto"/>
        <w:rPr>
          <w:rFonts w:eastAsia="Palatino Linotype"/>
          <w:b/>
        </w:rPr>
      </w:pPr>
    </w:p>
    <w:p w14:paraId="5AABAE3B" w14:textId="77777777" w:rsidR="007949B5" w:rsidRPr="00DC19D6" w:rsidRDefault="007949B5" w:rsidP="003B6BE8">
      <w:pPr>
        <w:pStyle w:val="Puesto"/>
        <w:rPr>
          <w:rFonts w:eastAsia="Palatino Linotype"/>
        </w:rPr>
      </w:pPr>
      <w:r w:rsidRPr="00DC19D6">
        <w:rPr>
          <w:rFonts w:eastAsia="Palatino Linotype"/>
          <w:b/>
        </w:rPr>
        <w:t>I</w:t>
      </w:r>
      <w:r w:rsidRPr="00DC19D6">
        <w:rPr>
          <w:rFonts w:eastAsia="Palatino Linotype"/>
        </w:rPr>
        <w:t>. Engañar el servidor público con documentación o referencias falsas que le atribuyan capacidad, aptitudes o grados académicos de los que carezca. Esta causa dejará de tener efecto después de treinta días naturales de conocido el hecho;</w:t>
      </w:r>
    </w:p>
    <w:p w14:paraId="0747ECF9" w14:textId="77777777" w:rsidR="007949B5" w:rsidRPr="00DC19D6" w:rsidRDefault="007949B5" w:rsidP="003B6BE8">
      <w:pPr>
        <w:pStyle w:val="Puesto"/>
        <w:rPr>
          <w:rFonts w:eastAsia="Palatino Linotype"/>
        </w:rPr>
      </w:pPr>
      <w:r w:rsidRPr="00DC19D6">
        <w:rPr>
          <w:rFonts w:eastAsia="Palatino Linotype"/>
          <w:b/>
        </w:rPr>
        <w:t>II</w:t>
      </w:r>
      <w:r w:rsidRPr="00DC19D6">
        <w:rPr>
          <w:rFonts w:eastAsia="Palatino Linotype"/>
        </w:rPr>
        <w:t>. Tener asignada más de una plaza en la misma o en diferentes instituciones públicas o dependencias, con las excepciones que esta ley señala, o bien cobrar un sueldo sin desempeñar funciones;</w:t>
      </w:r>
    </w:p>
    <w:p w14:paraId="6D5ABBBC" w14:textId="77777777" w:rsidR="007949B5" w:rsidRPr="00DC19D6" w:rsidRDefault="007949B5" w:rsidP="003B6BE8">
      <w:pPr>
        <w:pStyle w:val="Puesto"/>
        <w:rPr>
          <w:rFonts w:eastAsia="Palatino Linotype"/>
        </w:rPr>
      </w:pPr>
      <w:r w:rsidRPr="00DC19D6">
        <w:rPr>
          <w:rFonts w:eastAsia="Palatino Linotype"/>
          <w:b/>
        </w:rPr>
        <w:t>III</w:t>
      </w:r>
      <w:r w:rsidRPr="00DC19D6">
        <w:rPr>
          <w:rFonts w:eastAsia="Palatino Linotype"/>
        </w:rPr>
        <w:t>. Incurrir durante sus labores en faltas de probidad u honradez, o bien en actos de violencia, amenazas, injurias o malos tratos en contra de sus superiores, compañeros o familiares de unos u otros, ya sea dentro o fuera de las horas de servicio, salvo que obre en defensa propia;</w:t>
      </w:r>
    </w:p>
    <w:p w14:paraId="4CE10CBD"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IV</w:t>
      </w:r>
      <w:r w:rsidRPr="00DC19D6">
        <w:rPr>
          <w:rFonts w:eastAsia="Palatino Linotype" w:cs="Palatino Linotype"/>
          <w:szCs w:val="22"/>
        </w:rPr>
        <w:t>. Incurrir en cuatro o más faltas de asistencia a sus labores sin causa justificada, dentro de un lapso de treinta días;</w:t>
      </w:r>
    </w:p>
    <w:p w14:paraId="70B288CC"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V.</w:t>
      </w:r>
      <w:r w:rsidRPr="00DC19D6">
        <w:rPr>
          <w:rFonts w:eastAsia="Palatino Linotype" w:cs="Palatino Linotype"/>
          <w:szCs w:val="22"/>
        </w:rPr>
        <w:t xml:space="preserve"> Abandonar las labores sin autorización previa o razón plenamente justificada, en contravención a lo establecido en las condiciones generales de trabajo;</w:t>
      </w:r>
    </w:p>
    <w:p w14:paraId="0C36E7A8"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VI</w:t>
      </w:r>
      <w:r w:rsidRPr="00DC19D6">
        <w:rPr>
          <w:rFonts w:eastAsia="Palatino Linotype" w:cs="Palatino Linotype"/>
          <w:szCs w:val="22"/>
        </w:rPr>
        <w:t>. Causar daños intencionalmente a edificios, obras, equipo, maquinaria, instrumentos, materias primas y demás objetos relacionados con el trabajo, o por sustraerlos en beneficio propio;</w:t>
      </w:r>
    </w:p>
    <w:p w14:paraId="3161E116"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VII</w:t>
      </w:r>
      <w:r w:rsidRPr="00DC19D6">
        <w:rPr>
          <w:rFonts w:eastAsia="Palatino Linotype" w:cs="Palatino Linotype"/>
          <w:szCs w:val="22"/>
        </w:rPr>
        <w:t>. Cometer actos inmorales durante el trabajo;</w:t>
      </w:r>
    </w:p>
    <w:p w14:paraId="1304E6A8"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VIII</w:t>
      </w:r>
      <w:r w:rsidRPr="00DC19D6">
        <w:rPr>
          <w:rFonts w:eastAsia="Palatino Linotype" w:cs="Palatino Linotype"/>
          <w:szCs w:val="22"/>
        </w:rPr>
        <w:t>. Revelar los asuntos confidenciales o reservados así calificados por la institución pública o dependencia donde labore, de los cuales tuviese conocimiento con motivo de su trabajo;</w:t>
      </w:r>
    </w:p>
    <w:p w14:paraId="3E117075"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IX</w:t>
      </w:r>
      <w:r w:rsidRPr="00DC19D6">
        <w:rPr>
          <w:rFonts w:eastAsia="Palatino Linotype" w:cs="Palatino Linotype"/>
          <w:szCs w:val="22"/>
        </w:rPr>
        <w:t>. Comprometer por su imprudencia, descuido o negligencia, la seguridad del taller, oficina o dependencia donde preste sus servicios o de las personas que ahí se encuentren;</w:t>
      </w:r>
    </w:p>
    <w:p w14:paraId="3E13FF89"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w:t>
      </w:r>
      <w:r w:rsidRPr="00DC19D6">
        <w:rPr>
          <w:rFonts w:eastAsia="Palatino Linotype" w:cs="Palatino Linotype"/>
          <w:szCs w:val="22"/>
        </w:rPr>
        <w:t>. Desobedecer sin justificación, las órdenes que reciba de sus superiores, en relación al trabajo que desempeñe;</w:t>
      </w:r>
    </w:p>
    <w:p w14:paraId="203F0C1B"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XI</w:t>
      </w:r>
      <w:r w:rsidRPr="00DC19D6">
        <w:rPr>
          <w:rFonts w:eastAsia="Palatino Linotype" w:cs="Palatino Linotype"/>
          <w:szCs w:val="22"/>
        </w:rPr>
        <w:t>. Concurrir al trabajo en estado de embriaguez, o bien bajo la influencia de algún narcótico o droga enervante, salvo que en éste último caso, exista prescripción médica, la que deberá presentar al superior jerárquico antes de iniciar las labores;</w:t>
      </w:r>
    </w:p>
    <w:p w14:paraId="2DC0196A"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XII</w:t>
      </w:r>
      <w:r w:rsidRPr="00DC19D6">
        <w:rPr>
          <w:rFonts w:eastAsia="Palatino Linotype" w:cs="Palatino Linotype"/>
          <w:szCs w:val="22"/>
        </w:rPr>
        <w:t>. Portar armas de cualquier clase durante las horas de trabajo, salvo que la naturaleza de éste lo exija;</w:t>
      </w:r>
    </w:p>
    <w:p w14:paraId="3D9BB46D"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XIII</w:t>
      </w:r>
      <w:r w:rsidRPr="00DC19D6">
        <w:rPr>
          <w:rFonts w:eastAsia="Palatino Linotype" w:cs="Palatino Linotype"/>
          <w:szCs w:val="22"/>
        </w:rPr>
        <w:t>. Suspender las labores en el caso previsto en el artículo 176 de esta ley o suspenderlas sin la debida autorización;</w:t>
      </w:r>
    </w:p>
    <w:p w14:paraId="196586ED"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XIV</w:t>
      </w:r>
      <w:r w:rsidRPr="00DC19D6">
        <w:rPr>
          <w:rFonts w:eastAsia="Palatino Linotype" w:cs="Palatino Linotype"/>
          <w:szCs w:val="22"/>
        </w:rPr>
        <w:t>. Incumplir reiteradamente disposiciones establecidas en las condiciones generales de trabajo de la institución pública o dependencia respectiva que constituyan faltas graves;</w:t>
      </w:r>
    </w:p>
    <w:p w14:paraId="66F5F6F4"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lastRenderedPageBreak/>
        <w:t>XV</w:t>
      </w:r>
      <w:r w:rsidRPr="00DC19D6">
        <w:rPr>
          <w:rFonts w:eastAsia="Palatino Linotype" w:cs="Palatino Linotype"/>
          <w:szCs w:val="22"/>
        </w:rPr>
        <w:t>. Ser condenado a prisión como resultado de una sentencia ejecutoriada, que le impida el cumplimiento de la relación de trabajo.</w:t>
      </w:r>
    </w:p>
    <w:p w14:paraId="050FEC13"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XVI</w:t>
      </w:r>
      <w:r w:rsidRPr="00DC19D6">
        <w:rPr>
          <w:rFonts w:eastAsia="Palatino Linotype" w:cs="Palatino Linotype"/>
          <w:szCs w:val="22"/>
        </w:rPr>
        <w:t>. Portar y hacer uso de credenciales de identificación no autorizadas por la autoridad competente;</w:t>
      </w:r>
    </w:p>
    <w:p w14:paraId="4EE04AED"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XVII</w:t>
      </w:r>
      <w:r w:rsidRPr="00DC19D6">
        <w:rPr>
          <w:rFonts w:eastAsia="Palatino Linotype" w:cs="Palatino Linotype"/>
          <w:szCs w:val="22"/>
        </w:rPr>
        <w:t xml:space="preserve">. Sustraer tarjetas o listas de puntualidad y asistencia del lugar destinado para ello, ya sea la del propio servidor público o la de otro, utilizar o registrar asistencia con </w:t>
      </w:r>
      <w:proofErr w:type="spellStart"/>
      <w:r w:rsidRPr="00DC19D6">
        <w:rPr>
          <w:rFonts w:eastAsia="Palatino Linotype" w:cs="Palatino Linotype"/>
          <w:szCs w:val="22"/>
        </w:rPr>
        <w:t>gafetecredencial</w:t>
      </w:r>
      <w:proofErr w:type="spellEnd"/>
      <w:r w:rsidRPr="00DC19D6">
        <w:rPr>
          <w:rFonts w:eastAsia="Palatino Linotype" w:cs="Palatino Linotype"/>
          <w:szCs w:val="22"/>
        </w:rPr>
        <w:t xml:space="preserve"> o tarjeta distinto al suyo o alterar en cualquier forma los registros de control de puntualidad y asistencia; siempre y cuando no sea resultado de un error involuntario;</w:t>
      </w:r>
    </w:p>
    <w:p w14:paraId="0DA73E84"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XVIII</w:t>
      </w:r>
      <w:r w:rsidRPr="00DC19D6">
        <w:rPr>
          <w:rFonts w:eastAsia="Palatino Linotype" w:cs="Palatino Linotype"/>
          <w:szCs w:val="22"/>
        </w:rPr>
        <w:t>. Las análogas a las establecidas en las fracciones anteriores, de igual manera graves y de consecuencias semejantes en lo que al trabajo se refiere; e</w:t>
      </w:r>
    </w:p>
    <w:p w14:paraId="64160E51"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XIX</w:t>
      </w:r>
      <w:r w:rsidRPr="00DC19D6">
        <w:rPr>
          <w:rFonts w:eastAsia="Palatino Linotype" w:cs="Palatino Linotype"/>
          <w:szCs w:val="22"/>
        </w:rPr>
        <w:t>. Incurrir en actos de violencia laboral, entendiéndose por éstos los relativos a discriminación, acoso u hostigamiento sexual.</w:t>
      </w:r>
    </w:p>
    <w:p w14:paraId="3D301464" w14:textId="77777777" w:rsidR="007949B5" w:rsidRPr="00DC19D6" w:rsidRDefault="007949B5" w:rsidP="003B6BE8">
      <w:pPr>
        <w:pStyle w:val="Puesto"/>
        <w:rPr>
          <w:rFonts w:eastAsia="Palatino Linotype" w:cs="Palatino Linotype"/>
          <w:szCs w:val="22"/>
        </w:rPr>
      </w:pPr>
      <w:r w:rsidRPr="00DC19D6">
        <w:rPr>
          <w:rFonts w:eastAsia="Palatino Linotype" w:cs="Palatino Linotype"/>
          <w:szCs w:val="22"/>
        </w:rPr>
        <w:t>Para los efectos de la presente fracción se entiende por:</w:t>
      </w:r>
    </w:p>
    <w:p w14:paraId="788B076F" w14:textId="77777777" w:rsidR="007949B5" w:rsidRPr="00DC19D6" w:rsidRDefault="007949B5" w:rsidP="003B6BE8">
      <w:pPr>
        <w:pStyle w:val="Puesto"/>
        <w:rPr>
          <w:rFonts w:eastAsia="Palatino Linotype" w:cs="Palatino Linotype"/>
          <w:color w:val="000000"/>
          <w:szCs w:val="22"/>
        </w:rPr>
      </w:pPr>
      <w:r w:rsidRPr="00DC19D6">
        <w:rPr>
          <w:rFonts w:eastAsia="Palatino Linotype" w:cs="Palatino Linotype"/>
          <w:color w:val="000000"/>
          <w:szCs w:val="22"/>
        </w:rPr>
        <w:t>Acoso sexual, es una forma de violencia en la que, si bien no existe la subordinación, hay un ejercicio abusivo de poder que conlleva a un estado de indefensión y de riesgo para la víctima, independientemente de que se realice en uno o varios eventos; y</w:t>
      </w:r>
    </w:p>
    <w:p w14:paraId="08A915A1" w14:textId="77777777" w:rsidR="007949B5" w:rsidRPr="00DC19D6" w:rsidRDefault="007949B5" w:rsidP="003B6BE8">
      <w:pPr>
        <w:pStyle w:val="Puesto"/>
        <w:rPr>
          <w:rFonts w:eastAsia="Palatino Linotype" w:cs="Palatino Linotype"/>
          <w:color w:val="000000"/>
          <w:szCs w:val="22"/>
        </w:rPr>
      </w:pPr>
      <w:r w:rsidRPr="00DC19D6">
        <w:rPr>
          <w:rFonts w:eastAsia="Palatino Linotype" w:cs="Palatino Linotype"/>
          <w:color w:val="000000"/>
          <w:szCs w:val="22"/>
        </w:rPr>
        <w:t>Hostigamiento sexual, es el ejercicio del poder, en una relación de subordinación real de la víctima frente a la persona agresora en los ámbitos laboral y/o escolar. Se expresa en conductas verbales o no verbales, físicas o ambas, relacionadas con la sexualidad de connotación lasciva.</w:t>
      </w:r>
    </w:p>
    <w:p w14:paraId="59AF6EF8" w14:textId="77777777" w:rsidR="007949B5" w:rsidRPr="00DC19D6" w:rsidRDefault="007949B5" w:rsidP="003B6BE8">
      <w:pPr>
        <w:pStyle w:val="Puesto"/>
        <w:rPr>
          <w:rFonts w:eastAsia="Palatino Linotype" w:cs="Palatino Linotype"/>
          <w:szCs w:val="22"/>
        </w:rPr>
      </w:pPr>
      <w:r w:rsidRPr="00DC19D6">
        <w:rPr>
          <w:rFonts w:eastAsia="Palatino Linotype" w:cs="Palatino Linotype"/>
          <w:b/>
          <w:szCs w:val="22"/>
        </w:rPr>
        <w:t>XX</w:t>
      </w:r>
      <w:r w:rsidRPr="00DC19D6">
        <w:rPr>
          <w:rFonts w:eastAsia="Palatino Linotype" w:cs="Palatino Linotype"/>
          <w:szCs w:val="22"/>
        </w:rPr>
        <w:t>. La falta de requisitos que exijan las leyes y reglamentos, necesarios para la prestación del servicio cuando sea imputable al trabajador, desde la fecha en que el patrón tenga conocimiento del hecho, hasta por un periodo de dos meses.</w:t>
      </w:r>
    </w:p>
    <w:p w14:paraId="4AF0DE1F" w14:textId="77777777" w:rsidR="002D40F5" w:rsidRPr="00DC19D6" w:rsidRDefault="002D40F5" w:rsidP="001A7F33">
      <w:pPr>
        <w:spacing w:line="276" w:lineRule="auto"/>
        <w:ind w:left="567" w:right="539"/>
        <w:rPr>
          <w:rFonts w:eastAsia="Palatino Linotype" w:cs="Palatino Linotype"/>
          <w:b/>
          <w:i/>
          <w:szCs w:val="22"/>
        </w:rPr>
      </w:pPr>
    </w:p>
    <w:p w14:paraId="3A4103C0" w14:textId="77777777" w:rsidR="007949B5" w:rsidRPr="00DC19D6" w:rsidRDefault="007949B5" w:rsidP="003B6BE8">
      <w:pPr>
        <w:pStyle w:val="Puesto"/>
        <w:rPr>
          <w:rFonts w:eastAsia="Palatino Linotype"/>
        </w:rPr>
      </w:pPr>
      <w:r w:rsidRPr="00DC19D6">
        <w:rPr>
          <w:rFonts w:eastAsia="Palatino Linotype"/>
          <w:b/>
        </w:rPr>
        <w:t>ARTÍCULO 94.</w:t>
      </w:r>
      <w:r w:rsidRPr="00DC19D6">
        <w:rPr>
          <w:rFonts w:eastAsia="Palatino Linotype"/>
        </w:rPr>
        <w:t xml:space="preserve"> La institución pública deberá dar aviso por escrito al servidor público de manera personal, de la fecha y causa o causas de la rescisión de la relación laboral. 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6B39A68D" w14:textId="77777777" w:rsidR="007949B5" w:rsidRPr="00DC19D6" w:rsidRDefault="007949B5" w:rsidP="003B6BE8">
      <w:pPr>
        <w:pStyle w:val="Puesto"/>
        <w:rPr>
          <w:rFonts w:eastAsia="Palatino Linotype"/>
        </w:rPr>
      </w:pPr>
    </w:p>
    <w:p w14:paraId="1DB76C35" w14:textId="77777777" w:rsidR="007949B5" w:rsidRPr="00DC19D6" w:rsidRDefault="007949B5" w:rsidP="003B6BE8">
      <w:pPr>
        <w:pStyle w:val="Puesto"/>
        <w:rPr>
          <w:rFonts w:eastAsia="Palatino Linotype"/>
        </w:rPr>
      </w:pPr>
      <w:r w:rsidRPr="00DC19D6">
        <w:rPr>
          <w:rFonts w:eastAsia="Palatino Linotype"/>
        </w:rPr>
        <w:t>La falta de aviso al servidor público, al Tribunal o a la Sala por sí sola bastará para considerar que el despido fue injustificado.</w:t>
      </w:r>
    </w:p>
    <w:p w14:paraId="20BEDFD5" w14:textId="77777777" w:rsidR="007949B5" w:rsidRPr="00DC19D6" w:rsidRDefault="007949B5" w:rsidP="003B6BE8">
      <w:pPr>
        <w:pStyle w:val="Puesto"/>
        <w:rPr>
          <w:rFonts w:eastAsia="Palatino Linotype"/>
        </w:rPr>
      </w:pPr>
    </w:p>
    <w:p w14:paraId="559DB928" w14:textId="77777777" w:rsidR="007949B5" w:rsidRPr="00DC19D6" w:rsidRDefault="007949B5" w:rsidP="003B6BE8">
      <w:pPr>
        <w:pStyle w:val="Puesto"/>
        <w:rPr>
          <w:rFonts w:eastAsia="Palatino Linotype"/>
        </w:rPr>
      </w:pPr>
      <w:r w:rsidRPr="00DC19D6">
        <w:rPr>
          <w:rFonts w:eastAsia="Palatino Linotype"/>
          <w:b/>
        </w:rPr>
        <w:t>ARTÍCULO 95.</w:t>
      </w:r>
      <w:r w:rsidRPr="00DC19D6">
        <w:rPr>
          <w:rFonts w:eastAsia="Palatino Linotype"/>
        </w:rPr>
        <w:t xml:space="preserve"> Son causas de rescisión de la relación laboral, sin responsabilidad para el servidor público:</w:t>
      </w:r>
    </w:p>
    <w:p w14:paraId="1ED51803" w14:textId="77777777" w:rsidR="007949B5" w:rsidRPr="00DC19D6" w:rsidRDefault="007949B5" w:rsidP="003B6BE8">
      <w:pPr>
        <w:pStyle w:val="Puesto"/>
        <w:rPr>
          <w:rFonts w:eastAsia="Palatino Linotype"/>
        </w:rPr>
      </w:pPr>
    </w:p>
    <w:p w14:paraId="7006F4D1" w14:textId="77777777" w:rsidR="007949B5" w:rsidRPr="00DC19D6" w:rsidRDefault="007949B5" w:rsidP="003B6BE8">
      <w:pPr>
        <w:pStyle w:val="Puesto"/>
        <w:rPr>
          <w:rFonts w:eastAsia="Palatino Linotype"/>
        </w:rPr>
      </w:pPr>
      <w:r w:rsidRPr="00DC19D6">
        <w:rPr>
          <w:rFonts w:eastAsia="Palatino Linotype"/>
        </w:rPr>
        <w:t>I. Engañarlo la institución pública o dependencia en relación a las condiciones en que se le ofreció el trabajo. Esta causa dejará de tener efecto después de 30 días naturales a partir de su incorporación al servicio;</w:t>
      </w:r>
    </w:p>
    <w:p w14:paraId="55EAEBF0" w14:textId="77777777" w:rsidR="007949B5" w:rsidRPr="00DC19D6" w:rsidRDefault="007949B5" w:rsidP="003B6BE8">
      <w:pPr>
        <w:pStyle w:val="Puesto"/>
        <w:rPr>
          <w:rFonts w:eastAsia="Palatino Linotype"/>
        </w:rPr>
      </w:pPr>
      <w:r w:rsidRPr="00DC19D6">
        <w:rPr>
          <w:rFonts w:eastAsia="Palatino Linotype"/>
        </w:rPr>
        <w:t>II. Incurrir alguno de sus superiores jerárquicos o personal directivo, o bien familiares de éstos, en faltas de probidad u honradez, actos de violencia, amenazas, injurias, malo tratos, violencia laboral u otros análogos, en contra del servidor público, su cónyuge, concubina o concubinario, padres, hijos o hermanos;</w:t>
      </w:r>
    </w:p>
    <w:p w14:paraId="306A3353" w14:textId="77777777" w:rsidR="007949B5" w:rsidRPr="00DC19D6" w:rsidRDefault="007949B5" w:rsidP="003B6BE8">
      <w:pPr>
        <w:pStyle w:val="Puesto"/>
        <w:rPr>
          <w:rFonts w:eastAsia="Palatino Linotype"/>
        </w:rPr>
      </w:pPr>
      <w:r w:rsidRPr="00DC19D6">
        <w:rPr>
          <w:rFonts w:eastAsia="Palatino Linotype"/>
        </w:rPr>
        <w:t>III. Incumplir la institución pública o dependencia las condiciones laborales y salariales acordadas para el desempeño de sus funciones y las que estipula esta ley;</w:t>
      </w:r>
    </w:p>
    <w:p w14:paraId="753FC886" w14:textId="77777777" w:rsidR="007949B5" w:rsidRPr="00DC19D6" w:rsidRDefault="007949B5" w:rsidP="003B6BE8">
      <w:pPr>
        <w:pStyle w:val="Puesto"/>
        <w:rPr>
          <w:rFonts w:eastAsia="Palatino Linotype"/>
        </w:rPr>
      </w:pPr>
      <w:r w:rsidRPr="00DC19D6">
        <w:rPr>
          <w:rFonts w:eastAsia="Palatino Linotype"/>
        </w:rPr>
        <w:t>IV. Existir peligro grave para la seguridad o salud del servidor público por carecer de condiciones higiénicas en su lugar de trabajo o no cumplirse las medidas preventivas y de seguridad que las leyes establezcan;</w:t>
      </w:r>
    </w:p>
    <w:p w14:paraId="2AFCA090" w14:textId="77777777" w:rsidR="007949B5" w:rsidRPr="00DC19D6" w:rsidRDefault="007949B5" w:rsidP="003B6BE8">
      <w:pPr>
        <w:pStyle w:val="Puesto"/>
        <w:rPr>
          <w:rFonts w:eastAsia="Palatino Linotype"/>
        </w:rPr>
      </w:pPr>
      <w:r w:rsidRPr="00DC19D6">
        <w:rPr>
          <w:rFonts w:eastAsia="Palatino Linotype"/>
        </w:rPr>
        <w:t>V. No inscribirlo en el Instituto de Seguridad Social del Estado de México y Municipios o no cubrir a éste las aportaciones que le correspondan; y</w:t>
      </w:r>
    </w:p>
    <w:p w14:paraId="38A86CBC" w14:textId="77777777" w:rsidR="007949B5" w:rsidRPr="00DC19D6" w:rsidRDefault="007949B5" w:rsidP="003B6BE8">
      <w:pPr>
        <w:pStyle w:val="Puesto"/>
        <w:rPr>
          <w:rFonts w:eastAsia="Palatino Linotype"/>
        </w:rPr>
      </w:pPr>
      <w:r w:rsidRPr="00DC19D6">
        <w:rPr>
          <w:rFonts w:eastAsia="Palatino Linotype"/>
        </w:rPr>
        <w:t>VI. Las análogas a las establecidas en las fracciones anteriores, de igual manera graves y de consecuencias semejantes.</w:t>
      </w:r>
    </w:p>
    <w:p w14:paraId="30603985" w14:textId="77777777" w:rsidR="007949B5" w:rsidRPr="00DC19D6" w:rsidRDefault="007949B5" w:rsidP="003B6BE8">
      <w:pPr>
        <w:pStyle w:val="Puesto"/>
        <w:rPr>
          <w:rFonts w:eastAsia="Palatino Linotype"/>
        </w:rPr>
      </w:pPr>
    </w:p>
    <w:p w14:paraId="768B7942" w14:textId="77777777" w:rsidR="007949B5" w:rsidRPr="00DC19D6" w:rsidRDefault="007949B5" w:rsidP="003B6BE8">
      <w:pPr>
        <w:pStyle w:val="Puesto"/>
        <w:rPr>
          <w:rFonts w:eastAsia="Palatino Linotype"/>
        </w:rPr>
      </w:pPr>
      <w:r w:rsidRPr="00DC19D6">
        <w:rPr>
          <w:rFonts w:eastAsia="Palatino Linotype"/>
        </w:rPr>
        <w:t>En estos casos, el servidor público podrá separarse de su trabajo dentro de los treinta días siguientes a la fecha en que se dé cualquiera de las causas y tendrá derecho a que la institución pública 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 a laborar en un municipio o institución pública de los poderes del Estado o cualquier organismo estatal, siempre y cuando esto último ocurra en un plazo no mayor a los doce meses antes mencionados, independientemente del tiempo que dure el proceso.</w:t>
      </w:r>
    </w:p>
    <w:p w14:paraId="5FB7BFED" w14:textId="77777777" w:rsidR="007949B5" w:rsidRPr="00DC19D6" w:rsidRDefault="007949B5" w:rsidP="003B6BE8">
      <w:pPr>
        <w:pStyle w:val="Puesto"/>
        <w:rPr>
          <w:rFonts w:eastAsia="Palatino Linotype"/>
        </w:rPr>
      </w:pPr>
    </w:p>
    <w:p w14:paraId="274AD71E" w14:textId="77777777" w:rsidR="007949B5" w:rsidRPr="00DC19D6" w:rsidRDefault="007949B5" w:rsidP="003B6BE8">
      <w:pPr>
        <w:pStyle w:val="Puesto"/>
        <w:rPr>
          <w:rFonts w:eastAsia="Palatino Linotype"/>
        </w:rPr>
      </w:pPr>
      <w:r w:rsidRPr="00DC19D6">
        <w:rPr>
          <w:rFonts w:eastAsia="Palatino Linotype"/>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7D2B6293" w14:textId="77777777" w:rsidR="007949B5" w:rsidRPr="00DC19D6" w:rsidRDefault="007949B5" w:rsidP="003B6BE8">
      <w:pPr>
        <w:pStyle w:val="Puesto"/>
        <w:rPr>
          <w:rFonts w:eastAsia="Palatino Linotype"/>
        </w:rPr>
      </w:pPr>
    </w:p>
    <w:p w14:paraId="0471A8F4" w14:textId="77777777" w:rsidR="007949B5" w:rsidRPr="00DC19D6" w:rsidRDefault="007949B5" w:rsidP="003B6BE8">
      <w:pPr>
        <w:pStyle w:val="Puesto"/>
        <w:rPr>
          <w:rFonts w:eastAsia="Palatino Linotype"/>
        </w:rPr>
      </w:pPr>
      <w:r w:rsidRPr="00DC19D6">
        <w:rPr>
          <w:rFonts w:eastAsia="Palatino Linotype"/>
        </w:rPr>
        <w:t>Cuando el sueldo base del servidor público exceda del doble del salario mínimo general del área geográfica que corresponda al lugar en donde presta sus servicios, se considerará para efectos del pago de los veinte días por año, hasta un máximo de dos salarios mínimos generales.</w:t>
      </w:r>
    </w:p>
    <w:p w14:paraId="176B3C62" w14:textId="77777777" w:rsidR="007949B5" w:rsidRPr="00DC19D6" w:rsidRDefault="007949B5" w:rsidP="003B6BE8">
      <w:pPr>
        <w:pStyle w:val="Puesto"/>
        <w:rPr>
          <w:rFonts w:eastAsia="Palatino Linotype"/>
        </w:rPr>
      </w:pPr>
    </w:p>
    <w:p w14:paraId="07F847BC" w14:textId="77777777" w:rsidR="007949B5" w:rsidRPr="00DC19D6" w:rsidRDefault="007949B5" w:rsidP="003B6BE8">
      <w:pPr>
        <w:pStyle w:val="Puesto"/>
        <w:rPr>
          <w:rFonts w:eastAsia="Palatino Linotype"/>
        </w:rPr>
      </w:pPr>
      <w:r w:rsidRPr="00DC19D6">
        <w:rPr>
          <w:rFonts w:eastAsia="Palatino Linotype"/>
        </w:rPr>
        <w:lastRenderedPageBreak/>
        <w:t>Para el pago de cualquier indemnización que se genere por las relaciones laborales entre las instituciones o dependencias y sus servidores públicos señaladas en esta ley no generarán ningún tipo de interés.”</w:t>
      </w:r>
    </w:p>
    <w:p w14:paraId="5AE49963" w14:textId="77777777" w:rsidR="007949B5" w:rsidRPr="00DC19D6" w:rsidRDefault="007949B5" w:rsidP="007949B5">
      <w:pPr>
        <w:pBdr>
          <w:top w:val="nil"/>
          <w:left w:val="nil"/>
          <w:bottom w:val="nil"/>
          <w:right w:val="nil"/>
          <w:between w:val="nil"/>
        </w:pBdr>
        <w:spacing w:line="276" w:lineRule="auto"/>
        <w:ind w:left="567" w:right="843"/>
        <w:rPr>
          <w:rFonts w:eastAsia="Palatino Linotype" w:cs="Palatino Linotype"/>
          <w:i/>
          <w:szCs w:val="22"/>
        </w:rPr>
      </w:pPr>
    </w:p>
    <w:p w14:paraId="0EDD5D9C" w14:textId="77777777" w:rsidR="007949B5" w:rsidRPr="00DC19D6" w:rsidRDefault="007949B5" w:rsidP="007949B5">
      <w:pPr>
        <w:rPr>
          <w:rFonts w:eastAsia="Palatino Linotype" w:cs="Palatino Linotype"/>
        </w:rPr>
      </w:pPr>
      <w:r w:rsidRPr="00DC19D6">
        <w:rPr>
          <w:rFonts w:eastAsia="Palatino Linotype" w:cs="Palatino Linotype"/>
        </w:rPr>
        <w:t xml:space="preserve">De lo anterior, se desprende que la relación de trabajo entre las instituciones públicas y sus servidores públicos se establece ya sea por nombramiento, contrato o formato único de Movimientos de Personal o por cualquier otro acto que tenga como consecuencia la prestación personal subordinada del servicio y la percepción de un sueldo. </w:t>
      </w:r>
    </w:p>
    <w:p w14:paraId="5D5CD9B3" w14:textId="77777777" w:rsidR="007949B5" w:rsidRPr="00DC19D6" w:rsidRDefault="007949B5" w:rsidP="007949B5">
      <w:pPr>
        <w:rPr>
          <w:rFonts w:eastAsia="Palatino Linotype" w:cs="Palatino Linotype"/>
        </w:rPr>
      </w:pPr>
    </w:p>
    <w:p w14:paraId="4E18926D" w14:textId="6D6F6E2F" w:rsidR="007949B5" w:rsidRPr="00DC19D6" w:rsidRDefault="007949B5" w:rsidP="007949B5">
      <w:pPr>
        <w:rPr>
          <w:rFonts w:eastAsia="Palatino Linotype" w:cs="Palatino Linotype"/>
        </w:rPr>
      </w:pPr>
      <w:r w:rsidRPr="00DC19D6">
        <w:rPr>
          <w:rFonts w:eastAsia="Palatino Linotype" w:cs="Palatino Linotype"/>
        </w:rPr>
        <w:t>Asimismo, dicho ordenamiento contempla también los distintos supuestos jurídicos por los cuales se procede a registrar los movimientos de baja de las y los servidores públicos que dejan de prestar sus servicios en cualquiera de las dependencias de la Administración Pública y dar por concluida la relación laboral entre el ser</w:t>
      </w:r>
      <w:r w:rsidR="001A7F33" w:rsidRPr="00DC19D6">
        <w:rPr>
          <w:rFonts w:eastAsia="Palatino Linotype" w:cs="Palatino Linotype"/>
        </w:rPr>
        <w:t>vidor público y la institución, que no necesariamente es a causa de un despido.</w:t>
      </w:r>
    </w:p>
    <w:p w14:paraId="1FB636BE" w14:textId="77777777" w:rsidR="007949B5" w:rsidRPr="00DC19D6" w:rsidRDefault="007949B5" w:rsidP="007949B5">
      <w:pPr>
        <w:rPr>
          <w:rFonts w:eastAsia="Palatino Linotype" w:cs="Palatino Linotype"/>
        </w:rPr>
      </w:pPr>
    </w:p>
    <w:p w14:paraId="2C5ED404" w14:textId="77777777" w:rsidR="007949B5" w:rsidRPr="00DC19D6" w:rsidRDefault="007949B5" w:rsidP="007949B5">
      <w:pPr>
        <w:rPr>
          <w:rFonts w:eastAsia="Palatino Linotype" w:cs="Palatino Linotype"/>
        </w:rPr>
      </w:pPr>
      <w:r w:rsidRPr="00DC19D6">
        <w:rPr>
          <w:rFonts w:eastAsia="Palatino Linotype" w:cs="Palatino Linotype"/>
        </w:rPr>
        <w:t xml:space="preserve">Para robustecer el presente análisis, conviene traer a colación, el procedimiento: 031 baja de servidoras públicas y servidores públicos generales y de confianza, el cual establece lo siguiente: </w:t>
      </w:r>
    </w:p>
    <w:p w14:paraId="5260A478" w14:textId="77777777" w:rsidR="003B6BE8" w:rsidRPr="00DC19D6" w:rsidRDefault="003B6BE8" w:rsidP="007949B5">
      <w:pPr>
        <w:rPr>
          <w:rFonts w:eastAsia="Palatino Linotype" w:cs="Palatino Linotype"/>
        </w:rPr>
      </w:pPr>
    </w:p>
    <w:p w14:paraId="4CF871BF" w14:textId="77777777" w:rsidR="007949B5" w:rsidRPr="00DC19D6" w:rsidRDefault="007949B5" w:rsidP="003B6BE8">
      <w:pPr>
        <w:pStyle w:val="Puesto"/>
        <w:rPr>
          <w:rFonts w:eastAsia="Palatino Linotype"/>
        </w:rPr>
      </w:pPr>
      <w:r w:rsidRPr="00DC19D6">
        <w:rPr>
          <w:rFonts w:eastAsia="Palatino Linotype"/>
        </w:rPr>
        <w:t>20301/031-01</w:t>
      </w:r>
    </w:p>
    <w:p w14:paraId="7230937C" w14:textId="7BCDA109" w:rsidR="007949B5" w:rsidRPr="00DC19D6" w:rsidRDefault="007949B5" w:rsidP="003B6BE8">
      <w:pPr>
        <w:pStyle w:val="Puesto"/>
        <w:rPr>
          <w:rFonts w:eastAsia="Palatino Linotype"/>
        </w:rPr>
      </w:pPr>
      <w:r w:rsidRPr="00DC19D6">
        <w:rPr>
          <w:rFonts w:eastAsia="Palatino Linotype"/>
        </w:rPr>
        <w:t>Las servidoras públicas y los servidores públicos pueden causar baja en el sector central del Poder Ejecutivo Estatal por:</w:t>
      </w:r>
    </w:p>
    <w:p w14:paraId="4C96F9DA" w14:textId="77777777" w:rsidR="007949B5" w:rsidRPr="00DC19D6" w:rsidRDefault="007949B5" w:rsidP="003B6BE8">
      <w:pPr>
        <w:pStyle w:val="Puesto"/>
        <w:rPr>
          <w:rFonts w:eastAsia="Palatino Linotype"/>
        </w:rPr>
      </w:pPr>
      <w:r w:rsidRPr="00DC19D6">
        <w:rPr>
          <w:rFonts w:eastAsia="Palatino Linotype"/>
        </w:rPr>
        <w:t>a) Renuncia;</w:t>
      </w:r>
    </w:p>
    <w:p w14:paraId="56FBF922" w14:textId="77777777" w:rsidR="007949B5" w:rsidRPr="00DC19D6" w:rsidRDefault="007949B5" w:rsidP="003B6BE8">
      <w:pPr>
        <w:pStyle w:val="Puesto"/>
        <w:rPr>
          <w:rFonts w:eastAsia="Palatino Linotype"/>
        </w:rPr>
      </w:pPr>
      <w:r w:rsidRPr="00DC19D6">
        <w:rPr>
          <w:rFonts w:eastAsia="Palatino Linotype"/>
        </w:rPr>
        <w:t>b) Fallecimiento;</w:t>
      </w:r>
    </w:p>
    <w:p w14:paraId="1B917E7F" w14:textId="77777777" w:rsidR="007949B5" w:rsidRPr="00DC19D6" w:rsidRDefault="007949B5" w:rsidP="003B6BE8">
      <w:pPr>
        <w:pStyle w:val="Puesto"/>
        <w:rPr>
          <w:rFonts w:eastAsia="Palatino Linotype"/>
        </w:rPr>
      </w:pPr>
      <w:r w:rsidRPr="00DC19D6">
        <w:rPr>
          <w:rFonts w:eastAsia="Palatino Linotype"/>
        </w:rPr>
        <w:t>c) Rescisión de la relación laboral por causa fundamentada en la Ley del Trabajo de los Servidores Públicos del Estado y Municipios;</w:t>
      </w:r>
    </w:p>
    <w:p w14:paraId="37AE8C41" w14:textId="77777777" w:rsidR="007949B5" w:rsidRPr="00DC19D6" w:rsidRDefault="007949B5" w:rsidP="003B6BE8">
      <w:pPr>
        <w:pStyle w:val="Puesto"/>
        <w:rPr>
          <w:rFonts w:eastAsia="Palatino Linotype"/>
        </w:rPr>
      </w:pPr>
      <w:r w:rsidRPr="00DC19D6">
        <w:rPr>
          <w:rFonts w:eastAsia="Palatino Linotype"/>
        </w:rPr>
        <w:t>d) Aplicación de resolución de la Secretaría de la Contraloría;</w:t>
      </w:r>
    </w:p>
    <w:p w14:paraId="3E476358" w14:textId="77777777" w:rsidR="007949B5" w:rsidRPr="00DC19D6" w:rsidRDefault="007949B5" w:rsidP="003B6BE8">
      <w:pPr>
        <w:pStyle w:val="Puesto"/>
        <w:rPr>
          <w:rFonts w:eastAsia="Palatino Linotype"/>
        </w:rPr>
      </w:pPr>
      <w:r w:rsidRPr="00DC19D6">
        <w:rPr>
          <w:rFonts w:eastAsia="Palatino Linotype"/>
        </w:rPr>
        <w:t>e) Pensión por Jubilación, por Retiro y Tiempo de Servicios, por Inhabilitación, o por Retiro en Edad Avanzada;</w:t>
      </w:r>
    </w:p>
    <w:p w14:paraId="53BAF69E" w14:textId="77777777" w:rsidR="007949B5" w:rsidRPr="00DC19D6" w:rsidRDefault="007949B5" w:rsidP="003B6BE8">
      <w:pPr>
        <w:pStyle w:val="Puesto"/>
        <w:rPr>
          <w:rFonts w:eastAsia="Palatino Linotype"/>
        </w:rPr>
      </w:pPr>
      <w:r w:rsidRPr="00DC19D6">
        <w:rPr>
          <w:rFonts w:eastAsia="Palatino Linotype"/>
        </w:rPr>
        <w:lastRenderedPageBreak/>
        <w:t>f) El mutuo consentimiento de la institución pública y de la servidora pública o del servidor público; y</w:t>
      </w:r>
    </w:p>
    <w:p w14:paraId="4693E876" w14:textId="77777777" w:rsidR="007949B5" w:rsidRPr="00DC19D6" w:rsidRDefault="007949B5" w:rsidP="003B6BE8">
      <w:pPr>
        <w:pStyle w:val="Puesto"/>
        <w:rPr>
          <w:rFonts w:eastAsia="Palatino Linotype"/>
        </w:rPr>
      </w:pPr>
      <w:r w:rsidRPr="00DC19D6">
        <w:rPr>
          <w:rFonts w:eastAsia="Palatino Linotype"/>
        </w:rPr>
        <w:t>g) El vencimiento del término o conclusión de la obra determinante de la contratación.</w:t>
      </w:r>
    </w:p>
    <w:p w14:paraId="3349C146" w14:textId="77777777" w:rsidR="007949B5" w:rsidRPr="00DC19D6" w:rsidRDefault="007949B5" w:rsidP="003B6BE8">
      <w:pPr>
        <w:pStyle w:val="Puesto"/>
        <w:rPr>
          <w:rFonts w:eastAsia="Palatino Linotype"/>
        </w:rPr>
      </w:pPr>
      <w:r w:rsidRPr="00DC19D6">
        <w:rPr>
          <w:rFonts w:eastAsia="Palatino Linotype"/>
        </w:rPr>
        <w:t>…</w:t>
      </w:r>
    </w:p>
    <w:p w14:paraId="2F885C11" w14:textId="77777777" w:rsidR="007949B5" w:rsidRPr="00DC19D6" w:rsidRDefault="007949B5" w:rsidP="003B6BE8">
      <w:pPr>
        <w:pStyle w:val="Puesto"/>
        <w:rPr>
          <w:rFonts w:eastAsia="Palatino Linotype"/>
        </w:rPr>
      </w:pPr>
      <w:r w:rsidRPr="00DC19D6">
        <w:rPr>
          <w:rFonts w:eastAsia="Palatino Linotype"/>
        </w:rPr>
        <w:t>20301/031-03</w:t>
      </w:r>
    </w:p>
    <w:p w14:paraId="1D40D683" w14:textId="1AB22371" w:rsidR="007949B5" w:rsidRPr="00DC19D6" w:rsidRDefault="007949B5" w:rsidP="003B6BE8">
      <w:pPr>
        <w:pStyle w:val="Puesto"/>
        <w:rPr>
          <w:rFonts w:eastAsia="Palatino Linotype"/>
        </w:rPr>
      </w:pPr>
      <w:r w:rsidRPr="00DC19D6">
        <w:rPr>
          <w:rFonts w:eastAsia="Palatino Linotype"/>
        </w:rPr>
        <w:t xml:space="preserve">Las dependencias sólo podrán procesar un movimiento de baja de servidoras públicas o servidores públicos generales, </w:t>
      </w:r>
      <w:r w:rsidRPr="00DC19D6">
        <w:rPr>
          <w:rFonts w:eastAsia="Palatino Linotype"/>
          <w:b/>
          <w:u w:val="single"/>
        </w:rPr>
        <w:t>cuando cuenten con la documentación probatoria del hecho que la originó</w:t>
      </w:r>
      <w:r w:rsidRPr="00DC19D6">
        <w:rPr>
          <w:rFonts w:eastAsia="Palatino Linotype"/>
        </w:rPr>
        <w:t>. Incurre en responsabilidad quien omita este requisito.</w:t>
      </w:r>
    </w:p>
    <w:p w14:paraId="5B722D5D" w14:textId="77777777" w:rsidR="007949B5" w:rsidRPr="00DC19D6" w:rsidRDefault="007949B5" w:rsidP="003B6BE8">
      <w:pPr>
        <w:pStyle w:val="Puesto"/>
        <w:rPr>
          <w:rFonts w:eastAsia="Palatino Linotype"/>
        </w:rPr>
      </w:pPr>
      <w:r w:rsidRPr="00DC19D6">
        <w:rPr>
          <w:rFonts w:eastAsia="Palatino Linotype"/>
        </w:rPr>
        <w:t>…</w:t>
      </w:r>
    </w:p>
    <w:p w14:paraId="46433774" w14:textId="77777777" w:rsidR="007949B5" w:rsidRPr="00DC19D6" w:rsidRDefault="007949B5" w:rsidP="003B6BE8">
      <w:pPr>
        <w:pStyle w:val="Puesto"/>
        <w:rPr>
          <w:rFonts w:eastAsia="Palatino Linotype"/>
        </w:rPr>
      </w:pPr>
      <w:r w:rsidRPr="00DC19D6">
        <w:rPr>
          <w:rFonts w:eastAsia="Palatino Linotype"/>
        </w:rPr>
        <w:t>20301/031-04</w:t>
      </w:r>
    </w:p>
    <w:p w14:paraId="1BB341D9" w14:textId="007C8AF7" w:rsidR="007949B5" w:rsidRPr="00DC19D6" w:rsidRDefault="007949B5" w:rsidP="003B6BE8">
      <w:pPr>
        <w:pStyle w:val="Puesto"/>
        <w:rPr>
          <w:rFonts w:eastAsia="Palatino Linotype"/>
        </w:rPr>
      </w:pPr>
      <w:r w:rsidRPr="00DC19D6">
        <w:rPr>
          <w:rFonts w:eastAsia="Palatino Linotype"/>
        </w:rPr>
        <w:t>La fecha en que deberá surtir efecto la baja de las servidoras públicas o de los servidores públicos, será la del día siguiente a aquel en que hayan prestado sus servicios por última vez, independientemente del día del mes en que esto ocurra.</w:t>
      </w:r>
    </w:p>
    <w:p w14:paraId="46F1DA1A" w14:textId="77777777" w:rsidR="007949B5" w:rsidRPr="00DC19D6" w:rsidRDefault="007949B5" w:rsidP="003B6BE8">
      <w:pPr>
        <w:pStyle w:val="Puesto"/>
        <w:rPr>
          <w:rFonts w:eastAsia="Palatino Linotype"/>
        </w:rPr>
      </w:pPr>
      <w:r w:rsidRPr="00DC19D6">
        <w:rPr>
          <w:rFonts w:eastAsia="Palatino Linotype"/>
        </w:rPr>
        <w:t>…</w:t>
      </w:r>
    </w:p>
    <w:p w14:paraId="47490118" w14:textId="77777777" w:rsidR="007949B5" w:rsidRPr="00DC19D6" w:rsidRDefault="007949B5" w:rsidP="003B6BE8">
      <w:pPr>
        <w:pStyle w:val="Puesto"/>
        <w:rPr>
          <w:rFonts w:eastAsia="Palatino Linotype"/>
        </w:rPr>
      </w:pPr>
      <w:r w:rsidRPr="00DC19D6">
        <w:rPr>
          <w:rFonts w:eastAsia="Palatino Linotype"/>
        </w:rPr>
        <w:t>20301/031-05</w:t>
      </w:r>
    </w:p>
    <w:p w14:paraId="56BBD3E7" w14:textId="7C72334C" w:rsidR="007949B5" w:rsidRPr="00DC19D6" w:rsidRDefault="007949B5" w:rsidP="003B6BE8">
      <w:pPr>
        <w:pStyle w:val="Puesto"/>
        <w:rPr>
          <w:rFonts w:eastAsia="Palatino Linotype"/>
          <w:b/>
        </w:rPr>
      </w:pPr>
      <w:r w:rsidRPr="00DC19D6">
        <w:rPr>
          <w:rFonts w:eastAsia="Palatino Linotype"/>
          <w:b/>
        </w:rPr>
        <w:t>Las dependencias deberán procesar el movimiento de baja de una servidora pública o un servidor público, en un plazo máximo de quince días naturales después de ocurrido el hecho que la originó, de otra manera incurrirá en responsabilidad administrativa la servidora pública o el servidor público que lo omita.</w:t>
      </w:r>
    </w:p>
    <w:p w14:paraId="7EBD2B1E" w14:textId="77777777" w:rsidR="007949B5" w:rsidRPr="00DC19D6" w:rsidRDefault="007949B5" w:rsidP="003B6BE8">
      <w:pPr>
        <w:pStyle w:val="Puesto"/>
        <w:rPr>
          <w:rFonts w:eastAsia="Palatino Linotype"/>
          <w:b/>
        </w:rPr>
      </w:pPr>
      <w:r w:rsidRPr="00DC19D6">
        <w:rPr>
          <w:rFonts w:eastAsia="Palatino Linotype"/>
          <w:b/>
        </w:rPr>
        <w:t>…</w:t>
      </w:r>
    </w:p>
    <w:p w14:paraId="3A2C14CF" w14:textId="77777777" w:rsidR="007949B5" w:rsidRPr="00DC19D6" w:rsidRDefault="007949B5" w:rsidP="003B6BE8">
      <w:pPr>
        <w:pStyle w:val="Puesto"/>
        <w:rPr>
          <w:rFonts w:eastAsia="Palatino Linotype"/>
          <w:b/>
        </w:rPr>
      </w:pPr>
      <w:r w:rsidRPr="00DC19D6">
        <w:rPr>
          <w:rFonts w:eastAsia="Palatino Linotype"/>
          <w:b/>
        </w:rPr>
        <w:t>20301/031-09</w:t>
      </w:r>
    </w:p>
    <w:p w14:paraId="48272D3A" w14:textId="1A6F643F" w:rsidR="007949B5" w:rsidRPr="00DC19D6" w:rsidRDefault="007949B5" w:rsidP="003B6BE8">
      <w:pPr>
        <w:pStyle w:val="Puesto"/>
        <w:rPr>
          <w:rFonts w:eastAsia="Palatino Linotype"/>
          <w:b/>
        </w:rPr>
      </w:pPr>
      <w:r w:rsidRPr="00DC19D6">
        <w:rPr>
          <w:rFonts w:eastAsia="Palatino Linotype"/>
          <w:b/>
        </w:rPr>
        <w:t>Las dependencias deberán, en todos los casos, conservar la documentación comprobatoria de la baja de las servidoras públicas o los servidores públicos en su expediente personal.</w:t>
      </w:r>
    </w:p>
    <w:p w14:paraId="21FEF6B8" w14:textId="77777777" w:rsidR="007949B5" w:rsidRPr="00DC19D6" w:rsidRDefault="007949B5" w:rsidP="003B6BE8">
      <w:pPr>
        <w:pStyle w:val="Puesto"/>
        <w:rPr>
          <w:rFonts w:eastAsia="Palatino Linotype"/>
          <w:b/>
        </w:rPr>
      </w:pPr>
    </w:p>
    <w:p w14:paraId="4D4BB2DB" w14:textId="77777777" w:rsidR="007949B5" w:rsidRPr="00DC19D6" w:rsidRDefault="007949B5" w:rsidP="003B6BE8">
      <w:pPr>
        <w:pStyle w:val="Puesto"/>
        <w:rPr>
          <w:rFonts w:eastAsia="Palatino Linotype"/>
          <w:b/>
        </w:rPr>
      </w:pPr>
      <w:r w:rsidRPr="00DC19D6">
        <w:rPr>
          <w:rFonts w:eastAsia="Palatino Linotype"/>
          <w:b/>
        </w:rPr>
        <w:t>20301/031-10</w:t>
      </w:r>
    </w:p>
    <w:p w14:paraId="6C19565F" w14:textId="71F253FA" w:rsidR="007949B5" w:rsidRPr="00DC19D6" w:rsidRDefault="007949B5" w:rsidP="003B6BE8">
      <w:pPr>
        <w:pStyle w:val="Puesto"/>
        <w:rPr>
          <w:rFonts w:eastAsia="Palatino Linotype"/>
          <w:b/>
        </w:rPr>
      </w:pPr>
      <w:r w:rsidRPr="00DC19D6">
        <w:rPr>
          <w:rFonts w:eastAsia="Palatino Linotype"/>
          <w:b/>
        </w:rPr>
        <w:t>Es responsabilidad de la dependencia hacer entrega del Formato Único de Movimientos de Personal con firma electrónica, a la servidora pública o al servidor público que cause baja, a un familiar o a su representante legal, en el caso de fallecimiento.</w:t>
      </w:r>
    </w:p>
    <w:p w14:paraId="23135A0C" w14:textId="77777777" w:rsidR="007949B5" w:rsidRPr="00DC19D6" w:rsidRDefault="007949B5" w:rsidP="003B6BE8">
      <w:pPr>
        <w:pStyle w:val="Puesto"/>
        <w:rPr>
          <w:rFonts w:eastAsia="Palatino Linotype"/>
          <w:b/>
        </w:rPr>
      </w:pPr>
    </w:p>
    <w:p w14:paraId="3872489D" w14:textId="77777777" w:rsidR="007949B5" w:rsidRPr="00DC19D6" w:rsidRDefault="007949B5" w:rsidP="003B6BE8">
      <w:pPr>
        <w:pStyle w:val="Puesto"/>
        <w:rPr>
          <w:rFonts w:eastAsia="Palatino Linotype"/>
          <w:b/>
        </w:rPr>
      </w:pPr>
      <w:r w:rsidRPr="00DC19D6">
        <w:rPr>
          <w:rFonts w:eastAsia="Palatino Linotype"/>
          <w:b/>
        </w:rPr>
        <w:t>20301/031-11</w:t>
      </w:r>
    </w:p>
    <w:p w14:paraId="1358891A" w14:textId="75D75944" w:rsidR="007949B5" w:rsidRPr="00DC19D6" w:rsidRDefault="007949B5" w:rsidP="003B6BE8">
      <w:pPr>
        <w:pStyle w:val="Puesto"/>
        <w:rPr>
          <w:rFonts w:eastAsia="Palatino Linotype"/>
          <w:b/>
        </w:rPr>
      </w:pPr>
      <w:r w:rsidRPr="00DC19D6">
        <w:rPr>
          <w:rFonts w:eastAsia="Palatino Linotype"/>
          <w:b/>
        </w:rPr>
        <w:t xml:space="preserve"> El Formato Único de Movimientos de Personal con firma electrónica es el único documento legal para hacer constar la baja de una servidora pública o un servidor público, su firma y la entrega en original a la servidora pública o al servidor público, constituyen el cumplimiento total al procedimiento de baja.” (Énfasis añadido)</w:t>
      </w:r>
    </w:p>
    <w:p w14:paraId="46906AA9" w14:textId="77777777" w:rsidR="007949B5" w:rsidRPr="00DC19D6" w:rsidRDefault="007949B5" w:rsidP="007949B5">
      <w:pPr>
        <w:rPr>
          <w:rFonts w:eastAsia="Palatino Linotype" w:cs="Palatino Linotype"/>
        </w:rPr>
      </w:pPr>
    </w:p>
    <w:p w14:paraId="2006E647" w14:textId="1325815B" w:rsidR="00A151B2" w:rsidRPr="00DC19D6" w:rsidRDefault="007949B5" w:rsidP="00A151B2">
      <w:pPr>
        <w:rPr>
          <w:rFonts w:eastAsia="Palatino Linotype" w:cs="Palatino Linotype"/>
          <w:color w:val="000000"/>
        </w:rPr>
      </w:pPr>
      <w:r w:rsidRPr="00DC19D6">
        <w:rPr>
          <w:rFonts w:eastAsia="Palatino Linotype" w:cs="Palatino Linotype"/>
          <w:color w:val="000000"/>
        </w:rPr>
        <w:t>Por lo anteriormente citado, se aprecia con toda claridad que cuando se actualiza el supuesto de baja de un servidor público, no sólo deberá hacerse del conocimiento de la Delegación Administrativa sino además deberá generar el formato único de movimiento de personal en su modalidad de baja con firma electrónica pues lo entrega a la Dirección General de Personal y a la persona se</w:t>
      </w:r>
      <w:r w:rsidR="005F7C79" w:rsidRPr="00DC19D6">
        <w:rPr>
          <w:rFonts w:eastAsia="Palatino Linotype" w:cs="Palatino Linotype"/>
          <w:color w:val="000000"/>
        </w:rPr>
        <w:t xml:space="preserve">rvidora pública que causó baja, así como que las dependencias sólo podrán procesar un movimiento de baja de servidoras públicas o servidores públicos generales, cuando cuenten con la documentación probatoria del hecho que la originó, es decir, por cualquiera de las causas ya sea por </w:t>
      </w:r>
      <w:r w:rsidR="00A151B2" w:rsidRPr="00DC19D6">
        <w:rPr>
          <w:rFonts w:eastAsia="Palatino Linotype" w:cs="Palatino Linotype"/>
          <w:color w:val="000000"/>
        </w:rPr>
        <w:t>renuncia; fallecimiento; rescisión de la relación laboral por causa fundamentada en la Ley del Trabajo de los Servidores Públicos del Estado y Municipios;</w:t>
      </w:r>
    </w:p>
    <w:p w14:paraId="2D58A26C" w14:textId="33F04051" w:rsidR="007949B5" w:rsidRPr="00DC19D6" w:rsidRDefault="00A151B2" w:rsidP="00A151B2">
      <w:pPr>
        <w:rPr>
          <w:rFonts w:eastAsia="Palatino Linotype" w:cs="Palatino Linotype"/>
          <w:color w:val="000000"/>
        </w:rPr>
      </w:pPr>
      <w:r w:rsidRPr="00DC19D6">
        <w:rPr>
          <w:rFonts w:eastAsia="Palatino Linotype" w:cs="Palatino Linotype"/>
          <w:color w:val="000000"/>
        </w:rPr>
        <w:t>aplicación de resolución de la Secretaría de la Contraloría; pensión por Jubilación, por Retiro y Tiempo de Servicios, por Inhabilitación, o por Retiro en Edad Avanzada; mutuo consentimiento de la institución pública y de la servidora pública o del servidor público; y el  vencimiento del término o conclusión de la obra determinante de la contratación.</w:t>
      </w:r>
    </w:p>
    <w:p w14:paraId="22E03925" w14:textId="77777777" w:rsidR="00A151B2" w:rsidRPr="00DC19D6" w:rsidRDefault="00A151B2" w:rsidP="00A151B2">
      <w:pPr>
        <w:rPr>
          <w:rFonts w:eastAsia="Palatino Linotype" w:cs="Palatino Linotype"/>
          <w:color w:val="000000"/>
        </w:rPr>
      </w:pPr>
    </w:p>
    <w:p w14:paraId="120F9594" w14:textId="07FC2AF8" w:rsidR="00070AF6" w:rsidRPr="00DC19D6" w:rsidRDefault="00345890" w:rsidP="00070AF6">
      <w:pPr>
        <w:rPr>
          <w:rFonts w:eastAsia="Palatino Linotype" w:cs="Palatino Linotype"/>
          <w:sz w:val="24"/>
          <w:szCs w:val="24"/>
        </w:rPr>
      </w:pPr>
      <w:r w:rsidRPr="00DC19D6">
        <w:rPr>
          <w:rFonts w:eastAsia="Palatino Linotype" w:cs="Palatino Linotype"/>
          <w:color w:val="000000"/>
        </w:rPr>
        <w:t xml:space="preserve">Luego entonces, de la revisión a las documentales remitidas por </w:t>
      </w:r>
      <w:r w:rsidRPr="00DC19D6">
        <w:rPr>
          <w:rFonts w:eastAsia="Palatino Linotype" w:cs="Palatino Linotype"/>
          <w:b/>
          <w:color w:val="000000"/>
        </w:rPr>
        <w:t xml:space="preserve">EL SUJETO OBLIGADO </w:t>
      </w:r>
      <w:r w:rsidRPr="00DC19D6">
        <w:rPr>
          <w:rFonts w:eastAsia="Palatino Linotype"/>
        </w:rPr>
        <w:t xml:space="preserve">a fin de dar respuesta a lo peticionado por la particular, no se localizó documental alguna </w:t>
      </w:r>
      <w:r w:rsidR="00B009AD" w:rsidRPr="00DC19D6">
        <w:rPr>
          <w:rFonts w:eastAsia="Palatino Linotype"/>
        </w:rPr>
        <w:t xml:space="preserve">en la que conste </w:t>
      </w:r>
      <w:r w:rsidR="004460C9" w:rsidRPr="00DC19D6">
        <w:rPr>
          <w:rFonts w:eastAsia="Palatino Linotype"/>
        </w:rPr>
        <w:t>la causa</w:t>
      </w:r>
      <w:r w:rsidR="00B009AD" w:rsidRPr="00DC19D6">
        <w:rPr>
          <w:rFonts w:eastAsia="Palatino Linotype"/>
        </w:rPr>
        <w:t xml:space="preserve"> de la baja</w:t>
      </w:r>
      <w:r w:rsidR="00E1633E" w:rsidRPr="00DC19D6">
        <w:rPr>
          <w:rFonts w:eastAsia="Palatino Linotype"/>
        </w:rPr>
        <w:t xml:space="preserve">, con lo cual se concluye que </w:t>
      </w:r>
      <w:r w:rsidR="00E1633E" w:rsidRPr="00DC19D6">
        <w:rPr>
          <w:rFonts w:eastAsia="Palatino Linotype"/>
          <w:b/>
        </w:rPr>
        <w:t xml:space="preserve">EL SUJETO OBLIGADO </w:t>
      </w:r>
      <w:r w:rsidR="00070AF6" w:rsidRPr="00DC19D6">
        <w:rPr>
          <w:iCs/>
        </w:rPr>
        <w:t xml:space="preserve">Sobre este requerimiento en particular, incumplimiento con ello con </w:t>
      </w:r>
      <w:r w:rsidR="00070AF6" w:rsidRPr="00DC19D6">
        <w:rPr>
          <w:rFonts w:eastAsia="Palatino Linotype" w:cs="Palatino Linotype"/>
          <w:color w:val="000000" w:themeColor="text1"/>
          <w:sz w:val="24"/>
          <w:szCs w:val="24"/>
        </w:rPr>
        <w:t>los principios de congruencia y exhaustividad</w:t>
      </w:r>
      <w:r w:rsidR="00070AF6" w:rsidRPr="00DC19D6">
        <w:rPr>
          <w:rFonts w:eastAsia="Palatino Linotype" w:cs="Palatino Linotype"/>
          <w:sz w:val="24"/>
          <w:szCs w:val="24"/>
        </w:rPr>
        <w:t>, como refuerzo de lo anterior, resulta crucial el Criterio 02/17, emitido por el Pleno del Instituto Nacional de Transparencia y Acceso a la Información y Protección de Datos Personales, de título y texto siguientes:</w:t>
      </w:r>
    </w:p>
    <w:p w14:paraId="7AEA0D67" w14:textId="77777777" w:rsidR="00070AF6" w:rsidRPr="00DC19D6" w:rsidRDefault="00070AF6" w:rsidP="00070AF6">
      <w:pPr>
        <w:rPr>
          <w:rFonts w:eastAsia="Palatino Linotype" w:cs="Palatino Linotype"/>
          <w:sz w:val="24"/>
          <w:szCs w:val="24"/>
        </w:rPr>
      </w:pPr>
    </w:p>
    <w:p w14:paraId="001122EE" w14:textId="77777777" w:rsidR="00070AF6" w:rsidRPr="00DC19D6" w:rsidRDefault="00070AF6" w:rsidP="003B6BE8">
      <w:pPr>
        <w:pStyle w:val="Puesto"/>
        <w:rPr>
          <w:rFonts w:eastAsia="Palatino Linotype"/>
        </w:rPr>
      </w:pPr>
      <w:r w:rsidRPr="00DC19D6">
        <w:rPr>
          <w:rFonts w:eastAsia="Palatino Linotype"/>
          <w:sz w:val="24"/>
          <w:szCs w:val="24"/>
        </w:rPr>
        <w:t xml:space="preserve"> </w:t>
      </w:r>
      <w:r w:rsidRPr="00DC19D6">
        <w:rPr>
          <w:rFonts w:eastAsia="Palatino Linotype"/>
        </w:rPr>
        <w:t>“</w:t>
      </w:r>
      <w:r w:rsidRPr="00DC19D6">
        <w:rPr>
          <w:rFonts w:eastAsia="Palatino Linotype"/>
          <w:b/>
        </w:rPr>
        <w:t>Congruencia y exhaustividad. Sus alcances para garantizar el derecho de acceso a la información</w:t>
      </w:r>
      <w:r w:rsidRPr="00DC19D6">
        <w:rPr>
          <w:rFonts w:eastAsia="Palatino Linotype"/>
        </w:rPr>
        <w:t xml:space="preserve">. De conformidad con el artículo 3 de la Ley Federal de Procedimiento Administrativo, de aplicación supletoria a la Ley Federal de Transparencia y Acceso a la </w:t>
      </w:r>
      <w:r w:rsidRPr="00DC19D6">
        <w:rPr>
          <w:rFonts w:eastAsia="Palatino Linotype"/>
        </w:rPr>
        <w:lastRenderedPageBreak/>
        <w:t xml:space="preserve">Información Pública, en términos de su artículo 7; todo acto administrativo debe cumplir con los principios de congruencia y exhaustividad. Para el efectivo ejercicio del derecho de acceso a la información, la se debe </w:t>
      </w:r>
      <w:proofErr w:type="spellStart"/>
      <w:r w:rsidRPr="00DC19D6">
        <w:rPr>
          <w:rFonts w:eastAsia="Palatino Linotype"/>
        </w:rPr>
        <w:t>señacongruencia</w:t>
      </w:r>
      <w:proofErr w:type="spellEnd"/>
      <w:r w:rsidRPr="00DC19D6">
        <w:rPr>
          <w:rFonts w:eastAsia="Palatino Linotype"/>
        </w:rPr>
        <w:t xml:space="preserve">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7911087B" w14:textId="20EAE6D3" w:rsidR="00E1633E" w:rsidRPr="00DC19D6" w:rsidRDefault="00E1633E" w:rsidP="00A151B2">
      <w:pPr>
        <w:rPr>
          <w:rFonts w:eastAsia="Palatino Linotype"/>
        </w:rPr>
      </w:pPr>
    </w:p>
    <w:p w14:paraId="6EA5FA20" w14:textId="4F558F14" w:rsidR="00070AF6" w:rsidRPr="00DC19D6" w:rsidRDefault="00070AF6" w:rsidP="00A151B2">
      <w:pPr>
        <w:rPr>
          <w:rFonts w:eastAsia="Palatino Linotype"/>
        </w:rPr>
      </w:pPr>
      <w:r w:rsidRPr="00DC19D6">
        <w:rPr>
          <w:rFonts w:eastAsia="Palatino Linotype"/>
        </w:rPr>
        <w:t xml:space="preserve">Como resultado del análisis realizado, y toda vez que existe fue obligacional a fin de que </w:t>
      </w:r>
      <w:r w:rsidRPr="00DC19D6">
        <w:rPr>
          <w:rFonts w:eastAsia="Palatino Linotype"/>
          <w:b/>
        </w:rPr>
        <w:t xml:space="preserve">EL SUJETO OBLIGADO </w:t>
      </w:r>
      <w:r w:rsidRPr="00DC19D6">
        <w:rPr>
          <w:rFonts w:eastAsia="Palatino Linotype"/>
        </w:rPr>
        <w:t xml:space="preserve">cuente con </w:t>
      </w:r>
      <w:r w:rsidR="005A4675" w:rsidRPr="00DC19D6">
        <w:rPr>
          <w:rFonts w:eastAsia="Palatino Linotype"/>
        </w:rPr>
        <w:t xml:space="preserve">el documento en donde conste </w:t>
      </w:r>
      <w:r w:rsidR="004460C9" w:rsidRPr="00DC19D6">
        <w:rPr>
          <w:rFonts w:eastAsia="Palatino Linotype"/>
        </w:rPr>
        <w:t xml:space="preserve">la causa </w:t>
      </w:r>
      <w:r w:rsidR="005A4675" w:rsidRPr="00DC19D6">
        <w:rPr>
          <w:rFonts w:eastAsia="Palatino Linotype"/>
        </w:rPr>
        <w:t>de la baja, y al no haber realizado un pronunciamiento al respecto, resulta viable ordenar su entrega.</w:t>
      </w:r>
    </w:p>
    <w:p w14:paraId="1B9801BC" w14:textId="77777777" w:rsidR="00551788" w:rsidRPr="00DC19D6" w:rsidRDefault="00551788" w:rsidP="00A151B2">
      <w:pPr>
        <w:rPr>
          <w:rFonts w:eastAsia="Palatino Linotype"/>
        </w:rPr>
      </w:pPr>
    </w:p>
    <w:p w14:paraId="75D54E41" w14:textId="77777777" w:rsidR="00551788" w:rsidRPr="00DC19D6" w:rsidRDefault="00551788" w:rsidP="00551788">
      <w:pPr>
        <w:rPr>
          <w:rFonts w:eastAsiaTheme="minorEastAsia" w:cstheme="minorBidi"/>
          <w:lang w:val="es-ES_tradnl"/>
        </w:rPr>
      </w:pPr>
      <w:r w:rsidRPr="00DC19D6">
        <w:rPr>
          <w:rFonts w:eastAsiaTheme="minorEastAsia" w:cstheme="minorBidi"/>
          <w:lang w:val="es-ES_tradnl"/>
        </w:rPr>
        <w:t xml:space="preserve">Por último, no se omite comentar que, respecto al pronunciamiento emitido por </w:t>
      </w:r>
      <w:r w:rsidRPr="00DC19D6">
        <w:rPr>
          <w:rFonts w:eastAsiaTheme="minorEastAsia" w:cstheme="minorBidi"/>
          <w:b/>
          <w:lang w:val="es-ES_tradnl"/>
        </w:rPr>
        <w:t>EL</w:t>
      </w:r>
      <w:r w:rsidRPr="00DC19D6">
        <w:rPr>
          <w:rFonts w:eastAsiaTheme="minorEastAsia" w:cstheme="minorBidi"/>
          <w:lang w:val="es-ES_tradnl"/>
        </w:rPr>
        <w:t xml:space="preserve"> </w:t>
      </w:r>
      <w:r w:rsidRPr="00DC19D6">
        <w:rPr>
          <w:rFonts w:eastAsiaTheme="minorEastAsia" w:cstheme="minorBidi"/>
          <w:b/>
          <w:lang w:val="es-ES_tradnl"/>
        </w:rPr>
        <w:t>SUJETO OBLIGADO</w:t>
      </w:r>
      <w:r w:rsidRPr="00DC19D6">
        <w:rPr>
          <w:rFonts w:eastAsiaTheme="minorEastAsia" w:cstheme="minorBidi"/>
          <w:lang w:val="es-ES_tradnl"/>
        </w:rPr>
        <w:t xml:space="preserve">, a fin de dar respuesta a la solicitud planteada, este Instituto no está facultado para manifestarse sobre la veracidad de la información proporcionada, conforme lo prevé el artículo 36 de la </w:t>
      </w:r>
      <w:r w:rsidRPr="00DC19D6">
        <w:rPr>
          <w:rFonts w:cs="Arial"/>
        </w:rPr>
        <w:t>Ley de Transparencia y Acceso a la Información Pública del Estado de México y Municipios</w:t>
      </w:r>
      <w:r w:rsidRPr="00DC19D6">
        <w:rPr>
          <w:rFonts w:eastAsiaTheme="minorEastAsia" w:cstheme="minorBidi"/>
          <w:lang w:val="es-ES_tradnl"/>
        </w:rPr>
        <w:t>.</w:t>
      </w:r>
    </w:p>
    <w:p w14:paraId="13280F53" w14:textId="77777777" w:rsidR="00551788" w:rsidRPr="00DC19D6" w:rsidRDefault="00551788" w:rsidP="00551788">
      <w:pPr>
        <w:rPr>
          <w:rFonts w:eastAsiaTheme="minorEastAsia" w:cstheme="minorBidi"/>
          <w:lang w:val="es-ES_tradnl"/>
        </w:rPr>
      </w:pPr>
    </w:p>
    <w:p w14:paraId="232D6AC6" w14:textId="77777777" w:rsidR="00551788" w:rsidRPr="00DC19D6" w:rsidRDefault="00551788" w:rsidP="00551788">
      <w:pPr>
        <w:pStyle w:val="Ttulo3"/>
      </w:pPr>
      <w:bookmarkStart w:id="27" w:name="_Toc175144244"/>
      <w:bookmarkStart w:id="28" w:name="_Toc175586272"/>
      <w:r w:rsidRPr="00DC19D6">
        <w:t>d) Versión pública</w:t>
      </w:r>
      <w:bookmarkStart w:id="29" w:name="_Toc165304079"/>
      <w:bookmarkStart w:id="30" w:name="_Toc170837737"/>
      <w:bookmarkEnd w:id="27"/>
      <w:bookmarkEnd w:id="28"/>
    </w:p>
    <w:p w14:paraId="2065FDBB" w14:textId="77777777" w:rsidR="00551788" w:rsidRPr="00DC19D6" w:rsidRDefault="00551788" w:rsidP="00551788">
      <w:r w:rsidRPr="00DC19D6">
        <w:t xml:space="preserve">Para el caso de que el o los documentos de los cuales se ordena su entrega contengan datos personales susceptibles de ser testados, deberán ser entregados en </w:t>
      </w:r>
      <w:r w:rsidRPr="00DC19D6">
        <w:rPr>
          <w:b/>
        </w:rPr>
        <w:t>versión pública</w:t>
      </w:r>
      <w:r w:rsidRPr="00DC19D6">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DC19D6">
        <w:lastRenderedPageBreak/>
        <w:t>constitucionales de máxima publicidad y de protección de datos personales, la ley permite la elaboración de versiones públicas en las que se suprima aquella información relacionada con la vida privada de los particulares.</w:t>
      </w:r>
    </w:p>
    <w:p w14:paraId="03C3B392" w14:textId="77777777" w:rsidR="00551788" w:rsidRPr="00DC19D6" w:rsidRDefault="00551788" w:rsidP="00551788"/>
    <w:p w14:paraId="05CCAA34" w14:textId="77777777" w:rsidR="00551788" w:rsidRPr="00DC19D6" w:rsidRDefault="00551788" w:rsidP="00551788">
      <w:r w:rsidRPr="00DC19D6">
        <w:t>A este respecto, los artículos 3, fracciones IX, XX, XXI y XLV; 51 y 52 de la Ley de Transparencia y Acceso a la Información Pública del Estado de México y Municipios establecen:</w:t>
      </w:r>
    </w:p>
    <w:p w14:paraId="17AA4F48" w14:textId="77777777" w:rsidR="00551788" w:rsidRPr="00DC19D6" w:rsidRDefault="00551788" w:rsidP="00551788"/>
    <w:p w14:paraId="7BB02E15" w14:textId="77777777" w:rsidR="00551788" w:rsidRPr="00DC19D6" w:rsidRDefault="00551788" w:rsidP="003B6BE8">
      <w:pPr>
        <w:pStyle w:val="Puesto"/>
      </w:pPr>
      <w:r w:rsidRPr="00DC19D6">
        <w:rPr>
          <w:b/>
        </w:rPr>
        <w:t xml:space="preserve">“Artículo 3. </w:t>
      </w:r>
      <w:r w:rsidRPr="00DC19D6">
        <w:t xml:space="preserve">Para los efectos de la presente Ley se entenderá por: </w:t>
      </w:r>
    </w:p>
    <w:p w14:paraId="30E4CCEC" w14:textId="77777777" w:rsidR="00551788" w:rsidRPr="00DC19D6" w:rsidRDefault="00551788" w:rsidP="003B6BE8">
      <w:pPr>
        <w:pStyle w:val="Puesto"/>
      </w:pPr>
      <w:r w:rsidRPr="00DC19D6">
        <w:rPr>
          <w:b/>
        </w:rPr>
        <w:t>IX.</w:t>
      </w:r>
      <w:r w:rsidRPr="00DC19D6">
        <w:t xml:space="preserve"> </w:t>
      </w:r>
      <w:r w:rsidRPr="00DC19D6">
        <w:rPr>
          <w:b/>
        </w:rPr>
        <w:t xml:space="preserve">Datos personales: </w:t>
      </w:r>
      <w:r w:rsidRPr="00DC19D6">
        <w:t xml:space="preserve">La información concerniente a una persona, identificada o identificable según lo dispuesto por la Ley de Protección de Datos Personales del Estado de México; </w:t>
      </w:r>
    </w:p>
    <w:p w14:paraId="549645C9" w14:textId="77777777" w:rsidR="00551788" w:rsidRPr="00DC19D6" w:rsidRDefault="00551788" w:rsidP="003B6BE8"/>
    <w:p w14:paraId="240017DF" w14:textId="77777777" w:rsidR="00551788" w:rsidRPr="00DC19D6" w:rsidRDefault="00551788" w:rsidP="003B6BE8">
      <w:pPr>
        <w:pStyle w:val="Puesto"/>
      </w:pPr>
      <w:r w:rsidRPr="00DC19D6">
        <w:rPr>
          <w:b/>
        </w:rPr>
        <w:t>XX.</w:t>
      </w:r>
      <w:r w:rsidRPr="00DC19D6">
        <w:t xml:space="preserve"> </w:t>
      </w:r>
      <w:r w:rsidRPr="00DC19D6">
        <w:rPr>
          <w:b/>
        </w:rPr>
        <w:t>Información clasificada:</w:t>
      </w:r>
      <w:r w:rsidRPr="00DC19D6">
        <w:t xml:space="preserve"> Aquella considerada por la presente Ley como reservada o confidencial; </w:t>
      </w:r>
    </w:p>
    <w:p w14:paraId="32A09669" w14:textId="77777777" w:rsidR="00551788" w:rsidRPr="00DC19D6" w:rsidRDefault="00551788" w:rsidP="003B6BE8"/>
    <w:p w14:paraId="55B71029" w14:textId="77777777" w:rsidR="00551788" w:rsidRPr="00DC19D6" w:rsidRDefault="00551788" w:rsidP="003B6BE8">
      <w:pPr>
        <w:pStyle w:val="Puesto"/>
      </w:pPr>
      <w:r w:rsidRPr="00DC19D6">
        <w:rPr>
          <w:b/>
        </w:rPr>
        <w:t>XXI.</w:t>
      </w:r>
      <w:r w:rsidRPr="00DC19D6">
        <w:t xml:space="preserve"> </w:t>
      </w:r>
      <w:r w:rsidRPr="00DC19D6">
        <w:rPr>
          <w:b/>
        </w:rPr>
        <w:t>Información confidencial</w:t>
      </w:r>
      <w:r w:rsidRPr="00DC19D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F3E2D0" w14:textId="77777777" w:rsidR="00551788" w:rsidRPr="00DC19D6" w:rsidRDefault="00551788" w:rsidP="003B6BE8"/>
    <w:p w14:paraId="29513150" w14:textId="77777777" w:rsidR="00551788" w:rsidRPr="00DC19D6" w:rsidRDefault="00551788" w:rsidP="003B6BE8">
      <w:pPr>
        <w:pStyle w:val="Puesto"/>
      </w:pPr>
      <w:r w:rsidRPr="00DC19D6">
        <w:rPr>
          <w:b/>
        </w:rPr>
        <w:t>XLV. Versión pública:</w:t>
      </w:r>
      <w:r w:rsidRPr="00DC19D6">
        <w:t xml:space="preserve"> Documento en el que se elimine, suprime o borra la información clasificada como reservada o confidencial para permitir su acceso. </w:t>
      </w:r>
    </w:p>
    <w:p w14:paraId="2ADD8555" w14:textId="77777777" w:rsidR="00551788" w:rsidRPr="00DC19D6" w:rsidRDefault="00551788" w:rsidP="003B6BE8"/>
    <w:p w14:paraId="0F50DB5C" w14:textId="77777777" w:rsidR="00551788" w:rsidRPr="00DC19D6" w:rsidRDefault="00551788" w:rsidP="003B6BE8">
      <w:pPr>
        <w:pStyle w:val="Puesto"/>
      </w:pPr>
      <w:r w:rsidRPr="00DC19D6">
        <w:rPr>
          <w:b/>
        </w:rPr>
        <w:t>Artículo 51.</w:t>
      </w:r>
      <w:r w:rsidRPr="00DC19D6">
        <w:t xml:space="preserve"> Los sujetos obligados designaran a un responsable para atender la Unidad de Transparencia, quien fungirá como enlace entre éstos y los solicitantes. Dicha Unidad será la encargada de tramitar internamente la solicitud de información </w:t>
      </w:r>
      <w:r w:rsidRPr="00DC19D6">
        <w:rPr>
          <w:b/>
        </w:rPr>
        <w:t xml:space="preserve">y tendrá la responsabilidad de verificar en cada caso que la misma no sea confidencial o reservada. </w:t>
      </w:r>
      <w:r w:rsidRPr="00DC19D6">
        <w:t>Dicha Unidad contará con las facultades internas necesarias para gestionar la atención a las solicitudes de información en los términos de la Ley General y la presente Ley.</w:t>
      </w:r>
    </w:p>
    <w:p w14:paraId="2BFC04DB" w14:textId="77777777" w:rsidR="00551788" w:rsidRPr="00DC19D6" w:rsidRDefault="00551788" w:rsidP="003B6BE8"/>
    <w:p w14:paraId="7E531461" w14:textId="77777777" w:rsidR="00551788" w:rsidRPr="00DC19D6" w:rsidRDefault="00551788" w:rsidP="003B6BE8">
      <w:pPr>
        <w:pStyle w:val="Puesto"/>
      </w:pPr>
      <w:r w:rsidRPr="00DC19D6">
        <w:rPr>
          <w:b/>
        </w:rPr>
        <w:lastRenderedPageBreak/>
        <w:t>Artículo 52.</w:t>
      </w:r>
      <w:r w:rsidRPr="00DC19D6">
        <w:t xml:space="preserve"> Las solicitudes de acceso a la información y las respuestas que se les dé, incluyendo, en su caso, </w:t>
      </w:r>
      <w:r w:rsidRPr="00DC19D6">
        <w:rPr>
          <w:u w:val="single"/>
        </w:rPr>
        <w:t>la información entregada, así como las resoluciones a los recursos que en su caso se promuevan serán públicas, y de ser el caso que contenga datos personales que deban ser protegidos se podrá dar su acceso en su versión pública</w:t>
      </w:r>
      <w:r w:rsidRPr="00DC19D6">
        <w:t xml:space="preserve">, siempre y cuando la resolución de referencia se someta a un proceso de disociación, es decir, no haga identificable al titular de tales datos personales.” </w:t>
      </w:r>
      <w:r w:rsidRPr="00DC19D6">
        <w:rPr>
          <w:i w:val="0"/>
        </w:rPr>
        <w:t>(Énfasis añadido)</w:t>
      </w:r>
    </w:p>
    <w:p w14:paraId="5441D0BD" w14:textId="77777777" w:rsidR="00551788" w:rsidRPr="00DC19D6" w:rsidRDefault="00551788" w:rsidP="00551788"/>
    <w:p w14:paraId="7BF1B41B" w14:textId="77777777" w:rsidR="00551788" w:rsidRPr="00DC19D6" w:rsidRDefault="00551788" w:rsidP="00551788">
      <w:r w:rsidRPr="00DC19D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2975AA9" w14:textId="77777777" w:rsidR="00551788" w:rsidRPr="00DC19D6" w:rsidRDefault="00551788" w:rsidP="00551788"/>
    <w:p w14:paraId="037DB9C6" w14:textId="77777777" w:rsidR="00551788" w:rsidRPr="00DC19D6" w:rsidRDefault="00551788" w:rsidP="00551788">
      <w:pPr>
        <w:pStyle w:val="Puesto"/>
      </w:pPr>
      <w:r w:rsidRPr="00DC19D6">
        <w:rPr>
          <w:b/>
        </w:rPr>
        <w:t>“Artículo 22.</w:t>
      </w:r>
      <w:r w:rsidRPr="00DC19D6">
        <w:t xml:space="preserve"> Todo tratamiento de datos personales que efectúe el responsable deberá estar justificado por finalidades concretas, lícitas, explícitas y legítimas, relacionadas con las atribuciones que la normatividad aplicable les confiera. </w:t>
      </w:r>
    </w:p>
    <w:p w14:paraId="094C9323" w14:textId="77777777" w:rsidR="00551788" w:rsidRPr="00DC19D6" w:rsidRDefault="00551788" w:rsidP="00551788"/>
    <w:p w14:paraId="59B564A5" w14:textId="77777777" w:rsidR="00551788" w:rsidRPr="00DC19D6" w:rsidRDefault="00551788" w:rsidP="00551788">
      <w:pPr>
        <w:pStyle w:val="Puesto"/>
      </w:pPr>
      <w:r w:rsidRPr="00DC19D6">
        <w:rPr>
          <w:b/>
        </w:rPr>
        <w:t>Artículo 38.</w:t>
      </w:r>
      <w:r w:rsidRPr="00DC19D6">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C19D6">
        <w:rPr>
          <w:b/>
        </w:rPr>
        <w:t>”</w:t>
      </w:r>
      <w:r w:rsidRPr="00DC19D6">
        <w:t xml:space="preserve"> </w:t>
      </w:r>
    </w:p>
    <w:p w14:paraId="1EE2EEB4" w14:textId="77777777" w:rsidR="00551788" w:rsidRPr="00DC19D6" w:rsidRDefault="00551788" w:rsidP="00551788">
      <w:pPr>
        <w:rPr>
          <w:i/>
        </w:rPr>
      </w:pPr>
    </w:p>
    <w:p w14:paraId="02EC3D65" w14:textId="77777777" w:rsidR="00551788" w:rsidRPr="00DC19D6" w:rsidRDefault="00551788" w:rsidP="00551788">
      <w:r w:rsidRPr="00DC19D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DC19D6">
        <w:lastRenderedPageBreak/>
        <w:t xml:space="preserve">particulares toda vez que ésta tiene por objeto proteger datos personales, entendiéndose por tales, aquéllos que hacen identificable a una persona. </w:t>
      </w:r>
    </w:p>
    <w:p w14:paraId="3BFC028A" w14:textId="77777777" w:rsidR="00551788" w:rsidRPr="00DC19D6" w:rsidRDefault="00551788" w:rsidP="00551788"/>
    <w:p w14:paraId="4DFA407A" w14:textId="77777777" w:rsidR="00551788" w:rsidRPr="00DC19D6" w:rsidRDefault="00551788" w:rsidP="00551788">
      <w:r w:rsidRPr="00DC19D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C19D6">
        <w:rPr>
          <w:b/>
        </w:rPr>
        <w:t>EL SUJETO OBLIGADO,</w:t>
      </w:r>
      <w:r w:rsidRPr="00DC19D6">
        <w:t xml:space="preserve"> por lo que, todo dato personal susceptible de clasificación debe ser protegido.</w:t>
      </w:r>
    </w:p>
    <w:p w14:paraId="148858B9" w14:textId="77777777" w:rsidR="00551788" w:rsidRPr="00DC19D6" w:rsidRDefault="00551788" w:rsidP="00551788"/>
    <w:p w14:paraId="4DC060DC" w14:textId="77777777" w:rsidR="00551788" w:rsidRPr="00DC19D6" w:rsidRDefault="00551788" w:rsidP="00551788">
      <w:r w:rsidRPr="00DC19D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850C5D7" w14:textId="77777777" w:rsidR="00551788" w:rsidRPr="00DC19D6" w:rsidRDefault="00551788" w:rsidP="00551788"/>
    <w:p w14:paraId="7DC2B4D9" w14:textId="77777777" w:rsidR="00551788" w:rsidRPr="00DC19D6" w:rsidRDefault="00551788" w:rsidP="00551788">
      <w:r w:rsidRPr="00DC19D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1A0F0AE" w14:textId="77777777" w:rsidR="00551788" w:rsidRPr="00DC19D6" w:rsidRDefault="00551788" w:rsidP="00551788"/>
    <w:p w14:paraId="063E02D4" w14:textId="77777777" w:rsidR="00551788" w:rsidRPr="00DC19D6" w:rsidRDefault="00551788" w:rsidP="00551788">
      <w:pPr>
        <w:ind w:left="567" w:right="539"/>
        <w:jc w:val="center"/>
        <w:rPr>
          <w:b/>
          <w:i/>
        </w:rPr>
      </w:pPr>
      <w:r w:rsidRPr="00DC19D6">
        <w:rPr>
          <w:b/>
          <w:i/>
        </w:rPr>
        <w:lastRenderedPageBreak/>
        <w:t>Ley de Transparencia y Acceso a la Información Pública del Estado de México y Municipios</w:t>
      </w:r>
    </w:p>
    <w:p w14:paraId="13FF3AA9" w14:textId="77777777" w:rsidR="00551788" w:rsidRPr="00DC19D6" w:rsidRDefault="00551788" w:rsidP="00551788">
      <w:pPr>
        <w:ind w:left="567" w:right="539"/>
      </w:pPr>
    </w:p>
    <w:p w14:paraId="417A2F59" w14:textId="77777777" w:rsidR="00551788" w:rsidRPr="00DC19D6" w:rsidRDefault="00551788" w:rsidP="00551788">
      <w:pPr>
        <w:pStyle w:val="Puesto"/>
        <w:ind w:right="539"/>
      </w:pPr>
      <w:r w:rsidRPr="00DC19D6">
        <w:rPr>
          <w:b/>
        </w:rPr>
        <w:t xml:space="preserve">“Artículo 49. </w:t>
      </w:r>
      <w:r w:rsidRPr="00DC19D6">
        <w:t>Los Comités de Transparencia tendrán las siguientes atribuciones:</w:t>
      </w:r>
    </w:p>
    <w:p w14:paraId="07774DE4" w14:textId="77777777" w:rsidR="00551788" w:rsidRPr="00DC19D6" w:rsidRDefault="00551788" w:rsidP="00551788">
      <w:pPr>
        <w:pStyle w:val="Puesto"/>
        <w:ind w:right="539"/>
      </w:pPr>
      <w:r w:rsidRPr="00DC19D6">
        <w:rPr>
          <w:b/>
        </w:rPr>
        <w:t>VIII.</w:t>
      </w:r>
      <w:r w:rsidRPr="00DC19D6">
        <w:t xml:space="preserve"> Aprobar, modificar o revocar la clasificación de la información;</w:t>
      </w:r>
    </w:p>
    <w:p w14:paraId="06F3CE2B" w14:textId="77777777" w:rsidR="00551788" w:rsidRPr="00DC19D6" w:rsidRDefault="00551788" w:rsidP="00551788">
      <w:pPr>
        <w:ind w:left="567" w:right="539"/>
      </w:pPr>
    </w:p>
    <w:p w14:paraId="5238ECC9" w14:textId="77777777" w:rsidR="00551788" w:rsidRPr="00DC19D6" w:rsidRDefault="00551788" w:rsidP="00551788">
      <w:pPr>
        <w:pStyle w:val="Puesto"/>
        <w:ind w:right="539"/>
      </w:pPr>
      <w:r w:rsidRPr="00DC19D6">
        <w:rPr>
          <w:b/>
        </w:rPr>
        <w:t>Artículo 132.</w:t>
      </w:r>
      <w:r w:rsidRPr="00DC19D6">
        <w:t xml:space="preserve"> La clasificación de la información se llevará a cabo en el momento en que:</w:t>
      </w:r>
    </w:p>
    <w:p w14:paraId="6CE0B874" w14:textId="77777777" w:rsidR="00551788" w:rsidRPr="00DC19D6" w:rsidRDefault="00551788" w:rsidP="00551788">
      <w:pPr>
        <w:pStyle w:val="Puesto"/>
        <w:ind w:right="539"/>
      </w:pPr>
      <w:r w:rsidRPr="00DC19D6">
        <w:rPr>
          <w:b/>
        </w:rPr>
        <w:t>I.</w:t>
      </w:r>
      <w:r w:rsidRPr="00DC19D6">
        <w:t xml:space="preserve"> Se reciba una solicitud de acceso a la información;</w:t>
      </w:r>
    </w:p>
    <w:p w14:paraId="04112764" w14:textId="77777777" w:rsidR="00551788" w:rsidRPr="00DC19D6" w:rsidRDefault="00551788" w:rsidP="00551788">
      <w:pPr>
        <w:pStyle w:val="Puesto"/>
        <w:ind w:right="539"/>
      </w:pPr>
      <w:r w:rsidRPr="00DC19D6">
        <w:rPr>
          <w:b/>
        </w:rPr>
        <w:t>II.</w:t>
      </w:r>
      <w:r w:rsidRPr="00DC19D6">
        <w:t xml:space="preserve"> Se determine mediante resolución de autoridad competente; o</w:t>
      </w:r>
    </w:p>
    <w:p w14:paraId="2120D483" w14:textId="77777777" w:rsidR="00551788" w:rsidRPr="00DC19D6" w:rsidRDefault="00551788" w:rsidP="00551788">
      <w:pPr>
        <w:pStyle w:val="Puesto"/>
        <w:ind w:right="539"/>
        <w:rPr>
          <w:b/>
        </w:rPr>
      </w:pPr>
      <w:r w:rsidRPr="00DC19D6">
        <w:rPr>
          <w:b/>
        </w:rPr>
        <w:t>III.</w:t>
      </w:r>
      <w:r w:rsidRPr="00DC19D6">
        <w:t xml:space="preserve"> Se generen versiones públicas para dar cumplimiento a las obligaciones de transparencia previstas en esta Ley.</w:t>
      </w:r>
      <w:r w:rsidRPr="00DC19D6">
        <w:rPr>
          <w:b/>
        </w:rPr>
        <w:t>”</w:t>
      </w:r>
    </w:p>
    <w:p w14:paraId="03856D60" w14:textId="77777777" w:rsidR="00551788" w:rsidRPr="00DC19D6" w:rsidRDefault="00551788" w:rsidP="00551788">
      <w:pPr>
        <w:ind w:left="567" w:right="539"/>
      </w:pPr>
    </w:p>
    <w:p w14:paraId="30C1AFCD" w14:textId="77777777" w:rsidR="00551788" w:rsidRPr="00DC19D6" w:rsidRDefault="00551788" w:rsidP="00551788">
      <w:pPr>
        <w:pStyle w:val="Puesto"/>
        <w:ind w:right="539"/>
      </w:pPr>
      <w:r w:rsidRPr="00DC19D6">
        <w:rPr>
          <w:b/>
        </w:rPr>
        <w:t>“Segundo. -</w:t>
      </w:r>
      <w:r w:rsidRPr="00DC19D6">
        <w:t xml:space="preserve"> Para efectos de los presentes Lineamientos Generales, se entenderá por:</w:t>
      </w:r>
    </w:p>
    <w:p w14:paraId="11822098" w14:textId="77777777" w:rsidR="00551788" w:rsidRPr="00DC19D6" w:rsidRDefault="00551788" w:rsidP="00551788">
      <w:pPr>
        <w:pStyle w:val="Puesto"/>
        <w:ind w:right="539"/>
      </w:pPr>
      <w:r w:rsidRPr="00DC19D6">
        <w:rPr>
          <w:b/>
        </w:rPr>
        <w:t>XVIII.</w:t>
      </w:r>
      <w:r w:rsidRPr="00DC19D6">
        <w:t xml:space="preserve">  </w:t>
      </w:r>
      <w:r w:rsidRPr="00DC19D6">
        <w:rPr>
          <w:b/>
        </w:rPr>
        <w:t>Versión pública:</w:t>
      </w:r>
      <w:r w:rsidRPr="00DC19D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2927E2" w14:textId="77777777" w:rsidR="00551788" w:rsidRPr="00DC19D6" w:rsidRDefault="00551788" w:rsidP="00551788">
      <w:pPr>
        <w:pStyle w:val="Puesto"/>
        <w:ind w:right="539"/>
      </w:pPr>
    </w:p>
    <w:p w14:paraId="6DEBD992" w14:textId="77777777" w:rsidR="00551788" w:rsidRPr="00DC19D6" w:rsidRDefault="00551788" w:rsidP="00551788">
      <w:pPr>
        <w:pStyle w:val="Puesto"/>
        <w:ind w:right="539"/>
        <w:jc w:val="center"/>
        <w:rPr>
          <w:b/>
        </w:rPr>
      </w:pPr>
      <w:r w:rsidRPr="00DC19D6">
        <w:rPr>
          <w:b/>
        </w:rPr>
        <w:t>Lineamientos Generales en materia de Clasificación y Desclasificación de la Información</w:t>
      </w:r>
    </w:p>
    <w:p w14:paraId="0C06B964" w14:textId="77777777" w:rsidR="00551788" w:rsidRPr="00DC19D6" w:rsidRDefault="00551788" w:rsidP="00551788">
      <w:pPr>
        <w:pStyle w:val="Puesto"/>
        <w:ind w:right="539"/>
      </w:pPr>
    </w:p>
    <w:p w14:paraId="7902F4D6" w14:textId="77777777" w:rsidR="00551788" w:rsidRPr="00DC19D6" w:rsidRDefault="00551788" w:rsidP="00551788">
      <w:pPr>
        <w:pStyle w:val="Puesto"/>
        <w:ind w:right="539"/>
      </w:pPr>
      <w:r w:rsidRPr="00DC19D6">
        <w:rPr>
          <w:b/>
        </w:rPr>
        <w:t>Cuarto.</w:t>
      </w:r>
      <w:r w:rsidRPr="00DC19D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177A8D6" w14:textId="77777777" w:rsidR="00551788" w:rsidRPr="00DC19D6" w:rsidRDefault="00551788" w:rsidP="00551788">
      <w:pPr>
        <w:pStyle w:val="Puesto"/>
        <w:ind w:right="539"/>
      </w:pPr>
      <w:r w:rsidRPr="00DC19D6">
        <w:t>Los sujetos obligados deberán aplicar, de manera estricta, las excepciones al derecho de acceso a la información y sólo podrán invocarlas cuando acrediten su procedencia.</w:t>
      </w:r>
    </w:p>
    <w:p w14:paraId="6694CD37" w14:textId="77777777" w:rsidR="00551788" w:rsidRPr="00DC19D6" w:rsidRDefault="00551788" w:rsidP="00551788">
      <w:pPr>
        <w:ind w:left="567" w:right="539"/>
      </w:pPr>
    </w:p>
    <w:p w14:paraId="7591AF04" w14:textId="77777777" w:rsidR="00551788" w:rsidRPr="00DC19D6" w:rsidRDefault="00551788" w:rsidP="00551788">
      <w:pPr>
        <w:pStyle w:val="Puesto"/>
        <w:ind w:right="539"/>
      </w:pPr>
      <w:r w:rsidRPr="00DC19D6">
        <w:rPr>
          <w:b/>
        </w:rPr>
        <w:t>Quinto.</w:t>
      </w:r>
      <w:r w:rsidRPr="00DC19D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DC19D6">
        <w:lastRenderedPageBreak/>
        <w:t>transparencia, observando lo dispuesto en la Ley General y las demás disposiciones aplicables en la materia.</w:t>
      </w:r>
    </w:p>
    <w:p w14:paraId="70F4114E" w14:textId="77777777" w:rsidR="00551788" w:rsidRPr="00DC19D6" w:rsidRDefault="00551788" w:rsidP="00551788">
      <w:pPr>
        <w:ind w:left="567" w:right="539"/>
      </w:pPr>
    </w:p>
    <w:p w14:paraId="5E48CA0E" w14:textId="77777777" w:rsidR="00551788" w:rsidRPr="00DC19D6" w:rsidRDefault="00551788" w:rsidP="00551788">
      <w:pPr>
        <w:pStyle w:val="Puesto"/>
        <w:ind w:right="539"/>
      </w:pPr>
      <w:r w:rsidRPr="00DC19D6">
        <w:rPr>
          <w:b/>
        </w:rPr>
        <w:t>Sexto.</w:t>
      </w:r>
      <w:r w:rsidRPr="00DC19D6">
        <w:t xml:space="preserve"> Se deroga.</w:t>
      </w:r>
    </w:p>
    <w:p w14:paraId="297C6A82" w14:textId="77777777" w:rsidR="00551788" w:rsidRPr="00DC19D6" w:rsidRDefault="00551788" w:rsidP="00551788">
      <w:pPr>
        <w:ind w:left="567" w:right="539"/>
      </w:pPr>
    </w:p>
    <w:p w14:paraId="250EB487" w14:textId="77777777" w:rsidR="00551788" w:rsidRPr="00DC19D6" w:rsidRDefault="00551788" w:rsidP="00551788">
      <w:pPr>
        <w:pStyle w:val="Puesto"/>
        <w:ind w:right="539"/>
      </w:pPr>
      <w:r w:rsidRPr="00DC19D6">
        <w:rPr>
          <w:b/>
        </w:rPr>
        <w:t>Séptimo.</w:t>
      </w:r>
      <w:r w:rsidRPr="00DC19D6">
        <w:t xml:space="preserve"> La clasificación de la información se llevará a cabo en el momento en que:</w:t>
      </w:r>
    </w:p>
    <w:p w14:paraId="40305478" w14:textId="77777777" w:rsidR="00551788" w:rsidRPr="00DC19D6" w:rsidRDefault="00551788" w:rsidP="00551788">
      <w:pPr>
        <w:pStyle w:val="Puesto"/>
        <w:ind w:right="539"/>
      </w:pPr>
      <w:r w:rsidRPr="00DC19D6">
        <w:rPr>
          <w:b/>
        </w:rPr>
        <w:t>I.</w:t>
      </w:r>
      <w:r w:rsidRPr="00DC19D6">
        <w:t xml:space="preserve">        Se reciba una solicitud de acceso a la información;</w:t>
      </w:r>
    </w:p>
    <w:p w14:paraId="192546A1" w14:textId="77777777" w:rsidR="00551788" w:rsidRPr="00DC19D6" w:rsidRDefault="00551788" w:rsidP="00551788">
      <w:pPr>
        <w:pStyle w:val="Puesto"/>
        <w:ind w:right="539"/>
      </w:pPr>
      <w:r w:rsidRPr="00DC19D6">
        <w:rPr>
          <w:b/>
        </w:rPr>
        <w:t>II.</w:t>
      </w:r>
      <w:r w:rsidRPr="00DC19D6">
        <w:t xml:space="preserve">       Se determine mediante resolución del Comité de Transparencia, el órgano garante competente, o en cumplimiento a una sentencia del Poder Judicial; o</w:t>
      </w:r>
    </w:p>
    <w:p w14:paraId="46134975" w14:textId="77777777" w:rsidR="00551788" w:rsidRPr="00DC19D6" w:rsidRDefault="00551788" w:rsidP="00551788">
      <w:pPr>
        <w:pStyle w:val="Puesto"/>
        <w:ind w:right="539"/>
      </w:pPr>
      <w:r w:rsidRPr="00DC19D6">
        <w:rPr>
          <w:b/>
        </w:rPr>
        <w:t>III.</w:t>
      </w:r>
      <w:r w:rsidRPr="00DC19D6">
        <w:t xml:space="preserve">      Se generen versiones públicas para dar cumplimiento a las obligaciones de transparencia previstas en la Ley General, la Ley Federal y las correspondientes de las entidades federativas.</w:t>
      </w:r>
    </w:p>
    <w:p w14:paraId="6CF5E578" w14:textId="77777777" w:rsidR="00551788" w:rsidRPr="00DC19D6" w:rsidRDefault="00551788" w:rsidP="00551788">
      <w:pPr>
        <w:pStyle w:val="Puesto"/>
        <w:ind w:right="539"/>
      </w:pPr>
      <w:r w:rsidRPr="00DC19D6">
        <w:t xml:space="preserve">Los titulares de las áreas deberán revisar la información requerida al momento de la recepción de una solicitud de acceso, para verificar, conforme a su naturaleza, si encuadra en una causal de reserva o de confidencialidad. </w:t>
      </w:r>
    </w:p>
    <w:p w14:paraId="30710FE0" w14:textId="77777777" w:rsidR="00551788" w:rsidRPr="00DC19D6" w:rsidRDefault="00551788" w:rsidP="00551788">
      <w:pPr>
        <w:ind w:left="567" w:right="539"/>
      </w:pPr>
    </w:p>
    <w:p w14:paraId="7C7AD1C6" w14:textId="77777777" w:rsidR="00551788" w:rsidRPr="00DC19D6" w:rsidRDefault="00551788" w:rsidP="00551788">
      <w:pPr>
        <w:pStyle w:val="Puesto"/>
        <w:ind w:right="539"/>
      </w:pPr>
      <w:r w:rsidRPr="00DC19D6">
        <w:rPr>
          <w:b/>
        </w:rPr>
        <w:t>Octavo.</w:t>
      </w:r>
      <w:r w:rsidRPr="00DC19D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ECE8B20" w14:textId="77777777" w:rsidR="00551788" w:rsidRPr="00DC19D6" w:rsidRDefault="00551788" w:rsidP="00551788">
      <w:pPr>
        <w:pStyle w:val="Puesto"/>
        <w:ind w:right="539"/>
      </w:pPr>
    </w:p>
    <w:p w14:paraId="24BBF736" w14:textId="77777777" w:rsidR="00551788" w:rsidRPr="00DC19D6" w:rsidRDefault="00551788" w:rsidP="00551788">
      <w:pPr>
        <w:pStyle w:val="Puesto"/>
        <w:ind w:right="539"/>
      </w:pPr>
      <w:r w:rsidRPr="00DC19D6">
        <w:t>Para motivar la clasificación se deberán señalar las razones o circunstancias especiales que lo llevaron a concluir que el caso particular se ajusta al supuesto previsto por la norma legal invocada como fundamento.</w:t>
      </w:r>
    </w:p>
    <w:p w14:paraId="5A078904" w14:textId="77777777" w:rsidR="00551788" w:rsidRPr="00DC19D6" w:rsidRDefault="00551788" w:rsidP="00551788">
      <w:pPr>
        <w:pStyle w:val="Puesto"/>
        <w:ind w:right="539"/>
      </w:pPr>
    </w:p>
    <w:p w14:paraId="6E203358" w14:textId="77777777" w:rsidR="00551788" w:rsidRPr="00DC19D6" w:rsidRDefault="00551788" w:rsidP="00551788">
      <w:pPr>
        <w:pStyle w:val="Puesto"/>
        <w:ind w:right="539"/>
      </w:pPr>
      <w:r w:rsidRPr="00DC19D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45EAF74" w14:textId="77777777" w:rsidR="00551788" w:rsidRPr="00DC19D6" w:rsidRDefault="00551788" w:rsidP="00551788">
      <w:pPr>
        <w:ind w:left="567" w:right="539"/>
      </w:pPr>
    </w:p>
    <w:p w14:paraId="1F7DD1FB" w14:textId="77777777" w:rsidR="00551788" w:rsidRPr="00DC19D6" w:rsidRDefault="00551788" w:rsidP="00551788">
      <w:pPr>
        <w:pStyle w:val="Puesto"/>
        <w:ind w:right="539"/>
      </w:pPr>
      <w:r w:rsidRPr="00DC19D6">
        <w:rPr>
          <w:b/>
        </w:rPr>
        <w:t>Noveno.</w:t>
      </w:r>
      <w:r w:rsidRPr="00DC19D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ED3FAF" w14:textId="77777777" w:rsidR="00551788" w:rsidRPr="00DC19D6" w:rsidRDefault="00551788" w:rsidP="00551788">
      <w:pPr>
        <w:pStyle w:val="Puesto"/>
        <w:ind w:right="539"/>
        <w:rPr>
          <w:b/>
        </w:rPr>
      </w:pPr>
    </w:p>
    <w:p w14:paraId="00B0EA94" w14:textId="77777777" w:rsidR="00551788" w:rsidRPr="00DC19D6" w:rsidRDefault="00551788" w:rsidP="00551788">
      <w:pPr>
        <w:pStyle w:val="Puesto"/>
        <w:ind w:right="539"/>
      </w:pPr>
      <w:r w:rsidRPr="00DC19D6">
        <w:rPr>
          <w:b/>
        </w:rPr>
        <w:t>Décimo.</w:t>
      </w:r>
      <w:r w:rsidRPr="00DC19D6">
        <w:t xml:space="preserve"> Los titulares de las áreas, deberán tener conocimiento y llevar un registro del personal que, por la naturaleza de sus atribuciones, tenga acceso a los documentos </w:t>
      </w:r>
      <w:r w:rsidRPr="00DC19D6">
        <w:lastRenderedPageBreak/>
        <w:t>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E23E69E" w14:textId="77777777" w:rsidR="00551788" w:rsidRPr="00DC19D6" w:rsidRDefault="00551788" w:rsidP="00551788">
      <w:pPr>
        <w:pStyle w:val="Puesto"/>
        <w:ind w:right="539"/>
      </w:pPr>
    </w:p>
    <w:p w14:paraId="6252ED60" w14:textId="77777777" w:rsidR="00551788" w:rsidRPr="00DC19D6" w:rsidRDefault="00551788" w:rsidP="00551788">
      <w:pPr>
        <w:pStyle w:val="Puesto"/>
        <w:ind w:right="539"/>
      </w:pPr>
      <w:r w:rsidRPr="00DC19D6">
        <w:t>En ausencia de los titulares de las áreas, la información será clasificada o desclasificada por la persona que lo supla, en términos de la normativa que rija la actuación del sujeto obligado.</w:t>
      </w:r>
    </w:p>
    <w:p w14:paraId="22696723" w14:textId="77777777" w:rsidR="00551788" w:rsidRPr="00DC19D6" w:rsidRDefault="00551788" w:rsidP="00551788"/>
    <w:p w14:paraId="40A6710C" w14:textId="77777777" w:rsidR="00551788" w:rsidRPr="00DC19D6" w:rsidRDefault="00551788" w:rsidP="00551788">
      <w:pPr>
        <w:pStyle w:val="Puesto"/>
        <w:ind w:right="539"/>
        <w:rPr>
          <w:b/>
        </w:rPr>
      </w:pPr>
      <w:r w:rsidRPr="00DC19D6">
        <w:rPr>
          <w:b/>
        </w:rPr>
        <w:t>Décimo primero.</w:t>
      </w:r>
      <w:r w:rsidRPr="00DC19D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C19D6">
        <w:rPr>
          <w:b/>
        </w:rPr>
        <w:t>”</w:t>
      </w:r>
    </w:p>
    <w:p w14:paraId="4C4BB033" w14:textId="77777777" w:rsidR="00551788" w:rsidRPr="00DC19D6" w:rsidRDefault="00551788" w:rsidP="00551788"/>
    <w:p w14:paraId="0EB38260" w14:textId="77777777" w:rsidR="00551788" w:rsidRPr="00DC19D6" w:rsidRDefault="00551788" w:rsidP="00551788">
      <w:r w:rsidRPr="00DC19D6">
        <w:t xml:space="preserve">Consecuentemente, se destaca que la versión pública que elabore </w:t>
      </w:r>
      <w:r w:rsidRPr="00DC19D6">
        <w:rPr>
          <w:b/>
        </w:rPr>
        <w:t>EL SUJETO OBLIGADO</w:t>
      </w:r>
      <w:r w:rsidRPr="00DC19D6">
        <w:t xml:space="preserve"> debe cumplir con las formalidades exigidas en la Ley, por lo que para tal efecto emitirá el </w:t>
      </w:r>
      <w:r w:rsidRPr="00DC19D6">
        <w:rPr>
          <w:b/>
        </w:rPr>
        <w:t>Acuerdo del Comité de Transparencia</w:t>
      </w:r>
      <w:r w:rsidRPr="00DC19D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79D5B4B" w14:textId="77777777" w:rsidR="00551788" w:rsidRPr="00DC19D6" w:rsidRDefault="00551788" w:rsidP="00551788"/>
    <w:p w14:paraId="0AC40B7D" w14:textId="77777777" w:rsidR="00551788" w:rsidRPr="00DC19D6" w:rsidRDefault="00551788" w:rsidP="00551788">
      <w:r w:rsidRPr="00DC19D6">
        <w:t>Es importante señalar que, para el caso en concreto, se deben tomar en consideración los siguientes criterios respecto a la información que debe ser, o no, clasificada como confidencial:</w:t>
      </w:r>
    </w:p>
    <w:p w14:paraId="5109260F" w14:textId="77777777" w:rsidR="00551788" w:rsidRPr="00DC19D6" w:rsidRDefault="00551788" w:rsidP="00551788"/>
    <w:p w14:paraId="03592C7F" w14:textId="77777777" w:rsidR="005A4675" w:rsidRPr="00DC19D6" w:rsidRDefault="005A4675" w:rsidP="005A4675">
      <w:pPr>
        <w:numPr>
          <w:ilvl w:val="0"/>
          <w:numId w:val="15"/>
        </w:numPr>
        <w:contextualSpacing/>
        <w:rPr>
          <w:rFonts w:eastAsia="Calibri" w:cs="Tahoma"/>
          <w:b/>
          <w:bCs/>
        </w:rPr>
      </w:pPr>
      <w:r w:rsidRPr="00DC19D6">
        <w:rPr>
          <w:rFonts w:eastAsia="Calibri" w:cs="Tahoma"/>
          <w:b/>
          <w:bCs/>
        </w:rPr>
        <w:t>Domicilio Particular.</w:t>
      </w:r>
    </w:p>
    <w:p w14:paraId="0F0CBEBC" w14:textId="77777777" w:rsidR="005A4675" w:rsidRPr="00DC19D6" w:rsidRDefault="005A4675" w:rsidP="005A4675">
      <w:pPr>
        <w:contextualSpacing/>
        <w:rPr>
          <w:rFonts w:eastAsia="Calibri" w:cs="Tahoma"/>
          <w:b/>
          <w:bCs/>
        </w:rPr>
      </w:pPr>
    </w:p>
    <w:p w14:paraId="76FDE76B" w14:textId="77777777" w:rsidR="005A4675" w:rsidRPr="00DC19D6" w:rsidRDefault="005A4675" w:rsidP="005A4675">
      <w:pPr>
        <w:ind w:right="-93"/>
        <w:rPr>
          <w:rFonts w:cs="Tahoma"/>
          <w:lang w:val="es-ES"/>
        </w:rPr>
      </w:pPr>
      <w:r w:rsidRPr="00DC19D6">
        <w:rPr>
          <w:rFonts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21684BB5" w14:textId="77777777" w:rsidR="000E047B" w:rsidRPr="00DC19D6" w:rsidRDefault="000E047B" w:rsidP="005A4675">
      <w:pPr>
        <w:ind w:right="-93"/>
        <w:rPr>
          <w:rFonts w:cs="Tahoma"/>
          <w:lang w:val="es-ES"/>
        </w:rPr>
      </w:pPr>
    </w:p>
    <w:p w14:paraId="05A3EBC3" w14:textId="77777777" w:rsidR="005A4675" w:rsidRPr="00DC19D6" w:rsidRDefault="005A4675" w:rsidP="005A4675">
      <w:pPr>
        <w:ind w:right="-93"/>
        <w:rPr>
          <w:rFonts w:cs="Tahoma"/>
          <w:b/>
          <w:lang w:val="es-ES"/>
        </w:rPr>
      </w:pPr>
      <w:r w:rsidRPr="00DC19D6">
        <w:rPr>
          <w:rFonts w:cs="Tahoma"/>
          <w:lang w:val="es-ES"/>
        </w:rPr>
        <w:t>De la misma manera, lo establece el artículo 29 del Código Civil Federal, al precisar que el domicilio de personas físicas</w:t>
      </w:r>
      <w:r w:rsidRPr="00DC19D6">
        <w:rPr>
          <w:rFonts w:cs="Tahoma"/>
          <w:b/>
          <w:lang w:val="es-ES"/>
        </w:rPr>
        <w:t>, es el lugar donde residen habitualmente, el lugar del centro principal de sus negocios, donde residan o el lugar donde se encuentren.</w:t>
      </w:r>
    </w:p>
    <w:p w14:paraId="6938B390" w14:textId="77777777" w:rsidR="005A4675" w:rsidRPr="00DC19D6" w:rsidRDefault="005A4675" w:rsidP="005A4675">
      <w:pPr>
        <w:ind w:right="-93"/>
        <w:rPr>
          <w:rFonts w:cs="Tahoma"/>
          <w:lang w:val="es-ES"/>
        </w:rPr>
      </w:pPr>
    </w:p>
    <w:p w14:paraId="7C983CED" w14:textId="77777777" w:rsidR="005A4675" w:rsidRPr="00DC19D6" w:rsidRDefault="005A4675" w:rsidP="005A4675">
      <w:pPr>
        <w:ind w:right="-93"/>
        <w:rPr>
          <w:rFonts w:cs="Tahoma"/>
          <w:lang w:val="es-ES"/>
        </w:rPr>
      </w:pPr>
      <w:r w:rsidRPr="00DC19D6">
        <w:rPr>
          <w:rFonts w:cs="Tahoma"/>
          <w:lang w:val="es-E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77664CED" w14:textId="77777777" w:rsidR="005A4675" w:rsidRPr="00DC19D6" w:rsidRDefault="005A4675" w:rsidP="005A4675">
      <w:pPr>
        <w:rPr>
          <w:rFonts w:cs="Tahoma"/>
          <w:b/>
        </w:rPr>
      </w:pPr>
    </w:p>
    <w:p w14:paraId="2AA2119E" w14:textId="77777777" w:rsidR="005A4675" w:rsidRPr="00DC19D6" w:rsidRDefault="005A4675" w:rsidP="005A4675">
      <w:pPr>
        <w:numPr>
          <w:ilvl w:val="0"/>
          <w:numId w:val="16"/>
        </w:numPr>
        <w:shd w:val="clear" w:color="auto" w:fill="FFFFFF" w:themeFill="background1"/>
        <w:contextualSpacing/>
        <w:rPr>
          <w:rFonts w:cs="Tahoma"/>
          <w:b/>
          <w:lang w:eastAsia="es-MX"/>
        </w:rPr>
      </w:pPr>
      <w:r w:rsidRPr="00DC19D6">
        <w:rPr>
          <w:rFonts w:cs="Tahoma"/>
          <w:b/>
        </w:rPr>
        <w:t>Clave de seguridad social ISSEMYM.</w:t>
      </w:r>
    </w:p>
    <w:p w14:paraId="268A9512" w14:textId="77777777" w:rsidR="005A4675" w:rsidRPr="00DC19D6" w:rsidRDefault="005A4675" w:rsidP="005A4675">
      <w:pPr>
        <w:shd w:val="clear" w:color="auto" w:fill="FFFFFF" w:themeFill="background1"/>
        <w:ind w:left="720"/>
        <w:contextualSpacing/>
        <w:rPr>
          <w:rFonts w:cs="Tahoma"/>
          <w:lang w:eastAsia="es-MX"/>
        </w:rPr>
      </w:pPr>
    </w:p>
    <w:p w14:paraId="2D858FA2" w14:textId="77777777" w:rsidR="005A4675" w:rsidRPr="00DC19D6" w:rsidRDefault="005A4675" w:rsidP="005A4675">
      <w:pPr>
        <w:shd w:val="clear" w:color="auto" w:fill="FFFFFF" w:themeFill="background1"/>
        <w:rPr>
          <w:rFonts w:cs="Tahoma"/>
          <w:lang w:eastAsia="es-MX"/>
        </w:rPr>
      </w:pPr>
      <w:r w:rsidRPr="00DC19D6">
        <w:rPr>
          <w:rFonts w:cs="Tahoma"/>
          <w:lang w:eastAsia="es-MX"/>
        </w:rPr>
        <w:t xml:space="preserve">El Instituto de Seguridad Social del Estado de México y Municipios (ISSEMYM) es el organismo público encargado de proporcionar los servicios de seguridad social a los </w:t>
      </w:r>
      <w:r w:rsidRPr="00DC19D6">
        <w:rPr>
          <w:rFonts w:cs="Tahoma"/>
          <w:lang w:eastAsia="es-MX"/>
        </w:rPr>
        <w:lastRenderedPageBreak/>
        <w:t>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7E40740" w14:textId="77777777" w:rsidR="005A4675" w:rsidRPr="00DC19D6" w:rsidRDefault="005A4675" w:rsidP="005A4675">
      <w:pPr>
        <w:shd w:val="clear" w:color="auto" w:fill="FFFFFF" w:themeFill="background1"/>
        <w:rPr>
          <w:rFonts w:cs="Tahoma"/>
          <w:lang w:eastAsia="es-MX"/>
        </w:rPr>
      </w:pPr>
    </w:p>
    <w:p w14:paraId="01F71472" w14:textId="77777777" w:rsidR="005A4675" w:rsidRPr="00DC19D6" w:rsidRDefault="005A4675" w:rsidP="005A4675">
      <w:pPr>
        <w:shd w:val="clear" w:color="auto" w:fill="FFFFFF" w:themeFill="background1"/>
        <w:rPr>
          <w:rFonts w:cs="Tahoma"/>
          <w:b/>
          <w:lang w:eastAsia="es-MX"/>
        </w:rPr>
      </w:pPr>
      <w:r w:rsidRPr="00DC19D6">
        <w:rPr>
          <w:rFonts w:cs="Tahoma"/>
          <w:lang w:eastAsia="es-MX"/>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DC19D6">
        <w:rPr>
          <w:rFonts w:cs="Tahoma"/>
          <w:b/>
          <w:lang w:eastAsia="es-MX"/>
        </w:rPr>
        <w:t>se le asigna una clave para hacer identificable al trabajador con el objetivo de poder proporcionar los servicios que brinda el ISSEMYM.</w:t>
      </w:r>
    </w:p>
    <w:p w14:paraId="7ED805FE" w14:textId="77777777" w:rsidR="005A4675" w:rsidRPr="00DC19D6" w:rsidRDefault="005A4675" w:rsidP="005A4675">
      <w:pPr>
        <w:shd w:val="clear" w:color="auto" w:fill="FFFFFF" w:themeFill="background1"/>
        <w:ind w:left="720"/>
        <w:contextualSpacing/>
        <w:rPr>
          <w:rFonts w:cs="Tahoma"/>
          <w:lang w:eastAsia="es-MX"/>
        </w:rPr>
      </w:pPr>
    </w:p>
    <w:p w14:paraId="406AE467" w14:textId="77777777" w:rsidR="005A4675" w:rsidRPr="00DC19D6" w:rsidRDefault="005A4675" w:rsidP="005A4675">
      <w:pPr>
        <w:shd w:val="clear" w:color="auto" w:fill="FFFFFF" w:themeFill="background1"/>
        <w:contextualSpacing/>
        <w:rPr>
          <w:rFonts w:cs="Tahoma"/>
          <w:lang w:eastAsia="es-MX"/>
        </w:rPr>
      </w:pPr>
      <w:r w:rsidRPr="00DC19D6">
        <w:rPr>
          <w:rFonts w:cs="Tahoma"/>
          <w:lang w:eastAsia="es-MX"/>
        </w:rPr>
        <w:t>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5FC90906" w14:textId="77777777" w:rsidR="005A4675" w:rsidRPr="00DC19D6" w:rsidRDefault="005A4675" w:rsidP="005A4675">
      <w:pPr>
        <w:shd w:val="clear" w:color="auto" w:fill="FFFFFF" w:themeFill="background1"/>
        <w:contextualSpacing/>
        <w:rPr>
          <w:rFonts w:cs="Tahoma"/>
          <w:lang w:eastAsia="es-MX"/>
        </w:rPr>
      </w:pPr>
    </w:p>
    <w:p w14:paraId="3E6C2191" w14:textId="77777777" w:rsidR="005A4675" w:rsidRPr="00DC19D6" w:rsidRDefault="005A4675" w:rsidP="005A4675">
      <w:pPr>
        <w:shd w:val="clear" w:color="auto" w:fill="FFFFFF" w:themeFill="background1"/>
        <w:contextualSpacing/>
        <w:rPr>
          <w:rFonts w:cs="Tahoma"/>
          <w:b/>
          <w:lang w:eastAsia="es-MX"/>
        </w:rPr>
      </w:pPr>
      <w:r w:rsidRPr="00DC19D6">
        <w:rPr>
          <w:rFonts w:cs="Tahoma"/>
          <w:lang w:eastAsia="es-MX"/>
        </w:rPr>
        <w:t xml:space="preserve">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w:t>
      </w:r>
      <w:r w:rsidRPr="00DC19D6">
        <w:rPr>
          <w:rFonts w:cs="Tahoma"/>
          <w:b/>
          <w:lang w:eastAsia="es-MX"/>
        </w:rPr>
        <w:t>toda vez que actualiza el supuesto de confidencialidad del artículo 143, fracción I de la Ley de Transparencia y Acceso a la Información Pública del Estado de México y Municipios.</w:t>
      </w:r>
    </w:p>
    <w:p w14:paraId="55509137" w14:textId="77777777" w:rsidR="005A4675" w:rsidRPr="00DC19D6" w:rsidRDefault="005A4675" w:rsidP="005A4675">
      <w:pPr>
        <w:rPr>
          <w:rFonts w:cs="Tahoma"/>
          <w:b/>
        </w:rPr>
      </w:pPr>
    </w:p>
    <w:p w14:paraId="0EDFC725" w14:textId="77777777" w:rsidR="005A4675" w:rsidRPr="00DC19D6" w:rsidRDefault="005A4675" w:rsidP="005A4675">
      <w:pPr>
        <w:numPr>
          <w:ilvl w:val="0"/>
          <w:numId w:val="17"/>
        </w:numPr>
        <w:contextualSpacing/>
        <w:rPr>
          <w:rFonts w:cs="Tahoma"/>
          <w:bCs/>
          <w:iCs/>
        </w:rPr>
      </w:pPr>
      <w:r w:rsidRPr="00DC19D6">
        <w:rPr>
          <w:rFonts w:cs="Tahoma"/>
          <w:b/>
          <w:bCs/>
          <w:iCs/>
        </w:rPr>
        <w:t>Registro Federal de Contribuyentes (RFC) de personas físicas</w:t>
      </w:r>
      <w:r w:rsidRPr="00DC19D6">
        <w:rPr>
          <w:rFonts w:cs="Tahoma"/>
          <w:bCs/>
          <w:iCs/>
        </w:rPr>
        <w:t xml:space="preserve">. </w:t>
      </w:r>
    </w:p>
    <w:p w14:paraId="39E799F4" w14:textId="77777777" w:rsidR="005A4675" w:rsidRPr="00DC19D6" w:rsidRDefault="005A4675" w:rsidP="005A4675">
      <w:pPr>
        <w:ind w:left="360"/>
        <w:rPr>
          <w:rFonts w:cs="Tahoma"/>
          <w:bCs/>
          <w:iCs/>
        </w:rPr>
      </w:pPr>
    </w:p>
    <w:p w14:paraId="0509F25F" w14:textId="77777777" w:rsidR="005A4675" w:rsidRPr="00DC19D6" w:rsidRDefault="005A4675" w:rsidP="005A4675">
      <w:pPr>
        <w:rPr>
          <w:rFonts w:cs="Tahoma"/>
          <w:bCs/>
          <w:iCs/>
        </w:rPr>
      </w:pPr>
      <w:r w:rsidRPr="00DC19D6">
        <w:rPr>
          <w:rFonts w:cs="Tahoma"/>
          <w:bCs/>
          <w:i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F4D83D6" w14:textId="77777777" w:rsidR="005A4675" w:rsidRPr="00DC19D6" w:rsidRDefault="005A4675" w:rsidP="005A4675">
      <w:pPr>
        <w:rPr>
          <w:rFonts w:cs="Tahoma"/>
          <w:bCs/>
          <w:iCs/>
        </w:rPr>
      </w:pPr>
    </w:p>
    <w:p w14:paraId="69A3D9FC" w14:textId="77777777" w:rsidR="005A4675" w:rsidRPr="00DC19D6" w:rsidRDefault="005A4675" w:rsidP="005A4675">
      <w:pPr>
        <w:rPr>
          <w:rFonts w:cs="Tahoma"/>
          <w:bCs/>
          <w:iCs/>
        </w:rPr>
      </w:pPr>
      <w:r w:rsidRPr="00DC19D6">
        <w:rPr>
          <w:rFonts w:cs="Tahoma"/>
          <w:bCs/>
          <w:iCs/>
        </w:rPr>
        <w:t xml:space="preserve">De acuerdo a lo establecido en el artículo en comento, esta clave se compone de trece caracteres alfanuméricos, con datos obtenidos de los apellidos, nombre (s), fecha de nacimiento del titular, más una </w:t>
      </w:r>
      <w:proofErr w:type="spellStart"/>
      <w:r w:rsidRPr="00DC19D6">
        <w:rPr>
          <w:rFonts w:cs="Tahoma"/>
          <w:bCs/>
          <w:iCs/>
        </w:rPr>
        <w:t>homoclave</w:t>
      </w:r>
      <w:proofErr w:type="spellEnd"/>
      <w:r w:rsidRPr="00DC19D6">
        <w:rPr>
          <w:rFonts w:cs="Tahoma"/>
          <w:bCs/>
          <w:iCs/>
        </w:rPr>
        <w:t xml:space="preserve"> que establece el sistema automático del Servicio de Administración Tributaria.</w:t>
      </w:r>
    </w:p>
    <w:p w14:paraId="4DEE9095" w14:textId="77777777" w:rsidR="005A4675" w:rsidRPr="00DC19D6" w:rsidRDefault="005A4675" w:rsidP="005A4675">
      <w:pPr>
        <w:rPr>
          <w:rFonts w:cs="Tahoma"/>
          <w:bCs/>
          <w:iCs/>
        </w:rPr>
      </w:pPr>
    </w:p>
    <w:p w14:paraId="542D7D84" w14:textId="77777777" w:rsidR="005A4675" w:rsidRPr="00DC19D6" w:rsidRDefault="005A4675" w:rsidP="005A4675">
      <w:pPr>
        <w:rPr>
          <w:rFonts w:cs="Tahoma"/>
          <w:bCs/>
          <w:iCs/>
        </w:rPr>
      </w:pPr>
      <w:r w:rsidRPr="00DC19D6">
        <w:rPr>
          <w:rFonts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035258A" w14:textId="77777777" w:rsidR="005A4675" w:rsidRPr="00DC19D6" w:rsidRDefault="005A4675" w:rsidP="005A4675">
      <w:pPr>
        <w:rPr>
          <w:rFonts w:cs="Tahoma"/>
          <w:bCs/>
          <w:iCs/>
        </w:rPr>
      </w:pPr>
    </w:p>
    <w:p w14:paraId="41EE1140" w14:textId="77777777" w:rsidR="005A4675" w:rsidRPr="00DC19D6" w:rsidRDefault="005A4675" w:rsidP="005A4675">
      <w:pPr>
        <w:rPr>
          <w:rFonts w:cs="Tahoma"/>
          <w:bCs/>
          <w:iCs/>
        </w:rPr>
      </w:pPr>
      <w:r w:rsidRPr="00DC19D6">
        <w:rPr>
          <w:rFonts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w:t>
      </w:r>
      <w:r w:rsidRPr="00DC19D6">
        <w:rPr>
          <w:rFonts w:cs="Tahoma"/>
          <w:bCs/>
          <w:iCs/>
        </w:rPr>
        <w:lastRenderedPageBreak/>
        <w:t xml:space="preserve">personas involucradas en el pago de estos, en el presente caso, del pago del Impuesto Sobre el Producto del Trabajo. </w:t>
      </w:r>
    </w:p>
    <w:p w14:paraId="6518904D" w14:textId="77777777" w:rsidR="005A4675" w:rsidRPr="00DC19D6" w:rsidRDefault="005A4675" w:rsidP="005A4675">
      <w:pPr>
        <w:rPr>
          <w:rFonts w:cs="Tahoma"/>
          <w:bCs/>
          <w:iCs/>
        </w:rPr>
      </w:pPr>
    </w:p>
    <w:p w14:paraId="7A64C1D2" w14:textId="77777777" w:rsidR="005A4675" w:rsidRPr="00DC19D6" w:rsidRDefault="005A4675" w:rsidP="005A4675">
      <w:pPr>
        <w:rPr>
          <w:rFonts w:cs="Tahoma"/>
          <w:bCs/>
          <w:iCs/>
        </w:rPr>
      </w:pPr>
      <w:r w:rsidRPr="00DC19D6">
        <w:rPr>
          <w:rFonts w:cs="Tahoma"/>
          <w:bCs/>
          <w:iCs/>
        </w:rPr>
        <w:t>Lo anterior, resulta congruente con el Criterio 19/17 emitido por el Instituto Nacional de Transparencia, Acceso a la Información y Protección de Datos Personales, en el cual se señala lo siguiente:</w:t>
      </w:r>
    </w:p>
    <w:p w14:paraId="066C8C0E" w14:textId="77777777" w:rsidR="005A4675" w:rsidRPr="00DC19D6" w:rsidRDefault="005A4675" w:rsidP="005A4675">
      <w:pPr>
        <w:rPr>
          <w:rFonts w:cs="Tahoma"/>
          <w:bCs/>
          <w:iCs/>
        </w:rPr>
      </w:pPr>
    </w:p>
    <w:p w14:paraId="0D45A4D2" w14:textId="77777777" w:rsidR="005A4675" w:rsidRPr="00DC19D6" w:rsidRDefault="005A4675" w:rsidP="003B6BE8">
      <w:pPr>
        <w:pStyle w:val="Puesto"/>
      </w:pPr>
      <w:r w:rsidRPr="00DC19D6">
        <w:t>“</w:t>
      </w:r>
      <w:r w:rsidRPr="00DC19D6">
        <w:rPr>
          <w:b/>
        </w:rPr>
        <w:t>Registro Federal de Contribuyentes (RFC) de personas físicas</w:t>
      </w:r>
      <w:r w:rsidRPr="00DC19D6">
        <w:t>. El RFC es una clave de carácter fiscal, única e irrepetible, que permite identificar al titular, su edad y fecha de nacimiento, por lo que es un dato personal de carácter confidencial.”</w:t>
      </w:r>
    </w:p>
    <w:p w14:paraId="43D0B473" w14:textId="77777777" w:rsidR="005A4675" w:rsidRPr="00DC19D6" w:rsidRDefault="005A4675" w:rsidP="005A4675">
      <w:pPr>
        <w:rPr>
          <w:rFonts w:cs="Tahoma"/>
          <w:bCs/>
          <w:i/>
          <w:iCs/>
        </w:rPr>
      </w:pPr>
    </w:p>
    <w:p w14:paraId="38A78767" w14:textId="77777777" w:rsidR="005A4675" w:rsidRPr="00DC19D6" w:rsidRDefault="005A4675" w:rsidP="005A4675">
      <w:pPr>
        <w:rPr>
          <w:rFonts w:cs="Tahoma"/>
          <w:bCs/>
          <w:iCs/>
        </w:rPr>
      </w:pPr>
      <w:r w:rsidRPr="00DC19D6">
        <w:rPr>
          <w:rFonts w:cs="Tahoma"/>
          <w:bCs/>
          <w:iCs/>
        </w:rPr>
        <w:t xml:space="preserve">De tal suerte, el Registro Federal de Contribuyentes de los servidores públicos no guarda relación con la transparencia de los recursos públicos, así como tampoco con el desempeño laboral que pueda tener una persona, </w:t>
      </w:r>
      <w:r w:rsidRPr="00DC19D6">
        <w:rPr>
          <w:rFonts w:cs="Tahoma"/>
          <w:b/>
          <w:bCs/>
          <w:iCs/>
        </w:rPr>
        <w:t>por lo que constituye un dato personal confidencial al actualizar el supuesto normativo del artículo 143, fracción I de la Ley de Transparencia y Acceso a la Información Pública del Estado de México y Municipios.</w:t>
      </w:r>
    </w:p>
    <w:p w14:paraId="0E025C47" w14:textId="77777777" w:rsidR="005A4675" w:rsidRPr="00DC19D6" w:rsidRDefault="005A4675" w:rsidP="005A4675">
      <w:pPr>
        <w:rPr>
          <w:rFonts w:eastAsia="Calibri" w:cs="Tahoma"/>
          <w:bCs/>
        </w:rPr>
      </w:pPr>
    </w:p>
    <w:p w14:paraId="0B9ACBD0" w14:textId="77777777" w:rsidR="005A4675" w:rsidRPr="00DC19D6" w:rsidRDefault="005A4675" w:rsidP="005A4675">
      <w:pPr>
        <w:numPr>
          <w:ilvl w:val="0"/>
          <w:numId w:val="14"/>
        </w:numPr>
        <w:contextualSpacing/>
        <w:rPr>
          <w:rFonts w:eastAsia="Calibri" w:cs="Tahoma"/>
          <w:b/>
          <w:bCs/>
        </w:rPr>
      </w:pPr>
      <w:r w:rsidRPr="00DC19D6">
        <w:rPr>
          <w:rFonts w:eastAsia="Calibri" w:cs="Tahoma"/>
          <w:b/>
          <w:bCs/>
        </w:rPr>
        <w:t>Estado civil.</w:t>
      </w:r>
    </w:p>
    <w:p w14:paraId="4C89B0FF" w14:textId="77777777" w:rsidR="005A4675" w:rsidRPr="00DC19D6" w:rsidRDefault="005A4675" w:rsidP="005A4675">
      <w:pPr>
        <w:rPr>
          <w:rFonts w:eastAsia="Calibri" w:cs="Tahoma"/>
          <w:b/>
          <w:bCs/>
          <w:sz w:val="20"/>
        </w:rPr>
      </w:pPr>
    </w:p>
    <w:p w14:paraId="5957F696" w14:textId="77777777" w:rsidR="005A4675" w:rsidRPr="00DC19D6" w:rsidRDefault="005A4675" w:rsidP="005A4675">
      <w:pPr>
        <w:rPr>
          <w:rFonts w:eastAsia="Calibri" w:cs="Tahoma"/>
          <w:bCs/>
          <w:lang w:val="es-ES"/>
        </w:rPr>
      </w:pPr>
      <w:r w:rsidRPr="00DC19D6">
        <w:rPr>
          <w:rFonts w:eastAsia="Calibri" w:cs="Tahoma"/>
          <w:bCs/>
          <w:lang w:val="es-ES"/>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1E9BAB11" w14:textId="77777777" w:rsidR="005A4675" w:rsidRPr="00DC19D6" w:rsidRDefault="005A4675" w:rsidP="005A4675">
      <w:pPr>
        <w:rPr>
          <w:rFonts w:eastAsia="Calibri" w:cs="Tahoma"/>
          <w:bCs/>
          <w:lang w:val="es-ES"/>
        </w:rPr>
      </w:pPr>
    </w:p>
    <w:p w14:paraId="54FE6518" w14:textId="77777777" w:rsidR="005A4675" w:rsidRPr="00DC19D6" w:rsidRDefault="005A4675" w:rsidP="005A4675">
      <w:pPr>
        <w:rPr>
          <w:rFonts w:eastAsia="Calibri" w:cs="Tahoma"/>
          <w:b/>
          <w:bCs/>
          <w:lang w:val="es-ES"/>
        </w:rPr>
      </w:pPr>
      <w:r w:rsidRPr="00DC19D6">
        <w:rPr>
          <w:rFonts w:eastAsia="Calibri" w:cs="Tahoma"/>
          <w:bCs/>
          <w:lang w:val="es-ES"/>
        </w:rPr>
        <w:lastRenderedPageBreak/>
        <w:t xml:space="preserve">De esta manera, se trata de un dato personal confidencial que tiene que ver únicamente con la vida privada de las personas, motivo por el cual se considera un </w:t>
      </w:r>
      <w:r w:rsidRPr="00DC19D6">
        <w:rPr>
          <w:rFonts w:eastAsia="Calibri" w:cs="Tahoma"/>
          <w:b/>
          <w:bCs/>
          <w:lang w:val="es-ES"/>
        </w:rPr>
        <w:t>dato personal en términos del artículo 143, fracción I de la Ley de Transparencia y Acceso a la Información Pública del Estado de México y Municipios.</w:t>
      </w:r>
    </w:p>
    <w:p w14:paraId="6CDBCE13" w14:textId="77777777" w:rsidR="003B6BE8" w:rsidRPr="00DC19D6" w:rsidRDefault="003B6BE8" w:rsidP="005A4675">
      <w:pPr>
        <w:rPr>
          <w:rFonts w:eastAsia="Calibri" w:cs="Tahoma"/>
          <w:b/>
          <w:bCs/>
          <w:lang w:val="es-ES"/>
        </w:rPr>
      </w:pPr>
    </w:p>
    <w:p w14:paraId="4AAEBB97" w14:textId="77777777" w:rsidR="005A4675" w:rsidRPr="00DC19D6" w:rsidRDefault="005A4675" w:rsidP="003B6BE8">
      <w:pPr>
        <w:numPr>
          <w:ilvl w:val="0"/>
          <w:numId w:val="14"/>
        </w:numPr>
        <w:contextualSpacing/>
        <w:rPr>
          <w:rFonts w:cs="Tahoma"/>
          <w:b/>
          <w:bCs/>
          <w:lang w:val="es-ES"/>
        </w:rPr>
      </w:pPr>
      <w:r w:rsidRPr="00DC19D6">
        <w:rPr>
          <w:rFonts w:cs="Tahoma"/>
          <w:b/>
          <w:bCs/>
          <w:lang w:val="es-ES"/>
        </w:rPr>
        <w:t xml:space="preserve">-Lugar y Fecha de </w:t>
      </w:r>
      <w:r w:rsidRPr="00DC19D6">
        <w:rPr>
          <w:rFonts w:eastAsia="Calibri" w:cs="Tahoma"/>
          <w:b/>
          <w:bCs/>
        </w:rPr>
        <w:t>Nacimiento</w:t>
      </w:r>
      <w:r w:rsidRPr="00DC19D6">
        <w:rPr>
          <w:rFonts w:cs="Tahoma"/>
          <w:b/>
          <w:bCs/>
          <w:lang w:val="es-ES"/>
        </w:rPr>
        <w:t>.</w:t>
      </w:r>
    </w:p>
    <w:p w14:paraId="2C5F7E4D" w14:textId="77777777" w:rsidR="005A4675" w:rsidRPr="00DC19D6" w:rsidRDefault="005A4675" w:rsidP="005A4675">
      <w:pPr>
        <w:tabs>
          <w:tab w:val="left" w:pos="4962"/>
        </w:tabs>
        <w:ind w:right="-28"/>
        <w:rPr>
          <w:rFonts w:cs="Tahoma"/>
        </w:rPr>
      </w:pPr>
      <w:r w:rsidRPr="00DC19D6">
        <w:rPr>
          <w:rFonts w:cs="Tahoma"/>
        </w:rPr>
        <w:t xml:space="preserve">El lugar y fecha de nacimiento son datos que hacen identificable a la persona sin tener que ver con el ejercicio de un cargo público, </w:t>
      </w:r>
      <w:r w:rsidRPr="00DC19D6">
        <w:t xml:space="preserve"> </w:t>
      </w:r>
      <w:r w:rsidRPr="00DC19D6">
        <w:rPr>
          <w:rFonts w:cs="Tahoma"/>
        </w:rPr>
        <w:t>por lo que es un tema que tiene que ver con la vida privada, ya que, para acceder a un cargo público, el lugar y fecha de nacimiento  de las personas es irrelevante, ya que tener uno u otro no influye en el mejor o menor desempeño de un cargo público.</w:t>
      </w:r>
    </w:p>
    <w:p w14:paraId="1BC7917F" w14:textId="77777777" w:rsidR="005A4675" w:rsidRPr="00DC19D6" w:rsidRDefault="005A4675" w:rsidP="005A4675">
      <w:pPr>
        <w:tabs>
          <w:tab w:val="left" w:pos="4962"/>
        </w:tabs>
        <w:ind w:right="-28"/>
        <w:rPr>
          <w:rFonts w:cs="Tahoma"/>
        </w:rPr>
      </w:pPr>
    </w:p>
    <w:p w14:paraId="667D1FC5" w14:textId="77777777" w:rsidR="005A4675" w:rsidRPr="00DC19D6" w:rsidRDefault="005A4675" w:rsidP="005A4675">
      <w:pPr>
        <w:rPr>
          <w:rFonts w:eastAsia="Calibri" w:cs="Tahoma"/>
          <w:b/>
          <w:bCs/>
          <w:lang w:val="es-ES"/>
        </w:rPr>
      </w:pPr>
      <w:r w:rsidRPr="00DC19D6">
        <w:rPr>
          <w:rFonts w:eastAsia="Calibri" w:cs="Tahoma"/>
          <w:bCs/>
          <w:lang w:val="es-ES"/>
        </w:rPr>
        <w:t xml:space="preserve">De esta manera, se trata de un </w:t>
      </w:r>
      <w:r w:rsidRPr="00DC19D6">
        <w:rPr>
          <w:rFonts w:eastAsia="Calibri" w:cs="Tahoma"/>
          <w:b/>
          <w:bCs/>
          <w:lang w:val="es-ES"/>
        </w:rPr>
        <w:t>dato de naturaleza confidencial</w:t>
      </w:r>
      <w:r w:rsidRPr="00DC19D6">
        <w:rPr>
          <w:rFonts w:eastAsia="Calibri" w:cs="Tahoma"/>
          <w:bCs/>
          <w:lang w:val="es-ES"/>
        </w:rPr>
        <w:t xml:space="preserve"> que tiene que ver únicamente con la vida privada de las personas, motivo por el cual se considera que </w:t>
      </w:r>
      <w:r w:rsidRPr="00DC19D6">
        <w:rPr>
          <w:rFonts w:eastAsia="Calibri" w:cs="Tahoma"/>
          <w:b/>
          <w:bCs/>
          <w:lang w:val="es-ES"/>
        </w:rPr>
        <w:t xml:space="preserve">actualiza la causal de clasificación establecida en el artículo 143, fracción I, de la Ley de Transparencia y Acceso a la Información Pública del Estado de México y Municipios. </w:t>
      </w:r>
    </w:p>
    <w:p w14:paraId="5E56AE60" w14:textId="77777777" w:rsidR="00551788" w:rsidRPr="00DC19D6" w:rsidRDefault="00551788" w:rsidP="00551788"/>
    <w:p w14:paraId="6705DE12" w14:textId="77777777" w:rsidR="00551788" w:rsidRPr="00DC19D6" w:rsidRDefault="00551788" w:rsidP="00551788">
      <w:pPr>
        <w:pStyle w:val="Ttulo3"/>
      </w:pPr>
      <w:bookmarkStart w:id="31" w:name="_Toc171416577"/>
      <w:bookmarkStart w:id="32" w:name="_Toc175144245"/>
      <w:bookmarkStart w:id="33" w:name="_Toc175586273"/>
      <w:r w:rsidRPr="00DC19D6">
        <w:rPr>
          <w:rFonts w:eastAsia="Calibri"/>
        </w:rPr>
        <w:t xml:space="preserve">e) </w:t>
      </w:r>
      <w:bookmarkEnd w:id="29"/>
      <w:r w:rsidRPr="00DC19D6">
        <w:t>Conclusión</w:t>
      </w:r>
      <w:bookmarkEnd w:id="30"/>
      <w:bookmarkEnd w:id="31"/>
      <w:bookmarkEnd w:id="32"/>
      <w:bookmarkEnd w:id="33"/>
    </w:p>
    <w:p w14:paraId="67254376" w14:textId="77777777" w:rsidR="00551788" w:rsidRPr="00DC19D6" w:rsidRDefault="00551788" w:rsidP="00551788">
      <w:pPr>
        <w:rPr>
          <w:rFonts w:cs="Arial"/>
          <w:color w:val="000000" w:themeColor="text1"/>
        </w:rPr>
      </w:pPr>
      <w:r w:rsidRPr="00DC19D6">
        <w:rPr>
          <w:rFonts w:cs="Arial"/>
          <w:color w:val="000000" w:themeColor="text1"/>
        </w:rPr>
        <w:t xml:space="preserve">Por lo </w:t>
      </w:r>
      <w:r w:rsidRPr="00DC19D6">
        <w:rPr>
          <w:rFonts w:cs="Arial"/>
          <w:color w:val="000000" w:themeColor="text1"/>
          <w:lang w:eastAsia="es-CO"/>
        </w:rPr>
        <w:t>anteriormente</w:t>
      </w:r>
      <w:r w:rsidRPr="00DC19D6">
        <w:rPr>
          <w:rFonts w:cs="Arial"/>
          <w:color w:val="000000" w:themeColor="text1"/>
        </w:rPr>
        <w:t xml:space="preserve"> expuesto, este Instituto estima que las razones o motivos de inconformidad hechos valer por </w:t>
      </w:r>
      <w:r w:rsidRPr="00DC19D6">
        <w:rPr>
          <w:rFonts w:cs="Arial"/>
          <w:b/>
          <w:color w:val="000000" w:themeColor="text1"/>
        </w:rPr>
        <w:t>EL RECURRENTE</w:t>
      </w:r>
      <w:r w:rsidRPr="00DC19D6">
        <w:rPr>
          <w:rFonts w:cs="Arial"/>
          <w:color w:val="000000" w:themeColor="text1"/>
        </w:rPr>
        <w:t xml:space="preserve"> devienen </w:t>
      </w:r>
      <w:r w:rsidRPr="00DC19D6">
        <w:rPr>
          <w:rFonts w:cs="Arial"/>
          <w:b/>
          <w:color w:val="000000" w:themeColor="text1"/>
        </w:rPr>
        <w:t>fundadas</w:t>
      </w:r>
      <w:r w:rsidRPr="00DC19D6">
        <w:rPr>
          <w:rFonts w:cs="Arial"/>
          <w:color w:val="000000" w:themeColor="text1"/>
        </w:rPr>
        <w:t xml:space="preserve"> y suficientes para </w:t>
      </w:r>
      <w:r w:rsidRPr="00DC19D6">
        <w:rPr>
          <w:rFonts w:cs="Arial"/>
          <w:b/>
          <w:color w:val="000000" w:themeColor="text1"/>
        </w:rPr>
        <w:t>MODIFICAR</w:t>
      </w:r>
      <w:r w:rsidRPr="00DC19D6">
        <w:rPr>
          <w:rFonts w:cs="Arial"/>
          <w:color w:val="000000" w:themeColor="text1"/>
        </w:rPr>
        <w:t xml:space="preserve"> la respuesta del </w:t>
      </w:r>
      <w:r w:rsidRPr="00DC19D6">
        <w:rPr>
          <w:rFonts w:cs="Arial"/>
          <w:b/>
          <w:color w:val="000000" w:themeColor="text1"/>
        </w:rPr>
        <w:t>SUJETO OBLIGADO</w:t>
      </w:r>
      <w:r w:rsidRPr="00DC19D6">
        <w:rPr>
          <w:rFonts w:cs="Arial"/>
          <w:color w:val="000000" w:themeColor="text1"/>
        </w:rPr>
        <w:t xml:space="preserve"> y ordenarle haga entrega de la información descrita en el presente Considerando.</w:t>
      </w:r>
    </w:p>
    <w:p w14:paraId="1B99E76D" w14:textId="77777777" w:rsidR="00551788" w:rsidRPr="00DC19D6" w:rsidRDefault="00551788" w:rsidP="00551788">
      <w:pPr>
        <w:ind w:right="-93"/>
        <w:rPr>
          <w:rFonts w:eastAsia="Calibri" w:cs="Tahoma"/>
          <w:bCs/>
          <w:lang w:eastAsia="en-US"/>
        </w:rPr>
      </w:pPr>
    </w:p>
    <w:p w14:paraId="7A50071A" w14:textId="77777777" w:rsidR="00551788" w:rsidRPr="00DC19D6" w:rsidRDefault="00551788" w:rsidP="00551788">
      <w:pPr>
        <w:ind w:right="-93"/>
        <w:rPr>
          <w:rFonts w:cs="Tahoma"/>
          <w:bCs/>
        </w:rPr>
      </w:pPr>
      <w:bookmarkStart w:id="34" w:name="_Hlk165381027"/>
      <w:r w:rsidRPr="00DC19D6">
        <w:rPr>
          <w:rFonts w:cs="Tahoma"/>
          <w:bCs/>
        </w:rPr>
        <w:t xml:space="preserve">Así, con fundamento en lo establecido en los artículos 5, párrafos trigésimo segundo, trigésimo tercero y trigésimo cuarto, fracciones IV y V, de la Constitución Política del Estado Libre y </w:t>
      </w:r>
      <w:r w:rsidRPr="00DC19D6">
        <w:rPr>
          <w:rFonts w:cs="Tahoma"/>
          <w:bCs/>
        </w:rPr>
        <w:lastRenderedPageBreak/>
        <w:t>Soberano de México; y en los artículos 2, fracción II, 9, 29, 36, fracciones I y II, 176, 178, 179, 186 y 188 de la Ley de Transparencia y Acceso a la Información Pública del Estado de México y Municipios, este Pleno:</w:t>
      </w:r>
    </w:p>
    <w:bookmarkEnd w:id="34"/>
    <w:p w14:paraId="6B2D6DB9" w14:textId="77777777" w:rsidR="00551788" w:rsidRPr="00DC19D6" w:rsidRDefault="00551788" w:rsidP="00551788"/>
    <w:p w14:paraId="48D74705" w14:textId="77777777" w:rsidR="00551788" w:rsidRPr="00DC19D6" w:rsidRDefault="00551788" w:rsidP="00551788">
      <w:pPr>
        <w:pStyle w:val="Ttulo1"/>
      </w:pPr>
      <w:bookmarkStart w:id="35" w:name="_Toc170837738"/>
      <w:bookmarkStart w:id="36" w:name="_Toc171416578"/>
      <w:bookmarkStart w:id="37" w:name="_Toc175144246"/>
      <w:bookmarkStart w:id="38" w:name="_Toc175586274"/>
      <w:r w:rsidRPr="00DC19D6">
        <w:t>RESUELVE</w:t>
      </w:r>
      <w:bookmarkEnd w:id="35"/>
      <w:bookmarkEnd w:id="36"/>
      <w:bookmarkEnd w:id="37"/>
      <w:bookmarkEnd w:id="38"/>
    </w:p>
    <w:p w14:paraId="05CC6B8D" w14:textId="77777777" w:rsidR="00551788" w:rsidRPr="00DC19D6" w:rsidRDefault="00551788" w:rsidP="00551788">
      <w:pPr>
        <w:ind w:right="113"/>
        <w:rPr>
          <w:rFonts w:cs="Arial"/>
          <w:b/>
        </w:rPr>
      </w:pPr>
    </w:p>
    <w:p w14:paraId="0E46C6CF" w14:textId="0BA376DD" w:rsidR="00551788" w:rsidRPr="00DC19D6" w:rsidRDefault="00551788" w:rsidP="00551788">
      <w:pPr>
        <w:widowControl w:val="0"/>
        <w:rPr>
          <w:rFonts w:eastAsia="Calibri" w:cs="Tahoma"/>
          <w:bCs/>
          <w:lang w:eastAsia="en-US"/>
        </w:rPr>
      </w:pPr>
      <w:r w:rsidRPr="00DC19D6">
        <w:rPr>
          <w:b/>
          <w:bCs/>
        </w:rPr>
        <w:t>PRIMERO.</w:t>
      </w:r>
      <w:r w:rsidRPr="00DC19D6">
        <w:t xml:space="preserve"> </w:t>
      </w:r>
      <w:r w:rsidRPr="00DC19D6">
        <w:rPr>
          <w:rFonts w:cs="Tahoma"/>
        </w:rPr>
        <w:t xml:space="preserve">Se </w:t>
      </w:r>
      <w:r w:rsidRPr="00DC19D6">
        <w:rPr>
          <w:rFonts w:cs="Tahoma"/>
          <w:b/>
          <w:bCs/>
        </w:rPr>
        <w:t>MODIFICA</w:t>
      </w:r>
      <w:r w:rsidRPr="00DC19D6">
        <w:rPr>
          <w:rFonts w:cs="Tahoma"/>
        </w:rPr>
        <w:t xml:space="preserve"> la respuesta entregada por el </w:t>
      </w:r>
      <w:r w:rsidRPr="00DC19D6">
        <w:rPr>
          <w:rFonts w:cs="Tahoma"/>
          <w:b/>
          <w:bCs/>
        </w:rPr>
        <w:t>SUJETO OBLIGADO</w:t>
      </w:r>
      <w:r w:rsidRPr="00DC19D6">
        <w:rPr>
          <w:rFonts w:cs="Tahoma"/>
        </w:rPr>
        <w:t xml:space="preserve"> en la solicitud de información </w:t>
      </w:r>
      <w:r w:rsidRPr="00DC19D6">
        <w:rPr>
          <w:rFonts w:cs="Tahoma"/>
          <w:b/>
        </w:rPr>
        <w:t>00295/CAEM/IP/2024</w:t>
      </w:r>
      <w:r w:rsidRPr="00DC19D6">
        <w:rPr>
          <w:rFonts w:cs="Tahoma"/>
          <w:bCs/>
        </w:rPr>
        <w:t xml:space="preserve">, </w:t>
      </w:r>
      <w:r w:rsidRPr="00DC19D6">
        <w:rPr>
          <w:rFonts w:eastAsia="Calibri" w:cs="Tahoma"/>
          <w:bCs/>
          <w:lang w:eastAsia="en-US"/>
        </w:rPr>
        <w:t xml:space="preserve">por resultar </w:t>
      </w:r>
      <w:r w:rsidR="000E047B" w:rsidRPr="00DC19D6">
        <w:rPr>
          <w:rFonts w:eastAsia="Calibri" w:cs="Tahoma"/>
          <w:b/>
          <w:bCs/>
          <w:lang w:eastAsia="en-US"/>
        </w:rPr>
        <w:t xml:space="preserve">PARCIALMENTE </w:t>
      </w:r>
      <w:r w:rsidRPr="00DC19D6">
        <w:rPr>
          <w:rFonts w:eastAsia="Calibri" w:cs="Tahoma"/>
          <w:b/>
          <w:bCs/>
          <w:lang w:eastAsia="en-US"/>
        </w:rPr>
        <w:t>FUNDADAS</w:t>
      </w:r>
      <w:r w:rsidRPr="00DC19D6">
        <w:rPr>
          <w:rFonts w:eastAsia="Calibri" w:cs="Tahoma"/>
          <w:bCs/>
          <w:lang w:eastAsia="en-US"/>
        </w:rPr>
        <w:t xml:space="preserve"> las razones o motivos de inconformidad hechos valer por </w:t>
      </w:r>
      <w:r w:rsidRPr="00DC19D6">
        <w:rPr>
          <w:rFonts w:eastAsia="Calibri" w:cs="Tahoma"/>
          <w:b/>
          <w:lang w:eastAsia="en-US"/>
        </w:rPr>
        <w:t>LA PARTE RECURRENTE</w:t>
      </w:r>
      <w:r w:rsidRPr="00DC19D6">
        <w:rPr>
          <w:rFonts w:eastAsia="Calibri" w:cs="Tahoma"/>
          <w:bCs/>
          <w:lang w:eastAsia="en-US"/>
        </w:rPr>
        <w:t xml:space="preserve"> en el Recurso de Revisión </w:t>
      </w:r>
      <w:r w:rsidRPr="00DC19D6">
        <w:rPr>
          <w:rFonts w:eastAsiaTheme="minorHAnsi" w:cstheme="minorBidi"/>
          <w:b/>
          <w:bCs/>
          <w:color w:val="000000" w:themeColor="text1"/>
          <w:lang w:eastAsia="en-US"/>
        </w:rPr>
        <w:t>04192/INFOEM/IP/RR/2024</w:t>
      </w:r>
      <w:r w:rsidRPr="00DC19D6">
        <w:rPr>
          <w:rFonts w:eastAsiaTheme="minorHAnsi" w:cstheme="minorBidi"/>
          <w:color w:val="000000" w:themeColor="text1"/>
          <w:lang w:eastAsia="en-US"/>
        </w:rPr>
        <w:t>,</w:t>
      </w:r>
      <w:r w:rsidRPr="00DC19D6">
        <w:rPr>
          <w:rFonts w:cs="Tahoma"/>
          <w:b/>
          <w:color w:val="0D0D0D"/>
        </w:rPr>
        <w:t xml:space="preserve"> </w:t>
      </w:r>
      <w:r w:rsidRPr="00DC19D6">
        <w:rPr>
          <w:rFonts w:eastAsia="Calibri" w:cs="Tahoma"/>
          <w:bCs/>
          <w:lang w:eastAsia="en-US"/>
        </w:rPr>
        <w:t xml:space="preserve">en términos del considerando </w:t>
      </w:r>
      <w:r w:rsidRPr="00DC19D6">
        <w:rPr>
          <w:rFonts w:eastAsia="Calibri" w:cs="Tahoma"/>
          <w:b/>
          <w:lang w:eastAsia="en-US"/>
        </w:rPr>
        <w:t>SEGUNDO</w:t>
      </w:r>
      <w:r w:rsidRPr="00DC19D6">
        <w:rPr>
          <w:rFonts w:eastAsia="Calibri" w:cs="Tahoma"/>
          <w:bCs/>
          <w:lang w:eastAsia="en-US"/>
        </w:rPr>
        <w:t xml:space="preserve"> de la presente Resolución.</w:t>
      </w:r>
    </w:p>
    <w:p w14:paraId="4C45AAB8" w14:textId="77777777" w:rsidR="00551788" w:rsidRPr="00DC19D6" w:rsidRDefault="00551788" w:rsidP="00551788">
      <w:pPr>
        <w:widowControl w:val="0"/>
        <w:rPr>
          <w:rFonts w:eastAsia="Calibri" w:cs="Tahoma"/>
          <w:bCs/>
          <w:lang w:eastAsia="en-US"/>
        </w:rPr>
      </w:pPr>
    </w:p>
    <w:p w14:paraId="27B3458A" w14:textId="77777777" w:rsidR="00551788" w:rsidRPr="00DC19D6" w:rsidRDefault="00551788" w:rsidP="00551788">
      <w:pPr>
        <w:ind w:right="-93"/>
        <w:rPr>
          <w:rFonts w:eastAsia="Calibri" w:cs="Tahoma"/>
          <w:bCs/>
          <w:lang w:eastAsia="en-US"/>
        </w:rPr>
      </w:pPr>
      <w:r w:rsidRPr="00DC19D6">
        <w:rPr>
          <w:rFonts w:eastAsia="Calibri" w:cs="Tahoma"/>
          <w:b/>
          <w:bCs/>
          <w:lang w:eastAsia="en-US"/>
        </w:rPr>
        <w:t>SEGUNDO.</w:t>
      </w:r>
      <w:r w:rsidRPr="00DC19D6">
        <w:rPr>
          <w:rFonts w:eastAsia="Calibri" w:cs="Tahoma"/>
        </w:rPr>
        <w:t xml:space="preserve"> Se </w:t>
      </w:r>
      <w:r w:rsidRPr="00DC19D6">
        <w:rPr>
          <w:rFonts w:eastAsia="Calibri" w:cs="Tahoma"/>
          <w:b/>
        </w:rPr>
        <w:t xml:space="preserve">ORDENA </w:t>
      </w:r>
      <w:r w:rsidRPr="00DC19D6">
        <w:rPr>
          <w:rFonts w:eastAsia="Calibri" w:cs="Tahoma"/>
        </w:rPr>
        <w:t xml:space="preserve">al </w:t>
      </w:r>
      <w:r w:rsidRPr="00DC19D6">
        <w:rPr>
          <w:rFonts w:eastAsia="Calibri" w:cs="Tahoma"/>
          <w:b/>
          <w:bCs/>
        </w:rPr>
        <w:t>SUJETO OBLIGADO</w:t>
      </w:r>
      <w:r w:rsidRPr="00DC19D6">
        <w:rPr>
          <w:rFonts w:eastAsia="Calibri" w:cs="Tahoma"/>
        </w:rPr>
        <w:t xml:space="preserve">, previa búsqueda exhaustiva y razonable, </w:t>
      </w:r>
      <w:r w:rsidRPr="00DC19D6">
        <w:rPr>
          <w:rFonts w:eastAsia="Calibri" w:cs="Tahoma"/>
          <w:bCs/>
          <w:lang w:eastAsia="en-US"/>
        </w:rPr>
        <w:t xml:space="preserve">a efecto de que entregue a través del </w:t>
      </w:r>
      <w:r w:rsidRPr="00DC19D6">
        <w:rPr>
          <w:rFonts w:eastAsia="Calibri" w:cs="Tahoma"/>
          <w:b/>
          <w:bCs/>
          <w:lang w:eastAsia="en-US"/>
        </w:rPr>
        <w:t>SAIMEX</w:t>
      </w:r>
      <w:r w:rsidRPr="00DC19D6">
        <w:rPr>
          <w:rFonts w:eastAsia="Calibri" w:cs="Tahoma"/>
          <w:bCs/>
          <w:lang w:eastAsia="en-US"/>
        </w:rPr>
        <w:t xml:space="preserve">, en su caso en </w:t>
      </w:r>
      <w:r w:rsidRPr="00DC19D6">
        <w:rPr>
          <w:rFonts w:eastAsia="Calibri" w:cs="Tahoma"/>
          <w:b/>
          <w:bCs/>
          <w:lang w:eastAsia="en-US"/>
        </w:rPr>
        <w:t>versión pública</w:t>
      </w:r>
      <w:r w:rsidRPr="00DC19D6">
        <w:rPr>
          <w:rFonts w:eastAsia="Calibri" w:cs="Tahoma"/>
          <w:bCs/>
          <w:lang w:eastAsia="en-US"/>
        </w:rPr>
        <w:t xml:space="preserve"> de lo siguiente:</w:t>
      </w:r>
    </w:p>
    <w:p w14:paraId="237F79CE" w14:textId="77777777" w:rsidR="00551788" w:rsidRPr="00DC19D6" w:rsidRDefault="00551788" w:rsidP="00551788">
      <w:pPr>
        <w:ind w:right="-93"/>
        <w:rPr>
          <w:rFonts w:eastAsia="Calibri" w:cs="Tahoma"/>
          <w:bCs/>
          <w:lang w:eastAsia="en-US"/>
        </w:rPr>
      </w:pPr>
    </w:p>
    <w:p w14:paraId="1C666C31" w14:textId="2C4F5495" w:rsidR="00551788" w:rsidRPr="00DC19D6" w:rsidRDefault="00967728" w:rsidP="00122624">
      <w:pPr>
        <w:pStyle w:val="Prrafodelista"/>
        <w:spacing w:line="276" w:lineRule="auto"/>
        <w:ind w:left="567" w:right="539"/>
        <w:rPr>
          <w:i/>
        </w:rPr>
      </w:pPr>
      <w:r w:rsidRPr="00DC19D6">
        <w:rPr>
          <w:i/>
        </w:rPr>
        <w:t xml:space="preserve">El documento en donde </w:t>
      </w:r>
      <w:r w:rsidR="00122624" w:rsidRPr="00DC19D6">
        <w:rPr>
          <w:i/>
        </w:rPr>
        <w:t xml:space="preserve">conste </w:t>
      </w:r>
      <w:r w:rsidR="002D522B" w:rsidRPr="00DC19D6">
        <w:rPr>
          <w:i/>
        </w:rPr>
        <w:t>la causa</w:t>
      </w:r>
      <w:r w:rsidR="00122624" w:rsidRPr="00DC19D6">
        <w:rPr>
          <w:i/>
        </w:rPr>
        <w:t xml:space="preserve"> de la baja de los servidores públicos referidos en respuesta.</w:t>
      </w:r>
    </w:p>
    <w:p w14:paraId="269AFB4D" w14:textId="77777777" w:rsidR="00967728" w:rsidRPr="00DC19D6" w:rsidRDefault="00967728" w:rsidP="00551788">
      <w:pPr>
        <w:pStyle w:val="Prrafodelista"/>
        <w:spacing w:line="276" w:lineRule="auto"/>
        <w:ind w:left="851" w:right="539" w:hanging="284"/>
        <w:rPr>
          <w:i/>
        </w:rPr>
      </w:pPr>
    </w:p>
    <w:p w14:paraId="2051475B" w14:textId="77777777" w:rsidR="00551788" w:rsidRPr="00DC19D6" w:rsidRDefault="00551788" w:rsidP="00551788">
      <w:pPr>
        <w:pStyle w:val="Prrafodelista"/>
        <w:spacing w:line="276" w:lineRule="auto"/>
        <w:ind w:left="567" w:right="539"/>
        <w:rPr>
          <w:i/>
        </w:rPr>
      </w:pPr>
      <w:r w:rsidRPr="00DC19D6">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92B2055" w14:textId="77777777" w:rsidR="00551788" w:rsidRPr="00DC19D6" w:rsidRDefault="00551788" w:rsidP="00551788">
      <w:pPr>
        <w:pStyle w:val="Prrafodelista"/>
        <w:autoSpaceDE w:val="0"/>
        <w:autoSpaceDN w:val="0"/>
        <w:adjustRightInd w:val="0"/>
        <w:ind w:left="851" w:right="539" w:hanging="284"/>
        <w:rPr>
          <w:rFonts w:cs="Tahoma"/>
          <w:bCs/>
          <w:i/>
        </w:rPr>
      </w:pPr>
    </w:p>
    <w:p w14:paraId="36845883" w14:textId="77777777" w:rsidR="00551788" w:rsidRPr="00DC19D6" w:rsidRDefault="00551788" w:rsidP="00551788">
      <w:r w:rsidRPr="00DC19D6">
        <w:rPr>
          <w:b/>
          <w:bCs/>
        </w:rPr>
        <w:t>TERCERO.</w:t>
      </w:r>
      <w:r w:rsidRPr="00DC19D6">
        <w:t xml:space="preserve"> Notifíquese vía Sistema de Acceso a la Información Mexiquense (</w:t>
      </w:r>
      <w:r w:rsidRPr="00DC19D6">
        <w:rPr>
          <w:b/>
        </w:rPr>
        <w:t>SAIMEX</w:t>
      </w:r>
      <w:r w:rsidRPr="00DC19D6">
        <w:t xml:space="preserve">) la presente resolución al Titular de la Unidad de Transparencia del </w:t>
      </w:r>
      <w:r w:rsidRPr="00DC19D6">
        <w:rPr>
          <w:b/>
          <w:bCs/>
        </w:rPr>
        <w:t>SUJETO OBLIGADO</w:t>
      </w:r>
      <w:r w:rsidRPr="00DC19D6">
        <w:t xml:space="preserve">, para que conforme al artículo 186 último párrafo, 189 segundo párrafo y 194 de la Ley de Transparencia y Acceso a la Información Pública del Estado de México y Municipios, dé </w:t>
      </w:r>
      <w:r w:rsidRPr="00DC19D6">
        <w:lastRenderedPageBreak/>
        <w:t xml:space="preserve">cumplimiento a lo ordenado dentro del plazo de </w:t>
      </w:r>
      <w:r w:rsidRPr="00DC19D6">
        <w:rPr>
          <w:b/>
          <w:bCs/>
        </w:rPr>
        <w:t>diez días hábiles</w:t>
      </w:r>
      <w:r w:rsidRPr="00DC19D6">
        <w:t xml:space="preserve">, e informe a este Instituto en un plazo de </w:t>
      </w:r>
      <w:r w:rsidRPr="00DC19D6">
        <w:rPr>
          <w:b/>
          <w:bCs/>
        </w:rPr>
        <w:t>tres días hábiles</w:t>
      </w:r>
      <w:r w:rsidRPr="00DC19D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446831" w14:textId="77777777" w:rsidR="00551788" w:rsidRPr="00DC19D6" w:rsidRDefault="00551788" w:rsidP="00551788"/>
    <w:p w14:paraId="715DE807" w14:textId="77777777" w:rsidR="00551788" w:rsidRPr="00DC19D6" w:rsidRDefault="00551788" w:rsidP="00551788">
      <w:r w:rsidRPr="00DC19D6">
        <w:rPr>
          <w:b/>
          <w:bCs/>
        </w:rPr>
        <w:t>CUARTO.</w:t>
      </w:r>
      <w:r w:rsidRPr="00DC19D6">
        <w:t xml:space="preserve"> Notifíquese a </w:t>
      </w:r>
      <w:r w:rsidRPr="00DC19D6">
        <w:rPr>
          <w:b/>
          <w:bCs/>
        </w:rPr>
        <w:t>LA PARTE RECURRENTE</w:t>
      </w:r>
      <w:r w:rsidRPr="00DC19D6">
        <w:t xml:space="preserve"> la presente resolución vía Sistema de Acceso a la Información Mexiquense (</w:t>
      </w:r>
      <w:r w:rsidRPr="00DC19D6">
        <w:rPr>
          <w:b/>
        </w:rPr>
        <w:t>SAIMEX</w:t>
      </w:r>
      <w:r w:rsidRPr="00DC19D6">
        <w:t>).</w:t>
      </w:r>
    </w:p>
    <w:p w14:paraId="3A9B58A4" w14:textId="77777777" w:rsidR="00551788" w:rsidRPr="00DC19D6" w:rsidRDefault="00551788" w:rsidP="00551788"/>
    <w:p w14:paraId="74A46E68" w14:textId="77777777" w:rsidR="00551788" w:rsidRPr="00DC19D6" w:rsidRDefault="00551788" w:rsidP="00551788">
      <w:r w:rsidRPr="00DC19D6">
        <w:rPr>
          <w:b/>
          <w:bCs/>
        </w:rPr>
        <w:t>QUINTO</w:t>
      </w:r>
      <w:r w:rsidRPr="00DC19D6">
        <w:t xml:space="preserve">. Hágase del conocimiento a </w:t>
      </w:r>
      <w:r w:rsidRPr="00DC19D6">
        <w:rPr>
          <w:b/>
          <w:bCs/>
        </w:rPr>
        <w:t>LA PARTE RECURRENTE</w:t>
      </w:r>
      <w:r w:rsidRPr="00DC19D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32C7C06" w14:textId="77777777" w:rsidR="00551788" w:rsidRPr="00DC19D6" w:rsidRDefault="00551788" w:rsidP="00551788"/>
    <w:p w14:paraId="3C9ECFEA" w14:textId="77777777" w:rsidR="00551788" w:rsidRDefault="00551788" w:rsidP="00551788">
      <w:r w:rsidRPr="00DC19D6">
        <w:rPr>
          <w:b/>
          <w:bCs/>
        </w:rPr>
        <w:t>SEXTO.</w:t>
      </w:r>
      <w:r w:rsidRPr="00DC19D6">
        <w:t xml:space="preserve"> De conformidad con el artículo 198 de la Ley de Transparencia y Acceso a la Información Pública del Estado de México y Municipios, el </w:t>
      </w:r>
      <w:r w:rsidRPr="00DC19D6">
        <w:rPr>
          <w:b/>
          <w:bCs/>
        </w:rPr>
        <w:t>SUJETO OBLIGADO</w:t>
      </w:r>
      <w:r w:rsidRPr="00DC19D6">
        <w:t xml:space="preserve"> podrá solicitar una ampliación de plazo de manera fundada y motivada, para el cumplimiento de la presente resolución.</w:t>
      </w:r>
    </w:p>
    <w:p w14:paraId="677596C9" w14:textId="77777777" w:rsidR="00F51362" w:rsidRDefault="00F51362" w:rsidP="00551788"/>
    <w:p w14:paraId="25268FBD" w14:textId="77777777" w:rsidR="00F51362" w:rsidRDefault="00F51362" w:rsidP="00551788"/>
    <w:p w14:paraId="5364FCA8" w14:textId="77777777" w:rsidR="00F51362" w:rsidRDefault="00F51362" w:rsidP="00551788"/>
    <w:p w14:paraId="643D9F4E" w14:textId="77777777" w:rsidR="00F51362" w:rsidRPr="00DC19D6" w:rsidRDefault="00F51362" w:rsidP="00551788">
      <w:bookmarkStart w:id="39" w:name="_GoBack"/>
      <w:bookmarkEnd w:id="39"/>
    </w:p>
    <w:p w14:paraId="5B02C58A" w14:textId="77777777" w:rsidR="00551788" w:rsidRPr="00DC19D6" w:rsidRDefault="00551788" w:rsidP="00664420">
      <w:pPr>
        <w:rPr>
          <w:rFonts w:eastAsia="Palatino Linotype" w:cs="Palatino Linotype"/>
          <w:color w:val="000000"/>
          <w:szCs w:val="22"/>
        </w:rPr>
      </w:pPr>
    </w:p>
    <w:p w14:paraId="719A5C63" w14:textId="26F76C12" w:rsidR="00664420" w:rsidRPr="00DC19D6" w:rsidRDefault="00664420" w:rsidP="00664420">
      <w:pPr>
        <w:rPr>
          <w:rFonts w:eastAsia="Palatino Linotype" w:cs="Palatino Linotype"/>
          <w:color w:val="000000"/>
          <w:szCs w:val="22"/>
        </w:rPr>
      </w:pPr>
      <w:r w:rsidRPr="00DC19D6">
        <w:rPr>
          <w:rFonts w:eastAsia="Palatino Linotype" w:cs="Palatino Linotype"/>
          <w:color w:val="000000"/>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DC19D6">
        <w:rPr>
          <w:rFonts w:eastAsia="Palatino Linotype" w:cs="Palatino Linotype"/>
          <w:color w:val="000000"/>
          <w:szCs w:val="22"/>
        </w:rPr>
        <w:t>TRIGÉSIMA</w:t>
      </w:r>
      <w:r w:rsidR="00336B4B" w:rsidRPr="00DC19D6">
        <w:rPr>
          <w:rFonts w:eastAsia="Palatino Linotype" w:cs="Palatino Linotype"/>
          <w:color w:val="000000"/>
          <w:szCs w:val="22"/>
        </w:rPr>
        <w:t xml:space="preserve"> </w:t>
      </w:r>
      <w:r w:rsidRPr="00DC19D6">
        <w:rPr>
          <w:rFonts w:eastAsia="Palatino Linotype" w:cs="Palatino Linotype"/>
          <w:color w:val="000000"/>
          <w:szCs w:val="22"/>
        </w:rPr>
        <w:t xml:space="preserve">SESIÓN ORDINARIA, CELEBRADA EL </w:t>
      </w:r>
      <w:r w:rsidR="006C3622" w:rsidRPr="00DC19D6">
        <w:rPr>
          <w:rFonts w:eastAsia="Palatino Linotype" w:cs="Palatino Linotype"/>
          <w:color w:val="000000"/>
          <w:szCs w:val="22"/>
        </w:rPr>
        <w:t>VEINTIOCHO</w:t>
      </w:r>
      <w:r w:rsidR="00E33714" w:rsidRPr="00DC19D6">
        <w:rPr>
          <w:rFonts w:eastAsia="Palatino Linotype" w:cs="Palatino Linotype"/>
          <w:color w:val="000000"/>
          <w:szCs w:val="22"/>
        </w:rPr>
        <w:t xml:space="preserve"> DE AGOSTO</w:t>
      </w:r>
      <w:r w:rsidR="00336B4B" w:rsidRPr="00DC19D6">
        <w:rPr>
          <w:rFonts w:eastAsia="Palatino Linotype" w:cs="Palatino Linotype"/>
          <w:color w:val="000000"/>
          <w:szCs w:val="22"/>
        </w:rPr>
        <w:t xml:space="preserve"> DE DOS MIL VEINTICUATRO, </w:t>
      </w:r>
      <w:r w:rsidRPr="00DC19D6">
        <w:rPr>
          <w:rFonts w:eastAsia="Palatino Linotype" w:cs="Palatino Linotype"/>
          <w:color w:val="000000"/>
          <w:szCs w:val="22"/>
        </w:rPr>
        <w:t>ANTE EL SECRETARIO TÉCNICO DEL PLENO, ALEXIS TAPIA RAMÍREZ.</w:t>
      </w:r>
    </w:p>
    <w:p w14:paraId="26F5FDEB" w14:textId="77777777" w:rsidR="008629A5" w:rsidRPr="00AE0BD0" w:rsidRDefault="008629A5" w:rsidP="008629A5">
      <w:pPr>
        <w:ind w:right="-93"/>
        <w:rPr>
          <w:color w:val="000000"/>
          <w:szCs w:val="22"/>
        </w:rPr>
      </w:pPr>
      <w:r w:rsidRPr="00DC19D6">
        <w:rPr>
          <w:rFonts w:eastAsia="Palatino Linotype" w:cs="Palatino Linotype"/>
          <w:szCs w:val="22"/>
        </w:rPr>
        <w:t>SCMM/AGZ/DEMF/PAG</w:t>
      </w:r>
    </w:p>
    <w:p w14:paraId="49D72DA3" w14:textId="77777777" w:rsidR="00664420" w:rsidRPr="00AE0BD0" w:rsidRDefault="00664420" w:rsidP="00664420">
      <w:pPr>
        <w:ind w:right="-93"/>
        <w:rPr>
          <w:rFonts w:eastAsia="Calibri" w:cs="Tahoma"/>
          <w:bCs/>
          <w:color w:val="000000"/>
          <w:szCs w:val="22"/>
          <w:lang w:eastAsia="en-US"/>
        </w:rPr>
      </w:pPr>
    </w:p>
    <w:p w14:paraId="5EFEA0CD" w14:textId="77777777" w:rsidR="00664420" w:rsidRPr="00AE0BD0" w:rsidRDefault="00664420" w:rsidP="00664420">
      <w:pPr>
        <w:ind w:right="-93"/>
        <w:rPr>
          <w:rFonts w:eastAsia="Calibri" w:cs="Tahoma"/>
          <w:szCs w:val="22"/>
          <w:lang w:val="es-ES"/>
        </w:rPr>
      </w:pPr>
    </w:p>
    <w:p w14:paraId="696BC976" w14:textId="77777777" w:rsidR="00664420" w:rsidRPr="00AE0BD0" w:rsidRDefault="00664420" w:rsidP="00664420">
      <w:pPr>
        <w:ind w:right="-93"/>
        <w:rPr>
          <w:rFonts w:eastAsia="Calibri" w:cs="Tahoma"/>
          <w:bCs/>
          <w:szCs w:val="22"/>
          <w:lang w:val="es-ES" w:eastAsia="en-US"/>
        </w:rPr>
      </w:pPr>
    </w:p>
    <w:p w14:paraId="671CB0C5" w14:textId="77777777" w:rsidR="00664420" w:rsidRPr="00AE0BD0" w:rsidRDefault="00664420" w:rsidP="00664420">
      <w:pPr>
        <w:ind w:right="-93"/>
        <w:rPr>
          <w:rFonts w:eastAsia="Calibri" w:cs="Tahoma"/>
          <w:bCs/>
          <w:szCs w:val="22"/>
          <w:lang w:val="es-ES_tradnl" w:eastAsia="en-US"/>
        </w:rPr>
      </w:pPr>
    </w:p>
    <w:p w14:paraId="52B66DE7" w14:textId="77777777" w:rsidR="00664420" w:rsidRPr="00AE0BD0" w:rsidRDefault="00664420" w:rsidP="00664420">
      <w:pPr>
        <w:ind w:right="-93"/>
        <w:rPr>
          <w:rFonts w:eastAsia="Calibri" w:cs="Tahoma"/>
          <w:bCs/>
          <w:szCs w:val="22"/>
          <w:lang w:val="es-ES_tradnl" w:eastAsia="en-US"/>
        </w:rPr>
      </w:pPr>
    </w:p>
    <w:p w14:paraId="3BA305D1" w14:textId="77777777" w:rsidR="00664420" w:rsidRPr="00AE0BD0" w:rsidRDefault="00664420" w:rsidP="00664420">
      <w:pPr>
        <w:ind w:right="-93"/>
        <w:rPr>
          <w:rFonts w:eastAsia="Calibri" w:cs="Tahoma"/>
          <w:bCs/>
          <w:szCs w:val="22"/>
          <w:lang w:val="es-ES_tradnl" w:eastAsia="en-US"/>
        </w:rPr>
      </w:pPr>
    </w:p>
    <w:p w14:paraId="78230707" w14:textId="77777777" w:rsidR="00664420" w:rsidRPr="00AE0BD0" w:rsidRDefault="00664420" w:rsidP="00664420">
      <w:pPr>
        <w:ind w:right="-93"/>
        <w:rPr>
          <w:rFonts w:eastAsia="Calibri" w:cs="Tahoma"/>
          <w:bCs/>
          <w:szCs w:val="22"/>
          <w:lang w:val="es-ES_tradnl" w:eastAsia="en-US"/>
        </w:rPr>
      </w:pPr>
    </w:p>
    <w:p w14:paraId="72D18B28" w14:textId="77777777" w:rsidR="00664420" w:rsidRPr="00AE0BD0" w:rsidRDefault="00664420" w:rsidP="00664420">
      <w:pPr>
        <w:ind w:right="-93"/>
        <w:rPr>
          <w:rFonts w:eastAsia="Calibri" w:cs="Tahoma"/>
          <w:bCs/>
          <w:szCs w:val="22"/>
          <w:lang w:val="es-ES_tradnl" w:eastAsia="en-US"/>
        </w:rPr>
      </w:pPr>
    </w:p>
    <w:p w14:paraId="6BD461DC" w14:textId="77777777" w:rsidR="00664420" w:rsidRPr="00AE0BD0" w:rsidRDefault="00664420" w:rsidP="00664420">
      <w:pPr>
        <w:tabs>
          <w:tab w:val="center" w:pos="4568"/>
        </w:tabs>
        <w:ind w:right="-93"/>
        <w:rPr>
          <w:rFonts w:eastAsia="Calibri" w:cs="Tahoma"/>
          <w:bCs/>
          <w:szCs w:val="22"/>
          <w:lang w:eastAsia="en-US"/>
        </w:rPr>
      </w:pPr>
    </w:p>
    <w:p w14:paraId="4DBB1727" w14:textId="77777777" w:rsidR="00664420" w:rsidRPr="00AE0BD0" w:rsidRDefault="00664420" w:rsidP="00664420">
      <w:pPr>
        <w:tabs>
          <w:tab w:val="center" w:pos="4568"/>
        </w:tabs>
        <w:ind w:right="-93"/>
        <w:rPr>
          <w:rFonts w:eastAsia="Calibri" w:cs="Tahoma"/>
          <w:bCs/>
          <w:szCs w:val="22"/>
          <w:lang w:eastAsia="en-US"/>
        </w:rPr>
      </w:pPr>
    </w:p>
    <w:p w14:paraId="1D74121B" w14:textId="77777777" w:rsidR="00664420" w:rsidRPr="00AE0BD0" w:rsidRDefault="00664420" w:rsidP="00664420">
      <w:pPr>
        <w:tabs>
          <w:tab w:val="center" w:pos="4568"/>
        </w:tabs>
        <w:ind w:right="-93"/>
        <w:rPr>
          <w:rFonts w:eastAsia="Calibri" w:cs="Tahoma"/>
          <w:bCs/>
          <w:szCs w:val="22"/>
          <w:lang w:eastAsia="en-US"/>
        </w:rPr>
      </w:pPr>
    </w:p>
    <w:p w14:paraId="08E74E9C" w14:textId="77777777" w:rsidR="00664420" w:rsidRPr="00AE0BD0" w:rsidRDefault="00664420" w:rsidP="00664420">
      <w:pPr>
        <w:tabs>
          <w:tab w:val="center" w:pos="4568"/>
        </w:tabs>
        <w:ind w:right="-93"/>
        <w:rPr>
          <w:rFonts w:eastAsia="Calibri" w:cs="Tahoma"/>
          <w:bCs/>
          <w:szCs w:val="22"/>
          <w:lang w:eastAsia="en-US"/>
        </w:rPr>
      </w:pPr>
    </w:p>
    <w:p w14:paraId="2CBF5E03" w14:textId="77777777" w:rsidR="00664420" w:rsidRPr="00AE0BD0" w:rsidRDefault="00664420" w:rsidP="00664420">
      <w:pPr>
        <w:tabs>
          <w:tab w:val="center" w:pos="4568"/>
        </w:tabs>
        <w:ind w:right="-93"/>
        <w:rPr>
          <w:rFonts w:eastAsia="Calibri" w:cs="Tahoma"/>
          <w:bCs/>
          <w:szCs w:val="22"/>
          <w:lang w:eastAsia="en-US"/>
        </w:rPr>
      </w:pPr>
    </w:p>
    <w:p w14:paraId="44865A6D" w14:textId="77777777" w:rsidR="00664420" w:rsidRPr="00AE0BD0" w:rsidRDefault="00664420" w:rsidP="00664420">
      <w:pPr>
        <w:tabs>
          <w:tab w:val="center" w:pos="4568"/>
        </w:tabs>
        <w:ind w:right="-93"/>
        <w:rPr>
          <w:rFonts w:eastAsia="Calibri" w:cs="Tahoma"/>
          <w:bCs/>
          <w:szCs w:val="22"/>
          <w:lang w:eastAsia="en-US"/>
        </w:rPr>
      </w:pPr>
    </w:p>
    <w:p w14:paraId="7147F06B" w14:textId="77777777" w:rsidR="00664420" w:rsidRPr="00AE0BD0" w:rsidRDefault="00664420" w:rsidP="00664420">
      <w:pPr>
        <w:tabs>
          <w:tab w:val="center" w:pos="4568"/>
        </w:tabs>
        <w:ind w:right="-93"/>
        <w:rPr>
          <w:rFonts w:eastAsia="Calibri" w:cs="Tahoma"/>
          <w:bCs/>
          <w:szCs w:val="22"/>
          <w:lang w:eastAsia="en-US"/>
        </w:rPr>
      </w:pPr>
    </w:p>
    <w:p w14:paraId="6FDF3D7E" w14:textId="77777777" w:rsidR="00664420" w:rsidRPr="00AE0BD0" w:rsidRDefault="00664420" w:rsidP="00664420">
      <w:pPr>
        <w:tabs>
          <w:tab w:val="center" w:pos="4568"/>
        </w:tabs>
        <w:ind w:right="-93"/>
        <w:rPr>
          <w:rFonts w:eastAsia="Calibri" w:cs="Tahoma"/>
          <w:bCs/>
          <w:szCs w:val="22"/>
          <w:lang w:eastAsia="en-US"/>
        </w:rPr>
      </w:pPr>
    </w:p>
    <w:p w14:paraId="6246F818" w14:textId="77777777" w:rsidR="00664420" w:rsidRPr="00AE0BD0" w:rsidRDefault="00664420" w:rsidP="00664420">
      <w:pPr>
        <w:tabs>
          <w:tab w:val="center" w:pos="4568"/>
        </w:tabs>
        <w:ind w:right="-93"/>
        <w:rPr>
          <w:rFonts w:eastAsia="Calibri" w:cs="Tahoma"/>
          <w:bCs/>
          <w:szCs w:val="22"/>
          <w:lang w:eastAsia="en-US"/>
        </w:rPr>
      </w:pPr>
    </w:p>
    <w:p w14:paraId="57A88B28" w14:textId="77777777" w:rsidR="00664420" w:rsidRPr="00AE0BD0" w:rsidRDefault="00664420" w:rsidP="00664420">
      <w:pPr>
        <w:tabs>
          <w:tab w:val="center" w:pos="4568"/>
        </w:tabs>
        <w:ind w:right="-93"/>
        <w:rPr>
          <w:rFonts w:eastAsia="Calibri" w:cs="Tahoma"/>
          <w:bCs/>
          <w:szCs w:val="22"/>
          <w:lang w:eastAsia="en-US"/>
        </w:rPr>
      </w:pPr>
    </w:p>
    <w:p w14:paraId="77EF6095" w14:textId="77777777" w:rsidR="00664420" w:rsidRPr="00AE0BD0" w:rsidRDefault="00664420" w:rsidP="00664420">
      <w:pPr>
        <w:tabs>
          <w:tab w:val="center" w:pos="4568"/>
        </w:tabs>
        <w:ind w:right="-93"/>
        <w:rPr>
          <w:rFonts w:eastAsia="Calibri" w:cs="Tahoma"/>
          <w:bCs/>
          <w:szCs w:val="22"/>
          <w:lang w:eastAsia="en-US"/>
        </w:rPr>
      </w:pPr>
    </w:p>
    <w:p w14:paraId="35593947" w14:textId="77777777" w:rsidR="00664420" w:rsidRPr="00AE0BD0" w:rsidRDefault="00664420" w:rsidP="00664420">
      <w:pPr>
        <w:tabs>
          <w:tab w:val="center" w:pos="4568"/>
        </w:tabs>
        <w:ind w:right="-93"/>
        <w:rPr>
          <w:rFonts w:eastAsia="Calibri" w:cs="Tahoma"/>
          <w:bCs/>
          <w:szCs w:val="22"/>
          <w:lang w:eastAsia="en-US"/>
        </w:rPr>
      </w:pPr>
    </w:p>
    <w:p w14:paraId="3AF72A17" w14:textId="77777777" w:rsidR="00664420" w:rsidRPr="00AE0BD0" w:rsidRDefault="00664420" w:rsidP="00664420">
      <w:pPr>
        <w:tabs>
          <w:tab w:val="center" w:pos="4568"/>
        </w:tabs>
        <w:ind w:right="-93"/>
        <w:rPr>
          <w:rFonts w:eastAsia="Calibri" w:cs="Tahoma"/>
          <w:bCs/>
          <w:szCs w:val="22"/>
          <w:lang w:eastAsia="en-US"/>
        </w:rPr>
      </w:pPr>
    </w:p>
    <w:p w14:paraId="37169144" w14:textId="77777777" w:rsidR="00664420" w:rsidRPr="00AE0BD0" w:rsidRDefault="00664420" w:rsidP="00664420">
      <w:pPr>
        <w:tabs>
          <w:tab w:val="center" w:pos="4568"/>
        </w:tabs>
        <w:ind w:right="-93"/>
        <w:rPr>
          <w:rFonts w:eastAsia="Calibri" w:cs="Tahoma"/>
          <w:bCs/>
          <w:szCs w:val="22"/>
          <w:lang w:eastAsia="en-US"/>
        </w:rPr>
      </w:pPr>
    </w:p>
    <w:p w14:paraId="77CFC088" w14:textId="77777777" w:rsidR="00664420" w:rsidRPr="00AE0BD0" w:rsidRDefault="00664420" w:rsidP="00664420">
      <w:pPr>
        <w:tabs>
          <w:tab w:val="center" w:pos="4568"/>
        </w:tabs>
        <w:ind w:right="-93"/>
        <w:rPr>
          <w:rFonts w:eastAsia="Calibri" w:cs="Tahoma"/>
          <w:bCs/>
          <w:szCs w:val="22"/>
          <w:lang w:eastAsia="en-US"/>
        </w:rPr>
      </w:pPr>
    </w:p>
    <w:p w14:paraId="781A11A5" w14:textId="77777777" w:rsidR="00664420" w:rsidRPr="00AE0BD0" w:rsidRDefault="00664420" w:rsidP="00664420">
      <w:pPr>
        <w:tabs>
          <w:tab w:val="center" w:pos="4568"/>
        </w:tabs>
        <w:ind w:right="-93"/>
        <w:rPr>
          <w:rFonts w:eastAsia="Calibri" w:cs="Tahoma"/>
          <w:bCs/>
          <w:szCs w:val="22"/>
          <w:lang w:eastAsia="en-US"/>
        </w:rPr>
      </w:pPr>
    </w:p>
    <w:p w14:paraId="5B4ADFF3" w14:textId="77777777" w:rsidR="00A131AC" w:rsidRPr="00AE0BD0" w:rsidRDefault="00A131AC">
      <w:pPr>
        <w:rPr>
          <w:szCs w:val="22"/>
        </w:rPr>
      </w:pPr>
    </w:p>
    <w:sectPr w:rsidR="00A131AC" w:rsidRPr="00AE0BD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5546" w14:textId="77777777" w:rsidR="009156B5" w:rsidRDefault="009156B5" w:rsidP="00664420">
      <w:pPr>
        <w:spacing w:line="240" w:lineRule="auto"/>
      </w:pPr>
      <w:r>
        <w:separator/>
      </w:r>
    </w:p>
  </w:endnote>
  <w:endnote w:type="continuationSeparator" w:id="0">
    <w:p w14:paraId="0722F3CF" w14:textId="77777777" w:rsidR="009156B5" w:rsidRDefault="009156B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B6BE8" w:rsidRDefault="003B6BE8">
    <w:pPr>
      <w:tabs>
        <w:tab w:val="center" w:pos="4550"/>
        <w:tab w:val="left" w:pos="5818"/>
      </w:tabs>
      <w:ind w:right="260"/>
      <w:jc w:val="right"/>
      <w:rPr>
        <w:color w:val="071320" w:themeColor="text2" w:themeShade="80"/>
        <w:sz w:val="24"/>
        <w:szCs w:val="24"/>
      </w:rPr>
    </w:pPr>
  </w:p>
  <w:p w14:paraId="1BCA7F23" w14:textId="77777777" w:rsidR="003B6BE8" w:rsidRDefault="003B6B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B6BE8" w:rsidRDefault="003B6BE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51362" w:rsidRPr="00F51362">
      <w:rPr>
        <w:noProof/>
        <w:color w:val="0A1D30" w:themeColor="text2" w:themeShade="BF"/>
        <w:sz w:val="24"/>
        <w:szCs w:val="24"/>
        <w:lang w:val="es-ES"/>
      </w:rPr>
      <w:t>40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51362" w:rsidRPr="00F51362">
      <w:rPr>
        <w:noProof/>
        <w:color w:val="0A1D30" w:themeColor="text2" w:themeShade="BF"/>
        <w:sz w:val="24"/>
        <w:szCs w:val="24"/>
        <w:lang w:val="es-ES"/>
      </w:rPr>
      <w:t>42</w:t>
    </w:r>
    <w:r>
      <w:rPr>
        <w:color w:val="0A1D30" w:themeColor="text2" w:themeShade="BF"/>
        <w:sz w:val="24"/>
        <w:szCs w:val="24"/>
      </w:rPr>
      <w:fldChar w:fldCharType="end"/>
    </w:r>
  </w:p>
  <w:p w14:paraId="310E15C0" w14:textId="77777777" w:rsidR="003B6BE8" w:rsidRDefault="003B6B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B905F" w14:textId="77777777" w:rsidR="009156B5" w:rsidRDefault="009156B5" w:rsidP="00664420">
      <w:pPr>
        <w:spacing w:line="240" w:lineRule="auto"/>
      </w:pPr>
      <w:r>
        <w:separator/>
      </w:r>
    </w:p>
  </w:footnote>
  <w:footnote w:type="continuationSeparator" w:id="0">
    <w:p w14:paraId="6A39A8FB" w14:textId="77777777" w:rsidR="009156B5" w:rsidRDefault="009156B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B6BE8" w:rsidRPr="00330DA7" w14:paraId="070A4B18" w14:textId="77777777" w:rsidTr="003F35FD">
      <w:trPr>
        <w:trHeight w:val="144"/>
        <w:jc w:val="right"/>
      </w:trPr>
      <w:tc>
        <w:tcPr>
          <w:tcW w:w="2727" w:type="dxa"/>
        </w:tcPr>
        <w:p w14:paraId="62B7493A" w14:textId="337DF4A3" w:rsidR="003B6BE8" w:rsidRPr="00330DA7" w:rsidRDefault="003B6BE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DED9FEC" w:rsidR="003B6BE8" w:rsidRPr="00A90C72" w:rsidRDefault="003B6BE8" w:rsidP="000748DF">
          <w:pPr>
            <w:tabs>
              <w:tab w:val="right" w:pos="8838"/>
            </w:tabs>
            <w:ind w:left="-74" w:right="-105"/>
            <w:rPr>
              <w:rFonts w:eastAsia="Calibri" w:cs="Tahoma"/>
              <w:szCs w:val="22"/>
              <w:lang w:eastAsia="en-US"/>
            </w:rPr>
          </w:pPr>
          <w:r w:rsidRPr="00427AFE">
            <w:rPr>
              <w:rFonts w:eastAsia="Calibri" w:cs="Tahoma"/>
              <w:szCs w:val="22"/>
              <w:lang w:eastAsia="en-US"/>
            </w:rPr>
            <w:t>04192/INFOEM/IP/RR/2024</w:t>
          </w:r>
        </w:p>
      </w:tc>
    </w:tr>
    <w:tr w:rsidR="003B6BE8" w:rsidRPr="00330DA7" w14:paraId="4521E058" w14:textId="77777777" w:rsidTr="003F35FD">
      <w:trPr>
        <w:trHeight w:val="283"/>
        <w:jc w:val="right"/>
      </w:trPr>
      <w:tc>
        <w:tcPr>
          <w:tcW w:w="2727" w:type="dxa"/>
        </w:tcPr>
        <w:p w14:paraId="0B68C086" w14:textId="77777777" w:rsidR="003B6BE8" w:rsidRPr="00330DA7" w:rsidRDefault="003B6BE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E76024D" w:rsidR="003B6BE8" w:rsidRPr="00952DD0" w:rsidRDefault="003B6BE8" w:rsidP="003F35FD">
          <w:pPr>
            <w:tabs>
              <w:tab w:val="left" w:pos="2834"/>
              <w:tab w:val="right" w:pos="8838"/>
            </w:tabs>
            <w:ind w:left="-108" w:right="-105"/>
            <w:rPr>
              <w:rFonts w:eastAsia="Calibri" w:cs="Tahoma"/>
              <w:szCs w:val="22"/>
              <w:lang w:eastAsia="en-US"/>
            </w:rPr>
          </w:pPr>
          <w:r w:rsidRPr="00427AFE">
            <w:rPr>
              <w:rFonts w:eastAsia="Calibri" w:cs="Tahoma"/>
              <w:szCs w:val="22"/>
              <w:lang w:eastAsia="en-US"/>
            </w:rPr>
            <w:t>Comisión del Agua del Estado de México</w:t>
          </w:r>
        </w:p>
      </w:tc>
    </w:tr>
    <w:tr w:rsidR="003B6BE8" w:rsidRPr="00330DA7" w14:paraId="6331D9B6" w14:textId="77777777" w:rsidTr="003F35FD">
      <w:trPr>
        <w:trHeight w:val="283"/>
        <w:jc w:val="right"/>
      </w:trPr>
      <w:tc>
        <w:tcPr>
          <w:tcW w:w="2727" w:type="dxa"/>
        </w:tcPr>
        <w:p w14:paraId="3FA86BAE" w14:textId="68E88B1D" w:rsidR="003B6BE8" w:rsidRPr="00330DA7" w:rsidRDefault="003B6BE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B6BE8" w:rsidRPr="00EA66FC" w:rsidRDefault="003B6BE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B6BE8" w:rsidRPr="00443C6B" w:rsidRDefault="003B6BE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B6BE8" w:rsidRPr="00330DA7" w14:paraId="29CFF901" w14:textId="77777777" w:rsidTr="004B56B4">
      <w:trPr>
        <w:trHeight w:val="1435"/>
      </w:trPr>
      <w:tc>
        <w:tcPr>
          <w:tcW w:w="283" w:type="dxa"/>
          <w:shd w:val="clear" w:color="auto" w:fill="auto"/>
        </w:tcPr>
        <w:p w14:paraId="046B9F8F" w14:textId="56D2D896" w:rsidR="003B6BE8" w:rsidRPr="00330DA7" w:rsidRDefault="003B6BE8"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B6BE8" w:rsidRPr="00330DA7" w14:paraId="04F272D2" w14:textId="77777777" w:rsidTr="004B56B4">
            <w:trPr>
              <w:trHeight w:val="144"/>
            </w:trPr>
            <w:tc>
              <w:tcPr>
                <w:tcW w:w="2727" w:type="dxa"/>
              </w:tcPr>
              <w:p w14:paraId="2FD4DBF6" w14:textId="77777777" w:rsidR="003B6BE8" w:rsidRPr="00330DA7" w:rsidRDefault="003B6BE8"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18A4C73" w:rsidR="003B6BE8" w:rsidRPr="00A90C72" w:rsidRDefault="003B6BE8" w:rsidP="000748DF">
                <w:pPr>
                  <w:tabs>
                    <w:tab w:val="right" w:pos="8838"/>
                  </w:tabs>
                  <w:ind w:left="-74" w:right="-105"/>
                  <w:rPr>
                    <w:rFonts w:eastAsia="Calibri" w:cs="Tahoma"/>
                    <w:szCs w:val="22"/>
                    <w:lang w:eastAsia="en-US"/>
                  </w:rPr>
                </w:pPr>
                <w:r w:rsidRPr="00427AFE">
                  <w:rPr>
                    <w:rFonts w:eastAsia="Calibri" w:cs="Tahoma"/>
                    <w:szCs w:val="22"/>
                    <w:lang w:eastAsia="en-US"/>
                  </w:rPr>
                  <w:t>04192/INFOEM/IP/RR/2024</w:t>
                </w:r>
              </w:p>
            </w:tc>
            <w:tc>
              <w:tcPr>
                <w:tcW w:w="3402" w:type="dxa"/>
              </w:tcPr>
              <w:p w14:paraId="71DEA1CF" w14:textId="77777777" w:rsidR="003B6BE8" w:rsidRDefault="003B6BE8" w:rsidP="004B56B4">
                <w:pPr>
                  <w:tabs>
                    <w:tab w:val="right" w:pos="8838"/>
                  </w:tabs>
                  <w:ind w:left="-74" w:right="-105"/>
                  <w:rPr>
                    <w:rFonts w:eastAsia="Calibri" w:cs="Tahoma"/>
                    <w:szCs w:val="22"/>
                    <w:lang w:eastAsia="en-US"/>
                  </w:rPr>
                </w:pPr>
              </w:p>
            </w:tc>
          </w:tr>
          <w:tr w:rsidR="003B6BE8" w:rsidRPr="00330DA7" w14:paraId="05C58951" w14:textId="77777777" w:rsidTr="004B56B4">
            <w:trPr>
              <w:trHeight w:val="144"/>
            </w:trPr>
            <w:tc>
              <w:tcPr>
                <w:tcW w:w="2727" w:type="dxa"/>
              </w:tcPr>
              <w:p w14:paraId="642B9610" w14:textId="77777777" w:rsidR="003B6BE8" w:rsidRPr="00330DA7" w:rsidRDefault="003B6BE8"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F1823D4" w:rsidR="003B6BE8" w:rsidRPr="005F19B1" w:rsidRDefault="003B6BE8" w:rsidP="004B56B4">
                <w:pPr>
                  <w:tabs>
                    <w:tab w:val="left" w:pos="3122"/>
                    <w:tab w:val="right" w:pos="8838"/>
                  </w:tabs>
                  <w:ind w:left="-105" w:right="-105"/>
                  <w:rPr>
                    <w:rFonts w:eastAsia="Calibri" w:cs="Tahoma"/>
                    <w:szCs w:val="22"/>
                    <w:lang w:eastAsia="en-US"/>
                  </w:rPr>
                </w:pPr>
              </w:p>
            </w:tc>
            <w:tc>
              <w:tcPr>
                <w:tcW w:w="3402" w:type="dxa"/>
              </w:tcPr>
              <w:p w14:paraId="73F47F53" w14:textId="77777777" w:rsidR="003B6BE8" w:rsidRPr="005F19B1" w:rsidRDefault="003B6BE8" w:rsidP="004B56B4">
                <w:pPr>
                  <w:tabs>
                    <w:tab w:val="left" w:pos="3122"/>
                    <w:tab w:val="right" w:pos="8838"/>
                  </w:tabs>
                  <w:ind w:left="-105" w:right="-105"/>
                  <w:rPr>
                    <w:rFonts w:eastAsia="Calibri" w:cs="Tahoma"/>
                    <w:szCs w:val="22"/>
                    <w:lang w:eastAsia="en-US"/>
                  </w:rPr>
                </w:pPr>
              </w:p>
            </w:tc>
          </w:tr>
          <w:bookmarkEnd w:id="1"/>
          <w:tr w:rsidR="003B6BE8" w:rsidRPr="00330DA7" w14:paraId="00E6CDC1" w14:textId="77777777" w:rsidTr="004B56B4">
            <w:trPr>
              <w:trHeight w:val="283"/>
            </w:trPr>
            <w:tc>
              <w:tcPr>
                <w:tcW w:w="2727" w:type="dxa"/>
              </w:tcPr>
              <w:p w14:paraId="0631AD24" w14:textId="77777777" w:rsidR="003B6BE8" w:rsidRPr="00330DA7" w:rsidRDefault="003B6BE8"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E948736" w:rsidR="003B6BE8" w:rsidRPr="00952DD0" w:rsidRDefault="003B6BE8" w:rsidP="004B56B4">
                <w:pPr>
                  <w:tabs>
                    <w:tab w:val="left" w:pos="2834"/>
                    <w:tab w:val="right" w:pos="8838"/>
                  </w:tabs>
                  <w:ind w:left="-108" w:right="-105"/>
                  <w:rPr>
                    <w:rFonts w:eastAsia="Calibri" w:cs="Tahoma"/>
                    <w:szCs w:val="22"/>
                    <w:lang w:eastAsia="en-US"/>
                  </w:rPr>
                </w:pPr>
                <w:r w:rsidRPr="00427AFE">
                  <w:rPr>
                    <w:rFonts w:eastAsia="Calibri" w:cs="Tahoma"/>
                    <w:szCs w:val="22"/>
                    <w:lang w:eastAsia="en-US"/>
                  </w:rPr>
                  <w:t>Comisión del Agua del Estado de México</w:t>
                </w:r>
              </w:p>
            </w:tc>
            <w:tc>
              <w:tcPr>
                <w:tcW w:w="3402" w:type="dxa"/>
              </w:tcPr>
              <w:p w14:paraId="3A7DA319" w14:textId="77777777" w:rsidR="003B6BE8" w:rsidRPr="00A90C72" w:rsidRDefault="003B6BE8" w:rsidP="004B56B4">
                <w:pPr>
                  <w:tabs>
                    <w:tab w:val="left" w:pos="2834"/>
                    <w:tab w:val="right" w:pos="8838"/>
                  </w:tabs>
                  <w:ind w:left="-108" w:right="-105"/>
                  <w:rPr>
                    <w:rFonts w:eastAsia="Calibri" w:cs="Tahoma"/>
                    <w:szCs w:val="22"/>
                    <w:lang w:eastAsia="en-US"/>
                  </w:rPr>
                </w:pPr>
              </w:p>
            </w:tc>
          </w:tr>
          <w:tr w:rsidR="003B6BE8" w:rsidRPr="00330DA7" w14:paraId="0F6CD8D2" w14:textId="77777777" w:rsidTr="004B56B4">
            <w:trPr>
              <w:trHeight w:val="283"/>
            </w:trPr>
            <w:tc>
              <w:tcPr>
                <w:tcW w:w="2727" w:type="dxa"/>
              </w:tcPr>
              <w:p w14:paraId="31700628" w14:textId="032DD90E" w:rsidR="003B6BE8" w:rsidRPr="00330DA7" w:rsidRDefault="003B6BE8"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B6BE8" w:rsidRPr="00EA66FC" w:rsidRDefault="003B6BE8"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B6BE8" w:rsidRPr="00330DA7" w:rsidRDefault="003B6BE8" w:rsidP="004B56B4">
                <w:pPr>
                  <w:tabs>
                    <w:tab w:val="right" w:pos="8838"/>
                  </w:tabs>
                  <w:ind w:left="-108" w:right="-105"/>
                  <w:rPr>
                    <w:rFonts w:eastAsia="Calibri" w:cs="Tahoma"/>
                    <w:szCs w:val="22"/>
                    <w:lang w:eastAsia="en-US"/>
                  </w:rPr>
                </w:pPr>
              </w:p>
            </w:tc>
          </w:tr>
        </w:tbl>
        <w:p w14:paraId="5DC6AC61" w14:textId="77777777" w:rsidR="003B6BE8" w:rsidRPr="00330DA7" w:rsidRDefault="003B6BE8" w:rsidP="004B56B4">
          <w:pPr>
            <w:tabs>
              <w:tab w:val="right" w:pos="8838"/>
            </w:tabs>
            <w:ind w:left="-28"/>
            <w:rPr>
              <w:rFonts w:ascii="Arial" w:eastAsia="Calibri" w:hAnsi="Arial" w:cs="Arial"/>
              <w:b/>
              <w:szCs w:val="22"/>
              <w:lang w:eastAsia="en-US"/>
            </w:rPr>
          </w:pPr>
        </w:p>
      </w:tc>
    </w:tr>
  </w:tbl>
  <w:p w14:paraId="2A906731" w14:textId="77777777" w:rsidR="003B6BE8" w:rsidRPr="00765661" w:rsidRDefault="009156B5"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9CB6C09"/>
    <w:multiLevelType w:val="hybridMultilevel"/>
    <w:tmpl w:val="CDFA8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A90CE3"/>
    <w:multiLevelType w:val="hybridMultilevel"/>
    <w:tmpl w:val="B1B88392"/>
    <w:lvl w:ilvl="0" w:tplc="5B94B7C6">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C2277BE"/>
    <w:multiLevelType w:val="multilevel"/>
    <w:tmpl w:val="FC026144"/>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E37232"/>
    <w:multiLevelType w:val="hybridMultilevel"/>
    <w:tmpl w:val="909E6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0D1D37"/>
    <w:multiLevelType w:val="hybridMultilevel"/>
    <w:tmpl w:val="E7462F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DB5119"/>
    <w:multiLevelType w:val="hybridMultilevel"/>
    <w:tmpl w:val="61CEB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766FC1"/>
    <w:multiLevelType w:val="hybridMultilevel"/>
    <w:tmpl w:val="15D0442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74955974"/>
    <w:multiLevelType w:val="hybridMultilevel"/>
    <w:tmpl w:val="6CF44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6E2403"/>
    <w:multiLevelType w:val="hybridMultilevel"/>
    <w:tmpl w:val="A516BFF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6"/>
  </w:num>
  <w:num w:numId="3">
    <w:abstractNumId w:val="13"/>
  </w:num>
  <w:num w:numId="4">
    <w:abstractNumId w:val="14"/>
  </w:num>
  <w:num w:numId="5">
    <w:abstractNumId w:val="1"/>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5"/>
  </w:num>
  <w:num w:numId="11">
    <w:abstractNumId w:val="6"/>
  </w:num>
  <w:num w:numId="12">
    <w:abstractNumId w:val="10"/>
  </w:num>
  <w:num w:numId="13">
    <w:abstractNumId w:val="4"/>
  </w:num>
  <w:num w:numId="14">
    <w:abstractNumId w:val="5"/>
  </w:num>
  <w:num w:numId="15">
    <w:abstractNumId w:val="12"/>
  </w:num>
  <w:num w:numId="16">
    <w:abstractNumId w:val="2"/>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629A"/>
    <w:rsid w:val="000206F3"/>
    <w:rsid w:val="00026454"/>
    <w:rsid w:val="000318BC"/>
    <w:rsid w:val="00036589"/>
    <w:rsid w:val="00044BDF"/>
    <w:rsid w:val="00057B2D"/>
    <w:rsid w:val="00070AF6"/>
    <w:rsid w:val="00073AA3"/>
    <w:rsid w:val="000748DF"/>
    <w:rsid w:val="00080071"/>
    <w:rsid w:val="000820ED"/>
    <w:rsid w:val="00082A7D"/>
    <w:rsid w:val="00086B1B"/>
    <w:rsid w:val="000925BE"/>
    <w:rsid w:val="000931F8"/>
    <w:rsid w:val="0009347C"/>
    <w:rsid w:val="000A57F7"/>
    <w:rsid w:val="000D0D67"/>
    <w:rsid w:val="000D13AD"/>
    <w:rsid w:val="000E047B"/>
    <w:rsid w:val="000E09C4"/>
    <w:rsid w:val="000E5A90"/>
    <w:rsid w:val="00104035"/>
    <w:rsid w:val="00106D56"/>
    <w:rsid w:val="00110FE7"/>
    <w:rsid w:val="0011350D"/>
    <w:rsid w:val="00113CFA"/>
    <w:rsid w:val="00121CA1"/>
    <w:rsid w:val="00122332"/>
    <w:rsid w:val="00122624"/>
    <w:rsid w:val="00124714"/>
    <w:rsid w:val="001259D3"/>
    <w:rsid w:val="00126BAB"/>
    <w:rsid w:val="0013398A"/>
    <w:rsid w:val="00134ED3"/>
    <w:rsid w:val="00141876"/>
    <w:rsid w:val="0014207B"/>
    <w:rsid w:val="00150C49"/>
    <w:rsid w:val="00154ED7"/>
    <w:rsid w:val="001A1B81"/>
    <w:rsid w:val="001A5691"/>
    <w:rsid w:val="001A58B3"/>
    <w:rsid w:val="001A7F33"/>
    <w:rsid w:val="001C1234"/>
    <w:rsid w:val="001C1AE4"/>
    <w:rsid w:val="001C7688"/>
    <w:rsid w:val="001C7E98"/>
    <w:rsid w:val="001D0C50"/>
    <w:rsid w:val="001F3515"/>
    <w:rsid w:val="001F6340"/>
    <w:rsid w:val="001F7B12"/>
    <w:rsid w:val="0020698B"/>
    <w:rsid w:val="00207DEA"/>
    <w:rsid w:val="00212CEC"/>
    <w:rsid w:val="002163E8"/>
    <w:rsid w:val="00224352"/>
    <w:rsid w:val="002268D4"/>
    <w:rsid w:val="00227FB3"/>
    <w:rsid w:val="00233005"/>
    <w:rsid w:val="00233F17"/>
    <w:rsid w:val="00241ACF"/>
    <w:rsid w:val="00242B28"/>
    <w:rsid w:val="0024744C"/>
    <w:rsid w:val="00247756"/>
    <w:rsid w:val="00255111"/>
    <w:rsid w:val="00275640"/>
    <w:rsid w:val="002807DD"/>
    <w:rsid w:val="00286F15"/>
    <w:rsid w:val="0029656A"/>
    <w:rsid w:val="002A3601"/>
    <w:rsid w:val="002B1314"/>
    <w:rsid w:val="002B3136"/>
    <w:rsid w:val="002B3577"/>
    <w:rsid w:val="002B7C6F"/>
    <w:rsid w:val="002D111C"/>
    <w:rsid w:val="002D40F5"/>
    <w:rsid w:val="002D50FA"/>
    <w:rsid w:val="002D522B"/>
    <w:rsid w:val="002E2C99"/>
    <w:rsid w:val="002E6465"/>
    <w:rsid w:val="002E6DBB"/>
    <w:rsid w:val="002F1C00"/>
    <w:rsid w:val="002F4DBD"/>
    <w:rsid w:val="00302476"/>
    <w:rsid w:val="003060FD"/>
    <w:rsid w:val="00321E6F"/>
    <w:rsid w:val="00331F35"/>
    <w:rsid w:val="0033442A"/>
    <w:rsid w:val="0033585B"/>
    <w:rsid w:val="00335CDF"/>
    <w:rsid w:val="00336B4B"/>
    <w:rsid w:val="00342686"/>
    <w:rsid w:val="00345890"/>
    <w:rsid w:val="0035249F"/>
    <w:rsid w:val="00362A11"/>
    <w:rsid w:val="00363AFA"/>
    <w:rsid w:val="003754AA"/>
    <w:rsid w:val="0038284C"/>
    <w:rsid w:val="003A16C4"/>
    <w:rsid w:val="003A31BB"/>
    <w:rsid w:val="003A36BE"/>
    <w:rsid w:val="003A40C1"/>
    <w:rsid w:val="003A552F"/>
    <w:rsid w:val="003A7ED3"/>
    <w:rsid w:val="003B5D3E"/>
    <w:rsid w:val="003B62E6"/>
    <w:rsid w:val="003B6BE8"/>
    <w:rsid w:val="003C1E36"/>
    <w:rsid w:val="003D37E4"/>
    <w:rsid w:val="003E45CF"/>
    <w:rsid w:val="003F35FD"/>
    <w:rsid w:val="003F4799"/>
    <w:rsid w:val="003F5E69"/>
    <w:rsid w:val="004004E2"/>
    <w:rsid w:val="00406F5A"/>
    <w:rsid w:val="00411014"/>
    <w:rsid w:val="0041385B"/>
    <w:rsid w:val="0041709A"/>
    <w:rsid w:val="004252F1"/>
    <w:rsid w:val="00426E7F"/>
    <w:rsid w:val="00426FF8"/>
    <w:rsid w:val="0042746A"/>
    <w:rsid w:val="00427AFE"/>
    <w:rsid w:val="00427D75"/>
    <w:rsid w:val="0043185D"/>
    <w:rsid w:val="004326C1"/>
    <w:rsid w:val="00433245"/>
    <w:rsid w:val="00435F18"/>
    <w:rsid w:val="00441BFA"/>
    <w:rsid w:val="004427CC"/>
    <w:rsid w:val="004460C9"/>
    <w:rsid w:val="00453B6D"/>
    <w:rsid w:val="0045486B"/>
    <w:rsid w:val="00454FBD"/>
    <w:rsid w:val="00456D52"/>
    <w:rsid w:val="00463720"/>
    <w:rsid w:val="00464F6A"/>
    <w:rsid w:val="00475583"/>
    <w:rsid w:val="00494730"/>
    <w:rsid w:val="004953E5"/>
    <w:rsid w:val="00497BFA"/>
    <w:rsid w:val="004A7CF3"/>
    <w:rsid w:val="004B05E0"/>
    <w:rsid w:val="004B56B4"/>
    <w:rsid w:val="004C1BD1"/>
    <w:rsid w:val="004C2719"/>
    <w:rsid w:val="004C629E"/>
    <w:rsid w:val="004D18AD"/>
    <w:rsid w:val="004D7988"/>
    <w:rsid w:val="004D7CD8"/>
    <w:rsid w:val="004E10F6"/>
    <w:rsid w:val="004E4B78"/>
    <w:rsid w:val="004E5068"/>
    <w:rsid w:val="004F6E7A"/>
    <w:rsid w:val="004F7A00"/>
    <w:rsid w:val="0050792D"/>
    <w:rsid w:val="00513801"/>
    <w:rsid w:val="0052341D"/>
    <w:rsid w:val="00523F48"/>
    <w:rsid w:val="00524E6D"/>
    <w:rsid w:val="005314A3"/>
    <w:rsid w:val="005365FA"/>
    <w:rsid w:val="005372E0"/>
    <w:rsid w:val="00543100"/>
    <w:rsid w:val="00546D39"/>
    <w:rsid w:val="00551788"/>
    <w:rsid w:val="0055491A"/>
    <w:rsid w:val="00554934"/>
    <w:rsid w:val="00562CFB"/>
    <w:rsid w:val="00565088"/>
    <w:rsid w:val="005666D8"/>
    <w:rsid w:val="005723CB"/>
    <w:rsid w:val="00575400"/>
    <w:rsid w:val="005776E3"/>
    <w:rsid w:val="005856CA"/>
    <w:rsid w:val="00586999"/>
    <w:rsid w:val="00590892"/>
    <w:rsid w:val="005928D2"/>
    <w:rsid w:val="005A2E48"/>
    <w:rsid w:val="005A4675"/>
    <w:rsid w:val="005B18AF"/>
    <w:rsid w:val="005B2E16"/>
    <w:rsid w:val="005C7D42"/>
    <w:rsid w:val="005D5A50"/>
    <w:rsid w:val="005E2369"/>
    <w:rsid w:val="005E7210"/>
    <w:rsid w:val="005F2743"/>
    <w:rsid w:val="005F5301"/>
    <w:rsid w:val="005F5C51"/>
    <w:rsid w:val="005F65B7"/>
    <w:rsid w:val="005F7C79"/>
    <w:rsid w:val="00601A3B"/>
    <w:rsid w:val="006067C7"/>
    <w:rsid w:val="006153F0"/>
    <w:rsid w:val="006159AD"/>
    <w:rsid w:val="00646436"/>
    <w:rsid w:val="0065172E"/>
    <w:rsid w:val="00664420"/>
    <w:rsid w:val="00665C71"/>
    <w:rsid w:val="00682FB7"/>
    <w:rsid w:val="0068416B"/>
    <w:rsid w:val="00685CF1"/>
    <w:rsid w:val="0069703D"/>
    <w:rsid w:val="00697C3A"/>
    <w:rsid w:val="006A4117"/>
    <w:rsid w:val="006A61F1"/>
    <w:rsid w:val="006A646A"/>
    <w:rsid w:val="006B10B0"/>
    <w:rsid w:val="006B7FED"/>
    <w:rsid w:val="006B7FEF"/>
    <w:rsid w:val="006C2F91"/>
    <w:rsid w:val="006C3622"/>
    <w:rsid w:val="006D3506"/>
    <w:rsid w:val="006D42B5"/>
    <w:rsid w:val="006E185F"/>
    <w:rsid w:val="006E23FF"/>
    <w:rsid w:val="006E25BC"/>
    <w:rsid w:val="006E6BBC"/>
    <w:rsid w:val="006F1763"/>
    <w:rsid w:val="006F64E7"/>
    <w:rsid w:val="006F7071"/>
    <w:rsid w:val="006F7768"/>
    <w:rsid w:val="00703BC7"/>
    <w:rsid w:val="00711CF9"/>
    <w:rsid w:val="00712200"/>
    <w:rsid w:val="00717E59"/>
    <w:rsid w:val="0074115A"/>
    <w:rsid w:val="0075086A"/>
    <w:rsid w:val="00760756"/>
    <w:rsid w:val="0077382A"/>
    <w:rsid w:val="00773E03"/>
    <w:rsid w:val="00775BFC"/>
    <w:rsid w:val="0078291B"/>
    <w:rsid w:val="00783C1E"/>
    <w:rsid w:val="007949B5"/>
    <w:rsid w:val="00797492"/>
    <w:rsid w:val="007978D7"/>
    <w:rsid w:val="007A2722"/>
    <w:rsid w:val="007A2AD8"/>
    <w:rsid w:val="007A3459"/>
    <w:rsid w:val="007B034E"/>
    <w:rsid w:val="007B6074"/>
    <w:rsid w:val="007C17CC"/>
    <w:rsid w:val="007C1C17"/>
    <w:rsid w:val="007C6519"/>
    <w:rsid w:val="007D1C55"/>
    <w:rsid w:val="007D317F"/>
    <w:rsid w:val="007E0654"/>
    <w:rsid w:val="007F107E"/>
    <w:rsid w:val="007F2531"/>
    <w:rsid w:val="007F5D06"/>
    <w:rsid w:val="007F5ECA"/>
    <w:rsid w:val="00803A08"/>
    <w:rsid w:val="00805A6E"/>
    <w:rsid w:val="00807778"/>
    <w:rsid w:val="00814ADD"/>
    <w:rsid w:val="0082247D"/>
    <w:rsid w:val="00826371"/>
    <w:rsid w:val="00826A93"/>
    <w:rsid w:val="0083518A"/>
    <w:rsid w:val="008363CB"/>
    <w:rsid w:val="00837517"/>
    <w:rsid w:val="008423BA"/>
    <w:rsid w:val="008436D6"/>
    <w:rsid w:val="008629A5"/>
    <w:rsid w:val="00865CF4"/>
    <w:rsid w:val="008669DA"/>
    <w:rsid w:val="0087567C"/>
    <w:rsid w:val="00876015"/>
    <w:rsid w:val="00876DBC"/>
    <w:rsid w:val="00893BA2"/>
    <w:rsid w:val="00896AF7"/>
    <w:rsid w:val="008A09B9"/>
    <w:rsid w:val="008A6003"/>
    <w:rsid w:val="008A6AB7"/>
    <w:rsid w:val="008A6F88"/>
    <w:rsid w:val="008A7E51"/>
    <w:rsid w:val="008B0164"/>
    <w:rsid w:val="008B1E16"/>
    <w:rsid w:val="008B444E"/>
    <w:rsid w:val="008B62FA"/>
    <w:rsid w:val="008C2C22"/>
    <w:rsid w:val="008D2765"/>
    <w:rsid w:val="008E1316"/>
    <w:rsid w:val="008E19A7"/>
    <w:rsid w:val="008F2155"/>
    <w:rsid w:val="008F3837"/>
    <w:rsid w:val="008F6A6B"/>
    <w:rsid w:val="00910FD2"/>
    <w:rsid w:val="009156B5"/>
    <w:rsid w:val="0091733B"/>
    <w:rsid w:val="00923307"/>
    <w:rsid w:val="00931437"/>
    <w:rsid w:val="00934ECD"/>
    <w:rsid w:val="00943CBD"/>
    <w:rsid w:val="00953430"/>
    <w:rsid w:val="00954E29"/>
    <w:rsid w:val="00955DCC"/>
    <w:rsid w:val="00960996"/>
    <w:rsid w:val="00961397"/>
    <w:rsid w:val="00964368"/>
    <w:rsid w:val="0096663A"/>
    <w:rsid w:val="00967728"/>
    <w:rsid w:val="00970EB3"/>
    <w:rsid w:val="00975CA6"/>
    <w:rsid w:val="009770E6"/>
    <w:rsid w:val="00977BCC"/>
    <w:rsid w:val="00983EEF"/>
    <w:rsid w:val="0099070B"/>
    <w:rsid w:val="00991944"/>
    <w:rsid w:val="00996D9D"/>
    <w:rsid w:val="009A1803"/>
    <w:rsid w:val="009A25B6"/>
    <w:rsid w:val="009A2D78"/>
    <w:rsid w:val="009A7C10"/>
    <w:rsid w:val="009B2945"/>
    <w:rsid w:val="009B38F6"/>
    <w:rsid w:val="009C6DBB"/>
    <w:rsid w:val="009D69F6"/>
    <w:rsid w:val="009E2DEE"/>
    <w:rsid w:val="009E57D9"/>
    <w:rsid w:val="009F797C"/>
    <w:rsid w:val="00A00991"/>
    <w:rsid w:val="00A0449B"/>
    <w:rsid w:val="00A053F2"/>
    <w:rsid w:val="00A073BE"/>
    <w:rsid w:val="00A10E0E"/>
    <w:rsid w:val="00A131AC"/>
    <w:rsid w:val="00A151B2"/>
    <w:rsid w:val="00A16D85"/>
    <w:rsid w:val="00A21A20"/>
    <w:rsid w:val="00A24D6A"/>
    <w:rsid w:val="00A32CA5"/>
    <w:rsid w:val="00A33BDB"/>
    <w:rsid w:val="00A36A99"/>
    <w:rsid w:val="00A42706"/>
    <w:rsid w:val="00A45D1C"/>
    <w:rsid w:val="00A53315"/>
    <w:rsid w:val="00A5371E"/>
    <w:rsid w:val="00A61C31"/>
    <w:rsid w:val="00A64191"/>
    <w:rsid w:val="00A70EF0"/>
    <w:rsid w:val="00A71845"/>
    <w:rsid w:val="00A81896"/>
    <w:rsid w:val="00A81DC8"/>
    <w:rsid w:val="00A850A3"/>
    <w:rsid w:val="00A9208D"/>
    <w:rsid w:val="00AA18D7"/>
    <w:rsid w:val="00AA364B"/>
    <w:rsid w:val="00AA4FA7"/>
    <w:rsid w:val="00AA6EA9"/>
    <w:rsid w:val="00AB1BE1"/>
    <w:rsid w:val="00AB41ED"/>
    <w:rsid w:val="00AB497D"/>
    <w:rsid w:val="00AB60FF"/>
    <w:rsid w:val="00AC2DB8"/>
    <w:rsid w:val="00AC3CA0"/>
    <w:rsid w:val="00AE0232"/>
    <w:rsid w:val="00AE0BD0"/>
    <w:rsid w:val="00AE2F42"/>
    <w:rsid w:val="00AE3DA7"/>
    <w:rsid w:val="00AE6FFC"/>
    <w:rsid w:val="00AE7030"/>
    <w:rsid w:val="00AF03C4"/>
    <w:rsid w:val="00B009AD"/>
    <w:rsid w:val="00B03AB8"/>
    <w:rsid w:val="00B047A8"/>
    <w:rsid w:val="00B05F2B"/>
    <w:rsid w:val="00B22A80"/>
    <w:rsid w:val="00B23C0A"/>
    <w:rsid w:val="00B25129"/>
    <w:rsid w:val="00B416E8"/>
    <w:rsid w:val="00B50E12"/>
    <w:rsid w:val="00B540DC"/>
    <w:rsid w:val="00B55E8A"/>
    <w:rsid w:val="00B55F8F"/>
    <w:rsid w:val="00B562C2"/>
    <w:rsid w:val="00B60BFC"/>
    <w:rsid w:val="00B62F57"/>
    <w:rsid w:val="00B82086"/>
    <w:rsid w:val="00B83675"/>
    <w:rsid w:val="00B83A8E"/>
    <w:rsid w:val="00B96520"/>
    <w:rsid w:val="00B97A00"/>
    <w:rsid w:val="00BA09FB"/>
    <w:rsid w:val="00BA55A8"/>
    <w:rsid w:val="00BB2ABF"/>
    <w:rsid w:val="00BB3CAA"/>
    <w:rsid w:val="00BB4E0D"/>
    <w:rsid w:val="00BB5226"/>
    <w:rsid w:val="00BB64F4"/>
    <w:rsid w:val="00BB7B48"/>
    <w:rsid w:val="00BC17A4"/>
    <w:rsid w:val="00BC2617"/>
    <w:rsid w:val="00BC67B0"/>
    <w:rsid w:val="00BC7CDB"/>
    <w:rsid w:val="00BD0200"/>
    <w:rsid w:val="00BD3F4F"/>
    <w:rsid w:val="00BD5A7C"/>
    <w:rsid w:val="00BE413E"/>
    <w:rsid w:val="00BE5FAE"/>
    <w:rsid w:val="00BE7A1B"/>
    <w:rsid w:val="00BF0221"/>
    <w:rsid w:val="00BF091A"/>
    <w:rsid w:val="00BF4236"/>
    <w:rsid w:val="00BF47DD"/>
    <w:rsid w:val="00BF4EAD"/>
    <w:rsid w:val="00BF70F9"/>
    <w:rsid w:val="00C018EB"/>
    <w:rsid w:val="00C02F8E"/>
    <w:rsid w:val="00C03E91"/>
    <w:rsid w:val="00C049E2"/>
    <w:rsid w:val="00C05AB7"/>
    <w:rsid w:val="00C07A81"/>
    <w:rsid w:val="00C219BE"/>
    <w:rsid w:val="00C22DCF"/>
    <w:rsid w:val="00C23074"/>
    <w:rsid w:val="00C36795"/>
    <w:rsid w:val="00C458D6"/>
    <w:rsid w:val="00C461EC"/>
    <w:rsid w:val="00C507D4"/>
    <w:rsid w:val="00C5489B"/>
    <w:rsid w:val="00C67A70"/>
    <w:rsid w:val="00C67AEE"/>
    <w:rsid w:val="00C70B3F"/>
    <w:rsid w:val="00C71CEF"/>
    <w:rsid w:val="00C72DAA"/>
    <w:rsid w:val="00C75036"/>
    <w:rsid w:val="00C76DE8"/>
    <w:rsid w:val="00C80B14"/>
    <w:rsid w:val="00C82CA9"/>
    <w:rsid w:val="00C84E80"/>
    <w:rsid w:val="00C96A9F"/>
    <w:rsid w:val="00CA31F9"/>
    <w:rsid w:val="00CA3A28"/>
    <w:rsid w:val="00CB7E9A"/>
    <w:rsid w:val="00CC0AD5"/>
    <w:rsid w:val="00CC26A3"/>
    <w:rsid w:val="00CC29E8"/>
    <w:rsid w:val="00CC783A"/>
    <w:rsid w:val="00CD0B92"/>
    <w:rsid w:val="00CD22FC"/>
    <w:rsid w:val="00CD3D41"/>
    <w:rsid w:val="00CD633E"/>
    <w:rsid w:val="00CE0F4F"/>
    <w:rsid w:val="00CE29D3"/>
    <w:rsid w:val="00CF2D8B"/>
    <w:rsid w:val="00CF3C01"/>
    <w:rsid w:val="00CF63D9"/>
    <w:rsid w:val="00CF7586"/>
    <w:rsid w:val="00D02CF1"/>
    <w:rsid w:val="00D036D3"/>
    <w:rsid w:val="00D06018"/>
    <w:rsid w:val="00D1261A"/>
    <w:rsid w:val="00D12D73"/>
    <w:rsid w:val="00D13782"/>
    <w:rsid w:val="00D13A56"/>
    <w:rsid w:val="00D201B7"/>
    <w:rsid w:val="00D23DD8"/>
    <w:rsid w:val="00D27906"/>
    <w:rsid w:val="00D2790D"/>
    <w:rsid w:val="00D463BF"/>
    <w:rsid w:val="00D511C2"/>
    <w:rsid w:val="00D51ECD"/>
    <w:rsid w:val="00D568DC"/>
    <w:rsid w:val="00D60C75"/>
    <w:rsid w:val="00D6170E"/>
    <w:rsid w:val="00D64B5C"/>
    <w:rsid w:val="00D713EE"/>
    <w:rsid w:val="00D75EE6"/>
    <w:rsid w:val="00D83627"/>
    <w:rsid w:val="00D8666D"/>
    <w:rsid w:val="00D91CB4"/>
    <w:rsid w:val="00D94DDB"/>
    <w:rsid w:val="00D97C9C"/>
    <w:rsid w:val="00DB024D"/>
    <w:rsid w:val="00DB1C09"/>
    <w:rsid w:val="00DB28CE"/>
    <w:rsid w:val="00DB650D"/>
    <w:rsid w:val="00DC19D6"/>
    <w:rsid w:val="00DC3345"/>
    <w:rsid w:val="00DC4A19"/>
    <w:rsid w:val="00DD43D8"/>
    <w:rsid w:val="00DD45ED"/>
    <w:rsid w:val="00DE1133"/>
    <w:rsid w:val="00DE285A"/>
    <w:rsid w:val="00DE656C"/>
    <w:rsid w:val="00DF039B"/>
    <w:rsid w:val="00DF4E42"/>
    <w:rsid w:val="00DF60AF"/>
    <w:rsid w:val="00DF6E63"/>
    <w:rsid w:val="00E140DB"/>
    <w:rsid w:val="00E14E52"/>
    <w:rsid w:val="00E1633E"/>
    <w:rsid w:val="00E16BF5"/>
    <w:rsid w:val="00E268F3"/>
    <w:rsid w:val="00E325AD"/>
    <w:rsid w:val="00E33714"/>
    <w:rsid w:val="00E37A3F"/>
    <w:rsid w:val="00E37D3C"/>
    <w:rsid w:val="00E400A7"/>
    <w:rsid w:val="00E415FE"/>
    <w:rsid w:val="00E62E6A"/>
    <w:rsid w:val="00E727BA"/>
    <w:rsid w:val="00E7783A"/>
    <w:rsid w:val="00E810F7"/>
    <w:rsid w:val="00E83EF5"/>
    <w:rsid w:val="00E9137B"/>
    <w:rsid w:val="00E9335C"/>
    <w:rsid w:val="00EA2677"/>
    <w:rsid w:val="00EA5674"/>
    <w:rsid w:val="00EC7CC9"/>
    <w:rsid w:val="00EC7E8F"/>
    <w:rsid w:val="00ED1788"/>
    <w:rsid w:val="00ED1C1E"/>
    <w:rsid w:val="00ED2B77"/>
    <w:rsid w:val="00ED7170"/>
    <w:rsid w:val="00EE1B1C"/>
    <w:rsid w:val="00EE2AF2"/>
    <w:rsid w:val="00EE44F7"/>
    <w:rsid w:val="00EE69EA"/>
    <w:rsid w:val="00EE78BF"/>
    <w:rsid w:val="00EF1CA6"/>
    <w:rsid w:val="00EF22FE"/>
    <w:rsid w:val="00EF577F"/>
    <w:rsid w:val="00EF70F1"/>
    <w:rsid w:val="00EF7FAA"/>
    <w:rsid w:val="00F0679F"/>
    <w:rsid w:val="00F07EE6"/>
    <w:rsid w:val="00F15743"/>
    <w:rsid w:val="00F27EB1"/>
    <w:rsid w:val="00F33CC8"/>
    <w:rsid w:val="00F34811"/>
    <w:rsid w:val="00F37AB2"/>
    <w:rsid w:val="00F4124A"/>
    <w:rsid w:val="00F41723"/>
    <w:rsid w:val="00F4481C"/>
    <w:rsid w:val="00F46F46"/>
    <w:rsid w:val="00F51362"/>
    <w:rsid w:val="00F529E2"/>
    <w:rsid w:val="00F53543"/>
    <w:rsid w:val="00F53E56"/>
    <w:rsid w:val="00F55216"/>
    <w:rsid w:val="00F560A8"/>
    <w:rsid w:val="00F57C01"/>
    <w:rsid w:val="00F616E2"/>
    <w:rsid w:val="00F617C4"/>
    <w:rsid w:val="00F75D23"/>
    <w:rsid w:val="00F87D65"/>
    <w:rsid w:val="00FA5957"/>
    <w:rsid w:val="00FA7155"/>
    <w:rsid w:val="00FB1AF5"/>
    <w:rsid w:val="00FB1C2A"/>
    <w:rsid w:val="00FB5587"/>
    <w:rsid w:val="00FC1EAB"/>
    <w:rsid w:val="00FC3CE0"/>
    <w:rsid w:val="00FC406D"/>
    <w:rsid w:val="00FC7519"/>
    <w:rsid w:val="00FD06A8"/>
    <w:rsid w:val="00FD3609"/>
    <w:rsid w:val="00FE23C1"/>
    <w:rsid w:val="00FE4F1F"/>
    <w:rsid w:val="00FF4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10632037">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52993852">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34345105">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39124800">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29511961">
      <w:bodyDiv w:val="1"/>
      <w:marLeft w:val="0"/>
      <w:marRight w:val="0"/>
      <w:marTop w:val="0"/>
      <w:marBottom w:val="0"/>
      <w:divBdr>
        <w:top w:val="none" w:sz="0" w:space="0" w:color="auto"/>
        <w:left w:val="none" w:sz="0" w:space="0" w:color="auto"/>
        <w:bottom w:val="none" w:sz="0" w:space="0" w:color="auto"/>
        <w:right w:val="none" w:sz="0" w:space="0" w:color="auto"/>
      </w:divBdr>
      <w:divsChild>
        <w:div w:id="1936592460">
          <w:marLeft w:val="0"/>
          <w:marRight w:val="0"/>
          <w:marTop w:val="0"/>
          <w:marBottom w:val="0"/>
          <w:divBdr>
            <w:top w:val="none" w:sz="0" w:space="0" w:color="auto"/>
            <w:left w:val="none" w:sz="0" w:space="0" w:color="auto"/>
            <w:bottom w:val="none" w:sz="0" w:space="0" w:color="auto"/>
            <w:right w:val="none" w:sz="0" w:space="0" w:color="auto"/>
          </w:divBdr>
        </w:div>
      </w:divsChild>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94645129">
      <w:bodyDiv w:val="1"/>
      <w:marLeft w:val="0"/>
      <w:marRight w:val="0"/>
      <w:marTop w:val="0"/>
      <w:marBottom w:val="0"/>
      <w:divBdr>
        <w:top w:val="none" w:sz="0" w:space="0" w:color="auto"/>
        <w:left w:val="none" w:sz="0" w:space="0" w:color="auto"/>
        <w:bottom w:val="none" w:sz="0" w:space="0" w:color="auto"/>
        <w:right w:val="none" w:sz="0" w:space="0" w:color="auto"/>
      </w:divBdr>
    </w:div>
    <w:div w:id="1574268899">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6666797">
      <w:bodyDiv w:val="1"/>
      <w:marLeft w:val="0"/>
      <w:marRight w:val="0"/>
      <w:marTop w:val="0"/>
      <w:marBottom w:val="0"/>
      <w:divBdr>
        <w:top w:val="none" w:sz="0" w:space="0" w:color="auto"/>
        <w:left w:val="none" w:sz="0" w:space="0" w:color="auto"/>
        <w:bottom w:val="none" w:sz="0" w:space="0" w:color="auto"/>
        <w:right w:val="none" w:sz="0" w:space="0" w:color="auto"/>
      </w:divBdr>
      <w:divsChild>
        <w:div w:id="477917679">
          <w:marLeft w:val="0"/>
          <w:marRight w:val="0"/>
          <w:marTop w:val="0"/>
          <w:marBottom w:val="0"/>
          <w:divBdr>
            <w:top w:val="none" w:sz="0" w:space="0" w:color="auto"/>
            <w:left w:val="none" w:sz="0" w:space="0" w:color="auto"/>
            <w:bottom w:val="none" w:sz="0" w:space="0" w:color="auto"/>
            <w:right w:val="none" w:sz="0" w:space="0" w:color="auto"/>
          </w:divBdr>
        </w:div>
      </w:divsChild>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8EDA1-96A4-4711-803D-4FA45EEA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11206</Words>
  <Characters>61636</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2024-08-30T01:02:00Z</cp:lastPrinted>
  <dcterms:created xsi:type="dcterms:W3CDTF">2024-08-27T00:51:00Z</dcterms:created>
  <dcterms:modified xsi:type="dcterms:W3CDTF">2024-08-30T01:02:00Z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