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B945"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ocho de febrero de dos mil veinticuatro. </w:t>
      </w:r>
    </w:p>
    <w:p w14:paraId="64D56168"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t>VISTO</w:t>
      </w:r>
      <w:r w:rsidRPr="00CB2E6A">
        <w:rPr>
          <w:rFonts w:ascii="Palatino Linotype" w:eastAsia="Palatino Linotype" w:hAnsi="Palatino Linotype" w:cs="Palatino Linotype"/>
        </w:rPr>
        <w:t xml:space="preserve"> el expediente formado con motivo del recurso de revisión </w:t>
      </w:r>
      <w:r w:rsidRPr="00CB2E6A">
        <w:rPr>
          <w:rFonts w:ascii="Palatino Linotype" w:eastAsia="Palatino Linotype" w:hAnsi="Palatino Linotype" w:cs="Palatino Linotype"/>
          <w:b/>
        </w:rPr>
        <w:t>03454/INFOEM/IP/RR/2023</w:t>
      </w:r>
      <w:r w:rsidRPr="00CB2E6A">
        <w:rPr>
          <w:rFonts w:ascii="Palatino Linotype" w:eastAsia="Palatino Linotype" w:hAnsi="Palatino Linotype" w:cs="Palatino Linotype"/>
        </w:rPr>
        <w:t>, por</w:t>
      </w:r>
      <w:r w:rsidRPr="00CB2E6A">
        <w:rPr>
          <w:rFonts w:ascii="Palatino Linotype" w:eastAsia="Palatino Linotype" w:hAnsi="Palatino Linotype" w:cs="Palatino Linotype"/>
          <w:b/>
        </w:rPr>
        <w:t xml:space="preserve"> </w:t>
      </w:r>
      <w:r w:rsidRPr="00CB2E6A">
        <w:rPr>
          <w:rFonts w:ascii="Palatino Linotype" w:eastAsia="Palatino Linotype" w:hAnsi="Palatino Linotype" w:cs="Palatino Linotype"/>
        </w:rPr>
        <w:t>interpuesto por</w:t>
      </w:r>
      <w:r w:rsidRPr="00CB2E6A">
        <w:rPr>
          <w:rFonts w:ascii="Palatino Linotype" w:eastAsia="Palatino Linotype" w:hAnsi="Palatino Linotype" w:cs="Palatino Linotype"/>
          <w:b/>
        </w:rPr>
        <w:t xml:space="preserve"> un particular que no proporcionó su nombre,</w:t>
      </w:r>
      <w:r w:rsidRPr="00CB2E6A">
        <w:rPr>
          <w:rFonts w:ascii="Palatino Linotype" w:eastAsia="Palatino Linotype" w:hAnsi="Palatino Linotype" w:cs="Palatino Linotype"/>
        </w:rPr>
        <w:t xml:space="preserve"> en lo sucesivo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xml:space="preserve"> en contra de la respuesta a su solicitud por parte de la </w:t>
      </w:r>
      <w:r w:rsidRPr="00CB2E6A">
        <w:rPr>
          <w:rFonts w:ascii="Palatino Linotype" w:eastAsia="Palatino Linotype" w:hAnsi="Palatino Linotype" w:cs="Palatino Linotype"/>
          <w:b/>
        </w:rPr>
        <w:t xml:space="preserve">Secretaría de Finanzas, </w:t>
      </w:r>
      <w:r w:rsidRPr="00CB2E6A">
        <w:rPr>
          <w:rFonts w:ascii="Palatino Linotype" w:eastAsia="Palatino Linotype" w:hAnsi="Palatino Linotype" w:cs="Palatino Linotype"/>
        </w:rPr>
        <w:t xml:space="preserve">en lo sucesivo el </w:t>
      </w:r>
      <w:r w:rsidRPr="00CB2E6A">
        <w:rPr>
          <w:rFonts w:ascii="Palatino Linotype" w:eastAsia="Palatino Linotype" w:hAnsi="Palatino Linotype" w:cs="Palatino Linotype"/>
          <w:b/>
        </w:rPr>
        <w:t xml:space="preserve">SUJETO OBLIGADO, </w:t>
      </w:r>
      <w:r w:rsidRPr="00CB2E6A">
        <w:rPr>
          <w:rFonts w:ascii="Palatino Linotype" w:eastAsia="Palatino Linotype" w:hAnsi="Palatino Linotype" w:cs="Palatino Linotype"/>
        </w:rPr>
        <w:t xml:space="preserve">se procede a dictar la presente resolución con base en los siguientes: </w:t>
      </w:r>
    </w:p>
    <w:p w14:paraId="6906CEB6" w14:textId="77777777" w:rsidR="00640F5E" w:rsidRPr="00CB2E6A" w:rsidRDefault="00634B62">
      <w:pPr>
        <w:spacing w:before="240" w:after="240" w:line="360" w:lineRule="auto"/>
        <w:jc w:val="center"/>
        <w:rPr>
          <w:rFonts w:ascii="Palatino Linotype" w:eastAsia="Palatino Linotype" w:hAnsi="Palatino Linotype" w:cs="Palatino Linotype"/>
          <w:b/>
        </w:rPr>
      </w:pPr>
      <w:r w:rsidRPr="00CB2E6A">
        <w:rPr>
          <w:rFonts w:ascii="Palatino Linotype" w:eastAsia="Palatino Linotype" w:hAnsi="Palatino Linotype" w:cs="Palatino Linotype"/>
          <w:b/>
        </w:rPr>
        <w:t>I. A N T E C E D E N T E S</w:t>
      </w:r>
    </w:p>
    <w:p w14:paraId="45350697"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t>1. Solicitud de acceso a la información.</w:t>
      </w:r>
      <w:r w:rsidRPr="00CB2E6A">
        <w:rPr>
          <w:rFonts w:ascii="Palatino Linotype" w:eastAsia="Palatino Linotype" w:hAnsi="Palatino Linotype" w:cs="Palatino Linotype"/>
        </w:rPr>
        <w:t xml:space="preserve"> Con fecha </w:t>
      </w:r>
      <w:r w:rsidRPr="00CB2E6A">
        <w:rPr>
          <w:rFonts w:ascii="Palatino Linotype" w:eastAsia="Palatino Linotype" w:hAnsi="Palatino Linotype" w:cs="Palatino Linotype"/>
          <w:b/>
        </w:rPr>
        <w:t>veintiséis de mayo de dos mil veintitrés,</w:t>
      </w:r>
      <w:r w:rsidRPr="00CB2E6A">
        <w:rPr>
          <w:rFonts w:ascii="Palatino Linotype" w:eastAsia="Palatino Linotype" w:hAnsi="Palatino Linotype" w:cs="Palatino Linotype"/>
        </w:rPr>
        <w:t xml:space="preserve"> la parte </w:t>
      </w:r>
      <w:r w:rsidRPr="00CB2E6A">
        <w:rPr>
          <w:rFonts w:ascii="Palatino Linotype" w:eastAsia="Palatino Linotype" w:hAnsi="Palatino Linotype" w:cs="Palatino Linotype"/>
          <w:b/>
        </w:rPr>
        <w:t xml:space="preserve">RECURRENTE </w:t>
      </w:r>
      <w:r w:rsidRPr="00CB2E6A">
        <w:rPr>
          <w:rFonts w:ascii="Palatino Linotype" w:eastAsia="Palatino Linotype" w:hAnsi="Palatino Linotype" w:cs="Palatino Linotype"/>
        </w:rPr>
        <w:t xml:space="preserve">presentó, través del Sistema de Acceso a la Información Mexiquense, en lo subsecuente el </w:t>
      </w:r>
      <w:r w:rsidRPr="00CB2E6A">
        <w:rPr>
          <w:rFonts w:ascii="Palatino Linotype" w:eastAsia="Palatino Linotype" w:hAnsi="Palatino Linotype" w:cs="Palatino Linotype"/>
          <w:b/>
        </w:rPr>
        <w:t>SAIMEX,</w:t>
      </w:r>
      <w:r w:rsidRPr="00CB2E6A">
        <w:rPr>
          <w:rFonts w:ascii="Palatino Linotype" w:eastAsia="Palatino Linotype" w:hAnsi="Palatino Linotype" w:cs="Palatino Linotype"/>
        </w:rPr>
        <w:t xml:space="preserve"> ante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la solicitud de acceso a la información pública, a la que se le asignó el número</w:t>
      </w:r>
      <w:r w:rsidRPr="00CB2E6A">
        <w:rPr>
          <w:rFonts w:ascii="Palatino Linotype" w:eastAsia="Palatino Linotype" w:hAnsi="Palatino Linotype" w:cs="Palatino Linotype"/>
          <w:b/>
        </w:rPr>
        <w:t xml:space="preserve"> 00391/SF/IP/2023, </w:t>
      </w:r>
      <w:r w:rsidRPr="00CB2E6A">
        <w:rPr>
          <w:rFonts w:ascii="Palatino Linotype" w:eastAsia="Palatino Linotype" w:hAnsi="Palatino Linotype" w:cs="Palatino Linotype"/>
        </w:rPr>
        <w:t xml:space="preserve">mediante la cual requirió la información siguiente: </w:t>
      </w:r>
    </w:p>
    <w:p w14:paraId="1E4AACF8" w14:textId="77777777" w:rsidR="00640F5E" w:rsidRPr="00CB2E6A" w:rsidRDefault="00634B62">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CB2E6A">
        <w:rPr>
          <w:rFonts w:ascii="Palatino Linotype" w:eastAsia="Palatino Linotype" w:hAnsi="Palatino Linotype" w:cs="Palatino Linotype"/>
          <w:i/>
          <w:sz w:val="22"/>
          <w:szCs w:val="22"/>
        </w:rPr>
        <w:t xml:space="preserve">“Ahora voy a solicitar en pleno ejercicio de mi derecho lo siguiente: De la empresa </w:t>
      </w:r>
      <w:proofErr w:type="spellStart"/>
      <w:r w:rsidRPr="00CB2E6A">
        <w:rPr>
          <w:rFonts w:ascii="Palatino Linotype" w:eastAsia="Palatino Linotype" w:hAnsi="Palatino Linotype" w:cs="Palatino Linotype"/>
          <w:i/>
          <w:sz w:val="22"/>
          <w:szCs w:val="22"/>
        </w:rPr>
        <w:t>Zumby</w:t>
      </w:r>
      <w:proofErr w:type="spellEnd"/>
      <w:r w:rsidRPr="00CB2E6A">
        <w:rPr>
          <w:rFonts w:ascii="Palatino Linotype" w:eastAsia="Palatino Linotype" w:hAnsi="Palatino Linotype" w:cs="Palatino Linotype"/>
          <w:i/>
          <w:sz w:val="22"/>
          <w:szCs w:val="22"/>
        </w:rPr>
        <w:t xml:space="preserve"> Servicios Profesionales S.A. DE C.V. toda la documentación que el sujeto obligado tiene en su posesión relativo a la empresa en mención Cada mala respuesta que viole mi derecho será impugnada ante el INFOEM, el INAI y la Suprema Corte de ser necesario” 1. Expediente formado con motivo de la licitación pública número LPNP-079-2021 que dio origen al contrato CS/A/92/2021.” (Sic)</w:t>
      </w:r>
    </w:p>
    <w:p w14:paraId="31DA5EF7" w14:textId="77777777" w:rsidR="00640F5E" w:rsidRPr="00CB2E6A" w:rsidRDefault="00640F5E">
      <w:pPr>
        <w:ind w:left="851" w:right="902"/>
        <w:jc w:val="both"/>
        <w:rPr>
          <w:rFonts w:ascii="Palatino Linotype" w:eastAsia="Palatino Linotype" w:hAnsi="Palatino Linotype" w:cs="Palatino Linotype"/>
          <w:i/>
          <w:sz w:val="22"/>
          <w:szCs w:val="22"/>
        </w:rPr>
      </w:pPr>
    </w:p>
    <w:p w14:paraId="2179FE67"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t>Modalidad de Entrega:</w:t>
      </w:r>
      <w:r w:rsidRPr="00CB2E6A">
        <w:rPr>
          <w:rFonts w:ascii="Palatino Linotype" w:eastAsia="Palatino Linotype" w:hAnsi="Palatino Linotype" w:cs="Palatino Linotype"/>
        </w:rPr>
        <w:t xml:space="preserve"> A través de SAIMEX.</w:t>
      </w:r>
    </w:p>
    <w:p w14:paraId="602172A2" w14:textId="77777777" w:rsidR="00640F5E" w:rsidRPr="00CB2E6A" w:rsidRDefault="00640F5E">
      <w:pPr>
        <w:spacing w:line="360" w:lineRule="auto"/>
        <w:jc w:val="both"/>
        <w:rPr>
          <w:rFonts w:ascii="Palatino Linotype" w:eastAsia="Palatino Linotype" w:hAnsi="Palatino Linotype" w:cs="Palatino Linotype"/>
        </w:rPr>
      </w:pPr>
    </w:p>
    <w:p w14:paraId="7E379A0C" w14:textId="77777777" w:rsidR="00640F5E" w:rsidRPr="00CB2E6A" w:rsidRDefault="00634B62">
      <w:pPr>
        <w:spacing w:after="240" w:line="360" w:lineRule="auto"/>
        <w:jc w:val="both"/>
        <w:rPr>
          <w:rFonts w:ascii="Palatino Linotype" w:eastAsia="Palatino Linotype" w:hAnsi="Palatino Linotype" w:cs="Palatino Linotype"/>
          <w:b/>
        </w:rPr>
      </w:pPr>
      <w:r w:rsidRPr="00CB2E6A">
        <w:rPr>
          <w:rFonts w:ascii="Palatino Linotype" w:eastAsia="Palatino Linotype" w:hAnsi="Palatino Linotype" w:cs="Palatino Linotype"/>
          <w:b/>
        </w:rPr>
        <w:lastRenderedPageBreak/>
        <w:t xml:space="preserve">2. Respuesta. </w:t>
      </w:r>
      <w:r w:rsidRPr="00CB2E6A">
        <w:rPr>
          <w:rFonts w:ascii="Palatino Linotype" w:eastAsia="Palatino Linotype" w:hAnsi="Palatino Linotype" w:cs="Palatino Linotype"/>
        </w:rPr>
        <w:t xml:space="preserve">Con fecha </w:t>
      </w:r>
      <w:r w:rsidRPr="00CB2E6A">
        <w:rPr>
          <w:rFonts w:ascii="Palatino Linotype" w:eastAsia="Palatino Linotype" w:hAnsi="Palatino Linotype" w:cs="Palatino Linotype"/>
          <w:b/>
        </w:rPr>
        <w:t>dieciséis de junio de dos mil veintitrés</w:t>
      </w:r>
      <w:r w:rsidRPr="00CB2E6A">
        <w:rPr>
          <w:rFonts w:ascii="Palatino Linotype" w:eastAsia="Palatino Linotype" w:hAnsi="Palatino Linotype" w:cs="Palatino Linotype"/>
        </w:rPr>
        <w:t xml:space="preserve">, el </w:t>
      </w:r>
      <w:r w:rsidRPr="00CB2E6A">
        <w:rPr>
          <w:rFonts w:ascii="Palatino Linotype" w:eastAsia="Palatino Linotype" w:hAnsi="Palatino Linotype" w:cs="Palatino Linotype"/>
          <w:b/>
        </w:rPr>
        <w:t xml:space="preserve">SUJETO OBLIGADO </w:t>
      </w:r>
      <w:r w:rsidRPr="00CB2E6A">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61DBF76" w14:textId="77777777" w:rsidR="00640F5E" w:rsidRPr="00CB2E6A" w:rsidRDefault="00634B62">
      <w:pPr>
        <w:spacing w:before="240" w:after="24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“…Sobre el particular, sírvase encontrar en archivo adjunto copia del oficio de notificación número 20700004S/UT-1355/2023 mediante el cual se detalla lo referente a su solicitud...” (Sic)</w:t>
      </w:r>
    </w:p>
    <w:p w14:paraId="2E46EA82"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adjuntó los siguientes archivos electrónicos:</w:t>
      </w:r>
    </w:p>
    <w:p w14:paraId="719F527E"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w:t>
      </w:r>
      <w:hyperlink r:id="rId8">
        <w:r w:rsidRPr="00CB2E6A">
          <w:rPr>
            <w:rFonts w:ascii="Palatino Linotype" w:eastAsia="Palatino Linotype" w:hAnsi="Palatino Linotype" w:cs="Palatino Linotype"/>
          </w:rPr>
          <w:t>391 DG Personal.pdf</w:t>
        </w:r>
      </w:hyperlink>
      <w:r w:rsidRPr="00CB2E6A">
        <w:rPr>
          <w:rFonts w:ascii="Palatino Linotype" w:eastAsia="Palatino Linotype" w:hAnsi="Palatino Linotype" w:cs="Palatino Linotype"/>
        </w:rPr>
        <w:t>”, el cual contiene el oficio número 207000100S-230/2023, por medio del  cual la Dirección General de Personal de la Secretaría de Finanzas no localizó información requerida por el particular.</w:t>
      </w:r>
    </w:p>
    <w:p w14:paraId="082CA0BE"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w:t>
      </w:r>
      <w:hyperlink r:id="rId9">
        <w:r w:rsidRPr="00CB2E6A">
          <w:rPr>
            <w:rFonts w:ascii="Palatino Linotype" w:eastAsia="Palatino Linotype" w:hAnsi="Palatino Linotype" w:cs="Palatino Linotype"/>
          </w:rPr>
          <w:t>UIPPE 391.pdf</w:t>
        </w:r>
      </w:hyperlink>
      <w:r w:rsidRPr="00CB2E6A">
        <w:rPr>
          <w:rFonts w:ascii="Palatino Linotype" w:eastAsia="Palatino Linotype" w:hAnsi="Palatino Linotype" w:cs="Palatino Linotype"/>
        </w:rPr>
        <w:t xml:space="preserve">”, el cual contiene el oficio número 207000004S/UT-1355/2023, por medio del cual el jefe De La Unidad De Información, Planeación, Programación Y Evaluación, Y Titular De La Unidad De Transparencia De La Secretaría De Finanzas, informó a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xml:space="preserve">, las respuestas otorgadas por la Dirección General de Personal y Dirección General de Recursos Materiales, </w:t>
      </w:r>
    </w:p>
    <w:p w14:paraId="331F3AF8"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w:t>
      </w:r>
      <w:hyperlink r:id="rId10">
        <w:r w:rsidRPr="00CB2E6A">
          <w:rPr>
            <w:rFonts w:ascii="Palatino Linotype" w:eastAsia="Palatino Linotype" w:hAnsi="Palatino Linotype" w:cs="Palatino Linotype"/>
          </w:rPr>
          <w:t>Respuesta Sol. 0391.pdf</w:t>
        </w:r>
      </w:hyperlink>
      <w:r w:rsidRPr="00CB2E6A">
        <w:rPr>
          <w:rFonts w:ascii="Palatino Linotype" w:eastAsia="Palatino Linotype" w:hAnsi="Palatino Linotype" w:cs="Palatino Linotype"/>
        </w:rPr>
        <w:t>”, el cual contiene el oficio número 20706005000200S-0241/2023, por medio del cual la Dirección de Recursos Materiales informó el cambio de modalidad a consulta directa de la información solicitada, bajo los siguientes términos:</w:t>
      </w:r>
    </w:p>
    <w:p w14:paraId="5025FA6F" w14:textId="77777777" w:rsidR="00640F5E" w:rsidRPr="00CB2E6A" w:rsidRDefault="00640F5E">
      <w:pPr>
        <w:spacing w:before="240" w:after="240" w:line="360" w:lineRule="auto"/>
        <w:ind w:right="49"/>
        <w:jc w:val="both"/>
        <w:rPr>
          <w:rFonts w:ascii="Palatino Linotype" w:eastAsia="Palatino Linotype" w:hAnsi="Palatino Linotype" w:cs="Palatino Linotype"/>
        </w:rPr>
      </w:pPr>
    </w:p>
    <w:p w14:paraId="5C0552F5" w14:textId="77777777" w:rsidR="00640F5E" w:rsidRPr="00CB2E6A" w:rsidRDefault="00640F5E">
      <w:pPr>
        <w:spacing w:before="240" w:after="240" w:line="360" w:lineRule="auto"/>
        <w:ind w:right="49"/>
        <w:jc w:val="both"/>
        <w:rPr>
          <w:rFonts w:ascii="Palatino Linotype" w:eastAsia="Palatino Linotype" w:hAnsi="Palatino Linotype" w:cs="Palatino Linotype"/>
        </w:rPr>
      </w:pPr>
    </w:p>
    <w:p w14:paraId="534C6AA7" w14:textId="77777777" w:rsidR="00640F5E" w:rsidRPr="00CB2E6A" w:rsidRDefault="00640F5E">
      <w:pPr>
        <w:spacing w:before="240" w:after="240" w:line="360" w:lineRule="auto"/>
        <w:ind w:right="49"/>
        <w:jc w:val="both"/>
        <w:rPr>
          <w:rFonts w:ascii="Palatino Linotype" w:eastAsia="Palatino Linotype" w:hAnsi="Palatino Linotype" w:cs="Palatino Linotype"/>
        </w:rPr>
      </w:pPr>
    </w:p>
    <w:p w14:paraId="35A466DB"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noProof/>
        </w:rPr>
        <w:lastRenderedPageBreak/>
        <w:drawing>
          <wp:inline distT="0" distB="0" distL="0" distR="0" wp14:anchorId="539E2F9B" wp14:editId="76953F59">
            <wp:extent cx="5613195" cy="7476936"/>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3195" cy="7476936"/>
                    </a:xfrm>
                    <a:prstGeom prst="rect">
                      <a:avLst/>
                    </a:prstGeom>
                    <a:ln/>
                  </pic:spPr>
                </pic:pic>
              </a:graphicData>
            </a:graphic>
          </wp:inline>
        </w:drawing>
      </w:r>
    </w:p>
    <w:p w14:paraId="7F0A9F65" w14:textId="77777777" w:rsidR="00640F5E" w:rsidRPr="00CB2E6A" w:rsidRDefault="00634B62">
      <w:pPr>
        <w:spacing w:before="240" w:after="240" w:line="360" w:lineRule="auto"/>
        <w:ind w:right="49"/>
        <w:jc w:val="both"/>
        <w:rPr>
          <w:rFonts w:ascii="Palatino Linotype" w:eastAsia="Palatino Linotype" w:hAnsi="Palatino Linotype" w:cs="Palatino Linotype"/>
          <w:b/>
        </w:rPr>
      </w:pPr>
      <w:r w:rsidRPr="00CB2E6A">
        <w:rPr>
          <w:rFonts w:ascii="Palatino Linotype" w:eastAsia="Palatino Linotype" w:hAnsi="Palatino Linotype" w:cs="Palatino Linotype"/>
          <w:b/>
          <w:noProof/>
        </w:rPr>
        <w:lastRenderedPageBreak/>
        <w:drawing>
          <wp:inline distT="0" distB="0" distL="0" distR="0" wp14:anchorId="56AC24B4" wp14:editId="2508F279">
            <wp:extent cx="5612130" cy="256794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12130" cy="2567940"/>
                    </a:xfrm>
                    <a:prstGeom prst="rect">
                      <a:avLst/>
                    </a:prstGeom>
                    <a:ln/>
                  </pic:spPr>
                </pic:pic>
              </a:graphicData>
            </a:graphic>
          </wp:inline>
        </w:drawing>
      </w:r>
    </w:p>
    <w:p w14:paraId="5591DC9A"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b/>
        </w:rPr>
        <w:t xml:space="preserve">3. Interposición del recurso de revisión. </w:t>
      </w:r>
      <w:r w:rsidRPr="00CB2E6A">
        <w:rPr>
          <w:rFonts w:ascii="Palatino Linotype" w:eastAsia="Palatino Linotype" w:hAnsi="Palatino Linotype" w:cs="Palatino Linotype"/>
        </w:rPr>
        <w:t xml:space="preserve">Inconforme con los términos de la respuesta emitida por parte del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el </w:t>
      </w:r>
      <w:r w:rsidRPr="00CB2E6A">
        <w:rPr>
          <w:rFonts w:ascii="Palatino Linotype" w:eastAsia="Palatino Linotype" w:hAnsi="Palatino Linotype" w:cs="Palatino Linotype"/>
          <w:b/>
        </w:rPr>
        <w:t>diecinueve de junio del año dos mil veintitrés,</w:t>
      </w:r>
      <w:r w:rsidRPr="00CB2E6A">
        <w:rPr>
          <w:rFonts w:ascii="Palatino Linotype" w:eastAsia="Palatino Linotype" w:hAnsi="Palatino Linotype" w:cs="Palatino Linotype"/>
        </w:rPr>
        <w:t xml:space="preserve">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xml:space="preserve"> interpuso el recurso de revisión a través de </w:t>
      </w:r>
      <w:r w:rsidRPr="00CB2E6A">
        <w:rPr>
          <w:rFonts w:ascii="Palatino Linotype" w:eastAsia="Palatino Linotype" w:hAnsi="Palatino Linotype" w:cs="Palatino Linotype"/>
          <w:b/>
        </w:rPr>
        <w:t xml:space="preserve">SAIMEX, </w:t>
      </w:r>
      <w:r w:rsidRPr="00CB2E6A">
        <w:rPr>
          <w:rFonts w:ascii="Palatino Linotype" w:eastAsia="Palatino Linotype" w:hAnsi="Palatino Linotype" w:cs="Palatino Linotype"/>
        </w:rPr>
        <w:t>en donde se manifestó de la siguiente manera:</w:t>
      </w:r>
    </w:p>
    <w:p w14:paraId="57C8E3F9" w14:textId="77777777" w:rsidR="00640F5E" w:rsidRPr="00CB2E6A" w:rsidRDefault="00634B62">
      <w:pPr>
        <w:tabs>
          <w:tab w:val="left" w:pos="2745"/>
        </w:tabs>
        <w:spacing w:before="240" w:after="240" w:line="360" w:lineRule="auto"/>
        <w:jc w:val="both"/>
        <w:rPr>
          <w:rFonts w:ascii="Palatino Linotype" w:eastAsia="Palatino Linotype" w:hAnsi="Palatino Linotype" w:cs="Palatino Linotype"/>
          <w:b/>
        </w:rPr>
      </w:pPr>
      <w:r w:rsidRPr="00CB2E6A">
        <w:rPr>
          <w:rFonts w:ascii="Palatino Linotype" w:eastAsia="Palatino Linotype" w:hAnsi="Palatino Linotype" w:cs="Palatino Linotype"/>
          <w:b/>
        </w:rPr>
        <w:t xml:space="preserve">Acto impugnado: </w:t>
      </w:r>
      <w:r w:rsidRPr="00CB2E6A">
        <w:rPr>
          <w:rFonts w:ascii="Palatino Linotype" w:eastAsia="Palatino Linotype" w:hAnsi="Palatino Linotype" w:cs="Palatino Linotype"/>
          <w:b/>
        </w:rPr>
        <w:tab/>
      </w:r>
    </w:p>
    <w:p w14:paraId="50DEB41A" w14:textId="77777777" w:rsidR="00640F5E" w:rsidRPr="00CB2E6A" w:rsidRDefault="00634B62">
      <w:pPr>
        <w:spacing w:line="360" w:lineRule="auto"/>
        <w:ind w:left="851" w:right="900"/>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“La respuesta que se me otorga y que en esta oportunidad </w:t>
      </w:r>
      <w:proofErr w:type="spellStart"/>
      <w:r w:rsidRPr="00CB2E6A">
        <w:rPr>
          <w:rFonts w:ascii="Palatino Linotype" w:eastAsia="Palatino Linotype" w:hAnsi="Palatino Linotype" w:cs="Palatino Linotype"/>
          <w:i/>
          <w:sz w:val="22"/>
          <w:szCs w:val="22"/>
        </w:rPr>
        <w:t>impungo</w:t>
      </w:r>
      <w:proofErr w:type="spellEnd"/>
      <w:r w:rsidRPr="00CB2E6A">
        <w:rPr>
          <w:rFonts w:ascii="Palatino Linotype" w:eastAsia="Palatino Linotype" w:hAnsi="Palatino Linotype" w:cs="Palatino Linotype"/>
          <w:i/>
          <w:sz w:val="22"/>
          <w:szCs w:val="22"/>
        </w:rPr>
        <w:t>” (Sic)</w:t>
      </w:r>
    </w:p>
    <w:p w14:paraId="0AB031D3"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t>Y Razones o motivos de inconformidad</w:t>
      </w:r>
      <w:r w:rsidRPr="00CB2E6A">
        <w:rPr>
          <w:rFonts w:ascii="Palatino Linotype" w:eastAsia="Palatino Linotype" w:hAnsi="Palatino Linotype" w:cs="Palatino Linotype"/>
        </w:rPr>
        <w:t>:</w:t>
      </w:r>
    </w:p>
    <w:p w14:paraId="2474201B" w14:textId="77777777" w:rsidR="00640F5E" w:rsidRPr="00CB2E6A" w:rsidRDefault="00640F5E">
      <w:pPr>
        <w:spacing w:line="360" w:lineRule="auto"/>
        <w:jc w:val="both"/>
        <w:rPr>
          <w:rFonts w:ascii="Palatino Linotype" w:eastAsia="Palatino Linotype" w:hAnsi="Palatino Linotype" w:cs="Palatino Linotype"/>
        </w:rPr>
      </w:pPr>
    </w:p>
    <w:p w14:paraId="160064FB" w14:textId="77777777" w:rsidR="00640F5E" w:rsidRPr="00CB2E6A" w:rsidRDefault="00634B62">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CB2E6A">
        <w:rPr>
          <w:rFonts w:ascii="Palatino Linotype" w:eastAsia="Palatino Linotype" w:hAnsi="Palatino Linotype" w:cs="Palatino Linotype"/>
          <w:i/>
          <w:sz w:val="22"/>
          <w:szCs w:val="22"/>
        </w:rPr>
        <w:t xml:space="preserve"> “Negativa de dar información, pues nunca se solicitaron copias y además se me exige que indique fojas e información específica que tiene en su poder la autoridad, lo cual destaco no fue solicitado dentro del plazo de cinco días como lo marca la ley, por lo que la respuesta no satisface mi derecho de acceso a la información. Además se </w:t>
      </w:r>
      <w:proofErr w:type="spellStart"/>
      <w:r w:rsidRPr="00CB2E6A">
        <w:rPr>
          <w:rFonts w:ascii="Palatino Linotype" w:eastAsia="Palatino Linotype" w:hAnsi="Palatino Linotype" w:cs="Palatino Linotype"/>
          <w:i/>
          <w:sz w:val="22"/>
          <w:szCs w:val="22"/>
        </w:rPr>
        <w:t>pidio</w:t>
      </w:r>
      <w:proofErr w:type="spellEnd"/>
      <w:r w:rsidRPr="00CB2E6A">
        <w:rPr>
          <w:rFonts w:ascii="Palatino Linotype" w:eastAsia="Palatino Linotype" w:hAnsi="Palatino Linotype" w:cs="Palatino Linotype"/>
          <w:i/>
          <w:sz w:val="22"/>
          <w:szCs w:val="22"/>
        </w:rPr>
        <w:t xml:space="preserve"> </w:t>
      </w:r>
      <w:proofErr w:type="spellStart"/>
      <w:r w:rsidRPr="00CB2E6A">
        <w:rPr>
          <w:rFonts w:ascii="Palatino Linotype" w:eastAsia="Palatino Linotype" w:hAnsi="Palatino Linotype" w:cs="Palatino Linotype"/>
          <w:i/>
          <w:sz w:val="22"/>
          <w:szCs w:val="22"/>
        </w:rPr>
        <w:t>via</w:t>
      </w:r>
      <w:proofErr w:type="spellEnd"/>
      <w:r w:rsidRPr="00CB2E6A">
        <w:rPr>
          <w:rFonts w:ascii="Palatino Linotype" w:eastAsia="Palatino Linotype" w:hAnsi="Palatino Linotype" w:cs="Palatino Linotype"/>
          <w:i/>
          <w:sz w:val="22"/>
          <w:szCs w:val="22"/>
        </w:rPr>
        <w:t xml:space="preserve"> SAIMEX no por consulta directa, por lo que la información debe subirse en el estado que se encuentra, sin que realicen cálculos o demás anotaciones que pueden alterar la información” (Sic)</w:t>
      </w:r>
    </w:p>
    <w:p w14:paraId="282EBB5D" w14:textId="77777777" w:rsidR="00640F5E" w:rsidRPr="00CB2E6A" w:rsidRDefault="00640F5E">
      <w:pPr>
        <w:spacing w:line="360" w:lineRule="auto"/>
        <w:ind w:right="51"/>
        <w:jc w:val="both"/>
        <w:rPr>
          <w:rFonts w:ascii="Palatino Linotype" w:eastAsia="Palatino Linotype" w:hAnsi="Palatino Linotype" w:cs="Palatino Linotype"/>
          <w:b/>
        </w:rPr>
      </w:pPr>
    </w:p>
    <w:p w14:paraId="23D6B1E2" w14:textId="77777777" w:rsidR="00640F5E" w:rsidRPr="00CB2E6A" w:rsidRDefault="00634B62">
      <w:pPr>
        <w:spacing w:line="360" w:lineRule="auto"/>
        <w:ind w:right="51"/>
        <w:jc w:val="both"/>
        <w:rPr>
          <w:rFonts w:ascii="Palatino Linotype" w:eastAsia="Palatino Linotype" w:hAnsi="Palatino Linotype" w:cs="Palatino Linotype"/>
        </w:rPr>
      </w:pPr>
      <w:r w:rsidRPr="00CB2E6A">
        <w:rPr>
          <w:rFonts w:ascii="Palatino Linotype" w:eastAsia="Palatino Linotype" w:hAnsi="Palatino Linotype" w:cs="Palatino Linotype"/>
          <w:b/>
        </w:rPr>
        <w:t xml:space="preserve">4. Turno. </w:t>
      </w:r>
      <w:r w:rsidRPr="00CB2E6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CB2E6A">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Pr="00CB2E6A">
        <w:rPr>
          <w:rFonts w:ascii="Palatino Linotype" w:eastAsia="Palatino Linotype" w:hAnsi="Palatino Linotype" w:cs="Palatino Linotype"/>
          <w:b/>
        </w:rPr>
        <w:t xml:space="preserve">Guadalupe Ramírez Peña, </w:t>
      </w:r>
      <w:r w:rsidRPr="00CB2E6A">
        <w:rPr>
          <w:rFonts w:ascii="Palatino Linotype" w:eastAsia="Palatino Linotype" w:hAnsi="Palatino Linotype" w:cs="Palatino Linotype"/>
        </w:rPr>
        <w:t xml:space="preserve">a efecto de que analizara sobre su admisión o su </w:t>
      </w:r>
      <w:proofErr w:type="spellStart"/>
      <w:r w:rsidRPr="00CB2E6A">
        <w:rPr>
          <w:rFonts w:ascii="Palatino Linotype" w:eastAsia="Palatino Linotype" w:hAnsi="Palatino Linotype" w:cs="Palatino Linotype"/>
        </w:rPr>
        <w:t>desechamiento</w:t>
      </w:r>
      <w:proofErr w:type="spellEnd"/>
      <w:r w:rsidRPr="00CB2E6A">
        <w:rPr>
          <w:rFonts w:ascii="Palatino Linotype" w:eastAsia="Palatino Linotype" w:hAnsi="Palatino Linotype" w:cs="Palatino Linotype"/>
        </w:rPr>
        <w:t>.</w:t>
      </w:r>
    </w:p>
    <w:p w14:paraId="7E72EF6F" w14:textId="77777777" w:rsidR="00640F5E" w:rsidRPr="00CB2E6A" w:rsidRDefault="00640F5E">
      <w:pPr>
        <w:spacing w:line="360" w:lineRule="auto"/>
        <w:ind w:right="51"/>
        <w:jc w:val="both"/>
        <w:rPr>
          <w:rFonts w:ascii="Palatino Linotype" w:eastAsia="Palatino Linotype" w:hAnsi="Palatino Linotype" w:cs="Palatino Linotype"/>
        </w:rPr>
      </w:pPr>
    </w:p>
    <w:p w14:paraId="1A586857" w14:textId="77777777" w:rsidR="00640F5E" w:rsidRPr="00CB2E6A" w:rsidRDefault="00634B62">
      <w:pPr>
        <w:spacing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t>5. Admisión del Recurso de revisión.</w:t>
      </w:r>
      <w:r w:rsidRPr="00CB2E6A">
        <w:rPr>
          <w:rFonts w:ascii="Palatino Linotype" w:eastAsia="Palatino Linotype" w:hAnsi="Palatino Linotype" w:cs="Palatino Linotype"/>
        </w:rPr>
        <w:t xml:space="preserve"> Con fecha</w:t>
      </w:r>
      <w:r w:rsidRPr="00CB2E6A">
        <w:rPr>
          <w:rFonts w:ascii="Palatino Linotype" w:eastAsia="Palatino Linotype" w:hAnsi="Palatino Linotype" w:cs="Palatino Linotype"/>
          <w:b/>
        </w:rPr>
        <w:t xml:space="preserve"> veintidós de junio de dos mil veintitrés, </w:t>
      </w:r>
      <w:r w:rsidRPr="00CB2E6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B2E6A">
        <w:rPr>
          <w:rFonts w:ascii="Palatino Linotype" w:eastAsia="Palatino Linotype" w:hAnsi="Palatino Linotype" w:cs="Palatino Linotype"/>
          <w:b/>
        </w:rPr>
        <w:t xml:space="preserve">SUJETO OBLIGADO </w:t>
      </w:r>
      <w:r w:rsidRPr="00CB2E6A">
        <w:rPr>
          <w:rFonts w:ascii="Palatino Linotype" w:eastAsia="Palatino Linotype" w:hAnsi="Palatino Linotype" w:cs="Palatino Linotype"/>
        </w:rPr>
        <w:t>presentara su informe justificado.</w:t>
      </w:r>
    </w:p>
    <w:p w14:paraId="4CA7A48D" w14:textId="77777777" w:rsidR="00640F5E" w:rsidRPr="00CB2E6A" w:rsidRDefault="00634B6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2" w:name="_heading=h.2s8eyo1" w:colFirst="0" w:colLast="0"/>
      <w:bookmarkEnd w:id="2"/>
      <w:r w:rsidRPr="00CB2E6A">
        <w:rPr>
          <w:rFonts w:ascii="Palatino Linotype" w:eastAsia="Palatino Linotype" w:hAnsi="Palatino Linotype" w:cs="Palatino Linotype"/>
          <w:b/>
        </w:rPr>
        <w:t>6. Manifestaciones</w:t>
      </w:r>
      <w:r w:rsidRPr="00CB2E6A">
        <w:rPr>
          <w:rFonts w:ascii="Palatino Linotype" w:eastAsia="Palatino Linotype" w:hAnsi="Palatino Linotype" w:cs="Palatino Linotype"/>
        </w:rPr>
        <w:t>. De las constancias que integran el expediente en que se actúa se advierte que en fecha tres de junio de dos mil veintitrés</w:t>
      </w:r>
      <w:r w:rsidRPr="00CB2E6A">
        <w:rPr>
          <w:rFonts w:ascii="Palatino Linotype" w:eastAsia="Palatino Linotype" w:hAnsi="Palatino Linotype" w:cs="Palatino Linotype"/>
          <w:b/>
        </w:rPr>
        <w:t xml:space="preserve">, </w:t>
      </w:r>
      <w:r w:rsidRPr="00CB2E6A">
        <w:rPr>
          <w:rFonts w:ascii="Palatino Linotype" w:eastAsia="Palatino Linotype" w:hAnsi="Palatino Linotype" w:cs="Palatino Linotype"/>
        </w:rPr>
        <w:t xml:space="preserve">el </w:t>
      </w:r>
      <w:r w:rsidRPr="00CB2E6A">
        <w:rPr>
          <w:rFonts w:ascii="Palatino Linotype" w:eastAsia="Palatino Linotype" w:hAnsi="Palatino Linotype" w:cs="Palatino Linotype"/>
          <w:b/>
        </w:rPr>
        <w:t xml:space="preserve">SUJETO OBLIGADO </w:t>
      </w:r>
      <w:r w:rsidRPr="00CB2E6A">
        <w:rPr>
          <w:rFonts w:ascii="Palatino Linotype" w:eastAsia="Palatino Linotype" w:hAnsi="Palatino Linotype" w:cs="Palatino Linotype"/>
        </w:rPr>
        <w:t>remitió, a través del SAIMEX, los siguientes archivos electrónicos:</w:t>
      </w:r>
    </w:p>
    <w:p w14:paraId="566091FC" w14:textId="77777777" w:rsidR="00640F5E" w:rsidRPr="00CB2E6A" w:rsidRDefault="00634B6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w:t>
      </w:r>
      <w:hyperlink r:id="rId13">
        <w:r w:rsidRPr="00CB2E6A">
          <w:rPr>
            <w:rFonts w:ascii="Palatino Linotype" w:eastAsia="Palatino Linotype" w:hAnsi="Palatino Linotype" w:cs="Palatino Linotype"/>
          </w:rPr>
          <w:t>RR. 03454-2023 DGP.pdf</w:t>
        </w:r>
      </w:hyperlink>
      <w:r w:rsidRPr="00CB2E6A">
        <w:rPr>
          <w:rFonts w:ascii="Palatino Linotype" w:eastAsia="Palatino Linotype" w:hAnsi="Palatino Linotype" w:cs="Palatino Linotype"/>
        </w:rPr>
        <w:t xml:space="preserve">”, contiene el oficio número 20706004000100S-263/2023, por medio del cual la Dirección General del Personal de la Secretaría de Finanzas, ratificó su respuesta inicial. </w:t>
      </w:r>
    </w:p>
    <w:p w14:paraId="51CD4571" w14:textId="77777777" w:rsidR="00640F5E" w:rsidRPr="00CB2E6A" w:rsidRDefault="00772DB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hyperlink r:id="rId14">
        <w:r w:rsidR="00634B62" w:rsidRPr="00CB2E6A">
          <w:rPr>
            <w:rFonts w:ascii="Palatino Linotype" w:eastAsia="Palatino Linotype" w:hAnsi="Palatino Linotype" w:cs="Palatino Linotype"/>
          </w:rPr>
          <w:t>“RR 03454-2023 DGRM.pdf</w:t>
        </w:r>
      </w:hyperlink>
      <w:r w:rsidR="00634B62" w:rsidRPr="00CB2E6A">
        <w:rPr>
          <w:rFonts w:ascii="Palatino Linotype" w:eastAsia="Palatino Linotype" w:hAnsi="Palatino Linotype" w:cs="Palatino Linotype"/>
        </w:rPr>
        <w:t xml:space="preserve">”, se trata del oficio número 20706005000200S/0258/2023 por medio del cual la Dirección General de Recursos Materiales del </w:t>
      </w:r>
      <w:r w:rsidR="00634B62" w:rsidRPr="00CB2E6A">
        <w:rPr>
          <w:rFonts w:ascii="Palatino Linotype" w:eastAsia="Palatino Linotype" w:hAnsi="Palatino Linotype" w:cs="Palatino Linotype"/>
          <w:b/>
        </w:rPr>
        <w:t>SUJETO OBLIGADO</w:t>
      </w:r>
      <w:r w:rsidR="00634B62" w:rsidRPr="00CB2E6A">
        <w:rPr>
          <w:rFonts w:ascii="Palatino Linotype" w:eastAsia="Palatino Linotype" w:hAnsi="Palatino Linotype" w:cs="Palatino Linotype"/>
        </w:rPr>
        <w:t xml:space="preserve">, ratificó su respuesta inicial. </w:t>
      </w:r>
    </w:p>
    <w:p w14:paraId="4AEDD22C" w14:textId="77777777" w:rsidR="00640F5E" w:rsidRPr="00CB2E6A" w:rsidRDefault="00634B6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w:t>
      </w:r>
      <w:hyperlink r:id="rId15">
        <w:r w:rsidRPr="00CB2E6A">
          <w:rPr>
            <w:rFonts w:ascii="Palatino Linotype" w:eastAsia="Palatino Linotype" w:hAnsi="Palatino Linotype" w:cs="Palatino Linotype"/>
          </w:rPr>
          <w:t>RR 03454-2023 Informe Justificado.pdf</w:t>
        </w:r>
      </w:hyperlink>
      <w:r w:rsidRPr="00CB2E6A">
        <w:rPr>
          <w:rFonts w:ascii="Palatino Linotype" w:eastAsia="Palatino Linotype" w:hAnsi="Palatino Linotype" w:cs="Palatino Linotype"/>
        </w:rPr>
        <w:t xml:space="preserve">”, el cual contiene el informe justificado del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por medio del cual informó en lo medular que se ratificaba </w:t>
      </w:r>
      <w:r w:rsidRPr="00CB2E6A">
        <w:rPr>
          <w:rFonts w:ascii="Palatino Linotype" w:eastAsia="Palatino Linotype" w:hAnsi="Palatino Linotype" w:cs="Palatino Linotype"/>
        </w:rPr>
        <w:lastRenderedPageBreak/>
        <w:t xml:space="preserve">las respuestas de la Dirección General del Personal y Dirección General de Recursos Materiales. </w:t>
      </w:r>
    </w:p>
    <w:p w14:paraId="20A4BED3" w14:textId="77777777" w:rsidR="00640F5E" w:rsidRPr="00CB2E6A" w:rsidRDefault="00634B62">
      <w:pPr>
        <w:spacing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Documentos que, una vez analizado en fecha veintidós de enero del año en curso, se hizo del conocimiento de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14:paraId="6B395A26" w14:textId="77777777" w:rsidR="00640F5E" w:rsidRPr="00CB2E6A" w:rsidRDefault="00634B62">
      <w:pPr>
        <w:spacing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t xml:space="preserve">7. Requerimiento adicional. </w:t>
      </w:r>
      <w:r w:rsidRPr="00CB2E6A">
        <w:rPr>
          <w:rFonts w:ascii="Palatino Linotype" w:eastAsia="Palatino Linotype" w:hAnsi="Palatino Linotype" w:cs="Palatino Linotype"/>
        </w:rPr>
        <w:t xml:space="preserve">El veintidós de enero de dos mil veinticuatro, se envió por correo electrónico oficial un requerimiento de información adicional al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el cual consistió en lo siguiente:</w:t>
      </w:r>
    </w:p>
    <w:p w14:paraId="1244582C" w14:textId="77777777" w:rsidR="00640F5E" w:rsidRPr="00CB2E6A" w:rsidRDefault="00634B62">
      <w:pPr>
        <w:spacing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noProof/>
        </w:rPr>
        <w:drawing>
          <wp:inline distT="0" distB="0" distL="0" distR="0" wp14:anchorId="634AC0B4" wp14:editId="45CFB4CC">
            <wp:extent cx="5612130" cy="114300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12130" cy="1143000"/>
                    </a:xfrm>
                    <a:prstGeom prst="rect">
                      <a:avLst/>
                    </a:prstGeom>
                    <a:ln/>
                  </pic:spPr>
                </pic:pic>
              </a:graphicData>
            </a:graphic>
          </wp:inline>
        </w:drawing>
      </w:r>
    </w:p>
    <w:p w14:paraId="62F746E8" w14:textId="77777777" w:rsidR="00640F5E" w:rsidRPr="00CB2E6A" w:rsidRDefault="00634B62">
      <w:pPr>
        <w:spacing w:after="240" w:line="360" w:lineRule="auto"/>
        <w:jc w:val="both"/>
        <w:rPr>
          <w:rFonts w:ascii="Palatino Linotype" w:eastAsia="Palatino Linotype" w:hAnsi="Palatino Linotype" w:cs="Palatino Linotype"/>
          <w:b/>
        </w:rPr>
      </w:pPr>
      <w:r w:rsidRPr="00CB2E6A">
        <w:rPr>
          <w:rFonts w:ascii="Palatino Linotype" w:eastAsia="Palatino Linotype" w:hAnsi="Palatino Linotype" w:cs="Palatino Linotype"/>
          <w:b/>
          <w:noProof/>
        </w:rPr>
        <w:drawing>
          <wp:inline distT="0" distB="0" distL="0" distR="0" wp14:anchorId="4C57D62B" wp14:editId="60C00437">
            <wp:extent cx="5652914" cy="3073342"/>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52914" cy="3073342"/>
                    </a:xfrm>
                    <a:prstGeom prst="rect">
                      <a:avLst/>
                    </a:prstGeom>
                    <a:ln/>
                  </pic:spPr>
                </pic:pic>
              </a:graphicData>
            </a:graphic>
          </wp:inline>
        </w:drawing>
      </w:r>
    </w:p>
    <w:p w14:paraId="43681197" w14:textId="77777777" w:rsidR="00640F5E" w:rsidRPr="00CB2E6A" w:rsidRDefault="00634B62">
      <w:pPr>
        <w:spacing w:after="240" w:line="360" w:lineRule="auto"/>
        <w:jc w:val="both"/>
      </w:pPr>
      <w:r w:rsidRPr="00CB2E6A">
        <w:rPr>
          <w:noProof/>
        </w:rPr>
        <w:lastRenderedPageBreak/>
        <w:drawing>
          <wp:inline distT="0" distB="0" distL="0" distR="0" wp14:anchorId="416E8E98" wp14:editId="4961242D">
            <wp:extent cx="5495115" cy="3027064"/>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495115" cy="3027064"/>
                    </a:xfrm>
                    <a:prstGeom prst="rect">
                      <a:avLst/>
                    </a:prstGeom>
                    <a:ln/>
                  </pic:spPr>
                </pic:pic>
              </a:graphicData>
            </a:graphic>
          </wp:inline>
        </w:drawing>
      </w:r>
    </w:p>
    <w:p w14:paraId="0A77A97F" w14:textId="77777777" w:rsidR="00640F5E" w:rsidRPr="00CB2E6A" w:rsidRDefault="00634B62">
      <w:pPr>
        <w:spacing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t>8. Atención al requerimiento adicional. E</w:t>
      </w:r>
      <w:r w:rsidRPr="00CB2E6A">
        <w:rPr>
          <w:rFonts w:ascii="Palatino Linotype" w:eastAsia="Palatino Linotype" w:hAnsi="Palatino Linotype" w:cs="Palatino Linotype"/>
        </w:rPr>
        <w:t xml:space="preserv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fue omiso en atender el requerimiento adicional.</w:t>
      </w:r>
    </w:p>
    <w:p w14:paraId="2BAE263C" w14:textId="77777777" w:rsidR="00640F5E" w:rsidRPr="00CB2E6A" w:rsidRDefault="00634B62">
      <w:pPr>
        <w:widowControl w:val="0"/>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t>9. Ampliación del plazo.</w:t>
      </w:r>
      <w:r w:rsidRPr="00CB2E6A">
        <w:rPr>
          <w:rFonts w:ascii="Palatino Linotype" w:eastAsia="Palatino Linotype" w:hAnsi="Palatino Linotype" w:cs="Palatino Linotype"/>
        </w:rPr>
        <w:t xml:space="preserve"> En fecha treinta y uno de enero del año dos mil veinticuatro, con fundamento en el artículo 181, párrafo tercero de la Ley de Transparencia y Acceso a la Información Pública del Estado de México y Municipios, se acordó la ampliación del plazo para su resolución.</w:t>
      </w:r>
    </w:p>
    <w:p w14:paraId="52FD8F02" w14:textId="77777777" w:rsidR="00640F5E" w:rsidRPr="00CB2E6A" w:rsidRDefault="00640F5E">
      <w:pPr>
        <w:widowControl w:val="0"/>
        <w:spacing w:line="360" w:lineRule="auto"/>
        <w:jc w:val="both"/>
        <w:rPr>
          <w:rFonts w:ascii="Palatino Linotype" w:eastAsia="Palatino Linotype" w:hAnsi="Palatino Linotype" w:cs="Palatino Linotype"/>
        </w:rPr>
      </w:pPr>
    </w:p>
    <w:p w14:paraId="646416F1" w14:textId="77777777" w:rsidR="00640F5E" w:rsidRPr="00CB2E6A" w:rsidRDefault="00634B62">
      <w:pPr>
        <w:widowControl w:val="0"/>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ED105DF" w14:textId="77777777" w:rsidR="00640F5E" w:rsidRPr="00CB2E6A" w:rsidRDefault="00640F5E">
      <w:pPr>
        <w:spacing w:line="360" w:lineRule="auto"/>
        <w:jc w:val="both"/>
        <w:rPr>
          <w:rFonts w:ascii="Palatino Linotype" w:eastAsia="Palatino Linotype" w:hAnsi="Palatino Linotype" w:cs="Palatino Linotype"/>
        </w:rPr>
      </w:pPr>
    </w:p>
    <w:p w14:paraId="63DB328C"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B2F0C7C" w14:textId="77777777" w:rsidR="00640F5E" w:rsidRPr="00CB2E6A" w:rsidRDefault="00640F5E">
      <w:pPr>
        <w:spacing w:line="360" w:lineRule="auto"/>
        <w:jc w:val="both"/>
        <w:rPr>
          <w:rFonts w:ascii="Palatino Linotype" w:eastAsia="Palatino Linotype" w:hAnsi="Palatino Linotype" w:cs="Palatino Linotype"/>
        </w:rPr>
      </w:pPr>
    </w:p>
    <w:p w14:paraId="06FED2E8"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8EDCA72" w14:textId="77777777" w:rsidR="00640F5E" w:rsidRPr="00CB2E6A" w:rsidRDefault="00640F5E">
      <w:pPr>
        <w:spacing w:line="360" w:lineRule="auto"/>
        <w:jc w:val="both"/>
        <w:rPr>
          <w:rFonts w:ascii="Palatino Linotype" w:eastAsia="Palatino Linotype" w:hAnsi="Palatino Linotype" w:cs="Palatino Linotype"/>
        </w:rPr>
      </w:pPr>
    </w:p>
    <w:p w14:paraId="557C7225"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233E3AA" w14:textId="77777777" w:rsidR="00640F5E" w:rsidRPr="00CB2E6A" w:rsidRDefault="00640F5E">
      <w:pPr>
        <w:spacing w:line="360" w:lineRule="auto"/>
        <w:jc w:val="both"/>
        <w:rPr>
          <w:rFonts w:ascii="Palatino Linotype" w:eastAsia="Palatino Linotype" w:hAnsi="Palatino Linotype" w:cs="Palatino Linotype"/>
        </w:rPr>
      </w:pPr>
    </w:p>
    <w:p w14:paraId="3BB1ABA7" w14:textId="77777777" w:rsidR="00640F5E" w:rsidRPr="00CB2E6A" w:rsidRDefault="00634B62">
      <w:pPr>
        <w:spacing w:line="360" w:lineRule="auto"/>
        <w:jc w:val="both"/>
        <w:rPr>
          <w:rFonts w:ascii="Palatino Linotype" w:eastAsia="Palatino Linotype" w:hAnsi="Palatino Linotype" w:cs="Palatino Linotype"/>
          <w:strike/>
        </w:rPr>
      </w:pPr>
      <w:r w:rsidRPr="00CB2E6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A12F6AB" w14:textId="77777777" w:rsidR="00640F5E" w:rsidRPr="00CB2E6A" w:rsidRDefault="00640F5E">
      <w:pPr>
        <w:spacing w:line="360" w:lineRule="auto"/>
        <w:jc w:val="both"/>
        <w:rPr>
          <w:rFonts w:ascii="Palatino Linotype" w:eastAsia="Palatino Linotype" w:hAnsi="Palatino Linotype" w:cs="Palatino Linotype"/>
        </w:rPr>
      </w:pPr>
    </w:p>
    <w:p w14:paraId="348DBF29" w14:textId="77777777" w:rsidR="00640F5E" w:rsidRPr="00CB2E6A" w:rsidRDefault="00634B62">
      <w:pPr>
        <w:numPr>
          <w:ilvl w:val="0"/>
          <w:numId w:val="3"/>
        </w:numPr>
        <w:ind w:left="851"/>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CEB54D9" w14:textId="77777777" w:rsidR="00640F5E" w:rsidRPr="00CB2E6A" w:rsidRDefault="00640F5E">
      <w:pPr>
        <w:ind w:left="851" w:hanging="360"/>
        <w:jc w:val="both"/>
        <w:rPr>
          <w:rFonts w:ascii="Palatino Linotype" w:eastAsia="Palatino Linotype" w:hAnsi="Palatino Linotype" w:cs="Palatino Linotype"/>
        </w:rPr>
      </w:pPr>
    </w:p>
    <w:p w14:paraId="2B22D137" w14:textId="77777777" w:rsidR="00640F5E" w:rsidRPr="00CB2E6A" w:rsidRDefault="00634B62">
      <w:pPr>
        <w:numPr>
          <w:ilvl w:val="0"/>
          <w:numId w:val="3"/>
        </w:numPr>
        <w:ind w:left="851"/>
        <w:jc w:val="both"/>
        <w:rPr>
          <w:rFonts w:ascii="Palatino Linotype" w:eastAsia="Palatino Linotype" w:hAnsi="Palatino Linotype" w:cs="Palatino Linotype"/>
        </w:rPr>
      </w:pPr>
      <w:r w:rsidRPr="00CB2E6A">
        <w:rPr>
          <w:rFonts w:ascii="Palatino Linotype" w:eastAsia="Palatino Linotype" w:hAnsi="Palatino Linotype" w:cs="Palatino Linotype"/>
        </w:rPr>
        <w:t>Actividad Procesal del interesado. Acciones u omisiones del interesado.</w:t>
      </w:r>
    </w:p>
    <w:p w14:paraId="71C0F049" w14:textId="77777777" w:rsidR="00640F5E" w:rsidRPr="00CB2E6A" w:rsidRDefault="00640F5E">
      <w:pPr>
        <w:ind w:left="851" w:hanging="360"/>
        <w:jc w:val="both"/>
        <w:rPr>
          <w:rFonts w:ascii="Palatino Linotype" w:eastAsia="Palatino Linotype" w:hAnsi="Palatino Linotype" w:cs="Palatino Linotype"/>
        </w:rPr>
      </w:pPr>
    </w:p>
    <w:p w14:paraId="11CF2166" w14:textId="77777777" w:rsidR="00640F5E" w:rsidRPr="00CB2E6A" w:rsidRDefault="00634B62">
      <w:pPr>
        <w:numPr>
          <w:ilvl w:val="0"/>
          <w:numId w:val="3"/>
        </w:numPr>
        <w:ind w:left="851"/>
        <w:jc w:val="both"/>
        <w:rPr>
          <w:rFonts w:ascii="Palatino Linotype" w:eastAsia="Palatino Linotype" w:hAnsi="Palatino Linotype" w:cs="Palatino Linotype"/>
        </w:rPr>
      </w:pPr>
      <w:r w:rsidRPr="00CB2E6A">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524109B7" w14:textId="77777777" w:rsidR="00640F5E" w:rsidRPr="00CB2E6A" w:rsidRDefault="00640F5E">
      <w:pPr>
        <w:ind w:left="851" w:hanging="360"/>
        <w:rPr>
          <w:rFonts w:ascii="Palatino Linotype" w:eastAsia="Palatino Linotype" w:hAnsi="Palatino Linotype" w:cs="Palatino Linotype"/>
        </w:rPr>
      </w:pPr>
    </w:p>
    <w:p w14:paraId="241E8C25" w14:textId="77777777" w:rsidR="00640F5E" w:rsidRPr="00CB2E6A" w:rsidRDefault="00634B62">
      <w:pPr>
        <w:ind w:left="851" w:hanging="360"/>
        <w:jc w:val="both"/>
        <w:rPr>
          <w:rFonts w:ascii="Palatino Linotype" w:eastAsia="Palatino Linotype" w:hAnsi="Palatino Linotype" w:cs="Palatino Linotype"/>
        </w:rPr>
      </w:pPr>
      <w:r w:rsidRPr="00CB2E6A">
        <w:rPr>
          <w:rFonts w:ascii="Palatino Linotype" w:eastAsia="Palatino Linotype" w:hAnsi="Palatino Linotype" w:cs="Palatino Linotype"/>
        </w:rPr>
        <w:t>d) La afectación generada en la situación jurídica de la persona involucrada en el proceso: Violación a sus derechos humanos.</w:t>
      </w:r>
    </w:p>
    <w:p w14:paraId="42F3390A" w14:textId="77777777" w:rsidR="00640F5E" w:rsidRPr="00CB2E6A" w:rsidRDefault="00640F5E">
      <w:pPr>
        <w:spacing w:line="360" w:lineRule="auto"/>
        <w:jc w:val="both"/>
        <w:rPr>
          <w:rFonts w:ascii="Palatino Linotype" w:eastAsia="Palatino Linotype" w:hAnsi="Palatino Linotype" w:cs="Palatino Linotype"/>
        </w:rPr>
      </w:pPr>
    </w:p>
    <w:p w14:paraId="07E0070F"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7B766F" w14:textId="77777777" w:rsidR="00640F5E" w:rsidRPr="00CB2E6A" w:rsidRDefault="00640F5E">
      <w:pPr>
        <w:spacing w:line="360" w:lineRule="auto"/>
        <w:jc w:val="both"/>
        <w:rPr>
          <w:rFonts w:ascii="Palatino Linotype" w:eastAsia="Palatino Linotype" w:hAnsi="Palatino Linotype" w:cs="Palatino Linotype"/>
        </w:rPr>
      </w:pPr>
    </w:p>
    <w:p w14:paraId="737B4BB3" w14:textId="77777777" w:rsidR="00640F5E" w:rsidRPr="00CB2E6A" w:rsidRDefault="00634B62">
      <w:pPr>
        <w:spacing w:line="360" w:lineRule="auto"/>
        <w:jc w:val="both"/>
        <w:rPr>
          <w:rFonts w:ascii="Palatino Linotype" w:eastAsia="Palatino Linotype" w:hAnsi="Palatino Linotype" w:cs="Palatino Linotype"/>
          <w:b/>
        </w:rPr>
      </w:pPr>
      <w:r w:rsidRPr="00CB2E6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B2E6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B2E6A">
        <w:rPr>
          <w:rFonts w:ascii="Palatino Linotype" w:eastAsia="Palatino Linotype" w:hAnsi="Palatino Linotype" w:cs="Palatino Linotype"/>
        </w:rPr>
        <w:t>, visible en la Gaceta del Seminario Judicial de la Federación con el registro digital 205635.</w:t>
      </w:r>
    </w:p>
    <w:p w14:paraId="5C1407E3" w14:textId="77777777" w:rsidR="00640F5E" w:rsidRPr="00CB2E6A" w:rsidRDefault="00640F5E">
      <w:pPr>
        <w:spacing w:line="360" w:lineRule="auto"/>
        <w:jc w:val="both"/>
        <w:rPr>
          <w:rFonts w:ascii="Palatino Linotype" w:eastAsia="Palatino Linotype" w:hAnsi="Palatino Linotype" w:cs="Palatino Linotype"/>
        </w:rPr>
      </w:pPr>
    </w:p>
    <w:p w14:paraId="077F8508"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CB2E6A">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421F3728" w14:textId="77777777" w:rsidR="00640F5E" w:rsidRPr="00CB2E6A" w:rsidRDefault="00640F5E">
      <w:pPr>
        <w:spacing w:line="360" w:lineRule="auto"/>
        <w:jc w:val="both"/>
        <w:rPr>
          <w:rFonts w:ascii="Palatino Linotype" w:eastAsia="Palatino Linotype" w:hAnsi="Palatino Linotype" w:cs="Palatino Linotype"/>
        </w:rPr>
      </w:pPr>
    </w:p>
    <w:p w14:paraId="4293DCA9"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D852526" w14:textId="77777777" w:rsidR="00640F5E" w:rsidRPr="00CB2E6A" w:rsidRDefault="00640F5E">
      <w:pPr>
        <w:spacing w:line="360" w:lineRule="auto"/>
        <w:jc w:val="both"/>
        <w:rPr>
          <w:rFonts w:ascii="Palatino Linotype" w:eastAsia="Palatino Linotype" w:hAnsi="Palatino Linotype" w:cs="Palatino Linotype"/>
        </w:rPr>
      </w:pPr>
    </w:p>
    <w:p w14:paraId="37EEEFE8"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 </w:t>
      </w:r>
      <w:r w:rsidRPr="00CB2E6A">
        <w:rPr>
          <w:rFonts w:ascii="Palatino Linotype" w:eastAsia="Palatino Linotype" w:hAnsi="Palatino Linotype" w:cs="Palatino Linotype"/>
          <w:i/>
        </w:rPr>
        <w:t>“PLAZO RAZONABLE PARA RESOLVER. DIMENSIÓN Y EFECTOS DE ESTE CONCEPTO CUANDO SE ADUCE EXCESIVA CARGA DE TRABAJO.”</w:t>
      </w:r>
      <w:r w:rsidRPr="00CB2E6A">
        <w:rPr>
          <w:rFonts w:ascii="Palatino Linotype" w:eastAsia="Palatino Linotype" w:hAnsi="Palatino Linotype" w:cs="Palatino Linotype"/>
        </w:rPr>
        <w:t xml:space="preserve"> consultable en el Seminario Judicial de la Federación y su gaceta, con el registro digital 2002351.</w:t>
      </w:r>
    </w:p>
    <w:p w14:paraId="64766D99" w14:textId="77777777" w:rsidR="00640F5E" w:rsidRPr="00CB2E6A" w:rsidRDefault="00640F5E">
      <w:pPr>
        <w:spacing w:line="360" w:lineRule="auto"/>
        <w:jc w:val="both"/>
        <w:rPr>
          <w:rFonts w:ascii="Palatino Linotype" w:eastAsia="Palatino Linotype" w:hAnsi="Palatino Linotype" w:cs="Palatino Linotype"/>
          <w:b/>
        </w:rPr>
      </w:pPr>
    </w:p>
    <w:p w14:paraId="2E576A03"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i/>
        </w:rPr>
        <w:t>“PLAZO RAZONABLE PARA RESOLVER. CONCEPTO Y ELEMENTOS QUE LO INTEGRAN A LA LUZ DEL DERECHO INTERNACIONAL DE LOS DERECHOS HUMANOS.”</w:t>
      </w:r>
      <w:r w:rsidRPr="00CB2E6A">
        <w:rPr>
          <w:rFonts w:ascii="Palatino Linotype" w:eastAsia="Palatino Linotype" w:hAnsi="Palatino Linotype" w:cs="Palatino Linotype"/>
        </w:rPr>
        <w:t>, visible en el Seminario Judicial de la Federación y su gaceta, con el registro digital 2002350.</w:t>
      </w:r>
    </w:p>
    <w:p w14:paraId="6A8AD05A" w14:textId="77777777" w:rsidR="00640F5E" w:rsidRPr="00CB2E6A" w:rsidRDefault="00640F5E">
      <w:pPr>
        <w:spacing w:line="360" w:lineRule="auto"/>
        <w:jc w:val="both"/>
        <w:rPr>
          <w:rFonts w:ascii="Palatino Linotype" w:eastAsia="Palatino Linotype" w:hAnsi="Palatino Linotype" w:cs="Palatino Linotype"/>
        </w:rPr>
      </w:pPr>
    </w:p>
    <w:p w14:paraId="6A67EFAC"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06297AA"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t xml:space="preserve">10. Cierre de instrucción. </w:t>
      </w:r>
      <w:r w:rsidRPr="00CB2E6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CB2E6A">
        <w:rPr>
          <w:rFonts w:ascii="Palatino Linotype" w:eastAsia="Palatino Linotype" w:hAnsi="Palatino Linotype" w:cs="Palatino Linotype"/>
          <w:b/>
        </w:rPr>
        <w:t xml:space="preserve">treinta y uno de enero de dos mil veinticuatro, </w:t>
      </w:r>
      <w:r w:rsidRPr="00CB2E6A">
        <w:rPr>
          <w:rFonts w:ascii="Palatino Linotype" w:eastAsia="Palatino Linotype" w:hAnsi="Palatino Linotype" w:cs="Palatino Linotype"/>
        </w:rPr>
        <w:t xml:space="preserve">la Comisionada Ponente determinó el cierre de instrucción en términos de la fracción VI del artículo 185 de </w:t>
      </w:r>
      <w:r w:rsidRPr="00CB2E6A">
        <w:rPr>
          <w:rFonts w:ascii="Palatino Linotype" w:eastAsia="Palatino Linotype" w:hAnsi="Palatino Linotype" w:cs="Palatino Linotype"/>
        </w:rPr>
        <w:lastRenderedPageBreak/>
        <w:t>la Ley de Transparencia y Acceso a la Información Pública del Estado de México y Municipios.</w:t>
      </w:r>
    </w:p>
    <w:p w14:paraId="51612A1A"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798FD04" w14:textId="77777777" w:rsidR="00640F5E" w:rsidRPr="00CB2E6A" w:rsidRDefault="00634B62">
      <w:pPr>
        <w:widowControl w:val="0"/>
        <w:spacing w:line="360" w:lineRule="auto"/>
        <w:jc w:val="center"/>
        <w:rPr>
          <w:rFonts w:ascii="Palatino Linotype" w:eastAsia="Palatino Linotype" w:hAnsi="Palatino Linotype" w:cs="Palatino Linotype"/>
          <w:b/>
        </w:rPr>
      </w:pPr>
      <w:r w:rsidRPr="00CB2E6A">
        <w:rPr>
          <w:rFonts w:ascii="Palatino Linotype" w:eastAsia="Palatino Linotype" w:hAnsi="Palatino Linotype" w:cs="Palatino Linotype"/>
          <w:b/>
        </w:rPr>
        <w:t>II. C O N S I D E R A N D O S</w:t>
      </w:r>
    </w:p>
    <w:p w14:paraId="632F4690" w14:textId="77777777" w:rsidR="00640F5E" w:rsidRPr="00CB2E6A" w:rsidRDefault="00640F5E">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27B2E06D"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t>Primero. Competencia.</w:t>
      </w:r>
      <w:r w:rsidRPr="00CB2E6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4586E79" w14:textId="77777777" w:rsidR="00640F5E" w:rsidRPr="00CB2E6A" w:rsidRDefault="00634B62">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CB2E6A">
        <w:rPr>
          <w:rFonts w:ascii="Palatino Linotype" w:eastAsia="Palatino Linotype" w:hAnsi="Palatino Linotype" w:cs="Palatino Linotype"/>
          <w:b/>
        </w:rPr>
        <w:t xml:space="preserve">Segundo. Oportunidad y Procedibilidad del Recurso de Revisión. </w:t>
      </w:r>
      <w:r w:rsidRPr="00CB2E6A">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F92C644"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lastRenderedPageBreak/>
        <w:t>Al respecto la Ley de Transparencia y Acceso a la Información Pública del Estado de México y Municipios, establece lo siguiente:</w:t>
      </w:r>
    </w:p>
    <w:p w14:paraId="5CCCDBEB" w14:textId="77777777" w:rsidR="00640F5E" w:rsidRPr="00CB2E6A" w:rsidRDefault="00634B62">
      <w:pPr>
        <w:ind w:left="851" w:right="900"/>
        <w:jc w:val="both"/>
        <w:rPr>
          <w:rFonts w:ascii="Palatino Linotype" w:eastAsia="Palatino Linotype" w:hAnsi="Palatino Linotype" w:cs="Palatino Linotype"/>
          <w:i/>
          <w:sz w:val="28"/>
          <w:szCs w:val="28"/>
        </w:rPr>
      </w:pPr>
      <w:r w:rsidRPr="00CB2E6A">
        <w:rPr>
          <w:rFonts w:ascii="Palatino Linotype" w:eastAsia="Palatino Linotype" w:hAnsi="Palatino Linotype" w:cs="Palatino Linotype"/>
          <w:b/>
          <w:i/>
          <w:sz w:val="22"/>
          <w:szCs w:val="22"/>
        </w:rPr>
        <w:t xml:space="preserve">“Artículo 178. </w:t>
      </w:r>
      <w:r w:rsidRPr="00CB2E6A">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A1DAF92"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remitió la respuesta a la solicitud de información el día </w:t>
      </w:r>
      <w:r w:rsidRPr="00CB2E6A">
        <w:rPr>
          <w:rFonts w:ascii="Palatino Linotype" w:eastAsia="Palatino Linotype" w:hAnsi="Palatino Linotype" w:cs="Palatino Linotype"/>
          <w:b/>
        </w:rPr>
        <w:t xml:space="preserve">dieciséis de junio de dos mil veintitrés, </w:t>
      </w:r>
      <w:r w:rsidRPr="00CB2E6A">
        <w:rPr>
          <w:rFonts w:ascii="Palatino Linotype" w:eastAsia="Palatino Linotype" w:hAnsi="Palatino Linotype" w:cs="Palatino Linotype"/>
        </w:rPr>
        <w:t xml:space="preserve">mientras que el recurso de revisión interpuesto por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xml:space="preserve">, se tuvo por presentado el día </w:t>
      </w:r>
      <w:r w:rsidRPr="00CB2E6A">
        <w:rPr>
          <w:rFonts w:ascii="Palatino Linotype" w:eastAsia="Palatino Linotype" w:hAnsi="Palatino Linotype" w:cs="Palatino Linotype"/>
          <w:b/>
        </w:rPr>
        <w:t>diecinueve de junio del año dos mil veintitrés</w:t>
      </w:r>
      <w:r w:rsidRPr="00CB2E6A">
        <w:rPr>
          <w:rFonts w:ascii="Palatino Linotype" w:eastAsia="Palatino Linotype" w:hAnsi="Palatino Linotype" w:cs="Palatino Linotype"/>
        </w:rPr>
        <w:t>; esto es, al primer día hábil siguiente en que tuvo conocimiento de la respuesta.</w:t>
      </w:r>
    </w:p>
    <w:p w14:paraId="1FE54EC8"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Por cuanto hace a la procedibilidad del recurso de revisión, es de suma importancia señalar que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no proporcionó su nombre</w:t>
      </w:r>
      <w:r w:rsidRPr="00CB2E6A">
        <w:rPr>
          <w:rFonts w:ascii="Palatino Linotype" w:eastAsia="Palatino Linotype" w:hAnsi="Palatino Linotype" w:cs="Palatino Linotype"/>
          <w:b/>
        </w:rPr>
        <w:t>,</w:t>
      </w:r>
      <w:r w:rsidRPr="00CB2E6A">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0C00DC" w14:textId="77777777" w:rsidR="00640F5E" w:rsidRPr="00CB2E6A" w:rsidRDefault="00634B62">
      <w:pPr>
        <w:spacing w:before="240" w:after="240" w:line="276" w:lineRule="auto"/>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lastRenderedPageBreak/>
        <w:t>"</w:t>
      </w:r>
      <w:r w:rsidRPr="00CB2E6A">
        <w:rPr>
          <w:rFonts w:ascii="Palatino Linotype" w:eastAsia="Palatino Linotype" w:hAnsi="Palatino Linotype" w:cs="Palatino Linotype"/>
          <w:b/>
          <w:i/>
          <w:sz w:val="22"/>
          <w:szCs w:val="22"/>
        </w:rPr>
        <w:t xml:space="preserve">Las solicitudes </w:t>
      </w:r>
      <w:r w:rsidRPr="00CB2E6A">
        <w:rPr>
          <w:rFonts w:ascii="Palatino Linotype" w:eastAsia="Palatino Linotype" w:hAnsi="Palatino Linotype" w:cs="Palatino Linotype"/>
          <w:i/>
          <w:sz w:val="22"/>
          <w:szCs w:val="22"/>
        </w:rPr>
        <w:t xml:space="preserve">anónimas, con </w:t>
      </w:r>
      <w:r w:rsidRPr="00CB2E6A">
        <w:rPr>
          <w:rFonts w:ascii="Palatino Linotype" w:eastAsia="Palatino Linotype" w:hAnsi="Palatino Linotype" w:cs="Palatino Linotype"/>
          <w:b/>
          <w:i/>
          <w:sz w:val="22"/>
          <w:szCs w:val="22"/>
        </w:rPr>
        <w:t>nombre incompleto o seudónimo</w:t>
      </w:r>
      <w:r w:rsidRPr="00CB2E6A">
        <w:rPr>
          <w:rFonts w:ascii="Palatino Linotype" w:eastAsia="Palatino Linotype" w:hAnsi="Palatino Linotype" w:cs="Palatino Linotype"/>
          <w:i/>
          <w:sz w:val="22"/>
          <w:szCs w:val="22"/>
        </w:rPr>
        <w:t xml:space="preserve"> </w:t>
      </w:r>
      <w:r w:rsidRPr="00CB2E6A">
        <w:rPr>
          <w:rFonts w:ascii="Palatino Linotype" w:eastAsia="Palatino Linotype" w:hAnsi="Palatino Linotype" w:cs="Palatino Linotype"/>
          <w:b/>
          <w:i/>
          <w:sz w:val="22"/>
          <w:szCs w:val="22"/>
        </w:rPr>
        <w:t>serán procedentes para su trámite por parte del sujeto obligado ante quien se presente</w:t>
      </w:r>
      <w:r w:rsidRPr="00CB2E6A">
        <w:rPr>
          <w:rFonts w:ascii="Palatino Linotype" w:eastAsia="Palatino Linotype" w:hAnsi="Palatino Linotype" w:cs="Palatino Linotype"/>
          <w:i/>
          <w:sz w:val="22"/>
          <w:szCs w:val="22"/>
        </w:rPr>
        <w:t>. No podrá requerirse información adicional con motivo del nombre proporcionado por el solicitante."(Sic)</w:t>
      </w:r>
    </w:p>
    <w:p w14:paraId="5689C639"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E864B6D"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VIII de la ley de la materia, que a la letra dice:</w:t>
      </w:r>
    </w:p>
    <w:p w14:paraId="010882D2" w14:textId="77777777" w:rsidR="00640F5E" w:rsidRPr="00CB2E6A" w:rsidRDefault="00634B62">
      <w:pPr>
        <w:ind w:left="1276" w:right="175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r w:rsidRPr="00CB2E6A">
        <w:rPr>
          <w:rFonts w:ascii="Palatino Linotype" w:eastAsia="Palatino Linotype" w:hAnsi="Palatino Linotype" w:cs="Palatino Linotype"/>
          <w:b/>
          <w:i/>
          <w:sz w:val="22"/>
          <w:szCs w:val="22"/>
        </w:rPr>
        <w:t xml:space="preserve">Artículo 179. </w:t>
      </w:r>
      <w:r w:rsidRPr="00CB2E6A">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CB2E6A">
        <w:rPr>
          <w:rFonts w:ascii="Palatino Linotype" w:eastAsia="Palatino Linotype" w:hAnsi="Palatino Linotype" w:cs="Palatino Linotype"/>
          <w:i/>
        </w:rPr>
        <w:t>causas</w:t>
      </w:r>
      <w:r w:rsidRPr="00CB2E6A">
        <w:rPr>
          <w:rFonts w:ascii="Palatino Linotype" w:eastAsia="Palatino Linotype" w:hAnsi="Palatino Linotype" w:cs="Palatino Linotype"/>
          <w:i/>
          <w:sz w:val="22"/>
          <w:szCs w:val="22"/>
        </w:rPr>
        <w:t>:</w:t>
      </w:r>
    </w:p>
    <w:p w14:paraId="3E8F6D42" w14:textId="77777777" w:rsidR="00640F5E" w:rsidRPr="00CB2E6A" w:rsidRDefault="00634B62">
      <w:pPr>
        <w:ind w:left="1276" w:right="175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p>
    <w:p w14:paraId="1F5F54F2" w14:textId="77777777" w:rsidR="00640F5E" w:rsidRPr="00CB2E6A" w:rsidRDefault="00634B62">
      <w:pPr>
        <w:ind w:left="1276" w:right="175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VIII. La notificación, entrega o puesta a disposición de información en una modalidad o formato distinto al solicitado…” (Sic)</w:t>
      </w:r>
    </w:p>
    <w:p w14:paraId="274A904C" w14:textId="77777777" w:rsidR="00640F5E" w:rsidRPr="00CB2E6A" w:rsidRDefault="00634B62">
      <w:pPr>
        <w:spacing w:before="280" w:after="28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t>Tercero. Materia de Revisión</w:t>
      </w:r>
      <w:r w:rsidRPr="00CB2E6A">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CB2E6A">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CB2E6A">
        <w:rPr>
          <w:rFonts w:ascii="Palatino Linotype" w:eastAsia="Palatino Linotype" w:hAnsi="Palatino Linotype" w:cs="Palatino Linotype"/>
        </w:rPr>
        <w:t xml:space="preserve">del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o en su defecto, en caso de ser procedente, ordenar la entrega de información.</w:t>
      </w:r>
    </w:p>
    <w:p w14:paraId="728E78EA"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lastRenderedPageBreak/>
        <w:t xml:space="preserve">Cuarto. Estudio de fondo del asunto. </w:t>
      </w:r>
      <w:r w:rsidRPr="00CB2E6A">
        <w:rPr>
          <w:rFonts w:ascii="Palatino Linotype" w:eastAsia="Palatino Linotype" w:hAnsi="Palatino Linotype" w:cs="Palatino Linotype"/>
        </w:rPr>
        <w:t xml:space="preserve">Es conveniente analizar si la respuesta del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EC1A9E2" w14:textId="77777777" w:rsidR="00640F5E" w:rsidRPr="00CB2E6A" w:rsidRDefault="00634B62">
      <w:pPr>
        <w:spacing w:before="240"/>
        <w:ind w:left="709" w:right="760"/>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r w:rsidRPr="00CB2E6A">
        <w:rPr>
          <w:rFonts w:ascii="Palatino Linotype" w:eastAsia="Palatino Linotype" w:hAnsi="Palatino Linotype" w:cs="Palatino Linotype"/>
          <w:b/>
          <w:i/>
          <w:sz w:val="22"/>
          <w:szCs w:val="22"/>
        </w:rPr>
        <w:t>Artículo 4</w:t>
      </w:r>
      <w:r w:rsidRPr="00CB2E6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69F2D20" w14:textId="77777777" w:rsidR="00640F5E" w:rsidRPr="00CB2E6A" w:rsidRDefault="00634B62">
      <w:pPr>
        <w:ind w:left="709" w:right="760"/>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B2E6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392FF49" w14:textId="77777777" w:rsidR="00640F5E" w:rsidRPr="00CB2E6A" w:rsidRDefault="00634B62">
      <w:pPr>
        <w:ind w:left="709" w:right="760"/>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B2E6A">
        <w:rPr>
          <w:rFonts w:ascii="Palatino Linotype" w:eastAsia="Palatino Linotype" w:hAnsi="Palatino Linotype" w:cs="Palatino Linotype"/>
          <w:i/>
          <w:sz w:val="22"/>
          <w:szCs w:val="22"/>
        </w:rPr>
        <w:t>.”(Sic)</w:t>
      </w:r>
    </w:p>
    <w:p w14:paraId="19588B7B" w14:textId="77777777" w:rsidR="00640F5E" w:rsidRPr="00CB2E6A" w:rsidRDefault="00640F5E">
      <w:pPr>
        <w:spacing w:line="360" w:lineRule="auto"/>
        <w:jc w:val="both"/>
        <w:rPr>
          <w:rFonts w:ascii="Palatino Linotype" w:eastAsia="Palatino Linotype" w:hAnsi="Palatino Linotype" w:cs="Palatino Linotype"/>
        </w:rPr>
      </w:pPr>
    </w:p>
    <w:p w14:paraId="74EBC01A"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sidRPr="00CB2E6A">
        <w:rPr>
          <w:rFonts w:ascii="Palatino Linotype" w:eastAsia="Palatino Linotype" w:hAnsi="Palatino Linotype" w:cs="Palatino Linotype"/>
        </w:rPr>
        <w:lastRenderedPageBreak/>
        <w:t>Transparencia y Acceso a la Información Pública del Estado de México y Municipios, que a la letra dice:</w:t>
      </w:r>
    </w:p>
    <w:p w14:paraId="13359E28" w14:textId="77777777" w:rsidR="00640F5E" w:rsidRPr="00CB2E6A" w:rsidRDefault="00640F5E">
      <w:pPr>
        <w:spacing w:line="360" w:lineRule="auto"/>
        <w:jc w:val="both"/>
        <w:rPr>
          <w:rFonts w:ascii="Palatino Linotype" w:eastAsia="Palatino Linotype" w:hAnsi="Palatino Linotype" w:cs="Palatino Linotype"/>
        </w:rPr>
      </w:pPr>
    </w:p>
    <w:p w14:paraId="0B012FFD" w14:textId="77777777" w:rsidR="00640F5E" w:rsidRPr="00CB2E6A" w:rsidRDefault="00634B62">
      <w:pPr>
        <w:ind w:left="567" w:right="758"/>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“Artículo 12.-</w:t>
      </w:r>
      <w:r w:rsidRPr="00CB2E6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79AAD04" w14:textId="77777777" w:rsidR="00640F5E" w:rsidRPr="00CB2E6A" w:rsidRDefault="00640F5E">
      <w:pPr>
        <w:ind w:left="567" w:right="758"/>
        <w:jc w:val="both"/>
        <w:rPr>
          <w:rFonts w:ascii="Palatino Linotype" w:eastAsia="Palatino Linotype" w:hAnsi="Palatino Linotype" w:cs="Palatino Linotype"/>
          <w:i/>
          <w:sz w:val="22"/>
          <w:szCs w:val="22"/>
        </w:rPr>
      </w:pPr>
    </w:p>
    <w:p w14:paraId="13EC3D76" w14:textId="77777777" w:rsidR="00640F5E" w:rsidRPr="00CB2E6A" w:rsidRDefault="00634B62">
      <w:pPr>
        <w:ind w:left="567" w:right="758"/>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B2E6A">
        <w:rPr>
          <w:rFonts w:ascii="Palatino Linotype" w:eastAsia="Palatino Linotype" w:hAnsi="Palatino Linotype" w:cs="Palatino Linotype"/>
          <w:i/>
          <w:sz w:val="22"/>
          <w:szCs w:val="22"/>
        </w:rPr>
        <w:t xml:space="preserve">. </w:t>
      </w:r>
      <w:r w:rsidRPr="00CB2E6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8FE8486" w14:textId="77777777" w:rsidR="00640F5E" w:rsidRPr="00CB2E6A" w:rsidRDefault="00640F5E">
      <w:pPr>
        <w:spacing w:line="360" w:lineRule="auto"/>
        <w:ind w:right="-93"/>
        <w:jc w:val="both"/>
        <w:rPr>
          <w:rFonts w:ascii="Palatino Linotype" w:eastAsia="Palatino Linotype" w:hAnsi="Palatino Linotype" w:cs="Palatino Linotype"/>
        </w:rPr>
      </w:pPr>
    </w:p>
    <w:p w14:paraId="072EEC6A" w14:textId="77777777" w:rsidR="00640F5E" w:rsidRPr="00CB2E6A" w:rsidRDefault="00634B62">
      <w:pPr>
        <w:spacing w:line="360" w:lineRule="auto"/>
        <w:ind w:right="-93"/>
        <w:jc w:val="both"/>
        <w:rPr>
          <w:rFonts w:ascii="Palatino Linotype" w:eastAsia="Palatino Linotype" w:hAnsi="Palatino Linotype" w:cs="Palatino Linotype"/>
        </w:rPr>
      </w:pPr>
      <w:r w:rsidRPr="00CB2E6A">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E3048EB" w14:textId="77777777" w:rsidR="00640F5E" w:rsidRPr="00CB2E6A" w:rsidRDefault="00640F5E">
      <w:pPr>
        <w:spacing w:line="360" w:lineRule="auto"/>
        <w:ind w:right="-93"/>
        <w:jc w:val="both"/>
        <w:rPr>
          <w:rFonts w:ascii="Palatino Linotype" w:eastAsia="Palatino Linotype" w:hAnsi="Palatino Linotype" w:cs="Palatino Linotype"/>
        </w:rPr>
      </w:pPr>
    </w:p>
    <w:p w14:paraId="0D6A31DF" w14:textId="77777777" w:rsidR="00640F5E" w:rsidRPr="00CB2E6A" w:rsidRDefault="00634B62">
      <w:pPr>
        <w:spacing w:line="360" w:lineRule="auto"/>
        <w:jc w:val="both"/>
        <w:rPr>
          <w:rFonts w:ascii="Palatino Linotype" w:eastAsia="Palatino Linotype" w:hAnsi="Palatino Linotype" w:cs="Palatino Linotype"/>
          <w:b/>
        </w:rPr>
      </w:pPr>
      <w:r w:rsidRPr="00CB2E6A">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CB2E6A">
        <w:rPr>
          <w:rFonts w:ascii="Palatino Linotype" w:eastAsia="Palatino Linotype" w:hAnsi="Palatino Linotype" w:cs="Palatino Linotype"/>
          <w:b/>
        </w:rPr>
        <w:t xml:space="preserve"> </w:t>
      </w:r>
    </w:p>
    <w:p w14:paraId="3E07EAF7" w14:textId="77777777" w:rsidR="00640F5E" w:rsidRPr="00CB2E6A" w:rsidRDefault="00640F5E">
      <w:pPr>
        <w:ind w:left="851" w:right="850"/>
        <w:jc w:val="both"/>
        <w:rPr>
          <w:rFonts w:ascii="Palatino Linotype" w:eastAsia="Palatino Linotype" w:hAnsi="Palatino Linotype" w:cs="Palatino Linotype"/>
        </w:rPr>
      </w:pPr>
    </w:p>
    <w:p w14:paraId="50CDCCFD" w14:textId="77777777" w:rsidR="00640F5E" w:rsidRPr="00CB2E6A" w:rsidRDefault="00634B62">
      <w:pPr>
        <w:ind w:left="851" w:right="901"/>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r w:rsidRPr="00CB2E6A">
        <w:rPr>
          <w:rFonts w:ascii="Palatino Linotype" w:eastAsia="Palatino Linotype" w:hAnsi="Palatino Linotype" w:cs="Palatino Linotype"/>
          <w:b/>
          <w:i/>
          <w:sz w:val="22"/>
          <w:szCs w:val="22"/>
        </w:rPr>
        <w:t>No existe obligación de elaborar documentos ad hoc para atender las solicitudes de acceso a la información.</w:t>
      </w:r>
      <w:r w:rsidRPr="00CB2E6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w:t>
      </w:r>
      <w:r w:rsidRPr="00CB2E6A">
        <w:rPr>
          <w:rFonts w:ascii="Palatino Linotype" w:eastAsia="Palatino Linotype" w:hAnsi="Palatino Linotype" w:cs="Palatino Linotype"/>
          <w:i/>
          <w:sz w:val="22"/>
          <w:szCs w:val="22"/>
        </w:rPr>
        <w:lastRenderedPageBreak/>
        <w:t>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23DD5CA" w14:textId="77777777" w:rsidR="00640F5E" w:rsidRPr="00CB2E6A" w:rsidRDefault="00634B62">
      <w:pPr>
        <w:ind w:left="851" w:right="901"/>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Resoluciones: </w:t>
      </w:r>
    </w:p>
    <w:p w14:paraId="193F4BA0" w14:textId="77777777" w:rsidR="00640F5E" w:rsidRPr="00CB2E6A" w:rsidRDefault="00634B62">
      <w:pPr>
        <w:ind w:left="851" w:right="901"/>
        <w:jc w:val="both"/>
        <w:rPr>
          <w:rFonts w:ascii="Palatino Linotype" w:eastAsia="Palatino Linotype" w:hAnsi="Palatino Linotype" w:cs="Palatino Linotype"/>
          <w:i/>
          <w:sz w:val="22"/>
          <w:szCs w:val="22"/>
        </w:rPr>
      </w:pPr>
      <w:r w:rsidRPr="00CB2E6A">
        <w:rPr>
          <w:rFonts w:ascii="Noto Sans Symbols" w:eastAsia="Noto Sans Symbols" w:hAnsi="Noto Sans Symbols" w:cs="Noto Sans Symbols"/>
          <w:i/>
          <w:sz w:val="22"/>
          <w:szCs w:val="22"/>
        </w:rPr>
        <w:t>∙</w:t>
      </w:r>
      <w:r w:rsidRPr="00CB2E6A">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2C44F72B" w14:textId="77777777" w:rsidR="00640F5E" w:rsidRPr="00CB2E6A" w:rsidRDefault="00634B62">
      <w:pPr>
        <w:ind w:left="851" w:right="901"/>
        <w:jc w:val="both"/>
        <w:rPr>
          <w:rFonts w:ascii="Palatino Linotype" w:eastAsia="Palatino Linotype" w:hAnsi="Palatino Linotype" w:cs="Palatino Linotype"/>
          <w:i/>
          <w:sz w:val="22"/>
          <w:szCs w:val="22"/>
        </w:rPr>
      </w:pPr>
      <w:r w:rsidRPr="00CB2E6A">
        <w:rPr>
          <w:rFonts w:ascii="Noto Sans Symbols" w:eastAsia="Noto Sans Symbols" w:hAnsi="Noto Sans Symbols" w:cs="Noto Sans Symbols"/>
          <w:i/>
          <w:sz w:val="22"/>
          <w:szCs w:val="22"/>
        </w:rPr>
        <w:t>∙</w:t>
      </w:r>
      <w:r w:rsidRPr="00CB2E6A">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6CCB0662" w14:textId="77777777" w:rsidR="00640F5E" w:rsidRPr="00CB2E6A" w:rsidRDefault="00634B62">
      <w:pPr>
        <w:ind w:left="851" w:right="901"/>
        <w:jc w:val="both"/>
        <w:rPr>
          <w:rFonts w:ascii="Palatino Linotype" w:eastAsia="Palatino Linotype" w:hAnsi="Palatino Linotype" w:cs="Palatino Linotype"/>
          <w:i/>
          <w:sz w:val="22"/>
          <w:szCs w:val="22"/>
        </w:rPr>
      </w:pPr>
      <w:r w:rsidRPr="00CB2E6A">
        <w:rPr>
          <w:rFonts w:ascii="Noto Sans Symbols" w:eastAsia="Noto Sans Symbols" w:hAnsi="Noto Sans Symbols" w:cs="Noto Sans Symbols"/>
          <w:i/>
          <w:sz w:val="22"/>
          <w:szCs w:val="22"/>
        </w:rPr>
        <w:t>∙</w:t>
      </w:r>
      <w:r w:rsidRPr="00CB2E6A">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43C0CEAB" w14:textId="77777777" w:rsidR="00640F5E" w:rsidRPr="00CB2E6A" w:rsidRDefault="00640F5E">
      <w:pPr>
        <w:spacing w:line="360" w:lineRule="auto"/>
        <w:ind w:right="-93"/>
        <w:jc w:val="both"/>
        <w:rPr>
          <w:rFonts w:ascii="Palatino Linotype" w:eastAsia="Palatino Linotype" w:hAnsi="Palatino Linotype" w:cs="Palatino Linotype"/>
        </w:rPr>
      </w:pPr>
    </w:p>
    <w:p w14:paraId="56C553B5"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291B92" w14:textId="77777777" w:rsidR="00640F5E" w:rsidRPr="00CB2E6A" w:rsidRDefault="00640F5E">
      <w:pPr>
        <w:spacing w:line="360" w:lineRule="auto"/>
        <w:jc w:val="both"/>
        <w:rPr>
          <w:rFonts w:ascii="Palatino Linotype" w:eastAsia="Palatino Linotype" w:hAnsi="Palatino Linotype" w:cs="Palatino Linotype"/>
        </w:rPr>
      </w:pPr>
    </w:p>
    <w:p w14:paraId="2313A18F" w14:textId="77777777" w:rsidR="00640F5E" w:rsidRPr="00CB2E6A" w:rsidRDefault="00634B62">
      <w:pPr>
        <w:spacing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329A59E" w14:textId="77777777" w:rsidR="00640F5E" w:rsidRPr="00CB2E6A" w:rsidRDefault="00640F5E">
      <w:pPr>
        <w:spacing w:line="360" w:lineRule="auto"/>
        <w:ind w:right="49"/>
        <w:jc w:val="both"/>
        <w:rPr>
          <w:rFonts w:ascii="Palatino Linotype" w:eastAsia="Palatino Linotype" w:hAnsi="Palatino Linotype" w:cs="Palatino Linotype"/>
        </w:rPr>
      </w:pPr>
    </w:p>
    <w:p w14:paraId="2FC380DB"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A331EF5" w14:textId="77777777" w:rsidR="00640F5E" w:rsidRPr="00CB2E6A" w:rsidRDefault="00640F5E">
      <w:pPr>
        <w:ind w:left="851" w:right="899"/>
        <w:jc w:val="both"/>
        <w:rPr>
          <w:rFonts w:ascii="Palatino Linotype" w:eastAsia="Palatino Linotype" w:hAnsi="Palatino Linotype" w:cs="Palatino Linotype"/>
          <w:i/>
          <w:sz w:val="22"/>
          <w:szCs w:val="22"/>
        </w:rPr>
      </w:pPr>
    </w:p>
    <w:p w14:paraId="16378F33"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r w:rsidRPr="00CB2E6A">
        <w:rPr>
          <w:rFonts w:ascii="Palatino Linotype" w:eastAsia="Palatino Linotype" w:hAnsi="Palatino Linotype" w:cs="Palatino Linotype"/>
          <w:b/>
          <w:i/>
          <w:sz w:val="22"/>
          <w:szCs w:val="22"/>
        </w:rPr>
        <w:t xml:space="preserve">Artículo 3. </w:t>
      </w:r>
      <w:r w:rsidRPr="00CB2E6A">
        <w:rPr>
          <w:rFonts w:ascii="Palatino Linotype" w:eastAsia="Palatino Linotype" w:hAnsi="Palatino Linotype" w:cs="Palatino Linotype"/>
          <w:i/>
          <w:sz w:val="22"/>
          <w:szCs w:val="22"/>
        </w:rPr>
        <w:t>Para los efectos de la presente Ley se entenderá por:</w:t>
      </w:r>
    </w:p>
    <w:p w14:paraId="6C7D441B"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p>
    <w:p w14:paraId="1CAAC2F0"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XI. Documento:</w:t>
      </w:r>
      <w:r w:rsidRPr="00CB2E6A">
        <w:rPr>
          <w:rFonts w:ascii="Palatino Linotype" w:eastAsia="Palatino Linotype" w:hAnsi="Palatino Linotype" w:cs="Palatino Linotype"/>
          <w:i/>
          <w:sz w:val="22"/>
          <w:szCs w:val="22"/>
        </w:rPr>
        <w:t xml:space="preserve"> Los expedientes, reportes, estudios, actas</w:t>
      </w:r>
      <w:r w:rsidRPr="00CB2E6A">
        <w:rPr>
          <w:rFonts w:ascii="Palatino Linotype" w:eastAsia="Palatino Linotype" w:hAnsi="Palatino Linotype" w:cs="Palatino Linotype"/>
          <w:b/>
          <w:i/>
          <w:sz w:val="22"/>
          <w:szCs w:val="22"/>
        </w:rPr>
        <w:t>,</w:t>
      </w:r>
      <w:r w:rsidRPr="00CB2E6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E051FDE" w14:textId="77777777" w:rsidR="00640F5E" w:rsidRPr="00CB2E6A" w:rsidRDefault="00640F5E">
      <w:pPr>
        <w:ind w:left="851" w:right="899"/>
        <w:jc w:val="both"/>
        <w:rPr>
          <w:rFonts w:ascii="Palatino Linotype" w:eastAsia="Palatino Linotype" w:hAnsi="Palatino Linotype" w:cs="Palatino Linotype"/>
          <w:sz w:val="22"/>
          <w:szCs w:val="22"/>
        </w:rPr>
      </w:pPr>
    </w:p>
    <w:p w14:paraId="05A467B6"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F2B5F5A" w14:textId="77777777" w:rsidR="00640F5E" w:rsidRPr="00CB2E6A" w:rsidRDefault="00640F5E">
      <w:pPr>
        <w:ind w:left="851" w:right="899"/>
        <w:jc w:val="both"/>
        <w:rPr>
          <w:rFonts w:ascii="Palatino Linotype" w:eastAsia="Palatino Linotype" w:hAnsi="Palatino Linotype" w:cs="Palatino Linotype"/>
        </w:rPr>
      </w:pPr>
    </w:p>
    <w:p w14:paraId="0DF5B5F2"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sz w:val="22"/>
          <w:szCs w:val="22"/>
        </w:rPr>
        <w:t>“</w:t>
      </w:r>
      <w:r w:rsidRPr="00CB2E6A">
        <w:rPr>
          <w:rFonts w:ascii="Palatino Linotype" w:eastAsia="Palatino Linotype" w:hAnsi="Palatino Linotype" w:cs="Palatino Linotype"/>
          <w:b/>
          <w:i/>
          <w:sz w:val="22"/>
          <w:szCs w:val="22"/>
        </w:rPr>
        <w:t>CRITERIO 0002-11</w:t>
      </w:r>
    </w:p>
    <w:p w14:paraId="2651CBE0"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B2E6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w:t>
      </w:r>
      <w:r w:rsidRPr="00CB2E6A">
        <w:rPr>
          <w:rFonts w:ascii="Palatino Linotype" w:eastAsia="Palatino Linotype" w:hAnsi="Palatino Linotype" w:cs="Palatino Linotype"/>
          <w:i/>
          <w:sz w:val="22"/>
          <w:szCs w:val="22"/>
        </w:rPr>
        <w:lastRenderedPageBreak/>
        <w:t>registros y documentos públicos, administrados, generados o en posesión de los órganos u organismos públicos, en virtud del ejercicio de sus funciones de derecho público, sin importar su fuente, soporte o fecha de elaboración.</w:t>
      </w:r>
    </w:p>
    <w:p w14:paraId="2B070460"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73FB2F6"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1C16A45"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416D048"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1A410D56" w14:textId="77777777" w:rsidR="00640F5E" w:rsidRPr="00CB2E6A" w:rsidRDefault="00640F5E">
      <w:pPr>
        <w:spacing w:line="360" w:lineRule="auto"/>
        <w:jc w:val="both"/>
        <w:rPr>
          <w:rFonts w:ascii="Palatino Linotype" w:eastAsia="Palatino Linotype" w:hAnsi="Palatino Linotype" w:cs="Palatino Linotype"/>
        </w:rPr>
      </w:pPr>
    </w:p>
    <w:p w14:paraId="4CA9520A" w14:textId="77777777" w:rsidR="00640F5E" w:rsidRPr="00CB2E6A" w:rsidRDefault="00634B62">
      <w:pPr>
        <w:spacing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Ahora bien, del análisis de la solicitud de información motivo del recurso de revisión que ahora se resuelve, se advierte que el particular requirió a la Secretaría de Finanzas, lo siguiente:</w:t>
      </w:r>
    </w:p>
    <w:p w14:paraId="16BD3382" w14:textId="77777777" w:rsidR="00640F5E" w:rsidRPr="00CB2E6A" w:rsidRDefault="00634B62">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De la empresa </w:t>
      </w:r>
      <w:proofErr w:type="spellStart"/>
      <w:r w:rsidRPr="00CB2E6A">
        <w:rPr>
          <w:rFonts w:ascii="Palatino Linotype" w:eastAsia="Palatino Linotype" w:hAnsi="Palatino Linotype" w:cs="Palatino Linotype"/>
        </w:rPr>
        <w:t>Zumby</w:t>
      </w:r>
      <w:proofErr w:type="spellEnd"/>
      <w:r w:rsidRPr="00CB2E6A">
        <w:rPr>
          <w:rFonts w:ascii="Palatino Linotype" w:eastAsia="Palatino Linotype" w:hAnsi="Palatino Linotype" w:cs="Palatino Linotype"/>
        </w:rPr>
        <w:t xml:space="preserve"> Servicios Profesionales S.A. DE C.V. toda la documentación que el sujeto obligado tiene en su posesión relativa a la empresa en mención.</w:t>
      </w:r>
    </w:p>
    <w:p w14:paraId="736DCEF3" w14:textId="77777777" w:rsidR="00640F5E" w:rsidRPr="00CB2E6A" w:rsidRDefault="00634B62">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Expediente formado con motivo de la licitación pública número LPNP-079-2021 que dio origen al contrato CS/A/92/2021.</w:t>
      </w:r>
    </w:p>
    <w:p w14:paraId="56A9407B"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En respuesta la Dirección de Recursos Materiales de la Secretaría de Finanzas, informó el cambio de modalidad a consulta directa de la información requerida por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xml:space="preserve">, con la finalidad de garantizar y privilegiar el derecho de acceso a la información pública del solicitante, lo anterior debido a que la entrega de la información conlleva a un análisis, estudio y procesamiento de documentos y actualmente esa unidad no cuenta con el personal operativo necesario para realizarlo. </w:t>
      </w:r>
    </w:p>
    <w:p w14:paraId="361B806E"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lastRenderedPageBreak/>
        <w:t>Indicándole, también que la consulta se realizara en parcialidades, en el domicilio señalado, previa cita concertada con la servidora pública que señaló y teléfono precisado.</w:t>
      </w:r>
    </w:p>
    <w:p w14:paraId="581ADC51"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Conocida la respuesta, de una revisión del acto impugnado como motivos de inconformidad,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xml:space="preserve"> se inconformó en lo medular por el cambio de modalidad a consulta directa.</w:t>
      </w:r>
    </w:p>
    <w:p w14:paraId="1982FFE5"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Una vez notificado el recurso de revisión al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este rindió su informe justificado a través en lo medular ratificó la respuesta de la Dirección General de Recursos Materiales. </w:t>
      </w:r>
    </w:p>
    <w:p w14:paraId="519FC051"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En virtud de lo anterior, se determina que la información emitida por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acontecen fundados para revocar la respuesta del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en razón de las consideraciones de derecho que a continuación se exponen:</w:t>
      </w:r>
    </w:p>
    <w:p w14:paraId="78A1D23E"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Antes del estudio de fondo, es pertinente aclarar que de la solicitud se desprende que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en cuanto al punto uno y dos relacionado con:</w:t>
      </w:r>
    </w:p>
    <w:p w14:paraId="730B8729" w14:textId="77777777" w:rsidR="00640F5E" w:rsidRPr="00CB2E6A" w:rsidRDefault="00634B62">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De la empresa </w:t>
      </w:r>
      <w:proofErr w:type="spellStart"/>
      <w:r w:rsidRPr="00CB2E6A">
        <w:rPr>
          <w:rFonts w:ascii="Palatino Linotype" w:eastAsia="Palatino Linotype" w:hAnsi="Palatino Linotype" w:cs="Palatino Linotype"/>
        </w:rPr>
        <w:t>Zumby</w:t>
      </w:r>
      <w:proofErr w:type="spellEnd"/>
      <w:r w:rsidRPr="00CB2E6A">
        <w:rPr>
          <w:rFonts w:ascii="Palatino Linotype" w:eastAsia="Palatino Linotype" w:hAnsi="Palatino Linotype" w:cs="Palatino Linotype"/>
        </w:rPr>
        <w:t xml:space="preserve"> Servicios Profesionales S.A. DE C.V. toda la documentación que el sujeto obligado tiene en su posesión relativa a la empresa en mención.</w:t>
      </w:r>
    </w:p>
    <w:p w14:paraId="1C4D2CCD" w14:textId="77777777" w:rsidR="00640F5E" w:rsidRPr="00CB2E6A" w:rsidRDefault="00634B62">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Expediente formado con motivo de la licitación pública número LPNP-079-2021 que dio origen al contrato CS/A/92/2021.</w:t>
      </w:r>
    </w:p>
    <w:p w14:paraId="57BC8685" w14:textId="77777777" w:rsidR="00640F5E" w:rsidRPr="00CB2E6A" w:rsidRDefault="00634B62">
      <w:pPr>
        <w:spacing w:line="360" w:lineRule="auto"/>
        <w:jc w:val="both"/>
        <w:rPr>
          <w:rFonts w:ascii="Palatino Linotype" w:eastAsia="Palatino Linotype" w:hAnsi="Palatino Linotype" w:cs="Palatino Linotype"/>
        </w:rPr>
      </w:pPr>
      <w:bookmarkStart w:id="4" w:name="_heading=h.1fob9te" w:colFirst="0" w:colLast="0"/>
      <w:bookmarkEnd w:id="4"/>
      <w:r w:rsidRPr="00CB2E6A">
        <w:rPr>
          <w:rFonts w:ascii="Palatino Linotype" w:eastAsia="Palatino Linotype" w:hAnsi="Palatino Linotype" w:cs="Palatino Linotype"/>
        </w:rPr>
        <w:lastRenderedPageBreak/>
        <w:t xml:space="preserve">El particular fue omiso en señalar una temporalidad de la información solicitad, de ahí que en términos de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veintiséis de mayo del año dos mil veintitrés, discernimiento que encuentra apoyado en los Criterios 1/2010 y 2/2010,  emitidos por el “Comité de Acceso a la Información y Protección de Datos personales” de la Suprema Corte de Justicia de la Nación, que disponen: </w:t>
      </w:r>
    </w:p>
    <w:p w14:paraId="7681722E" w14:textId="77777777" w:rsidR="00640F5E" w:rsidRPr="00CB2E6A" w:rsidRDefault="00640F5E">
      <w:pPr>
        <w:spacing w:line="360" w:lineRule="auto"/>
        <w:jc w:val="both"/>
        <w:rPr>
          <w:rFonts w:ascii="Palatino Linotype" w:eastAsia="Palatino Linotype" w:hAnsi="Palatino Linotype" w:cs="Palatino Linotype"/>
        </w:rPr>
      </w:pPr>
    </w:p>
    <w:p w14:paraId="5F06550E" w14:textId="77777777" w:rsidR="00640F5E" w:rsidRPr="00CB2E6A" w:rsidRDefault="00634B62">
      <w:pPr>
        <w:ind w:left="567" w:right="616"/>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rPr>
        <w:t xml:space="preserve"> </w:t>
      </w:r>
      <w:r w:rsidRPr="00CB2E6A">
        <w:rPr>
          <w:rFonts w:ascii="Palatino Linotype" w:eastAsia="Palatino Linotype" w:hAnsi="Palatino Linotype" w:cs="Palatino Linotype"/>
          <w:i/>
          <w:sz w:val="22"/>
          <w:szCs w:val="22"/>
        </w:rPr>
        <w:t>“Criterio 1/2010</w:t>
      </w:r>
    </w:p>
    <w:p w14:paraId="10F9EE27" w14:textId="77777777" w:rsidR="00640F5E" w:rsidRPr="00CB2E6A" w:rsidRDefault="00634B62">
      <w:pPr>
        <w:ind w:left="567" w:right="616"/>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5F320F81" w14:textId="77777777" w:rsidR="00640F5E" w:rsidRPr="00CB2E6A" w:rsidRDefault="00634B62">
      <w:pPr>
        <w:ind w:left="567" w:right="616"/>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1E89B0B1" w14:textId="77777777" w:rsidR="00640F5E" w:rsidRPr="00CB2E6A" w:rsidRDefault="00634B62">
      <w:pPr>
        <w:ind w:left="567" w:right="616"/>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Clasificación de Información 69/2009-A. 30 de septiembre de 2009. Unanimidad de votos.”</w:t>
      </w:r>
    </w:p>
    <w:p w14:paraId="234C2E33" w14:textId="77777777" w:rsidR="00640F5E" w:rsidRPr="00CB2E6A" w:rsidRDefault="00634B62">
      <w:pPr>
        <w:ind w:left="567" w:right="616"/>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“Criterio 2/2010.</w:t>
      </w:r>
    </w:p>
    <w:p w14:paraId="3C952156" w14:textId="77777777" w:rsidR="00640F5E" w:rsidRPr="00CB2E6A" w:rsidRDefault="00634B62">
      <w:pPr>
        <w:ind w:left="567" w:right="616"/>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402CACAB" w14:textId="77777777" w:rsidR="00640F5E" w:rsidRPr="00CB2E6A" w:rsidRDefault="00634B62">
      <w:pPr>
        <w:ind w:left="567" w:right="616"/>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w:t>
      </w:r>
      <w:r w:rsidRPr="00CB2E6A">
        <w:rPr>
          <w:rFonts w:ascii="Palatino Linotype" w:eastAsia="Palatino Linotype" w:hAnsi="Palatino Linotype" w:cs="Palatino Linotype"/>
          <w:i/>
          <w:sz w:val="22"/>
          <w:szCs w:val="22"/>
        </w:rPr>
        <w:lastRenderedPageBreak/>
        <w:t>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0CE90074" w14:textId="77777777" w:rsidR="00640F5E" w:rsidRPr="00CB2E6A" w:rsidRDefault="00634B62">
      <w:pPr>
        <w:ind w:left="567" w:right="616"/>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Clasificación de Información 69/2009-A. 30 de septiembre de 2009. Unanimidad de votos.”(Sic)</w:t>
      </w:r>
    </w:p>
    <w:p w14:paraId="61C31DEF" w14:textId="77777777" w:rsidR="00640F5E" w:rsidRPr="00CB2E6A" w:rsidRDefault="00640F5E">
      <w:pPr>
        <w:spacing w:line="360" w:lineRule="auto"/>
        <w:jc w:val="both"/>
        <w:rPr>
          <w:rFonts w:ascii="Palatino Linotype" w:eastAsia="Palatino Linotype" w:hAnsi="Palatino Linotype" w:cs="Palatino Linotype"/>
        </w:rPr>
      </w:pPr>
    </w:p>
    <w:p w14:paraId="156031B8"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Precisado lo anterior, en cuanto a la naturaleza de la información solicitada, los artículos 1°, fracción I, y 4°de la Ley de la de Contratación Pública del Estado de México y Municipios, especifica que las Secretarías del Estado de México, serán los encargados de realizar los actos relativos a la planeación, programación, presupuestación, ejecución y control de la adquisición, arrendamiento de bienes y </w:t>
      </w:r>
      <w:r w:rsidRPr="00CB2E6A">
        <w:rPr>
          <w:rFonts w:ascii="Palatino Linotype" w:eastAsia="Palatino Linotype" w:hAnsi="Palatino Linotype" w:cs="Palatino Linotype"/>
          <w:b/>
        </w:rPr>
        <w:t>la contratación de servicios de cualquier naturaleza</w:t>
      </w:r>
      <w:r w:rsidRPr="00CB2E6A">
        <w:rPr>
          <w:rFonts w:ascii="Palatino Linotype" w:eastAsia="Palatino Linotype" w:hAnsi="Palatino Linotype" w:cs="Palatino Linotype"/>
        </w:rPr>
        <w:t>, como así lo señalan en seguida:</w:t>
      </w:r>
    </w:p>
    <w:p w14:paraId="266015CB"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“Artículo 1.- Esta Ley tiene por objeto regular los actos relativos a la planeación, programación, presupuestación, ejecución y control de la adquisición, enajenación y arrendamiento de bienes, y la contratación de servicios de cualquier naturaleza, que realicen: </w:t>
      </w:r>
    </w:p>
    <w:p w14:paraId="4F30DE31"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I. Las secretarías</w:t>
      </w:r>
      <w:r w:rsidRPr="00CB2E6A">
        <w:rPr>
          <w:rFonts w:ascii="Palatino Linotype" w:eastAsia="Palatino Linotype" w:hAnsi="Palatino Linotype" w:cs="Palatino Linotype"/>
          <w:i/>
          <w:sz w:val="22"/>
          <w:szCs w:val="22"/>
        </w:rPr>
        <w:t xml:space="preserve"> y las unidades administrativas del </w:t>
      </w:r>
      <w:r w:rsidRPr="00CB2E6A">
        <w:rPr>
          <w:rFonts w:ascii="Palatino Linotype" w:eastAsia="Palatino Linotype" w:hAnsi="Palatino Linotype" w:cs="Palatino Linotype"/>
          <w:b/>
          <w:i/>
          <w:sz w:val="22"/>
          <w:szCs w:val="22"/>
        </w:rPr>
        <w:t>Poder Ejecutivo del Estado</w:t>
      </w:r>
      <w:r w:rsidRPr="00CB2E6A">
        <w:rPr>
          <w:rFonts w:ascii="Palatino Linotype" w:eastAsia="Palatino Linotype" w:hAnsi="Palatino Linotype" w:cs="Palatino Linotype"/>
          <w:i/>
          <w:sz w:val="22"/>
          <w:szCs w:val="22"/>
        </w:rPr>
        <w:t xml:space="preserve">. </w:t>
      </w:r>
    </w:p>
    <w:p w14:paraId="20C8E8A7"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II. Derogada. </w:t>
      </w:r>
    </w:p>
    <w:p w14:paraId="569202E4"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III. Los ayuntamientos de los municipios del Estado. </w:t>
      </w:r>
    </w:p>
    <w:p w14:paraId="3A85D5D2"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IV. Los organismos auxiliares y fideicomisos públicos, de carácter estatal o municipal. </w:t>
      </w:r>
    </w:p>
    <w:p w14:paraId="3B68AFD5"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V. Los tribunales administrativos. </w:t>
      </w:r>
    </w:p>
    <w:p w14:paraId="3A2E505A"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Los actos a los que se refiere este artículo que se realicen con cargo total o parcial a fondos del Gobierno del Estado de México, se estarán a lo dispuesto por esta Ley. </w:t>
      </w:r>
    </w:p>
    <w:p w14:paraId="1DCD5B99"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Los actos a que se refiere este artículo que se realicen con cargo total o parcial a fondos del Gobierno Federal, estarán a lo dispuesto por la legislación federal. También serán aplicables las disposiciones de esta Ley a los particulares que participen en los procedimientos, operaciones o contratos regulados en esta Ley. </w:t>
      </w:r>
    </w:p>
    <w:p w14:paraId="6A3FBA52"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Los poderes Legislativo y Judicial, así como los organismos autónomos aplicarán las disposiciones de esta Ley en lo que no se oponga a los ordenamientos legales que los regulan, sujetándose a sus propios órganos de control. No será aplicable </w:t>
      </w:r>
      <w:r w:rsidRPr="00CB2E6A">
        <w:rPr>
          <w:rFonts w:ascii="Palatino Linotype" w:eastAsia="Palatino Linotype" w:hAnsi="Palatino Linotype" w:cs="Palatino Linotype"/>
          <w:i/>
          <w:sz w:val="22"/>
          <w:szCs w:val="22"/>
        </w:rPr>
        <w:lastRenderedPageBreak/>
        <w:t xml:space="preserve">lo dispuesto por esta Ley en los actos objeto del mismo, derivados de convenios celebrados entre dependencias, entidades y ayuntamientos, entre sí o con los de otros estados o de la Federación, excepto cuando sea parte un particular en los procedimientos o contratos respectivos. </w:t>
      </w:r>
    </w:p>
    <w:p w14:paraId="29DBCF68"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Tampoco serán aplicables las disposiciones de esta Ley en los actos que realicen los fideicomisos públicos en los que el Gobierno del Estado no sea fideicomitente único. </w:t>
      </w:r>
    </w:p>
    <w:p w14:paraId="70B086AB"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p>
    <w:p w14:paraId="3F2B4FAC"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Artículo 3.- Para los efectos de la presente Ley se entenderá por: </w:t>
      </w:r>
    </w:p>
    <w:p w14:paraId="7B9C5591"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 COMPRAMEX: Al Sistema Electrónico de Contratación Pública del Estado de México, vinculado al SEITS. </w:t>
      </w:r>
    </w:p>
    <w:p w14:paraId="378BA4F2"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II. Dependencia:</w:t>
      </w:r>
      <w:r w:rsidRPr="00CB2E6A">
        <w:rPr>
          <w:rFonts w:ascii="Palatino Linotype" w:eastAsia="Palatino Linotype" w:hAnsi="Palatino Linotype" w:cs="Palatino Linotype"/>
          <w:i/>
          <w:sz w:val="22"/>
          <w:szCs w:val="22"/>
        </w:rPr>
        <w:t xml:space="preserve"> A </w:t>
      </w:r>
      <w:r w:rsidRPr="00CB2E6A">
        <w:rPr>
          <w:rFonts w:ascii="Palatino Linotype" w:eastAsia="Palatino Linotype" w:hAnsi="Palatino Linotype" w:cs="Palatino Linotype"/>
          <w:b/>
          <w:i/>
          <w:sz w:val="22"/>
          <w:szCs w:val="22"/>
        </w:rPr>
        <w:t>las secretarías</w:t>
      </w:r>
      <w:r w:rsidRPr="00CB2E6A">
        <w:rPr>
          <w:rFonts w:ascii="Palatino Linotype" w:eastAsia="Palatino Linotype" w:hAnsi="Palatino Linotype" w:cs="Palatino Linotype"/>
          <w:i/>
          <w:sz w:val="22"/>
          <w:szCs w:val="22"/>
        </w:rPr>
        <w:t xml:space="preserve"> y a las unidades administrativas</w:t>
      </w:r>
      <w:r w:rsidRPr="00CB2E6A">
        <w:rPr>
          <w:rFonts w:ascii="Palatino Linotype" w:eastAsia="Palatino Linotype" w:hAnsi="Palatino Linotype" w:cs="Palatino Linotype"/>
          <w:b/>
          <w:i/>
          <w:sz w:val="22"/>
          <w:szCs w:val="22"/>
        </w:rPr>
        <w:t xml:space="preserve"> del Poder Ejecutivo del Estado.</w:t>
      </w:r>
    </w:p>
    <w:p w14:paraId="0343A8C4"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Artículo 4.- Para los efectos de esta Ley, en las adquisiciones</w:t>
      </w:r>
      <w:r w:rsidRPr="00CB2E6A">
        <w:rPr>
          <w:rFonts w:ascii="Palatino Linotype" w:eastAsia="Palatino Linotype" w:hAnsi="Palatino Linotype" w:cs="Palatino Linotype"/>
          <w:i/>
          <w:sz w:val="22"/>
          <w:szCs w:val="22"/>
        </w:rPr>
        <w:t xml:space="preserve">, enajenaciones, arrendamientos </w:t>
      </w:r>
      <w:r w:rsidRPr="00CB2E6A">
        <w:rPr>
          <w:rFonts w:ascii="Palatino Linotype" w:eastAsia="Palatino Linotype" w:hAnsi="Palatino Linotype" w:cs="Palatino Linotype"/>
          <w:b/>
          <w:i/>
          <w:sz w:val="22"/>
          <w:szCs w:val="22"/>
        </w:rPr>
        <w:t>y servicios, quedan comprendidos</w:t>
      </w:r>
      <w:r w:rsidRPr="00CB2E6A">
        <w:rPr>
          <w:rFonts w:ascii="Palatino Linotype" w:eastAsia="Palatino Linotype" w:hAnsi="Palatino Linotype" w:cs="Palatino Linotype"/>
          <w:i/>
          <w:sz w:val="22"/>
          <w:szCs w:val="22"/>
        </w:rPr>
        <w:t>:</w:t>
      </w:r>
    </w:p>
    <w:p w14:paraId="55AE1A4E"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 La adquisición de bienes muebles. </w:t>
      </w:r>
    </w:p>
    <w:p w14:paraId="1333F789"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II. La adquisición de bienes inmuebles, a través de compraventa. </w:t>
      </w:r>
    </w:p>
    <w:p w14:paraId="4BABFB0A"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III. La enajenación de bienes muebles e inmuebles. </w:t>
      </w:r>
    </w:p>
    <w:p w14:paraId="1FCA9849"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IV. El arrendamiento de bienes muebles e inmuebles. </w:t>
      </w:r>
    </w:p>
    <w:p w14:paraId="3A40E057"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V. La contratación de los servicios, relacionados con bienes muebles que se encuentran incorporados o adheridos a bienes inmuebles, cuya instalación o mantenimiento no implique modificación al bien inmueble. </w:t>
      </w:r>
    </w:p>
    <w:p w14:paraId="65EB4FCE"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VI. La contratación de los servicios de reconstrucción y mantenimiento de bienes muebles. </w:t>
      </w:r>
    </w:p>
    <w:p w14:paraId="0F6188C0"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VII. La contratación de los servicios de maquila, seguros y transportación, así como de los de limpieza y vigilancia de bienes inmuebles. </w:t>
      </w:r>
    </w:p>
    <w:p w14:paraId="2BC7EB58"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2F9C4E49"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En general, otros actos que impliquen la contratación de servicios de cualquier naturaleza. </w:t>
      </w:r>
    </w:p>
    <w:p w14:paraId="1A740CA8"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No aplicarán las disposiciones de la presente Ley a la operación, administración, uso, goce, disposición o cualquier otro acto jurídico sobre bienes muebles o inmuebles que pudieren regularse por esta Ley, si dichos actos derivan de la prestación de servicios bajo la modalidad de proyectos para prestación de servicios; en estos casos, aplicarán las disposiciones del Libro Décimo Sexto del Código Administrativo del Estado de México. La contratación de seguros de garantía financiera, así como de servicios profesionales, consultorías, asesorías, estudios e investigaciones en relación con créditos, empréstitos, préstamos o financiamientos de cualquier naturaleza, incluyendo la emisión de valores, o cualquier otro servicio financiero no estarán sujetos a lo dispuesto por esta Ley. </w:t>
      </w:r>
      <w:r w:rsidRPr="00CB2E6A">
        <w:rPr>
          <w:rFonts w:ascii="Palatino Linotype" w:eastAsia="Palatino Linotype" w:hAnsi="Palatino Linotype" w:cs="Palatino Linotype"/>
          <w:i/>
          <w:sz w:val="22"/>
          <w:szCs w:val="22"/>
        </w:rPr>
        <w:lastRenderedPageBreak/>
        <w:t>Tampoco aplicará esta ley a la contratación de servicios financieros relacionados con la apertura de cuentas bancarias para la recepción y manejo, inversión y pago de recursos públicos.” (Sic)</w:t>
      </w:r>
    </w:p>
    <w:p w14:paraId="71163D1B"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Asimismo, conforme a los artículos 26 y 27 de la Ley de la de Contratación Pública del Estado de México y Municipios, las adquisiciones, arrendamientos y servicios, se adjudicarán a través de procedimientos de </w:t>
      </w:r>
      <w:r w:rsidRPr="00CB2E6A">
        <w:rPr>
          <w:rFonts w:ascii="Palatino Linotype" w:eastAsia="Palatino Linotype" w:hAnsi="Palatino Linotype" w:cs="Palatino Linotype"/>
          <w:b/>
        </w:rPr>
        <w:t>licitación pública</w:t>
      </w:r>
      <w:r w:rsidRPr="00CB2E6A">
        <w:rPr>
          <w:rFonts w:ascii="Palatino Linotype" w:eastAsia="Palatino Linotype" w:hAnsi="Palatino Linotype" w:cs="Palatino Linotype"/>
        </w:rPr>
        <w:t>, invitación restringida y adjudicación directa, que señalan:</w:t>
      </w:r>
    </w:p>
    <w:p w14:paraId="7D3317DC"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“Artículo 26.- Las adquisiciones, arrendamientos y servicios se adjudicarán a través </w:t>
      </w:r>
      <w:r w:rsidRPr="00CB2E6A">
        <w:rPr>
          <w:rFonts w:ascii="Palatino Linotype" w:eastAsia="Palatino Linotype" w:hAnsi="Palatino Linotype" w:cs="Palatino Linotype"/>
          <w:b/>
          <w:i/>
          <w:sz w:val="22"/>
          <w:szCs w:val="22"/>
        </w:rPr>
        <w:t>de licitaciones públicas</w:t>
      </w:r>
      <w:r w:rsidRPr="00CB2E6A">
        <w:rPr>
          <w:rFonts w:ascii="Palatino Linotype" w:eastAsia="Palatino Linotype" w:hAnsi="Palatino Linotype" w:cs="Palatino Linotype"/>
          <w:i/>
          <w:sz w:val="22"/>
          <w:szCs w:val="22"/>
        </w:rPr>
        <w:t xml:space="preserve">, mediante convocatoria pública. </w:t>
      </w:r>
    </w:p>
    <w:p w14:paraId="2C275839"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Artículo 27.- La Secretaría, las entidades, los tribunales administrativos y los ayuntamientos podrán adjudicar adquisiciones, arrendamientos y servicios, mediante las excepciones al procedimiento de licitación que a continuación se señalan: I. Invitación restringida. II. Adjudicación directa” (Sic)</w:t>
      </w:r>
    </w:p>
    <w:p w14:paraId="7C703B93" w14:textId="77777777" w:rsidR="00640F5E" w:rsidRPr="00CB2E6A" w:rsidRDefault="00640F5E">
      <w:pPr>
        <w:ind w:left="851" w:right="899"/>
        <w:jc w:val="both"/>
        <w:rPr>
          <w:rFonts w:ascii="Palatino Linotype" w:eastAsia="Palatino Linotype" w:hAnsi="Palatino Linotype" w:cs="Palatino Linotype"/>
          <w:i/>
          <w:sz w:val="22"/>
          <w:szCs w:val="22"/>
        </w:rPr>
      </w:pPr>
    </w:p>
    <w:p w14:paraId="78AA716E"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En donde se destaca el procedimiento de licitación pública, el cual consiste el siguiente en términos de lo señalado por los artículos 29 al 42 de la Ley de la de Contratación Pública del Estado de México y Municipios, que señalan:</w:t>
      </w:r>
    </w:p>
    <w:p w14:paraId="3DCE930E"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“Artículo 29.- </w:t>
      </w:r>
      <w:r w:rsidRPr="00CB2E6A">
        <w:rPr>
          <w:rFonts w:ascii="Palatino Linotype" w:eastAsia="Palatino Linotype" w:hAnsi="Palatino Linotype" w:cs="Palatino Linotype"/>
          <w:b/>
          <w:i/>
          <w:sz w:val="22"/>
          <w:szCs w:val="22"/>
        </w:rPr>
        <w:t>En el procedimiento de licitación pública</w:t>
      </w:r>
      <w:r w:rsidRPr="00CB2E6A">
        <w:rPr>
          <w:rFonts w:ascii="Palatino Linotype" w:eastAsia="Palatino Linotype" w:hAnsi="Palatino Linotype" w:cs="Palatino Linotype"/>
          <w:i/>
          <w:sz w:val="22"/>
          <w:szCs w:val="22"/>
        </w:rPr>
        <w:t xml:space="preserve"> deberán establecerse los mismos requisitos y condiciones para todos los licitantes.</w:t>
      </w:r>
    </w:p>
    <w:p w14:paraId="38EC50EF"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 </w:t>
      </w:r>
    </w:p>
    <w:p w14:paraId="5CE9BA4A"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Artículo 30.- Las licitaciones públicas podrán ser: </w:t>
      </w:r>
    </w:p>
    <w:p w14:paraId="0D9C7E14"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 Nacionales, cuando únicamente puedan participar personas de nacionalidad mexicana. </w:t>
      </w:r>
    </w:p>
    <w:p w14:paraId="479D8CE6"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II. Internacionales, cuando puedan participar tanto personas de nacionalidad mexicana como extranjera. </w:t>
      </w:r>
    </w:p>
    <w:p w14:paraId="02331FE9"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Artículo 31.- Solamente se podrán llevar a cabo licitaciones internacionales cuando: Previa investigación de mercado que realice la convocante, no exista el bien o el servicio en el mercado nacional y no existan ofertas de empresas </w:t>
      </w:r>
      <w:r w:rsidRPr="00CB2E6A">
        <w:rPr>
          <w:rFonts w:ascii="Palatino Linotype" w:eastAsia="Palatino Linotype" w:hAnsi="Palatino Linotype" w:cs="Palatino Linotype"/>
          <w:i/>
          <w:sz w:val="22"/>
          <w:szCs w:val="22"/>
        </w:rPr>
        <w:lastRenderedPageBreak/>
        <w:t xml:space="preserve">nacionales; o sea, convenientes en términos de precio, calidad, financiamiento y oportunidad. Resulte obligatorio por los tratados internacionales en que México sea parte o por convenios celebrados por el Gobierno del Estado. </w:t>
      </w:r>
    </w:p>
    <w:p w14:paraId="7E5BE4A3"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Artículo 32.- La Secretaría</w:t>
      </w:r>
      <w:r w:rsidRPr="00CB2E6A">
        <w:rPr>
          <w:rFonts w:ascii="Palatino Linotype" w:eastAsia="Palatino Linotype" w:hAnsi="Palatino Linotype" w:cs="Palatino Linotype"/>
          <w:i/>
          <w:sz w:val="22"/>
          <w:szCs w:val="22"/>
        </w:rPr>
        <w:t xml:space="preserve">, las entidades, los tribunales administrativos y los ayuntamientos, en términos de esta Ley, serán los responsables de llevar a cabo el procedimiento de licitación pública. </w:t>
      </w:r>
    </w:p>
    <w:p w14:paraId="265F4DDC"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Artículo 33.- Las convocatorias podrán referirse a la celebración de una o más licitaciones públicas; se publicarán por una sola vez, cuando menos en uno de los diarios de mayor circulación en la capital del Estado y en uno de los diarios de mayor circulación nacional, así como a través del COMPRAMEX, y contendrán: </w:t>
      </w:r>
    </w:p>
    <w:p w14:paraId="313AB914"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 El nombre de la convocante. </w:t>
      </w:r>
    </w:p>
    <w:p w14:paraId="34DB0B09"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II. La descripción genérica de los bienes o servicios objeto de la licitación, así como la descripción especifica de por los menos cinco partidas o conceptos de mayor monto, de ser el caso. </w:t>
      </w:r>
    </w:p>
    <w:p w14:paraId="524318C8"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III. La indicación de si la licitación es nacional o internacional, así como que las propuestas deberá presentarse en idioma español. </w:t>
      </w:r>
    </w:p>
    <w:p w14:paraId="731A998E"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IV. El origen de los recursos. </w:t>
      </w:r>
    </w:p>
    <w:p w14:paraId="5E81C1D0"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V. El lugar y plazo de entrega, así como las condiciones de pago. </w:t>
      </w:r>
    </w:p>
    <w:p w14:paraId="32F531B0"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VI. La indicación de los lugares, fechas, horarios y medios electrónicos en que los interesados podrán obtener las bases de licitación y, en su caso, el costo, forma de pago y si la licitación será presencial, electrónica o mixta. </w:t>
      </w:r>
    </w:p>
    <w:p w14:paraId="038000B6"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VII. La fecha, hora y lugar de la o las juntas aclaratorias, en su caso. </w:t>
      </w:r>
    </w:p>
    <w:p w14:paraId="60A7FC70"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VIII. La fecha, hora y lugar de celebración del acto de presentación, apertura y evaluación de propuestas, dictamen y fallo. </w:t>
      </w:r>
    </w:p>
    <w:p w14:paraId="278C48FA"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IX. En el caso de contratos abiertos, las cantidades y plazos mínimos y máximos</w:t>
      </w:r>
    </w:p>
    <w:p w14:paraId="4BD87510"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X. La indicación de las personas que estén impedidas a participar, conforme a las disposiciones de esta Ley. </w:t>
      </w:r>
    </w:p>
    <w:p w14:paraId="4A0FC346"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XI. La garantía que deberá otorgarse para asegurar la seriedad de la postura, tratándose de subasta. </w:t>
      </w:r>
    </w:p>
    <w:p w14:paraId="59C333D0"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XII. En su caso, la garantía de defectos o vicios ocultos de los bienes según lo determine la convocante, debiendo justificar dicho requisito. </w:t>
      </w:r>
    </w:p>
    <w:p w14:paraId="30A7952B"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XIII. Los criterios específicos que se utilizarán para la evaluación de las propuestas y adjudicación de los contratos. </w:t>
      </w:r>
    </w:p>
    <w:p w14:paraId="28126DF6"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XIV. La justificación para no aceptar proposiciones conjuntas. </w:t>
      </w:r>
    </w:p>
    <w:p w14:paraId="661139F3"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XV. Los demás requisitos generales que deberán cumplir los interesados, según las características y magnitud de los bienes y servicios. </w:t>
      </w:r>
    </w:p>
    <w:p w14:paraId="3DE91956"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i/>
          <w:sz w:val="22"/>
          <w:szCs w:val="22"/>
        </w:rPr>
        <w:t xml:space="preserve">En la convocatoria deberá especificarse si en la licitación aplicará la modalidad de subasta inversa. La Secretaría de la Contraloría hará pública la información referente a los procedimientos de adquisición, a través de su portal de internet. Artículo 34.- </w:t>
      </w:r>
      <w:r w:rsidRPr="00CB2E6A">
        <w:rPr>
          <w:rFonts w:ascii="Palatino Linotype" w:eastAsia="Palatino Linotype" w:hAnsi="Palatino Linotype" w:cs="Palatino Linotype"/>
          <w:b/>
          <w:i/>
          <w:sz w:val="22"/>
          <w:szCs w:val="22"/>
        </w:rPr>
        <w:t xml:space="preserve">Las bases de la licitación pública tendrán un costo de </w:t>
      </w:r>
      <w:r w:rsidRPr="00CB2E6A">
        <w:rPr>
          <w:rFonts w:ascii="Palatino Linotype" w:eastAsia="Palatino Linotype" w:hAnsi="Palatino Linotype" w:cs="Palatino Linotype"/>
          <w:b/>
          <w:i/>
          <w:sz w:val="22"/>
          <w:szCs w:val="22"/>
        </w:rPr>
        <w:lastRenderedPageBreak/>
        <w:t xml:space="preserve">recuperación y contendrán los requisitos que se establezcan en el reglamento de esta Ley. </w:t>
      </w:r>
    </w:p>
    <w:p w14:paraId="327DCDF6"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i/>
          <w:sz w:val="22"/>
          <w:szCs w:val="22"/>
        </w:rPr>
        <w:t xml:space="preserve">Artículo 35.- En los </w:t>
      </w:r>
      <w:r w:rsidRPr="00CB2E6A">
        <w:rPr>
          <w:rFonts w:ascii="Palatino Linotype" w:eastAsia="Palatino Linotype" w:hAnsi="Palatino Linotype" w:cs="Palatino Linotype"/>
          <w:b/>
          <w:i/>
          <w:sz w:val="22"/>
          <w:szCs w:val="22"/>
        </w:rPr>
        <w:t>procedimientos de licitación pública</w:t>
      </w:r>
      <w:r w:rsidRPr="00CB2E6A">
        <w:rPr>
          <w:rFonts w:ascii="Palatino Linotype" w:eastAsia="Palatino Linotype" w:hAnsi="Palatino Linotype" w:cs="Palatino Linotype"/>
          <w:i/>
          <w:sz w:val="22"/>
          <w:szCs w:val="22"/>
        </w:rPr>
        <w:t xml:space="preserve"> se observará lo siguiente: </w:t>
      </w:r>
      <w:r w:rsidRPr="00CB2E6A">
        <w:rPr>
          <w:rFonts w:ascii="Palatino Linotype" w:eastAsia="Palatino Linotype" w:hAnsi="Palatino Linotype" w:cs="Palatino Linotype"/>
          <w:b/>
          <w:i/>
          <w:sz w:val="22"/>
          <w:szCs w:val="22"/>
        </w:rPr>
        <w:t xml:space="preserve">I. El acto de presentación y apertura de propuestas se llevará a cabo por el servidor público que designe la convocante, conforme al procedimiento que se establezca en el reglamento de esta Ley. </w:t>
      </w:r>
    </w:p>
    <w:p w14:paraId="1F53286A"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II. El comité de adquisiciones y servicios evaluará y analizará las propuestas técnicas y económicas presentadas por los licitantes en el ámbito de las respectivas competencias de sus integrantes, y emitirá el dictamen de adjudicación. </w:t>
      </w:r>
    </w:p>
    <w:p w14:paraId="54424060"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14:paraId="0CAC82DD"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IV. Las convocantes podrán modificar los plazos y términos establecidos en la convocatoria o en las bases de licitación, hasta cinco días hábiles anteriores a la fecha de la celebración del acto de presentación y apertura de propuestas</w:t>
      </w:r>
      <w:r w:rsidRPr="00CB2E6A">
        <w:rPr>
          <w:rFonts w:ascii="Palatino Linotype" w:eastAsia="Palatino Linotype" w:hAnsi="Palatino Linotype" w:cs="Palatino Linotype"/>
          <w:i/>
          <w:sz w:val="22"/>
          <w:szCs w:val="22"/>
        </w:rPr>
        <w:t xml:space="preserve">. </w:t>
      </w:r>
    </w:p>
    <w:p w14:paraId="5124FF8C"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V. Las modificaciones no podrán limitar el número de licitantes, sustituir o variar sustancialmente los bienes o servicios convocados originalmente, ni adicionar otros distintos. </w:t>
      </w:r>
    </w:p>
    <w:p w14:paraId="136C7E98"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VI. Las modificaciones a la convocatoria o a las bases se harán del conocimiento de los interesados hasta tres días hábiles antes de la fecha señalada para el acto de presentación y apertura de propuestas. </w:t>
      </w:r>
    </w:p>
    <w:p w14:paraId="444153CD"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VII. Se emitirá el fallo dentro de los 15 días hábiles siguientes a la publicación de la convocatoria. </w:t>
      </w:r>
    </w:p>
    <w:p w14:paraId="1938BD5C" w14:textId="77777777" w:rsidR="00640F5E" w:rsidRPr="00CB2E6A" w:rsidRDefault="00634B62">
      <w:pPr>
        <w:ind w:left="851" w:right="899"/>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VIII. Los licitantes se podrán registrar hasta el día y la hora fijados para el acto de presentación y apertura de propuestas.</w:t>
      </w:r>
    </w:p>
    <w:p w14:paraId="30C53CC1"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Artículo 36.- El acto de presentación y apertura de propuestas se celebrará de manera pública y en presencia de todos los oferentes, en la forma siguiente: </w:t>
      </w:r>
    </w:p>
    <w:p w14:paraId="19B872C9" w14:textId="77777777" w:rsidR="00640F5E" w:rsidRPr="00CB2E6A" w:rsidRDefault="00634B62">
      <w:pPr>
        <w:ind w:left="851" w:right="899"/>
        <w:jc w:val="both"/>
        <w:rPr>
          <w:rFonts w:ascii="Palatino Linotype" w:eastAsia="Palatino Linotype" w:hAnsi="Palatino Linotype" w:cs="Palatino Linotype"/>
          <w:i/>
          <w:sz w:val="22"/>
          <w:szCs w:val="22"/>
          <w:u w:val="single"/>
        </w:rPr>
      </w:pPr>
      <w:r w:rsidRPr="00CB2E6A">
        <w:rPr>
          <w:rFonts w:ascii="Palatino Linotype" w:eastAsia="Palatino Linotype" w:hAnsi="Palatino Linotype" w:cs="Palatino Linotype"/>
          <w:i/>
          <w:sz w:val="22"/>
          <w:szCs w:val="22"/>
          <w:u w:val="single"/>
        </w:rPr>
        <w:t xml:space="preserve">I. Los licitantes presentarán, por escrito y en sobre cerrado por separado, sus propuestas técnica y económica, así como los demás documentos requeridos en las bases de la licitación. </w:t>
      </w:r>
    </w:p>
    <w:p w14:paraId="5418451C"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II. La apertura de propuestas podrá efectuarse cuando se haya presentado una propuesta cuando menos. </w:t>
      </w:r>
    </w:p>
    <w:p w14:paraId="422036F0"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III. Se abrirán las propuestas técnicas, desechándose las que cuantitativamente no cumplan con cualquiera de los requisitos establecidos en las bases de licitación, poniéndolas a disposición del interesado conjuntamente con el sobre que contenga la propuesta económica. </w:t>
      </w:r>
    </w:p>
    <w:p w14:paraId="68E86103"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IV. Se procederá a la apertura de las propuestas económicas de los licitantes cuyas propuestas técnicas fueron aceptadas cuantitativamente. </w:t>
      </w:r>
    </w:p>
    <w:p w14:paraId="35DEA966"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lastRenderedPageBreak/>
        <w:t xml:space="preserve">V. Se desecharán las propuestas económicas que cuantitativamente no cumplan con cualquiera de los requisitos establecidos en las bases de la licitación, poniéndolas a disposición del interesado. </w:t>
      </w:r>
    </w:p>
    <w:p w14:paraId="3A158AD1"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VI. Una vez efectuada la apertura de las propuestas técnicas y económicas, se elaborará el acta relativa a esta etapa del procedimiento y, posteriormente, se pondrá a disposición del Comité de Adquisiciones y Servicios, quien evaluará y analizará las propuestas presentadas y formulará el dictamen que servirá como base para el fallo, en el que se hará constar la reseña cronológica de los actos del procedimiento y el análisis de las propuestas, conforme al criterio de evaluación establecido en las bases. </w:t>
      </w:r>
    </w:p>
    <w:p w14:paraId="677B48D1"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VII. Cuando el procedimiento de licitación se realice por conducto del COMPRAMEX, las propuestas técnicas y económicas se presentarán en los formatos electrónicos a que se refieran las bases respectivas y en él se observarán las mismas condiciones a que se refiere el presente artículo. </w:t>
      </w:r>
    </w:p>
    <w:p w14:paraId="7FA57268"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VIII. Si es el caso, que el procedimiento de licitación deba desahogarse bajo la modalidad de subasta inversa, una vez que se haya realizado la evaluación de las propuestas, se procederá a informar a los postores el momento en que dará inicio la etapa de ofertas subsecuentes de descuentos. </w:t>
      </w:r>
    </w:p>
    <w:p w14:paraId="092302FC"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El reglamento de esta Ley establecerá los criterios para la evaluación de las propuestas, así como el procedimiento para los actos de presentación y apertura de propuestas y de fallo. Dos o más personas podrán presentar, conjuntamente, una propuesta, sin necesidad de constituir una sociedad o una nueva sociedad, en caso de personas jurídica colectivas; para tales efectos, en la propuesta y en el contrato se establecerán, con precisión, las obligaciones de cada una de ellas, así como la manera en que se exigiría su cumplimiento. </w:t>
      </w:r>
    </w:p>
    <w:p w14:paraId="1F36331F"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En este supuesto, la propuesta deberá ser firmada por el representante común que, para ese acto, haya sido designado por el grupo de personas, ya sea autógrafamente o por los medios de identificación electrónica autorizados por la Ley de Gobierno Digital. </w:t>
      </w:r>
    </w:p>
    <w:p w14:paraId="7D54013A"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Cuando la propuesta conjunta resulte adjudicada con un contrato, dicho instrumento deberá ser firmado por el representante legal de cada uno de los participantes en la proposición, a quienes se considerará, para efectos del procedimiento y del contrato, como responsables solidarios o mancomunados, según se establezca en el propio contrato. </w:t>
      </w:r>
    </w:p>
    <w:p w14:paraId="1AC00D87"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Lo anterior, sin perjuicio de que las personas que integran la propuesta conjunta puedan constituirse en una nueva sociedad, para dar cumplimiento a las obligaciones previstas en el convenio de proposición conjunta, siempre y cuando se mantengan en la nueva sociedad las responsabilidades de dicho convenio. </w:t>
      </w:r>
    </w:p>
    <w:p w14:paraId="54D3A678"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Artículo 37.- El comité de adquisiciones y servicios realizará el análisis y evaluación de las propuestas, mediante la verificación del cumplimiento de la </w:t>
      </w:r>
      <w:r w:rsidRPr="00CB2E6A">
        <w:rPr>
          <w:rFonts w:ascii="Palatino Linotype" w:eastAsia="Palatino Linotype" w:hAnsi="Palatino Linotype" w:cs="Palatino Linotype"/>
          <w:i/>
          <w:sz w:val="22"/>
          <w:szCs w:val="22"/>
        </w:rPr>
        <w:lastRenderedPageBreak/>
        <w:t xml:space="preserve">información y de la documentación solicitada en las bases de la licitación y conforme al criterio establecidas en las mismas. </w:t>
      </w:r>
    </w:p>
    <w:p w14:paraId="56A62CCC"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 </w:t>
      </w:r>
    </w:p>
    <w:p w14:paraId="40117AD5"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Artículo 38.-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w:t>
      </w:r>
    </w:p>
    <w:p w14:paraId="79A2065B"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 Artículo 39.- Para cada uno de los actos del procedimiento adquisitivo se levantará el acta respectiva, la cual será firmada por los participantes, sin que la falta de firma de alguno de ellos invalide su contenido y efectos. </w:t>
      </w:r>
    </w:p>
    <w:p w14:paraId="57DACE1D"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Artículo 40.- En los casos en que las propuestas económicas estén por arriba del precio de mercado, la convocante lo hará de conocimiento de los participantes, a fin de que reduzcan los precios de sus propuestas hasta que se presente alguna que esté dentro del precio del estudio de mercado; en caso contrario, se declarará desierta la licitación. </w:t>
      </w:r>
    </w:p>
    <w:p w14:paraId="00220E86"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La convocante procederá a adjudicar el contrato al licitante que presente la propuesta que, estando dentro del precio de mercado, sea la más baja o haya obtenido el mejor puntaje en la evaluación, atendiendo al criterio utilizado, debiendo dar preferencia, en igualdad de condiciones, a las presentadas por micro, pequeñas y medianas empresas. </w:t>
      </w:r>
    </w:p>
    <w:p w14:paraId="3593D1F1"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Si fuera el caso de que éstas hubieren presentado una misma oferta económica, se asignará a la que, a juicio del comité de adquisiciones y servicios, represente mayores ventajas para el convocante en cuanto a precio, fechas de entrega de bienes y/o prestación de servicios, así como otros criterios de valoración objetiva. Lo establecido en este artículo será aplicable en el procedimiento de invitación restringida. </w:t>
      </w:r>
    </w:p>
    <w:p w14:paraId="02E9EB4A"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Artículo 41.- La Secretaría, las entidades, los tribunales administrativos y los ayuntamientos procederán a declarar desierta la licitación en los procedimientos que tramiten, cuando no reciban propuesta alguna o las presentadas no reúnan los requisitos exigidos en las bases de licitación. Podrá declararse desierta una licitación parcialmente, cuando no se hubiese recibido propuesta alguna o las </w:t>
      </w:r>
      <w:r w:rsidRPr="00CB2E6A">
        <w:rPr>
          <w:rFonts w:ascii="Palatino Linotype" w:eastAsia="Palatino Linotype" w:hAnsi="Palatino Linotype" w:cs="Palatino Linotype"/>
          <w:i/>
          <w:sz w:val="22"/>
          <w:szCs w:val="22"/>
        </w:rPr>
        <w:lastRenderedPageBreak/>
        <w:t xml:space="preserve">presentadas no reúnan los requisitos, respecto de una o varias partidas o conceptos. </w:t>
      </w:r>
    </w:p>
    <w:p w14:paraId="62F4247D"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Artículo 42.- La convocante podrá cancelar una licitación por caso fortuito o por causa de fuerza mayor, o cuando existan circunstancias debidamente justificadas que produzcan la extinción de la necesidad de adquirir los bienes y los servicios de que se trate, o que de continuarse con el procedimiento de licitación o contratación en su caso, se pudiera ocasionar un daño o perjuicio a la administración pública estatal o municipal. </w:t>
      </w:r>
    </w:p>
    <w:p w14:paraId="4B28A880"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Las convocantes deberán comunicar la cancelación a los interesados, mediante escrito en el que se justifique la causa o causas de la misma. </w:t>
      </w:r>
    </w:p>
    <w:p w14:paraId="71D52637" w14:textId="77777777" w:rsidR="00640F5E" w:rsidRPr="00CB2E6A" w:rsidRDefault="00634B62">
      <w:pPr>
        <w:ind w:left="851" w:right="89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En estos casos, la cancelación no implicará ninguna responsabilidad de carácter económico para las convocantes.” (Sic)</w:t>
      </w:r>
    </w:p>
    <w:p w14:paraId="19280584"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De lo anterior se advierte que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como una Secretaría del Estado de México, conoce de toda la información generada con motivo de la licitación pública, invitación restringida y adjudicación directa en las que sea parte.</w:t>
      </w:r>
    </w:p>
    <w:p w14:paraId="2F686468"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Máxime, que la información solicitada se trata de una obligación de transparencia, en términos del artículo 92, fracción XXIX, en donde establece que los Sujetos Obligados se encuentran constreñidos a poner a disposición del público de manera permanente y actualizada de forma sencilla, precisa y entendible, en los respectivos medios electrónicos, de acuerdo con sus facultades, atribuciones, funciones u objeto social, según corresponda, entre otra información, aquella que se relacione con los procesos y resultados sobre procedimientos de adjudicación directa, invitación restringida y licitación de cualquier naturaleza, como se lee enseguida: </w:t>
      </w:r>
    </w:p>
    <w:p w14:paraId="52E0C03F" w14:textId="77777777" w:rsidR="00640F5E" w:rsidRPr="00CB2E6A" w:rsidRDefault="00634B62">
      <w:pPr>
        <w:ind w:left="1276"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r w:rsidRPr="00CB2E6A">
        <w:rPr>
          <w:rFonts w:ascii="Palatino Linotype" w:eastAsia="Palatino Linotype" w:hAnsi="Palatino Linotype" w:cs="Palatino Linotype"/>
          <w:b/>
          <w:i/>
          <w:sz w:val="22"/>
          <w:szCs w:val="22"/>
        </w:rPr>
        <w:t>Artículo 92</w:t>
      </w:r>
      <w:r w:rsidRPr="00CB2E6A">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33C2242" w14:textId="77777777" w:rsidR="00640F5E" w:rsidRPr="00CB2E6A" w:rsidRDefault="00634B62">
      <w:pPr>
        <w:tabs>
          <w:tab w:val="left" w:pos="426"/>
        </w:tabs>
        <w:spacing w:before="120" w:after="120"/>
        <w:ind w:left="1276"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p>
    <w:p w14:paraId="04FAEAA3" w14:textId="77777777" w:rsidR="00640F5E" w:rsidRPr="00CB2E6A" w:rsidRDefault="00634B62">
      <w:pPr>
        <w:tabs>
          <w:tab w:val="left" w:pos="426"/>
        </w:tabs>
        <w:spacing w:before="120" w:after="120"/>
        <w:ind w:left="1276"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lastRenderedPageBreak/>
        <w:t>XXIX.</w:t>
      </w:r>
      <w:r w:rsidRPr="00CB2E6A">
        <w:rPr>
          <w:rFonts w:ascii="Palatino Linotype" w:eastAsia="Palatino Linotype" w:hAnsi="Palatino Linotype" w:cs="Palatino Linotype"/>
          <w:i/>
          <w:sz w:val="22"/>
          <w:szCs w:val="22"/>
        </w:rPr>
        <w:t xml:space="preserve"> La </w:t>
      </w:r>
      <w:r w:rsidRPr="00CB2E6A">
        <w:rPr>
          <w:rFonts w:ascii="Palatino Linotype" w:eastAsia="Palatino Linotype" w:hAnsi="Palatino Linotype" w:cs="Palatino Linotype"/>
          <w:b/>
          <w:i/>
          <w:sz w:val="22"/>
          <w:szCs w:val="22"/>
        </w:rPr>
        <w:t>información sobre los procesos y resultados sobre procedimientos de adjudicación directa, invitación restringida</w:t>
      </w:r>
      <w:r w:rsidRPr="00CB2E6A">
        <w:rPr>
          <w:rFonts w:ascii="Palatino Linotype" w:eastAsia="Palatino Linotype" w:hAnsi="Palatino Linotype" w:cs="Palatino Linotype"/>
          <w:b/>
          <w:i/>
          <w:sz w:val="22"/>
          <w:szCs w:val="22"/>
          <w:u w:val="single"/>
        </w:rPr>
        <w:t xml:space="preserve"> y licitación de cualquier naturaleza</w:t>
      </w:r>
      <w:r w:rsidRPr="00CB2E6A">
        <w:rPr>
          <w:rFonts w:ascii="Palatino Linotype" w:eastAsia="Palatino Linotype" w:hAnsi="Palatino Linotype" w:cs="Palatino Linotype"/>
          <w:i/>
          <w:sz w:val="22"/>
          <w:szCs w:val="22"/>
          <w:u w:val="single"/>
        </w:rPr>
        <w:t xml:space="preserve">, </w:t>
      </w:r>
      <w:r w:rsidRPr="00CB2E6A">
        <w:rPr>
          <w:rFonts w:ascii="Palatino Linotype" w:eastAsia="Palatino Linotype" w:hAnsi="Palatino Linotype" w:cs="Palatino Linotype"/>
          <w:b/>
          <w:i/>
          <w:sz w:val="22"/>
          <w:szCs w:val="22"/>
        </w:rPr>
        <w:t>incluyendo la versión pública</w:t>
      </w:r>
      <w:r w:rsidRPr="00CB2E6A">
        <w:rPr>
          <w:rFonts w:ascii="Palatino Linotype" w:eastAsia="Palatino Linotype" w:hAnsi="Palatino Linotype" w:cs="Palatino Linotype"/>
          <w:i/>
          <w:sz w:val="22"/>
          <w:szCs w:val="22"/>
        </w:rPr>
        <w:t xml:space="preserve"> </w:t>
      </w:r>
      <w:r w:rsidRPr="00CB2E6A">
        <w:rPr>
          <w:rFonts w:ascii="Palatino Linotype" w:eastAsia="Palatino Linotype" w:hAnsi="Palatino Linotype" w:cs="Palatino Linotype"/>
          <w:b/>
          <w:i/>
          <w:sz w:val="22"/>
          <w:szCs w:val="22"/>
          <w:u w:val="single"/>
        </w:rPr>
        <w:t xml:space="preserve">del expediente respectivo </w:t>
      </w:r>
      <w:r w:rsidRPr="00CB2E6A">
        <w:rPr>
          <w:rFonts w:ascii="Palatino Linotype" w:eastAsia="Palatino Linotype" w:hAnsi="Palatino Linotype" w:cs="Palatino Linotype"/>
          <w:i/>
          <w:sz w:val="22"/>
          <w:szCs w:val="22"/>
        </w:rPr>
        <w:t>y de los contratos celebrados, que deberán contener, por los menos, lo siguiente:</w:t>
      </w:r>
    </w:p>
    <w:p w14:paraId="29082C95"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a) De licitaciones públicas o procedimientos de invitación restringida:</w:t>
      </w:r>
    </w:p>
    <w:p w14:paraId="39A320E7"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b/>
        </w:rPr>
        <w:t>1</w:t>
      </w:r>
      <w:r w:rsidRPr="00CB2E6A">
        <w:rPr>
          <w:rFonts w:ascii="Palatino Linotype" w:eastAsia="Palatino Linotype" w:hAnsi="Palatino Linotype" w:cs="Palatino Linotype"/>
          <w:b/>
          <w:i/>
          <w:sz w:val="22"/>
          <w:szCs w:val="22"/>
        </w:rPr>
        <w:t xml:space="preserve">) La convocatoria o invitación emitida, así como los fundamentos legales aplicados para llevarla a cabo; </w:t>
      </w:r>
    </w:p>
    <w:p w14:paraId="4232106A"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2) Los nombres de los participantes o invitados; </w:t>
      </w:r>
    </w:p>
    <w:p w14:paraId="15AC8BD3"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3) El nombre del ganador y las razones que lo justifican; </w:t>
      </w:r>
    </w:p>
    <w:p w14:paraId="177CE4E9"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4) El área solicitante y la responsable de su ejecución; </w:t>
      </w:r>
    </w:p>
    <w:p w14:paraId="2D668E85"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5) Las convocatorias e invitaciones emitidas; </w:t>
      </w:r>
    </w:p>
    <w:p w14:paraId="52764FEB"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6) Los dictámenes y fallo de adjudicación;</w:t>
      </w:r>
    </w:p>
    <w:p w14:paraId="1FE4CEC7"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 7) El contrato y, en su caso, sus anexos; </w:t>
      </w:r>
    </w:p>
    <w:p w14:paraId="27DD6B0E"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8) Los mecanismos de vigilancia y supervisión, incluyendo en su caso, los estudios de impacto urbano y ambiental, según corresponda; </w:t>
      </w:r>
    </w:p>
    <w:p w14:paraId="7460CBDA"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9) La partida presupuestal, de conformidad con el clasificador por objeto del gasto, en el caso de ser aplicable; </w:t>
      </w:r>
    </w:p>
    <w:p w14:paraId="40796D3F"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10) Origen de los recursos especificando si son federales, estatales o municipales, así como el tipo de fondo de participación o aportación respectiva; </w:t>
      </w:r>
    </w:p>
    <w:p w14:paraId="0D60D7E4"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11) Los convenios modificatorios que, en su caso, sean firmados, precisando el objeto y la fecha de celebración; </w:t>
      </w:r>
    </w:p>
    <w:p w14:paraId="5746FCAD"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12) Los informes de avance físico y financiero sobre las obras o servicios contratados; </w:t>
      </w:r>
    </w:p>
    <w:p w14:paraId="59585130"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13) El convenio de terminación; y </w:t>
      </w:r>
    </w:p>
    <w:p w14:paraId="2C2F7E33"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14) El finiquito.</w:t>
      </w:r>
    </w:p>
    <w:p w14:paraId="35092340"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b) De las adjudicaciones directas: </w:t>
      </w:r>
    </w:p>
    <w:p w14:paraId="3A9A14FC"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1) La propuesta enviada por el participante; </w:t>
      </w:r>
    </w:p>
    <w:p w14:paraId="4423CD01"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2) Los motivos y fundamentos legales aplicados para llevarla a cabo; </w:t>
      </w:r>
    </w:p>
    <w:p w14:paraId="2C7C87D1"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lastRenderedPageBreak/>
        <w:t xml:space="preserve">3) La autorización del ejercicio de la opción; </w:t>
      </w:r>
    </w:p>
    <w:p w14:paraId="40731858"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4) En su caso, las cotizaciones consideradas, especificando los nombres de los proveedores y sus montos; </w:t>
      </w:r>
    </w:p>
    <w:p w14:paraId="1A79C362"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5) El nombre de la persona física o jurídica colectiva adjudicada; </w:t>
      </w:r>
    </w:p>
    <w:p w14:paraId="4C495128"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6) La unidad administrativa solicitante y la responsable de su ejecución; </w:t>
      </w:r>
    </w:p>
    <w:p w14:paraId="33BB3B1B"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30D750E7"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8) Los mecanismos de vigilancia y supervisión, incluyendo, en su caso, los estudios de impacto urbano y ambiental, según corresponda; </w:t>
      </w:r>
    </w:p>
    <w:p w14:paraId="4F477C71"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9) Los informes de avance sobre las obras o servicios contratados; 10) El convenio de terminación; y </w:t>
      </w:r>
    </w:p>
    <w:p w14:paraId="047DE2AE" w14:textId="77777777" w:rsidR="00640F5E" w:rsidRPr="00CB2E6A" w:rsidRDefault="00634B62">
      <w:pPr>
        <w:tabs>
          <w:tab w:val="left" w:pos="426"/>
        </w:tabs>
        <w:spacing w:before="120" w:after="120"/>
        <w:ind w:left="1418"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11) El finiquito” (Sic)</w:t>
      </w:r>
    </w:p>
    <w:p w14:paraId="6C6DE8B4" w14:textId="77777777" w:rsidR="00640F5E" w:rsidRPr="00CB2E6A" w:rsidRDefault="00640F5E">
      <w:pPr>
        <w:spacing w:line="360" w:lineRule="auto"/>
        <w:jc w:val="both"/>
        <w:rPr>
          <w:rFonts w:ascii="Palatino Linotype" w:eastAsia="Palatino Linotype" w:hAnsi="Palatino Linotype" w:cs="Palatino Linotype"/>
        </w:rPr>
      </w:pPr>
    </w:p>
    <w:p w14:paraId="4F8523C5"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Lo que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14:paraId="41BA2970" w14:textId="77777777" w:rsidR="00640F5E" w:rsidRPr="00CB2E6A" w:rsidRDefault="00640F5E">
      <w:pPr>
        <w:spacing w:line="360" w:lineRule="auto"/>
        <w:jc w:val="both"/>
        <w:rPr>
          <w:rFonts w:ascii="Palatino Linotype" w:eastAsia="Palatino Linotype" w:hAnsi="Palatino Linotype" w:cs="Palatino Linotype"/>
        </w:rPr>
      </w:pPr>
    </w:p>
    <w:p w14:paraId="1DD4849B" w14:textId="77777777" w:rsidR="00640F5E" w:rsidRPr="00CB2E6A" w:rsidRDefault="00634B62">
      <w:pPr>
        <w:spacing w:line="276" w:lineRule="auto"/>
        <w:ind w:left="851" w:right="900"/>
        <w:jc w:val="center"/>
        <w:rPr>
          <w:rFonts w:ascii="Palatino Linotype" w:eastAsia="Palatino Linotype" w:hAnsi="Palatino Linotype" w:cs="Palatino Linotype"/>
          <w:i/>
        </w:rPr>
      </w:pPr>
      <w:r w:rsidRPr="00CB2E6A">
        <w:rPr>
          <w:rFonts w:ascii="Palatino Linotype" w:eastAsia="Palatino Linotype" w:hAnsi="Palatino Linotype" w:cs="Palatino Linotype"/>
          <w:i/>
        </w:rPr>
        <w:t>OBLIGACIONES DE TRANSPARENCIA COMUNES</w:t>
      </w:r>
    </w:p>
    <w:p w14:paraId="7CEFFCC1" w14:textId="77777777" w:rsidR="00640F5E" w:rsidRPr="00CB2E6A" w:rsidRDefault="00634B62">
      <w:pPr>
        <w:spacing w:line="276" w:lineRule="auto"/>
        <w:ind w:left="851" w:right="900"/>
        <w:jc w:val="center"/>
        <w:rPr>
          <w:rFonts w:ascii="Palatino Linotype" w:eastAsia="Palatino Linotype" w:hAnsi="Palatino Linotype" w:cs="Palatino Linotype"/>
          <w:i/>
        </w:rPr>
      </w:pPr>
      <w:r w:rsidRPr="00CB2E6A">
        <w:rPr>
          <w:rFonts w:ascii="Palatino Linotype" w:eastAsia="Palatino Linotype" w:hAnsi="Palatino Linotype" w:cs="Palatino Linotype"/>
          <w:i/>
        </w:rPr>
        <w:t>TODOS LOS SUJETOS OBLIGADOS</w:t>
      </w:r>
    </w:p>
    <w:p w14:paraId="1DC07F23" w14:textId="77777777" w:rsidR="00640F5E" w:rsidRPr="00CB2E6A" w:rsidRDefault="00634B62">
      <w:pPr>
        <w:spacing w:line="276" w:lineRule="auto"/>
        <w:ind w:left="851" w:right="900"/>
        <w:jc w:val="both"/>
        <w:rPr>
          <w:rFonts w:ascii="Palatino Linotype" w:eastAsia="Palatino Linotype" w:hAnsi="Palatino Linotype" w:cs="Palatino Linotype"/>
          <w:i/>
        </w:rPr>
      </w:pPr>
      <w:r w:rsidRPr="00CB2E6A">
        <w:rPr>
          <w:rFonts w:ascii="Palatino Linotype" w:eastAsia="Palatino Linotype" w:hAnsi="Palatino Linotype" w:cs="Palatino Linotype"/>
          <w:i/>
        </w:rPr>
        <w:t>Criterios para las obligaciones de transparencia comunes</w:t>
      </w:r>
    </w:p>
    <w:p w14:paraId="7CDA217A" w14:textId="77777777" w:rsidR="00640F5E" w:rsidRPr="00CB2E6A" w:rsidRDefault="00634B62">
      <w:pPr>
        <w:spacing w:line="276" w:lineRule="auto"/>
        <w:ind w:left="851" w:right="900"/>
        <w:jc w:val="both"/>
        <w:rPr>
          <w:rFonts w:ascii="Palatino Linotype" w:eastAsia="Palatino Linotype" w:hAnsi="Palatino Linotype" w:cs="Palatino Linotype"/>
          <w:i/>
        </w:rPr>
      </w:pPr>
      <w:r w:rsidRPr="00CB2E6A">
        <w:rPr>
          <w:rFonts w:ascii="Palatino Linotype" w:eastAsia="Palatino Linotype" w:hAnsi="Palatino Linotype" w:cs="Palatino Linotype"/>
          <w:i/>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57433543" w14:textId="77777777" w:rsidR="00640F5E" w:rsidRPr="00CB2E6A" w:rsidRDefault="00634B62">
      <w:pPr>
        <w:spacing w:line="276" w:lineRule="auto"/>
        <w:ind w:left="851" w:right="900"/>
        <w:jc w:val="both"/>
        <w:rPr>
          <w:rFonts w:ascii="Palatino Linotype" w:eastAsia="Palatino Linotype" w:hAnsi="Palatino Linotype" w:cs="Palatino Linotype"/>
          <w:i/>
        </w:rPr>
      </w:pPr>
      <w:r w:rsidRPr="00CB2E6A">
        <w:rPr>
          <w:rFonts w:ascii="Palatino Linotype" w:eastAsia="Palatino Linotype" w:hAnsi="Palatino Linotype" w:cs="Palatino Linotype"/>
          <w:i/>
        </w:rPr>
        <w:t xml:space="preserve">En este apartado se detallan los criterios sustantivos y adjetivos que por cada rubro de información determinan los datos, características y forma de organización de la información que publicarán y actualizarán en sus </w:t>
      </w:r>
      <w:r w:rsidRPr="00CB2E6A">
        <w:rPr>
          <w:rFonts w:ascii="Palatino Linotype" w:eastAsia="Palatino Linotype" w:hAnsi="Palatino Linotype" w:cs="Palatino Linotype"/>
          <w:i/>
        </w:rPr>
        <w:lastRenderedPageBreak/>
        <w:t>portales de Internet y en la Plataforma Nacional, los sujetos obligados determinados en el artículo 23 de la Ley General.</w:t>
      </w:r>
    </w:p>
    <w:p w14:paraId="485F3391" w14:textId="77777777" w:rsidR="00640F5E" w:rsidRPr="00CB2E6A" w:rsidRDefault="00634B62">
      <w:pPr>
        <w:spacing w:line="276" w:lineRule="auto"/>
        <w:ind w:left="851" w:right="900"/>
        <w:jc w:val="both"/>
        <w:rPr>
          <w:rFonts w:ascii="Palatino Linotype" w:eastAsia="Palatino Linotype" w:hAnsi="Palatino Linotype" w:cs="Palatino Linotype"/>
          <w:i/>
        </w:rPr>
      </w:pPr>
      <w:r w:rsidRPr="00CB2E6A">
        <w:rPr>
          <w:rFonts w:ascii="Palatino Linotype" w:eastAsia="Palatino Linotype" w:hAnsi="Palatino Linotype" w:cs="Palatino Linotype"/>
          <w:i/>
        </w:rPr>
        <w:t>El artículo 70 dice a la letra:</w:t>
      </w:r>
    </w:p>
    <w:p w14:paraId="074A0E8E" w14:textId="77777777" w:rsidR="00640F5E" w:rsidRPr="00CB2E6A" w:rsidRDefault="00634B62">
      <w:pPr>
        <w:spacing w:line="276" w:lineRule="auto"/>
        <w:ind w:left="851" w:right="900"/>
        <w:jc w:val="both"/>
        <w:rPr>
          <w:rFonts w:ascii="Palatino Linotype" w:eastAsia="Palatino Linotype" w:hAnsi="Palatino Linotype" w:cs="Palatino Linotype"/>
          <w:i/>
        </w:rPr>
      </w:pPr>
      <w:r w:rsidRPr="00CB2E6A">
        <w:rPr>
          <w:rFonts w:ascii="Palatino Linotype" w:eastAsia="Palatino Linotype" w:hAnsi="Palatino Linotype" w:cs="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3F1D1F00" w14:textId="77777777" w:rsidR="00640F5E" w:rsidRPr="00CB2E6A" w:rsidRDefault="00634B62">
      <w:pPr>
        <w:spacing w:line="276" w:lineRule="auto"/>
        <w:ind w:left="851" w:right="900"/>
        <w:jc w:val="both"/>
        <w:rPr>
          <w:rFonts w:ascii="Palatino Linotype" w:eastAsia="Palatino Linotype" w:hAnsi="Palatino Linotype" w:cs="Palatino Linotype"/>
          <w:i/>
        </w:rPr>
      </w:pPr>
      <w:r w:rsidRPr="00CB2E6A">
        <w:rPr>
          <w:rFonts w:ascii="Palatino Linotype" w:eastAsia="Palatino Linotype" w:hAnsi="Palatino Linotype" w:cs="Palatino Linotype"/>
          <w:i/>
        </w:rPr>
        <w:t>(…)</w:t>
      </w:r>
    </w:p>
    <w:p w14:paraId="5B3B0C6E" w14:textId="77777777" w:rsidR="00640F5E" w:rsidRPr="00CB2E6A" w:rsidRDefault="00634B62">
      <w:pPr>
        <w:spacing w:line="276" w:lineRule="auto"/>
        <w:ind w:left="851" w:right="900"/>
        <w:jc w:val="both"/>
        <w:rPr>
          <w:rFonts w:ascii="Palatino Linotype" w:eastAsia="Palatino Linotype" w:hAnsi="Palatino Linotype" w:cs="Palatino Linotype"/>
          <w:i/>
        </w:rPr>
      </w:pPr>
      <w:r w:rsidRPr="00CB2E6A">
        <w:rPr>
          <w:rFonts w:ascii="Palatino Linotype" w:eastAsia="Palatino Linotype" w:hAnsi="Palatino Linotype" w:cs="Palatino Linotype"/>
          <w:i/>
        </w:rPr>
        <w:t>Periodo de actualización: trimestral</w:t>
      </w:r>
    </w:p>
    <w:p w14:paraId="0358B21B" w14:textId="77777777" w:rsidR="00640F5E" w:rsidRPr="00CB2E6A" w:rsidRDefault="00634B62">
      <w:pPr>
        <w:spacing w:line="276" w:lineRule="auto"/>
        <w:ind w:left="851" w:right="900"/>
        <w:jc w:val="both"/>
        <w:rPr>
          <w:rFonts w:ascii="Palatino Linotype" w:eastAsia="Palatino Linotype" w:hAnsi="Palatino Linotype" w:cs="Palatino Linotype"/>
          <w:i/>
        </w:rPr>
      </w:pPr>
      <w:r w:rsidRPr="00CB2E6A">
        <w:rPr>
          <w:rFonts w:ascii="Palatino Linotype" w:eastAsia="Palatino Linotype" w:hAnsi="Palatino Linotype" w:cs="Palatino Linotype"/>
          <w:i/>
        </w:rPr>
        <w:t>Conservar en el sitio de Internet: información del ejercicio en curso y la correspondiente a dos ejercicios anteriores</w:t>
      </w:r>
    </w:p>
    <w:p w14:paraId="7CB556A0" w14:textId="77777777" w:rsidR="00640F5E" w:rsidRPr="00CB2E6A" w:rsidRDefault="00634B62">
      <w:pPr>
        <w:spacing w:line="276" w:lineRule="auto"/>
        <w:ind w:left="851" w:right="900"/>
        <w:jc w:val="both"/>
        <w:rPr>
          <w:rFonts w:ascii="Palatino Linotype" w:eastAsia="Palatino Linotype" w:hAnsi="Palatino Linotype" w:cs="Palatino Linotype"/>
          <w:i/>
        </w:rPr>
      </w:pPr>
      <w:r w:rsidRPr="00CB2E6A">
        <w:rPr>
          <w:rFonts w:ascii="Palatino Linotype" w:eastAsia="Palatino Linotype" w:hAnsi="Palatino Linotype" w:cs="Palatino Linotype"/>
          <w:i/>
        </w:rPr>
        <w:t>Aplica a: todos los sujetos obligados</w:t>
      </w:r>
    </w:p>
    <w:p w14:paraId="53C92765" w14:textId="77777777" w:rsidR="00640F5E" w:rsidRPr="00CB2E6A" w:rsidRDefault="00634B62">
      <w:pPr>
        <w:ind w:left="851" w:right="902"/>
        <w:jc w:val="both"/>
        <w:rPr>
          <w:rFonts w:ascii="Palatino Linotype" w:eastAsia="Palatino Linotype" w:hAnsi="Palatino Linotype" w:cs="Palatino Linotype"/>
          <w:i/>
        </w:rPr>
      </w:pPr>
      <w:r w:rsidRPr="00CB2E6A">
        <w:rPr>
          <w:rFonts w:ascii="Palatino Linotype" w:eastAsia="Palatino Linotype" w:hAnsi="Palatino Linotype" w:cs="Palatino Linotype"/>
          <w:i/>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14:paraId="66F91D7D"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a) De licitaciones públicas o procedimientos de invitación restringida: </w:t>
      </w:r>
    </w:p>
    <w:p w14:paraId="7DED2F68"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1. La convocatoria o invitación emitida, así como los fundamentos legales aplicados para llevarla a cabo; </w:t>
      </w:r>
    </w:p>
    <w:p w14:paraId="0F40914F"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2. Los nombres de los participantes o invitados; </w:t>
      </w:r>
    </w:p>
    <w:p w14:paraId="3B134629"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3. El nombre del ganador y las razones que lo justifican; </w:t>
      </w:r>
    </w:p>
    <w:p w14:paraId="6D777127"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4. El área solicitante y la responsable de su ejecución; </w:t>
      </w:r>
    </w:p>
    <w:p w14:paraId="1A3CD257"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5. Las convocatorias e invitaciones emitidas; </w:t>
      </w:r>
    </w:p>
    <w:p w14:paraId="2A5E201C"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6. Los dictámenes y fallo de adjudicación; </w:t>
      </w:r>
    </w:p>
    <w:p w14:paraId="7802971A"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7. El contrato y, en su caso, sus anexos; </w:t>
      </w:r>
    </w:p>
    <w:p w14:paraId="166BC4D9"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8. Los mecanismos de vigilancia y supervisión, incluyendo, en su caso, los estudios de impacto urbano y ambiental, según corresponda; </w:t>
      </w:r>
    </w:p>
    <w:p w14:paraId="3F6B6ACF"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9. La partida presupuestal de conformidad con el clasificador por objeto del gasto, en el caso de ser aplicable; </w:t>
      </w:r>
    </w:p>
    <w:p w14:paraId="16ED66F6"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lastRenderedPageBreak/>
        <w:t xml:space="preserve">10. Origen de los recursos especificando si son federales, estatales o municipales, así como el tipo de fondo de participación o aportación respectiva; </w:t>
      </w:r>
    </w:p>
    <w:p w14:paraId="2C93A417"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11. Los convenios modificatorios que, en su caso, sean firmados, precisando el objeto y la fecha de celebración; </w:t>
      </w:r>
    </w:p>
    <w:p w14:paraId="370ACD17"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12. Los informes de avance físico y financiero sobre las obras o servicios contratados; </w:t>
      </w:r>
    </w:p>
    <w:p w14:paraId="346AB0D1"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13. El convenio de terminación; y </w:t>
      </w:r>
    </w:p>
    <w:p w14:paraId="7C0E0402"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14. El finiquito</w:t>
      </w:r>
    </w:p>
    <w:p w14:paraId="40BCC8DF"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b) De las adjudicaciones directas: </w:t>
      </w:r>
    </w:p>
    <w:p w14:paraId="2572EE80"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1. La propuesta enviada por el participante; </w:t>
      </w:r>
    </w:p>
    <w:p w14:paraId="45347606"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2. Los motivos y fundamentos legales aplicados para llevarla a cabo; </w:t>
      </w:r>
    </w:p>
    <w:p w14:paraId="08A08FA3"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3. La autorización del ejercicio de la opción; </w:t>
      </w:r>
    </w:p>
    <w:p w14:paraId="12B31052"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4. En su caso, las cotizaciones consideradas, especificando los nombres de los proveedores y los montos; </w:t>
      </w:r>
    </w:p>
    <w:p w14:paraId="7A85E4CA"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5. El nombre de la persona física o moral adjudicada; </w:t>
      </w:r>
    </w:p>
    <w:p w14:paraId="7DA712C3"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6. La unidad administrativa solicitante y la responsable de su ejecución; </w:t>
      </w:r>
    </w:p>
    <w:p w14:paraId="0D87CCF0"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7. El número, fecha, el monto del contrato y el plazo de entrega o de ejecución de los servicios u obra; </w:t>
      </w:r>
    </w:p>
    <w:p w14:paraId="2DCDBDAC"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8. Los mecanismos de vigilancia y supervisión, incluyendo, en su caso, los estudios de impacto urbano y ambiental, según corresponda; </w:t>
      </w:r>
    </w:p>
    <w:p w14:paraId="48F248F3"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9. Los informes de avance sobre las obras o servicios contratados;</w:t>
      </w:r>
    </w:p>
    <w:p w14:paraId="11E56779"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 xml:space="preserve">10. El convenio de terminación; y </w:t>
      </w:r>
    </w:p>
    <w:p w14:paraId="28BF5497" w14:textId="77777777" w:rsidR="00640F5E" w:rsidRPr="00CB2E6A" w:rsidRDefault="00634B62">
      <w:pPr>
        <w:ind w:left="851" w:right="902"/>
        <w:jc w:val="both"/>
        <w:rPr>
          <w:rFonts w:ascii="Palatino Linotype" w:eastAsia="Palatino Linotype" w:hAnsi="Palatino Linotype" w:cs="Palatino Linotype"/>
          <w:b/>
          <w:i/>
        </w:rPr>
      </w:pPr>
      <w:r w:rsidRPr="00CB2E6A">
        <w:rPr>
          <w:rFonts w:ascii="Palatino Linotype" w:eastAsia="Palatino Linotype" w:hAnsi="Palatino Linotype" w:cs="Palatino Linotype"/>
          <w:b/>
          <w:i/>
        </w:rPr>
        <w:t>11. El finiquito.” (Sic)</w:t>
      </w:r>
    </w:p>
    <w:p w14:paraId="4F1CF135" w14:textId="77777777" w:rsidR="00640F5E" w:rsidRPr="00CB2E6A" w:rsidRDefault="00634B62">
      <w:pPr>
        <w:spacing w:before="240" w:after="240" w:line="360" w:lineRule="auto"/>
        <w:ind w:right="51"/>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En tal sentido, toda vez que la mayoría de la información versa sobre una obligación de transparencia que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debe cumplir de conformidad con la normativa aplicable, además que con las manifestaciones hechas valer por la Dirección General de Recursos Materiales</w:t>
      </w:r>
      <w:r w:rsidRPr="00CB2E6A">
        <w:rPr>
          <w:rFonts w:ascii="Palatino Linotype" w:eastAsia="Palatino Linotype" w:hAnsi="Palatino Linotype" w:cs="Palatino Linotype"/>
          <w:b/>
        </w:rPr>
        <w:t xml:space="preserve"> </w:t>
      </w:r>
      <w:r w:rsidRPr="00CB2E6A">
        <w:rPr>
          <w:rFonts w:ascii="Palatino Linotype" w:eastAsia="Palatino Linotype" w:hAnsi="Palatino Linotype" w:cs="Palatino Linotype"/>
        </w:rPr>
        <w:t>en respuesta asume contar con la información solicitada.</w:t>
      </w:r>
    </w:p>
    <w:p w14:paraId="245E5B9E"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lastRenderedPageBreak/>
        <w:t xml:space="preserve">Ahora bien, en respuesta dicha área informó el cambio de modalidad a consulta directa de la información requerida por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xml:space="preserve">, con la finalidad de garantizar y privilegiar el derecho de acceso a la información pública del solicitante, lo anterior debido a que la entrega de la información conlleva a un análisis, estudio y procesamiento de documentos y actualmente esta unidad no cuenta con el personal operativo necesario para realizarlo; por lo que, se procede analizar si procede el cambio de modalidad. Al respecto, cabe recordar que se requirió la información, a través del Sistema de Acceso a Información Mexiquense (SAIMEX). </w:t>
      </w:r>
    </w:p>
    <w:p w14:paraId="52ED7C50" w14:textId="77777777" w:rsidR="00640F5E" w:rsidRPr="00CB2E6A" w:rsidRDefault="00634B62">
      <w:pPr>
        <w:tabs>
          <w:tab w:val="left" w:pos="709"/>
        </w:tabs>
        <w:spacing w:line="360" w:lineRule="auto"/>
        <w:jc w:val="both"/>
        <w:rPr>
          <w:rFonts w:ascii="Palatino Linotype" w:eastAsia="Palatino Linotype" w:hAnsi="Palatino Linotype" w:cs="Palatino Linotype"/>
          <w:b/>
          <w:u w:val="single"/>
        </w:rPr>
      </w:pPr>
      <w:r w:rsidRPr="00CB2E6A">
        <w:rPr>
          <w:rFonts w:ascii="Palatino Linotype" w:eastAsia="Palatino Linotype" w:hAnsi="Palatino Linotype" w:cs="Palatino Linotype"/>
          <w:b/>
          <w:u w:val="single"/>
        </w:rPr>
        <w:t xml:space="preserve">Sobre el cambio de modalidad a consulta directa.  </w:t>
      </w:r>
    </w:p>
    <w:p w14:paraId="7BC6E093" w14:textId="77777777" w:rsidR="00640F5E" w:rsidRPr="00CB2E6A" w:rsidRDefault="00640F5E">
      <w:pPr>
        <w:tabs>
          <w:tab w:val="left" w:pos="709"/>
        </w:tabs>
        <w:spacing w:line="360" w:lineRule="auto"/>
        <w:jc w:val="both"/>
        <w:rPr>
          <w:rFonts w:ascii="Palatino Linotype" w:eastAsia="Palatino Linotype" w:hAnsi="Palatino Linotype" w:cs="Palatino Linotype"/>
          <w:b/>
          <w:u w:val="single"/>
        </w:rPr>
      </w:pPr>
    </w:p>
    <w:p w14:paraId="17A26D9A" w14:textId="77777777" w:rsidR="00640F5E" w:rsidRPr="00CB2E6A" w:rsidRDefault="00634B62">
      <w:pPr>
        <w:spacing w:line="360" w:lineRule="auto"/>
        <w:ind w:right="-28"/>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Al respecto, conviene mencionar que el artículo 155, fracción V, de la Ley de Transparencia y Acceso a la Información Pública del Estado de México y Municipios, precisa que para presentar una solicitud, el particular podrá señalar </w:t>
      </w:r>
      <w:r w:rsidRPr="00CB2E6A">
        <w:rPr>
          <w:rFonts w:ascii="Palatino Linotype" w:eastAsia="Palatino Linotype" w:hAnsi="Palatino Linotype" w:cs="Palatino Linotype"/>
          <w:b/>
        </w:rPr>
        <w:t>la modalidad en la que prefiere se otorgue el acceso a la información</w:t>
      </w:r>
      <w:r w:rsidRPr="00CB2E6A">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4D536CB5" w14:textId="77777777" w:rsidR="00640F5E" w:rsidRPr="00CB2E6A" w:rsidRDefault="00640F5E">
      <w:pPr>
        <w:spacing w:line="360" w:lineRule="auto"/>
        <w:ind w:right="-28"/>
        <w:jc w:val="both"/>
        <w:rPr>
          <w:rFonts w:ascii="Palatino Linotype" w:eastAsia="Palatino Linotype" w:hAnsi="Palatino Linotype" w:cs="Palatino Linotype"/>
        </w:rPr>
      </w:pPr>
    </w:p>
    <w:p w14:paraId="147E4BB3" w14:textId="77777777" w:rsidR="00640F5E" w:rsidRPr="00CB2E6A" w:rsidRDefault="00634B62">
      <w:pPr>
        <w:spacing w:line="360" w:lineRule="auto"/>
        <w:ind w:right="-28"/>
        <w:jc w:val="both"/>
        <w:rPr>
          <w:rFonts w:ascii="Palatino Linotype" w:eastAsia="Palatino Linotype" w:hAnsi="Palatino Linotype" w:cs="Palatino Linotype"/>
          <w:b/>
        </w:rPr>
      </w:pPr>
      <w:r w:rsidRPr="00CB2E6A">
        <w:rPr>
          <w:rFonts w:ascii="Palatino Linotype" w:eastAsia="Palatino Linotype" w:hAnsi="Palatino Linotype" w:cs="Palatino Linotype"/>
        </w:rPr>
        <w:t xml:space="preserve">El artículo 158, dispone que, de manera excepcional, cuando de manera fundada y motivada lo determine el Sujeto Obligado, </w:t>
      </w:r>
      <w:r w:rsidRPr="00CB2E6A">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4C2AD3BD" w14:textId="77777777" w:rsidR="00640F5E" w:rsidRPr="00CB2E6A" w:rsidRDefault="00640F5E">
      <w:pPr>
        <w:spacing w:line="360" w:lineRule="auto"/>
        <w:ind w:right="-28"/>
        <w:jc w:val="both"/>
        <w:rPr>
          <w:rFonts w:ascii="Palatino Linotype" w:eastAsia="Palatino Linotype" w:hAnsi="Palatino Linotype" w:cs="Palatino Linotype"/>
          <w:b/>
        </w:rPr>
      </w:pPr>
    </w:p>
    <w:p w14:paraId="2209DEF7"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sidRPr="00CB2E6A">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CB2E6A">
        <w:rPr>
          <w:rFonts w:ascii="Palatino Linotype" w:eastAsia="Palatino Linotype" w:hAnsi="Palatino Linotype" w:cs="Palatino Linotype"/>
        </w:rPr>
        <w:t xml:space="preserve"> En cualquier caso, </w:t>
      </w:r>
      <w:r w:rsidRPr="00CB2E6A">
        <w:rPr>
          <w:rFonts w:ascii="Palatino Linotype" w:eastAsia="Palatino Linotype" w:hAnsi="Palatino Linotype" w:cs="Palatino Linotype"/>
          <w:b/>
        </w:rPr>
        <w:t>se deberá fundar y motivar</w:t>
      </w:r>
      <w:r w:rsidRPr="00CB2E6A">
        <w:rPr>
          <w:rFonts w:ascii="Palatino Linotype" w:eastAsia="Palatino Linotype" w:hAnsi="Palatino Linotype" w:cs="Palatino Linotype"/>
        </w:rPr>
        <w:t xml:space="preserve"> la necesidad de ofrecer otras modalidades.</w:t>
      </w:r>
    </w:p>
    <w:p w14:paraId="6FBB7362" w14:textId="77777777" w:rsidR="00640F5E" w:rsidRPr="00CB2E6A" w:rsidRDefault="00640F5E">
      <w:pPr>
        <w:spacing w:line="360" w:lineRule="auto"/>
        <w:jc w:val="both"/>
        <w:rPr>
          <w:rFonts w:ascii="Palatino Linotype" w:eastAsia="Palatino Linotype" w:hAnsi="Palatino Linotype" w:cs="Palatino Linotype"/>
        </w:rPr>
      </w:pPr>
    </w:p>
    <w:p w14:paraId="054665A6"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CB2E6A">
        <w:rPr>
          <w:rFonts w:ascii="Palatino Linotype" w:eastAsia="Palatino Linotype" w:hAnsi="Palatino Linotype" w:cs="Palatino Linotype"/>
          <w:b/>
        </w:rPr>
        <w:t>en la medida de lo posible, en la forma solicitada por el interesado, salvo que exista un impedimento justificado para atenderla</w:t>
      </w:r>
      <w:r w:rsidRPr="00CB2E6A">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CB2E6A">
        <w:rPr>
          <w:rFonts w:ascii="Palatino Linotype" w:eastAsia="Palatino Linotype" w:hAnsi="Palatino Linotype" w:cs="Palatino Linotype"/>
          <w:b/>
        </w:rPr>
        <w:t>sólo procede, en caso de que se acredite la imposibilidad de atenderla.</w:t>
      </w:r>
      <w:r w:rsidRPr="00CB2E6A">
        <w:rPr>
          <w:rFonts w:ascii="Palatino Linotype" w:eastAsia="Palatino Linotype" w:hAnsi="Palatino Linotype" w:cs="Palatino Linotype"/>
        </w:rPr>
        <w:t xml:space="preserve"> </w:t>
      </w:r>
    </w:p>
    <w:p w14:paraId="78B64C45" w14:textId="77777777" w:rsidR="00640F5E" w:rsidRPr="00CB2E6A" w:rsidRDefault="00640F5E">
      <w:pPr>
        <w:spacing w:line="360" w:lineRule="auto"/>
        <w:jc w:val="both"/>
        <w:rPr>
          <w:rFonts w:ascii="Palatino Linotype" w:eastAsia="Palatino Linotype" w:hAnsi="Palatino Linotype" w:cs="Palatino Linotype"/>
        </w:rPr>
      </w:pPr>
    </w:p>
    <w:p w14:paraId="0498F166"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Así, cuando se justifique el impedimento, </w:t>
      </w:r>
      <w:r w:rsidRPr="00CB2E6A">
        <w:rPr>
          <w:rFonts w:ascii="Palatino Linotype" w:eastAsia="Palatino Linotype" w:hAnsi="Palatino Linotype" w:cs="Palatino Linotype"/>
          <w:b/>
        </w:rPr>
        <w:t>los Sujetos Obligados deberán ofrecer al particular otras modalidades de entrega que permita la información</w:t>
      </w:r>
      <w:r w:rsidRPr="00CB2E6A">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7A71931E" w14:textId="77777777" w:rsidR="00640F5E" w:rsidRPr="00CB2E6A" w:rsidRDefault="00640F5E">
      <w:pPr>
        <w:spacing w:line="360" w:lineRule="auto"/>
        <w:jc w:val="both"/>
        <w:rPr>
          <w:rFonts w:ascii="Palatino Linotype" w:eastAsia="Palatino Linotype" w:hAnsi="Palatino Linotype" w:cs="Palatino Linotype"/>
        </w:rPr>
      </w:pPr>
    </w:p>
    <w:p w14:paraId="7225E786" w14:textId="77777777" w:rsidR="00640F5E" w:rsidRPr="00CB2E6A" w:rsidRDefault="00634B62">
      <w:pPr>
        <w:ind w:left="567" w:right="567"/>
        <w:jc w:val="both"/>
        <w:rPr>
          <w:rFonts w:ascii="Palatino Linotype" w:eastAsia="Palatino Linotype" w:hAnsi="Palatino Linotype" w:cs="Palatino Linotype"/>
          <w:i/>
          <w:sz w:val="20"/>
          <w:szCs w:val="20"/>
        </w:rPr>
      </w:pPr>
      <w:r w:rsidRPr="00CB2E6A">
        <w:rPr>
          <w:rFonts w:ascii="Palatino Linotype" w:eastAsia="Palatino Linotype" w:hAnsi="Palatino Linotype" w:cs="Palatino Linotype"/>
          <w:b/>
          <w:i/>
          <w:sz w:val="20"/>
          <w:szCs w:val="20"/>
        </w:rPr>
        <w:lastRenderedPageBreak/>
        <w:t>“Modalidad de entrega. Procedencia de proporcionar la información solicitada en una diversa a la elegida por el solicitante.</w:t>
      </w:r>
      <w:r w:rsidRPr="00CB2E6A">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332FE2D0" w14:textId="77777777" w:rsidR="00640F5E" w:rsidRPr="00CB2E6A" w:rsidRDefault="00640F5E">
      <w:pPr>
        <w:ind w:left="567" w:right="567"/>
        <w:jc w:val="both"/>
        <w:rPr>
          <w:rFonts w:ascii="Palatino Linotype" w:eastAsia="Palatino Linotype" w:hAnsi="Palatino Linotype" w:cs="Palatino Linotype"/>
          <w:i/>
          <w:sz w:val="20"/>
          <w:szCs w:val="20"/>
        </w:rPr>
      </w:pPr>
    </w:p>
    <w:p w14:paraId="4F1D0507" w14:textId="77777777" w:rsidR="00640F5E" w:rsidRPr="00CB2E6A" w:rsidRDefault="00634B62">
      <w:pPr>
        <w:spacing w:line="360" w:lineRule="auto"/>
        <w:jc w:val="both"/>
        <w:rPr>
          <w:rFonts w:ascii="Palatino Linotype" w:eastAsia="Palatino Linotype" w:hAnsi="Palatino Linotype" w:cs="Palatino Linotype"/>
          <w:b/>
        </w:rPr>
      </w:pPr>
      <w:r w:rsidRPr="00CB2E6A">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justifique el impedimento para atender la misma y se notifique al particular la puesta a disposición de la </w:t>
      </w:r>
      <w:r w:rsidRPr="00CB2E6A">
        <w:rPr>
          <w:rFonts w:ascii="Palatino Linotype" w:eastAsia="Palatino Linotype" w:hAnsi="Palatino Linotype" w:cs="Palatino Linotype"/>
          <w:b/>
        </w:rPr>
        <w:t>información en todas las modalidades que lo permitan, procurando reducir los costos de entrega.</w:t>
      </w:r>
    </w:p>
    <w:p w14:paraId="2756B19D" w14:textId="77777777" w:rsidR="00640F5E" w:rsidRPr="00CB2E6A" w:rsidRDefault="00640F5E">
      <w:pPr>
        <w:spacing w:line="360" w:lineRule="auto"/>
        <w:jc w:val="both"/>
        <w:rPr>
          <w:rFonts w:ascii="Palatino Linotype" w:eastAsia="Palatino Linotype" w:hAnsi="Palatino Linotype" w:cs="Palatino Linotype"/>
        </w:rPr>
      </w:pPr>
    </w:p>
    <w:p w14:paraId="43E8A63B"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F3E093D" w14:textId="77777777" w:rsidR="00640F5E" w:rsidRPr="00CB2E6A" w:rsidRDefault="00640F5E">
      <w:pPr>
        <w:spacing w:line="360" w:lineRule="auto"/>
        <w:jc w:val="both"/>
        <w:rPr>
          <w:rFonts w:ascii="Palatino Linotype" w:eastAsia="Palatino Linotype" w:hAnsi="Palatino Linotype" w:cs="Palatino Linotype"/>
        </w:rPr>
      </w:pPr>
    </w:p>
    <w:p w14:paraId="19F540E7" w14:textId="77777777" w:rsidR="00640F5E" w:rsidRPr="00CB2E6A" w:rsidRDefault="00634B62">
      <w:pPr>
        <w:numPr>
          <w:ilvl w:val="0"/>
          <w:numId w:val="1"/>
        </w:num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Las razones por las cuales la información implicaba un análisis, estudio o procesamiento de datos;</w:t>
      </w:r>
    </w:p>
    <w:p w14:paraId="70C7AC4A" w14:textId="77777777" w:rsidR="00640F5E" w:rsidRPr="00CB2E6A" w:rsidRDefault="00634B62">
      <w:pPr>
        <w:numPr>
          <w:ilvl w:val="0"/>
          <w:numId w:val="1"/>
        </w:num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372992F0" w14:textId="77777777" w:rsidR="00640F5E" w:rsidRPr="00CB2E6A" w:rsidRDefault="00634B62">
      <w:pPr>
        <w:numPr>
          <w:ilvl w:val="0"/>
          <w:numId w:val="1"/>
        </w:num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La cantidad de recursos humanos y materiales con los que cuenta el Sujeto Obligado son insuficientes.</w:t>
      </w:r>
    </w:p>
    <w:p w14:paraId="50F6C4FF" w14:textId="77777777" w:rsidR="00640F5E" w:rsidRPr="00CB2E6A" w:rsidRDefault="00640F5E">
      <w:pPr>
        <w:spacing w:line="360" w:lineRule="auto"/>
        <w:ind w:right="-28"/>
        <w:jc w:val="both"/>
      </w:pPr>
    </w:p>
    <w:p w14:paraId="25F0533D" w14:textId="77777777" w:rsidR="00640F5E" w:rsidRPr="00CB2E6A" w:rsidRDefault="00634B62">
      <w:pPr>
        <w:spacing w:line="360" w:lineRule="auto"/>
        <w:ind w:right="-28"/>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0FB61485" w14:textId="77777777" w:rsidR="00640F5E" w:rsidRPr="00CB2E6A" w:rsidRDefault="00640F5E">
      <w:pPr>
        <w:spacing w:line="360" w:lineRule="auto"/>
        <w:jc w:val="both"/>
        <w:rPr>
          <w:rFonts w:ascii="Palatino Linotype" w:eastAsia="Palatino Linotype" w:hAnsi="Palatino Linotype" w:cs="Palatino Linotype"/>
        </w:rPr>
      </w:pPr>
    </w:p>
    <w:p w14:paraId="573DDF1F"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Es menester recordar que el </w:t>
      </w:r>
      <w:r w:rsidRPr="00CB2E6A">
        <w:rPr>
          <w:rFonts w:ascii="Palatino Linotype" w:eastAsia="Palatino Linotype" w:hAnsi="Palatino Linotype" w:cs="Palatino Linotype"/>
          <w:b/>
        </w:rPr>
        <w:t xml:space="preserve">SUJETO OBLIGADO, </w:t>
      </w:r>
      <w:r w:rsidRPr="00CB2E6A">
        <w:rPr>
          <w:rFonts w:ascii="Palatino Linotype" w:eastAsia="Palatino Linotype" w:hAnsi="Palatino Linotype" w:cs="Palatino Linotype"/>
        </w:rPr>
        <w:t>a través del requerimiento adicional realizado por este Organismo Garante, fue omiso en justificar lo siguiente:</w:t>
      </w:r>
    </w:p>
    <w:p w14:paraId="7BA599ED"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1.- Las razones y fundamentos suficientes para no entregar la información a través del SAIMEX. </w:t>
      </w:r>
    </w:p>
    <w:p w14:paraId="1B0F07FE"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2.- Se refiera con exactitud, el cúmulo de información que se trata y sí excede las capacidades del SAIMEX, esto mediante el reporte de incidencias realizado con el área de soporte técnico del INFOEM. </w:t>
      </w:r>
    </w:p>
    <w:p w14:paraId="2AB26E85"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3.- Que la información solicitada, sobrepase las capacidades técnicas administrativas y humanas del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para cumplir con la solicitud, en los plazos establecidos para dichos efectos, con los respectivos medios de convicción.  </w:t>
      </w:r>
    </w:p>
    <w:p w14:paraId="1A46B697"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No obstante a lo anterior, este Organismo Garante solicitó a través de correo electrónico al Personal de la Dirección General de Informática, que señalará si el </w:t>
      </w:r>
      <w:r w:rsidRPr="00CB2E6A">
        <w:rPr>
          <w:rFonts w:ascii="Palatino Linotype" w:eastAsia="Palatino Linotype" w:hAnsi="Palatino Linotype" w:cs="Palatino Linotype"/>
          <w:b/>
        </w:rPr>
        <w:lastRenderedPageBreak/>
        <w:t>SUJETO OBLIGADO</w:t>
      </w:r>
      <w:r w:rsidRPr="00CB2E6A">
        <w:rPr>
          <w:rFonts w:ascii="Palatino Linotype" w:eastAsia="Palatino Linotype" w:hAnsi="Palatino Linotype" w:cs="Palatino Linotype"/>
        </w:rPr>
        <w:t xml:space="preserve">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 </w:t>
      </w:r>
    </w:p>
    <w:p w14:paraId="25D78344" w14:textId="77777777" w:rsidR="00640F5E" w:rsidRPr="00CB2E6A" w:rsidRDefault="00640F5E">
      <w:pPr>
        <w:spacing w:line="360" w:lineRule="auto"/>
        <w:jc w:val="both"/>
      </w:pPr>
    </w:p>
    <w:p w14:paraId="57D39B52" w14:textId="77777777" w:rsidR="00640F5E" w:rsidRPr="00CB2E6A" w:rsidRDefault="00634B62">
      <w:pPr>
        <w:spacing w:line="360" w:lineRule="auto"/>
        <w:jc w:val="both"/>
      </w:pPr>
      <w:r w:rsidRPr="00CB2E6A">
        <w:rPr>
          <w:noProof/>
        </w:rPr>
        <w:drawing>
          <wp:inline distT="114300" distB="114300" distL="114300" distR="114300" wp14:anchorId="2EB5ACB6" wp14:editId="0AAF9E35">
            <wp:extent cx="5612130" cy="990600"/>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612130" cy="990600"/>
                    </a:xfrm>
                    <a:prstGeom prst="rect">
                      <a:avLst/>
                    </a:prstGeom>
                    <a:ln/>
                  </pic:spPr>
                </pic:pic>
              </a:graphicData>
            </a:graphic>
          </wp:inline>
        </w:drawing>
      </w:r>
    </w:p>
    <w:p w14:paraId="6BFA8DE6" w14:textId="77777777" w:rsidR="00640F5E" w:rsidRPr="00CB2E6A" w:rsidRDefault="00640F5E">
      <w:pPr>
        <w:spacing w:line="360" w:lineRule="auto"/>
        <w:jc w:val="both"/>
      </w:pPr>
    </w:p>
    <w:p w14:paraId="0622AD17"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Por lo anterior, la Dirección General de Informática informó que no existen incidencias reportadas por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además señaló que el Sistema de Acceso a la Información Mexiquense (SAIMEX), cuenta con la capacidad de recibir archivos con un peso aproximado de hasta 500Mb, que corresponde a un aproximado de 8,000 hojas, por cada solicitud de acceso a la información pública. </w:t>
      </w:r>
    </w:p>
    <w:p w14:paraId="7B56FAA2" w14:textId="77777777" w:rsidR="00640F5E" w:rsidRPr="00CB2E6A" w:rsidRDefault="00640F5E">
      <w:pPr>
        <w:spacing w:line="360" w:lineRule="auto"/>
        <w:jc w:val="both"/>
        <w:rPr>
          <w:rFonts w:ascii="Palatino Linotype" w:eastAsia="Palatino Linotype" w:hAnsi="Palatino Linotype" w:cs="Palatino Linotype"/>
        </w:rPr>
      </w:pPr>
    </w:p>
    <w:p w14:paraId="52DA0A4B"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En ese contexto, este Instituto reitera que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no señaló de manera puntual las imposibilidades para dar atención a la solicitud relacionada con el recurso de revisión que ahora se resuelve.</w:t>
      </w:r>
    </w:p>
    <w:p w14:paraId="11C9B963" w14:textId="77777777" w:rsidR="00640F5E" w:rsidRPr="00CB2E6A" w:rsidRDefault="00640F5E">
      <w:pPr>
        <w:spacing w:line="360" w:lineRule="auto"/>
        <w:jc w:val="both"/>
        <w:rPr>
          <w:rFonts w:ascii="Palatino Linotype" w:eastAsia="Palatino Linotype" w:hAnsi="Palatino Linotype" w:cs="Palatino Linotype"/>
        </w:rPr>
      </w:pPr>
    </w:p>
    <w:p w14:paraId="02D9D227"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Además, </w:t>
      </w:r>
      <w:r w:rsidRPr="00CB2E6A">
        <w:rPr>
          <w:rFonts w:ascii="Palatino Linotype" w:eastAsia="Palatino Linotype" w:hAnsi="Palatino Linotype" w:cs="Palatino Linotype"/>
          <w:b/>
        </w:rPr>
        <w:t>EL SUJETO OBLIGADO</w:t>
      </w:r>
      <w:r w:rsidRPr="00CB2E6A">
        <w:rPr>
          <w:rFonts w:ascii="Palatino Linotype" w:eastAsia="Palatino Linotype" w:hAnsi="Palatino Linotype" w:cs="Palatino Linotype"/>
        </w:rPr>
        <w:t xml:space="preserve"> tampoco acreditó que lo peticionado implicaba un análisis, procesamiento o estudio de documentos cuya reproducción sobrepasará las capacidades técnicas, administrativas y humanas; además que la entrega de la información y de acuerdo a la naturaleza del SAIMEX, debe corresponder al respectivo folio de la solicitud, aunado a ello, no se precisó el número de personas </w:t>
      </w:r>
      <w:r w:rsidRPr="00CB2E6A">
        <w:rPr>
          <w:rFonts w:ascii="Palatino Linotype" w:eastAsia="Palatino Linotype" w:hAnsi="Palatino Linotype" w:cs="Palatino Linotype"/>
        </w:rPr>
        <w:lastRenderedPageBreak/>
        <w:t>que se encontraban en las áreas, ni el formato y sí la información se debería entregar en versión pública; esto es, no proporcionó los elementos necesarios para acreditar el cambio de modalidad, pues no  justificó dicho cambio.</w:t>
      </w:r>
    </w:p>
    <w:p w14:paraId="795FC4B5" w14:textId="77777777" w:rsidR="00640F5E" w:rsidRPr="00CB2E6A" w:rsidRDefault="00640F5E">
      <w:pPr>
        <w:spacing w:line="360" w:lineRule="auto"/>
        <w:jc w:val="both"/>
        <w:rPr>
          <w:rFonts w:ascii="Palatino Linotype" w:eastAsia="Palatino Linotype" w:hAnsi="Palatino Linotype" w:cs="Palatino Linotype"/>
        </w:rPr>
      </w:pPr>
    </w:p>
    <w:p w14:paraId="6A0A49D7"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Asimismo, el Sujeto Obligado deberá hacer del conocimiento al Particular que la información estará disponible, por un plazo mínimo de sesenta días naturales, a partir de la fecha en que ponga a disposición de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xml:space="preserve"> la información, en términos del segundo párrafo del artículo 166 de la Ley de Transparencia y Acceso a la Información Pública del Estado de México y Municipios.</w:t>
      </w:r>
    </w:p>
    <w:p w14:paraId="27BFB837" w14:textId="77777777" w:rsidR="00640F5E" w:rsidRPr="00CB2E6A" w:rsidRDefault="00640F5E">
      <w:pPr>
        <w:spacing w:line="360" w:lineRule="auto"/>
        <w:jc w:val="both"/>
        <w:rPr>
          <w:rFonts w:ascii="Palatino Linotype" w:eastAsia="Palatino Linotype" w:hAnsi="Palatino Linotype" w:cs="Palatino Linotype"/>
        </w:rPr>
      </w:pPr>
    </w:p>
    <w:p w14:paraId="010ADA2B"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18606257" w14:textId="77777777" w:rsidR="00640F5E" w:rsidRPr="00CB2E6A" w:rsidRDefault="00640F5E">
      <w:pPr>
        <w:spacing w:line="360" w:lineRule="auto"/>
        <w:jc w:val="both"/>
        <w:rPr>
          <w:rFonts w:ascii="Palatino Linotype" w:eastAsia="Palatino Linotype" w:hAnsi="Palatino Linotype" w:cs="Palatino Linotype"/>
        </w:rPr>
      </w:pPr>
    </w:p>
    <w:p w14:paraId="44A9585B" w14:textId="77777777" w:rsidR="00640F5E" w:rsidRPr="00CB2E6A" w:rsidRDefault="00634B62">
      <w:pPr>
        <w:spacing w:line="360" w:lineRule="auto"/>
        <w:jc w:val="both"/>
        <w:rPr>
          <w:rFonts w:ascii="Palatino Linotype" w:eastAsia="Palatino Linotype" w:hAnsi="Palatino Linotype" w:cs="Palatino Linotype"/>
        </w:rPr>
      </w:pPr>
      <w:bookmarkStart w:id="5" w:name="_heading=h.3rdcrjn" w:colFirst="0" w:colLast="0"/>
      <w:bookmarkEnd w:id="5"/>
      <w:r w:rsidRPr="00CB2E6A">
        <w:rPr>
          <w:rFonts w:ascii="Palatino Linotype" w:eastAsia="Palatino Linotype" w:hAnsi="Palatino Linotype" w:cs="Palatino Linotype"/>
        </w:rPr>
        <w:lastRenderedPageBreak/>
        <w:t>Siendo las cosas así, cabe invocar el contenido del Capítulo X de Lineamientos Generales en Materia de Clasificación y Desclasificación de la Información, así como para la Elaboración de Versiones Públicas, respecto a la consulta directa, que señala:</w:t>
      </w:r>
    </w:p>
    <w:p w14:paraId="2FAF7B9B" w14:textId="77777777" w:rsidR="00640F5E" w:rsidRPr="00CB2E6A" w:rsidRDefault="00640F5E">
      <w:pPr>
        <w:spacing w:line="360" w:lineRule="auto"/>
        <w:jc w:val="both"/>
        <w:rPr>
          <w:rFonts w:ascii="Palatino Linotype" w:eastAsia="Palatino Linotype" w:hAnsi="Palatino Linotype" w:cs="Palatino Linotype"/>
        </w:rPr>
      </w:pPr>
    </w:p>
    <w:p w14:paraId="7A25B1B0" w14:textId="77777777" w:rsidR="00640F5E" w:rsidRPr="00CB2E6A" w:rsidRDefault="00634B62">
      <w:pPr>
        <w:spacing w:after="120"/>
        <w:ind w:left="851" w:right="902"/>
        <w:jc w:val="center"/>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i/>
          <w:sz w:val="22"/>
          <w:szCs w:val="22"/>
        </w:rPr>
        <w:t>“</w:t>
      </w:r>
      <w:r w:rsidRPr="00CB2E6A">
        <w:rPr>
          <w:rFonts w:ascii="Palatino Linotype" w:eastAsia="Palatino Linotype" w:hAnsi="Palatino Linotype" w:cs="Palatino Linotype"/>
          <w:b/>
          <w:i/>
          <w:sz w:val="22"/>
          <w:szCs w:val="22"/>
        </w:rPr>
        <w:t>CAPÍTULO X</w:t>
      </w:r>
    </w:p>
    <w:p w14:paraId="131E989D" w14:textId="77777777" w:rsidR="00640F5E" w:rsidRPr="00CB2E6A" w:rsidRDefault="00634B62">
      <w:pPr>
        <w:spacing w:before="120" w:after="120"/>
        <w:ind w:left="851" w:right="902"/>
        <w:jc w:val="center"/>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DE LA CONSULTA DIRECTA</w:t>
      </w:r>
    </w:p>
    <w:p w14:paraId="17D17343"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Sexagésimo séptimo</w:t>
      </w:r>
      <w:r w:rsidRPr="00CB2E6A">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CB2E6A">
        <w:rPr>
          <w:rFonts w:ascii="Palatino Linotype" w:eastAsia="Palatino Linotype" w:hAnsi="Palatino Linotype" w:cs="Palatino Linotype"/>
          <w:b/>
          <w:i/>
          <w:sz w:val="22"/>
          <w:szCs w:val="22"/>
        </w:rPr>
        <w:t>deberá emitir la resolución en la que funde y motive la clasificación</w:t>
      </w:r>
      <w:r w:rsidRPr="00CB2E6A">
        <w:rPr>
          <w:rFonts w:ascii="Palatino Linotype" w:eastAsia="Palatino Linotype" w:hAnsi="Palatino Linotype" w:cs="Palatino Linotype"/>
          <w:i/>
          <w:sz w:val="22"/>
          <w:szCs w:val="22"/>
        </w:rPr>
        <w:t xml:space="preserve"> de las partes o secciones que no podrán dejarse a la vista del solicitante. </w:t>
      </w:r>
    </w:p>
    <w:p w14:paraId="593F9BF8"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Sexagésimo octavo</w:t>
      </w:r>
      <w:r w:rsidRPr="00CB2E6A">
        <w:rPr>
          <w:rFonts w:ascii="Palatino Linotype" w:eastAsia="Palatino Linotype" w:hAnsi="Palatino Linotype" w:cs="Palatino Linotype"/>
          <w:i/>
          <w:sz w:val="22"/>
          <w:szCs w:val="22"/>
        </w:rPr>
        <w:t xml:space="preserve">. En la </w:t>
      </w:r>
      <w:r w:rsidRPr="00CB2E6A">
        <w:rPr>
          <w:rFonts w:ascii="Palatino Linotype" w:eastAsia="Palatino Linotype" w:hAnsi="Palatino Linotype" w:cs="Palatino Linotype"/>
          <w:b/>
          <w:i/>
          <w:sz w:val="22"/>
          <w:szCs w:val="22"/>
        </w:rPr>
        <w:t>resolución del Comité de Transparencia</w:t>
      </w:r>
      <w:r w:rsidRPr="00CB2E6A">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784F4FA2"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Sexagésimo noveno</w:t>
      </w:r>
      <w:r w:rsidRPr="00CB2E6A">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15AEF230"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Septuagésimo</w:t>
      </w:r>
      <w:r w:rsidRPr="00CB2E6A">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14:paraId="738DEA7C" w14:textId="77777777" w:rsidR="00640F5E" w:rsidRPr="00CB2E6A" w:rsidRDefault="00634B62">
      <w:pPr>
        <w:spacing w:before="120" w:after="120"/>
        <w:ind w:left="1134"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I.</w:t>
      </w:r>
      <w:r w:rsidRPr="00CB2E6A">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26698917" w14:textId="77777777" w:rsidR="00640F5E" w:rsidRPr="00CB2E6A" w:rsidRDefault="00634B62">
      <w:pPr>
        <w:spacing w:before="120" w:after="120"/>
        <w:ind w:left="1134"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II.</w:t>
      </w:r>
      <w:r w:rsidRPr="00CB2E6A">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39BCFC84" w14:textId="77777777" w:rsidR="00640F5E" w:rsidRPr="00CB2E6A" w:rsidRDefault="00634B62">
      <w:pPr>
        <w:spacing w:before="120" w:after="120"/>
        <w:ind w:left="1134"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lastRenderedPageBreak/>
        <w:t>III.</w:t>
      </w:r>
      <w:r w:rsidRPr="00CB2E6A">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22302088" w14:textId="77777777" w:rsidR="00640F5E" w:rsidRPr="00CB2E6A" w:rsidRDefault="00634B62">
      <w:pPr>
        <w:spacing w:before="120" w:after="120"/>
        <w:ind w:left="1134"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IV.</w:t>
      </w:r>
      <w:r w:rsidRPr="00CB2E6A">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2B5CCD4F" w14:textId="77777777" w:rsidR="00640F5E" w:rsidRPr="00CB2E6A" w:rsidRDefault="00634B62">
      <w:pPr>
        <w:spacing w:before="120" w:after="120"/>
        <w:ind w:left="1134"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V.</w:t>
      </w:r>
      <w:r w:rsidRPr="00CB2E6A">
        <w:rPr>
          <w:rFonts w:ascii="Palatino Linotype" w:eastAsia="Palatino Linotype" w:hAnsi="Palatino Linotype" w:cs="Palatino Linotype"/>
          <w:i/>
          <w:sz w:val="22"/>
          <w:szCs w:val="22"/>
        </w:rPr>
        <w:t xml:space="preserve"> Abstenerse de requerir al solicitante que acredite interés alguno; </w:t>
      </w:r>
    </w:p>
    <w:p w14:paraId="223D299E" w14:textId="77777777" w:rsidR="00640F5E" w:rsidRPr="00CB2E6A" w:rsidRDefault="00634B62">
      <w:pPr>
        <w:spacing w:before="120" w:after="120"/>
        <w:ind w:left="1134"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VI.</w:t>
      </w:r>
      <w:r w:rsidRPr="00CB2E6A">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1F7244AD" w14:textId="77777777" w:rsidR="00640F5E" w:rsidRPr="00CB2E6A" w:rsidRDefault="00634B62">
      <w:pPr>
        <w:spacing w:before="120" w:after="120"/>
        <w:ind w:left="1418"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a)</w:t>
      </w:r>
      <w:r w:rsidRPr="00CB2E6A">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7DC1761D" w14:textId="77777777" w:rsidR="00640F5E" w:rsidRPr="00CB2E6A" w:rsidRDefault="00634B62">
      <w:pPr>
        <w:spacing w:before="120" w:after="120"/>
        <w:ind w:left="1418"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b)</w:t>
      </w:r>
      <w:r w:rsidRPr="00CB2E6A">
        <w:rPr>
          <w:rFonts w:ascii="Palatino Linotype" w:eastAsia="Palatino Linotype" w:hAnsi="Palatino Linotype" w:cs="Palatino Linotype"/>
          <w:i/>
          <w:sz w:val="22"/>
          <w:szCs w:val="22"/>
        </w:rPr>
        <w:t xml:space="preserve"> Equipo y personal de vigilancia;</w:t>
      </w:r>
    </w:p>
    <w:p w14:paraId="01DD2B81"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c)</w:t>
      </w:r>
      <w:r w:rsidRPr="00CB2E6A">
        <w:rPr>
          <w:rFonts w:ascii="Palatino Linotype" w:eastAsia="Palatino Linotype" w:hAnsi="Palatino Linotype" w:cs="Palatino Linotype"/>
          <w:i/>
          <w:sz w:val="22"/>
          <w:szCs w:val="22"/>
        </w:rPr>
        <w:t xml:space="preserve"> Plan de acción contra robo o vandalismo; </w:t>
      </w:r>
    </w:p>
    <w:p w14:paraId="1CDA95CF"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d)</w:t>
      </w:r>
      <w:r w:rsidRPr="00CB2E6A">
        <w:rPr>
          <w:rFonts w:ascii="Palatino Linotype" w:eastAsia="Palatino Linotype" w:hAnsi="Palatino Linotype" w:cs="Palatino Linotype"/>
          <w:i/>
          <w:sz w:val="22"/>
          <w:szCs w:val="22"/>
        </w:rPr>
        <w:t xml:space="preserve"> Extintores de fuego de gas inocuo; </w:t>
      </w:r>
    </w:p>
    <w:p w14:paraId="08B1E48C"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e)</w:t>
      </w:r>
      <w:r w:rsidRPr="00CB2E6A">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2B9977C6"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f)</w:t>
      </w:r>
      <w:r w:rsidRPr="00CB2E6A">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3994A126"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g)</w:t>
      </w:r>
      <w:r w:rsidRPr="00CB2E6A">
        <w:rPr>
          <w:rFonts w:ascii="Palatino Linotype" w:eastAsia="Palatino Linotype" w:hAnsi="Palatino Linotype" w:cs="Palatino Linotype"/>
          <w:i/>
          <w:sz w:val="22"/>
          <w:szCs w:val="22"/>
        </w:rPr>
        <w:t xml:space="preserve"> Las demás que, a criterio de los sujetos obligados, resulten necesarias. </w:t>
      </w:r>
    </w:p>
    <w:p w14:paraId="15F70DD1"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VII.</w:t>
      </w:r>
      <w:r w:rsidRPr="00CB2E6A">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14:paraId="41D9CAB1" w14:textId="77777777" w:rsidR="00640F5E" w:rsidRPr="00CB2E6A" w:rsidRDefault="00634B62">
      <w:pPr>
        <w:spacing w:before="120" w:after="120"/>
        <w:ind w:left="851" w:right="902"/>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VIII.</w:t>
      </w:r>
      <w:r w:rsidRPr="00CB2E6A">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sidRPr="00CB2E6A">
        <w:rPr>
          <w:rFonts w:ascii="Palatino Linotype" w:eastAsia="Palatino Linotype" w:hAnsi="Palatino Linotype" w:cs="Palatino Linotype"/>
          <w:b/>
          <w:i/>
          <w:sz w:val="22"/>
          <w:szCs w:val="22"/>
        </w:rPr>
        <w:t xml:space="preserve">previo al acceso a la información, la resolución debidamente fundada y motivada del Comité de Transparencia, en la que se clasificaron las partes o secciones que no podrán dejarse a la vista del solicitante. </w:t>
      </w:r>
    </w:p>
    <w:p w14:paraId="5B41B1E1"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 xml:space="preserve">Septuagésimo primero. </w:t>
      </w:r>
      <w:r w:rsidRPr="00CB2E6A">
        <w:rPr>
          <w:rFonts w:ascii="Palatino Linotype" w:eastAsia="Palatino Linotype" w:hAnsi="Palatino Linotype" w:cs="Palatino Linotype"/>
          <w:i/>
          <w:sz w:val="22"/>
          <w:szCs w:val="22"/>
        </w:rPr>
        <w:t xml:space="preserve">La consulta física de la información se realizará en presencia del personal que para tal efecto haya sido designado, quien implementará las medidas para asegurar en todo momento la integridad de la </w:t>
      </w:r>
      <w:r w:rsidRPr="00CB2E6A">
        <w:rPr>
          <w:rFonts w:ascii="Palatino Linotype" w:eastAsia="Palatino Linotype" w:hAnsi="Palatino Linotype" w:cs="Palatino Linotype"/>
          <w:i/>
          <w:sz w:val="22"/>
          <w:szCs w:val="22"/>
        </w:rPr>
        <w:lastRenderedPageBreak/>
        <w:t xml:space="preserve">documentación, conforme a la resolución que, al efecto, emita el Comité de Transparencia. </w:t>
      </w:r>
    </w:p>
    <w:p w14:paraId="0251ECD1"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14:paraId="1BF6CCDE"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Septuagésimo segundo.</w:t>
      </w:r>
      <w:r w:rsidRPr="00CB2E6A">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14:paraId="661E2A4E"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2E49D205"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Septuagésimo tercero</w:t>
      </w:r>
      <w:r w:rsidRPr="00CB2E6A">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610AE1EE" w14:textId="77777777" w:rsidR="00640F5E" w:rsidRPr="00CB2E6A" w:rsidRDefault="00634B62">
      <w:pPr>
        <w:spacing w:before="120" w:after="120"/>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La información deberá ser entregada sin costo, cuando implique la entrega de no más de veinte hojas simples.”(Sic)</w:t>
      </w:r>
    </w:p>
    <w:p w14:paraId="798A58AD" w14:textId="77777777" w:rsidR="00640F5E" w:rsidRPr="00CB2E6A" w:rsidRDefault="00640F5E">
      <w:pPr>
        <w:tabs>
          <w:tab w:val="left" w:pos="7938"/>
        </w:tabs>
        <w:spacing w:before="120" w:line="360" w:lineRule="auto"/>
        <w:ind w:left="567" w:right="616"/>
        <w:jc w:val="both"/>
        <w:rPr>
          <w:rFonts w:ascii="Palatino Linotype" w:eastAsia="Palatino Linotype" w:hAnsi="Palatino Linotype" w:cs="Palatino Linotype"/>
          <w:i/>
        </w:rPr>
      </w:pPr>
    </w:p>
    <w:p w14:paraId="4B78D04B"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Preceptos legales que de igual forma fueron inobservados por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para hacer el cambio de modalidad a consulta directa. </w:t>
      </w:r>
    </w:p>
    <w:p w14:paraId="74DBB95D" w14:textId="77777777" w:rsidR="00640F5E" w:rsidRPr="00CB2E6A" w:rsidRDefault="00640F5E">
      <w:pPr>
        <w:spacing w:line="360" w:lineRule="auto"/>
        <w:jc w:val="both"/>
        <w:rPr>
          <w:rFonts w:ascii="Palatino Linotype" w:eastAsia="Palatino Linotype" w:hAnsi="Palatino Linotype" w:cs="Palatino Linotype"/>
        </w:rPr>
      </w:pPr>
    </w:p>
    <w:p w14:paraId="2C63291C" w14:textId="77777777" w:rsidR="00640F5E" w:rsidRPr="00CB2E6A" w:rsidRDefault="00634B62">
      <w:pPr>
        <w:spacing w:line="360" w:lineRule="auto"/>
        <w:ind w:right="51"/>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En consecuencia,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no justificó el impedimento para remitir la información solicitada vía SAIMEX, siendo aplicable por analogía el criterio de interpretación 08/17, emitido por el Instituto Nacional de Transparencia, Acceso a la Información y Protección de Datos Personales, INAI, que es del tenor literal siguiente:</w:t>
      </w:r>
    </w:p>
    <w:p w14:paraId="732CE89E" w14:textId="77777777" w:rsidR="00640F5E" w:rsidRPr="00CB2E6A" w:rsidRDefault="00640F5E">
      <w:pPr>
        <w:spacing w:line="360" w:lineRule="auto"/>
        <w:ind w:right="51"/>
        <w:jc w:val="both"/>
        <w:rPr>
          <w:rFonts w:ascii="Palatino Linotype" w:eastAsia="Palatino Linotype" w:hAnsi="Palatino Linotype" w:cs="Palatino Linotype"/>
        </w:rPr>
      </w:pPr>
    </w:p>
    <w:p w14:paraId="1CE4E040" w14:textId="77777777" w:rsidR="00640F5E" w:rsidRPr="00CB2E6A" w:rsidRDefault="00634B62">
      <w:pPr>
        <w:spacing w:after="120"/>
        <w:ind w:left="851" w:right="900"/>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r w:rsidRPr="00CB2E6A">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CB2E6A">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w:t>
      </w:r>
      <w:r w:rsidRPr="00CB2E6A">
        <w:rPr>
          <w:rFonts w:ascii="Palatino Linotype" w:eastAsia="Palatino Linotype" w:hAnsi="Palatino Linotype" w:cs="Palatino Linotype"/>
          <w:i/>
          <w:sz w:val="22"/>
          <w:szCs w:val="22"/>
        </w:rPr>
        <w:lastRenderedPageBreak/>
        <w:t xml:space="preserve">Información Pública, cuando no sea posible atender la modalidad elegida, la obligación de acceso a la información se tendrá por cumplida cuando el sujeto obligado: </w:t>
      </w:r>
      <w:r w:rsidRPr="00CB2E6A">
        <w:rPr>
          <w:rFonts w:ascii="Palatino Linotype" w:eastAsia="Palatino Linotype" w:hAnsi="Palatino Linotype" w:cs="Palatino Linotype"/>
          <w:b/>
          <w:i/>
          <w:sz w:val="22"/>
          <w:szCs w:val="22"/>
        </w:rPr>
        <w:t xml:space="preserve">a) justifique el impedimento para atender la misma </w:t>
      </w:r>
      <w:r w:rsidRPr="00CB2E6A">
        <w:rPr>
          <w:rFonts w:ascii="Palatino Linotype" w:eastAsia="Palatino Linotype" w:hAnsi="Palatino Linotype" w:cs="Palatino Linotype"/>
          <w:i/>
          <w:sz w:val="22"/>
          <w:szCs w:val="22"/>
        </w:rPr>
        <w:t xml:space="preserve">y </w:t>
      </w:r>
      <w:r w:rsidRPr="00CB2E6A">
        <w:rPr>
          <w:rFonts w:ascii="Palatino Linotype" w:eastAsia="Palatino Linotype" w:hAnsi="Palatino Linotype" w:cs="Palatino Linotype"/>
          <w:b/>
          <w:i/>
          <w:sz w:val="22"/>
          <w:szCs w:val="22"/>
        </w:rPr>
        <w:t>b) se notifique al particular la disposición de la información en todas las modalidades que permita el documento de que se trate</w:t>
      </w:r>
      <w:r w:rsidRPr="00CB2E6A">
        <w:rPr>
          <w:rFonts w:ascii="Palatino Linotype" w:eastAsia="Palatino Linotype" w:hAnsi="Palatino Linotype" w:cs="Palatino Linotype"/>
          <w:i/>
          <w:sz w:val="22"/>
          <w:szCs w:val="22"/>
        </w:rPr>
        <w:t>, procurando reducir, en todo momento, los costos de entrega.”(Sic)</w:t>
      </w:r>
    </w:p>
    <w:p w14:paraId="137BABA1" w14:textId="77777777" w:rsidR="00640F5E" w:rsidRPr="00CB2E6A" w:rsidRDefault="00634B62">
      <w:pPr>
        <w:spacing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Por las consideraciones anteriores, resulta procedente aludir que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no fundó, motivó, ni mucho menos justificó la imposibilidad de entregar la información solicitada en un formato electrónico a través del SAIMEX.</w:t>
      </w:r>
    </w:p>
    <w:p w14:paraId="0A73F1B2" w14:textId="77777777" w:rsidR="00640F5E" w:rsidRPr="00CB2E6A" w:rsidRDefault="00634B62">
      <w:pPr>
        <w:widowControl w:val="0"/>
        <w:tabs>
          <w:tab w:val="left" w:pos="1276"/>
        </w:tabs>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Respecto a la fundamentación y motivación es de señalar que el máximo tribunal del país ha establecido jurisprudencia respecto a qué debe entenderse por fundamentación y motivación, en los siguientes términos:</w:t>
      </w:r>
    </w:p>
    <w:p w14:paraId="1D0BE19A" w14:textId="77777777" w:rsidR="00640F5E" w:rsidRPr="00CB2E6A" w:rsidRDefault="00634B62">
      <w:pPr>
        <w:widowControl w:val="0"/>
        <w:tabs>
          <w:tab w:val="left" w:pos="1276"/>
        </w:tabs>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“FUNDAMENTACIÓN Y MOTIVACIÓN.</w:t>
      </w:r>
      <w:r w:rsidRPr="00CB2E6A">
        <w:rPr>
          <w:rFonts w:ascii="Palatino Linotype" w:eastAsia="Palatino Linotype" w:hAnsi="Palatino Linotype" w:cs="Palatino Linotype"/>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6BDAA3AA" w14:textId="77777777" w:rsidR="00640F5E" w:rsidRPr="00CB2E6A" w:rsidRDefault="00634B62">
      <w:pPr>
        <w:widowControl w:val="0"/>
        <w:tabs>
          <w:tab w:val="left" w:pos="1276"/>
        </w:tabs>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3DC59EFA" w14:textId="77777777" w:rsidR="00640F5E" w:rsidRPr="00CB2E6A" w:rsidRDefault="00634B62">
      <w:pPr>
        <w:widowControl w:val="0"/>
        <w:tabs>
          <w:tab w:val="left" w:pos="1276"/>
        </w:tabs>
        <w:ind w:left="851" w:right="902"/>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r w:rsidRPr="00CB2E6A">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CB2E6A">
        <w:rPr>
          <w:rFonts w:ascii="Palatino Linotype" w:eastAsia="Palatino Linotype" w:hAnsi="Palatino Linotype" w:cs="Palatino Linotype"/>
          <w:i/>
          <w:sz w:val="22"/>
          <w:szCs w:val="22"/>
        </w:rPr>
        <w:t xml:space="preserve"> El contenido formal de la garantía de legalidad prevista en el artículo 16 constitucional relativa a la fundamentación y motivación tiene como </w:t>
      </w:r>
      <w:r w:rsidRPr="00CB2E6A">
        <w:rPr>
          <w:rFonts w:ascii="Palatino Linotype" w:eastAsia="Palatino Linotype" w:hAnsi="Palatino Linotype" w:cs="Palatino Linotype"/>
          <w:i/>
          <w:sz w:val="22"/>
          <w:szCs w:val="22"/>
        </w:rPr>
        <w:lastRenderedPageBreak/>
        <w:t>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6170BE27" w14:textId="77777777" w:rsidR="00640F5E" w:rsidRPr="00CB2E6A" w:rsidRDefault="00640F5E">
      <w:pPr>
        <w:widowControl w:val="0"/>
        <w:tabs>
          <w:tab w:val="left" w:pos="1276"/>
        </w:tabs>
        <w:spacing w:line="360" w:lineRule="auto"/>
        <w:jc w:val="both"/>
        <w:rPr>
          <w:rFonts w:ascii="Palatino Linotype" w:eastAsia="Palatino Linotype" w:hAnsi="Palatino Linotype" w:cs="Palatino Linotype"/>
        </w:rPr>
      </w:pPr>
    </w:p>
    <w:p w14:paraId="3D3BB622" w14:textId="77777777" w:rsidR="00640F5E" w:rsidRPr="00CB2E6A" w:rsidRDefault="00634B62">
      <w:pPr>
        <w:widowControl w:val="0"/>
        <w:tabs>
          <w:tab w:val="left" w:pos="1276"/>
        </w:tabs>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36C719A2" w14:textId="77777777" w:rsidR="00640F5E" w:rsidRPr="00CB2E6A" w:rsidRDefault="00640F5E">
      <w:pPr>
        <w:spacing w:line="360" w:lineRule="auto"/>
        <w:jc w:val="both"/>
        <w:rPr>
          <w:rFonts w:ascii="Palatino Linotype" w:eastAsia="Palatino Linotype" w:hAnsi="Palatino Linotype" w:cs="Palatino Linotype"/>
        </w:rPr>
      </w:pPr>
    </w:p>
    <w:p w14:paraId="0F2F292E" w14:textId="77777777" w:rsidR="00640F5E" w:rsidRPr="00CB2E6A" w:rsidRDefault="00634B62">
      <w:pPr>
        <w:widowControl w:val="0"/>
        <w:tabs>
          <w:tab w:val="left" w:pos="1276"/>
        </w:tabs>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Máxime, como ya se precisó la información requerida en el presente asunto, es información que debe estar publicada a través de la Plataforma de Información Pública de Oficio Mexiquense (IPOMEX) de la Secretaría de Finanzas, de manera permanente y actualizada para su consulta, por lo que dicha circunstancia robustece el hecho de que no proceda el cambio de modalidad, al ser, como ya se mencionó una obligación de transparencia su publicación.</w:t>
      </w:r>
    </w:p>
    <w:p w14:paraId="1F4B8E93" w14:textId="77777777" w:rsidR="00640F5E" w:rsidRPr="00CB2E6A" w:rsidRDefault="00640F5E">
      <w:pPr>
        <w:widowControl w:val="0"/>
        <w:tabs>
          <w:tab w:val="left" w:pos="1276"/>
        </w:tabs>
        <w:spacing w:line="360" w:lineRule="auto"/>
        <w:jc w:val="both"/>
        <w:rPr>
          <w:rFonts w:ascii="Palatino Linotype" w:eastAsia="Palatino Linotype" w:hAnsi="Palatino Linotype" w:cs="Palatino Linotype"/>
        </w:rPr>
      </w:pPr>
    </w:p>
    <w:p w14:paraId="30A94E1B"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Asimismo,  conviene señalar que al ser una obligación de transparencia bastaba con que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indicara la dirección electrónica en donde podría </w:t>
      </w:r>
      <w:r w:rsidRPr="00CB2E6A">
        <w:rPr>
          <w:rFonts w:ascii="Palatino Linotype" w:eastAsia="Palatino Linotype" w:hAnsi="Palatino Linotype" w:cs="Palatino Linotype"/>
        </w:rPr>
        <w:lastRenderedPageBreak/>
        <w:t>consultar la información en términos de lo dispuesto por el artículo 161 de la de la Ley de Transparencia y Acceso a la Información Pública del Estado de México y Municipios, que señala:</w:t>
      </w:r>
    </w:p>
    <w:p w14:paraId="6A263E31" w14:textId="77777777" w:rsidR="00640F5E" w:rsidRPr="00CB2E6A" w:rsidRDefault="00640F5E">
      <w:pPr>
        <w:ind w:left="567" w:right="567"/>
        <w:jc w:val="both"/>
        <w:rPr>
          <w:rFonts w:ascii="Palatino Linotype" w:eastAsia="Palatino Linotype" w:hAnsi="Palatino Linotype" w:cs="Palatino Linotype"/>
          <w:i/>
          <w:sz w:val="20"/>
          <w:szCs w:val="20"/>
        </w:rPr>
      </w:pPr>
    </w:p>
    <w:p w14:paraId="582CDC94" w14:textId="77777777" w:rsidR="00640F5E" w:rsidRPr="00CB2E6A" w:rsidRDefault="00634B62">
      <w:pPr>
        <w:ind w:left="567" w:right="567"/>
        <w:jc w:val="both"/>
        <w:rPr>
          <w:rFonts w:ascii="Palatino Linotype" w:eastAsia="Palatino Linotype" w:hAnsi="Palatino Linotype" w:cs="Palatino Linotype"/>
          <w:i/>
          <w:sz w:val="20"/>
          <w:szCs w:val="20"/>
        </w:rPr>
      </w:pPr>
      <w:r w:rsidRPr="00CB2E6A">
        <w:rPr>
          <w:rFonts w:ascii="Palatino Linotype" w:eastAsia="Palatino Linotype" w:hAnsi="Palatino Linotype" w:cs="Palatino Linotype"/>
          <w:i/>
          <w:sz w:val="20"/>
          <w:szCs w:val="20"/>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4C17007E" w14:textId="77777777" w:rsidR="00640F5E" w:rsidRPr="00CB2E6A" w:rsidRDefault="00640F5E">
      <w:pPr>
        <w:widowControl w:val="0"/>
        <w:tabs>
          <w:tab w:val="left" w:pos="1276"/>
        </w:tabs>
        <w:spacing w:line="360" w:lineRule="auto"/>
        <w:jc w:val="both"/>
        <w:rPr>
          <w:rFonts w:ascii="Palatino Linotype" w:eastAsia="Palatino Linotype" w:hAnsi="Palatino Linotype" w:cs="Palatino Linotype"/>
        </w:rPr>
      </w:pPr>
    </w:p>
    <w:p w14:paraId="297ABCBD"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Así, resulta procedente ordenar la entrega de lo siguiente:</w:t>
      </w:r>
    </w:p>
    <w:p w14:paraId="64A765C4" w14:textId="77777777" w:rsidR="00640F5E" w:rsidRPr="00CB2E6A" w:rsidRDefault="00634B62">
      <w:pPr>
        <w:numPr>
          <w:ilvl w:val="0"/>
          <w:numId w:val="5"/>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De la empresa </w:t>
      </w:r>
      <w:proofErr w:type="spellStart"/>
      <w:r w:rsidRPr="00CB2E6A">
        <w:rPr>
          <w:rFonts w:ascii="Palatino Linotype" w:eastAsia="Palatino Linotype" w:hAnsi="Palatino Linotype" w:cs="Palatino Linotype"/>
        </w:rPr>
        <w:t>Zumby</w:t>
      </w:r>
      <w:proofErr w:type="spellEnd"/>
      <w:r w:rsidRPr="00CB2E6A">
        <w:rPr>
          <w:rFonts w:ascii="Palatino Linotype" w:eastAsia="Palatino Linotype" w:hAnsi="Palatino Linotype" w:cs="Palatino Linotype"/>
        </w:rPr>
        <w:t xml:space="preserve"> Servicios Profesionales S.A. DE C.V. toda la documentación que el sujeto obligado tiene en su posesión relativa a la empresa en mención.</w:t>
      </w:r>
    </w:p>
    <w:p w14:paraId="04F7F882" w14:textId="77777777" w:rsidR="00640F5E" w:rsidRPr="00CB2E6A" w:rsidRDefault="00634B62">
      <w:pPr>
        <w:numPr>
          <w:ilvl w:val="0"/>
          <w:numId w:val="5"/>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Expediente formado con motivo de la licitación pública número LPNP-079-2021 que dio origen al contrato CS/A/92/2021.</w:t>
      </w:r>
    </w:p>
    <w:p w14:paraId="380540B5"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En versión pública conforme a lo señalado por el considerando quinto del presente fallo.</w:t>
      </w:r>
    </w:p>
    <w:p w14:paraId="3C904369"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b/>
        </w:rPr>
        <w:t xml:space="preserve">Quinto. Versión Pública. </w:t>
      </w:r>
      <w:r w:rsidRPr="00CB2E6A">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w:t>
      </w:r>
      <w:r w:rsidRPr="00CB2E6A">
        <w:rPr>
          <w:rFonts w:ascii="Palatino Linotype" w:eastAsia="Palatino Linotype" w:hAnsi="Palatino Linotype" w:cs="Palatino Linotype"/>
        </w:rPr>
        <w:lastRenderedPageBreak/>
        <w:t xml:space="preserve">de satisfacer el derecho de acceso a la información pública del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xml:space="preserve"> sin menoscabar el derecho a la protección de los datos personales de terceros.</w:t>
      </w:r>
    </w:p>
    <w:p w14:paraId="0576DCF4" w14:textId="77777777" w:rsidR="00640F5E" w:rsidRPr="00CB2E6A" w:rsidRDefault="00634B62">
      <w:pPr>
        <w:spacing w:after="240" w:line="360" w:lineRule="auto"/>
        <w:ind w:right="50"/>
        <w:jc w:val="both"/>
        <w:rPr>
          <w:rFonts w:ascii="Palatino Linotype" w:eastAsia="Palatino Linotype" w:hAnsi="Palatino Linotype" w:cs="Palatino Linotype"/>
        </w:rPr>
      </w:pPr>
      <w:r w:rsidRPr="00CB2E6A">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3C072CE5" w14:textId="77777777" w:rsidR="00640F5E" w:rsidRPr="00CB2E6A" w:rsidRDefault="00634B62">
      <w:pPr>
        <w:ind w:left="993" w:right="1041"/>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 xml:space="preserve"> “Artículo 3. Para los efectos de la presente Ley se entenderá por:</w:t>
      </w:r>
    </w:p>
    <w:p w14:paraId="7A522621" w14:textId="77777777" w:rsidR="00640F5E" w:rsidRPr="00CB2E6A" w:rsidRDefault="00634B62">
      <w:pPr>
        <w:ind w:left="993" w:right="1041"/>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IX. Datos personales:</w:t>
      </w:r>
      <w:r w:rsidRPr="00CB2E6A">
        <w:rPr>
          <w:rFonts w:ascii="Palatino Linotype" w:eastAsia="Palatino Linotype" w:hAnsi="Palatino Linotype" w:cs="Palatino Linotype"/>
          <w:i/>
          <w:sz w:val="22"/>
          <w:szCs w:val="22"/>
        </w:rPr>
        <w:t xml:space="preserve"> </w:t>
      </w:r>
      <w:r w:rsidRPr="00CB2E6A">
        <w:rPr>
          <w:rFonts w:ascii="Palatino Linotype" w:eastAsia="Palatino Linotype" w:hAnsi="Palatino Linotype" w:cs="Palatino Linotype"/>
          <w:b/>
          <w:i/>
          <w:sz w:val="22"/>
          <w:szCs w:val="22"/>
        </w:rPr>
        <w:t>La información concerniente a una persona, identificada o identificable</w:t>
      </w:r>
      <w:r w:rsidRPr="00CB2E6A">
        <w:rPr>
          <w:rFonts w:ascii="Palatino Linotype" w:eastAsia="Palatino Linotype" w:hAnsi="Palatino Linotype" w:cs="Palatino Linotype"/>
          <w:i/>
          <w:sz w:val="22"/>
          <w:szCs w:val="22"/>
        </w:rPr>
        <w:t xml:space="preserve"> según lo dispuesto por la Ley de Protección de Datos Personales del Estado de México;</w:t>
      </w:r>
    </w:p>
    <w:p w14:paraId="3C8DB121" w14:textId="77777777" w:rsidR="00640F5E" w:rsidRPr="00CB2E6A" w:rsidRDefault="00634B62">
      <w:pPr>
        <w:ind w:left="993" w:right="1041"/>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XX. Información clasificada:</w:t>
      </w:r>
      <w:r w:rsidRPr="00CB2E6A">
        <w:rPr>
          <w:rFonts w:ascii="Palatino Linotype" w:eastAsia="Palatino Linotype" w:hAnsi="Palatino Linotype" w:cs="Palatino Linotype"/>
          <w:i/>
          <w:sz w:val="22"/>
          <w:szCs w:val="22"/>
        </w:rPr>
        <w:t xml:space="preserve"> Aquella considerada por la presente Ley como reservada o confidencial;</w:t>
      </w:r>
    </w:p>
    <w:p w14:paraId="22D1239E" w14:textId="77777777" w:rsidR="00640F5E" w:rsidRPr="00CB2E6A" w:rsidRDefault="00634B62">
      <w:pPr>
        <w:ind w:left="993" w:right="1041"/>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XXXII. Protección de Datos Personales:</w:t>
      </w:r>
      <w:r w:rsidRPr="00CB2E6A">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4C503C10" w14:textId="77777777" w:rsidR="00640F5E" w:rsidRPr="00CB2E6A" w:rsidRDefault="00634B62">
      <w:pPr>
        <w:ind w:left="993" w:right="1041"/>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XLV. Versión pública</w:t>
      </w:r>
      <w:r w:rsidRPr="00CB2E6A">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D1D1F95" w14:textId="77777777" w:rsidR="00640F5E" w:rsidRPr="00CB2E6A" w:rsidRDefault="00640F5E">
      <w:pPr>
        <w:ind w:left="993" w:right="1041"/>
        <w:jc w:val="both"/>
        <w:rPr>
          <w:rFonts w:ascii="Palatino Linotype" w:eastAsia="Palatino Linotype" w:hAnsi="Palatino Linotype" w:cs="Palatino Linotype"/>
          <w:i/>
          <w:sz w:val="22"/>
          <w:szCs w:val="22"/>
        </w:rPr>
      </w:pPr>
    </w:p>
    <w:p w14:paraId="215174F1" w14:textId="77777777" w:rsidR="00640F5E" w:rsidRPr="00CB2E6A" w:rsidRDefault="00634B62">
      <w:pPr>
        <w:ind w:left="993" w:right="1041"/>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“Artículo 6.</w:t>
      </w:r>
      <w:r w:rsidRPr="00CB2E6A">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D0004E9" w14:textId="77777777" w:rsidR="00640F5E" w:rsidRPr="00CB2E6A" w:rsidRDefault="00640F5E">
      <w:pPr>
        <w:ind w:left="993" w:right="1041"/>
        <w:jc w:val="both"/>
        <w:rPr>
          <w:rFonts w:ascii="Palatino Linotype" w:eastAsia="Palatino Linotype" w:hAnsi="Palatino Linotype" w:cs="Palatino Linotype"/>
          <w:i/>
          <w:sz w:val="22"/>
          <w:szCs w:val="22"/>
        </w:rPr>
      </w:pPr>
    </w:p>
    <w:p w14:paraId="14C943CD" w14:textId="77777777" w:rsidR="00640F5E" w:rsidRPr="00CB2E6A" w:rsidRDefault="00634B62">
      <w:pPr>
        <w:ind w:left="993" w:right="1041"/>
        <w:jc w:val="both"/>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“Artículo 137.</w:t>
      </w:r>
      <w:r w:rsidRPr="00CB2E6A">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83ACB32" w14:textId="77777777" w:rsidR="00640F5E" w:rsidRPr="00CB2E6A" w:rsidRDefault="00640F5E">
      <w:pPr>
        <w:ind w:left="993" w:right="1041"/>
        <w:jc w:val="both"/>
        <w:rPr>
          <w:rFonts w:ascii="Palatino Linotype" w:eastAsia="Palatino Linotype" w:hAnsi="Palatino Linotype" w:cs="Palatino Linotype"/>
          <w:b/>
          <w:i/>
          <w:sz w:val="22"/>
          <w:szCs w:val="22"/>
        </w:rPr>
      </w:pPr>
    </w:p>
    <w:p w14:paraId="5291E7B9" w14:textId="77777777" w:rsidR="00640F5E" w:rsidRPr="00CB2E6A" w:rsidRDefault="00634B62">
      <w:pPr>
        <w:ind w:left="993" w:right="1041"/>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lastRenderedPageBreak/>
        <w:t>“Artículo 143</w:t>
      </w:r>
      <w:r w:rsidRPr="00CB2E6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27384A4" w14:textId="77777777" w:rsidR="00640F5E" w:rsidRPr="00CB2E6A" w:rsidRDefault="00634B62">
      <w:pPr>
        <w:ind w:left="993" w:right="1041"/>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I.</w:t>
      </w:r>
      <w:r w:rsidRPr="00CB2E6A">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4B458A6" w14:textId="77777777" w:rsidR="00640F5E" w:rsidRPr="00CB2E6A" w:rsidRDefault="00634B62">
      <w:pPr>
        <w:ind w:left="993" w:right="1041"/>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5B9C6AC" w14:textId="77777777" w:rsidR="00640F5E" w:rsidRPr="00CB2E6A" w:rsidRDefault="00634B62">
      <w:pPr>
        <w:ind w:left="993" w:right="1041"/>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7307A3AD" w14:textId="77777777" w:rsidR="00640F5E" w:rsidRPr="00CB2E6A" w:rsidRDefault="00640F5E">
      <w:pPr>
        <w:ind w:left="993" w:right="1041"/>
        <w:jc w:val="both"/>
        <w:rPr>
          <w:rFonts w:ascii="Palatino Linotype" w:eastAsia="Palatino Linotype" w:hAnsi="Palatino Linotype" w:cs="Palatino Linotype"/>
          <w:i/>
          <w:sz w:val="22"/>
          <w:szCs w:val="22"/>
        </w:rPr>
      </w:pPr>
    </w:p>
    <w:p w14:paraId="071F12F8" w14:textId="77777777" w:rsidR="00640F5E" w:rsidRPr="00CB2E6A" w:rsidRDefault="00634B62">
      <w:pPr>
        <w:spacing w:line="360" w:lineRule="auto"/>
        <w:ind w:right="51"/>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E2775F5" w14:textId="77777777" w:rsidR="00640F5E" w:rsidRPr="00CB2E6A" w:rsidRDefault="00640F5E">
      <w:pPr>
        <w:spacing w:line="360" w:lineRule="auto"/>
        <w:ind w:right="51"/>
        <w:jc w:val="both"/>
        <w:rPr>
          <w:rFonts w:ascii="Palatino Linotype" w:eastAsia="Palatino Linotype" w:hAnsi="Palatino Linotype" w:cs="Palatino Linotype"/>
        </w:rPr>
      </w:pPr>
    </w:p>
    <w:p w14:paraId="5AE504E1" w14:textId="77777777" w:rsidR="00640F5E" w:rsidRPr="00CB2E6A" w:rsidRDefault="00634B62">
      <w:pPr>
        <w:spacing w:line="360" w:lineRule="auto"/>
        <w:ind w:right="50"/>
        <w:jc w:val="both"/>
        <w:rPr>
          <w:rFonts w:ascii="Palatino Linotype" w:eastAsia="Palatino Linotype" w:hAnsi="Palatino Linotype" w:cs="Palatino Linotype"/>
        </w:rPr>
      </w:pPr>
      <w:r w:rsidRPr="00CB2E6A">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EF91384" w14:textId="77777777" w:rsidR="00640F5E" w:rsidRPr="00CB2E6A" w:rsidRDefault="00640F5E">
      <w:pPr>
        <w:spacing w:line="360" w:lineRule="auto"/>
        <w:ind w:right="51"/>
        <w:jc w:val="both"/>
        <w:rPr>
          <w:rFonts w:ascii="Palatino Linotype" w:eastAsia="Palatino Linotype" w:hAnsi="Palatino Linotype" w:cs="Palatino Linotype"/>
        </w:rPr>
      </w:pPr>
    </w:p>
    <w:p w14:paraId="546E7862" w14:textId="77777777" w:rsidR="00640F5E" w:rsidRPr="00CB2E6A" w:rsidRDefault="00634B62">
      <w:pPr>
        <w:spacing w:line="360" w:lineRule="auto"/>
        <w:ind w:right="51"/>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2D0D21BE" w14:textId="77777777" w:rsidR="00640F5E" w:rsidRPr="00CB2E6A" w:rsidRDefault="00640F5E">
      <w:pPr>
        <w:spacing w:line="360" w:lineRule="auto"/>
        <w:ind w:right="51"/>
        <w:jc w:val="both"/>
        <w:rPr>
          <w:rFonts w:ascii="Palatino Linotype" w:eastAsia="Palatino Linotype" w:hAnsi="Palatino Linotype" w:cs="Palatino Linotype"/>
        </w:rPr>
      </w:pPr>
    </w:p>
    <w:p w14:paraId="6BD43D34" w14:textId="77777777" w:rsidR="00640F5E" w:rsidRPr="00CB2E6A" w:rsidRDefault="00634B62">
      <w:pPr>
        <w:ind w:left="992" w:right="1043"/>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“Artículo 49.</w:t>
      </w:r>
      <w:r w:rsidRPr="00CB2E6A">
        <w:rPr>
          <w:rFonts w:ascii="Palatino Linotype" w:eastAsia="Palatino Linotype" w:hAnsi="Palatino Linotype" w:cs="Palatino Linotype"/>
          <w:i/>
          <w:sz w:val="22"/>
          <w:szCs w:val="22"/>
        </w:rPr>
        <w:t xml:space="preserve"> </w:t>
      </w:r>
      <w:r w:rsidRPr="00CB2E6A">
        <w:rPr>
          <w:rFonts w:ascii="Palatino Linotype" w:eastAsia="Palatino Linotype" w:hAnsi="Palatino Linotype" w:cs="Palatino Linotype"/>
          <w:b/>
          <w:i/>
          <w:sz w:val="22"/>
          <w:szCs w:val="22"/>
        </w:rPr>
        <w:t>Los Comités de Transparencia</w:t>
      </w:r>
      <w:r w:rsidRPr="00CB2E6A">
        <w:rPr>
          <w:rFonts w:ascii="Palatino Linotype" w:eastAsia="Palatino Linotype" w:hAnsi="Palatino Linotype" w:cs="Palatino Linotype"/>
          <w:i/>
          <w:sz w:val="22"/>
          <w:szCs w:val="22"/>
        </w:rPr>
        <w:t xml:space="preserve"> tendrán las siguientes atribuciones:</w:t>
      </w:r>
    </w:p>
    <w:p w14:paraId="483CE329" w14:textId="77777777" w:rsidR="00640F5E" w:rsidRPr="00CB2E6A" w:rsidRDefault="00634B62">
      <w:pPr>
        <w:ind w:left="992" w:right="1043"/>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VIII. Aprobar, modificar o revocar la clasificación de la información</w:t>
      </w:r>
      <w:r w:rsidRPr="00CB2E6A">
        <w:rPr>
          <w:rFonts w:ascii="Palatino Linotype" w:eastAsia="Palatino Linotype" w:hAnsi="Palatino Linotype" w:cs="Palatino Linotype"/>
          <w:i/>
          <w:sz w:val="22"/>
          <w:szCs w:val="22"/>
        </w:rPr>
        <w:t>…”</w:t>
      </w:r>
    </w:p>
    <w:p w14:paraId="62E36BB1" w14:textId="77777777" w:rsidR="00640F5E" w:rsidRPr="00CB2E6A" w:rsidRDefault="00634B62">
      <w:pPr>
        <w:ind w:left="992" w:right="1043"/>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r w:rsidRPr="00CB2E6A">
        <w:rPr>
          <w:rFonts w:ascii="Palatino Linotype" w:eastAsia="Palatino Linotype" w:hAnsi="Palatino Linotype" w:cs="Palatino Linotype"/>
          <w:b/>
          <w:i/>
          <w:sz w:val="22"/>
          <w:szCs w:val="22"/>
        </w:rPr>
        <w:t>Artículo 53.</w:t>
      </w:r>
      <w:r w:rsidRPr="00CB2E6A">
        <w:rPr>
          <w:rFonts w:ascii="Palatino Linotype" w:eastAsia="Palatino Linotype" w:hAnsi="Palatino Linotype" w:cs="Palatino Linotype"/>
          <w:i/>
          <w:sz w:val="22"/>
          <w:szCs w:val="22"/>
        </w:rPr>
        <w:t xml:space="preserve"> Las </w:t>
      </w:r>
      <w:r w:rsidRPr="00CB2E6A">
        <w:rPr>
          <w:rFonts w:ascii="Palatino Linotype" w:eastAsia="Palatino Linotype" w:hAnsi="Palatino Linotype" w:cs="Palatino Linotype"/>
          <w:b/>
          <w:i/>
          <w:sz w:val="22"/>
          <w:szCs w:val="22"/>
        </w:rPr>
        <w:t>Unidades de Transparencia</w:t>
      </w:r>
      <w:r w:rsidRPr="00CB2E6A">
        <w:rPr>
          <w:rFonts w:ascii="Palatino Linotype" w:eastAsia="Palatino Linotype" w:hAnsi="Palatino Linotype" w:cs="Palatino Linotype"/>
          <w:i/>
          <w:sz w:val="22"/>
          <w:szCs w:val="22"/>
        </w:rPr>
        <w:t xml:space="preserve"> tendrán las siguientes </w:t>
      </w:r>
      <w:r w:rsidRPr="00CB2E6A">
        <w:rPr>
          <w:rFonts w:ascii="Palatino Linotype" w:eastAsia="Palatino Linotype" w:hAnsi="Palatino Linotype" w:cs="Palatino Linotype"/>
          <w:b/>
          <w:i/>
          <w:sz w:val="22"/>
          <w:szCs w:val="22"/>
        </w:rPr>
        <w:t>funciones</w:t>
      </w:r>
      <w:r w:rsidRPr="00CB2E6A">
        <w:rPr>
          <w:rFonts w:ascii="Palatino Linotype" w:eastAsia="Palatino Linotype" w:hAnsi="Palatino Linotype" w:cs="Palatino Linotype"/>
          <w:i/>
          <w:sz w:val="22"/>
          <w:szCs w:val="22"/>
        </w:rPr>
        <w:t>:</w:t>
      </w:r>
    </w:p>
    <w:p w14:paraId="49A7504C" w14:textId="77777777" w:rsidR="00640F5E" w:rsidRPr="00CB2E6A" w:rsidRDefault="00634B62">
      <w:pPr>
        <w:ind w:left="992" w:right="1043"/>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X. Presentar ante el Comité, el proyecto de clasificación de información</w:t>
      </w:r>
      <w:r w:rsidRPr="00CB2E6A">
        <w:rPr>
          <w:rFonts w:ascii="Palatino Linotype" w:eastAsia="Palatino Linotype" w:hAnsi="Palatino Linotype" w:cs="Palatino Linotype"/>
          <w:i/>
          <w:sz w:val="22"/>
          <w:szCs w:val="22"/>
        </w:rPr>
        <w:t xml:space="preserve">…” </w:t>
      </w:r>
    </w:p>
    <w:p w14:paraId="32C05C23" w14:textId="77777777" w:rsidR="00640F5E" w:rsidRPr="00CB2E6A" w:rsidRDefault="00634B62">
      <w:pPr>
        <w:ind w:left="992" w:right="1043"/>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“Artículo 59.</w:t>
      </w:r>
      <w:r w:rsidRPr="00CB2E6A">
        <w:rPr>
          <w:rFonts w:ascii="Palatino Linotype" w:eastAsia="Palatino Linotype" w:hAnsi="Palatino Linotype" w:cs="Palatino Linotype"/>
          <w:i/>
          <w:sz w:val="22"/>
          <w:szCs w:val="22"/>
        </w:rPr>
        <w:t xml:space="preserve"> Los </w:t>
      </w:r>
      <w:r w:rsidRPr="00CB2E6A">
        <w:rPr>
          <w:rFonts w:ascii="Palatino Linotype" w:eastAsia="Palatino Linotype" w:hAnsi="Palatino Linotype" w:cs="Palatino Linotype"/>
          <w:b/>
          <w:i/>
          <w:sz w:val="22"/>
          <w:szCs w:val="22"/>
        </w:rPr>
        <w:t>servidores públicos habilitados</w:t>
      </w:r>
      <w:r w:rsidRPr="00CB2E6A">
        <w:rPr>
          <w:rFonts w:ascii="Palatino Linotype" w:eastAsia="Palatino Linotype" w:hAnsi="Palatino Linotype" w:cs="Palatino Linotype"/>
          <w:i/>
          <w:sz w:val="22"/>
          <w:szCs w:val="22"/>
        </w:rPr>
        <w:t xml:space="preserve"> tendrán las </w:t>
      </w:r>
      <w:r w:rsidRPr="00CB2E6A">
        <w:rPr>
          <w:rFonts w:ascii="Palatino Linotype" w:eastAsia="Palatino Linotype" w:hAnsi="Palatino Linotype" w:cs="Palatino Linotype"/>
          <w:b/>
          <w:i/>
          <w:sz w:val="22"/>
          <w:szCs w:val="22"/>
        </w:rPr>
        <w:t>funciones</w:t>
      </w:r>
      <w:r w:rsidRPr="00CB2E6A">
        <w:rPr>
          <w:rFonts w:ascii="Palatino Linotype" w:eastAsia="Palatino Linotype" w:hAnsi="Palatino Linotype" w:cs="Palatino Linotype"/>
          <w:i/>
          <w:sz w:val="22"/>
          <w:szCs w:val="22"/>
        </w:rPr>
        <w:t xml:space="preserve"> siguientes:</w:t>
      </w:r>
    </w:p>
    <w:p w14:paraId="189B6D1B" w14:textId="77777777" w:rsidR="00640F5E" w:rsidRPr="00CB2E6A" w:rsidRDefault="00634B62">
      <w:pPr>
        <w:ind w:left="992" w:right="1043"/>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CB2E6A">
        <w:rPr>
          <w:rFonts w:ascii="Palatino Linotype" w:eastAsia="Palatino Linotype" w:hAnsi="Palatino Linotype" w:cs="Palatino Linotype"/>
          <w:i/>
          <w:sz w:val="22"/>
          <w:szCs w:val="22"/>
        </w:rPr>
        <w:t>, la cual tendrá los fundamentos y argumentos en que se basa dicha propuesta…” (Sic)</w:t>
      </w:r>
    </w:p>
    <w:p w14:paraId="1DB555BD" w14:textId="77777777" w:rsidR="00640F5E" w:rsidRPr="00CB2E6A" w:rsidRDefault="00640F5E">
      <w:pPr>
        <w:ind w:left="992" w:right="1043"/>
        <w:jc w:val="both"/>
        <w:rPr>
          <w:rFonts w:ascii="Palatino Linotype" w:eastAsia="Palatino Linotype" w:hAnsi="Palatino Linotype" w:cs="Palatino Linotype"/>
          <w:i/>
          <w:sz w:val="22"/>
          <w:szCs w:val="22"/>
        </w:rPr>
      </w:pPr>
    </w:p>
    <w:p w14:paraId="50A6FE96"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181B2E9" w14:textId="77777777" w:rsidR="00640F5E" w:rsidRPr="00CB2E6A" w:rsidRDefault="00640F5E">
      <w:pPr>
        <w:spacing w:line="360" w:lineRule="auto"/>
        <w:jc w:val="both"/>
        <w:rPr>
          <w:rFonts w:ascii="Palatino Linotype" w:eastAsia="Palatino Linotype" w:hAnsi="Palatino Linotype" w:cs="Palatino Linotype"/>
        </w:rPr>
      </w:pPr>
    </w:p>
    <w:p w14:paraId="57B95621"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7C2A26BF" w14:textId="77777777" w:rsidR="00640F5E" w:rsidRPr="00CB2E6A" w:rsidRDefault="00640F5E">
      <w:pPr>
        <w:spacing w:line="360" w:lineRule="auto"/>
        <w:jc w:val="both"/>
        <w:rPr>
          <w:rFonts w:ascii="Palatino Linotype" w:eastAsia="Palatino Linotype" w:hAnsi="Palatino Linotype" w:cs="Palatino Linotype"/>
        </w:rPr>
      </w:pPr>
    </w:p>
    <w:p w14:paraId="781D69C4" w14:textId="77777777" w:rsidR="00640F5E" w:rsidRPr="00CB2E6A" w:rsidRDefault="00634B62">
      <w:pPr>
        <w:spacing w:after="240"/>
        <w:ind w:left="993" w:right="1041"/>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r w:rsidRPr="00CB2E6A">
        <w:rPr>
          <w:rFonts w:ascii="Palatino Linotype" w:eastAsia="Palatino Linotype" w:hAnsi="Palatino Linotype" w:cs="Palatino Linotype"/>
          <w:b/>
          <w:i/>
          <w:sz w:val="22"/>
          <w:szCs w:val="22"/>
        </w:rPr>
        <w:t>Artículo 149.</w:t>
      </w:r>
      <w:r w:rsidRPr="00CB2E6A">
        <w:rPr>
          <w:rFonts w:ascii="Palatino Linotype" w:eastAsia="Palatino Linotype" w:hAnsi="Palatino Linotype" w:cs="Palatino Linotype"/>
          <w:i/>
          <w:sz w:val="22"/>
          <w:szCs w:val="22"/>
        </w:rPr>
        <w:t xml:space="preserve"> El </w:t>
      </w:r>
      <w:r w:rsidRPr="00CB2E6A">
        <w:rPr>
          <w:rFonts w:ascii="Palatino Linotype" w:eastAsia="Palatino Linotype" w:hAnsi="Palatino Linotype" w:cs="Palatino Linotype"/>
          <w:b/>
          <w:i/>
          <w:sz w:val="22"/>
          <w:szCs w:val="22"/>
        </w:rPr>
        <w:t>acuerdo que clasifique la información como confidencial</w:t>
      </w:r>
      <w:r w:rsidRPr="00CB2E6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1B6F7220" w14:textId="77777777" w:rsidR="00640F5E" w:rsidRPr="00CB2E6A" w:rsidRDefault="00640F5E">
      <w:pPr>
        <w:spacing w:before="240" w:line="360" w:lineRule="auto"/>
        <w:ind w:right="51"/>
        <w:jc w:val="both"/>
        <w:rPr>
          <w:rFonts w:ascii="Palatino Linotype" w:eastAsia="Palatino Linotype" w:hAnsi="Palatino Linotype" w:cs="Palatino Linotype"/>
          <w:i/>
          <w:sz w:val="22"/>
          <w:szCs w:val="22"/>
        </w:rPr>
      </w:pPr>
    </w:p>
    <w:p w14:paraId="1D79FB16" w14:textId="77777777" w:rsidR="00640F5E" w:rsidRPr="00CB2E6A" w:rsidRDefault="00634B62">
      <w:pPr>
        <w:spacing w:line="360" w:lineRule="auto"/>
        <w:ind w:right="51"/>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Es decir,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BA23D14" w14:textId="77777777" w:rsidR="00640F5E" w:rsidRPr="00CB2E6A" w:rsidRDefault="00640F5E">
      <w:pPr>
        <w:spacing w:line="360" w:lineRule="auto"/>
        <w:ind w:right="51"/>
        <w:jc w:val="both"/>
        <w:rPr>
          <w:rFonts w:ascii="Palatino Linotype" w:eastAsia="Palatino Linotype" w:hAnsi="Palatino Linotype" w:cs="Palatino Linotype"/>
        </w:rPr>
      </w:pPr>
    </w:p>
    <w:p w14:paraId="4A0E0A0C"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Es así,</w:t>
      </w:r>
      <w:r w:rsidRPr="00CB2E6A">
        <w:rPr>
          <w:rFonts w:ascii="Palatino Linotype" w:eastAsia="Palatino Linotype" w:hAnsi="Palatino Linotype" w:cs="Palatino Linotype"/>
          <w:sz w:val="22"/>
          <w:szCs w:val="22"/>
        </w:rPr>
        <w:t xml:space="preserve"> que </w:t>
      </w:r>
      <w:r w:rsidRPr="00CB2E6A">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17A449D9" w14:textId="77777777" w:rsidR="00640F5E" w:rsidRPr="00CB2E6A" w:rsidRDefault="00640F5E">
      <w:pPr>
        <w:spacing w:line="360" w:lineRule="auto"/>
        <w:ind w:right="50"/>
        <w:jc w:val="both"/>
        <w:rPr>
          <w:rFonts w:ascii="Palatino Linotype" w:eastAsia="Palatino Linotype" w:hAnsi="Palatino Linotype" w:cs="Palatino Linotype"/>
        </w:rPr>
      </w:pPr>
    </w:p>
    <w:p w14:paraId="14B1DB5B" w14:textId="77777777" w:rsidR="00640F5E" w:rsidRPr="00CB2E6A" w:rsidRDefault="00634B62">
      <w:pPr>
        <w:spacing w:line="360" w:lineRule="auto"/>
        <w:ind w:right="51"/>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w:t>
      </w:r>
      <w:r w:rsidRPr="00CB2E6A">
        <w:rPr>
          <w:rFonts w:ascii="Palatino Linotype" w:eastAsia="Palatino Linotype" w:hAnsi="Palatino Linotype" w:cs="Palatino Linotype"/>
        </w:rPr>
        <w:lastRenderedPageBreak/>
        <w:t xml:space="preserve">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638FD84" w14:textId="77777777" w:rsidR="00640F5E" w:rsidRPr="00CB2E6A" w:rsidRDefault="00640F5E">
      <w:pPr>
        <w:spacing w:line="360" w:lineRule="auto"/>
        <w:ind w:right="51"/>
        <w:jc w:val="both"/>
        <w:rPr>
          <w:rFonts w:ascii="Palatino Linotype" w:eastAsia="Palatino Linotype" w:hAnsi="Palatino Linotype" w:cs="Palatino Linotype"/>
        </w:rPr>
      </w:pPr>
    </w:p>
    <w:p w14:paraId="5362610E" w14:textId="77777777" w:rsidR="00640F5E" w:rsidRPr="00CB2E6A" w:rsidRDefault="00634B62">
      <w:pPr>
        <w:spacing w:line="360" w:lineRule="auto"/>
        <w:ind w:right="50"/>
        <w:jc w:val="both"/>
        <w:rPr>
          <w:rFonts w:ascii="Palatino Linotype" w:eastAsia="Palatino Linotype" w:hAnsi="Palatino Linotype" w:cs="Palatino Linotype"/>
        </w:rPr>
      </w:pPr>
      <w:r w:rsidRPr="00CB2E6A">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00324775" w14:textId="77777777" w:rsidR="00640F5E" w:rsidRPr="00CB2E6A" w:rsidRDefault="00640F5E">
      <w:pPr>
        <w:ind w:right="50"/>
        <w:jc w:val="both"/>
        <w:rPr>
          <w:rFonts w:ascii="Palatino Linotype" w:eastAsia="Palatino Linotype" w:hAnsi="Palatino Linotype" w:cs="Palatino Linotype"/>
        </w:rPr>
      </w:pPr>
    </w:p>
    <w:p w14:paraId="23EC002A" w14:textId="77777777" w:rsidR="00640F5E" w:rsidRPr="00CB2E6A" w:rsidRDefault="00634B62">
      <w:pPr>
        <w:ind w:left="851" w:right="1134"/>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“Cuentas bancarias y/o CLABE interbancaria de personas físicas y morales privadas.</w:t>
      </w:r>
      <w:r w:rsidRPr="00CB2E6A">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FCF08A0" w14:textId="77777777" w:rsidR="00640F5E" w:rsidRPr="00CB2E6A" w:rsidRDefault="00640F5E">
      <w:pPr>
        <w:ind w:left="851" w:right="899"/>
        <w:jc w:val="center"/>
        <w:rPr>
          <w:rFonts w:ascii="Palatino Linotype" w:eastAsia="Palatino Linotype" w:hAnsi="Palatino Linotype" w:cs="Palatino Linotype"/>
          <w:b/>
          <w:i/>
          <w:sz w:val="22"/>
          <w:szCs w:val="22"/>
        </w:rPr>
      </w:pPr>
    </w:p>
    <w:p w14:paraId="348AC149" w14:textId="77777777" w:rsidR="00640F5E" w:rsidRPr="00CB2E6A" w:rsidRDefault="00634B62">
      <w:pPr>
        <w:spacing w:line="360" w:lineRule="auto"/>
        <w:ind w:right="50"/>
        <w:jc w:val="both"/>
        <w:rPr>
          <w:rFonts w:ascii="Palatino Linotype" w:eastAsia="Palatino Linotype" w:hAnsi="Palatino Linotype" w:cs="Palatino Linotype"/>
        </w:rPr>
      </w:pPr>
      <w:r w:rsidRPr="00CB2E6A">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4A25DB38" w14:textId="77777777" w:rsidR="00640F5E" w:rsidRPr="00CB2E6A" w:rsidRDefault="00640F5E">
      <w:pPr>
        <w:ind w:right="50"/>
        <w:jc w:val="both"/>
        <w:rPr>
          <w:rFonts w:ascii="Palatino Linotype" w:eastAsia="Palatino Linotype" w:hAnsi="Palatino Linotype" w:cs="Palatino Linotype"/>
        </w:rPr>
      </w:pPr>
    </w:p>
    <w:p w14:paraId="2957DB0C" w14:textId="77777777" w:rsidR="00640F5E" w:rsidRPr="00CB2E6A" w:rsidRDefault="00634B62">
      <w:pPr>
        <w:ind w:left="851" w:right="1134"/>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w:t>
      </w:r>
      <w:r w:rsidRPr="00CB2E6A">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CB2E6A">
        <w:rPr>
          <w:rFonts w:ascii="Palatino Linotype" w:eastAsia="Palatino Linotype" w:hAnsi="Palatino Linotype" w:cs="Palatino Linotype"/>
          <w:i/>
          <w:sz w:val="22"/>
          <w:szCs w:val="22"/>
        </w:rPr>
        <w:t xml:space="preserve"> La </w:t>
      </w:r>
      <w:r w:rsidRPr="00CB2E6A">
        <w:rPr>
          <w:rFonts w:ascii="Palatino Linotype" w:eastAsia="Palatino Linotype" w:hAnsi="Palatino Linotype" w:cs="Palatino Linotype"/>
          <w:i/>
          <w:sz w:val="22"/>
          <w:szCs w:val="22"/>
        </w:rPr>
        <w:lastRenderedPageBreak/>
        <w:t>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A7B1DD3" w14:textId="77777777" w:rsidR="00640F5E" w:rsidRPr="00CB2E6A" w:rsidRDefault="00634B62">
      <w:pPr>
        <w:spacing w:before="240" w:after="240" w:line="360" w:lineRule="auto"/>
        <w:ind w:right="50"/>
        <w:jc w:val="both"/>
        <w:rPr>
          <w:rFonts w:ascii="Palatino Linotype" w:eastAsia="Palatino Linotype" w:hAnsi="Palatino Linotype" w:cs="Palatino Linotype"/>
        </w:rPr>
      </w:pPr>
      <w:r w:rsidRPr="00CB2E6A">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5033DF8C" w14:textId="77777777" w:rsidR="00640F5E" w:rsidRPr="00CB2E6A" w:rsidRDefault="00634B62">
      <w:pPr>
        <w:spacing w:before="240" w:after="240" w:line="360" w:lineRule="auto"/>
        <w:ind w:right="50"/>
        <w:jc w:val="both"/>
        <w:rPr>
          <w:rFonts w:ascii="Palatino Linotype" w:eastAsia="Palatino Linotype" w:hAnsi="Palatino Linotype" w:cs="Palatino Linotype"/>
        </w:rPr>
      </w:pPr>
      <w:r w:rsidRPr="00CB2E6A">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113EB07" w14:textId="77777777" w:rsidR="00640F5E" w:rsidRPr="00CB2E6A" w:rsidRDefault="00634B62">
      <w:pPr>
        <w:spacing w:before="240" w:after="240" w:line="360" w:lineRule="auto"/>
        <w:ind w:right="50"/>
        <w:jc w:val="both"/>
        <w:rPr>
          <w:rFonts w:ascii="Palatino Linotype" w:eastAsia="Palatino Linotype" w:hAnsi="Palatino Linotype" w:cs="Palatino Linotype"/>
        </w:rPr>
      </w:pPr>
      <w:r w:rsidRPr="00CB2E6A">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242C5E56"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lastRenderedPageBreak/>
        <w:t xml:space="preserve">Al respecto, se destaca que la versión pública que elabore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CB2E6A">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CB2E6A">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552BC735" w14:textId="77777777" w:rsidR="00640F5E" w:rsidRPr="00CB2E6A" w:rsidRDefault="00640F5E">
      <w:pPr>
        <w:ind w:left="709" w:right="709"/>
        <w:jc w:val="both"/>
        <w:rPr>
          <w:rFonts w:ascii="Palatino Linotype" w:eastAsia="Palatino Linotype" w:hAnsi="Palatino Linotype" w:cs="Palatino Linotype"/>
          <w:b/>
          <w:i/>
          <w:sz w:val="22"/>
          <w:szCs w:val="22"/>
        </w:rPr>
      </w:pPr>
    </w:p>
    <w:p w14:paraId="0B861E6A"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33497A09"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i/>
          <w:sz w:val="22"/>
          <w:szCs w:val="22"/>
        </w:rPr>
        <w:t>“</w:t>
      </w:r>
      <w:r w:rsidRPr="00CB2E6A">
        <w:rPr>
          <w:rFonts w:ascii="Palatino Linotype" w:eastAsia="Palatino Linotype" w:hAnsi="Palatino Linotype" w:cs="Palatino Linotype"/>
          <w:b/>
          <w:i/>
          <w:sz w:val="22"/>
          <w:szCs w:val="22"/>
        </w:rPr>
        <w:t>Segundo.-</w:t>
      </w:r>
      <w:r w:rsidRPr="00CB2E6A">
        <w:rPr>
          <w:rFonts w:ascii="Palatino Linotype" w:eastAsia="Palatino Linotype" w:hAnsi="Palatino Linotype" w:cs="Palatino Linotype"/>
          <w:i/>
          <w:sz w:val="22"/>
          <w:szCs w:val="22"/>
        </w:rPr>
        <w:t xml:space="preserve"> Para efectos de los presentes Lineamientos Generales, se entenderá por:</w:t>
      </w:r>
    </w:p>
    <w:p w14:paraId="24DB8795"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b/>
          <w:i/>
          <w:sz w:val="22"/>
          <w:szCs w:val="22"/>
        </w:rPr>
        <w:t>XVIII.</w:t>
      </w:r>
      <w:r w:rsidRPr="00CB2E6A">
        <w:rPr>
          <w:rFonts w:ascii="Palatino Linotype" w:eastAsia="Palatino Linotype" w:hAnsi="Palatino Linotype" w:cs="Palatino Linotype"/>
          <w:i/>
          <w:sz w:val="22"/>
          <w:szCs w:val="22"/>
        </w:rPr>
        <w:t xml:space="preserve"> </w:t>
      </w:r>
      <w:r w:rsidRPr="00CB2E6A">
        <w:rPr>
          <w:rFonts w:ascii="Palatino Linotype" w:eastAsia="Palatino Linotype" w:hAnsi="Palatino Linotype" w:cs="Palatino Linotype"/>
          <w:b/>
          <w:i/>
          <w:sz w:val="22"/>
          <w:szCs w:val="22"/>
        </w:rPr>
        <w:t>Versión pública:</w:t>
      </w:r>
      <w:r w:rsidRPr="00CB2E6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CB2E6A">
        <w:rPr>
          <w:rFonts w:ascii="Palatino Linotype" w:eastAsia="Palatino Linotype" w:hAnsi="Palatino Linotype" w:cs="Palatino Linotype"/>
          <w:b/>
          <w:i/>
          <w:sz w:val="22"/>
          <w:szCs w:val="22"/>
          <w:u w:val="single"/>
        </w:rPr>
        <w:t>fundando y motivando la</w:t>
      </w:r>
      <w:r w:rsidRPr="00CB2E6A">
        <w:rPr>
          <w:rFonts w:ascii="Palatino Linotype" w:eastAsia="Palatino Linotype" w:hAnsi="Palatino Linotype" w:cs="Palatino Linotype"/>
          <w:i/>
          <w:sz w:val="22"/>
          <w:szCs w:val="22"/>
        </w:rPr>
        <w:t xml:space="preserve"> reserva o </w:t>
      </w:r>
      <w:r w:rsidRPr="00CB2E6A">
        <w:rPr>
          <w:rFonts w:ascii="Palatino Linotype" w:eastAsia="Palatino Linotype" w:hAnsi="Palatino Linotype" w:cs="Palatino Linotype"/>
          <w:b/>
          <w:i/>
          <w:sz w:val="22"/>
          <w:szCs w:val="22"/>
          <w:u w:val="single"/>
        </w:rPr>
        <w:t>confidencialidad</w:t>
      </w:r>
      <w:r w:rsidRPr="00CB2E6A">
        <w:rPr>
          <w:rFonts w:ascii="Palatino Linotype" w:eastAsia="Palatino Linotype" w:hAnsi="Palatino Linotype" w:cs="Palatino Linotype"/>
          <w:i/>
          <w:sz w:val="22"/>
          <w:szCs w:val="22"/>
        </w:rPr>
        <w:t>, a través de la resolución que para tal efecto emita el Comité de Transparencia.</w:t>
      </w:r>
    </w:p>
    <w:p w14:paraId="14ED3094"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b/>
          <w:i/>
          <w:sz w:val="22"/>
          <w:szCs w:val="22"/>
        </w:rPr>
        <w:t>Cuarto.</w:t>
      </w:r>
      <w:r w:rsidRPr="00CB2E6A">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A6D623F"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15F0BD8"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b/>
          <w:i/>
          <w:sz w:val="22"/>
          <w:szCs w:val="22"/>
        </w:rPr>
        <w:t>Quinto.</w:t>
      </w:r>
      <w:r w:rsidRPr="00CB2E6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w:t>
      </w:r>
      <w:r w:rsidRPr="00CB2E6A">
        <w:rPr>
          <w:rFonts w:ascii="Palatino Linotype" w:eastAsia="Palatino Linotype" w:hAnsi="Palatino Linotype" w:cs="Palatino Linotype"/>
          <w:i/>
          <w:sz w:val="22"/>
          <w:szCs w:val="22"/>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65601BC"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b/>
          <w:i/>
          <w:sz w:val="22"/>
          <w:szCs w:val="22"/>
        </w:rPr>
        <w:t>…</w:t>
      </w:r>
    </w:p>
    <w:p w14:paraId="1C8D5FD8"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b/>
          <w:i/>
          <w:sz w:val="22"/>
          <w:szCs w:val="22"/>
        </w:rPr>
        <w:t>Séptimo.</w:t>
      </w:r>
      <w:r w:rsidRPr="00CB2E6A">
        <w:rPr>
          <w:rFonts w:ascii="Palatino Linotype" w:eastAsia="Palatino Linotype" w:hAnsi="Palatino Linotype" w:cs="Palatino Linotype"/>
          <w:i/>
          <w:sz w:val="22"/>
          <w:szCs w:val="22"/>
        </w:rPr>
        <w:t xml:space="preserve"> La clasificación de la información se llevará a cabo en el momento en que:</w:t>
      </w:r>
    </w:p>
    <w:p w14:paraId="76A2988A"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b/>
          <w:i/>
          <w:sz w:val="22"/>
          <w:szCs w:val="22"/>
        </w:rPr>
        <w:t>I.</w:t>
      </w:r>
      <w:r w:rsidRPr="00CB2E6A">
        <w:rPr>
          <w:rFonts w:ascii="Palatino Linotype" w:eastAsia="Palatino Linotype" w:hAnsi="Palatino Linotype" w:cs="Palatino Linotype"/>
          <w:i/>
          <w:sz w:val="22"/>
          <w:szCs w:val="22"/>
        </w:rPr>
        <w:t xml:space="preserve"> Se reciba una solicitud de acceso a la información;</w:t>
      </w:r>
    </w:p>
    <w:p w14:paraId="56C2D361" w14:textId="77777777" w:rsidR="00640F5E" w:rsidRPr="00CB2E6A" w:rsidRDefault="00634B6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II.</w:t>
      </w:r>
      <w:r w:rsidRPr="00CB2E6A">
        <w:rPr>
          <w:rFonts w:ascii="Palatino Linotype" w:eastAsia="Palatino Linotype" w:hAnsi="Palatino Linotype" w:cs="Palatino Linotype"/>
          <w:i/>
          <w:sz w:val="22"/>
          <w:szCs w:val="22"/>
        </w:rPr>
        <w:t xml:space="preserve"> Se  determine mediante resolución del Comité de Transparencia, el órgano garante </w:t>
      </w:r>
    </w:p>
    <w:p w14:paraId="0B3403C9"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i/>
          <w:sz w:val="22"/>
          <w:szCs w:val="22"/>
        </w:rPr>
        <w:t>competente, o en cumplimiento a una sentencia del Poder Judicial; o</w:t>
      </w:r>
    </w:p>
    <w:p w14:paraId="6581FDCD"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b/>
          <w:i/>
          <w:sz w:val="22"/>
          <w:szCs w:val="22"/>
        </w:rPr>
        <w:t>III.</w:t>
      </w:r>
      <w:r w:rsidRPr="00CB2E6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6F27BC3"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F82BCF5"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b/>
          <w:i/>
          <w:sz w:val="22"/>
          <w:szCs w:val="22"/>
        </w:rPr>
        <w:t>Octavo.</w:t>
      </w:r>
      <w:r w:rsidRPr="00CB2E6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597EA08"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FFA0562" w14:textId="77777777" w:rsidR="00640F5E" w:rsidRPr="00CB2E6A" w:rsidRDefault="00634B6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5AD3739"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b/>
          <w:i/>
          <w:sz w:val="22"/>
          <w:szCs w:val="22"/>
        </w:rPr>
        <w:t>Noveno.</w:t>
      </w:r>
      <w:r w:rsidRPr="00CB2E6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12C6F81"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b/>
          <w:i/>
          <w:sz w:val="22"/>
          <w:szCs w:val="22"/>
        </w:rPr>
        <w:t>Décimo.</w:t>
      </w:r>
      <w:r w:rsidRPr="00CB2E6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0BE93FC"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A400895" w14:textId="77777777" w:rsidR="00640F5E" w:rsidRPr="00CB2E6A" w:rsidRDefault="00634B6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lastRenderedPageBreak/>
        <w:t>Décimo primero.</w:t>
      </w:r>
      <w:r w:rsidRPr="00CB2E6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5961465" w14:textId="77777777" w:rsidR="00640F5E" w:rsidRPr="00CB2E6A" w:rsidRDefault="00640F5E">
      <w:pPr>
        <w:pBdr>
          <w:top w:val="nil"/>
          <w:left w:val="nil"/>
          <w:bottom w:val="nil"/>
          <w:right w:val="nil"/>
          <w:between w:val="nil"/>
        </w:pBdr>
        <w:ind w:right="709"/>
        <w:jc w:val="both"/>
      </w:pPr>
    </w:p>
    <w:p w14:paraId="29993F7C" w14:textId="77777777" w:rsidR="00640F5E" w:rsidRPr="00CB2E6A" w:rsidRDefault="00634B62">
      <w:pPr>
        <w:pBdr>
          <w:top w:val="nil"/>
          <w:left w:val="nil"/>
          <w:bottom w:val="nil"/>
          <w:right w:val="nil"/>
          <w:between w:val="nil"/>
        </w:pBdr>
        <w:ind w:left="709" w:right="709"/>
        <w:jc w:val="both"/>
      </w:pPr>
      <w:r w:rsidRPr="00CB2E6A">
        <w:rPr>
          <w:rFonts w:ascii="Palatino Linotype" w:eastAsia="Palatino Linotype" w:hAnsi="Palatino Linotype" w:cs="Palatino Linotype"/>
          <w:i/>
          <w:sz w:val="22"/>
          <w:szCs w:val="22"/>
        </w:rPr>
        <w:t>[…]</w:t>
      </w:r>
    </w:p>
    <w:p w14:paraId="772534E3" w14:textId="77777777" w:rsidR="00640F5E" w:rsidRPr="00CB2E6A" w:rsidRDefault="00634B62">
      <w:pPr>
        <w:pBdr>
          <w:top w:val="nil"/>
          <w:left w:val="nil"/>
          <w:bottom w:val="nil"/>
          <w:right w:val="nil"/>
          <w:between w:val="nil"/>
        </w:pBdr>
        <w:ind w:left="709" w:right="709"/>
        <w:jc w:val="center"/>
      </w:pPr>
      <w:r w:rsidRPr="00CB2E6A">
        <w:rPr>
          <w:rFonts w:ascii="Palatino Linotype" w:eastAsia="Palatino Linotype" w:hAnsi="Palatino Linotype" w:cs="Palatino Linotype"/>
          <w:b/>
          <w:i/>
          <w:sz w:val="22"/>
          <w:szCs w:val="22"/>
        </w:rPr>
        <w:t>CAPÍTULO VIII</w:t>
      </w:r>
    </w:p>
    <w:p w14:paraId="696AD52F" w14:textId="77777777" w:rsidR="00640F5E" w:rsidRPr="00CB2E6A" w:rsidRDefault="00634B62">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CB2E6A">
        <w:rPr>
          <w:rFonts w:ascii="Palatino Linotype" w:eastAsia="Palatino Linotype" w:hAnsi="Palatino Linotype" w:cs="Palatino Linotype"/>
          <w:b/>
          <w:i/>
          <w:sz w:val="22"/>
          <w:szCs w:val="22"/>
        </w:rPr>
        <w:t>DE LOS ELEMENTOS PARA LA CLASIFICACIÓN</w:t>
      </w:r>
    </w:p>
    <w:p w14:paraId="42815B7E"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Quincuagésimo</w:t>
      </w:r>
      <w:r w:rsidRPr="00CB2E6A">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79FCE6E"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Quincuagésimo primero</w:t>
      </w:r>
      <w:r w:rsidRPr="00CB2E6A">
        <w:rPr>
          <w:rFonts w:ascii="Palatino Linotype" w:eastAsia="Palatino Linotype" w:hAnsi="Palatino Linotype" w:cs="Palatino Linotype"/>
          <w:i/>
          <w:sz w:val="22"/>
          <w:szCs w:val="22"/>
        </w:rPr>
        <w:t>. Toda acta del Comité de Transparencia deberá contener:</w:t>
      </w:r>
    </w:p>
    <w:p w14:paraId="48BF541C"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I. El número de sesión y fecha; </w:t>
      </w:r>
    </w:p>
    <w:p w14:paraId="6F0AA3A4"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II. El nombre del área que solicitó la clasificación de información;</w:t>
      </w:r>
    </w:p>
    <w:p w14:paraId="0634B2E2"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III. La fundamentación legal y motivación correspondiente;</w:t>
      </w:r>
    </w:p>
    <w:p w14:paraId="2EBF3596"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IV. La resolución o resoluciones aprobadas; y</w:t>
      </w:r>
    </w:p>
    <w:p w14:paraId="787778C8"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V. La rúbrica o firma digital de cada integrante del Comité de Transparencia. </w:t>
      </w:r>
    </w:p>
    <w:p w14:paraId="1A6180D4"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2997F559"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I. Los motivos y razonamientos que sustenten la confirmación o modificación de la prueba de daño;</w:t>
      </w:r>
    </w:p>
    <w:p w14:paraId="45AC10E0"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II. Descripción de las partes o secciones reservadas, en caso de clasificación parcial;</w:t>
      </w:r>
    </w:p>
    <w:p w14:paraId="75104E65"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III. El periodo por el que mantendrá su clasificación y fecha de expiración; y</w:t>
      </w:r>
    </w:p>
    <w:p w14:paraId="0D9C5D8C"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IV. El nombre del titular y área encargada de realizar la versión pública del documento, en su caso.</w:t>
      </w:r>
    </w:p>
    <w:p w14:paraId="42BD8A38"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C6C4F52"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22BF9D8"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b/>
          <w:i/>
          <w:sz w:val="22"/>
          <w:szCs w:val="22"/>
        </w:rPr>
        <w:t>Quincuagésimo segundo</w:t>
      </w:r>
      <w:r w:rsidRPr="00CB2E6A">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w:t>
      </w:r>
      <w:r w:rsidRPr="00CB2E6A">
        <w:rPr>
          <w:rFonts w:ascii="Palatino Linotype" w:eastAsia="Palatino Linotype" w:hAnsi="Palatino Linotype" w:cs="Palatino Linotype"/>
          <w:i/>
          <w:sz w:val="22"/>
          <w:szCs w:val="22"/>
        </w:rPr>
        <w:lastRenderedPageBreak/>
        <w:t>las áreas de los sujetos obligados deberán tomar las medidas pertinentes tendientes a asegurar que el espacio utilizado para testar la información no podrá ser empleado para la sobreposición de contenido distinto al autorizado por el Comité.</w:t>
      </w:r>
    </w:p>
    <w:p w14:paraId="4C1CB374"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041D36C5"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6FCADDEF"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4B106C5"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III. Señalar las personas o instancias autorizadas a acceder a la información clasificada.</w:t>
      </w:r>
    </w:p>
    <w:p w14:paraId="265D919A"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EA79935" w14:textId="77777777" w:rsidR="00640F5E" w:rsidRPr="00CB2E6A" w:rsidRDefault="00634B62">
      <w:pPr>
        <w:pBdr>
          <w:top w:val="nil"/>
          <w:left w:val="nil"/>
          <w:bottom w:val="nil"/>
          <w:right w:val="nil"/>
          <w:between w:val="nil"/>
        </w:pBdr>
        <w:spacing w:after="160"/>
        <w:ind w:left="709" w:right="709"/>
        <w:jc w:val="both"/>
      </w:pPr>
      <w:r w:rsidRPr="00CB2E6A">
        <w:rPr>
          <w:rFonts w:ascii="Palatino Linotype" w:eastAsia="Palatino Linotype" w:hAnsi="Palatino Linotype" w:cs="Palatino Linotype"/>
          <w:b/>
          <w:i/>
          <w:sz w:val="22"/>
          <w:szCs w:val="22"/>
        </w:rPr>
        <w:t xml:space="preserve">Quincuagésimo tercero. </w:t>
      </w:r>
      <w:r w:rsidRPr="00CB2E6A">
        <w:rPr>
          <w:rFonts w:ascii="Palatino Linotype" w:eastAsia="Palatino Linotype" w:hAnsi="Palatino Linotype" w:cs="Palatino Linotype"/>
          <w:b/>
          <w:i/>
          <w:sz w:val="22"/>
          <w:szCs w:val="22"/>
          <w:u w:val="single"/>
        </w:rPr>
        <w:t xml:space="preserve">El formato para señalar la clasificación de un documento o expediente que contenga información reservada, es el </w:t>
      </w:r>
      <w:proofErr w:type="gramStart"/>
      <w:r w:rsidRPr="00CB2E6A">
        <w:rPr>
          <w:rFonts w:ascii="Palatino Linotype" w:eastAsia="Palatino Linotype" w:hAnsi="Palatino Linotype" w:cs="Palatino Linotype"/>
          <w:b/>
          <w:i/>
          <w:sz w:val="22"/>
          <w:szCs w:val="22"/>
          <w:u w:val="single"/>
        </w:rPr>
        <w:t>siguiente:</w:t>
      </w:r>
      <w:r w:rsidRPr="00CB2E6A">
        <w:rPr>
          <w:rFonts w:ascii="Palatino Linotype" w:eastAsia="Palatino Linotype" w:hAnsi="Palatino Linotype" w:cs="Palatino Linotype"/>
          <w:i/>
          <w:sz w:val="22"/>
          <w:szCs w:val="22"/>
        </w:rPr>
        <w:t>:</w:t>
      </w:r>
      <w:proofErr w:type="gramEnd"/>
    </w:p>
    <w:tbl>
      <w:tblPr>
        <w:tblStyle w:val="a6"/>
        <w:tblW w:w="8833" w:type="dxa"/>
        <w:jc w:val="center"/>
        <w:tblInd w:w="0" w:type="dxa"/>
        <w:tblLayout w:type="fixed"/>
        <w:tblLook w:val="0400" w:firstRow="0" w:lastRow="0" w:firstColumn="0" w:lastColumn="0" w:noHBand="0" w:noVBand="1"/>
      </w:tblPr>
      <w:tblGrid>
        <w:gridCol w:w="1660"/>
        <w:gridCol w:w="1980"/>
        <w:gridCol w:w="5193"/>
      </w:tblGrid>
      <w:tr w:rsidR="00CB2E6A" w:rsidRPr="00CB2E6A" w14:paraId="5F254AF0"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2EAD8569" w14:textId="77777777" w:rsidR="00640F5E" w:rsidRPr="00CB2E6A" w:rsidRDefault="00640F5E"/>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E3CA0F" w14:textId="77777777" w:rsidR="00640F5E" w:rsidRPr="00CB2E6A" w:rsidRDefault="00634B62">
            <w:pPr>
              <w:pBdr>
                <w:top w:val="nil"/>
                <w:left w:val="nil"/>
                <w:bottom w:val="nil"/>
                <w:right w:val="nil"/>
                <w:between w:val="nil"/>
              </w:pBdr>
              <w:jc w:val="center"/>
            </w:pPr>
            <w:r w:rsidRPr="00CB2E6A">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CB9524" w14:textId="77777777" w:rsidR="00640F5E" w:rsidRPr="00CB2E6A" w:rsidRDefault="00634B62">
            <w:pPr>
              <w:pBdr>
                <w:top w:val="nil"/>
                <w:left w:val="nil"/>
                <w:bottom w:val="nil"/>
                <w:right w:val="nil"/>
                <w:between w:val="nil"/>
              </w:pBdr>
              <w:jc w:val="center"/>
            </w:pPr>
            <w:r w:rsidRPr="00CB2E6A">
              <w:rPr>
                <w:rFonts w:ascii="Palatino Linotype" w:eastAsia="Palatino Linotype" w:hAnsi="Palatino Linotype" w:cs="Palatino Linotype"/>
                <w:b/>
                <w:i/>
              </w:rPr>
              <w:t>Dónde:</w:t>
            </w:r>
          </w:p>
        </w:tc>
      </w:tr>
      <w:tr w:rsidR="00CB2E6A" w:rsidRPr="00CB2E6A" w14:paraId="12639B3D"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B8B041" w14:textId="77777777" w:rsidR="00640F5E" w:rsidRPr="00CB2E6A" w:rsidRDefault="00634B62">
            <w:pPr>
              <w:pBdr>
                <w:top w:val="nil"/>
                <w:left w:val="nil"/>
                <w:bottom w:val="nil"/>
                <w:right w:val="nil"/>
                <w:between w:val="nil"/>
              </w:pBdr>
              <w:jc w:val="center"/>
            </w:pPr>
            <w:r w:rsidRPr="00CB2E6A">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E8A00" w14:textId="77777777" w:rsidR="00640F5E" w:rsidRPr="00CB2E6A" w:rsidRDefault="00634B62">
            <w:pPr>
              <w:pBdr>
                <w:top w:val="nil"/>
                <w:left w:val="nil"/>
                <w:bottom w:val="nil"/>
                <w:right w:val="nil"/>
                <w:between w:val="nil"/>
              </w:pBdr>
              <w:jc w:val="center"/>
            </w:pPr>
            <w:r w:rsidRPr="00CB2E6A">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10FA6A" w14:textId="77777777" w:rsidR="00640F5E" w:rsidRPr="00CB2E6A" w:rsidRDefault="00634B62">
            <w:pPr>
              <w:pBdr>
                <w:top w:val="nil"/>
                <w:left w:val="nil"/>
                <w:bottom w:val="nil"/>
                <w:right w:val="nil"/>
                <w:between w:val="nil"/>
              </w:pBdr>
              <w:jc w:val="both"/>
            </w:pPr>
            <w:r w:rsidRPr="00CB2E6A">
              <w:rPr>
                <w:rFonts w:ascii="Palatino Linotype" w:eastAsia="Palatino Linotype" w:hAnsi="Palatino Linotype" w:cs="Palatino Linotype"/>
                <w:i/>
              </w:rPr>
              <w:t>Se anotará la fecha en la que el Comité de Transparencia confirmó la clasificación del documento o expediente, en su caso.</w:t>
            </w:r>
          </w:p>
        </w:tc>
      </w:tr>
      <w:tr w:rsidR="00CB2E6A" w:rsidRPr="00CB2E6A" w14:paraId="759207D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4727C3" w14:textId="77777777" w:rsidR="00640F5E" w:rsidRPr="00CB2E6A" w:rsidRDefault="00640F5E">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CD2AF2" w14:textId="77777777" w:rsidR="00640F5E" w:rsidRPr="00CB2E6A" w:rsidRDefault="00634B62">
            <w:pPr>
              <w:pBdr>
                <w:top w:val="nil"/>
                <w:left w:val="nil"/>
                <w:bottom w:val="nil"/>
                <w:right w:val="nil"/>
                <w:between w:val="nil"/>
              </w:pBdr>
              <w:jc w:val="center"/>
            </w:pPr>
            <w:r w:rsidRPr="00CB2E6A">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F56E37" w14:textId="77777777" w:rsidR="00640F5E" w:rsidRPr="00CB2E6A" w:rsidRDefault="00634B62">
            <w:pPr>
              <w:pBdr>
                <w:top w:val="nil"/>
                <w:left w:val="nil"/>
                <w:bottom w:val="nil"/>
                <w:right w:val="nil"/>
                <w:between w:val="nil"/>
              </w:pBdr>
              <w:jc w:val="both"/>
            </w:pPr>
            <w:r w:rsidRPr="00CB2E6A">
              <w:rPr>
                <w:rFonts w:ascii="Palatino Linotype" w:eastAsia="Palatino Linotype" w:hAnsi="Palatino Linotype" w:cs="Palatino Linotype"/>
                <w:i/>
              </w:rPr>
              <w:t>Se señalará el nombre del área del cual es titular quien clasifica.</w:t>
            </w:r>
          </w:p>
        </w:tc>
      </w:tr>
      <w:tr w:rsidR="00CB2E6A" w:rsidRPr="00CB2E6A" w14:paraId="7DAD7B5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430D4E" w14:textId="77777777" w:rsidR="00640F5E" w:rsidRPr="00CB2E6A" w:rsidRDefault="00640F5E">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259A7" w14:textId="77777777" w:rsidR="00640F5E" w:rsidRPr="00CB2E6A" w:rsidRDefault="00634B62">
            <w:pPr>
              <w:pBdr>
                <w:top w:val="nil"/>
                <w:left w:val="nil"/>
                <w:bottom w:val="nil"/>
                <w:right w:val="nil"/>
                <w:between w:val="nil"/>
              </w:pBdr>
              <w:jc w:val="center"/>
            </w:pPr>
            <w:r w:rsidRPr="00CB2E6A">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16404B" w14:textId="77777777" w:rsidR="00640F5E" w:rsidRPr="00CB2E6A" w:rsidRDefault="00634B62">
            <w:pPr>
              <w:pBdr>
                <w:top w:val="nil"/>
                <w:left w:val="nil"/>
                <w:bottom w:val="nil"/>
                <w:right w:val="nil"/>
                <w:between w:val="nil"/>
              </w:pBdr>
              <w:jc w:val="both"/>
            </w:pPr>
            <w:r w:rsidRPr="00CB2E6A">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CB2E6A" w:rsidRPr="00CB2E6A" w14:paraId="704C2A5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61FA26" w14:textId="77777777" w:rsidR="00640F5E" w:rsidRPr="00CB2E6A" w:rsidRDefault="00640F5E">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C63E2C" w14:textId="77777777" w:rsidR="00640F5E" w:rsidRPr="00CB2E6A" w:rsidRDefault="00634B62">
            <w:pPr>
              <w:pBdr>
                <w:top w:val="nil"/>
                <w:left w:val="nil"/>
                <w:bottom w:val="nil"/>
                <w:right w:val="nil"/>
                <w:between w:val="nil"/>
              </w:pBdr>
              <w:jc w:val="center"/>
            </w:pPr>
            <w:r w:rsidRPr="00CB2E6A">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4C0AEE" w14:textId="77777777" w:rsidR="00640F5E" w:rsidRPr="00CB2E6A" w:rsidRDefault="00634B62">
            <w:pPr>
              <w:pBdr>
                <w:top w:val="nil"/>
                <w:left w:val="nil"/>
                <w:bottom w:val="nil"/>
                <w:right w:val="nil"/>
                <w:between w:val="nil"/>
              </w:pBdr>
              <w:jc w:val="both"/>
            </w:pPr>
            <w:r w:rsidRPr="00CB2E6A">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CB2E6A" w:rsidRPr="00CB2E6A" w14:paraId="7FF5FC7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0162A9" w14:textId="77777777" w:rsidR="00640F5E" w:rsidRPr="00CB2E6A" w:rsidRDefault="00640F5E">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32CE6E" w14:textId="77777777" w:rsidR="00640F5E" w:rsidRPr="00CB2E6A" w:rsidRDefault="00634B62">
            <w:pPr>
              <w:pBdr>
                <w:top w:val="nil"/>
                <w:left w:val="nil"/>
                <w:bottom w:val="nil"/>
                <w:right w:val="nil"/>
                <w:between w:val="nil"/>
              </w:pBdr>
              <w:jc w:val="center"/>
            </w:pPr>
            <w:r w:rsidRPr="00CB2E6A">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60E0D" w14:textId="77777777" w:rsidR="00640F5E" w:rsidRPr="00CB2E6A" w:rsidRDefault="00634B62">
            <w:pPr>
              <w:pBdr>
                <w:top w:val="nil"/>
                <w:left w:val="nil"/>
                <w:bottom w:val="nil"/>
                <w:right w:val="nil"/>
                <w:between w:val="nil"/>
              </w:pBdr>
              <w:jc w:val="both"/>
            </w:pPr>
            <w:r w:rsidRPr="00CB2E6A">
              <w:rPr>
                <w:rFonts w:ascii="Palatino Linotype" w:eastAsia="Palatino Linotype" w:hAnsi="Palatino Linotype" w:cs="Palatino Linotype"/>
                <w:i/>
              </w:rPr>
              <w:t>Se señalará el nombre del ordenamiento, el o los artículos, fracción(es), párrafo(s) con base en los cuales se sustente la reserva.</w:t>
            </w:r>
          </w:p>
        </w:tc>
      </w:tr>
      <w:tr w:rsidR="00CB2E6A" w:rsidRPr="00CB2E6A" w14:paraId="159D4BF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E4133D" w14:textId="77777777" w:rsidR="00640F5E" w:rsidRPr="00CB2E6A" w:rsidRDefault="00640F5E">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2DE1B" w14:textId="77777777" w:rsidR="00640F5E" w:rsidRPr="00CB2E6A" w:rsidRDefault="00634B62">
            <w:pPr>
              <w:pBdr>
                <w:top w:val="nil"/>
                <w:left w:val="nil"/>
                <w:bottom w:val="nil"/>
                <w:right w:val="nil"/>
                <w:between w:val="nil"/>
              </w:pBdr>
              <w:jc w:val="center"/>
            </w:pPr>
            <w:r w:rsidRPr="00CB2E6A">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CF8E91" w14:textId="77777777" w:rsidR="00640F5E" w:rsidRPr="00CB2E6A" w:rsidRDefault="00634B62">
            <w:pPr>
              <w:pBdr>
                <w:top w:val="nil"/>
                <w:left w:val="nil"/>
                <w:bottom w:val="nil"/>
                <w:right w:val="nil"/>
                <w:between w:val="nil"/>
              </w:pBdr>
              <w:jc w:val="both"/>
            </w:pPr>
            <w:r w:rsidRPr="00CB2E6A">
              <w:rPr>
                <w:rFonts w:ascii="Palatino Linotype" w:eastAsia="Palatino Linotype" w:hAnsi="Palatino Linotype" w:cs="Palatino Linotype"/>
                <w:i/>
              </w:rPr>
              <w:t xml:space="preserve">En caso de haber solicitado la ampliación del periodo de reserva originalmente establecido, se deberá </w:t>
            </w:r>
            <w:r w:rsidRPr="00CB2E6A">
              <w:rPr>
                <w:rFonts w:ascii="Palatino Linotype" w:eastAsia="Palatino Linotype" w:hAnsi="Palatino Linotype" w:cs="Palatino Linotype"/>
                <w:i/>
              </w:rPr>
              <w:lastRenderedPageBreak/>
              <w:t>anotar el número de años o meses por los que se amplía la reserva.</w:t>
            </w:r>
          </w:p>
        </w:tc>
      </w:tr>
      <w:tr w:rsidR="00CB2E6A" w:rsidRPr="00CB2E6A" w14:paraId="0076570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76E1F2" w14:textId="77777777" w:rsidR="00640F5E" w:rsidRPr="00CB2E6A" w:rsidRDefault="00640F5E">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C6DDC0" w14:textId="77777777" w:rsidR="00640F5E" w:rsidRPr="00CB2E6A" w:rsidRDefault="00634B62">
            <w:pPr>
              <w:pBdr>
                <w:top w:val="nil"/>
                <w:left w:val="nil"/>
                <w:bottom w:val="nil"/>
                <w:right w:val="nil"/>
                <w:between w:val="nil"/>
              </w:pBdr>
              <w:jc w:val="center"/>
            </w:pPr>
            <w:r w:rsidRPr="00CB2E6A">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35EA9E" w14:textId="77777777" w:rsidR="00640F5E" w:rsidRPr="00CB2E6A" w:rsidRDefault="00634B62">
            <w:pPr>
              <w:pBdr>
                <w:top w:val="nil"/>
                <w:left w:val="nil"/>
                <w:bottom w:val="nil"/>
                <w:right w:val="nil"/>
                <w:between w:val="nil"/>
              </w:pBdr>
              <w:jc w:val="both"/>
            </w:pPr>
            <w:r w:rsidRPr="00CB2E6A">
              <w:rPr>
                <w:rFonts w:ascii="Palatino Linotype" w:eastAsia="Palatino Linotype" w:hAnsi="Palatino Linotype" w:cs="Palatino Linotype"/>
                <w:i/>
              </w:rPr>
              <w:t>Rúbrica autógrafa o firma digital de quien clasifica.</w:t>
            </w:r>
          </w:p>
        </w:tc>
      </w:tr>
      <w:tr w:rsidR="00CB2E6A" w:rsidRPr="00CB2E6A" w14:paraId="5936077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F5D17B" w14:textId="77777777" w:rsidR="00640F5E" w:rsidRPr="00CB2E6A" w:rsidRDefault="00640F5E">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723407" w14:textId="77777777" w:rsidR="00640F5E" w:rsidRPr="00CB2E6A" w:rsidRDefault="00634B62">
            <w:pPr>
              <w:pBdr>
                <w:top w:val="nil"/>
                <w:left w:val="nil"/>
                <w:bottom w:val="nil"/>
                <w:right w:val="nil"/>
                <w:between w:val="nil"/>
              </w:pBdr>
              <w:jc w:val="center"/>
            </w:pPr>
            <w:r w:rsidRPr="00CB2E6A">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42B567" w14:textId="77777777" w:rsidR="00640F5E" w:rsidRPr="00CB2E6A" w:rsidRDefault="00634B62">
            <w:pPr>
              <w:pBdr>
                <w:top w:val="nil"/>
                <w:left w:val="nil"/>
                <w:bottom w:val="nil"/>
                <w:right w:val="nil"/>
                <w:between w:val="nil"/>
              </w:pBdr>
              <w:jc w:val="both"/>
            </w:pPr>
            <w:r w:rsidRPr="00CB2E6A">
              <w:rPr>
                <w:rFonts w:ascii="Palatino Linotype" w:eastAsia="Palatino Linotype" w:hAnsi="Palatino Linotype" w:cs="Palatino Linotype"/>
                <w:i/>
              </w:rPr>
              <w:t>Se anotará la fecha en que se desclasifica el documento.</w:t>
            </w:r>
          </w:p>
        </w:tc>
      </w:tr>
      <w:tr w:rsidR="00CB2E6A" w:rsidRPr="00CB2E6A" w14:paraId="57941BE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C9FC70" w14:textId="77777777" w:rsidR="00640F5E" w:rsidRPr="00CB2E6A" w:rsidRDefault="00640F5E">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E606BD" w14:textId="77777777" w:rsidR="00640F5E" w:rsidRPr="00CB2E6A" w:rsidRDefault="00634B62">
            <w:pPr>
              <w:pBdr>
                <w:top w:val="nil"/>
                <w:left w:val="nil"/>
                <w:bottom w:val="nil"/>
                <w:right w:val="nil"/>
                <w:between w:val="nil"/>
              </w:pBdr>
              <w:jc w:val="center"/>
            </w:pPr>
            <w:r w:rsidRPr="00CB2E6A">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9D6763" w14:textId="77777777" w:rsidR="00640F5E" w:rsidRPr="00CB2E6A" w:rsidRDefault="00634B62">
            <w:pPr>
              <w:pBdr>
                <w:top w:val="nil"/>
                <w:left w:val="nil"/>
                <w:bottom w:val="nil"/>
                <w:right w:val="nil"/>
                <w:between w:val="nil"/>
              </w:pBdr>
              <w:jc w:val="both"/>
            </w:pPr>
            <w:r w:rsidRPr="00CB2E6A">
              <w:rPr>
                <w:rFonts w:ascii="Palatino Linotype" w:eastAsia="Palatino Linotype" w:hAnsi="Palatino Linotype" w:cs="Palatino Linotype"/>
                <w:i/>
              </w:rPr>
              <w:t>Rúbrica autógrafa o firma digital de quien desclasifica.</w:t>
            </w:r>
          </w:p>
        </w:tc>
      </w:tr>
      <w:tr w:rsidR="00CB2E6A" w:rsidRPr="00CB2E6A" w14:paraId="6CB9E2F9"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004091" w14:textId="77777777" w:rsidR="00640F5E" w:rsidRPr="00CB2E6A" w:rsidRDefault="00640F5E">
            <w:pPr>
              <w:widowControl w:val="0"/>
              <w:pBdr>
                <w:top w:val="nil"/>
                <w:left w:val="nil"/>
                <w:bottom w:val="nil"/>
                <w:right w:val="nil"/>
                <w:between w:val="nil"/>
              </w:pBdr>
              <w:spacing w:line="276" w:lineRule="auto"/>
            </w:pPr>
          </w:p>
        </w:tc>
      </w:tr>
    </w:tbl>
    <w:p w14:paraId="324564AB" w14:textId="77777777" w:rsidR="00640F5E" w:rsidRPr="00CB2E6A" w:rsidRDefault="00634B6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B33B17D" w14:textId="77777777" w:rsidR="00640F5E" w:rsidRPr="00CB2E6A" w:rsidRDefault="00634B62">
      <w:pPr>
        <w:pBdr>
          <w:top w:val="nil"/>
          <w:left w:val="nil"/>
          <w:bottom w:val="nil"/>
          <w:right w:val="nil"/>
          <w:between w:val="nil"/>
        </w:pBdr>
        <w:spacing w:after="160"/>
        <w:ind w:left="709" w:right="709"/>
        <w:jc w:val="both"/>
      </w:pPr>
      <w:r w:rsidRPr="00CB2E6A">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CB2E6A">
        <w:rPr>
          <w:rFonts w:ascii="Palatino Linotype" w:eastAsia="Palatino Linotype" w:hAnsi="Palatino Linotype" w:cs="Palatino Linotype"/>
          <w:i/>
          <w:sz w:val="22"/>
          <w:szCs w:val="22"/>
        </w:rPr>
        <w:t>testado</w:t>
      </w:r>
      <w:proofErr w:type="spellEnd"/>
      <w:r w:rsidRPr="00CB2E6A">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792CD92E" w14:textId="77777777" w:rsidR="00640F5E" w:rsidRPr="00CB2E6A" w:rsidRDefault="00640F5E">
      <w:pPr>
        <w:jc w:val="both"/>
      </w:pPr>
    </w:p>
    <w:p w14:paraId="4894B292" w14:textId="77777777" w:rsidR="00640F5E" w:rsidRPr="00CB2E6A" w:rsidRDefault="00640F5E"/>
    <w:p w14:paraId="0B93646F" w14:textId="77777777" w:rsidR="00640F5E" w:rsidRPr="00CB2E6A" w:rsidRDefault="00634B62">
      <w:pP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0809E30" w14:textId="77777777" w:rsidR="00640F5E" w:rsidRPr="00CB2E6A" w:rsidRDefault="00640F5E">
      <w:pPr>
        <w:spacing w:line="360" w:lineRule="auto"/>
        <w:jc w:val="both"/>
        <w:rPr>
          <w:rFonts w:ascii="Palatino Linotype" w:eastAsia="Palatino Linotype" w:hAnsi="Palatino Linotype" w:cs="Palatino Linotype"/>
        </w:rPr>
      </w:pPr>
    </w:p>
    <w:p w14:paraId="51416330" w14:textId="77777777" w:rsidR="00640F5E" w:rsidRPr="00CB2E6A" w:rsidRDefault="00634B62">
      <w:pPr>
        <w:shd w:val="clear" w:color="auto" w:fill="FFFFFF"/>
        <w:spacing w:line="360" w:lineRule="auto"/>
        <w:ind w:right="51"/>
        <w:jc w:val="both"/>
        <w:rPr>
          <w:rFonts w:ascii="Palatino Linotype" w:eastAsia="Palatino Linotype" w:hAnsi="Palatino Linotype" w:cs="Palatino Linotype"/>
        </w:rPr>
      </w:pPr>
      <w:r w:rsidRPr="00CB2E6A">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w:t>
      </w:r>
      <w:r w:rsidRPr="00CB2E6A">
        <w:rPr>
          <w:rFonts w:ascii="Palatino Linotype" w:eastAsia="Palatino Linotype" w:hAnsi="Palatino Linotype" w:cs="Palatino Linotype"/>
        </w:rPr>
        <w:lastRenderedPageBreak/>
        <w:t xml:space="preserve">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w:t>
      </w:r>
    </w:p>
    <w:p w14:paraId="54871AC7" w14:textId="77777777" w:rsidR="00640F5E" w:rsidRPr="00CB2E6A" w:rsidRDefault="00640F5E">
      <w:pPr>
        <w:spacing w:line="360" w:lineRule="auto"/>
        <w:jc w:val="both"/>
        <w:rPr>
          <w:rFonts w:ascii="Palatino Linotype" w:eastAsia="Palatino Linotype" w:hAnsi="Palatino Linotype" w:cs="Palatino Linotype"/>
        </w:rPr>
      </w:pPr>
    </w:p>
    <w:p w14:paraId="5E1B252C" w14:textId="77777777" w:rsidR="00640F5E" w:rsidRPr="00CB2E6A" w:rsidRDefault="00634B62">
      <w:pPr>
        <w:spacing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526E03DE" w14:textId="77777777" w:rsidR="00640F5E" w:rsidRPr="00CB2E6A" w:rsidRDefault="00634B62">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CB2E6A">
        <w:rPr>
          <w:rFonts w:ascii="Palatino Linotype" w:eastAsia="Palatino Linotype" w:hAnsi="Palatino Linotype" w:cs="Palatino Linotype"/>
          <w:b/>
          <w:sz w:val="22"/>
          <w:szCs w:val="22"/>
        </w:rPr>
        <w:t>R E S U E L V E:</w:t>
      </w:r>
    </w:p>
    <w:p w14:paraId="6197314A"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t xml:space="preserve">Primero. </w:t>
      </w:r>
      <w:r w:rsidRPr="00CB2E6A">
        <w:rPr>
          <w:rFonts w:ascii="Palatino Linotype" w:eastAsia="Palatino Linotype" w:hAnsi="Palatino Linotype" w:cs="Palatino Linotype"/>
        </w:rPr>
        <w:t xml:space="preserve">Resultan fundados los motivos de inconformidad hechos valer por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xml:space="preserve"> en el Recurso de Revisión </w:t>
      </w:r>
      <w:r w:rsidRPr="00CB2E6A">
        <w:rPr>
          <w:rFonts w:ascii="Palatino Linotype" w:eastAsia="Palatino Linotype" w:hAnsi="Palatino Linotype" w:cs="Palatino Linotype"/>
          <w:b/>
        </w:rPr>
        <w:t xml:space="preserve">03454/INFOEM/IP/RR/2023; </w:t>
      </w:r>
      <w:r w:rsidRPr="00CB2E6A">
        <w:rPr>
          <w:rFonts w:ascii="Palatino Linotype" w:eastAsia="Palatino Linotype" w:hAnsi="Palatino Linotype" w:cs="Palatino Linotype"/>
        </w:rPr>
        <w:t xml:space="preserve">por lo que, en términos del considerando </w:t>
      </w:r>
      <w:r w:rsidRPr="00CB2E6A">
        <w:rPr>
          <w:rFonts w:ascii="Palatino Linotype" w:eastAsia="Palatino Linotype" w:hAnsi="Palatino Linotype" w:cs="Palatino Linotype"/>
          <w:b/>
        </w:rPr>
        <w:t xml:space="preserve">Cuarto </w:t>
      </w:r>
      <w:r w:rsidRPr="00CB2E6A">
        <w:rPr>
          <w:rFonts w:ascii="Palatino Linotype" w:eastAsia="Palatino Linotype" w:hAnsi="Palatino Linotype" w:cs="Palatino Linotype"/>
        </w:rPr>
        <w:t xml:space="preserve">de esta resolución, se </w:t>
      </w:r>
      <w:r w:rsidRPr="00CB2E6A">
        <w:rPr>
          <w:rFonts w:ascii="Palatino Linotype" w:eastAsia="Palatino Linotype" w:hAnsi="Palatino Linotype" w:cs="Palatino Linotype"/>
          <w:b/>
        </w:rPr>
        <w:t xml:space="preserve">REVOCA </w:t>
      </w:r>
      <w:r w:rsidRPr="00CB2E6A">
        <w:rPr>
          <w:rFonts w:ascii="Palatino Linotype" w:eastAsia="Palatino Linotype" w:hAnsi="Palatino Linotype" w:cs="Palatino Linotype"/>
        </w:rPr>
        <w:t xml:space="preserve">la respuesta emitida por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w:t>
      </w:r>
    </w:p>
    <w:p w14:paraId="004AD554" w14:textId="77777777" w:rsidR="00640F5E" w:rsidRPr="00CB2E6A" w:rsidRDefault="00634B62">
      <w:pPr>
        <w:spacing w:before="240" w:after="240"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b/>
        </w:rPr>
        <w:t xml:space="preserve">Segundo. </w:t>
      </w:r>
      <w:r w:rsidRPr="00CB2E6A">
        <w:rPr>
          <w:rFonts w:ascii="Palatino Linotype" w:eastAsia="Palatino Linotype" w:hAnsi="Palatino Linotype" w:cs="Palatino Linotype"/>
        </w:rPr>
        <w:t>Se</w:t>
      </w:r>
      <w:r w:rsidRPr="00CB2E6A">
        <w:rPr>
          <w:rFonts w:ascii="Palatino Linotype" w:eastAsia="Palatino Linotype" w:hAnsi="Palatino Linotype" w:cs="Palatino Linotype"/>
          <w:b/>
        </w:rPr>
        <w:t xml:space="preserve"> ORDENA </w:t>
      </w:r>
      <w:r w:rsidRPr="00CB2E6A">
        <w:rPr>
          <w:rFonts w:ascii="Palatino Linotype" w:eastAsia="Palatino Linotype" w:hAnsi="Palatino Linotype" w:cs="Palatino Linotype"/>
        </w:rPr>
        <w:t xml:space="preserve">al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a que,</w:t>
      </w:r>
      <w:r w:rsidRPr="00CB2E6A">
        <w:rPr>
          <w:rFonts w:ascii="Palatino Linotype" w:eastAsia="Palatino Linotype" w:hAnsi="Palatino Linotype" w:cs="Palatino Linotype"/>
          <w:b/>
        </w:rPr>
        <w:t xml:space="preserve"> </w:t>
      </w:r>
      <w:r w:rsidRPr="00CB2E6A">
        <w:rPr>
          <w:rFonts w:ascii="Palatino Linotype" w:eastAsia="Palatino Linotype" w:hAnsi="Palatino Linotype" w:cs="Palatino Linotype"/>
        </w:rPr>
        <w:t>en términos de los Considerandos Cuarto y Quinto, entregue vía SAIMEX, en versión pública, lo siguiente:</w:t>
      </w:r>
    </w:p>
    <w:p w14:paraId="51E6AB24" w14:textId="77777777" w:rsidR="00640F5E" w:rsidRPr="00CB2E6A" w:rsidRDefault="00634B62">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rPr>
      </w:pPr>
      <w:bookmarkStart w:id="6" w:name="_heading=h.17dp8vu" w:colFirst="0" w:colLast="0"/>
      <w:bookmarkEnd w:id="6"/>
      <w:r w:rsidRPr="00CB2E6A">
        <w:rPr>
          <w:rFonts w:ascii="Palatino Linotype" w:eastAsia="Palatino Linotype" w:hAnsi="Palatino Linotype" w:cs="Palatino Linotype"/>
        </w:rPr>
        <w:t xml:space="preserve">De la empresa </w:t>
      </w:r>
      <w:proofErr w:type="spellStart"/>
      <w:r w:rsidRPr="00CB2E6A">
        <w:rPr>
          <w:rFonts w:ascii="Palatino Linotype" w:eastAsia="Palatino Linotype" w:hAnsi="Palatino Linotype" w:cs="Palatino Linotype"/>
        </w:rPr>
        <w:t>Zumby</w:t>
      </w:r>
      <w:proofErr w:type="spellEnd"/>
      <w:r w:rsidRPr="00CB2E6A">
        <w:rPr>
          <w:rFonts w:ascii="Palatino Linotype" w:eastAsia="Palatino Linotype" w:hAnsi="Palatino Linotype" w:cs="Palatino Linotype"/>
        </w:rPr>
        <w:t xml:space="preserve"> Servicios Profesionales S.A. DE C.V. toda la documentación que 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tiene en su posesión relativa a la empresa en mención, al veintiséis de mayo del año dos mil veintitrés; y,</w:t>
      </w:r>
    </w:p>
    <w:p w14:paraId="194063B1" w14:textId="77777777" w:rsidR="00640F5E" w:rsidRPr="00CB2E6A" w:rsidRDefault="00634B62">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lastRenderedPageBreak/>
        <w:t xml:space="preserve">Expediente formado con motivo de la licitación pública número LPNP-079-2021 que dio origen al contrato CS/A/92/2021, al veintiséis de mayo del año dos mil veintitrés. </w:t>
      </w:r>
    </w:p>
    <w:p w14:paraId="563D3678" w14:textId="77777777" w:rsidR="00640F5E" w:rsidRPr="00CB2E6A" w:rsidRDefault="00634B62">
      <w:pPr>
        <w:pBdr>
          <w:top w:val="nil"/>
          <w:left w:val="nil"/>
          <w:bottom w:val="nil"/>
          <w:right w:val="nil"/>
          <w:between w:val="nil"/>
        </w:pBdr>
        <w:ind w:left="720" w:right="40"/>
        <w:jc w:val="both"/>
        <w:rPr>
          <w:rFonts w:ascii="Palatino Linotype" w:eastAsia="Palatino Linotype" w:hAnsi="Palatino Linotype" w:cs="Palatino Linotype"/>
          <w:i/>
          <w:sz w:val="22"/>
          <w:szCs w:val="22"/>
        </w:rPr>
      </w:pPr>
      <w:r w:rsidRPr="00CB2E6A">
        <w:rPr>
          <w:rFonts w:ascii="Palatino Linotype" w:eastAsia="Palatino Linotype" w:hAnsi="Palatino Linotype" w:cs="Palatino Linotype"/>
          <w:i/>
          <w:sz w:val="22"/>
          <w:szCs w:val="22"/>
        </w:rPr>
        <w:t>Para la entrega en versión pública, se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055F8A24" w14:textId="77777777" w:rsidR="00640F5E" w:rsidRPr="00CB2E6A" w:rsidRDefault="00640F5E">
      <w:pPr>
        <w:pBdr>
          <w:top w:val="nil"/>
          <w:left w:val="nil"/>
          <w:bottom w:val="nil"/>
          <w:right w:val="nil"/>
          <w:between w:val="nil"/>
        </w:pBdr>
        <w:spacing w:after="120"/>
        <w:ind w:left="720" w:right="40"/>
        <w:jc w:val="both"/>
        <w:rPr>
          <w:rFonts w:ascii="Palatino Linotype" w:eastAsia="Palatino Linotype" w:hAnsi="Palatino Linotype" w:cs="Palatino Linotype"/>
          <w:i/>
          <w:sz w:val="22"/>
          <w:szCs w:val="22"/>
        </w:rPr>
      </w:pPr>
    </w:p>
    <w:p w14:paraId="3D4333D0" w14:textId="77777777" w:rsidR="00640F5E" w:rsidRPr="00CB2E6A" w:rsidRDefault="00634B62">
      <w:pPr>
        <w:spacing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b/>
        </w:rPr>
        <w:t xml:space="preserve">Tercero. Notifíquese, </w:t>
      </w:r>
      <w:r w:rsidRPr="00CB2E6A">
        <w:rPr>
          <w:rFonts w:ascii="Palatino Linotype" w:eastAsia="Palatino Linotype" w:hAnsi="Palatino Linotype" w:cs="Palatino Linotype"/>
        </w:rPr>
        <w:t xml:space="preserve">vía </w:t>
      </w:r>
      <w:r w:rsidRPr="00CB2E6A">
        <w:rPr>
          <w:rFonts w:ascii="Palatino Linotype" w:eastAsia="Palatino Linotype" w:hAnsi="Palatino Linotype" w:cs="Palatino Linotype"/>
          <w:b/>
        </w:rPr>
        <w:t>SAIMEX</w:t>
      </w:r>
      <w:r w:rsidRPr="00CB2E6A">
        <w:rPr>
          <w:rFonts w:ascii="Palatino Linotype" w:eastAsia="Palatino Linotype" w:hAnsi="Palatino Linotype" w:cs="Palatino Linotype"/>
        </w:rPr>
        <w:t xml:space="preserve">, al Titular de la Unidad de Transparencia del </w:t>
      </w:r>
      <w:r w:rsidRPr="00CB2E6A">
        <w:rPr>
          <w:rFonts w:ascii="Palatino Linotype" w:eastAsia="Palatino Linotype" w:hAnsi="Palatino Linotype" w:cs="Palatino Linotype"/>
          <w:b/>
        </w:rPr>
        <w:t>SUJETO OBLIGADO,</w:t>
      </w:r>
      <w:r w:rsidRPr="00CB2E6A">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2776E5" w14:textId="77777777" w:rsidR="00640F5E" w:rsidRPr="00CB2E6A" w:rsidRDefault="00640F5E">
      <w:pPr>
        <w:spacing w:line="360" w:lineRule="auto"/>
        <w:ind w:right="49"/>
        <w:jc w:val="both"/>
        <w:rPr>
          <w:rFonts w:ascii="Palatino Linotype" w:eastAsia="Palatino Linotype" w:hAnsi="Palatino Linotype" w:cs="Palatino Linotype"/>
          <w:b/>
        </w:rPr>
      </w:pPr>
    </w:p>
    <w:p w14:paraId="43092235" w14:textId="77777777" w:rsidR="00640F5E" w:rsidRPr="00CB2E6A" w:rsidRDefault="00634B62">
      <w:pPr>
        <w:spacing w:line="360" w:lineRule="auto"/>
        <w:ind w:right="49"/>
        <w:jc w:val="both"/>
        <w:rPr>
          <w:rFonts w:ascii="Palatino Linotype" w:eastAsia="Palatino Linotype" w:hAnsi="Palatino Linotype" w:cs="Palatino Linotype"/>
        </w:rPr>
      </w:pPr>
      <w:r w:rsidRPr="00CB2E6A">
        <w:rPr>
          <w:rFonts w:ascii="Palatino Linotype" w:eastAsia="Palatino Linotype" w:hAnsi="Palatino Linotype" w:cs="Palatino Linotype"/>
          <w:b/>
        </w:rPr>
        <w:t>Cuarto. Notifíquese vía SAIMEX</w:t>
      </w:r>
      <w:r w:rsidRPr="00CB2E6A">
        <w:rPr>
          <w:rFonts w:ascii="Palatino Linotype" w:eastAsia="Palatino Linotype" w:hAnsi="Palatino Linotype" w:cs="Palatino Linotype"/>
        </w:rPr>
        <w:t xml:space="preserve">, a la parte </w:t>
      </w:r>
      <w:r w:rsidRPr="00CB2E6A">
        <w:rPr>
          <w:rFonts w:ascii="Palatino Linotype" w:eastAsia="Palatino Linotype" w:hAnsi="Palatino Linotype" w:cs="Palatino Linotype"/>
          <w:b/>
        </w:rPr>
        <w:t>RECURRENTE</w:t>
      </w:r>
      <w:r w:rsidRPr="00CB2E6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0721E20"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b/>
        </w:rPr>
        <w:lastRenderedPageBreak/>
        <w:t>Quinto.</w:t>
      </w:r>
      <w:r w:rsidRPr="00CB2E6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FA876B" w14:textId="77777777" w:rsidR="00640F5E" w:rsidRPr="00CB2E6A" w:rsidRDefault="00634B62">
      <w:pPr>
        <w:spacing w:before="240" w:after="240" w:line="360" w:lineRule="auto"/>
        <w:jc w:val="both"/>
        <w:rPr>
          <w:rFonts w:ascii="Palatino Linotype" w:eastAsia="Palatino Linotype" w:hAnsi="Palatino Linotype" w:cs="Palatino Linotype"/>
        </w:rPr>
      </w:pPr>
      <w:r w:rsidRPr="00CB2E6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OCHO DE FEBRERO DEL DOS MIL VEINTICUATRO, ANTE EL SECRETARIO TÉCNICO DEL PLENO ALEXIS TAPIA RAMÍREZ.</w:t>
      </w:r>
    </w:p>
    <w:p w14:paraId="5A29ECE2" w14:textId="77777777" w:rsidR="00640F5E" w:rsidRPr="00CB2E6A" w:rsidRDefault="00640F5E">
      <w:pPr>
        <w:spacing w:before="240" w:after="240" w:line="360" w:lineRule="auto"/>
        <w:jc w:val="both"/>
        <w:rPr>
          <w:rFonts w:ascii="Palatino Linotype" w:eastAsia="Palatino Linotype" w:hAnsi="Palatino Linotype" w:cs="Palatino Linotype"/>
        </w:rPr>
      </w:pPr>
    </w:p>
    <w:p w14:paraId="15719237" w14:textId="77777777" w:rsidR="00640F5E" w:rsidRPr="00CB2E6A" w:rsidRDefault="00640F5E">
      <w:pPr>
        <w:spacing w:before="240" w:after="240" w:line="360" w:lineRule="auto"/>
        <w:jc w:val="both"/>
        <w:rPr>
          <w:rFonts w:ascii="Palatino Linotype" w:eastAsia="Palatino Linotype" w:hAnsi="Palatino Linotype" w:cs="Palatino Linotype"/>
        </w:rPr>
      </w:pPr>
    </w:p>
    <w:p w14:paraId="410301FA" w14:textId="77777777" w:rsidR="00640F5E" w:rsidRPr="00CB2E6A" w:rsidRDefault="00640F5E">
      <w:pPr>
        <w:spacing w:before="240" w:after="240" w:line="360" w:lineRule="auto"/>
        <w:jc w:val="both"/>
        <w:rPr>
          <w:rFonts w:ascii="Palatino Linotype" w:eastAsia="Palatino Linotype" w:hAnsi="Palatino Linotype" w:cs="Palatino Linotype"/>
        </w:rPr>
      </w:pPr>
    </w:p>
    <w:p w14:paraId="2B6F9DED" w14:textId="77777777" w:rsidR="00640F5E" w:rsidRPr="00CB2E6A" w:rsidRDefault="00640F5E">
      <w:pPr>
        <w:spacing w:before="240" w:after="240" w:line="360" w:lineRule="auto"/>
        <w:jc w:val="both"/>
        <w:rPr>
          <w:rFonts w:ascii="Palatino Linotype" w:eastAsia="Palatino Linotype" w:hAnsi="Palatino Linotype" w:cs="Palatino Linotype"/>
        </w:rPr>
      </w:pPr>
    </w:p>
    <w:p w14:paraId="740A5939" w14:textId="77777777" w:rsidR="00640F5E" w:rsidRPr="00CB2E6A" w:rsidRDefault="00640F5E">
      <w:pPr>
        <w:spacing w:before="240" w:after="240" w:line="360" w:lineRule="auto"/>
        <w:jc w:val="both"/>
        <w:rPr>
          <w:rFonts w:ascii="Palatino Linotype" w:eastAsia="Palatino Linotype" w:hAnsi="Palatino Linotype" w:cs="Palatino Linotype"/>
        </w:rPr>
      </w:pPr>
    </w:p>
    <w:p w14:paraId="4C0DCE87" w14:textId="77777777" w:rsidR="00640F5E" w:rsidRPr="00CB2E6A" w:rsidRDefault="00640F5E">
      <w:pPr>
        <w:spacing w:before="240" w:after="240" w:line="360" w:lineRule="auto"/>
        <w:jc w:val="both"/>
        <w:rPr>
          <w:rFonts w:ascii="Palatino Linotype" w:eastAsia="Palatino Linotype" w:hAnsi="Palatino Linotype" w:cs="Palatino Linotype"/>
        </w:rPr>
      </w:pPr>
    </w:p>
    <w:p w14:paraId="48B8DD65" w14:textId="77777777" w:rsidR="00640F5E" w:rsidRPr="00CB2E6A" w:rsidRDefault="00640F5E">
      <w:pPr>
        <w:spacing w:before="240" w:after="240" w:line="360" w:lineRule="auto"/>
        <w:jc w:val="both"/>
        <w:rPr>
          <w:rFonts w:ascii="Palatino Linotype" w:eastAsia="Palatino Linotype" w:hAnsi="Palatino Linotype" w:cs="Palatino Linotype"/>
        </w:rPr>
      </w:pPr>
    </w:p>
    <w:p w14:paraId="7712490D" w14:textId="77777777" w:rsidR="00640F5E" w:rsidRPr="00CB2E6A" w:rsidRDefault="00640F5E">
      <w:pPr>
        <w:spacing w:before="240" w:after="240" w:line="360" w:lineRule="auto"/>
        <w:jc w:val="both"/>
        <w:rPr>
          <w:rFonts w:ascii="Palatino Linotype" w:eastAsia="Palatino Linotype" w:hAnsi="Palatino Linotype" w:cs="Palatino Linotype"/>
        </w:rPr>
      </w:pPr>
    </w:p>
    <w:p w14:paraId="13895E01" w14:textId="77777777" w:rsidR="00640F5E" w:rsidRPr="00CB2E6A" w:rsidRDefault="00640F5E">
      <w:pPr>
        <w:spacing w:before="240" w:after="240" w:line="360" w:lineRule="auto"/>
        <w:jc w:val="both"/>
        <w:rPr>
          <w:rFonts w:ascii="Palatino Linotype" w:eastAsia="Palatino Linotype" w:hAnsi="Palatino Linotype" w:cs="Palatino Linotype"/>
        </w:rPr>
      </w:pPr>
    </w:p>
    <w:p w14:paraId="17E7FD98" w14:textId="77777777" w:rsidR="00640F5E" w:rsidRPr="00CB2E6A" w:rsidRDefault="00640F5E">
      <w:pPr>
        <w:spacing w:before="240" w:after="240" w:line="360" w:lineRule="auto"/>
        <w:jc w:val="both"/>
        <w:rPr>
          <w:rFonts w:ascii="Palatino Linotype" w:eastAsia="Palatino Linotype" w:hAnsi="Palatino Linotype" w:cs="Palatino Linotype"/>
        </w:rPr>
      </w:pPr>
    </w:p>
    <w:p w14:paraId="39F870A8" w14:textId="77777777" w:rsidR="00640F5E" w:rsidRPr="00CB2E6A" w:rsidRDefault="00640F5E">
      <w:pPr>
        <w:spacing w:before="240" w:after="240" w:line="360" w:lineRule="auto"/>
        <w:jc w:val="both"/>
        <w:rPr>
          <w:rFonts w:ascii="Palatino Linotype" w:eastAsia="Palatino Linotype" w:hAnsi="Palatino Linotype" w:cs="Palatino Linotype"/>
        </w:rPr>
      </w:pPr>
    </w:p>
    <w:p w14:paraId="0B06BEF7" w14:textId="77777777" w:rsidR="00640F5E" w:rsidRPr="00CB2E6A" w:rsidRDefault="00640F5E">
      <w:pPr>
        <w:spacing w:before="240" w:after="240" w:line="360" w:lineRule="auto"/>
        <w:jc w:val="both"/>
        <w:rPr>
          <w:rFonts w:ascii="Palatino Linotype" w:eastAsia="Palatino Linotype" w:hAnsi="Palatino Linotype" w:cs="Palatino Linotype"/>
        </w:rPr>
      </w:pPr>
    </w:p>
    <w:p w14:paraId="1CD8CCB8" w14:textId="77777777" w:rsidR="00640F5E" w:rsidRPr="00CB2E6A" w:rsidRDefault="00640F5E">
      <w:pPr>
        <w:spacing w:before="240" w:after="240" w:line="360" w:lineRule="auto"/>
        <w:jc w:val="both"/>
        <w:rPr>
          <w:rFonts w:ascii="Palatino Linotype" w:eastAsia="Palatino Linotype" w:hAnsi="Palatino Linotype" w:cs="Palatino Linotype"/>
        </w:rPr>
      </w:pPr>
    </w:p>
    <w:p w14:paraId="44327128" w14:textId="77777777" w:rsidR="00640F5E" w:rsidRPr="00CB2E6A" w:rsidRDefault="00640F5E">
      <w:pPr>
        <w:spacing w:before="240" w:after="240" w:line="360" w:lineRule="auto"/>
        <w:jc w:val="both"/>
        <w:rPr>
          <w:rFonts w:ascii="Palatino Linotype" w:eastAsia="Palatino Linotype" w:hAnsi="Palatino Linotype" w:cs="Palatino Linotype"/>
        </w:rPr>
      </w:pPr>
    </w:p>
    <w:p w14:paraId="5E2BDBDA" w14:textId="77777777" w:rsidR="00640F5E" w:rsidRPr="00CB2E6A" w:rsidRDefault="00640F5E">
      <w:pPr>
        <w:spacing w:before="240" w:after="240" w:line="360" w:lineRule="auto"/>
        <w:jc w:val="both"/>
        <w:rPr>
          <w:rFonts w:ascii="Palatino Linotype" w:eastAsia="Palatino Linotype" w:hAnsi="Palatino Linotype" w:cs="Palatino Linotype"/>
        </w:rPr>
      </w:pPr>
    </w:p>
    <w:sectPr w:rsidR="00640F5E" w:rsidRPr="00CB2E6A">
      <w:headerReference w:type="default" r:id="rId20"/>
      <w:footerReference w:type="default" r:id="rId21"/>
      <w:headerReference w:type="first" r:id="rId22"/>
      <w:footerReference w:type="first" r:id="rId23"/>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ED9C1" w14:textId="77777777" w:rsidR="0097499B" w:rsidRDefault="0097499B">
      <w:r>
        <w:separator/>
      </w:r>
    </w:p>
  </w:endnote>
  <w:endnote w:type="continuationSeparator" w:id="0">
    <w:p w14:paraId="75677799" w14:textId="77777777" w:rsidR="0097499B" w:rsidRDefault="00974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0461" w14:textId="77777777" w:rsidR="00640F5E" w:rsidRDefault="00634B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51211">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51211">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3F84D6B4" w14:textId="77777777" w:rsidR="00640F5E" w:rsidRDefault="00640F5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A027B" w14:textId="77777777" w:rsidR="00640F5E" w:rsidRDefault="00634B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5121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51211">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7A8E28E2" w14:textId="77777777" w:rsidR="00640F5E" w:rsidRDefault="00640F5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513CD" w14:textId="77777777" w:rsidR="0097499B" w:rsidRDefault="0097499B">
      <w:r>
        <w:separator/>
      </w:r>
    </w:p>
  </w:footnote>
  <w:footnote w:type="continuationSeparator" w:id="0">
    <w:p w14:paraId="27531578" w14:textId="77777777" w:rsidR="0097499B" w:rsidRDefault="009749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C6F75" w14:textId="77777777" w:rsidR="00640F5E" w:rsidRDefault="00634B6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22041FC7" wp14:editId="1343D8F5">
          <wp:simplePos x="0" y="0"/>
          <wp:positionH relativeFrom="column">
            <wp:posOffset>-1080132</wp:posOffset>
          </wp:positionH>
          <wp:positionV relativeFrom="paragraph">
            <wp:posOffset>-488312</wp:posOffset>
          </wp:positionV>
          <wp:extent cx="7809865" cy="10165715"/>
          <wp:effectExtent l="0" t="0" r="0" b="0"/>
          <wp:wrapNone/>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640F5E" w14:paraId="21AB5C91" w14:textId="77777777">
      <w:tc>
        <w:tcPr>
          <w:tcW w:w="2489" w:type="dxa"/>
          <w:shd w:val="clear" w:color="auto" w:fill="auto"/>
        </w:tcPr>
        <w:p w14:paraId="3A5C9FB0" w14:textId="77777777" w:rsidR="00640F5E" w:rsidRDefault="00634B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E670805" w14:textId="77777777" w:rsidR="00640F5E" w:rsidRDefault="00634B6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03454/INFOEM/IP/RR/2023</w:t>
          </w:r>
        </w:p>
      </w:tc>
    </w:tr>
    <w:tr w:rsidR="00640F5E" w14:paraId="58BAEF83" w14:textId="77777777">
      <w:trPr>
        <w:trHeight w:val="228"/>
      </w:trPr>
      <w:tc>
        <w:tcPr>
          <w:tcW w:w="2489" w:type="dxa"/>
          <w:shd w:val="clear" w:color="auto" w:fill="auto"/>
          <w:vAlign w:val="center"/>
        </w:tcPr>
        <w:p w14:paraId="460AFBB8" w14:textId="77777777" w:rsidR="00640F5E" w:rsidRDefault="00634B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E67A1E7" w14:textId="77777777" w:rsidR="00640F5E" w:rsidRDefault="00634B6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640F5E" w14:paraId="0E13A533" w14:textId="77777777">
      <w:tc>
        <w:tcPr>
          <w:tcW w:w="2489" w:type="dxa"/>
          <w:shd w:val="clear" w:color="auto" w:fill="auto"/>
          <w:vAlign w:val="center"/>
        </w:tcPr>
        <w:p w14:paraId="16835134" w14:textId="77777777" w:rsidR="00640F5E" w:rsidRDefault="00634B6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6CEFED9" w14:textId="77777777" w:rsidR="00640F5E" w:rsidRDefault="00634B6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2B54B41" w14:textId="77777777" w:rsidR="00640F5E" w:rsidRDefault="00634B6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1E1F" w14:textId="77777777" w:rsidR="00640F5E" w:rsidRDefault="00640F5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640F5E" w14:paraId="12E553DD" w14:textId="77777777">
      <w:tc>
        <w:tcPr>
          <w:tcW w:w="2551" w:type="dxa"/>
          <w:shd w:val="clear" w:color="auto" w:fill="auto"/>
          <w:vAlign w:val="center"/>
        </w:tcPr>
        <w:p w14:paraId="00CB7DFB" w14:textId="77777777" w:rsidR="00640F5E" w:rsidRDefault="00634B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9ACBD42" w14:textId="77777777" w:rsidR="00640F5E" w:rsidRDefault="00634B6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03454/INFOEM/IP/RR/2023</w:t>
          </w:r>
        </w:p>
      </w:tc>
    </w:tr>
    <w:tr w:rsidR="00640F5E" w14:paraId="540BC09A" w14:textId="77777777">
      <w:trPr>
        <w:trHeight w:val="130"/>
      </w:trPr>
      <w:tc>
        <w:tcPr>
          <w:tcW w:w="2551" w:type="dxa"/>
          <w:shd w:val="clear" w:color="auto" w:fill="auto"/>
          <w:vAlign w:val="center"/>
        </w:tcPr>
        <w:p w14:paraId="02CEFDD3" w14:textId="77777777" w:rsidR="00640F5E" w:rsidRDefault="00634B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9EC29C8" w14:textId="77777777" w:rsidR="00640F5E" w:rsidRDefault="00634B62">
          <w:pPr>
            <w:tabs>
              <w:tab w:val="left" w:pos="3153"/>
            </w:tabs>
            <w:ind w:left="-45"/>
            <w:jc w:val="both"/>
            <w:rPr>
              <w:rFonts w:ascii="Palatino Linotype" w:eastAsia="Palatino Linotype" w:hAnsi="Palatino Linotype" w:cs="Palatino Linotype"/>
              <w:b/>
              <w:sz w:val="22"/>
              <w:szCs w:val="22"/>
            </w:rPr>
          </w:pPr>
          <w:r>
            <w:rPr>
              <w:noProof/>
            </w:rPr>
            <w:drawing>
              <wp:anchor distT="0" distB="0" distL="0" distR="0" simplePos="0" relativeHeight="251659264" behindDoc="1" locked="0" layoutInCell="1" hidden="0" allowOverlap="1" wp14:anchorId="2CE6E34E" wp14:editId="30AAF8EF">
                <wp:simplePos x="0" y="0"/>
                <wp:positionH relativeFrom="column">
                  <wp:posOffset>-4425313</wp:posOffset>
                </wp:positionH>
                <wp:positionV relativeFrom="paragraph">
                  <wp:posOffset>-361948</wp:posOffset>
                </wp:positionV>
                <wp:extent cx="7809865" cy="10165715"/>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640F5E" w14:paraId="2B75E135" w14:textId="77777777">
      <w:trPr>
        <w:trHeight w:val="228"/>
      </w:trPr>
      <w:tc>
        <w:tcPr>
          <w:tcW w:w="2551" w:type="dxa"/>
          <w:shd w:val="clear" w:color="auto" w:fill="auto"/>
          <w:vAlign w:val="center"/>
        </w:tcPr>
        <w:p w14:paraId="61E8AC0F" w14:textId="77777777" w:rsidR="00640F5E" w:rsidRDefault="00634B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61DACAB" w14:textId="77777777" w:rsidR="00640F5E" w:rsidRDefault="00634B6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640F5E" w14:paraId="07D2713E" w14:textId="77777777">
      <w:tc>
        <w:tcPr>
          <w:tcW w:w="2551" w:type="dxa"/>
          <w:shd w:val="clear" w:color="auto" w:fill="auto"/>
          <w:vAlign w:val="center"/>
        </w:tcPr>
        <w:p w14:paraId="644D73DC" w14:textId="77777777" w:rsidR="00640F5E" w:rsidRDefault="00634B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A62B550" w14:textId="77777777" w:rsidR="00640F5E" w:rsidRDefault="00634B6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4F0D53" w14:textId="77777777" w:rsidR="00640F5E" w:rsidRDefault="00640F5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2177B"/>
    <w:multiLevelType w:val="multilevel"/>
    <w:tmpl w:val="20F4BB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9A4081"/>
    <w:multiLevelType w:val="multilevel"/>
    <w:tmpl w:val="CBC86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D21BB8"/>
    <w:multiLevelType w:val="multilevel"/>
    <w:tmpl w:val="36EE99F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95E3CD4"/>
    <w:multiLevelType w:val="multilevel"/>
    <w:tmpl w:val="BEB4909C"/>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3627F49"/>
    <w:multiLevelType w:val="multilevel"/>
    <w:tmpl w:val="B4A2387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E53BD3"/>
    <w:multiLevelType w:val="multilevel"/>
    <w:tmpl w:val="769CC6C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BE00D27"/>
    <w:multiLevelType w:val="multilevel"/>
    <w:tmpl w:val="70EA3B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F5E"/>
    <w:rsid w:val="001B67AB"/>
    <w:rsid w:val="003B2C07"/>
    <w:rsid w:val="005D595C"/>
    <w:rsid w:val="00634B62"/>
    <w:rsid w:val="00640F5E"/>
    <w:rsid w:val="00751211"/>
    <w:rsid w:val="00772DBF"/>
    <w:rsid w:val="0097499B"/>
    <w:rsid w:val="00CB2E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8323C"/>
  <w15:docId w15:val="{8A9F2C39-CC07-4849-A8C4-6C01DAB48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65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13905.page" TargetMode="External"/><Relationship Id="rId13" Type="http://schemas.openxmlformats.org/officeDocument/2006/relationships/hyperlink" Target="https://saimex.org.mx/saimex/solicitud/downloadAttach/1831080.pag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1831082.page" TargetMode="External"/><Relationship Id="rId23" Type="http://schemas.openxmlformats.org/officeDocument/2006/relationships/footer" Target="footer2.xml"/><Relationship Id="rId10" Type="http://schemas.openxmlformats.org/officeDocument/2006/relationships/hyperlink" Target="https://saimex.org.mx/saimex/solicitud/downloadAttach/1814522.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saimex.org.mx/saimex/solicitud/downloadAttach/1814264.page" TargetMode="External"/><Relationship Id="rId14" Type="http://schemas.openxmlformats.org/officeDocument/2006/relationships/hyperlink" Target="https://saimex.org.mx/saimex/solicitud/downloadAttach/1831081.page"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HElD0ZKnd7zMfdEFUA3Y0wV+8Q==">CgMxLjAyCGguZ2pkZ3hzMgloLjMwajB6bGwyCWguMnM4ZXlvMTIIaC50eWpjd3QyCWguMWZvYjl0ZTIJaC4zcmRjcmpuMgloLjE3ZHA4dnU4AHIhMURiUk8tS0hOY2FRMWFMamRVM0F3azNRQWFybUVQXzAy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59</Pages>
  <Words>16193</Words>
  <Characters>89065</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2024-02-09T16:28:00Z</cp:lastPrinted>
  <dcterms:created xsi:type="dcterms:W3CDTF">2024-02-16T21:31:00Z</dcterms:created>
  <dcterms:modified xsi:type="dcterms:W3CDTF">2024-02-16T21:31:00Z</dcterms:modified>
</cp:coreProperties>
</file>