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EAC9" w14:textId="77777777" w:rsidR="00390EB8" w:rsidRPr="00390EB8" w:rsidRDefault="005C7866" w:rsidP="00390EB8">
      <w:pPr>
        <w:pStyle w:val="TtulodeTDC"/>
        <w:spacing w:before="0" w:line="240" w:lineRule="auto"/>
        <w:rPr>
          <w:rFonts w:ascii="Palatino Linotype" w:eastAsia="Times New Roman" w:hAnsi="Palatino Linotype" w:cs="Times New Roman"/>
          <w:color w:val="auto"/>
          <w:sz w:val="16"/>
          <w:szCs w:val="16"/>
          <w:lang w:val="es-ES" w:eastAsia="es-ES"/>
        </w:rPr>
      </w:pPr>
      <w:r w:rsidRPr="00390EB8">
        <w:rPr>
          <w:rFonts w:ascii="Palatino Linotype" w:eastAsia="Times New Roman" w:hAnsi="Palatino Linotype" w:cs="Times New Roman"/>
          <w:color w:val="auto"/>
          <w:sz w:val="16"/>
          <w:szCs w:val="16"/>
          <w:lang w:val="es-ES" w:eastAsia="es-ES"/>
        </w:rPr>
        <w:t xml:space="preserve"> </w:t>
      </w:r>
    </w:p>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2C0D6CCE" w:rsidR="00AE3DA7" w:rsidRPr="00390EB8" w:rsidRDefault="00AE3DA7" w:rsidP="00390EB8">
          <w:pPr>
            <w:pStyle w:val="TtulodeTDC"/>
            <w:spacing w:before="0" w:line="240" w:lineRule="auto"/>
            <w:rPr>
              <w:rFonts w:ascii="Palatino Linotype" w:hAnsi="Palatino Linotype"/>
              <w:color w:val="auto"/>
              <w:sz w:val="24"/>
              <w:szCs w:val="24"/>
              <w:lang w:val="es-ES"/>
            </w:rPr>
          </w:pPr>
          <w:r w:rsidRPr="00390EB8">
            <w:rPr>
              <w:rFonts w:ascii="Palatino Linotype" w:hAnsi="Palatino Linotype"/>
              <w:color w:val="auto"/>
              <w:sz w:val="24"/>
              <w:szCs w:val="24"/>
              <w:lang w:val="es-ES"/>
            </w:rPr>
            <w:t>Contenido</w:t>
          </w:r>
        </w:p>
        <w:p w14:paraId="3EB312A7" w14:textId="77777777" w:rsidR="00AA6EA9" w:rsidRPr="00390EB8" w:rsidRDefault="00AA6EA9" w:rsidP="00390EB8">
          <w:pPr>
            <w:spacing w:line="240" w:lineRule="auto"/>
            <w:rPr>
              <w:sz w:val="16"/>
              <w:szCs w:val="16"/>
              <w:lang w:val="es-ES" w:eastAsia="es-MX"/>
            </w:rPr>
          </w:pPr>
        </w:p>
        <w:p w14:paraId="10B9B985" w14:textId="77777777" w:rsidR="00ED694D" w:rsidRPr="00390EB8" w:rsidRDefault="00AE3DA7" w:rsidP="00390EB8">
          <w:pPr>
            <w:pStyle w:val="TDC1"/>
            <w:tabs>
              <w:tab w:val="right" w:leader="dot" w:pos="9034"/>
            </w:tabs>
            <w:rPr>
              <w:rFonts w:asciiTheme="minorHAnsi" w:eastAsiaTheme="minorEastAsia" w:hAnsiTheme="minorHAnsi" w:cstheme="minorBidi"/>
              <w:noProof/>
              <w:szCs w:val="22"/>
              <w:lang w:eastAsia="es-MX"/>
            </w:rPr>
          </w:pPr>
          <w:r w:rsidRPr="00390EB8">
            <w:rPr>
              <w:sz w:val="16"/>
              <w:szCs w:val="16"/>
            </w:rPr>
            <w:fldChar w:fldCharType="begin"/>
          </w:r>
          <w:r w:rsidRPr="00390EB8">
            <w:rPr>
              <w:sz w:val="16"/>
              <w:szCs w:val="16"/>
            </w:rPr>
            <w:instrText xml:space="preserve"> TOC \o "1-3" \h \z \u </w:instrText>
          </w:r>
          <w:r w:rsidRPr="00390EB8">
            <w:rPr>
              <w:sz w:val="16"/>
              <w:szCs w:val="16"/>
            </w:rPr>
            <w:fldChar w:fldCharType="separate"/>
          </w:r>
          <w:hyperlink w:anchor="_Toc181822302" w:history="1">
            <w:r w:rsidR="00ED694D" w:rsidRPr="00390EB8">
              <w:rPr>
                <w:rStyle w:val="Hipervnculo"/>
                <w:noProof/>
                <w:color w:val="auto"/>
              </w:rPr>
              <w:t>ANTECEDENTES</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_Toc181822302 \h </w:instrText>
            </w:r>
            <w:r w:rsidR="00ED694D" w:rsidRPr="00390EB8">
              <w:rPr>
                <w:noProof/>
                <w:webHidden/>
              </w:rPr>
            </w:r>
            <w:r w:rsidR="00ED694D" w:rsidRPr="00390EB8">
              <w:rPr>
                <w:noProof/>
                <w:webHidden/>
              </w:rPr>
              <w:fldChar w:fldCharType="separate"/>
            </w:r>
            <w:r w:rsidR="00FD320E">
              <w:rPr>
                <w:noProof/>
                <w:webHidden/>
              </w:rPr>
              <w:t>1</w:t>
            </w:r>
            <w:r w:rsidR="00ED694D" w:rsidRPr="00390EB8">
              <w:rPr>
                <w:noProof/>
                <w:webHidden/>
              </w:rPr>
              <w:fldChar w:fldCharType="end"/>
            </w:r>
          </w:hyperlink>
        </w:p>
        <w:p w14:paraId="400EE70D" w14:textId="77777777" w:rsidR="00ED694D" w:rsidRPr="00390EB8" w:rsidRDefault="00AA6B91" w:rsidP="00390EB8">
          <w:pPr>
            <w:pStyle w:val="TDC2"/>
            <w:rPr>
              <w:rFonts w:asciiTheme="minorHAnsi" w:eastAsiaTheme="minorEastAsia" w:hAnsiTheme="minorHAnsi" w:cstheme="minorBidi"/>
              <w:noProof/>
              <w:szCs w:val="22"/>
              <w:lang w:eastAsia="es-MX"/>
            </w:rPr>
          </w:pPr>
          <w:hyperlink w:anchor="_Toc181822303" w:history="1">
            <w:r w:rsidR="00ED694D" w:rsidRPr="00390EB8">
              <w:rPr>
                <w:rStyle w:val="Hipervnculo"/>
                <w:noProof/>
                <w:color w:val="auto"/>
              </w:rPr>
              <w:t>DE LA SOLICITUD DE INFORMACIÓN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_Toc181822303 \h </w:instrText>
            </w:r>
            <w:r w:rsidR="00ED694D" w:rsidRPr="00390EB8">
              <w:rPr>
                <w:noProof/>
                <w:webHidden/>
              </w:rPr>
            </w:r>
            <w:r w:rsidR="00ED694D" w:rsidRPr="00390EB8">
              <w:rPr>
                <w:noProof/>
                <w:webHidden/>
              </w:rPr>
              <w:fldChar w:fldCharType="separate"/>
            </w:r>
            <w:r w:rsidR="00FD320E">
              <w:rPr>
                <w:noProof/>
                <w:webHidden/>
              </w:rPr>
              <w:t>1</w:t>
            </w:r>
            <w:r w:rsidR="00ED694D" w:rsidRPr="00390EB8">
              <w:rPr>
                <w:noProof/>
                <w:webHidden/>
              </w:rPr>
              <w:fldChar w:fldCharType="end"/>
            </w:r>
          </w:hyperlink>
        </w:p>
        <w:p w14:paraId="16C2BF5B"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04" w:history="1">
            <w:r w:rsidR="00ED694D" w:rsidRPr="00390EB8">
              <w:rPr>
                <w:rStyle w:val="Hipervnculo"/>
                <w:noProof/>
                <w:color w:val="auto"/>
              </w:rPr>
              <w:t>a) Solicitud de información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_Toc181822304 \h </w:instrText>
            </w:r>
            <w:r w:rsidR="00ED694D" w:rsidRPr="00390EB8">
              <w:rPr>
                <w:noProof/>
                <w:webHidden/>
              </w:rPr>
            </w:r>
            <w:r w:rsidR="00ED694D" w:rsidRPr="00390EB8">
              <w:rPr>
                <w:noProof/>
                <w:webHidden/>
              </w:rPr>
              <w:fldChar w:fldCharType="separate"/>
            </w:r>
            <w:r w:rsidR="00FD320E">
              <w:rPr>
                <w:noProof/>
                <w:webHidden/>
              </w:rPr>
              <w:t>1</w:t>
            </w:r>
            <w:r w:rsidR="00ED694D" w:rsidRPr="00390EB8">
              <w:rPr>
                <w:noProof/>
                <w:webHidden/>
              </w:rPr>
              <w:fldChar w:fldCharType="end"/>
            </w:r>
          </w:hyperlink>
        </w:p>
        <w:p w14:paraId="4833D389"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05" w:history="1">
            <w:r w:rsidR="00ED694D" w:rsidRPr="00390EB8">
              <w:rPr>
                <w:rStyle w:val="Hipervnculo"/>
                <w:noProof/>
                <w:color w:val="auto"/>
              </w:rPr>
              <w:t>b) Turno de la solicitud de información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_Toc181822305 \h </w:instrText>
            </w:r>
            <w:r w:rsidR="00ED694D" w:rsidRPr="00390EB8">
              <w:rPr>
                <w:noProof/>
                <w:webHidden/>
              </w:rPr>
            </w:r>
            <w:r w:rsidR="00ED694D" w:rsidRPr="00390EB8">
              <w:rPr>
                <w:noProof/>
                <w:webHidden/>
              </w:rPr>
              <w:fldChar w:fldCharType="separate"/>
            </w:r>
            <w:r w:rsidR="00FD320E">
              <w:rPr>
                <w:noProof/>
                <w:webHidden/>
              </w:rPr>
              <w:t>2</w:t>
            </w:r>
            <w:r w:rsidR="00ED694D" w:rsidRPr="00390EB8">
              <w:rPr>
                <w:noProof/>
                <w:webHidden/>
              </w:rPr>
              <w:fldChar w:fldCharType="end"/>
            </w:r>
          </w:hyperlink>
        </w:p>
        <w:p w14:paraId="07470192"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06" w:history="1">
            <w:r w:rsidR="00ED694D" w:rsidRPr="00390EB8">
              <w:rPr>
                <w:rStyle w:val="Hipervnculo"/>
                <w:noProof/>
                <w:color w:val="auto"/>
              </w:rPr>
              <w:t>c) Prórroga</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_Toc181822306 \h </w:instrText>
            </w:r>
            <w:r w:rsidR="00ED694D" w:rsidRPr="00390EB8">
              <w:rPr>
                <w:noProof/>
                <w:webHidden/>
              </w:rPr>
            </w:r>
            <w:r w:rsidR="00ED694D" w:rsidRPr="00390EB8">
              <w:rPr>
                <w:noProof/>
                <w:webHidden/>
              </w:rPr>
              <w:fldChar w:fldCharType="separate"/>
            </w:r>
            <w:r w:rsidR="00FD320E">
              <w:rPr>
                <w:noProof/>
                <w:webHidden/>
              </w:rPr>
              <w:t>2</w:t>
            </w:r>
            <w:r w:rsidR="00ED694D" w:rsidRPr="00390EB8">
              <w:rPr>
                <w:noProof/>
                <w:webHidden/>
              </w:rPr>
              <w:fldChar w:fldCharType="end"/>
            </w:r>
          </w:hyperlink>
        </w:p>
        <w:p w14:paraId="4A13E680"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07" w:history="1">
            <w:r w:rsidR="00ED694D" w:rsidRPr="00390EB8">
              <w:rPr>
                <w:rStyle w:val="Hipervnculo"/>
                <w:noProof/>
                <w:color w:val="auto"/>
                <w:lang w:val="es-ES"/>
              </w:rPr>
              <w:t xml:space="preserve">d) Respuesta </w:t>
            </w:r>
            <w:r w:rsidR="00ED694D" w:rsidRPr="00390EB8">
              <w:rPr>
                <w:rStyle w:val="Hipervnculo"/>
                <w:rFonts w:eastAsia="Calibri"/>
                <w:noProof/>
                <w:color w:val="auto"/>
                <w:lang w:eastAsia="en-US"/>
              </w:rPr>
              <w:t>del Sujeto Obligado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_Toc181822307 \h </w:instrText>
            </w:r>
            <w:r w:rsidR="00ED694D" w:rsidRPr="00390EB8">
              <w:rPr>
                <w:noProof/>
                <w:webHidden/>
              </w:rPr>
            </w:r>
            <w:r w:rsidR="00ED694D" w:rsidRPr="00390EB8">
              <w:rPr>
                <w:noProof/>
                <w:webHidden/>
              </w:rPr>
              <w:fldChar w:fldCharType="separate"/>
            </w:r>
            <w:r w:rsidR="00FD320E">
              <w:rPr>
                <w:noProof/>
                <w:webHidden/>
              </w:rPr>
              <w:t>3</w:t>
            </w:r>
            <w:r w:rsidR="00ED694D" w:rsidRPr="00390EB8">
              <w:rPr>
                <w:noProof/>
                <w:webHidden/>
              </w:rPr>
              <w:fldChar w:fldCharType="end"/>
            </w:r>
          </w:hyperlink>
        </w:p>
        <w:p w14:paraId="787E99A2" w14:textId="77777777" w:rsidR="00ED694D" w:rsidRPr="00390EB8" w:rsidRDefault="00AA6B91" w:rsidP="00390EB8">
          <w:pPr>
            <w:pStyle w:val="TDC2"/>
            <w:rPr>
              <w:rFonts w:asciiTheme="minorHAnsi" w:eastAsiaTheme="minorEastAsia" w:hAnsiTheme="minorHAnsi" w:cstheme="minorBidi"/>
              <w:noProof/>
              <w:szCs w:val="22"/>
              <w:lang w:eastAsia="es-MX"/>
            </w:rPr>
          </w:pPr>
          <w:hyperlink w:anchor="_Toc181822308" w:history="1">
            <w:r w:rsidR="00ED694D" w:rsidRPr="00390EB8">
              <w:rPr>
                <w:rStyle w:val="Hipervnculo"/>
                <w:noProof/>
                <w:color w:val="auto"/>
              </w:rPr>
              <w:t>DEL RECURSO DE REVISIÓN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_Toc181822308 \h </w:instrText>
            </w:r>
            <w:r w:rsidR="00ED694D" w:rsidRPr="00390EB8">
              <w:rPr>
                <w:noProof/>
                <w:webHidden/>
              </w:rPr>
            </w:r>
            <w:r w:rsidR="00ED694D" w:rsidRPr="00390EB8">
              <w:rPr>
                <w:noProof/>
                <w:webHidden/>
              </w:rPr>
              <w:fldChar w:fldCharType="separate"/>
            </w:r>
            <w:r w:rsidR="00FD320E">
              <w:rPr>
                <w:noProof/>
                <w:webHidden/>
              </w:rPr>
              <w:t>4</w:t>
            </w:r>
            <w:r w:rsidR="00ED694D" w:rsidRPr="00390EB8">
              <w:rPr>
                <w:noProof/>
                <w:webHidden/>
              </w:rPr>
              <w:fldChar w:fldCharType="end"/>
            </w:r>
          </w:hyperlink>
        </w:p>
        <w:p w14:paraId="2BD8D397"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09" w:history="1">
            <w:r w:rsidR="00ED694D" w:rsidRPr="00390EB8">
              <w:rPr>
                <w:rStyle w:val="Hipervnculo"/>
                <w:noProof/>
                <w:color w:val="auto"/>
              </w:rPr>
              <w:t>a) Interposición del Recurso de Revisión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_Toc181822309 \h </w:instrText>
            </w:r>
            <w:r w:rsidR="00ED694D" w:rsidRPr="00390EB8">
              <w:rPr>
                <w:noProof/>
                <w:webHidden/>
              </w:rPr>
            </w:r>
            <w:r w:rsidR="00ED694D" w:rsidRPr="00390EB8">
              <w:rPr>
                <w:noProof/>
                <w:webHidden/>
              </w:rPr>
              <w:fldChar w:fldCharType="separate"/>
            </w:r>
            <w:r w:rsidR="00FD320E">
              <w:rPr>
                <w:noProof/>
                <w:webHidden/>
              </w:rPr>
              <w:t>4</w:t>
            </w:r>
            <w:r w:rsidR="00ED694D" w:rsidRPr="00390EB8">
              <w:rPr>
                <w:noProof/>
                <w:webHidden/>
              </w:rPr>
              <w:fldChar w:fldCharType="end"/>
            </w:r>
          </w:hyperlink>
        </w:p>
        <w:p w14:paraId="383A0586"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0" w:history="1">
            <w:r w:rsidR="00ED694D" w:rsidRPr="00390EB8">
              <w:rPr>
                <w:rStyle w:val="Hipervnculo"/>
                <w:noProof/>
                <w:color w:val="auto"/>
              </w:rPr>
              <w:t>b) Turno del Recurso de Revisión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_Toc181822310 \h </w:instrText>
            </w:r>
            <w:r w:rsidR="00ED694D" w:rsidRPr="00390EB8">
              <w:rPr>
                <w:noProof/>
                <w:webHidden/>
              </w:rPr>
            </w:r>
            <w:r w:rsidR="00ED694D" w:rsidRPr="00390EB8">
              <w:rPr>
                <w:noProof/>
                <w:webHidden/>
              </w:rPr>
              <w:fldChar w:fldCharType="separate"/>
            </w:r>
            <w:r w:rsidR="00FD320E">
              <w:rPr>
                <w:noProof/>
                <w:webHidden/>
              </w:rPr>
              <w:t>5</w:t>
            </w:r>
            <w:r w:rsidR="00ED694D" w:rsidRPr="00390EB8">
              <w:rPr>
                <w:noProof/>
                <w:webHidden/>
              </w:rPr>
              <w:fldChar w:fldCharType="end"/>
            </w:r>
          </w:hyperlink>
        </w:p>
        <w:p w14:paraId="24F2ABF7"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1" w:history="1">
            <w:r w:rsidR="00ED694D" w:rsidRPr="00390EB8">
              <w:rPr>
                <w:rStyle w:val="Hipervnculo"/>
                <w:noProof/>
                <w:color w:val="auto"/>
              </w:rPr>
              <w:t>c) Admisión del Recurso de Revisión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_Toc181822311 \h </w:instrText>
            </w:r>
            <w:r w:rsidR="00ED694D" w:rsidRPr="00390EB8">
              <w:rPr>
                <w:noProof/>
                <w:webHidden/>
              </w:rPr>
            </w:r>
            <w:r w:rsidR="00ED694D" w:rsidRPr="00390EB8">
              <w:rPr>
                <w:noProof/>
                <w:webHidden/>
              </w:rPr>
              <w:fldChar w:fldCharType="separate"/>
            </w:r>
            <w:r w:rsidR="00FD320E">
              <w:rPr>
                <w:noProof/>
                <w:webHidden/>
              </w:rPr>
              <w:t>5</w:t>
            </w:r>
            <w:r w:rsidR="00ED694D" w:rsidRPr="00390EB8">
              <w:rPr>
                <w:noProof/>
                <w:webHidden/>
              </w:rPr>
              <w:fldChar w:fldCharType="end"/>
            </w:r>
          </w:hyperlink>
        </w:p>
        <w:p w14:paraId="0CBBE4BF"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2" w:history="1">
            <w:r w:rsidR="00ED694D" w:rsidRPr="00390EB8">
              <w:rPr>
                <w:rStyle w:val="Hipervnculo"/>
                <w:noProof/>
                <w:color w:val="auto"/>
              </w:rPr>
              <w:t>d) Informe Justificado del Sujeto Obligado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_Toc181822312 \h </w:instrText>
            </w:r>
            <w:r w:rsidR="00ED694D" w:rsidRPr="00390EB8">
              <w:rPr>
                <w:noProof/>
                <w:webHidden/>
              </w:rPr>
            </w:r>
            <w:r w:rsidR="00ED694D" w:rsidRPr="00390EB8">
              <w:rPr>
                <w:noProof/>
                <w:webHidden/>
              </w:rPr>
              <w:fldChar w:fldCharType="separate"/>
            </w:r>
            <w:r w:rsidR="00FD320E">
              <w:rPr>
                <w:noProof/>
                <w:webHidden/>
              </w:rPr>
              <w:t>6</w:t>
            </w:r>
            <w:r w:rsidR="00ED694D" w:rsidRPr="00390EB8">
              <w:rPr>
                <w:noProof/>
                <w:webHidden/>
              </w:rPr>
              <w:fldChar w:fldCharType="end"/>
            </w:r>
          </w:hyperlink>
        </w:p>
        <w:p w14:paraId="1F4327D7"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3" w:history="1">
            <w:r w:rsidR="00ED694D" w:rsidRPr="00390EB8">
              <w:rPr>
                <w:rStyle w:val="Hipervnculo"/>
                <w:rFonts w:eastAsia="Calibri"/>
                <w:bCs/>
                <w:noProof/>
                <w:color w:val="auto"/>
                <w:lang w:eastAsia="en-US"/>
              </w:rPr>
              <w:t>e)</w:t>
            </w:r>
            <w:r w:rsidR="00ED694D" w:rsidRPr="00390EB8">
              <w:rPr>
                <w:rStyle w:val="Hipervnculo"/>
                <w:noProof/>
                <w:color w:val="auto"/>
              </w:rPr>
              <w:t xml:space="preserve"> </w:t>
            </w:r>
            <w:r w:rsidR="00ED694D" w:rsidRPr="00390EB8">
              <w:rPr>
                <w:rStyle w:val="Hipervnculo"/>
                <w:noProof/>
                <w:color w:val="auto"/>
                <w:lang w:val="es-ES"/>
              </w:rPr>
              <w:t>Manifestaciones de la Parte Recurrente</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_Toc181822313 \h </w:instrText>
            </w:r>
            <w:r w:rsidR="00ED694D" w:rsidRPr="00390EB8">
              <w:rPr>
                <w:noProof/>
                <w:webHidden/>
              </w:rPr>
            </w:r>
            <w:r w:rsidR="00ED694D" w:rsidRPr="00390EB8">
              <w:rPr>
                <w:noProof/>
                <w:webHidden/>
              </w:rPr>
              <w:fldChar w:fldCharType="separate"/>
            </w:r>
            <w:r w:rsidR="00FD320E">
              <w:rPr>
                <w:noProof/>
                <w:webHidden/>
              </w:rPr>
              <w:t>6</w:t>
            </w:r>
            <w:r w:rsidR="00ED694D" w:rsidRPr="00390EB8">
              <w:rPr>
                <w:noProof/>
                <w:webHidden/>
              </w:rPr>
              <w:fldChar w:fldCharType="end"/>
            </w:r>
          </w:hyperlink>
        </w:p>
        <w:p w14:paraId="6E5C1C46"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4" w:history="1">
            <w:r w:rsidR="00ED694D" w:rsidRPr="00390EB8">
              <w:rPr>
                <w:rStyle w:val="Hipervnculo"/>
                <w:noProof/>
                <w:color w:val="auto"/>
              </w:rPr>
              <w:t>f) Cierre de instrucción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_Toc181822314 \h </w:instrText>
            </w:r>
            <w:r w:rsidR="00ED694D" w:rsidRPr="00390EB8">
              <w:rPr>
                <w:noProof/>
                <w:webHidden/>
              </w:rPr>
            </w:r>
            <w:r w:rsidR="00ED694D" w:rsidRPr="00390EB8">
              <w:rPr>
                <w:noProof/>
                <w:webHidden/>
              </w:rPr>
              <w:fldChar w:fldCharType="separate"/>
            </w:r>
            <w:r w:rsidR="00FD320E">
              <w:rPr>
                <w:noProof/>
                <w:webHidden/>
              </w:rPr>
              <w:t>6</w:t>
            </w:r>
            <w:r w:rsidR="00ED694D" w:rsidRPr="00390EB8">
              <w:rPr>
                <w:noProof/>
                <w:webHidden/>
              </w:rPr>
              <w:fldChar w:fldCharType="end"/>
            </w:r>
          </w:hyperlink>
        </w:p>
        <w:p w14:paraId="5EB599F8" w14:textId="77777777" w:rsidR="00ED694D" w:rsidRPr="00390EB8" w:rsidRDefault="00AA6B91" w:rsidP="00390EB8">
          <w:pPr>
            <w:pStyle w:val="TDC1"/>
            <w:tabs>
              <w:tab w:val="right" w:leader="dot" w:pos="9034"/>
            </w:tabs>
            <w:rPr>
              <w:rFonts w:asciiTheme="minorHAnsi" w:eastAsiaTheme="minorEastAsia" w:hAnsiTheme="minorHAnsi" w:cstheme="minorBidi"/>
              <w:noProof/>
              <w:szCs w:val="22"/>
              <w:lang w:eastAsia="es-MX"/>
            </w:rPr>
          </w:pPr>
          <w:hyperlink w:anchor="_Toc181822315" w:history="1">
            <w:r w:rsidR="00ED694D" w:rsidRPr="00390EB8">
              <w:rPr>
                <w:rStyle w:val="Hipervnculo"/>
                <w:rFonts w:eastAsiaTheme="minorHAnsi"/>
                <w:noProof/>
                <w:color w:val="auto"/>
                <w:lang w:eastAsia="en-US"/>
              </w:rPr>
              <w:t>CONSIDERANDOS</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_Toc181822315 \h </w:instrText>
            </w:r>
            <w:r w:rsidR="00ED694D" w:rsidRPr="00390EB8">
              <w:rPr>
                <w:noProof/>
                <w:webHidden/>
              </w:rPr>
            </w:r>
            <w:r w:rsidR="00ED694D" w:rsidRPr="00390EB8">
              <w:rPr>
                <w:noProof/>
                <w:webHidden/>
              </w:rPr>
              <w:fldChar w:fldCharType="separate"/>
            </w:r>
            <w:r w:rsidR="00FD320E">
              <w:rPr>
                <w:noProof/>
                <w:webHidden/>
              </w:rPr>
              <w:t>7</w:t>
            </w:r>
            <w:r w:rsidR="00ED694D" w:rsidRPr="00390EB8">
              <w:rPr>
                <w:noProof/>
                <w:webHidden/>
              </w:rPr>
              <w:fldChar w:fldCharType="end"/>
            </w:r>
          </w:hyperlink>
        </w:p>
        <w:p w14:paraId="77E0B8B3" w14:textId="77777777" w:rsidR="00ED694D" w:rsidRPr="00390EB8" w:rsidRDefault="00AA6B91" w:rsidP="00390EB8">
          <w:pPr>
            <w:pStyle w:val="TDC2"/>
            <w:rPr>
              <w:rFonts w:asciiTheme="minorHAnsi" w:eastAsiaTheme="minorEastAsia" w:hAnsiTheme="minorHAnsi" w:cstheme="minorBidi"/>
              <w:noProof/>
              <w:szCs w:val="22"/>
              <w:lang w:eastAsia="es-MX"/>
            </w:rPr>
          </w:pPr>
          <w:hyperlink w:anchor="_Toc181822316" w:history="1">
            <w:r w:rsidR="00ED694D" w:rsidRPr="00390EB8">
              <w:rPr>
                <w:rStyle w:val="Hipervnculo"/>
                <w:rFonts w:eastAsia="Batang"/>
                <w:noProof/>
                <w:color w:val="auto"/>
              </w:rPr>
              <w:t>PRIMERO. Procedibilidad</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_Toc181822316 \h </w:instrText>
            </w:r>
            <w:r w:rsidR="00ED694D" w:rsidRPr="00390EB8">
              <w:rPr>
                <w:noProof/>
                <w:webHidden/>
              </w:rPr>
            </w:r>
            <w:r w:rsidR="00ED694D" w:rsidRPr="00390EB8">
              <w:rPr>
                <w:noProof/>
                <w:webHidden/>
              </w:rPr>
              <w:fldChar w:fldCharType="separate"/>
            </w:r>
            <w:r w:rsidR="00FD320E">
              <w:rPr>
                <w:noProof/>
                <w:webHidden/>
              </w:rPr>
              <w:t>7</w:t>
            </w:r>
            <w:r w:rsidR="00ED694D" w:rsidRPr="00390EB8">
              <w:rPr>
                <w:noProof/>
                <w:webHidden/>
              </w:rPr>
              <w:fldChar w:fldCharType="end"/>
            </w:r>
          </w:hyperlink>
        </w:p>
        <w:p w14:paraId="031AA3AA"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7" w:history="1">
            <w:r w:rsidR="00ED694D" w:rsidRPr="00390EB8">
              <w:rPr>
                <w:rStyle w:val="Hipervnculo"/>
                <w:noProof/>
                <w:color w:val="auto"/>
              </w:rPr>
              <w:t>a) Competencia del Instituto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_Toc181822317 \h </w:instrText>
            </w:r>
            <w:r w:rsidR="00ED694D" w:rsidRPr="00390EB8">
              <w:rPr>
                <w:noProof/>
                <w:webHidden/>
              </w:rPr>
            </w:r>
            <w:r w:rsidR="00ED694D" w:rsidRPr="00390EB8">
              <w:rPr>
                <w:noProof/>
                <w:webHidden/>
              </w:rPr>
              <w:fldChar w:fldCharType="separate"/>
            </w:r>
            <w:r w:rsidR="00FD320E">
              <w:rPr>
                <w:noProof/>
                <w:webHidden/>
              </w:rPr>
              <w:t>7</w:t>
            </w:r>
            <w:r w:rsidR="00ED694D" w:rsidRPr="00390EB8">
              <w:rPr>
                <w:noProof/>
                <w:webHidden/>
              </w:rPr>
              <w:fldChar w:fldCharType="end"/>
            </w:r>
          </w:hyperlink>
        </w:p>
        <w:p w14:paraId="30057552"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8" w:history="1">
            <w:r w:rsidR="00ED694D" w:rsidRPr="00390EB8">
              <w:rPr>
                <w:rStyle w:val="Hipervnculo"/>
                <w:noProof/>
                <w:color w:val="auto"/>
              </w:rPr>
              <w:t>b) Legitimidad de la parte recurrente</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_Toc181822318 \h </w:instrText>
            </w:r>
            <w:r w:rsidR="00ED694D" w:rsidRPr="00390EB8">
              <w:rPr>
                <w:noProof/>
                <w:webHidden/>
              </w:rPr>
            </w:r>
            <w:r w:rsidR="00ED694D" w:rsidRPr="00390EB8">
              <w:rPr>
                <w:noProof/>
                <w:webHidden/>
              </w:rPr>
              <w:fldChar w:fldCharType="separate"/>
            </w:r>
            <w:r w:rsidR="00FD320E">
              <w:rPr>
                <w:noProof/>
                <w:webHidden/>
              </w:rPr>
              <w:t>7</w:t>
            </w:r>
            <w:r w:rsidR="00ED694D" w:rsidRPr="00390EB8">
              <w:rPr>
                <w:noProof/>
                <w:webHidden/>
              </w:rPr>
              <w:fldChar w:fldCharType="end"/>
            </w:r>
          </w:hyperlink>
        </w:p>
        <w:p w14:paraId="5C7285FC"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19" w:history="1">
            <w:r w:rsidR="00ED694D" w:rsidRPr="00390EB8">
              <w:rPr>
                <w:rStyle w:val="Hipervnculo"/>
                <w:rFonts w:eastAsia="Calibri"/>
                <w:noProof/>
                <w:color w:val="auto"/>
                <w:lang w:eastAsia="es-ES_tradnl"/>
              </w:rPr>
              <w:t>c) Plazo para interponer el recurso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_Toc181822319 \h </w:instrText>
            </w:r>
            <w:r w:rsidR="00ED694D" w:rsidRPr="00390EB8">
              <w:rPr>
                <w:noProof/>
                <w:webHidden/>
              </w:rPr>
            </w:r>
            <w:r w:rsidR="00ED694D" w:rsidRPr="00390EB8">
              <w:rPr>
                <w:noProof/>
                <w:webHidden/>
              </w:rPr>
              <w:fldChar w:fldCharType="separate"/>
            </w:r>
            <w:r w:rsidR="00FD320E">
              <w:rPr>
                <w:noProof/>
                <w:webHidden/>
              </w:rPr>
              <w:t>8</w:t>
            </w:r>
            <w:r w:rsidR="00ED694D" w:rsidRPr="00390EB8">
              <w:rPr>
                <w:noProof/>
                <w:webHidden/>
              </w:rPr>
              <w:fldChar w:fldCharType="end"/>
            </w:r>
          </w:hyperlink>
        </w:p>
        <w:p w14:paraId="308AF20F"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0" w:history="1">
            <w:r w:rsidR="00ED694D" w:rsidRPr="00390EB8">
              <w:rPr>
                <w:rStyle w:val="Hipervnculo"/>
                <w:rFonts w:eastAsia="Calibri"/>
                <w:noProof/>
                <w:color w:val="auto"/>
                <w:lang w:eastAsia="es-ES_tradnl"/>
              </w:rPr>
              <w:t>d) Causal de Procedencia</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_Toc181822320 \h </w:instrText>
            </w:r>
            <w:r w:rsidR="00ED694D" w:rsidRPr="00390EB8">
              <w:rPr>
                <w:noProof/>
                <w:webHidden/>
              </w:rPr>
            </w:r>
            <w:r w:rsidR="00ED694D" w:rsidRPr="00390EB8">
              <w:rPr>
                <w:noProof/>
                <w:webHidden/>
              </w:rPr>
              <w:fldChar w:fldCharType="separate"/>
            </w:r>
            <w:r w:rsidR="00FD320E">
              <w:rPr>
                <w:noProof/>
                <w:webHidden/>
              </w:rPr>
              <w:t>8</w:t>
            </w:r>
            <w:r w:rsidR="00ED694D" w:rsidRPr="00390EB8">
              <w:rPr>
                <w:noProof/>
                <w:webHidden/>
              </w:rPr>
              <w:fldChar w:fldCharType="end"/>
            </w:r>
          </w:hyperlink>
        </w:p>
        <w:p w14:paraId="5D74F74C"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1" w:history="1">
            <w:r w:rsidR="00ED694D" w:rsidRPr="00390EB8">
              <w:rPr>
                <w:rStyle w:val="Hipervnculo"/>
                <w:noProof/>
                <w:color w:val="auto"/>
              </w:rPr>
              <w:t>e) Requisitos formales para la interposición del recurso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_Toc181822321 \h </w:instrText>
            </w:r>
            <w:r w:rsidR="00ED694D" w:rsidRPr="00390EB8">
              <w:rPr>
                <w:noProof/>
                <w:webHidden/>
              </w:rPr>
            </w:r>
            <w:r w:rsidR="00ED694D" w:rsidRPr="00390EB8">
              <w:rPr>
                <w:noProof/>
                <w:webHidden/>
              </w:rPr>
              <w:fldChar w:fldCharType="separate"/>
            </w:r>
            <w:r w:rsidR="00FD320E">
              <w:rPr>
                <w:noProof/>
                <w:webHidden/>
              </w:rPr>
              <w:t>8</w:t>
            </w:r>
            <w:r w:rsidR="00ED694D" w:rsidRPr="00390EB8">
              <w:rPr>
                <w:noProof/>
                <w:webHidden/>
              </w:rPr>
              <w:fldChar w:fldCharType="end"/>
            </w:r>
          </w:hyperlink>
        </w:p>
        <w:p w14:paraId="6B40143F" w14:textId="77777777" w:rsidR="00ED694D" w:rsidRPr="00390EB8" w:rsidRDefault="00AA6B91" w:rsidP="00390EB8">
          <w:pPr>
            <w:pStyle w:val="TDC2"/>
            <w:rPr>
              <w:rFonts w:asciiTheme="minorHAnsi" w:eastAsiaTheme="minorEastAsia" w:hAnsiTheme="minorHAnsi" w:cstheme="minorBidi"/>
              <w:noProof/>
              <w:szCs w:val="22"/>
              <w:lang w:eastAsia="es-MX"/>
            </w:rPr>
          </w:pPr>
          <w:hyperlink w:anchor="_Toc181822322" w:history="1">
            <w:r w:rsidR="00ED694D" w:rsidRPr="00390EB8">
              <w:rPr>
                <w:rStyle w:val="Hipervnculo"/>
                <w:noProof/>
                <w:color w:val="auto"/>
              </w:rPr>
              <w:t>SEGUNDO. Estudio de Fondo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_Toc181822322 \h </w:instrText>
            </w:r>
            <w:r w:rsidR="00ED694D" w:rsidRPr="00390EB8">
              <w:rPr>
                <w:noProof/>
                <w:webHidden/>
              </w:rPr>
            </w:r>
            <w:r w:rsidR="00ED694D" w:rsidRPr="00390EB8">
              <w:rPr>
                <w:noProof/>
                <w:webHidden/>
              </w:rPr>
              <w:fldChar w:fldCharType="separate"/>
            </w:r>
            <w:r w:rsidR="00FD320E">
              <w:rPr>
                <w:noProof/>
                <w:webHidden/>
              </w:rPr>
              <w:t>8</w:t>
            </w:r>
            <w:r w:rsidR="00ED694D" w:rsidRPr="00390EB8">
              <w:rPr>
                <w:noProof/>
                <w:webHidden/>
              </w:rPr>
              <w:fldChar w:fldCharType="end"/>
            </w:r>
          </w:hyperlink>
        </w:p>
        <w:p w14:paraId="14559579"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3" w:history="1">
            <w:r w:rsidR="00ED694D" w:rsidRPr="00390EB8">
              <w:rPr>
                <w:rStyle w:val="Hipervnculo"/>
                <w:noProof/>
                <w:color w:val="auto"/>
              </w:rPr>
              <w:t>a) Mandato de transparencia y responsabilidad del Sujeto Obligado</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_Toc181822323 \h </w:instrText>
            </w:r>
            <w:r w:rsidR="00ED694D" w:rsidRPr="00390EB8">
              <w:rPr>
                <w:noProof/>
                <w:webHidden/>
              </w:rPr>
            </w:r>
            <w:r w:rsidR="00ED694D" w:rsidRPr="00390EB8">
              <w:rPr>
                <w:noProof/>
                <w:webHidden/>
              </w:rPr>
              <w:fldChar w:fldCharType="separate"/>
            </w:r>
            <w:r w:rsidR="00FD320E">
              <w:rPr>
                <w:noProof/>
                <w:webHidden/>
              </w:rPr>
              <w:t>8</w:t>
            </w:r>
            <w:r w:rsidR="00ED694D" w:rsidRPr="00390EB8">
              <w:rPr>
                <w:noProof/>
                <w:webHidden/>
              </w:rPr>
              <w:fldChar w:fldCharType="end"/>
            </w:r>
          </w:hyperlink>
        </w:p>
        <w:p w14:paraId="3253FBAE"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4" w:history="1">
            <w:r w:rsidR="00ED694D" w:rsidRPr="00390EB8">
              <w:rPr>
                <w:rStyle w:val="Hipervnculo"/>
                <w:rFonts w:eastAsia="Calibri"/>
                <w:noProof/>
                <w:color w:val="auto"/>
                <w:lang w:eastAsia="es-ES_tradnl"/>
              </w:rPr>
              <w:t>b) Controversia a resolver</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_Toc181822324 \h </w:instrText>
            </w:r>
            <w:r w:rsidR="00ED694D" w:rsidRPr="00390EB8">
              <w:rPr>
                <w:noProof/>
                <w:webHidden/>
              </w:rPr>
            </w:r>
            <w:r w:rsidR="00ED694D" w:rsidRPr="00390EB8">
              <w:rPr>
                <w:noProof/>
                <w:webHidden/>
              </w:rPr>
              <w:fldChar w:fldCharType="separate"/>
            </w:r>
            <w:r w:rsidR="00FD320E">
              <w:rPr>
                <w:noProof/>
                <w:webHidden/>
              </w:rPr>
              <w:t>11</w:t>
            </w:r>
            <w:r w:rsidR="00ED694D" w:rsidRPr="00390EB8">
              <w:rPr>
                <w:noProof/>
                <w:webHidden/>
              </w:rPr>
              <w:fldChar w:fldCharType="end"/>
            </w:r>
          </w:hyperlink>
        </w:p>
        <w:p w14:paraId="5AEB08F1"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5" w:history="1">
            <w:r w:rsidR="00ED694D" w:rsidRPr="00390EB8">
              <w:rPr>
                <w:rStyle w:val="Hipervnculo"/>
                <w:noProof/>
                <w:color w:val="auto"/>
              </w:rPr>
              <w:t>c) Estudio de la controversia</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_Toc181822325 \h </w:instrText>
            </w:r>
            <w:r w:rsidR="00ED694D" w:rsidRPr="00390EB8">
              <w:rPr>
                <w:noProof/>
                <w:webHidden/>
              </w:rPr>
            </w:r>
            <w:r w:rsidR="00ED694D" w:rsidRPr="00390EB8">
              <w:rPr>
                <w:noProof/>
                <w:webHidden/>
              </w:rPr>
              <w:fldChar w:fldCharType="separate"/>
            </w:r>
            <w:r w:rsidR="00FD320E">
              <w:rPr>
                <w:noProof/>
                <w:webHidden/>
              </w:rPr>
              <w:t>12</w:t>
            </w:r>
            <w:r w:rsidR="00ED694D" w:rsidRPr="00390EB8">
              <w:rPr>
                <w:noProof/>
                <w:webHidden/>
              </w:rPr>
              <w:fldChar w:fldCharType="end"/>
            </w:r>
          </w:hyperlink>
        </w:p>
        <w:p w14:paraId="05C2F160" w14:textId="77777777" w:rsidR="00ED694D" w:rsidRPr="00390EB8" w:rsidRDefault="00AA6B91" w:rsidP="00390EB8">
          <w:pPr>
            <w:pStyle w:val="TDC3"/>
            <w:rPr>
              <w:rFonts w:asciiTheme="minorHAnsi" w:eastAsiaTheme="minorEastAsia" w:hAnsiTheme="minorHAnsi" w:cstheme="minorBidi"/>
              <w:noProof/>
              <w:szCs w:val="22"/>
              <w:lang w:eastAsia="es-MX"/>
            </w:rPr>
          </w:pPr>
          <w:hyperlink w:anchor="_Toc181822326" w:history="1">
            <w:r w:rsidR="00ED694D" w:rsidRPr="00390EB8">
              <w:rPr>
                <w:rStyle w:val="Hipervnculo"/>
                <w:noProof/>
                <w:color w:val="auto"/>
              </w:rPr>
              <w:t>d) Conclusión</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_Toc181822326 \h </w:instrText>
            </w:r>
            <w:r w:rsidR="00ED694D" w:rsidRPr="00390EB8">
              <w:rPr>
                <w:noProof/>
                <w:webHidden/>
              </w:rPr>
            </w:r>
            <w:r w:rsidR="00ED694D" w:rsidRPr="00390EB8">
              <w:rPr>
                <w:noProof/>
                <w:webHidden/>
              </w:rPr>
              <w:fldChar w:fldCharType="separate"/>
            </w:r>
            <w:r w:rsidR="00FD320E">
              <w:rPr>
                <w:noProof/>
                <w:webHidden/>
              </w:rPr>
              <w:t>20</w:t>
            </w:r>
            <w:r w:rsidR="00ED694D" w:rsidRPr="00390EB8">
              <w:rPr>
                <w:noProof/>
                <w:webHidden/>
              </w:rPr>
              <w:fldChar w:fldCharType="end"/>
            </w:r>
          </w:hyperlink>
        </w:p>
        <w:p w14:paraId="22B2B1F7" w14:textId="77777777" w:rsidR="00ED694D" w:rsidRPr="00390EB8" w:rsidRDefault="00AA6B91" w:rsidP="00390EB8">
          <w:pPr>
            <w:pStyle w:val="TDC1"/>
            <w:tabs>
              <w:tab w:val="right" w:leader="dot" w:pos="9034"/>
            </w:tabs>
            <w:rPr>
              <w:rFonts w:asciiTheme="minorHAnsi" w:eastAsiaTheme="minorEastAsia" w:hAnsiTheme="minorHAnsi" w:cstheme="minorBidi"/>
              <w:noProof/>
              <w:szCs w:val="22"/>
              <w:lang w:eastAsia="es-MX"/>
            </w:rPr>
          </w:pPr>
          <w:hyperlink w:anchor="_Toc181822327" w:history="1">
            <w:r w:rsidR="00ED694D" w:rsidRPr="00390EB8">
              <w:rPr>
                <w:rStyle w:val="Hipervnculo"/>
                <w:noProof/>
                <w:color w:val="auto"/>
              </w:rPr>
              <w:t>RESUELVE</w:t>
            </w:r>
            <w:r w:rsidR="00ED694D" w:rsidRPr="00390EB8">
              <w:rPr>
                <w:noProof/>
                <w:webHidden/>
              </w:rPr>
              <w:tab/>
            </w:r>
            <w:r w:rsidR="00ED694D" w:rsidRPr="00390EB8">
              <w:rPr>
                <w:noProof/>
                <w:webHidden/>
              </w:rPr>
              <w:fldChar w:fldCharType="begin"/>
            </w:r>
            <w:r w:rsidR="00ED694D" w:rsidRPr="00390EB8">
              <w:rPr>
                <w:noProof/>
                <w:webHidden/>
              </w:rPr>
              <w:instrText xml:space="preserve"> PAGEREF _Toc181822327 \h </w:instrText>
            </w:r>
            <w:r w:rsidR="00ED694D" w:rsidRPr="00390EB8">
              <w:rPr>
                <w:noProof/>
                <w:webHidden/>
              </w:rPr>
            </w:r>
            <w:r w:rsidR="00ED694D" w:rsidRPr="00390EB8">
              <w:rPr>
                <w:noProof/>
                <w:webHidden/>
              </w:rPr>
              <w:fldChar w:fldCharType="separate"/>
            </w:r>
            <w:r w:rsidR="00FD320E">
              <w:rPr>
                <w:noProof/>
                <w:webHidden/>
              </w:rPr>
              <w:t>21</w:t>
            </w:r>
            <w:r w:rsidR="00ED694D" w:rsidRPr="00390EB8">
              <w:rPr>
                <w:noProof/>
                <w:webHidden/>
              </w:rPr>
              <w:fldChar w:fldCharType="end"/>
            </w:r>
          </w:hyperlink>
        </w:p>
        <w:p w14:paraId="0C82FD7A" w14:textId="56536608" w:rsidR="009B2945" w:rsidRPr="00390EB8" w:rsidRDefault="00AE3DA7" w:rsidP="00390EB8">
          <w:pPr>
            <w:spacing w:line="240" w:lineRule="auto"/>
            <w:rPr>
              <w:b/>
              <w:bCs/>
              <w:lang w:val="es-ES"/>
            </w:rPr>
          </w:pPr>
          <w:r w:rsidRPr="00390EB8">
            <w:rPr>
              <w:b/>
              <w:bCs/>
              <w:sz w:val="16"/>
              <w:szCs w:val="16"/>
              <w:lang w:val="es-ES"/>
            </w:rPr>
            <w:fldChar w:fldCharType="end"/>
          </w:r>
        </w:p>
      </w:sdtContent>
    </w:sdt>
    <w:p w14:paraId="603A07E2" w14:textId="77777777" w:rsidR="00646436" w:rsidRPr="00390EB8" w:rsidRDefault="00646436" w:rsidP="00390EB8">
      <w:pPr>
        <w:rPr>
          <w:rFonts w:cs="Tahoma"/>
          <w:szCs w:val="22"/>
        </w:rPr>
        <w:sectPr w:rsidR="00646436" w:rsidRPr="00390EB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0AF3AAC4" w14:textId="44B77A61" w:rsidR="00775BFC" w:rsidRPr="00390EB8" w:rsidRDefault="00775BFC" w:rsidP="00390EB8">
      <w:pPr>
        <w:rPr>
          <w:b/>
        </w:rPr>
      </w:pPr>
      <w:r w:rsidRPr="00390EB8">
        <w:lastRenderedPageBreak/>
        <w:t xml:space="preserve">Resolución del Pleno del Instituto de Transparencia, Acceso a la Información Pública y Protección de Datos Personales del Estado de México y Municipios, con domicilio en Metepec, Estado de México, de </w:t>
      </w:r>
      <w:r w:rsidR="00191563" w:rsidRPr="00390EB8">
        <w:t xml:space="preserve"> </w:t>
      </w:r>
      <w:r w:rsidR="00191563" w:rsidRPr="00390EB8">
        <w:rPr>
          <w:b/>
        </w:rPr>
        <w:t>trece</w:t>
      </w:r>
      <w:r w:rsidR="005C7866" w:rsidRPr="00390EB8">
        <w:rPr>
          <w:b/>
        </w:rPr>
        <w:t xml:space="preserve"> de noviembre de dos mil veinticuatro.</w:t>
      </w:r>
    </w:p>
    <w:p w14:paraId="1FE2B76B" w14:textId="77777777" w:rsidR="005C7866" w:rsidRPr="00390EB8" w:rsidRDefault="005C7866" w:rsidP="00390EB8"/>
    <w:p w14:paraId="40EAE038" w14:textId="4C463577" w:rsidR="00775BFC" w:rsidRPr="00390EB8" w:rsidRDefault="00775BFC" w:rsidP="00390EB8">
      <w:r w:rsidRPr="00390EB8">
        <w:rPr>
          <w:b/>
        </w:rPr>
        <w:t xml:space="preserve">VISTO </w:t>
      </w:r>
      <w:r w:rsidRPr="00390EB8">
        <w:t xml:space="preserve">el expediente formado con motivo del Recurso de Revisión </w:t>
      </w:r>
      <w:r w:rsidR="005C7866" w:rsidRPr="00390EB8">
        <w:rPr>
          <w:rFonts w:eastAsia="Calibri"/>
          <w:b/>
          <w:lang w:eastAsia="en-US"/>
        </w:rPr>
        <w:t>06337</w:t>
      </w:r>
      <w:r w:rsidRPr="00390EB8">
        <w:rPr>
          <w:rFonts w:eastAsia="Calibri"/>
          <w:b/>
          <w:lang w:eastAsia="en-US"/>
        </w:rPr>
        <w:t>/INFOEM/IP/RR/</w:t>
      </w:r>
      <w:r w:rsidR="005C7866" w:rsidRPr="00390EB8">
        <w:rPr>
          <w:rFonts w:eastAsia="Calibri"/>
          <w:b/>
          <w:lang w:eastAsia="en-US"/>
        </w:rPr>
        <w:t xml:space="preserve">2024 </w:t>
      </w:r>
      <w:r w:rsidRPr="00390EB8">
        <w:t xml:space="preserve">interpuesto por </w:t>
      </w:r>
      <w:bookmarkStart w:id="2" w:name="_GoBack"/>
      <w:r w:rsidR="00182795">
        <w:rPr>
          <w:rFonts w:eastAsia="Calibri" w:cs="Tahoma"/>
          <w:b/>
          <w:szCs w:val="22"/>
          <w:lang w:eastAsia="en-US"/>
        </w:rPr>
        <w:t>XXXXXXX XXXXXXXX XXXX</w:t>
      </w:r>
      <w:bookmarkEnd w:id="2"/>
      <w:r w:rsidRPr="00390EB8">
        <w:t xml:space="preserve">, a quien en lo subsecuente se le denominará </w:t>
      </w:r>
      <w:r w:rsidRPr="00390EB8">
        <w:rPr>
          <w:b/>
          <w:bCs/>
        </w:rPr>
        <w:t>LA PARTE RECURRENTE</w:t>
      </w:r>
      <w:r w:rsidRPr="00390EB8">
        <w:t>, en contra de la respuesta emitida por</w:t>
      </w:r>
      <w:r w:rsidR="005C7866" w:rsidRPr="00390EB8">
        <w:t xml:space="preserve"> </w:t>
      </w:r>
      <w:r w:rsidR="005C7866" w:rsidRPr="00390EB8">
        <w:rPr>
          <w:b/>
        </w:rPr>
        <w:t>Instituto de Transparencia, Acceso a la Información Pública y Protección de Datos Personales del Estado de México y Municipios</w:t>
      </w:r>
      <w:r w:rsidRPr="00390EB8">
        <w:t xml:space="preserve">, en adelante </w:t>
      </w:r>
      <w:r w:rsidRPr="00390EB8">
        <w:rPr>
          <w:b/>
          <w:bCs/>
        </w:rPr>
        <w:t>EL SUJETO OBLIGADO</w:t>
      </w:r>
      <w:r w:rsidRPr="00390EB8">
        <w:rPr>
          <w:rFonts w:eastAsia="Calibri"/>
          <w:lang w:eastAsia="en-US"/>
        </w:rPr>
        <w:t xml:space="preserve">, </w:t>
      </w:r>
      <w:r w:rsidRPr="00390EB8">
        <w:t>se emite la presente Resolución con base en los Antecedentes y Considerandos que se exponen a continuación:</w:t>
      </w:r>
    </w:p>
    <w:p w14:paraId="2116968C" w14:textId="77777777" w:rsidR="00775BFC" w:rsidRPr="00390EB8" w:rsidRDefault="00775BFC" w:rsidP="00390EB8"/>
    <w:p w14:paraId="5A444FB6" w14:textId="639D3567" w:rsidR="00664420" w:rsidRPr="00390EB8" w:rsidRDefault="00664420" w:rsidP="00390EB8">
      <w:pPr>
        <w:pStyle w:val="Ttulo1"/>
      </w:pPr>
      <w:bookmarkStart w:id="3" w:name="_Toc181822302"/>
      <w:r w:rsidRPr="00390EB8">
        <w:t>ANTECEDENTES</w:t>
      </w:r>
      <w:bookmarkEnd w:id="3"/>
    </w:p>
    <w:p w14:paraId="5CB5034E" w14:textId="77777777" w:rsidR="00AC2DB8" w:rsidRPr="00390EB8" w:rsidRDefault="00AC2DB8" w:rsidP="00390EB8"/>
    <w:p w14:paraId="09B2D38F" w14:textId="6E49D146" w:rsidR="00664420" w:rsidRPr="00390EB8" w:rsidRDefault="00E37A3F" w:rsidP="00390EB8">
      <w:pPr>
        <w:pStyle w:val="Ttulo2"/>
      </w:pPr>
      <w:bookmarkStart w:id="4" w:name="_Toc181822303"/>
      <w:r w:rsidRPr="00390EB8">
        <w:t>DE LA SOLICITUD DE INFORMACIÓN</w:t>
      </w:r>
      <w:bookmarkEnd w:id="4"/>
    </w:p>
    <w:p w14:paraId="2C6AD1A5" w14:textId="0405B3CD" w:rsidR="00664420" w:rsidRPr="00390EB8" w:rsidRDefault="00E37A3F" w:rsidP="00390EB8">
      <w:pPr>
        <w:pStyle w:val="Ttulo3"/>
      </w:pPr>
      <w:bookmarkStart w:id="5" w:name="_Toc181822304"/>
      <w:r w:rsidRPr="00390EB8">
        <w:t xml:space="preserve">a) </w:t>
      </w:r>
      <w:r w:rsidR="006B10B0" w:rsidRPr="00390EB8">
        <w:t>S</w:t>
      </w:r>
      <w:r w:rsidR="00664420" w:rsidRPr="00390EB8">
        <w:t xml:space="preserve">olicitud de </w:t>
      </w:r>
      <w:r w:rsidR="006B10B0" w:rsidRPr="00390EB8">
        <w:t>i</w:t>
      </w:r>
      <w:r w:rsidR="00664420" w:rsidRPr="00390EB8">
        <w:t>nformación</w:t>
      </w:r>
      <w:bookmarkEnd w:id="5"/>
    </w:p>
    <w:p w14:paraId="06DCD29D" w14:textId="2E82EADA" w:rsidR="009A2D78" w:rsidRPr="00390EB8" w:rsidRDefault="006B10B0" w:rsidP="00390EB8">
      <w:pPr>
        <w:pStyle w:val="Prrafodelista"/>
        <w:tabs>
          <w:tab w:val="left" w:pos="0"/>
        </w:tabs>
        <w:ind w:left="0"/>
        <w:contextualSpacing w:val="0"/>
        <w:rPr>
          <w:rFonts w:cs="Tahoma"/>
        </w:rPr>
      </w:pPr>
      <w:r w:rsidRPr="00390EB8">
        <w:rPr>
          <w:rFonts w:cs="Tahoma"/>
        </w:rPr>
        <w:t>El</w:t>
      </w:r>
      <w:r w:rsidR="00664420" w:rsidRPr="00390EB8">
        <w:rPr>
          <w:rFonts w:cs="Tahoma"/>
        </w:rPr>
        <w:t xml:space="preserve"> </w:t>
      </w:r>
      <w:r w:rsidR="005C7866" w:rsidRPr="00390EB8">
        <w:rPr>
          <w:rFonts w:cs="Tahoma"/>
          <w:b/>
          <w:bCs/>
        </w:rPr>
        <w:t>seis de septiembre de dos mil veinticuatro</w:t>
      </w:r>
      <w:r w:rsidR="00664420" w:rsidRPr="00390EB8">
        <w:rPr>
          <w:rFonts w:cs="Tahoma"/>
        </w:rPr>
        <w:t xml:space="preserve">, </w:t>
      </w:r>
      <w:r w:rsidRPr="00390EB8">
        <w:rPr>
          <w:b/>
          <w:bCs/>
        </w:rPr>
        <w:t>LA PARTE RECURRENTE</w:t>
      </w:r>
      <w:r w:rsidR="00664420" w:rsidRPr="00390EB8">
        <w:rPr>
          <w:rFonts w:cs="Tahoma"/>
        </w:rPr>
        <w:t xml:space="preserve"> presentó una solicitud de acceso a la información pública </w:t>
      </w:r>
      <w:r w:rsidR="001F3515" w:rsidRPr="00390EB8">
        <w:rPr>
          <w:rFonts w:cs="Tahoma"/>
        </w:rPr>
        <w:t xml:space="preserve">ante el </w:t>
      </w:r>
      <w:r w:rsidR="001F3515" w:rsidRPr="00390EB8">
        <w:rPr>
          <w:rFonts w:cs="Tahoma"/>
          <w:b/>
          <w:bCs/>
        </w:rPr>
        <w:t>SUJETO OBLIGADO</w:t>
      </w:r>
      <w:r w:rsidR="001F3515" w:rsidRPr="00390EB8">
        <w:rPr>
          <w:rFonts w:cs="Tahoma"/>
        </w:rPr>
        <w:t xml:space="preserve">, </w:t>
      </w:r>
      <w:r w:rsidR="00664420" w:rsidRPr="00390EB8">
        <w:rPr>
          <w:rFonts w:cs="Tahoma"/>
        </w:rPr>
        <w:t>a través del Sistema de Acceso a la Información Mexiquense</w:t>
      </w:r>
      <w:r w:rsidRPr="00390EB8">
        <w:rPr>
          <w:rFonts w:cs="Tahoma"/>
        </w:rPr>
        <w:t xml:space="preserve"> </w:t>
      </w:r>
      <w:r w:rsidR="009A2D78" w:rsidRPr="00390EB8">
        <w:rPr>
          <w:rFonts w:cs="Tahoma"/>
        </w:rPr>
        <w:t>(</w:t>
      </w:r>
      <w:r w:rsidRPr="00390EB8">
        <w:rPr>
          <w:rFonts w:cs="Tahoma"/>
        </w:rPr>
        <w:t>SAIMEX</w:t>
      </w:r>
      <w:r w:rsidR="009A2D78" w:rsidRPr="00390EB8">
        <w:rPr>
          <w:rFonts w:cs="Tahoma"/>
        </w:rPr>
        <w:t>). Dicha solicitud quedó</w:t>
      </w:r>
      <w:r w:rsidRPr="00390EB8">
        <w:rPr>
          <w:rFonts w:cs="Tahoma"/>
        </w:rPr>
        <w:t xml:space="preserve"> registrada c</w:t>
      </w:r>
      <w:r w:rsidR="00664420" w:rsidRPr="00390EB8">
        <w:rPr>
          <w:rFonts w:cs="Tahoma"/>
        </w:rPr>
        <w:t>on el número de folio</w:t>
      </w:r>
      <w:r w:rsidR="00664420" w:rsidRPr="00390EB8">
        <w:rPr>
          <w:rFonts w:cs="Tahoma"/>
          <w:b/>
          <w:bCs/>
        </w:rPr>
        <w:t xml:space="preserve"> </w:t>
      </w:r>
      <w:r w:rsidR="005C7866" w:rsidRPr="00390EB8">
        <w:rPr>
          <w:rFonts w:cs="Tahoma"/>
          <w:b/>
          <w:bCs/>
        </w:rPr>
        <w:t xml:space="preserve">00947/INFOEM/IP/2024, </w:t>
      </w:r>
      <w:r w:rsidR="002A3601" w:rsidRPr="00390EB8">
        <w:rPr>
          <w:rFonts w:cs="Tahoma"/>
        </w:rPr>
        <w:t xml:space="preserve">y en ella </w:t>
      </w:r>
      <w:r w:rsidR="009A2D78" w:rsidRPr="00390EB8">
        <w:rPr>
          <w:rFonts w:cs="Tahoma"/>
        </w:rPr>
        <w:t>se requirió la siguiente información:</w:t>
      </w:r>
    </w:p>
    <w:p w14:paraId="0459D6AC" w14:textId="77777777" w:rsidR="00664420" w:rsidRPr="00390EB8" w:rsidRDefault="00664420" w:rsidP="00390EB8">
      <w:pPr>
        <w:tabs>
          <w:tab w:val="left" w:pos="4667"/>
        </w:tabs>
        <w:ind w:left="567" w:right="567"/>
        <w:rPr>
          <w:rFonts w:cs="Tahoma"/>
          <w:b/>
          <w:bCs/>
        </w:rPr>
      </w:pPr>
    </w:p>
    <w:p w14:paraId="179FB369" w14:textId="2A9FA17D" w:rsidR="00664420" w:rsidRPr="00390EB8" w:rsidRDefault="005C7866" w:rsidP="00390EB8">
      <w:pPr>
        <w:pStyle w:val="Puesto"/>
      </w:pPr>
      <w:r w:rsidRPr="00390EB8">
        <w:t xml:space="preserve">Solicito todas las actuaciones que se realizaron, a fin de desclasificar la información como reservada (ya sea porque la reserva derivó de una solicitud de acceso o, bien, para el cumplimiento de obligaciones), es decir, los oficios o memorandos que generaron las </w:t>
      </w:r>
      <w:r w:rsidRPr="00390EB8">
        <w:lastRenderedPageBreak/>
        <w:t>personas servidoras públicas habilitadas y/o titulares de área; las convocatorias para sesión del Comité de Transparencia, las actas del Comité de Transparencia y sus respectivas resoluciones.</w:t>
      </w:r>
    </w:p>
    <w:p w14:paraId="64B27DE3" w14:textId="77777777" w:rsidR="00664420" w:rsidRPr="00390EB8" w:rsidRDefault="00664420" w:rsidP="00390EB8">
      <w:pPr>
        <w:tabs>
          <w:tab w:val="left" w:pos="4667"/>
        </w:tabs>
        <w:ind w:left="567" w:right="567"/>
        <w:rPr>
          <w:rFonts w:cs="Tahoma"/>
          <w:bCs/>
          <w:i/>
          <w:szCs w:val="22"/>
        </w:rPr>
      </w:pPr>
    </w:p>
    <w:p w14:paraId="0BD6321D" w14:textId="56D9ABBC" w:rsidR="00664420" w:rsidRPr="00390EB8" w:rsidRDefault="009A2D78" w:rsidP="00390EB8">
      <w:pPr>
        <w:tabs>
          <w:tab w:val="left" w:pos="4667"/>
        </w:tabs>
        <w:ind w:left="567" w:right="567"/>
        <w:rPr>
          <w:rFonts w:cs="Tahoma"/>
          <w:bCs/>
          <w:szCs w:val="22"/>
        </w:rPr>
      </w:pPr>
      <w:r w:rsidRPr="00390EB8">
        <w:rPr>
          <w:rFonts w:cs="Tahoma"/>
          <w:b/>
          <w:bCs/>
          <w:szCs w:val="22"/>
        </w:rPr>
        <w:t>Modalidad de entrega</w:t>
      </w:r>
      <w:r w:rsidRPr="00390EB8">
        <w:rPr>
          <w:rFonts w:cs="Tahoma"/>
          <w:bCs/>
          <w:szCs w:val="22"/>
        </w:rPr>
        <w:t>: a</w:t>
      </w:r>
      <w:r w:rsidR="00664420" w:rsidRPr="00390EB8">
        <w:rPr>
          <w:rFonts w:cs="Tahoma"/>
          <w:bCs/>
          <w:i/>
          <w:szCs w:val="22"/>
        </w:rPr>
        <w:t xml:space="preserve"> través del SAIMEX</w:t>
      </w:r>
      <w:r w:rsidRPr="00390EB8">
        <w:rPr>
          <w:rFonts w:cs="Tahoma"/>
          <w:bCs/>
          <w:i/>
          <w:szCs w:val="22"/>
        </w:rPr>
        <w:t>.</w:t>
      </w:r>
    </w:p>
    <w:p w14:paraId="334D2860" w14:textId="77777777" w:rsidR="00664420" w:rsidRPr="00390EB8" w:rsidRDefault="00664420" w:rsidP="00390EB8">
      <w:pPr>
        <w:autoSpaceDE w:val="0"/>
        <w:autoSpaceDN w:val="0"/>
        <w:adjustRightInd w:val="0"/>
        <w:ind w:right="-28"/>
        <w:rPr>
          <w:rFonts w:cs="Tahoma"/>
          <w:bCs/>
          <w:i/>
          <w:szCs w:val="22"/>
        </w:rPr>
      </w:pPr>
    </w:p>
    <w:p w14:paraId="5AC1EE52" w14:textId="34C34E77" w:rsidR="00D036D3" w:rsidRPr="00390EB8" w:rsidRDefault="00E37A3F" w:rsidP="00390EB8">
      <w:pPr>
        <w:pStyle w:val="Ttulo3"/>
      </w:pPr>
      <w:bookmarkStart w:id="6" w:name="_Toc181822305"/>
      <w:r w:rsidRPr="00390EB8">
        <w:t xml:space="preserve">b) </w:t>
      </w:r>
      <w:r w:rsidR="00D036D3" w:rsidRPr="00390EB8">
        <w:t>Turno de la solicitud de información</w:t>
      </w:r>
      <w:bookmarkEnd w:id="6"/>
    </w:p>
    <w:p w14:paraId="7CEE6F8C" w14:textId="6E212F7C" w:rsidR="007D1C55" w:rsidRPr="00390EB8" w:rsidRDefault="00D036D3" w:rsidP="00390EB8">
      <w:r w:rsidRPr="00390EB8">
        <w:t xml:space="preserve">En cumplimiento al artículo 162 de la Ley de Transparencia y Acceso a la Información Pública del Estado de México y Municipios, el </w:t>
      </w:r>
      <w:r w:rsidR="005C7866" w:rsidRPr="00390EB8">
        <w:rPr>
          <w:b/>
        </w:rPr>
        <w:t>treinta de septiembre de dos mil veinticuatro</w:t>
      </w:r>
      <w:r w:rsidRPr="00390EB8">
        <w:t xml:space="preserve">, el Titular de la Unidad de Transparencia del </w:t>
      </w:r>
      <w:r w:rsidRPr="00390EB8">
        <w:rPr>
          <w:b/>
        </w:rPr>
        <w:t>SUJETO OBLIGADO</w:t>
      </w:r>
      <w:r w:rsidRPr="00390EB8">
        <w:t xml:space="preserve"> turnó la solicitud de información </w:t>
      </w:r>
      <w:r w:rsidR="00163D12" w:rsidRPr="00390EB8">
        <w:t xml:space="preserve">a los </w:t>
      </w:r>
      <w:r w:rsidRPr="00390EB8">
        <w:t>servidor</w:t>
      </w:r>
      <w:r w:rsidR="007D1C55" w:rsidRPr="00390EB8">
        <w:t>es</w:t>
      </w:r>
      <w:r w:rsidRPr="00390EB8">
        <w:t xml:space="preserve"> público</w:t>
      </w:r>
      <w:r w:rsidR="007D1C55" w:rsidRPr="00390EB8">
        <w:t>s</w:t>
      </w:r>
      <w:r w:rsidRPr="00390EB8">
        <w:t xml:space="preserve"> habilitado</w:t>
      </w:r>
      <w:r w:rsidR="007D1C55" w:rsidRPr="00390EB8">
        <w:t>s</w:t>
      </w:r>
      <w:r w:rsidRPr="00390EB8">
        <w:t xml:space="preserve"> que estimó pertinente</w:t>
      </w:r>
      <w:r w:rsidR="00163D12" w:rsidRPr="00390EB8">
        <w:t>s</w:t>
      </w:r>
      <w:r w:rsidR="007D1C55" w:rsidRPr="00390EB8">
        <w:t>.</w:t>
      </w:r>
    </w:p>
    <w:p w14:paraId="7B667FC9" w14:textId="77777777" w:rsidR="007D1C55" w:rsidRPr="00390EB8" w:rsidRDefault="007D1C55" w:rsidP="00390EB8"/>
    <w:p w14:paraId="196DA0ED" w14:textId="032B3E54" w:rsidR="007D1C55" w:rsidRPr="00390EB8" w:rsidRDefault="00E37A3F" w:rsidP="00390EB8">
      <w:pPr>
        <w:pStyle w:val="Ttulo3"/>
      </w:pPr>
      <w:bookmarkStart w:id="7" w:name="_Toc181822306"/>
      <w:r w:rsidRPr="00390EB8">
        <w:t xml:space="preserve">c) </w:t>
      </w:r>
      <w:r w:rsidR="007D1C55" w:rsidRPr="00390EB8">
        <w:t>Prórroga</w:t>
      </w:r>
      <w:bookmarkEnd w:id="7"/>
    </w:p>
    <w:p w14:paraId="1DC36F1A" w14:textId="712A60A7" w:rsidR="007D1C55" w:rsidRPr="00390EB8" w:rsidRDefault="007D1C55" w:rsidP="00390EB8">
      <w:r w:rsidRPr="00390EB8">
        <w:t xml:space="preserve">De las constancias que obran en el SAIMEX, se advierte que el </w:t>
      </w:r>
      <w:r w:rsidR="005C7866" w:rsidRPr="00390EB8">
        <w:rPr>
          <w:b/>
        </w:rPr>
        <w:t>treinta de septiembre de dos mil veinticuatro</w:t>
      </w:r>
      <w:r w:rsidRPr="00390EB8">
        <w:t xml:space="preserve">, </w:t>
      </w:r>
      <w:r w:rsidRPr="00390EB8">
        <w:rPr>
          <w:b/>
          <w:bCs/>
        </w:rPr>
        <w:t>EL SUJETO OBLIGADO</w:t>
      </w:r>
      <w:r w:rsidRPr="00390EB8">
        <w:t xml:space="preserve"> notificó una prórroga de siete días para dar respuesta a la solicitud de información planteada por </w:t>
      </w:r>
      <w:r w:rsidRPr="00390EB8">
        <w:rPr>
          <w:b/>
          <w:bCs/>
        </w:rPr>
        <w:t>LA PARTE RECURRENTE</w:t>
      </w:r>
      <w:r w:rsidRPr="00390EB8">
        <w:t>, en los siguientes términos:</w:t>
      </w:r>
    </w:p>
    <w:p w14:paraId="6D8A0B77" w14:textId="77777777" w:rsidR="007D1C55" w:rsidRPr="00390EB8" w:rsidRDefault="007D1C55" w:rsidP="00390EB8"/>
    <w:p w14:paraId="32F44318" w14:textId="77777777" w:rsidR="005C7866" w:rsidRPr="00390EB8" w:rsidRDefault="007D1C55" w:rsidP="00390EB8">
      <w:pPr>
        <w:pStyle w:val="Puesto"/>
        <w:jc w:val="right"/>
      </w:pPr>
      <w:r w:rsidRPr="00390EB8">
        <w:t>“</w:t>
      </w:r>
      <w:r w:rsidR="005C7866" w:rsidRPr="00390EB8">
        <w:t>Folio de la solicitud: 00947/INFOEM/IP/2024</w:t>
      </w:r>
    </w:p>
    <w:p w14:paraId="62C04FB2" w14:textId="77777777" w:rsidR="005C7866" w:rsidRPr="00390EB8" w:rsidRDefault="005C7866" w:rsidP="00390EB8">
      <w:pPr>
        <w:pStyle w:val="Puesto"/>
      </w:pPr>
    </w:p>
    <w:p w14:paraId="5FBEC92E" w14:textId="77777777" w:rsidR="005C7866" w:rsidRPr="00390EB8" w:rsidRDefault="005C7866" w:rsidP="00390EB8">
      <w:pPr>
        <w:pStyle w:val="Puesto"/>
      </w:pPr>
      <w:r w:rsidRPr="00390EB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6BE5262" w14:textId="77777777" w:rsidR="005C7866" w:rsidRPr="00390EB8" w:rsidRDefault="005C7866" w:rsidP="00390EB8"/>
    <w:p w14:paraId="613BFF4C" w14:textId="4BFB7686" w:rsidR="007D1C55" w:rsidRPr="00390EB8" w:rsidRDefault="005C7866" w:rsidP="00390EB8">
      <w:pPr>
        <w:pStyle w:val="Puesto"/>
      </w:pPr>
      <w:r w:rsidRPr="00390EB8">
        <w:lastRenderedPageBreak/>
        <w:t>Con fundamento en el artículo 163 de la Ley de Transparencia y Acceso a la Información Pública del Estado de México y Municipios, el Comité de Transparencia del Instituto de Transparencia, Acceso a la Información Pública y Protección de Datos Personales del Estado de México y Municipios, en sesión ordinaria de fecha veinticinco de septiembre del año dos mil veinticuatro, aprobó la ampliación de plazo para notificar la respuesta al solicitante; para tal efecto, se adjunta un archivo en formato “.</w:t>
      </w:r>
      <w:proofErr w:type="spellStart"/>
      <w:r w:rsidRPr="00390EB8">
        <w:t>pdf</w:t>
      </w:r>
      <w:proofErr w:type="spellEnd"/>
      <w:r w:rsidRPr="00390EB8">
        <w:t>” que contiene la Resolución número RES/03/INFOEM/ORD/COMT/18ª/2024.”</w:t>
      </w:r>
    </w:p>
    <w:p w14:paraId="6A9C2899" w14:textId="77777777" w:rsidR="007D1C55" w:rsidRPr="00390EB8" w:rsidRDefault="007D1C55" w:rsidP="00390EB8"/>
    <w:p w14:paraId="4D69647E" w14:textId="19420BA8" w:rsidR="004F7A00" w:rsidRPr="00390EB8" w:rsidRDefault="004F7A00" w:rsidP="00390EB8">
      <w:r w:rsidRPr="00390EB8">
        <w:t xml:space="preserve">Asimismo, en el expediente que obra en el SAIMEX se advierte que </w:t>
      </w:r>
      <w:r w:rsidRPr="00390EB8">
        <w:rPr>
          <w:b/>
          <w:bCs/>
        </w:rPr>
        <w:t>EL SUJETO OBLIGADO</w:t>
      </w:r>
      <w:r w:rsidRPr="00390EB8">
        <w:t xml:space="preserve"> acompañó a la solicitud de prórroga el </w:t>
      </w:r>
      <w:r w:rsidR="005C7866" w:rsidRPr="00390EB8">
        <w:t xml:space="preserve">archivo electrónico denominado </w:t>
      </w:r>
      <w:r w:rsidR="005C7866" w:rsidRPr="00390EB8">
        <w:rPr>
          <w:b/>
        </w:rPr>
        <w:t>RES-03-INFOEM-ORD-COMT-18a-2024.pdf</w:t>
      </w:r>
      <w:r w:rsidRPr="00390EB8">
        <w:rPr>
          <w:b/>
        </w:rPr>
        <w:t>,</w:t>
      </w:r>
      <w:r w:rsidRPr="00390EB8">
        <w:t xml:space="preserve"> el c</w:t>
      </w:r>
      <w:r w:rsidR="00246765" w:rsidRPr="00390EB8">
        <w:t xml:space="preserve">ual contiene el Acuerdo número </w:t>
      </w:r>
      <w:r w:rsidR="00246765" w:rsidRPr="00390EB8">
        <w:rPr>
          <w:b/>
        </w:rPr>
        <w:t>RES/03/INFOEM/ORD/COMT/18ª/2024</w:t>
      </w:r>
      <w:r w:rsidRPr="00390EB8">
        <w:t>, por medio del cual el Comité de Transparencia aprobó la ampliación de plazo para dar respuesta a la solicitud de información.</w:t>
      </w:r>
    </w:p>
    <w:p w14:paraId="2C4045D7" w14:textId="77777777" w:rsidR="00AF03C4" w:rsidRPr="00390EB8" w:rsidRDefault="00AF03C4" w:rsidP="00390EB8">
      <w:pPr>
        <w:rPr>
          <w:lang w:val="es-ES"/>
        </w:rPr>
      </w:pPr>
    </w:p>
    <w:p w14:paraId="3212BA4D" w14:textId="5753BAD7" w:rsidR="00664420" w:rsidRPr="00390EB8" w:rsidRDefault="006B162C" w:rsidP="00390EB8">
      <w:pPr>
        <w:pStyle w:val="Ttulo3"/>
        <w:rPr>
          <w:rFonts w:eastAsia="Calibri"/>
          <w:lang w:eastAsia="en-US"/>
        </w:rPr>
      </w:pPr>
      <w:bookmarkStart w:id="8" w:name="_Toc181822307"/>
      <w:r w:rsidRPr="00390EB8">
        <w:rPr>
          <w:lang w:val="es-ES"/>
        </w:rPr>
        <w:t>d</w:t>
      </w:r>
      <w:r w:rsidR="00E37A3F" w:rsidRPr="00390EB8">
        <w:rPr>
          <w:lang w:val="es-ES"/>
        </w:rPr>
        <w:t xml:space="preserve">) </w:t>
      </w:r>
      <w:r w:rsidR="00664420" w:rsidRPr="00390EB8">
        <w:rPr>
          <w:lang w:val="es-ES"/>
        </w:rPr>
        <w:t xml:space="preserve">Respuesta </w:t>
      </w:r>
      <w:r w:rsidR="00664420" w:rsidRPr="00390EB8">
        <w:rPr>
          <w:rFonts w:eastAsia="Calibri"/>
          <w:lang w:eastAsia="en-US"/>
        </w:rPr>
        <w:t>del Sujeto Obligado</w:t>
      </w:r>
      <w:bookmarkEnd w:id="8"/>
    </w:p>
    <w:p w14:paraId="79199CC1" w14:textId="0247E1B7" w:rsidR="00664420" w:rsidRPr="00390EB8" w:rsidRDefault="00664420" w:rsidP="00390EB8">
      <w:pPr>
        <w:pStyle w:val="Sinespaciado"/>
        <w:spacing w:line="360" w:lineRule="auto"/>
        <w:rPr>
          <w:lang w:val="es-ES"/>
        </w:rPr>
      </w:pPr>
      <w:r w:rsidRPr="00390EB8">
        <w:rPr>
          <w:lang w:val="es-ES"/>
        </w:rPr>
        <w:t xml:space="preserve">El </w:t>
      </w:r>
      <w:r w:rsidR="00246765" w:rsidRPr="00390EB8">
        <w:rPr>
          <w:b/>
          <w:lang w:val="es-ES"/>
        </w:rPr>
        <w:t>diez de octubre de dos mil veinticuatro</w:t>
      </w:r>
      <w:r w:rsidRPr="00390EB8">
        <w:rPr>
          <w:lang w:val="es-ES"/>
        </w:rPr>
        <w:t xml:space="preserve">, </w:t>
      </w:r>
      <w:r w:rsidR="00F07EE6" w:rsidRPr="00390EB8">
        <w:rPr>
          <w:lang w:val="es-ES"/>
        </w:rPr>
        <w:t xml:space="preserve">el Titular de la Unidad de Transparencia del </w:t>
      </w:r>
      <w:r w:rsidR="00F07EE6" w:rsidRPr="00390EB8">
        <w:rPr>
          <w:b/>
          <w:lang w:val="es-ES"/>
        </w:rPr>
        <w:t>SUJETO OBLIGADO</w:t>
      </w:r>
      <w:r w:rsidR="00F07EE6" w:rsidRPr="00390EB8">
        <w:rPr>
          <w:lang w:val="es-ES"/>
        </w:rPr>
        <w:t xml:space="preserve"> notificó la siguiente respuesta a través del </w:t>
      </w:r>
      <w:r w:rsidRPr="00390EB8">
        <w:rPr>
          <w:lang w:val="es-ES"/>
        </w:rPr>
        <w:t>SAIMEX</w:t>
      </w:r>
      <w:r w:rsidR="00F07EE6" w:rsidRPr="00390EB8">
        <w:rPr>
          <w:lang w:val="es-ES"/>
        </w:rPr>
        <w:t>:</w:t>
      </w:r>
    </w:p>
    <w:p w14:paraId="669F7EFD" w14:textId="77777777" w:rsidR="00664420" w:rsidRPr="00390EB8" w:rsidRDefault="00664420" w:rsidP="00390EB8">
      <w:pPr>
        <w:tabs>
          <w:tab w:val="left" w:pos="4667"/>
        </w:tabs>
        <w:ind w:left="567" w:right="567"/>
        <w:rPr>
          <w:rFonts w:cs="Tahoma"/>
          <w:b/>
          <w:bCs/>
        </w:rPr>
      </w:pPr>
    </w:p>
    <w:p w14:paraId="0349AD1C" w14:textId="55CE5FAE" w:rsidR="00246765" w:rsidRPr="00390EB8" w:rsidRDefault="00246765" w:rsidP="00390EB8">
      <w:pPr>
        <w:pStyle w:val="Puesto"/>
        <w:jc w:val="right"/>
      </w:pPr>
      <w:r w:rsidRPr="00390EB8">
        <w:t>“Folio de la solicitud: 00947/INFOEM/IP/2024</w:t>
      </w:r>
    </w:p>
    <w:p w14:paraId="3486A2BA" w14:textId="77777777" w:rsidR="00246765" w:rsidRPr="00390EB8" w:rsidRDefault="00246765" w:rsidP="00390EB8">
      <w:pPr>
        <w:pStyle w:val="Puesto"/>
      </w:pPr>
    </w:p>
    <w:p w14:paraId="3C82BE93" w14:textId="77777777" w:rsidR="00246765" w:rsidRPr="00390EB8" w:rsidRDefault="00246765" w:rsidP="00390EB8">
      <w:pPr>
        <w:pStyle w:val="Puesto"/>
      </w:pPr>
      <w:r w:rsidRPr="00390EB8">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1491A535" w:rsidR="00F07EE6" w:rsidRPr="00390EB8" w:rsidRDefault="00246765" w:rsidP="00390EB8">
      <w:pPr>
        <w:pStyle w:val="Puesto"/>
      </w:pPr>
      <w:r w:rsidRPr="00390EB8">
        <w:t>Con fundamento en el artículo 53 fracción II de la Ley de Transparencia y Acceso a la Información Pública del Estado de México y Municipios, se adjunta la respuesta a su solicitud de información pública.”</w:t>
      </w:r>
    </w:p>
    <w:p w14:paraId="5D11024C" w14:textId="77777777" w:rsidR="00664420" w:rsidRPr="00390EB8" w:rsidRDefault="00664420" w:rsidP="00390EB8">
      <w:pPr>
        <w:autoSpaceDE w:val="0"/>
        <w:autoSpaceDN w:val="0"/>
        <w:adjustRightInd w:val="0"/>
        <w:ind w:right="-28"/>
        <w:rPr>
          <w:rFonts w:cs="Tahoma"/>
          <w:bCs/>
          <w:szCs w:val="22"/>
        </w:rPr>
      </w:pPr>
    </w:p>
    <w:p w14:paraId="70920289" w14:textId="1734249B" w:rsidR="00664420" w:rsidRPr="00390EB8" w:rsidRDefault="00F07EE6" w:rsidP="00390EB8">
      <w:pPr>
        <w:autoSpaceDE w:val="0"/>
        <w:autoSpaceDN w:val="0"/>
        <w:adjustRightInd w:val="0"/>
        <w:ind w:right="-28"/>
        <w:rPr>
          <w:rFonts w:cs="Tahoma"/>
          <w:bCs/>
          <w:szCs w:val="22"/>
          <w:lang w:val="es-ES"/>
        </w:rPr>
      </w:pPr>
      <w:r w:rsidRPr="00390EB8">
        <w:rPr>
          <w:rFonts w:cs="Tahoma"/>
          <w:bCs/>
          <w:szCs w:val="22"/>
          <w:lang w:val="es-ES"/>
        </w:rPr>
        <w:lastRenderedPageBreak/>
        <w:t xml:space="preserve">Asimismo, </w:t>
      </w:r>
      <w:r w:rsidRPr="00390EB8">
        <w:rPr>
          <w:rFonts w:cs="Tahoma"/>
          <w:b/>
          <w:szCs w:val="22"/>
          <w:lang w:val="es-ES"/>
        </w:rPr>
        <w:t xml:space="preserve">EL SUJETO OBLIGADO </w:t>
      </w:r>
      <w:r w:rsidRPr="00390EB8">
        <w:rPr>
          <w:rFonts w:cs="Tahoma"/>
          <w:bCs/>
          <w:szCs w:val="22"/>
          <w:lang w:val="es-ES"/>
        </w:rPr>
        <w:t>adjuntó a su respuesta los archivos electrónicos que se describen a continuación</w:t>
      </w:r>
      <w:r w:rsidR="00664420" w:rsidRPr="00390EB8">
        <w:rPr>
          <w:rFonts w:cs="Tahoma"/>
          <w:bCs/>
          <w:szCs w:val="22"/>
          <w:lang w:val="es-ES"/>
        </w:rPr>
        <w:t>:</w:t>
      </w:r>
    </w:p>
    <w:p w14:paraId="18890BFD" w14:textId="77777777" w:rsidR="00DE1133" w:rsidRPr="00390EB8" w:rsidRDefault="00DE1133" w:rsidP="00390EB8">
      <w:pPr>
        <w:autoSpaceDE w:val="0"/>
        <w:autoSpaceDN w:val="0"/>
        <w:adjustRightInd w:val="0"/>
        <w:ind w:right="-28"/>
        <w:rPr>
          <w:rFonts w:cs="Tahoma"/>
          <w:bCs/>
          <w:szCs w:val="22"/>
          <w:lang w:val="es-ES"/>
        </w:rPr>
      </w:pPr>
    </w:p>
    <w:p w14:paraId="327B8C37" w14:textId="44904C9B" w:rsidR="00246765" w:rsidRPr="00390EB8" w:rsidRDefault="00246765" w:rsidP="00390EB8">
      <w:pPr>
        <w:autoSpaceDE w:val="0"/>
        <w:autoSpaceDN w:val="0"/>
        <w:adjustRightInd w:val="0"/>
        <w:ind w:right="-28"/>
        <w:rPr>
          <w:rFonts w:cs="Tahoma"/>
          <w:bCs/>
          <w:szCs w:val="22"/>
          <w:lang w:val="es-ES"/>
        </w:rPr>
      </w:pPr>
      <w:r w:rsidRPr="00390EB8">
        <w:rPr>
          <w:rFonts w:cs="Tahoma"/>
          <w:b/>
          <w:bCs/>
          <w:szCs w:val="22"/>
          <w:lang w:val="es-ES"/>
        </w:rPr>
        <w:t>-RespuestaSolicitud00947UT2024</w:t>
      </w:r>
      <w:proofErr w:type="gramStart"/>
      <w:r w:rsidRPr="00390EB8">
        <w:rPr>
          <w:rFonts w:cs="Tahoma"/>
          <w:b/>
          <w:bCs/>
          <w:szCs w:val="22"/>
          <w:lang w:val="es-ES"/>
        </w:rPr>
        <w:t>..pdf.-</w:t>
      </w:r>
      <w:proofErr w:type="gramEnd"/>
      <w:r w:rsidRPr="00390EB8">
        <w:rPr>
          <w:rFonts w:cs="Tahoma"/>
          <w:b/>
          <w:bCs/>
          <w:szCs w:val="22"/>
          <w:lang w:val="es-ES"/>
        </w:rPr>
        <w:t xml:space="preserve"> </w:t>
      </w:r>
      <w:r w:rsidRPr="00390EB8">
        <w:t xml:space="preserve">El Titular de la unidad de Transparencia hace del conocimiento, que una vez agotada la búsqueda en los archivos de su área, no se encontró documento alguno que cumpla con los parámetros peticionados por la parte Solicitante. Circunstancia que se traduce en un hecho negativo, en el sentido que si bien es cierto existen atribuciones para en su caso poseer la información, también lo es que, al no existir el acto generador del soporte documental peticionado no puede obrar en los archivos de esta </w:t>
      </w:r>
      <w:proofErr w:type="spellStart"/>
      <w:r w:rsidRPr="00390EB8">
        <w:t>Uinidad</w:t>
      </w:r>
      <w:proofErr w:type="spellEnd"/>
      <w:r w:rsidRPr="00390EB8">
        <w:t>, ya que no puede probarse por ser lógica y materialmente imposible.</w:t>
      </w:r>
    </w:p>
    <w:p w14:paraId="52460699" w14:textId="77777777" w:rsidR="00664420" w:rsidRPr="00390EB8" w:rsidRDefault="00664420" w:rsidP="00390EB8">
      <w:pPr>
        <w:autoSpaceDE w:val="0"/>
        <w:autoSpaceDN w:val="0"/>
        <w:adjustRightInd w:val="0"/>
        <w:ind w:right="-28"/>
        <w:rPr>
          <w:rFonts w:cs="Tahoma"/>
          <w:bCs/>
          <w:szCs w:val="22"/>
          <w:lang w:val="es-ES"/>
        </w:rPr>
      </w:pPr>
    </w:p>
    <w:p w14:paraId="5A5DAB9E" w14:textId="77777777" w:rsidR="00E37A3F" w:rsidRPr="00390EB8" w:rsidRDefault="00E37A3F" w:rsidP="00390EB8">
      <w:pPr>
        <w:pStyle w:val="Ttulo2"/>
        <w:jc w:val="left"/>
      </w:pPr>
      <w:bookmarkStart w:id="9" w:name="_Toc181822308"/>
      <w:r w:rsidRPr="00390EB8">
        <w:t>DEL RECURSO DE REVISIÓN</w:t>
      </w:r>
      <w:bookmarkEnd w:id="9"/>
    </w:p>
    <w:p w14:paraId="0B17CD08" w14:textId="77777777" w:rsidR="00664420" w:rsidRPr="00390EB8" w:rsidRDefault="00664420" w:rsidP="00390EB8">
      <w:pPr>
        <w:autoSpaceDE w:val="0"/>
        <w:autoSpaceDN w:val="0"/>
        <w:adjustRightInd w:val="0"/>
        <w:ind w:right="-28"/>
        <w:rPr>
          <w:rFonts w:cs="Tahoma"/>
          <w:bCs/>
          <w:szCs w:val="22"/>
          <w:lang w:val="es-ES"/>
        </w:rPr>
      </w:pPr>
    </w:p>
    <w:p w14:paraId="2B216813" w14:textId="61ADBB2B" w:rsidR="00664420" w:rsidRPr="00390EB8" w:rsidRDefault="006E25BC" w:rsidP="00390EB8">
      <w:pPr>
        <w:pStyle w:val="Ttulo3"/>
      </w:pPr>
      <w:bookmarkStart w:id="10" w:name="_Toc181822309"/>
      <w:r w:rsidRPr="00390EB8">
        <w:rPr>
          <w:szCs w:val="32"/>
        </w:rPr>
        <w:t>a)</w:t>
      </w:r>
      <w:r w:rsidRPr="00390EB8">
        <w:t xml:space="preserve"> </w:t>
      </w:r>
      <w:r w:rsidR="00664420" w:rsidRPr="00390EB8">
        <w:t>Interposición del Recurso de Revisión</w:t>
      </w:r>
      <w:bookmarkEnd w:id="10"/>
    </w:p>
    <w:p w14:paraId="6279C622" w14:textId="1DF994E6" w:rsidR="00664420" w:rsidRPr="00390EB8" w:rsidRDefault="00664420" w:rsidP="00390EB8">
      <w:pPr>
        <w:autoSpaceDE w:val="0"/>
        <w:autoSpaceDN w:val="0"/>
        <w:adjustRightInd w:val="0"/>
        <w:ind w:right="-28"/>
        <w:rPr>
          <w:rFonts w:cs="Tahoma"/>
          <w:szCs w:val="22"/>
        </w:rPr>
      </w:pPr>
      <w:r w:rsidRPr="00390EB8">
        <w:rPr>
          <w:rFonts w:cs="Tahoma"/>
          <w:szCs w:val="22"/>
        </w:rPr>
        <w:t xml:space="preserve">El </w:t>
      </w:r>
      <w:r w:rsidR="00246765" w:rsidRPr="00390EB8">
        <w:rPr>
          <w:rFonts w:cs="Tahoma"/>
          <w:b/>
          <w:bCs/>
          <w:szCs w:val="22"/>
        </w:rPr>
        <w:t>diecisiete de octubre de dos mil veinticuatro,</w:t>
      </w:r>
      <w:r w:rsidRPr="00390EB8">
        <w:rPr>
          <w:rFonts w:cs="Tahoma"/>
          <w:szCs w:val="22"/>
        </w:rPr>
        <w:t xml:space="preserve"> </w:t>
      </w:r>
      <w:r w:rsidR="00F75D23" w:rsidRPr="00390EB8">
        <w:rPr>
          <w:rFonts w:cs="Tahoma"/>
          <w:b/>
          <w:bCs/>
          <w:szCs w:val="22"/>
        </w:rPr>
        <w:t>LA PARTE RECURRENTE</w:t>
      </w:r>
      <w:r w:rsidR="00F75D23" w:rsidRPr="00390EB8">
        <w:rPr>
          <w:rFonts w:cs="Tahoma"/>
          <w:szCs w:val="22"/>
        </w:rPr>
        <w:t xml:space="preserve"> interpuso el recurso de revisión en contra de la respuesta emitida por el </w:t>
      </w:r>
      <w:r w:rsidR="00F75D23" w:rsidRPr="00390EB8">
        <w:rPr>
          <w:rFonts w:cs="Tahoma"/>
          <w:b/>
          <w:bCs/>
          <w:szCs w:val="22"/>
        </w:rPr>
        <w:t>SUJETO OBLIGADO</w:t>
      </w:r>
      <w:r w:rsidR="00953430" w:rsidRPr="00390EB8">
        <w:rPr>
          <w:rFonts w:cs="Tahoma"/>
          <w:szCs w:val="22"/>
        </w:rPr>
        <w:t xml:space="preserve">, mismo que fue registrado en el SAIMEX con el número de expediente </w:t>
      </w:r>
      <w:r w:rsidR="00C008BE" w:rsidRPr="00390EB8">
        <w:rPr>
          <w:rFonts w:cs="Tahoma"/>
          <w:b/>
          <w:szCs w:val="22"/>
        </w:rPr>
        <w:t>06337/INFOEM/IP/RR/2024</w:t>
      </w:r>
      <w:r w:rsidR="00953430" w:rsidRPr="00390EB8">
        <w:rPr>
          <w:rFonts w:cs="Tahoma"/>
          <w:szCs w:val="22"/>
        </w:rPr>
        <w:t>, y en el cual manifiesta lo siguiente</w:t>
      </w:r>
      <w:r w:rsidRPr="00390EB8">
        <w:rPr>
          <w:rFonts w:cs="Tahoma"/>
          <w:szCs w:val="22"/>
        </w:rPr>
        <w:t>:</w:t>
      </w:r>
    </w:p>
    <w:p w14:paraId="74B30008" w14:textId="77777777" w:rsidR="00664420" w:rsidRPr="00390EB8" w:rsidRDefault="00664420" w:rsidP="00390EB8">
      <w:pPr>
        <w:tabs>
          <w:tab w:val="left" w:pos="4667"/>
        </w:tabs>
        <w:ind w:right="539"/>
        <w:rPr>
          <w:rFonts w:cs="Tahoma"/>
          <w:szCs w:val="22"/>
        </w:rPr>
      </w:pPr>
    </w:p>
    <w:p w14:paraId="3C620C26" w14:textId="77777777" w:rsidR="00ED694D" w:rsidRPr="00390EB8" w:rsidRDefault="00664420" w:rsidP="00390EB8">
      <w:pPr>
        <w:tabs>
          <w:tab w:val="left" w:pos="4667"/>
        </w:tabs>
        <w:ind w:left="567" w:right="539"/>
        <w:rPr>
          <w:rFonts w:cs="Tahoma"/>
          <w:b/>
          <w:iCs/>
        </w:rPr>
      </w:pPr>
      <w:r w:rsidRPr="00390EB8">
        <w:rPr>
          <w:rFonts w:cs="Tahoma"/>
          <w:b/>
          <w:iCs/>
        </w:rPr>
        <w:t>ACTO IMPUGNADO</w:t>
      </w:r>
    </w:p>
    <w:p w14:paraId="12153283" w14:textId="1878E938" w:rsidR="00664420" w:rsidRPr="00390EB8" w:rsidRDefault="00664420" w:rsidP="00390EB8">
      <w:pPr>
        <w:tabs>
          <w:tab w:val="left" w:pos="4667"/>
        </w:tabs>
        <w:ind w:left="567" w:right="539"/>
        <w:rPr>
          <w:rFonts w:cs="Tahoma"/>
          <w:b/>
          <w:iCs/>
        </w:rPr>
      </w:pPr>
      <w:r w:rsidRPr="00390EB8">
        <w:rPr>
          <w:rFonts w:cs="Tahoma"/>
          <w:b/>
          <w:iCs/>
        </w:rPr>
        <w:tab/>
      </w:r>
    </w:p>
    <w:p w14:paraId="523F8BF4" w14:textId="38BBE9EA" w:rsidR="00664420" w:rsidRPr="00390EB8" w:rsidRDefault="00E37222" w:rsidP="00390EB8">
      <w:pPr>
        <w:pStyle w:val="Puesto"/>
      </w:pPr>
      <w:r w:rsidRPr="00390EB8">
        <w:t>“</w:t>
      </w:r>
      <w:r w:rsidR="00232E6F" w:rsidRPr="00390EB8">
        <w:t>La entrega de información incompleta.</w:t>
      </w:r>
      <w:r w:rsidRPr="00390EB8">
        <w:t>”</w:t>
      </w:r>
    </w:p>
    <w:p w14:paraId="6AE8EA9A" w14:textId="77777777" w:rsidR="00664420" w:rsidRPr="00390EB8" w:rsidRDefault="00664420" w:rsidP="00390EB8">
      <w:pPr>
        <w:tabs>
          <w:tab w:val="left" w:pos="4667"/>
        </w:tabs>
        <w:ind w:left="567" w:right="539"/>
        <w:rPr>
          <w:rFonts w:cs="Tahoma"/>
          <w:bCs/>
          <w:i/>
        </w:rPr>
      </w:pPr>
    </w:p>
    <w:p w14:paraId="047D036B" w14:textId="77777777" w:rsidR="00664420" w:rsidRPr="00390EB8" w:rsidRDefault="00664420" w:rsidP="00390EB8">
      <w:pPr>
        <w:tabs>
          <w:tab w:val="left" w:pos="4667"/>
        </w:tabs>
        <w:ind w:left="567" w:right="539"/>
        <w:rPr>
          <w:rFonts w:cs="Tahoma"/>
          <w:b/>
          <w:iCs/>
        </w:rPr>
      </w:pPr>
      <w:r w:rsidRPr="00390EB8">
        <w:rPr>
          <w:rFonts w:cs="Tahoma"/>
          <w:b/>
          <w:iCs/>
        </w:rPr>
        <w:lastRenderedPageBreak/>
        <w:t>RAZONES O MOTIVOS DE LA INCONFORMIDAD</w:t>
      </w:r>
      <w:r w:rsidRPr="00390EB8">
        <w:rPr>
          <w:rFonts w:cs="Tahoma"/>
          <w:b/>
          <w:iCs/>
        </w:rPr>
        <w:tab/>
      </w:r>
    </w:p>
    <w:p w14:paraId="7197D3E5" w14:textId="77777777" w:rsidR="00ED694D" w:rsidRPr="00390EB8" w:rsidRDefault="00ED694D" w:rsidP="00390EB8">
      <w:pPr>
        <w:tabs>
          <w:tab w:val="left" w:pos="4667"/>
        </w:tabs>
        <w:ind w:left="567" w:right="539"/>
        <w:rPr>
          <w:rFonts w:cs="Tahoma"/>
          <w:b/>
          <w:iCs/>
        </w:rPr>
      </w:pPr>
    </w:p>
    <w:p w14:paraId="1DAE2563" w14:textId="495AA1F3" w:rsidR="00953430" w:rsidRPr="00390EB8" w:rsidRDefault="00E37222" w:rsidP="00390EB8">
      <w:pPr>
        <w:pStyle w:val="Puesto"/>
      </w:pPr>
      <w:r w:rsidRPr="00390EB8">
        <w:t>“Solicite TODAAAAAAAAS las actuaciones que se realizaron, a fin de desclasificar la información como reservada (ya sea porque la reserva derivó de una solicitud de acceso o, bien, para el cumplimiento de obligaciones), es decir, los oficios o memorandos que generaron las personas servidoras públicas habilitadas y/o titulares de área; las convocatorias para sesión del Comité de Transparencia, las actas del Comité de Transparencia y sus respectivas resoluciones; sin embargo, argumentaron que no había puesto temporalidad.”</w:t>
      </w:r>
    </w:p>
    <w:p w14:paraId="48FE75EA" w14:textId="77777777" w:rsidR="00664420" w:rsidRPr="00390EB8" w:rsidRDefault="00664420" w:rsidP="00390EB8">
      <w:pPr>
        <w:tabs>
          <w:tab w:val="left" w:pos="4667"/>
        </w:tabs>
        <w:ind w:right="567"/>
        <w:rPr>
          <w:rFonts w:cs="Tahoma"/>
          <w:b/>
          <w:bCs/>
        </w:rPr>
      </w:pPr>
    </w:p>
    <w:p w14:paraId="6804DEF1" w14:textId="3C4F6CB5" w:rsidR="00664420" w:rsidRPr="00390EB8" w:rsidRDefault="006E25BC" w:rsidP="00390EB8">
      <w:pPr>
        <w:pStyle w:val="Ttulo3"/>
      </w:pPr>
      <w:bookmarkStart w:id="11" w:name="_Toc181822310"/>
      <w:r w:rsidRPr="00390EB8">
        <w:t>b</w:t>
      </w:r>
      <w:r w:rsidR="00664420" w:rsidRPr="00390EB8">
        <w:t>) Turno del Recurso de Revisión</w:t>
      </w:r>
      <w:bookmarkEnd w:id="11"/>
    </w:p>
    <w:p w14:paraId="1173671B" w14:textId="3FB843E1" w:rsidR="00C72DAA" w:rsidRPr="00390EB8" w:rsidRDefault="00C72DAA" w:rsidP="00390EB8">
      <w:r w:rsidRPr="00390EB8">
        <w:t>Con fundamento en el artículo 185, fracción I de la Ley de Transparencia y Acceso a la Información Pública del Estado de México y Municipios, el</w:t>
      </w:r>
      <w:r w:rsidRPr="00390EB8">
        <w:rPr>
          <w:b/>
          <w:bCs/>
        </w:rPr>
        <w:t xml:space="preserve"> </w:t>
      </w:r>
      <w:r w:rsidR="00E37222" w:rsidRPr="00390EB8">
        <w:rPr>
          <w:rFonts w:eastAsia="Palatino Linotype" w:cs="Palatino Linotype"/>
          <w:b/>
        </w:rPr>
        <w:t xml:space="preserve">diecisiete de octubre de dos mil veinticuatro, </w:t>
      </w:r>
      <w:r w:rsidRPr="00390EB8">
        <w:t>se turnó el recurso de revisión a través del</w:t>
      </w:r>
      <w:r w:rsidRPr="00390EB8">
        <w:rPr>
          <w:rFonts w:eastAsia="Arial Unicode MS"/>
        </w:rPr>
        <w:t xml:space="preserve"> </w:t>
      </w:r>
      <w:r w:rsidRPr="00390EB8">
        <w:rPr>
          <w:rFonts w:eastAsia="Arial Unicode MS"/>
          <w:bCs/>
        </w:rPr>
        <w:t>SAIMEX</w:t>
      </w:r>
      <w:r w:rsidRPr="00390EB8">
        <w:t xml:space="preserve"> a la </w:t>
      </w:r>
      <w:r w:rsidRPr="00390EB8">
        <w:rPr>
          <w:b/>
        </w:rPr>
        <w:t>Comisionada Sharon Cristina Morales Martínez</w:t>
      </w:r>
      <w:r w:rsidRPr="00390EB8">
        <w:rPr>
          <w:bCs/>
        </w:rPr>
        <w:t xml:space="preserve">, </w:t>
      </w:r>
      <w:r w:rsidRPr="00390EB8">
        <w:t xml:space="preserve">a efecto de decretar su admisión o </w:t>
      </w:r>
      <w:proofErr w:type="spellStart"/>
      <w:r w:rsidRPr="00390EB8">
        <w:t>desechamiento</w:t>
      </w:r>
      <w:proofErr w:type="spellEnd"/>
      <w:r w:rsidRPr="00390EB8">
        <w:t xml:space="preserve">. </w:t>
      </w:r>
    </w:p>
    <w:p w14:paraId="18F305CB" w14:textId="77777777" w:rsidR="00664420" w:rsidRPr="00390EB8" w:rsidRDefault="00664420" w:rsidP="00390EB8">
      <w:pPr>
        <w:rPr>
          <w:rFonts w:eastAsia="Batang" w:cs="Tahoma"/>
          <w:bCs/>
          <w:szCs w:val="22"/>
        </w:rPr>
      </w:pPr>
    </w:p>
    <w:p w14:paraId="3E31EC2D" w14:textId="295256A1" w:rsidR="00664420" w:rsidRPr="00390EB8" w:rsidRDefault="006E25BC" w:rsidP="00390EB8">
      <w:pPr>
        <w:pStyle w:val="Ttulo3"/>
      </w:pPr>
      <w:bookmarkStart w:id="12" w:name="_Toc181822311"/>
      <w:r w:rsidRPr="00390EB8">
        <w:t>c</w:t>
      </w:r>
      <w:r w:rsidR="00664420" w:rsidRPr="00390EB8">
        <w:t>) Admisión del Recurso de Revisión</w:t>
      </w:r>
      <w:bookmarkEnd w:id="12"/>
    </w:p>
    <w:p w14:paraId="240447D5" w14:textId="6A109019" w:rsidR="000E09C4" w:rsidRPr="00390EB8" w:rsidRDefault="000E09C4" w:rsidP="00390EB8">
      <w:pPr>
        <w:rPr>
          <w:rFonts w:cs="Arial"/>
        </w:rPr>
      </w:pPr>
      <w:r w:rsidRPr="00390EB8">
        <w:rPr>
          <w:rFonts w:cs="Arial"/>
        </w:rPr>
        <w:t xml:space="preserve">El </w:t>
      </w:r>
      <w:r w:rsidR="00E37222" w:rsidRPr="00390EB8">
        <w:rPr>
          <w:rFonts w:eastAsia="Palatino Linotype" w:cs="Palatino Linotype"/>
          <w:b/>
        </w:rPr>
        <w:t>veintiuno de octubre de dos mil veinticuatro,</w:t>
      </w:r>
      <w:r w:rsidRPr="00390EB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90EB8">
        <w:rPr>
          <w:rFonts w:cs="Arial"/>
        </w:rPr>
        <w:t>, fracción II</w:t>
      </w:r>
      <w:r w:rsidRPr="00390EB8">
        <w:rPr>
          <w:rFonts w:cs="Arial"/>
        </w:rPr>
        <w:t xml:space="preserve"> de la Ley de Transparencia y Acceso a la Información Pública del Estado de México y Municipios.</w:t>
      </w:r>
    </w:p>
    <w:p w14:paraId="68A8EE20" w14:textId="77777777" w:rsidR="00ED694D" w:rsidRPr="00390EB8" w:rsidRDefault="00ED694D" w:rsidP="00390EB8">
      <w:pPr>
        <w:rPr>
          <w:rFonts w:cs="Arial"/>
        </w:rPr>
      </w:pPr>
    </w:p>
    <w:p w14:paraId="3B820F58" w14:textId="51B531A1" w:rsidR="00865CF4" w:rsidRPr="00390EB8" w:rsidRDefault="006B162C" w:rsidP="00390EB8">
      <w:pPr>
        <w:pStyle w:val="Ttulo3"/>
      </w:pPr>
      <w:bookmarkStart w:id="13" w:name="_Toc181822312"/>
      <w:r w:rsidRPr="00390EB8">
        <w:lastRenderedPageBreak/>
        <w:t>d</w:t>
      </w:r>
      <w:r w:rsidR="00664420" w:rsidRPr="00390EB8">
        <w:t xml:space="preserve">) </w:t>
      </w:r>
      <w:r w:rsidR="00865CF4" w:rsidRPr="00390EB8">
        <w:t>Informe Justificado del Sujeto Obligado</w:t>
      </w:r>
      <w:bookmarkEnd w:id="13"/>
    </w:p>
    <w:p w14:paraId="195F0D72" w14:textId="029AA0B1" w:rsidR="00865CF4" w:rsidRPr="00390EB8" w:rsidRDefault="00865CF4" w:rsidP="00390EB8">
      <w:pPr>
        <w:rPr>
          <w:rFonts w:eastAsia="Calibri" w:cs="Tahoma"/>
          <w:szCs w:val="22"/>
          <w:lang w:eastAsia="en-US"/>
        </w:rPr>
      </w:pPr>
      <w:r w:rsidRPr="00390EB8">
        <w:rPr>
          <w:rFonts w:cs="Tahoma"/>
          <w:bCs/>
          <w:szCs w:val="24"/>
        </w:rPr>
        <w:t xml:space="preserve">El </w:t>
      </w:r>
      <w:r w:rsidR="00E37222" w:rsidRPr="00390EB8">
        <w:rPr>
          <w:rFonts w:cs="Tahoma"/>
          <w:b/>
          <w:szCs w:val="24"/>
        </w:rPr>
        <w:t>treinta de octubre de dos mil veinticuatro</w:t>
      </w:r>
      <w:r w:rsidRPr="00390EB8">
        <w:rPr>
          <w:rFonts w:cs="Tahoma"/>
          <w:b/>
          <w:szCs w:val="24"/>
        </w:rPr>
        <w:t xml:space="preserve"> EL SUJETO OBLIGADO</w:t>
      </w:r>
      <w:r w:rsidRPr="00390EB8">
        <w:rPr>
          <w:rFonts w:cs="Tahoma"/>
          <w:bCs/>
          <w:szCs w:val="24"/>
        </w:rPr>
        <w:t xml:space="preserve"> rindió su informe justificado a través del SAIMEX, </w:t>
      </w:r>
      <w:r w:rsidRPr="00390EB8">
        <w:rPr>
          <w:rFonts w:eastAsia="Calibri" w:cs="Tahoma"/>
          <w:szCs w:val="22"/>
          <w:lang w:eastAsia="en-US"/>
        </w:rPr>
        <w:t>en el cual expresó lo siguiente:</w:t>
      </w:r>
    </w:p>
    <w:p w14:paraId="6E939452" w14:textId="77777777" w:rsidR="00865CF4" w:rsidRPr="00390EB8" w:rsidRDefault="00865CF4" w:rsidP="00390EB8">
      <w:pPr>
        <w:rPr>
          <w:rFonts w:eastAsia="Calibri" w:cs="Tahoma"/>
          <w:szCs w:val="22"/>
          <w:lang w:eastAsia="en-US"/>
        </w:rPr>
      </w:pPr>
    </w:p>
    <w:p w14:paraId="371F88A0" w14:textId="737DE593" w:rsidR="00441BFA" w:rsidRPr="00390EB8" w:rsidRDefault="00E37222" w:rsidP="00390EB8">
      <w:pPr>
        <w:rPr>
          <w:rFonts w:eastAsia="Calibri" w:cs="Tahoma"/>
          <w:szCs w:val="22"/>
          <w:lang w:eastAsia="en-US"/>
        </w:rPr>
      </w:pPr>
      <w:r w:rsidRPr="00390EB8">
        <w:rPr>
          <w:rFonts w:eastAsia="Calibri" w:cs="Tahoma"/>
          <w:b/>
          <w:szCs w:val="22"/>
          <w:lang w:eastAsia="en-US"/>
        </w:rPr>
        <w:t xml:space="preserve">-InformeJustificadoRR06337UT2024.pdf.- </w:t>
      </w:r>
      <w:r w:rsidRPr="00390EB8">
        <w:rPr>
          <w:rFonts w:eastAsia="Calibri" w:cs="Tahoma"/>
          <w:szCs w:val="22"/>
          <w:lang w:eastAsia="en-US"/>
        </w:rPr>
        <w:t>Ratifica su respuesta entregada en primer término</w:t>
      </w:r>
      <w:r w:rsidR="00ED694D" w:rsidRPr="00390EB8">
        <w:rPr>
          <w:rFonts w:eastAsia="Calibri" w:cs="Tahoma"/>
          <w:szCs w:val="22"/>
          <w:lang w:eastAsia="en-US"/>
        </w:rPr>
        <w:t>.</w:t>
      </w:r>
    </w:p>
    <w:p w14:paraId="5FED3A23" w14:textId="77777777" w:rsidR="00E37222" w:rsidRPr="00390EB8" w:rsidRDefault="00E37222" w:rsidP="00390EB8">
      <w:pPr>
        <w:rPr>
          <w:rFonts w:cs="Tahoma"/>
          <w:bCs/>
          <w:szCs w:val="24"/>
        </w:rPr>
      </w:pPr>
    </w:p>
    <w:p w14:paraId="2D130A9D" w14:textId="4F1F20DD" w:rsidR="00865CF4" w:rsidRPr="00390EB8" w:rsidRDefault="00865CF4" w:rsidP="00390EB8">
      <w:pPr>
        <w:rPr>
          <w:rFonts w:cs="Tahoma"/>
          <w:bCs/>
          <w:szCs w:val="24"/>
        </w:rPr>
      </w:pPr>
      <w:r w:rsidRPr="00390EB8">
        <w:rPr>
          <w:rFonts w:cs="Tahoma"/>
          <w:bCs/>
          <w:szCs w:val="24"/>
        </w:rPr>
        <w:t xml:space="preserve">Esta información fue puesta a la vista de </w:t>
      </w:r>
      <w:r w:rsidRPr="00390EB8">
        <w:rPr>
          <w:rFonts w:cs="Tahoma"/>
          <w:b/>
          <w:szCs w:val="24"/>
        </w:rPr>
        <w:t xml:space="preserve">LA PARTE RECURRENTE </w:t>
      </w:r>
      <w:r w:rsidRPr="00390EB8">
        <w:rPr>
          <w:rFonts w:cs="Tahoma"/>
          <w:bCs/>
          <w:szCs w:val="24"/>
        </w:rPr>
        <w:t xml:space="preserve">el </w:t>
      </w:r>
      <w:r w:rsidR="00E37222" w:rsidRPr="00390EB8">
        <w:rPr>
          <w:rFonts w:cs="Tahoma"/>
          <w:b/>
          <w:bCs/>
          <w:szCs w:val="24"/>
        </w:rPr>
        <w:t>treinta y uno de octubre de dos mil veinticuatro</w:t>
      </w:r>
      <w:r w:rsidR="00E37222" w:rsidRPr="00390EB8">
        <w:rPr>
          <w:rFonts w:cs="Tahoma"/>
          <w:bCs/>
          <w:szCs w:val="24"/>
        </w:rPr>
        <w:t>,</w:t>
      </w:r>
      <w:r w:rsidRPr="00390EB8">
        <w:rPr>
          <w:rFonts w:cs="Tahoma"/>
          <w:bCs/>
          <w:szCs w:val="24"/>
        </w:rPr>
        <w:t xml:space="preserve"> para que, en un plazo de tres días hábiles, manifestara lo que a su derecho conviniera, de conformidad con lo establecido en el </w:t>
      </w:r>
      <w:r w:rsidRPr="00390EB8">
        <w:rPr>
          <w:rFonts w:cs="Arial"/>
        </w:rPr>
        <w:t>artículo 185, fracción III de la Ley de Transparencia y Acceso a la Información Pública del Estado de México y Municipios</w:t>
      </w:r>
      <w:r w:rsidRPr="00390EB8">
        <w:rPr>
          <w:rFonts w:cs="Tahoma"/>
          <w:bCs/>
          <w:szCs w:val="24"/>
        </w:rPr>
        <w:t>.</w:t>
      </w:r>
    </w:p>
    <w:p w14:paraId="3B386B4C" w14:textId="77777777" w:rsidR="003A40C1" w:rsidRPr="00390EB8" w:rsidRDefault="003A40C1" w:rsidP="00390EB8">
      <w:pPr>
        <w:ind w:right="539"/>
        <w:rPr>
          <w:rFonts w:cs="Tahoma"/>
          <w:bCs/>
          <w:szCs w:val="24"/>
        </w:rPr>
      </w:pPr>
    </w:p>
    <w:p w14:paraId="755B7730" w14:textId="711A476B" w:rsidR="00664420" w:rsidRPr="00390EB8" w:rsidRDefault="006B162C" w:rsidP="00390EB8">
      <w:pPr>
        <w:pStyle w:val="Ttulo3"/>
        <w:rPr>
          <w:lang w:val="es-ES"/>
        </w:rPr>
      </w:pPr>
      <w:bookmarkStart w:id="14" w:name="_Toc181822313"/>
      <w:r w:rsidRPr="00390EB8">
        <w:rPr>
          <w:rFonts w:eastAsia="Calibri"/>
          <w:bCs/>
          <w:lang w:eastAsia="en-US"/>
        </w:rPr>
        <w:t>e</w:t>
      </w:r>
      <w:r w:rsidR="00664420" w:rsidRPr="00390EB8">
        <w:rPr>
          <w:rFonts w:eastAsia="Calibri"/>
          <w:bCs/>
          <w:lang w:eastAsia="en-US"/>
        </w:rPr>
        <w:t>)</w:t>
      </w:r>
      <w:r w:rsidR="00664420" w:rsidRPr="00390EB8">
        <w:t xml:space="preserve"> </w:t>
      </w:r>
      <w:r w:rsidR="00865CF4" w:rsidRPr="00390EB8">
        <w:rPr>
          <w:lang w:val="es-ES"/>
        </w:rPr>
        <w:t>Manifestaciones de la Parte Recurrente</w:t>
      </w:r>
      <w:bookmarkEnd w:id="14"/>
    </w:p>
    <w:p w14:paraId="4E8AF011" w14:textId="77777777" w:rsidR="00865CF4" w:rsidRPr="00390EB8" w:rsidRDefault="00865CF4" w:rsidP="00390EB8">
      <w:pPr>
        <w:rPr>
          <w:rFonts w:eastAsia="Arial Unicode MS" w:cs="Arial"/>
        </w:rPr>
      </w:pPr>
      <w:r w:rsidRPr="00390EB8">
        <w:rPr>
          <w:rFonts w:cs="Tahoma"/>
          <w:b/>
          <w:szCs w:val="24"/>
        </w:rPr>
        <w:t xml:space="preserve">LA PARTE RECURRENTE </w:t>
      </w:r>
      <w:r w:rsidRPr="00390EB8">
        <w:rPr>
          <w:rFonts w:eastAsia="Arial Unicode MS" w:cs="Arial"/>
        </w:rPr>
        <w:t>no realizó manifestación alguna dentro del término legalmente concedido para tal efecto, ni presentó pruebas o alegatos.</w:t>
      </w:r>
    </w:p>
    <w:p w14:paraId="6923684C" w14:textId="77777777" w:rsidR="00664420" w:rsidRPr="00390EB8" w:rsidRDefault="00664420" w:rsidP="00390EB8">
      <w:pPr>
        <w:rPr>
          <w:rFonts w:cs="Tahoma"/>
          <w:szCs w:val="22"/>
        </w:rPr>
      </w:pPr>
    </w:p>
    <w:p w14:paraId="0E651988" w14:textId="6C7842B1" w:rsidR="00664420" w:rsidRPr="00390EB8" w:rsidRDefault="006B162C" w:rsidP="00390EB8">
      <w:pPr>
        <w:pStyle w:val="Ttulo3"/>
      </w:pPr>
      <w:bookmarkStart w:id="15" w:name="_Toc181822314"/>
      <w:r w:rsidRPr="00390EB8">
        <w:t>f</w:t>
      </w:r>
      <w:r w:rsidR="00664420" w:rsidRPr="00390EB8">
        <w:t>) Cierre de instrucción</w:t>
      </w:r>
      <w:bookmarkEnd w:id="15"/>
    </w:p>
    <w:p w14:paraId="79AF95DC" w14:textId="4B1F31C8" w:rsidR="00664420" w:rsidRPr="00390EB8" w:rsidRDefault="00BF091A" w:rsidP="00390EB8">
      <w:r w:rsidRPr="00390EB8">
        <w:rPr>
          <w:rFonts w:cs="Tahoma"/>
          <w:szCs w:val="22"/>
        </w:rPr>
        <w:t>Al no existir diligencias pendientes por desahogar</w:t>
      </w:r>
      <w:r w:rsidRPr="00390EB8">
        <w:rPr>
          <w:rFonts w:cs="Arial"/>
        </w:rPr>
        <w:t xml:space="preserve">, el </w:t>
      </w:r>
      <w:bookmarkStart w:id="16" w:name="_Hlk104892386"/>
      <w:r w:rsidR="00E37222" w:rsidRPr="00390EB8">
        <w:rPr>
          <w:rFonts w:cs="Arial"/>
          <w:b/>
        </w:rPr>
        <w:t>doce de noviembre de dos mil veinticuatro</w:t>
      </w:r>
      <w:bookmarkEnd w:id="16"/>
      <w:r w:rsidR="00E37222" w:rsidRPr="00390EB8">
        <w:rPr>
          <w:rFonts w:cs="Arial"/>
          <w:b/>
        </w:rPr>
        <w:t>,</w:t>
      </w:r>
      <w:r w:rsidRPr="00390EB8">
        <w:rPr>
          <w:rFonts w:cs="Arial"/>
        </w:rPr>
        <w:t xml:space="preserve"> la </w:t>
      </w:r>
      <w:r w:rsidRPr="00390EB8">
        <w:rPr>
          <w:rFonts w:cs="Arial"/>
          <w:b/>
          <w:bCs/>
        </w:rPr>
        <w:t xml:space="preserve">Comisionada </w:t>
      </w:r>
      <w:r w:rsidRPr="00390EB8">
        <w:rPr>
          <w:b/>
        </w:rPr>
        <w:t xml:space="preserve">Sharon Cristina Morales Martínez </w:t>
      </w:r>
      <w:r w:rsidRPr="00390EB8">
        <w:rPr>
          <w:rFonts w:cs="Arial"/>
        </w:rPr>
        <w:t>acordó el cierre de instrucción</w:t>
      </w:r>
      <w:r w:rsidR="0011350D" w:rsidRPr="00390EB8">
        <w:rPr>
          <w:rFonts w:cs="Arial"/>
        </w:rPr>
        <w:t xml:space="preserve"> y</w:t>
      </w:r>
      <w:r w:rsidRPr="00390EB8">
        <w:rPr>
          <w:rFonts w:cs="Arial"/>
        </w:rPr>
        <w:t xml:space="preserve"> </w:t>
      </w:r>
      <w:r w:rsidR="0011350D" w:rsidRPr="00390EB8">
        <w:rPr>
          <w:rFonts w:cs="Arial"/>
        </w:rPr>
        <w:t xml:space="preserve">la </w:t>
      </w:r>
      <w:r w:rsidRPr="00390EB8">
        <w:rPr>
          <w:rFonts w:cs="Arial"/>
        </w:rPr>
        <w:t>remisión del expediente a efecto de ser resuelto, de conformidad con lo establecido en el artículo 185 fracciones VI y VIII de la Ley de Transparencia y Acceso a la Información Pública del Estado de México y Municipios</w:t>
      </w:r>
      <w:r w:rsidRPr="00390EB8">
        <w:t>.</w:t>
      </w:r>
      <w:r w:rsidR="0011350D" w:rsidRPr="00390EB8">
        <w:t xml:space="preserve"> Dicho acuerdo </w:t>
      </w:r>
      <w:r w:rsidR="00664420" w:rsidRPr="00390EB8">
        <w:rPr>
          <w:rFonts w:cs="Tahoma"/>
          <w:szCs w:val="22"/>
        </w:rPr>
        <w:t xml:space="preserve">fue notificado a las partes el mismo día a través del </w:t>
      </w:r>
      <w:r w:rsidR="00664420" w:rsidRPr="00390EB8">
        <w:rPr>
          <w:rFonts w:cs="Tahoma"/>
          <w:szCs w:val="22"/>
          <w:lang w:val="es-ES"/>
        </w:rPr>
        <w:t>SAIMEX</w:t>
      </w:r>
      <w:r w:rsidR="00664420" w:rsidRPr="00390EB8">
        <w:rPr>
          <w:rFonts w:cs="Tahoma"/>
          <w:szCs w:val="22"/>
        </w:rPr>
        <w:t>.</w:t>
      </w:r>
    </w:p>
    <w:p w14:paraId="741683E3" w14:textId="77777777" w:rsidR="0011350D" w:rsidRPr="00390EB8" w:rsidRDefault="0011350D" w:rsidP="00390EB8">
      <w:pPr>
        <w:rPr>
          <w:rFonts w:cs="Tahoma"/>
          <w:szCs w:val="22"/>
        </w:rPr>
      </w:pPr>
    </w:p>
    <w:p w14:paraId="7A9629DE" w14:textId="77777777" w:rsidR="00664420" w:rsidRPr="00390EB8" w:rsidRDefault="00664420" w:rsidP="00390EB8">
      <w:pPr>
        <w:pStyle w:val="Ttulo1"/>
        <w:rPr>
          <w:rFonts w:eastAsiaTheme="minorHAnsi"/>
          <w:lang w:eastAsia="en-US"/>
        </w:rPr>
      </w:pPr>
      <w:bookmarkStart w:id="17" w:name="_Toc181822315"/>
      <w:r w:rsidRPr="00390EB8">
        <w:rPr>
          <w:rFonts w:eastAsiaTheme="minorHAnsi"/>
          <w:lang w:eastAsia="en-US"/>
        </w:rPr>
        <w:t>CONSIDERANDOS</w:t>
      </w:r>
      <w:bookmarkEnd w:id="17"/>
    </w:p>
    <w:p w14:paraId="6DD1243B" w14:textId="77777777" w:rsidR="00664420" w:rsidRPr="00390EB8" w:rsidRDefault="00664420" w:rsidP="00390EB8">
      <w:pPr>
        <w:contextualSpacing/>
        <w:jc w:val="center"/>
        <w:rPr>
          <w:rFonts w:eastAsiaTheme="minorHAnsi" w:cs="Tahoma"/>
          <w:b/>
          <w:szCs w:val="22"/>
          <w:lang w:eastAsia="en-US"/>
        </w:rPr>
      </w:pPr>
    </w:p>
    <w:p w14:paraId="0B67CB92" w14:textId="2E307D3B" w:rsidR="00664420" w:rsidRPr="00390EB8" w:rsidRDefault="00664420" w:rsidP="00390EB8">
      <w:pPr>
        <w:pStyle w:val="Ttulo2"/>
        <w:rPr>
          <w:rFonts w:eastAsia="Batang"/>
        </w:rPr>
      </w:pPr>
      <w:bookmarkStart w:id="18" w:name="_Toc181822316"/>
      <w:r w:rsidRPr="00390EB8">
        <w:rPr>
          <w:rFonts w:eastAsia="Batang"/>
        </w:rPr>
        <w:t xml:space="preserve">PRIMERO. </w:t>
      </w:r>
      <w:proofErr w:type="spellStart"/>
      <w:r w:rsidR="00BA55A8" w:rsidRPr="00390EB8">
        <w:rPr>
          <w:rFonts w:eastAsia="Batang"/>
        </w:rPr>
        <w:t>Procedibilidad</w:t>
      </w:r>
      <w:bookmarkEnd w:id="18"/>
      <w:proofErr w:type="spellEnd"/>
    </w:p>
    <w:p w14:paraId="39C52BC1" w14:textId="56FCC20D" w:rsidR="00BA55A8" w:rsidRPr="00390EB8" w:rsidRDefault="00BA55A8" w:rsidP="00390EB8">
      <w:pPr>
        <w:pStyle w:val="Ttulo3"/>
      </w:pPr>
      <w:bookmarkStart w:id="19" w:name="_Toc181822317"/>
      <w:r w:rsidRPr="00390EB8">
        <w:t>a) Competencia</w:t>
      </w:r>
      <w:r w:rsidR="00150C49" w:rsidRPr="00390EB8">
        <w:t xml:space="preserve"> del Instituto</w:t>
      </w:r>
      <w:bookmarkEnd w:id="19"/>
    </w:p>
    <w:p w14:paraId="56E64942" w14:textId="6572EDF7" w:rsidR="0011350D" w:rsidRPr="00390EB8" w:rsidRDefault="0011350D" w:rsidP="00390EB8">
      <w:pPr>
        <w:rPr>
          <w:rFonts w:cs="Arial"/>
        </w:rPr>
      </w:pPr>
      <w:r w:rsidRPr="00390EB8">
        <w:t xml:space="preserve">Este Instituto de Transparencia, Acceso a la Información Pública y Protección de Datos Personales del Estado de México y Municipios es competente para conocer y resolver </w:t>
      </w:r>
      <w:r w:rsidR="005F65B7" w:rsidRPr="00390EB8">
        <w:t xml:space="preserve">el </w:t>
      </w:r>
      <w:r w:rsidRPr="00390EB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90EB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90EB8" w:rsidRDefault="00DB1C09" w:rsidP="00390EB8">
      <w:pPr>
        <w:rPr>
          <w:rFonts w:cs="Arial"/>
        </w:rPr>
      </w:pPr>
    </w:p>
    <w:p w14:paraId="517A2DD6" w14:textId="4169BE4D" w:rsidR="00664420" w:rsidRPr="00390EB8" w:rsidRDefault="00BA55A8" w:rsidP="00390EB8">
      <w:pPr>
        <w:pStyle w:val="Ttulo3"/>
      </w:pPr>
      <w:bookmarkStart w:id="20" w:name="_Toc181822318"/>
      <w:r w:rsidRPr="00390EB8">
        <w:t>b)</w:t>
      </w:r>
      <w:r w:rsidR="00664420" w:rsidRPr="00390EB8">
        <w:t xml:space="preserve"> </w:t>
      </w:r>
      <w:r w:rsidR="00D91CB4" w:rsidRPr="00390EB8">
        <w:t>Legitimidad</w:t>
      </w:r>
      <w:r w:rsidRPr="00390EB8">
        <w:t xml:space="preserve"> de la parte recurrente</w:t>
      </w:r>
      <w:bookmarkEnd w:id="20"/>
    </w:p>
    <w:p w14:paraId="26FEA382" w14:textId="0B06695C" w:rsidR="00D91CB4" w:rsidRPr="00390EB8" w:rsidRDefault="00D91CB4" w:rsidP="00390EB8">
      <w:pPr>
        <w:rPr>
          <w:rFonts w:cs="Arial"/>
          <w:bCs/>
        </w:rPr>
      </w:pPr>
      <w:r w:rsidRPr="00390EB8">
        <w:rPr>
          <w:rFonts w:cs="Arial"/>
          <w:bCs/>
        </w:rPr>
        <w:t>El recurso de revisión fue interpuesto por parte legítima, ya que se presentó por la misma persona que formuló la solicitud de acceso a la Información Pública,</w:t>
      </w:r>
      <w:r w:rsidRPr="00390EB8">
        <w:rPr>
          <w:rFonts w:cs="Arial"/>
          <w:b/>
          <w:bCs/>
        </w:rPr>
        <w:t xml:space="preserve"> </w:t>
      </w:r>
      <w:r w:rsidRPr="00390EB8">
        <w:rPr>
          <w:rFonts w:cs="Arial"/>
        </w:rPr>
        <w:t>debido a que los datos de acceso</w:t>
      </w:r>
      <w:r w:rsidRPr="00390EB8">
        <w:rPr>
          <w:rFonts w:cs="Arial"/>
          <w:b/>
          <w:bCs/>
        </w:rPr>
        <w:t xml:space="preserve"> </w:t>
      </w:r>
      <w:r w:rsidRPr="00390EB8">
        <w:rPr>
          <w:rFonts w:cs="Arial"/>
        </w:rPr>
        <w:t>SAIMEX</w:t>
      </w:r>
      <w:r w:rsidRPr="00390EB8">
        <w:rPr>
          <w:rFonts w:eastAsia="Calibri" w:cs="Arial"/>
          <w:lang w:eastAsia="en-US"/>
        </w:rPr>
        <w:t xml:space="preserve"> son personales e irrepetibles.</w:t>
      </w:r>
    </w:p>
    <w:p w14:paraId="2C367810" w14:textId="77777777" w:rsidR="00D91CB4" w:rsidRPr="00390EB8" w:rsidRDefault="00D91CB4" w:rsidP="00390EB8"/>
    <w:p w14:paraId="496490FC" w14:textId="1A5F3FDB" w:rsidR="00D91CB4" w:rsidRPr="00390EB8" w:rsidRDefault="00BA55A8" w:rsidP="00390EB8">
      <w:pPr>
        <w:pStyle w:val="Ttulo3"/>
        <w:rPr>
          <w:rFonts w:eastAsia="Calibri"/>
          <w:lang w:eastAsia="es-ES_tradnl"/>
        </w:rPr>
      </w:pPr>
      <w:bookmarkStart w:id="21" w:name="_Toc181822319"/>
      <w:r w:rsidRPr="00390EB8">
        <w:rPr>
          <w:rFonts w:eastAsia="Calibri"/>
          <w:lang w:eastAsia="es-ES_tradnl"/>
        </w:rPr>
        <w:lastRenderedPageBreak/>
        <w:t>c)</w:t>
      </w:r>
      <w:r w:rsidR="00664420" w:rsidRPr="00390EB8">
        <w:rPr>
          <w:rFonts w:eastAsia="Calibri"/>
          <w:lang w:eastAsia="es-ES_tradnl"/>
        </w:rPr>
        <w:t xml:space="preserve"> </w:t>
      </w:r>
      <w:r w:rsidR="00D91CB4" w:rsidRPr="00390EB8">
        <w:rPr>
          <w:rFonts w:eastAsia="Calibri"/>
          <w:lang w:eastAsia="es-ES_tradnl"/>
        </w:rPr>
        <w:t>Plazo para interponer el recurso</w:t>
      </w:r>
      <w:bookmarkEnd w:id="21"/>
    </w:p>
    <w:p w14:paraId="106D37EE" w14:textId="3C03ADB0" w:rsidR="00D91CB4" w:rsidRPr="00390EB8" w:rsidRDefault="00D91CB4" w:rsidP="00390EB8">
      <w:pPr>
        <w:rPr>
          <w:rFonts w:eastAsiaTheme="minorEastAsia" w:cs="Arial"/>
          <w:lang w:val="es-ES_tradnl"/>
        </w:rPr>
      </w:pPr>
      <w:r w:rsidRPr="00390EB8">
        <w:rPr>
          <w:rFonts w:cs="Arial"/>
          <w:b/>
        </w:rPr>
        <w:t>EL SUJETO OBLIGADO</w:t>
      </w:r>
      <w:r w:rsidRPr="00390EB8">
        <w:rPr>
          <w:rFonts w:cs="Arial"/>
        </w:rPr>
        <w:t xml:space="preserve"> notificó la respuesta a la solicitud de acceso a la Información Pública el </w:t>
      </w:r>
      <w:r w:rsidR="00191047" w:rsidRPr="00390EB8">
        <w:rPr>
          <w:rFonts w:cs="Arial"/>
          <w:b/>
        </w:rPr>
        <w:t>diez de octubre de dos mil veinticuatro</w:t>
      </w:r>
      <w:r w:rsidRPr="00390EB8">
        <w:rPr>
          <w:rFonts w:cs="Arial"/>
        </w:rPr>
        <w:t xml:space="preserve"> </w:t>
      </w:r>
      <w:r w:rsidR="00A53315" w:rsidRPr="00390EB8">
        <w:rPr>
          <w:rFonts w:cs="Arial"/>
        </w:rPr>
        <w:t xml:space="preserve">y el recurso </w:t>
      </w:r>
      <w:r w:rsidR="00A53315" w:rsidRPr="00390EB8">
        <w:rPr>
          <w:rFonts w:eastAsia="Palatino Linotype" w:cs="Palatino Linotype"/>
        </w:rPr>
        <w:t xml:space="preserve">que nos ocupa se interpuso el </w:t>
      </w:r>
      <w:r w:rsidR="00191047" w:rsidRPr="00390EB8">
        <w:rPr>
          <w:rFonts w:eastAsia="Palatino Linotype" w:cs="Palatino Linotype"/>
          <w:b/>
        </w:rPr>
        <w:t>diecisiete de octubre de dos mil veinticuatro</w:t>
      </w:r>
      <w:r w:rsidR="00A53315" w:rsidRPr="00390EB8">
        <w:rPr>
          <w:rFonts w:eastAsia="Palatino Linotype" w:cs="Palatino Linotype"/>
          <w:bCs/>
        </w:rPr>
        <w:t>;</w:t>
      </w:r>
      <w:r w:rsidR="00A53315" w:rsidRPr="00390EB8">
        <w:rPr>
          <w:rFonts w:eastAsia="Palatino Linotype" w:cs="Palatino Linotype"/>
        </w:rPr>
        <w:t xml:space="preserve"> por lo tanto, éste se encuentra dentro del margen temporal previsto en el artículo 178 de la </w:t>
      </w:r>
      <w:r w:rsidR="00A53315" w:rsidRPr="00390EB8">
        <w:rPr>
          <w:rFonts w:cs="Arial"/>
        </w:rPr>
        <w:t>Ley de Transparencia y Acceso a la Información Pública del Estado de México y Municipios</w:t>
      </w:r>
      <w:r w:rsidR="00163D12" w:rsidRPr="00390EB8">
        <w:rPr>
          <w:rFonts w:cs="Arial"/>
        </w:rPr>
        <w:t>.</w:t>
      </w:r>
    </w:p>
    <w:p w14:paraId="49076992" w14:textId="77777777" w:rsidR="00D91CB4" w:rsidRPr="00390EB8" w:rsidRDefault="00D91CB4" w:rsidP="00390EB8">
      <w:pPr>
        <w:rPr>
          <w:rFonts w:eastAsia="Palatino Linotype" w:cs="Palatino Linotype"/>
        </w:rPr>
      </w:pPr>
    </w:p>
    <w:p w14:paraId="46C0EB3A" w14:textId="15F1A919" w:rsidR="00A53315" w:rsidRPr="00390EB8" w:rsidRDefault="00BA55A8" w:rsidP="00390EB8">
      <w:pPr>
        <w:pStyle w:val="Ttulo3"/>
        <w:rPr>
          <w:rFonts w:eastAsia="Calibri"/>
          <w:lang w:eastAsia="es-ES_tradnl"/>
        </w:rPr>
      </w:pPr>
      <w:bookmarkStart w:id="22" w:name="_Toc181822320"/>
      <w:r w:rsidRPr="00390EB8">
        <w:rPr>
          <w:rFonts w:eastAsia="Calibri"/>
          <w:lang w:eastAsia="es-ES_tradnl"/>
        </w:rPr>
        <w:t>d)</w:t>
      </w:r>
      <w:r w:rsidR="00D91CB4" w:rsidRPr="00390EB8">
        <w:rPr>
          <w:rFonts w:eastAsia="Calibri"/>
          <w:lang w:eastAsia="es-ES_tradnl"/>
        </w:rPr>
        <w:t xml:space="preserve"> </w:t>
      </w:r>
      <w:r w:rsidR="009A0277" w:rsidRPr="00390EB8">
        <w:rPr>
          <w:rFonts w:eastAsia="Calibri"/>
          <w:lang w:eastAsia="es-ES_tradnl"/>
        </w:rPr>
        <w:t>Causal de Procedencia</w:t>
      </w:r>
      <w:bookmarkEnd w:id="22"/>
    </w:p>
    <w:p w14:paraId="190404A6" w14:textId="1531B51C" w:rsidR="00BA55A8" w:rsidRPr="00390EB8" w:rsidRDefault="00BA55A8" w:rsidP="00390EB8">
      <w:r w:rsidRPr="00390EB8">
        <w:rPr>
          <w:rFonts w:cs="Arial"/>
        </w:rPr>
        <w:t xml:space="preserve">Resulta procedente la interposición del recurso de revisión, ya que </w:t>
      </w:r>
      <w:r w:rsidRPr="00390EB8">
        <w:rPr>
          <w:rFonts w:eastAsia="Calibri" w:cs="Tahoma"/>
          <w:szCs w:val="22"/>
          <w:lang w:eastAsia="es-MX"/>
        </w:rPr>
        <w:t xml:space="preserve">se actualiza la causal de procedencia señalada en el artículo 179, fracción </w:t>
      </w:r>
      <w:r w:rsidR="00191047" w:rsidRPr="00390EB8">
        <w:rPr>
          <w:rFonts w:eastAsia="Calibri" w:cs="Tahoma"/>
          <w:szCs w:val="22"/>
          <w:lang w:eastAsia="es-MX"/>
        </w:rPr>
        <w:t xml:space="preserve">V </w:t>
      </w:r>
      <w:r w:rsidRPr="00390EB8">
        <w:rPr>
          <w:rFonts w:cs="Arial"/>
        </w:rPr>
        <w:t xml:space="preserve">de la </w:t>
      </w:r>
      <w:r w:rsidRPr="00390EB8">
        <w:t>Ley de Transparencia y Acceso a la Información Pública del Estado de México y Municipios.</w:t>
      </w:r>
    </w:p>
    <w:p w14:paraId="0EFF7141" w14:textId="77777777" w:rsidR="00362A11" w:rsidRPr="00390EB8" w:rsidRDefault="00362A11" w:rsidP="00390EB8"/>
    <w:p w14:paraId="2284D7EB" w14:textId="3EE1D036" w:rsidR="00BA55A8" w:rsidRPr="00390EB8" w:rsidRDefault="00362A11" w:rsidP="00390EB8">
      <w:pPr>
        <w:pStyle w:val="Ttulo3"/>
      </w:pPr>
      <w:bookmarkStart w:id="23" w:name="_Toc181822321"/>
      <w:r w:rsidRPr="00390EB8">
        <w:t>e) Requisitos formales para la interposición del recurso</w:t>
      </w:r>
      <w:bookmarkEnd w:id="23"/>
    </w:p>
    <w:p w14:paraId="6390674A" w14:textId="78A894DD" w:rsidR="00BA55A8" w:rsidRPr="00390EB8" w:rsidRDefault="00BA55A8" w:rsidP="00390EB8">
      <w:pPr>
        <w:rPr>
          <w:rFonts w:cs="Arial"/>
        </w:rPr>
      </w:pPr>
      <w:r w:rsidRPr="00390EB8">
        <w:rPr>
          <w:rFonts w:cs="Arial"/>
          <w:b/>
          <w:bCs/>
        </w:rPr>
        <w:t xml:space="preserve">LA PARTE RECURRENTE </w:t>
      </w:r>
      <w:r w:rsidRPr="00390EB8">
        <w:rPr>
          <w:rFonts w:cs="Arial"/>
        </w:rPr>
        <w:t>acreditó todos y cada uno de los elementos formales exigidos por el artículo 180 de la misma normatividad.</w:t>
      </w:r>
    </w:p>
    <w:p w14:paraId="3A121826" w14:textId="77777777" w:rsidR="00C461EC" w:rsidRPr="00390EB8" w:rsidRDefault="00C461EC" w:rsidP="00390EB8">
      <w:pPr>
        <w:ind w:left="-57"/>
        <w:rPr>
          <w:bCs/>
          <w:lang w:val="es-ES_tradnl"/>
        </w:rPr>
      </w:pPr>
    </w:p>
    <w:p w14:paraId="457548E9" w14:textId="3F7AF03B" w:rsidR="00C71CEF" w:rsidRPr="00390EB8" w:rsidRDefault="00C71CEF" w:rsidP="00390EB8">
      <w:pPr>
        <w:pStyle w:val="Ttulo2"/>
      </w:pPr>
      <w:bookmarkStart w:id="24" w:name="_Toc181822322"/>
      <w:r w:rsidRPr="00390EB8">
        <w:t>SEGUNDO. Estudio de Fondo</w:t>
      </w:r>
      <w:bookmarkEnd w:id="24"/>
    </w:p>
    <w:p w14:paraId="2A308F59" w14:textId="0FF373F0" w:rsidR="00C049E2" w:rsidRPr="00390EB8" w:rsidRDefault="00C71CEF" w:rsidP="00390EB8">
      <w:pPr>
        <w:pStyle w:val="Ttulo3"/>
      </w:pPr>
      <w:bookmarkStart w:id="25" w:name="_Toc181822323"/>
      <w:r w:rsidRPr="00390EB8">
        <w:t>a</w:t>
      </w:r>
      <w:r w:rsidR="00C049E2" w:rsidRPr="00390EB8">
        <w:t>) Mandato de transparencia y responsabilidad del Sujeto Obligado</w:t>
      </w:r>
      <w:bookmarkEnd w:id="25"/>
    </w:p>
    <w:p w14:paraId="6901A889" w14:textId="59EEDAE1" w:rsidR="00C049E2" w:rsidRPr="00390EB8" w:rsidRDefault="00C049E2" w:rsidP="00390EB8">
      <w:pPr>
        <w:rPr>
          <w:rFonts w:eastAsia="Palatino Linotype"/>
        </w:rPr>
      </w:pPr>
      <w:r w:rsidRPr="00390EB8">
        <w:rPr>
          <w:rFonts w:eastAsia="Palatino Linotype"/>
        </w:rPr>
        <w:t xml:space="preserve">El </w:t>
      </w:r>
      <w:r w:rsidR="00717E59" w:rsidRPr="00390EB8">
        <w:rPr>
          <w:rFonts w:eastAsia="Palatino Linotype"/>
        </w:rPr>
        <w:t>d</w:t>
      </w:r>
      <w:r w:rsidRPr="00390EB8">
        <w:rPr>
          <w:rFonts w:eastAsia="Palatino Linotype"/>
        </w:rPr>
        <w:t xml:space="preserve">erecho de </w:t>
      </w:r>
      <w:r w:rsidR="00717E59" w:rsidRPr="00390EB8">
        <w:rPr>
          <w:rFonts w:eastAsia="Palatino Linotype"/>
        </w:rPr>
        <w:t>a</w:t>
      </w:r>
      <w:r w:rsidRPr="00390EB8">
        <w:rPr>
          <w:rFonts w:eastAsia="Palatino Linotype"/>
        </w:rPr>
        <w:t xml:space="preserve">cceso a la </w:t>
      </w:r>
      <w:r w:rsidR="00717E59" w:rsidRPr="00390EB8">
        <w:rPr>
          <w:rFonts w:eastAsia="Palatino Linotype"/>
        </w:rPr>
        <w:t>i</w:t>
      </w:r>
      <w:r w:rsidRPr="00390EB8">
        <w:rPr>
          <w:rFonts w:eastAsia="Palatino Linotype"/>
        </w:rPr>
        <w:t xml:space="preserve">nformación </w:t>
      </w:r>
      <w:r w:rsidR="00717E59" w:rsidRPr="00390EB8">
        <w:rPr>
          <w:rFonts w:eastAsia="Palatino Linotype"/>
        </w:rPr>
        <w:t>p</w:t>
      </w:r>
      <w:r w:rsidRPr="00390EB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90EB8">
        <w:rPr>
          <w:rFonts w:eastAsia="Palatino Linotype"/>
        </w:rPr>
        <w:t>:</w:t>
      </w:r>
    </w:p>
    <w:p w14:paraId="7FAB8D32" w14:textId="77777777" w:rsidR="00C049E2" w:rsidRPr="00390EB8" w:rsidRDefault="00C049E2" w:rsidP="00390EB8">
      <w:pPr>
        <w:rPr>
          <w:rFonts w:eastAsia="Palatino Linotype"/>
        </w:rPr>
      </w:pPr>
    </w:p>
    <w:p w14:paraId="05320813" w14:textId="77777777" w:rsidR="00C049E2" w:rsidRPr="00390EB8" w:rsidRDefault="00C049E2" w:rsidP="00390EB8">
      <w:pPr>
        <w:spacing w:line="240" w:lineRule="auto"/>
        <w:ind w:left="567" w:right="539"/>
        <w:rPr>
          <w:rFonts w:eastAsia="Palatino Linotype"/>
          <w:b/>
          <w:i/>
        </w:rPr>
      </w:pPr>
      <w:r w:rsidRPr="00390EB8">
        <w:rPr>
          <w:rFonts w:eastAsia="Palatino Linotype"/>
          <w:b/>
          <w:i/>
        </w:rPr>
        <w:lastRenderedPageBreak/>
        <w:t>Constitución Política de los Estados Unidos Mexicanos</w:t>
      </w:r>
    </w:p>
    <w:p w14:paraId="6B6C67B6" w14:textId="77777777" w:rsidR="00C049E2" w:rsidRPr="00390EB8" w:rsidRDefault="00C049E2" w:rsidP="00390EB8">
      <w:pPr>
        <w:spacing w:line="240" w:lineRule="auto"/>
        <w:ind w:left="567" w:right="539"/>
        <w:rPr>
          <w:rFonts w:eastAsia="Palatino Linotype"/>
          <w:b/>
          <w:i/>
        </w:rPr>
      </w:pPr>
      <w:r w:rsidRPr="00390EB8">
        <w:rPr>
          <w:rFonts w:eastAsia="Palatino Linotype"/>
          <w:b/>
          <w:i/>
        </w:rPr>
        <w:t>“Artículo 6.</w:t>
      </w:r>
    </w:p>
    <w:p w14:paraId="38D3B4C4" w14:textId="77777777" w:rsidR="00C049E2" w:rsidRPr="00390EB8" w:rsidRDefault="00C049E2" w:rsidP="00390EB8">
      <w:pPr>
        <w:spacing w:line="240" w:lineRule="auto"/>
        <w:ind w:left="567" w:right="539"/>
        <w:rPr>
          <w:rFonts w:eastAsia="Palatino Linotype"/>
          <w:i/>
        </w:rPr>
      </w:pPr>
      <w:r w:rsidRPr="00390EB8">
        <w:rPr>
          <w:rFonts w:eastAsia="Palatino Linotype"/>
          <w:i/>
        </w:rPr>
        <w:t>(…)</w:t>
      </w:r>
    </w:p>
    <w:p w14:paraId="2CCAA297" w14:textId="6602827B" w:rsidR="00C049E2" w:rsidRPr="00390EB8" w:rsidRDefault="00C049E2" w:rsidP="00390EB8">
      <w:pPr>
        <w:spacing w:line="240" w:lineRule="auto"/>
        <w:ind w:left="567" w:right="539"/>
        <w:rPr>
          <w:rFonts w:eastAsia="Palatino Linotype"/>
          <w:i/>
        </w:rPr>
      </w:pPr>
      <w:r w:rsidRPr="00390EB8">
        <w:rPr>
          <w:rFonts w:eastAsia="Palatino Linotype"/>
          <w:i/>
        </w:rPr>
        <w:t>Para efectos de lo dispuesto en el presente artículo se observará lo siguiente:</w:t>
      </w:r>
    </w:p>
    <w:p w14:paraId="74CC3718" w14:textId="77777777" w:rsidR="00C049E2" w:rsidRPr="00390EB8" w:rsidRDefault="00C049E2" w:rsidP="00390EB8">
      <w:pPr>
        <w:spacing w:line="240" w:lineRule="auto"/>
        <w:ind w:left="567" w:right="539"/>
        <w:rPr>
          <w:rFonts w:eastAsia="Palatino Linotype"/>
          <w:b/>
          <w:i/>
        </w:rPr>
      </w:pPr>
      <w:r w:rsidRPr="00390EB8">
        <w:rPr>
          <w:rFonts w:eastAsia="Palatino Linotype"/>
          <w:b/>
          <w:i/>
        </w:rPr>
        <w:t>A</w:t>
      </w:r>
      <w:r w:rsidRPr="00390EB8">
        <w:rPr>
          <w:rFonts w:eastAsia="Palatino Linotype"/>
          <w:i/>
        </w:rPr>
        <w:t xml:space="preserve">. </w:t>
      </w:r>
      <w:r w:rsidRPr="00390EB8">
        <w:rPr>
          <w:rFonts w:eastAsia="Palatino Linotype"/>
          <w:b/>
          <w:i/>
        </w:rPr>
        <w:t>Para el ejercicio del derecho de acceso a la información</w:t>
      </w:r>
      <w:r w:rsidRPr="00390EB8">
        <w:rPr>
          <w:rFonts w:eastAsia="Palatino Linotype"/>
          <w:i/>
        </w:rPr>
        <w:t xml:space="preserve">, la Federación y </w:t>
      </w:r>
      <w:r w:rsidRPr="00390EB8">
        <w:rPr>
          <w:rFonts w:eastAsia="Palatino Linotype"/>
          <w:b/>
          <w:i/>
        </w:rPr>
        <w:t>las entidades federativas, en el ámbito de sus respectivas competencias, se regirán por los siguientes principios y bases:</w:t>
      </w:r>
    </w:p>
    <w:p w14:paraId="596A956B" w14:textId="77777777" w:rsidR="00C049E2" w:rsidRPr="00390EB8" w:rsidRDefault="00C049E2" w:rsidP="00390EB8">
      <w:pPr>
        <w:spacing w:line="240" w:lineRule="auto"/>
        <w:ind w:left="567" w:right="539"/>
        <w:rPr>
          <w:rFonts w:eastAsia="Palatino Linotype"/>
          <w:i/>
        </w:rPr>
      </w:pPr>
      <w:r w:rsidRPr="00390EB8">
        <w:rPr>
          <w:rFonts w:eastAsia="Palatino Linotype"/>
          <w:b/>
          <w:i/>
        </w:rPr>
        <w:t xml:space="preserve">I. </w:t>
      </w:r>
      <w:r w:rsidRPr="00390EB8">
        <w:rPr>
          <w:rFonts w:eastAsia="Palatino Linotype"/>
          <w:b/>
          <w:i/>
        </w:rPr>
        <w:tab/>
        <w:t>Toda la información en posesión de cualquier</w:t>
      </w:r>
      <w:r w:rsidRPr="00390EB8">
        <w:rPr>
          <w:rFonts w:eastAsia="Palatino Linotype"/>
          <w:i/>
        </w:rPr>
        <w:t xml:space="preserve"> </w:t>
      </w:r>
      <w:r w:rsidRPr="00390EB8">
        <w:rPr>
          <w:rFonts w:eastAsia="Palatino Linotype"/>
          <w:b/>
          <w:i/>
        </w:rPr>
        <w:t>autoridad</w:t>
      </w:r>
      <w:r w:rsidRPr="00390EB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0EB8">
        <w:rPr>
          <w:rFonts w:eastAsia="Palatino Linotype"/>
          <w:b/>
          <w:i/>
        </w:rPr>
        <w:t>municipal</w:t>
      </w:r>
      <w:r w:rsidRPr="00390EB8">
        <w:rPr>
          <w:rFonts w:eastAsia="Palatino Linotype"/>
          <w:i/>
        </w:rPr>
        <w:t xml:space="preserve">, </w:t>
      </w:r>
      <w:r w:rsidRPr="00390EB8">
        <w:rPr>
          <w:rFonts w:eastAsia="Palatino Linotype"/>
          <w:b/>
          <w:i/>
        </w:rPr>
        <w:t>es pública</w:t>
      </w:r>
      <w:r w:rsidRPr="00390EB8">
        <w:rPr>
          <w:rFonts w:eastAsia="Palatino Linotype"/>
          <w:i/>
        </w:rPr>
        <w:t xml:space="preserve"> y sólo podrá ser reservada temporalmente por razones de interés público y seguridad nacional, en los términos que fijen las leyes. </w:t>
      </w:r>
      <w:r w:rsidRPr="00390EB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90EB8">
        <w:rPr>
          <w:rFonts w:eastAsia="Palatino Linotype"/>
          <w:i/>
        </w:rPr>
        <w:t>, la ley determinará los supuestos específicos bajo los cuales procederá la declaración de inexistencia de la información.”</w:t>
      </w:r>
    </w:p>
    <w:p w14:paraId="68F313E4" w14:textId="77777777" w:rsidR="00C049E2" w:rsidRPr="00390EB8" w:rsidRDefault="00C049E2" w:rsidP="00390EB8">
      <w:pPr>
        <w:spacing w:line="240" w:lineRule="auto"/>
        <w:ind w:left="567" w:right="539"/>
        <w:rPr>
          <w:rFonts w:eastAsia="Palatino Linotype"/>
          <w:b/>
          <w:i/>
        </w:rPr>
      </w:pPr>
    </w:p>
    <w:p w14:paraId="504F12DB" w14:textId="77777777" w:rsidR="00C049E2" w:rsidRPr="00390EB8" w:rsidRDefault="00C049E2" w:rsidP="00390EB8">
      <w:pPr>
        <w:spacing w:line="240" w:lineRule="auto"/>
        <w:ind w:left="567" w:right="539"/>
        <w:rPr>
          <w:rFonts w:eastAsia="Palatino Linotype"/>
          <w:b/>
          <w:i/>
        </w:rPr>
      </w:pPr>
      <w:r w:rsidRPr="00390EB8">
        <w:rPr>
          <w:rFonts w:eastAsia="Palatino Linotype"/>
          <w:b/>
          <w:i/>
        </w:rPr>
        <w:t>Constitución Política del Estado Libre y Soberano de México</w:t>
      </w:r>
    </w:p>
    <w:p w14:paraId="04932D29" w14:textId="77777777" w:rsidR="00C049E2" w:rsidRPr="00390EB8" w:rsidRDefault="00C049E2" w:rsidP="00390EB8">
      <w:pPr>
        <w:spacing w:line="240" w:lineRule="auto"/>
        <w:ind w:left="567" w:right="539"/>
        <w:rPr>
          <w:rFonts w:eastAsia="Palatino Linotype"/>
          <w:i/>
        </w:rPr>
      </w:pPr>
      <w:r w:rsidRPr="00390EB8">
        <w:rPr>
          <w:rFonts w:eastAsia="Palatino Linotype"/>
          <w:b/>
          <w:i/>
        </w:rPr>
        <w:t>“Artículo 5</w:t>
      </w:r>
      <w:r w:rsidRPr="00390EB8">
        <w:rPr>
          <w:rFonts w:eastAsia="Palatino Linotype"/>
          <w:i/>
        </w:rPr>
        <w:t xml:space="preserve">.- </w:t>
      </w:r>
    </w:p>
    <w:p w14:paraId="1D3829F4" w14:textId="77777777" w:rsidR="00C049E2" w:rsidRPr="00390EB8" w:rsidRDefault="00C049E2" w:rsidP="00390EB8">
      <w:pPr>
        <w:spacing w:line="240" w:lineRule="auto"/>
        <w:ind w:left="567" w:right="539"/>
        <w:rPr>
          <w:rFonts w:eastAsia="Palatino Linotype"/>
          <w:i/>
        </w:rPr>
      </w:pPr>
      <w:r w:rsidRPr="00390EB8">
        <w:rPr>
          <w:rFonts w:eastAsia="Palatino Linotype"/>
          <w:i/>
        </w:rPr>
        <w:t>(…)</w:t>
      </w:r>
    </w:p>
    <w:p w14:paraId="0EAE47FD" w14:textId="77777777" w:rsidR="00C049E2" w:rsidRPr="00390EB8" w:rsidRDefault="00C049E2" w:rsidP="00390EB8">
      <w:pPr>
        <w:spacing w:line="240" w:lineRule="auto"/>
        <w:ind w:left="567" w:right="539"/>
        <w:rPr>
          <w:rFonts w:eastAsia="Palatino Linotype"/>
          <w:i/>
        </w:rPr>
      </w:pPr>
      <w:r w:rsidRPr="00390EB8">
        <w:rPr>
          <w:rFonts w:eastAsia="Palatino Linotype"/>
          <w:b/>
          <w:i/>
        </w:rPr>
        <w:t>El derecho a la información será garantizado por el Estado. La ley establecerá las previsiones que permitan asegurar la protección, el respeto y la difusión de este derecho</w:t>
      </w:r>
      <w:r w:rsidRPr="00390EB8">
        <w:rPr>
          <w:rFonts w:eastAsia="Palatino Linotype"/>
          <w:i/>
        </w:rPr>
        <w:t>.</w:t>
      </w:r>
    </w:p>
    <w:p w14:paraId="4F0C804A" w14:textId="77777777" w:rsidR="00C049E2" w:rsidRPr="00390EB8" w:rsidRDefault="00C049E2" w:rsidP="00390EB8">
      <w:pPr>
        <w:spacing w:line="240" w:lineRule="auto"/>
        <w:ind w:left="567" w:right="539"/>
        <w:rPr>
          <w:rFonts w:eastAsia="Palatino Linotype"/>
          <w:i/>
        </w:rPr>
      </w:pPr>
      <w:r w:rsidRPr="00390EB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90EB8" w:rsidRDefault="00C049E2" w:rsidP="00390EB8">
      <w:pPr>
        <w:spacing w:line="240" w:lineRule="auto"/>
        <w:ind w:left="567" w:right="539"/>
        <w:rPr>
          <w:rFonts w:eastAsia="Palatino Linotype"/>
          <w:i/>
        </w:rPr>
      </w:pPr>
      <w:r w:rsidRPr="00390EB8">
        <w:rPr>
          <w:rFonts w:eastAsia="Palatino Linotype"/>
          <w:b/>
          <w:i/>
        </w:rPr>
        <w:t>Este derecho se regirá por los principios y bases siguientes</w:t>
      </w:r>
      <w:r w:rsidRPr="00390EB8">
        <w:rPr>
          <w:rFonts w:eastAsia="Palatino Linotype"/>
          <w:i/>
        </w:rPr>
        <w:t>:</w:t>
      </w:r>
    </w:p>
    <w:p w14:paraId="4A3E8CBA" w14:textId="77777777" w:rsidR="00C049E2" w:rsidRPr="00390EB8" w:rsidRDefault="00C049E2" w:rsidP="00390EB8">
      <w:pPr>
        <w:spacing w:line="240" w:lineRule="auto"/>
        <w:ind w:left="567" w:right="539"/>
        <w:rPr>
          <w:rFonts w:eastAsia="Palatino Linotype"/>
          <w:i/>
        </w:rPr>
      </w:pPr>
      <w:r w:rsidRPr="00390EB8">
        <w:rPr>
          <w:rFonts w:eastAsia="Palatino Linotype"/>
          <w:b/>
          <w:i/>
        </w:rPr>
        <w:t>I. Toda la información en posesión de cualquier autoridad, entidad, órgano y organismos de los</w:t>
      </w:r>
      <w:r w:rsidRPr="00390EB8">
        <w:rPr>
          <w:rFonts w:eastAsia="Palatino Linotype"/>
          <w:i/>
        </w:rPr>
        <w:t xml:space="preserve"> Poderes Ejecutivo, Legislativo y Judicial, órganos autónomos, partidos políticos, fideicomisos y fondos públicos estatales y </w:t>
      </w:r>
      <w:r w:rsidRPr="00390EB8">
        <w:rPr>
          <w:rFonts w:eastAsia="Palatino Linotype"/>
          <w:b/>
          <w:i/>
        </w:rPr>
        <w:t>municipales</w:t>
      </w:r>
      <w:r w:rsidRPr="00390EB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0EB8">
        <w:rPr>
          <w:rFonts w:eastAsia="Palatino Linotype"/>
          <w:b/>
          <w:i/>
        </w:rPr>
        <w:t>es pública</w:t>
      </w:r>
      <w:r w:rsidRPr="00390EB8">
        <w:rPr>
          <w:rFonts w:eastAsia="Palatino Linotype"/>
          <w:i/>
        </w:rPr>
        <w:t xml:space="preserve"> y sólo podrá ser </w:t>
      </w:r>
      <w:r w:rsidRPr="00390EB8">
        <w:rPr>
          <w:rFonts w:eastAsia="Palatino Linotype"/>
          <w:i/>
        </w:rPr>
        <w:lastRenderedPageBreak/>
        <w:t xml:space="preserve">reservada temporalmente por razones previstas en la Constitución Política de los Estados Unidos Mexicanos de interés público y seguridad, en los términos que fijen las leyes. </w:t>
      </w:r>
      <w:r w:rsidRPr="00390EB8">
        <w:rPr>
          <w:rFonts w:eastAsia="Palatino Linotype"/>
          <w:b/>
          <w:i/>
        </w:rPr>
        <w:t>En la interpretación de este derecho deberá prevalecer el principio de máxima publicidad</w:t>
      </w:r>
      <w:r w:rsidRPr="00390EB8">
        <w:rPr>
          <w:rFonts w:eastAsia="Palatino Linotype"/>
          <w:i/>
        </w:rPr>
        <w:t xml:space="preserve">. </w:t>
      </w:r>
      <w:r w:rsidRPr="00390EB8">
        <w:rPr>
          <w:rFonts w:eastAsia="Palatino Linotype"/>
          <w:b/>
          <w:i/>
        </w:rPr>
        <w:t>Los sujetos obligados deberán documentar todo acto que derive del ejercicio de sus facultades, competencias o funciones</w:t>
      </w:r>
      <w:r w:rsidRPr="00390EB8">
        <w:rPr>
          <w:rFonts w:eastAsia="Palatino Linotype"/>
          <w:i/>
        </w:rPr>
        <w:t>, la ley determinará los supuestos específicos bajo los cuales procederá la declaración de inexistencia de la información.”</w:t>
      </w:r>
    </w:p>
    <w:p w14:paraId="5CA98E37" w14:textId="77777777" w:rsidR="00C049E2" w:rsidRPr="00390EB8" w:rsidRDefault="00C049E2" w:rsidP="00390EB8">
      <w:pPr>
        <w:rPr>
          <w:rFonts w:eastAsia="Palatino Linotype"/>
          <w:b/>
          <w:i/>
        </w:rPr>
      </w:pPr>
    </w:p>
    <w:p w14:paraId="6FC1BB3B" w14:textId="3BF4A33D" w:rsidR="00C049E2" w:rsidRPr="00390EB8" w:rsidRDefault="00717E59" w:rsidP="00390EB8">
      <w:pPr>
        <w:rPr>
          <w:rFonts w:eastAsia="Palatino Linotype"/>
          <w:i/>
        </w:rPr>
      </w:pPr>
      <w:r w:rsidRPr="00390EB8">
        <w:rPr>
          <w:rFonts w:eastAsia="Palatino Linotype"/>
        </w:rPr>
        <w:t xml:space="preserve">Asimismo, </w:t>
      </w:r>
      <w:r w:rsidR="00C049E2" w:rsidRPr="00390EB8">
        <w:rPr>
          <w:rFonts w:eastAsia="Palatino Linotype"/>
        </w:rPr>
        <w:t>el artículo 150 de la Ley de Transparencia y Acceso a la Información Pública del Estado de México y Municipios</w:t>
      </w:r>
      <w:r w:rsidR="00057B2D" w:rsidRPr="00390EB8">
        <w:rPr>
          <w:rFonts w:eastAsia="Palatino Linotype"/>
        </w:rPr>
        <w:t xml:space="preserve"> </w:t>
      </w:r>
      <w:r w:rsidR="00E9335C" w:rsidRPr="00390EB8">
        <w:rPr>
          <w:rFonts w:eastAsia="Palatino Linotype"/>
        </w:rPr>
        <w:t xml:space="preserve">indica </w:t>
      </w:r>
      <w:r w:rsidR="00057B2D" w:rsidRPr="00390EB8">
        <w:rPr>
          <w:rFonts w:eastAsia="Palatino Linotype"/>
        </w:rPr>
        <w:t>que</w:t>
      </w:r>
      <w:r w:rsidR="00C049E2" w:rsidRPr="00390EB8">
        <w:rPr>
          <w:rFonts w:eastAsia="Palatino Linotype"/>
        </w:rPr>
        <w:t xml:space="preserve"> la solicitud es la garantía primaria del Derecho de Acceso a la Información, además, establece que se regirá </w:t>
      </w:r>
      <w:r w:rsidR="00C049E2" w:rsidRPr="00390EB8">
        <w:rPr>
          <w:rFonts w:eastAsia="Palatino Linotype"/>
          <w:i/>
        </w:rPr>
        <w:t>por los principios de simplicidad, rapidez</w:t>
      </w:r>
      <w:r w:rsidR="005F65B7" w:rsidRPr="00390EB8">
        <w:rPr>
          <w:rFonts w:eastAsia="Palatino Linotype"/>
          <w:i/>
        </w:rPr>
        <w:t>,</w:t>
      </w:r>
      <w:r w:rsidR="00C049E2" w:rsidRPr="00390EB8">
        <w:rPr>
          <w:rFonts w:eastAsia="Palatino Linotype"/>
          <w:i/>
        </w:rPr>
        <w:t xml:space="preserve"> gratuidad del procedimiento, auxilio y orientación a los particulare</w:t>
      </w:r>
      <w:r w:rsidR="001A58B3" w:rsidRPr="00390EB8">
        <w:rPr>
          <w:rFonts w:eastAsia="Palatino Linotype"/>
          <w:i/>
        </w:rPr>
        <w:t>s.</w:t>
      </w:r>
    </w:p>
    <w:p w14:paraId="033466A6" w14:textId="77777777" w:rsidR="001A58B3" w:rsidRPr="00390EB8" w:rsidRDefault="001A58B3" w:rsidP="00390EB8">
      <w:pPr>
        <w:rPr>
          <w:rFonts w:eastAsia="Palatino Linotype"/>
          <w:i/>
        </w:rPr>
      </w:pPr>
    </w:p>
    <w:p w14:paraId="04ADA10B" w14:textId="574A944A" w:rsidR="001A58B3" w:rsidRPr="00390EB8" w:rsidRDefault="00233F17" w:rsidP="00390EB8">
      <w:pPr>
        <w:rPr>
          <w:rFonts w:eastAsia="Palatino Linotype" w:cs="Palatino Linotype"/>
          <w:i/>
          <w:szCs w:val="22"/>
        </w:rPr>
      </w:pPr>
      <w:r w:rsidRPr="00390EB8">
        <w:rPr>
          <w:rFonts w:eastAsia="Palatino Linotype" w:cs="Palatino Linotype"/>
        </w:rPr>
        <w:t xml:space="preserve">Por su parte, el artículo 4 de </w:t>
      </w:r>
      <w:r w:rsidR="001A58B3" w:rsidRPr="00390EB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90EB8">
        <w:rPr>
          <w:rFonts w:eastAsia="Palatino Linotype" w:cs="Palatino Linotype"/>
        </w:rPr>
        <w:t>.</w:t>
      </w:r>
    </w:p>
    <w:p w14:paraId="1407DBB8" w14:textId="77777777" w:rsidR="001A58B3" w:rsidRPr="00390EB8" w:rsidRDefault="001A58B3" w:rsidP="00390EB8">
      <w:pPr>
        <w:rPr>
          <w:rFonts w:eastAsia="Palatino Linotype" w:cs="Palatino Linotype"/>
        </w:rPr>
      </w:pPr>
    </w:p>
    <w:p w14:paraId="7552AA79" w14:textId="5C52E4A4" w:rsidR="001A58B3" w:rsidRPr="00390EB8" w:rsidRDefault="001A58B3" w:rsidP="00390EB8">
      <w:pPr>
        <w:rPr>
          <w:rFonts w:eastAsia="Palatino Linotype" w:cs="Palatino Linotype"/>
        </w:rPr>
      </w:pPr>
      <w:r w:rsidRPr="00390EB8">
        <w:rPr>
          <w:rFonts w:eastAsia="Palatino Linotype" w:cs="Palatino Linotype"/>
        </w:rPr>
        <w:t xml:space="preserve">Esto es, que los Sujetos Obligados </w:t>
      </w:r>
      <w:r w:rsidR="00FA5957" w:rsidRPr="00390EB8">
        <w:rPr>
          <w:rFonts w:eastAsia="Palatino Linotype" w:cs="Palatino Linotype"/>
        </w:rPr>
        <w:t>deben</w:t>
      </w:r>
      <w:r w:rsidRPr="00390EB8">
        <w:rPr>
          <w:rFonts w:eastAsia="Palatino Linotype" w:cs="Palatino Linotype"/>
        </w:rPr>
        <w:t xml:space="preserve"> atender las solicitudes de acceso a la información pública que se les </w:t>
      </w:r>
      <w:r w:rsidR="00FA5957" w:rsidRPr="00390EB8">
        <w:rPr>
          <w:rFonts w:eastAsia="Palatino Linotype" w:cs="Palatino Linotype"/>
        </w:rPr>
        <w:t>sean realizadas,</w:t>
      </w:r>
      <w:r w:rsidRPr="00390EB8">
        <w:rPr>
          <w:rFonts w:eastAsia="Palatino Linotype" w:cs="Palatino Linotype"/>
        </w:rPr>
        <w:t xml:space="preserve"> y proporcionar la información pública que obre en su poder</w:t>
      </w:r>
      <w:r w:rsidR="00FA5957" w:rsidRPr="00390EB8">
        <w:rPr>
          <w:rFonts w:eastAsia="Palatino Linotype" w:cs="Palatino Linotype"/>
        </w:rPr>
        <w:t>,</w:t>
      </w:r>
      <w:r w:rsidRPr="00390EB8">
        <w:rPr>
          <w:rFonts w:eastAsia="Palatino Linotype" w:cs="Palatino Linotype"/>
        </w:rPr>
        <w:t xml:space="preserve"> conforme </w:t>
      </w:r>
      <w:r w:rsidR="00FA5957" w:rsidRPr="00390EB8">
        <w:rPr>
          <w:rFonts w:eastAsia="Palatino Linotype" w:cs="Palatino Linotype"/>
        </w:rPr>
        <w:t>a</w:t>
      </w:r>
      <w:r w:rsidRPr="00390EB8">
        <w:rPr>
          <w:rFonts w:eastAsia="Palatino Linotype" w:cs="Palatino Linotype"/>
        </w:rPr>
        <w:t xml:space="preserve">l estado </w:t>
      </w:r>
      <w:r w:rsidR="00FA5957" w:rsidRPr="00390EB8">
        <w:rPr>
          <w:rFonts w:eastAsia="Palatino Linotype" w:cs="Palatino Linotype"/>
        </w:rPr>
        <w:t xml:space="preserve">en </w:t>
      </w:r>
      <w:r w:rsidRPr="00390EB8">
        <w:rPr>
          <w:rFonts w:eastAsia="Palatino Linotype" w:cs="Palatino Linotype"/>
        </w:rPr>
        <w:t>que se encuentr</w:t>
      </w:r>
      <w:r w:rsidR="00FA5957" w:rsidRPr="00390EB8">
        <w:rPr>
          <w:rFonts w:eastAsia="Palatino Linotype" w:cs="Palatino Linotype"/>
        </w:rPr>
        <w:t>e, sin que sea necesario</w:t>
      </w:r>
      <w:r w:rsidRPr="00390EB8">
        <w:rPr>
          <w:rFonts w:eastAsia="Palatino Linotype" w:cs="Palatino Linotype"/>
        </w:rPr>
        <w:t xml:space="preserve"> </w:t>
      </w:r>
      <w:r w:rsidR="00FA5957" w:rsidRPr="00390EB8">
        <w:rPr>
          <w:rFonts w:eastAsia="Palatino Linotype" w:cs="Palatino Linotype"/>
        </w:rPr>
        <w:t>procesar</w:t>
      </w:r>
      <w:r w:rsidRPr="00390EB8">
        <w:rPr>
          <w:rFonts w:eastAsia="Palatino Linotype" w:cs="Palatino Linotype"/>
        </w:rPr>
        <w:t xml:space="preserve"> la misma, ni presentarla conforme al interés del solicitante; </w:t>
      </w:r>
      <w:r w:rsidR="00FA5957" w:rsidRPr="00390EB8">
        <w:rPr>
          <w:rFonts w:eastAsia="Palatino Linotype" w:cs="Palatino Linotype"/>
        </w:rPr>
        <w:t>tal y como</w:t>
      </w:r>
      <w:r w:rsidRPr="00390EB8">
        <w:rPr>
          <w:rFonts w:eastAsia="Palatino Linotype" w:cs="Palatino Linotype"/>
        </w:rPr>
        <w:t xml:space="preserve"> lo establece el artículo 12 de la Ley de Transparencia y Acceso a la Información Pública del Estado de México y Municipios</w:t>
      </w:r>
      <w:r w:rsidR="00970EB3" w:rsidRPr="00390EB8">
        <w:rPr>
          <w:rFonts w:eastAsia="Palatino Linotype" w:cs="Palatino Linotype"/>
        </w:rPr>
        <w:t>.</w:t>
      </w:r>
    </w:p>
    <w:p w14:paraId="73245195" w14:textId="77777777" w:rsidR="00970EB3" w:rsidRPr="00390EB8" w:rsidRDefault="00970EB3" w:rsidP="00390EB8">
      <w:pPr>
        <w:rPr>
          <w:rFonts w:eastAsia="Palatino Linotype" w:cs="Palatino Linotype"/>
        </w:rPr>
      </w:pPr>
    </w:p>
    <w:p w14:paraId="7F62D4DF" w14:textId="775730E1" w:rsidR="001A58B3" w:rsidRPr="00390EB8" w:rsidRDefault="001A58B3" w:rsidP="00390EB8">
      <w:pPr>
        <w:rPr>
          <w:rFonts w:eastAsia="Palatino Linotype" w:cs="Palatino Linotype"/>
        </w:rPr>
      </w:pPr>
      <w:r w:rsidRPr="00390EB8">
        <w:rPr>
          <w:rFonts w:eastAsia="Palatino Linotype" w:cs="Palatino Linotype"/>
        </w:rPr>
        <w:t>Es decir, que todo sujeto obligado que genere, recopile, administre, procese, archive, posea o conserven, son responsables de la misma</w:t>
      </w:r>
      <w:r w:rsidR="00970EB3" w:rsidRPr="00390EB8">
        <w:rPr>
          <w:rFonts w:eastAsia="Palatino Linotype" w:cs="Palatino Linotype"/>
        </w:rPr>
        <w:t>,</w:t>
      </w:r>
      <w:r w:rsidRPr="00390EB8">
        <w:rPr>
          <w:rFonts w:eastAsia="Palatino Linotype" w:cs="Palatino Linotype"/>
        </w:rPr>
        <w:t xml:space="preserve"> teniendo a su vez la obligación de proporcionar la </w:t>
      </w:r>
      <w:r w:rsidRPr="00390EB8">
        <w:rPr>
          <w:rFonts w:eastAsia="Palatino Linotype" w:cs="Palatino Linotype"/>
        </w:rPr>
        <w:lastRenderedPageBreak/>
        <w:t xml:space="preserve">información que se les requiera sin necesidad de resumirla, efectuar procedimientos para obtenerla, calcular </w:t>
      </w:r>
      <w:r w:rsidR="00970EB3" w:rsidRPr="00390EB8">
        <w:rPr>
          <w:rFonts w:eastAsia="Palatino Linotype" w:cs="Palatino Linotype"/>
        </w:rPr>
        <w:t>o</w:t>
      </w:r>
      <w:r w:rsidRPr="00390EB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90EB8" w:rsidRDefault="001A58B3" w:rsidP="00390EB8">
      <w:pPr>
        <w:rPr>
          <w:rFonts w:eastAsia="Palatino Linotype" w:cs="Palatino Linotype"/>
        </w:rPr>
      </w:pPr>
    </w:p>
    <w:p w14:paraId="04E42DFE" w14:textId="573F1198" w:rsidR="001A58B3" w:rsidRPr="00390EB8" w:rsidRDefault="001A58B3" w:rsidP="00390EB8">
      <w:pPr>
        <w:rPr>
          <w:rFonts w:eastAsia="Palatino Linotype" w:cs="Palatino Linotype"/>
        </w:rPr>
      </w:pPr>
      <w:r w:rsidRPr="00390EB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90EB8">
        <w:rPr>
          <w:rFonts w:eastAsia="Palatino Linotype" w:cs="Palatino Linotype"/>
        </w:rPr>
        <w:t>, s</w:t>
      </w:r>
      <w:r w:rsidRPr="00390EB8">
        <w:rPr>
          <w:rFonts w:eastAsia="Palatino Linotype" w:cs="Palatino Linotype"/>
        </w:rPr>
        <w:t xml:space="preserve">iempre y cuando no se trate de información reservada o </w:t>
      </w:r>
      <w:r w:rsidR="00331F35" w:rsidRPr="00390EB8">
        <w:rPr>
          <w:rFonts w:eastAsia="Palatino Linotype" w:cs="Palatino Linotype"/>
        </w:rPr>
        <w:t>confidencial.</w:t>
      </w:r>
    </w:p>
    <w:p w14:paraId="40C5219F" w14:textId="77777777" w:rsidR="001A58B3" w:rsidRPr="00390EB8" w:rsidRDefault="001A58B3" w:rsidP="00390EB8">
      <w:pPr>
        <w:rPr>
          <w:rFonts w:eastAsia="Palatino Linotype" w:cs="Palatino Linotype"/>
        </w:rPr>
      </w:pPr>
    </w:p>
    <w:p w14:paraId="2E629608" w14:textId="01727E15" w:rsidR="00C049E2" w:rsidRPr="00390EB8" w:rsidRDefault="006067C7" w:rsidP="00390EB8">
      <w:pPr>
        <w:rPr>
          <w:rFonts w:eastAsia="Palatino Linotype"/>
        </w:rPr>
      </w:pPr>
      <w:bookmarkStart w:id="26" w:name="_heading=h.2s8eyo1" w:colFirst="0" w:colLast="0"/>
      <w:bookmarkEnd w:id="26"/>
      <w:r w:rsidRPr="00390EB8">
        <w:rPr>
          <w:rFonts w:eastAsia="Palatino Linotype"/>
        </w:rPr>
        <w:t>Con base en lo anterior</w:t>
      </w:r>
      <w:r w:rsidR="00B22A80" w:rsidRPr="00390EB8">
        <w:rPr>
          <w:rFonts w:eastAsia="Palatino Linotype"/>
        </w:rPr>
        <w:t>, se considera que</w:t>
      </w:r>
      <w:r w:rsidR="00C049E2" w:rsidRPr="00390EB8">
        <w:rPr>
          <w:rFonts w:eastAsia="Palatino Linotype"/>
        </w:rPr>
        <w:t xml:space="preserve"> </w:t>
      </w:r>
      <w:r w:rsidR="00B22A80" w:rsidRPr="00390EB8">
        <w:rPr>
          <w:rFonts w:eastAsia="Palatino Linotype"/>
          <w:b/>
          <w:bCs/>
        </w:rPr>
        <w:t>EL</w:t>
      </w:r>
      <w:r w:rsidR="00C049E2" w:rsidRPr="00390EB8">
        <w:rPr>
          <w:rFonts w:eastAsia="Palatino Linotype"/>
        </w:rPr>
        <w:t xml:space="preserve"> </w:t>
      </w:r>
      <w:r w:rsidR="00C049E2" w:rsidRPr="00390EB8">
        <w:rPr>
          <w:rFonts w:eastAsia="Palatino Linotype"/>
          <w:b/>
        </w:rPr>
        <w:t>SUJETO OBLIGADO</w:t>
      </w:r>
      <w:r w:rsidR="00C049E2" w:rsidRPr="00390EB8">
        <w:rPr>
          <w:rFonts w:eastAsia="Palatino Linotype"/>
        </w:rPr>
        <w:t xml:space="preserve"> </w:t>
      </w:r>
      <w:r w:rsidR="00B22A80" w:rsidRPr="00390EB8">
        <w:rPr>
          <w:rFonts w:eastAsia="Palatino Linotype"/>
        </w:rPr>
        <w:t xml:space="preserve">se </w:t>
      </w:r>
      <w:r w:rsidR="00717E59" w:rsidRPr="00390EB8">
        <w:rPr>
          <w:rFonts w:eastAsia="Palatino Linotype"/>
        </w:rPr>
        <w:t>encontraba</w:t>
      </w:r>
      <w:r w:rsidR="00B22A80" w:rsidRPr="00390EB8">
        <w:rPr>
          <w:rFonts w:eastAsia="Palatino Linotype"/>
        </w:rPr>
        <w:t xml:space="preserve"> compelido a</w:t>
      </w:r>
      <w:r w:rsidR="00C049E2" w:rsidRPr="00390EB8">
        <w:rPr>
          <w:rFonts w:eastAsia="Palatino Linotype"/>
        </w:rPr>
        <w:t xml:space="preserve"> atender la solicitud de acceso a la información </w:t>
      </w:r>
      <w:r w:rsidR="00B22A80" w:rsidRPr="00390EB8">
        <w:rPr>
          <w:rFonts w:eastAsia="Palatino Linotype"/>
        </w:rPr>
        <w:t xml:space="preserve">realizada por </w:t>
      </w:r>
      <w:r w:rsidR="00B22A80" w:rsidRPr="00390EB8">
        <w:rPr>
          <w:rFonts w:eastAsia="Palatino Linotype"/>
          <w:b/>
          <w:bCs/>
        </w:rPr>
        <w:t>LA PARTE RECURRENTE</w:t>
      </w:r>
      <w:r w:rsidR="00331F35" w:rsidRPr="00390EB8">
        <w:rPr>
          <w:rFonts w:eastAsia="Palatino Linotype"/>
        </w:rPr>
        <w:t>.</w:t>
      </w:r>
    </w:p>
    <w:p w14:paraId="1611F147" w14:textId="77777777" w:rsidR="00BD5A7C" w:rsidRPr="00390EB8" w:rsidRDefault="00BD5A7C" w:rsidP="00390EB8">
      <w:pPr>
        <w:rPr>
          <w:rFonts w:eastAsia="Palatino Linotype"/>
        </w:rPr>
      </w:pPr>
    </w:p>
    <w:p w14:paraId="51A0E8B4" w14:textId="676DCA47" w:rsidR="00664420" w:rsidRPr="00390EB8" w:rsidRDefault="00C71CEF" w:rsidP="00390EB8">
      <w:pPr>
        <w:pStyle w:val="Ttulo3"/>
        <w:rPr>
          <w:rFonts w:eastAsia="Calibri"/>
          <w:lang w:eastAsia="es-ES_tradnl"/>
        </w:rPr>
      </w:pPr>
      <w:bookmarkStart w:id="27" w:name="_Toc181822324"/>
      <w:r w:rsidRPr="00390EB8">
        <w:rPr>
          <w:rFonts w:eastAsia="Calibri"/>
          <w:lang w:eastAsia="es-ES_tradnl"/>
        </w:rPr>
        <w:t>b)</w:t>
      </w:r>
      <w:r w:rsidR="00A53315" w:rsidRPr="00390EB8">
        <w:rPr>
          <w:rFonts w:eastAsia="Calibri"/>
          <w:lang w:eastAsia="es-ES_tradnl"/>
        </w:rPr>
        <w:t xml:space="preserve"> </w:t>
      </w:r>
      <w:r w:rsidR="00A21A20" w:rsidRPr="00390EB8">
        <w:rPr>
          <w:rFonts w:eastAsia="Calibri"/>
          <w:lang w:eastAsia="es-ES_tradnl"/>
        </w:rPr>
        <w:t>Controversia a resolver</w:t>
      </w:r>
      <w:bookmarkEnd w:id="27"/>
    </w:p>
    <w:p w14:paraId="5DAE2A65" w14:textId="382C31A9" w:rsidR="00664420" w:rsidRPr="00390EB8" w:rsidRDefault="00664420" w:rsidP="00390EB8">
      <w:pPr>
        <w:rPr>
          <w:rFonts w:eastAsia="Calibri"/>
          <w:lang w:eastAsia="es-ES_tradnl"/>
        </w:rPr>
      </w:pPr>
      <w:r w:rsidRPr="00390EB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90EB8">
        <w:rPr>
          <w:rFonts w:eastAsia="Calibri"/>
          <w:b/>
          <w:bCs/>
          <w:lang w:eastAsia="es-ES_tradnl"/>
        </w:rPr>
        <w:t>LA PARTE RECURRENTE</w:t>
      </w:r>
      <w:r w:rsidRPr="00390EB8">
        <w:rPr>
          <w:rFonts w:eastAsia="Calibri"/>
          <w:lang w:eastAsia="es-ES_tradnl"/>
        </w:rPr>
        <w:t xml:space="preserve"> solicitó lo siguiente:</w:t>
      </w:r>
    </w:p>
    <w:p w14:paraId="5395E3FC" w14:textId="77777777" w:rsidR="00191047" w:rsidRPr="00390EB8" w:rsidRDefault="00191047" w:rsidP="00390EB8">
      <w:pPr>
        <w:rPr>
          <w:rFonts w:eastAsia="Calibri"/>
          <w:lang w:eastAsia="es-ES_tradnl"/>
        </w:rPr>
      </w:pPr>
    </w:p>
    <w:p w14:paraId="27E7768F" w14:textId="4348ABC1" w:rsidR="00191047" w:rsidRPr="00390EB8" w:rsidRDefault="00191047" w:rsidP="00390EB8">
      <w:pPr>
        <w:pStyle w:val="Puesto"/>
        <w:numPr>
          <w:ilvl w:val="0"/>
          <w:numId w:val="16"/>
        </w:numPr>
      </w:pPr>
      <w:r w:rsidRPr="00390EB8">
        <w:t xml:space="preserve">Actuaciones que se realizaron, a fin de desclasificar la información como reservada (ya sea porque la reserva derivó de una solicitud de acceso o, bien, para el cumplimiento de obligaciones), es decir, los oficios o memorandos que generaron </w:t>
      </w:r>
      <w:r w:rsidRPr="00390EB8">
        <w:lastRenderedPageBreak/>
        <w:t>las personas servidoras públicas habilitadas y/o titulares de área; las convocatorias para sesión del Comité de Transparencia, las actas del Comité de Transparencia y sus respectivas resoluciones.</w:t>
      </w:r>
    </w:p>
    <w:p w14:paraId="3858209A" w14:textId="77777777" w:rsidR="00191047" w:rsidRPr="00390EB8" w:rsidRDefault="00191047" w:rsidP="00390EB8">
      <w:pPr>
        <w:rPr>
          <w:rFonts w:eastAsia="Calibri"/>
          <w:lang w:eastAsia="es-ES_tradnl"/>
        </w:rPr>
      </w:pPr>
    </w:p>
    <w:p w14:paraId="4B575D25" w14:textId="4582EAD5" w:rsidR="00191047" w:rsidRPr="00390EB8" w:rsidRDefault="00664420" w:rsidP="00390EB8">
      <w:pPr>
        <w:tabs>
          <w:tab w:val="left" w:pos="4962"/>
        </w:tabs>
        <w:contextualSpacing/>
        <w:rPr>
          <w:rFonts w:eastAsiaTheme="minorHAnsi" w:cs="Tahoma"/>
          <w:bCs/>
          <w:iCs/>
          <w:szCs w:val="22"/>
          <w:lang w:eastAsia="en-US"/>
        </w:rPr>
      </w:pPr>
      <w:r w:rsidRPr="00390EB8">
        <w:rPr>
          <w:rFonts w:eastAsiaTheme="minorHAnsi" w:cs="Tahoma"/>
          <w:bCs/>
          <w:iCs/>
          <w:szCs w:val="22"/>
          <w:lang w:eastAsia="en-US"/>
        </w:rPr>
        <w:t xml:space="preserve">En respuesta, </w:t>
      </w:r>
      <w:r w:rsidR="005D5A50" w:rsidRPr="00390EB8">
        <w:rPr>
          <w:rFonts w:eastAsiaTheme="minorHAnsi" w:cs="Tahoma"/>
          <w:b/>
          <w:iCs/>
          <w:szCs w:val="22"/>
          <w:lang w:eastAsia="en-US"/>
        </w:rPr>
        <w:t>EL SUJETO OBLIGADO</w:t>
      </w:r>
      <w:r w:rsidRPr="00390EB8">
        <w:rPr>
          <w:rFonts w:eastAsiaTheme="minorHAnsi" w:cs="Tahoma"/>
          <w:bCs/>
          <w:iCs/>
          <w:szCs w:val="22"/>
          <w:lang w:eastAsia="en-US"/>
        </w:rPr>
        <w:t xml:space="preserve"> se pronunció por conducto de</w:t>
      </w:r>
      <w:r w:rsidR="00191047" w:rsidRPr="00390EB8">
        <w:rPr>
          <w:rFonts w:eastAsiaTheme="minorHAnsi" w:cs="Tahoma"/>
          <w:bCs/>
          <w:iCs/>
          <w:szCs w:val="22"/>
          <w:lang w:eastAsia="en-US"/>
        </w:rPr>
        <w:t>l Titular de la Unidad de Transparencia</w:t>
      </w:r>
      <w:r w:rsidRPr="00390EB8">
        <w:rPr>
          <w:rFonts w:eastAsiaTheme="minorHAnsi" w:cs="Tahoma"/>
          <w:bCs/>
          <w:iCs/>
          <w:szCs w:val="22"/>
          <w:lang w:eastAsia="en-US"/>
        </w:rPr>
        <w:t xml:space="preserve"> quien refirió que </w:t>
      </w:r>
      <w:r w:rsidR="00191047" w:rsidRPr="00390EB8">
        <w:t>una vez agotada la búsqueda en los archivos de su área, no se encontró documento alguno que cumpla con los parámetros peticionados por la parte Solicitante. Circunstancia que se traduce en un hecho negativo.</w:t>
      </w:r>
    </w:p>
    <w:p w14:paraId="719D30C0" w14:textId="77777777" w:rsidR="00191047" w:rsidRPr="00390EB8" w:rsidRDefault="00191047" w:rsidP="00390EB8">
      <w:pPr>
        <w:tabs>
          <w:tab w:val="left" w:pos="4962"/>
        </w:tabs>
        <w:contextualSpacing/>
        <w:rPr>
          <w:rFonts w:eastAsiaTheme="minorHAnsi" w:cs="Tahoma"/>
          <w:bCs/>
          <w:iCs/>
          <w:szCs w:val="22"/>
          <w:lang w:eastAsia="en-US"/>
        </w:rPr>
      </w:pPr>
    </w:p>
    <w:p w14:paraId="0ED40454" w14:textId="32BB0DB9" w:rsidR="00191047" w:rsidRPr="00390EB8" w:rsidRDefault="00CF7586" w:rsidP="00390EB8">
      <w:pPr>
        <w:tabs>
          <w:tab w:val="left" w:pos="4962"/>
        </w:tabs>
        <w:contextualSpacing/>
        <w:rPr>
          <w:rFonts w:eastAsiaTheme="minorHAnsi" w:cs="Tahoma"/>
          <w:bCs/>
          <w:iCs/>
          <w:szCs w:val="22"/>
          <w:lang w:eastAsia="en-US"/>
        </w:rPr>
      </w:pPr>
      <w:r w:rsidRPr="00390EB8">
        <w:rPr>
          <w:rFonts w:eastAsiaTheme="minorHAnsi" w:cs="Tahoma"/>
          <w:bCs/>
          <w:iCs/>
          <w:szCs w:val="22"/>
          <w:lang w:eastAsia="en-US"/>
        </w:rPr>
        <w:t xml:space="preserve">Ahora bien, en la interposición del presente recurso </w:t>
      </w:r>
      <w:r w:rsidRPr="00390EB8">
        <w:rPr>
          <w:rFonts w:eastAsiaTheme="minorHAnsi" w:cs="Tahoma"/>
          <w:b/>
          <w:iCs/>
          <w:szCs w:val="22"/>
          <w:lang w:eastAsia="en-US"/>
        </w:rPr>
        <w:t>LA PARTE RECURRENTE</w:t>
      </w:r>
      <w:r w:rsidR="00664420" w:rsidRPr="00390EB8">
        <w:rPr>
          <w:rFonts w:eastAsiaTheme="minorHAnsi" w:cs="Tahoma"/>
          <w:bCs/>
          <w:iCs/>
          <w:szCs w:val="22"/>
          <w:lang w:eastAsia="en-US"/>
        </w:rPr>
        <w:t xml:space="preserve"> se inconformó de</w:t>
      </w:r>
      <w:r w:rsidR="00191047" w:rsidRPr="00390EB8">
        <w:rPr>
          <w:rFonts w:eastAsiaTheme="minorHAnsi" w:cs="Tahoma"/>
          <w:bCs/>
          <w:iCs/>
          <w:szCs w:val="22"/>
          <w:lang w:eastAsia="en-US"/>
        </w:rPr>
        <w:t xml:space="preserve"> la entrega de información incompleta, exponiendo que no se le entregó la información solicitada por haber omitido poner la temporalidad.</w:t>
      </w:r>
    </w:p>
    <w:p w14:paraId="0BC4DC75" w14:textId="77777777" w:rsidR="006672F1" w:rsidRPr="00390EB8" w:rsidRDefault="006672F1" w:rsidP="00390EB8">
      <w:pPr>
        <w:tabs>
          <w:tab w:val="left" w:pos="4962"/>
        </w:tabs>
        <w:contextualSpacing/>
        <w:rPr>
          <w:rFonts w:eastAsiaTheme="minorHAnsi" w:cs="Tahoma"/>
          <w:bCs/>
          <w:iCs/>
          <w:szCs w:val="22"/>
          <w:lang w:eastAsia="en-US"/>
        </w:rPr>
      </w:pPr>
    </w:p>
    <w:p w14:paraId="414FD2D5" w14:textId="4408E416" w:rsidR="00664420" w:rsidRPr="00390EB8" w:rsidRDefault="00A21A20" w:rsidP="00390EB8">
      <w:pPr>
        <w:pStyle w:val="Ttulo3"/>
      </w:pPr>
      <w:bookmarkStart w:id="28" w:name="_Toc181822325"/>
      <w:r w:rsidRPr="00390EB8">
        <w:t>c)</w:t>
      </w:r>
      <w:r w:rsidR="00664420" w:rsidRPr="00390EB8">
        <w:t xml:space="preserve"> </w:t>
      </w:r>
      <w:r w:rsidRPr="00390EB8">
        <w:t>Estudio de la controversia</w:t>
      </w:r>
      <w:bookmarkEnd w:id="28"/>
    </w:p>
    <w:p w14:paraId="6F0E10DD" w14:textId="77777777" w:rsidR="00B228A3" w:rsidRPr="00390EB8" w:rsidRDefault="00B228A3" w:rsidP="00390EB8">
      <w:pPr>
        <w:rPr>
          <w:szCs w:val="22"/>
        </w:rPr>
      </w:pPr>
      <w:r w:rsidRPr="00390EB8">
        <w:t xml:space="preserve">Este Órgano Garante basará el análisis del presente, en el contenido íntegro de las actuaciones que obran en el expediente electrónico en el </w:t>
      </w:r>
      <w:r w:rsidRPr="00390EB8">
        <w:rPr>
          <w:b/>
        </w:rPr>
        <w:t>SAIMEX</w:t>
      </w:r>
      <w:r w:rsidRPr="00390EB8">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390EB8">
        <w:rPr>
          <w:szCs w:val="22"/>
        </w:rPr>
        <w:t>1 de la Constitución Política de los Estados Unidos Mexicanos y los numerales 8 y 9 de la Ley de Transparencia local.</w:t>
      </w:r>
    </w:p>
    <w:p w14:paraId="45C13577" w14:textId="17736865" w:rsidR="00B228A3" w:rsidRPr="00390EB8" w:rsidRDefault="00B228A3" w:rsidP="00390EB8">
      <w:pPr>
        <w:rPr>
          <w:rFonts w:eastAsia="Palatino Linotype" w:cs="Palatino Linotype"/>
        </w:rPr>
      </w:pPr>
      <w:r w:rsidRPr="00390EB8">
        <w:rPr>
          <w:rFonts w:eastAsia="Palatino Linotype" w:cs="Palatino Linotype"/>
        </w:rPr>
        <w:lastRenderedPageBreak/>
        <w:t>Dicho lo anterior, es de recordar que la parte Solicitante requirió se le proporcionaran los documentos donde conste las a</w:t>
      </w:r>
      <w:r w:rsidRPr="00390EB8">
        <w:t>ctuaciones que se realizaron, a fin de desclasificar la información como reservada, es decir, los oficios o memorandos que generaron los servidores públicos habilitados y/o titulares de área, así como las convocatorias para sesión del Comité de Transparencia, las actas del Comité de Transparencia y sus respectivas resoluciones.</w:t>
      </w:r>
    </w:p>
    <w:p w14:paraId="3F3FDF39" w14:textId="77777777" w:rsidR="00B228A3" w:rsidRPr="00390EB8" w:rsidRDefault="00B228A3" w:rsidP="00390EB8">
      <w:pPr>
        <w:rPr>
          <w:rFonts w:eastAsia="Palatino Linotype" w:cs="Palatino Linotype"/>
        </w:rPr>
      </w:pPr>
    </w:p>
    <w:p w14:paraId="7378431B" w14:textId="0644BDF7" w:rsidR="00133421" w:rsidRPr="00390EB8" w:rsidRDefault="00133421" w:rsidP="00390EB8">
      <w:r w:rsidRPr="00390EB8">
        <w:t xml:space="preserve">Comenzando primero por analizar la respuesta entregada, para lo cual, es de señalar que de las constancias que obran en el expediente, se logra vislumbrar que el Titular de Transparencia </w:t>
      </w:r>
      <w:r w:rsidR="00774A89" w:rsidRPr="00390EB8">
        <w:t>realizó el pronunciamiento de manera unilateral</w:t>
      </w:r>
      <w:r w:rsidRPr="00390EB8">
        <w:t>,</w:t>
      </w:r>
      <w:r w:rsidR="00774A89" w:rsidRPr="00390EB8">
        <w:t xml:space="preserve"> por ello</w:t>
      </w:r>
      <w:r w:rsidRPr="00390EB8">
        <w:t xml:space="preserve">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67B34ACF" w14:textId="77777777" w:rsidR="00133421" w:rsidRPr="00390EB8" w:rsidRDefault="00133421" w:rsidP="00390EB8"/>
    <w:p w14:paraId="6449C588" w14:textId="77777777" w:rsidR="00133421" w:rsidRPr="00390EB8" w:rsidRDefault="00133421" w:rsidP="00390EB8">
      <w:pPr>
        <w:numPr>
          <w:ilvl w:val="0"/>
          <w:numId w:val="18"/>
        </w:numPr>
      </w:pPr>
      <w:r w:rsidRPr="00390EB8">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D2BE68B" w14:textId="77777777" w:rsidR="00133421" w:rsidRPr="00390EB8" w:rsidRDefault="00133421" w:rsidP="00390EB8"/>
    <w:p w14:paraId="1838512B" w14:textId="77777777" w:rsidR="00133421" w:rsidRPr="00390EB8" w:rsidRDefault="00133421" w:rsidP="00390EB8">
      <w:pPr>
        <w:numPr>
          <w:ilvl w:val="0"/>
          <w:numId w:val="18"/>
        </w:numPr>
      </w:pPr>
      <w:r w:rsidRPr="00390EB8">
        <w:t xml:space="preserve">Los sujetos obligados otorgaran acceso a los documentos que se encuentren en sus archivos o que estén obligados a documentar de acuerdo con sus facultades, </w:t>
      </w:r>
      <w:r w:rsidRPr="00390EB8">
        <w:lastRenderedPageBreak/>
        <w:t>competencias o funciones, en el formato en que el solicitante manifieste, de entre aquellos formatos existentes.</w:t>
      </w:r>
    </w:p>
    <w:p w14:paraId="438E9D09" w14:textId="77777777" w:rsidR="00133421" w:rsidRPr="00390EB8" w:rsidRDefault="00133421" w:rsidP="00390EB8"/>
    <w:p w14:paraId="14813374" w14:textId="665865B0" w:rsidR="00774A89" w:rsidRPr="00390EB8" w:rsidRDefault="00133421" w:rsidP="00390EB8">
      <w:r w:rsidRPr="00390EB8">
        <w:t xml:space="preserve">Así, a efecto de determinar si el Sujeto Obligado siguió el procedimiento antes descrito, es necesario traer a colación lo expuesto en el </w:t>
      </w:r>
      <w:r w:rsidR="00774A89" w:rsidRPr="00390EB8">
        <w:rPr>
          <w:b/>
        </w:rPr>
        <w:t>Reglamento Interior del Instituto de Transparencia, Acceso a la Información Pública y Protección de Datos Personales del Estado de México</w:t>
      </w:r>
      <w:r w:rsidRPr="00390EB8">
        <w:t xml:space="preserve">, donde se precisa </w:t>
      </w:r>
      <w:r w:rsidR="00774A89" w:rsidRPr="00390EB8">
        <w:t>las atribuciones del área que proporcionó la información, siendo el Titular de la unidad de Transparencia como se advierte a continuación:</w:t>
      </w:r>
    </w:p>
    <w:p w14:paraId="75FA6E8D" w14:textId="77777777" w:rsidR="00774A89" w:rsidRPr="00390EB8" w:rsidRDefault="00774A89" w:rsidP="00390EB8"/>
    <w:p w14:paraId="2DCB4F39" w14:textId="59F3F716" w:rsidR="00774A89" w:rsidRPr="00390EB8" w:rsidRDefault="00774A89" w:rsidP="00390EB8">
      <w:pPr>
        <w:pStyle w:val="Puesto"/>
        <w:jc w:val="center"/>
        <w:rPr>
          <w:b/>
        </w:rPr>
      </w:pPr>
      <w:r w:rsidRPr="00390EB8">
        <w:rPr>
          <w:b/>
        </w:rPr>
        <w:t>Sección Sexta</w:t>
      </w:r>
    </w:p>
    <w:p w14:paraId="6BAB05B6" w14:textId="77777777" w:rsidR="00774A89" w:rsidRPr="00390EB8" w:rsidRDefault="00774A89" w:rsidP="00390EB8">
      <w:pPr>
        <w:pStyle w:val="Puesto"/>
        <w:jc w:val="center"/>
        <w:rPr>
          <w:b/>
        </w:rPr>
      </w:pPr>
      <w:r w:rsidRPr="00390EB8">
        <w:rPr>
          <w:b/>
        </w:rPr>
        <w:t>De la Unidad de Transparencia</w:t>
      </w:r>
    </w:p>
    <w:p w14:paraId="4B3AF851" w14:textId="77777777" w:rsidR="00606C87" w:rsidRPr="00390EB8" w:rsidRDefault="00606C87" w:rsidP="00390EB8">
      <w:pPr>
        <w:pStyle w:val="Puesto"/>
      </w:pPr>
    </w:p>
    <w:p w14:paraId="7789F3D1" w14:textId="4923BA23" w:rsidR="00774A89" w:rsidRPr="00390EB8" w:rsidRDefault="00774A89" w:rsidP="00390EB8">
      <w:pPr>
        <w:pStyle w:val="Puesto"/>
      </w:pPr>
      <w:r w:rsidRPr="00390EB8">
        <w:rPr>
          <w:b/>
        </w:rPr>
        <w:t>Artículo 20.</w:t>
      </w:r>
      <w:r w:rsidRPr="00390EB8">
        <w:t xml:space="preserve"> La Unidad de Transparencia adicional a las señaladas en las Leyes de la Materia,</w:t>
      </w:r>
      <w:r w:rsidR="00606C87" w:rsidRPr="00390EB8">
        <w:t xml:space="preserve"> </w:t>
      </w:r>
      <w:r w:rsidRPr="00390EB8">
        <w:t>tendrá las atribuciones siguientes:</w:t>
      </w:r>
    </w:p>
    <w:p w14:paraId="7CADD854" w14:textId="77777777" w:rsidR="00606C87" w:rsidRPr="00390EB8" w:rsidRDefault="00606C87" w:rsidP="00390EB8"/>
    <w:p w14:paraId="025B8115" w14:textId="77777777" w:rsidR="00774A89" w:rsidRPr="00390EB8" w:rsidRDefault="00774A89" w:rsidP="00390EB8">
      <w:pPr>
        <w:pStyle w:val="Puesto"/>
      </w:pPr>
      <w:r w:rsidRPr="00390EB8">
        <w:rPr>
          <w:b/>
        </w:rPr>
        <w:t>I. Recibir, tramitar y dar respuesta a las solicitudes de acceso a la información</w:t>
      </w:r>
      <w:r w:rsidRPr="00390EB8">
        <w:t>;</w:t>
      </w:r>
    </w:p>
    <w:p w14:paraId="0B73A254" w14:textId="77777777" w:rsidR="00774A89" w:rsidRPr="00390EB8" w:rsidRDefault="00774A89" w:rsidP="00390EB8">
      <w:pPr>
        <w:pStyle w:val="Puesto"/>
      </w:pPr>
      <w:r w:rsidRPr="00390EB8">
        <w:t>II. Recibir, tramitar y dar respuesta a las solicitudes de los derechos de Acceso, Ratificación,</w:t>
      </w:r>
    </w:p>
    <w:p w14:paraId="6E271D9F" w14:textId="77777777" w:rsidR="00774A89" w:rsidRPr="00390EB8" w:rsidRDefault="00774A89" w:rsidP="00390EB8">
      <w:pPr>
        <w:pStyle w:val="Puesto"/>
      </w:pPr>
      <w:r w:rsidRPr="00390EB8">
        <w:t>Cancelación y Oposición al tratamiento de Datos Personales,</w:t>
      </w:r>
    </w:p>
    <w:p w14:paraId="6EB54908" w14:textId="3308A23E" w:rsidR="00774A89" w:rsidRPr="00390EB8" w:rsidRDefault="00774A89" w:rsidP="00390EB8">
      <w:pPr>
        <w:pStyle w:val="Puesto"/>
      </w:pPr>
      <w:r w:rsidRPr="00390EB8">
        <w:t>III. Coordinar y administrar en el ámbito de sus atribuciones, el Centro de Atención Telefónica o</w:t>
      </w:r>
      <w:r w:rsidR="00606C87" w:rsidRPr="00390EB8">
        <w:t xml:space="preserve"> </w:t>
      </w:r>
      <w:r w:rsidRPr="00390EB8">
        <w:t>a través de medios de comunicación en tiempo real electrónicos del Instituto;</w:t>
      </w:r>
    </w:p>
    <w:p w14:paraId="7DE3AAE6" w14:textId="2CB223B0" w:rsidR="00774A89" w:rsidRPr="00390EB8" w:rsidRDefault="00774A89" w:rsidP="00390EB8">
      <w:pPr>
        <w:pStyle w:val="Puesto"/>
      </w:pPr>
      <w:r w:rsidRPr="00390EB8">
        <w:t>IV. Brindar asesoría a las Unidades Administrativas y particulares que así lo soliciten, respecto</w:t>
      </w:r>
      <w:r w:rsidR="00606C87" w:rsidRPr="00390EB8">
        <w:t xml:space="preserve"> </w:t>
      </w:r>
      <w:r w:rsidRPr="00390EB8">
        <w:t>de los requisitos para la interposición de las solicitudes de acceso a la información pública; la</w:t>
      </w:r>
      <w:r w:rsidR="00606C87" w:rsidRPr="00390EB8">
        <w:t xml:space="preserve"> </w:t>
      </w:r>
      <w:r w:rsidRPr="00390EB8">
        <w:t>manera de llenar los formularios que, en su caso, se requieran; el trámite y respuesta de dichas</w:t>
      </w:r>
      <w:r w:rsidR="00606C87" w:rsidRPr="00390EB8">
        <w:t xml:space="preserve"> </w:t>
      </w:r>
      <w:r w:rsidRPr="00390EB8">
        <w:t>solicitudes;</w:t>
      </w:r>
    </w:p>
    <w:p w14:paraId="15018D2B" w14:textId="1CDE30EF" w:rsidR="00774A89" w:rsidRPr="00390EB8" w:rsidRDefault="00774A89" w:rsidP="00390EB8">
      <w:pPr>
        <w:pStyle w:val="Puesto"/>
      </w:pPr>
      <w:r w:rsidRPr="00390EB8">
        <w:t>V. Brindar asesoría a las Unidades Administrativas y particulares que así lo soliciten, respecto</w:t>
      </w:r>
      <w:r w:rsidR="00606C87" w:rsidRPr="00390EB8">
        <w:t xml:space="preserve"> </w:t>
      </w:r>
      <w:r w:rsidRPr="00390EB8">
        <w:t>de los requisitos para la interposición de las solicitudes de acceso, rectificación, cancelación y</w:t>
      </w:r>
      <w:r w:rsidR="00606C87" w:rsidRPr="00390EB8">
        <w:t xml:space="preserve"> </w:t>
      </w:r>
      <w:r w:rsidRPr="00390EB8">
        <w:t>oposición al tratamiento de datos personales; la manera de llenar los formularios que, en su caso,</w:t>
      </w:r>
      <w:r w:rsidR="00606C87" w:rsidRPr="00390EB8">
        <w:t xml:space="preserve"> </w:t>
      </w:r>
      <w:r w:rsidRPr="00390EB8">
        <w:t>se requieran; el trámite y respuesta de dichas solicitudes;</w:t>
      </w:r>
    </w:p>
    <w:p w14:paraId="21D8F3F8" w14:textId="32AFC598" w:rsidR="00774A89" w:rsidRPr="00390EB8" w:rsidRDefault="00774A89" w:rsidP="00390EB8">
      <w:pPr>
        <w:pStyle w:val="Puesto"/>
      </w:pPr>
      <w:r w:rsidRPr="00390EB8">
        <w:t>VI. Orientar a las y los particulares, sobre los sujetos obligados competentes para atender sus</w:t>
      </w:r>
      <w:r w:rsidR="00606C87" w:rsidRPr="00390EB8">
        <w:t xml:space="preserve"> </w:t>
      </w:r>
      <w:r w:rsidRPr="00390EB8">
        <w:t>requerimientos de información;</w:t>
      </w:r>
    </w:p>
    <w:p w14:paraId="47C6E842" w14:textId="6A17A697" w:rsidR="00774A89" w:rsidRPr="00390EB8" w:rsidRDefault="00774A89" w:rsidP="00390EB8">
      <w:pPr>
        <w:pStyle w:val="Puesto"/>
      </w:pPr>
      <w:r w:rsidRPr="00390EB8">
        <w:lastRenderedPageBreak/>
        <w:t>VII. Brindar asesoría a las Unidades Administrativas y particulares que así lo soliciten, respecto</w:t>
      </w:r>
      <w:r w:rsidR="00606C87" w:rsidRPr="00390EB8">
        <w:t xml:space="preserve"> </w:t>
      </w:r>
      <w:r w:rsidRPr="00390EB8">
        <w:t>de los plazos, etapas y actos del procedimiento de acceso a la información pública y acceso,</w:t>
      </w:r>
      <w:r w:rsidR="00606C87" w:rsidRPr="00390EB8">
        <w:t xml:space="preserve"> </w:t>
      </w:r>
      <w:r w:rsidRPr="00390EB8">
        <w:t>rectificación, cancelación y oposición al tratamiento de datos personales;</w:t>
      </w:r>
    </w:p>
    <w:p w14:paraId="1D8B921F" w14:textId="3337ECE3" w:rsidR="00774A89" w:rsidRPr="00390EB8" w:rsidRDefault="00774A89" w:rsidP="00390EB8">
      <w:pPr>
        <w:pStyle w:val="Puesto"/>
      </w:pPr>
      <w:r w:rsidRPr="00390EB8">
        <w:t>VIII. Brindar asesoría y apoyo a las Unidades Administrativas y particulares que así lo soliciten,</w:t>
      </w:r>
      <w:r w:rsidR="00606C87" w:rsidRPr="00390EB8">
        <w:t xml:space="preserve"> </w:t>
      </w:r>
      <w:r w:rsidRPr="00390EB8">
        <w:t>respecto de los medios de impugnación previstos en la normatividad de la materia; y los</w:t>
      </w:r>
      <w:r w:rsidR="00606C87" w:rsidRPr="00390EB8">
        <w:t xml:space="preserve"> </w:t>
      </w:r>
      <w:r w:rsidRPr="00390EB8">
        <w:t>requisitos, instancias, plazos, etapas y actos para la interposición, trámite, sustanciación y</w:t>
      </w:r>
      <w:r w:rsidR="00606C87" w:rsidRPr="00390EB8">
        <w:t xml:space="preserve"> </w:t>
      </w:r>
      <w:r w:rsidRPr="00390EB8">
        <w:t>resolución de los mismos;</w:t>
      </w:r>
    </w:p>
    <w:p w14:paraId="33244D73" w14:textId="0209CD1A" w:rsidR="00774A89" w:rsidRPr="00390EB8" w:rsidRDefault="00774A89" w:rsidP="00390EB8">
      <w:pPr>
        <w:pStyle w:val="Puesto"/>
      </w:pPr>
      <w:r w:rsidRPr="00390EB8">
        <w:t>IX. Desahogar en un primer nivel de atención, las consultas realizadas por particulares con</w:t>
      </w:r>
      <w:r w:rsidR="00606C87" w:rsidRPr="00390EB8">
        <w:t xml:space="preserve"> </w:t>
      </w:r>
      <w:r w:rsidRPr="00390EB8">
        <w:t>respecto a las funciones y atribuciones del Instituto;</w:t>
      </w:r>
    </w:p>
    <w:p w14:paraId="79965550" w14:textId="77777777" w:rsidR="00E03A48" w:rsidRPr="00390EB8" w:rsidRDefault="00774A89" w:rsidP="00390EB8">
      <w:pPr>
        <w:pStyle w:val="Puesto"/>
      </w:pPr>
      <w:r w:rsidRPr="00390EB8">
        <w:t>X. Poner a disposición los formatos de solicitudes de acceso a la información pública, recepción</w:t>
      </w:r>
      <w:r w:rsidR="00606C87" w:rsidRPr="00390EB8">
        <w:t xml:space="preserve"> </w:t>
      </w:r>
      <w:r w:rsidRPr="00390EB8">
        <w:t>de información pública, recursos de revisión y aclaración, de las y los particulares, así como de</w:t>
      </w:r>
      <w:r w:rsidR="00606C87" w:rsidRPr="00390EB8">
        <w:t xml:space="preserve"> </w:t>
      </w:r>
      <w:r w:rsidRPr="00390EB8">
        <w:t>las y los titulares de las unidades de transparencia de los sujetos obligados;</w:t>
      </w:r>
      <w:r w:rsidR="00E03A48" w:rsidRPr="00390EB8">
        <w:t xml:space="preserve"> </w:t>
      </w:r>
    </w:p>
    <w:p w14:paraId="01DC0B4A" w14:textId="6A6C0C83" w:rsidR="00E03A48" w:rsidRPr="00390EB8" w:rsidRDefault="00E03A48" w:rsidP="00390EB8">
      <w:pPr>
        <w:pStyle w:val="Puesto"/>
      </w:pPr>
      <w:r w:rsidRPr="00390EB8">
        <w:t>XI. Recibir vía telefónica y capturar a través del sistema de solicitudes de acceso a la información dentro de la Plataforma Nacional de Transparencia o, en su caso, del sistema electrónico establecido al efecto, las solicitudes de acceso a la información pública formuladas por la ciudadanía a los Sujetos Obligados;</w:t>
      </w:r>
    </w:p>
    <w:p w14:paraId="2C188CBE" w14:textId="7E0F61E1" w:rsidR="00E03A48" w:rsidRPr="00390EB8" w:rsidRDefault="00E03A48" w:rsidP="00390EB8">
      <w:pPr>
        <w:pStyle w:val="Puesto"/>
      </w:pPr>
      <w:r w:rsidRPr="00390EB8">
        <w:t xml:space="preserve">XII. </w:t>
      </w:r>
      <w:r w:rsidRPr="00390EB8">
        <w:rPr>
          <w:b/>
        </w:rPr>
        <w:t>Realizar los trámites internos necesarios en coordinación con las y los Servidores Públicos Habilitados, a efecto de brindar la atención de las solicitudes de acceso a la información y solicitudes en ejercicio de los derechos de acceso, rectificación, cancelación y oposición de datos personales;</w:t>
      </w:r>
    </w:p>
    <w:p w14:paraId="44DC19E2" w14:textId="77777777" w:rsidR="00E03A48" w:rsidRPr="00390EB8" w:rsidRDefault="00E03A48" w:rsidP="00390EB8">
      <w:pPr>
        <w:pStyle w:val="Puesto"/>
      </w:pPr>
      <w:r w:rsidRPr="00390EB8">
        <w:t>XIII. Recibir y registrar en el sistema de gestión de medios de impugnación de la Plataforma</w:t>
      </w:r>
    </w:p>
    <w:p w14:paraId="4AD9CA2B" w14:textId="77777777" w:rsidR="00E03A48" w:rsidRPr="00390EB8" w:rsidRDefault="00E03A48" w:rsidP="00390EB8">
      <w:pPr>
        <w:pStyle w:val="Puesto"/>
      </w:pPr>
      <w:r w:rsidRPr="00390EB8">
        <w:t>Nacional de Transparencia o, en su caso, en el sistema electrónico establecido al efecto, los</w:t>
      </w:r>
    </w:p>
    <w:p w14:paraId="16FA75CD" w14:textId="494C25FE" w:rsidR="00E03A48" w:rsidRPr="00390EB8" w:rsidRDefault="00E03A48" w:rsidP="00390EB8">
      <w:pPr>
        <w:pStyle w:val="Puesto"/>
      </w:pPr>
      <w:r w:rsidRPr="00390EB8">
        <w:t>medios de impugnación que se presenten vía telefónica, por correo electrónico y demás medios que determine el Pleno, contra las respuestas emitidas por los Sujetos Obligados a las solicitudes de acceso a la información o respecto del ejercicio de los derechos de acceso, rectificación, cancelación y oposición al tratamiento de datos personales;</w:t>
      </w:r>
    </w:p>
    <w:p w14:paraId="2F4BC979" w14:textId="30335868" w:rsidR="00E03A48" w:rsidRPr="00390EB8" w:rsidRDefault="00E03A48" w:rsidP="00390EB8">
      <w:pPr>
        <w:pStyle w:val="Puesto"/>
      </w:pPr>
      <w:r w:rsidRPr="00390EB8">
        <w:t>XIV. Sugerir al Comité de Transparencia, los procedimientos internos que aseguren la mayor eficiencia en la gestión de las solicitudes de acceso a la información y solicitudes en ejercicio de los derechos de acceso, rectificación, cancelación y oposición de datos personales, conforme a la normatividad aplicable;</w:t>
      </w:r>
    </w:p>
    <w:p w14:paraId="54751839" w14:textId="1F449396" w:rsidR="00E03A48" w:rsidRPr="00390EB8" w:rsidRDefault="00E03A48" w:rsidP="00390EB8">
      <w:pPr>
        <w:pStyle w:val="Puesto"/>
      </w:pPr>
      <w:r w:rsidRPr="00390EB8">
        <w:t xml:space="preserve">XV. </w:t>
      </w:r>
      <w:r w:rsidRPr="00390EB8">
        <w:rPr>
          <w:b/>
        </w:rPr>
        <w:t>Proponer al Comité de Transparencia, personal habilitado que sea necesario para recibir y dar trámite a las solicitudes de acceso a la información y de acceso, rectificación, cancelación y oposición de datos personales</w:t>
      </w:r>
      <w:r w:rsidRPr="00390EB8">
        <w:t>;</w:t>
      </w:r>
    </w:p>
    <w:p w14:paraId="4D01AF04" w14:textId="0F2484CC" w:rsidR="00E03A48" w:rsidRPr="00390EB8" w:rsidRDefault="00E03A48" w:rsidP="00390EB8">
      <w:pPr>
        <w:pStyle w:val="Puesto"/>
      </w:pPr>
      <w:r w:rsidRPr="00390EB8">
        <w:lastRenderedPageBreak/>
        <w:t>XVI. Informar anualmente al Pleno, sobre las actividades realizadas, en cumplimiento de las obligaciones de transparencia correspondientes al Instituto;</w:t>
      </w:r>
    </w:p>
    <w:p w14:paraId="367ABB6C" w14:textId="3B3EC0E8" w:rsidR="00E03A48" w:rsidRPr="00390EB8" w:rsidRDefault="00E03A48" w:rsidP="00390EB8">
      <w:pPr>
        <w:pStyle w:val="Puesto"/>
      </w:pPr>
      <w:r w:rsidRPr="00390EB8">
        <w:t>XVII. Elaborar la estadística correspondiente a la Unidad de Transparencia para la integración del Informe Anual de Actividades;</w:t>
      </w:r>
    </w:p>
    <w:p w14:paraId="2C521795" w14:textId="23892BF0" w:rsidR="00E03A48" w:rsidRPr="00390EB8" w:rsidRDefault="00E03A48" w:rsidP="00390EB8">
      <w:pPr>
        <w:pStyle w:val="Puesto"/>
      </w:pPr>
      <w:r w:rsidRPr="00390EB8">
        <w:t>XVIII. Procurar que en el marco de la transparencia proactiva, los medios y formatos, sean los más convenientes para su difusión;</w:t>
      </w:r>
    </w:p>
    <w:p w14:paraId="645F837F" w14:textId="77777777" w:rsidR="00E03A48" w:rsidRPr="00390EB8" w:rsidRDefault="00E03A48" w:rsidP="00390EB8">
      <w:pPr>
        <w:pStyle w:val="Puesto"/>
      </w:pPr>
      <w:r w:rsidRPr="00390EB8">
        <w:t>XIX. Elaborar y proponer al Pleno los Lineamientos para implementar el procedimiento de</w:t>
      </w:r>
    </w:p>
    <w:p w14:paraId="3F448D35" w14:textId="77777777" w:rsidR="00E03A48" w:rsidRPr="00390EB8" w:rsidRDefault="00E03A48" w:rsidP="00390EB8">
      <w:pPr>
        <w:pStyle w:val="Puesto"/>
      </w:pPr>
      <w:proofErr w:type="gramStart"/>
      <w:r w:rsidRPr="00390EB8">
        <w:t>solicitudes</w:t>
      </w:r>
      <w:proofErr w:type="gramEnd"/>
      <w:r w:rsidRPr="00390EB8">
        <w:t xml:space="preserve"> de acceso a la información que se reciban vía telefónica;</w:t>
      </w:r>
    </w:p>
    <w:p w14:paraId="02B1C9A5" w14:textId="781CB26C" w:rsidR="00E03A48" w:rsidRPr="00390EB8" w:rsidRDefault="00E03A48" w:rsidP="00390EB8">
      <w:pPr>
        <w:pStyle w:val="Puesto"/>
      </w:pPr>
      <w:r w:rsidRPr="00390EB8">
        <w:t>XX. Presidir y coordinar la ejecución del Comité de Transparencia del Instituto y administrar los documentos que éste genere;</w:t>
      </w:r>
    </w:p>
    <w:p w14:paraId="79917F3A" w14:textId="77777777" w:rsidR="00E03A48" w:rsidRPr="00390EB8" w:rsidRDefault="00E03A48" w:rsidP="00390EB8">
      <w:pPr>
        <w:pStyle w:val="Puesto"/>
      </w:pPr>
      <w:r w:rsidRPr="00390EB8">
        <w:t>XXI. Proponer la creación de centros de atención ciudadana y administrarlos, para que la</w:t>
      </w:r>
    </w:p>
    <w:p w14:paraId="5DCACE6E" w14:textId="77777777" w:rsidR="00E03A48" w:rsidRPr="00390EB8" w:rsidRDefault="00E03A48" w:rsidP="00390EB8">
      <w:pPr>
        <w:pStyle w:val="Puesto"/>
      </w:pPr>
      <w:proofErr w:type="gramStart"/>
      <w:r w:rsidRPr="00390EB8">
        <w:t>población</w:t>
      </w:r>
      <w:proofErr w:type="gramEnd"/>
      <w:r w:rsidRPr="00390EB8">
        <w:t xml:space="preserve"> presente solicitudes de información gubernamental;</w:t>
      </w:r>
    </w:p>
    <w:p w14:paraId="439AF787" w14:textId="16052B0A" w:rsidR="00133421" w:rsidRPr="00390EB8" w:rsidRDefault="00E03A48" w:rsidP="00390EB8">
      <w:pPr>
        <w:pStyle w:val="Puesto"/>
      </w:pPr>
      <w:r w:rsidRPr="00390EB8">
        <w:t>XXII. Las demás que señalen las disposiciones legales y administrativas aplicables, así como aquéllas que acuerde la o el Comisionado Presidente.</w:t>
      </w:r>
    </w:p>
    <w:p w14:paraId="2B16C911" w14:textId="77777777" w:rsidR="00133421" w:rsidRPr="00390EB8" w:rsidRDefault="00133421" w:rsidP="00390EB8">
      <w:pPr>
        <w:spacing w:line="240" w:lineRule="auto"/>
        <w:ind w:left="851" w:right="822"/>
        <w:jc w:val="center"/>
        <w:rPr>
          <w:b/>
          <w:i/>
        </w:rPr>
      </w:pPr>
    </w:p>
    <w:p w14:paraId="3D95EB72" w14:textId="77777777" w:rsidR="00E03A48" w:rsidRPr="00390EB8" w:rsidRDefault="00E03A48" w:rsidP="00390EB8">
      <w:pPr>
        <w:spacing w:line="240" w:lineRule="auto"/>
        <w:ind w:left="851" w:right="822"/>
        <w:rPr>
          <w:b/>
          <w:i/>
        </w:rPr>
      </w:pPr>
    </w:p>
    <w:p w14:paraId="6240BD7F" w14:textId="3243D49F" w:rsidR="00E71960" w:rsidRPr="00390EB8" w:rsidRDefault="00133421" w:rsidP="00390EB8">
      <w:r w:rsidRPr="00390EB8">
        <w:t xml:space="preserve">Como se logra observar, </w:t>
      </w:r>
      <w:r w:rsidR="00E71960" w:rsidRPr="00390EB8">
        <w:t xml:space="preserve">el parea que se pronuncia es la idónea para proporcionar la información solicitada, pues se encarga precisamente de </w:t>
      </w:r>
      <w:r w:rsidR="00B952CA" w:rsidRPr="00390EB8">
        <w:t>recibir, tramitar y dar respuesta a las solicitudes de acceso a la información, así como realizar los trámites internos necesarios en coordinación con las y los Servidores Públicos Habilitados, a efecto de brindar la atención de las solicitudes de acceso a la información y solicitudes en ejercicio de los derechos de acceso, rectificación, cancelación y oposición de datos personales.</w:t>
      </w:r>
    </w:p>
    <w:p w14:paraId="505479DC" w14:textId="77777777" w:rsidR="00B228A3" w:rsidRPr="00390EB8" w:rsidRDefault="00B228A3" w:rsidP="00390EB8">
      <w:pPr>
        <w:rPr>
          <w:rFonts w:eastAsia="Palatino Linotype" w:cs="Palatino Linotype"/>
          <w:bCs/>
        </w:rPr>
      </w:pPr>
    </w:p>
    <w:p w14:paraId="4D63D1C1" w14:textId="3E8E3FAF" w:rsidR="00B228A3" w:rsidRPr="00390EB8" w:rsidRDefault="00B952CA" w:rsidP="00390EB8">
      <w:pPr>
        <w:rPr>
          <w:rFonts w:eastAsia="Palatino Linotype" w:cs="Palatino Linotype"/>
          <w:noProof/>
          <w:lang w:eastAsia="es-MX"/>
        </w:rPr>
      </w:pPr>
      <w:r w:rsidRPr="00390EB8">
        <w:rPr>
          <w:rFonts w:eastAsia="Palatino Linotype" w:cs="Palatino Linotype"/>
          <w:bCs/>
        </w:rPr>
        <w:t>Ahora bien, p</w:t>
      </w:r>
      <w:r w:rsidR="00133421" w:rsidRPr="00390EB8">
        <w:rPr>
          <w:rFonts w:eastAsia="Palatino Linotype" w:cs="Palatino Linotype"/>
          <w:bCs/>
        </w:rPr>
        <w:t xml:space="preserve">or otra parte relativo a la información solicitada, conviene citar los </w:t>
      </w:r>
      <w:r w:rsidR="00133421" w:rsidRPr="00390EB8">
        <w:rPr>
          <w:rFonts w:eastAsia="Palatino Linotype" w:cs="Palatino Linotype"/>
          <w:noProof/>
          <w:lang w:eastAsia="es-MX"/>
        </w:rPr>
        <w:t>Lineamientos generales de clasificación y desclasificación de la información, así como para la elaboración de versiones públicas, pues en estos se advierte lo atinente al procedimiento de desclasificación de información, que es precisamente el requerimiento de información; por ello es pertinente citar lo siguiente:</w:t>
      </w:r>
    </w:p>
    <w:p w14:paraId="3FDD1B02" w14:textId="77777777" w:rsidR="00ED694D" w:rsidRPr="00390EB8" w:rsidRDefault="00ED694D" w:rsidP="00390EB8">
      <w:pPr>
        <w:rPr>
          <w:rFonts w:eastAsia="Palatino Linotype" w:cs="Palatino Linotype"/>
          <w:noProof/>
          <w:lang w:eastAsia="es-MX"/>
        </w:rPr>
      </w:pPr>
    </w:p>
    <w:p w14:paraId="75E4B63C" w14:textId="77777777" w:rsidR="00046C25" w:rsidRPr="00390EB8" w:rsidRDefault="00046C25" w:rsidP="00390EB8">
      <w:pPr>
        <w:pStyle w:val="Puesto"/>
        <w:jc w:val="center"/>
        <w:rPr>
          <w:rFonts w:eastAsia="Palatino Linotype"/>
          <w:b/>
          <w:noProof/>
          <w:lang w:eastAsia="es-MX"/>
        </w:rPr>
      </w:pPr>
      <w:r w:rsidRPr="00390EB8">
        <w:rPr>
          <w:rFonts w:eastAsia="Palatino Linotype"/>
          <w:b/>
          <w:noProof/>
          <w:lang w:eastAsia="es-MX"/>
        </w:rPr>
        <w:lastRenderedPageBreak/>
        <w:t>CAPÍTULO IV</w:t>
      </w:r>
    </w:p>
    <w:p w14:paraId="623016E7" w14:textId="77777777" w:rsidR="00046C25" w:rsidRPr="00390EB8" w:rsidRDefault="00046C25" w:rsidP="00390EB8">
      <w:pPr>
        <w:pStyle w:val="Puesto"/>
        <w:jc w:val="center"/>
        <w:rPr>
          <w:rFonts w:eastAsia="Palatino Linotype"/>
          <w:b/>
          <w:noProof/>
          <w:lang w:eastAsia="es-MX"/>
        </w:rPr>
      </w:pPr>
      <w:r w:rsidRPr="00390EB8">
        <w:rPr>
          <w:rFonts w:eastAsia="Palatino Linotype"/>
          <w:b/>
          <w:noProof/>
          <w:lang w:eastAsia="es-MX"/>
        </w:rPr>
        <w:t>DE LA DESCLASIFICACIÓN DE LA INFORMACIÓN</w:t>
      </w:r>
    </w:p>
    <w:p w14:paraId="69EB868A" w14:textId="77777777" w:rsidR="00046C25" w:rsidRPr="00390EB8" w:rsidRDefault="00046C25" w:rsidP="00390EB8">
      <w:pPr>
        <w:pStyle w:val="Puesto"/>
        <w:rPr>
          <w:rFonts w:eastAsia="Palatino Linotype"/>
          <w:b/>
          <w:noProof/>
          <w:lang w:eastAsia="es-MX"/>
        </w:rPr>
      </w:pPr>
      <w:r w:rsidRPr="00390EB8">
        <w:rPr>
          <w:rFonts w:eastAsia="Palatino Linotype"/>
          <w:b/>
          <w:noProof/>
          <w:lang w:eastAsia="es-MX"/>
        </w:rPr>
        <w:t>Décimo quinto. Los documentos y expedientes clasificados como reservados serán públicos cuando:</w:t>
      </w:r>
    </w:p>
    <w:p w14:paraId="0B95482F" w14:textId="54F4CA9E" w:rsidR="00046C25" w:rsidRPr="00390EB8" w:rsidRDefault="00046C25" w:rsidP="00390EB8">
      <w:pPr>
        <w:pStyle w:val="Puesto"/>
        <w:rPr>
          <w:rFonts w:eastAsia="Palatino Linotype"/>
          <w:noProof/>
          <w:lang w:eastAsia="es-MX"/>
        </w:rPr>
      </w:pPr>
      <w:r w:rsidRPr="00390EB8">
        <w:rPr>
          <w:rFonts w:eastAsia="Palatino Linotype"/>
          <w:noProof/>
          <w:lang w:eastAsia="es-MX"/>
        </w:rPr>
        <w:t>Se extingan las causas que dieron origen a su clasificación;</w:t>
      </w:r>
    </w:p>
    <w:p w14:paraId="52C649CC" w14:textId="63DDE775" w:rsidR="00046C25" w:rsidRPr="00390EB8" w:rsidRDefault="00046C25" w:rsidP="00390EB8">
      <w:pPr>
        <w:pStyle w:val="Puesto"/>
        <w:rPr>
          <w:rFonts w:eastAsia="Palatino Linotype"/>
          <w:noProof/>
          <w:lang w:eastAsia="es-MX"/>
        </w:rPr>
      </w:pPr>
      <w:r w:rsidRPr="00390EB8">
        <w:rPr>
          <w:rFonts w:eastAsia="Palatino Linotype"/>
          <w:noProof/>
          <w:lang w:eastAsia="es-MX"/>
        </w:rPr>
        <w:t>II. Expire el plazo de clasificación, salvo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salvo que a juicio de un sujeto obligado sea necesario ampliar nuevamente el periodo de reserva de la información; en cuyo caso, el Comité de Transparencia respectivo deberá hacer la solicitud correspondiente al organismo garante competente, debidamente fundada y motivada, aplicando la prueba de daño y señalando el plazo de reserva propuesto; por lo menos, con tres meses de anticipación al vencimiento del periodo;</w:t>
      </w:r>
    </w:p>
    <w:p w14:paraId="45A99DB9" w14:textId="1165ED40" w:rsidR="00046C25" w:rsidRPr="00390EB8" w:rsidRDefault="00046C25" w:rsidP="00390EB8">
      <w:pPr>
        <w:pStyle w:val="Puesto"/>
        <w:rPr>
          <w:rFonts w:eastAsia="Palatino Linotype"/>
          <w:noProof/>
          <w:lang w:eastAsia="es-MX"/>
        </w:rPr>
      </w:pPr>
      <w:r w:rsidRPr="00390EB8">
        <w:rPr>
          <w:rFonts w:eastAsia="Palatino Linotype"/>
          <w:noProof/>
          <w:lang w:eastAsia="es-MX"/>
        </w:rPr>
        <w:t>III. Exista resolución de una autoridad competente que determine que existe una causa de interés público que prevalece sobre la reserva de la información, o</w:t>
      </w:r>
    </w:p>
    <w:p w14:paraId="6874D09F" w14:textId="77777777" w:rsidR="00046C25" w:rsidRPr="00390EB8" w:rsidRDefault="00046C25" w:rsidP="00390EB8">
      <w:pPr>
        <w:pStyle w:val="Puesto"/>
        <w:rPr>
          <w:rFonts w:eastAsia="Palatino Linotype"/>
          <w:noProof/>
          <w:lang w:eastAsia="es-MX"/>
        </w:rPr>
      </w:pPr>
      <w:r w:rsidRPr="00390EB8">
        <w:rPr>
          <w:rFonts w:eastAsia="Palatino Linotype"/>
          <w:noProof/>
          <w:lang w:eastAsia="es-MX"/>
        </w:rPr>
        <w:t>IV. El Comité de Transparencia considere pertinente la desclasificación, de conformidad con lo señalado en el presente Capítulo.</w:t>
      </w:r>
    </w:p>
    <w:p w14:paraId="5B1886DB" w14:textId="77777777" w:rsidR="00046C25" w:rsidRPr="00390EB8" w:rsidRDefault="00046C25" w:rsidP="00390EB8">
      <w:pPr>
        <w:ind w:left="851" w:right="822"/>
        <w:rPr>
          <w:rFonts w:eastAsia="Palatino Linotype" w:cs="Palatino Linotype"/>
          <w:i/>
          <w:noProof/>
          <w:lang w:eastAsia="es-MX"/>
        </w:rPr>
      </w:pPr>
    </w:p>
    <w:p w14:paraId="7DAF61C7" w14:textId="64744218" w:rsidR="00046C25" w:rsidRPr="00390EB8" w:rsidRDefault="00046C25" w:rsidP="00390EB8">
      <w:pPr>
        <w:pStyle w:val="Puesto"/>
        <w:rPr>
          <w:rFonts w:eastAsia="Palatino Linotype"/>
          <w:b/>
          <w:noProof/>
          <w:lang w:eastAsia="es-MX"/>
        </w:rPr>
      </w:pPr>
      <w:r w:rsidRPr="00390EB8">
        <w:rPr>
          <w:rFonts w:eastAsia="Palatino Linotype"/>
          <w:b/>
          <w:noProof/>
          <w:lang w:eastAsia="es-MX"/>
        </w:rPr>
        <w:t xml:space="preserve"> Décimo sexto. La desclasificación puede llevarse a cabo por:</w:t>
      </w:r>
    </w:p>
    <w:p w14:paraId="5C0AD9D1" w14:textId="135C9686" w:rsidR="00046C25" w:rsidRPr="00390EB8" w:rsidRDefault="00046C25" w:rsidP="00390EB8">
      <w:pPr>
        <w:pStyle w:val="Puesto"/>
        <w:rPr>
          <w:rFonts w:eastAsia="Palatino Linotype"/>
          <w:noProof/>
          <w:lang w:eastAsia="es-MX"/>
        </w:rPr>
      </w:pPr>
      <w:r w:rsidRPr="00390EB8">
        <w:rPr>
          <w:rFonts w:eastAsia="Palatino Linotype"/>
          <w:noProof/>
          <w:lang w:eastAsia="es-MX"/>
        </w:rPr>
        <w:t>El titular del área, cuando haya transcurrido el periodo de reserva, o bien, cuando no habiendo transcurrido éste, dejen de subsistir las causas que dieron origen a la clasificación;</w:t>
      </w:r>
    </w:p>
    <w:p w14:paraId="35CFD6B2" w14:textId="2AD9C2F7" w:rsidR="00046C25" w:rsidRPr="00390EB8" w:rsidRDefault="00046C25" w:rsidP="00390EB8">
      <w:pPr>
        <w:pStyle w:val="Puesto"/>
        <w:rPr>
          <w:rFonts w:eastAsia="Palatino Linotype"/>
          <w:noProof/>
          <w:lang w:eastAsia="es-MX"/>
        </w:rPr>
      </w:pPr>
      <w:r w:rsidRPr="00390EB8">
        <w:rPr>
          <w:rFonts w:eastAsia="Palatino Linotype"/>
          <w:noProof/>
          <w:lang w:eastAsia="es-MX"/>
        </w:rPr>
        <w:t>II. El Comité de Transparencia, cuando determine que no se actualizan las causales de reserva o confidencialidad invocadas por el área competente; o</w:t>
      </w:r>
    </w:p>
    <w:p w14:paraId="016C3DB0" w14:textId="77777777" w:rsidR="00046C25" w:rsidRPr="00390EB8" w:rsidRDefault="00046C25" w:rsidP="00390EB8">
      <w:pPr>
        <w:pStyle w:val="Puesto"/>
        <w:rPr>
          <w:rFonts w:eastAsia="Palatino Linotype"/>
          <w:noProof/>
          <w:lang w:eastAsia="es-MX"/>
        </w:rPr>
      </w:pPr>
      <w:r w:rsidRPr="00390EB8">
        <w:rPr>
          <w:rFonts w:eastAsia="Palatino Linotype"/>
          <w:noProof/>
          <w:lang w:eastAsia="es-MX"/>
        </w:rPr>
        <w:t>III. Por los organismos garantes, cuando éstos así lo determinen mediante la resolución de un medio de impugnación.</w:t>
      </w:r>
    </w:p>
    <w:p w14:paraId="634B4991" w14:textId="77777777" w:rsidR="00046C25" w:rsidRPr="00390EB8" w:rsidRDefault="00046C25" w:rsidP="00390EB8">
      <w:pPr>
        <w:pStyle w:val="Puesto"/>
        <w:rPr>
          <w:rFonts w:eastAsia="Palatino Linotype"/>
          <w:noProof/>
          <w:lang w:eastAsia="es-MX"/>
        </w:rPr>
      </w:pPr>
      <w:r w:rsidRPr="00390EB8">
        <w:rPr>
          <w:rFonts w:eastAsia="Palatino Linotype"/>
          <w:noProof/>
          <w:lang w:eastAsia="es-MX"/>
        </w:rPr>
        <w:t>La clasificación y desclasificación de la información que generen o custodien las instancias de inteligencia e investigación a que se refiere el penúltimo párrafo del artículo 43 de la Ley General, deberá apegarse a los términos previstos en la misma y a los protocolos de seguridad, y resguardo establecidos para ello.</w:t>
      </w:r>
    </w:p>
    <w:p w14:paraId="1E83A245" w14:textId="77777777" w:rsidR="00046C25" w:rsidRPr="00390EB8" w:rsidRDefault="00046C25" w:rsidP="00390EB8">
      <w:pPr>
        <w:ind w:left="851" w:right="822"/>
        <w:rPr>
          <w:rFonts w:eastAsia="Palatino Linotype" w:cs="Palatino Linotype"/>
          <w:i/>
          <w:noProof/>
          <w:lang w:eastAsia="es-MX"/>
        </w:rPr>
      </w:pPr>
    </w:p>
    <w:p w14:paraId="5F3F5547" w14:textId="0CF43B1E" w:rsidR="00046C25" w:rsidRPr="00390EB8" w:rsidRDefault="00046C25" w:rsidP="00390EB8">
      <w:pPr>
        <w:pStyle w:val="Puesto"/>
        <w:rPr>
          <w:rFonts w:eastAsia="Palatino Linotype"/>
          <w:noProof/>
          <w:lang w:eastAsia="es-MX"/>
        </w:rPr>
      </w:pPr>
      <w:r w:rsidRPr="00390EB8">
        <w:rPr>
          <w:rFonts w:eastAsia="Palatino Linotype"/>
          <w:b/>
          <w:noProof/>
          <w:lang w:eastAsia="es-MX"/>
        </w:rPr>
        <w:t>Décimo sexto Bis.</w:t>
      </w:r>
      <w:r w:rsidRPr="00390EB8">
        <w:rPr>
          <w:rFonts w:eastAsia="Palatino Linotype"/>
          <w:noProof/>
          <w:lang w:eastAsia="es-MX"/>
        </w:rPr>
        <w:t xml:space="preserve"> En la aplicación de la prueba de interés público prevista en el artículo 149 de la Ley General, para determinar la desclasificación de información protegida </w:t>
      </w:r>
      <w:r w:rsidRPr="00390EB8">
        <w:rPr>
          <w:rFonts w:eastAsia="Palatino Linotype"/>
          <w:noProof/>
          <w:lang w:eastAsia="es-MX"/>
        </w:rPr>
        <w:lastRenderedPageBreak/>
        <w:t>producto de una colisión de derechos, los organismos garantes atenderán, con base en elementos de idoneidad, necesidad y proporcionalidad, Io siguiente:</w:t>
      </w:r>
    </w:p>
    <w:p w14:paraId="108CB1DD" w14:textId="77777777" w:rsidR="00046C25" w:rsidRPr="00390EB8" w:rsidRDefault="00046C25" w:rsidP="00390EB8">
      <w:pPr>
        <w:ind w:left="851" w:right="822"/>
        <w:rPr>
          <w:rFonts w:eastAsia="Palatino Linotype" w:cs="Palatino Linotype"/>
          <w:i/>
          <w:noProof/>
          <w:lang w:eastAsia="es-MX"/>
        </w:rPr>
      </w:pPr>
    </w:p>
    <w:p w14:paraId="1BB77A95" w14:textId="4E5DF17B" w:rsidR="00046C25" w:rsidRPr="00390EB8" w:rsidRDefault="00046C25" w:rsidP="00390EB8">
      <w:pPr>
        <w:pStyle w:val="Puesto"/>
        <w:rPr>
          <w:rFonts w:eastAsia="Palatino Linotype"/>
          <w:noProof/>
          <w:lang w:eastAsia="es-MX"/>
        </w:rPr>
      </w:pPr>
      <w:r w:rsidRPr="00390EB8">
        <w:rPr>
          <w:rFonts w:eastAsia="Palatino Linotype"/>
          <w:noProof/>
          <w:lang w:eastAsia="es-MX"/>
        </w:rPr>
        <w:t>Deberán realizar un análisis de las circunstancias fácticas del caso;</w:t>
      </w:r>
    </w:p>
    <w:p w14:paraId="6B21BD49" w14:textId="458D8A3C" w:rsidR="00046C25" w:rsidRPr="00390EB8" w:rsidRDefault="00046C25" w:rsidP="00390EB8">
      <w:pPr>
        <w:pStyle w:val="Puesto"/>
        <w:rPr>
          <w:rFonts w:eastAsia="Palatino Linotype"/>
          <w:noProof/>
          <w:lang w:eastAsia="es-MX"/>
        </w:rPr>
      </w:pPr>
      <w:r w:rsidRPr="00390EB8">
        <w:rPr>
          <w:rFonts w:eastAsia="Palatino Linotype"/>
          <w:noProof/>
          <w:lang w:eastAsia="es-MX"/>
        </w:rPr>
        <w:t>II. Deberán evitar, siempre que sea posible, la protección absoluta de un derecho y el completo sacrificio del otro,</w:t>
      </w:r>
      <w:r w:rsidR="00E71960" w:rsidRPr="00390EB8">
        <w:rPr>
          <w:rFonts w:eastAsia="Palatino Linotype"/>
          <w:noProof/>
          <w:lang w:eastAsia="es-MX"/>
        </w:rPr>
        <w:t xml:space="preserve"> </w:t>
      </w:r>
      <w:r w:rsidRPr="00390EB8">
        <w:rPr>
          <w:rFonts w:eastAsia="Palatino Linotype"/>
          <w:noProof/>
          <w:lang w:eastAsia="es-MX"/>
        </w:rPr>
        <w:t>buscando una decisión que tome en cuenta un punto de justo equilibrio.</w:t>
      </w:r>
    </w:p>
    <w:p w14:paraId="61FCF750" w14:textId="77777777" w:rsidR="00E71960" w:rsidRPr="00390EB8" w:rsidRDefault="00E71960" w:rsidP="00390EB8">
      <w:pPr>
        <w:pStyle w:val="Puesto"/>
        <w:rPr>
          <w:rFonts w:eastAsia="Palatino Linotype"/>
          <w:noProof/>
          <w:lang w:eastAsia="es-MX"/>
        </w:rPr>
      </w:pPr>
    </w:p>
    <w:p w14:paraId="34A9D9F6" w14:textId="679115C1" w:rsidR="00B228A3" w:rsidRPr="00390EB8" w:rsidRDefault="00046C25" w:rsidP="00390EB8">
      <w:pPr>
        <w:pStyle w:val="Puesto"/>
        <w:rPr>
          <w:rFonts w:eastAsia="Palatino Linotype"/>
          <w:noProof/>
          <w:lang w:eastAsia="es-MX"/>
        </w:rPr>
      </w:pPr>
      <w:r w:rsidRPr="00390EB8">
        <w:rPr>
          <w:rFonts w:eastAsia="Palatino Linotype"/>
          <w:noProof/>
          <w:lang w:eastAsia="es-MX"/>
        </w:rPr>
        <w:t>Una vez realizada la ponderación de los intereses en conflicto, determinarán la existencia de una causa de interés</w:t>
      </w:r>
      <w:r w:rsidR="00E71960" w:rsidRPr="00390EB8">
        <w:rPr>
          <w:rFonts w:eastAsia="Palatino Linotype"/>
          <w:noProof/>
          <w:lang w:eastAsia="es-MX"/>
        </w:rPr>
        <w:t xml:space="preserve"> </w:t>
      </w:r>
      <w:r w:rsidRPr="00390EB8">
        <w:rPr>
          <w:rFonts w:eastAsia="Palatino Linotype"/>
          <w:noProof/>
          <w:lang w:eastAsia="es-MX"/>
        </w:rPr>
        <w:t>público que prevalezca sobre la protección de la información, y acreditarán que el beneficio de su divulgación es mayor que</w:t>
      </w:r>
      <w:r w:rsidR="00E71960" w:rsidRPr="00390EB8">
        <w:rPr>
          <w:rFonts w:eastAsia="Palatino Linotype"/>
          <w:noProof/>
          <w:lang w:eastAsia="es-MX"/>
        </w:rPr>
        <w:t xml:space="preserve"> </w:t>
      </w:r>
      <w:r w:rsidRPr="00390EB8">
        <w:rPr>
          <w:rFonts w:eastAsia="Palatino Linotype"/>
          <w:noProof/>
          <w:lang w:eastAsia="es-MX"/>
        </w:rPr>
        <w:t>su clasificación</w:t>
      </w:r>
    </w:p>
    <w:p w14:paraId="2061F711" w14:textId="77777777" w:rsidR="00ED694D" w:rsidRPr="00390EB8" w:rsidRDefault="00ED694D" w:rsidP="00390EB8">
      <w:pPr>
        <w:rPr>
          <w:rFonts w:eastAsia="Palatino Linotype"/>
          <w:lang w:eastAsia="es-MX"/>
        </w:rPr>
      </w:pPr>
    </w:p>
    <w:p w14:paraId="731B87C8" w14:textId="16DF1C7D" w:rsidR="00B228A3" w:rsidRPr="00390EB8" w:rsidRDefault="001C552B" w:rsidP="00390EB8">
      <w:pPr>
        <w:rPr>
          <w:rFonts w:eastAsia="Palatino Linotype" w:cs="Palatino Linotype"/>
        </w:rPr>
      </w:pPr>
      <w:r w:rsidRPr="00390EB8">
        <w:rPr>
          <w:rFonts w:eastAsia="Palatino Linotype" w:cs="Palatino Linotype"/>
        </w:rPr>
        <w:t>De lo anterior se advierte que relativo a la desclasificación de los documentos, esta se podrá realizar por el titular del área cuando haya transcurrido el periodo de reserva, o bien, cuando no habiendo transcurrido éste, dejen de subsistir las causas que dieron origen a la clasificación, así como por el Comité de Transparencia cuando determine que no se actualizan las causales de reserva o confidencialidad y por los organismos garantes, cuando éstos así lo determinen mediante la resolución de un medio de impugnación.</w:t>
      </w:r>
    </w:p>
    <w:p w14:paraId="0854A1C8" w14:textId="77777777" w:rsidR="001C552B" w:rsidRPr="00390EB8" w:rsidRDefault="001C552B" w:rsidP="00390EB8">
      <w:pPr>
        <w:rPr>
          <w:rFonts w:eastAsia="Palatino Linotype" w:cs="Palatino Linotype"/>
        </w:rPr>
      </w:pPr>
    </w:p>
    <w:p w14:paraId="6056075A" w14:textId="09FCDD8E" w:rsidR="00B228A3" w:rsidRPr="00390EB8" w:rsidRDefault="001C552B" w:rsidP="00390EB8">
      <w:pPr>
        <w:rPr>
          <w:rFonts w:eastAsia="Palatino Linotype" w:cs="Palatino Linotype"/>
          <w:b/>
          <w:bCs/>
        </w:rPr>
      </w:pPr>
      <w:r w:rsidRPr="00390EB8">
        <w:rPr>
          <w:rFonts w:eastAsia="Palatino Linotype" w:cs="Palatino Linotype"/>
        </w:rPr>
        <w:t xml:space="preserve">Asentado y definido lo relativo a la solicitud de información que fue </w:t>
      </w:r>
      <w:r w:rsidR="00715655" w:rsidRPr="00390EB8">
        <w:rPr>
          <w:rFonts w:eastAsia="Palatino Linotype" w:cs="Palatino Linotype"/>
        </w:rPr>
        <w:t>los documentos donde conste las actuaciones que se realizaron, a fin de desclasificar la información como reservada, debe decirse que el</w:t>
      </w:r>
      <w:r w:rsidR="00B228A3" w:rsidRPr="00390EB8">
        <w:rPr>
          <w:rFonts w:eastAsia="Palatino Linotype" w:cs="Palatino Linotype"/>
        </w:rPr>
        <w:t xml:space="preserve"> </w:t>
      </w:r>
      <w:r w:rsidR="00B228A3" w:rsidRPr="00390EB8">
        <w:rPr>
          <w:rFonts w:eastAsia="Palatino Linotype" w:cs="Palatino Linotype"/>
          <w:bCs/>
        </w:rPr>
        <w:t xml:space="preserve">Titular de la Unidad </w:t>
      </w:r>
      <w:r w:rsidR="00715655" w:rsidRPr="00390EB8">
        <w:rPr>
          <w:rFonts w:eastAsia="Palatino Linotype" w:cs="Palatino Linotype"/>
          <w:bCs/>
        </w:rPr>
        <w:t>de Transparencia</w:t>
      </w:r>
      <w:r w:rsidR="00B228A3" w:rsidRPr="00390EB8">
        <w:rPr>
          <w:rFonts w:eastAsia="Palatino Linotype" w:cs="Palatino Linotype"/>
          <w:bCs/>
        </w:rPr>
        <w:t xml:space="preserve"> informó que </w:t>
      </w:r>
      <w:r w:rsidR="00B228A3" w:rsidRPr="00390EB8">
        <w:rPr>
          <w:rFonts w:eastAsia="Palatino Linotype" w:cs="Palatino Linotype"/>
          <w:b/>
          <w:bCs/>
        </w:rPr>
        <w:t xml:space="preserve">después de haber realizado una búsqueda exhaustiva en los archivos de la Unidad, no se encontró evidencia alguna de </w:t>
      </w:r>
      <w:r w:rsidR="00715655" w:rsidRPr="00390EB8">
        <w:rPr>
          <w:rFonts w:eastAsia="Palatino Linotype" w:cs="Palatino Linotype"/>
          <w:b/>
          <w:bCs/>
        </w:rPr>
        <w:t>la información solicitada, aunque si cuenta con atribuciones, para en su caso poseer la información.</w:t>
      </w:r>
    </w:p>
    <w:p w14:paraId="6A559273" w14:textId="77777777" w:rsidR="00715655" w:rsidRPr="00390EB8" w:rsidRDefault="00715655" w:rsidP="00390EB8">
      <w:pPr>
        <w:rPr>
          <w:rFonts w:eastAsia="Palatino Linotype" w:cs="Palatino Linotype"/>
          <w:b/>
          <w:bCs/>
        </w:rPr>
      </w:pPr>
    </w:p>
    <w:p w14:paraId="3923D705" w14:textId="47D33CAE" w:rsidR="00E05430" w:rsidRPr="00390EB8" w:rsidRDefault="00E05430" w:rsidP="00390EB8">
      <w:pPr>
        <w:rPr>
          <w:rFonts w:eastAsia="Calibri" w:cs="Arial"/>
          <w:iCs/>
        </w:rPr>
      </w:pPr>
      <w:r w:rsidRPr="00390EB8">
        <w:rPr>
          <w:rFonts w:eastAsia="Calibri" w:cs="Arial"/>
          <w:iCs/>
        </w:rPr>
        <w:lastRenderedPageBreak/>
        <w:t xml:space="preserve">No pasa desapercibido que como correctamente lo pondera la Unidad e Transparencia, </w:t>
      </w:r>
      <w:r w:rsidRPr="00390EB8">
        <w:rPr>
          <w:rFonts w:eastAsia="Calibri" w:cs="Arial"/>
          <w:b/>
          <w:iCs/>
        </w:rPr>
        <w:t>LA PARTE RECURRENTE</w:t>
      </w:r>
      <w:r w:rsidRPr="00390EB8">
        <w:rPr>
          <w:rFonts w:eastAsia="Calibri" w:cs="Arial"/>
          <w:iCs/>
        </w:rPr>
        <w:t xml:space="preserve">, no especificó la temporalidad de búsqueda de la información, por ello correctamente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w:t>
      </w:r>
      <w:r w:rsidRPr="00390EB8">
        <w:rPr>
          <w:rFonts w:cs="Tahoma"/>
          <w:b/>
          <w:bCs/>
        </w:rPr>
        <w:t>seis de septiembre de dos mil veintitrés al seis de septiembre de dos mil veinticuatro</w:t>
      </w:r>
      <w:r w:rsidRPr="00390EB8">
        <w:rPr>
          <w:rFonts w:eastAsia="Calibri" w:cs="Arial"/>
          <w:iCs/>
        </w:rPr>
        <w:t xml:space="preserve">. </w:t>
      </w:r>
    </w:p>
    <w:p w14:paraId="2EFCBC4D" w14:textId="77777777" w:rsidR="00E05430" w:rsidRPr="00390EB8" w:rsidRDefault="00E05430" w:rsidP="00390EB8">
      <w:pPr>
        <w:rPr>
          <w:rFonts w:eastAsia="Calibri" w:cs="Arial"/>
          <w:iCs/>
        </w:rPr>
      </w:pPr>
    </w:p>
    <w:p w14:paraId="30D09583" w14:textId="77777777" w:rsidR="00E05430" w:rsidRPr="00390EB8" w:rsidRDefault="00E05430" w:rsidP="00390EB8">
      <w:pPr>
        <w:rPr>
          <w:rFonts w:eastAsia="Calibri" w:cs="Arial"/>
          <w:iCs/>
        </w:rPr>
      </w:pPr>
      <w:r w:rsidRPr="00390EB8">
        <w:rPr>
          <w:rFonts w:eastAsia="Calibri" w:cs="Arial"/>
          <w:iCs/>
        </w:rPr>
        <w:t xml:space="preserve">Es aplicable el Criterio 03-19, emitido por el Instituto Nacional de Transparencia, Acceso a la Información y Protección de Datos Personales, que dice: </w:t>
      </w:r>
    </w:p>
    <w:p w14:paraId="4D049DA1" w14:textId="77777777" w:rsidR="00E05430" w:rsidRPr="00390EB8" w:rsidRDefault="00E05430" w:rsidP="00390EB8">
      <w:pPr>
        <w:rPr>
          <w:rFonts w:eastAsia="Calibri" w:cs="Arial"/>
          <w:iCs/>
        </w:rPr>
      </w:pPr>
    </w:p>
    <w:p w14:paraId="451FF790" w14:textId="77777777" w:rsidR="00E05430" w:rsidRPr="00390EB8" w:rsidRDefault="00E05430" w:rsidP="00390EB8">
      <w:pPr>
        <w:pStyle w:val="Puesto"/>
        <w:rPr>
          <w:rFonts w:eastAsia="Calibri"/>
        </w:rPr>
      </w:pPr>
      <w:r w:rsidRPr="00390EB8">
        <w:rPr>
          <w:rFonts w:eastAsia="Calibri"/>
        </w:rPr>
        <w:t>“</w:t>
      </w:r>
      <w:r w:rsidRPr="00390EB8">
        <w:rPr>
          <w:rFonts w:eastAsia="Calibri"/>
          <w:b/>
          <w:bCs/>
        </w:rPr>
        <w:t>Periodo de búsqueda de la información.</w:t>
      </w:r>
      <w:r w:rsidRPr="00390EB8">
        <w:rPr>
          <w:rFonts w:eastAsia="Calibr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DEC0E33" w14:textId="77777777" w:rsidR="00B228A3" w:rsidRPr="00390EB8" w:rsidRDefault="00B228A3" w:rsidP="00390EB8">
      <w:pPr>
        <w:ind w:right="-7"/>
      </w:pPr>
    </w:p>
    <w:p w14:paraId="33E966F6" w14:textId="046C3D9F" w:rsidR="00B228A3" w:rsidRPr="00390EB8" w:rsidRDefault="00B228A3" w:rsidP="00390EB8">
      <w:pPr>
        <w:ind w:right="-7"/>
      </w:pPr>
      <w:r w:rsidRPr="00390EB8">
        <w:t>Por lo que, esta al haber señalado que no se había encontrado evidencia alguna de que</w:t>
      </w:r>
      <w:r w:rsidR="00E05430" w:rsidRPr="00390EB8">
        <w:t xml:space="preserve"> cuente con la información solicitada</w:t>
      </w:r>
      <w:r w:rsidRPr="00390EB8">
        <w:t>, se colige que se está en presencia de un hecho negativo, el cual refiere que:</w:t>
      </w:r>
    </w:p>
    <w:p w14:paraId="1C1FBA32" w14:textId="77777777" w:rsidR="00B228A3" w:rsidRPr="00390EB8" w:rsidRDefault="00B228A3" w:rsidP="00390EB8">
      <w:pPr>
        <w:ind w:right="-7"/>
      </w:pPr>
    </w:p>
    <w:p w14:paraId="0836C6F1" w14:textId="77777777" w:rsidR="00B228A3" w:rsidRPr="00390EB8" w:rsidRDefault="00B228A3" w:rsidP="00390EB8">
      <w:pPr>
        <w:pStyle w:val="Puesto"/>
        <w:rPr>
          <w:b/>
        </w:rPr>
      </w:pPr>
      <w:r w:rsidRPr="00390EB8">
        <w:rPr>
          <w:b/>
        </w:rPr>
        <w:t xml:space="preserve">HECHOS NEGATIVOS, NO SON SUSCEPTIBLES DE DEMOSTRACIÓN.  </w:t>
      </w:r>
      <w:r w:rsidRPr="00390EB8">
        <w:t xml:space="preserve">Tratándose de un hecho negativo, el Juez no tiene </w:t>
      </w:r>
      <w:proofErr w:type="spellStart"/>
      <w:r w:rsidRPr="00390EB8">
        <w:t>por que</w:t>
      </w:r>
      <w:proofErr w:type="spellEnd"/>
      <w:r w:rsidRPr="00390EB8">
        <w:t xml:space="preserve"> invocar prueba alguna de la que se desprenda, ya que es bien sabido que esta clase de hechos no son susceptibles de demostración.</w:t>
      </w:r>
    </w:p>
    <w:p w14:paraId="387AB68F" w14:textId="77777777" w:rsidR="00B228A3" w:rsidRPr="00390EB8" w:rsidRDefault="00B228A3" w:rsidP="00390EB8">
      <w:pPr>
        <w:ind w:right="-7"/>
      </w:pPr>
    </w:p>
    <w:p w14:paraId="56BA6FD4" w14:textId="77777777" w:rsidR="00B228A3" w:rsidRPr="00390EB8" w:rsidRDefault="00B228A3" w:rsidP="00390EB8">
      <w:pPr>
        <w:ind w:right="-7"/>
        <w:rPr>
          <w:b/>
          <w:u w:val="single"/>
        </w:rPr>
      </w:pPr>
      <w:r w:rsidRPr="00390EB8">
        <w:rPr>
          <w:b/>
          <w:u w:val="single"/>
        </w:rPr>
        <w:lastRenderedPageBreak/>
        <w:t>Lo anterior implica que resulta lógica y materialmente imposible la entrega de información que no obra en los archivos del Sujeto Obligado, situación por la que, este requerimiento se tiene por atendido.</w:t>
      </w:r>
    </w:p>
    <w:p w14:paraId="69500AC2" w14:textId="77777777" w:rsidR="00ED694D" w:rsidRPr="00390EB8" w:rsidRDefault="00ED694D" w:rsidP="00390EB8">
      <w:pPr>
        <w:ind w:right="-7"/>
        <w:rPr>
          <w:b/>
          <w:u w:val="single"/>
        </w:rPr>
      </w:pPr>
    </w:p>
    <w:p w14:paraId="7770092A" w14:textId="0360F669" w:rsidR="00694CE9" w:rsidRPr="00390EB8" w:rsidRDefault="006B162C" w:rsidP="00390EB8">
      <w:pPr>
        <w:pStyle w:val="Ttulo3"/>
      </w:pPr>
      <w:bookmarkStart w:id="29" w:name="_Toc181822326"/>
      <w:r w:rsidRPr="00390EB8">
        <w:t>d</w:t>
      </w:r>
      <w:r w:rsidR="00694CE9" w:rsidRPr="00390EB8">
        <w:t>) Conclusión</w:t>
      </w:r>
      <w:bookmarkEnd w:id="29"/>
    </w:p>
    <w:p w14:paraId="05F1422D" w14:textId="088BF914" w:rsidR="00B228A3" w:rsidRPr="00390EB8" w:rsidRDefault="00B228A3" w:rsidP="00390EB8">
      <w:pPr>
        <w:ind w:right="49"/>
        <w:rPr>
          <w:rFonts w:eastAsia="Palatino Linotype" w:cs="Palatino Linotype"/>
        </w:rPr>
      </w:pPr>
      <w:r w:rsidRPr="00390EB8">
        <w:rPr>
          <w:rFonts w:eastAsia="Palatino Linotype" w:cs="Palatino Linotype"/>
        </w:rPr>
        <w:t xml:space="preserve">Es así como, en mérito de lo expuesto en líneas anteriores, resultan infundadas las razones o motivos de inconformidad hechos valer por la parte </w:t>
      </w:r>
      <w:r w:rsidRPr="00390EB8">
        <w:rPr>
          <w:rFonts w:eastAsia="Palatino Linotype" w:cs="Palatino Linotype"/>
          <w:b/>
        </w:rPr>
        <w:t>RECURRENTE</w:t>
      </w:r>
      <w:r w:rsidRPr="00390EB8">
        <w:rPr>
          <w:rFonts w:eastAsia="Palatino Linotype" w:cs="Palatino Linotype"/>
        </w:rPr>
        <w:t xml:space="preserve"> dentro del recurso de revisión </w:t>
      </w:r>
      <w:r w:rsidR="00694CE9" w:rsidRPr="00390EB8">
        <w:rPr>
          <w:rFonts w:eastAsia="Palatino Linotype" w:cs="Palatino Linotype"/>
          <w:b/>
        </w:rPr>
        <w:t>06337</w:t>
      </w:r>
      <w:r w:rsidRPr="00390EB8">
        <w:rPr>
          <w:rFonts w:eastAsia="Palatino Linotype" w:cs="Palatino Linotype"/>
          <w:b/>
        </w:rPr>
        <w:t>/INFOEM/IP/RR/2024</w:t>
      </w:r>
      <w:r w:rsidRPr="00390EB8">
        <w:rPr>
          <w:rFonts w:eastAsia="Palatino Linotype" w:cs="Palatino Linotype"/>
        </w:rPr>
        <w:t xml:space="preserve">; por ello, y con fundamento en la fracción IV del numeral 186 de la Ley de Transparencia y Acceso a la Información Pública del Estado de México y Municipios, por lo que se </w:t>
      </w:r>
      <w:r w:rsidRPr="00390EB8">
        <w:rPr>
          <w:rFonts w:eastAsia="Palatino Linotype" w:cs="Palatino Linotype"/>
          <w:b/>
        </w:rPr>
        <w:t xml:space="preserve">CONFIRMA </w:t>
      </w:r>
      <w:r w:rsidRPr="00390EB8">
        <w:rPr>
          <w:rFonts w:eastAsia="Palatino Linotype" w:cs="Palatino Linotype"/>
        </w:rPr>
        <w:t xml:space="preserve">la respuesta del </w:t>
      </w:r>
      <w:r w:rsidRPr="00390EB8">
        <w:rPr>
          <w:rFonts w:eastAsia="Palatino Linotype" w:cs="Palatino Linotype"/>
          <w:b/>
        </w:rPr>
        <w:t xml:space="preserve">SUJETO OBLIGADO </w:t>
      </w:r>
      <w:r w:rsidRPr="00390EB8">
        <w:rPr>
          <w:rFonts w:eastAsia="Palatino Linotype" w:cs="Palatino Linotype"/>
        </w:rPr>
        <w:t xml:space="preserve">a la solicitud de información </w:t>
      </w:r>
      <w:r w:rsidR="00694CE9" w:rsidRPr="00390EB8">
        <w:rPr>
          <w:rFonts w:cs="Tahoma"/>
          <w:b/>
          <w:bCs/>
        </w:rPr>
        <w:t>00947/INFOEM/IP/2024</w:t>
      </w:r>
      <w:r w:rsidRPr="00390EB8">
        <w:rPr>
          <w:rFonts w:eastAsia="Palatino Linotype" w:cs="Palatino Linotype"/>
          <w:b/>
        </w:rPr>
        <w:t>.</w:t>
      </w:r>
      <w:r w:rsidRPr="00390EB8">
        <w:rPr>
          <w:rFonts w:eastAsia="Palatino Linotype" w:cs="Palatino Linotype"/>
        </w:rPr>
        <w:t xml:space="preserve">  </w:t>
      </w:r>
    </w:p>
    <w:p w14:paraId="13847711" w14:textId="77777777" w:rsidR="00B228A3" w:rsidRPr="00390EB8" w:rsidRDefault="00B228A3" w:rsidP="00390EB8">
      <w:pPr>
        <w:ind w:right="49"/>
        <w:rPr>
          <w:rFonts w:eastAsia="Palatino Linotype" w:cs="Palatino Linotype"/>
        </w:rPr>
      </w:pPr>
      <w:r w:rsidRPr="00390EB8">
        <w:rPr>
          <w:rFonts w:eastAsia="Palatino Linotype" w:cs="Palatino Linotype"/>
          <w:b/>
        </w:rPr>
        <w:t xml:space="preserve"> </w:t>
      </w:r>
    </w:p>
    <w:p w14:paraId="5BD87BED" w14:textId="77777777" w:rsidR="00B228A3" w:rsidRPr="00390EB8" w:rsidRDefault="00B228A3" w:rsidP="00390EB8">
      <w:pPr>
        <w:ind w:right="49"/>
        <w:rPr>
          <w:rFonts w:eastAsia="Palatino Linotype" w:cs="Palatino Linotype"/>
        </w:rPr>
      </w:pPr>
      <w:r w:rsidRPr="00390EB8">
        <w:rPr>
          <w:rFonts w:eastAsia="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22F398" w14:textId="77777777" w:rsidR="00390EB8" w:rsidRPr="00390EB8" w:rsidRDefault="00390EB8" w:rsidP="00390EB8">
      <w:pPr>
        <w:ind w:right="49"/>
        <w:rPr>
          <w:rFonts w:eastAsia="Palatino Linotype" w:cs="Palatino Linotype"/>
        </w:rPr>
      </w:pPr>
    </w:p>
    <w:p w14:paraId="1CE7C824" w14:textId="77777777" w:rsidR="00390EB8" w:rsidRPr="00390EB8" w:rsidRDefault="00390EB8" w:rsidP="00390EB8">
      <w:pPr>
        <w:ind w:right="49"/>
        <w:rPr>
          <w:rFonts w:eastAsia="Palatino Linotype" w:cs="Palatino Linotype"/>
        </w:rPr>
      </w:pPr>
    </w:p>
    <w:p w14:paraId="0F600585" w14:textId="77777777" w:rsidR="00390EB8" w:rsidRPr="00390EB8" w:rsidRDefault="00390EB8" w:rsidP="00390EB8">
      <w:pPr>
        <w:ind w:right="49"/>
        <w:rPr>
          <w:rFonts w:eastAsia="Palatino Linotype" w:cs="Palatino Linotype"/>
        </w:rPr>
      </w:pPr>
    </w:p>
    <w:p w14:paraId="5CB91C6B" w14:textId="77777777" w:rsidR="00390EB8" w:rsidRPr="00390EB8" w:rsidRDefault="00390EB8" w:rsidP="00390EB8">
      <w:pPr>
        <w:ind w:right="49"/>
        <w:rPr>
          <w:rFonts w:eastAsia="Palatino Linotype" w:cs="Palatino Linotype"/>
        </w:rPr>
      </w:pPr>
    </w:p>
    <w:p w14:paraId="03ECA22C" w14:textId="77777777" w:rsidR="00390EB8" w:rsidRPr="00390EB8" w:rsidRDefault="00390EB8" w:rsidP="00390EB8">
      <w:pPr>
        <w:ind w:right="49"/>
        <w:rPr>
          <w:rFonts w:eastAsia="Palatino Linotype" w:cs="Palatino Linotype"/>
        </w:rPr>
      </w:pPr>
    </w:p>
    <w:p w14:paraId="0C8CB84A" w14:textId="77777777" w:rsidR="00694CE9" w:rsidRPr="00390EB8" w:rsidRDefault="00694CE9" w:rsidP="00390EB8">
      <w:pPr>
        <w:pStyle w:val="Ttulo1"/>
      </w:pPr>
      <w:bookmarkStart w:id="30" w:name="_Toc181822327"/>
      <w:r w:rsidRPr="00390EB8">
        <w:lastRenderedPageBreak/>
        <w:t>RESUELVE</w:t>
      </w:r>
      <w:bookmarkEnd w:id="30"/>
    </w:p>
    <w:p w14:paraId="0D869D0B" w14:textId="77777777" w:rsidR="00694CE9" w:rsidRPr="00390EB8" w:rsidRDefault="00694CE9" w:rsidP="00390EB8">
      <w:pPr>
        <w:ind w:right="113"/>
        <w:rPr>
          <w:rFonts w:cs="Arial"/>
          <w:b/>
          <w:szCs w:val="22"/>
        </w:rPr>
      </w:pPr>
    </w:p>
    <w:p w14:paraId="00435E48" w14:textId="54B638D9" w:rsidR="00694CE9" w:rsidRPr="00390EB8" w:rsidRDefault="00694CE9" w:rsidP="00390EB8">
      <w:pPr>
        <w:widowControl w:val="0"/>
        <w:rPr>
          <w:rFonts w:eastAsia="Calibri" w:cs="Tahoma"/>
          <w:bCs/>
          <w:szCs w:val="22"/>
          <w:lang w:eastAsia="en-US"/>
        </w:rPr>
      </w:pPr>
      <w:r w:rsidRPr="00390EB8">
        <w:rPr>
          <w:b/>
          <w:bCs/>
        </w:rPr>
        <w:t>PRIMERO.</w:t>
      </w:r>
      <w:r w:rsidRPr="00390EB8">
        <w:t xml:space="preserve"> </w:t>
      </w:r>
      <w:r w:rsidRPr="00390EB8">
        <w:rPr>
          <w:rFonts w:cs="Tahoma"/>
          <w:szCs w:val="22"/>
        </w:rPr>
        <w:t xml:space="preserve">Se </w:t>
      </w:r>
      <w:r w:rsidRPr="00390EB8">
        <w:rPr>
          <w:rFonts w:cs="Tahoma"/>
          <w:b/>
          <w:bCs/>
          <w:szCs w:val="22"/>
        </w:rPr>
        <w:t>CONFIRMA</w:t>
      </w:r>
      <w:r w:rsidRPr="00390EB8">
        <w:rPr>
          <w:rFonts w:cs="Tahoma"/>
          <w:szCs w:val="22"/>
        </w:rPr>
        <w:t xml:space="preserve"> la respuesta entregada por el </w:t>
      </w:r>
      <w:r w:rsidRPr="00390EB8">
        <w:rPr>
          <w:rFonts w:cs="Tahoma"/>
          <w:b/>
          <w:bCs/>
          <w:szCs w:val="22"/>
        </w:rPr>
        <w:t>SUJETO OBLIGADO</w:t>
      </w:r>
      <w:r w:rsidRPr="00390EB8">
        <w:rPr>
          <w:rFonts w:cs="Tahoma"/>
          <w:szCs w:val="22"/>
        </w:rPr>
        <w:t xml:space="preserve"> en la solicitud de información </w:t>
      </w:r>
      <w:r w:rsidRPr="00390EB8">
        <w:rPr>
          <w:rFonts w:cs="Tahoma"/>
          <w:b/>
          <w:bCs/>
        </w:rPr>
        <w:t>00947/INFOEM/IP/2024</w:t>
      </w:r>
      <w:r w:rsidRPr="00390EB8">
        <w:rPr>
          <w:rFonts w:cs="Tahoma"/>
          <w:bCs/>
          <w:szCs w:val="22"/>
        </w:rPr>
        <w:t xml:space="preserve">, </w:t>
      </w:r>
      <w:r w:rsidRPr="00390EB8">
        <w:rPr>
          <w:rFonts w:eastAsia="Calibri" w:cs="Tahoma"/>
          <w:bCs/>
          <w:szCs w:val="22"/>
          <w:lang w:eastAsia="en-US"/>
        </w:rPr>
        <w:t xml:space="preserve">por resultar </w:t>
      </w:r>
      <w:r w:rsidRPr="00390EB8">
        <w:rPr>
          <w:rFonts w:eastAsia="Calibri" w:cs="Tahoma"/>
          <w:b/>
          <w:szCs w:val="22"/>
          <w:lang w:eastAsia="en-US"/>
        </w:rPr>
        <w:t>IN</w:t>
      </w:r>
      <w:r w:rsidRPr="00390EB8">
        <w:rPr>
          <w:rFonts w:eastAsia="Calibri" w:cs="Tahoma"/>
          <w:b/>
          <w:bCs/>
          <w:szCs w:val="22"/>
          <w:lang w:eastAsia="en-US"/>
        </w:rPr>
        <w:t>FUNDADAS</w:t>
      </w:r>
      <w:r w:rsidRPr="00390EB8">
        <w:rPr>
          <w:rFonts w:eastAsia="Calibri" w:cs="Tahoma"/>
          <w:bCs/>
          <w:szCs w:val="22"/>
          <w:lang w:eastAsia="en-US"/>
        </w:rPr>
        <w:t xml:space="preserve"> las razones o motivos de inconformidad hechos valer por </w:t>
      </w:r>
      <w:r w:rsidRPr="00390EB8">
        <w:rPr>
          <w:rFonts w:eastAsia="Calibri" w:cs="Tahoma"/>
          <w:b/>
          <w:szCs w:val="22"/>
          <w:lang w:eastAsia="en-US"/>
        </w:rPr>
        <w:t>LA PARTE RECURRENTE</w:t>
      </w:r>
      <w:r w:rsidRPr="00390EB8">
        <w:rPr>
          <w:rFonts w:eastAsia="Calibri" w:cs="Tahoma"/>
          <w:bCs/>
          <w:szCs w:val="22"/>
          <w:lang w:eastAsia="en-US"/>
        </w:rPr>
        <w:t xml:space="preserve"> en el Recurso de Revisión </w:t>
      </w:r>
      <w:r w:rsidRPr="00390EB8">
        <w:rPr>
          <w:rFonts w:eastAsia="Palatino Linotype" w:cs="Palatino Linotype"/>
          <w:b/>
        </w:rPr>
        <w:t>06337/INFOEM/IP/RR/2024</w:t>
      </w:r>
      <w:r w:rsidRPr="00390EB8">
        <w:rPr>
          <w:rFonts w:eastAsiaTheme="minorHAnsi" w:cstheme="minorBidi"/>
          <w:szCs w:val="22"/>
          <w:lang w:eastAsia="en-US"/>
        </w:rPr>
        <w:t>,</w:t>
      </w:r>
      <w:r w:rsidRPr="00390EB8">
        <w:rPr>
          <w:rFonts w:cs="Tahoma"/>
          <w:b/>
          <w:szCs w:val="22"/>
        </w:rPr>
        <w:t xml:space="preserve"> </w:t>
      </w:r>
      <w:r w:rsidRPr="00390EB8">
        <w:rPr>
          <w:rFonts w:eastAsia="Calibri" w:cs="Tahoma"/>
          <w:bCs/>
          <w:szCs w:val="22"/>
          <w:lang w:eastAsia="en-US"/>
        </w:rPr>
        <w:t xml:space="preserve">en términos del considerando </w:t>
      </w:r>
      <w:r w:rsidRPr="00390EB8">
        <w:rPr>
          <w:rFonts w:eastAsia="Calibri" w:cs="Tahoma"/>
          <w:b/>
          <w:szCs w:val="22"/>
          <w:lang w:eastAsia="en-US"/>
        </w:rPr>
        <w:t>SEGUNDO</w:t>
      </w:r>
      <w:r w:rsidRPr="00390EB8">
        <w:rPr>
          <w:rFonts w:eastAsia="Calibri" w:cs="Tahoma"/>
          <w:bCs/>
          <w:szCs w:val="22"/>
          <w:lang w:eastAsia="en-US"/>
        </w:rPr>
        <w:t xml:space="preserve"> de la presente Resolución.</w:t>
      </w:r>
    </w:p>
    <w:p w14:paraId="338494DF" w14:textId="77777777" w:rsidR="00694CE9" w:rsidRPr="00390EB8" w:rsidRDefault="00694CE9" w:rsidP="00390EB8">
      <w:pPr>
        <w:widowControl w:val="0"/>
        <w:rPr>
          <w:rFonts w:eastAsia="Calibri" w:cs="Tahoma"/>
          <w:bCs/>
          <w:szCs w:val="22"/>
          <w:lang w:eastAsia="en-US"/>
        </w:rPr>
      </w:pPr>
    </w:p>
    <w:p w14:paraId="00500902" w14:textId="77777777" w:rsidR="00694CE9" w:rsidRPr="00390EB8" w:rsidRDefault="00694CE9" w:rsidP="00390EB8">
      <w:pPr>
        <w:ind w:right="-93"/>
      </w:pPr>
      <w:r w:rsidRPr="00390EB8">
        <w:rPr>
          <w:rFonts w:eastAsia="Calibri" w:cs="Tahoma"/>
          <w:b/>
          <w:bCs/>
          <w:szCs w:val="22"/>
          <w:lang w:eastAsia="en-US"/>
        </w:rPr>
        <w:t>SEGUNDO.</w:t>
      </w:r>
      <w:r w:rsidRPr="00390EB8">
        <w:rPr>
          <w:rFonts w:eastAsia="Calibri" w:cs="Tahoma"/>
          <w:szCs w:val="22"/>
          <w:lang w:eastAsia="es-MX"/>
        </w:rPr>
        <w:t xml:space="preserve"> </w:t>
      </w:r>
      <w:r w:rsidRPr="00390EB8">
        <w:t xml:space="preserve">Notifíquese la presente resolución mediante Sistema de Acceso a la Información Mexiquense al Titular de la Unidad de Transparencia del </w:t>
      </w:r>
      <w:r w:rsidRPr="00390EB8">
        <w:rPr>
          <w:b/>
          <w:bCs/>
        </w:rPr>
        <w:t>SUJETO OBLIGADO</w:t>
      </w:r>
      <w:r w:rsidRPr="00390EB8">
        <w:t>, para su conocimiento.</w:t>
      </w:r>
    </w:p>
    <w:p w14:paraId="3EB9AE89" w14:textId="77777777" w:rsidR="00ED694D" w:rsidRPr="00390EB8" w:rsidRDefault="00ED694D" w:rsidP="00390EB8">
      <w:pPr>
        <w:ind w:right="-93"/>
      </w:pPr>
    </w:p>
    <w:p w14:paraId="197632FF" w14:textId="77777777" w:rsidR="00694CE9" w:rsidRPr="00390EB8" w:rsidRDefault="00694CE9" w:rsidP="00390EB8">
      <w:r w:rsidRPr="00390EB8">
        <w:rPr>
          <w:b/>
          <w:bCs/>
        </w:rPr>
        <w:t>TERCERO.</w:t>
      </w:r>
      <w:r w:rsidRPr="00390EB8">
        <w:t xml:space="preserve"> Notifíquese a </w:t>
      </w:r>
      <w:r w:rsidRPr="00390EB8">
        <w:rPr>
          <w:b/>
          <w:bCs/>
        </w:rPr>
        <w:t>LA PARTE RECURRENTE</w:t>
      </w:r>
      <w:r w:rsidRPr="00390EB8">
        <w:t xml:space="preserve"> la presente resolución vía Sistema de Acceso a la Información Mexiquense (SAIMEX).</w:t>
      </w:r>
    </w:p>
    <w:p w14:paraId="668F2CFD" w14:textId="77777777" w:rsidR="00694CE9" w:rsidRPr="00390EB8" w:rsidRDefault="00694CE9" w:rsidP="00390EB8"/>
    <w:p w14:paraId="57C9489D" w14:textId="0AEF5039" w:rsidR="00694CE9" w:rsidRDefault="00694CE9" w:rsidP="00390EB8">
      <w:r w:rsidRPr="00390EB8">
        <w:rPr>
          <w:b/>
          <w:bCs/>
        </w:rPr>
        <w:t>CUARTO</w:t>
      </w:r>
      <w:r w:rsidRPr="00390EB8">
        <w:t xml:space="preserve">. Hágase del conocimiento a </w:t>
      </w:r>
      <w:r w:rsidRPr="00390EB8">
        <w:rPr>
          <w:b/>
          <w:bCs/>
        </w:rPr>
        <w:t>LA PARTE RECURRENTE</w:t>
      </w:r>
      <w:r w:rsidRPr="00390EB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4F4985A" w14:textId="77777777" w:rsidR="00FD320E" w:rsidRDefault="00FD320E" w:rsidP="00390EB8"/>
    <w:p w14:paraId="1685A88A" w14:textId="77777777" w:rsidR="00FD320E" w:rsidRPr="00390EB8" w:rsidRDefault="00FD320E" w:rsidP="00390EB8"/>
    <w:p w14:paraId="29EE0273" w14:textId="77777777" w:rsidR="00ED694D" w:rsidRPr="00390EB8" w:rsidRDefault="00ED694D" w:rsidP="00390EB8">
      <w:pPr>
        <w:rPr>
          <w:rFonts w:cs="Arial"/>
          <w:b/>
          <w:szCs w:val="22"/>
        </w:rPr>
      </w:pPr>
    </w:p>
    <w:p w14:paraId="719A5C63" w14:textId="5015DE77" w:rsidR="00664420" w:rsidRPr="00390EB8" w:rsidRDefault="00664420" w:rsidP="00390EB8">
      <w:pPr>
        <w:rPr>
          <w:rFonts w:eastAsia="Palatino Linotype" w:cs="Palatino Linotype"/>
          <w:szCs w:val="22"/>
        </w:rPr>
      </w:pPr>
      <w:r w:rsidRPr="00390EB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4A96" w:rsidRPr="00390EB8">
        <w:rPr>
          <w:rFonts w:eastAsia="Palatino Linotype" w:cs="Palatino Linotype"/>
          <w:szCs w:val="22"/>
        </w:rPr>
        <w:t>TRIGÉSIMA NOVENA</w:t>
      </w:r>
      <w:r w:rsidR="00191563" w:rsidRPr="00390EB8">
        <w:rPr>
          <w:rFonts w:eastAsia="Palatino Linotype" w:cs="Palatino Linotype"/>
          <w:szCs w:val="22"/>
        </w:rPr>
        <w:t xml:space="preserve"> </w:t>
      </w:r>
      <w:r w:rsidRPr="00390EB8">
        <w:rPr>
          <w:rFonts w:eastAsia="Palatino Linotype" w:cs="Palatino Linotype"/>
          <w:szCs w:val="22"/>
        </w:rPr>
        <w:t xml:space="preserve">SESIÓN ORDINARIA, CELEBRADA EL </w:t>
      </w:r>
      <w:r w:rsidR="00191563" w:rsidRPr="00390EB8">
        <w:rPr>
          <w:rFonts w:eastAsia="Palatino Linotype" w:cs="Palatino Linotype"/>
          <w:szCs w:val="22"/>
        </w:rPr>
        <w:t>TRECE DE NOVIEMBRE DE DOS MIL VEINTICUATRO</w:t>
      </w:r>
      <w:r w:rsidRPr="00390EB8">
        <w:rPr>
          <w:rFonts w:eastAsia="Palatino Linotype" w:cs="Palatino Linotype"/>
          <w:szCs w:val="22"/>
        </w:rPr>
        <w:t>, ANTE EL SECRETARIO TÉCNICO DEL PLENO, ALEXIS TAPIA RAMÍREZ.</w:t>
      </w:r>
    </w:p>
    <w:p w14:paraId="49D72DA3" w14:textId="720448C7" w:rsidR="00664420" w:rsidRPr="00390EB8" w:rsidRDefault="00694CE9" w:rsidP="00390EB8">
      <w:pPr>
        <w:widowControl w:val="0"/>
        <w:autoSpaceDE w:val="0"/>
        <w:autoSpaceDN w:val="0"/>
        <w:adjustRightInd w:val="0"/>
        <w:rPr>
          <w:rFonts w:eastAsiaTheme="minorEastAsia"/>
          <w:sz w:val="18"/>
          <w:szCs w:val="18"/>
          <w:lang w:val="it-IT"/>
        </w:rPr>
      </w:pPr>
      <w:r w:rsidRPr="00390EB8">
        <w:rPr>
          <w:rFonts w:eastAsiaTheme="minorEastAsia"/>
          <w:sz w:val="18"/>
          <w:szCs w:val="18"/>
          <w:lang w:val="it-IT"/>
        </w:rPr>
        <w:t>SCMM/AGZ/DEMF/AGE</w:t>
      </w:r>
    </w:p>
    <w:p w14:paraId="2968FA6C" w14:textId="77777777" w:rsidR="00390EB8" w:rsidRPr="00390EB8" w:rsidRDefault="00390EB8" w:rsidP="00390EB8">
      <w:pPr>
        <w:widowControl w:val="0"/>
        <w:autoSpaceDE w:val="0"/>
        <w:autoSpaceDN w:val="0"/>
        <w:adjustRightInd w:val="0"/>
        <w:rPr>
          <w:rFonts w:eastAsiaTheme="minorEastAsia"/>
          <w:sz w:val="18"/>
          <w:szCs w:val="18"/>
          <w:lang w:val="it-IT"/>
        </w:rPr>
      </w:pPr>
    </w:p>
    <w:p w14:paraId="3B5BCC17" w14:textId="77777777" w:rsidR="00390EB8" w:rsidRPr="00390EB8" w:rsidRDefault="00390EB8" w:rsidP="00390EB8">
      <w:pPr>
        <w:widowControl w:val="0"/>
        <w:autoSpaceDE w:val="0"/>
        <w:autoSpaceDN w:val="0"/>
        <w:adjustRightInd w:val="0"/>
        <w:rPr>
          <w:rFonts w:eastAsiaTheme="minorEastAsia"/>
          <w:sz w:val="18"/>
          <w:szCs w:val="18"/>
          <w:lang w:val="it-IT"/>
        </w:rPr>
      </w:pPr>
    </w:p>
    <w:p w14:paraId="4BB15370" w14:textId="77777777" w:rsidR="00390EB8" w:rsidRPr="00390EB8" w:rsidRDefault="00390EB8" w:rsidP="00390EB8">
      <w:pPr>
        <w:widowControl w:val="0"/>
        <w:autoSpaceDE w:val="0"/>
        <w:autoSpaceDN w:val="0"/>
        <w:adjustRightInd w:val="0"/>
        <w:rPr>
          <w:rFonts w:eastAsiaTheme="minorEastAsia"/>
          <w:sz w:val="18"/>
          <w:szCs w:val="18"/>
          <w:lang w:val="it-IT"/>
        </w:rPr>
      </w:pPr>
    </w:p>
    <w:p w14:paraId="2CBF5E03" w14:textId="77777777" w:rsidR="00664420" w:rsidRPr="00390EB8" w:rsidRDefault="00664420" w:rsidP="00390EB8">
      <w:pPr>
        <w:tabs>
          <w:tab w:val="center" w:pos="4568"/>
        </w:tabs>
        <w:ind w:right="-93"/>
        <w:rPr>
          <w:rFonts w:eastAsia="Calibri" w:cs="Tahoma"/>
          <w:bCs/>
          <w:szCs w:val="22"/>
          <w:lang w:eastAsia="en-US"/>
        </w:rPr>
      </w:pPr>
    </w:p>
    <w:p w14:paraId="44865A6D" w14:textId="77777777" w:rsidR="00664420" w:rsidRPr="00390EB8" w:rsidRDefault="00664420" w:rsidP="00390EB8">
      <w:pPr>
        <w:tabs>
          <w:tab w:val="center" w:pos="4568"/>
        </w:tabs>
        <w:ind w:right="-93"/>
        <w:rPr>
          <w:rFonts w:eastAsia="Calibri" w:cs="Tahoma"/>
          <w:bCs/>
          <w:szCs w:val="22"/>
          <w:lang w:eastAsia="en-US"/>
        </w:rPr>
      </w:pPr>
    </w:p>
    <w:p w14:paraId="7147F06B" w14:textId="77777777" w:rsidR="00664420" w:rsidRPr="00390EB8" w:rsidRDefault="00664420" w:rsidP="00390EB8">
      <w:pPr>
        <w:tabs>
          <w:tab w:val="center" w:pos="4568"/>
        </w:tabs>
        <w:ind w:right="-93"/>
        <w:rPr>
          <w:rFonts w:eastAsia="Calibri" w:cs="Tahoma"/>
          <w:bCs/>
          <w:szCs w:val="22"/>
          <w:lang w:eastAsia="en-US"/>
        </w:rPr>
      </w:pPr>
    </w:p>
    <w:p w14:paraId="6FDF3D7E" w14:textId="77777777" w:rsidR="00664420" w:rsidRPr="00390EB8" w:rsidRDefault="00664420" w:rsidP="00390EB8">
      <w:pPr>
        <w:tabs>
          <w:tab w:val="center" w:pos="4568"/>
        </w:tabs>
        <w:ind w:right="-93"/>
        <w:rPr>
          <w:rFonts w:eastAsia="Calibri" w:cs="Tahoma"/>
          <w:bCs/>
          <w:szCs w:val="22"/>
          <w:lang w:eastAsia="en-US"/>
        </w:rPr>
      </w:pPr>
    </w:p>
    <w:p w14:paraId="6246F818" w14:textId="77777777" w:rsidR="00664420" w:rsidRPr="00390EB8" w:rsidRDefault="00664420" w:rsidP="00390EB8">
      <w:pPr>
        <w:tabs>
          <w:tab w:val="center" w:pos="4568"/>
        </w:tabs>
        <w:ind w:right="-93"/>
        <w:rPr>
          <w:rFonts w:eastAsia="Calibri" w:cs="Tahoma"/>
          <w:bCs/>
          <w:szCs w:val="22"/>
          <w:lang w:eastAsia="en-US"/>
        </w:rPr>
      </w:pPr>
    </w:p>
    <w:p w14:paraId="57A88B28" w14:textId="77777777" w:rsidR="00664420" w:rsidRPr="00390EB8" w:rsidRDefault="00664420" w:rsidP="00390EB8">
      <w:pPr>
        <w:tabs>
          <w:tab w:val="center" w:pos="4568"/>
        </w:tabs>
        <w:ind w:right="-93"/>
        <w:rPr>
          <w:rFonts w:eastAsia="Calibri" w:cs="Tahoma"/>
          <w:bCs/>
          <w:szCs w:val="22"/>
          <w:lang w:eastAsia="en-US"/>
        </w:rPr>
      </w:pPr>
    </w:p>
    <w:p w14:paraId="77EF6095" w14:textId="77777777" w:rsidR="00664420" w:rsidRPr="00390EB8" w:rsidRDefault="00664420" w:rsidP="00390EB8">
      <w:pPr>
        <w:tabs>
          <w:tab w:val="center" w:pos="4568"/>
        </w:tabs>
        <w:ind w:right="-93"/>
        <w:rPr>
          <w:rFonts w:eastAsia="Calibri" w:cs="Tahoma"/>
          <w:bCs/>
          <w:szCs w:val="22"/>
          <w:lang w:eastAsia="en-US"/>
        </w:rPr>
      </w:pPr>
    </w:p>
    <w:p w14:paraId="35593947" w14:textId="77777777" w:rsidR="00664420" w:rsidRPr="00390EB8" w:rsidRDefault="00664420" w:rsidP="00390EB8">
      <w:pPr>
        <w:tabs>
          <w:tab w:val="center" w:pos="4568"/>
        </w:tabs>
        <w:ind w:right="-93"/>
        <w:rPr>
          <w:rFonts w:eastAsia="Calibri" w:cs="Tahoma"/>
          <w:bCs/>
          <w:szCs w:val="22"/>
          <w:lang w:eastAsia="en-US"/>
        </w:rPr>
      </w:pPr>
    </w:p>
    <w:p w14:paraId="3AF72A17" w14:textId="77777777" w:rsidR="00664420" w:rsidRPr="00390EB8" w:rsidRDefault="00664420" w:rsidP="00390EB8">
      <w:pPr>
        <w:tabs>
          <w:tab w:val="center" w:pos="4568"/>
        </w:tabs>
        <w:ind w:right="-93"/>
        <w:rPr>
          <w:rFonts w:eastAsia="Calibri" w:cs="Tahoma"/>
          <w:bCs/>
          <w:szCs w:val="22"/>
          <w:lang w:eastAsia="en-US"/>
        </w:rPr>
      </w:pPr>
    </w:p>
    <w:p w14:paraId="37169144" w14:textId="77777777" w:rsidR="00664420" w:rsidRPr="00390EB8" w:rsidRDefault="00664420" w:rsidP="00390EB8">
      <w:pPr>
        <w:tabs>
          <w:tab w:val="center" w:pos="4568"/>
        </w:tabs>
        <w:ind w:right="-93"/>
        <w:rPr>
          <w:rFonts w:eastAsia="Calibri" w:cs="Tahoma"/>
          <w:bCs/>
          <w:szCs w:val="22"/>
          <w:lang w:eastAsia="en-US"/>
        </w:rPr>
      </w:pPr>
    </w:p>
    <w:p w14:paraId="77CFC088" w14:textId="77777777" w:rsidR="00664420" w:rsidRPr="00390EB8" w:rsidRDefault="00664420" w:rsidP="00390EB8">
      <w:pPr>
        <w:tabs>
          <w:tab w:val="center" w:pos="4568"/>
        </w:tabs>
        <w:ind w:right="-93"/>
        <w:rPr>
          <w:rFonts w:eastAsia="Calibri" w:cs="Tahoma"/>
          <w:bCs/>
          <w:szCs w:val="22"/>
          <w:lang w:eastAsia="en-US"/>
        </w:rPr>
      </w:pPr>
    </w:p>
    <w:p w14:paraId="781A11A5" w14:textId="77777777" w:rsidR="00664420" w:rsidRPr="00390EB8" w:rsidRDefault="00664420" w:rsidP="00390EB8">
      <w:pPr>
        <w:tabs>
          <w:tab w:val="center" w:pos="4568"/>
        </w:tabs>
        <w:ind w:right="-93"/>
        <w:rPr>
          <w:rFonts w:eastAsia="Calibri" w:cs="Tahoma"/>
          <w:bCs/>
          <w:szCs w:val="22"/>
          <w:lang w:eastAsia="en-US"/>
        </w:rPr>
      </w:pPr>
    </w:p>
    <w:p w14:paraId="5B4ADFF3" w14:textId="77777777" w:rsidR="00A131AC" w:rsidRPr="00390EB8" w:rsidRDefault="00A131AC" w:rsidP="00390EB8"/>
    <w:sectPr w:rsidR="00A131AC" w:rsidRPr="00390EB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6E397" w14:textId="77777777" w:rsidR="00AA6B91" w:rsidRDefault="00AA6B91" w:rsidP="00664420">
      <w:pPr>
        <w:spacing w:line="240" w:lineRule="auto"/>
      </w:pPr>
      <w:r>
        <w:separator/>
      </w:r>
    </w:p>
  </w:endnote>
  <w:endnote w:type="continuationSeparator" w:id="0">
    <w:p w14:paraId="6FDB84AF" w14:textId="77777777" w:rsidR="00AA6B91" w:rsidRDefault="00AA6B9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94CE9" w:rsidRDefault="00694CE9">
    <w:pPr>
      <w:tabs>
        <w:tab w:val="center" w:pos="4550"/>
        <w:tab w:val="left" w:pos="5818"/>
      </w:tabs>
      <w:ind w:right="260"/>
      <w:jc w:val="right"/>
      <w:rPr>
        <w:color w:val="071320" w:themeColor="text2" w:themeShade="80"/>
        <w:sz w:val="24"/>
        <w:szCs w:val="24"/>
      </w:rPr>
    </w:pPr>
  </w:p>
  <w:p w14:paraId="1BCA7F23" w14:textId="77777777" w:rsidR="00694CE9" w:rsidRDefault="00694C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94CE9" w:rsidRDefault="00694CE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82795" w:rsidRPr="00182795">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82795" w:rsidRPr="00182795">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694CE9" w:rsidRDefault="00694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43A21" w14:textId="77777777" w:rsidR="00AA6B91" w:rsidRDefault="00AA6B91" w:rsidP="00664420">
      <w:pPr>
        <w:spacing w:line="240" w:lineRule="auto"/>
      </w:pPr>
      <w:r>
        <w:separator/>
      </w:r>
    </w:p>
  </w:footnote>
  <w:footnote w:type="continuationSeparator" w:id="0">
    <w:p w14:paraId="2B8D85A4" w14:textId="77777777" w:rsidR="00AA6B91" w:rsidRDefault="00AA6B9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94CE9" w:rsidRPr="00330DA7" w14:paraId="070A4B18" w14:textId="77777777" w:rsidTr="003F35FD">
      <w:trPr>
        <w:trHeight w:val="144"/>
        <w:jc w:val="right"/>
      </w:trPr>
      <w:tc>
        <w:tcPr>
          <w:tcW w:w="2727" w:type="dxa"/>
        </w:tcPr>
        <w:p w14:paraId="62B7493A" w14:textId="77777777" w:rsidR="00694CE9" w:rsidRPr="00330DA7" w:rsidRDefault="00694CE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C265AD" w:rsidR="00694CE9" w:rsidRPr="00A90C72" w:rsidRDefault="00694CE9" w:rsidP="003F35FD">
          <w:pPr>
            <w:tabs>
              <w:tab w:val="right" w:pos="8838"/>
            </w:tabs>
            <w:ind w:left="-74" w:right="-105"/>
            <w:rPr>
              <w:rFonts w:eastAsia="Calibri" w:cs="Tahoma"/>
              <w:szCs w:val="22"/>
              <w:lang w:eastAsia="en-US"/>
            </w:rPr>
          </w:pPr>
          <w:r>
            <w:rPr>
              <w:rFonts w:eastAsia="Calibri" w:cs="Tahoma"/>
              <w:szCs w:val="22"/>
              <w:lang w:eastAsia="en-US"/>
            </w:rPr>
            <w:t>06337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694CE9" w:rsidRPr="00330DA7" w14:paraId="4521E058" w14:textId="77777777" w:rsidTr="003F35FD">
      <w:trPr>
        <w:trHeight w:val="283"/>
        <w:jc w:val="right"/>
      </w:trPr>
      <w:tc>
        <w:tcPr>
          <w:tcW w:w="2727" w:type="dxa"/>
        </w:tcPr>
        <w:p w14:paraId="0B68C086" w14:textId="77777777" w:rsidR="00694CE9" w:rsidRPr="00330DA7" w:rsidRDefault="00694CE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61E9496" w:rsidR="00694CE9" w:rsidRPr="00952DD0" w:rsidRDefault="00694CE9" w:rsidP="005C7866">
          <w:pPr>
            <w:tabs>
              <w:tab w:val="left" w:pos="2834"/>
              <w:tab w:val="right" w:pos="8838"/>
            </w:tabs>
            <w:ind w:left="-108" w:right="-105"/>
            <w:rPr>
              <w:rFonts w:eastAsia="Calibri" w:cs="Tahoma"/>
              <w:szCs w:val="22"/>
              <w:lang w:eastAsia="en-US"/>
            </w:rPr>
          </w:pPr>
          <w:r w:rsidRPr="005C7866">
            <w:rPr>
              <w:rFonts w:eastAsia="Calibri" w:cs="Tahoma"/>
              <w:szCs w:val="22"/>
              <w:lang w:eastAsia="en-US"/>
            </w:rPr>
            <w:t>Instituto de Transparencia, Acceso a la Información Pública y Protección de Datos Personales del Estado de México y Municipios</w:t>
          </w:r>
        </w:p>
      </w:tc>
    </w:tr>
    <w:tr w:rsidR="00694CE9" w:rsidRPr="00330DA7" w14:paraId="6331D9B6" w14:textId="77777777" w:rsidTr="003F35FD">
      <w:trPr>
        <w:trHeight w:val="283"/>
        <w:jc w:val="right"/>
      </w:trPr>
      <w:tc>
        <w:tcPr>
          <w:tcW w:w="2727" w:type="dxa"/>
        </w:tcPr>
        <w:p w14:paraId="3FA86BAE" w14:textId="04F1C45E" w:rsidR="00694CE9" w:rsidRPr="00330DA7" w:rsidRDefault="00694CE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94CE9" w:rsidRPr="00EA66FC" w:rsidRDefault="00694CE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94CE9" w:rsidRPr="00443C6B" w:rsidRDefault="00694CE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5D7A4FD">
          <wp:simplePos x="0" y="0"/>
          <wp:positionH relativeFrom="margin">
            <wp:posOffset>-1271270</wp:posOffset>
          </wp:positionH>
          <wp:positionV relativeFrom="margin">
            <wp:posOffset>-2134870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94CE9" w:rsidRPr="00330DA7" w14:paraId="29CFF901" w14:textId="77777777" w:rsidTr="005C7866">
      <w:trPr>
        <w:trHeight w:val="1435"/>
      </w:trPr>
      <w:tc>
        <w:tcPr>
          <w:tcW w:w="283" w:type="dxa"/>
          <w:shd w:val="clear" w:color="auto" w:fill="auto"/>
        </w:tcPr>
        <w:p w14:paraId="046B9F8F" w14:textId="77777777" w:rsidR="00694CE9" w:rsidRPr="00330DA7" w:rsidRDefault="00694CE9" w:rsidP="005C786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94CE9" w:rsidRPr="00330DA7" w14:paraId="04F272D2" w14:textId="77777777" w:rsidTr="005C7866">
            <w:trPr>
              <w:trHeight w:val="144"/>
            </w:trPr>
            <w:tc>
              <w:tcPr>
                <w:tcW w:w="2727" w:type="dxa"/>
              </w:tcPr>
              <w:p w14:paraId="2FD4DBF6" w14:textId="77777777" w:rsidR="00694CE9" w:rsidRPr="00330DA7" w:rsidRDefault="00694CE9" w:rsidP="005C786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E3D2D89" w:rsidR="00694CE9" w:rsidRPr="00A90C72" w:rsidRDefault="00694CE9" w:rsidP="005C7866">
                <w:pPr>
                  <w:tabs>
                    <w:tab w:val="right" w:pos="8838"/>
                  </w:tabs>
                  <w:ind w:left="-74" w:right="-105"/>
                  <w:rPr>
                    <w:rFonts w:eastAsia="Calibri" w:cs="Tahoma"/>
                    <w:szCs w:val="22"/>
                    <w:lang w:eastAsia="en-US"/>
                  </w:rPr>
                </w:pPr>
                <w:r w:rsidRPr="005C7866">
                  <w:rPr>
                    <w:rFonts w:eastAsia="Calibri" w:cs="Tahoma"/>
                    <w:szCs w:val="22"/>
                    <w:lang w:eastAsia="en-US"/>
                  </w:rPr>
                  <w:t>06337/INFOEM/IP/RR/2024</w:t>
                </w:r>
                <w:r>
                  <w:rPr>
                    <w:rFonts w:eastAsia="Calibri" w:cs="Tahoma"/>
                    <w:szCs w:val="22"/>
                    <w:lang w:eastAsia="en-US"/>
                  </w:rPr>
                  <w:t xml:space="preserve"> </w:t>
                </w:r>
              </w:p>
            </w:tc>
            <w:tc>
              <w:tcPr>
                <w:tcW w:w="3402" w:type="dxa"/>
              </w:tcPr>
              <w:p w14:paraId="71DEA1CF" w14:textId="77777777" w:rsidR="00694CE9" w:rsidRDefault="00694CE9" w:rsidP="005C7866">
                <w:pPr>
                  <w:tabs>
                    <w:tab w:val="right" w:pos="8838"/>
                  </w:tabs>
                  <w:ind w:left="-74" w:right="-105"/>
                  <w:rPr>
                    <w:rFonts w:eastAsia="Calibri" w:cs="Tahoma"/>
                    <w:szCs w:val="22"/>
                    <w:lang w:eastAsia="en-US"/>
                  </w:rPr>
                </w:pPr>
              </w:p>
            </w:tc>
          </w:tr>
          <w:tr w:rsidR="00694CE9" w:rsidRPr="00330DA7" w14:paraId="05C58951" w14:textId="77777777" w:rsidTr="005C7866">
            <w:trPr>
              <w:trHeight w:val="144"/>
            </w:trPr>
            <w:tc>
              <w:tcPr>
                <w:tcW w:w="2727" w:type="dxa"/>
              </w:tcPr>
              <w:p w14:paraId="642B9610" w14:textId="77777777" w:rsidR="00694CE9" w:rsidRPr="00330DA7" w:rsidRDefault="00694CE9" w:rsidP="005C786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B587613" w:rsidR="00694CE9" w:rsidRPr="005F19B1" w:rsidRDefault="00182795" w:rsidP="005C7866">
                <w:pPr>
                  <w:tabs>
                    <w:tab w:val="left" w:pos="3122"/>
                    <w:tab w:val="right" w:pos="8838"/>
                  </w:tabs>
                  <w:ind w:left="-105" w:right="-105"/>
                  <w:rPr>
                    <w:rFonts w:eastAsia="Calibri" w:cs="Tahoma"/>
                    <w:szCs w:val="22"/>
                    <w:lang w:eastAsia="en-US"/>
                  </w:rPr>
                </w:pPr>
                <w:r>
                  <w:rPr>
                    <w:rFonts w:eastAsia="Calibri" w:cs="Tahoma"/>
                    <w:szCs w:val="22"/>
                    <w:lang w:eastAsia="en-US"/>
                  </w:rPr>
                  <w:t>XXXXXXX XXXXXXXX XXXX</w:t>
                </w:r>
              </w:p>
            </w:tc>
            <w:tc>
              <w:tcPr>
                <w:tcW w:w="3402" w:type="dxa"/>
              </w:tcPr>
              <w:p w14:paraId="73F47F53" w14:textId="77777777" w:rsidR="00694CE9" w:rsidRPr="005F19B1" w:rsidRDefault="00694CE9" w:rsidP="005C7866">
                <w:pPr>
                  <w:tabs>
                    <w:tab w:val="left" w:pos="3122"/>
                    <w:tab w:val="right" w:pos="8838"/>
                  </w:tabs>
                  <w:ind w:left="-105" w:right="-105"/>
                  <w:rPr>
                    <w:rFonts w:eastAsia="Calibri" w:cs="Tahoma"/>
                    <w:szCs w:val="22"/>
                    <w:lang w:eastAsia="en-US"/>
                  </w:rPr>
                </w:pPr>
              </w:p>
            </w:tc>
          </w:tr>
          <w:bookmarkEnd w:id="1"/>
          <w:tr w:rsidR="00694CE9" w:rsidRPr="00330DA7" w14:paraId="00E6CDC1" w14:textId="77777777" w:rsidTr="005C7866">
            <w:trPr>
              <w:trHeight w:val="283"/>
            </w:trPr>
            <w:tc>
              <w:tcPr>
                <w:tcW w:w="2727" w:type="dxa"/>
              </w:tcPr>
              <w:p w14:paraId="0631AD24" w14:textId="77777777" w:rsidR="00694CE9" w:rsidRPr="00330DA7" w:rsidRDefault="00694CE9" w:rsidP="005C786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BB0B502" w:rsidR="00694CE9" w:rsidRPr="00952DD0" w:rsidRDefault="00694CE9" w:rsidP="005C7866">
                <w:pPr>
                  <w:tabs>
                    <w:tab w:val="left" w:pos="2834"/>
                    <w:tab w:val="right" w:pos="8838"/>
                  </w:tabs>
                  <w:ind w:left="-108" w:right="-105"/>
                  <w:rPr>
                    <w:rFonts w:eastAsia="Calibri" w:cs="Tahoma"/>
                    <w:szCs w:val="22"/>
                    <w:lang w:eastAsia="en-US"/>
                  </w:rPr>
                </w:pPr>
                <w:r w:rsidRPr="005C7866">
                  <w:rPr>
                    <w:rFonts w:eastAsia="Calibri" w:cs="Tahoma"/>
                    <w:szCs w:val="22"/>
                    <w:lang w:eastAsia="en-US"/>
                  </w:rPr>
                  <w:t>Instituto de Transparencia, Acceso a la Información Pública y Protección de Datos Personales del Estado de México y Municipios</w:t>
                </w:r>
              </w:p>
            </w:tc>
            <w:tc>
              <w:tcPr>
                <w:tcW w:w="3402" w:type="dxa"/>
              </w:tcPr>
              <w:p w14:paraId="3A7DA319" w14:textId="77777777" w:rsidR="00694CE9" w:rsidRPr="00A90C72" w:rsidRDefault="00694CE9" w:rsidP="005C7866">
                <w:pPr>
                  <w:tabs>
                    <w:tab w:val="left" w:pos="2834"/>
                    <w:tab w:val="right" w:pos="8838"/>
                  </w:tabs>
                  <w:ind w:left="-108" w:right="-105"/>
                  <w:rPr>
                    <w:rFonts w:eastAsia="Calibri" w:cs="Tahoma"/>
                    <w:szCs w:val="22"/>
                    <w:lang w:eastAsia="en-US"/>
                  </w:rPr>
                </w:pPr>
              </w:p>
            </w:tc>
          </w:tr>
          <w:tr w:rsidR="00694CE9" w:rsidRPr="00330DA7" w14:paraId="0F6CD8D2" w14:textId="77777777" w:rsidTr="005C7866">
            <w:trPr>
              <w:trHeight w:val="283"/>
            </w:trPr>
            <w:tc>
              <w:tcPr>
                <w:tcW w:w="2727" w:type="dxa"/>
              </w:tcPr>
              <w:p w14:paraId="31700628" w14:textId="385332FF" w:rsidR="00694CE9" w:rsidRPr="00330DA7" w:rsidRDefault="00694CE9" w:rsidP="005C7866">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94CE9" w:rsidRPr="00EA66FC" w:rsidRDefault="00694CE9" w:rsidP="005C786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94CE9" w:rsidRPr="00330DA7" w:rsidRDefault="00694CE9" w:rsidP="005C7866">
                <w:pPr>
                  <w:tabs>
                    <w:tab w:val="right" w:pos="8838"/>
                  </w:tabs>
                  <w:ind w:left="-108" w:right="-105"/>
                  <w:rPr>
                    <w:rFonts w:eastAsia="Calibri" w:cs="Tahoma"/>
                    <w:szCs w:val="22"/>
                    <w:lang w:eastAsia="en-US"/>
                  </w:rPr>
                </w:pPr>
              </w:p>
            </w:tc>
          </w:tr>
        </w:tbl>
        <w:p w14:paraId="5DC6AC61" w14:textId="77777777" w:rsidR="00694CE9" w:rsidRPr="00330DA7" w:rsidRDefault="00694CE9" w:rsidP="005C7866">
          <w:pPr>
            <w:tabs>
              <w:tab w:val="right" w:pos="8838"/>
            </w:tabs>
            <w:ind w:left="-28"/>
            <w:rPr>
              <w:rFonts w:ascii="Arial" w:eastAsia="Calibri" w:hAnsi="Arial" w:cs="Arial"/>
              <w:b/>
              <w:szCs w:val="22"/>
              <w:lang w:eastAsia="en-US"/>
            </w:rPr>
          </w:pPr>
        </w:p>
      </w:tc>
    </w:tr>
  </w:tbl>
  <w:p w14:paraId="2A906731" w14:textId="77777777" w:rsidR="00694CE9" w:rsidRPr="00765661" w:rsidRDefault="00AA6B91" w:rsidP="005C786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3.15pt;margin-top:-213.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B30"/>
    <w:multiLevelType w:val="hybridMultilevel"/>
    <w:tmpl w:val="894A3FD0"/>
    <w:lvl w:ilvl="0" w:tplc="121AF758">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03F91"/>
    <w:multiLevelType w:val="hybridMultilevel"/>
    <w:tmpl w:val="D30880A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0D076E"/>
    <w:multiLevelType w:val="hybridMultilevel"/>
    <w:tmpl w:val="56F8D0D0"/>
    <w:lvl w:ilvl="0" w:tplc="24785A4A">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62065033"/>
    <w:multiLevelType w:val="hybridMultilevel"/>
    <w:tmpl w:val="EDCC4910"/>
    <w:lvl w:ilvl="0" w:tplc="43A20D34">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5"/>
  </w:num>
  <w:num w:numId="5">
    <w:abstractNumId w:val="2"/>
  </w:num>
  <w:num w:numId="6">
    <w:abstractNumId w:val="19"/>
  </w:num>
  <w:num w:numId="7">
    <w:abstractNumId w:val="12"/>
  </w:num>
  <w:num w:numId="8">
    <w:abstractNumId w:val="4"/>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7"/>
  </w:num>
  <w:num w:numId="13">
    <w:abstractNumId w:val="1"/>
  </w:num>
  <w:num w:numId="14">
    <w:abstractNumId w:val="3"/>
  </w:num>
  <w:num w:numId="15">
    <w:abstractNumId w:val="13"/>
  </w:num>
  <w:num w:numId="16">
    <w:abstractNumId w:val="6"/>
  </w:num>
  <w:num w:numId="17">
    <w:abstractNumId w:val="17"/>
  </w:num>
  <w:num w:numId="18">
    <w:abstractNumId w:val="8"/>
  </w:num>
  <w:num w:numId="19">
    <w:abstractNumId w:val="15"/>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1C68"/>
    <w:rsid w:val="000318BC"/>
    <w:rsid w:val="00046C25"/>
    <w:rsid w:val="00057B2D"/>
    <w:rsid w:val="00080071"/>
    <w:rsid w:val="000D0D67"/>
    <w:rsid w:val="000E09C4"/>
    <w:rsid w:val="0011350D"/>
    <w:rsid w:val="00133421"/>
    <w:rsid w:val="00141876"/>
    <w:rsid w:val="0014207B"/>
    <w:rsid w:val="00150C49"/>
    <w:rsid w:val="00163D12"/>
    <w:rsid w:val="00182795"/>
    <w:rsid w:val="00191047"/>
    <w:rsid w:val="00191563"/>
    <w:rsid w:val="001A58B3"/>
    <w:rsid w:val="001C552B"/>
    <w:rsid w:val="001C7688"/>
    <w:rsid w:val="001D30FA"/>
    <w:rsid w:val="001F3515"/>
    <w:rsid w:val="001F5C8C"/>
    <w:rsid w:val="00232E6F"/>
    <w:rsid w:val="00233005"/>
    <w:rsid w:val="00233F17"/>
    <w:rsid w:val="00246765"/>
    <w:rsid w:val="002A3601"/>
    <w:rsid w:val="002B7C6F"/>
    <w:rsid w:val="002C7971"/>
    <w:rsid w:val="002D111C"/>
    <w:rsid w:val="002F4BBA"/>
    <w:rsid w:val="00302476"/>
    <w:rsid w:val="00331F35"/>
    <w:rsid w:val="00335CDF"/>
    <w:rsid w:val="00337F4D"/>
    <w:rsid w:val="00354748"/>
    <w:rsid w:val="00362A11"/>
    <w:rsid w:val="00390EB8"/>
    <w:rsid w:val="003A40C1"/>
    <w:rsid w:val="003B5D3E"/>
    <w:rsid w:val="003E4F98"/>
    <w:rsid w:val="003F35FD"/>
    <w:rsid w:val="003F6FBF"/>
    <w:rsid w:val="0041385B"/>
    <w:rsid w:val="00430AA5"/>
    <w:rsid w:val="00441BFA"/>
    <w:rsid w:val="00454FBD"/>
    <w:rsid w:val="00476EAC"/>
    <w:rsid w:val="004D7CD8"/>
    <w:rsid w:val="004E5068"/>
    <w:rsid w:val="004F7A00"/>
    <w:rsid w:val="00523F48"/>
    <w:rsid w:val="005365FA"/>
    <w:rsid w:val="005723CB"/>
    <w:rsid w:val="00575400"/>
    <w:rsid w:val="005A2F8F"/>
    <w:rsid w:val="005B18AF"/>
    <w:rsid w:val="005C7866"/>
    <w:rsid w:val="005D5A50"/>
    <w:rsid w:val="005F5301"/>
    <w:rsid w:val="005F65B7"/>
    <w:rsid w:val="006067C7"/>
    <w:rsid w:val="00606A65"/>
    <w:rsid w:val="00606C87"/>
    <w:rsid w:val="006159AD"/>
    <w:rsid w:val="00646436"/>
    <w:rsid w:val="00664420"/>
    <w:rsid w:val="006672F1"/>
    <w:rsid w:val="00694CE9"/>
    <w:rsid w:val="006A646A"/>
    <w:rsid w:val="006B10B0"/>
    <w:rsid w:val="006B162C"/>
    <w:rsid w:val="006E25BC"/>
    <w:rsid w:val="006E6BBC"/>
    <w:rsid w:val="006F7768"/>
    <w:rsid w:val="00715655"/>
    <w:rsid w:val="00717E59"/>
    <w:rsid w:val="00774A89"/>
    <w:rsid w:val="00775BFC"/>
    <w:rsid w:val="007A3459"/>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72F69"/>
    <w:rsid w:val="009A0277"/>
    <w:rsid w:val="009A2D78"/>
    <w:rsid w:val="009A7C10"/>
    <w:rsid w:val="009B2945"/>
    <w:rsid w:val="009E2DEE"/>
    <w:rsid w:val="009F797C"/>
    <w:rsid w:val="00A131AC"/>
    <w:rsid w:val="00A16D85"/>
    <w:rsid w:val="00A21A20"/>
    <w:rsid w:val="00A36A99"/>
    <w:rsid w:val="00A53315"/>
    <w:rsid w:val="00A70EF0"/>
    <w:rsid w:val="00A9208D"/>
    <w:rsid w:val="00AA6B91"/>
    <w:rsid w:val="00AA6EA9"/>
    <w:rsid w:val="00AC2DB8"/>
    <w:rsid w:val="00AC3CA0"/>
    <w:rsid w:val="00AE3DA7"/>
    <w:rsid w:val="00AF03C4"/>
    <w:rsid w:val="00B228A3"/>
    <w:rsid w:val="00B22A80"/>
    <w:rsid w:val="00B94487"/>
    <w:rsid w:val="00B952CA"/>
    <w:rsid w:val="00BA55A8"/>
    <w:rsid w:val="00BA7B9C"/>
    <w:rsid w:val="00BB2ABF"/>
    <w:rsid w:val="00BB64F4"/>
    <w:rsid w:val="00BD3F4F"/>
    <w:rsid w:val="00BD5A7C"/>
    <w:rsid w:val="00BE7A1B"/>
    <w:rsid w:val="00BF0221"/>
    <w:rsid w:val="00BF091A"/>
    <w:rsid w:val="00BF4EAD"/>
    <w:rsid w:val="00C008BE"/>
    <w:rsid w:val="00C049E2"/>
    <w:rsid w:val="00C36795"/>
    <w:rsid w:val="00C461EC"/>
    <w:rsid w:val="00C507D4"/>
    <w:rsid w:val="00C71CEF"/>
    <w:rsid w:val="00C72DAA"/>
    <w:rsid w:val="00C80B14"/>
    <w:rsid w:val="00C82771"/>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03A48"/>
    <w:rsid w:val="00E05430"/>
    <w:rsid w:val="00E16BF5"/>
    <w:rsid w:val="00E37222"/>
    <w:rsid w:val="00E37A3F"/>
    <w:rsid w:val="00E37D3C"/>
    <w:rsid w:val="00E40A98"/>
    <w:rsid w:val="00E62E6A"/>
    <w:rsid w:val="00E71960"/>
    <w:rsid w:val="00E83EF5"/>
    <w:rsid w:val="00E9335C"/>
    <w:rsid w:val="00ED1C1E"/>
    <w:rsid w:val="00ED694D"/>
    <w:rsid w:val="00EE2AF2"/>
    <w:rsid w:val="00EF165E"/>
    <w:rsid w:val="00F07EE6"/>
    <w:rsid w:val="00F33CC8"/>
    <w:rsid w:val="00F4481C"/>
    <w:rsid w:val="00F44A96"/>
    <w:rsid w:val="00F75D23"/>
    <w:rsid w:val="00FA5957"/>
    <w:rsid w:val="00FB7E20"/>
    <w:rsid w:val="00FC3CE0"/>
    <w:rsid w:val="00FD06A8"/>
    <w:rsid w:val="00FD3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9285">
      <w:bodyDiv w:val="1"/>
      <w:marLeft w:val="0"/>
      <w:marRight w:val="0"/>
      <w:marTop w:val="0"/>
      <w:marBottom w:val="0"/>
      <w:divBdr>
        <w:top w:val="none" w:sz="0" w:space="0" w:color="auto"/>
        <w:left w:val="none" w:sz="0" w:space="0" w:color="auto"/>
        <w:bottom w:val="none" w:sz="0" w:space="0" w:color="auto"/>
        <w:right w:val="none" w:sz="0" w:space="0" w:color="auto"/>
      </w:divBdr>
    </w:div>
    <w:div w:id="1107190115">
      <w:bodyDiv w:val="1"/>
      <w:marLeft w:val="0"/>
      <w:marRight w:val="0"/>
      <w:marTop w:val="0"/>
      <w:marBottom w:val="0"/>
      <w:divBdr>
        <w:top w:val="none" w:sz="0" w:space="0" w:color="auto"/>
        <w:left w:val="none" w:sz="0" w:space="0" w:color="auto"/>
        <w:bottom w:val="none" w:sz="0" w:space="0" w:color="auto"/>
        <w:right w:val="none" w:sz="0" w:space="0" w:color="auto"/>
      </w:divBdr>
    </w:div>
    <w:div w:id="1506093449">
      <w:bodyDiv w:val="1"/>
      <w:marLeft w:val="0"/>
      <w:marRight w:val="0"/>
      <w:marTop w:val="0"/>
      <w:marBottom w:val="0"/>
      <w:divBdr>
        <w:top w:val="none" w:sz="0" w:space="0" w:color="auto"/>
        <w:left w:val="none" w:sz="0" w:space="0" w:color="auto"/>
        <w:bottom w:val="none" w:sz="0" w:space="0" w:color="auto"/>
        <w:right w:val="none" w:sz="0" w:space="0" w:color="auto"/>
      </w:divBdr>
    </w:div>
    <w:div w:id="1746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47A1C-49CD-4E06-9DE0-622EC390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5652</Words>
  <Characters>31089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2024-11-14T16:40:00Z</cp:lastPrinted>
  <dcterms:created xsi:type="dcterms:W3CDTF">2024-11-07T03:55:00Z</dcterms:created>
  <dcterms:modified xsi:type="dcterms:W3CDTF">2025-01-21T18:29:00Z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