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p>
    <w:p w14:paraId="49AF2C0C" w14:textId="05243D6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32AC5">
        <w:rPr>
          <w:rFonts w:eastAsia="Palatino Linotype" w:cs="Palatino Linotype"/>
          <w:color w:val="000000"/>
          <w:szCs w:val="24"/>
        </w:rPr>
        <w:t xml:space="preserve">México, </w:t>
      </w:r>
      <w:r w:rsidR="000D2E93" w:rsidRPr="00E32AC5">
        <w:rPr>
          <w:rFonts w:eastAsia="Palatino Linotype" w:cs="Palatino Linotype"/>
          <w:color w:val="000000"/>
          <w:szCs w:val="24"/>
        </w:rPr>
        <w:t>a</w:t>
      </w:r>
      <w:r w:rsidR="00C93568" w:rsidRPr="00E32AC5">
        <w:rPr>
          <w:rFonts w:eastAsia="Palatino Linotype" w:cs="Palatino Linotype"/>
          <w:color w:val="000000"/>
          <w:szCs w:val="24"/>
        </w:rPr>
        <w:t xml:space="preserve"> </w:t>
      </w:r>
      <w:r w:rsidR="00E13497">
        <w:rPr>
          <w:rFonts w:eastAsia="Palatino Linotype" w:cs="Palatino Linotype"/>
          <w:color w:val="000000"/>
          <w:szCs w:val="24"/>
        </w:rPr>
        <w:t>treinta y uno de enero de dos mil veinticuatro</w:t>
      </w:r>
      <w:r w:rsidR="00E13497"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3BCA6C0" w:rsidR="00A970D5" w:rsidRPr="0022406E" w:rsidRDefault="00A970D5" w:rsidP="006922F5">
      <w:pPr>
        <w:pBdr>
          <w:top w:val="nil"/>
          <w:left w:val="nil"/>
          <w:bottom w:val="nil"/>
          <w:right w:val="nil"/>
          <w:between w:val="nil"/>
        </w:pBdr>
        <w:contextualSpacing/>
        <w:rPr>
          <w:rFonts w:eastAsia="Palatino Linotype" w:cs="Palatino Linotype"/>
          <w:b/>
          <w:bCs/>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4C52E8">
        <w:rPr>
          <w:rFonts w:eastAsia="Palatino Linotype" w:cs="Palatino Linotype"/>
          <w:b/>
          <w:color w:val="000000"/>
          <w:szCs w:val="24"/>
        </w:rPr>
        <w:t>0</w:t>
      </w:r>
      <w:r w:rsidR="00C57EBD">
        <w:rPr>
          <w:rFonts w:eastAsia="Palatino Linotype" w:cs="Palatino Linotype"/>
          <w:b/>
          <w:color w:val="000000"/>
          <w:szCs w:val="24"/>
        </w:rPr>
        <w:t>3615</w:t>
      </w:r>
      <w:r w:rsidRPr="00875B7E">
        <w:rPr>
          <w:rFonts w:eastAsia="Palatino Linotype" w:cs="Palatino Linotype"/>
          <w:b/>
          <w:color w:val="000000"/>
          <w:szCs w:val="24"/>
        </w:rPr>
        <w:t>/INFOEM/IP/RR/202</w:t>
      </w:r>
      <w:r w:rsidR="00657695">
        <w:rPr>
          <w:rFonts w:eastAsia="Palatino Linotype" w:cs="Palatino Linotype"/>
          <w:b/>
          <w:color w:val="000000"/>
          <w:szCs w:val="24"/>
        </w:rPr>
        <w:t>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CC1DE4">
        <w:rPr>
          <w:rFonts w:eastAsia="Palatino Linotype" w:cs="Palatino Linotype"/>
          <w:b/>
          <w:bCs/>
          <w:color w:val="000000"/>
          <w:szCs w:val="24"/>
        </w:rPr>
        <w:t>XXXXXXXXXXXXXXXXXXXXXXXX</w:t>
      </w:r>
      <w:bookmarkStart w:id="0" w:name="_GoBack"/>
      <w:bookmarkEnd w:id="0"/>
      <w:r w:rsidR="00B54BC7" w:rsidRPr="00875B7E">
        <w:rPr>
          <w:rFonts w:eastAsia="Palatino Linotype" w:cs="Palatino Linotype"/>
          <w:color w:val="000000"/>
          <w:szCs w:val="24"/>
        </w:rPr>
        <w:t xml:space="preserve">, en lo sucesivo </w:t>
      </w:r>
      <w:r w:rsidR="008E5682" w:rsidRPr="00875B7E">
        <w:rPr>
          <w:rFonts w:eastAsia="Palatino Linotype" w:cs="Palatino Linotype"/>
          <w:color w:val="000000"/>
          <w:szCs w:val="24"/>
        </w:rPr>
        <w:t>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4C52E8">
        <w:rPr>
          <w:rFonts w:eastAsia="Palatino Linotype" w:cs="Palatino Linotype"/>
          <w:b/>
          <w:color w:val="000000"/>
          <w:szCs w:val="24"/>
        </w:rPr>
        <w:t xml:space="preserve">Ayuntamiento de </w:t>
      </w:r>
      <w:r w:rsidR="00C57EBD">
        <w:rPr>
          <w:rFonts w:eastAsia="Palatino Linotype" w:cs="Palatino Linotype"/>
          <w:b/>
          <w:color w:val="000000"/>
          <w:szCs w:val="24"/>
        </w:rPr>
        <w:t xml:space="preserve">Nicolás </w:t>
      </w:r>
      <w:r w:rsidR="00451D56">
        <w:rPr>
          <w:rFonts w:eastAsia="Palatino Linotype" w:cs="Palatino Linotype"/>
          <w:b/>
          <w:color w:val="000000"/>
          <w:szCs w:val="24"/>
        </w:rPr>
        <w:t>Romero</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C8DD7B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4E7FB8">
        <w:rPr>
          <w:rFonts w:eastAsia="Palatino Linotype" w:cs="Palatino Linotype"/>
          <w:color w:val="000000"/>
          <w:szCs w:val="24"/>
        </w:rPr>
        <w:t>dos de junio</w:t>
      </w:r>
      <w:r w:rsidR="004C52E8">
        <w:rPr>
          <w:rFonts w:eastAsia="Palatino Linotype" w:cs="Palatino Linotype"/>
          <w:color w:val="000000"/>
          <w:szCs w:val="24"/>
        </w:rPr>
        <w:t xml:space="preserve"> </w:t>
      </w:r>
      <w:r w:rsidR="00AA6C98">
        <w:rPr>
          <w:rFonts w:eastAsia="Palatino Linotype" w:cs="Palatino Linotype"/>
          <w:color w:val="000000"/>
          <w:szCs w:val="24"/>
        </w:rPr>
        <w:t>de dos mil veintitrés</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970D5" w:rsidRPr="006922F5">
        <w:rPr>
          <w:rFonts w:eastAsia="Palatino Linotype" w:cs="Palatino Linotype"/>
          <w:b/>
          <w:color w:val="000000"/>
          <w:szCs w:val="24"/>
        </w:rPr>
        <w:t xml:space="preserve"> </w:t>
      </w:r>
      <w:r w:rsidR="00D80B02" w:rsidRPr="00D80B02">
        <w:rPr>
          <w:rFonts w:eastAsia="Palatino Linotype" w:cs="Palatino Linotype"/>
          <w:b/>
          <w:bCs/>
          <w:color w:val="000000"/>
          <w:szCs w:val="24"/>
        </w:rPr>
        <w:t>00117/NICOROM/IP/2023</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r w:rsidR="00BC74E2">
        <w:rPr>
          <w:rFonts w:eastAsia="Palatino Linotype" w:cs="Palatino Linotype"/>
          <w:color w:val="000000"/>
          <w:szCs w:val="24"/>
        </w:rPr>
        <w:t xml:space="preserve"> </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479DA73" w:rsidR="00A970D5" w:rsidRPr="006922F5" w:rsidRDefault="0084172B" w:rsidP="006922F5">
      <w:pPr>
        <w:pStyle w:val="Fundamentos"/>
      </w:pPr>
      <w:r>
        <w:t>«</w:t>
      </w:r>
      <w:r w:rsidR="00D80B02" w:rsidRPr="00D80B02">
        <w:t>PRESUPUESTO TOTAL EJERCIDO PARA EL FESTIVAL INTERMUNICIPAL "ATZAN 2023", EVIDENCIA DEL PROCESO DE LICITACIÓN DE PROVEEDORES PARA EL FESTIVAL INTERMUNICIPAL "ATZAN 2023", TODAS LAS FACTURAS RECIBIDAS POR EL CONCEPTO DEL FESTIVAL INTERMUNICIPAL "ATZAN 2023"</w:t>
      </w:r>
      <w:r w:rsidR="00BA0A2D">
        <w:t>»</w:t>
      </w:r>
      <w:r w:rsidR="00A970D5" w:rsidRPr="006922F5">
        <w:t xml:space="preserve"> </w:t>
      </w:r>
      <w:r w:rsidR="00D7260C" w:rsidRPr="006922F5">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3B437214" w:rsidR="00A970D5" w:rsidRPr="006922F5" w:rsidRDefault="00ED7413"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79582FB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C52E8">
        <w:rPr>
          <w:rFonts w:eastAsia="Palatino Linotype" w:cs="Palatino Linotype"/>
          <w:color w:val="000000"/>
          <w:szCs w:val="24"/>
        </w:rPr>
        <w:t xml:space="preserve"> </w:t>
      </w:r>
      <w:r w:rsidR="006675A4">
        <w:rPr>
          <w:rFonts w:eastAsia="Palatino Linotype" w:cs="Palatino Linotype"/>
          <w:color w:val="000000"/>
          <w:szCs w:val="24"/>
        </w:rPr>
        <w:t>veintidós</w:t>
      </w:r>
      <w:r w:rsidR="000325A7">
        <w:rPr>
          <w:rFonts w:eastAsia="Palatino Linotype" w:cs="Palatino Linotype"/>
          <w:color w:val="000000"/>
          <w:szCs w:val="24"/>
        </w:rPr>
        <w:t xml:space="preserve"> de junio</w:t>
      </w:r>
      <w:r w:rsidR="00AA6C98">
        <w:rPr>
          <w:rFonts w:eastAsia="Palatino Linotype" w:cs="Palatino Linotype"/>
          <w:color w:val="000000"/>
          <w:szCs w:val="24"/>
        </w:rPr>
        <w:t xml:space="preserve"> 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03D0CF9" w14:textId="5C228CA1" w:rsidR="0077259F" w:rsidRDefault="00851748" w:rsidP="0077259F">
      <w:pPr>
        <w:pStyle w:val="Fundamentos"/>
      </w:pPr>
      <w:r>
        <w:t>«</w:t>
      </w:r>
      <w:r w:rsidR="0077259F">
        <w:t>En respuesta a la solicitud recibida, nos permitimos hacer de su conocimiento que con fundamento en el artículo 53, Fracciones: II, V y VI de la Ley de Transparencia y Acceso a la Información Pública del Estado de México y Municipios, le contestamos que:</w:t>
      </w:r>
    </w:p>
    <w:p w14:paraId="63CC230B" w14:textId="77777777" w:rsidR="0077259F" w:rsidRDefault="0077259F" w:rsidP="0077259F">
      <w:pPr>
        <w:pStyle w:val="Fundamentos"/>
      </w:pPr>
    </w:p>
    <w:p w14:paraId="01277AC3" w14:textId="22180832" w:rsidR="0077259F" w:rsidRDefault="0077259F" w:rsidP="0077259F">
      <w:pPr>
        <w:pStyle w:val="Fundamentos"/>
      </w:pPr>
      <w:r>
        <w:t xml:space="preserve">SE ENVÍA RESPUESTA MEDIANTE OFICIO Buen </w:t>
      </w:r>
      <w:proofErr w:type="spellStart"/>
      <w:r>
        <w:t>dia</w:t>
      </w:r>
      <w:proofErr w:type="spellEnd"/>
      <w:r>
        <w:t>, se anexa la respuesta a la solicitud de información 00117/NICOROM/IP/2023.</w:t>
      </w:r>
    </w:p>
    <w:p w14:paraId="470B9320" w14:textId="77777777" w:rsidR="0077259F" w:rsidRDefault="0077259F" w:rsidP="0077259F">
      <w:pPr>
        <w:pStyle w:val="Fundamentos"/>
      </w:pPr>
    </w:p>
    <w:p w14:paraId="629D3732" w14:textId="77777777" w:rsidR="0077259F" w:rsidRDefault="0077259F" w:rsidP="0077259F">
      <w:pPr>
        <w:pStyle w:val="Fundamentos"/>
      </w:pPr>
      <w:r>
        <w:t>ATENTAMENTE</w:t>
      </w:r>
    </w:p>
    <w:p w14:paraId="3FE4A9EF" w14:textId="445B6763" w:rsidR="00A970D5" w:rsidRPr="00404754" w:rsidRDefault="0077259F" w:rsidP="0077259F">
      <w:pPr>
        <w:pStyle w:val="Fundamentos"/>
        <w:rPr>
          <w:lang w:val="es-MX"/>
        </w:rPr>
      </w:pPr>
      <w:r>
        <w:t>LIC. ALFONSO HERNANDEZ GASCA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3E43EE5" w:rsidR="0037112D" w:rsidRPr="0037112D" w:rsidRDefault="0037112D" w:rsidP="00BB7DF0">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AA6C98">
        <w:rPr>
          <w:rFonts w:eastAsia="Palatino Linotype" w:cs="Palatino Linotype"/>
          <w:color w:val="000000"/>
          <w:szCs w:val="24"/>
        </w:rPr>
        <w:t xml:space="preserve">adjuntó a su respuesta </w:t>
      </w:r>
      <w:r w:rsidR="00363EA3">
        <w:rPr>
          <w:rFonts w:eastAsia="Palatino Linotype" w:cs="Palatino Linotype"/>
          <w:color w:val="000000"/>
          <w:szCs w:val="24"/>
        </w:rPr>
        <w:t>los</w:t>
      </w:r>
      <w:r w:rsidR="00165CA1">
        <w:rPr>
          <w:rFonts w:eastAsia="Palatino Linotype" w:cs="Palatino Linotype"/>
          <w:color w:val="000000"/>
          <w:szCs w:val="24"/>
        </w:rPr>
        <w:t xml:space="preserve"> documento</w:t>
      </w:r>
      <w:r w:rsidR="00363EA3">
        <w:rPr>
          <w:rFonts w:eastAsia="Palatino Linotype" w:cs="Palatino Linotype"/>
          <w:color w:val="000000"/>
          <w:szCs w:val="24"/>
        </w:rPr>
        <w:t>s</w:t>
      </w:r>
      <w:r w:rsidR="00165CA1">
        <w:rPr>
          <w:rFonts w:eastAsia="Palatino Linotype" w:cs="Palatino Linotype"/>
          <w:color w:val="000000"/>
          <w:szCs w:val="24"/>
        </w:rPr>
        <w:t xml:space="preserve"> denominado</w:t>
      </w:r>
      <w:r w:rsidR="00363EA3">
        <w:rPr>
          <w:rFonts w:eastAsia="Palatino Linotype" w:cs="Palatino Linotype"/>
          <w:color w:val="000000"/>
          <w:szCs w:val="24"/>
        </w:rPr>
        <w:t>s</w:t>
      </w:r>
      <w:r>
        <w:rPr>
          <w:rFonts w:eastAsia="Palatino Linotype" w:cs="Palatino Linotype"/>
          <w:color w:val="000000"/>
          <w:szCs w:val="24"/>
        </w:rPr>
        <w:t xml:space="preserve"> </w:t>
      </w:r>
      <w:r w:rsidR="009754C3">
        <w:rPr>
          <w:rFonts w:eastAsia="Palatino Linotype" w:cs="Palatino Linotype"/>
          <w:b/>
          <w:bCs/>
          <w:color w:val="000000"/>
          <w:szCs w:val="24"/>
        </w:rPr>
        <w:t>«</w:t>
      </w:r>
      <w:r w:rsidR="0077259F">
        <w:rPr>
          <w:rFonts w:eastAsia="Palatino Linotype" w:cs="Palatino Linotype"/>
          <w:b/>
          <w:bCs/>
          <w:color w:val="000000"/>
          <w:szCs w:val="24"/>
        </w:rPr>
        <w:t>00117 NICOROM IP 2023</w:t>
      </w:r>
      <w:r w:rsidR="00BB7DF0" w:rsidRPr="00BB7DF0">
        <w:rPr>
          <w:rFonts w:eastAsia="Palatino Linotype" w:cs="Palatino Linotype"/>
          <w:b/>
          <w:bCs/>
          <w:color w:val="000000"/>
          <w:szCs w:val="24"/>
        </w:rPr>
        <w:t>.pdf</w:t>
      </w:r>
      <w:r w:rsidR="009754C3">
        <w:rPr>
          <w:rFonts w:eastAsia="Palatino Linotype" w:cs="Palatino Linotype"/>
          <w:b/>
          <w:bCs/>
          <w:color w:val="000000"/>
          <w:szCs w:val="24"/>
        </w:rPr>
        <w:t>»</w:t>
      </w:r>
      <w:r w:rsidR="00ED1397">
        <w:rPr>
          <w:rFonts w:eastAsia="Palatino Linotype" w:cs="Palatino Linotype"/>
          <w:bCs/>
          <w:color w:val="000000"/>
          <w:szCs w:val="24"/>
        </w:rPr>
        <w:t xml:space="preserve"> y </w:t>
      </w:r>
      <w:r w:rsidR="009754C3">
        <w:rPr>
          <w:rFonts w:eastAsia="Palatino Linotype" w:cs="Palatino Linotype"/>
          <w:b/>
          <w:bCs/>
          <w:color w:val="000000"/>
          <w:szCs w:val="24"/>
        </w:rPr>
        <w:t>«</w:t>
      </w:r>
      <w:r w:rsidR="0077259F">
        <w:rPr>
          <w:rFonts w:eastAsia="Palatino Linotype" w:cs="Palatino Linotype"/>
          <w:b/>
          <w:bCs/>
          <w:color w:val="000000"/>
          <w:szCs w:val="24"/>
        </w:rPr>
        <w:t>Digitalización_2023</w:t>
      </w:r>
      <w:r w:rsidR="000F174D">
        <w:rPr>
          <w:rFonts w:eastAsia="Palatino Linotype" w:cs="Palatino Linotype"/>
          <w:b/>
          <w:bCs/>
          <w:color w:val="000000"/>
          <w:szCs w:val="24"/>
        </w:rPr>
        <w:t>_06_15_06</w:t>
      </w:r>
      <w:r w:rsidR="006B4A71">
        <w:rPr>
          <w:rFonts w:eastAsia="Palatino Linotype" w:cs="Palatino Linotype"/>
          <w:b/>
          <w:bCs/>
          <w:color w:val="000000"/>
          <w:szCs w:val="24"/>
        </w:rPr>
        <w:t>_19_18_785</w:t>
      </w:r>
      <w:r w:rsidR="00BB7DF0" w:rsidRPr="00BB7DF0">
        <w:rPr>
          <w:rFonts w:eastAsia="Palatino Linotype" w:cs="Palatino Linotype"/>
          <w:b/>
          <w:bCs/>
          <w:color w:val="000000"/>
          <w:szCs w:val="24"/>
        </w:rPr>
        <w:t>.pdf</w:t>
      </w:r>
      <w:r w:rsidR="009754C3">
        <w:rPr>
          <w:rFonts w:eastAsia="Palatino Linotype" w:cs="Palatino Linotype"/>
          <w:b/>
          <w:bCs/>
          <w:color w:val="000000"/>
          <w:szCs w:val="24"/>
        </w:rPr>
        <w:t>»</w:t>
      </w:r>
      <w:r w:rsidR="00363EA3">
        <w:rPr>
          <w:rFonts w:eastAsia="Palatino Linotype" w:cs="Palatino Linotype"/>
          <w:color w:val="000000"/>
          <w:szCs w:val="24"/>
        </w:rPr>
        <w:t>, los cuales</w:t>
      </w:r>
      <w:r w:rsidR="00165CA1">
        <w:rPr>
          <w:rFonts w:eastAsia="Palatino Linotype" w:cs="Palatino Linotype"/>
          <w:color w:val="000000"/>
          <w:szCs w:val="24"/>
        </w:rPr>
        <w:t xml:space="preserve"> no se reproduce</w:t>
      </w:r>
      <w:r w:rsidR="00363EA3">
        <w:rPr>
          <w:rFonts w:eastAsia="Palatino Linotype" w:cs="Palatino Linotype"/>
          <w:color w:val="000000"/>
          <w:szCs w:val="24"/>
        </w:rPr>
        <w:t>n</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5657B72" w:rsidR="00A970D5" w:rsidRPr="006922F5" w:rsidRDefault="00ED7413"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630116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w:t>
      </w:r>
      <w:r w:rsidR="00EE3066">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ED1397">
        <w:rPr>
          <w:rFonts w:eastAsia="Palatino Linotype" w:cs="Palatino Linotype"/>
          <w:color w:val="000000"/>
          <w:szCs w:val="24"/>
        </w:rPr>
        <w:t>l</w:t>
      </w:r>
      <w:r w:rsidR="008B2951" w:rsidRPr="006922F5">
        <w:rPr>
          <w:rFonts w:eastAsia="Palatino Linotype" w:cs="Palatino Linotype"/>
          <w:color w:val="000000"/>
          <w:szCs w:val="24"/>
        </w:rPr>
        <w:t xml:space="preserve"> </w:t>
      </w:r>
      <w:r w:rsidR="008B0626">
        <w:rPr>
          <w:rFonts w:eastAsia="Palatino Linotype" w:cs="Palatino Linotype"/>
          <w:color w:val="000000"/>
          <w:szCs w:val="24"/>
        </w:rPr>
        <w:t>día</w:t>
      </w:r>
      <w:r w:rsidR="00ED1397">
        <w:rPr>
          <w:rFonts w:eastAsia="Palatino Linotype" w:cs="Palatino Linotype"/>
          <w:color w:val="000000"/>
          <w:szCs w:val="24"/>
        </w:rPr>
        <w:t xml:space="preserve"> </w:t>
      </w:r>
      <w:r w:rsidR="00B30170">
        <w:rPr>
          <w:rFonts w:eastAsia="Palatino Linotype" w:cs="Palatino Linotype"/>
          <w:color w:val="000000"/>
          <w:szCs w:val="24"/>
        </w:rPr>
        <w:t>veintitrés</w:t>
      </w:r>
      <w:r w:rsidR="004C7156">
        <w:rPr>
          <w:rFonts w:eastAsia="Palatino Linotype" w:cs="Palatino Linotype"/>
          <w:color w:val="000000"/>
          <w:szCs w:val="24"/>
        </w:rPr>
        <w:t xml:space="preserve"> de junio</w:t>
      </w:r>
      <w:r w:rsidR="00ED1397">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sidR="00AC265B">
        <w:rPr>
          <w:rFonts w:eastAsia="Palatino Linotype" w:cs="Palatino Linotype"/>
          <w:b/>
          <w:color w:val="000000"/>
          <w:szCs w:val="24"/>
        </w:rPr>
        <w:t>0</w:t>
      </w:r>
      <w:r w:rsidR="007A610C">
        <w:rPr>
          <w:rFonts w:eastAsia="Palatino Linotype" w:cs="Palatino Linotype"/>
          <w:b/>
          <w:color w:val="000000"/>
          <w:szCs w:val="24"/>
        </w:rPr>
        <w:t>3615</w:t>
      </w:r>
      <w:r w:rsidR="00657695">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D84D66B" w:rsidR="00A970D5" w:rsidRPr="006922F5" w:rsidRDefault="005B643F" w:rsidP="006922F5">
      <w:pPr>
        <w:pStyle w:val="Fundamentos"/>
        <w:rPr>
          <w:b/>
        </w:rPr>
      </w:pPr>
      <w:r>
        <w:t>«</w:t>
      </w:r>
      <w:r w:rsidR="008C272F" w:rsidRPr="008C272F">
        <w:t>INFORMACIÓN INCOMPLETA, SE SOLICITO RESPUESTA VÍA SAIMEX EN FORMATO DIGITAL</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41BE3F13" w:rsidR="00A970D5" w:rsidRPr="006922F5" w:rsidRDefault="00270A17" w:rsidP="006922F5">
      <w:pPr>
        <w:pStyle w:val="Fundamentos"/>
      </w:pPr>
      <w:r>
        <w:t>«</w:t>
      </w:r>
      <w:r w:rsidR="00F027CC" w:rsidRPr="00F027CC">
        <w:t>INFORMACIÓN INCOMPLETA, SE SOLICITO RESPUESTA VÍA SAIMEX EN FORMATO DIGITAL QUE NO REPRESENTAN UN COSTO</w:t>
      </w:r>
      <w:r>
        <w:t>»</w:t>
      </w:r>
      <w:r w:rsidR="00A970D5" w:rsidRPr="006922F5">
        <w:t xml:space="preserve"> (Sic)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0E98036F" w:rsidR="00A970D5" w:rsidRPr="006922F5" w:rsidRDefault="00ED7413" w:rsidP="006922F5">
      <w:pPr>
        <w:pStyle w:val="Ttulo2"/>
        <w:rPr>
          <w:rFonts w:eastAsia="Palatino Linotype"/>
        </w:rPr>
      </w:pPr>
      <w:r>
        <w:rPr>
          <w:rFonts w:eastAsia="Palatino Linotype"/>
        </w:rPr>
        <w:t>CUAR</w:t>
      </w:r>
      <w:r w:rsidR="004C52E8">
        <w:rPr>
          <w:rFonts w:eastAsia="Palatino Linotype"/>
        </w:rPr>
        <w:t>TO</w:t>
      </w:r>
      <w:r w:rsidR="00A970D5" w:rsidRPr="006922F5">
        <w:rPr>
          <w:rFonts w:eastAsia="Palatino Linotype"/>
        </w:rPr>
        <w:t>. Del turno y admisión del recurso de revisión.</w:t>
      </w:r>
    </w:p>
    <w:p w14:paraId="2459DEBA" w14:textId="46EB75B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3F2E2B">
        <w:rPr>
          <w:rFonts w:eastAsia="Palatino Linotype" w:cs="Palatino Linotype"/>
          <w:color w:val="000000"/>
          <w:szCs w:val="24"/>
        </w:rPr>
        <w:t>veintiocho</w:t>
      </w:r>
      <w:r w:rsidR="00A12D9D">
        <w:rPr>
          <w:rFonts w:eastAsia="Palatino Linotype" w:cs="Palatino Linotype"/>
          <w:color w:val="000000"/>
          <w:szCs w:val="24"/>
        </w:rPr>
        <w:t xml:space="preserve"> de junio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15DA389F" w:rsidR="00A970D5" w:rsidRPr="006922F5" w:rsidRDefault="00ED7413"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212747E7" w14:textId="45D77B52" w:rsidR="00AC265B" w:rsidRPr="00AC265B" w:rsidRDefault="00FE7B8E" w:rsidP="00AC265B">
      <w:pPr>
        <w:pBdr>
          <w:top w:val="nil"/>
          <w:left w:val="nil"/>
          <w:bottom w:val="nil"/>
          <w:right w:val="nil"/>
          <w:between w:val="nil"/>
        </w:pBdr>
        <w:contextualSpacing/>
        <w:rPr>
          <w:rFonts w:eastAsia="Palatino Linotype" w:cs="Palatino Linotype"/>
          <w:color w:val="000000"/>
          <w:szCs w:val="24"/>
        </w:rPr>
      </w:pPr>
      <w:r w:rsidRPr="00A671E7">
        <w:rPr>
          <w:rFonts w:eastAsia="Palatino Linotype" w:cs="Palatino Linotype"/>
          <w:color w:val="000000"/>
          <w:szCs w:val="24"/>
        </w:rPr>
        <w:t>Una vez abierta la etapa de instrucción, se observa que el Sujeto Obligado omitió rendir el Informe Justificado. El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7E25302" w:rsidR="00A970D5" w:rsidRPr="006922F5" w:rsidRDefault="00E27953" w:rsidP="006922F5">
      <w:pPr>
        <w:pStyle w:val="Ttulo2"/>
        <w:rPr>
          <w:rFonts w:eastAsia="Palatino Linotype"/>
        </w:rPr>
      </w:pPr>
      <w:r w:rsidRPr="006922F5">
        <w:rPr>
          <w:rFonts w:eastAsia="Palatino Linotype"/>
        </w:rPr>
        <w:t>S</w:t>
      </w:r>
      <w:r w:rsidR="00ED7413">
        <w:rPr>
          <w:rFonts w:eastAsia="Palatino Linotype"/>
        </w:rPr>
        <w:t>EXTO</w:t>
      </w:r>
      <w:r w:rsidR="00A970D5" w:rsidRPr="006922F5">
        <w:rPr>
          <w:rFonts w:eastAsia="Palatino Linotype"/>
        </w:rPr>
        <w:t>. Del cierre de instrucción.</w:t>
      </w:r>
    </w:p>
    <w:p w14:paraId="2456F4BD" w14:textId="295BE5D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56760A">
        <w:rPr>
          <w:rFonts w:eastAsia="Palatino Linotype" w:cs="Palatino Linotype"/>
          <w:color w:val="000000"/>
          <w:szCs w:val="24"/>
        </w:rPr>
        <w:t>diez de julio</w:t>
      </w:r>
      <w:r w:rsidR="00CF610C">
        <w:rPr>
          <w:rFonts w:eastAsia="Palatino Linotype" w:cs="Palatino Linotype"/>
          <w:color w:val="000000"/>
          <w:szCs w:val="24"/>
        </w:rPr>
        <w:t xml:space="preserve"> </w:t>
      </w:r>
      <w:r w:rsidR="00C510A7">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416BBE86" w:rsidR="00A914F3" w:rsidRPr="00047890" w:rsidRDefault="00047890" w:rsidP="006922F5">
      <w:pPr>
        <w:pStyle w:val="Ttulo2"/>
        <w:rPr>
          <w:rFonts w:eastAsiaTheme="minorHAnsi"/>
          <w:lang w:eastAsia="en-US"/>
        </w:rPr>
      </w:pPr>
      <w:r>
        <w:rPr>
          <w:rFonts w:eastAsiaTheme="minorHAnsi"/>
          <w:lang w:eastAsia="en-US"/>
        </w:rPr>
        <w:lastRenderedPageBreak/>
        <w:t>SÉPTIM</w:t>
      </w:r>
      <w:r w:rsidR="00ED1397" w:rsidRPr="00047890">
        <w:rPr>
          <w:rFonts w:eastAsiaTheme="minorHAnsi"/>
          <w:lang w:eastAsia="en-US"/>
        </w:rPr>
        <w:t>O</w:t>
      </w:r>
      <w:r w:rsidR="00A914F3" w:rsidRPr="00047890">
        <w:rPr>
          <w:rFonts w:eastAsiaTheme="minorHAnsi"/>
          <w:lang w:eastAsia="en-US"/>
        </w:rPr>
        <w:t>. De la ampliación del término para resolver.</w:t>
      </w:r>
    </w:p>
    <w:p w14:paraId="500FCB6C" w14:textId="44AA5EF2" w:rsidR="00D86696" w:rsidRPr="006922F5" w:rsidRDefault="00D86696" w:rsidP="00D86696">
      <w:pPr>
        <w:rPr>
          <w:rFonts w:eastAsiaTheme="minorHAnsi" w:cstheme="minorBidi"/>
          <w:szCs w:val="24"/>
          <w:lang w:eastAsia="en-US"/>
        </w:rPr>
      </w:pPr>
      <w:r w:rsidRPr="00047890">
        <w:rPr>
          <w:rFonts w:eastAsiaTheme="minorHAnsi" w:cstheme="minorBidi"/>
          <w:szCs w:val="24"/>
          <w:lang w:eastAsia="en-US"/>
        </w:rPr>
        <w:t xml:space="preserve">En fecha </w:t>
      </w:r>
      <w:r w:rsidR="0056760A">
        <w:rPr>
          <w:rFonts w:eastAsiaTheme="minorHAnsi" w:cstheme="minorBidi"/>
          <w:szCs w:val="24"/>
          <w:lang w:eastAsia="en-US"/>
        </w:rPr>
        <w:t>veintitrés</w:t>
      </w:r>
      <w:r w:rsidR="002F7ED4" w:rsidRPr="00047890">
        <w:rPr>
          <w:rFonts w:eastAsiaTheme="minorHAnsi" w:cstheme="minorBidi"/>
          <w:szCs w:val="24"/>
          <w:lang w:eastAsia="en-US"/>
        </w:rPr>
        <w:t xml:space="preserve"> de agosto</w:t>
      </w:r>
      <w:r w:rsidR="00ED1397" w:rsidRPr="00047890">
        <w:rPr>
          <w:rFonts w:eastAsiaTheme="minorHAnsi" w:cstheme="minorBidi"/>
          <w:szCs w:val="24"/>
          <w:lang w:eastAsia="en-US"/>
        </w:rPr>
        <w:t xml:space="preserve"> </w:t>
      </w:r>
      <w:r w:rsidRPr="00047890">
        <w:rPr>
          <w:rFonts w:eastAsiaTheme="minorHAnsi" w:cstheme="minorBidi"/>
          <w:szCs w:val="24"/>
          <w:lang w:eastAsia="en-US"/>
        </w:rPr>
        <w:t>de dos mil veinti</w:t>
      </w:r>
      <w:r w:rsidR="00FE7B8E" w:rsidRPr="00047890">
        <w:rPr>
          <w:rFonts w:eastAsiaTheme="minorHAnsi" w:cstheme="minorBidi"/>
          <w:szCs w:val="24"/>
          <w:lang w:eastAsia="en-US"/>
        </w:rPr>
        <w:t>trés</w:t>
      </w:r>
      <w:r w:rsidRPr="00047890">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08FBD5CA" w14:textId="77777777" w:rsidR="00D86696" w:rsidRDefault="00D86696" w:rsidP="00D86696">
      <w:pPr>
        <w:pBdr>
          <w:top w:val="nil"/>
          <w:left w:val="nil"/>
          <w:bottom w:val="nil"/>
          <w:right w:val="nil"/>
          <w:between w:val="nil"/>
        </w:pBdr>
        <w:contextualSpacing/>
        <w:rPr>
          <w:rFonts w:eastAsia="Palatino Linotype" w:cs="Palatino Linotype"/>
          <w:color w:val="000000"/>
          <w:szCs w:val="24"/>
        </w:rPr>
      </w:pPr>
    </w:p>
    <w:p w14:paraId="1505CA4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A2D0CC9"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4D50477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D1C4BF"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9758F2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02AF9B"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1817834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134C6C"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467B615"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9C11E38"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70B114F8" w14:textId="085D598F"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Complejidad del asunto: La complejidad de la prueba, la pluralidad de sujetos procesales, el tiempo transcurrido, las características y contexto del recurso.</w:t>
      </w:r>
    </w:p>
    <w:p w14:paraId="547E6B00" w14:textId="7B692C80"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Actividad Procesal del interesado: Acciones u omisiones del interesado.</w:t>
      </w:r>
    </w:p>
    <w:p w14:paraId="10DBB10D" w14:textId="2F9FFD45"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Conducta de la Autoridad: Las Acciones u omisiones realizadas en el procedimiento. Así como si la autoridad actuó con la debida diligencia.</w:t>
      </w:r>
    </w:p>
    <w:p w14:paraId="5723EF3A" w14:textId="172678ED"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La afectación generada en la situación jurídica de la persona involucrada en el proceso: Violación a sus derechos humanos.</w:t>
      </w:r>
    </w:p>
    <w:p w14:paraId="189D640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69143AB6"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1D38D9"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241AC9C8" w14:textId="0C21768E"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 xml:space="preserve">Argumento que encuentra sustento en la jurisprudencia P./J. 32/92 emitida por el Pleno de la Suprema Corte de Justicia de la Nación de rubro </w:t>
      </w:r>
      <w:r w:rsidR="007B2759">
        <w:rPr>
          <w:rFonts w:eastAsiaTheme="minorHAnsi" w:cstheme="minorBidi"/>
          <w:szCs w:val="24"/>
          <w:lang w:eastAsia="en-US"/>
        </w:rPr>
        <w:t>«</w:t>
      </w:r>
      <w:r w:rsidRPr="004926E7">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sidR="007B2759">
        <w:rPr>
          <w:rFonts w:eastAsiaTheme="minorHAnsi" w:cstheme="minorBidi"/>
          <w:szCs w:val="24"/>
          <w:lang w:eastAsia="en-US"/>
        </w:rPr>
        <w:t>»</w:t>
      </w:r>
      <w:r w:rsidRPr="004926E7">
        <w:rPr>
          <w:rFonts w:eastAsiaTheme="minorHAnsi" w:cstheme="minorBidi"/>
          <w:szCs w:val="24"/>
          <w:lang w:eastAsia="en-US"/>
        </w:rPr>
        <w:t>, visible en la Gaceta del Seminario Judicial de la Federación con el registro digital 205635.</w:t>
      </w:r>
    </w:p>
    <w:p w14:paraId="32BBB52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4657C91F" w14:textId="77777777" w:rsidR="007B2759"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p>
    <w:p w14:paraId="0BB71E30" w14:textId="77777777" w:rsidR="007B2759" w:rsidRDefault="007B2759" w:rsidP="009A70F6">
      <w:pPr>
        <w:pBdr>
          <w:top w:val="nil"/>
          <w:left w:val="nil"/>
          <w:bottom w:val="nil"/>
          <w:right w:val="nil"/>
          <w:between w:val="nil"/>
        </w:pBdr>
        <w:contextualSpacing/>
        <w:rPr>
          <w:rFonts w:eastAsiaTheme="minorHAnsi" w:cstheme="minorBidi"/>
          <w:szCs w:val="24"/>
          <w:lang w:eastAsia="en-US"/>
        </w:rPr>
      </w:pPr>
    </w:p>
    <w:p w14:paraId="6622700A" w14:textId="30CB8B98"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523110AA"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3F592C37" w14:textId="318595DA" w:rsidR="009A70F6" w:rsidRPr="004926E7" w:rsidRDefault="007B2759" w:rsidP="009A70F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9A70F6" w:rsidRPr="004926E7">
        <w:rPr>
          <w:rFonts w:eastAsiaTheme="minorHAnsi" w:cstheme="minorBidi"/>
          <w:szCs w:val="24"/>
          <w:lang w:eastAsia="en-US"/>
        </w:rPr>
        <w:t>PLAZO RAZONABLE PARA RESOLVER. DIMENSIÓN Y EFECTOS DE ESTE CONCEPTO CUANDO SE ADUCE EXCESIVA CARGA DE TRABAJO</w:t>
      </w:r>
      <w:r>
        <w:rPr>
          <w:rFonts w:eastAsiaTheme="minorHAnsi" w:cstheme="minorBidi"/>
          <w:szCs w:val="24"/>
          <w:lang w:eastAsia="en-US"/>
        </w:rPr>
        <w:t>»,</w:t>
      </w:r>
      <w:r w:rsidR="009A70F6" w:rsidRPr="004926E7">
        <w:rPr>
          <w:rFonts w:eastAsiaTheme="minorHAnsi" w:cstheme="minorBidi"/>
          <w:szCs w:val="24"/>
          <w:lang w:eastAsia="en-US"/>
        </w:rPr>
        <w:t xml:space="preserve"> consultable en el Seminario Judicial de la Federación y su gaceta, con el registro digital 2002351.</w:t>
      </w:r>
    </w:p>
    <w:p w14:paraId="5B020761"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77E2066D" w14:textId="4A498943" w:rsidR="009A70F6" w:rsidRPr="004926E7" w:rsidRDefault="00777824" w:rsidP="009A70F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9A70F6" w:rsidRPr="004926E7">
        <w:rPr>
          <w:rFonts w:eastAsiaTheme="minorHAnsi" w:cstheme="minorBidi"/>
          <w:szCs w:val="24"/>
          <w:lang w:eastAsia="en-US"/>
        </w:rPr>
        <w:t>PLAZO RAZONABLE PARA RESOLVER. CONCEPTO Y ELEMENTOS QUE LO INTEGRAN A LA LUZ DEL DERECHO INTERNACIONAL DE LOS DERECHOS HUMANOS</w:t>
      </w:r>
      <w:r>
        <w:rPr>
          <w:rFonts w:eastAsiaTheme="minorHAnsi" w:cstheme="minorBidi"/>
          <w:szCs w:val="24"/>
          <w:lang w:eastAsia="en-US"/>
        </w:rPr>
        <w:t>»</w:t>
      </w:r>
      <w:r w:rsidR="009A70F6" w:rsidRPr="004926E7">
        <w:rPr>
          <w:rFonts w:eastAsiaTheme="minorHAnsi" w:cstheme="minorBidi"/>
          <w:szCs w:val="24"/>
          <w:lang w:eastAsia="en-US"/>
        </w:rPr>
        <w:t>, visible en el Seminario Judicial de la Federación y su gaceta, con el registro digital 2002350.</w:t>
      </w:r>
    </w:p>
    <w:p w14:paraId="351D7CE8"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474DAD1E" w14:textId="77777777" w:rsidR="009A70F6" w:rsidRDefault="009A70F6" w:rsidP="009A70F6">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D04F852" w14:textId="58A14664" w:rsidR="00A970D5" w:rsidRPr="006922F5" w:rsidRDefault="0054712A" w:rsidP="006922F5">
      <w:pPr>
        <w:pStyle w:val="Ttulo2"/>
        <w:rPr>
          <w:rFonts w:eastAsia="Palatino Linotype"/>
        </w:rPr>
      </w:pPr>
      <w:r>
        <w:rPr>
          <w:rFonts w:eastAsia="Palatino Linotype"/>
        </w:rPr>
        <w:t>TERCERO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7A9D709F" w:rsidR="00A970D5" w:rsidRPr="006922F5" w:rsidRDefault="0054712A" w:rsidP="006922F5">
      <w:pPr>
        <w:pStyle w:val="Ttulo2"/>
        <w:rPr>
          <w:rFonts w:eastAsia="Palatino Linotype"/>
        </w:rPr>
      </w:pPr>
      <w:r>
        <w:rPr>
          <w:rFonts w:eastAsia="Palatino Linotype"/>
        </w:rPr>
        <w:lastRenderedPageBreak/>
        <w:t>CUAR</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6218068" w14:textId="57B2A18C" w:rsidR="00047890" w:rsidRDefault="00A970D5" w:rsidP="0054712A">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AE3BE0" w:rsidRPr="00047890">
        <w:rPr>
          <w:rFonts w:eastAsia="Palatino Linotype" w:cs="Palatino Linotype"/>
          <w:color w:val="000000"/>
          <w:szCs w:val="24"/>
        </w:rPr>
        <w:t>requirió</w:t>
      </w:r>
      <w:r w:rsidR="0054712A">
        <w:rPr>
          <w:rFonts w:eastAsia="Palatino Linotype" w:cs="Palatino Linotype"/>
          <w:color w:val="000000"/>
          <w:szCs w:val="24"/>
        </w:rPr>
        <w:t>, respecto de Festival Intermunicipal «ATZAN 2023», lo siguiente:</w:t>
      </w:r>
    </w:p>
    <w:p w14:paraId="7AEC68D9" w14:textId="77777777" w:rsidR="0054712A" w:rsidRDefault="0054712A" w:rsidP="0054712A">
      <w:pPr>
        <w:pBdr>
          <w:top w:val="nil"/>
          <w:left w:val="nil"/>
          <w:bottom w:val="nil"/>
          <w:right w:val="nil"/>
          <w:between w:val="nil"/>
        </w:pBdr>
        <w:contextualSpacing/>
        <w:rPr>
          <w:rFonts w:eastAsia="Palatino Linotype" w:cs="Palatino Linotype"/>
          <w:color w:val="000000"/>
          <w:szCs w:val="24"/>
        </w:rPr>
      </w:pPr>
    </w:p>
    <w:p w14:paraId="5A7F49BC" w14:textId="435B1A3C" w:rsidR="0054712A" w:rsidRPr="0054712A" w:rsidRDefault="0054712A" w:rsidP="0054712A">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54712A">
        <w:rPr>
          <w:rFonts w:eastAsia="Palatino Linotype" w:cs="Palatino Linotype"/>
          <w:color w:val="000000"/>
        </w:rPr>
        <w:t>Presupuesto total ejercido.</w:t>
      </w:r>
    </w:p>
    <w:p w14:paraId="5BF439D2" w14:textId="69286FD8" w:rsidR="0054712A" w:rsidRPr="0054712A" w:rsidRDefault="0054712A" w:rsidP="0054712A">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54712A">
        <w:rPr>
          <w:rFonts w:eastAsia="Palatino Linotype" w:cs="Palatino Linotype"/>
          <w:color w:val="000000"/>
        </w:rPr>
        <w:t>Evidencia del proceso de licitación de proveedores.</w:t>
      </w:r>
    </w:p>
    <w:p w14:paraId="6459EEBB" w14:textId="72450548" w:rsidR="0054712A" w:rsidRPr="0054712A" w:rsidRDefault="0054712A" w:rsidP="0054712A">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54712A">
        <w:rPr>
          <w:rFonts w:eastAsia="Palatino Linotype" w:cs="Palatino Linotype"/>
          <w:color w:val="000000"/>
        </w:rPr>
        <w:t>Todas las facturas recibidas por concepto de dicho festival.</w:t>
      </w:r>
    </w:p>
    <w:p w14:paraId="77F8E3A3" w14:textId="77777777" w:rsidR="00744A98"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4CD3363B"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ED1397">
        <w:rPr>
          <w:rFonts w:eastAsia="Palatino Linotype" w:cs="Palatino Linotype"/>
          <w:color w:val="000000"/>
          <w:szCs w:val="24"/>
        </w:rPr>
        <w:t xml:space="preserve"> </w:t>
      </w:r>
      <w:r w:rsidR="00AE31C2">
        <w:rPr>
          <w:rFonts w:eastAsia="Palatino Linotype" w:cs="Palatino Linotype"/>
          <w:color w:val="000000"/>
          <w:szCs w:val="24"/>
        </w:rPr>
        <w:t>l</w:t>
      </w:r>
      <w:r w:rsidR="00ED1397">
        <w:rPr>
          <w:rFonts w:eastAsia="Palatino Linotype" w:cs="Palatino Linotype"/>
          <w:color w:val="000000"/>
          <w:szCs w:val="24"/>
        </w:rPr>
        <w:t>os</w:t>
      </w:r>
      <w:r w:rsidR="00D57F1A">
        <w:rPr>
          <w:rFonts w:eastAsia="Palatino Linotype" w:cs="Palatino Linotype"/>
          <w:color w:val="000000"/>
          <w:szCs w:val="24"/>
        </w:rPr>
        <w:t xml:space="preserve"> siguiente</w:t>
      </w:r>
      <w:r w:rsidR="00ED1397">
        <w:rPr>
          <w:rFonts w:eastAsia="Palatino Linotype" w:cs="Palatino Linotype"/>
          <w:color w:val="000000"/>
          <w:szCs w:val="24"/>
        </w:rPr>
        <w:t>s</w:t>
      </w:r>
      <w:r w:rsidR="00D57F1A">
        <w:rPr>
          <w:rFonts w:eastAsia="Palatino Linotype" w:cs="Palatino Linotype"/>
          <w:color w:val="000000"/>
          <w:szCs w:val="24"/>
        </w:rPr>
        <w:t xml:space="preserve"> documento</w:t>
      </w:r>
      <w:r w:rsidR="00ED1397">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7143A2"/>
    <w:p w14:paraId="14588530" w14:textId="585488F3" w:rsidR="00047890" w:rsidRPr="00047890" w:rsidRDefault="0054712A" w:rsidP="0054712A">
      <w:pPr>
        <w:pStyle w:val="Prrafodelista"/>
        <w:numPr>
          <w:ilvl w:val="0"/>
          <w:numId w:val="42"/>
        </w:numPr>
      </w:pPr>
      <w:r w:rsidRPr="0054712A">
        <w:rPr>
          <w:rFonts w:eastAsia="Palatino Linotype" w:cs="Palatino Linotype"/>
          <w:b/>
          <w:bCs/>
          <w:color w:val="000000"/>
        </w:rPr>
        <w:t>Digitalización_2023_06_15_06_19_18_785.pdf</w:t>
      </w:r>
      <w:r w:rsidR="00047890">
        <w:rPr>
          <w:rFonts w:eastAsia="Palatino Linotype" w:cs="Palatino Linotype"/>
          <w:bCs/>
          <w:color w:val="000000"/>
        </w:rPr>
        <w:t>.</w:t>
      </w:r>
      <w:r w:rsidR="00B07742">
        <w:rPr>
          <w:rFonts w:eastAsia="Palatino Linotype" w:cs="Palatino Linotype"/>
          <w:bCs/>
          <w:color w:val="000000"/>
        </w:rPr>
        <w:t xml:space="preserve"> Oficio </w:t>
      </w:r>
      <w:r>
        <w:rPr>
          <w:rFonts w:eastAsia="Palatino Linotype" w:cs="Palatino Linotype"/>
          <w:bCs/>
          <w:color w:val="000000"/>
        </w:rPr>
        <w:t>NR/TM/OM/RM/269/2023, suscrito por el Oficial Mayor</w:t>
      </w:r>
      <w:r w:rsidR="00C05CA1">
        <w:rPr>
          <w:rFonts w:eastAsia="Palatino Linotype" w:cs="Palatino Linotype"/>
          <w:bCs/>
          <w:color w:val="000000"/>
        </w:rPr>
        <w:t xml:space="preserve">, mediante el cual se informó que el presupuesto total ejercido es información manejada por la Tesorería Municipal, que la información relacionada con la evidencia del proceso de licitación se encuentra publicada en el </w:t>
      </w:r>
      <w:r w:rsidR="00C05CA1">
        <w:rPr>
          <w:rFonts w:eastAsia="Palatino Linotype" w:cs="Palatino Linotype"/>
          <w:bCs/>
          <w:color w:val="000000"/>
        </w:rPr>
        <w:lastRenderedPageBreak/>
        <w:t xml:space="preserve">portal de Información Pública de Oficio Mexiquense </w:t>
      </w:r>
      <w:r w:rsidR="000920C1">
        <w:rPr>
          <w:rFonts w:eastAsia="Palatino Linotype" w:cs="Palatino Linotype"/>
          <w:bCs/>
          <w:color w:val="000000"/>
        </w:rPr>
        <w:t xml:space="preserve">(IPOMEX) </w:t>
      </w:r>
      <w:r w:rsidR="00C05CA1">
        <w:rPr>
          <w:rFonts w:eastAsia="Palatino Linotype" w:cs="Palatino Linotype"/>
          <w:bCs/>
          <w:color w:val="000000"/>
        </w:rPr>
        <w:t xml:space="preserve">en el apartado del artículo 92 fracción XXIX de la Ley de Transparencia estatal; que las facturas solicitadas constan de veinticinco hojas, por lo que </w:t>
      </w:r>
      <w:r w:rsidR="005A2422">
        <w:rPr>
          <w:rFonts w:eastAsia="Palatino Linotype" w:cs="Palatino Linotype"/>
          <w:bCs/>
          <w:color w:val="000000"/>
        </w:rPr>
        <w:t xml:space="preserve">previamente </w:t>
      </w:r>
      <w:r w:rsidR="00C05CA1">
        <w:rPr>
          <w:rFonts w:eastAsia="Palatino Linotype" w:cs="Palatino Linotype"/>
          <w:bCs/>
          <w:color w:val="000000"/>
        </w:rPr>
        <w:t>se debe realizar un pago por el monto de $63.08 (se</w:t>
      </w:r>
      <w:r w:rsidR="005A2422">
        <w:rPr>
          <w:rFonts w:eastAsia="Palatino Linotype" w:cs="Palatino Linotype"/>
          <w:bCs/>
          <w:color w:val="000000"/>
        </w:rPr>
        <w:t>senta y tres pesos 08/100 MN) en las cajas de la Tesorería Municipal para acceder a las documentales. Asimismo, se informó que puede consultar la información de manera directa.</w:t>
      </w:r>
    </w:p>
    <w:p w14:paraId="19866B7C" w14:textId="29D79E7C" w:rsidR="000B350D" w:rsidRPr="009E0C1E" w:rsidRDefault="0054712A" w:rsidP="0054712A">
      <w:pPr>
        <w:pStyle w:val="Prrafodelista"/>
        <w:numPr>
          <w:ilvl w:val="0"/>
          <w:numId w:val="42"/>
        </w:numPr>
      </w:pPr>
      <w:r w:rsidRPr="0054712A">
        <w:rPr>
          <w:rFonts w:eastAsia="Palatino Linotype" w:cs="Palatino Linotype"/>
          <w:b/>
          <w:bCs/>
          <w:color w:val="000000"/>
        </w:rPr>
        <w:t>00117 NICOROM IP 2023.pdf</w:t>
      </w:r>
      <w:r w:rsidR="005A2422">
        <w:rPr>
          <w:rFonts w:eastAsia="Palatino Linotype" w:cs="Palatino Linotype"/>
          <w:bCs/>
          <w:color w:val="000000"/>
        </w:rPr>
        <w:t xml:space="preserve">. Documento en el que se observa el concepto e importe </w:t>
      </w:r>
      <w:r w:rsidR="009E0C1E">
        <w:rPr>
          <w:rFonts w:eastAsia="Palatino Linotype" w:cs="Palatino Linotype"/>
          <w:bCs/>
          <w:color w:val="000000"/>
        </w:rPr>
        <w:t xml:space="preserve">de los gastos realizados relativos al festival referido, </w:t>
      </w:r>
      <w:r w:rsidR="0092109C">
        <w:rPr>
          <w:rFonts w:eastAsia="Palatino Linotype" w:cs="Palatino Linotype"/>
          <w:bCs/>
          <w:color w:val="000000"/>
        </w:rPr>
        <w:t>así como cuatro facturas visibles en las páginas 3, 9, 15 a 17 y 23, con los montos que corresponden a los siguientes gastos:</w:t>
      </w:r>
    </w:p>
    <w:p w14:paraId="465A9B86" w14:textId="77777777" w:rsidR="009E0C1E" w:rsidRDefault="009E0C1E" w:rsidP="009E0C1E">
      <w:pPr>
        <w:ind w:left="284"/>
      </w:pPr>
    </w:p>
    <w:p w14:paraId="6D17F4B0" w14:textId="01E18E0B" w:rsidR="009E0C1E" w:rsidRDefault="0092109C" w:rsidP="0092109C">
      <w:pPr>
        <w:ind w:left="284"/>
        <w:jc w:val="center"/>
      </w:pPr>
      <w:r w:rsidRPr="0092109C">
        <w:rPr>
          <w:noProof/>
          <w:lang w:val="es-MX"/>
        </w:rPr>
        <w:drawing>
          <wp:inline distT="0" distB="0" distL="0" distR="0" wp14:anchorId="4512EECC" wp14:editId="5AFCA3CB">
            <wp:extent cx="5410200" cy="351839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0219" cy="3531416"/>
                    </a:xfrm>
                    <a:prstGeom prst="rect">
                      <a:avLst/>
                    </a:prstGeom>
                  </pic:spPr>
                </pic:pic>
              </a:graphicData>
            </a:graphic>
          </wp:inline>
        </w:drawing>
      </w:r>
    </w:p>
    <w:p w14:paraId="4B6CF25F" w14:textId="77777777" w:rsidR="00047890" w:rsidRDefault="00047890" w:rsidP="006922F5">
      <w:pPr>
        <w:pBdr>
          <w:top w:val="nil"/>
          <w:left w:val="nil"/>
          <w:bottom w:val="nil"/>
          <w:right w:val="nil"/>
          <w:between w:val="nil"/>
        </w:pBdr>
        <w:contextualSpacing/>
        <w:rPr>
          <w:rFonts w:eastAsia="Palatino Linotype" w:cs="Palatino Linotype"/>
          <w:color w:val="000000"/>
          <w:szCs w:val="24"/>
        </w:rPr>
      </w:pPr>
    </w:p>
    <w:p w14:paraId="6128DFF4" w14:textId="2688CE49" w:rsidR="00A970D5" w:rsidRPr="00207028"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657129">
        <w:rPr>
          <w:rFonts w:eastAsia="Palatino Linotype" w:cs="Palatino Linotype"/>
          <w:color w:val="000000"/>
          <w:szCs w:val="24"/>
        </w:rPr>
        <w:t xml:space="preserve"> </w:t>
      </w:r>
      <w:r w:rsidR="009E237E">
        <w:rPr>
          <w:rFonts w:eastAsia="Palatino Linotype" w:cs="Palatino Linotype"/>
          <w:color w:val="000000"/>
          <w:szCs w:val="24"/>
        </w:rPr>
        <w:t xml:space="preserve">y </w:t>
      </w:r>
      <w:r w:rsidR="002156A3">
        <w:rPr>
          <w:rFonts w:eastAsia="Palatino Linotype" w:cs="Palatino Linotype"/>
          <w:color w:val="000000"/>
          <w:szCs w:val="24"/>
        </w:rPr>
        <w:t xml:space="preserve">razones o motivos de inconformidad que </w:t>
      </w:r>
      <w:r w:rsidR="009E237E">
        <w:rPr>
          <w:rFonts w:eastAsia="Palatino Linotype" w:cs="Palatino Linotype"/>
          <w:color w:val="000000"/>
          <w:szCs w:val="24"/>
        </w:rPr>
        <w:t>la información está incompleta y se requirió respuesta mediante el SAIMEX y en formato digital.</w:t>
      </w:r>
    </w:p>
    <w:p w14:paraId="3AC05501" w14:textId="77777777" w:rsidR="003D372B" w:rsidRPr="006922F5" w:rsidRDefault="003D372B" w:rsidP="006922F5">
      <w:pPr>
        <w:pBdr>
          <w:top w:val="nil"/>
          <w:left w:val="nil"/>
          <w:bottom w:val="nil"/>
          <w:right w:val="nil"/>
          <w:between w:val="nil"/>
        </w:pBdr>
        <w:contextualSpacing/>
        <w:rPr>
          <w:rFonts w:eastAsia="Palatino Linotype" w:cs="Palatino Linotype"/>
          <w:color w:val="000000"/>
          <w:szCs w:val="24"/>
        </w:rPr>
      </w:pPr>
    </w:p>
    <w:p w14:paraId="35695B46" w14:textId="76C47325" w:rsidR="00C006C6" w:rsidRDefault="00E41C8A" w:rsidP="006922F5">
      <w:pPr>
        <w:pBdr>
          <w:top w:val="nil"/>
          <w:left w:val="nil"/>
          <w:bottom w:val="nil"/>
          <w:right w:val="nil"/>
          <w:between w:val="nil"/>
        </w:pBdr>
        <w:contextualSpacing/>
        <w:rPr>
          <w:szCs w:val="24"/>
        </w:rPr>
      </w:pPr>
      <w:r w:rsidRPr="00E41C8A">
        <w:rPr>
          <w:szCs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EE828DA" w14:textId="77777777" w:rsidR="00E41C8A" w:rsidRDefault="00E41C8A" w:rsidP="006922F5">
      <w:pPr>
        <w:pBdr>
          <w:top w:val="nil"/>
          <w:left w:val="nil"/>
          <w:bottom w:val="nil"/>
          <w:right w:val="nil"/>
          <w:between w:val="nil"/>
        </w:pBdr>
        <w:contextualSpacing/>
        <w:rPr>
          <w:szCs w:val="24"/>
        </w:rPr>
      </w:pPr>
    </w:p>
    <w:p w14:paraId="64B9BA8A" w14:textId="257F606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730102">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6922F5">
        <w:lastRenderedPageBreak/>
        <w:t xml:space="preserve">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58AECB9" w:rsidR="00C82268" w:rsidRPr="006922F5" w:rsidRDefault="0052655F" w:rsidP="006922F5">
      <w:pPr>
        <w:pStyle w:val="Fundamentos"/>
      </w:pP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xml:space="preserve">,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7891ABDB" w14:textId="2A718656" w:rsidR="007F1FF7" w:rsidRDefault="007F1FF7" w:rsidP="00177F85">
      <w:r>
        <w:t>Asimismo, el Recurrente manifestó que la información que se le proporcionó se encuentra incompleta, lo que actualiza la causal de procedencia del recurso de revisión prevista en el artículo 179 fracción V de la Ley de Transparencia local, que a la letra estipula lo siguiente:</w:t>
      </w:r>
    </w:p>
    <w:p w14:paraId="0D3A004C" w14:textId="77777777" w:rsidR="007F1FF7" w:rsidRDefault="007F1FF7" w:rsidP="00177F85"/>
    <w:p w14:paraId="052A1285" w14:textId="3067B027" w:rsidR="007F1FF7" w:rsidRDefault="007F1FF7" w:rsidP="007F1FF7">
      <w:pPr>
        <w:pStyle w:val="Fundamentos"/>
        <w:rPr>
          <w:lang w:val="es-MX"/>
        </w:rPr>
      </w:pPr>
      <w:r w:rsidRPr="007F1FF7">
        <w:rPr>
          <w:b/>
          <w:lang w:val="es-MX"/>
        </w:rPr>
        <w:t xml:space="preserve">Artículo 179. </w:t>
      </w:r>
      <w:r w:rsidRPr="007F1FF7">
        <w:rPr>
          <w:lang w:val="es-MX"/>
        </w:rPr>
        <w:t>El recurso de revisión es un medio de protección que la Ley otorga a los particulares, para hacer valer su derecho de acceso a la información pública, y procederá en contra de las siguientes causas:</w:t>
      </w:r>
    </w:p>
    <w:p w14:paraId="13811799" w14:textId="0D08584A" w:rsidR="007F1FF7" w:rsidRPr="007F1FF7" w:rsidRDefault="007F1FF7" w:rsidP="007F1FF7">
      <w:pPr>
        <w:pStyle w:val="Fundamentos"/>
        <w:rPr>
          <w:lang w:val="es-MX"/>
        </w:rPr>
      </w:pPr>
      <w:r w:rsidRPr="007F1FF7">
        <w:rPr>
          <w:lang w:val="es-MX"/>
        </w:rPr>
        <w:t>[…]</w:t>
      </w:r>
    </w:p>
    <w:p w14:paraId="142FBBFE" w14:textId="31174EDD" w:rsidR="007F1FF7" w:rsidRDefault="007F1FF7" w:rsidP="007F1FF7">
      <w:pPr>
        <w:pStyle w:val="Fundamentos"/>
      </w:pPr>
      <w:r w:rsidRPr="007F1FF7">
        <w:rPr>
          <w:b/>
        </w:rPr>
        <w:t>V.</w:t>
      </w:r>
      <w:r w:rsidRPr="007F1FF7">
        <w:tab/>
        <w:t>La entrega de información incompleta;</w:t>
      </w:r>
    </w:p>
    <w:p w14:paraId="3A15208E" w14:textId="2ED7FD88" w:rsidR="007F1FF7" w:rsidRDefault="007F1FF7" w:rsidP="007F1FF7">
      <w:pPr>
        <w:pStyle w:val="Fundamentos"/>
      </w:pPr>
      <w:r>
        <w:t>[…]</w:t>
      </w:r>
    </w:p>
    <w:p w14:paraId="2F260A2C" w14:textId="77777777" w:rsidR="007F1FF7" w:rsidRDefault="007F1FF7" w:rsidP="00177F85"/>
    <w:p w14:paraId="33ACAB59" w14:textId="07744BD3" w:rsidR="002D1E08" w:rsidRDefault="00A970D5" w:rsidP="002D1E08">
      <w:r w:rsidRPr="006922F5">
        <w:t xml:space="preserve">En segundo término, </w:t>
      </w:r>
      <w:r w:rsidR="00DA17F7">
        <w:t xml:space="preserve">se </w:t>
      </w:r>
      <w:r w:rsidR="002D1E08">
        <w:t xml:space="preserve">observa que el Sujeto Obligado </w:t>
      </w:r>
      <w:r w:rsidR="000920C1">
        <w:t xml:space="preserve">no negó contar con la información, sino que </w:t>
      </w:r>
      <w:r w:rsidR="007F1FF7">
        <w:t xml:space="preserve">la Oficialía Mayor </w:t>
      </w:r>
      <w:r w:rsidR="002A7A52">
        <w:t xml:space="preserve">—unidad administrativa que se asumió como área competente— </w:t>
      </w:r>
      <w:r w:rsidR="000920C1">
        <w:t>entregó información respecto del monto ejercido en el festival referido, señalando el concepto, el importe y el total por una cantidad que asciende a $4 274 412.08 (cuatro millones doscientos setenta y cuatro mil cuatrocientos doce pesos 08/100 M.N)</w:t>
      </w:r>
      <w:r w:rsidR="0092109C">
        <w:t xml:space="preserve"> y cuatro facturas</w:t>
      </w:r>
      <w:r w:rsidR="000920C1">
        <w:t>; así como que la información relativa a las evidencias del proceso de licitación pública puede ser consultada en el portal IPOMEX y que</w:t>
      </w:r>
      <w:r w:rsidR="008058FA">
        <w:t>,</w:t>
      </w:r>
      <w:r w:rsidR="000920C1">
        <w:t xml:space="preserve"> para acceder a las veinticinco fojas correspondientes a las facturas </w:t>
      </w:r>
      <w:r w:rsidR="008058FA">
        <w:t>referidas por el particular, es necesario realizar un pago para que se le entreguen copias simples; o bien, puede acceder a la información en consulta directa en las instalaciones de la Oficialía Mayor.</w:t>
      </w:r>
    </w:p>
    <w:p w14:paraId="0236357A" w14:textId="77777777" w:rsidR="002D1E08" w:rsidRDefault="002D1E08" w:rsidP="002D1E08"/>
    <w:p w14:paraId="7BEDE1BF" w14:textId="77777777" w:rsidR="008058FA" w:rsidRDefault="008058FA" w:rsidP="008058FA">
      <w:r>
        <w:t>Por lo anterior, se debe entender que el Sujeto Obligado cuenta con las atribuciones, competencias o facultades para generar, poseer o administrar la información solicitada; es decir, aceptó que cuenta con dichos documentos en sus archivos, por ende, es dable omitir el estudio respecto de la fuente obligación para generar, poseer o administrar la información solicitada.</w:t>
      </w:r>
    </w:p>
    <w:p w14:paraId="6FFA6581" w14:textId="77777777" w:rsidR="008058FA" w:rsidRDefault="008058FA" w:rsidP="008058FA"/>
    <w:p w14:paraId="7414EF49" w14:textId="77777777" w:rsidR="008058FA" w:rsidRDefault="008058FA" w:rsidP="008058FA">
      <w: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57058C5E" w14:textId="4571ED66" w:rsidR="008058FA" w:rsidRDefault="008058FA" w:rsidP="002D1E08"/>
    <w:p w14:paraId="16E8146F" w14:textId="135A3457" w:rsidR="007F1FF7" w:rsidRDefault="0092109C" w:rsidP="0092109C">
      <w:r>
        <w:t xml:space="preserve">Ahora bien, es importante </w:t>
      </w:r>
      <w:r w:rsidR="00703DCF">
        <w:t>resaltar que los puntos 1 y 3 de la solicitud se encuentran relacionados, por lo que es dable abordarlos de manera conjunta. Así, se debe resaltar que el Recurrente solicitó el presupuesto total ejercido para la realización del Festival Intermunicipal «ATZAN 2023» y las facturas recibidas por concepto de este.</w:t>
      </w:r>
    </w:p>
    <w:p w14:paraId="0676B714" w14:textId="77777777" w:rsidR="00703DCF" w:rsidRDefault="00703DCF" w:rsidP="0092109C"/>
    <w:p w14:paraId="60A7E3A1" w14:textId="55802C67" w:rsidR="002156A3" w:rsidRPr="00120451" w:rsidRDefault="00703DCF" w:rsidP="002156A3">
      <w:pPr>
        <w:rPr>
          <w:rFonts w:eastAsia="Palatino Linotype" w:cs="Palatino Linotype"/>
          <w:szCs w:val="24"/>
        </w:rPr>
      </w:pPr>
      <w:r>
        <w:t xml:space="preserve">En ese contexto, el Sujeto Obligado proporcionó cuatro facturas en las que se observan los conceptos y el importe </w:t>
      </w:r>
      <w:r w:rsidR="003D0B38">
        <w:t>de cada uno de los gastos realizados, los cuales dan un total de $4 274 412.08 (cuatro millones doscientos setenta y cuatro mil cuatrocientos doce pesos 08/100 M.N). Por tanto, d</w:t>
      </w:r>
      <w:r w:rsidR="002156A3">
        <w:t xml:space="preserve">ado el pronunciamiento y la entrega de documentos por parte del Sujeto Obligado, </w:t>
      </w:r>
      <w:r w:rsidR="002156A3">
        <w:rPr>
          <w:rFonts w:eastAsia="Palatino Linotype" w:cs="Palatino Linotype"/>
          <w:szCs w:val="24"/>
        </w:rPr>
        <w:t>este Instituto</w:t>
      </w:r>
      <w:r w:rsidR="002156A3" w:rsidRPr="00120451">
        <w:rPr>
          <w:rFonts w:eastAsia="Palatino Linotype" w:cs="Palatino Linotype"/>
          <w:szCs w:val="24"/>
        </w:rPr>
        <w:t xml:space="preserve"> estima conveniente señalar que no está facultado para manifestarse sobre la veracidad de la información </w:t>
      </w:r>
      <w:r w:rsidR="002156A3">
        <w:rPr>
          <w:rFonts w:eastAsia="Palatino Linotype" w:cs="Palatino Linotype"/>
          <w:szCs w:val="24"/>
        </w:rPr>
        <w:t xml:space="preserve">y documentación </w:t>
      </w:r>
      <w:r w:rsidR="002156A3" w:rsidRPr="00120451">
        <w:rPr>
          <w:rFonts w:eastAsia="Palatino Linotype" w:cs="Palatino Linotype"/>
          <w:szCs w:val="24"/>
        </w:rPr>
        <w:t xml:space="preserve">proporcionada, ya </w:t>
      </w:r>
      <w:r w:rsidR="002156A3" w:rsidRPr="00120451">
        <w:rPr>
          <w:rFonts w:eastAsia="Palatino Linotype" w:cs="Palatino Linotype"/>
          <w:szCs w:val="24"/>
        </w:rPr>
        <w:lastRenderedPageBreak/>
        <w:t>que no existe precepto legal alguna en la Ley de la Materia que permita, vía recurso de revisión, que se pronuncie al respecto. Por analogía, sirve de apoyo a lo anterior el Criterio 31/10 emitido por el entonces Instituto Federal de Accesos a la Información y Protección de Datos</w:t>
      </w:r>
      <w:r w:rsidR="002156A3">
        <w:rPr>
          <w:rFonts w:eastAsia="Palatino Linotype" w:cs="Palatino Linotype"/>
          <w:szCs w:val="24"/>
        </w:rPr>
        <w:t xml:space="preserve"> (INAI)</w:t>
      </w:r>
      <w:r w:rsidR="002156A3" w:rsidRPr="00120451">
        <w:rPr>
          <w:rFonts w:eastAsia="Palatino Linotype" w:cs="Palatino Linotype"/>
          <w:szCs w:val="24"/>
        </w:rPr>
        <w:t>, que a la letra establece lo siguiente:</w:t>
      </w:r>
    </w:p>
    <w:p w14:paraId="23D48D5A" w14:textId="77777777" w:rsidR="002156A3" w:rsidRPr="00120451" w:rsidRDefault="002156A3" w:rsidP="002156A3">
      <w:pPr>
        <w:contextualSpacing/>
        <w:rPr>
          <w:rFonts w:eastAsia="Palatino Linotype" w:cs="Palatino Linotype"/>
          <w:szCs w:val="24"/>
        </w:rPr>
      </w:pPr>
    </w:p>
    <w:p w14:paraId="2C3F84D2" w14:textId="77777777" w:rsidR="002156A3" w:rsidRPr="00120451" w:rsidRDefault="002156A3" w:rsidP="002156A3">
      <w:pPr>
        <w:spacing w:line="240" w:lineRule="auto"/>
        <w:ind w:left="567" w:right="567"/>
        <w:rPr>
          <w:rFonts w:eastAsia="Palatino Linotype" w:cs="Times New Roman"/>
          <w:i/>
          <w:sz w:val="22"/>
          <w:szCs w:val="24"/>
          <w:lang w:val="es-MX" w:eastAsia="es-ES"/>
        </w:rPr>
      </w:pPr>
      <w:r w:rsidRPr="00120451">
        <w:rPr>
          <w:rFonts w:eastAsia="Palatino Linotype" w:cs="Times New Roman"/>
          <w:b/>
          <w:i/>
          <w:sz w:val="22"/>
          <w:szCs w:val="24"/>
          <w:lang w:val="es-MX" w:eastAsia="es-ES"/>
        </w:rPr>
        <w:t xml:space="preserve">El Instituto Federal de Acceso a la Información y Protección de Datos no cuenta con facultades para pronunciarse respecto de la veracidad de los documentos proporcionados por los sujetos obligados. </w:t>
      </w:r>
      <w:r w:rsidRPr="00120451">
        <w:rPr>
          <w:rFonts w:eastAsia="Palatino Linotype" w:cs="Times New Roman"/>
          <w:i/>
          <w:sz w:val="22"/>
          <w:szCs w:val="24"/>
          <w:lang w:val="es-MX" w:eastAsia="es-ES"/>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1BD73EF0" w14:textId="77777777" w:rsidR="002156A3" w:rsidRDefault="002156A3" w:rsidP="002156A3">
      <w:pPr>
        <w:rPr>
          <w:rFonts w:eastAsia="Palatino Linotype" w:cs="Palatino Linotype"/>
          <w:szCs w:val="24"/>
          <w:lang w:val="es-MX"/>
        </w:rPr>
      </w:pPr>
    </w:p>
    <w:p w14:paraId="3134591D" w14:textId="58B70DFD" w:rsidR="003D0B38" w:rsidRDefault="003D0B38" w:rsidP="002156A3">
      <w:pPr>
        <w:rPr>
          <w:rFonts w:eastAsia="Palatino Linotype" w:cs="Palatino Linotype"/>
          <w:szCs w:val="24"/>
          <w:lang w:val="es-MX"/>
        </w:rPr>
      </w:pPr>
      <w:r>
        <w:rPr>
          <w:rFonts w:eastAsia="Palatino Linotype" w:cs="Palatino Linotype"/>
          <w:szCs w:val="24"/>
          <w:lang w:val="es-MX"/>
        </w:rPr>
        <w:t>No pasa desapercibido a este Instituto que el titular de la Oficialía Mayor respondió que para acceder a la información relacionada con las facturas, era necesario que el particular realizara previamente un pago en las cajas de la Tesorería Municipal; empero, se hizo entrega de las cuatro facturas que cubren el total referido, por lo que se c</w:t>
      </w:r>
      <w:r w:rsidR="007C26BE">
        <w:rPr>
          <w:rFonts w:eastAsia="Palatino Linotype" w:cs="Palatino Linotype"/>
          <w:szCs w:val="24"/>
          <w:lang w:val="es-MX"/>
        </w:rPr>
        <w:t>onsidera que el Sujeto Obligado hizo entrega de las facturas aun cuando respondió que se debía realizar el pago para obtener la información.</w:t>
      </w:r>
    </w:p>
    <w:p w14:paraId="7DBD0D60" w14:textId="77777777" w:rsidR="007C26BE" w:rsidRDefault="007C26BE" w:rsidP="002156A3">
      <w:pPr>
        <w:rPr>
          <w:rFonts w:eastAsia="Palatino Linotype" w:cs="Palatino Linotype"/>
          <w:szCs w:val="24"/>
          <w:lang w:val="es-MX"/>
        </w:rPr>
      </w:pPr>
    </w:p>
    <w:p w14:paraId="01A09554" w14:textId="067D12D9" w:rsidR="007C26BE" w:rsidRDefault="007C26BE" w:rsidP="002156A3">
      <w:pPr>
        <w:rPr>
          <w:rFonts w:eastAsia="Palatino Linotype" w:cs="Palatino Linotype"/>
          <w:szCs w:val="24"/>
          <w:lang w:val="es-MX"/>
        </w:rPr>
      </w:pPr>
      <w:r>
        <w:rPr>
          <w:rFonts w:eastAsia="Palatino Linotype" w:cs="Palatino Linotype"/>
          <w:szCs w:val="24"/>
          <w:lang w:val="es-MX"/>
        </w:rPr>
        <w:t>Por tanto, con la información proporcionada relativa al monto total del gasto ejercido y las facturas que lo comprueban se tienen por colmados los puntos 1 y 3 de la solicitud del hoy Recurrente.</w:t>
      </w:r>
    </w:p>
    <w:p w14:paraId="3F504BE9" w14:textId="77777777" w:rsidR="007C26BE" w:rsidRDefault="007C26BE" w:rsidP="002156A3">
      <w:pPr>
        <w:rPr>
          <w:rFonts w:eastAsia="Palatino Linotype" w:cs="Palatino Linotype"/>
          <w:szCs w:val="24"/>
          <w:lang w:val="es-MX"/>
        </w:rPr>
      </w:pPr>
    </w:p>
    <w:p w14:paraId="0748C336" w14:textId="48EB3DB8" w:rsidR="007C26BE" w:rsidRDefault="007C26BE" w:rsidP="002156A3">
      <w:pPr>
        <w:rPr>
          <w:rFonts w:eastAsia="Palatino Linotype" w:cs="Palatino Linotype"/>
          <w:szCs w:val="24"/>
          <w:lang w:val="es-MX"/>
        </w:rPr>
      </w:pPr>
      <w:r>
        <w:rPr>
          <w:rFonts w:eastAsia="Palatino Linotype" w:cs="Palatino Linotype"/>
          <w:szCs w:val="24"/>
          <w:lang w:val="es-MX"/>
        </w:rPr>
        <w:t>Por otra parte, respecto del punto 2 de la solicitud en la que se requirieron las evidencias del proceso de licitación de proveedores para el festival referido</w:t>
      </w:r>
      <w:r w:rsidR="00180C29">
        <w:rPr>
          <w:rFonts w:eastAsia="Palatino Linotype" w:cs="Palatino Linotype"/>
          <w:szCs w:val="24"/>
          <w:lang w:val="es-MX"/>
        </w:rPr>
        <w:t>, se debe recordar que el Sujeto Obligado sólo manifestó que la información puede consultarse en el portal IPOMEX, en el apartado del artículo 92 fracción XXIX A de la Ley de Transparencia estatal.</w:t>
      </w:r>
    </w:p>
    <w:p w14:paraId="4D441BCC" w14:textId="77777777" w:rsidR="00180C29" w:rsidRDefault="00180C29" w:rsidP="002156A3">
      <w:pPr>
        <w:rPr>
          <w:rFonts w:eastAsia="Palatino Linotype" w:cs="Palatino Linotype"/>
          <w:szCs w:val="24"/>
          <w:lang w:val="es-MX"/>
        </w:rPr>
      </w:pPr>
    </w:p>
    <w:p w14:paraId="03ABA92B" w14:textId="4F8D516F" w:rsidR="00180C29" w:rsidRDefault="00180C29" w:rsidP="002156A3">
      <w:pPr>
        <w:rPr>
          <w:rFonts w:eastAsia="Palatino Linotype" w:cs="Palatino Linotype"/>
          <w:szCs w:val="24"/>
          <w:lang w:val="es-MX"/>
        </w:rPr>
      </w:pPr>
      <w:r>
        <w:rPr>
          <w:rFonts w:eastAsia="Palatino Linotype" w:cs="Palatino Linotype"/>
          <w:szCs w:val="24"/>
          <w:lang w:val="es-MX"/>
        </w:rPr>
        <w:t>Al respecto, si bien es cierto que el Sujeto Obligado hizo del conocimiento del particular en portal en el que puede realizar la consulta, también lo es que no lo hizo de manera específica ni tampoco proporcionó el enlace o el procedimiento que se debe realizar para acceder a dicha información.</w:t>
      </w:r>
    </w:p>
    <w:p w14:paraId="404B8461" w14:textId="77777777" w:rsidR="003D0B38" w:rsidRDefault="003D0B38" w:rsidP="002156A3">
      <w:pPr>
        <w:rPr>
          <w:rFonts w:eastAsia="Palatino Linotype" w:cs="Palatino Linotype"/>
          <w:szCs w:val="24"/>
          <w:lang w:val="es-MX"/>
        </w:rPr>
      </w:pPr>
    </w:p>
    <w:p w14:paraId="001294A6" w14:textId="77777777" w:rsidR="00180C29" w:rsidRPr="003B63CA" w:rsidRDefault="00180C29" w:rsidP="00180C29">
      <w:pPr>
        <w:rPr>
          <w:rFonts w:cs="Arial"/>
        </w:rPr>
      </w:pPr>
      <w:r>
        <w:rPr>
          <w:rFonts w:eastAsia="Palatino Linotype" w:cs="Palatino Linotype"/>
          <w:szCs w:val="24"/>
          <w:lang w:val="es-MX"/>
        </w:rPr>
        <w:t xml:space="preserve">De tal forma que se estima que el Sujeto Obligado </w:t>
      </w:r>
      <w:r w:rsidRPr="003B63CA">
        <w:rPr>
          <w:rFonts w:cs="Arial"/>
        </w:rPr>
        <w:t xml:space="preserve">dejó de observar lo estipulado en los artículos 11 y 161 de la Ley de Transparencia estatal, en los que se señalan las características que debe tener toda información entregada por los sujetos obligados desde el momento de su generación, publicación y entrega, así como la forma en que se deberá consultar la información, señalando una fuente precisa y concreta, </w:t>
      </w:r>
      <w:r>
        <w:rPr>
          <w:rFonts w:cs="Arial"/>
        </w:rPr>
        <w:t>como se establece a continuación</w:t>
      </w:r>
      <w:r w:rsidRPr="003B63CA">
        <w:rPr>
          <w:rFonts w:cs="Arial"/>
        </w:rPr>
        <w:t>:</w:t>
      </w:r>
    </w:p>
    <w:p w14:paraId="63DD4499" w14:textId="77777777" w:rsidR="00180C29" w:rsidRPr="003B63CA" w:rsidRDefault="00180C29" w:rsidP="00180C29">
      <w:pPr>
        <w:rPr>
          <w:rFonts w:cs="Arial"/>
        </w:rPr>
      </w:pPr>
    </w:p>
    <w:p w14:paraId="3A9D8670" w14:textId="77777777" w:rsidR="00180C29" w:rsidRPr="003B63CA" w:rsidRDefault="00180C29" w:rsidP="00180C29">
      <w:pPr>
        <w:spacing w:line="240" w:lineRule="auto"/>
        <w:ind w:left="567" w:right="567"/>
        <w:rPr>
          <w:rFonts w:eastAsia="Times New Roman" w:cs="Times New Roman"/>
          <w:i/>
          <w:sz w:val="22"/>
          <w:szCs w:val="24"/>
          <w:lang w:eastAsia="es-ES"/>
        </w:rPr>
      </w:pPr>
      <w:r w:rsidRPr="003B63CA">
        <w:rPr>
          <w:rFonts w:eastAsia="Times New Roman" w:cs="Times New Roman"/>
          <w:b/>
          <w:bCs/>
          <w:i/>
          <w:sz w:val="22"/>
          <w:szCs w:val="24"/>
          <w:lang w:eastAsia="es-ES"/>
        </w:rPr>
        <w:t>Artículo 11.</w:t>
      </w:r>
      <w:r w:rsidRPr="003B63CA">
        <w:rPr>
          <w:rFonts w:eastAsia="Times New Roman" w:cs="Times New Roman"/>
          <w:i/>
          <w:sz w:val="22"/>
          <w:szCs w:val="24"/>
          <w:lang w:eastAsia="es-ES"/>
        </w:rPr>
        <w:t xml:space="preserve"> </w:t>
      </w:r>
      <w:r w:rsidRPr="003B63CA">
        <w:rPr>
          <w:rFonts w:eastAsia="Times New Roman" w:cs="Times New Roman"/>
          <w:b/>
          <w:i/>
          <w:sz w:val="22"/>
          <w:szCs w:val="24"/>
          <w:u w:val="single"/>
          <w:lang w:eastAsia="es-ES"/>
        </w:rPr>
        <w:t>En la generación, publicación y entrega de información se deberá garantizar que ésta sea accesible</w:t>
      </w:r>
      <w:r w:rsidRPr="003B63CA">
        <w:rPr>
          <w:rFonts w:eastAsia="Times New Roman" w:cs="Times New Roman"/>
          <w:i/>
          <w:sz w:val="22"/>
          <w:szCs w:val="24"/>
          <w:lang w:eastAsia="es-ES"/>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483B4A88" w14:textId="77777777" w:rsidR="00180C29" w:rsidRPr="003B63CA" w:rsidRDefault="00180C29" w:rsidP="00180C29">
      <w:pPr>
        <w:spacing w:line="240" w:lineRule="auto"/>
        <w:ind w:left="567" w:right="567"/>
        <w:rPr>
          <w:rFonts w:eastAsia="Times New Roman" w:cs="Times New Roman"/>
          <w:i/>
          <w:sz w:val="22"/>
          <w:szCs w:val="24"/>
          <w:lang w:eastAsia="es-ES"/>
        </w:rPr>
      </w:pPr>
      <w:r w:rsidRPr="003B63CA">
        <w:rPr>
          <w:rFonts w:eastAsia="Times New Roman" w:cs="Times New Roman"/>
          <w:i/>
          <w:sz w:val="22"/>
          <w:szCs w:val="24"/>
          <w:lang w:eastAsia="es-ES"/>
        </w:rPr>
        <w:t>(…)</w:t>
      </w:r>
    </w:p>
    <w:p w14:paraId="25A72710" w14:textId="77777777" w:rsidR="00180C29" w:rsidRPr="003B63CA" w:rsidRDefault="00180C29" w:rsidP="00180C29">
      <w:pPr>
        <w:spacing w:line="240" w:lineRule="auto"/>
        <w:ind w:left="567" w:right="567"/>
        <w:rPr>
          <w:rFonts w:eastAsia="Times New Roman" w:cs="Times New Roman"/>
          <w:i/>
          <w:sz w:val="22"/>
          <w:szCs w:val="24"/>
          <w:lang w:eastAsia="es-ES"/>
        </w:rPr>
      </w:pPr>
    </w:p>
    <w:p w14:paraId="18925A9F" w14:textId="77777777" w:rsidR="00180C29" w:rsidRPr="003B63CA" w:rsidRDefault="00180C29" w:rsidP="00180C29">
      <w:pPr>
        <w:spacing w:line="240" w:lineRule="auto"/>
        <w:ind w:left="567" w:right="567"/>
        <w:rPr>
          <w:rFonts w:eastAsia="Times New Roman" w:cs="Times New Roman"/>
          <w:i/>
          <w:sz w:val="22"/>
          <w:szCs w:val="24"/>
          <w:lang w:eastAsia="es-ES"/>
        </w:rPr>
      </w:pPr>
      <w:r w:rsidRPr="003B63CA">
        <w:rPr>
          <w:rFonts w:eastAsia="Times New Roman" w:cs="Times New Roman"/>
          <w:b/>
          <w:bCs/>
          <w:i/>
          <w:sz w:val="22"/>
          <w:szCs w:val="24"/>
          <w:lang w:eastAsia="es-ES"/>
        </w:rPr>
        <w:lastRenderedPageBreak/>
        <w:t>Artículo 161.</w:t>
      </w:r>
      <w:r w:rsidRPr="003B63CA">
        <w:rPr>
          <w:rFonts w:eastAsia="Times New Roman" w:cs="Times New Roman"/>
          <w:i/>
          <w:sz w:val="22"/>
          <w:szCs w:val="24"/>
          <w:lang w:eastAsia="es-ES"/>
        </w:rPr>
        <w:t xml:space="preserve"> </w:t>
      </w:r>
      <w:r w:rsidRPr="003B63CA">
        <w:rPr>
          <w:rFonts w:eastAsia="Times New Roman" w:cs="Times New Roman"/>
          <w:b/>
          <w:i/>
          <w:sz w:val="22"/>
          <w:szCs w:val="24"/>
          <w:u w:val="single"/>
          <w:lang w:eastAsia="es-ES"/>
        </w:rPr>
        <w:t>Cuando la información requerida por el solicitante ya esté</w:t>
      </w:r>
      <w:r w:rsidRPr="003B63CA">
        <w:rPr>
          <w:rFonts w:eastAsia="Times New Roman" w:cs="Times New Roman"/>
          <w:i/>
          <w:sz w:val="22"/>
          <w:szCs w:val="24"/>
          <w:lang w:eastAsia="es-ES"/>
        </w:rPr>
        <w:t xml:space="preserve"> disponible al público en medios impresos, tales como libros, compendios, trípticos, registros públicos, en formatos electrónicos </w:t>
      </w:r>
      <w:r w:rsidRPr="003B63CA">
        <w:rPr>
          <w:rFonts w:eastAsia="Times New Roman" w:cs="Times New Roman"/>
          <w:b/>
          <w:i/>
          <w:sz w:val="22"/>
          <w:szCs w:val="24"/>
          <w:u w:val="single"/>
          <w:lang w:eastAsia="es-ES"/>
        </w:rPr>
        <w:t>disponibles en Internet</w:t>
      </w:r>
      <w:r w:rsidRPr="003B63CA">
        <w:rPr>
          <w:rFonts w:eastAsia="Times New Roman" w:cs="Times New Roman"/>
          <w:i/>
          <w:sz w:val="22"/>
          <w:szCs w:val="24"/>
          <w:lang w:eastAsia="es-ES"/>
        </w:rPr>
        <w:t xml:space="preserve"> o en cualquier otro medio, </w:t>
      </w:r>
      <w:r w:rsidRPr="003B63CA">
        <w:rPr>
          <w:rFonts w:eastAsia="Times New Roman" w:cs="Times New Roman"/>
          <w:b/>
          <w:i/>
          <w:sz w:val="22"/>
          <w:szCs w:val="24"/>
          <w:u w:val="single"/>
          <w:lang w:eastAsia="es-ES"/>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1AB3604" w14:textId="77777777" w:rsidR="00180C29" w:rsidRPr="003B63CA" w:rsidRDefault="00180C29" w:rsidP="00180C29">
      <w:pPr>
        <w:rPr>
          <w:rFonts w:cs="Arial"/>
        </w:rPr>
      </w:pPr>
    </w:p>
    <w:p w14:paraId="60441064" w14:textId="77777777" w:rsidR="00180C29" w:rsidRPr="003B63CA" w:rsidRDefault="00180C29" w:rsidP="00180C29">
      <w:pPr>
        <w:rPr>
          <w:rFonts w:cs="Arial"/>
        </w:rPr>
      </w:pPr>
      <w:r w:rsidRPr="003B63CA">
        <w:rPr>
          <w:rFonts w:cs="Arial"/>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2E35BD79" w14:textId="77777777" w:rsidR="00180C29" w:rsidRPr="003B63CA" w:rsidRDefault="00180C29" w:rsidP="00180C29">
      <w:pPr>
        <w:rPr>
          <w:rFonts w:cs="Arial"/>
        </w:rPr>
      </w:pPr>
    </w:p>
    <w:p w14:paraId="5EB28912" w14:textId="77777777" w:rsidR="00180C29" w:rsidRPr="003B63CA" w:rsidRDefault="00180C29" w:rsidP="00180C29">
      <w:pPr>
        <w:numPr>
          <w:ilvl w:val="0"/>
          <w:numId w:val="48"/>
        </w:numPr>
        <w:rPr>
          <w:rFonts w:eastAsia="Times New Roman" w:cs="Arial"/>
          <w:szCs w:val="24"/>
          <w:lang w:eastAsia="es-ES"/>
        </w:rPr>
      </w:pPr>
      <w:r w:rsidRPr="003B63CA">
        <w:rPr>
          <w:rFonts w:eastAsia="Times New Roman" w:cs="Arial"/>
          <w:szCs w:val="24"/>
          <w:lang w:eastAsia="es-ES"/>
        </w:rPr>
        <w:t>La fuente,</w:t>
      </w:r>
    </w:p>
    <w:p w14:paraId="024167A3" w14:textId="77777777" w:rsidR="00180C29" w:rsidRPr="003B63CA" w:rsidRDefault="00180C29" w:rsidP="00180C29">
      <w:pPr>
        <w:numPr>
          <w:ilvl w:val="0"/>
          <w:numId w:val="48"/>
        </w:numPr>
        <w:rPr>
          <w:rFonts w:eastAsia="Times New Roman" w:cs="Arial"/>
          <w:szCs w:val="24"/>
          <w:lang w:eastAsia="es-ES"/>
        </w:rPr>
      </w:pPr>
      <w:r w:rsidRPr="003B63CA">
        <w:rPr>
          <w:rFonts w:eastAsia="Times New Roman" w:cs="Arial"/>
          <w:szCs w:val="24"/>
          <w:lang w:eastAsia="es-ES"/>
        </w:rPr>
        <w:t>El lugar, y</w:t>
      </w:r>
    </w:p>
    <w:p w14:paraId="22318181" w14:textId="77777777" w:rsidR="00180C29" w:rsidRPr="003B63CA" w:rsidRDefault="00180C29" w:rsidP="00180C29">
      <w:pPr>
        <w:numPr>
          <w:ilvl w:val="0"/>
          <w:numId w:val="48"/>
        </w:numPr>
        <w:rPr>
          <w:rFonts w:eastAsia="Times New Roman" w:cs="Arial"/>
          <w:szCs w:val="24"/>
          <w:lang w:eastAsia="es-ES"/>
        </w:rPr>
      </w:pPr>
      <w:r w:rsidRPr="003B63CA">
        <w:rPr>
          <w:rFonts w:eastAsia="Times New Roman" w:cs="Arial"/>
          <w:szCs w:val="24"/>
          <w:lang w:eastAsia="es-ES"/>
        </w:rPr>
        <w:t xml:space="preserve">La forma. </w:t>
      </w:r>
    </w:p>
    <w:p w14:paraId="6041E890" w14:textId="77777777" w:rsidR="00180C29" w:rsidRPr="003B63CA" w:rsidRDefault="00180C29" w:rsidP="00180C29">
      <w:pPr>
        <w:rPr>
          <w:rFonts w:cs="Arial"/>
        </w:rPr>
      </w:pPr>
    </w:p>
    <w:p w14:paraId="5B83BDB8" w14:textId="77777777" w:rsidR="00180C29" w:rsidRPr="003B63CA" w:rsidRDefault="00180C29" w:rsidP="00180C29">
      <w:pPr>
        <w:rPr>
          <w:rFonts w:cs="Arial"/>
        </w:rPr>
      </w:pPr>
      <w:r w:rsidRPr="003B63CA">
        <w:rPr>
          <w:rFonts w:cs="Arial"/>
        </w:rPr>
        <w:t>Asimismo, se establece que la fuente de la información deberá ser:</w:t>
      </w:r>
    </w:p>
    <w:p w14:paraId="68121AC7" w14:textId="77777777" w:rsidR="00180C29" w:rsidRPr="003B63CA" w:rsidRDefault="00180C29" w:rsidP="00180C29">
      <w:pPr>
        <w:rPr>
          <w:rFonts w:cs="Arial"/>
        </w:rPr>
      </w:pPr>
    </w:p>
    <w:p w14:paraId="199A2374" w14:textId="77777777" w:rsidR="00180C29" w:rsidRPr="003B63CA" w:rsidRDefault="00180C29" w:rsidP="00180C29">
      <w:pPr>
        <w:numPr>
          <w:ilvl w:val="0"/>
          <w:numId w:val="49"/>
        </w:numPr>
        <w:rPr>
          <w:rFonts w:eastAsia="Times New Roman" w:cs="Arial"/>
          <w:szCs w:val="24"/>
          <w:lang w:eastAsia="es-ES"/>
        </w:rPr>
      </w:pPr>
      <w:r w:rsidRPr="003B63CA">
        <w:rPr>
          <w:rFonts w:eastAsia="Times New Roman" w:cs="Arial"/>
          <w:szCs w:val="24"/>
          <w:lang w:eastAsia="es-ES"/>
        </w:rPr>
        <w:t>Precisa,</w:t>
      </w:r>
    </w:p>
    <w:p w14:paraId="494EE6D7" w14:textId="77777777" w:rsidR="00180C29" w:rsidRPr="003B63CA" w:rsidRDefault="00180C29" w:rsidP="00180C29">
      <w:pPr>
        <w:numPr>
          <w:ilvl w:val="0"/>
          <w:numId w:val="49"/>
        </w:numPr>
        <w:rPr>
          <w:rFonts w:eastAsia="Times New Roman" w:cs="Arial"/>
          <w:szCs w:val="24"/>
          <w:lang w:eastAsia="es-ES"/>
        </w:rPr>
      </w:pPr>
      <w:r w:rsidRPr="003B63CA">
        <w:rPr>
          <w:rFonts w:eastAsia="Times New Roman" w:cs="Arial"/>
          <w:szCs w:val="24"/>
          <w:lang w:eastAsia="es-ES"/>
        </w:rPr>
        <w:t>Concreta,</w:t>
      </w:r>
    </w:p>
    <w:p w14:paraId="72FAADCE" w14:textId="77777777" w:rsidR="00180C29" w:rsidRPr="003B63CA" w:rsidRDefault="00180C29" w:rsidP="00180C29">
      <w:pPr>
        <w:numPr>
          <w:ilvl w:val="0"/>
          <w:numId w:val="49"/>
        </w:numPr>
        <w:rPr>
          <w:rFonts w:eastAsia="Times New Roman" w:cs="Arial"/>
          <w:szCs w:val="24"/>
          <w:lang w:eastAsia="es-ES"/>
        </w:rPr>
      </w:pPr>
      <w:r w:rsidRPr="003B63CA">
        <w:rPr>
          <w:rFonts w:eastAsia="Times New Roman" w:cs="Arial"/>
          <w:szCs w:val="24"/>
          <w:lang w:eastAsia="es-ES"/>
        </w:rPr>
        <w:t>Y no debe implicar que el solicitante realice una búsqueda en toda la información que se encuentre disponible.</w:t>
      </w:r>
    </w:p>
    <w:p w14:paraId="15EAA0AA" w14:textId="77777777" w:rsidR="00180C29" w:rsidRPr="003B63CA" w:rsidRDefault="00180C29" w:rsidP="00180C29">
      <w:pPr>
        <w:rPr>
          <w:rFonts w:cs="Arial"/>
        </w:rPr>
      </w:pPr>
    </w:p>
    <w:p w14:paraId="2C2244B9" w14:textId="6A65A718" w:rsidR="003D0B38" w:rsidRDefault="00180C29" w:rsidP="00180C29">
      <w:pPr>
        <w:rPr>
          <w:rFonts w:eastAsia="Palatino Linotype" w:cs="Palatino Linotype"/>
          <w:szCs w:val="24"/>
          <w:lang w:val="es-MX"/>
        </w:rPr>
      </w:pPr>
      <w:r w:rsidRPr="003B63CA">
        <w:rPr>
          <w:rFonts w:cs="Arial"/>
        </w:rPr>
        <w:lastRenderedPageBreak/>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no hizo del conocimiento del Recurrente la fuente de la información dentro del término establecido, así como únicamente se limitó a indicar </w:t>
      </w:r>
      <w:r>
        <w:rPr>
          <w:rFonts w:cs="Arial"/>
        </w:rPr>
        <w:t>la fracción en la que se encuentra contenida la información solicitada</w:t>
      </w:r>
      <w:r w:rsidRPr="003B63CA">
        <w:rPr>
          <w:rFonts w:cs="Arial"/>
        </w:rPr>
        <w:t>, sin que señalara puntualmente el procedimiento que el particular debe seguir para acceder a la información requerida, lo que implica que la fuente no sea precisa; asimismo, no se estima que sea concreta debido a que ésta resulta abstracta y genera incertidumbre entre el cúmulo de información que se</w:t>
      </w:r>
      <w:r>
        <w:rPr>
          <w:rFonts w:cs="Arial"/>
        </w:rPr>
        <w:t xml:space="preserve"> encuentra en el portal IPOMEX del Sujeto Obligado</w:t>
      </w:r>
      <w:r w:rsidRPr="003B63CA">
        <w:rPr>
          <w:rFonts w:cs="Arial"/>
        </w:rPr>
        <w:t xml:space="preserve">; y por último, la fuente implica que el solicitante realice una búsqueda en toda la información que se encuentra disponible, lo que a todas luces transgrede el numeral citado; y por ende, no se puede considerar que lo manifestado por </w:t>
      </w:r>
      <w:r>
        <w:rPr>
          <w:rFonts w:cs="Arial"/>
        </w:rPr>
        <w:t xml:space="preserve">el Sujeto Obligado </w:t>
      </w:r>
      <w:r w:rsidRPr="003B63CA">
        <w:rPr>
          <w:rFonts w:cs="Arial"/>
        </w:rPr>
        <w:t>colme la pretensión del Recurrente.</w:t>
      </w:r>
    </w:p>
    <w:p w14:paraId="39B32B9F" w14:textId="77777777" w:rsidR="003D0B38" w:rsidRDefault="003D0B38" w:rsidP="002156A3">
      <w:pPr>
        <w:rPr>
          <w:rFonts w:eastAsia="Palatino Linotype" w:cs="Palatino Linotype"/>
          <w:szCs w:val="24"/>
          <w:lang w:val="es-MX"/>
        </w:rPr>
      </w:pPr>
    </w:p>
    <w:p w14:paraId="58C82C9E" w14:textId="775CB8D0" w:rsidR="00180C29" w:rsidRDefault="00180C29" w:rsidP="002156A3">
      <w:pPr>
        <w:rPr>
          <w:rFonts w:eastAsia="Palatino Linotype" w:cs="Palatino Linotype"/>
          <w:szCs w:val="24"/>
          <w:lang w:val="es-MX"/>
        </w:rPr>
      </w:pPr>
      <w:r>
        <w:rPr>
          <w:rFonts w:eastAsia="Palatino Linotype" w:cs="Palatino Linotype"/>
          <w:szCs w:val="24"/>
          <w:lang w:val="es-MX"/>
        </w:rPr>
        <w:t>Asimismo, se debe recordar que la información relativa los procesos adquisitivos</w:t>
      </w:r>
      <w:r w:rsidR="008431BF">
        <w:rPr>
          <w:rFonts w:eastAsia="Palatino Linotype" w:cs="Palatino Linotype"/>
          <w:szCs w:val="24"/>
          <w:lang w:val="es-MX"/>
        </w:rPr>
        <w:t xml:space="preserve"> realizados por licitación pública</w:t>
      </w:r>
      <w:r w:rsidR="00A553D4">
        <w:rPr>
          <w:rFonts w:eastAsia="Palatino Linotype" w:cs="Palatino Linotype"/>
          <w:szCs w:val="24"/>
          <w:lang w:val="es-MX"/>
        </w:rPr>
        <w:t xml:space="preserve"> </w:t>
      </w:r>
      <w:r w:rsidR="008431BF">
        <w:rPr>
          <w:rFonts w:eastAsia="Palatino Linotype" w:cs="Palatino Linotype"/>
          <w:szCs w:val="24"/>
          <w:lang w:val="es-MX"/>
        </w:rPr>
        <w:t>realizados por los sujetos obligados es pública, tal como se establece en el artículo 92 fracción XIX, inciso a), de la Ley de la materia, en el que se dispone lo siguiente:</w:t>
      </w:r>
    </w:p>
    <w:p w14:paraId="0BFDDA39" w14:textId="77777777" w:rsidR="008431BF" w:rsidRPr="008431BF" w:rsidRDefault="008431BF" w:rsidP="002156A3">
      <w:pPr>
        <w:rPr>
          <w:rFonts w:eastAsia="Palatino Linotype" w:cs="Palatino Linotype"/>
          <w:szCs w:val="24"/>
          <w:lang w:val="es-MX"/>
        </w:rPr>
      </w:pPr>
    </w:p>
    <w:p w14:paraId="24A9634C" w14:textId="7E793B0C" w:rsidR="008431BF" w:rsidRPr="008431BF" w:rsidRDefault="008431BF" w:rsidP="008431BF">
      <w:pPr>
        <w:pStyle w:val="Fundamentos"/>
        <w:rPr>
          <w:lang w:val="es-MX"/>
        </w:rPr>
      </w:pPr>
      <w:r w:rsidRPr="008431BF">
        <w:rPr>
          <w:b/>
          <w:lang w:val="es-MX" w:eastAsia="en-US"/>
        </w:rPr>
        <w:t xml:space="preserve">Artículo 92. </w:t>
      </w:r>
      <w:r w:rsidRPr="008431BF">
        <w:rPr>
          <w:lang w:val="es-MX" w:eastAsia="en-U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w:t>
      </w:r>
      <w:r w:rsidRPr="008431BF">
        <w:rPr>
          <w:spacing w:val="-3"/>
          <w:lang w:val="es-MX" w:eastAsia="en-US"/>
        </w:rPr>
        <w:t xml:space="preserve"> </w:t>
      </w:r>
      <w:r w:rsidRPr="008431BF">
        <w:rPr>
          <w:lang w:val="es-MX" w:eastAsia="en-US"/>
        </w:rPr>
        <w:t>señalan:</w:t>
      </w:r>
    </w:p>
    <w:p w14:paraId="12648EA1" w14:textId="5E66D6AA" w:rsidR="00180C29" w:rsidRPr="008431BF" w:rsidRDefault="008431BF" w:rsidP="008431BF">
      <w:pPr>
        <w:pStyle w:val="Fundamentos"/>
        <w:rPr>
          <w:lang w:val="es-MX"/>
        </w:rPr>
      </w:pPr>
      <w:r>
        <w:rPr>
          <w:lang w:val="es-MX"/>
        </w:rPr>
        <w:t>[…]</w:t>
      </w:r>
    </w:p>
    <w:p w14:paraId="518FFAF1" w14:textId="77777777" w:rsidR="008431BF" w:rsidRPr="008431BF" w:rsidRDefault="008431BF" w:rsidP="008431BF">
      <w:pPr>
        <w:pStyle w:val="Fundamentos"/>
        <w:rPr>
          <w:lang w:val="es-MX"/>
        </w:rPr>
      </w:pPr>
      <w:r w:rsidRPr="008431BF">
        <w:rPr>
          <w:b/>
          <w:lang w:val="es-MX"/>
        </w:rPr>
        <w:t>XXIX.</w:t>
      </w:r>
      <w:r w:rsidRPr="008431BF">
        <w:rPr>
          <w:lang w:val="es-MX"/>
        </w:rPr>
        <w:tab/>
        <w:t xml:space="preserve">La información sobre los procesos y resultados sobre procedimientos de adjudicación directa, invitación restringida y licitación de cualquier naturaleza, incluyendo la versión </w:t>
      </w:r>
      <w:r w:rsidRPr="008431BF">
        <w:rPr>
          <w:lang w:val="es-MX"/>
        </w:rPr>
        <w:lastRenderedPageBreak/>
        <w:t>pública del expediente respectivo y de los contratos celebrados, que deberán contener, por los menos, lo siguiente:</w:t>
      </w:r>
    </w:p>
    <w:p w14:paraId="1B9AE0D8" w14:textId="77777777" w:rsidR="008431BF" w:rsidRPr="008431BF" w:rsidRDefault="008431BF" w:rsidP="008431BF">
      <w:pPr>
        <w:pStyle w:val="Fundamentos"/>
        <w:ind w:left="993"/>
        <w:rPr>
          <w:lang w:val="es-MX"/>
        </w:rPr>
      </w:pPr>
    </w:p>
    <w:p w14:paraId="1FB08A86" w14:textId="77777777" w:rsidR="008431BF" w:rsidRPr="008431BF" w:rsidRDefault="008431BF" w:rsidP="008431BF">
      <w:pPr>
        <w:pStyle w:val="Fundamentos"/>
        <w:ind w:left="993"/>
        <w:rPr>
          <w:lang w:val="es-MX"/>
        </w:rPr>
      </w:pPr>
      <w:r w:rsidRPr="008431BF">
        <w:rPr>
          <w:b/>
          <w:lang w:val="es-MX"/>
        </w:rPr>
        <w:t>a)</w:t>
      </w:r>
      <w:r w:rsidRPr="008431BF">
        <w:rPr>
          <w:lang w:val="es-MX"/>
        </w:rPr>
        <w:tab/>
        <w:t>De licitaciones públicas o procedimientos de invitación restringida:</w:t>
      </w:r>
    </w:p>
    <w:p w14:paraId="03435A06" w14:textId="77777777" w:rsidR="008431BF" w:rsidRPr="008431BF" w:rsidRDefault="008431BF" w:rsidP="008431BF">
      <w:pPr>
        <w:pStyle w:val="Fundamentos"/>
        <w:ind w:left="1418"/>
        <w:rPr>
          <w:lang w:val="es-MX"/>
        </w:rPr>
      </w:pPr>
      <w:r w:rsidRPr="008431BF">
        <w:rPr>
          <w:b/>
          <w:lang w:val="es-MX"/>
        </w:rPr>
        <w:t>1)</w:t>
      </w:r>
      <w:r w:rsidRPr="008431BF">
        <w:rPr>
          <w:lang w:val="es-MX"/>
        </w:rPr>
        <w:tab/>
        <w:t>La convocatoria o invitación emitida, así como los fundamentos legales aplicados para llevarla a cabo;</w:t>
      </w:r>
    </w:p>
    <w:p w14:paraId="628DA44D" w14:textId="77777777" w:rsidR="008431BF" w:rsidRPr="008431BF" w:rsidRDefault="008431BF" w:rsidP="008431BF">
      <w:pPr>
        <w:pStyle w:val="Fundamentos"/>
        <w:ind w:left="1418"/>
        <w:rPr>
          <w:lang w:val="es-MX"/>
        </w:rPr>
      </w:pPr>
      <w:r w:rsidRPr="008431BF">
        <w:rPr>
          <w:b/>
          <w:lang w:val="es-MX"/>
        </w:rPr>
        <w:t>2)</w:t>
      </w:r>
      <w:r w:rsidRPr="008431BF">
        <w:rPr>
          <w:lang w:val="es-MX"/>
        </w:rPr>
        <w:tab/>
        <w:t>Los nombres de los participantes o invitados;</w:t>
      </w:r>
    </w:p>
    <w:p w14:paraId="616573D6" w14:textId="77777777" w:rsidR="008431BF" w:rsidRPr="008431BF" w:rsidRDefault="008431BF" w:rsidP="008431BF">
      <w:pPr>
        <w:pStyle w:val="Fundamentos"/>
        <w:ind w:left="1418"/>
        <w:rPr>
          <w:lang w:val="es-MX"/>
        </w:rPr>
      </w:pPr>
      <w:r w:rsidRPr="008431BF">
        <w:rPr>
          <w:b/>
          <w:lang w:val="es-MX"/>
        </w:rPr>
        <w:t>3)</w:t>
      </w:r>
      <w:r w:rsidRPr="008431BF">
        <w:rPr>
          <w:lang w:val="es-MX"/>
        </w:rPr>
        <w:tab/>
        <w:t>El nombre del ganador y las razones que lo justifican;</w:t>
      </w:r>
    </w:p>
    <w:p w14:paraId="52D3398E" w14:textId="77777777" w:rsidR="008431BF" w:rsidRPr="008431BF" w:rsidRDefault="008431BF" w:rsidP="008431BF">
      <w:pPr>
        <w:pStyle w:val="Fundamentos"/>
        <w:ind w:left="1418"/>
        <w:rPr>
          <w:lang w:val="es-MX"/>
        </w:rPr>
      </w:pPr>
      <w:r w:rsidRPr="008431BF">
        <w:rPr>
          <w:b/>
          <w:lang w:val="es-MX"/>
        </w:rPr>
        <w:t>4)</w:t>
      </w:r>
      <w:r w:rsidRPr="008431BF">
        <w:rPr>
          <w:lang w:val="es-MX"/>
        </w:rPr>
        <w:tab/>
        <w:t>El área solicitante y la responsable de su ejecución;</w:t>
      </w:r>
    </w:p>
    <w:p w14:paraId="0A470364" w14:textId="77777777" w:rsidR="008431BF" w:rsidRPr="008431BF" w:rsidRDefault="008431BF" w:rsidP="008431BF">
      <w:pPr>
        <w:pStyle w:val="Fundamentos"/>
        <w:ind w:left="1418"/>
        <w:rPr>
          <w:lang w:val="es-MX"/>
        </w:rPr>
      </w:pPr>
      <w:r w:rsidRPr="008431BF">
        <w:rPr>
          <w:b/>
          <w:lang w:val="es-MX"/>
        </w:rPr>
        <w:t>5)</w:t>
      </w:r>
      <w:r w:rsidRPr="008431BF">
        <w:rPr>
          <w:lang w:val="es-MX"/>
        </w:rPr>
        <w:tab/>
        <w:t>Las convocatorias e invitaciones emitidas;</w:t>
      </w:r>
    </w:p>
    <w:p w14:paraId="4B46A8DA" w14:textId="77777777" w:rsidR="008431BF" w:rsidRPr="008431BF" w:rsidRDefault="008431BF" w:rsidP="008431BF">
      <w:pPr>
        <w:pStyle w:val="Fundamentos"/>
        <w:ind w:left="1418"/>
        <w:rPr>
          <w:lang w:val="es-MX"/>
        </w:rPr>
      </w:pPr>
      <w:r w:rsidRPr="008431BF">
        <w:rPr>
          <w:b/>
          <w:lang w:val="es-MX"/>
        </w:rPr>
        <w:t>6)</w:t>
      </w:r>
      <w:r w:rsidRPr="008431BF">
        <w:rPr>
          <w:lang w:val="es-MX"/>
        </w:rPr>
        <w:tab/>
        <w:t>Los dictámenes y fallo de adjudicación;</w:t>
      </w:r>
    </w:p>
    <w:p w14:paraId="5C2FFD67" w14:textId="77777777" w:rsidR="008431BF" w:rsidRPr="008431BF" w:rsidRDefault="008431BF" w:rsidP="008431BF">
      <w:pPr>
        <w:pStyle w:val="Fundamentos"/>
        <w:ind w:left="1418"/>
        <w:rPr>
          <w:lang w:val="es-MX"/>
        </w:rPr>
      </w:pPr>
      <w:r w:rsidRPr="008431BF">
        <w:rPr>
          <w:b/>
          <w:lang w:val="es-MX"/>
        </w:rPr>
        <w:t>7)</w:t>
      </w:r>
      <w:r w:rsidRPr="008431BF">
        <w:rPr>
          <w:lang w:val="es-MX"/>
        </w:rPr>
        <w:tab/>
        <w:t>El contrato y, en su caso, sus anexos;</w:t>
      </w:r>
    </w:p>
    <w:p w14:paraId="39876133" w14:textId="77777777" w:rsidR="008431BF" w:rsidRPr="008431BF" w:rsidRDefault="008431BF" w:rsidP="008431BF">
      <w:pPr>
        <w:pStyle w:val="Fundamentos"/>
        <w:ind w:left="1418"/>
        <w:rPr>
          <w:lang w:val="es-MX"/>
        </w:rPr>
      </w:pPr>
      <w:r w:rsidRPr="008431BF">
        <w:rPr>
          <w:b/>
          <w:lang w:val="es-MX"/>
        </w:rPr>
        <w:t>8)</w:t>
      </w:r>
      <w:r w:rsidRPr="008431BF">
        <w:rPr>
          <w:lang w:val="es-MX"/>
        </w:rPr>
        <w:tab/>
        <w:t>Los mecanismos de vigilancia y supervisión, incluyendo en su caso, los estudios de impacto urbano y ambiental, según corresponda;</w:t>
      </w:r>
    </w:p>
    <w:p w14:paraId="7AC10474" w14:textId="77777777" w:rsidR="008431BF" w:rsidRPr="008431BF" w:rsidRDefault="008431BF" w:rsidP="008431BF">
      <w:pPr>
        <w:pStyle w:val="Fundamentos"/>
        <w:ind w:left="1418"/>
        <w:rPr>
          <w:lang w:val="es-MX"/>
        </w:rPr>
      </w:pPr>
      <w:r w:rsidRPr="008431BF">
        <w:rPr>
          <w:b/>
          <w:lang w:val="es-MX"/>
        </w:rPr>
        <w:t>9)</w:t>
      </w:r>
      <w:r w:rsidRPr="008431BF">
        <w:rPr>
          <w:lang w:val="es-MX"/>
        </w:rPr>
        <w:tab/>
        <w:t>La partida presupuestal, de conformidad con el clasificador por objeto del gasto, en el caso de ser aplicable;</w:t>
      </w:r>
    </w:p>
    <w:p w14:paraId="53A8D14E" w14:textId="77777777" w:rsidR="008431BF" w:rsidRPr="008431BF" w:rsidRDefault="008431BF" w:rsidP="008431BF">
      <w:pPr>
        <w:pStyle w:val="Fundamentos"/>
        <w:ind w:left="1418"/>
        <w:rPr>
          <w:lang w:val="es-MX"/>
        </w:rPr>
      </w:pPr>
      <w:r w:rsidRPr="008431BF">
        <w:rPr>
          <w:b/>
          <w:lang w:val="es-MX"/>
        </w:rPr>
        <w:t>10)</w:t>
      </w:r>
      <w:r w:rsidRPr="008431BF">
        <w:rPr>
          <w:lang w:val="es-MX"/>
        </w:rPr>
        <w:tab/>
        <w:t>Origen de los recursos especificando si son federales, estatales o municipales, así como el tipo de fondo de participación o aportación respectiva;</w:t>
      </w:r>
    </w:p>
    <w:p w14:paraId="570DF9A2" w14:textId="77777777" w:rsidR="008431BF" w:rsidRPr="008431BF" w:rsidRDefault="008431BF" w:rsidP="008431BF">
      <w:pPr>
        <w:pStyle w:val="Fundamentos"/>
        <w:ind w:left="1418"/>
        <w:rPr>
          <w:lang w:val="es-MX"/>
        </w:rPr>
      </w:pPr>
      <w:r w:rsidRPr="008431BF">
        <w:rPr>
          <w:b/>
          <w:lang w:val="es-MX"/>
        </w:rPr>
        <w:t>11)</w:t>
      </w:r>
      <w:r w:rsidRPr="008431BF">
        <w:rPr>
          <w:lang w:val="es-MX"/>
        </w:rPr>
        <w:tab/>
        <w:t>Los convenios modificatorios que, en su caso, sean firmados, precisando el objeto y la fecha de celebración;</w:t>
      </w:r>
    </w:p>
    <w:p w14:paraId="6CEC5090" w14:textId="77777777" w:rsidR="008431BF" w:rsidRPr="008431BF" w:rsidRDefault="008431BF" w:rsidP="008431BF">
      <w:pPr>
        <w:pStyle w:val="Fundamentos"/>
        <w:ind w:left="1418"/>
        <w:rPr>
          <w:lang w:val="es-MX"/>
        </w:rPr>
      </w:pPr>
      <w:r w:rsidRPr="008431BF">
        <w:rPr>
          <w:b/>
          <w:lang w:val="es-MX"/>
        </w:rPr>
        <w:t>12)</w:t>
      </w:r>
      <w:r w:rsidRPr="008431BF">
        <w:rPr>
          <w:lang w:val="es-MX"/>
        </w:rPr>
        <w:tab/>
        <w:t>Los informes de avance físico y financiero sobre las obras o servicios contratados;</w:t>
      </w:r>
    </w:p>
    <w:p w14:paraId="454BCD63" w14:textId="77777777" w:rsidR="008431BF" w:rsidRPr="008431BF" w:rsidRDefault="008431BF" w:rsidP="008431BF">
      <w:pPr>
        <w:pStyle w:val="Fundamentos"/>
        <w:ind w:left="1418"/>
        <w:rPr>
          <w:lang w:val="es-MX"/>
        </w:rPr>
      </w:pPr>
      <w:r w:rsidRPr="008431BF">
        <w:rPr>
          <w:b/>
          <w:lang w:val="es-MX"/>
        </w:rPr>
        <w:t>13)</w:t>
      </w:r>
      <w:r w:rsidRPr="008431BF">
        <w:rPr>
          <w:lang w:val="es-MX"/>
        </w:rPr>
        <w:tab/>
        <w:t>El convenio de terminación; y</w:t>
      </w:r>
    </w:p>
    <w:p w14:paraId="623C5691" w14:textId="77777777" w:rsidR="008431BF" w:rsidRPr="008431BF" w:rsidRDefault="008431BF" w:rsidP="008431BF">
      <w:pPr>
        <w:pStyle w:val="Fundamentos"/>
        <w:ind w:left="1418"/>
        <w:rPr>
          <w:lang w:val="es-MX"/>
        </w:rPr>
      </w:pPr>
      <w:r w:rsidRPr="008431BF">
        <w:rPr>
          <w:b/>
          <w:lang w:val="es-MX"/>
        </w:rPr>
        <w:t>14)</w:t>
      </w:r>
      <w:r w:rsidRPr="008431BF">
        <w:rPr>
          <w:lang w:val="es-MX"/>
        </w:rPr>
        <w:tab/>
        <w:t>El finiquito.</w:t>
      </w:r>
    </w:p>
    <w:p w14:paraId="71B0AAAA" w14:textId="77777777" w:rsidR="008431BF" w:rsidRPr="008431BF" w:rsidRDefault="008431BF" w:rsidP="008431BF">
      <w:pPr>
        <w:pStyle w:val="Fundamentos"/>
        <w:ind w:left="993"/>
        <w:rPr>
          <w:lang w:val="es-MX"/>
        </w:rPr>
      </w:pPr>
    </w:p>
    <w:p w14:paraId="0BB10D6C" w14:textId="77777777" w:rsidR="008431BF" w:rsidRDefault="008431BF" w:rsidP="008431BF">
      <w:pPr>
        <w:pStyle w:val="Fundamentos"/>
        <w:ind w:left="993"/>
        <w:rPr>
          <w:lang w:val="es-MX"/>
        </w:rPr>
      </w:pPr>
      <w:r w:rsidRPr="008431BF">
        <w:rPr>
          <w:b/>
          <w:lang w:val="es-MX"/>
        </w:rPr>
        <w:t>b)</w:t>
      </w:r>
      <w:r w:rsidRPr="008431BF">
        <w:rPr>
          <w:lang w:val="es-MX"/>
        </w:rPr>
        <w:tab/>
      </w:r>
      <w:r>
        <w:rPr>
          <w:lang w:val="es-MX"/>
        </w:rPr>
        <w:t>[…]</w:t>
      </w:r>
    </w:p>
    <w:p w14:paraId="1453CD51" w14:textId="77777777" w:rsidR="003D0B38" w:rsidRDefault="003D0B38" w:rsidP="002156A3">
      <w:pPr>
        <w:rPr>
          <w:rFonts w:eastAsia="Palatino Linotype" w:cs="Palatino Linotype"/>
          <w:szCs w:val="24"/>
          <w:lang w:val="es-MX"/>
        </w:rPr>
      </w:pPr>
    </w:p>
    <w:p w14:paraId="0A76DAE5" w14:textId="569EEF3B" w:rsidR="008431BF" w:rsidRDefault="008431BF" w:rsidP="002156A3">
      <w:pPr>
        <w:rPr>
          <w:rFonts w:eastAsia="Palatino Linotype" w:cs="Palatino Linotype"/>
          <w:szCs w:val="24"/>
          <w:lang w:val="es-MX"/>
        </w:rPr>
      </w:pPr>
      <w:r>
        <w:rPr>
          <w:rFonts w:eastAsia="Palatino Linotype" w:cs="Palatino Linotype"/>
          <w:szCs w:val="24"/>
          <w:lang w:val="es-MX"/>
        </w:rPr>
        <w:t xml:space="preserve">Consecuentemente, toda vez que el Sujeto Obligado aceptó contar con la información solicitada relativa a las evidencias </w:t>
      </w:r>
      <w:r w:rsidR="00A553D4">
        <w:rPr>
          <w:rFonts w:eastAsia="Palatino Linotype" w:cs="Palatino Linotype"/>
          <w:szCs w:val="24"/>
          <w:lang w:val="es-MX"/>
        </w:rPr>
        <w:t xml:space="preserve">del proceso de licitación de proveedores para el Festival Intermunicipal «ATZAN 2023», aunado a que dicha información se considera como una obligación de transparencia común, se considera que la respuesta proporcionada al respecto sí trasgrede el derecho de acceso a la información del Recurrente, por lo que es necesario que se haga entrega de los documentos en donde </w:t>
      </w:r>
      <w:r w:rsidR="00A553D4">
        <w:rPr>
          <w:rFonts w:eastAsia="Palatino Linotype" w:cs="Palatino Linotype"/>
          <w:szCs w:val="24"/>
          <w:lang w:val="es-MX"/>
        </w:rPr>
        <w:lastRenderedPageBreak/>
        <w:t>conste el proceso de licitación de proveedores, con la finalidad de colmar la pretensión del particular.</w:t>
      </w:r>
    </w:p>
    <w:p w14:paraId="3A6BDA35" w14:textId="77777777" w:rsidR="00A553D4" w:rsidRDefault="00A553D4" w:rsidP="002156A3">
      <w:pPr>
        <w:rPr>
          <w:rFonts w:eastAsia="Palatino Linotype" w:cs="Palatino Linotype"/>
          <w:szCs w:val="24"/>
          <w:lang w:val="es-MX"/>
        </w:rPr>
      </w:pPr>
    </w:p>
    <w:p w14:paraId="1CC5B21C" w14:textId="021C14D2" w:rsidR="004C75B3" w:rsidRDefault="00A553D4" w:rsidP="004C75B3">
      <w:pPr>
        <w:rPr>
          <w:rFonts w:eastAsia="Palatino Linotype" w:cs="Palatino Linotype"/>
          <w:szCs w:val="24"/>
        </w:rPr>
      </w:pPr>
      <w:r>
        <w:rPr>
          <w:rFonts w:eastAsia="Palatino Linotype" w:cs="Palatino Linotype"/>
          <w:szCs w:val="24"/>
        </w:rPr>
        <w:t>En conclusión, p</w:t>
      </w:r>
      <w:r w:rsidR="003B006E" w:rsidRPr="00754B8E">
        <w:rPr>
          <w:rFonts w:eastAsia="Palatino Linotype" w:cs="Palatino Linotype"/>
          <w:szCs w:val="24"/>
        </w:rPr>
        <w:t>or lo argumentado en párrafos anteriores</w:t>
      </w:r>
      <w:r w:rsidR="004C75B3" w:rsidRPr="00754B8E">
        <w:rPr>
          <w:rFonts w:eastAsia="Palatino Linotype" w:cs="Palatino Linotype"/>
          <w:szCs w:val="24"/>
        </w:rPr>
        <w:t>, este Instituto estima que los motivos de inconformidad planteados po</w:t>
      </w:r>
      <w:r w:rsidR="007E205A" w:rsidRPr="00754B8E">
        <w:rPr>
          <w:rFonts w:eastAsia="Palatino Linotype" w:cs="Palatino Linotype"/>
          <w:szCs w:val="24"/>
        </w:rPr>
        <w:t xml:space="preserve">r el Recurrente devienen </w:t>
      </w:r>
      <w:r w:rsidR="004C75B3" w:rsidRPr="00754B8E">
        <w:rPr>
          <w:rFonts w:eastAsia="Palatino Linotype" w:cs="Palatino Linotype"/>
          <w:szCs w:val="24"/>
        </w:rPr>
        <w:t>fundados, por lo que es procedente</w:t>
      </w:r>
      <w:r w:rsidR="003B006E" w:rsidRPr="00754B8E">
        <w:rPr>
          <w:rFonts w:eastAsia="Palatino Linotype" w:cs="Palatino Linotype"/>
          <w:szCs w:val="24"/>
        </w:rPr>
        <w:t xml:space="preserve"> modificar la respuesta y</w:t>
      </w:r>
      <w:r w:rsidR="004C75B3" w:rsidRPr="00754B8E">
        <w:rPr>
          <w:rFonts w:eastAsia="Palatino Linotype" w:cs="Palatino Linotype"/>
          <w:szCs w:val="24"/>
        </w:rPr>
        <w:t xml:space="preserve"> ordenar al Sujeto Obligado a que haga entrega</w:t>
      </w:r>
      <w:r w:rsidR="003B006E" w:rsidRPr="00754B8E">
        <w:rPr>
          <w:rFonts w:eastAsia="Palatino Linotype" w:cs="Palatino Linotype"/>
          <w:szCs w:val="24"/>
        </w:rPr>
        <w:t xml:space="preserve"> al particular de</w:t>
      </w:r>
      <w:r>
        <w:rPr>
          <w:rFonts w:eastAsia="Palatino Linotype" w:cs="Palatino Linotype"/>
          <w:szCs w:val="24"/>
        </w:rPr>
        <w:t xml:space="preserve"> </w:t>
      </w:r>
      <w:r w:rsidR="003B006E" w:rsidRPr="00754B8E">
        <w:rPr>
          <w:rFonts w:eastAsia="Palatino Linotype" w:cs="Palatino Linotype"/>
          <w:szCs w:val="24"/>
        </w:rPr>
        <w:t>l</w:t>
      </w:r>
      <w:r>
        <w:rPr>
          <w:rFonts w:eastAsia="Palatino Linotype" w:cs="Palatino Linotype"/>
          <w:szCs w:val="24"/>
        </w:rPr>
        <w:t xml:space="preserve">os documentos en donde consten las evidencias de la realización del procedimiento de licitación pública relativa a los proveedores para la realización del Festival Intermunicipal «ATZAN 2023», </w:t>
      </w:r>
      <w:r w:rsidR="00754B8E" w:rsidRPr="00754B8E">
        <w:rPr>
          <w:rFonts w:eastAsia="Palatino Linotype" w:cs="Palatino Linotype"/>
          <w:bCs/>
          <w:color w:val="000000"/>
        </w:rPr>
        <w:t>lo anterior en versión pública de ser procedente.</w:t>
      </w:r>
    </w:p>
    <w:p w14:paraId="59FFF080" w14:textId="77777777" w:rsidR="00DA17F7" w:rsidRDefault="00DA17F7" w:rsidP="00177F85"/>
    <w:p w14:paraId="08F47F87" w14:textId="77777777" w:rsidR="000A1377" w:rsidRDefault="000A1377" w:rsidP="000A1377">
      <w:pPr>
        <w:pStyle w:val="Ttulo3"/>
        <w:rPr>
          <w:rFonts w:eastAsia="Palatino Linotype"/>
        </w:rPr>
      </w:pPr>
      <w:r>
        <w:rPr>
          <w:rFonts w:eastAsia="Palatino Linotype"/>
        </w:rPr>
        <w:t>DE LA VERSIÓN PÚBLICA</w:t>
      </w:r>
    </w:p>
    <w:p w14:paraId="26CD0E86" w14:textId="2A5BBE25" w:rsidR="000A1377" w:rsidRPr="00F42CE0" w:rsidRDefault="000A1377" w:rsidP="000A1377">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sidR="00754B8E">
        <w:rPr>
          <w:rFonts w:eastAsia="Palatino Linotype" w:cs="Palatino Linotype"/>
          <w:szCs w:val="24"/>
        </w:rPr>
        <w:t>acciones IX, XX, XXI y XLV, 91,</w:t>
      </w:r>
      <w:r w:rsidRPr="00F42CE0">
        <w:rPr>
          <w:rFonts w:eastAsia="Palatino Linotype" w:cs="Palatino Linotype"/>
          <w:szCs w:val="24"/>
        </w:rPr>
        <w:t xml:space="preserve"> 132 fracciones II y III </w:t>
      </w:r>
      <w:r w:rsidR="00754B8E">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23B2F22A" w14:textId="77777777" w:rsidR="000A1377" w:rsidRPr="00F42CE0" w:rsidRDefault="000A1377" w:rsidP="000A1377">
      <w:pPr>
        <w:rPr>
          <w:rFonts w:eastAsia="Palatino Linotype" w:cs="Palatino Linotype"/>
          <w:szCs w:val="24"/>
        </w:rPr>
      </w:pPr>
    </w:p>
    <w:p w14:paraId="2300F3AD"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7690F316" w14:textId="08DB5661" w:rsidR="000A1377" w:rsidRPr="00F42CE0" w:rsidRDefault="00381BAB"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31CA7885"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F7E64F4"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6EF3A7EC"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47E0D49" w14:textId="68523A83" w:rsidR="000A1377" w:rsidRPr="00F42CE0" w:rsidRDefault="00754B8E"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000A1377"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42D0696F"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50699ED7" w14:textId="3F9E1C6F" w:rsidR="000A1377" w:rsidRPr="00F42CE0" w:rsidRDefault="00754B8E"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7EFF7DEF"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A8F463E"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55867B49"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334734B"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2E37BA92"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2AFD40F7"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50B219F9"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5B9B41EB" w14:textId="59121A06" w:rsidR="000A1377" w:rsidRDefault="00754B8E"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67D4CEB" w14:textId="77777777" w:rsidR="00754B8E" w:rsidRDefault="00754B8E"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8C43E8C" w14:textId="77777777" w:rsidR="00754B8E" w:rsidRPr="00754B8E" w:rsidRDefault="00754B8E" w:rsidP="00754B8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4BA06E2E" w14:textId="77777777" w:rsidR="00754B8E" w:rsidRPr="00754B8E" w:rsidRDefault="00754B8E" w:rsidP="00754B8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754B8E">
        <w:rPr>
          <w:rFonts w:eastAsia="Palatino Linotype" w:cs="Palatino Linotype"/>
          <w:i/>
          <w:color w:val="000000"/>
          <w:sz w:val="22"/>
          <w:szCs w:val="24"/>
        </w:rPr>
        <w:t>;</w:t>
      </w:r>
    </w:p>
    <w:p w14:paraId="64AFB513" w14:textId="77777777" w:rsidR="00754B8E" w:rsidRPr="00754B8E" w:rsidRDefault="00754B8E" w:rsidP="00754B8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43C275FD" w14:textId="77777777" w:rsidR="00754B8E" w:rsidRPr="00754B8E" w:rsidRDefault="00754B8E" w:rsidP="00754B8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16354DD2" w14:textId="77777777" w:rsidR="00754B8E" w:rsidRPr="00754B8E" w:rsidRDefault="00754B8E" w:rsidP="00754B8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i/>
          <w:color w:val="000000"/>
          <w:sz w:val="22"/>
          <w:szCs w:val="24"/>
        </w:rPr>
        <w:t>La información confidencial no estará sujeta a temporalidad alguna y sólo podrán tener acceso a ella los titulares de la misma, sus representantes y los servidores públicos facultados para ello.</w:t>
      </w:r>
    </w:p>
    <w:p w14:paraId="2FFCAD10" w14:textId="15F71BC7" w:rsidR="00754B8E" w:rsidRPr="00F42CE0" w:rsidRDefault="00754B8E" w:rsidP="00754B8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i/>
          <w:color w:val="000000"/>
          <w:sz w:val="22"/>
          <w:szCs w:val="24"/>
        </w:rPr>
        <w:t>No se considerará confidencial la información que se encuentre en los registros públicos o en fuentes de acceso público, ni tampoco la que sea considerada por la presente ley como información pública.</w:t>
      </w:r>
    </w:p>
    <w:p w14:paraId="6E3CB3C1" w14:textId="77777777" w:rsidR="000A1377" w:rsidRPr="00F42CE0" w:rsidRDefault="000A1377" w:rsidP="000A1377">
      <w:pPr>
        <w:rPr>
          <w:rFonts w:eastAsia="Palatino Linotype" w:cs="Palatino Linotype"/>
          <w:i/>
          <w:szCs w:val="24"/>
        </w:rPr>
      </w:pPr>
    </w:p>
    <w:p w14:paraId="29C8D5B8" w14:textId="77777777" w:rsidR="000A1377" w:rsidRPr="00F42CE0" w:rsidRDefault="000A1377" w:rsidP="000A1377">
      <w:pPr>
        <w:rPr>
          <w:rFonts w:eastAsia="Palatino Linotype" w:cs="Palatino Linotype"/>
          <w:szCs w:val="24"/>
        </w:rPr>
      </w:pPr>
      <w:r w:rsidRPr="00F42CE0">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BBCF2F" w14:textId="77777777" w:rsidR="000A1377" w:rsidRPr="00F42CE0" w:rsidRDefault="000A1377" w:rsidP="000A1377">
      <w:pPr>
        <w:rPr>
          <w:rFonts w:eastAsia="Palatino Linotype" w:cs="Palatino Linotype"/>
          <w:szCs w:val="24"/>
        </w:rPr>
      </w:pPr>
    </w:p>
    <w:p w14:paraId="780801A8" w14:textId="77777777" w:rsidR="000A1377" w:rsidRPr="00F42CE0" w:rsidRDefault="000A1377" w:rsidP="000A1377">
      <w:pPr>
        <w:rPr>
          <w:rFonts w:eastAsia="Palatino Linotype" w:cs="Palatino Linotype"/>
          <w:szCs w:val="24"/>
        </w:rPr>
      </w:pPr>
      <w:r w:rsidRPr="00F42CE0">
        <w:rPr>
          <w:rFonts w:eastAsia="Palatino Linotype" w:cs="Palatino Linotype"/>
          <w:szCs w:val="24"/>
        </w:rPr>
        <w:lastRenderedPageBreak/>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6348416" w14:textId="77777777" w:rsidR="000A1377" w:rsidRPr="00F42CE0" w:rsidRDefault="000A1377" w:rsidP="000A1377">
      <w:pPr>
        <w:rPr>
          <w:rFonts w:eastAsia="Palatino Linotype" w:cs="Palatino Linotype"/>
          <w:szCs w:val="24"/>
        </w:rPr>
      </w:pPr>
    </w:p>
    <w:p w14:paraId="07BC3C27" w14:textId="77777777" w:rsidR="000A1377" w:rsidRPr="00F42CE0" w:rsidRDefault="000A1377" w:rsidP="000A1377">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5B5C56D1" w14:textId="77777777" w:rsidR="000A1377" w:rsidRPr="00F42CE0" w:rsidRDefault="000A1377" w:rsidP="000A1377">
      <w:pPr>
        <w:rPr>
          <w:rFonts w:eastAsia="Palatino Linotype" w:cs="Palatino Linotype"/>
        </w:rPr>
      </w:pPr>
    </w:p>
    <w:p w14:paraId="007B880A" w14:textId="77777777" w:rsidR="000A1377"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1E1EA1A1"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82B6799"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543209D9"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EB0A0F0"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791AE3E9"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17A661DA"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5049394"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B9E751F"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090016BC"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374D022" w14:textId="77777777" w:rsidR="000A1377" w:rsidRPr="00F42CE0" w:rsidRDefault="000A1377" w:rsidP="000A137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13619E24" w14:textId="77777777" w:rsidR="000A1377" w:rsidRPr="00F42CE0" w:rsidRDefault="000A1377" w:rsidP="000A1377">
      <w:pPr>
        <w:rPr>
          <w:rFonts w:eastAsia="Palatino Linotype" w:cs="Palatino Linotype"/>
          <w:i/>
          <w:szCs w:val="24"/>
        </w:rPr>
      </w:pPr>
    </w:p>
    <w:p w14:paraId="22FC933C" w14:textId="77777777" w:rsidR="000A1377" w:rsidRPr="00F42CE0" w:rsidRDefault="000A1377" w:rsidP="000A1377">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EA93B90" w14:textId="77777777" w:rsidR="000A1377" w:rsidRDefault="000A1377" w:rsidP="000A1377">
      <w:pPr>
        <w:rPr>
          <w:rFonts w:eastAsia="Palatino Linotype" w:cs="Palatino Linotype"/>
          <w:szCs w:val="24"/>
        </w:rPr>
      </w:pPr>
    </w:p>
    <w:p w14:paraId="575DDFB7" w14:textId="77777777" w:rsidR="00754B8E" w:rsidRPr="00754B8E" w:rsidRDefault="00754B8E" w:rsidP="00754B8E">
      <w:pPr>
        <w:rPr>
          <w:rFonts w:eastAsia="Palatino Linotype" w:cs="Palatino Linotype"/>
          <w:szCs w:val="24"/>
        </w:rPr>
      </w:pPr>
      <w:r w:rsidRPr="00754B8E">
        <w:rPr>
          <w:rFonts w:eastAsia="Palatino Linotype" w:cs="Palatino Linotype"/>
          <w:szCs w:val="24"/>
        </w:rPr>
        <w:t xml:space="preserve">Debe agregarse, que el Sujeto Obligado al entregar la referida documentación, debe dejar visible los datos del proveedor o contratistas, el registro federal de contribuyentes y el domicilio fiscal; es decir, no debe testarse dato alguno relacionado con el contribuyente aunque el proveedor o contratista sea una persona física. </w:t>
      </w:r>
    </w:p>
    <w:p w14:paraId="475C669E" w14:textId="77777777" w:rsidR="00754B8E" w:rsidRPr="00754B8E" w:rsidRDefault="00754B8E" w:rsidP="00754B8E">
      <w:pPr>
        <w:rPr>
          <w:rFonts w:eastAsia="Palatino Linotype" w:cs="Palatino Linotype"/>
          <w:szCs w:val="24"/>
        </w:rPr>
      </w:pPr>
    </w:p>
    <w:p w14:paraId="3ED98DE5" w14:textId="77777777" w:rsidR="00754B8E" w:rsidRPr="00754B8E" w:rsidRDefault="00754B8E" w:rsidP="00754B8E">
      <w:pPr>
        <w:rPr>
          <w:rFonts w:eastAsia="Palatino Linotype" w:cs="Palatino Linotype"/>
          <w:szCs w:val="24"/>
        </w:rPr>
      </w:pPr>
      <w:r w:rsidRPr="00754B8E">
        <w:rPr>
          <w:rFonts w:eastAsia="Palatino Linotype" w:cs="Palatino Linotype"/>
          <w:szCs w:val="24"/>
        </w:rPr>
        <w:t xml:space="preserve">Lo anterior se debe a que del ejercicio de ponderación entre el derecho a la protección de datos personales y el derecho de acceso a la información pública, es de mayor trascendencia el que cualquier persona pueda conocer en qué se gastan los recursos </w:t>
      </w:r>
      <w:r w:rsidRPr="00754B8E">
        <w:rPr>
          <w:rFonts w:eastAsia="Palatino Linotype" w:cs="Palatino Linotype"/>
          <w:szCs w:val="24"/>
        </w:rPr>
        <w:lastRenderedPageBreak/>
        <w:t xml:space="preserve">públicos, puesto que se trata de erogaciones de recursos públicos, por lo que se debe transparentar su ejercicio. </w:t>
      </w:r>
    </w:p>
    <w:p w14:paraId="3B256382" w14:textId="77777777" w:rsidR="00754B8E" w:rsidRPr="00754B8E" w:rsidRDefault="00754B8E" w:rsidP="00754B8E">
      <w:pPr>
        <w:rPr>
          <w:rFonts w:eastAsia="Palatino Linotype" w:cs="Palatino Linotype"/>
          <w:szCs w:val="24"/>
        </w:rPr>
      </w:pPr>
    </w:p>
    <w:p w14:paraId="2467397C" w14:textId="77777777" w:rsidR="00754B8E" w:rsidRPr="00754B8E" w:rsidRDefault="00754B8E" w:rsidP="00754B8E">
      <w:pPr>
        <w:rPr>
          <w:rFonts w:eastAsia="Palatino Linotype" w:cs="Palatino Linotype"/>
          <w:szCs w:val="24"/>
        </w:rPr>
      </w:pPr>
      <w:r w:rsidRPr="00754B8E">
        <w:rPr>
          <w:rFonts w:eastAsia="Palatino Linotype" w:cs="Palatino Linotype"/>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 esto es, se están realizando pagos a una persona que realiza una obra o presta un servicio, por la que se hizo un pago con dinero del erario público.</w:t>
      </w:r>
    </w:p>
    <w:p w14:paraId="271519EC" w14:textId="77777777" w:rsidR="00754B8E" w:rsidRPr="00754B8E" w:rsidRDefault="00754B8E" w:rsidP="00754B8E">
      <w:pPr>
        <w:rPr>
          <w:rFonts w:eastAsia="Palatino Linotype" w:cs="Palatino Linotype"/>
          <w:szCs w:val="24"/>
        </w:rPr>
      </w:pPr>
    </w:p>
    <w:p w14:paraId="6F903E56" w14:textId="652BC5F7" w:rsidR="00754B8E" w:rsidRPr="00754B8E" w:rsidRDefault="00754B8E" w:rsidP="00754B8E">
      <w:pPr>
        <w:rPr>
          <w:rFonts w:eastAsia="Palatino Linotype" w:cs="Palatino Linotype"/>
          <w:szCs w:val="24"/>
        </w:rPr>
      </w:pPr>
      <w:r w:rsidRPr="00754B8E">
        <w:rPr>
          <w:rFonts w:eastAsia="Palatino Linotype" w:cs="Palatino Linotype"/>
          <w:szCs w:val="24"/>
        </w:rPr>
        <w:t>Ahora bien, respecto de los números de cuentas bancarias, claves</w:t>
      </w:r>
      <w:r w:rsidR="00381BAB">
        <w:rPr>
          <w:rFonts w:eastAsia="Palatino Linotype" w:cs="Palatino Linotype"/>
          <w:szCs w:val="24"/>
        </w:rPr>
        <w:t xml:space="preserve"> estandarizadas interbancarias</w:t>
      </w:r>
      <w:r w:rsidRPr="00754B8E">
        <w:rPr>
          <w:rFonts w:eastAsia="Palatino Linotype" w:cs="Palatino Linotype"/>
          <w:szCs w:val="24"/>
        </w:rPr>
        <w:t xml:space="preserve"> (CLABES) y de tarjetas de los proveedores, este Pleno considera que es información que debe clasificarse como confidencial y por lo tanto debe elaborarse una versión en que ésta se teste. </w:t>
      </w:r>
    </w:p>
    <w:p w14:paraId="0BB44DA6" w14:textId="77777777" w:rsidR="00754B8E" w:rsidRPr="00754B8E" w:rsidRDefault="00754B8E" w:rsidP="00754B8E">
      <w:pPr>
        <w:rPr>
          <w:rFonts w:eastAsia="Palatino Linotype" w:cs="Palatino Linotype"/>
          <w:szCs w:val="24"/>
        </w:rPr>
      </w:pPr>
    </w:p>
    <w:p w14:paraId="1F139C11" w14:textId="77777777" w:rsidR="00754B8E" w:rsidRPr="00754B8E" w:rsidRDefault="00754B8E" w:rsidP="00754B8E">
      <w:pPr>
        <w:rPr>
          <w:rFonts w:eastAsia="Palatino Linotype" w:cs="Palatino Linotype"/>
          <w:szCs w:val="24"/>
        </w:rPr>
      </w:pPr>
      <w:r w:rsidRPr="00754B8E">
        <w:rPr>
          <w:rFonts w:eastAsia="Palatino Linotype" w:cs="Palatino Linotype"/>
          <w:szCs w:val="24"/>
        </w:rPr>
        <w:t>Esto es así, ya que el número de cuenta bancaria se trata de información que sólo su titular o personas autorizadas poseen, entre otros elementos, para el acceso o consulta de información patrimonial, así como para la realización de operaciones bancarias de diversa índole, por lo que la difusión pública de dicha información facilitaría a cualquier persona interesada en afectar el patrimonio del titular de la cuenta; realice conductas tendientes a tal fin y tipificadas como delitos, con lo que se ocasionaría un serio perjuicio a su titular.</w:t>
      </w:r>
    </w:p>
    <w:p w14:paraId="4E570BF2" w14:textId="77777777" w:rsidR="00754B8E" w:rsidRPr="00754B8E" w:rsidRDefault="00754B8E" w:rsidP="00754B8E">
      <w:pPr>
        <w:rPr>
          <w:rFonts w:eastAsia="Palatino Linotype" w:cs="Palatino Linotype"/>
          <w:szCs w:val="24"/>
        </w:rPr>
      </w:pPr>
    </w:p>
    <w:p w14:paraId="7C721F99" w14:textId="77777777" w:rsidR="00754B8E" w:rsidRPr="00754B8E" w:rsidRDefault="00754B8E" w:rsidP="00754B8E">
      <w:pPr>
        <w:rPr>
          <w:rFonts w:eastAsia="Palatino Linotype" w:cs="Palatino Linotype"/>
          <w:szCs w:val="24"/>
        </w:rPr>
      </w:pPr>
      <w:r w:rsidRPr="00754B8E">
        <w:rPr>
          <w:rFonts w:eastAsia="Palatino Linotype" w:cs="Palatino Linotype"/>
          <w:szCs w:val="24"/>
        </w:rPr>
        <w:t>Por lo anterior, el número de cuenta bancaria debe ser información confidencial en términos del artículo 143, de la Ley de Transparencia y Acceso a la Información Pública del Estado de México y Municipios, en razón de que con su difusión se estaría revelando información de una persona física o jurídica colectiva.</w:t>
      </w:r>
    </w:p>
    <w:p w14:paraId="413324DF" w14:textId="77777777" w:rsidR="00754B8E" w:rsidRPr="00754B8E" w:rsidRDefault="00754B8E" w:rsidP="00754B8E">
      <w:pPr>
        <w:rPr>
          <w:rFonts w:eastAsia="Palatino Linotype" w:cs="Palatino Linotype"/>
          <w:szCs w:val="24"/>
        </w:rPr>
      </w:pPr>
    </w:p>
    <w:p w14:paraId="2F8F674A" w14:textId="57B52062" w:rsidR="00754B8E" w:rsidRPr="00754B8E" w:rsidRDefault="00754B8E" w:rsidP="00754B8E">
      <w:pPr>
        <w:rPr>
          <w:rFonts w:eastAsia="Palatino Linotype" w:cs="Palatino Linotype"/>
          <w:szCs w:val="24"/>
        </w:rPr>
      </w:pPr>
      <w:r w:rsidRPr="00754B8E">
        <w:rPr>
          <w:rFonts w:eastAsia="Palatino Linotype" w:cs="Palatino Linotype"/>
          <w:szCs w:val="24"/>
        </w:rPr>
        <w:t>Adicional a lo anterior, la publicidad de los números de cuenta bancarios en nada contribuye a la rendición de cuentas o a la transparencia de la gestión gubernamental, sino por el contrario, dar a conocerlos hace vulnerable a su titular, en caso específico de la persona prestadora de bienes o servicios, al abrir la posibilidad de que terceros que cuenten con las posibilidades tecnológicas y/o económicas puedan realizar actos ilícitos mediante operaciones cibernéticas. En esa virtud, este Pleno determina que dicha información no puede ser del dominio público, toda vez que se podría dar un uso inadecuado a la misma o cometer algún ilícito o fraude en contra de su patrimonio.</w:t>
      </w:r>
    </w:p>
    <w:p w14:paraId="2B7A3E20" w14:textId="77777777" w:rsidR="00754B8E" w:rsidRPr="00754B8E" w:rsidRDefault="00754B8E" w:rsidP="00754B8E">
      <w:pPr>
        <w:rPr>
          <w:rFonts w:eastAsia="Palatino Linotype" w:cs="Palatino Linotype"/>
          <w:szCs w:val="24"/>
        </w:rPr>
      </w:pPr>
    </w:p>
    <w:p w14:paraId="0BAE2CF7" w14:textId="77777777" w:rsidR="00754B8E" w:rsidRPr="00754B8E" w:rsidRDefault="00754B8E" w:rsidP="00754B8E">
      <w:pPr>
        <w:rPr>
          <w:rFonts w:eastAsia="Palatino Linotype" w:cs="Palatino Linotype"/>
          <w:szCs w:val="24"/>
        </w:rPr>
      </w:pPr>
      <w:r w:rsidRPr="00754B8E">
        <w:rPr>
          <w:rFonts w:eastAsia="Palatino Linotype" w:cs="Palatino Linotype"/>
          <w:szCs w:val="24"/>
        </w:rPr>
        <w:t>De este modo, en las versiones públicas se deben testar únicamente los números de las cuentas bancarias, CLABES; si es que ésta información se advierte en los documentos a otorgar; en caso contrario, se deben entregar en forma íntegra.</w:t>
      </w:r>
    </w:p>
    <w:p w14:paraId="33FFC351" w14:textId="77777777" w:rsidR="00754B8E" w:rsidRPr="00754B8E" w:rsidRDefault="00754B8E" w:rsidP="00754B8E">
      <w:pPr>
        <w:rPr>
          <w:rFonts w:eastAsia="Palatino Linotype" w:cs="Palatino Linotype"/>
          <w:szCs w:val="24"/>
        </w:rPr>
      </w:pPr>
    </w:p>
    <w:p w14:paraId="5773EEBE" w14:textId="75F4CE1E" w:rsidR="000A1377" w:rsidRDefault="00754B8E" w:rsidP="00754B8E">
      <w:pPr>
        <w:rPr>
          <w:rFonts w:eastAsia="Palatino Linotype" w:cs="Palatino Linotype"/>
          <w:szCs w:val="24"/>
        </w:rPr>
      </w:pPr>
      <w:r w:rsidRPr="00754B8E">
        <w:rPr>
          <w:rFonts w:eastAsia="Palatino Linotype" w:cs="Palatino Linotype"/>
          <w:szCs w:val="24"/>
        </w:rPr>
        <w:t>Además de ello, se considera que se deberá testar el sello digital del contribuyente que lo expide y la cadena original de éste, en virtud de que estos se pueden vincular con la identidad de un sujeto o entidad, su clave pública y la clave pública del titular del certificado; datos que, se insiste, no son de acceso público, de ahí que deben protegerse mediante la versión pública correspondiente.</w:t>
      </w:r>
    </w:p>
    <w:p w14:paraId="4B9450FB" w14:textId="77777777" w:rsidR="00754B8E" w:rsidRPr="00F42CE0" w:rsidRDefault="00754B8E" w:rsidP="00754B8E">
      <w:pPr>
        <w:rPr>
          <w:rFonts w:eastAsia="Palatino Linotype" w:cs="Palatino Linotype"/>
          <w:szCs w:val="24"/>
        </w:rPr>
      </w:pPr>
    </w:p>
    <w:p w14:paraId="4D5EEA30" w14:textId="77777777" w:rsidR="000A1377" w:rsidRPr="00F42CE0" w:rsidRDefault="000A1377" w:rsidP="000A1377">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4D4B1C56" w14:textId="77777777" w:rsidR="000A1377" w:rsidRPr="00F42CE0" w:rsidRDefault="000A1377" w:rsidP="000A1377">
      <w:pPr>
        <w:rPr>
          <w:rFonts w:eastAsia="Palatino Linotype" w:cs="Palatino Linotype"/>
          <w:szCs w:val="24"/>
        </w:rPr>
      </w:pPr>
    </w:p>
    <w:p w14:paraId="558AF478" w14:textId="77777777" w:rsidR="000A1377" w:rsidRDefault="000A1377" w:rsidP="000A1377">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93E519A" w14:textId="77777777" w:rsidR="000A1377" w:rsidRDefault="000A1377" w:rsidP="00177F85"/>
    <w:p w14:paraId="7244CAFA" w14:textId="5DCC3BEC" w:rsidR="00103A9A" w:rsidRPr="006F2304" w:rsidRDefault="00103A9A" w:rsidP="00103A9A">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sidR="005E68C5">
        <w:rPr>
          <w:rFonts w:eastAsia="Palatino Linotype" w:cs="Palatino Linotype"/>
          <w:color w:val="000000" w:themeColor="text1"/>
        </w:rPr>
        <w:t xml:space="preserve"> inconformidad planteados por el</w:t>
      </w:r>
      <w:r w:rsidRPr="0CEC3CE0">
        <w:rPr>
          <w:rFonts w:eastAsia="Palatino Linotype" w:cs="Palatino Linotype"/>
          <w:color w:val="000000" w:themeColor="text1"/>
        </w:rPr>
        <w:t xml:space="preserve"> Recurrente resultan fundados en el recurso de revisión que es materia de esta resolución; por ello </w:t>
      </w:r>
      <w:r w:rsidRPr="0CEC3CE0">
        <w:rPr>
          <w:rFonts w:eastAsia="Palatino Linotype" w:cs="Palatino Linotype"/>
          <w:b/>
          <w:bCs/>
          <w:color w:val="000000" w:themeColor="text1"/>
        </w:rPr>
        <w:t xml:space="preserve">con fundamento en la segunda hipótesis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Pr="0CEC3CE0">
        <w:rPr>
          <w:rFonts w:eastAsia="Palatino Linotype" w:cs="Palatino Linotype"/>
          <w:b/>
          <w:bCs/>
          <w:color w:val="000000" w:themeColor="text1"/>
        </w:rPr>
        <w:t xml:space="preserve">MODIFICA </w:t>
      </w:r>
      <w:r w:rsidRPr="0CEC3CE0">
        <w:rPr>
          <w:rFonts w:eastAsia="Palatino Linotype" w:cs="Palatino Linotype"/>
          <w:color w:val="000000" w:themeColor="text1"/>
        </w:rPr>
        <w:t>la respuesta a la solicitud de información número</w:t>
      </w:r>
      <w:r w:rsidRPr="0CEC3CE0">
        <w:rPr>
          <w:rFonts w:eastAsia="Palatino Linotype" w:cs="Palatino Linotype"/>
          <w:b/>
          <w:bCs/>
          <w:color w:val="000000" w:themeColor="text1"/>
        </w:rPr>
        <w:t xml:space="preserve"> </w:t>
      </w:r>
      <w:r w:rsidR="00A553D4" w:rsidRPr="00D80B02">
        <w:rPr>
          <w:rFonts w:eastAsia="Palatino Linotype" w:cs="Palatino Linotype"/>
          <w:b/>
          <w:bCs/>
          <w:color w:val="000000"/>
          <w:szCs w:val="24"/>
        </w:rPr>
        <w:t>00117/NICOROM/IP/2023</w:t>
      </w:r>
      <w:r w:rsidRPr="0CEC3CE0">
        <w:rPr>
          <w:rFonts w:eastAsia="Palatino Linotype" w:cs="Palatino Linotype"/>
          <w:color w:val="000000" w:themeColor="text1"/>
        </w:rPr>
        <w:t>, que ha sido materia del presente estudio.</w:t>
      </w:r>
    </w:p>
    <w:p w14:paraId="542BDA98" w14:textId="77777777" w:rsidR="00103A9A" w:rsidRPr="006F2304" w:rsidRDefault="00103A9A" w:rsidP="00103A9A">
      <w:pPr>
        <w:pBdr>
          <w:top w:val="nil"/>
          <w:left w:val="nil"/>
          <w:bottom w:val="nil"/>
          <w:right w:val="nil"/>
          <w:between w:val="nil"/>
        </w:pBdr>
        <w:rPr>
          <w:rFonts w:eastAsia="Palatino Linotype" w:cs="Palatino Linotype"/>
          <w:color w:val="000000"/>
          <w:szCs w:val="24"/>
        </w:rPr>
      </w:pPr>
    </w:p>
    <w:p w14:paraId="316DEA23" w14:textId="77777777" w:rsidR="00103A9A" w:rsidRPr="006F2304" w:rsidRDefault="00103A9A" w:rsidP="00103A9A">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Por lo antes expuesto y fundado es de resolverse y,</w:t>
      </w:r>
    </w:p>
    <w:p w14:paraId="60BC1049" w14:textId="77777777" w:rsidR="00103A9A" w:rsidRPr="006F2304" w:rsidRDefault="00103A9A" w:rsidP="00103A9A">
      <w:pPr>
        <w:pBdr>
          <w:top w:val="nil"/>
          <w:left w:val="nil"/>
          <w:bottom w:val="nil"/>
          <w:right w:val="nil"/>
          <w:between w:val="nil"/>
        </w:pBdr>
        <w:rPr>
          <w:rFonts w:eastAsia="Palatino Linotype" w:cs="Palatino Linotype"/>
          <w:color w:val="000000"/>
          <w:szCs w:val="24"/>
        </w:rPr>
      </w:pPr>
    </w:p>
    <w:p w14:paraId="29C9BCFA" w14:textId="77777777" w:rsidR="00103A9A" w:rsidRPr="006F2304" w:rsidRDefault="00103A9A" w:rsidP="00103A9A">
      <w:pPr>
        <w:pStyle w:val="Ttulo1"/>
        <w:rPr>
          <w:rFonts w:eastAsia="Palatino Linotype"/>
        </w:rPr>
      </w:pPr>
      <w:r w:rsidRPr="006F2304">
        <w:rPr>
          <w:rFonts w:eastAsia="Palatino Linotype"/>
        </w:rPr>
        <w:t>S E    R E S U E L V E</w:t>
      </w:r>
    </w:p>
    <w:p w14:paraId="3B639159" w14:textId="77777777" w:rsidR="00103A9A" w:rsidRPr="002E1DD0" w:rsidRDefault="00103A9A" w:rsidP="00103A9A">
      <w:pPr>
        <w:pBdr>
          <w:top w:val="nil"/>
          <w:left w:val="nil"/>
          <w:bottom w:val="nil"/>
          <w:right w:val="nil"/>
          <w:between w:val="nil"/>
        </w:pBdr>
        <w:rPr>
          <w:rFonts w:eastAsia="Palatino Linotype" w:cs="Palatino Linotype"/>
          <w:b/>
          <w:color w:val="000000"/>
          <w:szCs w:val="24"/>
        </w:rPr>
      </w:pPr>
    </w:p>
    <w:p w14:paraId="75CBC497" w14:textId="5FE3F7F5" w:rsidR="00103A9A" w:rsidRPr="002E1DD0" w:rsidRDefault="00103A9A" w:rsidP="00103A9A">
      <w:pPr>
        <w:pBdr>
          <w:top w:val="nil"/>
          <w:left w:val="nil"/>
          <w:bottom w:val="nil"/>
          <w:right w:val="nil"/>
          <w:between w:val="nil"/>
        </w:pBdr>
        <w:rPr>
          <w:rFonts w:eastAsia="Palatino Linotype" w:cs="Palatino Linotype"/>
          <w:color w:val="000000"/>
        </w:rPr>
      </w:pPr>
      <w:r w:rsidRPr="0CEC3CE0">
        <w:rPr>
          <w:rFonts w:eastAsia="Palatino Linotype" w:cs="Palatino Linotype"/>
          <w:b/>
          <w:bCs/>
          <w:color w:val="000000" w:themeColor="text1"/>
        </w:rPr>
        <w:t>PRIMERO.</w:t>
      </w:r>
      <w:r w:rsidRPr="0CEC3CE0">
        <w:rPr>
          <w:rFonts w:eastAsia="Palatino Linotype" w:cs="Palatino Linotype"/>
          <w:color w:val="000000" w:themeColor="text1"/>
        </w:rPr>
        <w:t xml:space="preserve"> Se </w:t>
      </w:r>
      <w:r w:rsidRPr="0CEC3CE0">
        <w:rPr>
          <w:rFonts w:eastAsia="Palatino Linotype" w:cs="Palatino Linotype"/>
          <w:b/>
          <w:bCs/>
          <w:color w:val="000000" w:themeColor="text1"/>
        </w:rPr>
        <w:t>MODIFICA</w:t>
      </w:r>
      <w:r w:rsidRPr="0CEC3CE0">
        <w:rPr>
          <w:rFonts w:eastAsia="Palatino Linotype" w:cs="Palatino Linotype"/>
          <w:color w:val="000000" w:themeColor="text1"/>
        </w:rPr>
        <w:t xml:space="preserve"> la respuesta entregada por el Sujeto Obligado</w:t>
      </w:r>
      <w:r w:rsidRPr="0CEC3CE0">
        <w:rPr>
          <w:rFonts w:eastAsia="Palatino Linotype" w:cs="Palatino Linotype"/>
          <w:b/>
          <w:bCs/>
          <w:color w:val="000000" w:themeColor="text1"/>
        </w:rPr>
        <w:t xml:space="preserve"> </w:t>
      </w:r>
      <w:r w:rsidRPr="0CEC3CE0">
        <w:rPr>
          <w:rFonts w:eastAsia="Palatino Linotype" w:cs="Palatino Linotype"/>
          <w:color w:val="000000" w:themeColor="text1"/>
        </w:rPr>
        <w:t xml:space="preserve">a la solicitud de información número </w:t>
      </w:r>
      <w:r w:rsidR="00A553D4" w:rsidRPr="00D80B02">
        <w:rPr>
          <w:rFonts w:eastAsia="Palatino Linotype" w:cs="Palatino Linotype"/>
          <w:b/>
          <w:bCs/>
          <w:color w:val="000000"/>
          <w:szCs w:val="24"/>
        </w:rPr>
        <w:t>00117/NICOROM/IP/2023</w:t>
      </w:r>
      <w:r w:rsidRPr="0CEC3CE0">
        <w:rPr>
          <w:rFonts w:eastAsia="Palatino Linotype" w:cs="Palatino Linotype"/>
          <w:color w:val="000000" w:themeColor="text1"/>
        </w:rPr>
        <w:t>, por resultar</w:t>
      </w:r>
      <w:r w:rsidR="005E68C5">
        <w:rPr>
          <w:rFonts w:eastAsia="Palatino Linotype" w:cs="Palatino Linotype"/>
          <w:color w:val="000000" w:themeColor="text1"/>
        </w:rPr>
        <w:t xml:space="preserve"> </w:t>
      </w:r>
      <w:r w:rsidRPr="0CEC3CE0">
        <w:rPr>
          <w:rFonts w:eastAsia="Palatino Linotype" w:cs="Palatino Linotype"/>
          <w:color w:val="000000" w:themeColor="text1"/>
        </w:rPr>
        <w:t xml:space="preserve">fundados los motivos de </w:t>
      </w:r>
      <w:r w:rsidRPr="0CEC3CE0">
        <w:rPr>
          <w:rFonts w:eastAsia="Palatino Linotype" w:cs="Palatino Linotype"/>
          <w:color w:val="000000" w:themeColor="text1"/>
        </w:rPr>
        <w:lastRenderedPageBreak/>
        <w:t>inconformidad argüidos por el Recurrente, en términos del</w:t>
      </w:r>
      <w:r w:rsidRPr="0CEC3CE0">
        <w:rPr>
          <w:rFonts w:eastAsia="Palatino Linotype" w:cs="Palatino Linotype"/>
          <w:b/>
          <w:bCs/>
          <w:color w:val="000000" w:themeColor="text1"/>
        </w:rPr>
        <w:t xml:space="preserve"> Considerando </w:t>
      </w:r>
      <w:r w:rsidR="00A553D4">
        <w:rPr>
          <w:rFonts w:eastAsia="Palatino Linotype" w:cs="Palatino Linotype"/>
          <w:b/>
          <w:bCs/>
          <w:color w:val="000000" w:themeColor="text1"/>
        </w:rPr>
        <w:t>CUAR</w:t>
      </w:r>
      <w:r w:rsidRPr="0CEC3CE0">
        <w:rPr>
          <w:rFonts w:eastAsia="Palatino Linotype" w:cs="Palatino Linotype"/>
          <w:b/>
          <w:bCs/>
          <w:color w:val="000000" w:themeColor="text1"/>
        </w:rPr>
        <w:t xml:space="preserve">TO </w:t>
      </w:r>
      <w:r w:rsidRPr="0CEC3CE0">
        <w:rPr>
          <w:rFonts w:eastAsia="Palatino Linotype" w:cs="Palatino Linotype"/>
          <w:color w:val="000000" w:themeColor="text1"/>
        </w:rPr>
        <w:t xml:space="preserve">de la presente resolución. </w:t>
      </w:r>
    </w:p>
    <w:p w14:paraId="2541DD14" w14:textId="77777777" w:rsidR="00103A9A" w:rsidRPr="002E1DD0" w:rsidRDefault="00103A9A" w:rsidP="00103A9A">
      <w:pPr>
        <w:pBdr>
          <w:top w:val="nil"/>
          <w:left w:val="nil"/>
          <w:bottom w:val="nil"/>
          <w:right w:val="nil"/>
          <w:between w:val="nil"/>
        </w:pBdr>
        <w:rPr>
          <w:rFonts w:eastAsia="Palatino Linotype" w:cs="Palatino Linotype"/>
          <w:color w:val="000000"/>
          <w:szCs w:val="24"/>
        </w:rPr>
      </w:pPr>
    </w:p>
    <w:p w14:paraId="3D0119D4" w14:textId="1FEF6936" w:rsidR="005E68C5" w:rsidRPr="00982EC2" w:rsidRDefault="00103A9A" w:rsidP="005E68C5">
      <w:pPr>
        <w:pBdr>
          <w:top w:val="nil"/>
          <w:left w:val="nil"/>
          <w:bottom w:val="nil"/>
          <w:right w:val="nil"/>
          <w:between w:val="nil"/>
        </w:pBdr>
        <w:rPr>
          <w:rFonts w:eastAsia="Palatino Linotype" w:cs="Palatino Linotype"/>
          <w:color w:val="000000"/>
          <w:szCs w:val="24"/>
        </w:rPr>
      </w:pPr>
      <w:r w:rsidRPr="002E1DD0">
        <w:rPr>
          <w:rFonts w:eastAsia="Palatino Linotype" w:cs="Palatino Linotype"/>
          <w:b/>
          <w:color w:val="000000"/>
          <w:szCs w:val="24"/>
        </w:rPr>
        <w:t>SEGUNDO.</w:t>
      </w:r>
      <w:r w:rsidRPr="002E1DD0">
        <w:rPr>
          <w:rFonts w:eastAsia="Palatino Linotype" w:cs="Palatino Linotype"/>
          <w:color w:val="000000"/>
          <w:szCs w:val="24"/>
        </w:rPr>
        <w:t xml:space="preserve"> </w:t>
      </w:r>
      <w:r w:rsidR="005E68C5" w:rsidRPr="00982EC2">
        <w:rPr>
          <w:rFonts w:eastAsia="Palatino Linotype" w:cs="Palatino Linotype"/>
          <w:color w:val="000000"/>
          <w:szCs w:val="24"/>
        </w:rPr>
        <w:t xml:space="preserve">Se </w:t>
      </w:r>
      <w:r w:rsidR="005E68C5" w:rsidRPr="00982EC2">
        <w:rPr>
          <w:rFonts w:eastAsia="Palatino Linotype" w:cs="Palatino Linotype"/>
          <w:b/>
          <w:color w:val="000000"/>
          <w:szCs w:val="24"/>
        </w:rPr>
        <w:t>ORDENA</w:t>
      </w:r>
      <w:r w:rsidR="005E68C5" w:rsidRPr="00982EC2">
        <w:rPr>
          <w:rFonts w:eastAsia="Palatino Linotype" w:cs="Palatino Linotype"/>
          <w:color w:val="000000"/>
          <w:szCs w:val="24"/>
        </w:rPr>
        <w:t xml:space="preserve"> al Sujeto Obligado que haga entrega al Recurrente mediante el Sistema de Acceso a la Información Mexiquense (SAIMEX)</w:t>
      </w:r>
      <w:r w:rsidR="00381BAB">
        <w:rPr>
          <w:rFonts w:eastAsia="Palatino Linotype" w:cs="Palatino Linotype"/>
          <w:color w:val="000000"/>
          <w:szCs w:val="24"/>
        </w:rPr>
        <w:t>, en versión pública de ser procedente</w:t>
      </w:r>
      <w:r w:rsidR="005E68C5">
        <w:rPr>
          <w:rFonts w:eastAsia="Palatino Linotype" w:cs="Palatino Linotype"/>
          <w:color w:val="000000"/>
          <w:szCs w:val="24"/>
        </w:rPr>
        <w:t xml:space="preserve"> </w:t>
      </w:r>
      <w:r w:rsidR="005E68C5" w:rsidRPr="00982EC2">
        <w:rPr>
          <w:rFonts w:eastAsia="Palatino Linotype" w:cs="Palatino Linotype"/>
          <w:color w:val="000000"/>
          <w:szCs w:val="24"/>
        </w:rPr>
        <w:t xml:space="preserve">y en términos del </w:t>
      </w:r>
      <w:r w:rsidR="005E68C5" w:rsidRPr="005E68C5">
        <w:rPr>
          <w:rFonts w:eastAsia="Palatino Linotype" w:cs="Palatino Linotype"/>
          <w:b/>
          <w:color w:val="000000"/>
          <w:szCs w:val="24"/>
        </w:rPr>
        <w:t xml:space="preserve">Considerando </w:t>
      </w:r>
      <w:r w:rsidR="00A553D4">
        <w:rPr>
          <w:rFonts w:eastAsia="Palatino Linotype" w:cs="Palatino Linotype"/>
          <w:b/>
          <w:color w:val="000000"/>
          <w:szCs w:val="24"/>
        </w:rPr>
        <w:t>CUAR</w:t>
      </w:r>
      <w:r w:rsidR="005E68C5" w:rsidRPr="00982EC2">
        <w:rPr>
          <w:rFonts w:eastAsia="Palatino Linotype" w:cs="Palatino Linotype"/>
          <w:b/>
          <w:color w:val="000000"/>
          <w:szCs w:val="24"/>
        </w:rPr>
        <w:t>TO</w:t>
      </w:r>
      <w:r w:rsidR="005E68C5" w:rsidRPr="00982EC2">
        <w:rPr>
          <w:rFonts w:eastAsia="Palatino Linotype" w:cs="Palatino Linotype"/>
          <w:color w:val="000000"/>
          <w:szCs w:val="24"/>
        </w:rPr>
        <w:t>, de lo</w:t>
      </w:r>
      <w:r w:rsidR="00A553D4">
        <w:rPr>
          <w:rFonts w:eastAsia="Palatino Linotype" w:cs="Palatino Linotype"/>
          <w:color w:val="000000"/>
          <w:szCs w:val="24"/>
        </w:rPr>
        <w:t>s documentos en donde conste lo</w:t>
      </w:r>
      <w:r w:rsidR="005E68C5" w:rsidRPr="00982EC2">
        <w:rPr>
          <w:rFonts w:eastAsia="Palatino Linotype" w:cs="Palatino Linotype"/>
          <w:color w:val="000000"/>
          <w:szCs w:val="24"/>
        </w:rPr>
        <w:t xml:space="preserve"> siguiente: </w:t>
      </w:r>
    </w:p>
    <w:p w14:paraId="6E489EA6" w14:textId="77777777" w:rsidR="005E68C5" w:rsidRPr="00982EC2" w:rsidRDefault="005E68C5" w:rsidP="005E68C5">
      <w:pPr>
        <w:pBdr>
          <w:top w:val="nil"/>
          <w:left w:val="nil"/>
          <w:bottom w:val="nil"/>
          <w:right w:val="nil"/>
          <w:between w:val="nil"/>
        </w:pBdr>
        <w:rPr>
          <w:rFonts w:eastAsia="Palatino Linotype" w:cs="Palatino Linotype"/>
          <w:color w:val="000000"/>
          <w:szCs w:val="24"/>
        </w:rPr>
      </w:pPr>
    </w:p>
    <w:p w14:paraId="294063D8" w14:textId="4E39BF43" w:rsidR="005E68C5" w:rsidRPr="00A553D4" w:rsidRDefault="00A553D4" w:rsidP="00A553D4">
      <w:pPr>
        <w:numPr>
          <w:ilvl w:val="0"/>
          <w:numId w:val="6"/>
        </w:numPr>
        <w:pBdr>
          <w:top w:val="nil"/>
          <w:left w:val="nil"/>
          <w:bottom w:val="nil"/>
          <w:right w:val="nil"/>
          <w:between w:val="nil"/>
        </w:pBdr>
        <w:spacing w:line="240" w:lineRule="auto"/>
        <w:rPr>
          <w:rFonts w:eastAsia="Palatino Linotype" w:cs="Palatino Linotype"/>
          <w:i/>
          <w:color w:val="000000"/>
          <w:szCs w:val="24"/>
        </w:rPr>
      </w:pPr>
      <w:r>
        <w:rPr>
          <w:rFonts w:eastAsia="Palatino Linotype" w:cs="Palatino Linotype"/>
          <w:i/>
          <w:color w:val="000000"/>
          <w:szCs w:val="24"/>
        </w:rPr>
        <w:t>Las e</w:t>
      </w:r>
      <w:r w:rsidRPr="00A553D4">
        <w:rPr>
          <w:rFonts w:eastAsia="Palatino Linotype" w:cs="Palatino Linotype"/>
          <w:i/>
          <w:color w:val="000000"/>
          <w:szCs w:val="24"/>
        </w:rPr>
        <w:t xml:space="preserve">videncias </w:t>
      </w:r>
      <w:r>
        <w:rPr>
          <w:rFonts w:eastAsia="Palatino Linotype" w:cs="Palatino Linotype"/>
          <w:i/>
          <w:color w:val="000000"/>
          <w:szCs w:val="24"/>
        </w:rPr>
        <w:t>del o de los procesos de licitación pública de proveedores para el Festival Intermunicipal «ATZAN 2023».</w:t>
      </w:r>
    </w:p>
    <w:p w14:paraId="1D76090E" w14:textId="77777777" w:rsidR="00A553D4" w:rsidRDefault="00A553D4" w:rsidP="005A40C1">
      <w:pPr>
        <w:pBdr>
          <w:top w:val="nil"/>
          <w:left w:val="nil"/>
          <w:bottom w:val="nil"/>
          <w:right w:val="nil"/>
          <w:between w:val="nil"/>
        </w:pBdr>
        <w:rPr>
          <w:rFonts w:eastAsia="Palatino Linotype" w:cs="Palatino Linotype"/>
          <w:color w:val="000000"/>
          <w:szCs w:val="24"/>
        </w:rPr>
      </w:pPr>
    </w:p>
    <w:p w14:paraId="42A3D480" w14:textId="72D4A0D3" w:rsidR="005A40C1" w:rsidRPr="004926E7" w:rsidRDefault="009C0E31" w:rsidP="005A40C1">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003C0A73" w:rsidRPr="00381BAB">
        <w:rPr>
          <w:rFonts w:eastAsia="Palatino Linotype" w:cs="Palatino Linotype"/>
          <w:color w:val="000000"/>
          <w:szCs w:val="24"/>
        </w:rPr>
        <w:t>omo sustento de la versión pública</w:t>
      </w:r>
      <w:r w:rsidR="005A40C1" w:rsidRPr="00381BAB">
        <w:rPr>
          <w:rFonts w:eastAsia="Palatino Linotype" w:cs="Palatino Linotype"/>
          <w:color w:val="000000"/>
          <w:szCs w:val="24"/>
        </w:rPr>
        <w:t>,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w:t>
      </w:r>
      <w:r w:rsidR="003C0A73" w:rsidRPr="00381BAB">
        <w:rPr>
          <w:rFonts w:eastAsia="Palatino Linotype" w:cs="Palatino Linotype"/>
          <w:color w:val="000000"/>
          <w:szCs w:val="24"/>
        </w:rPr>
        <w:t>l soporte documental respectivo</w:t>
      </w:r>
      <w:r w:rsidR="00381BAB" w:rsidRPr="00381BAB">
        <w:rPr>
          <w:rFonts w:eastAsia="Palatino Linotype" w:cs="Palatino Linotype"/>
          <w:color w:val="000000"/>
          <w:szCs w:val="24"/>
        </w:rPr>
        <w:t>.</w:t>
      </w:r>
    </w:p>
    <w:p w14:paraId="7295FD83" w14:textId="77777777" w:rsidR="005A40C1" w:rsidRPr="00325BCB" w:rsidRDefault="005A40C1" w:rsidP="005E68C5">
      <w:pPr>
        <w:pBdr>
          <w:top w:val="nil"/>
          <w:left w:val="nil"/>
          <w:bottom w:val="nil"/>
          <w:right w:val="nil"/>
          <w:between w:val="nil"/>
        </w:pBdr>
        <w:rPr>
          <w:rFonts w:eastAsia="Palatino Linotype" w:cs="Palatino Linotype"/>
          <w:color w:val="000000"/>
          <w:szCs w:val="24"/>
        </w:rPr>
      </w:pPr>
    </w:p>
    <w:p w14:paraId="56D18FDF" w14:textId="37D9E3B3" w:rsidR="00103A9A" w:rsidRPr="00325BCB" w:rsidRDefault="00103A9A" w:rsidP="005E68C5">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325BCB">
        <w:rPr>
          <w:rFonts w:eastAsia="Palatino Linotype" w:cs="Palatino Linotype"/>
          <w:color w:val="000000"/>
          <w:szCs w:val="24"/>
        </w:rPr>
        <w:lastRenderedPageBreak/>
        <w:t>Ley de Transparencia y Acceso a la Información Pública del Estado de México y Municipios.</w:t>
      </w:r>
    </w:p>
    <w:p w14:paraId="408935AE" w14:textId="77777777" w:rsidR="00103A9A" w:rsidRPr="00325BCB" w:rsidRDefault="00103A9A" w:rsidP="00103A9A">
      <w:pPr>
        <w:pBdr>
          <w:top w:val="nil"/>
          <w:left w:val="nil"/>
          <w:bottom w:val="nil"/>
          <w:right w:val="nil"/>
          <w:between w:val="nil"/>
        </w:pBdr>
        <w:rPr>
          <w:rFonts w:eastAsia="Palatino Linotype" w:cs="Palatino Linotype"/>
          <w:color w:val="000000"/>
          <w:szCs w:val="24"/>
        </w:rPr>
      </w:pPr>
    </w:p>
    <w:p w14:paraId="6ADD1B9E" w14:textId="77777777" w:rsidR="00103A9A" w:rsidRPr="00325BCB" w:rsidRDefault="00103A9A" w:rsidP="00103A9A">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795A36" w14:textId="77777777" w:rsidR="00103A9A" w:rsidRPr="00325BCB" w:rsidRDefault="00103A9A" w:rsidP="00103A9A">
      <w:pPr>
        <w:pBdr>
          <w:top w:val="nil"/>
          <w:left w:val="nil"/>
          <w:bottom w:val="nil"/>
          <w:right w:val="nil"/>
          <w:between w:val="nil"/>
        </w:pBdr>
        <w:rPr>
          <w:rFonts w:eastAsia="Palatino Linotype" w:cs="Palatino Linotype"/>
          <w:color w:val="000000"/>
          <w:szCs w:val="24"/>
        </w:rPr>
      </w:pPr>
    </w:p>
    <w:p w14:paraId="2D868CFB" w14:textId="5B7EE2B0" w:rsidR="00103A9A" w:rsidRPr="00325BCB" w:rsidRDefault="00270C64" w:rsidP="00103A9A">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QUINT</w:t>
      </w:r>
      <w:r w:rsidR="005E68C5" w:rsidRPr="00325BCB">
        <w:rPr>
          <w:rFonts w:eastAsia="Palatino Linotype" w:cs="Palatino Linotype"/>
          <w:b/>
          <w:color w:val="000000"/>
          <w:szCs w:val="24"/>
        </w:rPr>
        <w:t>O</w:t>
      </w:r>
      <w:r w:rsidR="00103A9A" w:rsidRPr="00325BCB">
        <w:rPr>
          <w:rFonts w:eastAsia="Palatino Linotype" w:cs="Palatino Linotype"/>
          <w:b/>
          <w:color w:val="000000"/>
          <w:szCs w:val="24"/>
        </w:rPr>
        <w:t xml:space="preserve">. Notifíquese </w:t>
      </w:r>
      <w:r w:rsidR="00103A9A" w:rsidRPr="00325BCB">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54CCEEDD" w14:textId="77777777" w:rsidR="00103A9A" w:rsidRPr="00325BCB" w:rsidRDefault="00103A9A" w:rsidP="006F4C9E">
      <w:pPr>
        <w:pBdr>
          <w:top w:val="nil"/>
          <w:left w:val="nil"/>
          <w:bottom w:val="nil"/>
          <w:right w:val="nil"/>
          <w:between w:val="nil"/>
        </w:pBdr>
        <w:contextualSpacing/>
        <w:rPr>
          <w:rFonts w:eastAsia="Palatino Linotype" w:cs="Palatino Linotype"/>
          <w:szCs w:val="24"/>
        </w:rPr>
      </w:pPr>
    </w:p>
    <w:p w14:paraId="20573BFF" w14:textId="5FCCE60E"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 Y GUADALUPE RAMÍREZ PEÑA, 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9C0E31">
        <w:rPr>
          <w:rFonts w:eastAsia="Palatino Linotype" w:cs="Palatino Linotype"/>
          <w:color w:val="000000"/>
          <w:szCs w:val="24"/>
        </w:rPr>
        <w:t xml:space="preserve">TERCERA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9C0E31">
        <w:rPr>
          <w:rFonts w:eastAsia="Palatino Linotype" w:cs="Palatino Linotype"/>
          <w:color w:val="000000"/>
          <w:szCs w:val="24"/>
        </w:rPr>
        <w:t xml:space="preserve"> TREINTA Y UNO DE ENERO DE DOS MIL VEINTICUATRO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9C0E31">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C7173" w14:textId="77777777" w:rsidR="004226D1" w:rsidRDefault="004226D1" w:rsidP="00F2498E">
      <w:pPr>
        <w:spacing w:line="240" w:lineRule="auto"/>
      </w:pPr>
      <w:r>
        <w:separator/>
      </w:r>
    </w:p>
  </w:endnote>
  <w:endnote w:type="continuationSeparator" w:id="0">
    <w:p w14:paraId="754D28CA" w14:textId="77777777" w:rsidR="004226D1" w:rsidRDefault="004226D1" w:rsidP="00F2498E">
      <w:pPr>
        <w:spacing w:line="240" w:lineRule="auto"/>
      </w:pPr>
      <w:r>
        <w:continuationSeparator/>
      </w:r>
    </w:p>
  </w:endnote>
  <w:endnote w:type="continuationNotice" w:id="1">
    <w:p w14:paraId="4C10BDDD" w14:textId="77777777" w:rsidR="004226D1" w:rsidRDefault="004226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3D0B38" w:rsidRPr="00871A91" w:rsidRDefault="003D0B3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C1DE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C1DE4">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3D0B38" w:rsidRPr="00871A91" w:rsidRDefault="003D0B3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C1DE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C1DE4">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A993F" w14:textId="77777777" w:rsidR="004226D1" w:rsidRDefault="004226D1" w:rsidP="00F2498E">
      <w:pPr>
        <w:spacing w:line="240" w:lineRule="auto"/>
      </w:pPr>
      <w:r>
        <w:separator/>
      </w:r>
    </w:p>
  </w:footnote>
  <w:footnote w:type="continuationSeparator" w:id="0">
    <w:p w14:paraId="52C214B0" w14:textId="77777777" w:rsidR="004226D1" w:rsidRDefault="004226D1" w:rsidP="00F2498E">
      <w:pPr>
        <w:spacing w:line="240" w:lineRule="auto"/>
      </w:pPr>
      <w:r>
        <w:continuationSeparator/>
      </w:r>
    </w:p>
  </w:footnote>
  <w:footnote w:type="continuationNotice" w:id="1">
    <w:p w14:paraId="78BE5BB4" w14:textId="77777777" w:rsidR="004226D1" w:rsidRDefault="004226D1">
      <w:pPr>
        <w:spacing w:line="240" w:lineRule="auto"/>
      </w:pPr>
    </w:p>
  </w:footnote>
  <w:footnote w:id="2">
    <w:p w14:paraId="2348F3B8" w14:textId="77777777" w:rsidR="003D0B38" w:rsidRPr="0031280C" w:rsidRDefault="003D0B38"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3D0B38" w:rsidRPr="0031280C" w:rsidRDefault="003D0B38"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3D0B38" w:rsidRPr="0031280C" w:rsidRDefault="003D0B38"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3D0B38" w:rsidRPr="0031280C" w:rsidRDefault="003D0B38"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3D0B38" w:rsidRDefault="00CC1DE4">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D0B38" w:rsidRPr="00B17577" w14:paraId="37B9EBDE" w14:textId="77777777" w:rsidTr="003938ED">
      <w:trPr>
        <w:trHeight w:val="227"/>
      </w:trPr>
      <w:tc>
        <w:tcPr>
          <w:tcW w:w="5103" w:type="dxa"/>
          <w:hideMark/>
        </w:tcPr>
        <w:p w14:paraId="4964FBC5" w14:textId="54CDA645" w:rsidR="003D0B38" w:rsidRPr="00096248" w:rsidRDefault="003D0B38"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B4E0949" w:rsidR="003D0B38" w:rsidRPr="00096248" w:rsidRDefault="003D0B38" w:rsidP="00011C4D">
          <w:pPr>
            <w:spacing w:after="120" w:line="240" w:lineRule="auto"/>
            <w:ind w:right="71"/>
            <w:jc w:val="right"/>
            <w:rPr>
              <w:rFonts w:cs="Arial"/>
              <w:b/>
              <w:szCs w:val="24"/>
            </w:rPr>
          </w:pPr>
          <w:r>
            <w:rPr>
              <w:rFonts w:cs="Arial"/>
              <w:b/>
              <w:bCs/>
              <w:szCs w:val="24"/>
            </w:rPr>
            <w:t>03615</w:t>
          </w:r>
          <w:r w:rsidRPr="00096248">
            <w:rPr>
              <w:rFonts w:cs="Arial"/>
              <w:b/>
              <w:bCs/>
              <w:szCs w:val="24"/>
            </w:rPr>
            <w:t>/INFOEM/IP/RR/202</w:t>
          </w:r>
          <w:r>
            <w:rPr>
              <w:rFonts w:cs="Arial"/>
              <w:b/>
              <w:bCs/>
              <w:szCs w:val="24"/>
            </w:rPr>
            <w:t>3</w:t>
          </w:r>
        </w:p>
      </w:tc>
    </w:tr>
    <w:tr w:rsidR="003D0B38" w14:paraId="7591D3C9" w14:textId="77777777" w:rsidTr="003938ED">
      <w:trPr>
        <w:trHeight w:val="242"/>
      </w:trPr>
      <w:tc>
        <w:tcPr>
          <w:tcW w:w="5103" w:type="dxa"/>
          <w:hideMark/>
        </w:tcPr>
        <w:p w14:paraId="729A65A8" w14:textId="77777777" w:rsidR="003D0B38" w:rsidRPr="00096248" w:rsidRDefault="003D0B38"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08B796D" w:rsidR="003D0B38" w:rsidRPr="00096248" w:rsidRDefault="003D0B38" w:rsidP="00011C4D">
          <w:pPr>
            <w:spacing w:after="120" w:line="240" w:lineRule="auto"/>
            <w:ind w:left="-81" w:right="71"/>
            <w:jc w:val="right"/>
            <w:rPr>
              <w:rFonts w:cs="Arial"/>
              <w:szCs w:val="24"/>
            </w:rPr>
          </w:pPr>
          <w:r>
            <w:rPr>
              <w:rFonts w:cs="Arial"/>
              <w:szCs w:val="24"/>
            </w:rPr>
            <w:t>Ayuntamiento de Nicolás Romero</w:t>
          </w:r>
        </w:p>
      </w:tc>
    </w:tr>
    <w:tr w:rsidR="003D0B38" w:rsidRPr="00F63239" w14:paraId="037E914D" w14:textId="77777777" w:rsidTr="003938ED">
      <w:trPr>
        <w:trHeight w:val="342"/>
      </w:trPr>
      <w:tc>
        <w:tcPr>
          <w:tcW w:w="5103" w:type="dxa"/>
          <w:hideMark/>
        </w:tcPr>
        <w:p w14:paraId="7676B68F" w14:textId="64D69EAF" w:rsidR="003D0B38" w:rsidRPr="00096248" w:rsidRDefault="003D0B3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3D0B38" w:rsidRDefault="003D0B3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3D0B38" w:rsidRPr="00711916" w:rsidRDefault="003D0B38" w:rsidP="00011C4D">
          <w:pPr>
            <w:spacing w:after="120" w:line="240" w:lineRule="auto"/>
            <w:ind w:left="-486" w:right="71" w:firstLine="567"/>
            <w:jc w:val="right"/>
            <w:rPr>
              <w:rFonts w:cs="Arial"/>
              <w:sz w:val="2"/>
              <w:szCs w:val="2"/>
            </w:rPr>
          </w:pPr>
        </w:p>
      </w:tc>
    </w:tr>
  </w:tbl>
  <w:p w14:paraId="2998DBFD" w14:textId="25A9F426" w:rsidR="003D0B38" w:rsidRPr="00871A91" w:rsidRDefault="00CC1DE4">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4098" type="#_x0000_t75" alt="" style="position:absolute;left:0;text-align:left;margin-left:-81.55pt;margin-top:-14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3D0B3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D0B38" w14:paraId="0F9FE9B6" w14:textId="77777777" w:rsidTr="003938ED">
      <w:trPr>
        <w:trHeight w:val="227"/>
      </w:trPr>
      <w:tc>
        <w:tcPr>
          <w:tcW w:w="5103" w:type="dxa"/>
          <w:hideMark/>
        </w:tcPr>
        <w:p w14:paraId="6D1D9D71" w14:textId="11150E5A" w:rsidR="003D0B38" w:rsidRPr="00663A37" w:rsidRDefault="003D0B3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4365246" w:rsidR="003D0B38" w:rsidRPr="00C81ECD" w:rsidRDefault="003D0B38" w:rsidP="00011C4D">
          <w:pPr>
            <w:spacing w:after="120" w:line="240" w:lineRule="auto"/>
            <w:ind w:left="-486" w:right="68" w:firstLine="558"/>
            <w:jc w:val="right"/>
            <w:rPr>
              <w:rFonts w:cs="Arial"/>
              <w:b/>
              <w:szCs w:val="24"/>
            </w:rPr>
          </w:pPr>
          <w:r>
            <w:rPr>
              <w:rFonts w:cs="Arial"/>
              <w:b/>
              <w:bCs/>
              <w:szCs w:val="24"/>
            </w:rPr>
            <w:t>03615/INFOEM/IP/RR/2023</w:t>
          </w:r>
        </w:p>
      </w:tc>
    </w:tr>
    <w:tr w:rsidR="003D0B38" w:rsidRPr="001F57CD" w14:paraId="1377D264" w14:textId="77777777" w:rsidTr="003938ED">
      <w:trPr>
        <w:trHeight w:val="196"/>
      </w:trPr>
      <w:tc>
        <w:tcPr>
          <w:tcW w:w="5103" w:type="dxa"/>
          <w:hideMark/>
        </w:tcPr>
        <w:p w14:paraId="04D597A1" w14:textId="77777777" w:rsidR="003D0B38" w:rsidRPr="00663A37" w:rsidRDefault="003D0B38"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7F93B84" w:rsidR="003D0B38" w:rsidRPr="00663A37" w:rsidRDefault="00CC1DE4" w:rsidP="00657695">
          <w:pPr>
            <w:spacing w:after="120" w:line="240" w:lineRule="auto"/>
            <w:ind w:right="68"/>
            <w:jc w:val="right"/>
            <w:rPr>
              <w:rFonts w:cs="Arial"/>
              <w:szCs w:val="24"/>
            </w:rPr>
          </w:pPr>
          <w:r>
            <w:rPr>
              <w:rFonts w:cs="Arial"/>
              <w:szCs w:val="24"/>
            </w:rPr>
            <w:t>XXXXXXXXXXXXXXXXXXXXXXX</w:t>
          </w:r>
        </w:p>
      </w:tc>
    </w:tr>
    <w:tr w:rsidR="003D0B38" w14:paraId="4DC11993" w14:textId="77777777" w:rsidTr="003938ED">
      <w:trPr>
        <w:trHeight w:val="242"/>
      </w:trPr>
      <w:tc>
        <w:tcPr>
          <w:tcW w:w="5103" w:type="dxa"/>
          <w:hideMark/>
        </w:tcPr>
        <w:p w14:paraId="76CEF1B5" w14:textId="77777777" w:rsidR="003D0B38" w:rsidRPr="00663A37" w:rsidRDefault="003D0B38"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2914530" w:rsidR="003D0B38" w:rsidRPr="00663A37" w:rsidRDefault="003D0B38" w:rsidP="00011C4D">
          <w:pPr>
            <w:spacing w:after="120" w:line="240" w:lineRule="auto"/>
            <w:ind w:left="-70" w:right="68"/>
            <w:jc w:val="right"/>
            <w:rPr>
              <w:rFonts w:cs="Arial"/>
              <w:szCs w:val="24"/>
            </w:rPr>
          </w:pPr>
          <w:r>
            <w:rPr>
              <w:rFonts w:cs="Arial"/>
              <w:szCs w:val="24"/>
            </w:rPr>
            <w:t>Ayuntamiento de Nicolás Romero</w:t>
          </w:r>
        </w:p>
      </w:tc>
    </w:tr>
    <w:tr w:rsidR="003D0B38" w14:paraId="5C2B511D" w14:textId="77777777" w:rsidTr="003938ED">
      <w:trPr>
        <w:trHeight w:val="342"/>
      </w:trPr>
      <w:tc>
        <w:tcPr>
          <w:tcW w:w="5103" w:type="dxa"/>
          <w:hideMark/>
        </w:tcPr>
        <w:p w14:paraId="03FEF68C" w14:textId="45E91CF4" w:rsidR="003D0B38" w:rsidRPr="00663A37" w:rsidRDefault="003D0B3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3D0B38" w:rsidRPr="00663A37" w:rsidRDefault="003D0B3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3D0B38" w:rsidRPr="00871A91" w:rsidRDefault="00CC1DE4">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3D0B3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FE7676"/>
    <w:multiLevelType w:val="hybridMultilevel"/>
    <w:tmpl w:val="BB68321E"/>
    <w:lvl w:ilvl="0" w:tplc="1ED434A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1907C6"/>
    <w:multiLevelType w:val="hybridMultilevel"/>
    <w:tmpl w:val="0A388702"/>
    <w:lvl w:ilvl="0" w:tplc="E73EBE4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nsid w:val="2E1D3A08"/>
    <w:multiLevelType w:val="hybridMultilevel"/>
    <w:tmpl w:val="655620DC"/>
    <w:lvl w:ilvl="0" w:tplc="408C915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96787E"/>
    <w:multiLevelType w:val="hybridMultilevel"/>
    <w:tmpl w:val="A26EDEF0"/>
    <w:lvl w:ilvl="0" w:tplc="20C0C424">
      <w:start w:val="1"/>
      <w:numFmt w:val="upperRoman"/>
      <w:lvlText w:val="%1."/>
      <w:lvlJc w:val="left"/>
      <w:pPr>
        <w:ind w:left="709" w:hanging="425"/>
      </w:pPr>
      <w:rPr>
        <w:rFonts w:hint="default"/>
        <w:lang w:val="es-ES_tradnl"/>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87D1A3D"/>
    <w:multiLevelType w:val="hybridMultilevel"/>
    <w:tmpl w:val="0A388702"/>
    <w:lvl w:ilvl="0" w:tplc="E73EBE4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69025C"/>
    <w:multiLevelType w:val="hybridMultilevel"/>
    <w:tmpl w:val="3CFC1450"/>
    <w:lvl w:ilvl="0" w:tplc="47923A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41">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17C7EB0"/>
    <w:multiLevelType w:val="hybridMultilevel"/>
    <w:tmpl w:val="E7A2D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1"/>
  </w:num>
  <w:num w:numId="3">
    <w:abstractNumId w:val="4"/>
  </w:num>
  <w:num w:numId="4">
    <w:abstractNumId w:val="33"/>
  </w:num>
  <w:num w:numId="5">
    <w:abstractNumId w:val="30"/>
  </w:num>
  <w:num w:numId="6">
    <w:abstractNumId w:val="7"/>
  </w:num>
  <w:num w:numId="7">
    <w:abstractNumId w:val="38"/>
  </w:num>
  <w:num w:numId="8">
    <w:abstractNumId w:val="48"/>
  </w:num>
  <w:num w:numId="9">
    <w:abstractNumId w:val="40"/>
  </w:num>
  <w:num w:numId="10">
    <w:abstractNumId w:val="3"/>
  </w:num>
  <w:num w:numId="11">
    <w:abstractNumId w:val="35"/>
  </w:num>
  <w:num w:numId="12">
    <w:abstractNumId w:val="8"/>
  </w:num>
  <w:num w:numId="13">
    <w:abstractNumId w:val="10"/>
  </w:num>
  <w:num w:numId="14">
    <w:abstractNumId w:val="32"/>
  </w:num>
  <w:num w:numId="15">
    <w:abstractNumId w:val="16"/>
  </w:num>
  <w:num w:numId="16">
    <w:abstractNumId w:val="43"/>
  </w:num>
  <w:num w:numId="17">
    <w:abstractNumId w:val="45"/>
  </w:num>
  <w:num w:numId="18">
    <w:abstractNumId w:val="1"/>
  </w:num>
  <w:num w:numId="19">
    <w:abstractNumId w:val="39"/>
  </w:num>
  <w:num w:numId="20">
    <w:abstractNumId w:val="6"/>
  </w:num>
  <w:num w:numId="21">
    <w:abstractNumId w:val="27"/>
  </w:num>
  <w:num w:numId="22">
    <w:abstractNumId w:val="2"/>
  </w:num>
  <w:num w:numId="23">
    <w:abstractNumId w:val="0"/>
  </w:num>
  <w:num w:numId="24">
    <w:abstractNumId w:val="14"/>
  </w:num>
  <w:num w:numId="25">
    <w:abstractNumId w:val="17"/>
  </w:num>
  <w:num w:numId="26">
    <w:abstractNumId w:val="15"/>
  </w:num>
  <w:num w:numId="27">
    <w:abstractNumId w:val="47"/>
  </w:num>
  <w:num w:numId="28">
    <w:abstractNumId w:val="44"/>
  </w:num>
  <w:num w:numId="29">
    <w:abstractNumId w:val="5"/>
  </w:num>
  <w:num w:numId="30">
    <w:abstractNumId w:val="29"/>
  </w:num>
  <w:num w:numId="31">
    <w:abstractNumId w:val="36"/>
  </w:num>
  <w:num w:numId="32">
    <w:abstractNumId w:val="19"/>
  </w:num>
  <w:num w:numId="33">
    <w:abstractNumId w:val="20"/>
  </w:num>
  <w:num w:numId="34">
    <w:abstractNumId w:val="34"/>
  </w:num>
  <w:num w:numId="35">
    <w:abstractNumId w:val="22"/>
  </w:num>
  <w:num w:numId="36">
    <w:abstractNumId w:val="23"/>
  </w:num>
  <w:num w:numId="37">
    <w:abstractNumId w:val="13"/>
  </w:num>
  <w:num w:numId="38">
    <w:abstractNumId w:val="9"/>
  </w:num>
  <w:num w:numId="39">
    <w:abstractNumId w:val="26"/>
  </w:num>
  <w:num w:numId="40">
    <w:abstractNumId w:val="12"/>
  </w:num>
  <w:num w:numId="41">
    <w:abstractNumId w:val="42"/>
  </w:num>
  <w:num w:numId="42">
    <w:abstractNumId w:val="46"/>
  </w:num>
  <w:num w:numId="43">
    <w:abstractNumId w:val="25"/>
  </w:num>
  <w:num w:numId="44">
    <w:abstractNumId w:val="24"/>
  </w:num>
  <w:num w:numId="45">
    <w:abstractNumId w:val="11"/>
  </w:num>
  <w:num w:numId="46">
    <w:abstractNumId w:val="28"/>
  </w:num>
  <w:num w:numId="47">
    <w:abstractNumId w:val="18"/>
  </w:num>
  <w:num w:numId="48">
    <w:abstractNumId w:val="31"/>
  </w:num>
  <w:num w:numId="4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31BA3"/>
    <w:rsid w:val="000325A7"/>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91E"/>
    <w:rsid w:val="00085EA2"/>
    <w:rsid w:val="0008628E"/>
    <w:rsid w:val="000864CC"/>
    <w:rsid w:val="0008737D"/>
    <w:rsid w:val="00087AFB"/>
    <w:rsid w:val="00087F54"/>
    <w:rsid w:val="0009020C"/>
    <w:rsid w:val="00090297"/>
    <w:rsid w:val="00090A37"/>
    <w:rsid w:val="000920C1"/>
    <w:rsid w:val="00092681"/>
    <w:rsid w:val="00092B31"/>
    <w:rsid w:val="00092D82"/>
    <w:rsid w:val="0009320C"/>
    <w:rsid w:val="0009328A"/>
    <w:rsid w:val="0009397B"/>
    <w:rsid w:val="00094B23"/>
    <w:rsid w:val="00094FD7"/>
    <w:rsid w:val="000951B9"/>
    <w:rsid w:val="00095F45"/>
    <w:rsid w:val="0009609D"/>
    <w:rsid w:val="00096248"/>
    <w:rsid w:val="000A00BB"/>
    <w:rsid w:val="000A110B"/>
    <w:rsid w:val="000A1377"/>
    <w:rsid w:val="000A1D0D"/>
    <w:rsid w:val="000A1D2C"/>
    <w:rsid w:val="000A2CA6"/>
    <w:rsid w:val="000A2F65"/>
    <w:rsid w:val="000A3F41"/>
    <w:rsid w:val="000A4202"/>
    <w:rsid w:val="000A5EA1"/>
    <w:rsid w:val="000A7D80"/>
    <w:rsid w:val="000B1F27"/>
    <w:rsid w:val="000B2390"/>
    <w:rsid w:val="000B28CF"/>
    <w:rsid w:val="000B29E0"/>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74D"/>
    <w:rsid w:val="000F196A"/>
    <w:rsid w:val="000F367A"/>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35A0"/>
    <w:rsid w:val="00123D0B"/>
    <w:rsid w:val="00124B26"/>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6DAA"/>
    <w:rsid w:val="00157D2B"/>
    <w:rsid w:val="00160608"/>
    <w:rsid w:val="001624E8"/>
    <w:rsid w:val="0016322B"/>
    <w:rsid w:val="0016339A"/>
    <w:rsid w:val="0016392B"/>
    <w:rsid w:val="001641EC"/>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0C29"/>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523"/>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245F"/>
    <w:rsid w:val="0022406E"/>
    <w:rsid w:val="00224FEA"/>
    <w:rsid w:val="00225AFE"/>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A52"/>
    <w:rsid w:val="002B0EA1"/>
    <w:rsid w:val="002B317E"/>
    <w:rsid w:val="002B3CE2"/>
    <w:rsid w:val="002B3EA9"/>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785E"/>
    <w:rsid w:val="002E0D37"/>
    <w:rsid w:val="002E0FE2"/>
    <w:rsid w:val="002E1484"/>
    <w:rsid w:val="002E1B5E"/>
    <w:rsid w:val="002E2D8A"/>
    <w:rsid w:val="002E37DA"/>
    <w:rsid w:val="002E40AD"/>
    <w:rsid w:val="002E55C9"/>
    <w:rsid w:val="002E5AFA"/>
    <w:rsid w:val="002E72F0"/>
    <w:rsid w:val="002F368E"/>
    <w:rsid w:val="002F3AAF"/>
    <w:rsid w:val="002F40FF"/>
    <w:rsid w:val="002F5101"/>
    <w:rsid w:val="002F5C83"/>
    <w:rsid w:val="002F713F"/>
    <w:rsid w:val="002F799E"/>
    <w:rsid w:val="002F7D3E"/>
    <w:rsid w:val="002F7ED4"/>
    <w:rsid w:val="00300919"/>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BCB"/>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6405"/>
    <w:rsid w:val="0038157C"/>
    <w:rsid w:val="00381BAB"/>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0A73"/>
    <w:rsid w:val="003C1100"/>
    <w:rsid w:val="003C1CFB"/>
    <w:rsid w:val="003C1DE6"/>
    <w:rsid w:val="003C27A8"/>
    <w:rsid w:val="003C30DA"/>
    <w:rsid w:val="003C4A15"/>
    <w:rsid w:val="003C4FF5"/>
    <w:rsid w:val="003C57BF"/>
    <w:rsid w:val="003C6226"/>
    <w:rsid w:val="003D0AE2"/>
    <w:rsid w:val="003D0B38"/>
    <w:rsid w:val="003D17AF"/>
    <w:rsid w:val="003D2681"/>
    <w:rsid w:val="003D3147"/>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2E2B"/>
    <w:rsid w:val="003F308A"/>
    <w:rsid w:val="003F4582"/>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26D1"/>
    <w:rsid w:val="004232C6"/>
    <w:rsid w:val="00426124"/>
    <w:rsid w:val="00426222"/>
    <w:rsid w:val="00426F24"/>
    <w:rsid w:val="00430C63"/>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1D56"/>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C7A"/>
    <w:rsid w:val="00474095"/>
    <w:rsid w:val="00474679"/>
    <w:rsid w:val="00474C35"/>
    <w:rsid w:val="004750A1"/>
    <w:rsid w:val="004756C6"/>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4346"/>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156"/>
    <w:rsid w:val="004C75B3"/>
    <w:rsid w:val="004C7D54"/>
    <w:rsid w:val="004D069A"/>
    <w:rsid w:val="004D0CC4"/>
    <w:rsid w:val="004D11A8"/>
    <w:rsid w:val="004D3254"/>
    <w:rsid w:val="004D571F"/>
    <w:rsid w:val="004D6095"/>
    <w:rsid w:val="004D66AD"/>
    <w:rsid w:val="004D6995"/>
    <w:rsid w:val="004E07A1"/>
    <w:rsid w:val="004E1729"/>
    <w:rsid w:val="004E1B3C"/>
    <w:rsid w:val="004E1CA8"/>
    <w:rsid w:val="004E3959"/>
    <w:rsid w:val="004E3F86"/>
    <w:rsid w:val="004E4252"/>
    <w:rsid w:val="004E4AD1"/>
    <w:rsid w:val="004E5659"/>
    <w:rsid w:val="004E655C"/>
    <w:rsid w:val="004E6E5F"/>
    <w:rsid w:val="004E77E1"/>
    <w:rsid w:val="004E7FB8"/>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3B6B"/>
    <w:rsid w:val="00543B75"/>
    <w:rsid w:val="00544041"/>
    <w:rsid w:val="005449D0"/>
    <w:rsid w:val="0054712A"/>
    <w:rsid w:val="0054712E"/>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60A"/>
    <w:rsid w:val="00567D41"/>
    <w:rsid w:val="00567E3C"/>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0649"/>
    <w:rsid w:val="005A1C6D"/>
    <w:rsid w:val="005A1EA5"/>
    <w:rsid w:val="005A2422"/>
    <w:rsid w:val="005A2CE7"/>
    <w:rsid w:val="005A2F92"/>
    <w:rsid w:val="005A40C1"/>
    <w:rsid w:val="005A43E7"/>
    <w:rsid w:val="005A4480"/>
    <w:rsid w:val="005A45B1"/>
    <w:rsid w:val="005A60E9"/>
    <w:rsid w:val="005A77E1"/>
    <w:rsid w:val="005A7E33"/>
    <w:rsid w:val="005B10CC"/>
    <w:rsid w:val="005B4E14"/>
    <w:rsid w:val="005B52A0"/>
    <w:rsid w:val="005B538B"/>
    <w:rsid w:val="005B5434"/>
    <w:rsid w:val="005B643F"/>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7E9F"/>
    <w:rsid w:val="005F1439"/>
    <w:rsid w:val="005F21B0"/>
    <w:rsid w:val="005F30F1"/>
    <w:rsid w:val="005F3103"/>
    <w:rsid w:val="005F3144"/>
    <w:rsid w:val="005F4D3D"/>
    <w:rsid w:val="005F514E"/>
    <w:rsid w:val="005F5B10"/>
    <w:rsid w:val="005F6CAB"/>
    <w:rsid w:val="0060129A"/>
    <w:rsid w:val="0060244C"/>
    <w:rsid w:val="006055AB"/>
    <w:rsid w:val="00610274"/>
    <w:rsid w:val="00610A95"/>
    <w:rsid w:val="00611CEF"/>
    <w:rsid w:val="00613401"/>
    <w:rsid w:val="0061516D"/>
    <w:rsid w:val="00615B10"/>
    <w:rsid w:val="006168EB"/>
    <w:rsid w:val="00616DEB"/>
    <w:rsid w:val="00620D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B3F"/>
    <w:rsid w:val="006625F9"/>
    <w:rsid w:val="00663A37"/>
    <w:rsid w:val="00663B72"/>
    <w:rsid w:val="00664BB4"/>
    <w:rsid w:val="00665A8F"/>
    <w:rsid w:val="006675A4"/>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A71"/>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7FD"/>
    <w:rsid w:val="006E4B54"/>
    <w:rsid w:val="006E4C8D"/>
    <w:rsid w:val="006E5987"/>
    <w:rsid w:val="006E59C4"/>
    <w:rsid w:val="006E5CBF"/>
    <w:rsid w:val="006E5E9F"/>
    <w:rsid w:val="006E6076"/>
    <w:rsid w:val="006E6DD7"/>
    <w:rsid w:val="006E7985"/>
    <w:rsid w:val="006F0222"/>
    <w:rsid w:val="006F04A3"/>
    <w:rsid w:val="006F114C"/>
    <w:rsid w:val="006F1A99"/>
    <w:rsid w:val="006F22DE"/>
    <w:rsid w:val="006F428B"/>
    <w:rsid w:val="006F48A5"/>
    <w:rsid w:val="006F4C9E"/>
    <w:rsid w:val="006F52DF"/>
    <w:rsid w:val="006F676C"/>
    <w:rsid w:val="006F6AB6"/>
    <w:rsid w:val="00700C90"/>
    <w:rsid w:val="00701F34"/>
    <w:rsid w:val="007031A2"/>
    <w:rsid w:val="00703DCF"/>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601C"/>
    <w:rsid w:val="007167AE"/>
    <w:rsid w:val="00720D8F"/>
    <w:rsid w:val="0072149D"/>
    <w:rsid w:val="007214D9"/>
    <w:rsid w:val="00723C6D"/>
    <w:rsid w:val="0072514D"/>
    <w:rsid w:val="00725C5A"/>
    <w:rsid w:val="007263E6"/>
    <w:rsid w:val="007264EA"/>
    <w:rsid w:val="00726D09"/>
    <w:rsid w:val="00726F49"/>
    <w:rsid w:val="00730102"/>
    <w:rsid w:val="007327E4"/>
    <w:rsid w:val="00732AB3"/>
    <w:rsid w:val="007332CF"/>
    <w:rsid w:val="0073486B"/>
    <w:rsid w:val="00734FB5"/>
    <w:rsid w:val="00735D93"/>
    <w:rsid w:val="00736F47"/>
    <w:rsid w:val="00736F6B"/>
    <w:rsid w:val="00740ACC"/>
    <w:rsid w:val="00740DFE"/>
    <w:rsid w:val="007410C2"/>
    <w:rsid w:val="007411F0"/>
    <w:rsid w:val="0074208A"/>
    <w:rsid w:val="00743802"/>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4B8E"/>
    <w:rsid w:val="007550BD"/>
    <w:rsid w:val="007551E4"/>
    <w:rsid w:val="0075638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259F"/>
    <w:rsid w:val="0077455A"/>
    <w:rsid w:val="00776581"/>
    <w:rsid w:val="00777372"/>
    <w:rsid w:val="00777417"/>
    <w:rsid w:val="00777527"/>
    <w:rsid w:val="00777824"/>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2F13"/>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A610C"/>
    <w:rsid w:val="007B13B0"/>
    <w:rsid w:val="007B2759"/>
    <w:rsid w:val="007B28CF"/>
    <w:rsid w:val="007B363B"/>
    <w:rsid w:val="007B3F26"/>
    <w:rsid w:val="007B4416"/>
    <w:rsid w:val="007B46BF"/>
    <w:rsid w:val="007B6DD8"/>
    <w:rsid w:val="007C009D"/>
    <w:rsid w:val="007C05DC"/>
    <w:rsid w:val="007C0FF7"/>
    <w:rsid w:val="007C14EE"/>
    <w:rsid w:val="007C17F1"/>
    <w:rsid w:val="007C26BE"/>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766"/>
    <w:rsid w:val="007D6CF0"/>
    <w:rsid w:val="007D72D8"/>
    <w:rsid w:val="007E0B5E"/>
    <w:rsid w:val="007E0C9C"/>
    <w:rsid w:val="007E0FE3"/>
    <w:rsid w:val="007E18F8"/>
    <w:rsid w:val="007E205A"/>
    <w:rsid w:val="007E38F1"/>
    <w:rsid w:val="007E3C2E"/>
    <w:rsid w:val="007E3F8B"/>
    <w:rsid w:val="007E648C"/>
    <w:rsid w:val="007E660F"/>
    <w:rsid w:val="007E781F"/>
    <w:rsid w:val="007E7E50"/>
    <w:rsid w:val="007F1049"/>
    <w:rsid w:val="007F120F"/>
    <w:rsid w:val="007F1538"/>
    <w:rsid w:val="007F15FE"/>
    <w:rsid w:val="007F1FF7"/>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58FA"/>
    <w:rsid w:val="00807B2A"/>
    <w:rsid w:val="008101FB"/>
    <w:rsid w:val="00810E97"/>
    <w:rsid w:val="0081123B"/>
    <w:rsid w:val="00811393"/>
    <w:rsid w:val="008121E2"/>
    <w:rsid w:val="008151D2"/>
    <w:rsid w:val="00815716"/>
    <w:rsid w:val="00816C5A"/>
    <w:rsid w:val="00817344"/>
    <w:rsid w:val="00817678"/>
    <w:rsid w:val="0082049D"/>
    <w:rsid w:val="008217BC"/>
    <w:rsid w:val="00822BA1"/>
    <w:rsid w:val="00822DED"/>
    <w:rsid w:val="00823D90"/>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72B"/>
    <w:rsid w:val="00841963"/>
    <w:rsid w:val="008431BF"/>
    <w:rsid w:val="00845B52"/>
    <w:rsid w:val="00846D3E"/>
    <w:rsid w:val="00846DE7"/>
    <w:rsid w:val="008477B9"/>
    <w:rsid w:val="00847C27"/>
    <w:rsid w:val="008505FB"/>
    <w:rsid w:val="00851748"/>
    <w:rsid w:val="008523FA"/>
    <w:rsid w:val="008529E6"/>
    <w:rsid w:val="00852CDD"/>
    <w:rsid w:val="008542A4"/>
    <w:rsid w:val="0085493E"/>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7E2"/>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C9F"/>
    <w:rsid w:val="008A14F6"/>
    <w:rsid w:val="008A1645"/>
    <w:rsid w:val="008A3E6F"/>
    <w:rsid w:val="008A56C3"/>
    <w:rsid w:val="008A637C"/>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F11"/>
    <w:rsid w:val="008C004B"/>
    <w:rsid w:val="008C04D3"/>
    <w:rsid w:val="008C0CAF"/>
    <w:rsid w:val="008C18C1"/>
    <w:rsid w:val="008C272F"/>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DD5"/>
    <w:rsid w:val="008D4ED9"/>
    <w:rsid w:val="008D5835"/>
    <w:rsid w:val="008D6B04"/>
    <w:rsid w:val="008D72B9"/>
    <w:rsid w:val="008E2254"/>
    <w:rsid w:val="008E2654"/>
    <w:rsid w:val="008E35F3"/>
    <w:rsid w:val="008E4929"/>
    <w:rsid w:val="008E4FF4"/>
    <w:rsid w:val="008E5682"/>
    <w:rsid w:val="008F1C22"/>
    <w:rsid w:val="008F2554"/>
    <w:rsid w:val="008F2C23"/>
    <w:rsid w:val="008F47DC"/>
    <w:rsid w:val="008F52B5"/>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549C"/>
    <w:rsid w:val="0091614B"/>
    <w:rsid w:val="00916A28"/>
    <w:rsid w:val="00916CEC"/>
    <w:rsid w:val="0091735D"/>
    <w:rsid w:val="009202C9"/>
    <w:rsid w:val="0092109C"/>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4C3"/>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0F6"/>
    <w:rsid w:val="009A7F00"/>
    <w:rsid w:val="009B1548"/>
    <w:rsid w:val="009B321A"/>
    <w:rsid w:val="009B3A1D"/>
    <w:rsid w:val="009B41F0"/>
    <w:rsid w:val="009B69E9"/>
    <w:rsid w:val="009B7FFD"/>
    <w:rsid w:val="009C0279"/>
    <w:rsid w:val="009C0E31"/>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6D1D"/>
    <w:rsid w:val="009D7457"/>
    <w:rsid w:val="009D758F"/>
    <w:rsid w:val="009D7AC7"/>
    <w:rsid w:val="009D7BF2"/>
    <w:rsid w:val="009D7D83"/>
    <w:rsid w:val="009E0BE8"/>
    <w:rsid w:val="009E0C1E"/>
    <w:rsid w:val="009E172F"/>
    <w:rsid w:val="009E19CB"/>
    <w:rsid w:val="009E237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4C7E"/>
    <w:rsid w:val="00A06896"/>
    <w:rsid w:val="00A07CA6"/>
    <w:rsid w:val="00A10FD5"/>
    <w:rsid w:val="00A12395"/>
    <w:rsid w:val="00A12981"/>
    <w:rsid w:val="00A12D9D"/>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EE4"/>
    <w:rsid w:val="00A51D25"/>
    <w:rsid w:val="00A521D4"/>
    <w:rsid w:val="00A53511"/>
    <w:rsid w:val="00A541FE"/>
    <w:rsid w:val="00A553D4"/>
    <w:rsid w:val="00A55724"/>
    <w:rsid w:val="00A60841"/>
    <w:rsid w:val="00A61A4E"/>
    <w:rsid w:val="00A63700"/>
    <w:rsid w:val="00A64575"/>
    <w:rsid w:val="00A64C36"/>
    <w:rsid w:val="00A651C0"/>
    <w:rsid w:val="00A65A26"/>
    <w:rsid w:val="00A671E7"/>
    <w:rsid w:val="00A67625"/>
    <w:rsid w:val="00A67EF4"/>
    <w:rsid w:val="00A73EF9"/>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5B98"/>
    <w:rsid w:val="00B0036F"/>
    <w:rsid w:val="00B00C8E"/>
    <w:rsid w:val="00B02674"/>
    <w:rsid w:val="00B02AA5"/>
    <w:rsid w:val="00B045EC"/>
    <w:rsid w:val="00B04F50"/>
    <w:rsid w:val="00B05CA6"/>
    <w:rsid w:val="00B07742"/>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170"/>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B7DF0"/>
    <w:rsid w:val="00BC0196"/>
    <w:rsid w:val="00BC0367"/>
    <w:rsid w:val="00BC1CAA"/>
    <w:rsid w:val="00BC219A"/>
    <w:rsid w:val="00BC42A8"/>
    <w:rsid w:val="00BC4869"/>
    <w:rsid w:val="00BC66EE"/>
    <w:rsid w:val="00BC69F2"/>
    <w:rsid w:val="00BC74E2"/>
    <w:rsid w:val="00BC7535"/>
    <w:rsid w:val="00BC7F3C"/>
    <w:rsid w:val="00BC7FFB"/>
    <w:rsid w:val="00BD034D"/>
    <w:rsid w:val="00BD3209"/>
    <w:rsid w:val="00BD323A"/>
    <w:rsid w:val="00BD3ECE"/>
    <w:rsid w:val="00BD4316"/>
    <w:rsid w:val="00BD5782"/>
    <w:rsid w:val="00BD780A"/>
    <w:rsid w:val="00BE0194"/>
    <w:rsid w:val="00BE0CEB"/>
    <w:rsid w:val="00BE1E12"/>
    <w:rsid w:val="00BE2D09"/>
    <w:rsid w:val="00BE346A"/>
    <w:rsid w:val="00BE46DF"/>
    <w:rsid w:val="00BE635E"/>
    <w:rsid w:val="00BE6364"/>
    <w:rsid w:val="00BE6D71"/>
    <w:rsid w:val="00BE718D"/>
    <w:rsid w:val="00BE7A12"/>
    <w:rsid w:val="00BE7ADF"/>
    <w:rsid w:val="00BE7CAE"/>
    <w:rsid w:val="00BE7D4F"/>
    <w:rsid w:val="00BF5945"/>
    <w:rsid w:val="00BF5C5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5CA1"/>
    <w:rsid w:val="00C06182"/>
    <w:rsid w:val="00C06249"/>
    <w:rsid w:val="00C068BC"/>
    <w:rsid w:val="00C07235"/>
    <w:rsid w:val="00C07871"/>
    <w:rsid w:val="00C0787B"/>
    <w:rsid w:val="00C07B7F"/>
    <w:rsid w:val="00C07EC8"/>
    <w:rsid w:val="00C10243"/>
    <w:rsid w:val="00C10601"/>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57EBD"/>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3568"/>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1DE4"/>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4606"/>
    <w:rsid w:val="00CF4CEF"/>
    <w:rsid w:val="00CF610C"/>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1F91"/>
    <w:rsid w:val="00D44AD8"/>
    <w:rsid w:val="00D4515E"/>
    <w:rsid w:val="00D4521D"/>
    <w:rsid w:val="00D45819"/>
    <w:rsid w:val="00D46397"/>
    <w:rsid w:val="00D464F2"/>
    <w:rsid w:val="00D50F44"/>
    <w:rsid w:val="00D52933"/>
    <w:rsid w:val="00D52C36"/>
    <w:rsid w:val="00D52FF0"/>
    <w:rsid w:val="00D537E5"/>
    <w:rsid w:val="00D5591C"/>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C21"/>
    <w:rsid w:val="00D809E4"/>
    <w:rsid w:val="00D80B02"/>
    <w:rsid w:val="00D81B85"/>
    <w:rsid w:val="00D81EDD"/>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497"/>
    <w:rsid w:val="00E14BA9"/>
    <w:rsid w:val="00E1701F"/>
    <w:rsid w:val="00E2168A"/>
    <w:rsid w:val="00E22FD4"/>
    <w:rsid w:val="00E23A0E"/>
    <w:rsid w:val="00E23EE3"/>
    <w:rsid w:val="00E245A1"/>
    <w:rsid w:val="00E24831"/>
    <w:rsid w:val="00E25228"/>
    <w:rsid w:val="00E27953"/>
    <w:rsid w:val="00E27A9D"/>
    <w:rsid w:val="00E31001"/>
    <w:rsid w:val="00E314BF"/>
    <w:rsid w:val="00E328C4"/>
    <w:rsid w:val="00E32AC5"/>
    <w:rsid w:val="00E34A4E"/>
    <w:rsid w:val="00E35198"/>
    <w:rsid w:val="00E35AA6"/>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2D4B"/>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B57"/>
    <w:rsid w:val="00E82FDB"/>
    <w:rsid w:val="00E83C17"/>
    <w:rsid w:val="00E844ED"/>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1397"/>
    <w:rsid w:val="00ED28F4"/>
    <w:rsid w:val="00ED2D91"/>
    <w:rsid w:val="00ED30A9"/>
    <w:rsid w:val="00ED3204"/>
    <w:rsid w:val="00ED3FD9"/>
    <w:rsid w:val="00ED42D5"/>
    <w:rsid w:val="00ED43C6"/>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7CC"/>
    <w:rsid w:val="00F02EDC"/>
    <w:rsid w:val="00F039E2"/>
    <w:rsid w:val="00F041B8"/>
    <w:rsid w:val="00F04A95"/>
    <w:rsid w:val="00F058D3"/>
    <w:rsid w:val="00F10A38"/>
    <w:rsid w:val="00F1176A"/>
    <w:rsid w:val="00F11FF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numbering" w:customStyle="1" w:styleId="Listaactual15">
    <w:name w:val="Lista actual15"/>
    <w:uiPriority w:val="99"/>
    <w:rsid w:val="00AE31C2"/>
    <w:pPr>
      <w:numPr>
        <w:numId w:val="37"/>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AA99-E8BF-45FE-B010-5E214999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32</Pages>
  <Words>7681</Words>
  <Characters>42250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67</cp:revision>
  <cp:lastPrinted>2019-06-13T15:30:00Z</cp:lastPrinted>
  <dcterms:created xsi:type="dcterms:W3CDTF">2023-10-09T22:26:00Z</dcterms:created>
  <dcterms:modified xsi:type="dcterms:W3CDTF">2024-02-07T18:13:00Z</dcterms:modified>
</cp:coreProperties>
</file>