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4F9ACB" w14:textId="61FF0552" w:rsidR="001403D4" w:rsidRPr="00AE3D7B" w:rsidRDefault="005F2E4A">
      <w:pPr>
        <w:spacing w:line="360" w:lineRule="auto"/>
        <w:jc w:val="both"/>
        <w:rPr>
          <w:rFonts w:ascii="Palatino Linotype" w:eastAsia="Palatino Linotype" w:hAnsi="Palatino Linotype" w:cs="Palatino Linotype"/>
        </w:rPr>
      </w:pPr>
      <w:r w:rsidRPr="00AE3D7B">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730AEF">
        <w:rPr>
          <w:rFonts w:ascii="Palatino Linotype" w:eastAsia="Palatino Linotype" w:hAnsi="Palatino Linotype" w:cs="Palatino Linotype"/>
        </w:rPr>
        <w:t xml:space="preserve"> de México; de fecha seis (06)</w:t>
      </w:r>
      <w:r w:rsidRPr="00AE3D7B">
        <w:rPr>
          <w:rFonts w:ascii="Palatino Linotype" w:eastAsia="Palatino Linotype" w:hAnsi="Palatino Linotype" w:cs="Palatino Linotype"/>
        </w:rPr>
        <w:t xml:space="preserve"> de </w:t>
      </w:r>
      <w:r w:rsidR="00730AEF">
        <w:rPr>
          <w:rFonts w:ascii="Palatino Linotype" w:eastAsia="Palatino Linotype" w:hAnsi="Palatino Linotype" w:cs="Palatino Linotype"/>
        </w:rPr>
        <w:t>noviembre</w:t>
      </w:r>
      <w:r w:rsidRPr="00AE3D7B">
        <w:rPr>
          <w:rFonts w:ascii="Palatino Linotype" w:eastAsia="Palatino Linotype" w:hAnsi="Palatino Linotype" w:cs="Palatino Linotype"/>
        </w:rPr>
        <w:t xml:space="preserve"> de dos mil veinticuatro.</w:t>
      </w:r>
    </w:p>
    <w:p w14:paraId="25F233FE" w14:textId="77777777" w:rsidR="001403D4" w:rsidRPr="00AE3D7B" w:rsidRDefault="001403D4">
      <w:pPr>
        <w:spacing w:line="360" w:lineRule="auto"/>
        <w:jc w:val="both"/>
        <w:rPr>
          <w:rFonts w:ascii="Palatino Linotype" w:eastAsia="Palatino Linotype" w:hAnsi="Palatino Linotype" w:cs="Palatino Linotype"/>
        </w:rPr>
      </w:pPr>
    </w:p>
    <w:p w14:paraId="57C14D5F" w14:textId="1100EB86" w:rsidR="001403D4" w:rsidRPr="00AE3D7B" w:rsidRDefault="005F2E4A">
      <w:pPr>
        <w:spacing w:line="360" w:lineRule="auto"/>
        <w:jc w:val="both"/>
        <w:rPr>
          <w:rFonts w:ascii="Palatino Linotype" w:eastAsia="Palatino Linotype" w:hAnsi="Palatino Linotype" w:cs="Palatino Linotype"/>
        </w:rPr>
      </w:pPr>
      <w:r w:rsidRPr="00AE3D7B">
        <w:rPr>
          <w:rFonts w:ascii="Palatino Linotype" w:eastAsia="Palatino Linotype" w:hAnsi="Palatino Linotype" w:cs="Palatino Linotype"/>
          <w:b/>
        </w:rPr>
        <w:t>VISTOS</w:t>
      </w:r>
      <w:r w:rsidRPr="00AE3D7B">
        <w:rPr>
          <w:rFonts w:ascii="Palatino Linotype" w:eastAsia="Palatino Linotype" w:hAnsi="Palatino Linotype" w:cs="Palatino Linotype"/>
        </w:rPr>
        <w:t xml:space="preserve"> los expedientes electrónicos formados con motivo del recurso de revisión </w:t>
      </w:r>
      <w:r w:rsidRPr="00AE3D7B">
        <w:rPr>
          <w:rFonts w:ascii="Palatino Linotype" w:eastAsia="Palatino Linotype" w:hAnsi="Palatino Linotype" w:cs="Palatino Linotype"/>
          <w:b/>
        </w:rPr>
        <w:t>05288/INFOEM/IP/RR/2024</w:t>
      </w:r>
      <w:r w:rsidRPr="00AE3D7B">
        <w:rPr>
          <w:rFonts w:ascii="Palatino Linotype" w:eastAsia="Palatino Linotype" w:hAnsi="Palatino Linotype" w:cs="Palatino Linotype"/>
        </w:rPr>
        <w:t>,</w:t>
      </w:r>
      <w:r w:rsidRPr="00AE3D7B">
        <w:rPr>
          <w:rFonts w:ascii="Palatino Linotype" w:eastAsia="Palatino Linotype" w:hAnsi="Palatino Linotype" w:cs="Palatino Linotype"/>
          <w:b/>
        </w:rPr>
        <w:t xml:space="preserve"> </w:t>
      </w:r>
      <w:r w:rsidRPr="00AE3D7B">
        <w:rPr>
          <w:rFonts w:ascii="Palatino Linotype" w:eastAsia="Palatino Linotype" w:hAnsi="Palatino Linotype" w:cs="Palatino Linotype"/>
        </w:rPr>
        <w:t xml:space="preserve">promovido por </w:t>
      </w:r>
      <w:r w:rsidR="00D233E0">
        <w:rPr>
          <w:rFonts w:ascii="Palatino Linotype" w:eastAsia="Palatino Linotype" w:hAnsi="Palatino Linotype" w:cs="Palatino Linotype"/>
        </w:rPr>
        <w:t xml:space="preserve">XXX </w:t>
      </w:r>
      <w:proofErr w:type="spellStart"/>
      <w:r w:rsidR="00D233E0">
        <w:rPr>
          <w:rFonts w:ascii="Palatino Linotype" w:eastAsia="Palatino Linotype" w:hAnsi="Palatino Linotype" w:cs="Palatino Linotype"/>
        </w:rPr>
        <w:t>XXX</w:t>
      </w:r>
      <w:proofErr w:type="spellEnd"/>
      <w:r w:rsidR="00D233E0">
        <w:rPr>
          <w:rFonts w:ascii="Palatino Linotype" w:eastAsia="Palatino Linotype" w:hAnsi="Palatino Linotype" w:cs="Palatino Linotype"/>
        </w:rPr>
        <w:t xml:space="preserve"> </w:t>
      </w:r>
      <w:proofErr w:type="spellStart"/>
      <w:r w:rsidR="00D233E0">
        <w:rPr>
          <w:rFonts w:ascii="Palatino Linotype" w:eastAsia="Palatino Linotype" w:hAnsi="Palatino Linotype" w:cs="Palatino Linotype"/>
        </w:rPr>
        <w:t>XXX</w:t>
      </w:r>
      <w:proofErr w:type="spellEnd"/>
      <w:r w:rsidRPr="00AE3D7B">
        <w:rPr>
          <w:rFonts w:ascii="Palatino Linotype" w:eastAsia="Palatino Linotype" w:hAnsi="Palatino Linotype" w:cs="Palatino Linotype"/>
        </w:rPr>
        <w:t xml:space="preserve">, a quien en lo sucesivo se identificará como </w:t>
      </w:r>
      <w:r w:rsidRPr="00AE3D7B">
        <w:rPr>
          <w:rFonts w:ascii="Palatino Linotype" w:eastAsia="Palatino Linotype" w:hAnsi="Palatino Linotype" w:cs="Palatino Linotype"/>
          <w:b/>
        </w:rPr>
        <w:t xml:space="preserve">RECURRENTE </w:t>
      </w:r>
      <w:r w:rsidRPr="00AE3D7B">
        <w:rPr>
          <w:rFonts w:ascii="Palatino Linotype" w:eastAsia="Palatino Linotype" w:hAnsi="Palatino Linotype" w:cs="Palatino Linotype"/>
        </w:rPr>
        <w:t>y/o Particular, a través del</w:t>
      </w:r>
      <w:r w:rsidRPr="00AE3D7B">
        <w:rPr>
          <w:rFonts w:ascii="Palatino Linotype" w:eastAsia="Palatino Linotype" w:hAnsi="Palatino Linotype" w:cs="Palatino Linotype"/>
          <w:b/>
        </w:rPr>
        <w:t xml:space="preserve"> Sistema de Acceso a la Información Mexiquense (SAIMEX),</w:t>
      </w:r>
      <w:r w:rsidRPr="00AE3D7B">
        <w:rPr>
          <w:rFonts w:ascii="Palatino Linotype" w:eastAsia="Palatino Linotype" w:hAnsi="Palatino Linotype" w:cs="Palatino Linotype"/>
        </w:rPr>
        <w:t xml:space="preserve"> en contra de la respuesta del </w:t>
      </w:r>
      <w:r w:rsidRPr="00AE3D7B">
        <w:rPr>
          <w:rFonts w:ascii="Palatino Linotype" w:eastAsia="Palatino Linotype" w:hAnsi="Palatino Linotype" w:cs="Palatino Linotype"/>
          <w:b/>
        </w:rPr>
        <w:t xml:space="preserve">Ayuntamiento de Nextlalpan, </w:t>
      </w:r>
      <w:r w:rsidRPr="00AE3D7B">
        <w:rPr>
          <w:rFonts w:ascii="Palatino Linotype" w:eastAsia="Palatino Linotype" w:hAnsi="Palatino Linotype" w:cs="Palatino Linotype"/>
        </w:rPr>
        <w:t>en adelante el</w:t>
      </w:r>
      <w:r w:rsidRPr="00AE3D7B">
        <w:rPr>
          <w:rFonts w:ascii="Palatino Linotype" w:eastAsia="Palatino Linotype" w:hAnsi="Palatino Linotype" w:cs="Palatino Linotype"/>
          <w:b/>
        </w:rPr>
        <w:t xml:space="preserve"> SUJETO OBLIGADO</w:t>
      </w:r>
      <w:r w:rsidRPr="00AE3D7B">
        <w:rPr>
          <w:rFonts w:ascii="Palatino Linotype" w:eastAsia="Palatino Linotype" w:hAnsi="Palatino Linotype" w:cs="Palatino Linotype"/>
        </w:rPr>
        <w:t>, por lo que se procede a dictar la presente resolución, con base en los siguientes:</w:t>
      </w:r>
    </w:p>
    <w:p w14:paraId="2DC214E6" w14:textId="77777777" w:rsidR="001403D4" w:rsidRPr="00AE3D7B" w:rsidRDefault="001403D4">
      <w:pPr>
        <w:keepNext/>
        <w:keepLines/>
        <w:spacing w:line="360" w:lineRule="auto"/>
        <w:jc w:val="center"/>
        <w:rPr>
          <w:rFonts w:ascii="Palatino Linotype" w:eastAsia="Palatino Linotype" w:hAnsi="Palatino Linotype" w:cs="Palatino Linotype"/>
          <w:b/>
        </w:rPr>
      </w:pPr>
    </w:p>
    <w:p w14:paraId="09A877CD" w14:textId="77777777" w:rsidR="001403D4" w:rsidRPr="00AE3D7B" w:rsidRDefault="005F2E4A">
      <w:pPr>
        <w:keepNext/>
        <w:keepLines/>
        <w:spacing w:line="360" w:lineRule="auto"/>
        <w:jc w:val="center"/>
        <w:rPr>
          <w:rFonts w:ascii="Palatino Linotype" w:eastAsia="Palatino Linotype" w:hAnsi="Palatino Linotype" w:cs="Palatino Linotype"/>
          <w:b/>
        </w:rPr>
      </w:pPr>
      <w:r w:rsidRPr="00AE3D7B">
        <w:rPr>
          <w:rFonts w:ascii="Palatino Linotype" w:eastAsia="Palatino Linotype" w:hAnsi="Palatino Linotype" w:cs="Palatino Linotype"/>
          <w:b/>
        </w:rPr>
        <w:t>A N T E C E D E N T E S</w:t>
      </w:r>
    </w:p>
    <w:p w14:paraId="1F08A873" w14:textId="77777777" w:rsidR="001403D4" w:rsidRPr="00AE3D7B" w:rsidRDefault="005F2E4A">
      <w:pPr>
        <w:numPr>
          <w:ilvl w:val="0"/>
          <w:numId w:val="1"/>
        </w:numPr>
        <w:pBdr>
          <w:top w:val="nil"/>
          <w:left w:val="nil"/>
          <w:bottom w:val="nil"/>
          <w:right w:val="nil"/>
          <w:between w:val="nil"/>
        </w:pBdr>
        <w:spacing w:line="360" w:lineRule="auto"/>
        <w:rPr>
          <w:rFonts w:ascii="Palatino Linotype" w:eastAsia="Palatino Linotype" w:hAnsi="Palatino Linotype" w:cs="Palatino Linotype"/>
          <w:color w:val="000000"/>
        </w:rPr>
      </w:pPr>
      <w:r w:rsidRPr="00AE3D7B">
        <w:rPr>
          <w:rFonts w:ascii="Palatino Linotype" w:eastAsia="Palatino Linotype" w:hAnsi="Palatino Linotype" w:cs="Palatino Linotype"/>
          <w:b/>
          <w:color w:val="000000"/>
          <w:u w:val="single"/>
        </w:rPr>
        <w:t>Solicitud de acceso a la información pública.</w:t>
      </w:r>
    </w:p>
    <w:p w14:paraId="2A33075D"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 xml:space="preserve">El </w:t>
      </w:r>
      <w:r w:rsidRPr="00AE3D7B">
        <w:rPr>
          <w:rFonts w:ascii="Palatino Linotype" w:eastAsia="Palatino Linotype" w:hAnsi="Palatino Linotype" w:cs="Palatino Linotype"/>
          <w:b/>
        </w:rPr>
        <w:t>quince de agosto de dos mil veinticuatro</w:t>
      </w:r>
      <w:r w:rsidRPr="00AE3D7B">
        <w:rPr>
          <w:rFonts w:ascii="Palatino Linotype" w:eastAsia="Palatino Linotype" w:hAnsi="Palatino Linotype" w:cs="Palatino Linotype"/>
        </w:rPr>
        <w:t xml:space="preserve">, </w:t>
      </w:r>
      <w:r w:rsidRPr="00AE3D7B">
        <w:rPr>
          <w:rFonts w:ascii="Palatino Linotype" w:eastAsia="Palatino Linotype" w:hAnsi="Palatino Linotype" w:cs="Palatino Linotype"/>
          <w:b/>
        </w:rPr>
        <w:t>EL RECURRENTE,</w:t>
      </w:r>
      <w:r w:rsidRPr="00AE3D7B">
        <w:rPr>
          <w:rFonts w:ascii="Palatino Linotype" w:eastAsia="Palatino Linotype" w:hAnsi="Palatino Linotype" w:cs="Palatino Linotype"/>
        </w:rPr>
        <w:t xml:space="preserve"> ante el </w:t>
      </w:r>
      <w:r w:rsidRPr="00AE3D7B">
        <w:rPr>
          <w:rFonts w:ascii="Palatino Linotype" w:eastAsia="Palatino Linotype" w:hAnsi="Palatino Linotype" w:cs="Palatino Linotype"/>
          <w:b/>
        </w:rPr>
        <w:t>SUJETO OBLIGADO</w:t>
      </w:r>
      <w:r w:rsidRPr="00AE3D7B">
        <w:rPr>
          <w:rFonts w:ascii="Palatino Linotype" w:eastAsia="Palatino Linotype" w:hAnsi="Palatino Linotype" w:cs="Palatino Linotype"/>
        </w:rPr>
        <w:t>, vía Sistema de Acceso a la Información Mexiquense (</w:t>
      </w:r>
      <w:r w:rsidRPr="00AE3D7B">
        <w:rPr>
          <w:rFonts w:ascii="Palatino Linotype" w:eastAsia="Palatino Linotype" w:hAnsi="Palatino Linotype" w:cs="Palatino Linotype"/>
          <w:b/>
        </w:rPr>
        <w:t>SAIMEX)</w:t>
      </w:r>
      <w:r w:rsidRPr="00AE3D7B">
        <w:rPr>
          <w:rFonts w:ascii="Palatino Linotype" w:eastAsia="Palatino Linotype" w:hAnsi="Palatino Linotype" w:cs="Palatino Linotype"/>
        </w:rPr>
        <w:t xml:space="preserve">, presentó la solicitud de información registrada con el número </w:t>
      </w:r>
      <w:r w:rsidRPr="00AE3D7B">
        <w:rPr>
          <w:rFonts w:ascii="Palatino Linotype" w:eastAsia="Palatino Linotype" w:hAnsi="Palatino Linotype" w:cs="Palatino Linotype"/>
          <w:b/>
        </w:rPr>
        <w:t>00051/NEXTLAL/IP/2024</w:t>
      </w:r>
      <w:r w:rsidRPr="00AE3D7B">
        <w:rPr>
          <w:rFonts w:ascii="Palatino Linotype" w:eastAsia="Palatino Linotype" w:hAnsi="Palatino Linotype" w:cs="Palatino Linotype"/>
        </w:rPr>
        <w:t>,</w:t>
      </w:r>
      <w:r w:rsidRPr="00AE3D7B">
        <w:rPr>
          <w:rFonts w:ascii="Palatino Linotype" w:eastAsia="Palatino Linotype" w:hAnsi="Palatino Linotype" w:cs="Palatino Linotype"/>
          <w:b/>
        </w:rPr>
        <w:t xml:space="preserve"> </w:t>
      </w:r>
      <w:r w:rsidRPr="00AE3D7B">
        <w:rPr>
          <w:rFonts w:ascii="Palatino Linotype" w:eastAsia="Palatino Linotype" w:hAnsi="Palatino Linotype" w:cs="Palatino Linotype"/>
        </w:rPr>
        <w:t>en la que se solicitó lo siguiente:</w:t>
      </w:r>
    </w:p>
    <w:p w14:paraId="02AE4E7C" w14:textId="77777777" w:rsidR="001403D4" w:rsidRPr="00AE3D7B" w:rsidRDefault="001403D4">
      <w:pPr>
        <w:spacing w:line="360" w:lineRule="auto"/>
        <w:jc w:val="both"/>
        <w:rPr>
          <w:rFonts w:ascii="Palatino Linotype" w:eastAsia="Palatino Linotype" w:hAnsi="Palatino Linotype" w:cs="Palatino Linotype"/>
        </w:rPr>
      </w:pPr>
    </w:p>
    <w:p w14:paraId="74059A66" w14:textId="77777777" w:rsidR="001403D4" w:rsidRPr="00AE3D7B" w:rsidRDefault="005F2E4A">
      <w:pPr>
        <w:spacing w:line="276" w:lineRule="auto"/>
        <w:ind w:left="567" w:right="538"/>
        <w:jc w:val="both"/>
        <w:rPr>
          <w:rFonts w:ascii="Palatino Linotype" w:eastAsia="Palatino Linotype" w:hAnsi="Palatino Linotype" w:cs="Palatino Linotype"/>
          <w:i/>
          <w:color w:val="000000"/>
        </w:rPr>
      </w:pPr>
      <w:r w:rsidRPr="00AE3D7B">
        <w:rPr>
          <w:rFonts w:ascii="Palatino Linotype" w:eastAsia="Palatino Linotype" w:hAnsi="Palatino Linotype" w:cs="Palatino Linotype"/>
          <w:i/>
          <w:color w:val="000000"/>
        </w:rPr>
        <w:t>“N</w:t>
      </w:r>
      <w:r w:rsidRPr="00AE3D7B">
        <w:rPr>
          <w:rFonts w:ascii="Palatino Linotype" w:eastAsia="Palatino Linotype" w:hAnsi="Palatino Linotype" w:cs="Palatino Linotype"/>
          <w:i/>
        </w:rPr>
        <w:t>ómina del mes de julio de 2024 de la administración, nombres, puestos y sueldos de personal administrativo y de elección popular, junto con información del Sistema DIF Municipal</w:t>
      </w:r>
      <w:r w:rsidRPr="00AE3D7B">
        <w:rPr>
          <w:rFonts w:ascii="Palatino Linotype" w:eastAsia="Palatino Linotype" w:hAnsi="Palatino Linotype" w:cs="Palatino Linotype"/>
          <w:i/>
          <w:color w:val="000000"/>
        </w:rPr>
        <w:t xml:space="preserve">” </w:t>
      </w:r>
      <w:r w:rsidRPr="00AE3D7B">
        <w:rPr>
          <w:rFonts w:ascii="Palatino Linotype" w:eastAsia="Palatino Linotype" w:hAnsi="Palatino Linotype" w:cs="Palatino Linotype"/>
          <w:color w:val="000000"/>
        </w:rPr>
        <w:t>(Sic)</w:t>
      </w:r>
      <w:r w:rsidRPr="00AE3D7B">
        <w:rPr>
          <w:rFonts w:ascii="Palatino Linotype" w:eastAsia="Palatino Linotype" w:hAnsi="Palatino Linotype" w:cs="Palatino Linotype"/>
          <w:i/>
          <w:color w:val="000000"/>
        </w:rPr>
        <w:t xml:space="preserve"> </w:t>
      </w:r>
    </w:p>
    <w:p w14:paraId="16013378" w14:textId="77777777" w:rsidR="001403D4" w:rsidRPr="00AE3D7B" w:rsidRDefault="001403D4">
      <w:pPr>
        <w:spacing w:line="360" w:lineRule="auto"/>
        <w:jc w:val="both"/>
        <w:rPr>
          <w:rFonts w:ascii="Palatino Linotype" w:eastAsia="Palatino Linotype" w:hAnsi="Palatino Linotype" w:cs="Palatino Linotype"/>
          <w:i/>
          <w:color w:val="000000"/>
        </w:rPr>
      </w:pPr>
    </w:p>
    <w:p w14:paraId="4720491A" w14:textId="77777777" w:rsidR="001403D4" w:rsidRPr="00AE3D7B" w:rsidRDefault="005F2E4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lastRenderedPageBreak/>
        <w:t>Se eligió como modalidad de entrega a través de la plataforma digital Sistema de Acceso a la Información Mexiquense (SAIMEX).</w:t>
      </w:r>
    </w:p>
    <w:p w14:paraId="3CA1415D" w14:textId="77777777" w:rsidR="001403D4" w:rsidRPr="00AE3D7B" w:rsidRDefault="001403D4">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14:paraId="11555B3D" w14:textId="77777777" w:rsidR="001403D4" w:rsidRPr="00AE3D7B" w:rsidRDefault="005F2E4A">
      <w:pPr>
        <w:numPr>
          <w:ilvl w:val="0"/>
          <w:numId w:val="1"/>
        </w:numPr>
        <w:pBdr>
          <w:top w:val="nil"/>
          <w:left w:val="nil"/>
          <w:bottom w:val="nil"/>
          <w:right w:val="nil"/>
          <w:between w:val="nil"/>
        </w:pBdr>
        <w:spacing w:line="360" w:lineRule="auto"/>
        <w:rPr>
          <w:rFonts w:ascii="Palatino Linotype" w:eastAsia="Palatino Linotype" w:hAnsi="Palatino Linotype" w:cs="Palatino Linotype"/>
          <w:color w:val="000000"/>
        </w:rPr>
      </w:pPr>
      <w:r w:rsidRPr="00AE3D7B">
        <w:rPr>
          <w:rFonts w:ascii="Palatino Linotype" w:eastAsia="Palatino Linotype" w:hAnsi="Palatino Linotype" w:cs="Palatino Linotype"/>
          <w:b/>
          <w:color w:val="000000"/>
          <w:u w:val="single"/>
        </w:rPr>
        <w:t>Respuesta del Sujeto Obligado.</w:t>
      </w:r>
    </w:p>
    <w:p w14:paraId="1299ED75" w14:textId="77777777" w:rsidR="001403D4" w:rsidRPr="00AE3D7B" w:rsidRDefault="005F2E4A" w:rsidP="00285076">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0" w:name="_heading=h.gjdgxs" w:colFirst="0" w:colLast="0"/>
      <w:bookmarkEnd w:id="0"/>
      <w:r w:rsidRPr="00AE3D7B">
        <w:rPr>
          <w:rFonts w:ascii="Palatino Linotype" w:eastAsia="Palatino Linotype" w:hAnsi="Palatino Linotype" w:cs="Palatino Linotype"/>
          <w:color w:val="000000"/>
        </w:rPr>
        <w:t xml:space="preserve">En fecha </w:t>
      </w:r>
      <w:r w:rsidRPr="00AE3D7B">
        <w:rPr>
          <w:rFonts w:ascii="Palatino Linotype" w:eastAsia="Palatino Linotype" w:hAnsi="Palatino Linotype" w:cs="Palatino Linotype"/>
          <w:b/>
          <w:color w:val="000000"/>
        </w:rPr>
        <w:t>veintinueve de agosto de dos mil veinticuatro</w:t>
      </w:r>
      <w:r w:rsidRPr="00AE3D7B">
        <w:rPr>
          <w:rFonts w:ascii="Palatino Linotype" w:eastAsia="Palatino Linotype" w:hAnsi="Palatino Linotype" w:cs="Palatino Linotype"/>
          <w:color w:val="000000"/>
        </w:rPr>
        <w:t xml:space="preserve">, el </w:t>
      </w:r>
      <w:r w:rsidRPr="00AE3D7B">
        <w:rPr>
          <w:rFonts w:ascii="Palatino Linotype" w:eastAsia="Palatino Linotype" w:hAnsi="Palatino Linotype" w:cs="Palatino Linotype"/>
          <w:b/>
          <w:color w:val="000000"/>
        </w:rPr>
        <w:t>SUJETO OBLIGADO</w:t>
      </w:r>
      <w:r w:rsidRPr="00AE3D7B">
        <w:rPr>
          <w:rFonts w:ascii="Palatino Linotype" w:eastAsia="Palatino Linotype" w:hAnsi="Palatino Linotype" w:cs="Palatino Linotype"/>
          <w:b/>
          <w:i/>
          <w:color w:val="000000"/>
        </w:rPr>
        <w:t xml:space="preserve"> </w:t>
      </w:r>
      <w:r w:rsidRPr="00AE3D7B">
        <w:rPr>
          <w:rFonts w:ascii="Palatino Linotype" w:eastAsia="Palatino Linotype" w:hAnsi="Palatino Linotype" w:cs="Palatino Linotype"/>
          <w:color w:val="000000"/>
        </w:rPr>
        <w:t xml:space="preserve">dio respuesta a la solicitud de información mediante oficio número NEXUTAIP/085/2024, de fecha </w:t>
      </w:r>
      <w:r w:rsidRPr="00AE3D7B">
        <w:rPr>
          <w:rFonts w:ascii="Palatino Linotype" w:eastAsia="Palatino Linotype" w:hAnsi="Palatino Linotype" w:cs="Palatino Linotype"/>
          <w:b/>
          <w:color w:val="000000"/>
        </w:rPr>
        <w:t>veintiocho de agosto de dos mil veinticuatro</w:t>
      </w:r>
      <w:r w:rsidRPr="00AE3D7B">
        <w:rPr>
          <w:rFonts w:ascii="Palatino Linotype" w:eastAsia="Palatino Linotype" w:hAnsi="Palatino Linotype" w:cs="Palatino Linotype"/>
          <w:color w:val="000000"/>
        </w:rPr>
        <w:t>, firmado por la Titular de la Unidad de Transparencia, Acceso a la Información Pública y Protección de Datos Personales del Municipio de Nextlalpan de F.S.S., Estado de México, en lo que interesa plasmó:</w:t>
      </w:r>
    </w:p>
    <w:p w14:paraId="3637611E" w14:textId="77777777" w:rsidR="001403D4" w:rsidRPr="00AE3D7B" w:rsidRDefault="001403D4">
      <w:pPr>
        <w:spacing w:line="276" w:lineRule="auto"/>
        <w:jc w:val="both"/>
        <w:rPr>
          <w:rFonts w:ascii="Palatino Linotype" w:eastAsia="Palatino Linotype" w:hAnsi="Palatino Linotype" w:cs="Palatino Linotype"/>
          <w:i/>
        </w:rPr>
      </w:pPr>
    </w:p>
    <w:p w14:paraId="05959DE9" w14:textId="77777777" w:rsidR="001403D4" w:rsidRPr="00AE3D7B" w:rsidRDefault="005F2E4A">
      <w:pPr>
        <w:spacing w:line="276" w:lineRule="auto"/>
        <w:ind w:left="709" w:right="538"/>
        <w:jc w:val="both"/>
        <w:rPr>
          <w:rFonts w:ascii="Palatino Linotype" w:eastAsia="Palatino Linotype" w:hAnsi="Palatino Linotype" w:cs="Palatino Linotype"/>
          <w:i/>
        </w:rPr>
      </w:pPr>
      <w:r w:rsidRPr="00AE3D7B">
        <w:rPr>
          <w:rFonts w:ascii="Palatino Linotype" w:eastAsia="Palatino Linotype" w:hAnsi="Palatino Linotype" w:cs="Palatino Linotype"/>
          <w:i/>
        </w:rPr>
        <w:t xml:space="preserve">“…Por lo anterior, a través del presente, en términos de lo previsto por el artículo 12 de la Ley de Transparencia y Acceso a la información Pública del Estado de México y Municipios, en respuesta a la solicitud ingresada en el portal </w:t>
      </w:r>
      <w:r w:rsidRPr="00AE3D7B">
        <w:rPr>
          <w:rFonts w:ascii="Palatino Linotype" w:eastAsia="Palatino Linotype" w:hAnsi="Palatino Linotype" w:cs="Palatino Linotype"/>
          <w:b/>
          <w:i/>
        </w:rPr>
        <w:t>SAIMEX</w:t>
      </w:r>
      <w:r w:rsidRPr="00AE3D7B">
        <w:rPr>
          <w:rFonts w:ascii="Palatino Linotype" w:eastAsia="Palatino Linotype" w:hAnsi="Palatino Linotype" w:cs="Palatino Linotype"/>
          <w:i/>
        </w:rPr>
        <w:t xml:space="preserve">, adjunto al presente, la contestación emitida por la Dependencia correspondiente con número de oficio </w:t>
      </w:r>
      <w:r w:rsidRPr="00AE3D7B">
        <w:rPr>
          <w:rFonts w:ascii="Palatino Linotype" w:eastAsia="Palatino Linotype" w:hAnsi="Palatino Linotype" w:cs="Palatino Linotype"/>
          <w:b/>
          <w:i/>
        </w:rPr>
        <w:t>TESMUN/00252/2024</w:t>
      </w:r>
      <w:r w:rsidRPr="00AE3D7B">
        <w:rPr>
          <w:rFonts w:ascii="Palatino Linotype" w:eastAsia="Palatino Linotype" w:hAnsi="Palatino Linotype" w:cs="Palatino Linotype"/>
          <w:i/>
        </w:rPr>
        <w:t>, de fecha 26 de agosto de la presente anualidad.</w:t>
      </w:r>
    </w:p>
    <w:p w14:paraId="57D7973C" w14:textId="77777777" w:rsidR="001403D4" w:rsidRPr="00AE3D7B" w:rsidRDefault="005F2E4A">
      <w:pPr>
        <w:spacing w:line="276" w:lineRule="auto"/>
        <w:ind w:left="709" w:right="538"/>
        <w:jc w:val="both"/>
        <w:rPr>
          <w:rFonts w:ascii="Palatino Linotype" w:eastAsia="Palatino Linotype" w:hAnsi="Palatino Linotype" w:cs="Palatino Linotype"/>
        </w:rPr>
      </w:pPr>
      <w:r w:rsidRPr="00AE3D7B">
        <w:rPr>
          <w:rFonts w:ascii="Palatino Linotype" w:eastAsia="Palatino Linotype" w:hAnsi="Palatino Linotype" w:cs="Palatino Linotype"/>
          <w:i/>
        </w:rPr>
        <w:t>Por lo antes expuesto y con el soporte de la información que se remite a Usted, solicito se tenga por contestada su solicitud en tiempo y forma, …”</w:t>
      </w:r>
      <w:r w:rsidRPr="00AE3D7B">
        <w:rPr>
          <w:rFonts w:ascii="Palatino Linotype" w:eastAsia="Palatino Linotype" w:hAnsi="Palatino Linotype" w:cs="Palatino Linotype"/>
        </w:rPr>
        <w:t xml:space="preserve"> (Sic)</w:t>
      </w:r>
    </w:p>
    <w:p w14:paraId="04D1BD5B" w14:textId="77777777" w:rsidR="001403D4" w:rsidRPr="00AE3D7B" w:rsidRDefault="001403D4">
      <w:pPr>
        <w:spacing w:line="360" w:lineRule="auto"/>
        <w:ind w:right="538"/>
        <w:jc w:val="both"/>
        <w:rPr>
          <w:rFonts w:ascii="Palatino Linotype" w:eastAsia="Palatino Linotype" w:hAnsi="Palatino Linotype" w:cs="Palatino Linotype"/>
        </w:rPr>
      </w:pPr>
    </w:p>
    <w:p w14:paraId="7D59F664" w14:textId="77777777" w:rsidR="001403D4" w:rsidRPr="00AE3D7B" w:rsidRDefault="005F2E4A">
      <w:pPr>
        <w:numPr>
          <w:ilvl w:val="0"/>
          <w:numId w:val="3"/>
        </w:numPr>
        <w:pBdr>
          <w:top w:val="nil"/>
          <w:left w:val="nil"/>
          <w:bottom w:val="nil"/>
          <w:right w:val="nil"/>
          <w:between w:val="nil"/>
        </w:pBdr>
        <w:spacing w:line="360" w:lineRule="auto"/>
        <w:ind w:right="538"/>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 xml:space="preserve">El Sujeto Obligado adjuntó la digitalización del siguiente documento: </w:t>
      </w:r>
    </w:p>
    <w:p w14:paraId="7F4E4C37" w14:textId="77777777" w:rsidR="001403D4" w:rsidRPr="00AE3D7B" w:rsidRDefault="001403D4">
      <w:pPr>
        <w:spacing w:line="360" w:lineRule="auto"/>
        <w:ind w:right="538"/>
        <w:jc w:val="both"/>
        <w:rPr>
          <w:rFonts w:ascii="Palatino Linotype" w:eastAsia="Palatino Linotype" w:hAnsi="Palatino Linotype" w:cs="Palatino Linotype"/>
          <w:i/>
        </w:rPr>
      </w:pPr>
    </w:p>
    <w:p w14:paraId="79CEDDC7" w14:textId="77777777" w:rsidR="001403D4" w:rsidRPr="00AE3D7B" w:rsidRDefault="005F2E4A">
      <w:pPr>
        <w:numPr>
          <w:ilvl w:val="0"/>
          <w:numId w:val="3"/>
        </w:numPr>
        <w:pBdr>
          <w:top w:val="nil"/>
          <w:left w:val="nil"/>
          <w:bottom w:val="nil"/>
          <w:right w:val="nil"/>
          <w:between w:val="nil"/>
        </w:pBdr>
        <w:spacing w:line="360" w:lineRule="auto"/>
        <w:ind w:right="538"/>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Oficio número TESMUN/00252/2024, de fecha</w:t>
      </w:r>
      <w:r w:rsidRPr="00AE3D7B">
        <w:rPr>
          <w:rFonts w:ascii="Palatino Linotype" w:eastAsia="Palatino Linotype" w:hAnsi="Palatino Linotype" w:cs="Palatino Linotype"/>
          <w:b/>
          <w:color w:val="000000"/>
        </w:rPr>
        <w:t xml:space="preserve"> veintiséis de agosto de dos mil veinticuatro</w:t>
      </w:r>
      <w:r w:rsidRPr="00AE3D7B">
        <w:rPr>
          <w:rFonts w:ascii="Palatino Linotype" w:eastAsia="Palatino Linotype" w:hAnsi="Palatino Linotype" w:cs="Palatino Linotype"/>
          <w:color w:val="000000"/>
        </w:rPr>
        <w:t xml:space="preserve">, suscrito por la L. C. Norma Angélica Noguez Torres, </w:t>
      </w:r>
      <w:r w:rsidRPr="00AE3D7B">
        <w:rPr>
          <w:rFonts w:ascii="Palatino Linotype" w:eastAsia="Palatino Linotype" w:hAnsi="Palatino Linotype" w:cs="Palatino Linotype"/>
          <w:color w:val="000000"/>
        </w:rPr>
        <w:lastRenderedPageBreak/>
        <w:t>Tesorera Municipal de Nextlalpan, dirigido a Isabela Mariana Arenas Zárate, Titular de la Unidad de Transparencia y Acceso a la Información Pública y Protección de Datos Personales, en el que a grosso modo señaló:</w:t>
      </w:r>
    </w:p>
    <w:p w14:paraId="101F089E" w14:textId="77777777" w:rsidR="001403D4" w:rsidRPr="00AE3D7B" w:rsidRDefault="005F2E4A">
      <w:pPr>
        <w:spacing w:line="360" w:lineRule="auto"/>
        <w:ind w:right="538" w:firstLine="708"/>
        <w:jc w:val="both"/>
        <w:rPr>
          <w:rFonts w:ascii="Palatino Linotype" w:eastAsia="Palatino Linotype" w:hAnsi="Palatino Linotype" w:cs="Palatino Linotype"/>
          <w:i/>
        </w:rPr>
      </w:pPr>
      <w:r w:rsidRPr="00AE3D7B">
        <w:rPr>
          <w:rFonts w:ascii="Palatino Linotype" w:eastAsia="Palatino Linotype" w:hAnsi="Palatino Linotype" w:cs="Palatino Linotype"/>
          <w:i/>
        </w:rPr>
        <w:t xml:space="preserve">“… </w:t>
      </w:r>
    </w:p>
    <w:p w14:paraId="119A497A" w14:textId="77777777" w:rsidR="001403D4" w:rsidRPr="00AE3D7B" w:rsidRDefault="005F2E4A">
      <w:pPr>
        <w:numPr>
          <w:ilvl w:val="0"/>
          <w:numId w:val="14"/>
        </w:numPr>
        <w:pBdr>
          <w:top w:val="nil"/>
          <w:left w:val="nil"/>
          <w:bottom w:val="nil"/>
          <w:right w:val="nil"/>
          <w:between w:val="nil"/>
        </w:pBdr>
        <w:spacing w:line="276" w:lineRule="auto"/>
        <w:ind w:right="538"/>
        <w:jc w:val="both"/>
        <w:rPr>
          <w:rFonts w:ascii="Palatino Linotype" w:eastAsia="Palatino Linotype" w:hAnsi="Palatino Linotype" w:cs="Palatino Linotype"/>
          <w:i/>
          <w:color w:val="000000"/>
        </w:rPr>
      </w:pPr>
      <w:r w:rsidRPr="00AE3D7B">
        <w:rPr>
          <w:rFonts w:ascii="Palatino Linotype" w:eastAsia="Palatino Linotype" w:hAnsi="Palatino Linotype" w:cs="Palatino Linotype"/>
          <w:i/>
          <w:color w:val="000000"/>
        </w:rPr>
        <w:t xml:space="preserve">Con relación a su solicitud de información con base a la Nómina del mes de Julio de 2024 de la administración, nombres, puestos y sueldos de personal administrativo y de elección popular, con fundamento en el artículo 164, 158 de la Ley de Transparencia y Acceso a la Información Pública del Estado de México y Municipios, me permito Informarle, se pone a su disposición para su consulta, dentro de las oficinas que ocupa la Tesorería Municipal, Ubicadas en Av. Juárez, Esquina con Av. Ayuntamiento, Municipio de Nextlalpan, Estado de México, de lunes a viernes en un horario de 9:00 a 16:00 horas, con el Servidor Público Lic. Edgar Omar Rojas Sánchez, toda vez que el peso máximo de los archivos sobrepasa a las capacidades técnicas del Sistema para adjuntar como respuesta a su solicitud de información, garantizando que el ciudadano no tenga problemas en la descarga de la información, usando conexiones a internet convencionales bajo parámetros de escaneo en resolución máxima de 1500 </w:t>
      </w:r>
      <w:proofErr w:type="spellStart"/>
      <w:r w:rsidRPr="00AE3D7B">
        <w:rPr>
          <w:rFonts w:ascii="Palatino Linotype" w:eastAsia="Palatino Linotype" w:hAnsi="Palatino Linotype" w:cs="Palatino Linotype"/>
          <w:i/>
          <w:color w:val="000000"/>
        </w:rPr>
        <w:t>pi’s</w:t>
      </w:r>
      <w:proofErr w:type="spellEnd"/>
      <w:r w:rsidRPr="00AE3D7B">
        <w:rPr>
          <w:rFonts w:ascii="Palatino Linotype" w:eastAsia="Palatino Linotype" w:hAnsi="Palatino Linotype" w:cs="Palatino Linotype"/>
          <w:i/>
          <w:color w:val="000000"/>
        </w:rPr>
        <w:t>,  escala de grises y formato “PDF” extraído directamente del escáner.</w:t>
      </w:r>
    </w:p>
    <w:p w14:paraId="67018A03" w14:textId="77777777" w:rsidR="001403D4" w:rsidRPr="00AE3D7B" w:rsidRDefault="005F2E4A">
      <w:pPr>
        <w:numPr>
          <w:ilvl w:val="0"/>
          <w:numId w:val="14"/>
        </w:numPr>
        <w:pBdr>
          <w:top w:val="nil"/>
          <w:left w:val="nil"/>
          <w:bottom w:val="nil"/>
          <w:right w:val="nil"/>
          <w:between w:val="nil"/>
        </w:pBdr>
        <w:spacing w:line="276" w:lineRule="auto"/>
        <w:ind w:right="538"/>
        <w:jc w:val="both"/>
        <w:rPr>
          <w:rFonts w:ascii="Palatino Linotype" w:eastAsia="Palatino Linotype" w:hAnsi="Palatino Linotype" w:cs="Palatino Linotype"/>
          <w:i/>
          <w:color w:val="000000"/>
        </w:rPr>
      </w:pPr>
      <w:r w:rsidRPr="00AE3D7B">
        <w:rPr>
          <w:rFonts w:ascii="Palatino Linotype" w:eastAsia="Palatino Linotype" w:hAnsi="Palatino Linotype" w:cs="Palatino Linotype"/>
          <w:i/>
          <w:color w:val="000000"/>
        </w:rPr>
        <w:t xml:space="preserve">Con base a la Nómina del mes de Julio de 2024 de la administración, nombres, puestos y sueldos de personal administrativo del Sistema DIF Municipal, me permito informar que esta área no es competente para proporcionar dicha información, toda vez que es un organismo público descentralizado, con personalidad jurídica y patrimonio propio que tiene como objetivo principal el ejercicio de funciones administrativas, la prestación de servicio públicos, </w:t>
      </w:r>
      <w:proofErr w:type="spellStart"/>
      <w:r w:rsidRPr="00AE3D7B">
        <w:rPr>
          <w:rFonts w:ascii="Palatino Linotype" w:eastAsia="Palatino Linotype" w:hAnsi="Palatino Linotype" w:cs="Palatino Linotype"/>
          <w:i/>
          <w:color w:val="000000"/>
        </w:rPr>
        <w:t>etc</w:t>
      </w:r>
      <w:proofErr w:type="spellEnd"/>
      <w:r w:rsidRPr="00AE3D7B">
        <w:rPr>
          <w:rFonts w:ascii="Palatino Linotype" w:eastAsia="Palatino Linotype" w:hAnsi="Palatino Linotype" w:cs="Palatino Linotype"/>
          <w:i/>
          <w:color w:val="000000"/>
        </w:rPr>
        <w:t xml:space="preserve">…” </w:t>
      </w:r>
      <w:r w:rsidRPr="00AE3D7B">
        <w:rPr>
          <w:rFonts w:ascii="Palatino Linotype" w:eastAsia="Palatino Linotype" w:hAnsi="Palatino Linotype" w:cs="Palatino Linotype"/>
          <w:color w:val="000000"/>
        </w:rPr>
        <w:t>(Sic)</w:t>
      </w:r>
    </w:p>
    <w:p w14:paraId="411873E0" w14:textId="77777777" w:rsidR="001403D4" w:rsidRPr="00AE3D7B" w:rsidRDefault="001403D4">
      <w:pPr>
        <w:spacing w:line="360" w:lineRule="auto"/>
        <w:ind w:right="538"/>
        <w:jc w:val="both"/>
        <w:rPr>
          <w:rFonts w:ascii="Palatino Linotype" w:eastAsia="Palatino Linotype" w:hAnsi="Palatino Linotype" w:cs="Palatino Linotype"/>
          <w:i/>
        </w:rPr>
      </w:pPr>
    </w:p>
    <w:p w14:paraId="62222998" w14:textId="77777777" w:rsidR="001403D4" w:rsidRPr="00AE3D7B" w:rsidRDefault="005F2E4A">
      <w:pPr>
        <w:numPr>
          <w:ilvl w:val="0"/>
          <w:numId w:val="14"/>
        </w:numPr>
        <w:pBdr>
          <w:top w:val="nil"/>
          <w:left w:val="nil"/>
          <w:bottom w:val="nil"/>
          <w:right w:val="nil"/>
          <w:between w:val="nil"/>
        </w:pBdr>
        <w:spacing w:line="360" w:lineRule="auto"/>
        <w:ind w:right="538"/>
        <w:jc w:val="both"/>
        <w:rPr>
          <w:rFonts w:ascii="Palatino Linotype" w:eastAsia="Palatino Linotype" w:hAnsi="Palatino Linotype" w:cs="Palatino Linotype"/>
          <w:b/>
          <w:i/>
          <w:color w:val="000000"/>
          <w:u w:val="single"/>
        </w:rPr>
      </w:pPr>
      <w:r w:rsidRPr="00AE3D7B">
        <w:rPr>
          <w:rFonts w:ascii="Palatino Linotype" w:eastAsia="Palatino Linotype" w:hAnsi="Palatino Linotype" w:cs="Palatino Linotype"/>
          <w:b/>
          <w:color w:val="000000"/>
          <w:u w:val="single"/>
        </w:rPr>
        <w:t>Recurso de Revisión (razones o motivos de inconformidad)</w:t>
      </w:r>
    </w:p>
    <w:p w14:paraId="53A2A886" w14:textId="77777777" w:rsidR="001403D4" w:rsidRPr="00AE3D7B" w:rsidRDefault="005F2E4A">
      <w:pPr>
        <w:numPr>
          <w:ilvl w:val="0"/>
          <w:numId w:val="13"/>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color w:val="000000"/>
        </w:rPr>
      </w:pPr>
      <w:r w:rsidRPr="00AE3D7B">
        <w:rPr>
          <w:rFonts w:ascii="Palatino Linotype" w:eastAsia="Palatino Linotype" w:hAnsi="Palatino Linotype" w:cs="Palatino Linotype"/>
          <w:color w:val="000000"/>
        </w:rPr>
        <w:lastRenderedPageBreak/>
        <w:t>En fecha</w:t>
      </w:r>
      <w:r w:rsidRPr="00AE3D7B">
        <w:rPr>
          <w:rFonts w:ascii="Palatino Linotype" w:eastAsia="Palatino Linotype" w:hAnsi="Palatino Linotype" w:cs="Palatino Linotype"/>
          <w:b/>
          <w:color w:val="000000"/>
        </w:rPr>
        <w:t xml:space="preserve"> dos de septiembre de dos mil veinticuatro,</w:t>
      </w:r>
      <w:r w:rsidRPr="00AE3D7B">
        <w:rPr>
          <w:rFonts w:ascii="Palatino Linotype" w:eastAsia="Palatino Linotype" w:hAnsi="Palatino Linotype" w:cs="Palatino Linotype"/>
          <w:color w:val="000000"/>
        </w:rPr>
        <w:t xml:space="preserve"> el particular interpuso el recurso de revisión en contra de la respuesta, manifestando las siguientes razones o motivos de inconformidad:</w:t>
      </w:r>
    </w:p>
    <w:p w14:paraId="222803A2" w14:textId="77777777" w:rsidR="001403D4" w:rsidRPr="00AE3D7B" w:rsidRDefault="005F2E4A">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bookmarkStart w:id="1" w:name="_heading=h.30j0zll" w:colFirst="0" w:colLast="0"/>
      <w:bookmarkEnd w:id="1"/>
      <w:r w:rsidRPr="00AE3D7B">
        <w:rPr>
          <w:rFonts w:ascii="Palatino Linotype" w:eastAsia="Palatino Linotype" w:hAnsi="Palatino Linotype" w:cs="Palatino Linotype"/>
          <w:b/>
          <w:color w:val="000000"/>
        </w:rPr>
        <w:t>Acto impugnado</w:t>
      </w:r>
      <w:r w:rsidRPr="00AE3D7B">
        <w:rPr>
          <w:rFonts w:ascii="Palatino Linotype" w:eastAsia="Palatino Linotype" w:hAnsi="Palatino Linotype" w:cs="Palatino Linotype"/>
          <w:color w:val="000000"/>
        </w:rPr>
        <w:t xml:space="preserve">: </w:t>
      </w:r>
      <w:r w:rsidRPr="00AE3D7B">
        <w:rPr>
          <w:rFonts w:ascii="Palatino Linotype" w:eastAsia="Palatino Linotype" w:hAnsi="Palatino Linotype" w:cs="Palatino Linotype"/>
          <w:i/>
          <w:color w:val="000000"/>
        </w:rPr>
        <w:t>“Nómina del mes de julio de 2024 de la administración, nombres, puestos y sueldos del personal administrativo y de elección popular, junto con información del Sistema DIF Municipal.”</w:t>
      </w:r>
      <w:r w:rsidRPr="00AE3D7B">
        <w:rPr>
          <w:rFonts w:ascii="Palatino Linotype" w:eastAsia="Palatino Linotype" w:hAnsi="Palatino Linotype" w:cs="Palatino Linotype"/>
          <w:color w:val="000000"/>
        </w:rPr>
        <w:t xml:space="preserve"> (Sic)</w:t>
      </w:r>
    </w:p>
    <w:p w14:paraId="7420275A" w14:textId="77777777" w:rsidR="001403D4" w:rsidRPr="006A6C3E" w:rsidRDefault="001403D4">
      <w:pPr>
        <w:pBdr>
          <w:top w:val="nil"/>
          <w:left w:val="nil"/>
          <w:bottom w:val="nil"/>
          <w:right w:val="nil"/>
          <w:between w:val="nil"/>
        </w:pBdr>
        <w:spacing w:line="360" w:lineRule="auto"/>
        <w:ind w:left="709" w:right="49"/>
        <w:jc w:val="both"/>
        <w:rPr>
          <w:rFonts w:ascii="Palatino Linotype" w:eastAsia="Palatino Linotype" w:hAnsi="Palatino Linotype" w:cs="Palatino Linotype"/>
          <w:color w:val="000000"/>
          <w:sz w:val="22"/>
          <w:szCs w:val="22"/>
        </w:rPr>
      </w:pPr>
    </w:p>
    <w:p w14:paraId="1092AF2B" w14:textId="77777777" w:rsidR="001403D4" w:rsidRPr="00AE3D7B" w:rsidRDefault="005F2E4A">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i/>
          <w:color w:val="000000"/>
        </w:rPr>
      </w:pPr>
      <w:bookmarkStart w:id="2" w:name="_heading=h.1fob9te" w:colFirst="0" w:colLast="0"/>
      <w:bookmarkEnd w:id="2"/>
      <w:r w:rsidRPr="00AE3D7B">
        <w:rPr>
          <w:rFonts w:ascii="Palatino Linotype" w:eastAsia="Palatino Linotype" w:hAnsi="Palatino Linotype" w:cs="Palatino Linotype"/>
          <w:b/>
          <w:color w:val="000000"/>
        </w:rPr>
        <w:t xml:space="preserve">Razones o Motivos de inconformidad: </w:t>
      </w:r>
      <w:r w:rsidRPr="00AE3D7B">
        <w:rPr>
          <w:rFonts w:ascii="Palatino Linotype" w:eastAsia="Palatino Linotype" w:hAnsi="Palatino Linotype" w:cs="Palatino Linotype"/>
          <w:i/>
          <w:color w:val="000000"/>
        </w:rPr>
        <w:t>“El ayuntamiento de Nextlalpan en las últimas tres administraciones se ha negado sistemáticamente a ser transparente en su actuar, antepone una serie de argumentos para dilatar el acceso a la información pública. En este caso argumenta que es demasiada información para mandarla vía el portal de transparencia cuando en trienios pasados no había ocurrido semejante cosa.”</w:t>
      </w:r>
      <w:r w:rsidRPr="00AE3D7B">
        <w:rPr>
          <w:rFonts w:ascii="Palatino Linotype" w:eastAsia="Palatino Linotype" w:hAnsi="Palatino Linotype" w:cs="Palatino Linotype"/>
          <w:color w:val="000000"/>
        </w:rPr>
        <w:t xml:space="preserve"> (Sic)</w:t>
      </w:r>
    </w:p>
    <w:p w14:paraId="6656C7AE" w14:textId="77777777" w:rsidR="001403D4" w:rsidRPr="00AE3D7B" w:rsidRDefault="001403D4">
      <w:pPr>
        <w:pBdr>
          <w:top w:val="nil"/>
          <w:left w:val="nil"/>
          <w:bottom w:val="nil"/>
          <w:right w:val="nil"/>
          <w:between w:val="nil"/>
        </w:pBdr>
        <w:spacing w:line="360" w:lineRule="auto"/>
        <w:ind w:left="720"/>
        <w:rPr>
          <w:rFonts w:ascii="Palatino Linotype" w:eastAsia="Palatino Linotype" w:hAnsi="Palatino Linotype" w:cs="Palatino Linotype"/>
          <w:i/>
          <w:color w:val="000000"/>
        </w:rPr>
      </w:pPr>
    </w:p>
    <w:p w14:paraId="2A374DDB" w14:textId="77777777" w:rsidR="001403D4" w:rsidRPr="00AE3D7B" w:rsidRDefault="005F2E4A">
      <w:pPr>
        <w:numPr>
          <w:ilvl w:val="0"/>
          <w:numId w:val="4"/>
        </w:numPr>
        <w:pBdr>
          <w:top w:val="nil"/>
          <w:left w:val="nil"/>
          <w:bottom w:val="nil"/>
          <w:right w:val="nil"/>
          <w:between w:val="nil"/>
        </w:pBdr>
        <w:tabs>
          <w:tab w:val="left" w:pos="0"/>
        </w:tabs>
        <w:spacing w:line="360" w:lineRule="auto"/>
        <w:ind w:left="709" w:right="49"/>
        <w:jc w:val="both"/>
        <w:rPr>
          <w:rFonts w:ascii="Palatino Linotype" w:eastAsia="Palatino Linotype" w:hAnsi="Palatino Linotype" w:cs="Palatino Linotype"/>
          <w:i/>
          <w:color w:val="000000"/>
          <w:u w:val="single"/>
        </w:rPr>
      </w:pPr>
      <w:r w:rsidRPr="00AE3D7B">
        <w:rPr>
          <w:rFonts w:ascii="Palatino Linotype" w:eastAsia="Palatino Linotype" w:hAnsi="Palatino Linotype" w:cs="Palatino Linotype"/>
          <w:b/>
          <w:color w:val="000000"/>
          <w:u w:val="single"/>
        </w:rPr>
        <w:t>Manifestaciones, alegatos y respuesta complementaría.</w:t>
      </w:r>
    </w:p>
    <w:p w14:paraId="26B296C3" w14:textId="77777777" w:rsidR="001403D4" w:rsidRPr="00AE3D7B" w:rsidRDefault="005F2E4A">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 xml:space="preserve">Con fundamento en lo dispuesto por el artículo 185 fracción II de la ley de la materia, se acordó a las partes a efecto de </w:t>
      </w:r>
      <w:proofErr w:type="gramStart"/>
      <w:r w:rsidRPr="00AE3D7B">
        <w:rPr>
          <w:rFonts w:ascii="Palatino Linotype" w:eastAsia="Palatino Linotype" w:hAnsi="Palatino Linotype" w:cs="Palatino Linotype"/>
          <w:color w:val="000000"/>
        </w:rPr>
        <w:t>que</w:t>
      </w:r>
      <w:proofErr w:type="gramEnd"/>
      <w:r w:rsidRPr="00AE3D7B">
        <w:rPr>
          <w:rFonts w:ascii="Palatino Linotype" w:eastAsia="Palatino Linotype" w:hAnsi="Palatino Linotype" w:cs="Palatino Linotype"/>
          <w:color w:val="000000"/>
        </w:rPr>
        <w:t xml:space="preserve"> en un plazo máximo de siete días, el Recurrente manifestara lo que a su derecho conviniera, ofrecieran pruebas y alegatos, y el Sujeto Obligado presentara </w:t>
      </w:r>
      <w:proofErr w:type="spellStart"/>
      <w:r w:rsidRPr="00AE3D7B">
        <w:rPr>
          <w:rFonts w:ascii="Palatino Linotype" w:eastAsia="Palatino Linotype" w:hAnsi="Palatino Linotype" w:cs="Palatino Linotype"/>
          <w:color w:val="000000"/>
        </w:rPr>
        <w:t>el</w:t>
      </w:r>
      <w:proofErr w:type="spellEnd"/>
      <w:r w:rsidRPr="00AE3D7B">
        <w:rPr>
          <w:rFonts w:ascii="Palatino Linotype" w:eastAsia="Palatino Linotype" w:hAnsi="Palatino Linotype" w:cs="Palatino Linotype"/>
          <w:color w:val="000000"/>
        </w:rPr>
        <w:t xml:space="preserve"> Informa Justificado</w:t>
      </w:r>
    </w:p>
    <w:p w14:paraId="2C4E8644" w14:textId="77777777" w:rsidR="001403D4" w:rsidRPr="00AE3D7B" w:rsidRDefault="001403D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B81A6DC"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i/>
          <w:color w:val="000000"/>
        </w:rPr>
      </w:pPr>
      <w:r w:rsidRPr="00AE3D7B">
        <w:rPr>
          <w:rFonts w:ascii="Palatino Linotype" w:eastAsia="Palatino Linotype" w:hAnsi="Palatino Linotype" w:cs="Palatino Linotype"/>
        </w:rPr>
        <w:t>El Recurrente dejó de realizar manifestaciones que a su derecho conviniera y asistiera. Por su parte el Sujeto Obligado no rindió informe justificado.</w:t>
      </w:r>
    </w:p>
    <w:p w14:paraId="17EB1CB1" w14:textId="77777777" w:rsidR="001403D4" w:rsidRPr="00AE3D7B" w:rsidRDefault="001403D4">
      <w:pPr>
        <w:spacing w:line="360" w:lineRule="auto"/>
        <w:jc w:val="both"/>
        <w:rPr>
          <w:rFonts w:ascii="Palatino Linotype" w:eastAsia="Palatino Linotype" w:hAnsi="Palatino Linotype" w:cs="Palatino Linotype"/>
        </w:rPr>
      </w:pPr>
    </w:p>
    <w:p w14:paraId="31B872D1" w14:textId="77777777" w:rsidR="001403D4" w:rsidRPr="00AE3D7B" w:rsidRDefault="005F2E4A">
      <w:pPr>
        <w:numPr>
          <w:ilvl w:val="0"/>
          <w:numId w:val="4"/>
        </w:numPr>
        <w:pBdr>
          <w:top w:val="nil"/>
          <w:left w:val="nil"/>
          <w:bottom w:val="nil"/>
          <w:right w:val="nil"/>
          <w:between w:val="nil"/>
        </w:pBdr>
        <w:tabs>
          <w:tab w:val="left" w:pos="0"/>
        </w:tabs>
        <w:spacing w:line="360" w:lineRule="auto"/>
        <w:ind w:left="709" w:right="49"/>
        <w:jc w:val="both"/>
        <w:rPr>
          <w:rFonts w:ascii="Palatino Linotype" w:eastAsia="Palatino Linotype" w:hAnsi="Palatino Linotype" w:cs="Palatino Linotype"/>
          <w:i/>
          <w:color w:val="000000"/>
          <w:u w:val="single"/>
        </w:rPr>
      </w:pPr>
      <w:r w:rsidRPr="00AE3D7B">
        <w:rPr>
          <w:rFonts w:ascii="Palatino Linotype" w:eastAsia="Palatino Linotype" w:hAnsi="Palatino Linotype" w:cs="Palatino Linotype"/>
          <w:b/>
          <w:color w:val="000000"/>
          <w:u w:val="single"/>
        </w:rPr>
        <w:t>Ampliación para resolver y cierre de instrucción.</w:t>
      </w:r>
    </w:p>
    <w:p w14:paraId="0C197E77" w14:textId="77777777" w:rsidR="001403D4" w:rsidRPr="00AE3D7B" w:rsidRDefault="005F2E4A">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AE3D7B">
        <w:rPr>
          <w:rFonts w:ascii="Palatino Linotype" w:eastAsia="Palatino Linotype" w:hAnsi="Palatino Linotype" w:cs="Palatino Linotype"/>
          <w:color w:val="000000"/>
        </w:rPr>
        <w:t>Este organismo garante no pasa por alto justificar, que la dilación en la resolución del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9155A18" w14:textId="77777777" w:rsidR="001403D4" w:rsidRPr="00AE3D7B" w:rsidRDefault="001403D4">
      <w:pPr>
        <w:pBdr>
          <w:top w:val="nil"/>
          <w:left w:val="nil"/>
          <w:bottom w:val="nil"/>
          <w:right w:val="nil"/>
          <w:between w:val="nil"/>
        </w:pBdr>
        <w:ind w:left="720"/>
        <w:rPr>
          <w:rFonts w:ascii="Palatino Linotype" w:eastAsia="Palatino Linotype" w:hAnsi="Palatino Linotype" w:cs="Palatino Linotype"/>
          <w:b/>
          <w:color w:val="000000"/>
        </w:rPr>
      </w:pPr>
    </w:p>
    <w:p w14:paraId="532E33C4" w14:textId="77777777" w:rsidR="001403D4" w:rsidRPr="00AE3D7B" w:rsidRDefault="005F2E4A">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AE3D7B">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E84D95F" w14:textId="77777777" w:rsidR="001403D4" w:rsidRPr="00AE3D7B" w:rsidRDefault="001403D4">
      <w:pPr>
        <w:pBdr>
          <w:top w:val="nil"/>
          <w:left w:val="nil"/>
          <w:bottom w:val="nil"/>
          <w:right w:val="nil"/>
          <w:between w:val="nil"/>
        </w:pBdr>
        <w:spacing w:line="360" w:lineRule="auto"/>
        <w:ind w:left="720"/>
        <w:rPr>
          <w:rFonts w:ascii="Palatino Linotype" w:eastAsia="Palatino Linotype" w:hAnsi="Palatino Linotype" w:cs="Palatino Linotype"/>
          <w:b/>
          <w:color w:val="000000"/>
        </w:rPr>
      </w:pPr>
    </w:p>
    <w:p w14:paraId="3993CBF5" w14:textId="77777777" w:rsidR="001403D4" w:rsidRPr="00AE3D7B" w:rsidRDefault="005F2E4A">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AE3D7B">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604438D" w14:textId="77777777" w:rsidR="001403D4" w:rsidRPr="00AE3D7B" w:rsidRDefault="001403D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CA0785A" w14:textId="77777777" w:rsidR="001403D4" w:rsidRPr="00AE3D7B" w:rsidRDefault="005F2E4A">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AE3D7B">
        <w:rPr>
          <w:rFonts w:ascii="Palatino Linotype" w:eastAsia="Palatino Linotype" w:hAnsi="Palatino Linotype" w:cs="Palatino Linotype"/>
          <w:color w:val="000000"/>
        </w:rPr>
        <w:t xml:space="preserve">En ese sentido, el legislador fijó los términos procesales en las leyes, de manera general, sin que pudiera prever la variada gama de casos que son resueltos por los </w:t>
      </w:r>
      <w:r w:rsidRPr="00AE3D7B">
        <w:rPr>
          <w:rFonts w:ascii="Palatino Linotype" w:eastAsia="Palatino Linotype" w:hAnsi="Palatino Linotype" w:cs="Palatino Linotype"/>
          <w:color w:val="000000"/>
        </w:rPr>
        <w:lastRenderedPageBreak/>
        <w:t xml:space="preserve">órganos jurisdiccionales o cuasi jurisdiccionales, tanto por la complejidad de los hechos, como por el número de casos que conocen. </w:t>
      </w:r>
    </w:p>
    <w:p w14:paraId="5335DF8C" w14:textId="77777777" w:rsidR="001403D4" w:rsidRPr="00AE3D7B" w:rsidRDefault="001403D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54CDE94E" w14:textId="77777777" w:rsidR="001403D4" w:rsidRPr="00AE3D7B" w:rsidRDefault="005F2E4A">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AE3D7B">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 dicha dilación atendiendo a los siguientes criterios:   </w:t>
      </w:r>
    </w:p>
    <w:p w14:paraId="7A7C414E" w14:textId="77777777" w:rsidR="001403D4" w:rsidRPr="00AE3D7B" w:rsidRDefault="005F2E4A">
      <w:pPr>
        <w:numPr>
          <w:ilvl w:val="0"/>
          <w:numId w:val="12"/>
        </w:numPr>
        <w:pBdr>
          <w:top w:val="nil"/>
          <w:left w:val="nil"/>
          <w:bottom w:val="nil"/>
          <w:right w:val="nil"/>
          <w:between w:val="nil"/>
        </w:pBdr>
        <w:spacing w:line="360" w:lineRule="auto"/>
        <w:ind w:left="992"/>
        <w:jc w:val="both"/>
        <w:rPr>
          <w:rFonts w:ascii="Palatino Linotype" w:eastAsia="Palatino Linotype" w:hAnsi="Palatino Linotype" w:cs="Palatino Linotype"/>
        </w:rPr>
      </w:pPr>
      <w:r w:rsidRPr="00AE3D7B">
        <w:rPr>
          <w:rFonts w:ascii="Palatino Linotype" w:eastAsia="Palatino Linotype" w:hAnsi="Palatino Linotype" w:cs="Palatino Linotype"/>
          <w:color w:val="000000"/>
        </w:rPr>
        <w:t xml:space="preserve">Complejidad del </w:t>
      </w:r>
      <w:r w:rsidRPr="00AE3D7B">
        <w:rPr>
          <w:rFonts w:ascii="Palatino Linotype" w:eastAsia="Palatino Linotype" w:hAnsi="Palatino Linotype" w:cs="Palatino Linotype"/>
        </w:rPr>
        <w:t>asunto</w:t>
      </w:r>
      <w:r w:rsidRPr="00AE3D7B">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 </w:t>
      </w:r>
    </w:p>
    <w:p w14:paraId="0BE243BA" w14:textId="77777777" w:rsidR="001403D4" w:rsidRPr="00AE3D7B" w:rsidRDefault="005F2E4A">
      <w:pPr>
        <w:numPr>
          <w:ilvl w:val="0"/>
          <w:numId w:val="12"/>
        </w:numPr>
        <w:pBdr>
          <w:top w:val="nil"/>
          <w:left w:val="nil"/>
          <w:bottom w:val="nil"/>
          <w:right w:val="nil"/>
          <w:between w:val="nil"/>
        </w:pBdr>
        <w:spacing w:line="360" w:lineRule="auto"/>
        <w:ind w:left="992"/>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Actividad Procesal del interesado. Acciones u omisiones del interesado.</w:t>
      </w:r>
    </w:p>
    <w:p w14:paraId="024CE9C0" w14:textId="77777777" w:rsidR="001403D4" w:rsidRPr="00AE3D7B" w:rsidRDefault="005F2E4A">
      <w:pPr>
        <w:numPr>
          <w:ilvl w:val="0"/>
          <w:numId w:val="12"/>
        </w:numPr>
        <w:pBdr>
          <w:top w:val="nil"/>
          <w:left w:val="nil"/>
          <w:bottom w:val="nil"/>
          <w:right w:val="nil"/>
          <w:between w:val="nil"/>
        </w:pBdr>
        <w:spacing w:line="360" w:lineRule="auto"/>
        <w:ind w:left="992"/>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14:paraId="5BB0208C" w14:textId="77777777" w:rsidR="001403D4" w:rsidRPr="00AE3D7B" w:rsidRDefault="005F2E4A">
      <w:pPr>
        <w:numPr>
          <w:ilvl w:val="0"/>
          <w:numId w:val="12"/>
        </w:numPr>
        <w:pBdr>
          <w:top w:val="nil"/>
          <w:left w:val="nil"/>
          <w:bottom w:val="nil"/>
          <w:right w:val="nil"/>
          <w:between w:val="nil"/>
        </w:pBdr>
        <w:spacing w:line="360" w:lineRule="auto"/>
        <w:ind w:left="992"/>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La afectación generada en la situación jurídica de la persona involucrada en el proceso: Violación a sus derechos humanos.</w:t>
      </w:r>
    </w:p>
    <w:p w14:paraId="0EDD84BD" w14:textId="77777777" w:rsidR="001403D4" w:rsidRPr="00AE3D7B" w:rsidRDefault="005F2E4A">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AE3D7B">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33A0406" w14:textId="77777777" w:rsidR="001403D4" w:rsidRPr="00AE3D7B" w:rsidRDefault="001403D4">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43B95151" w14:textId="77777777" w:rsidR="001403D4" w:rsidRPr="00AE3D7B" w:rsidRDefault="005F2E4A">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AE3D7B">
        <w:rPr>
          <w:rFonts w:ascii="Palatino Linotype" w:eastAsia="Palatino Linotype" w:hAnsi="Palatino Linotype" w:cs="Palatino Linotype"/>
          <w:color w:val="000000"/>
        </w:rPr>
        <w:t xml:space="preserve">Argumento que encuentra sustento en la jurisprudencia P./J. 32/92 emitida por el Pleno de la Suprema Corte de Justicia de la Nación </w:t>
      </w:r>
      <w:r w:rsidRPr="00AE3D7B">
        <w:rPr>
          <w:rFonts w:ascii="Palatino Linotype" w:eastAsia="Palatino Linotype" w:hAnsi="Palatino Linotype" w:cs="Palatino Linotype"/>
        </w:rPr>
        <w:t>del rubro</w:t>
      </w:r>
      <w:r w:rsidRPr="00AE3D7B">
        <w:rPr>
          <w:rFonts w:ascii="Palatino Linotype" w:eastAsia="Palatino Linotype" w:hAnsi="Palatino Linotype" w:cs="Palatino Linotype"/>
          <w:color w:val="000000"/>
        </w:rPr>
        <w:t xml:space="preserve"> </w:t>
      </w:r>
      <w:r w:rsidRPr="00AE3D7B">
        <w:rPr>
          <w:rFonts w:ascii="Palatino Linotype" w:eastAsia="Palatino Linotype" w:hAnsi="Palatino Linotype" w:cs="Palatino Linotype"/>
          <w:i/>
          <w:color w:val="000000"/>
        </w:rPr>
        <w:t xml:space="preserve">“TÉRMINOS PROCESALES. PARA DETERMINAR SI UN FUNCIONARIO JUDICIAL ACTUÓ </w:t>
      </w:r>
      <w:r w:rsidRPr="00AE3D7B">
        <w:rPr>
          <w:rFonts w:ascii="Palatino Linotype" w:eastAsia="Palatino Linotype" w:hAnsi="Palatino Linotype" w:cs="Palatino Linotype"/>
          <w:i/>
          <w:color w:val="000000"/>
        </w:rPr>
        <w:lastRenderedPageBreak/>
        <w:t>INDEBIDAMENTE POR NO RESPETARLOS SE DEBE ATENDER AL PRESUPUESTO QUE CONSIDERÓ EL LEGISLADOR AL FIJARLOS Y LAS CARACTERÍSTICAS DEL CASO.”</w:t>
      </w:r>
      <w:r w:rsidRPr="00AE3D7B">
        <w:rPr>
          <w:rFonts w:ascii="Palatino Linotype" w:eastAsia="Palatino Linotype" w:hAnsi="Palatino Linotype" w:cs="Palatino Linotype"/>
          <w:color w:val="000000"/>
        </w:rPr>
        <w:t xml:space="preserve">, visible en la Gaceta del </w:t>
      </w:r>
      <w:r w:rsidRPr="00AE3D7B">
        <w:rPr>
          <w:rFonts w:ascii="Palatino Linotype" w:eastAsia="Palatino Linotype" w:hAnsi="Palatino Linotype" w:cs="Palatino Linotype"/>
        </w:rPr>
        <w:t>Semanario</w:t>
      </w:r>
      <w:r w:rsidRPr="00AE3D7B">
        <w:rPr>
          <w:rFonts w:ascii="Palatino Linotype" w:eastAsia="Palatino Linotype" w:hAnsi="Palatino Linotype" w:cs="Palatino Linotype"/>
          <w:color w:val="000000"/>
        </w:rPr>
        <w:t xml:space="preserve"> Judicial de la Federación con el registro digital 205635.</w:t>
      </w:r>
    </w:p>
    <w:p w14:paraId="377162EC" w14:textId="77777777" w:rsidR="001403D4" w:rsidRPr="00AE3D7B" w:rsidRDefault="001403D4">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3ECD10D"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b/>
        </w:rPr>
      </w:pPr>
      <w:bookmarkStart w:id="3" w:name="_heading=h.3znysh7" w:colFirst="0" w:colLast="0"/>
      <w:bookmarkEnd w:id="3"/>
      <w:r w:rsidRPr="00AE3D7B">
        <w:rPr>
          <w:rFonts w:ascii="Palatino Linotype" w:eastAsia="Palatino Linotype" w:hAnsi="Palatino Linotype" w:cs="Palatino Linotype"/>
        </w:rPr>
        <w:t xml:space="preserve">Seguidamente, en fecha </w:t>
      </w:r>
      <w:r w:rsidRPr="00AE3D7B">
        <w:rPr>
          <w:rFonts w:ascii="Palatino Linotype" w:eastAsia="Palatino Linotype" w:hAnsi="Palatino Linotype" w:cs="Palatino Linotype"/>
          <w:b/>
        </w:rPr>
        <w:t>dieciocho de octubre de dos mil veinticuatro</w:t>
      </w:r>
      <w:r w:rsidRPr="00AE3D7B">
        <w:rPr>
          <w:rFonts w:ascii="Palatino Linotype" w:eastAsia="Palatino Linotype" w:hAnsi="Palatino Linotype" w:cs="Palatino Linotype"/>
        </w:rPr>
        <w:t>, la Comisionada Ponente dictó el cierre del periodo de instrucción y, ordenó la resolución que conforme a Derecho proceda, de acuerdo a las siguientes:</w:t>
      </w:r>
      <w:r w:rsidRPr="00AE3D7B">
        <w:rPr>
          <w:rFonts w:ascii="Palatino Linotype" w:eastAsia="Palatino Linotype" w:hAnsi="Palatino Linotype" w:cs="Palatino Linotype"/>
          <w:b/>
        </w:rPr>
        <w:t xml:space="preserve"> </w:t>
      </w:r>
    </w:p>
    <w:p w14:paraId="7F1CA6FA" w14:textId="77777777" w:rsidR="001403D4" w:rsidRPr="00AE3D7B" w:rsidRDefault="001403D4">
      <w:pPr>
        <w:pBdr>
          <w:top w:val="nil"/>
          <w:left w:val="nil"/>
          <w:bottom w:val="nil"/>
          <w:right w:val="nil"/>
          <w:between w:val="nil"/>
        </w:pBdr>
        <w:ind w:left="720"/>
        <w:rPr>
          <w:rFonts w:ascii="Palatino Linotype" w:eastAsia="Palatino Linotype" w:hAnsi="Palatino Linotype" w:cs="Palatino Linotype"/>
          <w:b/>
          <w:color w:val="000000"/>
        </w:rPr>
      </w:pPr>
    </w:p>
    <w:p w14:paraId="093EBB10" w14:textId="77777777" w:rsidR="001403D4" w:rsidRPr="00AE3D7B" w:rsidRDefault="001403D4">
      <w:pPr>
        <w:spacing w:line="360" w:lineRule="auto"/>
        <w:jc w:val="both"/>
        <w:rPr>
          <w:rFonts w:ascii="Palatino Linotype" w:eastAsia="Palatino Linotype" w:hAnsi="Palatino Linotype" w:cs="Palatino Linotype"/>
          <w:b/>
        </w:rPr>
      </w:pPr>
    </w:p>
    <w:p w14:paraId="469AFA34" w14:textId="77777777" w:rsidR="001403D4" w:rsidRPr="00AE3D7B" w:rsidRDefault="005F2E4A">
      <w:pPr>
        <w:keepNext/>
        <w:keepLines/>
        <w:spacing w:line="360" w:lineRule="auto"/>
        <w:jc w:val="center"/>
        <w:rPr>
          <w:rFonts w:ascii="Palatino Linotype" w:eastAsia="Palatino Linotype" w:hAnsi="Palatino Linotype" w:cs="Palatino Linotype"/>
        </w:rPr>
      </w:pPr>
      <w:r w:rsidRPr="00AE3D7B">
        <w:rPr>
          <w:rFonts w:ascii="Palatino Linotype" w:eastAsia="Palatino Linotype" w:hAnsi="Palatino Linotype" w:cs="Palatino Linotype"/>
          <w:b/>
        </w:rPr>
        <w:t xml:space="preserve">C O N S I D E R A C I O N E S </w:t>
      </w:r>
    </w:p>
    <w:p w14:paraId="427D68DE" w14:textId="77777777" w:rsidR="001403D4" w:rsidRPr="00AE3D7B" w:rsidRDefault="005F2E4A">
      <w:pPr>
        <w:keepNext/>
        <w:keepLines/>
        <w:spacing w:line="360" w:lineRule="auto"/>
        <w:rPr>
          <w:rFonts w:ascii="Palatino Linotype" w:eastAsia="Palatino Linotype" w:hAnsi="Palatino Linotype" w:cs="Palatino Linotype"/>
          <w:b/>
        </w:rPr>
      </w:pPr>
      <w:bookmarkStart w:id="4" w:name="_heading=h.2et92p0" w:colFirst="0" w:colLast="0"/>
      <w:bookmarkEnd w:id="4"/>
      <w:r w:rsidRPr="00AE3D7B">
        <w:rPr>
          <w:rFonts w:ascii="Palatino Linotype" w:eastAsia="Palatino Linotype" w:hAnsi="Palatino Linotype" w:cs="Palatino Linotype"/>
          <w:b/>
        </w:rPr>
        <w:t>PRIMERO. Competencia</w:t>
      </w:r>
    </w:p>
    <w:p w14:paraId="2200CE1D" w14:textId="77777777" w:rsidR="00404A20" w:rsidRDefault="005F2E4A" w:rsidP="00404A20">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bookmarkStart w:id="5" w:name="_heading=h.tyjcwt" w:colFirst="0" w:colLast="0"/>
      <w:bookmarkEnd w:id="5"/>
    </w:p>
    <w:p w14:paraId="655DAFBD" w14:textId="13EFF51F" w:rsidR="001403D4" w:rsidRPr="00404A20" w:rsidRDefault="005F2E4A" w:rsidP="00404A20">
      <w:pPr>
        <w:spacing w:line="360" w:lineRule="auto"/>
        <w:jc w:val="both"/>
        <w:rPr>
          <w:rFonts w:ascii="Palatino Linotype" w:eastAsia="Palatino Linotype" w:hAnsi="Palatino Linotype" w:cs="Palatino Linotype"/>
        </w:rPr>
      </w:pPr>
      <w:r w:rsidRPr="00404A20">
        <w:rPr>
          <w:rFonts w:ascii="Palatino Linotype" w:eastAsia="Palatino Linotype" w:hAnsi="Palatino Linotype" w:cs="Palatino Linotype"/>
          <w:b/>
        </w:rPr>
        <w:lastRenderedPageBreak/>
        <w:t>SEGUNDO. Procedencia.</w:t>
      </w:r>
    </w:p>
    <w:p w14:paraId="562BD71A"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Este Órgano Garante considera que el medio de impugnación reúne los requisitos de procedencia toda vez que; el recurso fue presentado dentro del plazo establecido en el artículo 178 de la Ley de Transparencia y Acceso a la Información Pública del Estado de México y Municipios; asimismo no se tiene conocimiento que se encuentre en trámite algún medio de defensa presentado por el Recurrente ante otra instancia.</w:t>
      </w:r>
    </w:p>
    <w:p w14:paraId="6AE7DA6F" w14:textId="77777777" w:rsidR="001403D4" w:rsidRPr="00AE3D7B" w:rsidRDefault="001403D4">
      <w:pPr>
        <w:spacing w:line="360" w:lineRule="auto"/>
        <w:jc w:val="both"/>
        <w:rPr>
          <w:rFonts w:ascii="Palatino Linotype" w:eastAsia="Palatino Linotype" w:hAnsi="Palatino Linotype" w:cs="Palatino Linotype"/>
        </w:rPr>
      </w:pPr>
    </w:p>
    <w:p w14:paraId="5BB3B3EE" w14:textId="77777777" w:rsidR="001403D4" w:rsidRPr="00AE3D7B" w:rsidRDefault="005F2E4A">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 xml:space="preserve">Por otro </w:t>
      </w:r>
      <w:proofErr w:type="gramStart"/>
      <w:r w:rsidRPr="00AE3D7B">
        <w:rPr>
          <w:rFonts w:ascii="Palatino Linotype" w:eastAsia="Palatino Linotype" w:hAnsi="Palatino Linotype" w:cs="Palatino Linotype"/>
          <w:color w:val="000000"/>
        </w:rPr>
        <w:t>lado</w:t>
      </w:r>
      <w:proofErr w:type="gramEnd"/>
      <w:r w:rsidRPr="00AE3D7B">
        <w:rPr>
          <w:rFonts w:ascii="Palatino Linotype" w:eastAsia="Palatino Linotype" w:hAnsi="Palatino Linotype" w:cs="Palatino Linotype"/>
          <w:color w:val="000000"/>
        </w:rPr>
        <w:t xml:space="preserve"> el escrito contiene las formalidades previstas en el artículo 180 último párrafo de la citada Ley de la materia, por lo que es procedente que este Instituto conozca y resuelva el presente recurso.</w:t>
      </w:r>
    </w:p>
    <w:p w14:paraId="180AA8F9" w14:textId="77777777" w:rsidR="001403D4" w:rsidRPr="00AE3D7B" w:rsidRDefault="001403D4">
      <w:pPr>
        <w:pBdr>
          <w:top w:val="nil"/>
          <w:left w:val="nil"/>
          <w:bottom w:val="nil"/>
          <w:right w:val="nil"/>
          <w:between w:val="nil"/>
        </w:pBdr>
        <w:ind w:left="720"/>
        <w:rPr>
          <w:rFonts w:ascii="Palatino Linotype" w:eastAsia="Palatino Linotype" w:hAnsi="Palatino Linotype" w:cs="Palatino Linotype"/>
          <w:color w:val="000000"/>
        </w:rPr>
      </w:pPr>
    </w:p>
    <w:p w14:paraId="6C01276E" w14:textId="77777777" w:rsidR="001403D4" w:rsidRPr="00AE3D7B" w:rsidRDefault="005F2E4A">
      <w:pPr>
        <w:pStyle w:val="Ttulo2"/>
        <w:tabs>
          <w:tab w:val="left" w:pos="0"/>
        </w:tabs>
        <w:spacing w:before="0" w:line="360" w:lineRule="auto"/>
        <w:rPr>
          <w:rFonts w:ascii="Palatino Linotype" w:eastAsia="Palatino Linotype" w:hAnsi="Palatino Linotype" w:cs="Palatino Linotype"/>
          <w:b/>
          <w:color w:val="000000"/>
          <w:sz w:val="24"/>
          <w:szCs w:val="24"/>
        </w:rPr>
      </w:pPr>
      <w:r w:rsidRPr="00AE3D7B">
        <w:rPr>
          <w:rFonts w:ascii="Palatino Linotype" w:eastAsia="Palatino Linotype" w:hAnsi="Palatino Linotype" w:cs="Palatino Linotype"/>
          <w:b/>
          <w:color w:val="000000"/>
          <w:sz w:val="24"/>
          <w:szCs w:val="24"/>
        </w:rPr>
        <w:t>TERCERA. Descripción de hechos y planteamiento de la controversia.</w:t>
      </w:r>
    </w:p>
    <w:p w14:paraId="0352920A" w14:textId="77777777" w:rsidR="001403D4" w:rsidRPr="00AE3D7B" w:rsidRDefault="005F2E4A">
      <w:pPr>
        <w:numPr>
          <w:ilvl w:val="0"/>
          <w:numId w:val="13"/>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Se solicitó la nómina del mes de julio de dos mil veinticuatro, de la administración, nombres, puestos y sueldos de personal administrativo y de elección popular, junto con información del Sistema DIF municipal.</w:t>
      </w:r>
    </w:p>
    <w:p w14:paraId="11B92C7A" w14:textId="77777777" w:rsidR="001403D4" w:rsidRPr="00AE3D7B" w:rsidRDefault="001403D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14:paraId="07EC098F" w14:textId="77777777" w:rsidR="001403D4" w:rsidRPr="00AE3D7B" w:rsidRDefault="005F2E4A">
      <w:pPr>
        <w:numPr>
          <w:ilvl w:val="0"/>
          <w:numId w:val="13"/>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color w:val="000000"/>
        </w:rPr>
        <w:t xml:space="preserve">En respuesta el Sujeto Obligado, remitió el archivo ya descrito en el numeral 2. Inconforme con la respuesta, se interpuso recurso de revisión argumentando sustancialmente que no se </w:t>
      </w:r>
      <w:proofErr w:type="gramStart"/>
      <w:r w:rsidRPr="00AE3D7B">
        <w:rPr>
          <w:rFonts w:ascii="Palatino Linotype" w:eastAsia="Palatino Linotype" w:hAnsi="Palatino Linotype" w:cs="Palatino Linotype"/>
          <w:color w:val="000000"/>
        </w:rPr>
        <w:t>entregó  la</w:t>
      </w:r>
      <w:proofErr w:type="gramEnd"/>
      <w:r w:rsidRPr="00AE3D7B">
        <w:rPr>
          <w:rFonts w:ascii="Palatino Linotype" w:eastAsia="Palatino Linotype" w:hAnsi="Palatino Linotype" w:cs="Palatino Linotype"/>
          <w:color w:val="000000"/>
        </w:rPr>
        <w:t xml:space="preserve"> información requerida</w:t>
      </w:r>
      <w:r w:rsidRPr="00AE3D7B">
        <w:rPr>
          <w:rFonts w:ascii="Palatino Linotype" w:eastAsia="Palatino Linotype" w:hAnsi="Palatino Linotype" w:cs="Palatino Linotype"/>
        </w:rPr>
        <w:t>.</w:t>
      </w:r>
    </w:p>
    <w:p w14:paraId="05377723" w14:textId="77777777" w:rsidR="001403D4" w:rsidRPr="00AE3D7B" w:rsidRDefault="001403D4">
      <w:pPr>
        <w:pBdr>
          <w:top w:val="nil"/>
          <w:left w:val="nil"/>
          <w:bottom w:val="nil"/>
          <w:right w:val="nil"/>
          <w:between w:val="nil"/>
        </w:pBdr>
        <w:ind w:left="720"/>
        <w:rPr>
          <w:rFonts w:ascii="Palatino Linotype" w:eastAsia="Palatino Linotype" w:hAnsi="Palatino Linotype" w:cs="Palatino Linotype"/>
          <w:color w:val="000000"/>
        </w:rPr>
      </w:pPr>
    </w:p>
    <w:p w14:paraId="3BE2386E" w14:textId="77777777" w:rsidR="001403D4" w:rsidRPr="00AE3D7B" w:rsidRDefault="005F2E4A">
      <w:pPr>
        <w:numPr>
          <w:ilvl w:val="0"/>
          <w:numId w:val="13"/>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 xml:space="preserve">En dichas condiciones, la controversia a resolver en el presente proveído, corresponde a determinar si se actualiza la causal de procedencia prevista en el artículo </w:t>
      </w:r>
      <w:r w:rsidRPr="00AE3D7B">
        <w:rPr>
          <w:rFonts w:ascii="Palatino Linotype" w:eastAsia="Palatino Linotype" w:hAnsi="Palatino Linotype" w:cs="Palatino Linotype"/>
        </w:rPr>
        <w:lastRenderedPageBreak/>
        <w:t>179, fracción I de la Ley de Transparencia y Acceso a la Información Pública del Estado de México y Municipios; fracción que determina la negativa a la información solicitada; contexto del cual se dolió el Recurrente al momento de interponer su inconformidad. De modo tal que el presente recurso de revisión se abocara a determinar si el Sujeto Obligado con su respuesta ciertamente actualiza la causal de procedencia señalada.</w:t>
      </w:r>
    </w:p>
    <w:p w14:paraId="709BAF12" w14:textId="77777777" w:rsidR="001403D4" w:rsidRPr="00AE3D7B" w:rsidRDefault="001403D4">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rPr>
      </w:pPr>
    </w:p>
    <w:p w14:paraId="1F9840F3" w14:textId="77777777" w:rsidR="001403D4" w:rsidRPr="00AE3D7B" w:rsidRDefault="005F2E4A">
      <w:pPr>
        <w:pStyle w:val="Ttulo1"/>
        <w:spacing w:before="0" w:after="0" w:line="360" w:lineRule="auto"/>
        <w:ind w:right="1"/>
        <w:rPr>
          <w:rFonts w:ascii="Palatino Linotype" w:eastAsia="Palatino Linotype" w:hAnsi="Palatino Linotype" w:cs="Palatino Linotype"/>
          <w:color w:val="000000"/>
          <w:sz w:val="24"/>
          <w:szCs w:val="24"/>
        </w:rPr>
      </w:pPr>
      <w:r w:rsidRPr="00AE3D7B">
        <w:rPr>
          <w:rFonts w:ascii="Palatino Linotype" w:eastAsia="Palatino Linotype" w:hAnsi="Palatino Linotype" w:cs="Palatino Linotype"/>
          <w:color w:val="000000"/>
          <w:sz w:val="24"/>
          <w:szCs w:val="24"/>
        </w:rPr>
        <w:t>CUARTA. Estudio de la controversia.</w:t>
      </w:r>
    </w:p>
    <w:p w14:paraId="2F00640C" w14:textId="77777777" w:rsidR="001403D4" w:rsidRPr="00AE3D7B" w:rsidRDefault="005F2E4A">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b/>
          <w:color w:val="000000"/>
        </w:rPr>
        <w:t>De la respuesta inicial.</w:t>
      </w:r>
    </w:p>
    <w:p w14:paraId="3D0AFBEC" w14:textId="77777777" w:rsidR="001403D4" w:rsidRPr="00AE3D7B" w:rsidRDefault="001403D4">
      <w:pPr>
        <w:rPr>
          <w:rFonts w:ascii="Palatino Linotype" w:hAnsi="Palatino Linotype"/>
        </w:rPr>
      </w:pPr>
    </w:p>
    <w:p w14:paraId="696F6539" w14:textId="77777777" w:rsidR="001403D4" w:rsidRPr="00AE3D7B" w:rsidRDefault="005F2E4A">
      <w:pPr>
        <w:numPr>
          <w:ilvl w:val="0"/>
          <w:numId w:val="1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 xml:space="preserve">Resulta importante establecer, que el mismo </w:t>
      </w:r>
      <w:r w:rsidRPr="00AE3D7B">
        <w:rPr>
          <w:rFonts w:ascii="Palatino Linotype" w:eastAsia="Palatino Linotype" w:hAnsi="Palatino Linotype" w:cs="Palatino Linotype"/>
          <w:b/>
          <w:color w:val="000000"/>
        </w:rPr>
        <w:t>SUJETO OBLIGADO</w:t>
      </w:r>
      <w:r w:rsidRPr="00AE3D7B">
        <w:rPr>
          <w:rFonts w:ascii="Palatino Linotype" w:eastAsia="Palatino Linotype" w:hAnsi="Palatino Linotype" w:cs="Palatino Linotype"/>
          <w:color w:val="000000"/>
        </w:rPr>
        <w:t xml:space="preserve"> admite ser poseedor de la información, no es necesario estudiar si este es competente para conocer y en su caso dar respuesta a la solicitud, pues al mencionar que pone a disposición la información solicitada y al plantear el cambio de modalidad, este reconoce contar con la misma, tan es así que lo pone a disposición del ahora </w:t>
      </w:r>
      <w:r w:rsidRPr="00AE3D7B">
        <w:rPr>
          <w:rFonts w:ascii="Palatino Linotype" w:eastAsia="Palatino Linotype" w:hAnsi="Palatino Linotype" w:cs="Palatino Linotype"/>
          <w:b/>
          <w:color w:val="000000"/>
        </w:rPr>
        <w:t>RECURRENTE</w:t>
      </w:r>
      <w:r w:rsidRPr="00AE3D7B">
        <w:rPr>
          <w:rFonts w:ascii="Palatino Linotype" w:eastAsia="Palatino Linotype" w:hAnsi="Palatino Linotype" w:cs="Palatino Linotype"/>
          <w:color w:val="000000"/>
        </w:rPr>
        <w:t xml:space="preserve"> para su consulta directa argumentando que la capacidad de los archivos sobrepasa las cantidades técnicas del Sistema para adjuntar como respuesta a la solicitud.</w:t>
      </w:r>
    </w:p>
    <w:p w14:paraId="718B2966" w14:textId="77777777" w:rsidR="001403D4" w:rsidRPr="00AE3D7B" w:rsidRDefault="001403D4">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rPr>
      </w:pPr>
    </w:p>
    <w:p w14:paraId="02C02B44" w14:textId="77777777" w:rsidR="001403D4" w:rsidRPr="00AE3D7B" w:rsidRDefault="005F2E4A">
      <w:pPr>
        <w:numPr>
          <w:ilvl w:val="0"/>
          <w:numId w:val="13"/>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 xml:space="preserve">En atención a ello es importante invocar el contenido del artículo 12 así como el 4 de la Ley de Transparencia y Acceso a la Información Pública del Estado de México y Municipios; preceptos legales que establecen que </w:t>
      </w:r>
      <w:r w:rsidRPr="00AE3D7B">
        <w:rPr>
          <w:rFonts w:ascii="Palatino Linotype" w:eastAsia="Palatino Linotype" w:hAnsi="Palatino Linotype" w:cs="Palatino Linotype"/>
          <w:b/>
          <w:color w:val="000000"/>
        </w:rPr>
        <w:t xml:space="preserve">los sujetos obligados se encuentran constreñidos a entregar la información pública solicitada por los </w:t>
      </w:r>
      <w:r w:rsidRPr="00AE3D7B">
        <w:rPr>
          <w:rFonts w:ascii="Palatino Linotype" w:eastAsia="Palatino Linotype" w:hAnsi="Palatino Linotype" w:cs="Palatino Linotype"/>
          <w:color w:val="000000"/>
        </w:rPr>
        <w:t xml:space="preserve">particulares que se encuentre en sus archivos o que obre en su posesión, </w:t>
      </w:r>
      <w:r w:rsidRPr="00AE3D7B">
        <w:rPr>
          <w:rFonts w:ascii="Palatino Linotype" w:eastAsia="Palatino Linotype" w:hAnsi="Palatino Linotype" w:cs="Palatino Linotype"/>
          <w:b/>
          <w:color w:val="000000"/>
        </w:rPr>
        <w:t xml:space="preserve">privilegiando en todo momento el </w:t>
      </w:r>
      <w:r w:rsidRPr="00AE3D7B">
        <w:rPr>
          <w:rFonts w:ascii="Palatino Linotype" w:eastAsia="Palatino Linotype" w:hAnsi="Palatino Linotype" w:cs="Palatino Linotype"/>
          <w:b/>
          <w:color w:val="000000"/>
        </w:rPr>
        <w:lastRenderedPageBreak/>
        <w:t>principio de máxima publicidad,</w:t>
      </w:r>
      <w:r w:rsidRPr="00AE3D7B">
        <w:rPr>
          <w:rFonts w:ascii="Palatino Linotype" w:eastAsia="Palatino Linotype" w:hAnsi="Palatino Linotype" w:cs="Palatino Linotype"/>
          <w:color w:val="000000"/>
        </w:rPr>
        <w:t xml:space="preserve"> sin generarla, procesarla, resumirla, ni presentarla conforme al interés del solicitante. </w:t>
      </w:r>
    </w:p>
    <w:p w14:paraId="214870E6" w14:textId="77777777" w:rsidR="001403D4" w:rsidRPr="00AE3D7B" w:rsidRDefault="001403D4">
      <w:pPr>
        <w:spacing w:line="360" w:lineRule="auto"/>
        <w:jc w:val="both"/>
        <w:rPr>
          <w:rFonts w:ascii="Palatino Linotype" w:eastAsia="Palatino Linotype" w:hAnsi="Palatino Linotype" w:cs="Palatino Linotype"/>
        </w:rPr>
      </w:pPr>
    </w:p>
    <w:p w14:paraId="731FECF0" w14:textId="77777777" w:rsidR="001403D4" w:rsidRPr="00AE3D7B" w:rsidRDefault="005F2E4A">
      <w:pPr>
        <w:pBdr>
          <w:top w:val="nil"/>
          <w:left w:val="nil"/>
          <w:bottom w:val="nil"/>
          <w:right w:val="nil"/>
          <w:between w:val="nil"/>
        </w:pBdr>
        <w:ind w:left="720"/>
        <w:rPr>
          <w:rFonts w:ascii="Palatino Linotype" w:eastAsia="Palatino Linotype" w:hAnsi="Palatino Linotype" w:cs="Palatino Linotype"/>
          <w:b/>
          <w:color w:val="000000"/>
        </w:rPr>
      </w:pPr>
      <w:r w:rsidRPr="00AE3D7B">
        <w:rPr>
          <w:rFonts w:ascii="Palatino Linotype" w:eastAsia="Palatino Linotype" w:hAnsi="Palatino Linotype" w:cs="Palatino Linotype"/>
          <w:b/>
          <w:color w:val="000000"/>
        </w:rPr>
        <w:t>Del cambio de modalidad</w:t>
      </w:r>
    </w:p>
    <w:p w14:paraId="2AD1ABAC" w14:textId="77777777" w:rsidR="001403D4" w:rsidRPr="00AE3D7B" w:rsidRDefault="005F2E4A">
      <w:pPr>
        <w:numPr>
          <w:ilvl w:val="0"/>
          <w:numId w:val="13"/>
        </w:numPr>
        <w:pBdr>
          <w:top w:val="nil"/>
          <w:left w:val="nil"/>
          <w:bottom w:val="nil"/>
          <w:right w:val="nil"/>
          <w:between w:val="nil"/>
        </w:pBdr>
        <w:tabs>
          <w:tab w:val="left" w:pos="0"/>
          <w:tab w:val="left" w:pos="426"/>
          <w:tab w:val="left" w:pos="567"/>
        </w:tabs>
        <w:spacing w:line="360" w:lineRule="auto"/>
        <w:ind w:left="0" w:right="49"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El artículo 158 de la Ley antes citada, dispone que, de manera excepcional, cuando de manera fundada y motivada lo determine el Sujeto Obligado, en los casos en que la entrega de la información que se encuentre a su disposición, sobrepase las capacidades técnicas, administrativas y humanas del</w:t>
      </w:r>
      <w:r w:rsidRPr="00AE3D7B">
        <w:rPr>
          <w:rFonts w:ascii="Palatino Linotype" w:eastAsia="Palatino Linotype" w:hAnsi="Palatino Linotype" w:cs="Palatino Linotype"/>
          <w:b/>
          <w:color w:val="000000"/>
        </w:rPr>
        <w:t xml:space="preserve"> </w:t>
      </w:r>
      <w:r w:rsidRPr="00AE3D7B">
        <w:rPr>
          <w:rFonts w:ascii="Palatino Linotype" w:eastAsia="Palatino Linotype" w:hAnsi="Palatino Linotype" w:cs="Palatino Linotype"/>
          <w:color w:val="000000"/>
        </w:rPr>
        <w:t>aludido</w:t>
      </w:r>
      <w:r w:rsidRPr="00AE3D7B">
        <w:rPr>
          <w:rFonts w:ascii="Palatino Linotype" w:eastAsia="Palatino Linotype" w:hAnsi="Palatino Linotype" w:cs="Palatino Linotype"/>
          <w:b/>
          <w:color w:val="000000"/>
        </w:rPr>
        <w:t xml:space="preserve"> </w:t>
      </w:r>
      <w:r w:rsidRPr="00AE3D7B">
        <w:rPr>
          <w:rFonts w:ascii="Palatino Linotype" w:eastAsia="Palatino Linotype" w:hAnsi="Palatino Linotype" w:cs="Palatino Linotype"/>
          <w:color w:val="000000"/>
        </w:rPr>
        <w:t>Sujeto Obligado</w:t>
      </w:r>
      <w:r w:rsidRPr="00AE3D7B">
        <w:rPr>
          <w:rFonts w:ascii="Palatino Linotype" w:eastAsia="Palatino Linotype" w:hAnsi="Palatino Linotype" w:cs="Palatino Linotype"/>
          <w:b/>
          <w:color w:val="000000"/>
        </w:rPr>
        <w:t>,</w:t>
      </w:r>
      <w:r w:rsidRPr="00AE3D7B">
        <w:rPr>
          <w:rFonts w:ascii="Palatino Linotype" w:eastAsia="Palatino Linotype" w:hAnsi="Palatino Linotype" w:cs="Palatino Linotype"/>
          <w:color w:val="000000"/>
        </w:rPr>
        <w:t xml:space="preserve"> para cumplir con la solicitud, se podrá poner a disposición del solicitante la información en consulta directa.</w:t>
      </w:r>
    </w:p>
    <w:p w14:paraId="48B3C252" w14:textId="77777777" w:rsidR="001403D4" w:rsidRPr="00AE3D7B" w:rsidRDefault="001403D4">
      <w:pPr>
        <w:pBdr>
          <w:top w:val="nil"/>
          <w:left w:val="nil"/>
          <w:bottom w:val="nil"/>
          <w:right w:val="nil"/>
          <w:between w:val="nil"/>
        </w:pBdr>
        <w:ind w:left="720"/>
        <w:rPr>
          <w:rFonts w:ascii="Palatino Linotype" w:eastAsia="Palatino Linotype" w:hAnsi="Palatino Linotype" w:cs="Palatino Linotype"/>
          <w:color w:val="000000"/>
        </w:rPr>
      </w:pPr>
    </w:p>
    <w:p w14:paraId="33329FA7" w14:textId="77777777" w:rsidR="001403D4" w:rsidRPr="00AE3D7B" w:rsidRDefault="005F2E4A">
      <w:pPr>
        <w:numPr>
          <w:ilvl w:val="0"/>
          <w:numId w:val="13"/>
        </w:numPr>
        <w:pBdr>
          <w:top w:val="nil"/>
          <w:left w:val="nil"/>
          <w:bottom w:val="nil"/>
          <w:right w:val="nil"/>
          <w:between w:val="nil"/>
        </w:pBdr>
        <w:tabs>
          <w:tab w:val="left" w:pos="0"/>
          <w:tab w:val="left" w:pos="426"/>
          <w:tab w:val="left" w:pos="567"/>
        </w:tabs>
        <w:spacing w:line="360" w:lineRule="auto"/>
        <w:ind w:left="0" w:right="49"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En ese orden de ideas, el artículo 164 del ordenamiento jurídico, prevé que el acceso se dará en la modalidad de entrega y, en su caso, de envío elegidos por el solicitante. Cuando la información no pueda entregarse o enviarse en la modalidad elegida, el Sujeto Obligado deberá ofrecer otra u otras modalidades de entrega. En cualquier caso, se deberá fundar y motivar la necesidad de ofrecer otras modalidades.</w:t>
      </w:r>
    </w:p>
    <w:p w14:paraId="382397AB" w14:textId="77777777" w:rsidR="001403D4" w:rsidRPr="00AE3D7B" w:rsidRDefault="001403D4">
      <w:pPr>
        <w:pBdr>
          <w:top w:val="nil"/>
          <w:left w:val="nil"/>
          <w:bottom w:val="nil"/>
          <w:right w:val="nil"/>
          <w:between w:val="nil"/>
        </w:pBdr>
        <w:ind w:left="720"/>
        <w:rPr>
          <w:rFonts w:ascii="Palatino Linotype" w:eastAsia="Palatino Linotype" w:hAnsi="Palatino Linotype" w:cs="Palatino Linotype"/>
          <w:color w:val="C55911"/>
        </w:rPr>
      </w:pPr>
    </w:p>
    <w:p w14:paraId="487E5855" w14:textId="77777777" w:rsidR="001403D4" w:rsidRPr="00AE3D7B" w:rsidRDefault="005F2E4A">
      <w:pPr>
        <w:numPr>
          <w:ilvl w:val="0"/>
          <w:numId w:val="13"/>
        </w:numPr>
        <w:pBdr>
          <w:top w:val="nil"/>
          <w:left w:val="nil"/>
          <w:bottom w:val="nil"/>
          <w:right w:val="nil"/>
          <w:between w:val="nil"/>
        </w:pBdr>
        <w:tabs>
          <w:tab w:val="left" w:pos="0"/>
          <w:tab w:val="left" w:pos="426"/>
          <w:tab w:val="left" w:pos="567"/>
        </w:tabs>
        <w:spacing w:line="360" w:lineRule="auto"/>
        <w:ind w:left="0" w:right="49"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C55911"/>
        </w:rPr>
        <w:t xml:space="preserve"> </w:t>
      </w:r>
      <w:r w:rsidRPr="00AE3D7B">
        <w:rPr>
          <w:rFonts w:ascii="Palatino Linotype" w:eastAsia="Palatino Linotype" w:hAnsi="Palatino Linotype" w:cs="Palatino Linotype"/>
          <w:color w:val="000000"/>
        </w:rPr>
        <w:t>Así, cuando se justifique el impedimento, los Sujetos Obligados deberán ofrecer al particular otras modalidades de entrega que permita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320F8D38" w14:textId="77777777" w:rsidR="001403D4" w:rsidRPr="00AE3D7B" w:rsidRDefault="001403D4">
      <w:pPr>
        <w:pBdr>
          <w:top w:val="nil"/>
          <w:left w:val="nil"/>
          <w:bottom w:val="nil"/>
          <w:right w:val="nil"/>
          <w:between w:val="nil"/>
        </w:pBdr>
        <w:ind w:left="720"/>
        <w:rPr>
          <w:rFonts w:ascii="Palatino Linotype" w:eastAsia="Palatino Linotype" w:hAnsi="Palatino Linotype" w:cs="Palatino Linotype"/>
          <w:color w:val="000000"/>
        </w:rPr>
      </w:pPr>
    </w:p>
    <w:p w14:paraId="19A97D1B" w14:textId="77777777" w:rsidR="001403D4" w:rsidRPr="00AE3D7B" w:rsidRDefault="005F2E4A">
      <w:pPr>
        <w:pBdr>
          <w:top w:val="nil"/>
          <w:left w:val="nil"/>
          <w:bottom w:val="nil"/>
          <w:right w:val="nil"/>
          <w:between w:val="nil"/>
        </w:pBdr>
        <w:tabs>
          <w:tab w:val="left" w:pos="426"/>
          <w:tab w:val="left" w:pos="567"/>
        </w:tabs>
        <w:ind w:left="567" w:right="538"/>
        <w:jc w:val="both"/>
        <w:rPr>
          <w:rFonts w:ascii="Palatino Linotype" w:eastAsia="Palatino Linotype" w:hAnsi="Palatino Linotype" w:cs="Palatino Linotype"/>
          <w:i/>
          <w:color w:val="000000"/>
        </w:rPr>
      </w:pPr>
      <w:r w:rsidRPr="00AE3D7B">
        <w:rPr>
          <w:rFonts w:ascii="Palatino Linotype" w:eastAsia="Palatino Linotype" w:hAnsi="Palatino Linotype" w:cs="Palatino Linotype"/>
          <w:b/>
          <w:i/>
          <w:color w:val="000000"/>
        </w:rPr>
        <w:lastRenderedPageBreak/>
        <w:t>“Modalidad de entrega. Procedencia de proporcionar la información solicitada en una diversa a la elegida por el solicitante.</w:t>
      </w:r>
      <w:r w:rsidRPr="00AE3D7B">
        <w:rPr>
          <w:rFonts w:ascii="Palatino Linotype" w:eastAsia="Palatino Linotype" w:hAnsi="Palatino Linotype" w:cs="Palatino Linotype"/>
          <w:i/>
          <w:color w:val="00000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16312D88" w14:textId="77777777" w:rsidR="001403D4" w:rsidRPr="00AE3D7B" w:rsidRDefault="001403D4">
      <w:pPr>
        <w:pBdr>
          <w:top w:val="nil"/>
          <w:left w:val="nil"/>
          <w:bottom w:val="nil"/>
          <w:right w:val="nil"/>
          <w:between w:val="nil"/>
        </w:pBdr>
        <w:ind w:left="720"/>
        <w:rPr>
          <w:rFonts w:ascii="Palatino Linotype" w:eastAsia="Palatino Linotype" w:hAnsi="Palatino Linotype" w:cs="Palatino Linotype"/>
          <w:color w:val="000000"/>
        </w:rPr>
      </w:pPr>
    </w:p>
    <w:p w14:paraId="77AC8123" w14:textId="77777777" w:rsidR="001403D4" w:rsidRPr="00AE3D7B" w:rsidRDefault="005F2E4A">
      <w:pPr>
        <w:numPr>
          <w:ilvl w:val="0"/>
          <w:numId w:val="13"/>
        </w:numPr>
        <w:pBdr>
          <w:top w:val="nil"/>
          <w:left w:val="nil"/>
          <w:bottom w:val="nil"/>
          <w:right w:val="nil"/>
          <w:between w:val="nil"/>
        </w:pBdr>
        <w:tabs>
          <w:tab w:val="left" w:pos="0"/>
          <w:tab w:val="left" w:pos="426"/>
          <w:tab w:val="left" w:pos="567"/>
        </w:tabs>
        <w:spacing w:line="360" w:lineRule="auto"/>
        <w:ind w:left="0" w:right="49"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Del citado criterio, se desprende que cuando no sea posible aten</w:t>
      </w:r>
      <w:r w:rsidR="004749A8" w:rsidRPr="00AE3D7B">
        <w:rPr>
          <w:rFonts w:ascii="Palatino Linotype" w:eastAsia="Palatino Linotype" w:hAnsi="Palatino Linotype" w:cs="Palatino Linotype"/>
          <w:color w:val="000000"/>
        </w:rPr>
        <w:t>d</w:t>
      </w:r>
      <w:r w:rsidRPr="00AE3D7B">
        <w:rPr>
          <w:rFonts w:ascii="Palatino Linotype" w:eastAsia="Palatino Linotype" w:hAnsi="Palatino Linotype" w:cs="Palatino Linotype"/>
          <w:color w:val="000000"/>
        </w:rPr>
        <w:t>er la modalidad elegida por el solicitante, la obligación de acceso a la información se tendrá por cumplida cuando el Sujeto Obligado justifique el impedimento para atender la misma y se notifique al particular la puesta a disposición de la información en todas las modalidades que lo permitan, procurando reducir los costos de entrega.</w:t>
      </w:r>
    </w:p>
    <w:p w14:paraId="2FE3078A" w14:textId="77777777" w:rsidR="001403D4" w:rsidRPr="00AE3D7B" w:rsidRDefault="001403D4">
      <w:pPr>
        <w:pBdr>
          <w:top w:val="nil"/>
          <w:left w:val="nil"/>
          <w:bottom w:val="nil"/>
          <w:right w:val="nil"/>
          <w:between w:val="nil"/>
        </w:pBdr>
        <w:tabs>
          <w:tab w:val="left" w:pos="0"/>
          <w:tab w:val="left" w:pos="426"/>
          <w:tab w:val="left" w:pos="567"/>
        </w:tabs>
        <w:spacing w:line="360" w:lineRule="auto"/>
        <w:ind w:right="49"/>
        <w:jc w:val="both"/>
        <w:rPr>
          <w:rFonts w:ascii="Palatino Linotype" w:eastAsia="Palatino Linotype" w:hAnsi="Palatino Linotype" w:cs="Palatino Linotype"/>
          <w:color w:val="000000"/>
        </w:rPr>
      </w:pPr>
    </w:p>
    <w:p w14:paraId="33A4FB4C" w14:textId="77777777" w:rsidR="001403D4" w:rsidRPr="00AE3D7B" w:rsidRDefault="005F2E4A">
      <w:pPr>
        <w:numPr>
          <w:ilvl w:val="0"/>
          <w:numId w:val="13"/>
        </w:numPr>
        <w:pBdr>
          <w:top w:val="nil"/>
          <w:left w:val="nil"/>
          <w:bottom w:val="nil"/>
          <w:right w:val="nil"/>
          <w:between w:val="nil"/>
        </w:pBdr>
        <w:tabs>
          <w:tab w:val="left" w:pos="0"/>
          <w:tab w:val="left" w:pos="426"/>
          <w:tab w:val="left" w:pos="567"/>
        </w:tabs>
        <w:spacing w:line="360" w:lineRule="auto"/>
        <w:ind w:left="0" w:right="49"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5B4954FF" w14:textId="77777777" w:rsidR="001403D4" w:rsidRPr="00AE3D7B" w:rsidRDefault="001403D4">
      <w:pPr>
        <w:pBdr>
          <w:top w:val="nil"/>
          <w:left w:val="nil"/>
          <w:bottom w:val="nil"/>
          <w:right w:val="nil"/>
          <w:between w:val="nil"/>
        </w:pBdr>
        <w:ind w:left="720"/>
        <w:rPr>
          <w:rFonts w:ascii="Palatino Linotype" w:eastAsia="Palatino Linotype" w:hAnsi="Palatino Linotype" w:cs="Palatino Linotype"/>
          <w:color w:val="000000"/>
        </w:rPr>
      </w:pPr>
    </w:p>
    <w:p w14:paraId="274E91EE" w14:textId="77777777" w:rsidR="001403D4" w:rsidRPr="00AE3D7B" w:rsidRDefault="005F2E4A">
      <w:pPr>
        <w:numPr>
          <w:ilvl w:val="0"/>
          <w:numId w:val="8"/>
        </w:numPr>
        <w:pBdr>
          <w:top w:val="nil"/>
          <w:left w:val="nil"/>
          <w:bottom w:val="nil"/>
          <w:right w:val="nil"/>
          <w:between w:val="nil"/>
        </w:pBdr>
        <w:tabs>
          <w:tab w:val="left" w:pos="0"/>
          <w:tab w:val="left" w:pos="426"/>
          <w:tab w:val="left" w:pos="567"/>
        </w:tabs>
        <w:spacing w:line="360" w:lineRule="auto"/>
        <w:ind w:left="567" w:right="49" w:hanging="149"/>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Las razones por las cuales la información implicaba un análisis, estudio o procesamiento de datos;</w:t>
      </w:r>
    </w:p>
    <w:p w14:paraId="0C412265" w14:textId="77777777" w:rsidR="001403D4" w:rsidRPr="00AE3D7B" w:rsidRDefault="005F2E4A">
      <w:pPr>
        <w:numPr>
          <w:ilvl w:val="0"/>
          <w:numId w:val="8"/>
        </w:numPr>
        <w:pBdr>
          <w:top w:val="nil"/>
          <w:left w:val="nil"/>
          <w:bottom w:val="nil"/>
          <w:right w:val="nil"/>
          <w:between w:val="nil"/>
        </w:pBdr>
        <w:tabs>
          <w:tab w:val="left" w:pos="0"/>
          <w:tab w:val="left" w:pos="426"/>
          <w:tab w:val="left" w:pos="567"/>
        </w:tabs>
        <w:spacing w:line="360" w:lineRule="auto"/>
        <w:ind w:right="49"/>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El tiempo no es suficiente para atender la solicitud en la modalidad elegida, y</w:t>
      </w:r>
    </w:p>
    <w:p w14:paraId="39D12262" w14:textId="77777777" w:rsidR="001403D4" w:rsidRPr="00AE3D7B" w:rsidRDefault="005F2E4A">
      <w:pPr>
        <w:numPr>
          <w:ilvl w:val="0"/>
          <w:numId w:val="8"/>
        </w:numPr>
        <w:pBdr>
          <w:top w:val="nil"/>
          <w:left w:val="nil"/>
          <w:bottom w:val="nil"/>
          <w:right w:val="nil"/>
          <w:between w:val="nil"/>
        </w:pBdr>
        <w:tabs>
          <w:tab w:val="left" w:pos="0"/>
          <w:tab w:val="left" w:pos="426"/>
          <w:tab w:val="left" w:pos="567"/>
        </w:tabs>
        <w:spacing w:line="360" w:lineRule="auto"/>
        <w:ind w:left="567" w:right="49" w:hanging="142"/>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lastRenderedPageBreak/>
        <w:t>La cantidad de recursos humanos y materiales con los que cuenta el Sujeto Obligado son insuficientes.</w:t>
      </w:r>
    </w:p>
    <w:p w14:paraId="2720CB17" w14:textId="77777777" w:rsidR="001403D4" w:rsidRPr="00AE3D7B" w:rsidRDefault="001403D4">
      <w:pPr>
        <w:pBdr>
          <w:top w:val="nil"/>
          <w:left w:val="nil"/>
          <w:bottom w:val="nil"/>
          <w:right w:val="nil"/>
          <w:between w:val="nil"/>
        </w:pBdr>
        <w:tabs>
          <w:tab w:val="left" w:pos="0"/>
          <w:tab w:val="left" w:pos="426"/>
          <w:tab w:val="left" w:pos="567"/>
        </w:tabs>
        <w:spacing w:line="360" w:lineRule="auto"/>
        <w:ind w:right="49"/>
        <w:jc w:val="both"/>
        <w:rPr>
          <w:rFonts w:ascii="Palatino Linotype" w:eastAsia="Palatino Linotype" w:hAnsi="Palatino Linotype" w:cs="Palatino Linotype"/>
          <w:color w:val="000000"/>
        </w:rPr>
      </w:pPr>
    </w:p>
    <w:p w14:paraId="301C01C1" w14:textId="77777777" w:rsidR="001403D4" w:rsidRPr="00AE3D7B" w:rsidRDefault="005F2E4A">
      <w:pPr>
        <w:numPr>
          <w:ilvl w:val="0"/>
          <w:numId w:val="13"/>
        </w:numPr>
        <w:pBdr>
          <w:top w:val="nil"/>
          <w:left w:val="nil"/>
          <w:bottom w:val="nil"/>
          <w:right w:val="nil"/>
          <w:between w:val="nil"/>
        </w:pBdr>
        <w:tabs>
          <w:tab w:val="left" w:pos="0"/>
          <w:tab w:val="left" w:pos="426"/>
          <w:tab w:val="left" w:pos="567"/>
        </w:tabs>
        <w:spacing w:line="360" w:lineRule="auto"/>
        <w:ind w:left="0" w:right="49"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Sumado a ello, si bien el Sujeto Obligado señaló que parte de la información se encontraba a disposición para consulta del Recurrente, en un horario de lunes a viernes en un horario de 9:00 a 18:00 horas, en las oficinas de la Tesorería Municipal, no estableció de manera precisa un término para su consulta; lo que fue restrictivo en cuanto al tiempo de consulta de la información, contraviniendo lo señalado por el segundo párrafo del artículo 166 de la Ley de la Materia.</w:t>
      </w:r>
    </w:p>
    <w:p w14:paraId="3D7C1F22" w14:textId="77777777" w:rsidR="001403D4" w:rsidRPr="00AE3D7B" w:rsidRDefault="005F2E4A">
      <w:pPr>
        <w:pBdr>
          <w:top w:val="nil"/>
          <w:left w:val="nil"/>
          <w:bottom w:val="nil"/>
          <w:right w:val="nil"/>
          <w:between w:val="nil"/>
        </w:pBdr>
        <w:tabs>
          <w:tab w:val="left" w:pos="0"/>
          <w:tab w:val="left" w:pos="426"/>
          <w:tab w:val="left" w:pos="567"/>
        </w:tabs>
        <w:spacing w:line="360" w:lineRule="auto"/>
        <w:ind w:right="49"/>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 xml:space="preserve"> </w:t>
      </w:r>
    </w:p>
    <w:p w14:paraId="5DC322E8" w14:textId="77777777" w:rsidR="001403D4" w:rsidRPr="00AE3D7B" w:rsidRDefault="005F2E4A">
      <w:pPr>
        <w:numPr>
          <w:ilvl w:val="0"/>
          <w:numId w:val="13"/>
        </w:numPr>
        <w:pBdr>
          <w:top w:val="nil"/>
          <w:left w:val="nil"/>
          <w:bottom w:val="nil"/>
          <w:right w:val="nil"/>
          <w:between w:val="nil"/>
        </w:pBdr>
        <w:tabs>
          <w:tab w:val="left" w:pos="0"/>
          <w:tab w:val="left" w:pos="426"/>
          <w:tab w:val="left" w:pos="567"/>
        </w:tabs>
        <w:spacing w:line="360" w:lineRule="auto"/>
        <w:ind w:left="0" w:right="49"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De igual forma, de las constancias que integran el expediente del asunto que nos ocupa, se advierte que si bien es cierto que el Sujeto Obligado, se limitó a ofrecer el cambio de modalidad a consulta directa, también lo es que no ofreció todos los medios por los cuales pudiera entregar la información, como por ejemplo de manera enunciativa más no limitativa, la entrega a través de un dispositivo USB o disco duro extraíble, sin costo si la persona solicitante los proporciona; correo certificado, previo pago de los costos de reproducción y envío, así como habilitar una liga electrónica en una plataforma electrónica de almacenamiento, entre otras.</w:t>
      </w:r>
    </w:p>
    <w:p w14:paraId="221F0A08" w14:textId="77777777" w:rsidR="001403D4" w:rsidRPr="00AE3D7B" w:rsidRDefault="001403D4">
      <w:pPr>
        <w:pBdr>
          <w:top w:val="nil"/>
          <w:left w:val="nil"/>
          <w:bottom w:val="nil"/>
          <w:right w:val="nil"/>
          <w:between w:val="nil"/>
        </w:pBdr>
        <w:ind w:left="720"/>
        <w:rPr>
          <w:rFonts w:ascii="Palatino Linotype" w:eastAsia="Palatino Linotype" w:hAnsi="Palatino Linotype" w:cs="Palatino Linotype"/>
          <w:color w:val="000000"/>
        </w:rPr>
      </w:pPr>
    </w:p>
    <w:p w14:paraId="1BD09007" w14:textId="77777777" w:rsidR="001403D4" w:rsidRPr="00AE3D7B" w:rsidRDefault="005F2E4A">
      <w:pPr>
        <w:numPr>
          <w:ilvl w:val="0"/>
          <w:numId w:val="13"/>
        </w:numPr>
        <w:pBdr>
          <w:top w:val="nil"/>
          <w:left w:val="nil"/>
          <w:bottom w:val="nil"/>
          <w:right w:val="nil"/>
          <w:between w:val="nil"/>
        </w:pBdr>
        <w:tabs>
          <w:tab w:val="left" w:pos="0"/>
          <w:tab w:val="left" w:pos="426"/>
          <w:tab w:val="left" w:pos="567"/>
        </w:tabs>
        <w:spacing w:line="360" w:lineRule="auto"/>
        <w:ind w:left="0" w:right="49"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 xml:space="preserve">Bajo los argumentos expuestos, se considera que el Sujeto Obligado, no acreditó de manera fundada y motivada, el cambio de modalidad a consulta directa, para atender el presente el requerimiento de información, materia del presente asunto, por lo que resulta </w:t>
      </w:r>
      <w:r w:rsidRPr="00AE3D7B">
        <w:rPr>
          <w:rFonts w:ascii="Palatino Linotype" w:eastAsia="Palatino Linotype" w:hAnsi="Palatino Linotype" w:cs="Palatino Linotype"/>
          <w:color w:val="000000"/>
        </w:rPr>
        <w:lastRenderedPageBreak/>
        <w:t xml:space="preserve">procedente ordenar al Sujeto Obligado poner a disposición de la persona solicitante la nómina del mes de julio de dos mil veinticuatro, de la administración, nombres, puestos y sueldos de personal administrativo y de elección popular, junto con la información del sistema DIF municipal, en versión pública, en todas las modalidades posibles, de manera enunciativa, más no limitativa: </w:t>
      </w:r>
      <w:r w:rsidRPr="00AE3D7B">
        <w:rPr>
          <w:rFonts w:ascii="Palatino Linotype" w:eastAsia="Palatino Linotype" w:hAnsi="Palatino Linotype" w:cs="Palatino Linotype"/>
          <w:color w:val="000000"/>
          <w:u w:val="single"/>
        </w:rPr>
        <w:t>disco compacto, dispositivos de almacenamiento (CD-ROOM, USB, Disco duro extraíble, etc.), consulta directa, copias simples o certificadas, con posibilidad de entrega en la Unidad de Transparencia o a domicilio por correo certificado, previo pago de los derechos correspondientes.</w:t>
      </w:r>
    </w:p>
    <w:p w14:paraId="2B321C15" w14:textId="77777777" w:rsidR="001403D4" w:rsidRPr="00AE3D7B" w:rsidRDefault="001403D4">
      <w:pPr>
        <w:pBdr>
          <w:top w:val="nil"/>
          <w:left w:val="nil"/>
          <w:bottom w:val="nil"/>
          <w:right w:val="nil"/>
          <w:between w:val="nil"/>
        </w:pBdr>
        <w:ind w:left="720"/>
        <w:rPr>
          <w:rFonts w:ascii="Palatino Linotype" w:eastAsia="Palatino Linotype" w:hAnsi="Palatino Linotype" w:cs="Palatino Linotype"/>
          <w:color w:val="000000"/>
        </w:rPr>
      </w:pPr>
    </w:p>
    <w:p w14:paraId="3C6C2CAB" w14:textId="77777777" w:rsidR="001403D4" w:rsidRPr="00AE3D7B" w:rsidRDefault="005F2E4A">
      <w:pPr>
        <w:numPr>
          <w:ilvl w:val="0"/>
          <w:numId w:val="13"/>
        </w:numPr>
        <w:pBdr>
          <w:top w:val="nil"/>
          <w:left w:val="nil"/>
          <w:bottom w:val="nil"/>
          <w:right w:val="nil"/>
          <w:between w:val="nil"/>
        </w:pBdr>
        <w:tabs>
          <w:tab w:val="left" w:pos="0"/>
          <w:tab w:val="left" w:pos="426"/>
          <w:tab w:val="left" w:pos="567"/>
        </w:tabs>
        <w:spacing w:line="360" w:lineRule="auto"/>
        <w:ind w:left="0" w:right="49"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Es necesario aclarar, para el caso que no pueda subir la información en una liga electrónica de acceso en Internet, por no contar con presupuesto, ni con el equipo electrónico adecuado para tal circunstancia, podrá omitir dicha modalidad, para la entrega de la misma.</w:t>
      </w:r>
    </w:p>
    <w:p w14:paraId="1CFA6A33" w14:textId="77777777" w:rsidR="001403D4" w:rsidRPr="00AE3D7B" w:rsidRDefault="001403D4">
      <w:pPr>
        <w:pBdr>
          <w:top w:val="nil"/>
          <w:left w:val="nil"/>
          <w:bottom w:val="nil"/>
          <w:right w:val="nil"/>
          <w:between w:val="nil"/>
        </w:pBdr>
        <w:tabs>
          <w:tab w:val="left" w:pos="0"/>
          <w:tab w:val="left" w:pos="426"/>
          <w:tab w:val="left" w:pos="567"/>
        </w:tabs>
        <w:spacing w:line="360" w:lineRule="auto"/>
        <w:ind w:right="49"/>
        <w:jc w:val="both"/>
        <w:rPr>
          <w:rFonts w:ascii="Palatino Linotype" w:eastAsia="Palatino Linotype" w:hAnsi="Palatino Linotype" w:cs="Palatino Linotype"/>
          <w:color w:val="000000"/>
        </w:rPr>
      </w:pPr>
    </w:p>
    <w:p w14:paraId="4DC8E458" w14:textId="77777777" w:rsidR="001403D4" w:rsidRPr="00AE3D7B" w:rsidRDefault="005F2E4A">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 xml:space="preserve">Ahora bien, respecto a la nómina, nombres, puestos y sueldos que requirió el Recurrente de la administración así como del personal administrativo, de elección popular y del Sistema DIF del Ayuntamiento de Nextlalpan, al respecto resulta necesario traer a colación,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14:paraId="2EECD831" w14:textId="77777777" w:rsidR="001403D4" w:rsidRPr="00AE3D7B" w:rsidRDefault="001403D4">
      <w:pPr>
        <w:spacing w:line="360" w:lineRule="auto"/>
        <w:jc w:val="both"/>
        <w:rPr>
          <w:rFonts w:ascii="Palatino Linotype" w:eastAsia="Palatino Linotype" w:hAnsi="Palatino Linotype" w:cs="Palatino Linotype"/>
          <w:color w:val="000000"/>
        </w:rPr>
      </w:pPr>
    </w:p>
    <w:p w14:paraId="4F2E8992" w14:textId="77777777" w:rsidR="001403D4" w:rsidRPr="00AE3D7B" w:rsidRDefault="005F2E4A">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4760819A" w14:textId="77777777" w:rsidR="001403D4" w:rsidRPr="00AE3D7B" w:rsidRDefault="001403D4">
      <w:pPr>
        <w:spacing w:line="360" w:lineRule="auto"/>
        <w:jc w:val="both"/>
        <w:rPr>
          <w:rFonts w:ascii="Palatino Linotype" w:eastAsia="Palatino Linotype" w:hAnsi="Palatino Linotype" w:cs="Palatino Linotype"/>
          <w:color w:val="000000"/>
        </w:rPr>
      </w:pPr>
    </w:p>
    <w:p w14:paraId="5C58C96F" w14:textId="77777777" w:rsidR="001403D4" w:rsidRPr="00AE3D7B" w:rsidRDefault="005F2E4A">
      <w:pPr>
        <w:spacing w:line="360" w:lineRule="auto"/>
        <w:jc w:val="both"/>
        <w:rPr>
          <w:rFonts w:ascii="Palatino Linotype" w:eastAsia="Palatino Linotype" w:hAnsi="Palatino Linotype" w:cs="Palatino Linotype"/>
          <w:b/>
          <w:color w:val="000000"/>
        </w:rPr>
      </w:pPr>
      <w:r w:rsidRPr="00AE3D7B">
        <w:rPr>
          <w:rFonts w:ascii="Palatino Linotype" w:eastAsia="Palatino Linotype" w:hAnsi="Palatino Linotype" w:cs="Palatino Linotype"/>
          <w:b/>
          <w:color w:val="000000"/>
        </w:rPr>
        <w:t>De la Conciliación de nómina</w:t>
      </w:r>
      <w:r w:rsidR="00545D39">
        <w:rPr>
          <w:rFonts w:ascii="Palatino Linotype" w:eastAsia="Palatino Linotype" w:hAnsi="Palatino Linotype" w:cs="Palatino Linotype"/>
          <w:b/>
          <w:color w:val="000000"/>
        </w:rPr>
        <w:t xml:space="preserve"> </w:t>
      </w:r>
    </w:p>
    <w:p w14:paraId="55349505" w14:textId="77777777" w:rsidR="00AB22CB" w:rsidRPr="007B3082" w:rsidRDefault="00AB22CB" w:rsidP="00AB22CB">
      <w:pPr>
        <w:pStyle w:val="Prrafodelista"/>
        <w:numPr>
          <w:ilvl w:val="0"/>
          <w:numId w:val="13"/>
        </w:numPr>
        <w:spacing w:line="360" w:lineRule="auto"/>
        <w:ind w:left="0" w:firstLine="0"/>
        <w:jc w:val="both"/>
        <w:rPr>
          <w:rFonts w:ascii="Palatino Linotype" w:eastAsia="Palatino Linotype" w:hAnsi="Palatino Linotype" w:cs="Palatino Linotype"/>
        </w:rPr>
      </w:pPr>
      <w:r w:rsidRPr="007B3082">
        <w:rPr>
          <w:rFonts w:ascii="Palatino Linotype" w:eastAsia="Palatino Linotype" w:hAnsi="Palatino Linotype" w:cs="Palatino Linotype"/>
        </w:rPr>
        <w:t>En ese sentido, sobre la nómina nos lleva a precisar que 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5D45B7A8" w14:textId="77777777" w:rsidR="00AB22CB" w:rsidRPr="007B3082" w:rsidRDefault="00AB22CB" w:rsidP="00AB22CB">
      <w:pPr>
        <w:spacing w:line="360" w:lineRule="auto"/>
        <w:jc w:val="both"/>
        <w:rPr>
          <w:rFonts w:ascii="Palatino Linotype" w:eastAsia="Palatino Linotype" w:hAnsi="Palatino Linotype" w:cs="Palatino Linotype"/>
          <w:sz w:val="22"/>
          <w:szCs w:val="22"/>
        </w:rPr>
      </w:pPr>
    </w:p>
    <w:p w14:paraId="56A395E0" w14:textId="77777777" w:rsidR="00AB22CB" w:rsidRPr="007B3082" w:rsidRDefault="00AB22CB" w:rsidP="00AB22CB">
      <w:pPr>
        <w:ind w:left="1134" w:right="851"/>
        <w:jc w:val="both"/>
        <w:rPr>
          <w:rFonts w:ascii="Palatino Linotype" w:eastAsia="Palatino Linotype" w:hAnsi="Palatino Linotype" w:cs="Palatino Linotype"/>
          <w:i/>
          <w:sz w:val="22"/>
          <w:szCs w:val="22"/>
        </w:rPr>
      </w:pPr>
      <w:r w:rsidRPr="007B3082">
        <w:rPr>
          <w:rFonts w:ascii="Palatino Linotype" w:eastAsia="Palatino Linotype" w:hAnsi="Palatino Linotype" w:cs="Palatino Linotype"/>
          <w:b/>
          <w:i/>
          <w:sz w:val="22"/>
          <w:szCs w:val="22"/>
        </w:rPr>
        <w:t xml:space="preserve">“NÓMINA </w:t>
      </w:r>
      <w:r w:rsidRPr="007B3082">
        <w:rPr>
          <w:rFonts w:ascii="Palatino Linotype" w:eastAsia="Palatino Linotype" w:hAnsi="Palatino Linotype" w:cs="Palatino Linotype"/>
          <w:i/>
          <w:sz w:val="22"/>
          <w:szCs w:val="22"/>
        </w:rPr>
        <w:t>Listado general de los trabajadores de una institución, en</w:t>
      </w:r>
      <w:r w:rsidRPr="007B3082">
        <w:rPr>
          <w:rFonts w:ascii="Palatino Linotype" w:eastAsia="Palatino Linotype" w:hAnsi="Palatino Linotype" w:cs="Palatino Linotype"/>
          <w:b/>
          <w:i/>
          <w:sz w:val="22"/>
          <w:szCs w:val="22"/>
        </w:rPr>
        <w:t xml:space="preserve"> </w:t>
      </w:r>
      <w:r w:rsidRPr="007B3082">
        <w:rPr>
          <w:rFonts w:ascii="Palatino Linotype" w:eastAsia="Palatino Linotype" w:hAnsi="Palatino Linotype" w:cs="Palatino Linotype"/>
          <w:i/>
          <w:sz w:val="22"/>
          <w:szCs w:val="22"/>
        </w:rPr>
        <w:t>el cual se asientan las percepciones brutas, deducciones y</w:t>
      </w:r>
      <w:r w:rsidRPr="007B3082">
        <w:rPr>
          <w:rFonts w:ascii="Palatino Linotype" w:eastAsia="Palatino Linotype" w:hAnsi="Palatino Linotype" w:cs="Palatino Linotype"/>
          <w:b/>
          <w:i/>
          <w:sz w:val="22"/>
          <w:szCs w:val="22"/>
        </w:rPr>
        <w:t xml:space="preserve"> </w:t>
      </w:r>
      <w:r w:rsidRPr="007B3082">
        <w:rPr>
          <w:rFonts w:ascii="Palatino Linotype" w:eastAsia="Palatino Linotype" w:hAnsi="Palatino Linotype" w:cs="Palatino Linotype"/>
          <w:i/>
          <w:sz w:val="22"/>
          <w:szCs w:val="22"/>
        </w:rPr>
        <w:t xml:space="preserve">alcance neto de las mismas; la </w:t>
      </w:r>
      <w:r w:rsidRPr="007B3082">
        <w:rPr>
          <w:rFonts w:ascii="Palatino Linotype" w:eastAsia="Palatino Linotype" w:hAnsi="Palatino Linotype" w:cs="Palatino Linotype"/>
          <w:i/>
          <w:sz w:val="22"/>
          <w:szCs w:val="22"/>
        </w:rPr>
        <w:lastRenderedPageBreak/>
        <w:t>nómina es utilizada para</w:t>
      </w:r>
      <w:r w:rsidRPr="007B3082">
        <w:rPr>
          <w:rFonts w:ascii="Palatino Linotype" w:eastAsia="Palatino Linotype" w:hAnsi="Palatino Linotype" w:cs="Palatino Linotype"/>
          <w:b/>
          <w:i/>
          <w:sz w:val="22"/>
          <w:szCs w:val="22"/>
        </w:rPr>
        <w:t xml:space="preserve"> </w:t>
      </w:r>
      <w:r w:rsidRPr="007B3082">
        <w:rPr>
          <w:rFonts w:ascii="Palatino Linotype" w:eastAsia="Palatino Linotype" w:hAnsi="Palatino Linotype" w:cs="Palatino Linotype"/>
          <w:i/>
          <w:sz w:val="22"/>
          <w:szCs w:val="22"/>
        </w:rPr>
        <w:t>efectuar los pagos periódicos (semanales, quincenales o</w:t>
      </w:r>
      <w:r w:rsidRPr="007B3082">
        <w:rPr>
          <w:rFonts w:ascii="Palatino Linotype" w:eastAsia="Palatino Linotype" w:hAnsi="Palatino Linotype" w:cs="Palatino Linotype"/>
          <w:b/>
          <w:i/>
          <w:sz w:val="22"/>
          <w:szCs w:val="22"/>
        </w:rPr>
        <w:t xml:space="preserve"> </w:t>
      </w:r>
      <w:r w:rsidRPr="007B3082">
        <w:rPr>
          <w:rFonts w:ascii="Palatino Linotype" w:eastAsia="Palatino Linotype" w:hAnsi="Palatino Linotype" w:cs="Palatino Linotype"/>
          <w:i/>
          <w:sz w:val="22"/>
          <w:szCs w:val="22"/>
        </w:rPr>
        <w:t>mensuales) a los trabajadores por concepto de sueldos y</w:t>
      </w:r>
      <w:r w:rsidRPr="007B3082">
        <w:rPr>
          <w:rFonts w:ascii="Palatino Linotype" w:eastAsia="Palatino Linotype" w:hAnsi="Palatino Linotype" w:cs="Palatino Linotype"/>
          <w:b/>
          <w:i/>
          <w:sz w:val="22"/>
          <w:szCs w:val="22"/>
        </w:rPr>
        <w:t xml:space="preserve"> </w:t>
      </w:r>
      <w:r w:rsidRPr="007B3082">
        <w:rPr>
          <w:rFonts w:ascii="Palatino Linotype" w:eastAsia="Palatino Linotype" w:hAnsi="Palatino Linotype" w:cs="Palatino Linotype"/>
          <w:i/>
          <w:sz w:val="22"/>
          <w:szCs w:val="22"/>
        </w:rPr>
        <w:t>salarios</w:t>
      </w:r>
      <w:proofErr w:type="gramStart"/>
      <w:r w:rsidRPr="007B3082">
        <w:rPr>
          <w:rFonts w:ascii="Palatino Linotype" w:eastAsia="Palatino Linotype" w:hAnsi="Palatino Linotype" w:cs="Palatino Linotype"/>
          <w:i/>
          <w:sz w:val="22"/>
          <w:szCs w:val="22"/>
        </w:rPr>
        <w:t>.”(</w:t>
      </w:r>
      <w:proofErr w:type="gramEnd"/>
      <w:r w:rsidRPr="007B3082">
        <w:rPr>
          <w:rFonts w:ascii="Palatino Linotype" w:eastAsia="Palatino Linotype" w:hAnsi="Palatino Linotype" w:cs="Palatino Linotype"/>
          <w:i/>
          <w:sz w:val="22"/>
          <w:szCs w:val="22"/>
        </w:rPr>
        <w:t>Sic)</w:t>
      </w:r>
    </w:p>
    <w:p w14:paraId="5CB99727" w14:textId="77777777" w:rsidR="00AB22CB" w:rsidRPr="007B3082" w:rsidRDefault="00AB22CB" w:rsidP="00AB22CB">
      <w:pPr>
        <w:spacing w:line="360" w:lineRule="auto"/>
        <w:ind w:left="1134" w:right="-93"/>
        <w:jc w:val="both"/>
        <w:rPr>
          <w:rFonts w:ascii="Palatino Linotype" w:eastAsia="Palatino Linotype" w:hAnsi="Palatino Linotype" w:cs="Palatino Linotype"/>
          <w:sz w:val="22"/>
          <w:szCs w:val="22"/>
        </w:rPr>
      </w:pPr>
    </w:p>
    <w:p w14:paraId="56E898C5" w14:textId="77777777" w:rsidR="00AB22CB" w:rsidRPr="007B3082" w:rsidRDefault="00AB22CB" w:rsidP="00AB22CB">
      <w:pPr>
        <w:numPr>
          <w:ilvl w:val="0"/>
          <w:numId w:val="13"/>
        </w:numPr>
        <w:spacing w:line="360" w:lineRule="auto"/>
        <w:ind w:left="0" w:firstLine="0"/>
        <w:jc w:val="both"/>
        <w:rPr>
          <w:rFonts w:ascii="Palatino Linotype" w:eastAsia="Palatino Linotype" w:hAnsi="Palatino Linotype" w:cs="Palatino Linotype"/>
        </w:rPr>
      </w:pPr>
      <w:r w:rsidRPr="007B3082">
        <w:rPr>
          <w:rFonts w:ascii="Palatino Linotype" w:eastAsia="Palatino Linotype" w:hAnsi="Palatino Linotype" w:cs="Palatino Linotype"/>
        </w:rPr>
        <w:t xml:space="preserve">En base a lo anterior, conviene a traer lo establecido por el artículo 804, fracción II, de la Ley Federal de Trabajo, el cual a la letra establece: </w:t>
      </w:r>
    </w:p>
    <w:p w14:paraId="3439A318" w14:textId="77777777" w:rsidR="00AB22CB" w:rsidRPr="007B3082" w:rsidRDefault="00AB22CB" w:rsidP="00AB22CB">
      <w:pPr>
        <w:ind w:left="851" w:right="851"/>
        <w:jc w:val="both"/>
        <w:rPr>
          <w:rFonts w:ascii="Palatino Linotype" w:eastAsia="Palatino Linotype" w:hAnsi="Palatino Linotype" w:cs="Palatino Linotype"/>
          <w:i/>
        </w:rPr>
      </w:pPr>
    </w:p>
    <w:p w14:paraId="2232AE48" w14:textId="77777777" w:rsidR="00AB22CB" w:rsidRPr="007B3082" w:rsidRDefault="00AB22CB" w:rsidP="00AB22CB">
      <w:pPr>
        <w:ind w:left="851" w:right="851"/>
        <w:jc w:val="both"/>
        <w:rPr>
          <w:rFonts w:ascii="Palatino Linotype" w:eastAsia="Palatino Linotype" w:hAnsi="Palatino Linotype" w:cs="Palatino Linotype"/>
          <w:i/>
          <w:sz w:val="22"/>
          <w:szCs w:val="22"/>
        </w:rPr>
      </w:pPr>
      <w:r w:rsidRPr="007B3082">
        <w:rPr>
          <w:rFonts w:ascii="Palatino Linotype" w:eastAsia="Palatino Linotype" w:hAnsi="Palatino Linotype" w:cs="Palatino Linotype"/>
          <w:i/>
          <w:sz w:val="22"/>
          <w:szCs w:val="22"/>
        </w:rPr>
        <w:t>“</w:t>
      </w:r>
      <w:r w:rsidRPr="007B3082">
        <w:rPr>
          <w:rFonts w:ascii="Palatino Linotype" w:eastAsia="Palatino Linotype" w:hAnsi="Palatino Linotype" w:cs="Palatino Linotype"/>
          <w:b/>
          <w:i/>
          <w:sz w:val="22"/>
          <w:szCs w:val="22"/>
        </w:rPr>
        <w:t>Artículo 804.-</w:t>
      </w:r>
      <w:r w:rsidRPr="007B3082">
        <w:rPr>
          <w:rFonts w:ascii="Palatino Linotype" w:eastAsia="Palatino Linotype" w:hAnsi="Palatino Linotype" w:cs="Palatino Linotype"/>
          <w:i/>
          <w:sz w:val="22"/>
          <w:szCs w:val="22"/>
        </w:rPr>
        <w:t xml:space="preserve"> </w:t>
      </w:r>
      <w:r w:rsidRPr="007B3082">
        <w:rPr>
          <w:rFonts w:ascii="Palatino Linotype" w:eastAsia="Palatino Linotype" w:hAnsi="Palatino Linotype" w:cs="Palatino Linotype"/>
          <w:b/>
          <w:i/>
          <w:sz w:val="22"/>
          <w:szCs w:val="22"/>
        </w:rPr>
        <w:t>El patrón tiene obligación de conservar y exhibir en juicio los documentos que a continuación se precisan</w:t>
      </w:r>
      <w:r w:rsidRPr="007B3082">
        <w:rPr>
          <w:rFonts w:ascii="Palatino Linotype" w:eastAsia="Palatino Linotype" w:hAnsi="Palatino Linotype" w:cs="Palatino Linotype"/>
          <w:i/>
          <w:sz w:val="22"/>
          <w:szCs w:val="22"/>
        </w:rPr>
        <w:t>:</w:t>
      </w:r>
    </w:p>
    <w:p w14:paraId="0D54BC7A" w14:textId="77777777" w:rsidR="00AB22CB" w:rsidRPr="007B3082" w:rsidRDefault="00AB22CB" w:rsidP="00AB22CB">
      <w:pPr>
        <w:ind w:left="851" w:right="851"/>
        <w:jc w:val="both"/>
        <w:rPr>
          <w:rFonts w:ascii="Palatino Linotype" w:eastAsia="Palatino Linotype" w:hAnsi="Palatino Linotype" w:cs="Palatino Linotype"/>
          <w:i/>
          <w:sz w:val="22"/>
          <w:szCs w:val="22"/>
        </w:rPr>
      </w:pPr>
    </w:p>
    <w:p w14:paraId="06CF5044" w14:textId="77777777" w:rsidR="00AB22CB" w:rsidRPr="007B3082" w:rsidRDefault="00AB22CB" w:rsidP="00AB22CB">
      <w:pPr>
        <w:ind w:left="851" w:right="851"/>
        <w:jc w:val="both"/>
        <w:rPr>
          <w:rFonts w:ascii="Palatino Linotype" w:eastAsia="Palatino Linotype" w:hAnsi="Palatino Linotype" w:cs="Palatino Linotype"/>
          <w:b/>
          <w:i/>
          <w:sz w:val="22"/>
          <w:szCs w:val="22"/>
        </w:rPr>
      </w:pPr>
      <w:r w:rsidRPr="007B3082">
        <w:rPr>
          <w:rFonts w:ascii="Palatino Linotype" w:eastAsia="Palatino Linotype" w:hAnsi="Palatino Linotype" w:cs="Palatino Linotype"/>
          <w:b/>
          <w:i/>
          <w:sz w:val="22"/>
          <w:szCs w:val="22"/>
        </w:rPr>
        <w:t>II.</w:t>
      </w:r>
      <w:r w:rsidRPr="007B3082">
        <w:rPr>
          <w:rFonts w:ascii="Palatino Linotype" w:eastAsia="Palatino Linotype" w:hAnsi="Palatino Linotype" w:cs="Palatino Linotype"/>
          <w:i/>
          <w:sz w:val="22"/>
          <w:szCs w:val="22"/>
        </w:rPr>
        <w:t xml:space="preserve"> </w:t>
      </w:r>
      <w:r w:rsidRPr="007B3082">
        <w:rPr>
          <w:rFonts w:ascii="Palatino Linotype" w:eastAsia="Palatino Linotype" w:hAnsi="Palatino Linotype" w:cs="Palatino Linotype"/>
          <w:b/>
          <w:i/>
          <w:sz w:val="22"/>
          <w:szCs w:val="22"/>
        </w:rPr>
        <w:t>Listas de raya o nómina de personal</w:t>
      </w:r>
      <w:r w:rsidRPr="007B3082">
        <w:rPr>
          <w:rFonts w:ascii="Palatino Linotype" w:eastAsia="Palatino Linotype" w:hAnsi="Palatino Linotype" w:cs="Palatino Linotype"/>
          <w:i/>
          <w:sz w:val="22"/>
          <w:szCs w:val="22"/>
        </w:rPr>
        <w:t xml:space="preserve">, </w:t>
      </w:r>
      <w:r w:rsidRPr="007B3082">
        <w:rPr>
          <w:rFonts w:ascii="Palatino Linotype" w:eastAsia="Palatino Linotype" w:hAnsi="Palatino Linotype" w:cs="Palatino Linotype"/>
          <w:b/>
          <w:i/>
          <w:sz w:val="22"/>
          <w:szCs w:val="22"/>
        </w:rPr>
        <w:t xml:space="preserve">cuando se lleven en el centro de trabajo; o recibos de pagos de salarios; </w:t>
      </w:r>
    </w:p>
    <w:p w14:paraId="5A47002B" w14:textId="77777777" w:rsidR="00AB22CB" w:rsidRPr="007B3082" w:rsidRDefault="00AB22CB" w:rsidP="00AB22CB">
      <w:pPr>
        <w:ind w:left="851" w:right="851"/>
        <w:jc w:val="both"/>
        <w:rPr>
          <w:rFonts w:ascii="Palatino Linotype" w:eastAsia="Palatino Linotype" w:hAnsi="Palatino Linotype" w:cs="Palatino Linotype"/>
          <w:i/>
          <w:sz w:val="22"/>
          <w:szCs w:val="22"/>
        </w:rPr>
      </w:pPr>
      <w:r w:rsidRPr="007B3082">
        <w:rPr>
          <w:rFonts w:ascii="Palatino Linotype" w:eastAsia="Palatino Linotype" w:hAnsi="Palatino Linotype" w:cs="Palatino Linotype"/>
          <w:i/>
          <w:sz w:val="22"/>
          <w:szCs w:val="22"/>
        </w:rPr>
        <w:t>(…)</w:t>
      </w:r>
    </w:p>
    <w:p w14:paraId="70DE45B0" w14:textId="77777777" w:rsidR="00AB22CB" w:rsidRPr="007B3082" w:rsidRDefault="00AB22CB" w:rsidP="00AB22CB">
      <w:pPr>
        <w:ind w:left="851" w:right="851"/>
        <w:jc w:val="both"/>
        <w:rPr>
          <w:rFonts w:ascii="Palatino Linotype" w:eastAsia="Palatino Linotype" w:hAnsi="Palatino Linotype" w:cs="Palatino Linotype"/>
          <w:i/>
          <w:sz w:val="22"/>
          <w:szCs w:val="22"/>
        </w:rPr>
      </w:pPr>
      <w:r w:rsidRPr="007B3082">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w:t>
      </w:r>
      <w:r w:rsidRPr="007B3082">
        <w:rPr>
          <w:rFonts w:ascii="Palatino Linotype" w:eastAsia="Palatino Linotype" w:hAnsi="Palatino Linotype" w:cs="Palatino Linotype"/>
          <w:b/>
          <w:i/>
          <w:sz w:val="22"/>
          <w:szCs w:val="22"/>
        </w:rPr>
        <w:t>los señalados en las fracciones II, III y IV, durante el último año y un año después de que se extinga la relación laboral</w:t>
      </w:r>
      <w:r w:rsidRPr="007B3082">
        <w:rPr>
          <w:rFonts w:ascii="Palatino Linotype" w:eastAsia="Palatino Linotype" w:hAnsi="Palatino Linotype" w:cs="Palatino Linotype"/>
          <w:i/>
          <w:sz w:val="22"/>
          <w:szCs w:val="22"/>
        </w:rPr>
        <w:t>; y los mencionados en la fracción V, conforme lo señalen las Leyes que los rijan.” (Sic)</w:t>
      </w:r>
    </w:p>
    <w:p w14:paraId="1A246980" w14:textId="77777777" w:rsidR="00AB22CB" w:rsidRPr="007B3082" w:rsidRDefault="00AB22CB" w:rsidP="00AB22CB">
      <w:pPr>
        <w:ind w:right="851"/>
        <w:jc w:val="both"/>
        <w:rPr>
          <w:rFonts w:ascii="Palatino Linotype" w:eastAsia="Palatino Linotype" w:hAnsi="Palatino Linotype" w:cs="Palatino Linotype"/>
          <w:i/>
        </w:rPr>
      </w:pPr>
    </w:p>
    <w:p w14:paraId="01F01105" w14:textId="77777777" w:rsidR="00AB22CB" w:rsidRPr="007B3082" w:rsidRDefault="00AB22CB" w:rsidP="00AB22CB">
      <w:pPr>
        <w:numPr>
          <w:ilvl w:val="0"/>
          <w:numId w:val="13"/>
        </w:numPr>
        <w:spacing w:line="360" w:lineRule="auto"/>
        <w:ind w:left="0" w:firstLine="0"/>
        <w:jc w:val="both"/>
        <w:rPr>
          <w:rFonts w:ascii="Palatino Linotype" w:eastAsia="Palatino Linotype" w:hAnsi="Palatino Linotype" w:cs="Palatino Linotype"/>
        </w:rPr>
      </w:pPr>
      <w:r w:rsidRPr="007B3082">
        <w:rPr>
          <w:rFonts w:ascii="Palatino Linotype" w:eastAsia="Palatino Linotype" w:hAnsi="Palatino Linotype" w:cs="Palatino Linotype"/>
        </w:rPr>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71C9A529" w14:textId="77777777" w:rsidR="00AB22CB" w:rsidRPr="007B3082" w:rsidRDefault="00AB22CB" w:rsidP="00AB22CB">
      <w:pPr>
        <w:spacing w:line="360" w:lineRule="auto"/>
        <w:jc w:val="both"/>
        <w:rPr>
          <w:rFonts w:ascii="Palatino Linotype" w:eastAsia="Palatino Linotype" w:hAnsi="Palatino Linotype" w:cs="Palatino Linotype"/>
        </w:rPr>
      </w:pPr>
    </w:p>
    <w:p w14:paraId="5FD20683" w14:textId="77777777" w:rsidR="00AB22CB" w:rsidRPr="007B3082" w:rsidRDefault="00AB22CB" w:rsidP="00AB22CB">
      <w:pPr>
        <w:numPr>
          <w:ilvl w:val="0"/>
          <w:numId w:val="13"/>
        </w:numPr>
        <w:spacing w:line="360" w:lineRule="auto"/>
        <w:ind w:left="0" w:firstLine="0"/>
        <w:jc w:val="both"/>
        <w:rPr>
          <w:rFonts w:ascii="Palatino Linotype" w:eastAsia="Palatino Linotype" w:hAnsi="Palatino Linotype" w:cs="Palatino Linotype"/>
        </w:rPr>
      </w:pPr>
      <w:r w:rsidRPr="007B3082">
        <w:rPr>
          <w:rFonts w:ascii="Palatino Linotype" w:eastAsia="Palatino Linotype" w:hAnsi="Palatino Linotype" w:cs="Palatino Linotype"/>
        </w:rPr>
        <w:t>En ese contexto, tratándose de servidores públicos de los Municipios la Ley del Trabajo de los Servidores Públicos del Estado y Municipios, en su artículo 220-K, establece lo siguiente:</w:t>
      </w:r>
    </w:p>
    <w:p w14:paraId="1750C0A9" w14:textId="77777777" w:rsidR="00AB22CB" w:rsidRPr="007B3082" w:rsidRDefault="00AB22CB" w:rsidP="00AB22CB">
      <w:pPr>
        <w:tabs>
          <w:tab w:val="left" w:pos="9072"/>
        </w:tabs>
        <w:spacing w:before="240"/>
        <w:ind w:left="851" w:right="851"/>
        <w:jc w:val="both"/>
        <w:rPr>
          <w:rFonts w:ascii="Palatino Linotype" w:eastAsia="Palatino Linotype" w:hAnsi="Palatino Linotype" w:cs="Palatino Linotype"/>
          <w:i/>
          <w:sz w:val="22"/>
          <w:szCs w:val="22"/>
        </w:rPr>
      </w:pPr>
      <w:r w:rsidRPr="007B3082">
        <w:rPr>
          <w:rFonts w:ascii="Palatino Linotype" w:eastAsia="Palatino Linotype" w:hAnsi="Palatino Linotype" w:cs="Palatino Linotype"/>
          <w:b/>
          <w:i/>
          <w:sz w:val="22"/>
          <w:szCs w:val="22"/>
        </w:rPr>
        <w:lastRenderedPageBreak/>
        <w:t>“ARTÍCULO 220 K.-</w:t>
      </w:r>
      <w:r w:rsidRPr="007B3082">
        <w:rPr>
          <w:rFonts w:ascii="Palatino Linotype" w:eastAsia="Palatino Linotype" w:hAnsi="Palatino Linotype" w:cs="Palatino Linotype"/>
          <w:i/>
          <w:sz w:val="22"/>
          <w:szCs w:val="22"/>
        </w:rPr>
        <w:t xml:space="preserve"> La </w:t>
      </w:r>
      <w:r w:rsidRPr="007B3082">
        <w:rPr>
          <w:rFonts w:ascii="Palatino Linotype" w:eastAsia="Palatino Linotype" w:hAnsi="Palatino Linotype" w:cs="Palatino Linotype"/>
          <w:b/>
          <w:i/>
          <w:sz w:val="22"/>
          <w:szCs w:val="22"/>
        </w:rPr>
        <w:t>institución o dependencia pública tiene la obligación de conservar y exhibir en el proceso los documentos que a continuación</w:t>
      </w:r>
      <w:r w:rsidRPr="007B3082">
        <w:rPr>
          <w:rFonts w:ascii="Palatino Linotype" w:eastAsia="Palatino Linotype" w:hAnsi="Palatino Linotype" w:cs="Palatino Linotype"/>
          <w:i/>
          <w:sz w:val="22"/>
          <w:szCs w:val="22"/>
        </w:rPr>
        <w:t xml:space="preserve"> </w:t>
      </w:r>
      <w:r w:rsidRPr="007B3082">
        <w:rPr>
          <w:rFonts w:ascii="Palatino Linotype" w:eastAsia="Palatino Linotype" w:hAnsi="Palatino Linotype" w:cs="Palatino Linotype"/>
          <w:b/>
          <w:i/>
          <w:sz w:val="22"/>
          <w:szCs w:val="22"/>
        </w:rPr>
        <w:t>se precisan</w:t>
      </w:r>
      <w:r w:rsidRPr="007B3082">
        <w:rPr>
          <w:rFonts w:ascii="Palatino Linotype" w:eastAsia="Palatino Linotype" w:hAnsi="Palatino Linotype" w:cs="Palatino Linotype"/>
          <w:i/>
          <w:sz w:val="22"/>
          <w:szCs w:val="22"/>
        </w:rPr>
        <w:t>:</w:t>
      </w:r>
    </w:p>
    <w:p w14:paraId="0FFBCA8C" w14:textId="77777777" w:rsidR="00AB22CB" w:rsidRPr="007B3082" w:rsidRDefault="00AB22CB" w:rsidP="00AB22CB">
      <w:pPr>
        <w:tabs>
          <w:tab w:val="left" w:pos="9072"/>
        </w:tabs>
        <w:ind w:left="851" w:right="851"/>
        <w:jc w:val="both"/>
        <w:rPr>
          <w:rFonts w:ascii="Palatino Linotype" w:eastAsia="Palatino Linotype" w:hAnsi="Palatino Linotype" w:cs="Palatino Linotype"/>
          <w:i/>
          <w:sz w:val="22"/>
          <w:szCs w:val="22"/>
        </w:rPr>
      </w:pPr>
      <w:r w:rsidRPr="007B3082">
        <w:rPr>
          <w:rFonts w:ascii="Palatino Linotype" w:eastAsia="Palatino Linotype" w:hAnsi="Palatino Linotype" w:cs="Palatino Linotype"/>
          <w:i/>
          <w:sz w:val="22"/>
          <w:szCs w:val="22"/>
        </w:rPr>
        <w:t>…</w:t>
      </w:r>
    </w:p>
    <w:p w14:paraId="49960459" w14:textId="77777777" w:rsidR="00AB22CB" w:rsidRPr="007B3082" w:rsidRDefault="00AB22CB" w:rsidP="00AB22CB">
      <w:pPr>
        <w:tabs>
          <w:tab w:val="left" w:pos="9072"/>
        </w:tabs>
        <w:ind w:left="851" w:right="851"/>
        <w:jc w:val="both"/>
        <w:rPr>
          <w:rFonts w:ascii="Palatino Linotype" w:eastAsia="Palatino Linotype" w:hAnsi="Palatino Linotype" w:cs="Palatino Linotype"/>
          <w:b/>
          <w:i/>
          <w:sz w:val="22"/>
          <w:szCs w:val="22"/>
        </w:rPr>
      </w:pPr>
      <w:r w:rsidRPr="007B3082">
        <w:rPr>
          <w:rFonts w:ascii="Palatino Linotype" w:eastAsia="Palatino Linotype" w:hAnsi="Palatino Linotype" w:cs="Palatino Linotype"/>
          <w:i/>
          <w:sz w:val="22"/>
          <w:szCs w:val="22"/>
        </w:rPr>
        <w:t xml:space="preserve">II. </w:t>
      </w:r>
      <w:r w:rsidRPr="007B3082">
        <w:rPr>
          <w:rFonts w:ascii="Palatino Linotype" w:eastAsia="Palatino Linotype" w:hAnsi="Palatino Linotype" w:cs="Palatino Linotype"/>
          <w:b/>
          <w:i/>
          <w:sz w:val="22"/>
          <w:szCs w:val="22"/>
        </w:rPr>
        <w:t>Recibos de pagos de salarios o</w:t>
      </w:r>
      <w:r w:rsidRPr="007B3082">
        <w:rPr>
          <w:rFonts w:ascii="Palatino Linotype" w:eastAsia="Palatino Linotype" w:hAnsi="Palatino Linotype" w:cs="Palatino Linotype"/>
          <w:i/>
          <w:sz w:val="22"/>
          <w:szCs w:val="22"/>
        </w:rPr>
        <w:t xml:space="preserve"> </w:t>
      </w:r>
      <w:r w:rsidRPr="007B3082">
        <w:rPr>
          <w:rFonts w:ascii="Palatino Linotype" w:eastAsia="Palatino Linotype" w:hAnsi="Palatino Linotype" w:cs="Palatino Linotype"/>
          <w:b/>
          <w:i/>
          <w:sz w:val="22"/>
          <w:szCs w:val="22"/>
        </w:rPr>
        <w:t>las constancias documentales del pago de salario</w:t>
      </w:r>
      <w:r w:rsidRPr="007B3082">
        <w:rPr>
          <w:rFonts w:ascii="Palatino Linotype" w:eastAsia="Palatino Linotype" w:hAnsi="Palatino Linotype" w:cs="Palatino Linotype"/>
          <w:i/>
          <w:sz w:val="22"/>
          <w:szCs w:val="22"/>
        </w:rPr>
        <w:t xml:space="preserve"> </w:t>
      </w:r>
      <w:r w:rsidRPr="007B3082">
        <w:rPr>
          <w:rFonts w:ascii="Palatino Linotype" w:eastAsia="Palatino Linotype" w:hAnsi="Palatino Linotype" w:cs="Palatino Linotype"/>
          <w:b/>
          <w:i/>
          <w:sz w:val="22"/>
          <w:szCs w:val="22"/>
        </w:rPr>
        <w:t xml:space="preserve">cuando </w:t>
      </w:r>
      <w:r w:rsidRPr="007B3082">
        <w:rPr>
          <w:rFonts w:ascii="Palatino Linotype" w:eastAsia="Palatino Linotype" w:hAnsi="Palatino Linotype" w:cs="Palatino Linotype"/>
          <w:b/>
          <w:i/>
          <w:sz w:val="22"/>
          <w:szCs w:val="22"/>
          <w:u w:val="single"/>
        </w:rPr>
        <w:t>sea por depósito o mediante información electrónica</w:t>
      </w:r>
      <w:r w:rsidRPr="007B3082">
        <w:rPr>
          <w:rFonts w:ascii="Palatino Linotype" w:eastAsia="Palatino Linotype" w:hAnsi="Palatino Linotype" w:cs="Palatino Linotype"/>
          <w:b/>
          <w:i/>
          <w:sz w:val="22"/>
          <w:szCs w:val="22"/>
        </w:rPr>
        <w:t>;</w:t>
      </w:r>
    </w:p>
    <w:p w14:paraId="1B31999C" w14:textId="77777777" w:rsidR="00AB22CB" w:rsidRPr="007B3082" w:rsidRDefault="00AB22CB" w:rsidP="00AB22CB">
      <w:pPr>
        <w:tabs>
          <w:tab w:val="left" w:pos="9072"/>
        </w:tabs>
        <w:ind w:left="851" w:right="851"/>
        <w:jc w:val="both"/>
        <w:rPr>
          <w:rFonts w:ascii="Palatino Linotype" w:eastAsia="Palatino Linotype" w:hAnsi="Palatino Linotype" w:cs="Palatino Linotype"/>
          <w:i/>
          <w:sz w:val="22"/>
          <w:szCs w:val="22"/>
        </w:rPr>
      </w:pPr>
      <w:r w:rsidRPr="007B3082">
        <w:rPr>
          <w:rFonts w:ascii="Palatino Linotype" w:eastAsia="Palatino Linotype" w:hAnsi="Palatino Linotype" w:cs="Palatino Linotype"/>
          <w:i/>
          <w:sz w:val="22"/>
          <w:szCs w:val="22"/>
        </w:rPr>
        <w:t>…</w:t>
      </w:r>
    </w:p>
    <w:p w14:paraId="58DEAFE4" w14:textId="77777777" w:rsidR="00AB22CB" w:rsidRPr="007B3082" w:rsidRDefault="00AB22CB" w:rsidP="00AB22CB">
      <w:pPr>
        <w:tabs>
          <w:tab w:val="left" w:pos="9072"/>
        </w:tabs>
        <w:ind w:left="851" w:right="851"/>
        <w:jc w:val="both"/>
        <w:rPr>
          <w:rFonts w:ascii="Palatino Linotype" w:eastAsia="Palatino Linotype" w:hAnsi="Palatino Linotype" w:cs="Palatino Linotype"/>
          <w:i/>
          <w:sz w:val="22"/>
          <w:szCs w:val="22"/>
        </w:rPr>
      </w:pPr>
      <w:r w:rsidRPr="007B3082">
        <w:rPr>
          <w:rFonts w:ascii="Palatino Linotype" w:eastAsia="Palatino Linotype" w:hAnsi="Palatino Linotype" w:cs="Palatino Linotype"/>
          <w:i/>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720E9CD6" w14:textId="77777777" w:rsidR="00AB22CB" w:rsidRPr="007B3082" w:rsidRDefault="00AB22CB" w:rsidP="00AB22CB">
      <w:pPr>
        <w:tabs>
          <w:tab w:val="left" w:pos="9072"/>
        </w:tabs>
        <w:ind w:left="851" w:right="851"/>
        <w:jc w:val="both"/>
        <w:rPr>
          <w:rFonts w:ascii="Palatino Linotype" w:eastAsia="Palatino Linotype" w:hAnsi="Palatino Linotype" w:cs="Palatino Linotype"/>
          <w:i/>
          <w:sz w:val="22"/>
          <w:szCs w:val="22"/>
        </w:rPr>
      </w:pPr>
      <w:r w:rsidRPr="007B3082">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35A3A3DF" w14:textId="77777777" w:rsidR="00AB22CB" w:rsidRPr="007B3082" w:rsidRDefault="00AB22CB" w:rsidP="00AB22CB">
      <w:pPr>
        <w:tabs>
          <w:tab w:val="left" w:pos="9072"/>
        </w:tabs>
        <w:ind w:left="851" w:right="851"/>
        <w:jc w:val="both"/>
        <w:rPr>
          <w:rFonts w:ascii="Palatino Linotype" w:eastAsia="Palatino Linotype" w:hAnsi="Palatino Linotype" w:cs="Palatino Linotype"/>
          <w:i/>
        </w:rPr>
      </w:pPr>
    </w:p>
    <w:p w14:paraId="61D26BAA" w14:textId="77777777" w:rsidR="00AB22CB" w:rsidRPr="007B3082" w:rsidRDefault="00AB22CB" w:rsidP="00AB22CB">
      <w:pPr>
        <w:numPr>
          <w:ilvl w:val="0"/>
          <w:numId w:val="13"/>
        </w:numPr>
        <w:spacing w:line="360" w:lineRule="auto"/>
        <w:ind w:left="0" w:firstLine="0"/>
        <w:jc w:val="both"/>
        <w:rPr>
          <w:rFonts w:ascii="Palatino Linotype" w:eastAsia="Palatino Linotype" w:hAnsi="Palatino Linotype" w:cs="Palatino Linotype"/>
        </w:rPr>
      </w:pPr>
      <w:r w:rsidRPr="007B3082">
        <w:rPr>
          <w:rFonts w:ascii="Palatino Linotype" w:eastAsia="Palatino Linotype" w:hAnsi="Palatino Linotype" w:cs="Palatino Linotype"/>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607947CD" w14:textId="77777777" w:rsidR="00AB22CB" w:rsidRPr="00AE3D7B" w:rsidRDefault="00AB22CB" w:rsidP="00AB22CB">
      <w:pPr>
        <w:spacing w:line="360" w:lineRule="auto"/>
        <w:jc w:val="both"/>
        <w:rPr>
          <w:rFonts w:ascii="Palatino Linotype" w:eastAsia="Palatino Linotype" w:hAnsi="Palatino Linotype" w:cs="Palatino Linotype"/>
          <w:highlight w:val="yellow"/>
        </w:rPr>
      </w:pPr>
    </w:p>
    <w:p w14:paraId="27C464A8" w14:textId="77777777" w:rsidR="00AB22CB" w:rsidRPr="007B3082" w:rsidRDefault="00AB22CB" w:rsidP="00AB22CB">
      <w:pPr>
        <w:numPr>
          <w:ilvl w:val="0"/>
          <w:numId w:val="13"/>
        </w:numPr>
        <w:spacing w:line="360" w:lineRule="auto"/>
        <w:ind w:left="0" w:firstLine="0"/>
        <w:jc w:val="both"/>
        <w:rPr>
          <w:rFonts w:ascii="Palatino Linotype" w:hAnsi="Palatino Linotype"/>
        </w:rPr>
      </w:pPr>
      <w:r w:rsidRPr="007B3082">
        <w:rPr>
          <w:rFonts w:ascii="Palatino Linotype" w:eastAsia="Palatino Linotype" w:hAnsi="Palatino Linotype" w:cs="Palatino Linotype"/>
        </w:rPr>
        <w:t xml:space="preserve">Una vez precisado lo que antecede, es necesario analizar la Ley de Fiscalización Superior del Estado de México, toda vez que señala que los municipios que conforman el Estado de México, entre ellos el </w:t>
      </w:r>
      <w:r w:rsidRPr="007B3082">
        <w:rPr>
          <w:rFonts w:ascii="Palatino Linotype" w:eastAsia="Palatino Linotype" w:hAnsi="Palatino Linotype" w:cs="Palatino Linotype"/>
          <w:b/>
        </w:rPr>
        <w:t>SUJETO OBLIGADO</w:t>
      </w:r>
      <w:r w:rsidRPr="007B3082">
        <w:rPr>
          <w:rFonts w:ascii="Palatino Linotype" w:eastAsia="Palatino Linotype" w:hAnsi="Palatino Linotype" w:cs="Palatino Linotype"/>
        </w:rPr>
        <w:t>,</w:t>
      </w:r>
      <w:r w:rsidRPr="007B3082">
        <w:rPr>
          <w:rFonts w:ascii="Palatino Linotype" w:hAnsi="Palatino Linotype"/>
        </w:rPr>
        <w:t xml:space="preserve"> </w:t>
      </w:r>
      <w:r w:rsidRPr="007B3082">
        <w:rPr>
          <w:rFonts w:ascii="Palatino Linotype" w:eastAsia="Palatino Linotype" w:hAnsi="Palatino Linotype" w:cs="Palatino Linotype"/>
        </w:rPr>
        <w:t>es considerado como ente fiscalizable, como así lo señala el artículo 4 fracción II de la Ley de Fiscalización Superior del Estado de México, el cual señala:</w:t>
      </w:r>
    </w:p>
    <w:p w14:paraId="34564B10" w14:textId="77777777" w:rsidR="00AB22CB" w:rsidRPr="007B3082" w:rsidRDefault="00AB22CB" w:rsidP="00AB22CB">
      <w:pPr>
        <w:spacing w:before="240"/>
        <w:ind w:left="1134" w:right="851"/>
        <w:jc w:val="both"/>
        <w:rPr>
          <w:rFonts w:ascii="Palatino Linotype" w:eastAsia="Palatino Linotype" w:hAnsi="Palatino Linotype" w:cs="Palatino Linotype"/>
          <w:i/>
          <w:sz w:val="22"/>
          <w:szCs w:val="22"/>
        </w:rPr>
      </w:pPr>
      <w:r w:rsidRPr="007B3082">
        <w:rPr>
          <w:rFonts w:ascii="Palatino Linotype" w:eastAsia="Palatino Linotype" w:hAnsi="Palatino Linotype" w:cs="Palatino Linotype"/>
          <w:i/>
          <w:sz w:val="22"/>
          <w:szCs w:val="22"/>
        </w:rPr>
        <w:lastRenderedPageBreak/>
        <w:t>Artículo 4.- Son sujetos de fiscalización:</w:t>
      </w:r>
    </w:p>
    <w:p w14:paraId="6D8A69F8" w14:textId="77777777" w:rsidR="00AB22CB" w:rsidRPr="007B3082" w:rsidRDefault="00AB22CB" w:rsidP="00AB22CB">
      <w:pPr>
        <w:numPr>
          <w:ilvl w:val="1"/>
          <w:numId w:val="13"/>
        </w:numPr>
        <w:pBdr>
          <w:top w:val="nil"/>
          <w:left w:val="nil"/>
          <w:bottom w:val="nil"/>
          <w:right w:val="nil"/>
          <w:between w:val="nil"/>
        </w:pBdr>
        <w:spacing w:before="240"/>
        <w:ind w:left="1134" w:right="851" w:firstLine="0"/>
        <w:jc w:val="both"/>
        <w:rPr>
          <w:rFonts w:ascii="Palatino Linotype" w:eastAsia="Palatino Linotype" w:hAnsi="Palatino Linotype" w:cs="Palatino Linotype"/>
          <w:i/>
          <w:color w:val="000000"/>
          <w:sz w:val="22"/>
          <w:szCs w:val="22"/>
        </w:rPr>
      </w:pPr>
      <w:r w:rsidRPr="007B3082">
        <w:rPr>
          <w:rFonts w:ascii="Palatino Linotype" w:eastAsia="Palatino Linotype" w:hAnsi="Palatino Linotype" w:cs="Palatino Linotype"/>
          <w:i/>
          <w:color w:val="000000"/>
          <w:sz w:val="22"/>
          <w:szCs w:val="22"/>
        </w:rPr>
        <w:t xml:space="preserve">Los Poderes Públicos del Estado; </w:t>
      </w:r>
    </w:p>
    <w:p w14:paraId="72104208" w14:textId="77777777" w:rsidR="00AB22CB" w:rsidRPr="007B3082" w:rsidRDefault="00AB22CB" w:rsidP="00AB22CB">
      <w:pPr>
        <w:pBdr>
          <w:top w:val="nil"/>
          <w:left w:val="nil"/>
          <w:bottom w:val="nil"/>
          <w:right w:val="nil"/>
          <w:between w:val="nil"/>
        </w:pBdr>
        <w:ind w:left="1134" w:right="851"/>
        <w:jc w:val="both"/>
        <w:rPr>
          <w:rFonts w:ascii="Palatino Linotype" w:eastAsia="Palatino Linotype" w:hAnsi="Palatino Linotype" w:cs="Palatino Linotype"/>
          <w:b/>
          <w:i/>
          <w:color w:val="000000"/>
          <w:sz w:val="22"/>
          <w:szCs w:val="22"/>
        </w:rPr>
      </w:pPr>
      <w:r w:rsidRPr="007B3082">
        <w:rPr>
          <w:rFonts w:ascii="Palatino Linotype" w:eastAsia="Palatino Linotype" w:hAnsi="Palatino Linotype" w:cs="Palatino Linotype"/>
          <w:b/>
          <w:i/>
          <w:color w:val="000000"/>
          <w:sz w:val="22"/>
          <w:szCs w:val="22"/>
        </w:rPr>
        <w:t xml:space="preserve">II. Los municipios del Estado de México; </w:t>
      </w:r>
    </w:p>
    <w:p w14:paraId="74C21F52" w14:textId="77777777" w:rsidR="00AB22CB" w:rsidRPr="007B3082" w:rsidRDefault="00AB22CB" w:rsidP="00AB22CB">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sidRPr="007B3082">
        <w:rPr>
          <w:rFonts w:ascii="Palatino Linotype" w:eastAsia="Palatino Linotype" w:hAnsi="Palatino Linotype" w:cs="Palatino Linotype"/>
          <w:i/>
          <w:color w:val="000000"/>
          <w:sz w:val="22"/>
          <w:szCs w:val="22"/>
        </w:rPr>
        <w:t xml:space="preserve">III. Los organismos autónomos; </w:t>
      </w:r>
    </w:p>
    <w:p w14:paraId="563874B7" w14:textId="77777777" w:rsidR="00AB22CB" w:rsidRPr="007B3082" w:rsidRDefault="00AB22CB" w:rsidP="00AB22CB">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sidRPr="007B3082">
        <w:rPr>
          <w:rFonts w:ascii="Palatino Linotype" w:eastAsia="Palatino Linotype" w:hAnsi="Palatino Linotype" w:cs="Palatino Linotype"/>
          <w:i/>
          <w:color w:val="000000"/>
          <w:sz w:val="22"/>
          <w:szCs w:val="22"/>
        </w:rPr>
        <w:t xml:space="preserve">IV. Los organismos auxiliares; </w:t>
      </w:r>
    </w:p>
    <w:p w14:paraId="4EE267EC" w14:textId="77777777" w:rsidR="00AB22CB" w:rsidRPr="007B3082" w:rsidRDefault="00AB22CB" w:rsidP="00AB22CB">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sidRPr="007B3082">
        <w:rPr>
          <w:rFonts w:ascii="Palatino Linotype" w:eastAsia="Palatino Linotype" w:hAnsi="Palatino Linotype" w:cs="Palatino Linotype"/>
          <w:i/>
          <w:color w:val="000000"/>
          <w:sz w:val="22"/>
          <w:szCs w:val="22"/>
        </w:rPr>
        <w:t>V. Los fideicomisos previstos en el artículo 3 fracción XVII del Código Financiero del Estado de México y Municipios, y aquellos que manejen recursos del Estado, Municipios, o en su caso provenientes de la federación;</w:t>
      </w:r>
      <w:r w:rsidRPr="007B3082">
        <w:rPr>
          <w:rFonts w:ascii="Palatino Linotype" w:eastAsia="Calibri" w:hAnsi="Palatino Linotype"/>
          <w:color w:val="000000"/>
          <w:sz w:val="22"/>
          <w:szCs w:val="22"/>
        </w:rPr>
        <w:t xml:space="preserve"> </w:t>
      </w:r>
    </w:p>
    <w:p w14:paraId="5EB9A199" w14:textId="77777777" w:rsidR="00AB22CB" w:rsidRPr="007B3082" w:rsidRDefault="00AB22CB" w:rsidP="00AB22CB">
      <w:pPr>
        <w:pBdr>
          <w:top w:val="nil"/>
          <w:left w:val="nil"/>
          <w:bottom w:val="nil"/>
          <w:right w:val="nil"/>
          <w:between w:val="nil"/>
        </w:pBdr>
        <w:ind w:left="1134" w:right="851"/>
        <w:jc w:val="both"/>
        <w:rPr>
          <w:rFonts w:ascii="Palatino Linotype" w:eastAsia="Palatino Linotype" w:hAnsi="Palatino Linotype" w:cs="Palatino Linotype"/>
          <w:i/>
          <w:color w:val="000000"/>
          <w:sz w:val="22"/>
          <w:szCs w:val="22"/>
        </w:rPr>
      </w:pPr>
      <w:r w:rsidRPr="007B3082">
        <w:rPr>
          <w:rFonts w:ascii="Palatino Linotype" w:eastAsia="Palatino Linotype" w:hAnsi="Palatino Linotype" w:cs="Palatino Linotype"/>
          <w:i/>
          <w:color w:val="000000"/>
          <w:sz w:val="22"/>
          <w:szCs w:val="22"/>
        </w:rPr>
        <w:t>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p w14:paraId="127954C2" w14:textId="77777777" w:rsidR="00AB22CB" w:rsidRPr="007B3082" w:rsidRDefault="00AB22CB" w:rsidP="00AB22CB">
      <w:pPr>
        <w:pBdr>
          <w:top w:val="nil"/>
          <w:left w:val="nil"/>
          <w:bottom w:val="nil"/>
          <w:right w:val="nil"/>
          <w:between w:val="nil"/>
        </w:pBdr>
        <w:ind w:left="1134" w:right="851"/>
        <w:jc w:val="both"/>
        <w:rPr>
          <w:rFonts w:ascii="Palatino Linotype" w:eastAsia="Palatino Linotype" w:hAnsi="Palatino Linotype" w:cs="Palatino Linotype"/>
          <w:i/>
          <w:color w:val="000000"/>
        </w:rPr>
      </w:pPr>
    </w:p>
    <w:p w14:paraId="53B558B6" w14:textId="77777777" w:rsidR="00AB22CB" w:rsidRPr="007B3082" w:rsidRDefault="00AB22CB" w:rsidP="00AB22CB">
      <w:pPr>
        <w:numPr>
          <w:ilvl w:val="0"/>
          <w:numId w:val="13"/>
        </w:numPr>
        <w:spacing w:line="360" w:lineRule="auto"/>
        <w:ind w:left="0" w:firstLine="0"/>
        <w:jc w:val="both"/>
        <w:rPr>
          <w:rFonts w:ascii="Palatino Linotype" w:eastAsia="Palatino Linotype" w:hAnsi="Palatino Linotype" w:cs="Palatino Linotype"/>
          <w:color w:val="000000"/>
        </w:rPr>
      </w:pPr>
      <w:r w:rsidRPr="007B3082">
        <w:rPr>
          <w:rFonts w:ascii="Palatino Linotype" w:eastAsia="Palatino Linotype" w:hAnsi="Palatino Linotype" w:cs="Palatino Linotype"/>
          <w:color w:val="000000"/>
        </w:rPr>
        <w:t xml:space="preserve">Establecido </w:t>
      </w:r>
      <w:r w:rsidRPr="007B3082">
        <w:rPr>
          <w:rFonts w:ascii="Palatino Linotype" w:eastAsia="Palatino Linotype" w:hAnsi="Palatino Linotype" w:cs="Palatino Linotype"/>
        </w:rPr>
        <w:t xml:space="preserve">lo anterior, el Órgano Superior de Fiscalización del Estado de México </w:t>
      </w:r>
      <w:r w:rsidRPr="00AE3D7B">
        <w:rPr>
          <w:rFonts w:ascii="Palatino Linotype" w:eastAsia="Palatino Linotype" w:hAnsi="Palatino Linotype" w:cs="Palatino Linotype"/>
          <w:highlight w:val="yellow"/>
        </w:rPr>
        <w:t>(</w:t>
      </w:r>
      <w:r w:rsidRPr="007B3082">
        <w:rPr>
          <w:rFonts w:ascii="Palatino Linotype" w:eastAsia="Palatino Linotype" w:hAnsi="Palatino Linotype" w:cs="Palatino Linotype"/>
        </w:rPr>
        <w:t>OSFEM), emite anualmente una herramienta para elaborar y presentar los informes trimestrales, denominado “Políticas para la Integración del Informe Trimestral de los Sujetos de Fiscalización Municipales”, cuyo objetivo es establecer las especificaciones necesarias para que las entidades fiscales elaboren y presentes los referidos informes.</w:t>
      </w:r>
    </w:p>
    <w:p w14:paraId="6F192DD5" w14:textId="77777777" w:rsidR="0021142F" w:rsidRPr="007B3082" w:rsidRDefault="0021142F" w:rsidP="0021142F">
      <w:pPr>
        <w:spacing w:line="360" w:lineRule="auto"/>
        <w:jc w:val="both"/>
        <w:rPr>
          <w:rFonts w:ascii="Palatino Linotype" w:eastAsia="Palatino Linotype" w:hAnsi="Palatino Linotype" w:cs="Palatino Linotype"/>
          <w:color w:val="000000"/>
        </w:rPr>
      </w:pPr>
    </w:p>
    <w:p w14:paraId="34003DEA" w14:textId="77777777" w:rsidR="00AB22CB" w:rsidRPr="007B3082" w:rsidRDefault="00AB22CB" w:rsidP="00AB22CB">
      <w:pPr>
        <w:numPr>
          <w:ilvl w:val="0"/>
          <w:numId w:val="13"/>
        </w:numPr>
        <w:spacing w:line="360" w:lineRule="auto"/>
        <w:ind w:left="0" w:firstLine="0"/>
        <w:jc w:val="both"/>
        <w:rPr>
          <w:rFonts w:ascii="Palatino Linotype" w:eastAsia="Palatino Linotype" w:hAnsi="Palatino Linotype" w:cs="Palatino Linotype"/>
          <w:color w:val="000000"/>
        </w:rPr>
      </w:pPr>
      <w:r w:rsidRPr="007B3082">
        <w:rPr>
          <w:rFonts w:ascii="Palatino Linotype" w:eastAsia="Palatino Linotype" w:hAnsi="Palatino Linotype" w:cs="Palatino Linotype"/>
          <w:color w:val="000000"/>
        </w:rPr>
        <w:t xml:space="preserve">Estas políticas </w:t>
      </w:r>
      <w:r w:rsidRPr="007B3082">
        <w:rPr>
          <w:rFonts w:ascii="Palatino Linotype" w:eastAsia="Palatino Linotype" w:hAnsi="Palatino Linotype" w:cs="Palatino Linotype"/>
        </w:rPr>
        <w:t>son de observancia general para todos los servidores públicos de las entidades fiscalizables de la administración pública municipal que desempeñen un empleo, cargo o comisión y que manejen recursos públicos; en atención a ello, el informe trimestral deberá ser presentado al Órgano Superior de Fiscalización.</w:t>
      </w:r>
    </w:p>
    <w:p w14:paraId="08540577" w14:textId="77777777" w:rsidR="000E3E94" w:rsidRPr="007B3082" w:rsidRDefault="000E3E94" w:rsidP="000E3E94">
      <w:pPr>
        <w:spacing w:line="360" w:lineRule="auto"/>
        <w:jc w:val="both"/>
        <w:rPr>
          <w:rFonts w:ascii="Palatino Linotype" w:eastAsia="Palatino Linotype" w:hAnsi="Palatino Linotype" w:cs="Palatino Linotype"/>
          <w:color w:val="000000"/>
        </w:rPr>
      </w:pPr>
    </w:p>
    <w:p w14:paraId="1A625656" w14:textId="77777777" w:rsidR="00AB22CB" w:rsidRPr="007B3082" w:rsidRDefault="00AB22CB" w:rsidP="00AB22CB">
      <w:pPr>
        <w:numPr>
          <w:ilvl w:val="0"/>
          <w:numId w:val="13"/>
        </w:numPr>
        <w:spacing w:line="360" w:lineRule="auto"/>
        <w:ind w:left="0" w:firstLine="0"/>
        <w:jc w:val="both"/>
        <w:rPr>
          <w:rFonts w:ascii="Palatino Linotype" w:eastAsia="Palatino Linotype" w:hAnsi="Palatino Linotype" w:cs="Palatino Linotype"/>
          <w:color w:val="000000"/>
        </w:rPr>
      </w:pPr>
      <w:r w:rsidRPr="007B3082">
        <w:rPr>
          <w:rFonts w:ascii="Palatino Linotype" w:eastAsia="Palatino Linotype" w:hAnsi="Palatino Linotype" w:cs="Palatino Linotype"/>
          <w:color w:val="000000"/>
        </w:rPr>
        <w:lastRenderedPageBreak/>
        <w:t xml:space="preserve">La </w:t>
      </w:r>
      <w:r w:rsidRPr="007B3082">
        <w:rPr>
          <w:rFonts w:ascii="Palatino Linotype" w:eastAsia="Palatino Linotype" w:hAnsi="Palatino Linotype" w:cs="Palatino Linotype"/>
        </w:rPr>
        <w:t>integración del Informe Trimestral se entregará de manera física al Órgano Superior de Fiscalización del Estado de México, y estará compuesto de la siguiente manera:</w:t>
      </w:r>
    </w:p>
    <w:p w14:paraId="4996EC3F" w14:textId="77777777" w:rsidR="00AB22CB" w:rsidRPr="007B3082" w:rsidRDefault="00AB22CB" w:rsidP="00AB22CB">
      <w:pPr>
        <w:numPr>
          <w:ilvl w:val="1"/>
          <w:numId w:val="13"/>
        </w:numPr>
        <w:pBdr>
          <w:top w:val="nil"/>
          <w:left w:val="nil"/>
          <w:bottom w:val="nil"/>
          <w:right w:val="nil"/>
          <w:between w:val="nil"/>
        </w:pBdr>
        <w:tabs>
          <w:tab w:val="left" w:pos="426"/>
        </w:tabs>
        <w:spacing w:before="240" w:line="360" w:lineRule="auto"/>
        <w:ind w:left="1134" w:right="51" w:hanging="360"/>
        <w:jc w:val="both"/>
        <w:rPr>
          <w:rFonts w:ascii="Palatino Linotype" w:eastAsia="Palatino Linotype" w:hAnsi="Palatino Linotype" w:cs="Palatino Linotype"/>
          <w:i/>
          <w:color w:val="000000"/>
          <w:sz w:val="22"/>
          <w:szCs w:val="22"/>
        </w:rPr>
      </w:pPr>
      <w:r w:rsidRPr="007B3082">
        <w:rPr>
          <w:rFonts w:ascii="Palatino Linotype" w:eastAsia="Palatino Linotype" w:hAnsi="Palatino Linotype" w:cs="Palatino Linotype"/>
          <w:i/>
          <w:color w:val="000000"/>
          <w:sz w:val="22"/>
          <w:szCs w:val="22"/>
        </w:rPr>
        <w:t>Información impresa; e</w:t>
      </w:r>
    </w:p>
    <w:p w14:paraId="3DF1FFE8" w14:textId="77777777" w:rsidR="00AB22CB" w:rsidRPr="007B3082" w:rsidRDefault="00AB22CB" w:rsidP="00AB22CB">
      <w:pPr>
        <w:numPr>
          <w:ilvl w:val="1"/>
          <w:numId w:val="13"/>
        </w:numPr>
        <w:pBdr>
          <w:top w:val="nil"/>
          <w:left w:val="nil"/>
          <w:bottom w:val="nil"/>
          <w:right w:val="nil"/>
          <w:between w:val="nil"/>
        </w:pBdr>
        <w:tabs>
          <w:tab w:val="left" w:pos="426"/>
        </w:tabs>
        <w:spacing w:line="360" w:lineRule="auto"/>
        <w:ind w:left="1134" w:right="51" w:hanging="360"/>
        <w:jc w:val="both"/>
        <w:rPr>
          <w:rFonts w:ascii="Palatino Linotype" w:eastAsia="Palatino Linotype" w:hAnsi="Palatino Linotype" w:cs="Palatino Linotype"/>
          <w:i/>
          <w:color w:val="000000"/>
          <w:sz w:val="22"/>
          <w:szCs w:val="22"/>
        </w:rPr>
      </w:pPr>
      <w:r w:rsidRPr="007B3082">
        <w:rPr>
          <w:rFonts w:ascii="Palatino Linotype" w:eastAsia="Palatino Linotype" w:hAnsi="Palatino Linotype" w:cs="Palatino Linotype"/>
          <w:i/>
          <w:color w:val="000000"/>
          <w:sz w:val="22"/>
          <w:szCs w:val="22"/>
        </w:rPr>
        <w:t>Información en medio de almacenamiento electrónico.</w:t>
      </w:r>
    </w:p>
    <w:p w14:paraId="07F34B04" w14:textId="77777777" w:rsidR="00675846" w:rsidRPr="007B3082" w:rsidRDefault="00675846" w:rsidP="00675846">
      <w:pPr>
        <w:pBdr>
          <w:top w:val="nil"/>
          <w:left w:val="nil"/>
          <w:bottom w:val="nil"/>
          <w:right w:val="nil"/>
          <w:between w:val="nil"/>
        </w:pBdr>
        <w:tabs>
          <w:tab w:val="left" w:pos="426"/>
        </w:tabs>
        <w:spacing w:line="360" w:lineRule="auto"/>
        <w:ind w:left="1134" w:right="51"/>
        <w:jc w:val="both"/>
        <w:rPr>
          <w:rFonts w:ascii="Palatino Linotype" w:eastAsia="Palatino Linotype" w:hAnsi="Palatino Linotype" w:cs="Palatino Linotype"/>
          <w:i/>
          <w:color w:val="000000"/>
        </w:rPr>
      </w:pPr>
    </w:p>
    <w:p w14:paraId="1B9182DD" w14:textId="77777777" w:rsidR="00AB22CB" w:rsidRPr="007B3082" w:rsidRDefault="00AB22CB" w:rsidP="00AB22CB">
      <w:pPr>
        <w:numPr>
          <w:ilvl w:val="0"/>
          <w:numId w:val="13"/>
        </w:numPr>
        <w:spacing w:line="360" w:lineRule="auto"/>
        <w:ind w:left="0" w:firstLine="0"/>
        <w:jc w:val="both"/>
        <w:rPr>
          <w:rFonts w:ascii="Palatino Linotype" w:eastAsia="Palatino Linotype" w:hAnsi="Palatino Linotype" w:cs="Palatino Linotype"/>
          <w:color w:val="000000"/>
        </w:rPr>
      </w:pPr>
      <w:r w:rsidRPr="007B3082">
        <w:rPr>
          <w:rFonts w:ascii="Palatino Linotype" w:eastAsia="Palatino Linotype" w:hAnsi="Palatino Linotype" w:cs="Palatino Linotype"/>
          <w:color w:val="000000"/>
        </w:rPr>
        <w:t>Por cuanto hace a la información entregable en Medios de almacenamiento Electrónico, se compondrá en cuatro módulos que integrarán la siguiente semántica:</w:t>
      </w:r>
    </w:p>
    <w:p w14:paraId="38562AC8" w14:textId="77777777" w:rsidR="00AB22CB" w:rsidRPr="007B3082" w:rsidRDefault="00AB22CB" w:rsidP="00AB22CB">
      <w:pPr>
        <w:numPr>
          <w:ilvl w:val="1"/>
          <w:numId w:val="13"/>
        </w:numPr>
        <w:pBdr>
          <w:top w:val="nil"/>
          <w:left w:val="nil"/>
          <w:bottom w:val="nil"/>
          <w:right w:val="nil"/>
          <w:between w:val="nil"/>
        </w:pBdr>
        <w:tabs>
          <w:tab w:val="left" w:pos="426"/>
        </w:tabs>
        <w:spacing w:before="240" w:line="360" w:lineRule="auto"/>
        <w:ind w:left="1134" w:right="51" w:hanging="360"/>
        <w:jc w:val="both"/>
        <w:rPr>
          <w:rFonts w:ascii="Palatino Linotype" w:eastAsia="Palatino Linotype" w:hAnsi="Palatino Linotype" w:cs="Palatino Linotype"/>
          <w:i/>
          <w:color w:val="000000"/>
          <w:sz w:val="22"/>
          <w:szCs w:val="22"/>
        </w:rPr>
      </w:pPr>
      <w:r w:rsidRPr="007B3082">
        <w:rPr>
          <w:rFonts w:ascii="Palatino Linotype" w:eastAsia="Palatino Linotype" w:hAnsi="Palatino Linotype" w:cs="Palatino Linotype"/>
          <w:i/>
          <w:color w:val="000000"/>
          <w:sz w:val="22"/>
          <w:szCs w:val="22"/>
        </w:rPr>
        <w:t>Módulo 1: Información contable y financiera;</w:t>
      </w:r>
    </w:p>
    <w:p w14:paraId="5CB413F8" w14:textId="77777777" w:rsidR="00AB22CB" w:rsidRPr="007B3082" w:rsidRDefault="00AB22CB" w:rsidP="00AB22CB">
      <w:pPr>
        <w:numPr>
          <w:ilvl w:val="1"/>
          <w:numId w:val="13"/>
        </w:numPr>
        <w:pBdr>
          <w:top w:val="nil"/>
          <w:left w:val="nil"/>
          <w:bottom w:val="nil"/>
          <w:right w:val="nil"/>
          <w:between w:val="nil"/>
        </w:pBdr>
        <w:tabs>
          <w:tab w:val="left" w:pos="426"/>
        </w:tabs>
        <w:spacing w:line="360" w:lineRule="auto"/>
        <w:ind w:left="1134" w:right="51" w:hanging="360"/>
        <w:jc w:val="both"/>
        <w:rPr>
          <w:rFonts w:ascii="Palatino Linotype" w:eastAsia="Palatino Linotype" w:hAnsi="Palatino Linotype" w:cs="Palatino Linotype"/>
          <w:i/>
          <w:color w:val="000000"/>
          <w:sz w:val="22"/>
          <w:szCs w:val="22"/>
        </w:rPr>
      </w:pPr>
      <w:r w:rsidRPr="007B3082">
        <w:rPr>
          <w:rFonts w:ascii="Palatino Linotype" w:eastAsia="Palatino Linotype" w:hAnsi="Palatino Linotype" w:cs="Palatino Linotype"/>
          <w:i/>
          <w:color w:val="000000"/>
          <w:sz w:val="22"/>
          <w:szCs w:val="22"/>
        </w:rPr>
        <w:t>Módulo 2: Información presupuestaria;</w:t>
      </w:r>
    </w:p>
    <w:p w14:paraId="036EFEB8" w14:textId="77777777" w:rsidR="00AB22CB" w:rsidRPr="007B3082" w:rsidRDefault="00AB22CB" w:rsidP="00AB22CB">
      <w:pPr>
        <w:numPr>
          <w:ilvl w:val="1"/>
          <w:numId w:val="13"/>
        </w:numPr>
        <w:pBdr>
          <w:top w:val="nil"/>
          <w:left w:val="nil"/>
          <w:bottom w:val="nil"/>
          <w:right w:val="nil"/>
          <w:between w:val="nil"/>
        </w:pBdr>
        <w:tabs>
          <w:tab w:val="left" w:pos="426"/>
        </w:tabs>
        <w:spacing w:line="360" w:lineRule="auto"/>
        <w:ind w:left="1134" w:right="51" w:hanging="360"/>
        <w:jc w:val="both"/>
        <w:rPr>
          <w:rFonts w:ascii="Palatino Linotype" w:eastAsia="Palatino Linotype" w:hAnsi="Palatino Linotype" w:cs="Palatino Linotype"/>
          <w:i/>
          <w:color w:val="000000"/>
          <w:sz w:val="22"/>
          <w:szCs w:val="22"/>
        </w:rPr>
      </w:pPr>
      <w:r w:rsidRPr="007B3082">
        <w:rPr>
          <w:rFonts w:ascii="Palatino Linotype" w:eastAsia="Palatino Linotype" w:hAnsi="Palatino Linotype" w:cs="Palatino Linotype"/>
          <w:i/>
          <w:color w:val="000000"/>
          <w:sz w:val="22"/>
          <w:szCs w:val="22"/>
        </w:rPr>
        <w:t>Módulo 3: Información programática; y</w:t>
      </w:r>
    </w:p>
    <w:p w14:paraId="542E825A" w14:textId="77777777" w:rsidR="00AB22CB" w:rsidRPr="007B3082" w:rsidRDefault="00AB22CB" w:rsidP="00AB22CB">
      <w:pPr>
        <w:numPr>
          <w:ilvl w:val="1"/>
          <w:numId w:val="13"/>
        </w:numPr>
        <w:pBdr>
          <w:top w:val="nil"/>
          <w:left w:val="nil"/>
          <w:bottom w:val="nil"/>
          <w:right w:val="nil"/>
          <w:between w:val="nil"/>
        </w:pBdr>
        <w:tabs>
          <w:tab w:val="left" w:pos="426"/>
        </w:tabs>
        <w:spacing w:line="360" w:lineRule="auto"/>
        <w:ind w:left="1134" w:right="51" w:hanging="360"/>
        <w:jc w:val="both"/>
        <w:rPr>
          <w:rFonts w:ascii="Palatino Linotype" w:eastAsia="Palatino Linotype" w:hAnsi="Palatino Linotype" w:cs="Palatino Linotype"/>
          <w:i/>
          <w:color w:val="000000"/>
          <w:sz w:val="22"/>
          <w:szCs w:val="22"/>
        </w:rPr>
      </w:pPr>
      <w:r w:rsidRPr="007B3082">
        <w:rPr>
          <w:rFonts w:ascii="Palatino Linotype" w:eastAsia="Palatino Linotype" w:hAnsi="Palatino Linotype" w:cs="Palatino Linotype"/>
          <w:i/>
          <w:color w:val="000000"/>
          <w:sz w:val="22"/>
          <w:szCs w:val="22"/>
        </w:rPr>
        <w:t>Módulo 4: Información administrativa.</w:t>
      </w:r>
    </w:p>
    <w:p w14:paraId="174BA8AA" w14:textId="77777777" w:rsidR="00AB22CB" w:rsidRPr="00861B7A" w:rsidRDefault="00AB22CB" w:rsidP="00AB22CB">
      <w:pPr>
        <w:numPr>
          <w:ilvl w:val="0"/>
          <w:numId w:val="13"/>
        </w:numPr>
        <w:spacing w:line="360" w:lineRule="auto"/>
        <w:ind w:left="0" w:firstLine="0"/>
        <w:jc w:val="both"/>
        <w:rPr>
          <w:rFonts w:ascii="Palatino Linotype" w:eastAsia="Palatino Linotype" w:hAnsi="Palatino Linotype" w:cs="Palatino Linotype"/>
          <w:color w:val="000000"/>
        </w:rPr>
      </w:pPr>
      <w:r w:rsidRPr="00861B7A">
        <w:rPr>
          <w:rFonts w:ascii="Palatino Linotype" w:eastAsia="Palatino Linotype" w:hAnsi="Palatino Linotype" w:cs="Palatino Linotype"/>
          <w:color w:val="000000"/>
        </w:rPr>
        <w:t xml:space="preserve">Siendo de especial interés, para el presente asunto, el contenido del Módulo 4, sobre ‘Información Administrativa’; que de acuerdo con las </w:t>
      </w:r>
      <w:r w:rsidRPr="00861B7A">
        <w:rPr>
          <w:rFonts w:ascii="Palatino Linotype" w:eastAsia="Palatino Linotype" w:hAnsi="Palatino Linotype" w:cs="Palatino Linotype"/>
          <w:b/>
        </w:rPr>
        <w:t>“Políticas para la Integración del Informe Trimestral de los Sujetos de Fiscalización Municipales”</w:t>
      </w:r>
      <w:r w:rsidRPr="00861B7A">
        <w:rPr>
          <w:rFonts w:ascii="Palatino Linotype" w:eastAsia="Palatino Linotype" w:hAnsi="Palatino Linotype" w:cs="Palatino Linotype"/>
        </w:rPr>
        <w:t>, se compondrá de los siguientes documentos:</w:t>
      </w:r>
    </w:p>
    <w:p w14:paraId="4C923FCC" w14:textId="77777777" w:rsidR="00AB22CB" w:rsidRPr="00AE3D7B" w:rsidRDefault="00AB22CB" w:rsidP="00AB22CB">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highlight w:val="yellow"/>
        </w:rPr>
      </w:pPr>
      <w:r w:rsidRPr="00AE3D7B">
        <w:rPr>
          <w:rFonts w:ascii="Palatino Linotype" w:eastAsia="Calibri" w:hAnsi="Palatino Linotype"/>
          <w:color w:val="000000"/>
          <w:highlight w:val="yellow"/>
        </w:rPr>
        <w:object w:dxaOrig="6486" w:dyaOrig="5172" w14:anchorId="34917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pt;height:258.8pt;mso-width-percent:0;mso-height-percent:0;mso-width-percent:0;mso-height-percent:0" o:ole="" o:bordertopcolor="this" o:borderleftcolor="this" o:borderbottomcolor="this" o:borderrightcolor="this">
            <v:imagedata r:id="rId9" o:title=""/>
            <w10:bordertop type="single" width="8"/>
            <w10:borderleft type="single" width="8"/>
            <w10:borderbottom type="single" width="8"/>
            <w10:borderright type="single" width="8"/>
          </v:shape>
          <o:OLEObject Type="Embed" ProgID="PBrush" ShapeID="_x0000_i1025" DrawAspect="Content" ObjectID="_1793609966" r:id="rId10"/>
        </w:object>
      </w:r>
    </w:p>
    <w:p w14:paraId="21A65E3C" w14:textId="77777777" w:rsidR="00AB22CB" w:rsidRPr="00861B7A" w:rsidRDefault="00AB22CB" w:rsidP="00AB22CB">
      <w:pPr>
        <w:numPr>
          <w:ilvl w:val="0"/>
          <w:numId w:val="13"/>
        </w:numPr>
        <w:spacing w:line="360" w:lineRule="auto"/>
        <w:ind w:left="0" w:firstLine="0"/>
        <w:jc w:val="both"/>
        <w:rPr>
          <w:rFonts w:ascii="Palatino Linotype" w:eastAsia="Palatino Linotype" w:hAnsi="Palatino Linotype" w:cs="Palatino Linotype"/>
          <w:color w:val="000000"/>
        </w:rPr>
      </w:pPr>
      <w:r w:rsidRPr="00861B7A">
        <w:rPr>
          <w:rFonts w:ascii="Palatino Linotype" w:eastAsia="Palatino Linotype" w:hAnsi="Palatino Linotype" w:cs="Palatino Linotype"/>
          <w:color w:val="000000"/>
        </w:rPr>
        <w:t xml:space="preserve">En lo que corresponde al Submódulo de </w:t>
      </w:r>
      <w:r w:rsidRPr="00861B7A">
        <w:rPr>
          <w:rFonts w:ascii="Palatino Linotype" w:eastAsia="Palatino Linotype" w:hAnsi="Palatino Linotype" w:cs="Palatino Linotype"/>
          <w:b/>
          <w:color w:val="000000"/>
        </w:rPr>
        <w:t>‘Nómina y Comprobantes Fiscales’,</w:t>
      </w:r>
      <w:r w:rsidRPr="00861B7A">
        <w:rPr>
          <w:rFonts w:ascii="Palatino Linotype" w:eastAsia="Palatino Linotype" w:hAnsi="Palatino Linotype" w:cs="Palatino Linotype"/>
          <w:color w:val="000000"/>
        </w:rPr>
        <w:t xml:space="preserve"> se advierte que el </w:t>
      </w:r>
      <w:r w:rsidRPr="00861B7A">
        <w:rPr>
          <w:rFonts w:ascii="Palatino Linotype" w:eastAsia="Palatino Linotype" w:hAnsi="Palatino Linotype" w:cs="Palatino Linotype"/>
          <w:b/>
          <w:color w:val="000000"/>
        </w:rPr>
        <w:t>SUJETO OBLIGADO,</w:t>
      </w:r>
      <w:r w:rsidRPr="00861B7A">
        <w:rPr>
          <w:rFonts w:ascii="Palatino Linotype" w:eastAsia="Palatino Linotype" w:hAnsi="Palatino Linotype" w:cs="Palatino Linotype"/>
          <w:color w:val="000000"/>
        </w:rPr>
        <w:t xml:space="preserve"> deberá integrar, en formato </w:t>
      </w:r>
      <w:r w:rsidRPr="00861B7A">
        <w:rPr>
          <w:rFonts w:ascii="Palatino Linotype" w:eastAsia="Palatino Linotype" w:hAnsi="Palatino Linotype" w:cs="Palatino Linotype"/>
          <w:i/>
          <w:color w:val="000000"/>
        </w:rPr>
        <w:t>.</w:t>
      </w:r>
      <w:proofErr w:type="spellStart"/>
      <w:r w:rsidRPr="00861B7A">
        <w:rPr>
          <w:rFonts w:ascii="Palatino Linotype" w:eastAsia="Palatino Linotype" w:hAnsi="Palatino Linotype" w:cs="Palatino Linotype"/>
          <w:i/>
          <w:color w:val="000000"/>
        </w:rPr>
        <w:t>pdf</w:t>
      </w:r>
      <w:proofErr w:type="spellEnd"/>
      <w:r w:rsidRPr="00861B7A">
        <w:rPr>
          <w:rFonts w:ascii="Palatino Linotype" w:eastAsia="Palatino Linotype" w:hAnsi="Palatino Linotype" w:cs="Palatino Linotype"/>
          <w:color w:val="000000"/>
        </w:rPr>
        <w:t xml:space="preserve">, y de forma quincenal, el documento titulado </w:t>
      </w:r>
      <w:r w:rsidRPr="00861B7A">
        <w:rPr>
          <w:rFonts w:ascii="Palatino Linotype" w:eastAsia="Palatino Linotype" w:hAnsi="Palatino Linotype" w:cs="Palatino Linotype"/>
          <w:b/>
          <w:color w:val="000000"/>
        </w:rPr>
        <w:t>de Nómina Mensual</w:t>
      </w:r>
      <w:r w:rsidRPr="00861B7A">
        <w:rPr>
          <w:rFonts w:ascii="Palatino Linotype" w:eastAsia="Palatino Linotype" w:hAnsi="Palatino Linotype" w:cs="Palatino Linotype"/>
          <w:color w:val="000000"/>
        </w:rPr>
        <w:t>; tal como lo establece el mapa de integración del Submódulo en comento:</w:t>
      </w:r>
    </w:p>
    <w:p w14:paraId="0679F792" w14:textId="77777777" w:rsidR="00AB22CB" w:rsidRPr="00AE3D7B" w:rsidRDefault="00AB22CB" w:rsidP="00AB22CB">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highlight w:val="yellow"/>
        </w:rPr>
      </w:pPr>
    </w:p>
    <w:p w14:paraId="101B525E" w14:textId="77777777" w:rsidR="00AB22CB" w:rsidRPr="00AE3D7B" w:rsidRDefault="00AB22CB" w:rsidP="00AB22CB">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highlight w:val="yellow"/>
        </w:rPr>
      </w:pPr>
      <w:r w:rsidRPr="00AE3D7B">
        <w:rPr>
          <w:rFonts w:ascii="Palatino Linotype" w:eastAsia="Calibri" w:hAnsi="Palatino Linotype"/>
          <w:color w:val="000000"/>
          <w:highlight w:val="yellow"/>
        </w:rPr>
        <w:object w:dxaOrig="7649" w:dyaOrig="2212" w14:anchorId="4CC6B4FB">
          <v:shape id="_x0000_i1026" type="#_x0000_t75" alt="" style="width:382.4pt;height:110.7pt;mso-width-percent:0;mso-height-percent:0;mso-width-percent:0;mso-height-percent:0" o:ole="" o:bordertopcolor="this" o:borderleftcolor="this" o:borderbottomcolor="this" o:borderrightcolor="this">
            <v:imagedata r:id="rId11" o:title=""/>
            <w10:bordertop type="single" width="8"/>
            <w10:borderleft type="single" width="8"/>
            <w10:borderbottom type="single" width="8"/>
            <w10:borderright type="single" width="8"/>
          </v:shape>
          <o:OLEObject Type="Embed" ProgID="PBrush" ShapeID="_x0000_i1026" DrawAspect="Content" ObjectID="_1793609967" r:id="rId12"/>
        </w:object>
      </w:r>
      <w:r w:rsidRPr="00AE3D7B">
        <w:rPr>
          <w:rFonts w:ascii="Palatino Linotype" w:hAnsi="Palatino Linotype"/>
          <w:noProof/>
          <w:highlight w:val="yellow"/>
        </w:rPr>
        <mc:AlternateContent>
          <mc:Choice Requires="wps">
            <w:drawing>
              <wp:anchor distT="0" distB="0" distL="114300" distR="114300" simplePos="0" relativeHeight="251659264" behindDoc="0" locked="0" layoutInCell="1" hidden="0" allowOverlap="1" wp14:anchorId="7E19F086" wp14:editId="442D41BC">
                <wp:simplePos x="0" y="0"/>
                <wp:positionH relativeFrom="column">
                  <wp:posOffset>723900</wp:posOffset>
                </wp:positionH>
                <wp:positionV relativeFrom="paragraph">
                  <wp:posOffset>495300</wp:posOffset>
                </wp:positionV>
                <wp:extent cx="4451350" cy="215900"/>
                <wp:effectExtent l="0" t="0" r="0" b="0"/>
                <wp:wrapNone/>
                <wp:docPr id="56" name="Rectángulo 56"/>
                <wp:cNvGraphicFramePr/>
                <a:graphic xmlns:a="http://schemas.openxmlformats.org/drawingml/2006/main">
                  <a:graphicData uri="http://schemas.microsoft.com/office/word/2010/wordprocessingShape">
                    <wps:wsp>
                      <wps:cNvSpPr/>
                      <wps:spPr>
                        <a:xfrm>
                          <a:off x="3129850" y="3681575"/>
                          <a:ext cx="4432300" cy="196850"/>
                        </a:xfrm>
                        <a:prstGeom prst="rect">
                          <a:avLst/>
                        </a:prstGeom>
                        <a:noFill/>
                        <a:ln w="19050" cap="flat" cmpd="sng">
                          <a:solidFill>
                            <a:srgbClr val="FF0000"/>
                          </a:solidFill>
                          <a:prstDash val="solid"/>
                          <a:miter lim="800000"/>
                          <a:headEnd type="none" w="sm" len="sm"/>
                          <a:tailEnd type="none" w="sm" len="sm"/>
                        </a:ln>
                      </wps:spPr>
                      <wps:txbx>
                        <w:txbxContent>
                          <w:p w14:paraId="23DC4A32" w14:textId="77777777" w:rsidR="00AB22CB" w:rsidRDefault="00AB22CB" w:rsidP="00AB22CB">
                            <w:pPr>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7EACC0C8" id="Rectángulo 56" o:spid="_x0000_s1026" style="position:absolute;left:0;text-align:left;margin-left:57pt;margin-top:39pt;width:350.5pt;height: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" filled="f" strokecolor="red" strokeweight="1.5pt">
                <v:stroke startarrowwidth="narrow" startarrowlength="short" endarrowwidth="narrow" endarrowlength="short"/>
                <v:textbox inset="2.53958mm,2.53958mm,2.53958mm,2.53958mm">
                  <w:txbxContent>
                    <w:p w:rsidR="00AB22CB" w:rsidRDefault="00AB22CB" w:rsidP="00AB22CB">
                      <w:pPr>
                        <w:textDirection w:val="btLr"/>
                      </w:pPr>
                    </w:p>
                  </w:txbxContent>
                </v:textbox>
              </v:rect>
            </w:pict>
          </mc:Fallback>
        </mc:AlternateContent>
      </w:r>
    </w:p>
    <w:p w14:paraId="033387B7" w14:textId="77777777" w:rsidR="00AB22CB" w:rsidRPr="00AE3D7B" w:rsidRDefault="00AB22CB" w:rsidP="00861B7A">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highlight w:val="yellow"/>
        </w:rPr>
      </w:pPr>
    </w:p>
    <w:p w14:paraId="6AEA275B" w14:textId="77777777" w:rsidR="00AB22CB" w:rsidRPr="00541B9E" w:rsidRDefault="00AB22CB" w:rsidP="00AB22CB">
      <w:pPr>
        <w:numPr>
          <w:ilvl w:val="0"/>
          <w:numId w:val="13"/>
        </w:numPr>
        <w:spacing w:line="360" w:lineRule="auto"/>
        <w:ind w:left="0" w:right="49" w:firstLine="0"/>
        <w:jc w:val="both"/>
        <w:rPr>
          <w:rFonts w:ascii="Palatino Linotype" w:eastAsia="Palatino Linotype" w:hAnsi="Palatino Linotype" w:cs="Palatino Linotype"/>
          <w:color w:val="000000"/>
        </w:rPr>
      </w:pPr>
      <w:r w:rsidRPr="00541B9E">
        <w:rPr>
          <w:rFonts w:ascii="Palatino Linotype" w:eastAsia="Palatino Linotype" w:hAnsi="Palatino Linotype" w:cs="Palatino Linotype"/>
          <w:color w:val="000000"/>
        </w:rPr>
        <w:t xml:space="preserve">Al respecto, conviene referir que la Conciliación de Nómina Mensual es un documento en el que se detalla, entre otros, </w:t>
      </w:r>
      <w:r w:rsidRPr="00541B9E">
        <w:rPr>
          <w:rFonts w:ascii="Palatino Linotype" w:eastAsia="Palatino Linotype" w:hAnsi="Palatino Linotype" w:cs="Palatino Linotype"/>
          <w:b/>
          <w:color w:val="000000"/>
        </w:rPr>
        <w:t>el nombre, puesto funcional, área de adscripción, categoría, así como todas las percepciones y deducciones que recibe cada servidor público que labora en la entidad</w:t>
      </w:r>
      <w:r w:rsidRPr="00541B9E">
        <w:rPr>
          <w:rFonts w:ascii="Palatino Linotype" w:hAnsi="Palatino Linotype"/>
          <w:b/>
          <w:color w:val="000000"/>
          <w:vertAlign w:val="superscript"/>
        </w:rPr>
        <w:footnoteReference w:id="1"/>
      </w:r>
      <w:r w:rsidRPr="00541B9E">
        <w:rPr>
          <w:rFonts w:ascii="Palatino Linotype" w:eastAsia="Palatino Linotype" w:hAnsi="Palatino Linotype" w:cs="Palatino Linotype"/>
          <w:color w:val="000000"/>
        </w:rPr>
        <w:t xml:space="preserve">. </w:t>
      </w:r>
    </w:p>
    <w:p w14:paraId="33F4D0E3" w14:textId="77777777" w:rsidR="00AB22CB" w:rsidRPr="00541B9E" w:rsidRDefault="00AB22CB" w:rsidP="00AB22CB">
      <w:pPr>
        <w:spacing w:line="360" w:lineRule="auto"/>
        <w:ind w:right="49"/>
        <w:jc w:val="both"/>
        <w:rPr>
          <w:rFonts w:ascii="Palatino Linotype" w:eastAsia="Palatino Linotype" w:hAnsi="Palatino Linotype" w:cs="Palatino Linotype"/>
          <w:color w:val="000000"/>
        </w:rPr>
      </w:pPr>
    </w:p>
    <w:p w14:paraId="51FE6490" w14:textId="77777777" w:rsidR="00AB22CB" w:rsidRPr="00541B9E" w:rsidRDefault="00AB22CB" w:rsidP="00AB22CB">
      <w:pPr>
        <w:numPr>
          <w:ilvl w:val="0"/>
          <w:numId w:val="13"/>
        </w:numPr>
        <w:spacing w:line="360" w:lineRule="auto"/>
        <w:ind w:left="0" w:right="49" w:firstLine="0"/>
        <w:jc w:val="both"/>
        <w:rPr>
          <w:rFonts w:ascii="Palatino Linotype" w:eastAsia="Palatino Linotype" w:hAnsi="Palatino Linotype" w:cs="Palatino Linotype"/>
          <w:color w:val="000000"/>
        </w:rPr>
      </w:pPr>
      <w:r w:rsidRPr="00541B9E">
        <w:rPr>
          <w:rFonts w:ascii="Palatino Linotype" w:eastAsia="Palatino Linotype" w:hAnsi="Palatino Linotype" w:cs="Palatino Linotype"/>
        </w:rPr>
        <w:t xml:space="preserve">Aunado a </w:t>
      </w:r>
      <w:r w:rsidRPr="00541B9E">
        <w:rPr>
          <w:rFonts w:ascii="Palatino Linotype" w:eastAsia="Palatino Linotype" w:hAnsi="Palatino Linotype" w:cs="Palatino Linotype"/>
          <w:color w:val="000000"/>
        </w:rPr>
        <w:t>lo anterior, las Políticas para la Integración del Informe Trimestral de los Sujetos de Fiscalización Municipales, que elabora el Órgano Superior de Fiscalización del Estado de México, refieren que el formato en cuestión contemplará un total de 26 elementos, a saber:</w:t>
      </w:r>
    </w:p>
    <w:p w14:paraId="2764C8D2" w14:textId="77777777" w:rsidR="00AB22CB" w:rsidRPr="00AE3D7B" w:rsidRDefault="00AB22CB" w:rsidP="00AB22CB">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color w:val="000000"/>
          <w:highlight w:val="yellow"/>
        </w:rPr>
      </w:pPr>
    </w:p>
    <w:p w14:paraId="6078F854" w14:textId="77777777" w:rsidR="00AB22CB" w:rsidRPr="00AE3D7B" w:rsidRDefault="00AB22CB" w:rsidP="00AB22CB">
      <w:pPr>
        <w:pBdr>
          <w:top w:val="nil"/>
          <w:left w:val="nil"/>
          <w:bottom w:val="nil"/>
          <w:right w:val="nil"/>
          <w:between w:val="nil"/>
        </w:pBdr>
        <w:tabs>
          <w:tab w:val="left" w:pos="426"/>
        </w:tabs>
        <w:spacing w:line="360" w:lineRule="auto"/>
        <w:ind w:right="51"/>
        <w:jc w:val="center"/>
        <w:rPr>
          <w:rFonts w:ascii="Palatino Linotype" w:eastAsia="Calibri" w:hAnsi="Palatino Linotype"/>
          <w:color w:val="000000"/>
          <w:highlight w:val="yellow"/>
        </w:rPr>
      </w:pPr>
      <w:r w:rsidRPr="00AE3D7B">
        <w:rPr>
          <w:rFonts w:ascii="Palatino Linotype" w:eastAsia="Calibri" w:hAnsi="Palatino Linotype"/>
          <w:color w:val="000000"/>
          <w:highlight w:val="yellow"/>
        </w:rPr>
        <w:object w:dxaOrig="7638" w:dyaOrig="4320" w14:anchorId="173FA948">
          <v:shape id="_x0000_i1027" type="#_x0000_t75" alt="" style="width:381.75pt;height:3in;mso-width-percent:0;mso-height-percent:0;mso-width-percent:0;mso-height-percent:0"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Brush" ShapeID="_x0000_i1027" DrawAspect="Content" ObjectID="_1793609968" r:id="rId14"/>
        </w:object>
      </w:r>
      <w:r w:rsidRPr="00AE3D7B">
        <w:rPr>
          <w:rFonts w:ascii="Palatino Linotype" w:hAnsi="Palatino Linotype"/>
          <w:noProof/>
          <w:highlight w:val="yellow"/>
        </w:rPr>
        <mc:AlternateContent>
          <mc:Choice Requires="wps">
            <w:drawing>
              <wp:anchor distT="0" distB="0" distL="114300" distR="114300" simplePos="0" relativeHeight="251660288" behindDoc="0" locked="0" layoutInCell="1" hidden="0" allowOverlap="1" wp14:anchorId="004DFCC9" wp14:editId="4AE76563">
                <wp:simplePos x="0" y="0"/>
                <wp:positionH relativeFrom="column">
                  <wp:posOffset>3556000</wp:posOffset>
                </wp:positionH>
                <wp:positionV relativeFrom="paragraph">
                  <wp:posOffset>482600</wp:posOffset>
                </wp:positionV>
                <wp:extent cx="499550" cy="1401542"/>
                <wp:effectExtent l="0" t="0" r="0" b="0"/>
                <wp:wrapNone/>
                <wp:docPr id="50" name="Rectángulo 50"/>
                <wp:cNvGraphicFramePr/>
                <a:graphic xmlns:a="http://schemas.openxmlformats.org/drawingml/2006/main">
                  <a:graphicData uri="http://schemas.microsoft.com/office/word/2010/wordprocessingShape">
                    <wps:wsp>
                      <wps:cNvSpPr/>
                      <wps:spPr>
                        <a:xfrm>
                          <a:off x="5110513" y="3093517"/>
                          <a:ext cx="470975" cy="1372967"/>
                        </a:xfrm>
                        <a:prstGeom prst="rect">
                          <a:avLst/>
                        </a:prstGeom>
                        <a:noFill/>
                        <a:ln w="28575" cap="flat" cmpd="sng">
                          <a:solidFill>
                            <a:srgbClr val="FF0000"/>
                          </a:solidFill>
                          <a:prstDash val="solid"/>
                          <a:miter lim="800000"/>
                          <a:headEnd type="none" w="sm" len="sm"/>
                          <a:tailEnd type="none" w="sm" len="sm"/>
                        </a:ln>
                      </wps:spPr>
                      <wps:txbx>
                        <w:txbxContent>
                          <w:p w14:paraId="769D6F98" w14:textId="77777777" w:rsidR="00AB22CB" w:rsidRDefault="00AB22CB" w:rsidP="00AB22CB">
                            <w:pPr>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1816D79A" id="Rectángulo 50" o:spid="_x0000_s1027" style="position:absolute;left:0;text-align:left;margin-left:280pt;margin-top:38pt;width:39.35pt;height:110.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" filled="f" strokecolor="red" strokeweight="2.25pt">
                <v:stroke startarrowwidth="narrow" startarrowlength="short" endarrowwidth="narrow" endarrowlength="short"/>
                <v:textbox inset="2.53958mm,2.53958mm,2.53958mm,2.53958mm">
                  <w:txbxContent>
                    <w:p w:rsidR="00AB22CB" w:rsidRDefault="00AB22CB" w:rsidP="00AB22CB">
                      <w:pPr>
                        <w:textDirection w:val="btLr"/>
                      </w:pPr>
                    </w:p>
                  </w:txbxContent>
                </v:textbox>
              </v:rect>
            </w:pict>
          </mc:Fallback>
        </mc:AlternateContent>
      </w:r>
      <w:r w:rsidRPr="00AE3D7B">
        <w:rPr>
          <w:rFonts w:ascii="Palatino Linotype" w:hAnsi="Palatino Linotype"/>
          <w:noProof/>
          <w:highlight w:val="yellow"/>
        </w:rPr>
        <mc:AlternateContent>
          <mc:Choice Requires="wps">
            <w:drawing>
              <wp:anchor distT="0" distB="0" distL="114300" distR="114300" simplePos="0" relativeHeight="251661312" behindDoc="0" locked="0" layoutInCell="1" hidden="0" allowOverlap="1" wp14:anchorId="2A2973EA" wp14:editId="13509DEB">
                <wp:simplePos x="0" y="0"/>
                <wp:positionH relativeFrom="column">
                  <wp:posOffset>2603500</wp:posOffset>
                </wp:positionH>
                <wp:positionV relativeFrom="paragraph">
                  <wp:posOffset>457200</wp:posOffset>
                </wp:positionV>
                <wp:extent cx="379705" cy="1401542"/>
                <wp:effectExtent l="0" t="0" r="0" b="0"/>
                <wp:wrapNone/>
                <wp:docPr id="59" name="Rectángulo 59"/>
                <wp:cNvGraphicFramePr/>
                <a:graphic xmlns:a="http://schemas.openxmlformats.org/drawingml/2006/main">
                  <a:graphicData uri="http://schemas.microsoft.com/office/word/2010/wordprocessingShape">
                    <wps:wsp>
                      <wps:cNvSpPr/>
                      <wps:spPr>
                        <a:xfrm>
                          <a:off x="5170435" y="3093517"/>
                          <a:ext cx="351130" cy="1372967"/>
                        </a:xfrm>
                        <a:prstGeom prst="rect">
                          <a:avLst/>
                        </a:prstGeom>
                        <a:noFill/>
                        <a:ln w="28575" cap="flat" cmpd="sng">
                          <a:solidFill>
                            <a:srgbClr val="FF0000"/>
                          </a:solidFill>
                          <a:prstDash val="solid"/>
                          <a:miter lim="800000"/>
                          <a:headEnd type="none" w="sm" len="sm"/>
                          <a:tailEnd type="none" w="sm" len="sm"/>
                        </a:ln>
                      </wps:spPr>
                      <wps:txbx>
                        <w:txbxContent>
                          <w:p w14:paraId="71F3AD0C" w14:textId="77777777" w:rsidR="00AB22CB" w:rsidRDefault="00AB22CB" w:rsidP="00AB22CB">
                            <w:pPr>
                              <w:textDirection w:val="btLr"/>
                            </w:pPr>
                          </w:p>
                        </w:txbxContent>
                      </wps:txbx>
                      <wps:bodyPr spcFirstLastPara="1" wrap="square" lIns="91425" tIns="91425" rIns="91425" bIns="91425" anchor="ctr" anchorCtr="0">
                        <a:noAutofit/>
                      </wps:bodyPr>
                    </wps:wsp>
                  </a:graphicData>
                </a:graphic>
              </wp:anchor>
            </w:drawing>
          </mc:Choice>
          <mc:Fallback xmlns:w16du="http://schemas.microsoft.com/office/word/2023/wordml/word16du">
            <w:pict>
              <v:rect w14:anchorId="79389968" id="Rectángulo 59" o:spid="_x0000_s1028" style="position:absolute;left:0;text-align:left;margin-left:205pt;margin-top:36pt;width:29.9pt;height:11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" filled="f" strokecolor="red" strokeweight="2.25pt">
                <v:stroke startarrowwidth="narrow" startarrowlength="short" endarrowwidth="narrow" endarrowlength="short"/>
                <v:textbox inset="2.53958mm,2.53958mm,2.53958mm,2.53958mm">
                  <w:txbxContent>
                    <w:p w:rsidR="00AB22CB" w:rsidRDefault="00AB22CB" w:rsidP="00AB22CB">
                      <w:pPr>
                        <w:textDirection w:val="btLr"/>
                      </w:pPr>
                    </w:p>
                  </w:txbxContent>
                </v:textbox>
              </v:rect>
            </w:pict>
          </mc:Fallback>
        </mc:AlternateContent>
      </w:r>
    </w:p>
    <w:p w14:paraId="1BDB98C4" w14:textId="77777777" w:rsidR="00AB22CB" w:rsidRPr="00AE3D7B" w:rsidRDefault="00AB22CB" w:rsidP="00AB22CB">
      <w:pPr>
        <w:pBdr>
          <w:top w:val="nil"/>
          <w:left w:val="nil"/>
          <w:bottom w:val="nil"/>
          <w:right w:val="nil"/>
          <w:between w:val="nil"/>
        </w:pBdr>
        <w:tabs>
          <w:tab w:val="left" w:pos="426"/>
        </w:tabs>
        <w:spacing w:line="360" w:lineRule="auto"/>
        <w:ind w:right="51"/>
        <w:jc w:val="center"/>
        <w:rPr>
          <w:rFonts w:ascii="Palatino Linotype" w:eastAsia="Calibri" w:hAnsi="Palatino Linotype"/>
          <w:color w:val="000000"/>
          <w:highlight w:val="yellow"/>
        </w:rPr>
      </w:pPr>
      <w:r w:rsidRPr="00AE3D7B">
        <w:rPr>
          <w:rFonts w:ascii="Palatino Linotype" w:eastAsia="Calibri" w:hAnsi="Palatino Linotype"/>
          <w:color w:val="000000"/>
          <w:highlight w:val="yellow"/>
        </w:rPr>
        <w:object w:dxaOrig="7672" w:dyaOrig="4504" w14:anchorId="16C705E8">
          <v:shape id="_x0000_i1028" type="#_x0000_t75" alt="" style="width:383.75pt;height:225.5pt;mso-width-percent:0;mso-height-percent:0;mso-width-percent:0;mso-height-percent:0"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Brush" ShapeID="_x0000_i1028" DrawAspect="Content" ObjectID="_1793609969" r:id="rId16"/>
        </w:object>
      </w:r>
    </w:p>
    <w:p w14:paraId="52806068" w14:textId="77777777" w:rsidR="00AB22CB" w:rsidRPr="00AE3D7B" w:rsidRDefault="00AB22CB" w:rsidP="00217A01">
      <w:pPr>
        <w:pBdr>
          <w:top w:val="nil"/>
          <w:left w:val="nil"/>
          <w:bottom w:val="nil"/>
          <w:right w:val="nil"/>
          <w:between w:val="nil"/>
        </w:pBdr>
        <w:tabs>
          <w:tab w:val="left" w:pos="426"/>
        </w:tabs>
        <w:spacing w:line="360" w:lineRule="auto"/>
        <w:ind w:right="51"/>
        <w:jc w:val="center"/>
        <w:rPr>
          <w:rFonts w:ascii="Palatino Linotype" w:eastAsia="Palatino Linotype" w:hAnsi="Palatino Linotype" w:cs="Palatino Linotype"/>
          <w:color w:val="000000"/>
          <w:highlight w:val="yellow"/>
        </w:rPr>
      </w:pPr>
      <w:r w:rsidRPr="00AE3D7B">
        <w:rPr>
          <w:rFonts w:ascii="Palatino Linotype" w:eastAsia="Calibri" w:hAnsi="Palatino Linotype"/>
          <w:color w:val="000000"/>
          <w:highlight w:val="yellow"/>
        </w:rPr>
        <w:object w:dxaOrig="7684" w:dyaOrig="2396" w14:anchorId="6C3A5E55">
          <v:shape id="_x0000_i1029" type="#_x0000_t75" alt="" style="width:384.45pt;height:120.25pt;mso-width-percent:0;mso-height-percent:0;mso-width-percent:0;mso-height-percent:0" o:ole="" o:bordertopcolor="this" o:borderleftcolor="this" o:borderbottomcolor="this" o:borderrightcolor="this">
            <v:imagedata r:id="rId17" o:title=""/>
            <w10:bordertop type="single" width="8"/>
            <w10:borderleft type="single" width="8"/>
            <w10:borderbottom type="single" width="8"/>
            <w10:borderright type="single" width="8"/>
          </v:shape>
          <o:OLEObject Type="Embed" ProgID="PBrush" ShapeID="_x0000_i1029" DrawAspect="Content" ObjectID="_1793609970" r:id="rId18"/>
        </w:object>
      </w:r>
    </w:p>
    <w:p w14:paraId="21FF6161" w14:textId="77777777" w:rsidR="00AB22CB" w:rsidRPr="00AE3D7B" w:rsidRDefault="00AB22CB" w:rsidP="00217A01">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color w:val="000000"/>
          <w:highlight w:val="yellow"/>
        </w:rPr>
      </w:pPr>
    </w:p>
    <w:p w14:paraId="5D4799C8" w14:textId="77777777" w:rsidR="00AB22CB" w:rsidRPr="00541B9E" w:rsidRDefault="00AB22CB" w:rsidP="00AB22CB">
      <w:pPr>
        <w:numPr>
          <w:ilvl w:val="0"/>
          <w:numId w:val="13"/>
        </w:numPr>
        <w:spacing w:line="360" w:lineRule="auto"/>
        <w:ind w:left="0" w:right="49" w:firstLine="0"/>
        <w:jc w:val="both"/>
        <w:rPr>
          <w:rFonts w:ascii="Palatino Linotype" w:eastAsia="Palatino Linotype" w:hAnsi="Palatino Linotype" w:cs="Palatino Linotype"/>
          <w:color w:val="000000"/>
        </w:rPr>
      </w:pPr>
      <w:r w:rsidRPr="00541B9E">
        <w:rPr>
          <w:rFonts w:ascii="Palatino Linotype" w:eastAsia="Palatino Linotype" w:hAnsi="Palatino Linotype" w:cs="Palatino Linotype"/>
          <w:color w:val="000000"/>
        </w:rPr>
        <w:t xml:space="preserve">De las imágenes anteriores, podemos identificar a la </w:t>
      </w:r>
      <w:r w:rsidRPr="00541B9E">
        <w:rPr>
          <w:rFonts w:ascii="Palatino Linotype" w:eastAsia="Palatino Linotype" w:hAnsi="Palatino Linotype" w:cs="Palatino Linotype"/>
          <w:b/>
          <w:color w:val="000000"/>
        </w:rPr>
        <w:t>Conciliación de Nómina Mensual</w:t>
      </w:r>
      <w:r w:rsidRPr="00541B9E">
        <w:rPr>
          <w:rFonts w:ascii="Palatino Linotype" w:eastAsia="Palatino Linotype" w:hAnsi="Palatino Linotype" w:cs="Palatino Linotype"/>
          <w:color w:val="000000"/>
        </w:rPr>
        <w:t xml:space="preserve"> como el documento </w:t>
      </w:r>
      <w:r w:rsidRPr="00541B9E">
        <w:rPr>
          <w:rFonts w:ascii="Palatino Linotype" w:eastAsia="Palatino Linotype" w:hAnsi="Palatino Linotype" w:cs="Palatino Linotype"/>
          <w:b/>
          <w:color w:val="000000"/>
        </w:rPr>
        <w:t>idóneo</w:t>
      </w:r>
      <w:r w:rsidRPr="00541B9E">
        <w:rPr>
          <w:rFonts w:ascii="Palatino Linotype" w:eastAsia="Palatino Linotype" w:hAnsi="Palatino Linotype" w:cs="Palatino Linotype"/>
          <w:color w:val="000000"/>
        </w:rPr>
        <w:t xml:space="preserve"> que puede satisfacer los requerimientos del particular, pues como se ha analizado en párrafos previos, </w:t>
      </w:r>
      <w:r w:rsidRPr="00541B9E">
        <w:rPr>
          <w:rFonts w:ascii="Palatino Linotype" w:eastAsia="Palatino Linotype" w:hAnsi="Palatino Linotype" w:cs="Palatino Linotype"/>
          <w:b/>
          <w:color w:val="000000"/>
        </w:rPr>
        <w:t xml:space="preserve">la Conciliación de Nómina </w:t>
      </w:r>
      <w:r w:rsidRPr="00541B9E">
        <w:rPr>
          <w:rFonts w:ascii="Palatino Linotype" w:eastAsia="Palatino Linotype" w:hAnsi="Palatino Linotype" w:cs="Palatino Linotype"/>
          <w:b/>
          <w:color w:val="000000"/>
        </w:rPr>
        <w:lastRenderedPageBreak/>
        <w:t>de los servidores públicos consiste en el conjunto de percepciones y deducciones que se generan con motivo de la relación laboral</w:t>
      </w:r>
      <w:r w:rsidRPr="00541B9E">
        <w:rPr>
          <w:rFonts w:ascii="Palatino Linotype" w:eastAsia="Palatino Linotype" w:hAnsi="Palatino Linotype" w:cs="Palatino Linotype"/>
          <w:color w:val="000000"/>
        </w:rPr>
        <w:t xml:space="preserve">, asimismo </w:t>
      </w:r>
      <w:r w:rsidRPr="00541B9E">
        <w:rPr>
          <w:rFonts w:ascii="Palatino Linotype" w:eastAsia="Palatino Linotype" w:hAnsi="Palatino Linotype" w:cs="Palatino Linotype"/>
          <w:b/>
          <w:color w:val="000000"/>
        </w:rPr>
        <w:t xml:space="preserve">contiene la </w:t>
      </w:r>
      <w:r w:rsidRPr="00541B9E">
        <w:rPr>
          <w:rFonts w:ascii="Palatino Linotype" w:eastAsia="Palatino Linotype" w:hAnsi="Palatino Linotype" w:cs="Palatino Linotype"/>
          <w:color w:val="000000"/>
        </w:rPr>
        <w:t>fecha de alta y fecha de baja de los servidores públicos;</w:t>
      </w:r>
      <w:r w:rsidRPr="00541B9E">
        <w:rPr>
          <w:rFonts w:ascii="Palatino Linotype" w:eastAsia="Palatino Linotype" w:hAnsi="Palatino Linotype" w:cs="Palatino Linotype"/>
          <w:b/>
          <w:color w:val="000000"/>
        </w:rPr>
        <w:t xml:space="preserve"> su nombre; puesto; área de adscripción </w:t>
      </w:r>
      <w:r w:rsidRPr="00541B9E">
        <w:rPr>
          <w:rFonts w:ascii="Palatino Linotype" w:eastAsia="Palatino Linotype" w:hAnsi="Palatino Linotype" w:cs="Palatino Linotype"/>
          <w:color w:val="000000"/>
        </w:rPr>
        <w:t>y</w:t>
      </w:r>
      <w:r w:rsidRPr="00541B9E">
        <w:rPr>
          <w:rFonts w:ascii="Palatino Linotype" w:eastAsia="Palatino Linotype" w:hAnsi="Palatino Linotype" w:cs="Palatino Linotype"/>
          <w:b/>
          <w:color w:val="000000"/>
        </w:rPr>
        <w:t xml:space="preserve"> categoría.</w:t>
      </w:r>
    </w:p>
    <w:p w14:paraId="1EE37BCE" w14:textId="77777777" w:rsidR="00AB22CB" w:rsidRPr="00541B9E" w:rsidRDefault="00AB22CB" w:rsidP="00AB22CB">
      <w:pPr>
        <w:spacing w:line="360" w:lineRule="auto"/>
        <w:ind w:right="49"/>
        <w:jc w:val="both"/>
        <w:rPr>
          <w:rFonts w:ascii="Palatino Linotype" w:eastAsia="Palatino Linotype" w:hAnsi="Palatino Linotype" w:cs="Palatino Linotype"/>
          <w:color w:val="000000"/>
        </w:rPr>
      </w:pPr>
    </w:p>
    <w:p w14:paraId="181141C4" w14:textId="77777777" w:rsidR="00AB22CB" w:rsidRPr="00AE3D7B" w:rsidRDefault="00AB22CB" w:rsidP="00AB22CB">
      <w:pPr>
        <w:numPr>
          <w:ilvl w:val="0"/>
          <w:numId w:val="13"/>
        </w:numPr>
        <w:spacing w:line="360" w:lineRule="auto"/>
        <w:ind w:left="0" w:right="49" w:firstLine="0"/>
        <w:jc w:val="both"/>
        <w:rPr>
          <w:rFonts w:ascii="Palatino Linotype" w:eastAsia="Palatino Linotype" w:hAnsi="Palatino Linotype" w:cs="Palatino Linotype"/>
          <w:color w:val="000000"/>
        </w:rPr>
      </w:pPr>
      <w:r w:rsidRPr="00541B9E">
        <w:rPr>
          <w:rFonts w:ascii="Palatino Linotype" w:eastAsia="Palatino Linotype" w:hAnsi="Palatino Linotype" w:cs="Palatino Linotype"/>
          <w:color w:val="000000"/>
        </w:rPr>
        <w:t xml:space="preserve">Por lo anterior se reconoce que en cuanto al numeral número uno de la solicitud de información el </w:t>
      </w:r>
      <w:r w:rsidRPr="00541B9E">
        <w:rPr>
          <w:rFonts w:ascii="Palatino Linotype" w:eastAsia="Palatino Linotype" w:hAnsi="Palatino Linotype" w:cs="Palatino Linotype"/>
          <w:b/>
          <w:color w:val="000000"/>
        </w:rPr>
        <w:t>SUJETO OBLIGADO,</w:t>
      </w:r>
      <w:r w:rsidRPr="00541B9E">
        <w:rPr>
          <w:rFonts w:ascii="Palatino Linotype" w:eastAsia="Palatino Linotype" w:hAnsi="Palatino Linotype" w:cs="Palatino Linotype"/>
          <w:color w:val="000000"/>
        </w:rPr>
        <w:t xml:space="preserve"> cuenta con la obligación de generar los documentos en donde conste la información requerida por el particular al grado de detalle que fue solicitado, siendo el documento idóneo, de manera enunciativa más no limitativa, la </w:t>
      </w:r>
      <w:r w:rsidRPr="00541B9E">
        <w:rPr>
          <w:rFonts w:ascii="Palatino Linotype" w:eastAsia="Palatino Linotype" w:hAnsi="Palatino Linotype" w:cs="Palatino Linotype"/>
          <w:b/>
          <w:color w:val="000000"/>
        </w:rPr>
        <w:t>Conciliación de Nómina</w:t>
      </w:r>
      <w:r w:rsidRPr="00541B9E">
        <w:rPr>
          <w:rFonts w:ascii="Palatino Linotype" w:eastAsia="Palatino Linotype" w:hAnsi="Palatino Linotype" w:cs="Palatino Linotype"/>
          <w:color w:val="000000"/>
        </w:rPr>
        <w:t xml:space="preserve"> generada por la primera </w:t>
      </w:r>
      <w:r w:rsidR="00C07911" w:rsidRPr="00541B9E">
        <w:rPr>
          <w:rFonts w:ascii="Palatino Linotype" w:eastAsia="Palatino Linotype" w:hAnsi="Palatino Linotype" w:cs="Palatino Linotype"/>
          <w:color w:val="000000"/>
        </w:rPr>
        <w:t>y segunda quincena de jul</w:t>
      </w:r>
      <w:r w:rsidRPr="00541B9E">
        <w:rPr>
          <w:rFonts w:ascii="Palatino Linotype" w:eastAsia="Palatino Linotype" w:hAnsi="Palatino Linotype" w:cs="Palatino Linotype"/>
          <w:color w:val="000000"/>
        </w:rPr>
        <w:t>io de dos mil veinti</w:t>
      </w:r>
      <w:r w:rsidR="00C07911" w:rsidRPr="00541B9E">
        <w:rPr>
          <w:rFonts w:ascii="Palatino Linotype" w:eastAsia="Palatino Linotype" w:hAnsi="Palatino Linotype" w:cs="Palatino Linotype"/>
          <w:color w:val="000000"/>
        </w:rPr>
        <w:t>cuatro</w:t>
      </w:r>
      <w:r w:rsidRPr="00541B9E">
        <w:rPr>
          <w:rFonts w:ascii="Palatino Linotype" w:eastAsia="Palatino Linotype" w:hAnsi="Palatino Linotype" w:cs="Palatino Linotype"/>
          <w:color w:val="000000"/>
        </w:rPr>
        <w:t>.</w:t>
      </w:r>
      <w:r w:rsidRPr="00AE3D7B">
        <w:rPr>
          <w:rFonts w:ascii="Palatino Linotype" w:eastAsia="Palatino Linotype" w:hAnsi="Palatino Linotype" w:cs="Palatino Linotype"/>
          <w:color w:val="000000"/>
        </w:rPr>
        <w:t xml:space="preserve"> </w:t>
      </w:r>
      <w:r w:rsidRPr="00AE3D7B">
        <w:rPr>
          <w:rFonts w:ascii="Palatino Linotype" w:eastAsia="Palatino Linotype" w:hAnsi="Palatino Linotype" w:cs="Palatino Linotype"/>
          <w:color w:val="000000"/>
        </w:rPr>
        <w:tab/>
      </w:r>
      <w:r w:rsidRPr="00AE3D7B">
        <w:rPr>
          <w:rFonts w:ascii="Palatino Linotype" w:eastAsia="Palatino Linotype" w:hAnsi="Palatino Linotype" w:cs="Palatino Linotype"/>
          <w:color w:val="000000"/>
        </w:rPr>
        <w:tab/>
      </w:r>
    </w:p>
    <w:p w14:paraId="6914AAF5"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Razones por las cuales lo procedente es ordenar la conciliación de nómina del Sujeto Obligado.</w:t>
      </w:r>
    </w:p>
    <w:p w14:paraId="7243E360"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Ahora bien, es de recordar que el recurrente, requirió la información de todos los servidores públicos que laboraban para el Ayuntamiento, del uno al treinta y uno de julio de dos mil veinticuatro, es decir, su pretensión es obtener la información de la presente administración, lo cual se traduce la nómina pagada en la primera y segunda quincena de julio de la presente anualidad.</w:t>
      </w:r>
    </w:p>
    <w:p w14:paraId="3176DD3A" w14:textId="77777777" w:rsidR="001403D4" w:rsidRPr="00AE3D7B" w:rsidRDefault="001403D4">
      <w:pPr>
        <w:spacing w:line="360" w:lineRule="auto"/>
        <w:jc w:val="both"/>
        <w:rPr>
          <w:rFonts w:ascii="Palatino Linotype" w:eastAsia="Palatino Linotype" w:hAnsi="Palatino Linotype" w:cs="Palatino Linotype"/>
          <w:color w:val="000000"/>
        </w:rPr>
      </w:pPr>
    </w:p>
    <w:p w14:paraId="3811BD95"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color w:val="FF0000"/>
        </w:rPr>
      </w:pPr>
      <w:r w:rsidRPr="00AE3D7B">
        <w:rPr>
          <w:rFonts w:ascii="Palatino Linotype" w:eastAsia="Palatino Linotype" w:hAnsi="Palatino Linotype" w:cs="Palatino Linotype"/>
          <w:color w:val="000000"/>
        </w:rPr>
        <w:t>Ahora, de las constancias que obran en el expediente en el que se actúa, se logra advertir que el Ente Recurrido turno la solicitud de información a la Tesorera Municipal</w:t>
      </w:r>
      <w:r w:rsidRPr="00AE3D7B">
        <w:rPr>
          <w:rFonts w:ascii="Palatino Linotype" w:eastAsia="Palatino Linotype" w:hAnsi="Palatino Linotype" w:cs="Palatino Linotype"/>
          <w:b/>
          <w:color w:val="000000"/>
        </w:rPr>
        <w:t xml:space="preserve">, </w:t>
      </w:r>
      <w:r w:rsidRPr="00AE3D7B">
        <w:rPr>
          <w:rFonts w:ascii="Palatino Linotype" w:eastAsia="Palatino Linotype" w:hAnsi="Palatino Linotype" w:cs="Palatino Linotype"/>
          <w:color w:val="000000"/>
        </w:rPr>
        <w:t xml:space="preserve">razón por la cual es necesario hacer referencia al procedimiento de búsqueda que debió seguir el Sujeto Obligado para localizar la información, el cual se encuentra previsto en </w:t>
      </w:r>
      <w:r w:rsidRPr="00AE3D7B">
        <w:rPr>
          <w:rFonts w:ascii="Palatino Linotype" w:eastAsia="Palatino Linotype" w:hAnsi="Palatino Linotype" w:cs="Palatino Linotype"/>
          <w:color w:val="000000"/>
        </w:rPr>
        <w:lastRenderedPageBreak/>
        <w:t>los artículos 160 y 162 de la Ley de Transparencia y Acceso a la Información Pública del Estado de México y Municipios.</w:t>
      </w:r>
    </w:p>
    <w:p w14:paraId="1BA2C9DC" w14:textId="77777777" w:rsidR="001403D4" w:rsidRPr="00AE3D7B" w:rsidRDefault="001403D4">
      <w:pPr>
        <w:spacing w:line="360" w:lineRule="auto"/>
        <w:jc w:val="both"/>
        <w:rPr>
          <w:rFonts w:ascii="Palatino Linotype" w:eastAsia="Palatino Linotype" w:hAnsi="Palatino Linotype" w:cs="Palatino Linotype"/>
          <w:color w:val="FF0000"/>
        </w:rPr>
      </w:pPr>
    </w:p>
    <w:p w14:paraId="4F26B066" w14:textId="77777777" w:rsidR="001403D4" w:rsidRPr="00AE3D7B" w:rsidRDefault="005F2E4A">
      <w:pPr>
        <w:numPr>
          <w:ilvl w:val="0"/>
          <w:numId w:val="13"/>
        </w:numPr>
        <w:pBdr>
          <w:top w:val="nil"/>
          <w:left w:val="nil"/>
          <w:bottom w:val="nil"/>
          <w:right w:val="nil"/>
          <w:between w:val="nil"/>
        </w:pBdr>
        <w:tabs>
          <w:tab w:val="left" w:pos="0"/>
          <w:tab w:val="left" w:pos="426"/>
          <w:tab w:val="left" w:pos="567"/>
        </w:tabs>
        <w:spacing w:line="360" w:lineRule="auto"/>
        <w:ind w:left="0" w:right="49"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En otro orden de ideas y en seguimiento a lo solicitado por EL RECURRENTE, para el caso concreto, se debe considerar lo establecido por el Bando Municipal de Nextlalpan para el año 2024, del cual en lo que interesa, se desprende:</w:t>
      </w:r>
    </w:p>
    <w:p w14:paraId="1A4A0ABB" w14:textId="77777777" w:rsidR="001403D4" w:rsidRPr="00AE3D7B" w:rsidRDefault="001403D4">
      <w:pPr>
        <w:pBdr>
          <w:top w:val="nil"/>
          <w:left w:val="nil"/>
          <w:bottom w:val="nil"/>
          <w:right w:val="nil"/>
          <w:between w:val="nil"/>
        </w:pBdr>
        <w:tabs>
          <w:tab w:val="left" w:pos="426"/>
          <w:tab w:val="left" w:pos="567"/>
        </w:tabs>
        <w:ind w:left="567" w:right="822"/>
        <w:jc w:val="center"/>
        <w:rPr>
          <w:rFonts w:ascii="Palatino Linotype" w:eastAsia="Palatino Linotype" w:hAnsi="Palatino Linotype" w:cs="Palatino Linotype"/>
          <w:b/>
          <w:i/>
        </w:rPr>
      </w:pPr>
    </w:p>
    <w:p w14:paraId="258A5AF6" w14:textId="77777777" w:rsidR="001403D4" w:rsidRPr="002905E6" w:rsidRDefault="005F2E4A">
      <w:pPr>
        <w:pBdr>
          <w:top w:val="nil"/>
          <w:left w:val="nil"/>
          <w:bottom w:val="nil"/>
          <w:right w:val="nil"/>
          <w:between w:val="nil"/>
        </w:pBdr>
        <w:tabs>
          <w:tab w:val="left" w:pos="426"/>
          <w:tab w:val="left" w:pos="567"/>
        </w:tabs>
        <w:ind w:left="567" w:right="822"/>
        <w:jc w:val="center"/>
        <w:rPr>
          <w:rFonts w:ascii="Palatino Linotype" w:eastAsia="Palatino Linotype" w:hAnsi="Palatino Linotype" w:cs="Palatino Linotype"/>
          <w:b/>
          <w:i/>
          <w:sz w:val="22"/>
          <w:szCs w:val="22"/>
        </w:rPr>
      </w:pPr>
      <w:r w:rsidRPr="002905E6">
        <w:rPr>
          <w:rFonts w:ascii="Palatino Linotype" w:eastAsia="Palatino Linotype" w:hAnsi="Palatino Linotype" w:cs="Palatino Linotype"/>
          <w:b/>
          <w:i/>
          <w:sz w:val="22"/>
          <w:szCs w:val="22"/>
        </w:rPr>
        <w:t>BANDO MUNICIPAL NEXTLALPAN 2024</w:t>
      </w:r>
    </w:p>
    <w:p w14:paraId="47D05D98" w14:textId="77777777" w:rsidR="001403D4" w:rsidRPr="002905E6" w:rsidRDefault="001403D4">
      <w:pPr>
        <w:pBdr>
          <w:top w:val="nil"/>
          <w:left w:val="nil"/>
          <w:bottom w:val="nil"/>
          <w:right w:val="nil"/>
          <w:between w:val="nil"/>
        </w:pBdr>
        <w:tabs>
          <w:tab w:val="left" w:pos="426"/>
          <w:tab w:val="left" w:pos="567"/>
        </w:tabs>
        <w:ind w:left="567" w:right="822"/>
        <w:jc w:val="center"/>
        <w:rPr>
          <w:rFonts w:ascii="Palatino Linotype" w:eastAsia="Palatino Linotype" w:hAnsi="Palatino Linotype" w:cs="Palatino Linotype"/>
          <w:b/>
          <w:i/>
          <w:sz w:val="22"/>
          <w:szCs w:val="22"/>
        </w:rPr>
      </w:pPr>
    </w:p>
    <w:p w14:paraId="1FA35BF9"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“Artículo 27.- </w:t>
      </w:r>
      <w:r w:rsidRPr="002905E6">
        <w:rPr>
          <w:rFonts w:ascii="Palatino Linotype" w:eastAsia="Palatino Linotype" w:hAnsi="Palatino Linotype" w:cs="Palatino Linotype"/>
          <w:i/>
          <w:sz w:val="22"/>
          <w:szCs w:val="22"/>
        </w:rPr>
        <w:t xml:space="preserve">El Ayuntamiento es el Órgano de Gobierno a cuya decisión se someten los asuntos de la Administración Pública Municipal, está integrado por </w:t>
      </w:r>
      <w:r w:rsidRPr="002905E6">
        <w:rPr>
          <w:rFonts w:ascii="Palatino Linotype" w:eastAsia="Palatino Linotype" w:hAnsi="Palatino Linotype" w:cs="Palatino Linotype"/>
          <w:b/>
          <w:i/>
          <w:sz w:val="22"/>
          <w:szCs w:val="22"/>
        </w:rPr>
        <w:t xml:space="preserve">un </w:t>
      </w:r>
      <w:proofErr w:type="gramStart"/>
      <w:r w:rsidRPr="002905E6">
        <w:rPr>
          <w:rFonts w:ascii="Palatino Linotype" w:eastAsia="Palatino Linotype" w:hAnsi="Palatino Linotype" w:cs="Palatino Linotype"/>
          <w:b/>
          <w:i/>
          <w:sz w:val="22"/>
          <w:szCs w:val="22"/>
        </w:rPr>
        <w:t>Presidente</w:t>
      </w:r>
      <w:proofErr w:type="gramEnd"/>
      <w:r w:rsidRPr="002905E6">
        <w:rPr>
          <w:rFonts w:ascii="Palatino Linotype" w:eastAsia="Palatino Linotype" w:hAnsi="Palatino Linotype" w:cs="Palatino Linotype"/>
          <w:b/>
          <w:i/>
          <w:sz w:val="22"/>
          <w:szCs w:val="22"/>
        </w:rPr>
        <w:t xml:space="preserve"> Municipal, un Síndico y siete Regidores</w:t>
      </w:r>
      <w:r w:rsidRPr="002905E6">
        <w:rPr>
          <w:rFonts w:ascii="Palatino Linotype" w:eastAsia="Palatino Linotype" w:hAnsi="Palatino Linotype" w:cs="Palatino Linotype"/>
          <w:i/>
          <w:sz w:val="22"/>
          <w:szCs w:val="22"/>
        </w:rPr>
        <w:t>, como lo establece la Constitución Política del Estado Libre y Soberano de México, la Ley Orgánica Municipal y la Legislación Electoral vigente; con las facultades y obligaciones que las leyes les otorgan.</w:t>
      </w:r>
    </w:p>
    <w:p w14:paraId="590C2B6F"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b/>
          <w:i/>
          <w:sz w:val="22"/>
          <w:szCs w:val="22"/>
        </w:rPr>
      </w:pPr>
      <w:r w:rsidRPr="002905E6">
        <w:rPr>
          <w:rFonts w:ascii="Palatino Linotype" w:eastAsia="Palatino Linotype" w:hAnsi="Palatino Linotype" w:cs="Palatino Linotype"/>
          <w:b/>
          <w:i/>
          <w:sz w:val="22"/>
          <w:szCs w:val="22"/>
        </w:rPr>
        <w:t>(…)</w:t>
      </w:r>
    </w:p>
    <w:p w14:paraId="42EB2235"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b/>
          <w:i/>
          <w:sz w:val="22"/>
          <w:szCs w:val="22"/>
        </w:rPr>
      </w:pPr>
      <w:r w:rsidRPr="002905E6">
        <w:rPr>
          <w:rFonts w:ascii="Palatino Linotype" w:eastAsia="Palatino Linotype" w:hAnsi="Palatino Linotype" w:cs="Palatino Linotype"/>
          <w:b/>
          <w:i/>
          <w:sz w:val="22"/>
          <w:szCs w:val="22"/>
        </w:rPr>
        <w:t xml:space="preserve">Artículo 40.- Actualmente el Municipio cuenta con los siguientes Organismos Descentralizados: </w:t>
      </w:r>
    </w:p>
    <w:p w14:paraId="518C1FC6"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b/>
          <w:i/>
          <w:sz w:val="22"/>
          <w:szCs w:val="22"/>
        </w:rPr>
      </w:pPr>
      <w:r w:rsidRPr="002905E6">
        <w:rPr>
          <w:rFonts w:ascii="Palatino Linotype" w:eastAsia="Palatino Linotype" w:hAnsi="Palatino Linotype" w:cs="Palatino Linotype"/>
          <w:b/>
          <w:i/>
          <w:sz w:val="22"/>
          <w:szCs w:val="22"/>
        </w:rPr>
        <w:t>1. El Sistema Municipal para el Desarrollo Integral de la Familia (DIF); y</w:t>
      </w:r>
    </w:p>
    <w:p w14:paraId="07ABC494"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b/>
          <w:i/>
          <w:sz w:val="22"/>
          <w:szCs w:val="22"/>
        </w:rPr>
      </w:pPr>
      <w:r w:rsidRPr="002905E6">
        <w:rPr>
          <w:rFonts w:ascii="Palatino Linotype" w:eastAsia="Palatino Linotype" w:hAnsi="Palatino Linotype" w:cs="Palatino Linotype"/>
          <w:b/>
          <w:i/>
          <w:sz w:val="22"/>
          <w:szCs w:val="22"/>
        </w:rPr>
        <w:t xml:space="preserve">2. El Organismo de Agua Potable, Alcantarillado y Saneamiento de Nextlalpan (O.D.A.P.A.N.E.X.T). </w:t>
      </w:r>
    </w:p>
    <w:p w14:paraId="63A1067B"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b/>
          <w:i/>
          <w:sz w:val="22"/>
          <w:szCs w:val="22"/>
        </w:rPr>
      </w:pPr>
      <w:r w:rsidRPr="002905E6">
        <w:rPr>
          <w:rFonts w:ascii="Palatino Linotype" w:eastAsia="Palatino Linotype" w:hAnsi="Palatino Linotype" w:cs="Palatino Linotype"/>
          <w:b/>
          <w:i/>
          <w:sz w:val="22"/>
          <w:szCs w:val="22"/>
        </w:rPr>
        <w:t>3. Instituto Municipal de Cultura Física y Deporte de Nextlalpan de F.S.S;</w:t>
      </w:r>
    </w:p>
    <w:p w14:paraId="338276AC"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b/>
          <w:i/>
          <w:sz w:val="22"/>
          <w:szCs w:val="22"/>
        </w:rPr>
      </w:pPr>
      <w:r w:rsidRPr="002905E6">
        <w:rPr>
          <w:rFonts w:ascii="Palatino Linotype" w:eastAsia="Palatino Linotype" w:hAnsi="Palatino Linotype" w:cs="Palatino Linotype"/>
          <w:b/>
          <w:i/>
          <w:sz w:val="22"/>
          <w:szCs w:val="22"/>
        </w:rPr>
        <w:t xml:space="preserve">Artículo 41.- Así mismo se cuenta con los siguientes Institutos Municipales Desconcentrados: </w:t>
      </w:r>
    </w:p>
    <w:p w14:paraId="2F0F8418"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b/>
          <w:i/>
          <w:sz w:val="22"/>
          <w:szCs w:val="22"/>
        </w:rPr>
      </w:pPr>
      <w:r w:rsidRPr="002905E6">
        <w:rPr>
          <w:rFonts w:ascii="Palatino Linotype" w:eastAsia="Palatino Linotype" w:hAnsi="Palatino Linotype" w:cs="Palatino Linotype"/>
          <w:b/>
          <w:i/>
          <w:sz w:val="22"/>
          <w:szCs w:val="22"/>
        </w:rPr>
        <w:t xml:space="preserve">a). Instituto Municipal de la Mujer de Nextlalpan de F.S.S; y </w:t>
      </w:r>
    </w:p>
    <w:p w14:paraId="014B5DDF"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b/>
          <w:i/>
          <w:sz w:val="22"/>
          <w:szCs w:val="22"/>
        </w:rPr>
      </w:pPr>
      <w:r w:rsidRPr="002905E6">
        <w:rPr>
          <w:rFonts w:ascii="Palatino Linotype" w:eastAsia="Palatino Linotype" w:hAnsi="Palatino Linotype" w:cs="Palatino Linotype"/>
          <w:b/>
          <w:i/>
          <w:sz w:val="22"/>
          <w:szCs w:val="22"/>
        </w:rPr>
        <w:t xml:space="preserve">b). Instituto </w:t>
      </w:r>
      <w:proofErr w:type="spellStart"/>
      <w:r w:rsidRPr="002905E6">
        <w:rPr>
          <w:rFonts w:ascii="Palatino Linotype" w:eastAsia="Palatino Linotype" w:hAnsi="Palatino Linotype" w:cs="Palatino Linotype"/>
          <w:b/>
          <w:i/>
          <w:sz w:val="22"/>
          <w:szCs w:val="22"/>
        </w:rPr>
        <w:t>Nextlalpense</w:t>
      </w:r>
      <w:proofErr w:type="spellEnd"/>
      <w:r w:rsidRPr="002905E6">
        <w:rPr>
          <w:rFonts w:ascii="Palatino Linotype" w:eastAsia="Palatino Linotype" w:hAnsi="Palatino Linotype" w:cs="Palatino Linotype"/>
          <w:b/>
          <w:i/>
          <w:sz w:val="22"/>
          <w:szCs w:val="22"/>
        </w:rPr>
        <w:t xml:space="preserve"> de la Juventud.</w:t>
      </w:r>
    </w:p>
    <w:p w14:paraId="435CDC9F"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Artículo 42.- </w:t>
      </w:r>
      <w:r w:rsidRPr="002905E6">
        <w:rPr>
          <w:rFonts w:ascii="Palatino Linotype" w:eastAsia="Palatino Linotype" w:hAnsi="Palatino Linotype" w:cs="Palatino Linotype"/>
          <w:i/>
          <w:sz w:val="22"/>
          <w:szCs w:val="22"/>
        </w:rPr>
        <w:t xml:space="preserve">Para el ejercicio de sus atribuciones y responsabilidades ejecutivas, el Ayuntamiento se auxiliará de las siguientes Dependencias de la Administración Pública Municipal, mismas que están subordinadas a la </w:t>
      </w:r>
      <w:proofErr w:type="gramStart"/>
      <w:r w:rsidRPr="002905E6">
        <w:rPr>
          <w:rFonts w:ascii="Palatino Linotype" w:eastAsia="Palatino Linotype" w:hAnsi="Palatino Linotype" w:cs="Palatino Linotype"/>
          <w:i/>
          <w:sz w:val="22"/>
          <w:szCs w:val="22"/>
        </w:rPr>
        <w:t>Presidenta</w:t>
      </w:r>
      <w:proofErr w:type="gramEnd"/>
      <w:r w:rsidRPr="002905E6">
        <w:rPr>
          <w:rFonts w:ascii="Palatino Linotype" w:eastAsia="Palatino Linotype" w:hAnsi="Palatino Linotype" w:cs="Palatino Linotype"/>
          <w:i/>
          <w:sz w:val="22"/>
          <w:szCs w:val="22"/>
        </w:rPr>
        <w:t xml:space="preserve"> Municipal:</w:t>
      </w:r>
    </w:p>
    <w:p w14:paraId="5C88AAD6"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I. </w:t>
      </w:r>
      <w:r w:rsidRPr="002905E6">
        <w:rPr>
          <w:rFonts w:ascii="Palatino Linotype" w:eastAsia="Palatino Linotype" w:hAnsi="Palatino Linotype" w:cs="Palatino Linotype"/>
          <w:i/>
          <w:sz w:val="22"/>
          <w:szCs w:val="22"/>
        </w:rPr>
        <w:t xml:space="preserve">Secretaría del Ayuntamiento; </w:t>
      </w:r>
    </w:p>
    <w:p w14:paraId="020EA857"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II. </w:t>
      </w:r>
      <w:r w:rsidRPr="002905E6">
        <w:rPr>
          <w:rFonts w:ascii="Palatino Linotype" w:eastAsia="Palatino Linotype" w:hAnsi="Palatino Linotype" w:cs="Palatino Linotype"/>
          <w:i/>
          <w:sz w:val="22"/>
          <w:szCs w:val="22"/>
        </w:rPr>
        <w:t xml:space="preserve">Tesorería Municipal; </w:t>
      </w:r>
    </w:p>
    <w:p w14:paraId="075CC7DB"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III. </w:t>
      </w:r>
      <w:r w:rsidRPr="002905E6">
        <w:rPr>
          <w:rFonts w:ascii="Palatino Linotype" w:eastAsia="Palatino Linotype" w:hAnsi="Palatino Linotype" w:cs="Palatino Linotype"/>
          <w:i/>
          <w:sz w:val="22"/>
          <w:szCs w:val="22"/>
        </w:rPr>
        <w:t xml:space="preserve">Contraloría Interna Municipal; </w:t>
      </w:r>
    </w:p>
    <w:p w14:paraId="0D6BE385"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lastRenderedPageBreak/>
        <w:t xml:space="preserve">IV. </w:t>
      </w:r>
      <w:r w:rsidRPr="002905E6">
        <w:rPr>
          <w:rFonts w:ascii="Palatino Linotype" w:eastAsia="Palatino Linotype" w:hAnsi="Palatino Linotype" w:cs="Palatino Linotype"/>
          <w:i/>
          <w:sz w:val="22"/>
          <w:szCs w:val="22"/>
        </w:rPr>
        <w:t xml:space="preserve">Secretaría Técnica; </w:t>
      </w:r>
    </w:p>
    <w:p w14:paraId="7F04304F"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V. </w:t>
      </w:r>
      <w:r w:rsidRPr="002905E6">
        <w:rPr>
          <w:rFonts w:ascii="Palatino Linotype" w:eastAsia="Palatino Linotype" w:hAnsi="Palatino Linotype" w:cs="Palatino Linotype"/>
          <w:i/>
          <w:sz w:val="22"/>
          <w:szCs w:val="22"/>
        </w:rPr>
        <w:t xml:space="preserve">Direcciones de: </w:t>
      </w:r>
    </w:p>
    <w:p w14:paraId="5EBE30D5"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a). </w:t>
      </w:r>
      <w:r w:rsidRPr="002905E6">
        <w:rPr>
          <w:rFonts w:ascii="Palatino Linotype" w:eastAsia="Palatino Linotype" w:hAnsi="Palatino Linotype" w:cs="Palatino Linotype"/>
          <w:i/>
          <w:sz w:val="22"/>
          <w:szCs w:val="22"/>
        </w:rPr>
        <w:t xml:space="preserve">Gobierno; </w:t>
      </w:r>
    </w:p>
    <w:p w14:paraId="416453CA"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b). </w:t>
      </w:r>
      <w:r w:rsidRPr="002905E6">
        <w:rPr>
          <w:rFonts w:ascii="Palatino Linotype" w:eastAsia="Palatino Linotype" w:hAnsi="Palatino Linotype" w:cs="Palatino Linotype"/>
          <w:i/>
          <w:sz w:val="22"/>
          <w:szCs w:val="22"/>
        </w:rPr>
        <w:t xml:space="preserve">Administración; </w:t>
      </w:r>
    </w:p>
    <w:p w14:paraId="40EF4240"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c). </w:t>
      </w:r>
      <w:r w:rsidRPr="002905E6">
        <w:rPr>
          <w:rFonts w:ascii="Palatino Linotype" w:eastAsia="Palatino Linotype" w:hAnsi="Palatino Linotype" w:cs="Palatino Linotype"/>
          <w:i/>
          <w:sz w:val="22"/>
          <w:szCs w:val="22"/>
        </w:rPr>
        <w:t xml:space="preserve">Jurídico; </w:t>
      </w:r>
    </w:p>
    <w:p w14:paraId="35CD713C"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d). </w:t>
      </w:r>
      <w:r w:rsidRPr="002905E6">
        <w:rPr>
          <w:rFonts w:ascii="Palatino Linotype" w:eastAsia="Palatino Linotype" w:hAnsi="Palatino Linotype" w:cs="Palatino Linotype"/>
          <w:i/>
          <w:sz w:val="22"/>
          <w:szCs w:val="22"/>
        </w:rPr>
        <w:t xml:space="preserve">Obras Públicas; </w:t>
      </w:r>
    </w:p>
    <w:p w14:paraId="257DD86D"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e). </w:t>
      </w:r>
      <w:r w:rsidRPr="002905E6">
        <w:rPr>
          <w:rFonts w:ascii="Palatino Linotype" w:eastAsia="Palatino Linotype" w:hAnsi="Palatino Linotype" w:cs="Palatino Linotype"/>
          <w:i/>
          <w:sz w:val="22"/>
          <w:szCs w:val="22"/>
        </w:rPr>
        <w:t xml:space="preserve">Desarrollo Urbano; </w:t>
      </w:r>
    </w:p>
    <w:p w14:paraId="67E487F7"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f). </w:t>
      </w:r>
      <w:r w:rsidRPr="002905E6">
        <w:rPr>
          <w:rFonts w:ascii="Palatino Linotype" w:eastAsia="Palatino Linotype" w:hAnsi="Palatino Linotype" w:cs="Palatino Linotype"/>
          <w:i/>
          <w:sz w:val="22"/>
          <w:szCs w:val="22"/>
        </w:rPr>
        <w:t xml:space="preserve">Protección Civil y Bomberos; </w:t>
      </w:r>
    </w:p>
    <w:p w14:paraId="4540FBAD"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g). </w:t>
      </w:r>
      <w:r w:rsidRPr="002905E6">
        <w:rPr>
          <w:rFonts w:ascii="Palatino Linotype" w:eastAsia="Palatino Linotype" w:hAnsi="Palatino Linotype" w:cs="Palatino Linotype"/>
          <w:i/>
          <w:sz w:val="22"/>
          <w:szCs w:val="22"/>
        </w:rPr>
        <w:t xml:space="preserve">Servicios Públicos; </w:t>
      </w:r>
    </w:p>
    <w:p w14:paraId="6903F9BB"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h). </w:t>
      </w:r>
      <w:r w:rsidRPr="002905E6">
        <w:rPr>
          <w:rFonts w:ascii="Palatino Linotype" w:eastAsia="Palatino Linotype" w:hAnsi="Palatino Linotype" w:cs="Palatino Linotype"/>
          <w:i/>
          <w:sz w:val="22"/>
          <w:szCs w:val="22"/>
        </w:rPr>
        <w:t xml:space="preserve">Bienestar Social; </w:t>
      </w:r>
    </w:p>
    <w:p w14:paraId="58906BA0"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i). </w:t>
      </w:r>
      <w:r w:rsidRPr="002905E6">
        <w:rPr>
          <w:rFonts w:ascii="Palatino Linotype" w:eastAsia="Palatino Linotype" w:hAnsi="Palatino Linotype" w:cs="Palatino Linotype"/>
          <w:i/>
          <w:sz w:val="22"/>
          <w:szCs w:val="22"/>
        </w:rPr>
        <w:t xml:space="preserve">Educación; </w:t>
      </w:r>
    </w:p>
    <w:p w14:paraId="377DBA28"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j). </w:t>
      </w:r>
      <w:r w:rsidRPr="002905E6">
        <w:rPr>
          <w:rFonts w:ascii="Palatino Linotype" w:eastAsia="Palatino Linotype" w:hAnsi="Palatino Linotype" w:cs="Palatino Linotype"/>
          <w:i/>
          <w:sz w:val="22"/>
          <w:szCs w:val="22"/>
        </w:rPr>
        <w:t xml:space="preserve">Cultura; </w:t>
      </w:r>
    </w:p>
    <w:p w14:paraId="6D5B72FC"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k). </w:t>
      </w:r>
      <w:r w:rsidRPr="002905E6">
        <w:rPr>
          <w:rFonts w:ascii="Palatino Linotype" w:eastAsia="Palatino Linotype" w:hAnsi="Palatino Linotype" w:cs="Palatino Linotype"/>
          <w:i/>
          <w:sz w:val="22"/>
          <w:szCs w:val="22"/>
        </w:rPr>
        <w:t xml:space="preserve">Monumentos Históricos y Artísticos; </w:t>
      </w:r>
    </w:p>
    <w:p w14:paraId="6857214F"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l). </w:t>
      </w:r>
      <w:r w:rsidRPr="002905E6">
        <w:rPr>
          <w:rFonts w:ascii="Palatino Linotype" w:eastAsia="Palatino Linotype" w:hAnsi="Palatino Linotype" w:cs="Palatino Linotype"/>
          <w:i/>
          <w:sz w:val="22"/>
          <w:szCs w:val="22"/>
        </w:rPr>
        <w:t xml:space="preserve">Desarrollo Económico; </w:t>
      </w:r>
    </w:p>
    <w:p w14:paraId="71A5C5F6"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m). </w:t>
      </w:r>
      <w:r w:rsidRPr="002905E6">
        <w:rPr>
          <w:rFonts w:ascii="Palatino Linotype" w:eastAsia="Palatino Linotype" w:hAnsi="Palatino Linotype" w:cs="Palatino Linotype"/>
          <w:i/>
          <w:sz w:val="22"/>
          <w:szCs w:val="22"/>
        </w:rPr>
        <w:t xml:space="preserve">Fomento Agropecuario; </w:t>
      </w:r>
    </w:p>
    <w:p w14:paraId="7FA86EA4"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n). </w:t>
      </w:r>
      <w:r w:rsidRPr="002905E6">
        <w:rPr>
          <w:rFonts w:ascii="Palatino Linotype" w:eastAsia="Palatino Linotype" w:hAnsi="Palatino Linotype" w:cs="Palatino Linotype"/>
          <w:i/>
          <w:sz w:val="22"/>
          <w:szCs w:val="22"/>
        </w:rPr>
        <w:t xml:space="preserve">Medio Ambiente; </w:t>
      </w:r>
    </w:p>
    <w:p w14:paraId="7BA98894"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o). </w:t>
      </w:r>
      <w:r w:rsidRPr="002905E6">
        <w:rPr>
          <w:rFonts w:ascii="Palatino Linotype" w:eastAsia="Palatino Linotype" w:hAnsi="Palatino Linotype" w:cs="Palatino Linotype"/>
          <w:i/>
          <w:sz w:val="22"/>
          <w:szCs w:val="22"/>
        </w:rPr>
        <w:t xml:space="preserve">Catastro Municipal; </w:t>
      </w:r>
    </w:p>
    <w:p w14:paraId="31E99179"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p). </w:t>
      </w:r>
      <w:r w:rsidRPr="002905E6">
        <w:rPr>
          <w:rFonts w:ascii="Palatino Linotype" w:eastAsia="Palatino Linotype" w:hAnsi="Palatino Linotype" w:cs="Palatino Linotype"/>
          <w:i/>
          <w:sz w:val="22"/>
          <w:szCs w:val="22"/>
        </w:rPr>
        <w:t xml:space="preserve">Sistemas; </w:t>
      </w:r>
    </w:p>
    <w:p w14:paraId="687EA499"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q). </w:t>
      </w:r>
      <w:r w:rsidRPr="002905E6">
        <w:rPr>
          <w:rFonts w:ascii="Palatino Linotype" w:eastAsia="Palatino Linotype" w:hAnsi="Palatino Linotype" w:cs="Palatino Linotype"/>
          <w:i/>
          <w:sz w:val="22"/>
          <w:szCs w:val="22"/>
        </w:rPr>
        <w:t xml:space="preserve">Comunicación Social. </w:t>
      </w:r>
    </w:p>
    <w:p w14:paraId="5D7D7306"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VI. </w:t>
      </w:r>
      <w:r w:rsidRPr="002905E6">
        <w:rPr>
          <w:rFonts w:ascii="Palatino Linotype" w:eastAsia="Palatino Linotype" w:hAnsi="Palatino Linotype" w:cs="Palatino Linotype"/>
          <w:i/>
          <w:sz w:val="22"/>
          <w:szCs w:val="22"/>
        </w:rPr>
        <w:t xml:space="preserve">Comisaría de Seguridad Pública y Vialidad </w:t>
      </w:r>
    </w:p>
    <w:p w14:paraId="30B2872B"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VII. </w:t>
      </w:r>
      <w:r w:rsidRPr="002905E6">
        <w:rPr>
          <w:rFonts w:ascii="Palatino Linotype" w:eastAsia="Palatino Linotype" w:hAnsi="Palatino Linotype" w:cs="Palatino Linotype"/>
          <w:i/>
          <w:sz w:val="22"/>
          <w:szCs w:val="22"/>
        </w:rPr>
        <w:t xml:space="preserve">Juez Cívico; </w:t>
      </w:r>
    </w:p>
    <w:p w14:paraId="4BF85C3B"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b/>
          <w:i/>
          <w:sz w:val="22"/>
          <w:szCs w:val="22"/>
        </w:rPr>
        <w:t xml:space="preserve">VIII. </w:t>
      </w:r>
      <w:r w:rsidRPr="002905E6">
        <w:rPr>
          <w:rFonts w:ascii="Palatino Linotype" w:eastAsia="Palatino Linotype" w:hAnsi="Palatino Linotype" w:cs="Palatino Linotype"/>
          <w:i/>
          <w:sz w:val="22"/>
          <w:szCs w:val="22"/>
        </w:rPr>
        <w:t>Defensoría Municipal de los Derechos Humanos.</w:t>
      </w:r>
    </w:p>
    <w:p w14:paraId="11F71496"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i/>
          <w:sz w:val="22"/>
          <w:szCs w:val="22"/>
        </w:rPr>
      </w:pPr>
      <w:r w:rsidRPr="002905E6">
        <w:rPr>
          <w:rFonts w:ascii="Palatino Linotype" w:eastAsia="Palatino Linotype" w:hAnsi="Palatino Linotype" w:cs="Palatino Linotype"/>
          <w:i/>
          <w:sz w:val="22"/>
          <w:szCs w:val="22"/>
        </w:rPr>
        <w:t>(…)</w:t>
      </w:r>
    </w:p>
    <w:p w14:paraId="4EDD671A" w14:textId="77777777" w:rsidR="001403D4" w:rsidRPr="002905E6" w:rsidRDefault="005F2E4A">
      <w:pPr>
        <w:pBdr>
          <w:top w:val="nil"/>
          <w:left w:val="nil"/>
          <w:bottom w:val="nil"/>
          <w:right w:val="nil"/>
          <w:between w:val="nil"/>
        </w:pBdr>
        <w:tabs>
          <w:tab w:val="left" w:pos="426"/>
          <w:tab w:val="left" w:pos="567"/>
        </w:tabs>
        <w:ind w:left="567" w:right="822"/>
        <w:jc w:val="both"/>
        <w:rPr>
          <w:rFonts w:ascii="Palatino Linotype" w:eastAsia="Palatino Linotype" w:hAnsi="Palatino Linotype" w:cs="Palatino Linotype"/>
          <w:b/>
          <w:sz w:val="22"/>
          <w:szCs w:val="22"/>
        </w:rPr>
      </w:pPr>
      <w:r w:rsidRPr="002905E6">
        <w:rPr>
          <w:rFonts w:ascii="Palatino Linotype" w:eastAsia="Palatino Linotype" w:hAnsi="Palatino Linotype" w:cs="Palatino Linotype"/>
          <w:b/>
          <w:sz w:val="22"/>
          <w:szCs w:val="22"/>
        </w:rPr>
        <w:t>[Énfasis añadido]</w:t>
      </w:r>
    </w:p>
    <w:p w14:paraId="1EC93B85" w14:textId="77777777" w:rsidR="001403D4" w:rsidRPr="00AE3D7B" w:rsidRDefault="001403D4">
      <w:pPr>
        <w:rPr>
          <w:rFonts w:ascii="Palatino Linotype" w:eastAsia="Palatino Linotype" w:hAnsi="Palatino Linotype" w:cs="Palatino Linotype"/>
        </w:rPr>
      </w:pPr>
    </w:p>
    <w:p w14:paraId="28FD2673" w14:textId="77777777" w:rsidR="001403D4" w:rsidRPr="00AE3D7B" w:rsidRDefault="005F2E4A">
      <w:pPr>
        <w:numPr>
          <w:ilvl w:val="0"/>
          <w:numId w:val="13"/>
        </w:numPr>
        <w:pBdr>
          <w:top w:val="nil"/>
          <w:left w:val="nil"/>
          <w:bottom w:val="nil"/>
          <w:right w:val="nil"/>
          <w:between w:val="nil"/>
        </w:pBdr>
        <w:tabs>
          <w:tab w:val="left" w:pos="0"/>
          <w:tab w:val="left" w:pos="426"/>
          <w:tab w:val="left" w:pos="567"/>
        </w:tabs>
        <w:spacing w:line="360" w:lineRule="auto"/>
        <w:ind w:left="0" w:right="49"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Conforme al citado Bando, se acredita la integración del Ayuntamiento de Nextlalpan, en cuanto a los miembros del Ayuntamiento de elección popular, dependencias que lo integran; así como los organismos descentralizados e institutos municipales desconcentrados.</w:t>
      </w:r>
    </w:p>
    <w:p w14:paraId="12B8C80C" w14:textId="77777777" w:rsidR="001403D4" w:rsidRPr="00AE3D7B" w:rsidRDefault="001403D4">
      <w:pPr>
        <w:pBdr>
          <w:top w:val="nil"/>
          <w:left w:val="nil"/>
          <w:bottom w:val="nil"/>
          <w:right w:val="nil"/>
          <w:between w:val="nil"/>
        </w:pBdr>
        <w:tabs>
          <w:tab w:val="left" w:pos="0"/>
          <w:tab w:val="left" w:pos="426"/>
          <w:tab w:val="left" w:pos="567"/>
        </w:tabs>
        <w:spacing w:line="360" w:lineRule="auto"/>
        <w:ind w:right="49"/>
        <w:jc w:val="both"/>
        <w:rPr>
          <w:rFonts w:ascii="Palatino Linotype" w:eastAsia="Palatino Linotype" w:hAnsi="Palatino Linotype" w:cs="Palatino Linotype"/>
        </w:rPr>
      </w:pPr>
    </w:p>
    <w:p w14:paraId="55DF25A9" w14:textId="77777777" w:rsidR="001403D4" w:rsidRPr="00AE3D7B" w:rsidRDefault="005F2E4A">
      <w:pPr>
        <w:numPr>
          <w:ilvl w:val="0"/>
          <w:numId w:val="13"/>
        </w:numPr>
        <w:pBdr>
          <w:top w:val="nil"/>
          <w:left w:val="nil"/>
          <w:bottom w:val="nil"/>
          <w:right w:val="nil"/>
          <w:between w:val="nil"/>
        </w:pBdr>
        <w:tabs>
          <w:tab w:val="left" w:pos="0"/>
          <w:tab w:val="left" w:pos="426"/>
          <w:tab w:val="left" w:pos="567"/>
        </w:tabs>
        <w:spacing w:line="360" w:lineRule="auto"/>
        <w:ind w:left="0" w:right="49"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lastRenderedPageBreak/>
        <w:t>Que del Manual de Organización de la Administración Pública Municipal de Nextlalpan 2022-2024, se desprende el siguiente organigrama:</w:t>
      </w:r>
    </w:p>
    <w:p w14:paraId="6CB4B229" w14:textId="77777777" w:rsidR="001403D4" w:rsidRPr="00AE3D7B" w:rsidRDefault="005F2E4A">
      <w:pPr>
        <w:pBdr>
          <w:top w:val="nil"/>
          <w:left w:val="nil"/>
          <w:bottom w:val="nil"/>
          <w:right w:val="nil"/>
          <w:between w:val="nil"/>
        </w:pBdr>
        <w:tabs>
          <w:tab w:val="left" w:pos="0"/>
          <w:tab w:val="left" w:pos="426"/>
          <w:tab w:val="left" w:pos="567"/>
        </w:tabs>
        <w:spacing w:line="360" w:lineRule="auto"/>
        <w:ind w:right="49"/>
        <w:jc w:val="both"/>
        <w:rPr>
          <w:rFonts w:ascii="Palatino Linotype" w:eastAsia="Palatino Linotype" w:hAnsi="Palatino Linotype" w:cs="Palatino Linotype"/>
        </w:rPr>
      </w:pPr>
      <w:r w:rsidRPr="00AE3D7B">
        <w:rPr>
          <w:rFonts w:ascii="Palatino Linotype" w:eastAsia="Palatino Linotype" w:hAnsi="Palatino Linotype" w:cs="Palatino Linotype"/>
          <w:noProof/>
        </w:rPr>
        <w:drawing>
          <wp:inline distT="0" distB="0" distL="0" distR="0" wp14:anchorId="1641E6E8" wp14:editId="794407DA">
            <wp:extent cx="5502131" cy="4509141"/>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5502131" cy="4509141"/>
                    </a:xfrm>
                    <a:prstGeom prst="rect">
                      <a:avLst/>
                    </a:prstGeom>
                    <a:ln/>
                  </pic:spPr>
                </pic:pic>
              </a:graphicData>
            </a:graphic>
          </wp:inline>
        </w:drawing>
      </w:r>
    </w:p>
    <w:p w14:paraId="6B23D311" w14:textId="77777777" w:rsidR="001403D4" w:rsidRPr="00AE3D7B" w:rsidRDefault="001403D4">
      <w:pPr>
        <w:pBdr>
          <w:top w:val="nil"/>
          <w:left w:val="nil"/>
          <w:bottom w:val="nil"/>
          <w:right w:val="nil"/>
          <w:between w:val="nil"/>
        </w:pBdr>
        <w:tabs>
          <w:tab w:val="left" w:pos="0"/>
          <w:tab w:val="left" w:pos="426"/>
          <w:tab w:val="left" w:pos="567"/>
        </w:tabs>
        <w:spacing w:line="360" w:lineRule="auto"/>
        <w:ind w:right="49"/>
        <w:jc w:val="both"/>
        <w:rPr>
          <w:rFonts w:ascii="Palatino Linotype" w:eastAsia="Palatino Linotype" w:hAnsi="Palatino Linotype" w:cs="Palatino Linotype"/>
        </w:rPr>
      </w:pPr>
    </w:p>
    <w:p w14:paraId="58651CE6" w14:textId="77777777" w:rsidR="001403D4" w:rsidRPr="00AE3D7B" w:rsidRDefault="005F2E4A">
      <w:pPr>
        <w:numPr>
          <w:ilvl w:val="0"/>
          <w:numId w:val="13"/>
        </w:numPr>
        <w:pBdr>
          <w:top w:val="nil"/>
          <w:left w:val="nil"/>
          <w:bottom w:val="nil"/>
          <w:right w:val="nil"/>
          <w:between w:val="nil"/>
        </w:pBdr>
        <w:tabs>
          <w:tab w:val="left" w:pos="0"/>
          <w:tab w:val="left" w:pos="426"/>
          <w:tab w:val="left" w:pos="567"/>
        </w:tabs>
        <w:spacing w:line="360" w:lineRule="auto"/>
        <w:ind w:left="0" w:right="49"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Que del propio Manual de Organización de la Administración Pública Municipal de Nextlalpan 2022-2024, de lo que interesa se desprende:</w:t>
      </w:r>
    </w:p>
    <w:p w14:paraId="3A1288C9" w14:textId="77777777" w:rsidR="001403D4" w:rsidRPr="00A265CB" w:rsidRDefault="005F2E4A">
      <w:pPr>
        <w:pBdr>
          <w:top w:val="nil"/>
          <w:left w:val="nil"/>
          <w:bottom w:val="nil"/>
          <w:right w:val="nil"/>
          <w:between w:val="nil"/>
        </w:pBdr>
        <w:tabs>
          <w:tab w:val="left" w:pos="426"/>
          <w:tab w:val="left" w:pos="567"/>
        </w:tabs>
        <w:ind w:left="851" w:right="680"/>
        <w:jc w:val="both"/>
        <w:rPr>
          <w:rFonts w:ascii="Palatino Linotype" w:eastAsia="Palatino Linotype" w:hAnsi="Palatino Linotype" w:cs="Palatino Linotype"/>
          <w:b/>
          <w:i/>
          <w:sz w:val="22"/>
          <w:szCs w:val="22"/>
        </w:rPr>
      </w:pPr>
      <w:r w:rsidRPr="00A265CB">
        <w:rPr>
          <w:rFonts w:ascii="Palatino Linotype" w:eastAsia="Palatino Linotype" w:hAnsi="Palatino Linotype" w:cs="Palatino Linotype"/>
          <w:b/>
          <w:i/>
          <w:sz w:val="22"/>
          <w:szCs w:val="22"/>
        </w:rPr>
        <w:t>IX.III TESORERÍA MUNICIPAL</w:t>
      </w:r>
    </w:p>
    <w:p w14:paraId="741649B4" w14:textId="77777777" w:rsidR="001403D4" w:rsidRPr="00A265CB" w:rsidRDefault="005F2E4A">
      <w:pPr>
        <w:pBdr>
          <w:top w:val="nil"/>
          <w:left w:val="nil"/>
          <w:bottom w:val="nil"/>
          <w:right w:val="nil"/>
          <w:between w:val="nil"/>
        </w:pBdr>
        <w:tabs>
          <w:tab w:val="left" w:pos="426"/>
          <w:tab w:val="left" w:pos="567"/>
        </w:tabs>
        <w:ind w:left="851" w:right="680"/>
        <w:jc w:val="both"/>
        <w:rPr>
          <w:rFonts w:ascii="Palatino Linotype" w:eastAsia="Palatino Linotype" w:hAnsi="Palatino Linotype" w:cs="Palatino Linotype"/>
          <w:b/>
          <w:i/>
          <w:sz w:val="22"/>
          <w:szCs w:val="22"/>
        </w:rPr>
      </w:pPr>
      <w:r w:rsidRPr="00A265CB">
        <w:rPr>
          <w:rFonts w:ascii="Palatino Linotype" w:eastAsia="Palatino Linotype" w:hAnsi="Palatino Linotype" w:cs="Palatino Linotype"/>
          <w:b/>
          <w:i/>
          <w:sz w:val="22"/>
          <w:szCs w:val="22"/>
        </w:rPr>
        <w:t>(…)</w:t>
      </w:r>
    </w:p>
    <w:p w14:paraId="1616718F" w14:textId="77777777" w:rsidR="001403D4" w:rsidRPr="00A265CB" w:rsidRDefault="005F2E4A">
      <w:pPr>
        <w:pBdr>
          <w:top w:val="nil"/>
          <w:left w:val="nil"/>
          <w:bottom w:val="nil"/>
          <w:right w:val="nil"/>
          <w:between w:val="nil"/>
        </w:pBdr>
        <w:tabs>
          <w:tab w:val="left" w:pos="426"/>
          <w:tab w:val="left" w:pos="567"/>
        </w:tabs>
        <w:ind w:left="851" w:right="680"/>
        <w:jc w:val="both"/>
        <w:rPr>
          <w:rFonts w:ascii="Palatino Linotype" w:eastAsia="Palatino Linotype" w:hAnsi="Palatino Linotype" w:cs="Palatino Linotype"/>
          <w:b/>
          <w:i/>
          <w:sz w:val="22"/>
          <w:szCs w:val="22"/>
        </w:rPr>
      </w:pPr>
      <w:r w:rsidRPr="00A265CB">
        <w:rPr>
          <w:rFonts w:ascii="Palatino Linotype" w:eastAsia="Palatino Linotype" w:hAnsi="Palatino Linotype" w:cs="Palatino Linotype"/>
          <w:b/>
          <w:i/>
          <w:sz w:val="22"/>
          <w:szCs w:val="22"/>
        </w:rPr>
        <w:lastRenderedPageBreak/>
        <w:t>IX.III.II Área de Egresos</w:t>
      </w:r>
    </w:p>
    <w:p w14:paraId="760F3577" w14:textId="77777777" w:rsidR="001403D4" w:rsidRPr="00A265CB" w:rsidRDefault="005F2E4A">
      <w:pPr>
        <w:pBdr>
          <w:top w:val="nil"/>
          <w:left w:val="nil"/>
          <w:bottom w:val="nil"/>
          <w:right w:val="nil"/>
          <w:between w:val="nil"/>
        </w:pBdr>
        <w:tabs>
          <w:tab w:val="left" w:pos="426"/>
          <w:tab w:val="left" w:pos="567"/>
        </w:tabs>
        <w:ind w:left="851" w:right="680"/>
        <w:jc w:val="both"/>
        <w:rPr>
          <w:rFonts w:ascii="Palatino Linotype" w:eastAsia="Palatino Linotype" w:hAnsi="Palatino Linotype" w:cs="Palatino Linotype"/>
          <w:i/>
          <w:sz w:val="22"/>
          <w:szCs w:val="22"/>
        </w:rPr>
      </w:pPr>
      <w:r w:rsidRPr="00A265CB">
        <w:rPr>
          <w:rFonts w:ascii="Palatino Linotype" w:eastAsia="Palatino Linotype" w:hAnsi="Palatino Linotype" w:cs="Palatino Linotype"/>
          <w:i/>
          <w:sz w:val="22"/>
          <w:szCs w:val="22"/>
        </w:rPr>
        <w:t>(…)</w:t>
      </w:r>
    </w:p>
    <w:p w14:paraId="4083111D" w14:textId="77777777" w:rsidR="001403D4" w:rsidRPr="00A265CB" w:rsidRDefault="005F2E4A">
      <w:pPr>
        <w:pBdr>
          <w:top w:val="nil"/>
          <w:left w:val="nil"/>
          <w:bottom w:val="nil"/>
          <w:right w:val="nil"/>
          <w:between w:val="nil"/>
        </w:pBdr>
        <w:tabs>
          <w:tab w:val="left" w:pos="426"/>
          <w:tab w:val="left" w:pos="567"/>
        </w:tabs>
        <w:ind w:left="851" w:right="680"/>
        <w:jc w:val="both"/>
        <w:rPr>
          <w:rFonts w:ascii="Palatino Linotype" w:eastAsia="Palatino Linotype" w:hAnsi="Palatino Linotype" w:cs="Palatino Linotype"/>
          <w:i/>
          <w:sz w:val="22"/>
          <w:szCs w:val="22"/>
        </w:rPr>
      </w:pPr>
      <w:r w:rsidRPr="00A265CB">
        <w:rPr>
          <w:rFonts w:ascii="Palatino Linotype" w:eastAsia="Palatino Linotype" w:hAnsi="Palatino Linotype" w:cs="Palatino Linotype"/>
          <w:i/>
          <w:sz w:val="22"/>
          <w:szCs w:val="22"/>
        </w:rPr>
        <w:t>Rendir un informe mensual de actividades a la Tesorera, incluyendo el estado en nómina y la aplicación de los recursos humanos y materiales;</w:t>
      </w:r>
    </w:p>
    <w:p w14:paraId="7F345B2D" w14:textId="77777777" w:rsidR="001403D4" w:rsidRPr="00A265CB" w:rsidRDefault="005F2E4A">
      <w:pPr>
        <w:pBdr>
          <w:top w:val="nil"/>
          <w:left w:val="nil"/>
          <w:bottom w:val="nil"/>
          <w:right w:val="nil"/>
          <w:between w:val="nil"/>
        </w:pBdr>
        <w:tabs>
          <w:tab w:val="left" w:pos="426"/>
          <w:tab w:val="left" w:pos="567"/>
        </w:tabs>
        <w:ind w:left="851" w:right="680"/>
        <w:jc w:val="both"/>
        <w:rPr>
          <w:rFonts w:ascii="Palatino Linotype" w:eastAsia="Palatino Linotype" w:hAnsi="Palatino Linotype" w:cs="Palatino Linotype"/>
          <w:i/>
          <w:sz w:val="22"/>
          <w:szCs w:val="22"/>
        </w:rPr>
      </w:pPr>
      <w:r w:rsidRPr="00A265CB">
        <w:rPr>
          <w:rFonts w:ascii="Palatino Linotype" w:eastAsia="Palatino Linotype" w:hAnsi="Palatino Linotype" w:cs="Palatino Linotype"/>
          <w:i/>
          <w:sz w:val="22"/>
          <w:szCs w:val="22"/>
        </w:rPr>
        <w:t>(…)</w:t>
      </w:r>
    </w:p>
    <w:p w14:paraId="169ABECB" w14:textId="77777777" w:rsidR="001403D4" w:rsidRPr="00A265CB" w:rsidRDefault="005F2E4A">
      <w:pPr>
        <w:pBdr>
          <w:top w:val="nil"/>
          <w:left w:val="nil"/>
          <w:bottom w:val="nil"/>
          <w:right w:val="nil"/>
          <w:between w:val="nil"/>
        </w:pBdr>
        <w:tabs>
          <w:tab w:val="left" w:pos="426"/>
          <w:tab w:val="left" w:pos="567"/>
        </w:tabs>
        <w:ind w:left="851" w:right="680"/>
        <w:jc w:val="both"/>
        <w:rPr>
          <w:rFonts w:ascii="Palatino Linotype" w:eastAsia="Palatino Linotype" w:hAnsi="Palatino Linotype" w:cs="Palatino Linotype"/>
          <w:b/>
          <w:i/>
          <w:sz w:val="22"/>
          <w:szCs w:val="22"/>
        </w:rPr>
      </w:pPr>
      <w:r w:rsidRPr="00A265CB">
        <w:rPr>
          <w:rFonts w:ascii="Palatino Linotype" w:eastAsia="Palatino Linotype" w:hAnsi="Palatino Linotype" w:cs="Palatino Linotype"/>
          <w:b/>
          <w:i/>
          <w:sz w:val="22"/>
          <w:szCs w:val="22"/>
        </w:rPr>
        <w:t>IX.III.IV Coordinador Administrativo del Área</w:t>
      </w:r>
    </w:p>
    <w:p w14:paraId="49962585" w14:textId="77777777" w:rsidR="001403D4" w:rsidRPr="00A265CB" w:rsidRDefault="005F2E4A">
      <w:pPr>
        <w:pBdr>
          <w:top w:val="nil"/>
          <w:left w:val="nil"/>
          <w:bottom w:val="nil"/>
          <w:right w:val="nil"/>
          <w:between w:val="nil"/>
        </w:pBdr>
        <w:tabs>
          <w:tab w:val="left" w:pos="426"/>
          <w:tab w:val="left" w:pos="567"/>
        </w:tabs>
        <w:ind w:left="851" w:right="680"/>
        <w:jc w:val="both"/>
        <w:rPr>
          <w:rFonts w:ascii="Palatino Linotype" w:eastAsia="Palatino Linotype" w:hAnsi="Palatino Linotype" w:cs="Palatino Linotype"/>
          <w:i/>
          <w:sz w:val="22"/>
          <w:szCs w:val="22"/>
        </w:rPr>
      </w:pPr>
      <w:r w:rsidRPr="00A265CB">
        <w:rPr>
          <w:rFonts w:ascii="Palatino Linotype" w:eastAsia="Palatino Linotype" w:hAnsi="Palatino Linotype" w:cs="Palatino Linotype"/>
          <w:i/>
          <w:sz w:val="22"/>
          <w:szCs w:val="22"/>
        </w:rPr>
        <w:t>Dar contestación oportuna a las solicitudes del Sistema de Acceso a la Información Mexiquense (SAIMEX) en lo referente a la Tesorería Municipal;</w:t>
      </w:r>
    </w:p>
    <w:p w14:paraId="202A4CDD" w14:textId="77777777" w:rsidR="001403D4" w:rsidRPr="00A265CB" w:rsidRDefault="005F2E4A">
      <w:pPr>
        <w:pBdr>
          <w:top w:val="nil"/>
          <w:left w:val="nil"/>
          <w:bottom w:val="nil"/>
          <w:right w:val="nil"/>
          <w:between w:val="nil"/>
        </w:pBdr>
        <w:tabs>
          <w:tab w:val="left" w:pos="426"/>
          <w:tab w:val="left" w:pos="567"/>
        </w:tabs>
        <w:ind w:left="851" w:right="680"/>
        <w:jc w:val="both"/>
        <w:rPr>
          <w:rFonts w:ascii="Palatino Linotype" w:eastAsia="Palatino Linotype" w:hAnsi="Palatino Linotype" w:cs="Palatino Linotype"/>
          <w:i/>
          <w:sz w:val="22"/>
          <w:szCs w:val="22"/>
        </w:rPr>
      </w:pPr>
      <w:r w:rsidRPr="00A265CB">
        <w:rPr>
          <w:rFonts w:ascii="Palatino Linotype" w:eastAsia="Palatino Linotype" w:hAnsi="Palatino Linotype" w:cs="Palatino Linotype"/>
          <w:i/>
          <w:sz w:val="22"/>
          <w:szCs w:val="22"/>
        </w:rPr>
        <w:t>(…)</w:t>
      </w:r>
    </w:p>
    <w:p w14:paraId="11D38332" w14:textId="77777777" w:rsidR="001403D4" w:rsidRPr="00A265CB" w:rsidRDefault="005F2E4A">
      <w:pPr>
        <w:pBdr>
          <w:top w:val="nil"/>
          <w:left w:val="nil"/>
          <w:bottom w:val="nil"/>
          <w:right w:val="nil"/>
          <w:between w:val="nil"/>
        </w:pBdr>
        <w:tabs>
          <w:tab w:val="left" w:pos="426"/>
          <w:tab w:val="left" w:pos="567"/>
        </w:tabs>
        <w:ind w:left="851" w:right="680"/>
        <w:jc w:val="both"/>
        <w:rPr>
          <w:rFonts w:ascii="Palatino Linotype" w:eastAsia="Palatino Linotype" w:hAnsi="Palatino Linotype" w:cs="Palatino Linotype"/>
          <w:b/>
          <w:i/>
          <w:sz w:val="22"/>
          <w:szCs w:val="22"/>
        </w:rPr>
      </w:pPr>
      <w:r w:rsidRPr="00A265CB">
        <w:rPr>
          <w:rFonts w:ascii="Palatino Linotype" w:eastAsia="Palatino Linotype" w:hAnsi="Palatino Linotype" w:cs="Palatino Linotype"/>
          <w:b/>
          <w:i/>
          <w:sz w:val="22"/>
          <w:szCs w:val="22"/>
        </w:rPr>
        <w:t>X.II La Dirección de Administración</w:t>
      </w:r>
    </w:p>
    <w:p w14:paraId="7A5CBE85" w14:textId="77777777" w:rsidR="001403D4" w:rsidRPr="00A265CB" w:rsidRDefault="005F2E4A">
      <w:pPr>
        <w:pBdr>
          <w:top w:val="nil"/>
          <w:left w:val="nil"/>
          <w:bottom w:val="nil"/>
          <w:right w:val="nil"/>
          <w:between w:val="nil"/>
        </w:pBdr>
        <w:tabs>
          <w:tab w:val="left" w:pos="426"/>
          <w:tab w:val="left" w:pos="567"/>
        </w:tabs>
        <w:ind w:left="851" w:right="680"/>
        <w:jc w:val="both"/>
        <w:rPr>
          <w:rFonts w:ascii="Palatino Linotype" w:eastAsia="Palatino Linotype" w:hAnsi="Palatino Linotype" w:cs="Palatino Linotype"/>
          <w:b/>
          <w:i/>
          <w:sz w:val="22"/>
          <w:szCs w:val="22"/>
        </w:rPr>
      </w:pPr>
      <w:r w:rsidRPr="00A265CB">
        <w:rPr>
          <w:rFonts w:ascii="Palatino Linotype" w:eastAsia="Palatino Linotype" w:hAnsi="Palatino Linotype" w:cs="Palatino Linotype"/>
          <w:b/>
          <w:i/>
          <w:sz w:val="22"/>
          <w:szCs w:val="22"/>
        </w:rPr>
        <w:t>Objetivo</w:t>
      </w:r>
    </w:p>
    <w:p w14:paraId="5305FEB5" w14:textId="77777777" w:rsidR="001403D4" w:rsidRPr="00A265CB" w:rsidRDefault="005F2E4A">
      <w:pPr>
        <w:pBdr>
          <w:top w:val="nil"/>
          <w:left w:val="nil"/>
          <w:bottom w:val="nil"/>
          <w:right w:val="nil"/>
          <w:between w:val="nil"/>
        </w:pBdr>
        <w:tabs>
          <w:tab w:val="left" w:pos="426"/>
          <w:tab w:val="left" w:pos="567"/>
        </w:tabs>
        <w:ind w:left="851" w:right="680"/>
        <w:jc w:val="both"/>
        <w:rPr>
          <w:rFonts w:ascii="Palatino Linotype" w:eastAsia="Palatino Linotype" w:hAnsi="Palatino Linotype" w:cs="Palatino Linotype"/>
          <w:i/>
          <w:sz w:val="22"/>
          <w:szCs w:val="22"/>
        </w:rPr>
      </w:pPr>
      <w:r w:rsidRPr="00A265CB">
        <w:rPr>
          <w:rFonts w:ascii="Palatino Linotype" w:eastAsia="Palatino Linotype" w:hAnsi="Palatino Linotype" w:cs="Palatino Linotype"/>
          <w:i/>
          <w:sz w:val="22"/>
          <w:szCs w:val="22"/>
        </w:rPr>
        <w:t>Dirigir y controlar los recursos materiales, la prestación de bienes y servicios generales que permitan el buen funcionamiento y desarrollo de las diferentes áreas del Ayuntamiento de Nextlalpan de F.S.S., así como supervisar el reclutamiento del personal, a fin de llevar un control eficiente del manejo de la administración.</w:t>
      </w:r>
    </w:p>
    <w:p w14:paraId="2809527A" w14:textId="77777777" w:rsidR="001403D4" w:rsidRPr="00A265CB" w:rsidRDefault="005F2E4A">
      <w:pPr>
        <w:pBdr>
          <w:top w:val="nil"/>
          <w:left w:val="nil"/>
          <w:bottom w:val="nil"/>
          <w:right w:val="nil"/>
          <w:between w:val="nil"/>
        </w:pBdr>
        <w:tabs>
          <w:tab w:val="left" w:pos="426"/>
          <w:tab w:val="left" w:pos="567"/>
        </w:tabs>
        <w:ind w:left="851" w:right="680"/>
        <w:jc w:val="both"/>
        <w:rPr>
          <w:rFonts w:ascii="Palatino Linotype" w:eastAsia="Palatino Linotype" w:hAnsi="Palatino Linotype" w:cs="Palatino Linotype"/>
          <w:i/>
          <w:sz w:val="22"/>
          <w:szCs w:val="22"/>
        </w:rPr>
      </w:pPr>
      <w:r w:rsidRPr="00A265CB">
        <w:rPr>
          <w:rFonts w:ascii="Palatino Linotype" w:eastAsia="Palatino Linotype" w:hAnsi="Palatino Linotype" w:cs="Palatino Linotype"/>
          <w:i/>
          <w:sz w:val="22"/>
          <w:szCs w:val="22"/>
        </w:rPr>
        <w:t>Funciones</w:t>
      </w:r>
    </w:p>
    <w:p w14:paraId="08ADDB4E" w14:textId="77777777" w:rsidR="001403D4" w:rsidRPr="00A265CB" w:rsidRDefault="005F2E4A">
      <w:pPr>
        <w:pBdr>
          <w:top w:val="nil"/>
          <w:left w:val="nil"/>
          <w:bottom w:val="nil"/>
          <w:right w:val="nil"/>
          <w:between w:val="nil"/>
        </w:pBdr>
        <w:tabs>
          <w:tab w:val="left" w:pos="426"/>
          <w:tab w:val="left" w:pos="567"/>
        </w:tabs>
        <w:ind w:left="851" w:right="680"/>
        <w:jc w:val="both"/>
        <w:rPr>
          <w:rFonts w:ascii="Palatino Linotype" w:eastAsia="Palatino Linotype" w:hAnsi="Palatino Linotype" w:cs="Palatino Linotype"/>
          <w:i/>
          <w:sz w:val="22"/>
          <w:szCs w:val="22"/>
        </w:rPr>
      </w:pPr>
      <w:r w:rsidRPr="00A265CB">
        <w:rPr>
          <w:rFonts w:ascii="Palatino Linotype" w:eastAsia="Palatino Linotype" w:hAnsi="Palatino Linotype" w:cs="Palatino Linotype"/>
          <w:i/>
          <w:sz w:val="22"/>
          <w:szCs w:val="22"/>
        </w:rPr>
        <w:t>(…)</w:t>
      </w:r>
    </w:p>
    <w:p w14:paraId="10C2EFAB" w14:textId="77777777" w:rsidR="001403D4" w:rsidRPr="00A265CB" w:rsidRDefault="005F2E4A">
      <w:pPr>
        <w:pBdr>
          <w:top w:val="nil"/>
          <w:left w:val="nil"/>
          <w:bottom w:val="nil"/>
          <w:right w:val="nil"/>
          <w:between w:val="nil"/>
        </w:pBdr>
        <w:tabs>
          <w:tab w:val="left" w:pos="426"/>
          <w:tab w:val="left" w:pos="567"/>
        </w:tabs>
        <w:ind w:left="851" w:right="680"/>
        <w:jc w:val="both"/>
        <w:rPr>
          <w:rFonts w:ascii="Palatino Linotype" w:eastAsia="Palatino Linotype" w:hAnsi="Palatino Linotype" w:cs="Palatino Linotype"/>
          <w:i/>
          <w:sz w:val="22"/>
          <w:szCs w:val="22"/>
        </w:rPr>
      </w:pPr>
      <w:r w:rsidRPr="00A265CB">
        <w:rPr>
          <w:rFonts w:ascii="Palatino Linotype" w:eastAsia="Palatino Linotype" w:hAnsi="Palatino Linotype" w:cs="Palatino Linotype"/>
          <w:i/>
          <w:sz w:val="22"/>
          <w:szCs w:val="22"/>
        </w:rPr>
        <w:t>Llevar el registro y control del personal que labore en la Administración Pública Municipal Centralizada;</w:t>
      </w:r>
    </w:p>
    <w:p w14:paraId="21712CAB" w14:textId="77777777" w:rsidR="001403D4" w:rsidRPr="00A265CB" w:rsidRDefault="005F2E4A">
      <w:pPr>
        <w:pBdr>
          <w:top w:val="nil"/>
          <w:left w:val="nil"/>
          <w:bottom w:val="nil"/>
          <w:right w:val="nil"/>
          <w:between w:val="nil"/>
        </w:pBdr>
        <w:tabs>
          <w:tab w:val="left" w:pos="426"/>
          <w:tab w:val="left" w:pos="567"/>
        </w:tabs>
        <w:ind w:left="851" w:right="680"/>
        <w:jc w:val="both"/>
        <w:rPr>
          <w:rFonts w:ascii="Palatino Linotype" w:eastAsia="Palatino Linotype" w:hAnsi="Palatino Linotype" w:cs="Palatino Linotype"/>
          <w:i/>
          <w:sz w:val="22"/>
          <w:szCs w:val="22"/>
        </w:rPr>
      </w:pPr>
      <w:r w:rsidRPr="00A265CB">
        <w:rPr>
          <w:rFonts w:ascii="Palatino Linotype" w:eastAsia="Palatino Linotype" w:hAnsi="Palatino Linotype" w:cs="Palatino Linotype"/>
          <w:i/>
          <w:sz w:val="22"/>
          <w:szCs w:val="22"/>
        </w:rPr>
        <w:t>(…)</w:t>
      </w:r>
    </w:p>
    <w:p w14:paraId="0DCB62C8" w14:textId="77777777" w:rsidR="001403D4" w:rsidRPr="00AE3D7B" w:rsidRDefault="005F2E4A">
      <w:pPr>
        <w:pBdr>
          <w:top w:val="nil"/>
          <w:left w:val="nil"/>
          <w:bottom w:val="nil"/>
          <w:right w:val="nil"/>
          <w:between w:val="nil"/>
        </w:pBdr>
        <w:tabs>
          <w:tab w:val="left" w:pos="426"/>
          <w:tab w:val="left" w:pos="567"/>
        </w:tabs>
        <w:ind w:left="851" w:right="680"/>
        <w:jc w:val="both"/>
        <w:rPr>
          <w:rFonts w:ascii="Palatino Linotype" w:eastAsia="Palatino Linotype" w:hAnsi="Palatino Linotype" w:cs="Palatino Linotype"/>
          <w:i/>
        </w:rPr>
      </w:pPr>
      <w:r w:rsidRPr="00A265CB">
        <w:rPr>
          <w:rFonts w:ascii="Palatino Linotype" w:eastAsia="Palatino Linotype" w:hAnsi="Palatino Linotype" w:cs="Palatino Linotype"/>
          <w:i/>
          <w:sz w:val="22"/>
          <w:szCs w:val="22"/>
        </w:rPr>
        <w:t>Elaborar y controlar la nómina de pago, y coordinar con el área correspondiente el pago oportuno de los salarios a los servidores públicos;</w:t>
      </w:r>
    </w:p>
    <w:p w14:paraId="4E995125" w14:textId="77777777" w:rsidR="001403D4" w:rsidRPr="00AE3D7B" w:rsidRDefault="001403D4">
      <w:pPr>
        <w:pBdr>
          <w:top w:val="nil"/>
          <w:left w:val="nil"/>
          <w:bottom w:val="nil"/>
          <w:right w:val="nil"/>
          <w:between w:val="nil"/>
        </w:pBdr>
        <w:tabs>
          <w:tab w:val="left" w:pos="0"/>
          <w:tab w:val="left" w:pos="426"/>
          <w:tab w:val="left" w:pos="567"/>
        </w:tabs>
        <w:spacing w:line="360" w:lineRule="auto"/>
        <w:ind w:right="49"/>
        <w:jc w:val="both"/>
        <w:rPr>
          <w:rFonts w:ascii="Palatino Linotype" w:eastAsia="Palatino Linotype" w:hAnsi="Palatino Linotype" w:cs="Palatino Linotype"/>
        </w:rPr>
      </w:pPr>
    </w:p>
    <w:p w14:paraId="6ACAE503" w14:textId="77777777" w:rsidR="001403D4" w:rsidRPr="00AE3D7B" w:rsidRDefault="005F2E4A">
      <w:pPr>
        <w:numPr>
          <w:ilvl w:val="0"/>
          <w:numId w:val="13"/>
        </w:numPr>
        <w:pBdr>
          <w:top w:val="nil"/>
          <w:left w:val="nil"/>
          <w:bottom w:val="nil"/>
          <w:right w:val="nil"/>
          <w:between w:val="nil"/>
        </w:pBdr>
        <w:tabs>
          <w:tab w:val="left" w:pos="0"/>
          <w:tab w:val="left" w:pos="426"/>
          <w:tab w:val="left" w:pos="567"/>
        </w:tabs>
        <w:spacing w:line="360" w:lineRule="auto"/>
        <w:ind w:left="0" w:right="49"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 xml:space="preserve">En ese sentido, del Manual en referencia, es posible establecer que el Sujeto Obligado, dentro de las dependencias, áreas y organismos descentralizados municipales que lo integran, como se ha señalado de manera enunciativa más no limitativa, pudieran contar información relacionada con la solicitud hecha por particular, además que la Unidad de Transparencia del sujeto obligado pudo no haberla turnado a las áreas competentes que contaran con la información o que debieran tenerla de acuerdo a sus </w:t>
      </w:r>
      <w:r w:rsidRPr="00AE3D7B">
        <w:rPr>
          <w:rFonts w:ascii="Palatino Linotype" w:eastAsia="Palatino Linotype" w:hAnsi="Palatino Linotype" w:cs="Palatino Linotype"/>
        </w:rPr>
        <w:lastRenderedPageBreak/>
        <w:t xml:space="preserve">facultades, competencias y funciones, con el objeto de que realizaran una búsqueda exhaustiva y razonable de la información solicitada. </w:t>
      </w:r>
    </w:p>
    <w:p w14:paraId="04C08580" w14:textId="77777777" w:rsidR="001403D4" w:rsidRPr="00AE3D7B" w:rsidRDefault="001403D4">
      <w:pPr>
        <w:spacing w:line="360" w:lineRule="auto"/>
        <w:jc w:val="both"/>
        <w:rPr>
          <w:rFonts w:ascii="Palatino Linotype" w:eastAsia="Palatino Linotype" w:hAnsi="Palatino Linotype" w:cs="Palatino Linotype"/>
          <w:color w:val="000000"/>
        </w:rPr>
      </w:pPr>
    </w:p>
    <w:p w14:paraId="68CE3812"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En relación a lo anterior, es trascendente mencionar que no obstante que el Sistema Integral Para la Familia de Nextlalpan, es un organismo descentralizado, cierto es también que el mismo no se encuentra en el Padrón de Sujetos Obligados en materia de Transparencia y Acceso a la Información Pública del Estado de México y Municipios, como se observa a continuación:</w:t>
      </w:r>
    </w:p>
    <w:p w14:paraId="4A49E9B3" w14:textId="77777777" w:rsidR="001403D4" w:rsidRPr="00AE3D7B" w:rsidRDefault="001403D4">
      <w:pPr>
        <w:pBdr>
          <w:top w:val="nil"/>
          <w:left w:val="nil"/>
          <w:bottom w:val="nil"/>
          <w:right w:val="nil"/>
          <w:between w:val="nil"/>
        </w:pBdr>
        <w:ind w:left="720"/>
        <w:rPr>
          <w:rFonts w:ascii="Palatino Linotype" w:eastAsia="Palatino Linotype" w:hAnsi="Palatino Linotype" w:cs="Palatino Linotype"/>
          <w:color w:val="000000"/>
        </w:rPr>
      </w:pPr>
    </w:p>
    <w:p w14:paraId="109745BB" w14:textId="77777777" w:rsidR="001403D4" w:rsidRPr="00AE3D7B" w:rsidRDefault="005F2E4A">
      <w:pPr>
        <w:spacing w:line="360" w:lineRule="auto"/>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noProof/>
          <w:color w:val="000000"/>
        </w:rPr>
        <w:drawing>
          <wp:inline distT="0" distB="0" distL="0" distR="0" wp14:anchorId="41EE3187" wp14:editId="69EEE148">
            <wp:extent cx="5784565" cy="1268627"/>
            <wp:effectExtent l="0" t="0" r="6985" b="8255"/>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808427" cy="1273860"/>
                    </a:xfrm>
                    <a:prstGeom prst="rect">
                      <a:avLst/>
                    </a:prstGeom>
                    <a:ln/>
                  </pic:spPr>
                </pic:pic>
              </a:graphicData>
            </a:graphic>
          </wp:inline>
        </w:drawing>
      </w:r>
    </w:p>
    <w:p w14:paraId="165AD846" w14:textId="77777777" w:rsidR="001403D4" w:rsidRPr="00AE3D7B" w:rsidRDefault="001403D4">
      <w:pPr>
        <w:spacing w:line="360" w:lineRule="auto"/>
        <w:jc w:val="both"/>
        <w:rPr>
          <w:rFonts w:ascii="Palatino Linotype" w:eastAsia="Palatino Linotype" w:hAnsi="Palatino Linotype" w:cs="Palatino Linotype"/>
          <w:color w:val="000000"/>
        </w:rPr>
      </w:pPr>
    </w:p>
    <w:p w14:paraId="3627B7E4" w14:textId="77777777" w:rsidR="001403D4" w:rsidRPr="00AE3D7B" w:rsidRDefault="005F2E4A">
      <w:pPr>
        <w:spacing w:line="360" w:lineRule="auto"/>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noProof/>
          <w:color w:val="000000"/>
        </w:rPr>
        <w:drawing>
          <wp:inline distT="0" distB="0" distL="0" distR="0" wp14:anchorId="0C456DD0" wp14:editId="5E927231">
            <wp:extent cx="5683885" cy="1762556"/>
            <wp:effectExtent l="0" t="0" r="0" b="9525"/>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766315" cy="1788117"/>
                    </a:xfrm>
                    <a:prstGeom prst="rect">
                      <a:avLst/>
                    </a:prstGeom>
                    <a:ln/>
                  </pic:spPr>
                </pic:pic>
              </a:graphicData>
            </a:graphic>
          </wp:inline>
        </w:drawing>
      </w:r>
    </w:p>
    <w:p w14:paraId="2CC68417" w14:textId="77777777" w:rsidR="001403D4" w:rsidRPr="00AE3D7B" w:rsidRDefault="005F2E4A">
      <w:pPr>
        <w:spacing w:line="360" w:lineRule="auto"/>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noProof/>
          <w:color w:val="000000"/>
        </w:rPr>
        <w:lastRenderedPageBreak/>
        <w:drawing>
          <wp:inline distT="0" distB="0" distL="0" distR="0" wp14:anchorId="3333B365" wp14:editId="6175EB40">
            <wp:extent cx="5740685" cy="6009859"/>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740685" cy="6009859"/>
                    </a:xfrm>
                    <a:prstGeom prst="rect">
                      <a:avLst/>
                    </a:prstGeom>
                    <a:ln/>
                  </pic:spPr>
                </pic:pic>
              </a:graphicData>
            </a:graphic>
          </wp:inline>
        </w:drawing>
      </w:r>
    </w:p>
    <w:p w14:paraId="56C62D29" w14:textId="77777777" w:rsidR="001403D4" w:rsidRPr="00AE3D7B" w:rsidRDefault="005F2E4A">
      <w:pPr>
        <w:spacing w:line="360" w:lineRule="auto"/>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noProof/>
          <w:color w:val="000000"/>
        </w:rPr>
        <w:lastRenderedPageBreak/>
        <w:drawing>
          <wp:inline distT="0" distB="0" distL="0" distR="0" wp14:anchorId="03CEF3FC" wp14:editId="3572B615">
            <wp:extent cx="5616949" cy="3107891"/>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616949" cy="3107891"/>
                    </a:xfrm>
                    <a:prstGeom prst="rect">
                      <a:avLst/>
                    </a:prstGeom>
                    <a:ln/>
                  </pic:spPr>
                </pic:pic>
              </a:graphicData>
            </a:graphic>
          </wp:inline>
        </w:drawing>
      </w:r>
      <w:r w:rsidRPr="00AE3D7B">
        <w:rPr>
          <w:rFonts w:ascii="Palatino Linotype" w:eastAsia="Palatino Linotype" w:hAnsi="Palatino Linotype" w:cs="Palatino Linotype"/>
          <w:color w:val="000000"/>
        </w:rPr>
        <w:t xml:space="preserve"> </w:t>
      </w:r>
    </w:p>
    <w:p w14:paraId="0BBF70B0" w14:textId="77777777" w:rsidR="001403D4" w:rsidRPr="00AE3D7B" w:rsidRDefault="001403D4">
      <w:pPr>
        <w:pBdr>
          <w:top w:val="nil"/>
          <w:left w:val="nil"/>
          <w:bottom w:val="nil"/>
          <w:right w:val="nil"/>
          <w:between w:val="nil"/>
        </w:pBdr>
        <w:ind w:left="720"/>
        <w:rPr>
          <w:rFonts w:ascii="Palatino Linotype" w:eastAsia="Palatino Linotype" w:hAnsi="Palatino Linotype" w:cs="Palatino Linotype"/>
          <w:color w:val="000000"/>
        </w:rPr>
      </w:pPr>
    </w:p>
    <w:p w14:paraId="4A52CDE7"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Conforme a lo anterior, se logra colegir que el Sujeto Obligado cuenta con un área competente para conocer de la información peticionada, a saber de manera enunciativa más no limitativa, La Tesorería Municipal, la Dirección de Administración y el propio Sistema Municipal para el Desarrollo Integral de la Familia de Nextlalpan; por lo que, es posible advertir que el Sujeto Obligado cumplió con parte de lo establecido en el artículo 162 de la Ley de Transparencia y Acceso a la Información Pública del Estado de México y Municipios.</w:t>
      </w:r>
    </w:p>
    <w:p w14:paraId="65B1F912" w14:textId="77777777" w:rsidR="001403D4" w:rsidRPr="00AE3D7B" w:rsidRDefault="001403D4">
      <w:pPr>
        <w:pBdr>
          <w:top w:val="nil"/>
          <w:left w:val="nil"/>
          <w:bottom w:val="nil"/>
          <w:right w:val="nil"/>
          <w:between w:val="nil"/>
        </w:pBdr>
        <w:ind w:left="720"/>
        <w:rPr>
          <w:rFonts w:ascii="Palatino Linotype" w:eastAsia="Palatino Linotype" w:hAnsi="Palatino Linotype" w:cs="Palatino Linotype"/>
          <w:color w:val="000000"/>
        </w:rPr>
      </w:pPr>
    </w:p>
    <w:p w14:paraId="77AD25CA"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 xml:space="preserve">Finalmente no pasa desapercibido que el recurrente al solicitar la nómina, en la cual se observe el nombre, pago y puesto de todo el personal del Ayuntamiento de Nextlalpan, en ese ámbito se encuentran los elementos de seguridad pública de dicho </w:t>
      </w:r>
      <w:r w:rsidRPr="00AE3D7B">
        <w:rPr>
          <w:rFonts w:ascii="Palatino Linotype" w:eastAsia="Palatino Linotype" w:hAnsi="Palatino Linotype" w:cs="Palatino Linotype"/>
          <w:color w:val="000000"/>
        </w:rPr>
        <w:lastRenderedPageBreak/>
        <w:t xml:space="preserve">Ayuntamiento, razón por la cual es preciso mencionar que respecto a los policías o cuerpos de seguridad pública, hemos de decir que si bien es cierto la información relacionada con el uso de recursos públicos es información pública de acuerdo al artículo 23, 24 fracción XVIII, 92 fracción VIII de la Ley de Transparencia y Acceso a la Información Pública del Estado de México y Municipios, en donde señala que los sujeto obligados deberán hacer pública toda aquella información relativa a los montos y a las personas a quienes se les entregue por cualquier motivo recursos públicos, aunado a que el artículo, 92 establece que las remuneraciones brutas y netas de todos los servidores públicos de los sujetos obligados deberán ponerse a disposición de manera permanente y actualizada en medios electrónicos, en este caso en particular cuando se solicita información relacionada con los sueldos y/o nóminas y/o recibos de pago del personal que se encuentra adscrito a seguridad pública, esta ponencia tiene el criterio de entregar la información de manera disociada, ya que aplicaría el artículo 52 del mismo ordenamiento legal en donde menciona que la información será publica siempre y cuando se protejan los datos personales, así como, de ser el caso se someta al procedimiento de disociación, es decir, deberá entregarse la información de manera que no se relacione la persona adscrita a ese puesto, el monto que percibe como sueldo, así como el área a la que se encuentra adscrito, se debe hacer una versión en donde la información no pueda relacionarse ni permitir por su estructura, contenido o grado de desagregación, la identificación individual de los mismos, tal y como lo establece el artículo 4 fracción VII de la Ley en la materia, será de manera disociada siendo este el procedimiento mediante el cual los datos personales no pueden asociarse al titular, ni </w:t>
      </w:r>
      <w:r w:rsidRPr="00AE3D7B">
        <w:rPr>
          <w:rFonts w:ascii="Palatino Linotype" w:eastAsia="Palatino Linotype" w:hAnsi="Palatino Linotype" w:cs="Palatino Linotype"/>
          <w:color w:val="000000"/>
        </w:rPr>
        <w:lastRenderedPageBreak/>
        <w:t>permitir por su estructura, contenido o grado de desagregación, la identificación individual del mismo.</w:t>
      </w:r>
    </w:p>
    <w:p w14:paraId="488FB90F" w14:textId="77777777" w:rsidR="001403D4" w:rsidRPr="00AE3D7B" w:rsidRDefault="001403D4">
      <w:pPr>
        <w:spacing w:line="360" w:lineRule="auto"/>
        <w:ind w:right="51"/>
        <w:jc w:val="both"/>
        <w:rPr>
          <w:rFonts w:ascii="Palatino Linotype" w:eastAsia="Palatino Linotype" w:hAnsi="Palatino Linotype" w:cs="Palatino Linotype"/>
          <w:color w:val="000000"/>
        </w:rPr>
      </w:pPr>
    </w:p>
    <w:p w14:paraId="4CBB45E5" w14:textId="77777777" w:rsidR="001403D4" w:rsidRPr="00AE3D7B" w:rsidRDefault="005F2E4A">
      <w:pPr>
        <w:numPr>
          <w:ilvl w:val="0"/>
          <w:numId w:val="13"/>
        </w:numPr>
        <w:spacing w:line="360" w:lineRule="auto"/>
        <w:ind w:left="0" w:right="51"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Por cuanto hace a la entrega de la información de la Comisaría de Seguridad Pública y Vialidad del Ayuntamiento o su equivalente, se considera que deberá hacerse de forma disociada y testando el nombre de dichos servidores públicos de tal suerte que no sea posible identificarlos o hacerlos identificables, ya sea por rango, nivel o puesto.</w:t>
      </w:r>
    </w:p>
    <w:p w14:paraId="47754D0A" w14:textId="77777777" w:rsidR="001403D4" w:rsidRPr="00AE3D7B" w:rsidRDefault="001403D4">
      <w:pPr>
        <w:spacing w:line="360" w:lineRule="auto"/>
        <w:ind w:right="51"/>
        <w:jc w:val="both"/>
        <w:rPr>
          <w:rFonts w:ascii="Palatino Linotype" w:eastAsia="Palatino Linotype" w:hAnsi="Palatino Linotype" w:cs="Palatino Linotype"/>
          <w:color w:val="000000"/>
        </w:rPr>
      </w:pPr>
    </w:p>
    <w:p w14:paraId="7A195338" w14:textId="77777777" w:rsidR="001403D4" w:rsidRPr="00AE3D7B" w:rsidRDefault="005F2E4A">
      <w:pPr>
        <w:numPr>
          <w:ilvl w:val="0"/>
          <w:numId w:val="13"/>
        </w:numPr>
        <w:shd w:val="clear" w:color="auto" w:fill="FFFFFF"/>
        <w:spacing w:line="360" w:lineRule="auto"/>
        <w:ind w:left="0"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Lo anterior es así pues atendiendo a la realidad y lo objetivamente visible y palpable que ocurre en la vida cotidiana y derivado de los altos niveles de criminalidad existentes en la sociedad, se considera que revelar el estado de fuerza puede incidir directamente en la seguridad pública, cuando lo que es materia de transparencia es la erogación de recursos públicos por lo cual siempre se ha velado al entregar la nómina, lo que no tiene relación es el estado de fuerza de un municipio o del propio estado, datos que en todo caso serían de utilidad para fines distintos a la rendición de cuentas.</w:t>
      </w:r>
    </w:p>
    <w:p w14:paraId="389A7C56" w14:textId="77777777" w:rsidR="001403D4" w:rsidRPr="00AE3D7B" w:rsidRDefault="005F2E4A">
      <w:pPr>
        <w:numPr>
          <w:ilvl w:val="0"/>
          <w:numId w:val="13"/>
        </w:numPr>
        <w:shd w:val="clear" w:color="auto" w:fill="FFFFFF"/>
        <w:spacing w:line="360" w:lineRule="auto"/>
        <w:ind w:left="0"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Por ende, lo que procede cuando se presente el caso, es ordenar la entrega de la información de las corporaciones de seguridad pública de tal forma que no se advierta el estado de fuerza lo que en su caso es de forma disociada.</w:t>
      </w:r>
    </w:p>
    <w:p w14:paraId="19A0C5C9" w14:textId="77777777" w:rsidR="001403D4" w:rsidRPr="00AE3D7B" w:rsidRDefault="001403D4">
      <w:pPr>
        <w:tabs>
          <w:tab w:val="left" w:pos="7938"/>
        </w:tabs>
        <w:spacing w:line="360" w:lineRule="auto"/>
        <w:jc w:val="both"/>
        <w:rPr>
          <w:rFonts w:ascii="Palatino Linotype" w:eastAsia="Palatino Linotype" w:hAnsi="Palatino Linotype" w:cs="Palatino Linotype"/>
          <w:b/>
          <w:color w:val="000000"/>
        </w:rPr>
      </w:pPr>
    </w:p>
    <w:p w14:paraId="47D081FE"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b/>
          <w:color w:val="000000"/>
        </w:rPr>
      </w:pPr>
      <w:r w:rsidRPr="00AE3D7B">
        <w:rPr>
          <w:rFonts w:ascii="Palatino Linotype" w:eastAsia="Palatino Linotype" w:hAnsi="Palatino Linotype" w:cs="Palatino Linotype"/>
          <w:b/>
          <w:color w:val="000000"/>
        </w:rPr>
        <w:t>Correlativo a ello, en la versión pública se deben testar aquellos elementos señalados en la presente resolución, en el entendido de que debe ser pública toda la demás información relacionada que no encuadre en los conceptos anteriores.</w:t>
      </w:r>
    </w:p>
    <w:p w14:paraId="2517BC2D" w14:textId="77777777" w:rsidR="001403D4" w:rsidRPr="00AE3D7B" w:rsidRDefault="001403D4">
      <w:pPr>
        <w:shd w:val="clear" w:color="auto" w:fill="FFFFFF"/>
        <w:spacing w:line="360" w:lineRule="auto"/>
        <w:jc w:val="both"/>
        <w:rPr>
          <w:rFonts w:ascii="Palatino Linotype" w:eastAsia="Palatino Linotype" w:hAnsi="Palatino Linotype" w:cs="Palatino Linotype"/>
          <w:color w:val="000000"/>
        </w:rPr>
      </w:pPr>
    </w:p>
    <w:p w14:paraId="1A9AC817" w14:textId="77777777" w:rsidR="001403D4" w:rsidRPr="00AE3D7B" w:rsidRDefault="005F2E4A">
      <w:pPr>
        <w:numPr>
          <w:ilvl w:val="0"/>
          <w:numId w:val="13"/>
        </w:numPr>
        <w:shd w:val="clear" w:color="auto" w:fill="FFFFFF"/>
        <w:spacing w:line="360" w:lineRule="auto"/>
        <w:ind w:left="0"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En consecuencia, la fundamentación y motivación implica que, en el acto de autoridad, además de contenerse los supuestos jurídicos aplicables se expliquen claramente por qué a través de la utilización de la norma se emitió el acto.</w:t>
      </w:r>
    </w:p>
    <w:p w14:paraId="3EFAE79B" w14:textId="77777777" w:rsidR="001403D4" w:rsidRPr="00AE3D7B" w:rsidRDefault="001403D4">
      <w:pPr>
        <w:spacing w:line="360" w:lineRule="auto"/>
        <w:rPr>
          <w:rFonts w:ascii="Palatino Linotype" w:eastAsia="Palatino Linotype" w:hAnsi="Palatino Linotype" w:cs="Palatino Linotype"/>
        </w:rPr>
      </w:pPr>
    </w:p>
    <w:p w14:paraId="3A940990" w14:textId="77777777" w:rsidR="001403D4" w:rsidRPr="00AE3D7B" w:rsidRDefault="005F2E4A">
      <w:pPr>
        <w:numPr>
          <w:ilvl w:val="0"/>
          <w:numId w:val="13"/>
        </w:numPr>
        <w:spacing w:line="360" w:lineRule="auto"/>
        <w:ind w:left="0" w:right="1"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rPr>
        <w:t xml:space="preserve">Asimismo, el </w:t>
      </w:r>
      <w:r w:rsidRPr="00AE3D7B">
        <w:rPr>
          <w:rFonts w:ascii="Palatino Linotype" w:eastAsia="Palatino Linotype" w:hAnsi="Palatino Linotype" w:cs="Palatino Linotype"/>
          <w:b/>
        </w:rPr>
        <w:t>SUJETO OBLIGADO</w:t>
      </w:r>
      <w:r w:rsidRPr="00AE3D7B">
        <w:rPr>
          <w:rFonts w:ascii="Palatino Linotype" w:eastAsia="Palatino Linotype" w:hAnsi="Palatino Linotype" w:cs="Palatino Linotype"/>
        </w:rPr>
        <w:t xml:space="preserve"> </w:t>
      </w:r>
      <w:r w:rsidRPr="00AE3D7B">
        <w:rPr>
          <w:rFonts w:ascii="Palatino Linotype" w:eastAsia="Palatino Linotype" w:hAnsi="Palatino Linotype" w:cs="Palatino Linotype"/>
          <w:b/>
        </w:rPr>
        <w:t xml:space="preserve">no proporcionó la información requerida por el recurrente, </w:t>
      </w:r>
      <w:r w:rsidRPr="00AE3D7B">
        <w:rPr>
          <w:rFonts w:ascii="Palatino Linotype" w:eastAsia="Palatino Linotype" w:hAnsi="Palatino Linotype" w:cs="Palatino Linotype"/>
        </w:rPr>
        <w:t xml:space="preserve">por lo tanto, </w:t>
      </w:r>
      <w:r w:rsidRPr="00AE3D7B">
        <w:rPr>
          <w:rFonts w:ascii="Palatino Linotype" w:eastAsia="Palatino Linotype" w:hAnsi="Palatino Linotype" w:cs="Palatino Linotype"/>
          <w:b/>
        </w:rPr>
        <w:t xml:space="preserve">no se cumple el requisito de forma establecido por la Ley en la materia. </w:t>
      </w:r>
      <w:r w:rsidRPr="00AE3D7B">
        <w:rPr>
          <w:rFonts w:ascii="Palatino Linotype" w:eastAsia="Palatino Linotype" w:hAnsi="Palatino Linotype" w:cs="Palatino Linotype"/>
        </w:rPr>
        <w:t xml:space="preserve">Por tal motivo, las razones y motivos de inconformidad vertidos por el </w:t>
      </w:r>
      <w:r w:rsidRPr="00AE3D7B">
        <w:rPr>
          <w:rFonts w:ascii="Palatino Linotype" w:eastAsia="Palatino Linotype" w:hAnsi="Palatino Linotype" w:cs="Palatino Linotype"/>
          <w:b/>
        </w:rPr>
        <w:t xml:space="preserve">RECURRENTE </w:t>
      </w:r>
      <w:r w:rsidRPr="00AE3D7B">
        <w:rPr>
          <w:rFonts w:ascii="Palatino Linotype" w:eastAsia="Palatino Linotype" w:hAnsi="Palatino Linotype" w:cs="Palatino Linotype"/>
        </w:rPr>
        <w:t xml:space="preserve">en el presente recurso de revisión resultan fundados. </w:t>
      </w:r>
    </w:p>
    <w:p w14:paraId="5C3FB480" w14:textId="77777777" w:rsidR="001403D4" w:rsidRPr="00AE3D7B" w:rsidRDefault="001403D4">
      <w:pPr>
        <w:spacing w:line="360" w:lineRule="auto"/>
        <w:ind w:right="1"/>
        <w:jc w:val="both"/>
        <w:rPr>
          <w:rFonts w:ascii="Palatino Linotype" w:eastAsia="Palatino Linotype" w:hAnsi="Palatino Linotype" w:cs="Palatino Linotype"/>
          <w:color w:val="000000"/>
        </w:rPr>
      </w:pPr>
    </w:p>
    <w:p w14:paraId="12FC6E84" w14:textId="77777777" w:rsidR="001403D4" w:rsidRPr="00AE3D7B" w:rsidRDefault="005F2E4A">
      <w:pPr>
        <w:numPr>
          <w:ilvl w:val="0"/>
          <w:numId w:val="13"/>
        </w:numPr>
        <w:spacing w:line="360" w:lineRule="auto"/>
        <w:ind w:left="0" w:right="1"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rPr>
        <w:t xml:space="preserve">En consecuencia, no es posible tener por atendido el requerimiento, con la simple manifestación de dónde se encuentra la información solicitada y la forma de cómo acceder a ella; razón por la cual, será necesario que el </w:t>
      </w:r>
      <w:r w:rsidRPr="00AE3D7B">
        <w:rPr>
          <w:rFonts w:ascii="Palatino Linotype" w:eastAsia="Palatino Linotype" w:hAnsi="Palatino Linotype" w:cs="Palatino Linotype"/>
          <w:b/>
        </w:rPr>
        <w:t>SUJETO OBLIGADO</w:t>
      </w:r>
      <w:r w:rsidRPr="00AE3D7B">
        <w:rPr>
          <w:rFonts w:ascii="Palatino Linotype" w:eastAsia="Palatino Linotype" w:hAnsi="Palatino Linotype" w:cs="Palatino Linotype"/>
        </w:rPr>
        <w:t xml:space="preserve"> entregue el o los documentos donde conste </w:t>
      </w:r>
      <w:r w:rsidRPr="00AE3D7B">
        <w:rPr>
          <w:rFonts w:ascii="Palatino Linotype" w:eastAsia="Palatino Linotype" w:hAnsi="Palatino Linotype" w:cs="Palatino Linotype"/>
          <w:b/>
          <w:color w:val="000000"/>
        </w:rPr>
        <w:t>el nombre, puesto y pago de la nómina de trabajadores dependientes del Ayuntamiento de Nextlalpan, así como del Sistema Integral para el Desarrollo de la Familia de Nextlalpan, correspondiente del uno al treinta y uno de julio de dos mil veinticuatro.</w:t>
      </w:r>
    </w:p>
    <w:p w14:paraId="79287386" w14:textId="77777777" w:rsidR="001403D4" w:rsidRPr="00AE3D7B" w:rsidRDefault="001403D4">
      <w:pPr>
        <w:spacing w:line="360" w:lineRule="auto"/>
        <w:ind w:right="1"/>
        <w:jc w:val="both"/>
        <w:rPr>
          <w:rFonts w:ascii="Palatino Linotype" w:eastAsia="Palatino Linotype" w:hAnsi="Palatino Linotype" w:cs="Palatino Linotype"/>
          <w:color w:val="000000"/>
        </w:rPr>
      </w:pPr>
    </w:p>
    <w:p w14:paraId="1FE4D704" w14:textId="77777777" w:rsidR="001403D4" w:rsidRPr="00AE3D7B" w:rsidRDefault="005F2E4A">
      <w:pPr>
        <w:keepNext/>
        <w:keepLines/>
        <w:spacing w:line="360" w:lineRule="auto"/>
        <w:rPr>
          <w:rFonts w:ascii="Palatino Linotype" w:eastAsia="Palatino Linotype" w:hAnsi="Palatino Linotype" w:cs="Palatino Linotype"/>
          <w:b/>
          <w:color w:val="000000"/>
        </w:rPr>
      </w:pPr>
      <w:r w:rsidRPr="00AE3D7B">
        <w:rPr>
          <w:rFonts w:ascii="Palatino Linotype" w:eastAsia="Palatino Linotype" w:hAnsi="Palatino Linotype" w:cs="Palatino Linotype"/>
          <w:b/>
          <w:color w:val="000000"/>
        </w:rPr>
        <w:t>QUINTO.  De la versión pública.</w:t>
      </w:r>
    </w:p>
    <w:p w14:paraId="29196755" w14:textId="77777777" w:rsidR="001403D4" w:rsidRPr="00AE3D7B" w:rsidRDefault="005F2E4A">
      <w:pPr>
        <w:numPr>
          <w:ilvl w:val="0"/>
          <w:numId w:val="13"/>
        </w:numPr>
        <w:spacing w:line="360" w:lineRule="auto"/>
        <w:ind w:left="0" w:right="1" w:firstLine="0"/>
        <w:jc w:val="both"/>
        <w:rPr>
          <w:rFonts w:ascii="Palatino Linotype" w:eastAsia="Palatino Linotype" w:hAnsi="Palatino Linotype" w:cs="Palatino Linotype"/>
        </w:rPr>
      </w:pPr>
      <w:bookmarkStart w:id="6" w:name="_heading=h.17dp8vu" w:colFirst="0" w:colLast="0"/>
      <w:bookmarkEnd w:id="6"/>
      <w:r w:rsidRPr="00AE3D7B">
        <w:rPr>
          <w:rFonts w:ascii="Palatino Linotype" w:eastAsia="Palatino Linotype" w:hAnsi="Palatino Linotype" w:cs="Palatino Linotype"/>
        </w:rPr>
        <w:t xml:space="preserve">En principio, cabe mencionar que el artículo 6°, Apartado A), fracción II, de la Constitución Política de los Estados Unidos Mexicanos, prevé que la información que se refiere a la vida privada y los datos personales, será protegida en los términos y con las </w:t>
      </w:r>
      <w:r w:rsidRPr="00AE3D7B">
        <w:rPr>
          <w:rFonts w:ascii="Palatino Linotype" w:eastAsia="Palatino Linotype" w:hAnsi="Palatino Linotype" w:cs="Palatino Linotype"/>
        </w:rPr>
        <w:lastRenderedPageBreak/>
        <w:t>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4E9DE82B" w14:textId="77777777" w:rsidR="001403D4" w:rsidRPr="00AE3D7B" w:rsidRDefault="001403D4">
      <w:pPr>
        <w:spacing w:line="360" w:lineRule="auto"/>
        <w:rPr>
          <w:rFonts w:ascii="Palatino Linotype" w:eastAsia="Palatino Linotype" w:hAnsi="Palatino Linotype" w:cs="Palatino Linotype"/>
        </w:rPr>
      </w:pPr>
    </w:p>
    <w:p w14:paraId="1AE08D9E"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Por su parte, la Ley General de Transparencia y Acceso a la Información Pública, en su artículo 116, dispone que se considera información confidencial la que contenga datos personales concernientes a una persona física identificada o identificable. Además,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33A5B1A1" w14:textId="77777777" w:rsidR="001403D4" w:rsidRPr="00AE3D7B" w:rsidRDefault="001403D4">
      <w:pPr>
        <w:spacing w:line="360" w:lineRule="auto"/>
        <w:rPr>
          <w:rFonts w:ascii="Palatino Linotype" w:eastAsia="Palatino Linotype" w:hAnsi="Palatino Linotype" w:cs="Palatino Linotype"/>
        </w:rPr>
      </w:pPr>
    </w:p>
    <w:p w14:paraId="769C2F0C"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60C5DD16" w14:textId="77777777" w:rsidR="001403D4" w:rsidRPr="00AE3D7B" w:rsidRDefault="001403D4">
      <w:pPr>
        <w:spacing w:line="360" w:lineRule="auto"/>
        <w:rPr>
          <w:rFonts w:ascii="Palatino Linotype" w:eastAsia="Palatino Linotype" w:hAnsi="Palatino Linotype" w:cs="Palatino Linotype"/>
        </w:rPr>
      </w:pPr>
    </w:p>
    <w:p w14:paraId="21BF8D67" w14:textId="77777777" w:rsidR="001403D4"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4CA07E49" w14:textId="77777777" w:rsidR="009B53DC" w:rsidRPr="00AE3D7B" w:rsidRDefault="009B53DC" w:rsidP="009B53DC">
      <w:pPr>
        <w:spacing w:line="360" w:lineRule="auto"/>
        <w:jc w:val="both"/>
        <w:rPr>
          <w:rFonts w:ascii="Palatino Linotype" w:eastAsia="Palatino Linotype" w:hAnsi="Palatino Linotype" w:cs="Palatino Linotype"/>
        </w:rPr>
      </w:pPr>
    </w:p>
    <w:p w14:paraId="44199681"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w:t>
      </w:r>
      <w:proofErr w:type="spellStart"/>
      <w:r w:rsidRPr="00AE3D7B">
        <w:rPr>
          <w:rFonts w:ascii="Palatino Linotype" w:eastAsia="Palatino Linotype" w:hAnsi="Palatino Linotype" w:cs="Palatino Linotype"/>
        </w:rPr>
        <w:t>ii</w:t>
      </w:r>
      <w:proofErr w:type="spellEnd"/>
      <w:r w:rsidRPr="00AE3D7B">
        <w:rPr>
          <w:rFonts w:ascii="Palatino Linotype" w:eastAsia="Palatino Linotype" w:hAnsi="Palatino Linotype" w:cs="Palatino Linotype"/>
        </w:rPr>
        <w:t xml:space="preserve">) por ley tenga el carácter de pública, </w:t>
      </w:r>
      <w:proofErr w:type="spellStart"/>
      <w:r w:rsidRPr="00AE3D7B">
        <w:rPr>
          <w:rFonts w:ascii="Palatino Linotype" w:eastAsia="Palatino Linotype" w:hAnsi="Palatino Linotype" w:cs="Palatino Linotype"/>
        </w:rPr>
        <w:t>iii</w:t>
      </w:r>
      <w:proofErr w:type="spellEnd"/>
      <w:r w:rsidRPr="00AE3D7B">
        <w:rPr>
          <w:rFonts w:ascii="Palatino Linotype" w:eastAsia="Palatino Linotype" w:hAnsi="Palatino Linotype" w:cs="Palatino Linotype"/>
        </w:rPr>
        <w:t xml:space="preserve">) exista una orden judicial, </w:t>
      </w:r>
      <w:proofErr w:type="spellStart"/>
      <w:r w:rsidRPr="00AE3D7B">
        <w:rPr>
          <w:rFonts w:ascii="Palatino Linotype" w:eastAsia="Palatino Linotype" w:hAnsi="Palatino Linotype" w:cs="Palatino Linotype"/>
        </w:rPr>
        <w:t>iv</w:t>
      </w:r>
      <w:proofErr w:type="spellEnd"/>
      <w:r w:rsidRPr="00AE3D7B">
        <w:rPr>
          <w:rFonts w:ascii="Palatino Linotype" w:eastAsia="Palatino Linotype" w:hAnsi="Palatino Linotype" w:cs="Palatino Linotype"/>
        </w:rPr>
        <w:t>) por razones de seguridad nacional y salubridad general o v) para proteger los derechos de terceros o cuando se transmita entre sujetos obligados en términos de los tratados y los acuerdos interinstitucionales.</w:t>
      </w:r>
    </w:p>
    <w:p w14:paraId="24AFA07E" w14:textId="77777777" w:rsidR="001403D4" w:rsidRPr="00AE3D7B" w:rsidRDefault="001403D4">
      <w:pPr>
        <w:spacing w:line="360" w:lineRule="auto"/>
        <w:rPr>
          <w:rFonts w:ascii="Palatino Linotype" w:eastAsia="Palatino Linotype" w:hAnsi="Palatino Linotype" w:cs="Palatino Linotype"/>
        </w:rPr>
      </w:pPr>
    </w:p>
    <w:p w14:paraId="00ACBC26"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En términos de lo expuesto, la documentación y aquellos datos que se consideren confidenciales, serán una limitante del derecho de acceso a la información, siempre y cuando:</w:t>
      </w:r>
    </w:p>
    <w:p w14:paraId="7DBA9E05" w14:textId="77777777" w:rsidR="001403D4" w:rsidRPr="00664EF8" w:rsidRDefault="001403D4">
      <w:pPr>
        <w:spacing w:line="360" w:lineRule="auto"/>
        <w:rPr>
          <w:rFonts w:ascii="Palatino Linotype" w:eastAsia="Palatino Linotype" w:hAnsi="Palatino Linotype" w:cs="Palatino Linotype"/>
          <w:sz w:val="22"/>
          <w:szCs w:val="22"/>
        </w:rPr>
      </w:pPr>
    </w:p>
    <w:p w14:paraId="7B4D2A10" w14:textId="77777777" w:rsidR="001403D4" w:rsidRPr="00664EF8" w:rsidRDefault="005F2E4A">
      <w:pPr>
        <w:numPr>
          <w:ilvl w:val="0"/>
          <w:numId w:val="7"/>
        </w:numPr>
        <w:spacing w:line="360" w:lineRule="auto"/>
        <w:jc w:val="both"/>
        <w:rPr>
          <w:rFonts w:ascii="Palatino Linotype" w:eastAsia="Palatino Linotype" w:hAnsi="Palatino Linotype" w:cs="Palatino Linotype"/>
          <w:sz w:val="22"/>
          <w:szCs w:val="22"/>
        </w:rPr>
      </w:pPr>
      <w:r w:rsidRPr="00664EF8">
        <w:rPr>
          <w:rFonts w:ascii="Palatino Linotype" w:eastAsia="Palatino Linotype" w:hAnsi="Palatino Linotype" w:cs="Palatino Linotype"/>
          <w:sz w:val="22"/>
          <w:szCs w:val="22"/>
        </w:rPr>
        <w:t xml:space="preserve">Se trate de datos personales o información privada; esto es, información concerniente a una persona física o jurídico colectiva y que esta sea identificada o identificable. </w:t>
      </w:r>
    </w:p>
    <w:p w14:paraId="5A53A41E" w14:textId="77777777" w:rsidR="001403D4" w:rsidRPr="00664EF8" w:rsidRDefault="001403D4">
      <w:pPr>
        <w:spacing w:line="360" w:lineRule="auto"/>
        <w:rPr>
          <w:rFonts w:ascii="Palatino Linotype" w:eastAsia="Palatino Linotype" w:hAnsi="Palatino Linotype" w:cs="Palatino Linotype"/>
          <w:sz w:val="22"/>
          <w:szCs w:val="22"/>
        </w:rPr>
      </w:pPr>
    </w:p>
    <w:p w14:paraId="55CBF9ED" w14:textId="77777777" w:rsidR="001403D4" w:rsidRPr="00664EF8" w:rsidRDefault="005F2E4A">
      <w:pPr>
        <w:numPr>
          <w:ilvl w:val="0"/>
          <w:numId w:val="7"/>
        </w:numPr>
        <w:spacing w:line="360" w:lineRule="auto"/>
        <w:jc w:val="both"/>
        <w:rPr>
          <w:rFonts w:ascii="Palatino Linotype" w:eastAsia="Palatino Linotype" w:hAnsi="Palatino Linotype" w:cs="Palatino Linotype"/>
          <w:sz w:val="22"/>
          <w:szCs w:val="22"/>
        </w:rPr>
      </w:pPr>
      <w:r w:rsidRPr="00664EF8">
        <w:rPr>
          <w:rFonts w:ascii="Palatino Linotype" w:eastAsia="Palatino Linotype" w:hAnsi="Palatino Linotype" w:cs="Palatino Linotype"/>
          <w:sz w:val="22"/>
          <w:szCs w:val="22"/>
        </w:rPr>
        <w:t xml:space="preserve">Para la difusión de los datos, se requiera el consentimiento del titular. </w:t>
      </w:r>
    </w:p>
    <w:p w14:paraId="0D3FC993" w14:textId="77777777" w:rsidR="001403D4" w:rsidRPr="00AE3D7B" w:rsidRDefault="001403D4">
      <w:pPr>
        <w:spacing w:line="360" w:lineRule="auto"/>
        <w:rPr>
          <w:rFonts w:ascii="Palatino Linotype" w:eastAsia="Palatino Linotype" w:hAnsi="Palatino Linotype" w:cs="Palatino Linotype"/>
        </w:rPr>
      </w:pPr>
    </w:p>
    <w:p w14:paraId="6324C306"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145AA6FB" w14:textId="77777777" w:rsidR="001403D4" w:rsidRPr="00AE3D7B" w:rsidRDefault="001403D4">
      <w:pPr>
        <w:spacing w:line="360" w:lineRule="auto"/>
        <w:rPr>
          <w:rFonts w:ascii="Palatino Linotype" w:eastAsia="Palatino Linotype" w:hAnsi="Palatino Linotype" w:cs="Palatino Linotype"/>
        </w:rPr>
      </w:pPr>
    </w:p>
    <w:p w14:paraId="74C4B0F0"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Además, en el artículo 5° de dicho ordenamiento jurídico, establece que es la Ley aplicable para todo tratamiento de datos personales.</w:t>
      </w:r>
    </w:p>
    <w:p w14:paraId="38C4EB83" w14:textId="77777777" w:rsidR="001403D4" w:rsidRPr="00AE3D7B" w:rsidRDefault="001403D4">
      <w:pPr>
        <w:spacing w:line="360" w:lineRule="auto"/>
        <w:rPr>
          <w:rFonts w:ascii="Palatino Linotype" w:eastAsia="Palatino Linotype" w:hAnsi="Palatino Linotype" w:cs="Palatino Linotype"/>
        </w:rPr>
      </w:pPr>
    </w:p>
    <w:p w14:paraId="758BD209"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0058E1F" w14:textId="77777777" w:rsidR="001403D4" w:rsidRPr="00AE3D7B" w:rsidRDefault="001403D4">
      <w:pPr>
        <w:spacing w:line="360" w:lineRule="auto"/>
        <w:rPr>
          <w:rFonts w:ascii="Palatino Linotype" w:eastAsia="Palatino Linotype" w:hAnsi="Palatino Linotype" w:cs="Palatino Linotype"/>
        </w:rPr>
      </w:pPr>
    </w:p>
    <w:p w14:paraId="4029EFA3"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lastRenderedPageBreak/>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23DB18C8" w14:textId="77777777" w:rsidR="001403D4" w:rsidRPr="00AE3D7B" w:rsidRDefault="001403D4">
      <w:pPr>
        <w:spacing w:line="360" w:lineRule="auto"/>
        <w:rPr>
          <w:rFonts w:ascii="Palatino Linotype" w:eastAsia="Palatino Linotype" w:hAnsi="Palatino Linotype" w:cs="Palatino Linotype"/>
        </w:rPr>
      </w:pPr>
    </w:p>
    <w:p w14:paraId="27527EF5"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22DD4FBA" w14:textId="77777777" w:rsidR="001403D4" w:rsidRPr="00AE3D7B" w:rsidRDefault="001403D4">
      <w:pPr>
        <w:spacing w:line="360" w:lineRule="auto"/>
        <w:rPr>
          <w:rFonts w:ascii="Palatino Linotype" w:eastAsia="Palatino Linotype" w:hAnsi="Palatino Linotype" w:cs="Palatino Linotype"/>
        </w:rPr>
      </w:pPr>
    </w:p>
    <w:p w14:paraId="1F485A6E"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De tal suerte, las instituciones públicas tienen la doble responsabilidad, por un lado, de proteger los datos personales y por otro, darles publicidad cuando la relevancia de esos datos sea de interés público.</w:t>
      </w:r>
    </w:p>
    <w:p w14:paraId="35C1E8DB" w14:textId="77777777" w:rsidR="001403D4" w:rsidRPr="00AE3D7B" w:rsidRDefault="001403D4">
      <w:pPr>
        <w:spacing w:line="360" w:lineRule="auto"/>
        <w:rPr>
          <w:rFonts w:ascii="Palatino Linotype" w:eastAsia="Palatino Linotype" w:hAnsi="Palatino Linotype" w:cs="Palatino Linotype"/>
        </w:rPr>
      </w:pPr>
    </w:p>
    <w:p w14:paraId="6B0EEA8E"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 xml:space="preserve">En este orden de ideas, toda la información que transparente la gestión pública, favorezca la rendición de cuentas y contribuya a la democratización del Estado Mexicano </w:t>
      </w:r>
      <w:r w:rsidRPr="00AE3D7B">
        <w:rPr>
          <w:rFonts w:ascii="Palatino Linotype" w:eastAsia="Palatino Linotype" w:hAnsi="Palatino Linotype" w:cs="Palatino Linotype"/>
        </w:rPr>
        <w:lastRenderedPageBreak/>
        <w:t>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364930FD" w14:textId="77777777" w:rsidR="001403D4" w:rsidRPr="00AE3D7B" w:rsidRDefault="001403D4">
      <w:pPr>
        <w:spacing w:line="360" w:lineRule="auto"/>
        <w:rPr>
          <w:rFonts w:ascii="Palatino Linotype" w:eastAsia="Palatino Linotype" w:hAnsi="Palatino Linotype" w:cs="Palatino Linotype"/>
        </w:rPr>
      </w:pPr>
    </w:p>
    <w:p w14:paraId="30E926DD"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7B84B4AA" w14:textId="77777777" w:rsidR="001403D4" w:rsidRPr="00AE3D7B" w:rsidRDefault="001403D4">
      <w:pPr>
        <w:spacing w:line="360" w:lineRule="auto"/>
        <w:rPr>
          <w:rFonts w:ascii="Palatino Linotype" w:eastAsia="Palatino Linotype" w:hAnsi="Palatino Linotype" w:cs="Palatino Linotype"/>
        </w:rPr>
      </w:pPr>
    </w:p>
    <w:p w14:paraId="2D13C96E"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 xml:space="preserve">Ahora bien, cuando las personas tienen una relación comercial, laboral, de servicios, trámites o del tipo que sea, necesariamente por un tema de interés público, debe cederse un poco de privacidad, de tal forma que la gente en general pueda verificar </w:t>
      </w:r>
      <w:r w:rsidRPr="00AE3D7B">
        <w:rPr>
          <w:rFonts w:ascii="Palatino Linotype" w:eastAsia="Palatino Linotype" w:hAnsi="Palatino Linotype" w:cs="Palatino Linotype"/>
        </w:rPr>
        <w:lastRenderedPageBreak/>
        <w:t>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6B235B8C" w14:textId="77777777" w:rsidR="001403D4" w:rsidRPr="00AE3D7B" w:rsidRDefault="001403D4">
      <w:pPr>
        <w:spacing w:line="360" w:lineRule="auto"/>
        <w:jc w:val="both"/>
        <w:rPr>
          <w:rFonts w:ascii="Palatino Linotype" w:eastAsia="Palatino Linotype" w:hAnsi="Palatino Linotype" w:cs="Palatino Linotype"/>
        </w:rPr>
      </w:pPr>
    </w:p>
    <w:p w14:paraId="467BFADA" w14:textId="77777777" w:rsidR="001403D4" w:rsidRPr="00AE3D7B" w:rsidRDefault="005F2E4A">
      <w:pPr>
        <w:numPr>
          <w:ilvl w:val="0"/>
          <w:numId w:val="9"/>
        </w:numPr>
        <w:spacing w:line="360" w:lineRule="auto"/>
        <w:jc w:val="both"/>
        <w:rPr>
          <w:rFonts w:ascii="Palatino Linotype" w:eastAsia="Palatino Linotype" w:hAnsi="Palatino Linotype" w:cs="Palatino Linotype"/>
        </w:rPr>
      </w:pPr>
      <w:r w:rsidRPr="00AE3D7B">
        <w:rPr>
          <w:rFonts w:ascii="Palatino Linotype" w:eastAsia="Palatino Linotype" w:hAnsi="Palatino Linotype" w:cs="Palatino Linotype"/>
          <w:b/>
        </w:rPr>
        <w:t>Clave Única de Registro de Población (CURP)</w:t>
      </w:r>
    </w:p>
    <w:p w14:paraId="1D5353BD"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20C04BA2" w14:textId="77777777" w:rsidR="001403D4" w:rsidRPr="00AE3D7B" w:rsidRDefault="001403D4">
      <w:pPr>
        <w:spacing w:line="360" w:lineRule="auto"/>
        <w:rPr>
          <w:rFonts w:ascii="Palatino Linotype" w:eastAsia="Palatino Linotype" w:hAnsi="Palatino Linotype" w:cs="Palatino Linotype"/>
        </w:rPr>
      </w:pPr>
    </w:p>
    <w:p w14:paraId="0C2254C1"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C1A2DDB" w14:textId="77777777" w:rsidR="001403D4" w:rsidRPr="00AE3D7B" w:rsidRDefault="001403D4">
      <w:pPr>
        <w:spacing w:line="360" w:lineRule="auto"/>
        <w:jc w:val="both"/>
        <w:rPr>
          <w:rFonts w:ascii="Palatino Linotype" w:eastAsia="Palatino Linotype" w:hAnsi="Palatino Linotype" w:cs="Palatino Linotype"/>
        </w:rPr>
      </w:pPr>
    </w:p>
    <w:p w14:paraId="335DF7D0"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 xml:space="preserve">En ese orden de ideas, la Secretaría de Gobernación en las direcciones https://consultas.curp.gob.mx/CurpSP/html/informacionecurpPS.html y </w:t>
      </w:r>
      <w:hyperlink r:id="rId24">
        <w:r w:rsidRPr="00AE3D7B">
          <w:rPr>
            <w:rFonts w:ascii="Palatino Linotype" w:eastAsia="Palatino Linotype" w:hAnsi="Palatino Linotype" w:cs="Palatino Linotype"/>
            <w:color w:val="0563C1"/>
            <w:u w:val="single"/>
          </w:rPr>
          <w:t>https://www.gob.mx/segob/renapo/acciones-y-programas/clave-unica-de-registro-de-poblacion-curp-142226</w:t>
        </w:r>
      </w:hyperlink>
      <w:r w:rsidRPr="00AE3D7B">
        <w:rPr>
          <w:rFonts w:ascii="Palatino Linotype" w:eastAsia="Palatino Linotype" w:hAnsi="Palatino Linotype" w:cs="Palatino Linotype"/>
        </w:rPr>
        <w:t xml:space="preserve"> (consultadas el catorce de diciembre de dos mil veintitrés), estableció </w:t>
      </w:r>
      <w:r w:rsidRPr="00AE3D7B">
        <w:rPr>
          <w:rFonts w:ascii="Palatino Linotype" w:eastAsia="Palatino Linotype" w:hAnsi="Palatino Linotype" w:cs="Palatino Linotype"/>
        </w:rPr>
        <w:lastRenderedPageBreak/>
        <w:t>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36F8A474" w14:textId="77777777" w:rsidR="001403D4" w:rsidRPr="00664EF8" w:rsidRDefault="001403D4">
      <w:pPr>
        <w:spacing w:line="360" w:lineRule="auto"/>
        <w:rPr>
          <w:rFonts w:ascii="Palatino Linotype" w:eastAsia="Palatino Linotype" w:hAnsi="Palatino Linotype" w:cs="Palatino Linotype"/>
          <w:sz w:val="22"/>
          <w:szCs w:val="22"/>
        </w:rPr>
      </w:pPr>
    </w:p>
    <w:p w14:paraId="7BC9D153" w14:textId="77777777" w:rsidR="001403D4" w:rsidRPr="00664EF8" w:rsidRDefault="005F2E4A">
      <w:pPr>
        <w:spacing w:line="360" w:lineRule="auto"/>
        <w:ind w:left="567"/>
        <w:rPr>
          <w:rFonts w:ascii="Palatino Linotype" w:eastAsia="Palatino Linotype" w:hAnsi="Palatino Linotype" w:cs="Palatino Linotype"/>
          <w:sz w:val="22"/>
          <w:szCs w:val="22"/>
        </w:rPr>
      </w:pPr>
      <w:r w:rsidRPr="00AE3D7B">
        <w:rPr>
          <w:rFonts w:ascii="Palatino Linotype" w:eastAsia="Palatino Linotype" w:hAnsi="Palatino Linotype" w:cs="Palatino Linotype"/>
        </w:rPr>
        <w:t>•</w:t>
      </w:r>
      <w:r w:rsidRPr="00664EF8">
        <w:rPr>
          <w:rFonts w:ascii="Palatino Linotype" w:eastAsia="Palatino Linotype" w:hAnsi="Palatino Linotype" w:cs="Palatino Linotype"/>
          <w:sz w:val="22"/>
          <w:szCs w:val="22"/>
        </w:rPr>
        <w:tab/>
        <w:t>El primero y segundo apellidos, así como al nombre de pila;</w:t>
      </w:r>
    </w:p>
    <w:p w14:paraId="08705F88" w14:textId="77777777" w:rsidR="001403D4" w:rsidRPr="00664EF8" w:rsidRDefault="005F2E4A">
      <w:pPr>
        <w:spacing w:line="360" w:lineRule="auto"/>
        <w:ind w:left="567"/>
        <w:rPr>
          <w:rFonts w:ascii="Palatino Linotype" w:eastAsia="Palatino Linotype" w:hAnsi="Palatino Linotype" w:cs="Palatino Linotype"/>
          <w:sz w:val="22"/>
          <w:szCs w:val="22"/>
        </w:rPr>
      </w:pPr>
      <w:r w:rsidRPr="00664EF8">
        <w:rPr>
          <w:rFonts w:ascii="Palatino Linotype" w:eastAsia="Palatino Linotype" w:hAnsi="Palatino Linotype" w:cs="Palatino Linotype"/>
          <w:sz w:val="22"/>
          <w:szCs w:val="22"/>
        </w:rPr>
        <w:t>•</w:t>
      </w:r>
      <w:r w:rsidRPr="00664EF8">
        <w:rPr>
          <w:rFonts w:ascii="Palatino Linotype" w:eastAsia="Palatino Linotype" w:hAnsi="Palatino Linotype" w:cs="Palatino Linotype"/>
          <w:sz w:val="22"/>
          <w:szCs w:val="22"/>
        </w:rPr>
        <w:tab/>
        <w:t>La fecha de nacimiento;</w:t>
      </w:r>
    </w:p>
    <w:p w14:paraId="5A0D99FB" w14:textId="77777777" w:rsidR="001403D4" w:rsidRPr="00664EF8" w:rsidRDefault="005F2E4A">
      <w:pPr>
        <w:spacing w:line="360" w:lineRule="auto"/>
        <w:ind w:left="567"/>
        <w:rPr>
          <w:rFonts w:ascii="Palatino Linotype" w:eastAsia="Palatino Linotype" w:hAnsi="Palatino Linotype" w:cs="Palatino Linotype"/>
          <w:sz w:val="22"/>
          <w:szCs w:val="22"/>
        </w:rPr>
      </w:pPr>
      <w:r w:rsidRPr="00664EF8">
        <w:rPr>
          <w:rFonts w:ascii="Palatino Linotype" w:eastAsia="Palatino Linotype" w:hAnsi="Palatino Linotype" w:cs="Palatino Linotype"/>
          <w:sz w:val="22"/>
          <w:szCs w:val="22"/>
        </w:rPr>
        <w:t>•</w:t>
      </w:r>
      <w:r w:rsidRPr="00664EF8">
        <w:rPr>
          <w:rFonts w:ascii="Palatino Linotype" w:eastAsia="Palatino Linotype" w:hAnsi="Palatino Linotype" w:cs="Palatino Linotype"/>
          <w:sz w:val="22"/>
          <w:szCs w:val="22"/>
        </w:rPr>
        <w:tab/>
        <w:t>El sexo, y</w:t>
      </w:r>
    </w:p>
    <w:p w14:paraId="56D90727" w14:textId="77777777" w:rsidR="001403D4" w:rsidRPr="00664EF8" w:rsidRDefault="005F2E4A">
      <w:pPr>
        <w:spacing w:line="360" w:lineRule="auto"/>
        <w:ind w:left="567"/>
        <w:rPr>
          <w:rFonts w:ascii="Palatino Linotype" w:eastAsia="Palatino Linotype" w:hAnsi="Palatino Linotype" w:cs="Palatino Linotype"/>
          <w:b/>
          <w:sz w:val="22"/>
          <w:szCs w:val="22"/>
        </w:rPr>
      </w:pPr>
      <w:r w:rsidRPr="00664EF8">
        <w:rPr>
          <w:rFonts w:ascii="Palatino Linotype" w:eastAsia="Palatino Linotype" w:hAnsi="Palatino Linotype" w:cs="Palatino Linotype"/>
          <w:sz w:val="22"/>
          <w:szCs w:val="22"/>
        </w:rPr>
        <w:t>•</w:t>
      </w:r>
      <w:r w:rsidRPr="00664EF8">
        <w:rPr>
          <w:rFonts w:ascii="Palatino Linotype" w:eastAsia="Palatino Linotype" w:hAnsi="Palatino Linotype" w:cs="Palatino Linotype"/>
          <w:sz w:val="22"/>
          <w:szCs w:val="22"/>
        </w:rPr>
        <w:tab/>
      </w:r>
      <w:r w:rsidRPr="00664EF8">
        <w:rPr>
          <w:rFonts w:ascii="Palatino Linotype" w:eastAsia="Palatino Linotype" w:hAnsi="Palatino Linotype" w:cs="Palatino Linotype"/>
          <w:b/>
          <w:sz w:val="22"/>
          <w:szCs w:val="22"/>
        </w:rPr>
        <w:t>La entidad federativa de nacimiento.</w:t>
      </w:r>
    </w:p>
    <w:p w14:paraId="5EF43C42" w14:textId="77777777" w:rsidR="00664EF8" w:rsidRPr="00AE3D7B" w:rsidRDefault="00664EF8">
      <w:pPr>
        <w:spacing w:line="360" w:lineRule="auto"/>
        <w:ind w:left="567"/>
        <w:rPr>
          <w:rFonts w:ascii="Palatino Linotype" w:eastAsia="Palatino Linotype" w:hAnsi="Palatino Linotype" w:cs="Palatino Linotype"/>
        </w:rPr>
      </w:pPr>
    </w:p>
    <w:p w14:paraId="5AB888B1"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Los dos últimos elementos de la Clave Única de Registro de Población evitan la duplicidad de la Clave y garantizan su correcta integración. 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460CA89" w14:textId="77777777" w:rsidR="001403D4" w:rsidRPr="00AE3D7B" w:rsidRDefault="001403D4">
      <w:pPr>
        <w:spacing w:line="360" w:lineRule="auto"/>
        <w:rPr>
          <w:rFonts w:ascii="Palatino Linotype" w:eastAsia="Palatino Linotype" w:hAnsi="Palatino Linotype" w:cs="Palatino Linotype"/>
        </w:rPr>
      </w:pPr>
    </w:p>
    <w:p w14:paraId="4046DA9D"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lastRenderedPageBreak/>
        <w:t>Situación que se robustece, con el Criterio de Interpretación, de la Segunda Época, con número de registro SO/018/2017, emitido por el Instituto Nacional de Transparencia, Acceso a la Información y Protección de Datos Personales, que establece lo siguiente:</w:t>
      </w:r>
    </w:p>
    <w:p w14:paraId="793D81CA" w14:textId="77777777" w:rsidR="001403D4" w:rsidRPr="000D38D4" w:rsidRDefault="001403D4">
      <w:pPr>
        <w:spacing w:line="360" w:lineRule="auto"/>
        <w:rPr>
          <w:rFonts w:ascii="Palatino Linotype" w:eastAsia="Palatino Linotype" w:hAnsi="Palatino Linotype" w:cs="Palatino Linotype"/>
          <w:sz w:val="22"/>
          <w:szCs w:val="22"/>
        </w:rPr>
      </w:pPr>
    </w:p>
    <w:p w14:paraId="47A90A88" w14:textId="77777777" w:rsidR="001403D4" w:rsidRPr="00664EF8" w:rsidRDefault="005F2E4A" w:rsidP="000D38D4">
      <w:pPr>
        <w:spacing w:line="360" w:lineRule="auto"/>
        <w:ind w:left="567" w:right="539"/>
        <w:jc w:val="both"/>
        <w:rPr>
          <w:rFonts w:ascii="Palatino Linotype" w:eastAsia="Palatino Linotype" w:hAnsi="Palatino Linotype" w:cs="Palatino Linotype"/>
          <w:i/>
          <w:sz w:val="22"/>
          <w:szCs w:val="22"/>
        </w:rPr>
      </w:pPr>
      <w:r w:rsidRPr="00664EF8">
        <w:rPr>
          <w:rFonts w:ascii="Palatino Linotype" w:eastAsia="Palatino Linotype" w:hAnsi="Palatino Linotype" w:cs="Palatino Linotype"/>
          <w:b/>
          <w:i/>
          <w:sz w:val="22"/>
          <w:szCs w:val="22"/>
        </w:rPr>
        <w:t xml:space="preserve">“Clave Única de Registro de Población (CURP). </w:t>
      </w:r>
      <w:r w:rsidRPr="00664EF8">
        <w:rPr>
          <w:rFonts w:ascii="Palatino Linotype" w:eastAsia="Palatino Linotype" w:hAnsi="Palatino Linotype" w:cs="Palatino Linotype"/>
          <w:i/>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3B05EFD4" w14:textId="77777777" w:rsidR="001403D4" w:rsidRPr="000D38D4" w:rsidRDefault="001403D4">
      <w:pPr>
        <w:spacing w:line="360" w:lineRule="auto"/>
        <w:rPr>
          <w:rFonts w:ascii="Palatino Linotype" w:eastAsia="Palatino Linotype" w:hAnsi="Palatino Linotype" w:cs="Palatino Linotype"/>
          <w:sz w:val="22"/>
          <w:szCs w:val="22"/>
        </w:rPr>
      </w:pPr>
    </w:p>
    <w:p w14:paraId="6DCE6B7C"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 xml:space="preserve">De acuerdo con lo anterior, resulta procedente la clasificación de </w:t>
      </w:r>
      <w:r w:rsidRPr="00AE3D7B">
        <w:rPr>
          <w:rFonts w:ascii="Palatino Linotype" w:eastAsia="Palatino Linotype" w:hAnsi="Palatino Linotype" w:cs="Palatino Linotype"/>
          <w:b/>
        </w:rPr>
        <w:t>la Clave Única de Registro de Población</w:t>
      </w:r>
      <w:r w:rsidRPr="00AE3D7B">
        <w:rPr>
          <w:rFonts w:ascii="Palatino Linotype" w:eastAsia="Palatino Linotype" w:hAnsi="Palatino Linotype" w:cs="Palatino Linotype"/>
        </w:rPr>
        <w:t xml:space="preserve">, por tratarse de un dato personal confidencial, en términos del artículo 143, fracción I, de la Ley de Transparencia y Acceso a la Información Pública del Estado de México y Municipios. </w:t>
      </w:r>
    </w:p>
    <w:p w14:paraId="22FE5B3A" w14:textId="77777777" w:rsidR="001403D4" w:rsidRPr="00AE3D7B" w:rsidRDefault="001403D4">
      <w:pPr>
        <w:spacing w:line="360" w:lineRule="auto"/>
        <w:jc w:val="both"/>
        <w:rPr>
          <w:rFonts w:ascii="Palatino Linotype" w:eastAsia="Palatino Linotype" w:hAnsi="Palatino Linotype" w:cs="Palatino Linotype"/>
        </w:rPr>
      </w:pPr>
    </w:p>
    <w:p w14:paraId="12FE7832" w14:textId="77777777" w:rsidR="001403D4" w:rsidRPr="00AE3D7B" w:rsidRDefault="005F2E4A">
      <w:pPr>
        <w:numPr>
          <w:ilvl w:val="0"/>
          <w:numId w:val="10"/>
        </w:numPr>
        <w:spacing w:line="360" w:lineRule="auto"/>
        <w:jc w:val="both"/>
        <w:rPr>
          <w:rFonts w:ascii="Palatino Linotype" w:eastAsia="Palatino Linotype" w:hAnsi="Palatino Linotype" w:cs="Palatino Linotype"/>
          <w:b/>
        </w:rPr>
      </w:pPr>
      <w:r w:rsidRPr="00AE3D7B">
        <w:rPr>
          <w:rFonts w:ascii="Palatino Linotype" w:eastAsia="Palatino Linotype" w:hAnsi="Palatino Linotype" w:cs="Palatino Linotype"/>
          <w:b/>
        </w:rPr>
        <w:t xml:space="preserve">Código bidimensional o </w:t>
      </w:r>
      <w:proofErr w:type="spellStart"/>
      <w:r w:rsidRPr="00AE3D7B">
        <w:rPr>
          <w:rFonts w:ascii="Palatino Linotype" w:eastAsia="Palatino Linotype" w:hAnsi="Palatino Linotype" w:cs="Palatino Linotype"/>
          <w:b/>
        </w:rPr>
        <w:t>Qr</w:t>
      </w:r>
      <w:proofErr w:type="spellEnd"/>
    </w:p>
    <w:p w14:paraId="4755CB83"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 xml:space="preserve">En principio, resulta necesario señalar que los comprobantes fiscales digitales por Internet, deben de incluir un código bidimensional conforme al formato QR </w:t>
      </w:r>
      <w:proofErr w:type="spellStart"/>
      <w:r w:rsidRPr="00AE3D7B">
        <w:rPr>
          <w:rFonts w:ascii="Palatino Linotype" w:eastAsia="Palatino Linotype" w:hAnsi="Palatino Linotype" w:cs="Palatino Linotype"/>
        </w:rPr>
        <w:t>Code</w:t>
      </w:r>
      <w:proofErr w:type="spellEnd"/>
      <w:r w:rsidRPr="00AE3D7B">
        <w:rPr>
          <w:rFonts w:ascii="Palatino Linotype" w:eastAsia="Palatino Linotype" w:hAnsi="Palatino Linotype" w:cs="Palatino Linotype"/>
        </w:rPr>
        <w:t xml:space="preserve"> (Quick Response </w:t>
      </w:r>
      <w:proofErr w:type="spellStart"/>
      <w:r w:rsidRPr="00AE3D7B">
        <w:rPr>
          <w:rFonts w:ascii="Palatino Linotype" w:eastAsia="Palatino Linotype" w:hAnsi="Palatino Linotype" w:cs="Palatino Linotype"/>
        </w:rPr>
        <w:t>Code</w:t>
      </w:r>
      <w:proofErr w:type="spellEnd"/>
      <w:r w:rsidRPr="00AE3D7B">
        <w:rPr>
          <w:rFonts w:ascii="Palatino Linotype" w:eastAsia="Palatino Linotype" w:hAnsi="Palatino Linotype" w:cs="Palatino Linotype"/>
        </w:rPr>
        <w:t xml:space="preserve">), el cual contiene el Registro Federal de Contribuyentes del receptor, del emisor, o de ambos; lo anterior, conforme al Anexo 20 de la Segunda Resolución de modificación a la Resolución Miscelánea Fiscal para el 2017, localizada en la página electrónica  http://dof.gob.mx/nota_detalle.php?codigo=5492254&amp;fecha=28/07/2017. </w:t>
      </w:r>
      <w:r w:rsidRPr="00AE3D7B">
        <w:rPr>
          <w:rFonts w:ascii="Palatino Linotype" w:eastAsia="Palatino Linotype" w:hAnsi="Palatino Linotype" w:cs="Palatino Linotype"/>
        </w:rPr>
        <w:lastRenderedPageBreak/>
        <w:t>Incluso con la captura de dicho código, a través de la aplicación móvil del Servicio de Administración Tributaria, permite el acceso al Registro Federal de Contribuyentes, como del Sujeto Obligado, como de los servidores públicos.</w:t>
      </w:r>
    </w:p>
    <w:p w14:paraId="416D4704" w14:textId="77777777" w:rsidR="001403D4" w:rsidRPr="00AE3D7B" w:rsidRDefault="001403D4">
      <w:pPr>
        <w:spacing w:line="360" w:lineRule="auto"/>
        <w:rPr>
          <w:rFonts w:ascii="Palatino Linotype" w:eastAsia="Palatino Linotype" w:hAnsi="Palatino Linotype" w:cs="Palatino Linotype"/>
        </w:rPr>
      </w:pPr>
    </w:p>
    <w:p w14:paraId="184A49E9"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14:paraId="750220DF" w14:textId="77777777" w:rsidR="001403D4" w:rsidRPr="00064B94" w:rsidRDefault="001403D4">
      <w:pPr>
        <w:spacing w:line="360" w:lineRule="auto"/>
        <w:rPr>
          <w:rFonts w:ascii="Palatino Linotype" w:eastAsia="Palatino Linotype" w:hAnsi="Palatino Linotype" w:cs="Palatino Linotype"/>
          <w:sz w:val="22"/>
          <w:szCs w:val="22"/>
        </w:rPr>
      </w:pPr>
    </w:p>
    <w:p w14:paraId="6DB3F1D0" w14:textId="77777777" w:rsidR="001403D4" w:rsidRPr="00AE3D7B" w:rsidRDefault="005F2E4A">
      <w:pPr>
        <w:numPr>
          <w:ilvl w:val="0"/>
          <w:numId w:val="11"/>
        </w:numPr>
        <w:spacing w:line="360" w:lineRule="auto"/>
        <w:jc w:val="both"/>
        <w:rPr>
          <w:rFonts w:ascii="Palatino Linotype" w:eastAsia="Palatino Linotype" w:hAnsi="Palatino Linotype" w:cs="Palatino Linotype"/>
          <w:b/>
        </w:rPr>
      </w:pPr>
      <w:r w:rsidRPr="00AE3D7B">
        <w:rPr>
          <w:rFonts w:ascii="Palatino Linotype" w:eastAsia="Palatino Linotype" w:hAnsi="Palatino Linotype" w:cs="Palatino Linotype"/>
          <w:b/>
        </w:rPr>
        <w:t>Número de seguridad social del Instituto de Seguridad Social del Estado de México y Municipios</w:t>
      </w:r>
    </w:p>
    <w:p w14:paraId="2B509A7F" w14:textId="77777777" w:rsidR="001403D4" w:rsidRPr="00064B94" w:rsidRDefault="001403D4">
      <w:pPr>
        <w:spacing w:line="360" w:lineRule="auto"/>
        <w:rPr>
          <w:rFonts w:ascii="Palatino Linotype" w:eastAsia="Palatino Linotype" w:hAnsi="Palatino Linotype" w:cs="Palatino Linotype"/>
          <w:sz w:val="22"/>
          <w:szCs w:val="22"/>
        </w:rPr>
      </w:pPr>
    </w:p>
    <w:p w14:paraId="4E43BD32"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7BE16CF" w14:textId="77777777" w:rsidR="001403D4" w:rsidRPr="00AE3D7B" w:rsidRDefault="001403D4">
      <w:pPr>
        <w:spacing w:line="360" w:lineRule="auto"/>
        <w:rPr>
          <w:rFonts w:ascii="Palatino Linotype" w:eastAsia="Palatino Linotype" w:hAnsi="Palatino Linotype" w:cs="Palatino Linotype"/>
        </w:rPr>
      </w:pPr>
    </w:p>
    <w:p w14:paraId="727DCF66"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 xml:space="preserve">En ese contexto, el artículo 9° del mismo ordenamiento, dispone que el Instituto de Seguridad Social del Estado de México y Municipios expedirá documentos de identificación para facilitar el acceso a las prestaciones a que tengan derecho; así, el </w:t>
      </w:r>
      <w:r w:rsidRPr="00AE3D7B">
        <w:rPr>
          <w:rFonts w:ascii="Palatino Linotype" w:eastAsia="Palatino Linotype" w:hAnsi="Palatino Linotype" w:cs="Palatino Linotype"/>
        </w:rPr>
        <w:lastRenderedPageBreak/>
        <w:t>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5F8A71D7" w14:textId="77777777" w:rsidR="001403D4" w:rsidRPr="00AE3D7B" w:rsidRDefault="001403D4">
      <w:pPr>
        <w:spacing w:line="360" w:lineRule="auto"/>
        <w:rPr>
          <w:rFonts w:ascii="Palatino Linotype" w:eastAsia="Palatino Linotype" w:hAnsi="Palatino Linotype" w:cs="Palatino Linotype"/>
        </w:rPr>
      </w:pPr>
    </w:p>
    <w:p w14:paraId="5D3E33A0" w14:textId="77777777" w:rsidR="001403D4"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364F57E5" w14:textId="77777777" w:rsidR="00064B94" w:rsidRPr="00AE3D7B" w:rsidRDefault="00064B94" w:rsidP="00064B94">
      <w:pPr>
        <w:spacing w:line="360" w:lineRule="auto"/>
        <w:jc w:val="both"/>
        <w:rPr>
          <w:rFonts w:ascii="Palatino Linotype" w:eastAsia="Palatino Linotype" w:hAnsi="Palatino Linotype" w:cs="Palatino Linotype"/>
        </w:rPr>
      </w:pPr>
    </w:p>
    <w:p w14:paraId="184D5E4B" w14:textId="6D0FD7FD" w:rsidR="000058D5" w:rsidRPr="00134A7A" w:rsidRDefault="005F2E4A" w:rsidP="000058D5">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6B27221C" w14:textId="77777777" w:rsidR="000058D5" w:rsidRPr="00134A7A" w:rsidRDefault="000058D5" w:rsidP="000058D5">
      <w:pPr>
        <w:numPr>
          <w:ilvl w:val="0"/>
          <w:numId w:val="13"/>
        </w:numPr>
        <w:spacing w:line="360" w:lineRule="auto"/>
        <w:ind w:left="426" w:hanging="426"/>
        <w:contextualSpacing/>
        <w:rPr>
          <w:rFonts w:ascii="Palatino Linotype" w:hAnsi="Palatino Linotype" w:cs="Tahoma"/>
        </w:rPr>
      </w:pPr>
      <w:r w:rsidRPr="00134A7A">
        <w:rPr>
          <w:rFonts w:ascii="Palatino Linotype" w:hAnsi="Palatino Linotype" w:cs="Tahoma"/>
          <w:b/>
        </w:rPr>
        <w:lastRenderedPageBreak/>
        <w:t>Número de empleado.</w:t>
      </w:r>
    </w:p>
    <w:p w14:paraId="57547538" w14:textId="77777777" w:rsidR="000058D5" w:rsidRPr="00134A7A" w:rsidRDefault="000058D5" w:rsidP="000058D5">
      <w:pPr>
        <w:spacing w:line="360" w:lineRule="auto"/>
        <w:contextualSpacing/>
        <w:jc w:val="both"/>
        <w:rPr>
          <w:rFonts w:ascii="Palatino Linotype" w:hAnsi="Palatino Linotype" w:cs="Tahoma"/>
        </w:rPr>
      </w:pPr>
      <w:r w:rsidRPr="00134A7A">
        <w:rPr>
          <w:rFonts w:ascii="Palatino Linotype" w:hAnsi="Palatino Linotype" w:cs="Tahoma"/>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14:paraId="5E21D8A8" w14:textId="77777777" w:rsidR="000058D5" w:rsidRPr="00134A7A" w:rsidRDefault="000058D5" w:rsidP="000058D5">
      <w:pPr>
        <w:spacing w:line="360" w:lineRule="auto"/>
        <w:contextualSpacing/>
        <w:jc w:val="both"/>
        <w:rPr>
          <w:rFonts w:ascii="Palatino Linotype" w:hAnsi="Palatino Linotype" w:cs="Tahoma"/>
        </w:rPr>
      </w:pPr>
    </w:p>
    <w:p w14:paraId="538193C6" w14:textId="77777777" w:rsidR="000058D5" w:rsidRPr="00134A7A" w:rsidRDefault="000058D5" w:rsidP="000058D5">
      <w:pPr>
        <w:spacing w:line="360" w:lineRule="auto"/>
        <w:contextualSpacing/>
        <w:jc w:val="both"/>
        <w:rPr>
          <w:rFonts w:ascii="Palatino Linotype" w:hAnsi="Palatino Linotype" w:cs="Tahoma"/>
        </w:rPr>
      </w:pPr>
      <w:r w:rsidRPr="00134A7A">
        <w:rPr>
          <w:rFonts w:ascii="Palatino Linotype" w:hAnsi="Palatino Linotype" w:cs="Tahoma"/>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2D0EFE9A" w14:textId="77777777" w:rsidR="000058D5" w:rsidRPr="00134A7A" w:rsidRDefault="000058D5" w:rsidP="000058D5">
      <w:pPr>
        <w:spacing w:line="360" w:lineRule="auto"/>
        <w:contextualSpacing/>
        <w:jc w:val="both"/>
        <w:rPr>
          <w:rFonts w:ascii="Palatino Linotype" w:hAnsi="Palatino Linotype" w:cs="Tahoma"/>
        </w:rPr>
      </w:pPr>
    </w:p>
    <w:p w14:paraId="334A3476" w14:textId="77777777" w:rsidR="000058D5" w:rsidRPr="00134A7A" w:rsidRDefault="000058D5" w:rsidP="000058D5">
      <w:pPr>
        <w:spacing w:line="360" w:lineRule="auto"/>
        <w:jc w:val="both"/>
        <w:rPr>
          <w:rFonts w:ascii="Palatino Linotype" w:eastAsia="Calibri" w:hAnsi="Palatino Linotype" w:cs="Tahoma"/>
          <w:bCs/>
          <w:iCs/>
          <w:lang w:eastAsia="en-US"/>
        </w:rPr>
      </w:pPr>
      <w:r w:rsidRPr="00134A7A">
        <w:rPr>
          <w:rFonts w:ascii="Palatino Linotype" w:eastAsia="Calibri" w:hAnsi="Palatino Linotype" w:cs="Tahoma"/>
          <w:bCs/>
          <w:iCs/>
          <w:lang w:eastAsia="en-US"/>
        </w:rPr>
        <w:t xml:space="preserve">Lo anterior, toma sustento en el </w:t>
      </w:r>
      <w:r w:rsidRPr="00134A7A">
        <w:rPr>
          <w:rFonts w:ascii="Palatino Linotype" w:eastAsia="Calibri" w:hAnsi="Palatino Linotype" w:cs="Tahoma"/>
          <w:bCs/>
          <w:lang w:val="es-ES" w:eastAsia="en-US"/>
        </w:rPr>
        <w:t xml:space="preserve">Criterio de Interpretación, de la Segunda Época, con número de registro </w:t>
      </w:r>
      <w:r w:rsidRPr="00134A7A">
        <w:rPr>
          <w:rFonts w:ascii="Palatino Linotype" w:eastAsia="Calibri" w:hAnsi="Palatino Linotype" w:cs="Tahoma"/>
          <w:bCs/>
          <w:lang w:eastAsia="en-US"/>
        </w:rPr>
        <w:t>SO/006/2019</w:t>
      </w:r>
      <w:r w:rsidRPr="00134A7A">
        <w:rPr>
          <w:rFonts w:ascii="Palatino Linotype" w:eastAsia="Calibri" w:hAnsi="Palatino Linotype" w:cs="Tahoma"/>
          <w:bCs/>
          <w:iCs/>
          <w:lang w:eastAsia="en-US"/>
        </w:rPr>
        <w:t>, emitido por el Instituto Nacional de Transparencia, Acceso a la Información y Protección de Datos Personales, que establece lo siguiente:</w:t>
      </w:r>
    </w:p>
    <w:p w14:paraId="40CB5687" w14:textId="77777777" w:rsidR="005B78A4" w:rsidRPr="00134A7A" w:rsidRDefault="005B78A4" w:rsidP="000058D5">
      <w:pPr>
        <w:spacing w:line="360" w:lineRule="auto"/>
        <w:jc w:val="both"/>
        <w:rPr>
          <w:rFonts w:ascii="Palatino Linotype" w:eastAsia="Calibri" w:hAnsi="Palatino Linotype" w:cs="Tahoma"/>
          <w:bCs/>
          <w:iCs/>
          <w:sz w:val="22"/>
          <w:szCs w:val="22"/>
          <w:lang w:eastAsia="en-US"/>
        </w:rPr>
      </w:pPr>
    </w:p>
    <w:p w14:paraId="53C353B5" w14:textId="77777777" w:rsidR="000058D5" w:rsidRPr="00134A7A" w:rsidRDefault="000058D5" w:rsidP="000058D5">
      <w:pPr>
        <w:spacing w:line="360" w:lineRule="auto"/>
        <w:ind w:left="567" w:right="567"/>
        <w:jc w:val="both"/>
        <w:rPr>
          <w:rFonts w:ascii="Palatino Linotype" w:eastAsia="Calibri" w:hAnsi="Palatino Linotype" w:cs="Tahoma"/>
          <w:bCs/>
          <w:i/>
          <w:iCs/>
          <w:sz w:val="22"/>
          <w:szCs w:val="22"/>
          <w:lang w:eastAsia="en-US"/>
        </w:rPr>
      </w:pPr>
      <w:r w:rsidRPr="00134A7A">
        <w:rPr>
          <w:rFonts w:ascii="Palatino Linotype" w:eastAsia="Calibri" w:hAnsi="Palatino Linotype" w:cs="Tahoma"/>
          <w:b/>
          <w:bCs/>
          <w:i/>
          <w:iCs/>
          <w:sz w:val="22"/>
          <w:szCs w:val="22"/>
          <w:lang w:eastAsia="en-US"/>
        </w:rPr>
        <w:t xml:space="preserve">“Número de empleado. </w:t>
      </w:r>
      <w:r w:rsidRPr="00134A7A">
        <w:rPr>
          <w:rFonts w:ascii="Palatino Linotype" w:eastAsia="Calibri" w:hAnsi="Palatino Linotype" w:cs="Tahoma"/>
          <w:bCs/>
          <w:i/>
          <w:iCs/>
          <w:sz w:val="22"/>
          <w:szCs w:val="22"/>
          <w:lang w:eastAsia="en-US"/>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076F185B" w14:textId="77777777" w:rsidR="000058D5" w:rsidRPr="00AE3D7B" w:rsidRDefault="000058D5" w:rsidP="000058D5">
      <w:pPr>
        <w:spacing w:line="360" w:lineRule="auto"/>
        <w:contextualSpacing/>
        <w:jc w:val="both"/>
        <w:rPr>
          <w:rFonts w:ascii="Palatino Linotype" w:hAnsi="Palatino Linotype" w:cs="Tahoma"/>
          <w:highlight w:val="yellow"/>
        </w:rPr>
      </w:pPr>
    </w:p>
    <w:p w14:paraId="4C06071E" w14:textId="77777777" w:rsidR="000058D5" w:rsidRPr="00134A7A" w:rsidRDefault="000058D5" w:rsidP="000058D5">
      <w:pPr>
        <w:spacing w:line="360" w:lineRule="auto"/>
        <w:contextualSpacing/>
        <w:jc w:val="both"/>
        <w:rPr>
          <w:rFonts w:ascii="Palatino Linotype" w:hAnsi="Palatino Linotype" w:cs="Tahoma"/>
          <w:bCs/>
        </w:rPr>
      </w:pPr>
      <w:r w:rsidRPr="00134A7A">
        <w:rPr>
          <w:rFonts w:ascii="Palatino Linotype" w:hAnsi="Palatino Linotype" w:cs="Tahoma"/>
        </w:rPr>
        <w:lastRenderedPageBreak/>
        <w:t xml:space="preserve">Conforme a lo anterior, se advierte que solamente procederá la clasificación del número de empleado, cuando se integre con datos personales de los servidores públicos o funcione como clave de acceso que no requiera una contraseña para ingresar a sistemas o bases de datos. </w:t>
      </w:r>
      <w:r w:rsidRPr="00134A7A">
        <w:rPr>
          <w:rFonts w:ascii="Palatino Linotype" w:hAnsi="Palatino Linotype" w:cs="Tahoma"/>
          <w:bCs/>
        </w:rPr>
        <w:t>De tales circunstancias y toda vez que el Sujeto Obligado no precisó como se conformaba el número de empleado, se considera que deberá proporcionarlo,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14:paraId="1E4BDC3F" w14:textId="77777777" w:rsidR="000058D5" w:rsidRPr="00134A7A" w:rsidRDefault="000058D5" w:rsidP="000058D5">
      <w:pPr>
        <w:spacing w:line="360" w:lineRule="auto"/>
        <w:contextualSpacing/>
        <w:jc w:val="both"/>
        <w:rPr>
          <w:rFonts w:ascii="Palatino Linotype" w:hAnsi="Palatino Linotype" w:cs="Tahoma"/>
          <w:bCs/>
        </w:rPr>
      </w:pPr>
    </w:p>
    <w:p w14:paraId="5F4D2843" w14:textId="77777777" w:rsidR="000058D5" w:rsidRPr="00AE3D7B" w:rsidRDefault="000058D5" w:rsidP="000058D5">
      <w:pPr>
        <w:spacing w:line="360" w:lineRule="auto"/>
        <w:jc w:val="both"/>
        <w:rPr>
          <w:rFonts w:ascii="Palatino Linotype" w:hAnsi="Palatino Linotype" w:cs="Tahoma"/>
          <w:b/>
          <w:lang w:val="es-ES"/>
        </w:rPr>
      </w:pPr>
      <w:r w:rsidRPr="00134A7A">
        <w:rPr>
          <w:rFonts w:ascii="Palatino Linotype" w:hAnsi="Palatino Linotype" w:cs="Tahoma"/>
        </w:rPr>
        <w:t>Por lo tanto, resulta procedente clasificar dicho dato en términos del artículo 143, fracción I de la Ley de Transparencia y Acceso a la Información Pública del Estado de México y Municipios</w:t>
      </w:r>
    </w:p>
    <w:p w14:paraId="2E0E8834" w14:textId="77777777" w:rsidR="000058D5" w:rsidRPr="00AE3D7B" w:rsidRDefault="000058D5" w:rsidP="000058D5">
      <w:pPr>
        <w:spacing w:line="360" w:lineRule="auto"/>
        <w:jc w:val="both"/>
        <w:rPr>
          <w:rFonts w:ascii="Palatino Linotype" w:eastAsia="Palatino Linotype" w:hAnsi="Palatino Linotype" w:cs="Palatino Linotype"/>
        </w:rPr>
      </w:pPr>
    </w:p>
    <w:p w14:paraId="7E8C0203" w14:textId="77777777" w:rsidR="001403D4" w:rsidRPr="00AE3D7B" w:rsidRDefault="005F2E4A">
      <w:pPr>
        <w:numPr>
          <w:ilvl w:val="0"/>
          <w:numId w:val="15"/>
        </w:numPr>
        <w:spacing w:line="360" w:lineRule="auto"/>
        <w:jc w:val="both"/>
        <w:rPr>
          <w:rFonts w:ascii="Palatino Linotype" w:eastAsia="Palatino Linotype" w:hAnsi="Palatino Linotype" w:cs="Palatino Linotype"/>
          <w:b/>
        </w:rPr>
      </w:pPr>
      <w:r w:rsidRPr="00AE3D7B">
        <w:rPr>
          <w:rFonts w:ascii="Palatino Linotype" w:eastAsia="Palatino Linotype" w:hAnsi="Palatino Linotype" w:cs="Palatino Linotype"/>
          <w:b/>
        </w:rPr>
        <w:t>Descuentos personales</w:t>
      </w:r>
    </w:p>
    <w:p w14:paraId="5C362619"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24607469" w14:textId="77777777" w:rsidR="001403D4" w:rsidRPr="00AE3D7B" w:rsidRDefault="001403D4">
      <w:pPr>
        <w:spacing w:line="360" w:lineRule="auto"/>
        <w:rPr>
          <w:rFonts w:ascii="Palatino Linotype" w:eastAsia="Palatino Linotype" w:hAnsi="Palatino Linotype" w:cs="Palatino Linotype"/>
        </w:rPr>
      </w:pPr>
    </w:p>
    <w:p w14:paraId="235EA621"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lastRenderedPageBreak/>
        <w:t xml:space="preserve">Asimismo, hay otras que se generan con motivo de una sentencia judicial, como es la pensión alimenticia que periódicamente se retira de la cuenta de un empleado, a efecto de que sea entregado a un tercero.  </w:t>
      </w:r>
    </w:p>
    <w:p w14:paraId="01180C7F" w14:textId="77777777" w:rsidR="001403D4" w:rsidRPr="00AE3D7B" w:rsidRDefault="001403D4">
      <w:pPr>
        <w:spacing w:line="360" w:lineRule="auto"/>
        <w:ind w:left="720"/>
        <w:rPr>
          <w:rFonts w:ascii="Palatino Linotype" w:eastAsia="Palatino Linotype" w:hAnsi="Palatino Linotype" w:cs="Palatino Linotype"/>
          <w:color w:val="000000"/>
        </w:rPr>
      </w:pPr>
    </w:p>
    <w:p w14:paraId="12A402B6" w14:textId="77777777" w:rsidR="001403D4"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3908B7CA" w14:textId="77777777" w:rsidR="00472C0A" w:rsidRPr="00AE3D7B" w:rsidRDefault="00472C0A" w:rsidP="00472C0A">
      <w:pPr>
        <w:spacing w:line="360" w:lineRule="auto"/>
        <w:jc w:val="both"/>
        <w:rPr>
          <w:rFonts w:ascii="Palatino Linotype" w:eastAsia="Palatino Linotype" w:hAnsi="Palatino Linotype" w:cs="Palatino Linotype"/>
        </w:rPr>
      </w:pPr>
    </w:p>
    <w:p w14:paraId="1E7FA427"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21C92D35" w14:textId="77777777" w:rsidR="001403D4" w:rsidRPr="00AE3D7B" w:rsidRDefault="001403D4">
      <w:pPr>
        <w:spacing w:line="360" w:lineRule="auto"/>
        <w:ind w:left="567" w:right="539"/>
        <w:rPr>
          <w:rFonts w:ascii="Palatino Linotype" w:eastAsia="Palatino Linotype" w:hAnsi="Palatino Linotype" w:cs="Palatino Linotype"/>
          <w:b/>
        </w:rPr>
      </w:pPr>
    </w:p>
    <w:p w14:paraId="3DD81735" w14:textId="77777777" w:rsidR="001403D4" w:rsidRPr="009439AE" w:rsidRDefault="005F2E4A">
      <w:pPr>
        <w:numPr>
          <w:ilvl w:val="0"/>
          <w:numId w:val="16"/>
        </w:numPr>
        <w:spacing w:line="360" w:lineRule="auto"/>
        <w:ind w:right="539"/>
        <w:jc w:val="both"/>
        <w:rPr>
          <w:rFonts w:ascii="Palatino Linotype" w:eastAsia="Palatino Linotype" w:hAnsi="Palatino Linotype" w:cs="Palatino Linotype"/>
          <w:b/>
          <w:sz w:val="22"/>
          <w:szCs w:val="22"/>
        </w:rPr>
      </w:pPr>
      <w:r w:rsidRPr="009439AE">
        <w:rPr>
          <w:rFonts w:ascii="Palatino Linotype" w:eastAsia="Palatino Linotype" w:hAnsi="Palatino Linotype" w:cs="Palatino Linotype"/>
          <w:b/>
          <w:sz w:val="22"/>
          <w:szCs w:val="22"/>
        </w:rPr>
        <w:t>Sellos digitales del emisor y del Servicio de Administración Tributaria y cadena original del complemento de certificación digital del órgano previamente señalado; así como sus respectivos números de serie de los certificados de sellos digitales, folio fiscal y número de serie del emisor.</w:t>
      </w:r>
    </w:p>
    <w:p w14:paraId="25FF14A3" w14:textId="77777777" w:rsidR="001403D4" w:rsidRPr="00AE3D7B" w:rsidRDefault="001403D4">
      <w:pPr>
        <w:spacing w:line="360" w:lineRule="auto"/>
        <w:rPr>
          <w:rFonts w:ascii="Palatino Linotype" w:eastAsia="Palatino Linotype" w:hAnsi="Palatino Linotype" w:cs="Palatino Linotype"/>
        </w:rPr>
      </w:pPr>
    </w:p>
    <w:p w14:paraId="45C77686"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lastRenderedPageBreak/>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14:paraId="101ACD32" w14:textId="77777777" w:rsidR="001403D4" w:rsidRPr="00AE3D7B" w:rsidRDefault="001403D4">
      <w:pPr>
        <w:spacing w:line="360" w:lineRule="auto"/>
        <w:rPr>
          <w:rFonts w:ascii="Palatino Linotype" w:eastAsia="Palatino Linotype" w:hAnsi="Palatino Linotype" w:cs="Palatino Linotype"/>
        </w:rPr>
      </w:pPr>
    </w:p>
    <w:p w14:paraId="6F3EBAD2"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14:paraId="54920B51" w14:textId="77777777" w:rsidR="001403D4" w:rsidRPr="00E616D1" w:rsidRDefault="005F2E4A" w:rsidP="002A75BE">
      <w:pPr>
        <w:spacing w:line="360" w:lineRule="auto"/>
        <w:ind w:left="851" w:right="539"/>
        <w:jc w:val="both"/>
        <w:rPr>
          <w:rFonts w:ascii="Palatino Linotype" w:eastAsia="Palatino Linotype" w:hAnsi="Palatino Linotype" w:cs="Palatino Linotype"/>
          <w:i/>
          <w:sz w:val="22"/>
          <w:szCs w:val="22"/>
        </w:rPr>
      </w:pPr>
      <w:r w:rsidRPr="00E616D1">
        <w:rPr>
          <w:rFonts w:ascii="Palatino Linotype" w:eastAsia="Palatino Linotype" w:hAnsi="Palatino Linotype" w:cs="Palatino Linotype"/>
          <w:i/>
          <w:sz w:val="22"/>
          <w:szCs w:val="22"/>
        </w:rPr>
        <w:t>“…</w:t>
      </w:r>
    </w:p>
    <w:p w14:paraId="01C8F42D" w14:textId="77777777" w:rsidR="001403D4" w:rsidRPr="00E616D1" w:rsidRDefault="005F2E4A" w:rsidP="002A75BE">
      <w:pPr>
        <w:spacing w:line="360" w:lineRule="auto"/>
        <w:ind w:left="851" w:right="539"/>
        <w:jc w:val="both"/>
        <w:rPr>
          <w:rFonts w:ascii="Palatino Linotype" w:eastAsia="Palatino Linotype" w:hAnsi="Palatino Linotype" w:cs="Palatino Linotype"/>
          <w:i/>
          <w:sz w:val="22"/>
          <w:szCs w:val="22"/>
        </w:rPr>
      </w:pPr>
      <w:r w:rsidRPr="00E616D1">
        <w:rPr>
          <w:rFonts w:ascii="Palatino Linotype" w:eastAsia="Palatino Linotype" w:hAnsi="Palatino Linotype" w:cs="Palatino Linotype"/>
          <w:i/>
          <w:sz w:val="22"/>
          <w:szCs w:val="22"/>
        </w:rPr>
        <w:t>Elementos utilizados en la generación de Sellos Digitales:</w:t>
      </w:r>
    </w:p>
    <w:p w14:paraId="154C1C58" w14:textId="77777777" w:rsidR="001403D4" w:rsidRPr="00E616D1" w:rsidRDefault="005F2E4A" w:rsidP="002A75BE">
      <w:pPr>
        <w:spacing w:line="360" w:lineRule="auto"/>
        <w:ind w:left="851" w:right="539"/>
        <w:jc w:val="both"/>
        <w:rPr>
          <w:rFonts w:ascii="Palatino Linotype" w:eastAsia="Palatino Linotype" w:hAnsi="Palatino Linotype" w:cs="Palatino Linotype"/>
          <w:i/>
          <w:sz w:val="22"/>
          <w:szCs w:val="22"/>
        </w:rPr>
      </w:pPr>
      <w:r w:rsidRPr="00E616D1">
        <w:rPr>
          <w:rFonts w:ascii="Palatino Linotype" w:eastAsia="Palatino Linotype" w:hAnsi="Palatino Linotype" w:cs="Palatino Linotype"/>
          <w:i/>
          <w:sz w:val="22"/>
          <w:szCs w:val="22"/>
        </w:rPr>
        <w:t>•</w:t>
      </w:r>
      <w:r w:rsidRPr="00E616D1">
        <w:rPr>
          <w:rFonts w:ascii="Palatino Linotype" w:eastAsia="Palatino Linotype" w:hAnsi="Palatino Linotype" w:cs="Palatino Linotype"/>
          <w:i/>
          <w:sz w:val="22"/>
          <w:szCs w:val="22"/>
        </w:rPr>
        <w:tab/>
        <w:t>Cadena Original, el elemento a sellar, en este caso de un comprobante fiscal digital a través de Internet.</w:t>
      </w:r>
    </w:p>
    <w:p w14:paraId="23E82614" w14:textId="77777777" w:rsidR="001403D4" w:rsidRPr="00E616D1" w:rsidRDefault="005F2E4A" w:rsidP="002A75BE">
      <w:pPr>
        <w:spacing w:line="360" w:lineRule="auto"/>
        <w:ind w:left="851" w:right="539"/>
        <w:jc w:val="both"/>
        <w:rPr>
          <w:rFonts w:ascii="Palatino Linotype" w:eastAsia="Palatino Linotype" w:hAnsi="Palatino Linotype" w:cs="Palatino Linotype"/>
          <w:i/>
          <w:sz w:val="22"/>
          <w:szCs w:val="22"/>
        </w:rPr>
      </w:pPr>
      <w:r w:rsidRPr="00E616D1">
        <w:rPr>
          <w:rFonts w:ascii="Palatino Linotype" w:eastAsia="Palatino Linotype" w:hAnsi="Palatino Linotype" w:cs="Palatino Linotype"/>
          <w:i/>
          <w:sz w:val="22"/>
          <w:szCs w:val="22"/>
        </w:rPr>
        <w:lastRenderedPageBreak/>
        <w:t>•</w:t>
      </w:r>
      <w:r w:rsidRPr="00E616D1">
        <w:rPr>
          <w:rFonts w:ascii="Palatino Linotype" w:eastAsia="Palatino Linotype" w:hAnsi="Palatino Linotype" w:cs="Palatino Linotype"/>
          <w:i/>
          <w:sz w:val="22"/>
          <w:szCs w:val="22"/>
        </w:rPr>
        <w:tab/>
        <w:t>Certificado de Sello Digital y su correspondiente clave privada.</w:t>
      </w:r>
    </w:p>
    <w:p w14:paraId="1C098A09" w14:textId="77777777" w:rsidR="001403D4" w:rsidRPr="00E616D1" w:rsidRDefault="005F2E4A" w:rsidP="002A75BE">
      <w:pPr>
        <w:spacing w:line="360" w:lineRule="auto"/>
        <w:ind w:left="851" w:right="539"/>
        <w:jc w:val="both"/>
        <w:rPr>
          <w:rFonts w:ascii="Palatino Linotype" w:eastAsia="Palatino Linotype" w:hAnsi="Palatino Linotype" w:cs="Palatino Linotype"/>
          <w:i/>
          <w:sz w:val="22"/>
          <w:szCs w:val="22"/>
        </w:rPr>
      </w:pPr>
      <w:r w:rsidRPr="00E616D1">
        <w:rPr>
          <w:rFonts w:ascii="Palatino Linotype" w:eastAsia="Palatino Linotype" w:hAnsi="Palatino Linotype" w:cs="Palatino Linotype"/>
          <w:i/>
          <w:sz w:val="22"/>
          <w:szCs w:val="22"/>
        </w:rPr>
        <w:t>•</w:t>
      </w:r>
      <w:r w:rsidRPr="00E616D1">
        <w:rPr>
          <w:rFonts w:ascii="Palatino Linotype" w:eastAsia="Palatino Linotype" w:hAnsi="Palatino Linotype" w:cs="Palatino Linotype"/>
          <w:i/>
          <w:sz w:val="22"/>
          <w:szCs w:val="22"/>
        </w:rPr>
        <w:tab/>
        <w:t>Algoritmos de criptografía de clave pública para firma electrónica avanzada.</w:t>
      </w:r>
    </w:p>
    <w:p w14:paraId="35013AA9" w14:textId="77777777" w:rsidR="001403D4" w:rsidRPr="00E616D1" w:rsidRDefault="005F2E4A" w:rsidP="002A75BE">
      <w:pPr>
        <w:spacing w:line="360" w:lineRule="auto"/>
        <w:ind w:left="851" w:right="539"/>
        <w:jc w:val="both"/>
        <w:rPr>
          <w:rFonts w:ascii="Palatino Linotype" w:eastAsia="Palatino Linotype" w:hAnsi="Palatino Linotype" w:cs="Palatino Linotype"/>
          <w:i/>
          <w:sz w:val="22"/>
          <w:szCs w:val="22"/>
        </w:rPr>
      </w:pPr>
      <w:r w:rsidRPr="00E616D1">
        <w:rPr>
          <w:rFonts w:ascii="Palatino Linotype" w:eastAsia="Palatino Linotype" w:hAnsi="Palatino Linotype" w:cs="Palatino Linotype"/>
          <w:i/>
          <w:sz w:val="22"/>
          <w:szCs w:val="22"/>
        </w:rPr>
        <w:t>•</w:t>
      </w:r>
      <w:r w:rsidRPr="00E616D1">
        <w:rPr>
          <w:rFonts w:ascii="Palatino Linotype" w:eastAsia="Palatino Linotype" w:hAnsi="Palatino Linotype" w:cs="Palatino Linotype"/>
          <w:i/>
          <w:sz w:val="22"/>
          <w:szCs w:val="22"/>
        </w:rPr>
        <w:tab/>
        <w:t>Especificaciones de conversión de la firma electrónica avanzada a Base 64.</w:t>
      </w:r>
    </w:p>
    <w:p w14:paraId="0B343280" w14:textId="77777777" w:rsidR="001403D4" w:rsidRPr="00E616D1" w:rsidRDefault="005F2E4A" w:rsidP="002A75BE">
      <w:pPr>
        <w:spacing w:line="360" w:lineRule="auto"/>
        <w:ind w:left="851" w:right="539"/>
        <w:jc w:val="both"/>
        <w:rPr>
          <w:rFonts w:ascii="Palatino Linotype" w:eastAsia="Palatino Linotype" w:hAnsi="Palatino Linotype" w:cs="Palatino Linotype"/>
          <w:i/>
          <w:sz w:val="22"/>
          <w:szCs w:val="22"/>
        </w:rPr>
      </w:pPr>
      <w:r w:rsidRPr="00E616D1">
        <w:rPr>
          <w:rFonts w:ascii="Palatino Linotype" w:eastAsia="Palatino Linotype" w:hAnsi="Palatino Linotype" w:cs="Palatino Linotype"/>
          <w:i/>
          <w:sz w:val="22"/>
          <w:szCs w:val="22"/>
        </w:rPr>
        <w:t>Para la generación de sellos digitales se utiliza criptografía de clave pública aplicada a una cadena original.</w:t>
      </w:r>
    </w:p>
    <w:p w14:paraId="6C820874" w14:textId="77777777" w:rsidR="001403D4" w:rsidRPr="00E616D1" w:rsidRDefault="005F2E4A" w:rsidP="002A75BE">
      <w:pPr>
        <w:spacing w:line="360" w:lineRule="auto"/>
        <w:ind w:left="851" w:right="539"/>
        <w:jc w:val="both"/>
        <w:rPr>
          <w:rFonts w:ascii="Palatino Linotype" w:eastAsia="Palatino Linotype" w:hAnsi="Palatino Linotype" w:cs="Palatino Linotype"/>
          <w:i/>
          <w:sz w:val="22"/>
          <w:szCs w:val="22"/>
        </w:rPr>
      </w:pPr>
      <w:r w:rsidRPr="00E616D1">
        <w:rPr>
          <w:rFonts w:ascii="Palatino Linotype" w:eastAsia="Palatino Linotype" w:hAnsi="Palatino Linotype" w:cs="Palatino Linotype"/>
          <w:i/>
          <w:sz w:val="22"/>
          <w:szCs w:val="22"/>
        </w:rPr>
        <w:t>Criptografía de la Clave Pública</w:t>
      </w:r>
    </w:p>
    <w:p w14:paraId="538B2D92" w14:textId="77777777" w:rsidR="001403D4" w:rsidRPr="00E616D1" w:rsidRDefault="005F2E4A" w:rsidP="002A75BE">
      <w:pPr>
        <w:spacing w:line="360" w:lineRule="auto"/>
        <w:ind w:left="851" w:right="539"/>
        <w:jc w:val="both"/>
        <w:rPr>
          <w:rFonts w:ascii="Palatino Linotype" w:eastAsia="Palatino Linotype" w:hAnsi="Palatino Linotype" w:cs="Palatino Linotype"/>
          <w:i/>
          <w:sz w:val="22"/>
          <w:szCs w:val="22"/>
        </w:rPr>
      </w:pPr>
      <w:r w:rsidRPr="00E616D1">
        <w:rPr>
          <w:rFonts w:ascii="Palatino Linotype" w:eastAsia="Palatino Linotype" w:hAnsi="Palatino Linotype" w:cs="Palatino Linotype"/>
          <w:i/>
          <w:sz w:val="22"/>
          <w:szCs w:val="22"/>
        </w:rPr>
        <w:t xml:space="preserve">La criptografía de Clave Pública se basa en la generación de una pareja de números muy grandes relacionados íntimamente entre sí, de tal manera que una operación de </w:t>
      </w:r>
      <w:proofErr w:type="spellStart"/>
      <w:r w:rsidRPr="00E616D1">
        <w:rPr>
          <w:rFonts w:ascii="Palatino Linotype" w:eastAsia="Palatino Linotype" w:hAnsi="Palatino Linotype" w:cs="Palatino Linotype"/>
          <w:i/>
          <w:sz w:val="22"/>
          <w:szCs w:val="22"/>
        </w:rPr>
        <w:t>encripción</w:t>
      </w:r>
      <w:proofErr w:type="spellEnd"/>
      <w:r w:rsidRPr="00E616D1">
        <w:rPr>
          <w:rFonts w:ascii="Palatino Linotype" w:eastAsia="Palatino Linotype" w:hAnsi="Palatino Linotype" w:cs="Palatino Linotype"/>
          <w:i/>
          <w:sz w:val="22"/>
          <w:szCs w:val="22"/>
        </w:rPr>
        <w:t xml:space="preserve"> sobre un mensaje tomando como clave de </w:t>
      </w:r>
      <w:proofErr w:type="spellStart"/>
      <w:r w:rsidRPr="00E616D1">
        <w:rPr>
          <w:rFonts w:ascii="Palatino Linotype" w:eastAsia="Palatino Linotype" w:hAnsi="Palatino Linotype" w:cs="Palatino Linotype"/>
          <w:i/>
          <w:sz w:val="22"/>
          <w:szCs w:val="22"/>
        </w:rPr>
        <w:t>encripción</w:t>
      </w:r>
      <w:proofErr w:type="spellEnd"/>
      <w:r w:rsidRPr="00E616D1">
        <w:rPr>
          <w:rFonts w:ascii="Palatino Linotype" w:eastAsia="Palatino Linotype" w:hAnsi="Palatino Linotype" w:cs="Palatino Linotype"/>
          <w:i/>
          <w:sz w:val="22"/>
          <w:szCs w:val="22"/>
        </w:rPr>
        <w:t xml:space="preserve"> a uno de los dos números, produce un mensaje alterado en su significado que solo puede ser devuelto a su estado original mediante la operación de </w:t>
      </w:r>
      <w:proofErr w:type="spellStart"/>
      <w:r w:rsidRPr="00E616D1">
        <w:rPr>
          <w:rFonts w:ascii="Palatino Linotype" w:eastAsia="Palatino Linotype" w:hAnsi="Palatino Linotype" w:cs="Palatino Linotype"/>
          <w:i/>
          <w:sz w:val="22"/>
          <w:szCs w:val="22"/>
        </w:rPr>
        <w:t>desencripción</w:t>
      </w:r>
      <w:proofErr w:type="spellEnd"/>
      <w:r w:rsidRPr="00E616D1">
        <w:rPr>
          <w:rFonts w:ascii="Palatino Linotype" w:eastAsia="Palatino Linotype" w:hAnsi="Palatino Linotype" w:cs="Palatino Linotype"/>
          <w:i/>
          <w:sz w:val="22"/>
          <w:szCs w:val="22"/>
        </w:rPr>
        <w:t xml:space="preserve"> correspondiente tomando como clave de </w:t>
      </w:r>
      <w:proofErr w:type="spellStart"/>
      <w:r w:rsidRPr="00E616D1">
        <w:rPr>
          <w:rFonts w:ascii="Palatino Linotype" w:eastAsia="Palatino Linotype" w:hAnsi="Palatino Linotype" w:cs="Palatino Linotype"/>
          <w:i/>
          <w:sz w:val="22"/>
          <w:szCs w:val="22"/>
        </w:rPr>
        <w:t>desencripción</w:t>
      </w:r>
      <w:proofErr w:type="spellEnd"/>
      <w:r w:rsidRPr="00E616D1">
        <w:rPr>
          <w:rFonts w:ascii="Palatino Linotype" w:eastAsia="Palatino Linotype" w:hAnsi="Palatino Linotype" w:cs="Palatino Linotype"/>
          <w:i/>
          <w:sz w:val="22"/>
          <w:szCs w:val="22"/>
        </w:rPr>
        <w:t xml:space="preserve"> al otro número de la pareja.</w:t>
      </w:r>
    </w:p>
    <w:p w14:paraId="1D601561" w14:textId="77777777" w:rsidR="001403D4" w:rsidRPr="00E616D1" w:rsidRDefault="005F2E4A" w:rsidP="002A75BE">
      <w:pPr>
        <w:spacing w:line="360" w:lineRule="auto"/>
        <w:ind w:left="851"/>
        <w:jc w:val="both"/>
        <w:rPr>
          <w:rFonts w:ascii="Palatino Linotype" w:eastAsia="Palatino Linotype" w:hAnsi="Palatino Linotype" w:cs="Palatino Linotype"/>
          <w:sz w:val="22"/>
          <w:szCs w:val="22"/>
        </w:rPr>
      </w:pPr>
      <w:r w:rsidRPr="00E616D1">
        <w:rPr>
          <w:rFonts w:ascii="Palatino Linotype" w:eastAsia="Palatino Linotype" w:hAnsi="Palatino Linotype" w:cs="Palatino Linotype"/>
          <w:sz w:val="22"/>
          <w:szCs w:val="22"/>
        </w:rPr>
        <w:t>…”</w:t>
      </w:r>
    </w:p>
    <w:p w14:paraId="0A20EDD4" w14:textId="77777777" w:rsidR="001403D4" w:rsidRPr="00E616D1" w:rsidRDefault="005F2E4A" w:rsidP="002A75BE">
      <w:pPr>
        <w:spacing w:line="360" w:lineRule="auto"/>
        <w:jc w:val="both"/>
        <w:rPr>
          <w:rFonts w:ascii="Palatino Linotype" w:eastAsia="Palatino Linotype" w:hAnsi="Palatino Linotype" w:cs="Palatino Linotype"/>
          <w:sz w:val="22"/>
          <w:szCs w:val="22"/>
        </w:rPr>
      </w:pPr>
      <w:r w:rsidRPr="00E616D1">
        <w:rPr>
          <w:rFonts w:ascii="Palatino Linotype" w:eastAsia="Palatino Linotype" w:hAnsi="Palatino Linotype" w:cs="Palatino Linotype"/>
          <w:sz w:val="22"/>
          <w:szCs w:val="22"/>
        </w:rPr>
        <w:t xml:space="preserve"> </w:t>
      </w:r>
    </w:p>
    <w:p w14:paraId="2C508B59"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14:paraId="28FEAB0D" w14:textId="77777777" w:rsidR="001403D4" w:rsidRPr="00AE3D7B" w:rsidRDefault="001403D4">
      <w:pPr>
        <w:spacing w:line="360" w:lineRule="auto"/>
        <w:rPr>
          <w:rFonts w:ascii="Palatino Linotype" w:eastAsia="Palatino Linotype" w:hAnsi="Palatino Linotype" w:cs="Palatino Linotype"/>
        </w:rPr>
      </w:pPr>
    </w:p>
    <w:p w14:paraId="4CF4E3C5" w14:textId="77777777" w:rsidR="001403D4"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 xml:space="preserve">Por otra parte, por lo que hace al número de serie de los certificados de Sello Digitales del emisor y del Servicio de Administración Tributaria, el ANEXO 20 de la </w:t>
      </w:r>
      <w:r w:rsidRPr="00AE3D7B">
        <w:rPr>
          <w:rFonts w:ascii="Palatino Linotype" w:eastAsia="Palatino Linotype" w:hAnsi="Palatino Linotype" w:cs="Palatino Linotype"/>
        </w:rPr>
        <w:lastRenderedPageBreak/>
        <w:t>Segunda Resolución de modificaciones a la Resolución Miscelánea Fiscal para dos mil diecisiete, precisa que dichos datos se conforman por veinte caracteres numéricos; como ya quedo establecido en el estudio del presente proveído.</w:t>
      </w:r>
    </w:p>
    <w:p w14:paraId="69D2D26F" w14:textId="77777777" w:rsidR="002A75BE" w:rsidRPr="00AE3D7B" w:rsidRDefault="002A75BE" w:rsidP="002A75BE">
      <w:pPr>
        <w:spacing w:line="360" w:lineRule="auto"/>
        <w:jc w:val="both"/>
        <w:rPr>
          <w:rFonts w:ascii="Palatino Linotype" w:eastAsia="Palatino Linotype" w:hAnsi="Palatino Linotype" w:cs="Palatino Linotype"/>
        </w:rPr>
      </w:pPr>
    </w:p>
    <w:p w14:paraId="57DFCC4E"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Como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Máxime que permite corroborar la legitimidad a la factura, pues amparan la utilización de los certificados de sellos digitales válidos.</w:t>
      </w:r>
    </w:p>
    <w:p w14:paraId="3FADC053" w14:textId="77777777" w:rsidR="001403D4" w:rsidRPr="00AE3D7B" w:rsidRDefault="005F2E4A">
      <w:pPr>
        <w:spacing w:line="360" w:lineRule="auto"/>
        <w:rPr>
          <w:rFonts w:ascii="Palatino Linotype" w:eastAsia="Palatino Linotype" w:hAnsi="Palatino Linotype" w:cs="Palatino Linotype"/>
        </w:rPr>
      </w:pPr>
      <w:r w:rsidRPr="00AE3D7B">
        <w:rPr>
          <w:rFonts w:ascii="Palatino Linotype" w:eastAsia="Palatino Linotype" w:hAnsi="Palatino Linotype" w:cs="Palatino Linotype"/>
        </w:rPr>
        <w:t xml:space="preserve"> </w:t>
      </w:r>
    </w:p>
    <w:p w14:paraId="07B810E3"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mostró en el estudio del presente proveído.</w:t>
      </w:r>
    </w:p>
    <w:p w14:paraId="3B6C9B0C" w14:textId="77777777" w:rsidR="001403D4" w:rsidRPr="00AE3D7B" w:rsidRDefault="001403D4">
      <w:pPr>
        <w:spacing w:line="360" w:lineRule="auto"/>
        <w:jc w:val="center"/>
        <w:rPr>
          <w:rFonts w:ascii="Palatino Linotype" w:eastAsia="Palatino Linotype" w:hAnsi="Palatino Linotype" w:cs="Palatino Linotype"/>
        </w:rPr>
      </w:pPr>
    </w:p>
    <w:p w14:paraId="5084F93E"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lastRenderedPageBreak/>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185AB038" w14:textId="77777777" w:rsidR="001403D4" w:rsidRPr="00AE3D7B" w:rsidRDefault="001403D4">
      <w:pPr>
        <w:spacing w:line="360" w:lineRule="auto"/>
        <w:rPr>
          <w:rFonts w:ascii="Palatino Linotype" w:eastAsia="Palatino Linotype" w:hAnsi="Palatino Linotype" w:cs="Palatino Linotype"/>
        </w:rPr>
      </w:pPr>
    </w:p>
    <w:p w14:paraId="6A270F03"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rPr>
        <w:t>Ahora bien, cabe señalar que, en algunos casos, las cadenas originales y sellos digitales, el folio fiscal o el número de serie de los certificados digitales, se pueden conformar de datos confidenciales, tales como el Registro Federal de Contribuyentes o la Clave Única de Registro de Población; por lo que, únicamente podrá clasificar estos, si contienen dicha información, de lo contrario serán públicos.</w:t>
      </w:r>
    </w:p>
    <w:p w14:paraId="7777C88B" w14:textId="77777777" w:rsidR="001403D4" w:rsidRPr="00AE3D7B" w:rsidRDefault="001403D4">
      <w:pPr>
        <w:tabs>
          <w:tab w:val="left" w:pos="0"/>
          <w:tab w:val="left" w:pos="284"/>
        </w:tabs>
        <w:spacing w:line="360" w:lineRule="auto"/>
        <w:ind w:right="49"/>
        <w:jc w:val="both"/>
        <w:rPr>
          <w:rFonts w:ascii="Palatino Linotype" w:eastAsia="Palatino Linotype" w:hAnsi="Palatino Linotype" w:cs="Palatino Linotype"/>
        </w:rPr>
      </w:pPr>
    </w:p>
    <w:p w14:paraId="49557043"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No pasa desapercibido para este Órgano Garante que los sujetos obligados</w:t>
      </w:r>
      <w:r w:rsidRPr="00AE3D7B">
        <w:rPr>
          <w:rFonts w:ascii="Palatino Linotype" w:eastAsia="Palatino Linotype" w:hAnsi="Palatino Linotype" w:cs="Palatino Linotype"/>
          <w:b/>
          <w:color w:val="000000"/>
        </w:rPr>
        <w:t xml:space="preserve"> </w:t>
      </w:r>
      <w:r w:rsidRPr="00AE3D7B">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DC0863D" w14:textId="77777777" w:rsidR="001403D4" w:rsidRPr="00AE3D7B" w:rsidRDefault="001403D4">
      <w:pPr>
        <w:tabs>
          <w:tab w:val="left" w:pos="284"/>
        </w:tabs>
        <w:spacing w:line="360" w:lineRule="auto"/>
        <w:ind w:right="49"/>
        <w:jc w:val="both"/>
        <w:rPr>
          <w:rFonts w:ascii="Palatino Linotype" w:eastAsia="Palatino Linotype" w:hAnsi="Palatino Linotype" w:cs="Palatino Linotype"/>
          <w:color w:val="000000"/>
        </w:rPr>
      </w:pPr>
    </w:p>
    <w:tbl>
      <w:tblPr>
        <w:tblStyle w:val="a"/>
        <w:tblW w:w="921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1"/>
      </w:tblGrid>
      <w:tr w:rsidR="001403D4" w:rsidRPr="00AE3D7B" w14:paraId="53ADCEF5" w14:textId="77777777">
        <w:tc>
          <w:tcPr>
            <w:tcW w:w="2689" w:type="dxa"/>
            <w:tcBorders>
              <w:top w:val="single" w:sz="4" w:space="0" w:color="BFBFBF"/>
              <w:left w:val="single" w:sz="4" w:space="0" w:color="BFBFBF"/>
              <w:bottom w:val="single" w:sz="4" w:space="0" w:color="BFBFBF"/>
              <w:right w:val="single" w:sz="4" w:space="0" w:color="BFBFBF"/>
            </w:tcBorders>
          </w:tcPr>
          <w:p w14:paraId="0DEAD271" w14:textId="77777777" w:rsidR="001403D4" w:rsidRPr="00AE3D7B" w:rsidRDefault="005F2E4A">
            <w:pPr>
              <w:tabs>
                <w:tab w:val="left" w:pos="284"/>
              </w:tabs>
              <w:spacing w:line="360" w:lineRule="auto"/>
              <w:rPr>
                <w:rFonts w:ascii="Palatino Linotype" w:eastAsia="Palatino Linotype" w:hAnsi="Palatino Linotype" w:cs="Palatino Linotype"/>
                <w:b/>
              </w:rPr>
            </w:pPr>
            <w:r w:rsidRPr="00AE3D7B">
              <w:rPr>
                <w:rFonts w:ascii="Palatino Linotype" w:eastAsia="Palatino Linotype" w:hAnsi="Palatino Linotype" w:cs="Palatino Linotype"/>
                <w:b/>
              </w:rPr>
              <w:lastRenderedPageBreak/>
              <w:t>a) Requisitos previos.</w:t>
            </w:r>
          </w:p>
        </w:tc>
        <w:tc>
          <w:tcPr>
            <w:tcW w:w="6521" w:type="dxa"/>
            <w:tcBorders>
              <w:top w:val="single" w:sz="4" w:space="0" w:color="BFBFBF"/>
              <w:left w:val="single" w:sz="4" w:space="0" w:color="BFBFBF"/>
              <w:bottom w:val="single" w:sz="4" w:space="0" w:color="BFBFBF"/>
              <w:right w:val="single" w:sz="4" w:space="0" w:color="BFBFBF"/>
            </w:tcBorders>
          </w:tcPr>
          <w:p w14:paraId="0497EB55" w14:textId="77777777" w:rsidR="001403D4" w:rsidRPr="00AE3D7B" w:rsidRDefault="005F2E4A">
            <w:pPr>
              <w:tabs>
                <w:tab w:val="left" w:pos="284"/>
              </w:tabs>
              <w:spacing w:line="360" w:lineRule="auto"/>
              <w:ind w:right="49"/>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 xml:space="preserve">Los artículos 100 y 122 de la Ley Estatal y de la Ley General, respectivamente, señalan </w:t>
            </w:r>
            <w:proofErr w:type="gramStart"/>
            <w:r w:rsidRPr="00AE3D7B">
              <w:rPr>
                <w:rFonts w:ascii="Palatino Linotype" w:eastAsia="Palatino Linotype" w:hAnsi="Palatino Linotype" w:cs="Palatino Linotype"/>
                <w:color w:val="000000"/>
              </w:rPr>
              <w:t>que</w:t>
            </w:r>
            <w:proofErr w:type="gramEnd"/>
            <w:r w:rsidRPr="00AE3D7B">
              <w:rPr>
                <w:rFonts w:ascii="Palatino Linotype" w:eastAsia="Palatino Linotype" w:hAnsi="Palatino Linotype" w:cs="Palatino Linotype"/>
                <w:color w:val="000000"/>
              </w:rPr>
              <w:t xml:space="preserve"> si los Sujetos Obligados determinan que la información actualiza alguno de los supuestos de clasificación, es deber de los titulares de las áreas proponer su clasificación y no del Comité de Transparencia. </w:t>
            </w:r>
          </w:p>
          <w:p w14:paraId="532BCAC8" w14:textId="77777777" w:rsidR="001403D4" w:rsidRPr="00AE3D7B" w:rsidRDefault="001403D4">
            <w:pPr>
              <w:tabs>
                <w:tab w:val="left" w:pos="284"/>
              </w:tabs>
              <w:spacing w:line="360" w:lineRule="auto"/>
              <w:ind w:right="49"/>
              <w:jc w:val="both"/>
              <w:rPr>
                <w:rFonts w:ascii="Palatino Linotype" w:eastAsia="Palatino Linotype" w:hAnsi="Palatino Linotype" w:cs="Palatino Linotype"/>
                <w:color w:val="000000"/>
              </w:rPr>
            </w:pPr>
          </w:p>
          <w:p w14:paraId="520F4F9E" w14:textId="77777777" w:rsidR="001403D4" w:rsidRPr="00AE3D7B" w:rsidRDefault="005F2E4A">
            <w:pPr>
              <w:tabs>
                <w:tab w:val="left" w:pos="284"/>
              </w:tabs>
              <w:spacing w:line="360" w:lineRule="auto"/>
              <w:ind w:right="49"/>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Al hacerlo tienen que precisar de qué información se trata, señalando el supuesto de clasificación (confidencialidad o reserva).</w:t>
            </w:r>
          </w:p>
          <w:p w14:paraId="306E4EFE" w14:textId="77777777" w:rsidR="001403D4" w:rsidRPr="00AE3D7B" w:rsidRDefault="005F2E4A">
            <w:pPr>
              <w:tabs>
                <w:tab w:val="left" w:pos="284"/>
              </w:tabs>
              <w:spacing w:line="360" w:lineRule="auto"/>
              <w:ind w:right="49"/>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14:paraId="12D94403" w14:textId="77777777" w:rsidR="001403D4" w:rsidRPr="00AE3D7B" w:rsidRDefault="001403D4">
            <w:pPr>
              <w:tabs>
                <w:tab w:val="left" w:pos="284"/>
              </w:tabs>
              <w:spacing w:line="360" w:lineRule="auto"/>
              <w:ind w:right="49"/>
              <w:jc w:val="both"/>
              <w:rPr>
                <w:rFonts w:ascii="Palatino Linotype" w:eastAsia="Palatino Linotype" w:hAnsi="Palatino Linotype" w:cs="Palatino Linotype"/>
                <w:color w:val="000000"/>
              </w:rPr>
            </w:pPr>
          </w:p>
          <w:p w14:paraId="3412E37C" w14:textId="77777777" w:rsidR="001403D4" w:rsidRPr="00AE3D7B" w:rsidRDefault="005F2E4A">
            <w:pPr>
              <w:tabs>
                <w:tab w:val="left" w:pos="284"/>
              </w:tabs>
              <w:spacing w:line="360" w:lineRule="auto"/>
              <w:jc w:val="both"/>
              <w:rPr>
                <w:rFonts w:ascii="Palatino Linotype" w:eastAsia="Palatino Linotype" w:hAnsi="Palatino Linotype" w:cs="Palatino Linotype"/>
              </w:rPr>
            </w:pPr>
            <w:r w:rsidRPr="00AE3D7B">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AE3D7B">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AE3D7B">
              <w:rPr>
                <w:rFonts w:ascii="Palatino Linotype" w:eastAsia="Palatino Linotype" w:hAnsi="Palatino Linotype" w:cs="Palatino Linotype"/>
                <w:color w:val="000000"/>
              </w:rPr>
              <w:t xml:space="preserve"> individualizar su análisis y tampoco se puede hacer un acuerdo por cada dato que se vaya a clasificar </w:t>
            </w:r>
            <w:r w:rsidRPr="00AE3D7B">
              <w:rPr>
                <w:rFonts w:ascii="Palatino Linotype" w:eastAsia="Palatino Linotype" w:hAnsi="Palatino Linotype" w:cs="Palatino Linotype"/>
                <w:color w:val="000000"/>
              </w:rPr>
              <w:lastRenderedPageBreak/>
              <w:t>dentro de un documento con diez datos, por ejemplo, susceptibles de ser clasificados.</w:t>
            </w:r>
          </w:p>
        </w:tc>
      </w:tr>
      <w:tr w:rsidR="001403D4" w:rsidRPr="00AE3D7B" w14:paraId="56B847B0" w14:textId="77777777">
        <w:tc>
          <w:tcPr>
            <w:tcW w:w="2689" w:type="dxa"/>
            <w:tcBorders>
              <w:top w:val="single" w:sz="4" w:space="0" w:color="BFBFBF"/>
              <w:left w:val="single" w:sz="4" w:space="0" w:color="BFBFBF"/>
              <w:bottom w:val="single" w:sz="4" w:space="0" w:color="BFBFBF"/>
              <w:right w:val="single" w:sz="4" w:space="0" w:color="BFBFBF"/>
            </w:tcBorders>
          </w:tcPr>
          <w:p w14:paraId="4DE96EB6" w14:textId="77777777" w:rsidR="001403D4" w:rsidRPr="00AE3D7B" w:rsidRDefault="005F2E4A">
            <w:pPr>
              <w:tabs>
                <w:tab w:val="left" w:pos="284"/>
              </w:tabs>
              <w:spacing w:line="360" w:lineRule="auto"/>
              <w:rPr>
                <w:rFonts w:ascii="Palatino Linotype" w:eastAsia="Palatino Linotype" w:hAnsi="Palatino Linotype" w:cs="Palatino Linotype"/>
                <w:b/>
              </w:rPr>
            </w:pPr>
            <w:r w:rsidRPr="00AE3D7B">
              <w:rPr>
                <w:rFonts w:ascii="Palatino Linotype" w:eastAsia="Palatino Linotype" w:hAnsi="Palatino Linotype" w:cs="Palatino Linotype"/>
                <w:b/>
              </w:rPr>
              <w:lastRenderedPageBreak/>
              <w:t>b) Supuestos de clasificación.</w:t>
            </w:r>
          </w:p>
        </w:tc>
        <w:tc>
          <w:tcPr>
            <w:tcW w:w="6521" w:type="dxa"/>
            <w:tcBorders>
              <w:top w:val="single" w:sz="4" w:space="0" w:color="BFBFBF"/>
              <w:left w:val="single" w:sz="4" w:space="0" w:color="BFBFBF"/>
              <w:bottom w:val="single" w:sz="4" w:space="0" w:color="BFBFBF"/>
              <w:right w:val="single" w:sz="4" w:space="0" w:color="BFBFBF"/>
            </w:tcBorders>
          </w:tcPr>
          <w:p w14:paraId="0F491091" w14:textId="77777777" w:rsidR="001403D4" w:rsidRPr="00AE3D7B" w:rsidRDefault="005F2E4A">
            <w:pPr>
              <w:tabs>
                <w:tab w:val="left" w:pos="284"/>
              </w:tabs>
              <w:spacing w:line="360" w:lineRule="auto"/>
              <w:ind w:right="49"/>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14:paraId="010D32FE" w14:textId="77777777" w:rsidR="001403D4" w:rsidRPr="00AE3D7B" w:rsidRDefault="005F2E4A">
            <w:pPr>
              <w:tabs>
                <w:tab w:val="left" w:pos="284"/>
              </w:tabs>
              <w:spacing w:line="360" w:lineRule="auto"/>
              <w:ind w:right="49"/>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269E31B" w14:textId="77777777" w:rsidR="001403D4" w:rsidRPr="00AE3D7B" w:rsidRDefault="001403D4">
            <w:pPr>
              <w:tabs>
                <w:tab w:val="left" w:pos="284"/>
              </w:tabs>
              <w:spacing w:line="360" w:lineRule="auto"/>
              <w:ind w:right="49"/>
              <w:jc w:val="both"/>
              <w:rPr>
                <w:rFonts w:ascii="Palatino Linotype" w:eastAsia="Palatino Linotype" w:hAnsi="Palatino Linotype" w:cs="Palatino Linotype"/>
                <w:color w:val="000000"/>
              </w:rPr>
            </w:pPr>
          </w:p>
          <w:p w14:paraId="633A82C9" w14:textId="77777777" w:rsidR="001403D4" w:rsidRPr="00AE3D7B" w:rsidRDefault="005F2E4A">
            <w:pPr>
              <w:tabs>
                <w:tab w:val="left" w:pos="284"/>
              </w:tabs>
              <w:spacing w:line="360" w:lineRule="auto"/>
              <w:jc w:val="both"/>
              <w:rPr>
                <w:rFonts w:ascii="Palatino Linotype" w:eastAsia="Palatino Linotype" w:hAnsi="Palatino Linotype" w:cs="Palatino Linotype"/>
              </w:rPr>
            </w:pPr>
            <w:r w:rsidRPr="00AE3D7B">
              <w:rPr>
                <w:rFonts w:ascii="Palatino Linotype" w:eastAsia="Palatino Linotype" w:hAnsi="Palatino Linotype" w:cs="Palatino Linotype"/>
                <w:color w:val="000000"/>
              </w:rPr>
              <w:t xml:space="preserve">El </w:t>
            </w:r>
            <w:r w:rsidRPr="00AE3D7B">
              <w:rPr>
                <w:rFonts w:ascii="Palatino Linotype" w:eastAsia="Palatino Linotype" w:hAnsi="Palatino Linotype" w:cs="Palatino Linotype"/>
                <w:b/>
                <w:color w:val="000000"/>
              </w:rPr>
              <w:t>Sujeto Obligado</w:t>
            </w:r>
            <w:r w:rsidRPr="00AE3D7B">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w:t>
            </w:r>
            <w:r w:rsidRPr="00AE3D7B">
              <w:rPr>
                <w:rFonts w:ascii="Palatino Linotype" w:eastAsia="Palatino Linotype" w:hAnsi="Palatino Linotype" w:cs="Palatino Linotype"/>
                <w:color w:val="000000"/>
              </w:rPr>
              <w:lastRenderedPageBreak/>
              <w:t>de realizar el servidor público habilitado y el titular del área que administra la información.</w:t>
            </w:r>
          </w:p>
        </w:tc>
      </w:tr>
      <w:tr w:rsidR="001403D4" w:rsidRPr="00AE3D7B" w14:paraId="3543BADF" w14:textId="77777777">
        <w:tc>
          <w:tcPr>
            <w:tcW w:w="2689" w:type="dxa"/>
            <w:tcBorders>
              <w:top w:val="single" w:sz="4" w:space="0" w:color="BFBFBF"/>
              <w:left w:val="single" w:sz="4" w:space="0" w:color="BFBFBF"/>
              <w:bottom w:val="single" w:sz="4" w:space="0" w:color="BFBFBF"/>
              <w:right w:val="single" w:sz="4" w:space="0" w:color="BFBFBF"/>
            </w:tcBorders>
          </w:tcPr>
          <w:p w14:paraId="76A30FA3" w14:textId="77777777" w:rsidR="001403D4" w:rsidRPr="00AE3D7B" w:rsidRDefault="005F2E4A">
            <w:pPr>
              <w:tabs>
                <w:tab w:val="left" w:pos="284"/>
              </w:tabs>
              <w:spacing w:line="360" w:lineRule="auto"/>
              <w:rPr>
                <w:rFonts w:ascii="Palatino Linotype" w:eastAsia="Palatino Linotype" w:hAnsi="Palatino Linotype" w:cs="Palatino Linotype"/>
                <w:b/>
              </w:rPr>
            </w:pPr>
            <w:r w:rsidRPr="00AE3D7B">
              <w:rPr>
                <w:rFonts w:ascii="Palatino Linotype" w:eastAsia="Palatino Linotype" w:hAnsi="Palatino Linotype" w:cs="Palatino Linotype"/>
                <w:b/>
              </w:rPr>
              <w:lastRenderedPageBreak/>
              <w:t>c) Formalidades para emitir el acuerdo de clasificación.</w:t>
            </w:r>
          </w:p>
        </w:tc>
        <w:tc>
          <w:tcPr>
            <w:tcW w:w="6521" w:type="dxa"/>
            <w:tcBorders>
              <w:top w:val="single" w:sz="4" w:space="0" w:color="BFBFBF"/>
              <w:left w:val="single" w:sz="4" w:space="0" w:color="BFBFBF"/>
              <w:bottom w:val="single" w:sz="4" w:space="0" w:color="BFBFBF"/>
              <w:right w:val="single" w:sz="4" w:space="0" w:color="BFBFBF"/>
            </w:tcBorders>
          </w:tcPr>
          <w:p w14:paraId="689BE536" w14:textId="77777777" w:rsidR="001403D4" w:rsidRPr="00AE3D7B" w:rsidRDefault="005F2E4A">
            <w:pPr>
              <w:tabs>
                <w:tab w:val="left" w:pos="284"/>
              </w:tabs>
              <w:spacing w:line="360" w:lineRule="auto"/>
              <w:ind w:right="49"/>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14:paraId="3FB53257" w14:textId="77777777" w:rsidR="001403D4" w:rsidRPr="00AE3D7B" w:rsidRDefault="001403D4">
            <w:pPr>
              <w:tabs>
                <w:tab w:val="left" w:pos="284"/>
              </w:tabs>
              <w:spacing w:line="360" w:lineRule="auto"/>
              <w:ind w:right="49"/>
              <w:jc w:val="both"/>
              <w:rPr>
                <w:rFonts w:ascii="Palatino Linotype" w:eastAsia="Palatino Linotype" w:hAnsi="Palatino Linotype" w:cs="Palatino Linotype"/>
                <w:color w:val="000000"/>
              </w:rPr>
            </w:pPr>
          </w:p>
          <w:p w14:paraId="255918C3" w14:textId="77777777" w:rsidR="001403D4" w:rsidRPr="00AE3D7B" w:rsidRDefault="005F2E4A">
            <w:pPr>
              <w:tabs>
                <w:tab w:val="left" w:pos="284"/>
              </w:tabs>
              <w:spacing w:line="360" w:lineRule="auto"/>
              <w:ind w:right="49"/>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 xml:space="preserve">Es necesario que </w:t>
            </w:r>
            <w:r w:rsidRPr="00AE3D7B">
              <w:rPr>
                <w:rFonts w:ascii="Palatino Linotype" w:eastAsia="Palatino Linotype" w:hAnsi="Palatino Linotype" w:cs="Palatino Linotype"/>
                <w:b/>
                <w:color w:val="000000"/>
                <w:u w:val="single"/>
              </w:rPr>
              <w:t>el acto reúna con los requisitos elementales</w:t>
            </w:r>
            <w:r w:rsidRPr="00AE3D7B">
              <w:rPr>
                <w:rFonts w:ascii="Palatino Linotype" w:eastAsia="Palatino Linotype" w:hAnsi="Palatino Linotype" w:cs="Palatino Linotype"/>
                <w:color w:val="000000"/>
              </w:rPr>
              <w:t>, entre ellos, que la autoridad que va a emitir el acto de autoridad sea la legalmente facultada para ello.</w:t>
            </w:r>
          </w:p>
          <w:p w14:paraId="6617AC8E" w14:textId="77777777" w:rsidR="001403D4" w:rsidRPr="00AE3D7B" w:rsidRDefault="005F2E4A">
            <w:pPr>
              <w:tabs>
                <w:tab w:val="left" w:pos="284"/>
              </w:tabs>
              <w:spacing w:line="360" w:lineRule="auto"/>
              <w:jc w:val="both"/>
              <w:rPr>
                <w:rFonts w:ascii="Palatino Linotype" w:eastAsia="Palatino Linotype" w:hAnsi="Palatino Linotype" w:cs="Palatino Linotype"/>
              </w:rPr>
            </w:pPr>
            <w:r w:rsidRPr="00AE3D7B">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403D4" w:rsidRPr="00AE3D7B" w14:paraId="6319BA13" w14:textId="77777777">
        <w:tc>
          <w:tcPr>
            <w:tcW w:w="2689" w:type="dxa"/>
            <w:tcBorders>
              <w:top w:val="single" w:sz="4" w:space="0" w:color="BFBFBF"/>
              <w:left w:val="single" w:sz="4" w:space="0" w:color="BFBFBF"/>
              <w:bottom w:val="single" w:sz="4" w:space="0" w:color="BFBFBF"/>
              <w:right w:val="single" w:sz="4" w:space="0" w:color="BFBFBF"/>
            </w:tcBorders>
          </w:tcPr>
          <w:p w14:paraId="0264DD73" w14:textId="77777777" w:rsidR="001403D4" w:rsidRPr="00AE3D7B" w:rsidRDefault="001403D4">
            <w:pPr>
              <w:tabs>
                <w:tab w:val="left" w:pos="284"/>
              </w:tabs>
              <w:spacing w:line="360" w:lineRule="auto"/>
              <w:rPr>
                <w:rFonts w:ascii="Palatino Linotype" w:eastAsia="Palatino Linotype" w:hAnsi="Palatino Linotype" w:cs="Palatino Linotype"/>
                <w:b/>
              </w:rPr>
            </w:pPr>
          </w:p>
          <w:p w14:paraId="72902F7C" w14:textId="77777777" w:rsidR="001403D4" w:rsidRPr="00AE3D7B" w:rsidRDefault="005F2E4A">
            <w:pPr>
              <w:tabs>
                <w:tab w:val="left" w:pos="284"/>
              </w:tabs>
              <w:spacing w:line="360" w:lineRule="auto"/>
              <w:jc w:val="both"/>
              <w:rPr>
                <w:rFonts w:ascii="Palatino Linotype" w:eastAsia="Palatino Linotype" w:hAnsi="Palatino Linotype" w:cs="Palatino Linotype"/>
                <w:b/>
              </w:rPr>
            </w:pPr>
            <w:r w:rsidRPr="00AE3D7B">
              <w:rPr>
                <w:rFonts w:ascii="Palatino Linotype" w:eastAsia="Palatino Linotype" w:hAnsi="Palatino Linotype" w:cs="Palatino Linotype"/>
                <w:b/>
                <w:color w:val="000000"/>
              </w:rPr>
              <w:lastRenderedPageBreak/>
              <w:t xml:space="preserve">d) Requisitos de fondo del acuerdo de clasificación. </w:t>
            </w:r>
          </w:p>
        </w:tc>
        <w:tc>
          <w:tcPr>
            <w:tcW w:w="6521" w:type="dxa"/>
            <w:tcBorders>
              <w:top w:val="single" w:sz="4" w:space="0" w:color="BFBFBF"/>
              <w:left w:val="single" w:sz="4" w:space="0" w:color="BFBFBF"/>
              <w:bottom w:val="single" w:sz="4" w:space="0" w:color="BFBFBF"/>
              <w:right w:val="single" w:sz="4" w:space="0" w:color="BFBFBF"/>
            </w:tcBorders>
          </w:tcPr>
          <w:p w14:paraId="207A966C" w14:textId="77777777" w:rsidR="001403D4" w:rsidRPr="00AE3D7B" w:rsidRDefault="005F2E4A">
            <w:pPr>
              <w:tabs>
                <w:tab w:val="left" w:pos="284"/>
              </w:tabs>
              <w:spacing w:line="360" w:lineRule="auto"/>
              <w:ind w:right="49"/>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lastRenderedPageBreak/>
              <w:t xml:space="preserve">Como se ha señalado antes, al hacer el juicio de subsunción o encaje entre el supuesto de hecho y la hipótesis jurídica, </w:t>
            </w:r>
            <w:r w:rsidRPr="00AE3D7B">
              <w:rPr>
                <w:rFonts w:ascii="Palatino Linotype" w:eastAsia="Palatino Linotype" w:hAnsi="Palatino Linotype" w:cs="Palatino Linotype"/>
                <w:color w:val="000000"/>
              </w:rPr>
              <w:lastRenderedPageBreak/>
              <w:t xml:space="preserve">se debe acreditar la estricta correspondencia entre un elemento y otro. Ahora, en esta parte del procedimiento, que se desahoga en sede del Comité de Transparencia, la ley señala que la carga de la prueba, para justificar las restricciones, corresponde a los </w:t>
            </w:r>
            <w:r w:rsidRPr="00AE3D7B">
              <w:rPr>
                <w:rFonts w:ascii="Palatino Linotype" w:eastAsia="Palatino Linotype" w:hAnsi="Palatino Linotype" w:cs="Palatino Linotype"/>
                <w:b/>
                <w:color w:val="000000"/>
              </w:rPr>
              <w:t>Sujetos Obligados</w:t>
            </w:r>
            <w:r w:rsidRPr="00AE3D7B">
              <w:rPr>
                <w:rFonts w:ascii="Palatino Linotype" w:eastAsia="Palatino Linotype" w:hAnsi="Palatino Linotype" w:cs="Palatino Linotype"/>
                <w:color w:val="000000"/>
              </w:rPr>
              <w:t xml:space="preserve">, por lo que deberán fundar y motivar debidamente la clasificación. </w:t>
            </w:r>
          </w:p>
          <w:p w14:paraId="19E966B5" w14:textId="77777777" w:rsidR="001403D4" w:rsidRPr="00AE3D7B" w:rsidRDefault="005F2E4A">
            <w:pPr>
              <w:tabs>
                <w:tab w:val="left" w:pos="284"/>
              </w:tabs>
              <w:spacing w:line="360" w:lineRule="auto"/>
              <w:ind w:right="49"/>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 xml:space="preserve">De lo anterior, se desprende </w:t>
            </w:r>
            <w:proofErr w:type="gramStart"/>
            <w:r w:rsidRPr="00AE3D7B">
              <w:rPr>
                <w:rFonts w:ascii="Palatino Linotype" w:eastAsia="Palatino Linotype" w:hAnsi="Palatino Linotype" w:cs="Palatino Linotype"/>
                <w:color w:val="000000"/>
              </w:rPr>
              <w:t>que</w:t>
            </w:r>
            <w:proofErr w:type="gramEnd"/>
            <w:r w:rsidRPr="00AE3D7B">
              <w:rPr>
                <w:rFonts w:ascii="Palatino Linotype" w:eastAsia="Palatino Linotype" w:hAnsi="Palatino Linotype" w:cs="Palatino Linotype"/>
                <w:color w:val="000000"/>
              </w:rPr>
              <w:t xml:space="preserve"> para una correcta </w:t>
            </w:r>
            <w:r w:rsidRPr="00AE3D7B">
              <w:rPr>
                <w:rFonts w:ascii="Palatino Linotype" w:eastAsia="Palatino Linotype" w:hAnsi="Palatino Linotype" w:cs="Palatino Linotype"/>
                <w:b/>
                <w:color w:val="000000"/>
              </w:rPr>
              <w:t>clasificación total o parcial</w:t>
            </w:r>
            <w:r w:rsidRPr="00AE3D7B">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A15ED72" w14:textId="77777777" w:rsidR="001403D4" w:rsidRPr="00AE3D7B" w:rsidRDefault="001403D4">
            <w:pPr>
              <w:tabs>
                <w:tab w:val="left" w:pos="284"/>
              </w:tabs>
              <w:spacing w:line="360" w:lineRule="auto"/>
              <w:ind w:right="49"/>
              <w:jc w:val="both"/>
              <w:rPr>
                <w:rFonts w:ascii="Palatino Linotype" w:eastAsia="Palatino Linotype" w:hAnsi="Palatino Linotype" w:cs="Palatino Linotype"/>
                <w:color w:val="000000"/>
              </w:rPr>
            </w:pPr>
          </w:p>
          <w:p w14:paraId="2642F107" w14:textId="77777777" w:rsidR="001403D4" w:rsidRPr="00AE3D7B" w:rsidRDefault="005F2E4A">
            <w:pPr>
              <w:tabs>
                <w:tab w:val="left" w:pos="284"/>
              </w:tabs>
              <w:spacing w:line="360" w:lineRule="auto"/>
              <w:ind w:right="49"/>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w:t>
            </w:r>
            <w:r w:rsidRPr="00AE3D7B">
              <w:rPr>
                <w:rFonts w:ascii="Palatino Linotype" w:eastAsia="Palatino Linotype" w:hAnsi="Palatino Linotype" w:cs="Palatino Linotype"/>
                <w:color w:val="000000"/>
              </w:rPr>
              <w:lastRenderedPageBreak/>
              <w:t>pueda impugnar la decisión, permitiéndole una real y auténtica defensa.</w:t>
            </w:r>
          </w:p>
          <w:p w14:paraId="71255F60" w14:textId="77777777" w:rsidR="001403D4" w:rsidRPr="00AE3D7B" w:rsidRDefault="001403D4">
            <w:pPr>
              <w:tabs>
                <w:tab w:val="left" w:pos="284"/>
              </w:tabs>
              <w:spacing w:line="360" w:lineRule="auto"/>
              <w:ind w:right="49"/>
              <w:jc w:val="both"/>
              <w:rPr>
                <w:rFonts w:ascii="Palatino Linotype" w:eastAsia="Palatino Linotype" w:hAnsi="Palatino Linotype" w:cs="Palatino Linotype"/>
                <w:color w:val="000000"/>
              </w:rPr>
            </w:pPr>
          </w:p>
          <w:p w14:paraId="41C8CACE" w14:textId="77777777" w:rsidR="001403D4" w:rsidRPr="00AE3D7B" w:rsidRDefault="005F2E4A">
            <w:pPr>
              <w:tabs>
                <w:tab w:val="left" w:pos="284"/>
              </w:tabs>
              <w:spacing w:line="360" w:lineRule="auto"/>
              <w:ind w:right="49"/>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14:paraId="4F190E16" w14:textId="77777777" w:rsidR="001403D4" w:rsidRPr="00AE3D7B" w:rsidRDefault="001403D4">
            <w:pPr>
              <w:tabs>
                <w:tab w:val="left" w:pos="284"/>
              </w:tabs>
              <w:spacing w:line="360" w:lineRule="auto"/>
              <w:ind w:right="49"/>
              <w:jc w:val="both"/>
              <w:rPr>
                <w:rFonts w:ascii="Palatino Linotype" w:eastAsia="Palatino Linotype" w:hAnsi="Palatino Linotype" w:cs="Palatino Linotype"/>
                <w:color w:val="000000"/>
              </w:rPr>
            </w:pPr>
          </w:p>
          <w:p w14:paraId="0F3E4640" w14:textId="77777777" w:rsidR="001403D4" w:rsidRPr="00AE3D7B" w:rsidRDefault="005F2E4A">
            <w:pPr>
              <w:tabs>
                <w:tab w:val="left" w:pos="284"/>
              </w:tabs>
              <w:spacing w:line="360" w:lineRule="auto"/>
              <w:ind w:right="49"/>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 xml:space="preserve">Ahora bien, </w:t>
            </w:r>
            <w:r w:rsidRPr="00AE3D7B">
              <w:rPr>
                <w:rFonts w:ascii="Palatino Linotype" w:eastAsia="Palatino Linotype" w:hAnsi="Palatino Linotype" w:cs="Palatino Linotype"/>
                <w:b/>
                <w:color w:val="000000"/>
                <w:u w:val="single"/>
              </w:rPr>
              <w:t>para cada caso además de fundar y motivar</w:t>
            </w:r>
            <w:r w:rsidRPr="00AE3D7B">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403D4" w:rsidRPr="00AE3D7B" w14:paraId="5FC8BAA6" w14:textId="77777777">
        <w:tc>
          <w:tcPr>
            <w:tcW w:w="2689" w:type="dxa"/>
            <w:tcBorders>
              <w:top w:val="single" w:sz="4" w:space="0" w:color="BFBFBF"/>
              <w:left w:val="single" w:sz="4" w:space="0" w:color="BFBFBF"/>
              <w:bottom w:val="single" w:sz="4" w:space="0" w:color="BFBFBF"/>
              <w:right w:val="single" w:sz="4" w:space="0" w:color="BFBFBF"/>
            </w:tcBorders>
          </w:tcPr>
          <w:p w14:paraId="6D0446E9" w14:textId="77777777" w:rsidR="001403D4" w:rsidRPr="00AE3D7B" w:rsidRDefault="005F2E4A">
            <w:pPr>
              <w:tabs>
                <w:tab w:val="left" w:pos="284"/>
              </w:tabs>
              <w:spacing w:line="360" w:lineRule="auto"/>
              <w:ind w:right="49"/>
              <w:jc w:val="both"/>
              <w:rPr>
                <w:rFonts w:ascii="Palatino Linotype" w:eastAsia="Palatino Linotype" w:hAnsi="Palatino Linotype" w:cs="Palatino Linotype"/>
                <w:b/>
              </w:rPr>
            </w:pPr>
            <w:r w:rsidRPr="00AE3D7B">
              <w:rPr>
                <w:rFonts w:ascii="Palatino Linotype" w:eastAsia="Palatino Linotype" w:hAnsi="Palatino Linotype" w:cs="Palatino Linotype"/>
                <w:b/>
              </w:rPr>
              <w:lastRenderedPageBreak/>
              <w:t xml:space="preserve">e) Condiciones especiales de la clasificación de la </w:t>
            </w:r>
            <w:r w:rsidRPr="00AE3D7B">
              <w:rPr>
                <w:rFonts w:ascii="Palatino Linotype" w:eastAsia="Palatino Linotype" w:hAnsi="Palatino Linotype" w:cs="Palatino Linotype"/>
                <w:b/>
              </w:rPr>
              <w:lastRenderedPageBreak/>
              <w:t xml:space="preserve">información como confidencial. </w:t>
            </w:r>
          </w:p>
        </w:tc>
        <w:tc>
          <w:tcPr>
            <w:tcW w:w="6521" w:type="dxa"/>
            <w:tcBorders>
              <w:top w:val="single" w:sz="4" w:space="0" w:color="BFBFBF"/>
              <w:left w:val="single" w:sz="4" w:space="0" w:color="BFBFBF"/>
              <w:bottom w:val="single" w:sz="4" w:space="0" w:color="BFBFBF"/>
              <w:right w:val="single" w:sz="4" w:space="0" w:color="BFBFBF"/>
            </w:tcBorders>
          </w:tcPr>
          <w:p w14:paraId="58215AF2" w14:textId="77777777" w:rsidR="001403D4" w:rsidRPr="00AE3D7B" w:rsidRDefault="005F2E4A">
            <w:pPr>
              <w:tabs>
                <w:tab w:val="left" w:pos="284"/>
              </w:tabs>
              <w:spacing w:line="360" w:lineRule="auto"/>
              <w:ind w:right="49"/>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lastRenderedPageBreak/>
              <w:t xml:space="preserve">Los artículos 148 y 120 de la Ley Estatal y de la Ley General, respectivamente, establecen </w:t>
            </w:r>
            <w:proofErr w:type="gramStart"/>
            <w:r w:rsidRPr="00AE3D7B">
              <w:rPr>
                <w:rFonts w:ascii="Palatino Linotype" w:eastAsia="Palatino Linotype" w:hAnsi="Palatino Linotype" w:cs="Palatino Linotype"/>
                <w:color w:val="000000"/>
              </w:rPr>
              <w:t>que</w:t>
            </w:r>
            <w:proofErr w:type="gramEnd"/>
            <w:r w:rsidRPr="00AE3D7B">
              <w:rPr>
                <w:rFonts w:ascii="Palatino Linotype" w:eastAsia="Palatino Linotype" w:hAnsi="Palatino Linotype" w:cs="Palatino Linotype"/>
                <w:color w:val="000000"/>
              </w:rPr>
              <w:t xml:space="preserve"> aun tratándose de datos personales, se podrán proporcionar, incluso sin solicitar el consentimiento de su titular. </w:t>
            </w:r>
          </w:p>
          <w:p w14:paraId="12AACAF6" w14:textId="77777777" w:rsidR="001403D4" w:rsidRPr="00AE3D7B" w:rsidRDefault="001403D4">
            <w:pPr>
              <w:tabs>
                <w:tab w:val="left" w:pos="284"/>
              </w:tabs>
              <w:spacing w:line="360" w:lineRule="auto"/>
              <w:ind w:right="49"/>
              <w:jc w:val="both"/>
              <w:rPr>
                <w:rFonts w:ascii="Palatino Linotype" w:eastAsia="Palatino Linotype" w:hAnsi="Palatino Linotype" w:cs="Palatino Linotype"/>
                <w:color w:val="000000"/>
              </w:rPr>
            </w:pPr>
          </w:p>
          <w:p w14:paraId="3D38F910" w14:textId="77777777" w:rsidR="001403D4" w:rsidRPr="00AE3D7B" w:rsidRDefault="005F2E4A">
            <w:pPr>
              <w:tabs>
                <w:tab w:val="left" w:pos="284"/>
              </w:tabs>
              <w:spacing w:line="360" w:lineRule="auto"/>
              <w:ind w:right="49"/>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4DB7AF68" w14:textId="77777777" w:rsidR="001403D4" w:rsidRPr="00AE3D7B" w:rsidRDefault="001403D4">
            <w:pPr>
              <w:tabs>
                <w:tab w:val="left" w:pos="284"/>
              </w:tabs>
              <w:spacing w:line="360" w:lineRule="auto"/>
              <w:ind w:right="49"/>
              <w:jc w:val="both"/>
              <w:rPr>
                <w:rFonts w:ascii="Palatino Linotype" w:eastAsia="Palatino Linotype" w:hAnsi="Palatino Linotype" w:cs="Palatino Linotype"/>
                <w:color w:val="000000"/>
              </w:rPr>
            </w:pPr>
          </w:p>
          <w:p w14:paraId="1AD10565" w14:textId="77777777" w:rsidR="001403D4" w:rsidRPr="00AE3D7B" w:rsidRDefault="005F2E4A">
            <w:pPr>
              <w:tabs>
                <w:tab w:val="left" w:pos="284"/>
              </w:tabs>
              <w:spacing w:line="360" w:lineRule="auto"/>
              <w:jc w:val="both"/>
              <w:rPr>
                <w:rFonts w:ascii="Palatino Linotype" w:eastAsia="Palatino Linotype" w:hAnsi="Palatino Linotype" w:cs="Palatino Linotype"/>
              </w:rPr>
            </w:pPr>
            <w:r w:rsidRPr="00AE3D7B">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2AD4CAB" w14:textId="77777777" w:rsidR="001403D4" w:rsidRPr="00AE3D7B" w:rsidRDefault="001403D4">
      <w:pPr>
        <w:tabs>
          <w:tab w:val="left" w:pos="284"/>
        </w:tabs>
        <w:spacing w:line="360" w:lineRule="auto"/>
        <w:rPr>
          <w:rFonts w:ascii="Palatino Linotype" w:eastAsia="Palatino Linotype" w:hAnsi="Palatino Linotype" w:cs="Palatino Linotype"/>
          <w:color w:val="000000"/>
        </w:rPr>
      </w:pPr>
    </w:p>
    <w:p w14:paraId="3D631835"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rPr>
        <w:t xml:space="preserve">Si el </w:t>
      </w:r>
      <w:r w:rsidRPr="00AE3D7B">
        <w:rPr>
          <w:rFonts w:ascii="Palatino Linotype" w:eastAsia="Palatino Linotype" w:hAnsi="Palatino Linotype" w:cs="Palatino Linotype"/>
          <w:color w:val="000000"/>
        </w:rPr>
        <w:t>servidor</w:t>
      </w:r>
      <w:r w:rsidRPr="00AE3D7B">
        <w:rPr>
          <w:rFonts w:ascii="Palatino Linotype" w:eastAsia="Palatino Linotype" w:hAnsi="Palatino Linotype" w:cs="Palatino Linotype"/>
        </w:rPr>
        <w:t xml:space="preserve"> público incumple con estas formalidades y entrega la información sin proteger los datos personales incumple con lo que estipula las disposiciones legales </w:t>
      </w:r>
      <w:r w:rsidRPr="00AE3D7B">
        <w:rPr>
          <w:rFonts w:ascii="Palatino Linotype" w:eastAsia="Palatino Linotype" w:hAnsi="Palatino Linotype" w:cs="Palatino Linotype"/>
          <w:color w:val="000000"/>
        </w:rPr>
        <w:t>establecidas</w:t>
      </w:r>
      <w:r w:rsidRPr="00AE3D7B">
        <w:rPr>
          <w:rFonts w:ascii="Palatino Linotype" w:eastAsia="Palatino Linotype" w:hAnsi="Palatino Linotype" w:cs="Palatino Linotype"/>
        </w:rPr>
        <w:t>, asimismo que si entrega un documento testado sin el debido acuerdo de clasificación.</w:t>
      </w:r>
    </w:p>
    <w:p w14:paraId="1DA48C29" w14:textId="77777777" w:rsidR="001403D4" w:rsidRPr="00AE3D7B" w:rsidRDefault="001403D4">
      <w:pPr>
        <w:pStyle w:val="Ttulo3"/>
        <w:keepNext w:val="0"/>
        <w:keepLines w:val="0"/>
        <w:spacing w:before="0" w:line="360" w:lineRule="auto"/>
        <w:jc w:val="both"/>
        <w:rPr>
          <w:rFonts w:ascii="Palatino Linotype" w:eastAsia="Palatino Linotype" w:hAnsi="Palatino Linotype" w:cs="Palatino Linotype"/>
        </w:rPr>
      </w:pPr>
      <w:bookmarkStart w:id="7" w:name="_heading=h.2qq9rklnwuw0" w:colFirst="0" w:colLast="0"/>
      <w:bookmarkEnd w:id="7"/>
    </w:p>
    <w:p w14:paraId="4CA1D1BE" w14:textId="524FB5B2" w:rsidR="001403D4" w:rsidRDefault="005F2E4A">
      <w:pPr>
        <w:spacing w:line="360" w:lineRule="auto"/>
        <w:jc w:val="both"/>
        <w:rPr>
          <w:rFonts w:ascii="Palatino Linotype" w:eastAsia="Palatino Linotype" w:hAnsi="Palatino Linotype" w:cs="Palatino Linotype"/>
          <w:b/>
        </w:rPr>
      </w:pPr>
      <w:r w:rsidRPr="00134A7A">
        <w:rPr>
          <w:rFonts w:ascii="Palatino Linotype" w:eastAsia="Palatino Linotype" w:hAnsi="Palatino Linotype" w:cs="Palatino Linotype"/>
          <w:b/>
        </w:rPr>
        <w:t>Del nombre de los policías</w:t>
      </w:r>
      <w:r w:rsidR="00F70E7D" w:rsidRPr="00134A7A">
        <w:rPr>
          <w:rFonts w:ascii="Palatino Linotype" w:eastAsia="Palatino Linotype" w:hAnsi="Palatino Linotype" w:cs="Palatino Linotype"/>
          <w:b/>
        </w:rPr>
        <w:t>.</w:t>
      </w:r>
    </w:p>
    <w:p w14:paraId="5B8766AC" w14:textId="77777777" w:rsidR="00F70E7D" w:rsidRPr="00AE3D7B" w:rsidRDefault="00F70E7D">
      <w:pPr>
        <w:spacing w:line="360" w:lineRule="auto"/>
        <w:jc w:val="both"/>
        <w:rPr>
          <w:rFonts w:ascii="Palatino Linotype" w:eastAsia="Palatino Linotype" w:hAnsi="Palatino Linotype" w:cs="Palatino Linotype"/>
          <w:b/>
        </w:rPr>
      </w:pPr>
    </w:p>
    <w:p w14:paraId="76F83F7C"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rPr>
        <w:t xml:space="preserve">No es ocioso mencionar </w:t>
      </w:r>
      <w:proofErr w:type="gramStart"/>
      <w:r w:rsidRPr="00AE3D7B">
        <w:rPr>
          <w:rFonts w:ascii="Palatino Linotype" w:eastAsia="Palatino Linotype" w:hAnsi="Palatino Linotype" w:cs="Palatino Linotype"/>
        </w:rPr>
        <w:t>que</w:t>
      </w:r>
      <w:proofErr w:type="gramEnd"/>
      <w:r w:rsidRPr="00AE3D7B">
        <w:rPr>
          <w:rFonts w:ascii="Palatino Linotype" w:eastAsia="Palatino Linotype" w:hAnsi="Palatino Linotype" w:cs="Palatino Linotype"/>
        </w:rPr>
        <w:t xml:space="preserve"> dentro del cúmulo de información solicitada por el particular, se encuentran también los recibos de nómina de los elementos de seguridad pública; por ello, es necesario señalar que las condiciones en las cuales se deberá entregar la información solicitada adquieren una especial naturaleza.</w:t>
      </w:r>
    </w:p>
    <w:p w14:paraId="2CA8739B" w14:textId="77777777" w:rsidR="001403D4" w:rsidRPr="00AE3D7B" w:rsidRDefault="001403D4">
      <w:pPr>
        <w:spacing w:line="360" w:lineRule="auto"/>
        <w:ind w:left="360"/>
        <w:jc w:val="both"/>
        <w:rPr>
          <w:rFonts w:ascii="Palatino Linotype" w:eastAsia="Palatino Linotype" w:hAnsi="Palatino Linotype" w:cs="Palatino Linotype"/>
        </w:rPr>
      </w:pPr>
    </w:p>
    <w:p w14:paraId="5567C904" w14:textId="77777777" w:rsidR="001403D4" w:rsidRPr="00134A7A" w:rsidRDefault="005F2E4A">
      <w:pPr>
        <w:numPr>
          <w:ilvl w:val="0"/>
          <w:numId w:val="13"/>
        </w:numPr>
        <w:spacing w:line="360" w:lineRule="auto"/>
        <w:ind w:left="0" w:firstLine="0"/>
        <w:jc w:val="both"/>
        <w:rPr>
          <w:rFonts w:ascii="Palatino Linotype" w:eastAsia="Palatino Linotype" w:hAnsi="Palatino Linotype" w:cs="Palatino Linotype"/>
          <w:color w:val="000000"/>
        </w:rPr>
      </w:pPr>
      <w:r w:rsidRPr="00134A7A">
        <w:rPr>
          <w:rFonts w:ascii="Palatino Linotype" w:eastAsia="Palatino Linotype" w:hAnsi="Palatino Linotype" w:cs="Palatino Linotype"/>
        </w:rPr>
        <w:t xml:space="preserve">En efecto, este instituto advierte que otorgar acceso al </w:t>
      </w:r>
      <w:r w:rsidR="00FB6E07" w:rsidRPr="00134A7A">
        <w:rPr>
          <w:rFonts w:ascii="Palatino Linotype" w:eastAsia="Palatino Linotype" w:hAnsi="Palatino Linotype" w:cs="Palatino Linotype"/>
        </w:rPr>
        <w:t>nombre</w:t>
      </w:r>
      <w:r w:rsidRPr="00134A7A">
        <w:rPr>
          <w:rFonts w:ascii="Palatino Linotype" w:eastAsia="Palatino Linotype" w:hAnsi="Palatino Linotype" w:cs="Palatino Linotype"/>
        </w:rPr>
        <w:t xml:space="preserve"> de policías operativos podría comprometer la integridad de los mismos, de conformidad con lo que establece el artículo 140 de la Ley de Transparencia y Acceso a la Información Pública del Estado de México y Municipios:</w:t>
      </w:r>
    </w:p>
    <w:p w14:paraId="099771C7" w14:textId="77777777" w:rsidR="001403D4" w:rsidRPr="00134A7A" w:rsidRDefault="001403D4">
      <w:pPr>
        <w:spacing w:line="276" w:lineRule="auto"/>
        <w:ind w:left="560" w:right="620"/>
        <w:jc w:val="both"/>
        <w:rPr>
          <w:rFonts w:ascii="Palatino Linotype" w:eastAsia="Palatino Linotype" w:hAnsi="Palatino Linotype" w:cs="Palatino Linotype"/>
        </w:rPr>
      </w:pPr>
    </w:p>
    <w:p w14:paraId="11F4922C" w14:textId="77777777" w:rsidR="001403D4" w:rsidRPr="00134A7A" w:rsidRDefault="005F2E4A">
      <w:pPr>
        <w:spacing w:line="276" w:lineRule="auto"/>
        <w:ind w:left="560" w:right="620"/>
        <w:jc w:val="both"/>
        <w:rPr>
          <w:rFonts w:ascii="Palatino Linotype" w:eastAsia="Palatino Linotype" w:hAnsi="Palatino Linotype" w:cs="Palatino Linotype"/>
          <w:i/>
          <w:sz w:val="22"/>
          <w:szCs w:val="22"/>
        </w:rPr>
      </w:pPr>
      <w:r w:rsidRPr="00134A7A">
        <w:rPr>
          <w:rFonts w:ascii="Palatino Linotype" w:eastAsia="Palatino Linotype" w:hAnsi="Palatino Linotype" w:cs="Palatino Linotype"/>
          <w:b/>
          <w:i/>
          <w:sz w:val="22"/>
          <w:szCs w:val="22"/>
        </w:rPr>
        <w:t>“Artículo 140.</w:t>
      </w:r>
      <w:r w:rsidRPr="00134A7A">
        <w:rPr>
          <w:rFonts w:ascii="Palatino Linotype" w:eastAsia="Palatino Linotype" w:hAnsi="Palatino Linotype" w:cs="Palatino Linotype"/>
          <w:i/>
          <w:sz w:val="22"/>
          <w:szCs w:val="22"/>
        </w:rPr>
        <w:t xml:space="preserve"> El acceso a la información pública será restringido excepcionalmente, cuando por razones de interés público, ésta sea clasificada como reservada, conforme a los criterios siguientes:</w:t>
      </w:r>
    </w:p>
    <w:p w14:paraId="6E986245" w14:textId="77777777" w:rsidR="001403D4" w:rsidRPr="00134A7A" w:rsidRDefault="005F2E4A">
      <w:pPr>
        <w:spacing w:line="276" w:lineRule="auto"/>
        <w:ind w:left="560" w:right="620"/>
        <w:jc w:val="both"/>
        <w:rPr>
          <w:rFonts w:ascii="Palatino Linotype" w:eastAsia="Palatino Linotype" w:hAnsi="Palatino Linotype" w:cs="Palatino Linotype"/>
          <w:i/>
          <w:sz w:val="22"/>
          <w:szCs w:val="22"/>
        </w:rPr>
      </w:pPr>
      <w:r w:rsidRPr="00134A7A">
        <w:rPr>
          <w:rFonts w:ascii="Palatino Linotype" w:eastAsia="Palatino Linotype" w:hAnsi="Palatino Linotype" w:cs="Palatino Linotype"/>
          <w:i/>
          <w:sz w:val="22"/>
          <w:szCs w:val="22"/>
        </w:rPr>
        <w:t>(…)</w:t>
      </w:r>
    </w:p>
    <w:p w14:paraId="66FEEB6C" w14:textId="77777777" w:rsidR="001403D4" w:rsidRPr="00134A7A" w:rsidRDefault="005F2E4A">
      <w:pPr>
        <w:spacing w:line="276" w:lineRule="auto"/>
        <w:ind w:left="560" w:right="620"/>
        <w:jc w:val="both"/>
        <w:rPr>
          <w:rFonts w:ascii="Palatino Linotype" w:eastAsia="Palatino Linotype" w:hAnsi="Palatino Linotype" w:cs="Palatino Linotype"/>
          <w:b/>
          <w:i/>
          <w:sz w:val="22"/>
          <w:szCs w:val="22"/>
        </w:rPr>
      </w:pPr>
      <w:r w:rsidRPr="00134A7A">
        <w:rPr>
          <w:rFonts w:ascii="Palatino Linotype" w:eastAsia="Palatino Linotype" w:hAnsi="Palatino Linotype" w:cs="Palatino Linotype"/>
          <w:b/>
          <w:i/>
          <w:sz w:val="22"/>
          <w:szCs w:val="22"/>
        </w:rPr>
        <w:t>IV. Ponga en riesgo la vida, la seguridad o la salud de una persona física;</w:t>
      </w:r>
    </w:p>
    <w:p w14:paraId="5C9A7FE6" w14:textId="77777777" w:rsidR="001403D4" w:rsidRPr="00134A7A" w:rsidRDefault="005F2E4A">
      <w:pPr>
        <w:spacing w:line="276" w:lineRule="auto"/>
        <w:ind w:left="560" w:right="620"/>
        <w:jc w:val="both"/>
        <w:rPr>
          <w:rFonts w:ascii="Palatino Linotype" w:eastAsia="Palatino Linotype" w:hAnsi="Palatino Linotype" w:cs="Palatino Linotype"/>
          <w:i/>
          <w:sz w:val="22"/>
          <w:szCs w:val="22"/>
        </w:rPr>
      </w:pPr>
      <w:r w:rsidRPr="00134A7A">
        <w:rPr>
          <w:rFonts w:ascii="Palatino Linotype" w:eastAsia="Palatino Linotype" w:hAnsi="Palatino Linotype" w:cs="Palatino Linotype"/>
          <w:i/>
          <w:sz w:val="22"/>
          <w:szCs w:val="22"/>
        </w:rPr>
        <w:t xml:space="preserve"> (…)”</w:t>
      </w:r>
    </w:p>
    <w:p w14:paraId="0A8AD407" w14:textId="77777777" w:rsidR="001403D4" w:rsidRPr="00134A7A" w:rsidRDefault="005F2E4A">
      <w:pPr>
        <w:numPr>
          <w:ilvl w:val="0"/>
          <w:numId w:val="13"/>
        </w:numPr>
        <w:spacing w:line="360" w:lineRule="auto"/>
        <w:ind w:left="0" w:firstLine="0"/>
        <w:jc w:val="both"/>
        <w:rPr>
          <w:rFonts w:ascii="Palatino Linotype" w:eastAsia="Palatino Linotype" w:hAnsi="Palatino Linotype" w:cs="Palatino Linotype"/>
          <w:color w:val="000000"/>
        </w:rPr>
      </w:pPr>
      <w:r w:rsidRPr="00134A7A">
        <w:rPr>
          <w:rFonts w:ascii="Palatino Linotype" w:eastAsia="Palatino Linotype" w:hAnsi="Palatino Linotype" w:cs="Palatino Linotype"/>
        </w:rPr>
        <w:t xml:space="preserve">En este contexto, la mayoría del Pleno considera que dar a conocer los nombres y cargos de servidores públicos que realizan funciones en materia de seguridad, tal como es el caso de los policías, los vuelve identificables y posiblemente reconocibles para grupos delictivos; así, dicha información puede ser utilizada para </w:t>
      </w:r>
      <w:r w:rsidRPr="00134A7A">
        <w:rPr>
          <w:rFonts w:ascii="Palatino Linotype" w:eastAsia="Palatino Linotype" w:hAnsi="Palatino Linotype" w:cs="Palatino Linotype"/>
          <w:b/>
        </w:rPr>
        <w:t xml:space="preserve">vulnerar la vida, seguridad o salud de dichos elementos, incluso la de sus familias o entorno social, </w:t>
      </w:r>
      <w:r w:rsidRPr="00134A7A">
        <w:rPr>
          <w:rFonts w:ascii="Palatino Linotype" w:eastAsia="Palatino Linotype" w:hAnsi="Palatino Linotype" w:cs="Palatino Linotype"/>
        </w:rPr>
        <w:t xml:space="preserve">demás, de que aumenta el riesgo de que personas ajenas a los intereses institucionales e </w:t>
      </w:r>
      <w:r w:rsidRPr="00134A7A">
        <w:rPr>
          <w:rFonts w:ascii="Palatino Linotype" w:eastAsia="Palatino Linotype" w:hAnsi="Palatino Linotype" w:cs="Palatino Linotype"/>
        </w:rPr>
        <w:lastRenderedPageBreak/>
        <w:t>intenten realizar actos tendientes a inhibir o entrometerse en las funciones de los policías municipales, lo cual causaría una vulneración a la seguridad municipal.</w:t>
      </w:r>
    </w:p>
    <w:p w14:paraId="0AF4BC74" w14:textId="77777777" w:rsidR="001403D4" w:rsidRPr="00134A7A" w:rsidRDefault="001403D4">
      <w:pPr>
        <w:spacing w:line="360" w:lineRule="auto"/>
        <w:ind w:left="360"/>
        <w:jc w:val="both"/>
        <w:rPr>
          <w:rFonts w:ascii="Palatino Linotype" w:eastAsia="Palatino Linotype" w:hAnsi="Palatino Linotype" w:cs="Palatino Linotype"/>
        </w:rPr>
      </w:pPr>
    </w:p>
    <w:p w14:paraId="69EE728C"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color w:val="000000"/>
        </w:rPr>
      </w:pPr>
      <w:r w:rsidRPr="00134A7A">
        <w:rPr>
          <w:rFonts w:ascii="Palatino Linotype" w:eastAsia="Palatino Linotype" w:hAnsi="Palatino Linotype" w:cs="Palatino Linotype"/>
        </w:rPr>
        <w:t xml:space="preserve">Por lo tanto, el proporcionar el </w:t>
      </w:r>
      <w:r w:rsidR="00FB6E07" w:rsidRPr="00134A7A">
        <w:rPr>
          <w:rFonts w:ascii="Palatino Linotype" w:eastAsia="Palatino Linotype" w:hAnsi="Palatino Linotype" w:cs="Palatino Linotype"/>
        </w:rPr>
        <w:t>nombre</w:t>
      </w:r>
      <w:r w:rsidRPr="00134A7A">
        <w:rPr>
          <w:rFonts w:ascii="Palatino Linotype" w:eastAsia="Palatino Linotype" w:hAnsi="Palatino Linotype" w:cs="Palatino Linotype"/>
        </w:rPr>
        <w:t xml:space="preserve"> de los elementos</w:t>
      </w:r>
      <w:r w:rsidRPr="00AE3D7B">
        <w:rPr>
          <w:rFonts w:ascii="Palatino Linotype" w:eastAsia="Palatino Linotype" w:hAnsi="Palatino Linotype" w:cs="Palatino Linotype"/>
        </w:rPr>
        <w:t xml:space="preserve"> policiales operativos dentro de los recibos de nómina del personal adscrito a la Dirección de Seguridad Pública, o equivalente, pone en riesgo de manera directa la vida y la seguridad de dichos servidores públicos, siendo obligación de la Institución protegerla en todo momento para salvaguarda de sus integrantes.</w:t>
      </w:r>
    </w:p>
    <w:p w14:paraId="451C5338" w14:textId="77777777" w:rsidR="001403D4" w:rsidRPr="00AE3D7B" w:rsidRDefault="001403D4">
      <w:pPr>
        <w:spacing w:line="360" w:lineRule="auto"/>
        <w:jc w:val="both"/>
        <w:rPr>
          <w:rFonts w:ascii="Palatino Linotype" w:eastAsia="Palatino Linotype" w:hAnsi="Palatino Linotype" w:cs="Palatino Linotype"/>
          <w:color w:val="000000"/>
        </w:rPr>
      </w:pPr>
    </w:p>
    <w:p w14:paraId="6AB16195" w14:textId="77777777" w:rsidR="001403D4" w:rsidRPr="00F70E7D" w:rsidRDefault="005F2E4A">
      <w:pPr>
        <w:numPr>
          <w:ilvl w:val="0"/>
          <w:numId w:val="13"/>
        </w:numPr>
        <w:spacing w:line="360" w:lineRule="auto"/>
        <w:ind w:left="0" w:firstLine="0"/>
        <w:jc w:val="both"/>
        <w:rPr>
          <w:rFonts w:ascii="Palatino Linotype" w:eastAsia="Palatino Linotype" w:hAnsi="Palatino Linotype" w:cs="Palatino Linotype"/>
          <w:color w:val="000000"/>
        </w:rPr>
      </w:pPr>
      <w:r w:rsidRPr="00AE3D7B">
        <w:rPr>
          <w:rFonts w:ascii="Palatino Linotype" w:hAnsi="Palatino Linotype"/>
        </w:rPr>
        <w:t xml:space="preserve"> </w:t>
      </w:r>
      <w:r w:rsidRPr="00AE3D7B">
        <w:rPr>
          <w:rFonts w:ascii="Palatino Linotype" w:eastAsia="Palatino Linotype" w:hAnsi="Palatino Linotype" w:cs="Palatino Linotype"/>
        </w:rPr>
        <w:t>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14:paraId="214ABA27" w14:textId="77777777" w:rsidR="00F70E7D" w:rsidRPr="00AE3D7B" w:rsidRDefault="00F70E7D" w:rsidP="00F70E7D">
      <w:pPr>
        <w:spacing w:line="360" w:lineRule="auto"/>
        <w:jc w:val="both"/>
        <w:rPr>
          <w:rFonts w:ascii="Palatino Linotype" w:eastAsia="Palatino Linotype" w:hAnsi="Palatino Linotype" w:cs="Palatino Linotype"/>
          <w:color w:val="000000"/>
        </w:rPr>
      </w:pPr>
    </w:p>
    <w:p w14:paraId="31F993F4"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rPr>
        <w:t>Así 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AE3D7B">
        <w:rPr>
          <w:rFonts w:ascii="Palatino Linotype" w:eastAsia="Palatino Linotype" w:hAnsi="Palatino Linotype" w:cs="Palatino Linotype"/>
          <w:b/>
        </w:rPr>
        <w:t xml:space="preserve"> SUJETO OBLIGADO</w:t>
      </w:r>
      <w:r w:rsidRPr="00AE3D7B">
        <w:rPr>
          <w:rFonts w:ascii="Palatino Linotype" w:eastAsia="Palatino Linotype" w:hAnsi="Palatino Linotype" w:cs="Palatino Linotype"/>
        </w:rPr>
        <w:t>, colocando en inminente riesgo la vida de todos los integrantes, menoscabando así las actividades de prevención del delito y combate a la delincuencia.</w:t>
      </w:r>
    </w:p>
    <w:p w14:paraId="4EADD706" w14:textId="77777777" w:rsidR="001403D4" w:rsidRPr="00AE3D7B" w:rsidRDefault="001403D4">
      <w:pPr>
        <w:spacing w:line="360" w:lineRule="auto"/>
        <w:ind w:left="360"/>
        <w:jc w:val="both"/>
        <w:rPr>
          <w:rFonts w:ascii="Palatino Linotype" w:eastAsia="Palatino Linotype" w:hAnsi="Palatino Linotype" w:cs="Palatino Linotype"/>
        </w:rPr>
      </w:pPr>
    </w:p>
    <w:p w14:paraId="7E1EE3C8"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color w:val="000000"/>
        </w:rPr>
      </w:pPr>
      <w:r w:rsidRPr="00AE3D7B">
        <w:rPr>
          <w:rFonts w:ascii="Palatino Linotype" w:hAnsi="Palatino Linotype"/>
        </w:rPr>
        <w:t xml:space="preserve"> </w:t>
      </w:r>
      <w:r w:rsidRPr="00AE3D7B">
        <w:rPr>
          <w:rFonts w:ascii="Palatino Linotype" w:eastAsia="Palatino Linotype" w:hAnsi="Palatino Linotype" w:cs="Palatino Linotype"/>
        </w:rPr>
        <w:t>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14:paraId="0215715C" w14:textId="77777777" w:rsidR="001403D4" w:rsidRPr="00AE3D7B" w:rsidRDefault="001403D4">
      <w:pPr>
        <w:spacing w:line="360" w:lineRule="auto"/>
        <w:ind w:left="360"/>
        <w:jc w:val="both"/>
        <w:rPr>
          <w:rFonts w:ascii="Palatino Linotype" w:eastAsia="Palatino Linotype" w:hAnsi="Palatino Linotype" w:cs="Palatino Linotype"/>
        </w:rPr>
      </w:pPr>
    </w:p>
    <w:p w14:paraId="0BAA9A16"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color w:val="000000"/>
        </w:rPr>
      </w:pPr>
      <w:r w:rsidRPr="00AE3D7B">
        <w:rPr>
          <w:rFonts w:ascii="Palatino Linotype" w:hAnsi="Palatino Linotype"/>
        </w:rPr>
        <w:t xml:space="preserve">  </w:t>
      </w:r>
      <w:r w:rsidRPr="00AE3D7B">
        <w:rPr>
          <w:rFonts w:ascii="Palatino Linotype" w:eastAsia="Palatino Linotype" w:hAnsi="Palatino Linotype" w:cs="Palatino Linotype"/>
        </w:rPr>
        <w:t>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14:paraId="2AE5F24C" w14:textId="77777777" w:rsidR="001403D4" w:rsidRPr="00AE3D7B" w:rsidRDefault="001403D4">
      <w:pPr>
        <w:spacing w:line="360" w:lineRule="auto"/>
        <w:ind w:left="360"/>
        <w:jc w:val="both"/>
        <w:rPr>
          <w:rFonts w:ascii="Palatino Linotype" w:eastAsia="Palatino Linotype" w:hAnsi="Palatino Linotype" w:cs="Palatino Linotype"/>
        </w:rPr>
      </w:pPr>
    </w:p>
    <w:p w14:paraId="528D0FD6" w14:textId="77777777" w:rsidR="001403D4" w:rsidRPr="00FE6973" w:rsidRDefault="005F2E4A">
      <w:pPr>
        <w:numPr>
          <w:ilvl w:val="0"/>
          <w:numId w:val="13"/>
        </w:numPr>
        <w:spacing w:line="360" w:lineRule="auto"/>
        <w:ind w:left="0" w:firstLine="0"/>
        <w:jc w:val="both"/>
        <w:rPr>
          <w:rFonts w:ascii="Palatino Linotype" w:eastAsia="Palatino Linotype" w:hAnsi="Palatino Linotype" w:cs="Palatino Linotype"/>
          <w:color w:val="000000"/>
        </w:rPr>
      </w:pPr>
      <w:r w:rsidRPr="00AE3D7B">
        <w:rPr>
          <w:rFonts w:ascii="Palatino Linotype" w:hAnsi="Palatino Linotype"/>
        </w:rPr>
        <w:t xml:space="preserve"> </w:t>
      </w:r>
      <w:r w:rsidRPr="00AE3D7B">
        <w:rPr>
          <w:rFonts w:ascii="Palatino Linotype" w:eastAsia="Palatino Linotype" w:hAnsi="Palatino Linotype" w:cs="Palatino Linotype"/>
        </w:rPr>
        <w:t xml:space="preserve">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w:t>
      </w:r>
      <w:r w:rsidRPr="00AE3D7B">
        <w:rPr>
          <w:rFonts w:ascii="Palatino Linotype" w:eastAsia="Palatino Linotype" w:hAnsi="Palatino Linotype" w:cs="Palatino Linotype"/>
        </w:rPr>
        <w:lastRenderedPageBreak/>
        <w:t>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el Estado.</w:t>
      </w:r>
    </w:p>
    <w:p w14:paraId="08A56537" w14:textId="77777777" w:rsidR="00FE6973" w:rsidRPr="00AE3D7B" w:rsidRDefault="00FE6973" w:rsidP="00FE6973">
      <w:pPr>
        <w:spacing w:line="360" w:lineRule="auto"/>
        <w:jc w:val="both"/>
        <w:rPr>
          <w:rFonts w:ascii="Palatino Linotype" w:eastAsia="Palatino Linotype" w:hAnsi="Palatino Linotype" w:cs="Palatino Linotype"/>
          <w:color w:val="000000"/>
        </w:rPr>
      </w:pPr>
    </w:p>
    <w:p w14:paraId="4C28B051"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rPr>
        <w:t>Por lo que, el derecho a la vida y seguridad nacional tiene una-primacía que el derecho al acceso a la información, por lo que el bien jurídico a salvaguardarse primordialmente, es la vida y la seguridad de los servidores públicos encargados de la seguridad pública.</w:t>
      </w:r>
    </w:p>
    <w:p w14:paraId="5000FC40" w14:textId="77777777" w:rsidR="001403D4" w:rsidRPr="00AE3D7B" w:rsidRDefault="001403D4">
      <w:pPr>
        <w:spacing w:line="360" w:lineRule="auto"/>
        <w:ind w:left="360"/>
        <w:jc w:val="both"/>
        <w:rPr>
          <w:rFonts w:ascii="Palatino Linotype" w:eastAsia="Palatino Linotype" w:hAnsi="Palatino Linotype" w:cs="Palatino Linotype"/>
        </w:rPr>
      </w:pPr>
    </w:p>
    <w:p w14:paraId="50DA0182"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rPr>
        <w:t>Al respecto, cabe hacer mención que el artículo 81 fracción III de la Ley de Seguridad del Estado de México, establece lo siguiente:</w:t>
      </w:r>
    </w:p>
    <w:p w14:paraId="5678C565" w14:textId="77777777" w:rsidR="001403D4" w:rsidRPr="008D0198" w:rsidRDefault="001403D4">
      <w:pPr>
        <w:spacing w:line="360" w:lineRule="auto"/>
        <w:ind w:left="360"/>
        <w:jc w:val="both"/>
        <w:rPr>
          <w:rFonts w:ascii="Palatino Linotype" w:eastAsia="Palatino Linotype" w:hAnsi="Palatino Linotype" w:cs="Palatino Linotype"/>
          <w:sz w:val="22"/>
          <w:szCs w:val="22"/>
        </w:rPr>
      </w:pPr>
    </w:p>
    <w:p w14:paraId="7239A67B" w14:textId="77777777" w:rsidR="001403D4" w:rsidRPr="008D0198" w:rsidRDefault="005F2E4A">
      <w:pPr>
        <w:spacing w:line="276" w:lineRule="auto"/>
        <w:ind w:left="720" w:right="560"/>
        <w:jc w:val="both"/>
        <w:rPr>
          <w:rFonts w:ascii="Palatino Linotype" w:eastAsia="Palatino Linotype" w:hAnsi="Palatino Linotype" w:cs="Palatino Linotype"/>
          <w:i/>
          <w:sz w:val="22"/>
          <w:szCs w:val="22"/>
        </w:rPr>
      </w:pPr>
      <w:r w:rsidRPr="008D0198">
        <w:rPr>
          <w:rFonts w:ascii="Palatino Linotype" w:eastAsia="Palatino Linotype" w:hAnsi="Palatino Linotype" w:cs="Palatino Linotype"/>
          <w:i/>
          <w:sz w:val="22"/>
          <w:szCs w:val="22"/>
        </w:rPr>
        <w:t>“</w:t>
      </w:r>
      <w:r w:rsidRPr="008D0198">
        <w:rPr>
          <w:rFonts w:ascii="Palatino Linotype" w:eastAsia="Palatino Linotype" w:hAnsi="Palatino Linotype" w:cs="Palatino Linotype"/>
          <w:b/>
          <w:i/>
          <w:sz w:val="22"/>
          <w:szCs w:val="22"/>
        </w:rPr>
        <w:t>Artículo 81.-</w:t>
      </w:r>
      <w:r w:rsidRPr="008D0198">
        <w:rPr>
          <w:rFonts w:ascii="Palatino Linotype" w:eastAsia="Palatino Linotype" w:hAnsi="Palatino Linotype" w:cs="Palatino Linotype"/>
          <w:i/>
          <w:sz w:val="22"/>
          <w:szCs w:val="22"/>
        </w:rPr>
        <w:t xml:space="preserve"> </w:t>
      </w:r>
      <w:r w:rsidRPr="008D0198">
        <w:rPr>
          <w:rFonts w:ascii="Palatino Linotype" w:eastAsia="Palatino Linotype" w:hAnsi="Palatino Linotype" w:cs="Palatino Linotype"/>
          <w:b/>
          <w:i/>
          <w:sz w:val="22"/>
          <w:szCs w:val="22"/>
        </w:rPr>
        <w:t xml:space="preserve">Toda información para la seguridad pública generada o en poder de Instituciones de Seguridad Pública o de cualquier instancia del Sistema Estatal debe registrarse, clasificarse y tratarse de conformidad con las disposiciones aplicables. No </w:t>
      </w:r>
      <w:proofErr w:type="gramStart"/>
      <w:r w:rsidRPr="008D0198">
        <w:rPr>
          <w:rFonts w:ascii="Palatino Linotype" w:eastAsia="Palatino Linotype" w:hAnsi="Palatino Linotype" w:cs="Palatino Linotype"/>
          <w:b/>
          <w:i/>
          <w:sz w:val="22"/>
          <w:szCs w:val="22"/>
        </w:rPr>
        <w:t>obstante</w:t>
      </w:r>
      <w:proofErr w:type="gramEnd"/>
      <w:r w:rsidRPr="008D0198">
        <w:rPr>
          <w:rFonts w:ascii="Palatino Linotype" w:eastAsia="Palatino Linotype" w:hAnsi="Palatino Linotype" w:cs="Palatino Linotype"/>
          <w:b/>
          <w:i/>
          <w:sz w:val="22"/>
          <w:szCs w:val="22"/>
        </w:rPr>
        <w:t xml:space="preserve"> lo anterior, esta información se considerará reservada</w:t>
      </w:r>
      <w:r w:rsidRPr="008D0198">
        <w:rPr>
          <w:rFonts w:ascii="Palatino Linotype" w:eastAsia="Palatino Linotype" w:hAnsi="Palatino Linotype" w:cs="Palatino Linotype"/>
          <w:i/>
          <w:sz w:val="22"/>
          <w:szCs w:val="22"/>
        </w:rPr>
        <w:t xml:space="preserve"> en los casos siguientes:</w:t>
      </w:r>
    </w:p>
    <w:p w14:paraId="28B4A104" w14:textId="77777777" w:rsidR="001403D4" w:rsidRPr="008D0198" w:rsidRDefault="005F2E4A">
      <w:pPr>
        <w:spacing w:line="276" w:lineRule="auto"/>
        <w:ind w:left="720" w:right="560"/>
        <w:jc w:val="both"/>
        <w:rPr>
          <w:rFonts w:ascii="Palatino Linotype" w:eastAsia="Palatino Linotype" w:hAnsi="Palatino Linotype" w:cs="Palatino Linotype"/>
          <w:i/>
          <w:sz w:val="22"/>
          <w:szCs w:val="22"/>
        </w:rPr>
      </w:pPr>
      <w:r w:rsidRPr="008D0198">
        <w:rPr>
          <w:rFonts w:ascii="Palatino Linotype" w:eastAsia="Palatino Linotype" w:hAnsi="Palatino Linotype" w:cs="Palatino Linotype"/>
          <w:i/>
          <w:sz w:val="22"/>
          <w:szCs w:val="22"/>
        </w:rPr>
        <w:t>(…)</w:t>
      </w:r>
    </w:p>
    <w:p w14:paraId="3491D252" w14:textId="77777777" w:rsidR="001403D4" w:rsidRPr="008D0198" w:rsidRDefault="005F2E4A">
      <w:pPr>
        <w:spacing w:line="276" w:lineRule="auto"/>
        <w:ind w:left="720" w:right="560"/>
        <w:jc w:val="both"/>
        <w:rPr>
          <w:rFonts w:ascii="Palatino Linotype" w:eastAsia="Palatino Linotype" w:hAnsi="Palatino Linotype" w:cs="Palatino Linotype"/>
          <w:b/>
          <w:i/>
          <w:sz w:val="22"/>
          <w:szCs w:val="22"/>
        </w:rPr>
      </w:pPr>
      <w:r w:rsidRPr="008D0198">
        <w:rPr>
          <w:rFonts w:ascii="Palatino Linotype" w:eastAsia="Palatino Linotype" w:hAnsi="Palatino Linotype" w:cs="Palatino Linotype"/>
          <w:b/>
          <w:i/>
          <w:sz w:val="22"/>
          <w:szCs w:val="22"/>
        </w:rPr>
        <w:t>III.</w:t>
      </w:r>
      <w:r w:rsidRPr="008D0198">
        <w:rPr>
          <w:rFonts w:ascii="Palatino Linotype" w:eastAsia="Palatino Linotype" w:hAnsi="Palatino Linotype" w:cs="Palatino Linotype"/>
          <w:i/>
          <w:sz w:val="22"/>
          <w:szCs w:val="22"/>
        </w:rPr>
        <w:t xml:space="preserve"> </w:t>
      </w:r>
      <w:r w:rsidRPr="008D0198">
        <w:rPr>
          <w:rFonts w:ascii="Palatino Linotype" w:eastAsia="Palatino Linotype" w:hAnsi="Palatino Linotype" w:cs="Palatino Linotype"/>
          <w:b/>
          <w:i/>
          <w:sz w:val="22"/>
          <w:szCs w:val="22"/>
        </w:rPr>
        <w:t>La relativa a servidores públicos miembros de las instituciones de seguridad pública, cuya revelación pueda poner en riesgo su vida e integridad física con motivo de sus funciones;</w:t>
      </w:r>
    </w:p>
    <w:p w14:paraId="593E72A6" w14:textId="77777777" w:rsidR="001403D4" w:rsidRPr="008D0198" w:rsidRDefault="005F2E4A">
      <w:pPr>
        <w:spacing w:line="276" w:lineRule="auto"/>
        <w:ind w:left="720" w:right="560"/>
        <w:jc w:val="both"/>
        <w:rPr>
          <w:rFonts w:ascii="Palatino Linotype" w:eastAsia="Palatino Linotype" w:hAnsi="Palatino Linotype" w:cs="Palatino Linotype"/>
          <w:i/>
          <w:sz w:val="22"/>
          <w:szCs w:val="22"/>
        </w:rPr>
      </w:pPr>
      <w:r w:rsidRPr="008D0198">
        <w:rPr>
          <w:rFonts w:ascii="Palatino Linotype" w:eastAsia="Palatino Linotype" w:hAnsi="Palatino Linotype" w:cs="Palatino Linotype"/>
          <w:i/>
          <w:sz w:val="22"/>
          <w:szCs w:val="22"/>
        </w:rPr>
        <w:lastRenderedPageBreak/>
        <w:t>(…)”</w:t>
      </w:r>
    </w:p>
    <w:p w14:paraId="4BC1227F" w14:textId="77777777" w:rsidR="001403D4" w:rsidRPr="008D0198" w:rsidRDefault="005F2E4A">
      <w:pPr>
        <w:spacing w:line="276" w:lineRule="auto"/>
        <w:ind w:left="720" w:right="860"/>
        <w:jc w:val="both"/>
        <w:rPr>
          <w:rFonts w:ascii="Palatino Linotype" w:eastAsia="Palatino Linotype" w:hAnsi="Palatino Linotype" w:cs="Palatino Linotype"/>
          <w:sz w:val="22"/>
          <w:szCs w:val="22"/>
        </w:rPr>
      </w:pPr>
      <w:r w:rsidRPr="008D0198">
        <w:rPr>
          <w:rFonts w:ascii="Palatino Linotype" w:eastAsia="Palatino Linotype" w:hAnsi="Palatino Linotype" w:cs="Palatino Linotype"/>
          <w:sz w:val="22"/>
          <w:szCs w:val="22"/>
        </w:rPr>
        <w:t>(Énfasis añadido)</w:t>
      </w:r>
    </w:p>
    <w:p w14:paraId="4B5533F5" w14:textId="77777777" w:rsidR="001403D4" w:rsidRPr="00AE3D7B" w:rsidRDefault="005F2E4A">
      <w:pPr>
        <w:spacing w:line="276" w:lineRule="auto"/>
        <w:ind w:left="720" w:right="860"/>
        <w:jc w:val="both"/>
        <w:rPr>
          <w:rFonts w:ascii="Palatino Linotype" w:eastAsia="Palatino Linotype" w:hAnsi="Palatino Linotype" w:cs="Palatino Linotype"/>
        </w:rPr>
      </w:pPr>
      <w:r w:rsidRPr="00AE3D7B">
        <w:rPr>
          <w:rFonts w:ascii="Palatino Linotype" w:eastAsia="Palatino Linotype" w:hAnsi="Palatino Linotype" w:cs="Palatino Linotype"/>
        </w:rPr>
        <w:t xml:space="preserve"> </w:t>
      </w:r>
    </w:p>
    <w:p w14:paraId="1EB72555"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rPr>
        <w:t>Argumento que se fortalece con lo estipulado en el criterio número 6-09, del Instituto Nacional de Transparencia, Acceso a la Información y Protección de Datos Personales, antes (INAI)</w:t>
      </w:r>
      <w:r w:rsidRPr="00AE3D7B">
        <w:rPr>
          <w:rFonts w:ascii="Palatino Linotype" w:eastAsia="Palatino Linotype" w:hAnsi="Palatino Linotype" w:cs="Palatino Linotype"/>
          <w:b/>
        </w:rPr>
        <w:t xml:space="preserve">, </w:t>
      </w:r>
      <w:r w:rsidRPr="00AE3D7B">
        <w:rPr>
          <w:rFonts w:ascii="Palatino Linotype" w:eastAsia="Palatino Linotype" w:hAnsi="Palatino Linotype" w:cs="Palatino Linotype"/>
        </w:rPr>
        <w:t>el cual refiere:</w:t>
      </w:r>
    </w:p>
    <w:p w14:paraId="731FF3DC" w14:textId="77777777" w:rsidR="001403D4" w:rsidRPr="00736186" w:rsidRDefault="005F2E4A">
      <w:pPr>
        <w:spacing w:line="360" w:lineRule="auto"/>
        <w:ind w:left="360"/>
        <w:jc w:val="both"/>
        <w:rPr>
          <w:rFonts w:ascii="Palatino Linotype" w:eastAsia="Palatino Linotype" w:hAnsi="Palatino Linotype" w:cs="Palatino Linotype"/>
          <w:sz w:val="22"/>
          <w:szCs w:val="22"/>
        </w:rPr>
      </w:pPr>
      <w:r w:rsidRPr="00AE3D7B">
        <w:rPr>
          <w:rFonts w:ascii="Palatino Linotype" w:eastAsia="Palatino Linotype" w:hAnsi="Palatino Linotype" w:cs="Palatino Linotype"/>
        </w:rPr>
        <w:t xml:space="preserve"> </w:t>
      </w:r>
    </w:p>
    <w:p w14:paraId="2BDB31CA" w14:textId="77777777" w:rsidR="001403D4" w:rsidRPr="00736186" w:rsidRDefault="005F2E4A">
      <w:pPr>
        <w:spacing w:line="276" w:lineRule="auto"/>
        <w:ind w:left="560" w:right="560"/>
        <w:jc w:val="both"/>
        <w:rPr>
          <w:rFonts w:ascii="Palatino Linotype" w:eastAsia="Palatino Linotype" w:hAnsi="Palatino Linotype" w:cs="Palatino Linotype"/>
          <w:i/>
          <w:sz w:val="22"/>
          <w:szCs w:val="22"/>
        </w:rPr>
      </w:pPr>
      <w:r w:rsidRPr="00736186">
        <w:rPr>
          <w:rFonts w:ascii="Palatino Linotype" w:eastAsia="Palatino Linotype" w:hAnsi="Palatino Linotype" w:cs="Palatino Linotype"/>
          <w:b/>
          <w:i/>
          <w:sz w:val="22"/>
          <w:szCs w:val="22"/>
        </w:rPr>
        <w:t>NOMBRES DE SERVIDORES PÚBLICOS DEDICADOS A ACTIVIDADES EN MATERIA DE SEGURIDAD, POR EXCEPCIÓN PUEDEN CONSIDERARSE INFORMACIÓN RESERVADA. “</w:t>
      </w:r>
      <w:r w:rsidRPr="00736186">
        <w:rPr>
          <w:rFonts w:ascii="Palatino Linotype" w:eastAsia="Palatino Linotype" w:hAnsi="Palatino Linotype" w:cs="Palatino Linotype"/>
          <w:i/>
          <w:sz w:val="22"/>
          <w:szCs w:val="22"/>
        </w:rPr>
        <w:t xml:space="preserve">De conformidad con el artículo 7, fracciones I y III de la Ley Federal de Transparencia y Acceso a la Información Pública Gubernamental </w:t>
      </w:r>
      <w:r w:rsidRPr="00736186">
        <w:rPr>
          <w:rFonts w:ascii="Palatino Linotype" w:eastAsia="Palatino Linotype" w:hAnsi="Palatino Linotype" w:cs="Palatino Linotype"/>
          <w:b/>
          <w:i/>
          <w:sz w:val="22"/>
          <w:szCs w:val="22"/>
        </w:rPr>
        <w:t xml:space="preserve">el nombre de los servidores públicos es información de naturaleza pública. No </w:t>
      </w:r>
      <w:proofErr w:type="gramStart"/>
      <w:r w:rsidRPr="00736186">
        <w:rPr>
          <w:rFonts w:ascii="Palatino Linotype" w:eastAsia="Palatino Linotype" w:hAnsi="Palatino Linotype" w:cs="Palatino Linotype"/>
          <w:b/>
          <w:i/>
          <w:sz w:val="22"/>
          <w:szCs w:val="22"/>
        </w:rPr>
        <w:t>obstante</w:t>
      </w:r>
      <w:proofErr w:type="gramEnd"/>
      <w:r w:rsidRPr="00736186">
        <w:rPr>
          <w:rFonts w:ascii="Palatino Linotype" w:eastAsia="Palatino Linotype" w:hAnsi="Palatino Linotype" w:cs="Palatino Linotype"/>
          <w:b/>
          <w:i/>
          <w:sz w:val="22"/>
          <w:szCs w:val="22"/>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736186">
        <w:rPr>
          <w:rFonts w:ascii="Palatino Linotype" w:eastAsia="Palatino Linotype" w:hAnsi="Palatino Linotype" w:cs="Palatino Linotype"/>
          <w:i/>
          <w:sz w:val="22"/>
          <w:szCs w:val="22"/>
        </w:rPr>
        <w:t xml:space="preserve">.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736186">
        <w:rPr>
          <w:rFonts w:ascii="Palatino Linotype" w:eastAsia="Palatino Linotype" w:hAnsi="Palatino Linotype" w:cs="Palatino Linotype"/>
          <w:b/>
          <w:i/>
          <w:sz w:val="22"/>
          <w:szCs w:val="22"/>
        </w:rPr>
        <w:t>el artículo 13, fracción I de la ley de referencia se establece que podrá clasificarse aquella información cuya difusión pueda comprometer la seguridad nacional y pública</w:t>
      </w:r>
      <w:r w:rsidRPr="00736186">
        <w:rPr>
          <w:rFonts w:ascii="Palatino Linotype" w:eastAsia="Palatino Linotype" w:hAnsi="Palatino Linotype" w:cs="Palatino Linotype"/>
          <w:i/>
          <w:sz w:val="22"/>
          <w:szCs w:val="22"/>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736186">
        <w:rPr>
          <w:rFonts w:ascii="Palatino Linotype" w:eastAsia="Palatino Linotype" w:hAnsi="Palatino Linotype" w:cs="Palatino Linotype"/>
          <w:b/>
          <w:i/>
          <w:sz w:val="22"/>
          <w:szCs w:val="22"/>
        </w:rPr>
        <w:t>por lo que la reserva de la relación de los nombres y las funciones que desempeñan los servidores públicos que prestan sus servicios en áreas de seguridad nacional o pública</w:t>
      </w:r>
      <w:r w:rsidRPr="00736186">
        <w:rPr>
          <w:rFonts w:ascii="Palatino Linotype" w:eastAsia="Palatino Linotype" w:hAnsi="Palatino Linotype" w:cs="Palatino Linotype"/>
          <w:i/>
          <w:sz w:val="22"/>
          <w:szCs w:val="22"/>
        </w:rPr>
        <w:t>, puede llegar a constituirse en un componente fundamental en el esfuerzo que realiza el Estado Mexicano para garantizar la seguridad del país en sus diferentes vertientes” (Sic)</w:t>
      </w:r>
    </w:p>
    <w:p w14:paraId="1311D765" w14:textId="77777777" w:rsidR="001403D4" w:rsidRPr="00736186" w:rsidRDefault="005F2E4A">
      <w:pPr>
        <w:spacing w:line="276" w:lineRule="auto"/>
        <w:ind w:left="560" w:right="560"/>
        <w:jc w:val="both"/>
        <w:rPr>
          <w:rFonts w:ascii="Palatino Linotype" w:eastAsia="Palatino Linotype" w:hAnsi="Palatino Linotype" w:cs="Palatino Linotype"/>
          <w:sz w:val="22"/>
          <w:szCs w:val="22"/>
        </w:rPr>
      </w:pPr>
      <w:r w:rsidRPr="00736186">
        <w:rPr>
          <w:rFonts w:ascii="Palatino Linotype" w:eastAsia="Palatino Linotype" w:hAnsi="Palatino Linotype" w:cs="Palatino Linotype"/>
          <w:sz w:val="22"/>
          <w:szCs w:val="22"/>
        </w:rPr>
        <w:t>(Énfasis añadido)</w:t>
      </w:r>
    </w:p>
    <w:p w14:paraId="2E80FC55" w14:textId="77777777" w:rsidR="001403D4" w:rsidRPr="00736186" w:rsidRDefault="001403D4">
      <w:pPr>
        <w:spacing w:line="360" w:lineRule="auto"/>
        <w:ind w:left="360"/>
        <w:jc w:val="both"/>
        <w:rPr>
          <w:rFonts w:ascii="Palatino Linotype" w:eastAsia="Palatino Linotype" w:hAnsi="Palatino Linotype" w:cs="Palatino Linotype"/>
          <w:sz w:val="22"/>
          <w:szCs w:val="22"/>
        </w:rPr>
      </w:pPr>
    </w:p>
    <w:p w14:paraId="255D1D06" w14:textId="77777777" w:rsidR="001403D4" w:rsidRPr="00AE3D7B" w:rsidRDefault="005F2E4A">
      <w:pPr>
        <w:numPr>
          <w:ilvl w:val="0"/>
          <w:numId w:val="13"/>
        </w:numPr>
        <w:spacing w:line="360" w:lineRule="auto"/>
        <w:ind w:left="0" w:firstLine="0"/>
        <w:jc w:val="both"/>
        <w:rPr>
          <w:rFonts w:ascii="Palatino Linotype" w:eastAsia="Palatino Linotype" w:hAnsi="Palatino Linotype" w:cs="Palatino Linotype"/>
        </w:rPr>
      </w:pPr>
      <w:r w:rsidRPr="00AE3D7B">
        <w:rPr>
          <w:rFonts w:ascii="Palatino Linotype" w:eastAsia="Palatino Linotype" w:hAnsi="Palatino Linotype" w:cs="Palatino Linotype"/>
          <w:color w:val="222222"/>
        </w:rPr>
        <w:t xml:space="preserve">Por lo anteriormente expuesto y fundado, este </w:t>
      </w:r>
      <w:r w:rsidRPr="00AE3D7B">
        <w:rPr>
          <w:rFonts w:ascii="Palatino Linotype" w:eastAsia="Palatino Linotype" w:hAnsi="Palatino Linotype" w:cs="Palatino Linotype"/>
          <w:b/>
          <w:color w:val="222222"/>
        </w:rPr>
        <w:t>ÓRGANO GARANTE</w:t>
      </w:r>
      <w:r w:rsidRPr="00AE3D7B">
        <w:rPr>
          <w:rFonts w:ascii="Palatino Linotype" w:eastAsia="Palatino Linotype" w:hAnsi="Palatino Linotype" w:cs="Palatino Linotype"/>
          <w:color w:val="222222"/>
        </w:rPr>
        <w:t xml:space="preserve"> emite los siguientes:</w:t>
      </w:r>
    </w:p>
    <w:p w14:paraId="002F4859" w14:textId="77777777" w:rsidR="001403D4" w:rsidRPr="00AE3D7B" w:rsidRDefault="005F2E4A">
      <w:pPr>
        <w:keepNext/>
        <w:keepLines/>
        <w:spacing w:before="240" w:after="240" w:line="360" w:lineRule="auto"/>
        <w:ind w:right="1"/>
        <w:jc w:val="center"/>
        <w:rPr>
          <w:rFonts w:ascii="Palatino Linotype" w:eastAsia="Palatino Linotype" w:hAnsi="Palatino Linotype" w:cs="Palatino Linotype"/>
          <w:b/>
          <w:color w:val="000000"/>
        </w:rPr>
      </w:pPr>
      <w:r w:rsidRPr="00AE3D7B">
        <w:rPr>
          <w:rFonts w:ascii="Palatino Linotype" w:eastAsia="Palatino Linotype" w:hAnsi="Palatino Linotype" w:cs="Palatino Linotype"/>
          <w:b/>
          <w:color w:val="000000"/>
        </w:rPr>
        <w:t>R E S O L U T I V O S</w:t>
      </w:r>
    </w:p>
    <w:p w14:paraId="30F737A7" w14:textId="77777777" w:rsidR="001403D4" w:rsidRPr="00AE3D7B" w:rsidRDefault="005F2E4A">
      <w:pPr>
        <w:spacing w:line="360" w:lineRule="auto"/>
        <w:jc w:val="both"/>
        <w:rPr>
          <w:rFonts w:ascii="Palatino Linotype" w:eastAsia="Palatino Linotype" w:hAnsi="Palatino Linotype" w:cs="Palatino Linotype"/>
        </w:rPr>
      </w:pPr>
      <w:r w:rsidRPr="00AE3D7B">
        <w:rPr>
          <w:rFonts w:ascii="Palatino Linotype" w:eastAsia="Palatino Linotype" w:hAnsi="Palatino Linotype" w:cs="Palatino Linotype"/>
          <w:b/>
        </w:rPr>
        <w:t>PRIMERO</w:t>
      </w:r>
      <w:r w:rsidRPr="00AE3D7B">
        <w:rPr>
          <w:rFonts w:ascii="Palatino Linotype" w:eastAsia="Palatino Linotype" w:hAnsi="Palatino Linotype" w:cs="Palatino Linotype"/>
        </w:rPr>
        <w:t xml:space="preserve">. </w:t>
      </w:r>
      <w:r w:rsidRPr="00AE3D7B">
        <w:rPr>
          <w:rFonts w:ascii="Palatino Linotype" w:eastAsia="Palatino Linotype" w:hAnsi="Palatino Linotype" w:cs="Palatino Linotype"/>
          <w:b/>
        </w:rPr>
        <w:t>Resultan fundadas las razones</w:t>
      </w:r>
      <w:r w:rsidRPr="00AE3D7B">
        <w:rPr>
          <w:rFonts w:ascii="Palatino Linotype" w:eastAsia="Palatino Linotype" w:hAnsi="Palatino Linotype" w:cs="Palatino Linotype"/>
        </w:rPr>
        <w:t xml:space="preserve"> o motivos de inconformidad hechos valer en el Recurso de Revisión </w:t>
      </w:r>
      <w:r w:rsidRPr="00AE3D7B">
        <w:rPr>
          <w:rFonts w:ascii="Palatino Linotype" w:eastAsia="Palatino Linotype" w:hAnsi="Palatino Linotype" w:cs="Palatino Linotype"/>
          <w:b/>
        </w:rPr>
        <w:t>05288/INFOEM/IP/RR/2024</w:t>
      </w:r>
      <w:r w:rsidRPr="00AE3D7B">
        <w:rPr>
          <w:rFonts w:ascii="Palatino Linotype" w:eastAsia="Palatino Linotype" w:hAnsi="Palatino Linotype" w:cs="Palatino Linotype"/>
        </w:rPr>
        <w:t>,</w:t>
      </w:r>
      <w:r w:rsidRPr="00AE3D7B">
        <w:rPr>
          <w:rFonts w:ascii="Palatino Linotype" w:eastAsia="Palatino Linotype" w:hAnsi="Palatino Linotype" w:cs="Palatino Linotype"/>
          <w:b/>
        </w:rPr>
        <w:t xml:space="preserve"> </w:t>
      </w:r>
      <w:r w:rsidRPr="00AE3D7B">
        <w:rPr>
          <w:rFonts w:ascii="Palatino Linotype" w:eastAsia="Palatino Linotype" w:hAnsi="Palatino Linotype" w:cs="Palatino Linotype"/>
        </w:rPr>
        <w:t xml:space="preserve">en términos del Considerando </w:t>
      </w:r>
      <w:r w:rsidRPr="00AE3D7B">
        <w:rPr>
          <w:rFonts w:ascii="Palatino Linotype" w:eastAsia="Palatino Linotype" w:hAnsi="Palatino Linotype" w:cs="Palatino Linotype"/>
          <w:b/>
        </w:rPr>
        <w:t>Cuarto</w:t>
      </w:r>
      <w:r w:rsidRPr="00AE3D7B">
        <w:rPr>
          <w:rFonts w:ascii="Palatino Linotype" w:eastAsia="Palatino Linotype" w:hAnsi="Palatino Linotype" w:cs="Palatino Linotype"/>
        </w:rPr>
        <w:t xml:space="preserve"> de la presente Resolución.</w:t>
      </w:r>
    </w:p>
    <w:p w14:paraId="171ED9CA" w14:textId="77777777" w:rsidR="001403D4" w:rsidRPr="00AE3D7B" w:rsidRDefault="001403D4">
      <w:pPr>
        <w:spacing w:line="360" w:lineRule="auto"/>
        <w:jc w:val="both"/>
        <w:rPr>
          <w:rFonts w:ascii="Palatino Linotype" w:eastAsia="Palatino Linotype" w:hAnsi="Palatino Linotype" w:cs="Palatino Linotype"/>
        </w:rPr>
      </w:pPr>
    </w:p>
    <w:p w14:paraId="1595CD43" w14:textId="77777777" w:rsidR="001403D4" w:rsidRPr="00AE3D7B" w:rsidRDefault="005F2E4A">
      <w:pPr>
        <w:spacing w:line="360" w:lineRule="auto"/>
        <w:jc w:val="both"/>
        <w:rPr>
          <w:rFonts w:ascii="Palatino Linotype" w:eastAsia="Palatino Linotype" w:hAnsi="Palatino Linotype" w:cs="Palatino Linotype"/>
        </w:rPr>
      </w:pPr>
      <w:bookmarkStart w:id="8" w:name="_heading=h.1ksv4uv" w:colFirst="0" w:colLast="0"/>
      <w:bookmarkEnd w:id="8"/>
      <w:r w:rsidRPr="00AE3D7B">
        <w:rPr>
          <w:rFonts w:ascii="Palatino Linotype" w:eastAsia="Palatino Linotype" w:hAnsi="Palatino Linotype" w:cs="Palatino Linotype"/>
          <w:b/>
        </w:rPr>
        <w:t xml:space="preserve">SEGUNDO. </w:t>
      </w:r>
      <w:r w:rsidRPr="00AE3D7B">
        <w:rPr>
          <w:rFonts w:ascii="Palatino Linotype" w:eastAsia="Palatino Linotype" w:hAnsi="Palatino Linotype" w:cs="Palatino Linotype"/>
          <w:color w:val="000000"/>
        </w:rPr>
        <w:t xml:space="preserve">Se </w:t>
      </w:r>
      <w:r w:rsidRPr="00AE3D7B">
        <w:rPr>
          <w:rFonts w:ascii="Palatino Linotype" w:eastAsia="Palatino Linotype" w:hAnsi="Palatino Linotype" w:cs="Palatino Linotype"/>
          <w:b/>
          <w:color w:val="000000"/>
        </w:rPr>
        <w:t xml:space="preserve">REVOCA </w:t>
      </w:r>
      <w:r w:rsidRPr="00AE3D7B">
        <w:rPr>
          <w:rFonts w:ascii="Palatino Linotype" w:eastAsia="Palatino Linotype" w:hAnsi="Palatino Linotype" w:cs="Palatino Linotype"/>
          <w:color w:val="000000"/>
        </w:rPr>
        <w:t xml:space="preserve">la respuesta emitida por el </w:t>
      </w:r>
      <w:r w:rsidRPr="00AE3D7B">
        <w:rPr>
          <w:rFonts w:ascii="Palatino Linotype" w:eastAsia="Palatino Linotype" w:hAnsi="Palatino Linotype" w:cs="Palatino Linotype"/>
          <w:b/>
          <w:color w:val="000000"/>
        </w:rPr>
        <w:t>Ayuntamiento de Nextlalpan</w:t>
      </w:r>
      <w:r w:rsidRPr="00AE3D7B">
        <w:rPr>
          <w:rFonts w:ascii="Palatino Linotype" w:eastAsia="Palatino Linotype" w:hAnsi="Palatino Linotype" w:cs="Palatino Linotype"/>
          <w:color w:val="000000"/>
        </w:rPr>
        <w:t xml:space="preserve">, y se </w:t>
      </w:r>
      <w:r w:rsidRPr="00AE3D7B">
        <w:rPr>
          <w:rFonts w:ascii="Palatino Linotype" w:eastAsia="Palatino Linotype" w:hAnsi="Palatino Linotype" w:cs="Palatino Linotype"/>
          <w:b/>
          <w:color w:val="000000"/>
        </w:rPr>
        <w:t>ORDENA</w:t>
      </w:r>
      <w:r w:rsidRPr="00AE3D7B">
        <w:rPr>
          <w:rFonts w:ascii="Palatino Linotype" w:eastAsia="Palatino Linotype" w:hAnsi="Palatino Linotype" w:cs="Palatino Linotype"/>
          <w:color w:val="000000"/>
        </w:rPr>
        <w:t xml:space="preserve"> entregar vía Sistema de Acceso a la Información Mexiquense (SAIMEX), la siguiente información, en versión pública</w:t>
      </w:r>
      <w:r w:rsidRPr="00AE3D7B">
        <w:rPr>
          <w:rFonts w:ascii="Palatino Linotype" w:eastAsia="Palatino Linotype" w:hAnsi="Palatino Linotype" w:cs="Palatino Linotype"/>
        </w:rPr>
        <w:t>:</w:t>
      </w:r>
    </w:p>
    <w:p w14:paraId="2EF043A1" w14:textId="77777777" w:rsidR="001403D4" w:rsidRPr="00AE3D7B" w:rsidRDefault="001403D4">
      <w:pPr>
        <w:spacing w:line="360" w:lineRule="auto"/>
        <w:jc w:val="both"/>
        <w:rPr>
          <w:rFonts w:ascii="Palatino Linotype" w:eastAsia="Palatino Linotype" w:hAnsi="Palatino Linotype" w:cs="Palatino Linotype"/>
          <w:color w:val="0D0D0D"/>
        </w:rPr>
      </w:pPr>
    </w:p>
    <w:p w14:paraId="525F4B7B" w14:textId="77777777" w:rsidR="001403D4" w:rsidRPr="00AE3D7B" w:rsidRDefault="005F2E4A">
      <w:pPr>
        <w:numPr>
          <w:ilvl w:val="0"/>
          <w:numId w:val="17"/>
        </w:numPr>
        <w:spacing w:line="360" w:lineRule="auto"/>
        <w:jc w:val="both"/>
        <w:rPr>
          <w:rFonts w:ascii="Palatino Linotype" w:eastAsia="Palatino Linotype" w:hAnsi="Palatino Linotype" w:cs="Palatino Linotype"/>
          <w:b/>
          <w:color w:val="0D0D0D"/>
        </w:rPr>
      </w:pPr>
      <w:r w:rsidRPr="00AE3D7B">
        <w:rPr>
          <w:rFonts w:ascii="Palatino Linotype" w:eastAsia="Palatino Linotype" w:hAnsi="Palatino Linotype" w:cs="Palatino Linotype"/>
          <w:b/>
          <w:color w:val="0D0D0D"/>
        </w:rPr>
        <w:t xml:space="preserve">Conciliación de nómina, de la primera y segunda quincena de julio de 2024, de todo el personal que </w:t>
      </w:r>
      <w:proofErr w:type="gramStart"/>
      <w:r w:rsidRPr="00AE3D7B">
        <w:rPr>
          <w:rFonts w:ascii="Palatino Linotype" w:eastAsia="Palatino Linotype" w:hAnsi="Palatino Linotype" w:cs="Palatino Linotype"/>
          <w:b/>
          <w:color w:val="0D0D0D"/>
        </w:rPr>
        <w:t>integra  la</w:t>
      </w:r>
      <w:proofErr w:type="gramEnd"/>
      <w:r w:rsidRPr="00AE3D7B">
        <w:rPr>
          <w:rFonts w:ascii="Palatino Linotype" w:eastAsia="Palatino Linotype" w:hAnsi="Palatino Linotype" w:cs="Palatino Linotype"/>
          <w:b/>
          <w:color w:val="0D0D0D"/>
        </w:rPr>
        <w:t xml:space="preserve"> administración pública municipal, del personal administrativo, de elección popular y del Sistema Integral para el Desarrollo de la Familia del Ayuntamiento de Nextlalpan.</w:t>
      </w:r>
    </w:p>
    <w:p w14:paraId="2CDF9F47" w14:textId="77777777" w:rsidR="001403D4" w:rsidRPr="00AE3D7B" w:rsidRDefault="001403D4">
      <w:pPr>
        <w:spacing w:line="360" w:lineRule="auto"/>
        <w:rPr>
          <w:rFonts w:ascii="Palatino Linotype" w:eastAsia="Palatino Linotype" w:hAnsi="Palatino Linotype" w:cs="Palatino Linotype"/>
          <w:b/>
          <w:color w:val="0D0D0D"/>
        </w:rPr>
      </w:pPr>
    </w:p>
    <w:p w14:paraId="19EE285C" w14:textId="77777777" w:rsidR="001403D4" w:rsidRPr="00AE3D7B" w:rsidRDefault="005F2E4A">
      <w:pPr>
        <w:spacing w:line="360" w:lineRule="auto"/>
        <w:jc w:val="both"/>
        <w:rPr>
          <w:rFonts w:ascii="Palatino Linotype" w:eastAsia="Palatino Linotype" w:hAnsi="Palatino Linotype" w:cs="Palatino Linotype"/>
          <w:b/>
        </w:rPr>
      </w:pPr>
      <w:r w:rsidRPr="00AE3D7B">
        <w:rPr>
          <w:rFonts w:ascii="Palatino Linotype" w:eastAsia="Palatino Linotype" w:hAnsi="Palatino Linotype" w:cs="Palatino Linotype"/>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w:t>
      </w:r>
      <w:r w:rsidRPr="00AE3D7B">
        <w:rPr>
          <w:rFonts w:ascii="Palatino Linotype" w:eastAsia="Palatino Linotype" w:hAnsi="Palatino Linotype" w:cs="Palatino Linotype"/>
        </w:rPr>
        <w:lastRenderedPageBreak/>
        <w:t xml:space="preserve">documental respectivo objeto de las versiones públicas que se formulen, y se pongan a disposición del </w:t>
      </w:r>
      <w:r w:rsidRPr="00AE3D7B">
        <w:rPr>
          <w:rFonts w:ascii="Palatino Linotype" w:eastAsia="Palatino Linotype" w:hAnsi="Palatino Linotype" w:cs="Palatino Linotype"/>
          <w:b/>
        </w:rPr>
        <w:t>RECURRENTE.</w:t>
      </w:r>
    </w:p>
    <w:p w14:paraId="695CE17E" w14:textId="77777777" w:rsidR="001403D4" w:rsidRPr="00AE3D7B" w:rsidRDefault="001403D4">
      <w:pPr>
        <w:tabs>
          <w:tab w:val="left" w:pos="4962"/>
        </w:tabs>
        <w:spacing w:line="360" w:lineRule="auto"/>
        <w:jc w:val="both"/>
        <w:rPr>
          <w:rFonts w:ascii="Palatino Linotype" w:eastAsia="Palatino Linotype" w:hAnsi="Palatino Linotype" w:cs="Palatino Linotype"/>
        </w:rPr>
      </w:pPr>
    </w:p>
    <w:p w14:paraId="2B438D12" w14:textId="77777777" w:rsidR="001403D4" w:rsidRPr="00AE3D7B" w:rsidRDefault="005F2E4A">
      <w:pPr>
        <w:spacing w:line="360" w:lineRule="auto"/>
        <w:jc w:val="both"/>
        <w:rPr>
          <w:rFonts w:ascii="Palatino Linotype" w:eastAsia="Palatino Linotype" w:hAnsi="Palatino Linotype" w:cs="Palatino Linotype"/>
        </w:rPr>
      </w:pPr>
      <w:r w:rsidRPr="00AE3D7B">
        <w:rPr>
          <w:rFonts w:ascii="Palatino Linotype" w:eastAsia="Palatino Linotype" w:hAnsi="Palatino Linotype" w:cs="Palatino Linotype"/>
          <w:b/>
        </w:rPr>
        <w:t xml:space="preserve">TERCERO. Notifíquese </w:t>
      </w:r>
      <w:r w:rsidRPr="00AE3D7B">
        <w:rPr>
          <w:rFonts w:ascii="Palatino Linotype" w:eastAsia="Palatino Linotype" w:hAnsi="Palatino Linotype" w:cs="Palatino Linotype"/>
        </w:rPr>
        <w:t>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987AD66" w14:textId="77777777" w:rsidR="001403D4" w:rsidRPr="00AE3D7B" w:rsidRDefault="001403D4">
      <w:pPr>
        <w:spacing w:line="360" w:lineRule="auto"/>
        <w:jc w:val="both"/>
        <w:rPr>
          <w:rFonts w:ascii="Palatino Linotype" w:eastAsia="Palatino Linotype" w:hAnsi="Palatino Linotype" w:cs="Palatino Linotype"/>
        </w:rPr>
      </w:pPr>
    </w:p>
    <w:p w14:paraId="4514154B" w14:textId="77777777" w:rsidR="001403D4" w:rsidRPr="00AE3D7B" w:rsidRDefault="005F2E4A">
      <w:pPr>
        <w:spacing w:line="360" w:lineRule="auto"/>
        <w:jc w:val="both"/>
        <w:rPr>
          <w:rFonts w:ascii="Palatino Linotype" w:eastAsia="Palatino Linotype" w:hAnsi="Palatino Linotype" w:cs="Palatino Linotype"/>
        </w:rPr>
      </w:pPr>
      <w:r w:rsidRPr="00AE3D7B">
        <w:rPr>
          <w:rFonts w:ascii="Palatino Linotype" w:eastAsia="Palatino Linotype" w:hAnsi="Palatino Linotype" w:cs="Palatino Linotype"/>
          <w:b/>
        </w:rPr>
        <w:t xml:space="preserve">CUARTO. </w:t>
      </w:r>
      <w:r w:rsidRPr="00AE3D7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AE3D7B">
        <w:rPr>
          <w:rFonts w:ascii="Palatino Linotype" w:eastAsia="Palatino Linotype" w:hAnsi="Palatino Linotype" w:cs="Palatino Linotype"/>
          <w:b/>
        </w:rPr>
        <w:t>Sujeto Obligado</w:t>
      </w:r>
      <w:r w:rsidRPr="00AE3D7B">
        <w:rPr>
          <w:rFonts w:ascii="Palatino Linotype" w:eastAsia="Palatino Linotype" w:hAnsi="Palatino Linotype" w:cs="Palatino Linotype"/>
        </w:rPr>
        <w:t xml:space="preserve"> de manera fundada y motivada, podrá solicitar una ampliación de plazo para el cumplimiento de la presente resolución.</w:t>
      </w:r>
    </w:p>
    <w:p w14:paraId="2E81C606" w14:textId="77777777" w:rsidR="001403D4" w:rsidRPr="00AE3D7B" w:rsidRDefault="001403D4">
      <w:pPr>
        <w:spacing w:line="360" w:lineRule="auto"/>
        <w:jc w:val="both"/>
        <w:rPr>
          <w:rFonts w:ascii="Palatino Linotype" w:eastAsia="Palatino Linotype" w:hAnsi="Palatino Linotype" w:cs="Palatino Linotype"/>
        </w:rPr>
      </w:pPr>
    </w:p>
    <w:p w14:paraId="43969D9C" w14:textId="77777777" w:rsidR="001403D4" w:rsidRPr="00AE3D7B" w:rsidRDefault="005F2E4A">
      <w:pPr>
        <w:tabs>
          <w:tab w:val="left" w:pos="8080"/>
        </w:tabs>
        <w:spacing w:line="360" w:lineRule="auto"/>
        <w:ind w:right="49"/>
        <w:jc w:val="both"/>
        <w:rPr>
          <w:rFonts w:ascii="Palatino Linotype" w:eastAsia="Palatino Linotype" w:hAnsi="Palatino Linotype" w:cs="Palatino Linotype"/>
        </w:rPr>
      </w:pPr>
      <w:bookmarkStart w:id="9" w:name="_heading=h.44sinio" w:colFirst="0" w:colLast="0"/>
      <w:bookmarkEnd w:id="9"/>
      <w:r w:rsidRPr="00AE3D7B">
        <w:rPr>
          <w:rFonts w:ascii="Palatino Linotype" w:eastAsia="Palatino Linotype" w:hAnsi="Palatino Linotype" w:cs="Palatino Linotype"/>
          <w:b/>
        </w:rPr>
        <w:t xml:space="preserve">QUINTO. </w:t>
      </w:r>
      <w:r w:rsidRPr="00AE3D7B">
        <w:rPr>
          <w:rFonts w:ascii="Palatino Linotype" w:eastAsia="Palatino Linotype" w:hAnsi="Palatino Linotype" w:cs="Palatino Linotype"/>
        </w:rPr>
        <w:t xml:space="preserve">Notifíquese al </w:t>
      </w:r>
      <w:r w:rsidRPr="00AE3D7B">
        <w:rPr>
          <w:rFonts w:ascii="Palatino Linotype" w:eastAsia="Palatino Linotype" w:hAnsi="Palatino Linotype" w:cs="Palatino Linotype"/>
          <w:b/>
        </w:rPr>
        <w:t>Recurrente</w:t>
      </w:r>
      <w:r w:rsidRPr="00AE3D7B">
        <w:rPr>
          <w:rFonts w:ascii="Palatino Linotype" w:eastAsia="Palatino Linotype" w:hAnsi="Palatino Linotype" w:cs="Palatino Linotype"/>
        </w:rPr>
        <w:t xml:space="preserve"> la presente resolución, vía </w:t>
      </w:r>
      <w:r w:rsidRPr="00AE3D7B">
        <w:rPr>
          <w:rFonts w:ascii="Palatino Linotype" w:eastAsia="Palatino Linotype" w:hAnsi="Palatino Linotype" w:cs="Palatino Linotype"/>
          <w:b/>
        </w:rPr>
        <w:t>SAIMEX</w:t>
      </w:r>
      <w:r w:rsidRPr="00AE3D7B">
        <w:rPr>
          <w:rFonts w:ascii="Palatino Linotype" w:eastAsia="Palatino Linotype" w:hAnsi="Palatino Linotype" w:cs="Palatino Linotype"/>
        </w:rPr>
        <w:t>.</w:t>
      </w:r>
    </w:p>
    <w:p w14:paraId="042943D1" w14:textId="77777777" w:rsidR="001403D4" w:rsidRPr="00AE3D7B" w:rsidRDefault="001403D4">
      <w:pPr>
        <w:tabs>
          <w:tab w:val="left" w:pos="8080"/>
        </w:tabs>
        <w:spacing w:line="360" w:lineRule="auto"/>
        <w:ind w:right="49"/>
        <w:jc w:val="both"/>
        <w:rPr>
          <w:rFonts w:ascii="Palatino Linotype" w:eastAsia="Palatino Linotype" w:hAnsi="Palatino Linotype" w:cs="Palatino Linotype"/>
        </w:rPr>
      </w:pPr>
    </w:p>
    <w:p w14:paraId="3E1B49BF" w14:textId="77777777" w:rsidR="001403D4" w:rsidRPr="00AE3D7B" w:rsidRDefault="005F2E4A">
      <w:pPr>
        <w:widowControl w:val="0"/>
        <w:tabs>
          <w:tab w:val="left" w:pos="1701"/>
        </w:tabs>
        <w:spacing w:line="360" w:lineRule="auto"/>
        <w:jc w:val="both"/>
        <w:rPr>
          <w:rFonts w:ascii="Palatino Linotype" w:eastAsia="Palatino Linotype" w:hAnsi="Palatino Linotype" w:cs="Palatino Linotype"/>
          <w:color w:val="000000"/>
        </w:rPr>
      </w:pPr>
      <w:r w:rsidRPr="00AE3D7B">
        <w:rPr>
          <w:rFonts w:ascii="Palatino Linotype" w:eastAsia="Palatino Linotype" w:hAnsi="Palatino Linotype" w:cs="Palatino Linotype"/>
          <w:b/>
          <w:color w:val="000000"/>
        </w:rPr>
        <w:t xml:space="preserve">SEXTO. </w:t>
      </w:r>
      <w:r w:rsidRPr="00AE3D7B">
        <w:rPr>
          <w:rFonts w:ascii="Palatino Linotype" w:eastAsia="Palatino Linotype" w:hAnsi="Palatino Linotype" w:cs="Palatino Linotype"/>
          <w:color w:val="000000"/>
        </w:rPr>
        <w:t>Se hace del conocimiento del</w:t>
      </w:r>
      <w:r w:rsidRPr="00AE3D7B">
        <w:rPr>
          <w:rFonts w:ascii="Palatino Linotype" w:eastAsia="Palatino Linotype" w:hAnsi="Palatino Linotype" w:cs="Palatino Linotype"/>
          <w:b/>
          <w:color w:val="000000"/>
        </w:rPr>
        <w:t xml:space="preserve"> Recurrente </w:t>
      </w:r>
      <w:r w:rsidRPr="00AE3D7B">
        <w:rPr>
          <w:rFonts w:ascii="Palatino Linotype" w:eastAsia="Palatino Linotype" w:hAnsi="Palatino Linotype" w:cs="Palatino Linotype"/>
          <w:color w:val="000000"/>
        </w:rPr>
        <w:t xml:space="preserve">que, de conformidad con lo establecido </w:t>
      </w:r>
      <w:r w:rsidRPr="00AE3D7B">
        <w:rPr>
          <w:rFonts w:ascii="Palatino Linotype" w:eastAsia="Palatino Linotype" w:hAnsi="Palatino Linotype" w:cs="Palatino Linotype"/>
          <w:color w:val="000000"/>
        </w:rPr>
        <w:lastRenderedPageBreak/>
        <w:t>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37E8ED4B" w14:textId="77777777" w:rsidR="001403D4" w:rsidRPr="00AE3D7B" w:rsidRDefault="001403D4">
      <w:pPr>
        <w:widowControl w:val="0"/>
        <w:tabs>
          <w:tab w:val="left" w:pos="1701"/>
        </w:tabs>
        <w:spacing w:line="360" w:lineRule="auto"/>
        <w:jc w:val="both"/>
        <w:rPr>
          <w:rFonts w:ascii="Palatino Linotype" w:eastAsia="Palatino Linotype" w:hAnsi="Palatino Linotype" w:cs="Palatino Linotype"/>
          <w:color w:val="000000"/>
        </w:rPr>
      </w:pPr>
    </w:p>
    <w:p w14:paraId="55E11FEE" w14:textId="4D696DC5" w:rsidR="00730AEF" w:rsidRPr="003C7186" w:rsidRDefault="00730AEF" w:rsidP="00730AEF">
      <w:pPr>
        <w:spacing w:line="360" w:lineRule="auto"/>
        <w:ind w:left="-142" w:right="-234"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376354">
        <w:rPr>
          <w:rFonts w:ascii="Palatino Linotype" w:hAnsi="Palatino Linotype"/>
        </w:rPr>
        <w:t xml:space="preserve"> EMITIENDO VOTO PARTICULAR</w:t>
      </w:r>
      <w:r>
        <w:rPr>
          <w:rFonts w:ascii="Palatino Linotype" w:hAnsi="Palatino Linotype"/>
        </w:rPr>
        <w:t xml:space="preserve"> Y GUADALUPE RAMÍREZ PEÑA; </w:t>
      </w:r>
      <w:r w:rsidRPr="003C7186">
        <w:rPr>
          <w:rFonts w:ascii="Palatino Linotype" w:hAnsi="Palatino Linotype"/>
        </w:rPr>
        <w:t xml:space="preserve">EN LA </w:t>
      </w:r>
      <w:r>
        <w:rPr>
          <w:rFonts w:ascii="Palatino Linotype" w:hAnsi="Palatino Linotype"/>
        </w:rPr>
        <w:t>TRIGÉSIMA</w:t>
      </w:r>
      <w:r w:rsidRPr="003C7186">
        <w:rPr>
          <w:rFonts w:ascii="Palatino Linotype" w:hAnsi="Palatino Linotype"/>
        </w:rPr>
        <w:t xml:space="preserve"> </w:t>
      </w:r>
      <w:r>
        <w:rPr>
          <w:rFonts w:ascii="Palatino Linotype" w:hAnsi="Palatino Linotype"/>
        </w:rPr>
        <w:t xml:space="preserve">OCTAVA </w:t>
      </w:r>
      <w:r w:rsidRPr="003C7186">
        <w:rPr>
          <w:rFonts w:ascii="Palatino Linotype" w:hAnsi="Palatino Linotype"/>
        </w:rPr>
        <w:t xml:space="preserve">SESIÓN ORDINARIA CELEBRADA EL </w:t>
      </w:r>
      <w:r>
        <w:rPr>
          <w:rFonts w:ascii="Palatino Linotype" w:hAnsi="Palatino Linotype"/>
        </w:rPr>
        <w:t>SEIS</w:t>
      </w:r>
      <w:r w:rsidRPr="003C7186">
        <w:rPr>
          <w:rFonts w:ascii="Palatino Linotype" w:hAnsi="Palatino Linotype"/>
        </w:rPr>
        <w:t xml:space="preserve"> </w:t>
      </w:r>
      <w:r>
        <w:rPr>
          <w:rFonts w:ascii="Palatino Linotype" w:hAnsi="Palatino Linotype"/>
        </w:rPr>
        <w:t>(06) DE NOVIEMBRE</w:t>
      </w:r>
      <w:r w:rsidRPr="003C7186">
        <w:rPr>
          <w:rFonts w:ascii="Palatino Linotype" w:hAnsi="Palatino Linotype"/>
        </w:rPr>
        <w:t xml:space="preserve"> DE DOS MIL VEINTICUATRO, ANTE EL SECRETARIO TÉCNICO DEL PLENO ALEXIS TAPIA RAMÍREZ. </w:t>
      </w:r>
    </w:p>
    <w:p w14:paraId="3892C667" w14:textId="52408CB6" w:rsidR="00134A7A" w:rsidRDefault="00134A7A">
      <w:pPr>
        <w:rPr>
          <w:rFonts w:ascii="Calibri" w:hAnsi="Calibri" w:cs="Calibri"/>
        </w:rPr>
      </w:pPr>
      <w:r>
        <w:rPr>
          <w:rFonts w:ascii="Calibri" w:hAnsi="Calibri" w:cs="Calibri"/>
        </w:rPr>
        <w:br w:type="page"/>
      </w:r>
    </w:p>
    <w:p w14:paraId="116300C1" w14:textId="77777777" w:rsidR="00730AEF" w:rsidRPr="00902BA4" w:rsidRDefault="00730AEF" w:rsidP="00730AEF">
      <w:pPr>
        <w:widowControl w:val="0"/>
        <w:autoSpaceDE w:val="0"/>
        <w:autoSpaceDN w:val="0"/>
        <w:adjustRightInd w:val="0"/>
        <w:spacing w:after="200" w:line="276" w:lineRule="auto"/>
        <w:ind w:left="-142" w:right="-234"/>
        <w:rPr>
          <w:rFonts w:ascii="Calibri" w:hAnsi="Calibri" w:cs="Calibri"/>
        </w:rPr>
      </w:pPr>
    </w:p>
    <w:p w14:paraId="71D22832" w14:textId="77777777" w:rsidR="00730AEF" w:rsidRDefault="00730AEF" w:rsidP="00730AEF">
      <w:pPr>
        <w:spacing w:before="240" w:after="240" w:line="360" w:lineRule="auto"/>
        <w:ind w:firstLine="1"/>
        <w:jc w:val="both"/>
        <w:rPr>
          <w:rFonts w:ascii="Palatino Linotype" w:hAnsi="Palatino Linotype"/>
        </w:rPr>
      </w:pPr>
      <w:bookmarkStart w:id="10" w:name="_Hlk96506827"/>
    </w:p>
    <w:bookmarkEnd w:id="10"/>
    <w:p w14:paraId="7DE425F7" w14:textId="6FC4398F" w:rsidR="001403D4" w:rsidRPr="00AE3D7B" w:rsidRDefault="001403D4" w:rsidP="00730AEF">
      <w:pPr>
        <w:widowControl w:val="0"/>
        <w:tabs>
          <w:tab w:val="left" w:pos="1701"/>
        </w:tabs>
        <w:spacing w:line="360" w:lineRule="auto"/>
        <w:jc w:val="both"/>
        <w:rPr>
          <w:rFonts w:ascii="Palatino Linotype" w:eastAsia="Palatino Linotype" w:hAnsi="Palatino Linotype" w:cs="Palatino Linotype"/>
          <w:color w:val="000000"/>
        </w:rPr>
      </w:pPr>
    </w:p>
    <w:sectPr w:rsidR="001403D4" w:rsidRPr="00AE3D7B" w:rsidSect="00730AEF">
      <w:headerReference w:type="even" r:id="rId25"/>
      <w:headerReference w:type="default" r:id="rId26"/>
      <w:footerReference w:type="default" r:id="rId27"/>
      <w:headerReference w:type="first" r:id="rId28"/>
      <w:footerReference w:type="first" r:id="rId29"/>
      <w:pgSz w:w="12240" w:h="15840"/>
      <w:pgMar w:top="80" w:right="1325" w:bottom="1418" w:left="1588" w:header="0" w:footer="91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33DB0C" w14:textId="77777777" w:rsidR="008426CC" w:rsidRDefault="008426CC">
      <w:r>
        <w:separator/>
      </w:r>
    </w:p>
  </w:endnote>
  <w:endnote w:type="continuationSeparator" w:id="0">
    <w:p w14:paraId="0D596138" w14:textId="77777777" w:rsidR="008426CC" w:rsidRDefault="008426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1A67E" w14:textId="77777777" w:rsidR="005F2E4A" w:rsidRDefault="005F2E4A">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802BE8">
      <w:rPr>
        <w:b/>
        <w:noProof/>
        <w:color w:val="000000"/>
      </w:rPr>
      <w:t>65</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802BE8">
      <w:rPr>
        <w:b/>
        <w:noProof/>
        <w:color w:val="000000"/>
      </w:rPr>
      <w:t>65</w:t>
    </w:r>
    <w:r>
      <w:rPr>
        <w:b/>
        <w:color w:val="000000"/>
      </w:rPr>
      <w:fldChar w:fldCharType="end"/>
    </w:r>
  </w:p>
  <w:p w14:paraId="73CCDE14" w14:textId="77777777" w:rsidR="005F2E4A" w:rsidRDefault="005F2E4A">
    <w:pPr>
      <w:pBdr>
        <w:top w:val="nil"/>
        <w:left w:val="nil"/>
        <w:bottom w:val="nil"/>
        <w:right w:val="nil"/>
        <w:between w:val="nil"/>
      </w:pBdr>
      <w:tabs>
        <w:tab w:val="center" w:pos="4419"/>
        <w:tab w:val="right" w:pos="8838"/>
      </w:tabs>
      <w:rPr>
        <w:color w:val="000000"/>
      </w:rPr>
    </w:pPr>
  </w:p>
  <w:p w14:paraId="157088D9" w14:textId="77777777" w:rsidR="005F2E4A" w:rsidRDefault="005F2E4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33C18" w14:textId="77777777" w:rsidR="005F2E4A" w:rsidRDefault="005F2E4A">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802BE8">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802BE8">
      <w:rPr>
        <w:b/>
        <w:noProof/>
        <w:color w:val="000000"/>
      </w:rPr>
      <w:t>65</w:t>
    </w:r>
    <w:r>
      <w:rPr>
        <w:b/>
        <w:color w:val="000000"/>
      </w:rPr>
      <w:fldChar w:fldCharType="end"/>
    </w:r>
  </w:p>
  <w:p w14:paraId="70B5060F" w14:textId="77777777" w:rsidR="005F2E4A" w:rsidRDefault="005F2E4A">
    <w:pPr>
      <w:pBdr>
        <w:top w:val="nil"/>
        <w:left w:val="nil"/>
        <w:bottom w:val="nil"/>
        <w:right w:val="nil"/>
        <w:between w:val="nil"/>
      </w:pBdr>
      <w:tabs>
        <w:tab w:val="center" w:pos="4419"/>
        <w:tab w:val="right" w:pos="8838"/>
      </w:tabs>
      <w:rPr>
        <w:color w:val="000000"/>
      </w:rPr>
    </w:pPr>
  </w:p>
  <w:p w14:paraId="6BB66721" w14:textId="77777777" w:rsidR="005F2E4A" w:rsidRDefault="005F2E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0D2D5" w14:textId="77777777" w:rsidR="008426CC" w:rsidRDefault="008426CC">
      <w:r>
        <w:separator/>
      </w:r>
    </w:p>
  </w:footnote>
  <w:footnote w:type="continuationSeparator" w:id="0">
    <w:p w14:paraId="46F719E7" w14:textId="77777777" w:rsidR="008426CC" w:rsidRDefault="008426CC">
      <w:r>
        <w:continuationSeparator/>
      </w:r>
    </w:p>
  </w:footnote>
  <w:footnote w:id="1">
    <w:p w14:paraId="2811F77D" w14:textId="77777777" w:rsidR="00AB22CB" w:rsidRDefault="00AB22CB" w:rsidP="00AB22CB">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Políticas para la Integración del Informe Trimestral de los Sujetos de Fiscalización Municipales, OSFEM.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440E6" w14:textId="77777777" w:rsidR="005F2E4A" w:rsidRDefault="008426CC">
    <w:pPr>
      <w:pBdr>
        <w:top w:val="nil"/>
        <w:left w:val="nil"/>
        <w:bottom w:val="nil"/>
        <w:right w:val="nil"/>
        <w:between w:val="nil"/>
      </w:pBdr>
      <w:tabs>
        <w:tab w:val="center" w:pos="4419"/>
        <w:tab w:val="right" w:pos="8838"/>
      </w:tabs>
      <w:rPr>
        <w:color w:val="000000"/>
      </w:rPr>
    </w:pPr>
    <w:r>
      <w:rPr>
        <w:color w:val="000000"/>
      </w:rPr>
      <w:pict w14:anchorId="0C2076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589.8pt;height:768pt;z-index:-251657728;mso-position-horizontal:center;mso-position-horizontal-relative:margin;mso-position-vertical:center;mso-position-vertical-relative:margin">
          <v:imagedata r:id="rId1" o:title="image2"/>
          <w10:wrap anchorx="margin" anchory="margin"/>
        </v:shape>
      </w:pict>
    </w:r>
  </w:p>
  <w:p w14:paraId="149A76DF" w14:textId="77777777" w:rsidR="005F2E4A" w:rsidRDefault="005F2E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4D8E2" w14:textId="36029C5E" w:rsidR="005F2E4A" w:rsidRDefault="008426CC">
    <w:pPr>
      <w:widowControl w:val="0"/>
      <w:pBdr>
        <w:top w:val="nil"/>
        <w:left w:val="nil"/>
        <w:bottom w:val="nil"/>
        <w:right w:val="nil"/>
        <w:between w:val="nil"/>
      </w:pBdr>
      <w:spacing w:line="276" w:lineRule="auto"/>
      <w:rPr>
        <w:color w:val="000000"/>
      </w:rPr>
    </w:pPr>
    <w:r>
      <w:rPr>
        <w:color w:val="000000"/>
      </w:rPr>
      <w:pict w14:anchorId="545F3D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67.8pt;margin-top:-159.5pt;width:589.8pt;height:768pt;z-index:-251659776;mso-position-horizontal-relative:margin;mso-position-vertical-relative:margin">
          <v:imagedata r:id="rId1" o:title="image2"/>
          <w10:wrap anchorx="margin" anchory="margin"/>
        </v:shape>
      </w:pict>
    </w:r>
  </w:p>
  <w:tbl>
    <w:tblPr>
      <w:tblStyle w:val="a0"/>
      <w:tblW w:w="9214" w:type="dxa"/>
      <w:tblInd w:w="0" w:type="dxa"/>
      <w:tblLayout w:type="fixed"/>
      <w:tblLook w:val="0400" w:firstRow="0" w:lastRow="0" w:firstColumn="0" w:lastColumn="0" w:noHBand="0" w:noVBand="1"/>
    </w:tblPr>
    <w:tblGrid>
      <w:gridCol w:w="2268"/>
      <w:gridCol w:w="6946"/>
    </w:tblGrid>
    <w:tr w:rsidR="005F2E4A" w14:paraId="1E2D1343" w14:textId="77777777">
      <w:trPr>
        <w:trHeight w:val="2803"/>
      </w:trPr>
      <w:tc>
        <w:tcPr>
          <w:tcW w:w="2268" w:type="dxa"/>
        </w:tcPr>
        <w:p w14:paraId="018112CC" w14:textId="77777777" w:rsidR="005F2E4A" w:rsidRDefault="005F2E4A">
          <w:pPr>
            <w:tabs>
              <w:tab w:val="right" w:pos="4273"/>
            </w:tabs>
            <w:rPr>
              <w:rFonts w:ascii="Garamond" w:eastAsia="Garamond" w:hAnsi="Garamond" w:cs="Garamond"/>
              <w:sz w:val="16"/>
              <w:szCs w:val="16"/>
            </w:rPr>
          </w:pPr>
        </w:p>
      </w:tc>
      <w:tc>
        <w:tcPr>
          <w:tcW w:w="6946" w:type="dxa"/>
        </w:tcPr>
        <w:p w14:paraId="4FBAD488" w14:textId="77777777" w:rsidR="005F2E4A" w:rsidRDefault="005F2E4A"/>
        <w:tbl>
          <w:tblPr>
            <w:tblStyle w:val="a1"/>
            <w:tblW w:w="6066" w:type="dxa"/>
            <w:tblInd w:w="775" w:type="dxa"/>
            <w:tblLayout w:type="fixed"/>
            <w:tblLook w:val="0400" w:firstRow="0" w:lastRow="0" w:firstColumn="0" w:lastColumn="0" w:noHBand="0" w:noVBand="1"/>
          </w:tblPr>
          <w:tblGrid>
            <w:gridCol w:w="2550"/>
            <w:gridCol w:w="3516"/>
          </w:tblGrid>
          <w:tr w:rsidR="005F2E4A" w14:paraId="5306F320" w14:textId="77777777">
            <w:trPr>
              <w:trHeight w:val="144"/>
            </w:trPr>
            <w:tc>
              <w:tcPr>
                <w:tcW w:w="2550" w:type="dxa"/>
                <w:tcBorders>
                  <w:top w:val="nil"/>
                  <w:left w:val="nil"/>
                  <w:bottom w:val="nil"/>
                  <w:right w:val="nil"/>
                </w:tcBorders>
              </w:tcPr>
              <w:p w14:paraId="4D7836A1" w14:textId="77777777" w:rsidR="005F2E4A" w:rsidRDefault="005F2E4A">
                <w:pPr>
                  <w:tabs>
                    <w:tab w:val="right" w:pos="8838"/>
                  </w:tabs>
                  <w:ind w:left="-264" w:right="-105" w:firstLine="195"/>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16" w:type="dxa"/>
                <w:tcBorders>
                  <w:top w:val="nil"/>
                  <w:left w:val="nil"/>
                  <w:bottom w:val="nil"/>
                  <w:right w:val="nil"/>
                </w:tcBorders>
              </w:tcPr>
              <w:p w14:paraId="17D49FE6" w14:textId="77777777" w:rsidR="005F2E4A" w:rsidRDefault="005F2E4A">
                <w:pPr>
                  <w:tabs>
                    <w:tab w:val="right" w:pos="8838"/>
                  </w:tabs>
                  <w:ind w:left="-74" w:right="-1415"/>
                  <w:rPr>
                    <w:rFonts w:ascii="Palatino Linotype" w:eastAsia="Palatino Linotype" w:hAnsi="Palatino Linotype" w:cs="Palatino Linotype"/>
                  </w:rPr>
                </w:pPr>
                <w:r>
                  <w:rPr>
                    <w:rFonts w:ascii="Palatino Linotype" w:eastAsia="Palatino Linotype" w:hAnsi="Palatino Linotype" w:cs="Palatino Linotype"/>
                  </w:rPr>
                  <w:t>05288/INFOEM/IP/RR/2024</w:t>
                </w:r>
              </w:p>
            </w:tc>
          </w:tr>
          <w:tr w:rsidR="005F2E4A" w14:paraId="2491D1AF" w14:textId="77777777">
            <w:trPr>
              <w:trHeight w:val="283"/>
            </w:trPr>
            <w:tc>
              <w:tcPr>
                <w:tcW w:w="2550" w:type="dxa"/>
                <w:tcBorders>
                  <w:top w:val="nil"/>
                  <w:left w:val="nil"/>
                  <w:bottom w:val="nil"/>
                  <w:right w:val="nil"/>
                </w:tcBorders>
              </w:tcPr>
              <w:p w14:paraId="7A7B1051" w14:textId="77777777" w:rsidR="005F2E4A" w:rsidRDefault="005F2E4A" w:rsidP="00730AEF">
                <w:pPr>
                  <w:tabs>
                    <w:tab w:val="right" w:pos="8838"/>
                  </w:tabs>
                  <w:ind w:right="-105"/>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16" w:type="dxa"/>
                <w:tcBorders>
                  <w:top w:val="nil"/>
                  <w:left w:val="nil"/>
                  <w:bottom w:val="nil"/>
                  <w:right w:val="nil"/>
                </w:tcBorders>
              </w:tcPr>
              <w:p w14:paraId="5E2DF80C" w14:textId="77777777" w:rsidR="005F2E4A" w:rsidRDefault="005F2E4A">
                <w:pPr>
                  <w:tabs>
                    <w:tab w:val="left" w:pos="2834"/>
                  </w:tabs>
                  <w:ind w:left="-74" w:right="-1415"/>
                  <w:rPr>
                    <w:rFonts w:ascii="Palatino Linotype" w:eastAsia="Palatino Linotype" w:hAnsi="Palatino Linotype" w:cs="Palatino Linotype"/>
                  </w:rPr>
                </w:pPr>
                <w:r>
                  <w:rPr>
                    <w:rFonts w:ascii="Palatino Linotype" w:eastAsia="Palatino Linotype" w:hAnsi="Palatino Linotype" w:cs="Palatino Linotype"/>
                  </w:rPr>
                  <w:t>Ayuntamiento de Nextlalpan</w:t>
                </w:r>
              </w:p>
            </w:tc>
          </w:tr>
          <w:tr w:rsidR="005F2E4A" w14:paraId="0211D747" w14:textId="77777777">
            <w:trPr>
              <w:trHeight w:val="283"/>
            </w:trPr>
            <w:tc>
              <w:tcPr>
                <w:tcW w:w="2550" w:type="dxa"/>
                <w:tcBorders>
                  <w:top w:val="nil"/>
                  <w:left w:val="nil"/>
                  <w:bottom w:val="nil"/>
                  <w:right w:val="nil"/>
                </w:tcBorders>
              </w:tcPr>
              <w:p w14:paraId="0925DA94" w14:textId="77777777" w:rsidR="005F2E4A" w:rsidRDefault="005F2E4A">
                <w:pPr>
                  <w:tabs>
                    <w:tab w:val="right" w:pos="8838"/>
                  </w:tabs>
                  <w:ind w:left="-74" w:right="-105"/>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16" w:type="dxa"/>
                <w:tcBorders>
                  <w:top w:val="nil"/>
                  <w:left w:val="nil"/>
                  <w:bottom w:val="nil"/>
                  <w:right w:val="nil"/>
                </w:tcBorders>
              </w:tcPr>
              <w:p w14:paraId="0C3F157E" w14:textId="77777777" w:rsidR="005F2E4A" w:rsidRDefault="005F2E4A">
                <w:pPr>
                  <w:tabs>
                    <w:tab w:val="right" w:pos="8838"/>
                  </w:tabs>
                  <w:ind w:left="-74" w:right="-1415"/>
                  <w:rPr>
                    <w:rFonts w:ascii="Palatino Linotype" w:eastAsia="Palatino Linotype" w:hAnsi="Palatino Linotype" w:cs="Palatino Linotype"/>
                  </w:rPr>
                </w:pPr>
                <w:r>
                  <w:rPr>
                    <w:rFonts w:ascii="Palatino Linotype" w:eastAsia="Palatino Linotype" w:hAnsi="Palatino Linotype" w:cs="Palatino Linotype"/>
                  </w:rPr>
                  <w:t>María del Rosario Mejía Ayala</w:t>
                </w:r>
              </w:p>
              <w:p w14:paraId="6B283F50" w14:textId="77777777" w:rsidR="005F2E4A" w:rsidRDefault="005F2E4A">
                <w:pPr>
                  <w:tabs>
                    <w:tab w:val="right" w:pos="8838"/>
                  </w:tabs>
                  <w:ind w:left="-74" w:right="-1415"/>
                  <w:rPr>
                    <w:rFonts w:ascii="Palatino Linotype" w:eastAsia="Palatino Linotype" w:hAnsi="Palatino Linotype" w:cs="Palatino Linotype"/>
                    <w:b/>
                  </w:rPr>
                </w:pPr>
              </w:p>
            </w:tc>
          </w:tr>
        </w:tbl>
        <w:p w14:paraId="017C71F9" w14:textId="77777777" w:rsidR="005F2E4A" w:rsidRDefault="005F2E4A">
          <w:pPr>
            <w:tabs>
              <w:tab w:val="right" w:pos="8838"/>
            </w:tabs>
            <w:ind w:left="-28"/>
            <w:jc w:val="both"/>
            <w:rPr>
              <w:rFonts w:ascii="Arial" w:eastAsia="Arial" w:hAnsi="Arial" w:cs="Arial"/>
              <w:b/>
            </w:rPr>
          </w:pPr>
        </w:p>
      </w:tc>
    </w:tr>
  </w:tbl>
  <w:p w14:paraId="4248A57C" w14:textId="284D3BFA" w:rsidR="005F2E4A" w:rsidRDefault="005F2E4A">
    <w:pPr>
      <w:pBdr>
        <w:top w:val="nil"/>
        <w:left w:val="nil"/>
        <w:bottom w:val="nil"/>
        <w:right w:val="nil"/>
        <w:between w:val="nil"/>
      </w:pBdr>
      <w:tabs>
        <w:tab w:val="center" w:pos="4419"/>
        <w:tab w:val="right" w:pos="8838"/>
      </w:tabs>
      <w:rPr>
        <w:color w:val="000000"/>
        <w:sz w:val="14"/>
        <w:szCs w:val="14"/>
      </w:rPr>
    </w:pPr>
  </w:p>
  <w:p w14:paraId="78015CEC" w14:textId="77777777" w:rsidR="005F2E4A" w:rsidRDefault="005F2E4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8EDBC" w14:textId="09D9DA1A" w:rsidR="005F2E4A" w:rsidRDefault="008426CC">
    <w:pPr>
      <w:widowControl w:val="0"/>
      <w:pBdr>
        <w:top w:val="nil"/>
        <w:left w:val="nil"/>
        <w:bottom w:val="nil"/>
        <w:right w:val="nil"/>
        <w:between w:val="nil"/>
      </w:pBdr>
      <w:spacing w:line="276" w:lineRule="auto"/>
      <w:rPr>
        <w:color w:val="000000"/>
        <w:sz w:val="14"/>
        <w:szCs w:val="14"/>
      </w:rPr>
    </w:pPr>
    <w:r>
      <w:rPr>
        <w:color w:val="000000"/>
      </w:rPr>
      <w:pict w14:anchorId="64D3AF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68.8pt;margin-top:-154pt;width:589.8pt;height:768pt;z-index:-251658752;mso-position-horizontal-relative:margin;mso-position-vertical-relative:margin">
          <v:imagedata r:id="rId1" o:title="image2"/>
          <w10:wrap anchorx="margin" anchory="margin"/>
        </v:shape>
      </w:pict>
    </w:r>
  </w:p>
  <w:tbl>
    <w:tblPr>
      <w:tblStyle w:val="a2"/>
      <w:tblW w:w="9915" w:type="dxa"/>
      <w:tblInd w:w="0" w:type="dxa"/>
      <w:tblLayout w:type="fixed"/>
      <w:tblLook w:val="0400" w:firstRow="0" w:lastRow="0" w:firstColumn="0" w:lastColumn="0" w:noHBand="0" w:noVBand="1"/>
    </w:tblPr>
    <w:tblGrid>
      <w:gridCol w:w="2265"/>
      <w:gridCol w:w="7650"/>
    </w:tblGrid>
    <w:tr w:rsidR="005F2E4A" w14:paraId="4AF7359A" w14:textId="77777777">
      <w:trPr>
        <w:trHeight w:val="2514"/>
      </w:trPr>
      <w:tc>
        <w:tcPr>
          <w:tcW w:w="2265" w:type="dxa"/>
        </w:tcPr>
        <w:p w14:paraId="46F4F361" w14:textId="77777777" w:rsidR="005F2E4A" w:rsidRDefault="005F2E4A">
          <w:pPr>
            <w:tabs>
              <w:tab w:val="right" w:pos="4273"/>
            </w:tabs>
            <w:rPr>
              <w:rFonts w:ascii="Garamond" w:eastAsia="Garamond" w:hAnsi="Garamond" w:cs="Garamond"/>
            </w:rPr>
          </w:pPr>
        </w:p>
      </w:tc>
      <w:tc>
        <w:tcPr>
          <w:tcW w:w="7650" w:type="dxa"/>
        </w:tcPr>
        <w:p w14:paraId="3E299EEA" w14:textId="77777777" w:rsidR="005F2E4A" w:rsidRDefault="005F2E4A">
          <w:pPr>
            <w:widowControl w:val="0"/>
            <w:pBdr>
              <w:top w:val="nil"/>
              <w:left w:val="nil"/>
              <w:bottom w:val="nil"/>
              <w:right w:val="nil"/>
              <w:between w:val="nil"/>
            </w:pBdr>
            <w:spacing w:line="276" w:lineRule="auto"/>
            <w:rPr>
              <w:rFonts w:ascii="Garamond" w:eastAsia="Garamond" w:hAnsi="Garamond" w:cs="Garamond"/>
            </w:rPr>
          </w:pPr>
        </w:p>
        <w:tbl>
          <w:tblPr>
            <w:tblStyle w:val="a3"/>
            <w:tblW w:w="6690" w:type="dxa"/>
            <w:tblInd w:w="700" w:type="dxa"/>
            <w:tblLayout w:type="fixed"/>
            <w:tblLook w:val="0400" w:firstRow="0" w:lastRow="0" w:firstColumn="0" w:lastColumn="0" w:noHBand="0" w:noVBand="1"/>
          </w:tblPr>
          <w:tblGrid>
            <w:gridCol w:w="2807"/>
            <w:gridCol w:w="3883"/>
          </w:tblGrid>
          <w:tr w:rsidR="005F2E4A" w14:paraId="4CEE7FC7" w14:textId="77777777">
            <w:trPr>
              <w:trHeight w:val="144"/>
            </w:trPr>
            <w:tc>
              <w:tcPr>
                <w:tcW w:w="2807" w:type="dxa"/>
                <w:tcBorders>
                  <w:top w:val="nil"/>
                  <w:left w:val="nil"/>
                  <w:bottom w:val="nil"/>
                  <w:right w:val="nil"/>
                </w:tcBorders>
              </w:tcPr>
              <w:p w14:paraId="5DC24635" w14:textId="77777777" w:rsidR="005F2E4A" w:rsidRDefault="005F2E4A">
                <w:pPr>
                  <w:tabs>
                    <w:tab w:val="right" w:pos="8838"/>
                  </w:tabs>
                  <w:ind w:right="16"/>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883" w:type="dxa"/>
                <w:tcBorders>
                  <w:top w:val="nil"/>
                  <w:left w:val="nil"/>
                  <w:bottom w:val="nil"/>
                  <w:right w:val="nil"/>
                </w:tcBorders>
              </w:tcPr>
              <w:p w14:paraId="010C38DF" w14:textId="77777777" w:rsidR="005F2E4A" w:rsidRDefault="005F2E4A">
                <w:pPr>
                  <w:ind w:right="-494"/>
                  <w:rPr>
                    <w:rFonts w:ascii="Palatino Linotype" w:eastAsia="Palatino Linotype" w:hAnsi="Palatino Linotype" w:cs="Palatino Linotype"/>
                  </w:rPr>
                </w:pPr>
                <w:r>
                  <w:rPr>
                    <w:rFonts w:ascii="Palatino Linotype" w:eastAsia="Palatino Linotype" w:hAnsi="Palatino Linotype" w:cs="Palatino Linotype"/>
                  </w:rPr>
                  <w:t>05288/INFOEM/IP/RR/2024</w:t>
                </w:r>
              </w:p>
            </w:tc>
          </w:tr>
          <w:tr w:rsidR="005F2E4A" w14:paraId="431CD98C" w14:textId="77777777">
            <w:trPr>
              <w:trHeight w:val="144"/>
            </w:trPr>
            <w:tc>
              <w:tcPr>
                <w:tcW w:w="2807" w:type="dxa"/>
                <w:tcBorders>
                  <w:top w:val="nil"/>
                  <w:left w:val="nil"/>
                  <w:bottom w:val="nil"/>
                  <w:right w:val="nil"/>
                </w:tcBorders>
              </w:tcPr>
              <w:p w14:paraId="74A8DB0B" w14:textId="77777777" w:rsidR="005F2E4A" w:rsidRDefault="005F2E4A">
                <w:pPr>
                  <w:tabs>
                    <w:tab w:val="right" w:pos="8838"/>
                  </w:tabs>
                  <w:ind w:right="16"/>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883" w:type="dxa"/>
                <w:tcBorders>
                  <w:top w:val="nil"/>
                  <w:left w:val="nil"/>
                  <w:bottom w:val="nil"/>
                  <w:right w:val="nil"/>
                </w:tcBorders>
              </w:tcPr>
              <w:p w14:paraId="0CE833EE" w14:textId="6CF4345B" w:rsidR="005F2E4A" w:rsidRDefault="00D233E0">
                <w:pPr>
                  <w:tabs>
                    <w:tab w:val="left" w:pos="3827"/>
                  </w:tabs>
                  <w:ind w:right="-494"/>
                  <w:rPr>
                    <w:rFonts w:ascii="Palatino Linotype" w:eastAsia="Palatino Linotype" w:hAnsi="Palatino Linotype" w:cs="Palatino Linotype"/>
                  </w:rPr>
                </w:pPr>
                <w:r>
                  <w:rPr>
                    <w:rFonts w:ascii="Palatino Linotype" w:eastAsia="Palatino Linotype" w:hAnsi="Palatino Linotype" w:cs="Palatino Linotype"/>
                  </w:rPr>
                  <w:t xml:space="preserve">XXX </w:t>
                </w:r>
                <w:proofErr w:type="spellStart"/>
                <w:r>
                  <w:rPr>
                    <w:rFonts w:ascii="Palatino Linotype" w:eastAsia="Palatino Linotype" w:hAnsi="Palatino Linotype" w:cs="Palatino Linotype"/>
                  </w:rPr>
                  <w:t>XXX</w:t>
                </w:r>
                <w:proofErr w:type="spellEnd"/>
              </w:p>
            </w:tc>
          </w:tr>
          <w:tr w:rsidR="005F2E4A" w14:paraId="35199578" w14:textId="77777777">
            <w:trPr>
              <w:trHeight w:val="283"/>
            </w:trPr>
            <w:tc>
              <w:tcPr>
                <w:tcW w:w="2807" w:type="dxa"/>
                <w:tcBorders>
                  <w:top w:val="nil"/>
                  <w:left w:val="nil"/>
                  <w:bottom w:val="nil"/>
                  <w:right w:val="nil"/>
                </w:tcBorders>
              </w:tcPr>
              <w:p w14:paraId="44D2B084" w14:textId="77777777" w:rsidR="005F2E4A" w:rsidRDefault="005F2E4A">
                <w:pPr>
                  <w:tabs>
                    <w:tab w:val="right" w:pos="8838"/>
                  </w:tabs>
                  <w:ind w:right="16"/>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883" w:type="dxa"/>
                <w:tcBorders>
                  <w:top w:val="nil"/>
                  <w:left w:val="nil"/>
                  <w:bottom w:val="nil"/>
                  <w:right w:val="nil"/>
                </w:tcBorders>
              </w:tcPr>
              <w:p w14:paraId="61CA9DEE" w14:textId="77777777" w:rsidR="005F2E4A" w:rsidRDefault="005F2E4A">
                <w:pPr>
                  <w:tabs>
                    <w:tab w:val="left" w:pos="2834"/>
                  </w:tabs>
                  <w:ind w:right="-494"/>
                  <w:rPr>
                    <w:rFonts w:ascii="Palatino Linotype" w:eastAsia="Palatino Linotype" w:hAnsi="Palatino Linotype" w:cs="Palatino Linotype"/>
                  </w:rPr>
                </w:pPr>
                <w:r>
                  <w:rPr>
                    <w:rFonts w:ascii="Palatino Linotype" w:eastAsia="Palatino Linotype" w:hAnsi="Palatino Linotype" w:cs="Palatino Linotype"/>
                  </w:rPr>
                  <w:t>Ayuntamiento de Nextlalpan</w:t>
                </w:r>
              </w:p>
            </w:tc>
          </w:tr>
          <w:tr w:rsidR="005F2E4A" w14:paraId="1CA658C9" w14:textId="77777777">
            <w:trPr>
              <w:trHeight w:val="283"/>
            </w:trPr>
            <w:tc>
              <w:tcPr>
                <w:tcW w:w="2807" w:type="dxa"/>
                <w:tcBorders>
                  <w:top w:val="nil"/>
                  <w:left w:val="nil"/>
                  <w:bottom w:val="nil"/>
                  <w:right w:val="nil"/>
                </w:tcBorders>
              </w:tcPr>
              <w:p w14:paraId="3187E68D" w14:textId="77777777" w:rsidR="005F2E4A" w:rsidRDefault="005F2E4A">
                <w:pPr>
                  <w:tabs>
                    <w:tab w:val="right" w:pos="8838"/>
                  </w:tabs>
                  <w:ind w:right="16"/>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883" w:type="dxa"/>
                <w:tcBorders>
                  <w:top w:val="nil"/>
                  <w:left w:val="nil"/>
                  <w:bottom w:val="nil"/>
                  <w:right w:val="nil"/>
                </w:tcBorders>
              </w:tcPr>
              <w:p w14:paraId="45A46D6A" w14:textId="77777777" w:rsidR="005F2E4A" w:rsidRDefault="005F2E4A">
                <w:pPr>
                  <w:ind w:right="-494"/>
                  <w:rPr>
                    <w:rFonts w:ascii="Palatino Linotype" w:eastAsia="Palatino Linotype" w:hAnsi="Palatino Linotype" w:cs="Palatino Linotype"/>
                  </w:rPr>
                </w:pPr>
                <w:r>
                  <w:rPr>
                    <w:rFonts w:ascii="Palatino Linotype" w:eastAsia="Palatino Linotype" w:hAnsi="Palatino Linotype" w:cs="Palatino Linotype"/>
                  </w:rPr>
                  <w:t>María del Rosario Mejía Ayala</w:t>
                </w:r>
              </w:p>
              <w:p w14:paraId="50064C34" w14:textId="77777777" w:rsidR="005F2E4A" w:rsidRDefault="005F2E4A">
                <w:pPr>
                  <w:ind w:right="-494"/>
                  <w:rPr>
                    <w:rFonts w:ascii="Palatino Linotype" w:eastAsia="Palatino Linotype" w:hAnsi="Palatino Linotype" w:cs="Palatino Linotype"/>
                    <w:b/>
                  </w:rPr>
                </w:pPr>
              </w:p>
            </w:tc>
          </w:tr>
        </w:tbl>
        <w:p w14:paraId="34A8CE18" w14:textId="77777777" w:rsidR="005F2E4A" w:rsidRDefault="005F2E4A">
          <w:pPr>
            <w:tabs>
              <w:tab w:val="right" w:pos="8838"/>
            </w:tabs>
            <w:ind w:left="-28"/>
            <w:jc w:val="both"/>
            <w:rPr>
              <w:rFonts w:ascii="Arial" w:eastAsia="Arial" w:hAnsi="Arial" w:cs="Arial"/>
              <w:b/>
            </w:rPr>
          </w:pPr>
        </w:p>
      </w:tc>
    </w:tr>
  </w:tbl>
  <w:p w14:paraId="08D02858" w14:textId="51E2EE39" w:rsidR="005F2E4A" w:rsidRDefault="005F2E4A">
    <w:pPr>
      <w:pBdr>
        <w:top w:val="nil"/>
        <w:left w:val="nil"/>
        <w:bottom w:val="nil"/>
        <w:right w:val="nil"/>
        <w:between w:val="nil"/>
      </w:pBdr>
      <w:tabs>
        <w:tab w:val="center" w:pos="4419"/>
        <w:tab w:val="right" w:pos="8838"/>
      </w:tabs>
      <w:rPr>
        <w:color w:val="000000"/>
        <w:sz w:val="2"/>
        <w:szCs w:val="2"/>
      </w:rPr>
    </w:pPr>
  </w:p>
  <w:p w14:paraId="34A871D0" w14:textId="77777777" w:rsidR="005F2E4A" w:rsidRDefault="005F2E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D2E5C"/>
    <w:multiLevelType w:val="multilevel"/>
    <w:tmpl w:val="724C43B0"/>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E61492"/>
    <w:multiLevelType w:val="multilevel"/>
    <w:tmpl w:val="C6F09EAE"/>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 w15:restartNumberingAfterBreak="0">
    <w:nsid w:val="07B55CDD"/>
    <w:multiLevelType w:val="multilevel"/>
    <w:tmpl w:val="C3307FD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470C43"/>
    <w:multiLevelType w:val="hybridMultilevel"/>
    <w:tmpl w:val="D5E2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0C76687"/>
    <w:multiLevelType w:val="multilevel"/>
    <w:tmpl w:val="26BC3F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D446CA"/>
    <w:multiLevelType w:val="multilevel"/>
    <w:tmpl w:val="F24AC31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3C820D1"/>
    <w:multiLevelType w:val="multilevel"/>
    <w:tmpl w:val="36FA8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48C769C"/>
    <w:multiLevelType w:val="multilevel"/>
    <w:tmpl w:val="098475FE"/>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C52BA7"/>
    <w:multiLevelType w:val="multilevel"/>
    <w:tmpl w:val="D4B4A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FE0858"/>
    <w:multiLevelType w:val="multilevel"/>
    <w:tmpl w:val="7A6059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E9C41E8"/>
    <w:multiLevelType w:val="multilevel"/>
    <w:tmpl w:val="3CFCE48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4B17D7"/>
    <w:multiLevelType w:val="multilevel"/>
    <w:tmpl w:val="AD1E0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70C7DAB"/>
    <w:multiLevelType w:val="multilevel"/>
    <w:tmpl w:val="DC2E5B0C"/>
    <w:lvl w:ilvl="0">
      <w:start w:val="1"/>
      <w:numFmt w:val="decimal"/>
      <w:lvlText w:val="%1."/>
      <w:lvlJc w:val="left"/>
      <w:pPr>
        <w:ind w:left="4754" w:hanging="359"/>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8F3464C"/>
    <w:multiLevelType w:val="multilevel"/>
    <w:tmpl w:val="45E6008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4A3C2C63"/>
    <w:multiLevelType w:val="multilevel"/>
    <w:tmpl w:val="FFD0998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EA13450"/>
    <w:multiLevelType w:val="multilevel"/>
    <w:tmpl w:val="5E8A6A32"/>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0FF0A1C"/>
    <w:multiLevelType w:val="multilevel"/>
    <w:tmpl w:val="FC6671E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2320338"/>
    <w:multiLevelType w:val="multilevel"/>
    <w:tmpl w:val="61AC5D88"/>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60B5861"/>
    <w:multiLevelType w:val="multilevel"/>
    <w:tmpl w:val="869ED868"/>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num w:numId="1" w16cid:durableId="1299533178">
    <w:abstractNumId w:val="4"/>
  </w:num>
  <w:num w:numId="2" w16cid:durableId="1667975730">
    <w:abstractNumId w:val="8"/>
  </w:num>
  <w:num w:numId="3" w16cid:durableId="649480128">
    <w:abstractNumId w:val="7"/>
  </w:num>
  <w:num w:numId="4" w16cid:durableId="342705182">
    <w:abstractNumId w:val="5"/>
  </w:num>
  <w:num w:numId="5" w16cid:durableId="267087038">
    <w:abstractNumId w:val="1"/>
  </w:num>
  <w:num w:numId="6" w16cid:durableId="399641536">
    <w:abstractNumId w:val="6"/>
  </w:num>
  <w:num w:numId="7" w16cid:durableId="267742116">
    <w:abstractNumId w:val="10"/>
  </w:num>
  <w:num w:numId="8" w16cid:durableId="125662655">
    <w:abstractNumId w:val="18"/>
  </w:num>
  <w:num w:numId="9" w16cid:durableId="2075200543">
    <w:abstractNumId w:val="14"/>
  </w:num>
  <w:num w:numId="10" w16cid:durableId="1283002258">
    <w:abstractNumId w:val="17"/>
  </w:num>
  <w:num w:numId="11" w16cid:durableId="1081491965">
    <w:abstractNumId w:val="15"/>
  </w:num>
  <w:num w:numId="12" w16cid:durableId="1286277096">
    <w:abstractNumId w:val="13"/>
  </w:num>
  <w:num w:numId="13" w16cid:durableId="1379623946">
    <w:abstractNumId w:val="12"/>
  </w:num>
  <w:num w:numId="14" w16cid:durableId="1310674472">
    <w:abstractNumId w:val="11"/>
  </w:num>
  <w:num w:numId="15" w16cid:durableId="1338270519">
    <w:abstractNumId w:val="0"/>
  </w:num>
  <w:num w:numId="16" w16cid:durableId="122816764">
    <w:abstractNumId w:val="2"/>
  </w:num>
  <w:num w:numId="17" w16cid:durableId="1670477600">
    <w:abstractNumId w:val="9"/>
  </w:num>
  <w:num w:numId="18" w16cid:durableId="859667115">
    <w:abstractNumId w:val="3"/>
  </w:num>
  <w:num w:numId="19" w16cid:durableId="3557415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3D4"/>
    <w:rsid w:val="000058D5"/>
    <w:rsid w:val="00035945"/>
    <w:rsid w:val="00064B94"/>
    <w:rsid w:val="000D38D4"/>
    <w:rsid w:val="000E3E94"/>
    <w:rsid w:val="00134A7A"/>
    <w:rsid w:val="001403D4"/>
    <w:rsid w:val="001A069E"/>
    <w:rsid w:val="0021142F"/>
    <w:rsid w:val="00217A01"/>
    <w:rsid w:val="00217BC1"/>
    <w:rsid w:val="00285076"/>
    <w:rsid w:val="002905E6"/>
    <w:rsid w:val="002A75BE"/>
    <w:rsid w:val="00376354"/>
    <w:rsid w:val="00404A20"/>
    <w:rsid w:val="00425E95"/>
    <w:rsid w:val="00472C0A"/>
    <w:rsid w:val="004749A8"/>
    <w:rsid w:val="00541B9E"/>
    <w:rsid w:val="00545D39"/>
    <w:rsid w:val="00571914"/>
    <w:rsid w:val="005B78A4"/>
    <w:rsid w:val="005F2E4A"/>
    <w:rsid w:val="00664EF8"/>
    <w:rsid w:val="00675846"/>
    <w:rsid w:val="006A6C3E"/>
    <w:rsid w:val="006F2581"/>
    <w:rsid w:val="00730AEF"/>
    <w:rsid w:val="00736186"/>
    <w:rsid w:val="00763146"/>
    <w:rsid w:val="0077563A"/>
    <w:rsid w:val="0079132E"/>
    <w:rsid w:val="007B3082"/>
    <w:rsid w:val="007C17B8"/>
    <w:rsid w:val="007D4B94"/>
    <w:rsid w:val="00802BE8"/>
    <w:rsid w:val="00832B6F"/>
    <w:rsid w:val="008426CC"/>
    <w:rsid w:val="00861B7A"/>
    <w:rsid w:val="008D0198"/>
    <w:rsid w:val="008F32BC"/>
    <w:rsid w:val="009439AE"/>
    <w:rsid w:val="00980007"/>
    <w:rsid w:val="009B53DC"/>
    <w:rsid w:val="00A265CB"/>
    <w:rsid w:val="00A63241"/>
    <w:rsid w:val="00A965C5"/>
    <w:rsid w:val="00AB22CB"/>
    <w:rsid w:val="00AE3D7B"/>
    <w:rsid w:val="00B113C0"/>
    <w:rsid w:val="00B74ABE"/>
    <w:rsid w:val="00BE1147"/>
    <w:rsid w:val="00BE234A"/>
    <w:rsid w:val="00C06210"/>
    <w:rsid w:val="00C07911"/>
    <w:rsid w:val="00C30595"/>
    <w:rsid w:val="00CA3DF3"/>
    <w:rsid w:val="00D233E0"/>
    <w:rsid w:val="00E616D1"/>
    <w:rsid w:val="00E7229C"/>
    <w:rsid w:val="00EC2476"/>
    <w:rsid w:val="00EE6140"/>
    <w:rsid w:val="00F43964"/>
    <w:rsid w:val="00F70E7D"/>
    <w:rsid w:val="00FB6E07"/>
    <w:rsid w:val="00FE69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AB550"/>
  <w15:docId w15:val="{DDD786E9-F724-420B-9095-A1A3128A4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838"/>
  </w:style>
  <w:style w:type="paragraph" w:styleId="Ttulo1">
    <w:name w:val="heading 1"/>
    <w:basedOn w:val="Normal"/>
    <w:next w:val="Normal"/>
    <w:link w:val="Ttulo1Car"/>
    <w:rsid w:val="00085838"/>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08583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A22DCA"/>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085838"/>
    <w:rPr>
      <w:rFonts w:ascii="Times New Roman" w:eastAsia="Times New Roman" w:hAnsi="Times New Roman" w:cs="Times New Roman"/>
      <w:b/>
      <w:kern w:val="0"/>
      <w:sz w:val="48"/>
      <w:szCs w:val="48"/>
      <w:lang w:eastAsia="es-MX"/>
    </w:rPr>
  </w:style>
  <w:style w:type="character" w:customStyle="1" w:styleId="Ttulo2Car">
    <w:name w:val="Título 2 Car"/>
    <w:basedOn w:val="Fuentedeprrafopredeter"/>
    <w:link w:val="Ttulo2"/>
    <w:uiPriority w:val="9"/>
    <w:semiHidden/>
    <w:rsid w:val="00085838"/>
    <w:rPr>
      <w:rFonts w:asciiTheme="majorHAnsi" w:eastAsiaTheme="majorEastAsia" w:hAnsiTheme="majorHAnsi" w:cstheme="majorBidi"/>
      <w:color w:val="2F5496" w:themeColor="accent1" w:themeShade="BF"/>
      <w:kern w:val="0"/>
      <w:sz w:val="26"/>
      <w:szCs w:val="26"/>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85838"/>
    <w:pPr>
      <w:ind w:left="720"/>
      <w:contextualSpacing/>
    </w:pPr>
    <w:rPr>
      <w:rFonts w:ascii="Century Gothic" w:hAnsi="Century Gothic"/>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85838"/>
    <w:rPr>
      <w:rFonts w:ascii="Century Gothic" w:eastAsia="Times New Roman" w:hAnsi="Century Gothic" w:cs="Times New Roman"/>
      <w:kern w:val="0"/>
      <w:sz w:val="24"/>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085838"/>
    <w:rPr>
      <w:color w:val="0563C1"/>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8583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085838"/>
    <w:rPr>
      <w:kern w:val="0"/>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085838"/>
    <w:rPr>
      <w:vertAlign w:val="superscript"/>
    </w:rPr>
  </w:style>
  <w:style w:type="paragraph" w:styleId="Piedepgina">
    <w:name w:val="footer"/>
    <w:basedOn w:val="Normal"/>
    <w:link w:val="PiedepginaCar"/>
    <w:uiPriority w:val="99"/>
    <w:unhideWhenUsed/>
    <w:rsid w:val="00085838"/>
    <w:pPr>
      <w:tabs>
        <w:tab w:val="center" w:pos="4419"/>
        <w:tab w:val="right" w:pos="8838"/>
      </w:tabs>
    </w:pPr>
  </w:style>
  <w:style w:type="character" w:customStyle="1" w:styleId="PiedepginaCar">
    <w:name w:val="Pie de página Car"/>
    <w:basedOn w:val="Fuentedeprrafopredeter"/>
    <w:link w:val="Piedepgina"/>
    <w:uiPriority w:val="99"/>
    <w:rsid w:val="00085838"/>
    <w:rPr>
      <w:rFonts w:ascii="Times New Roman" w:eastAsia="Times New Roman" w:hAnsi="Times New Roman" w:cs="Times New Roman"/>
      <w:kern w:val="0"/>
      <w:sz w:val="24"/>
      <w:szCs w:val="24"/>
      <w:lang w:eastAsia="es-MX"/>
    </w:rPr>
  </w:style>
  <w:style w:type="table" w:styleId="Tablaconcuadrcula">
    <w:name w:val="Table Grid"/>
    <w:basedOn w:val="Tablanormal"/>
    <w:uiPriority w:val="39"/>
    <w:qFormat/>
    <w:rsid w:val="00883E2A"/>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semiHidden/>
    <w:unhideWhenUsed/>
    <w:rsid w:val="0039569B"/>
    <w:pPr>
      <w:spacing w:after="120"/>
    </w:pPr>
  </w:style>
  <w:style w:type="character" w:customStyle="1" w:styleId="TextoindependienteCar">
    <w:name w:val="Texto independiente Car"/>
    <w:basedOn w:val="Fuentedeprrafopredeter"/>
    <w:link w:val="Textoindependiente"/>
    <w:uiPriority w:val="99"/>
    <w:semiHidden/>
    <w:rsid w:val="0039569B"/>
    <w:rPr>
      <w:rFonts w:ascii="Times New Roman" w:eastAsia="Times New Roman" w:hAnsi="Times New Roman" w:cs="Times New Roman"/>
      <w:kern w:val="0"/>
      <w:sz w:val="24"/>
      <w:szCs w:val="24"/>
      <w:lang w:eastAsia="es-MX"/>
    </w:rPr>
  </w:style>
  <w:style w:type="table" w:customStyle="1" w:styleId="Tablanormal12">
    <w:name w:val="Tabla normal 12"/>
    <w:basedOn w:val="Tablanormal"/>
    <w:next w:val="Tablanormal1"/>
    <w:uiPriority w:val="41"/>
    <w:rsid w:val="00CF2AE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CF2AE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3Car">
    <w:name w:val="Título 3 Car"/>
    <w:basedOn w:val="Fuentedeprrafopredeter"/>
    <w:link w:val="Ttulo3"/>
    <w:uiPriority w:val="9"/>
    <w:semiHidden/>
    <w:rsid w:val="00A22DCA"/>
    <w:rPr>
      <w:rFonts w:asciiTheme="majorHAnsi" w:eastAsiaTheme="majorEastAsia" w:hAnsiTheme="majorHAnsi" w:cstheme="majorBidi"/>
      <w:color w:val="1F3763" w:themeColor="accent1" w:themeShade="7F"/>
      <w:kern w:val="0"/>
      <w:sz w:val="24"/>
      <w:szCs w:val="24"/>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gob.mx/segob/renapo/acciones-y-programas/clave-unica-de-registro-de-poblacion-curp-142226"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M2BOsuQhE1kUwG2o7b1j3Nfu2A==">CgMxLjAyCGguZ2pkZ3hzMghoLmdqZGd4czIJaC4zMGowemxsMgloLjFmb2I5dGUyCWguM3pueXNoNzIJaC4yZXQ5MnAwMghoLnR5amN3dDIJaC4xN2RwOHZ1Mg5oLjJxcTlya2xud3V3MDIJaC4xa3N2NHV2MgloLjQ0c2luaW84AHIhMUljd09KWGNJUzhpM1E4eUFkYU9PMmNwallCaTZidnpH</go:docsCustomData>
</go:gDocsCustomXmlDataStorage>
</file>

<file path=customXml/itemProps1.xml><?xml version="1.0" encoding="utf-8"?>
<ds:datastoreItem xmlns:ds="http://schemas.openxmlformats.org/officeDocument/2006/customXml" ds:itemID="{39CFF8A8-8F99-456F-A511-9AF9DF2F8AE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62</Pages>
  <Words>12392</Words>
  <Characters>68162</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adan gaona valle</dc:creator>
  <cp:lastModifiedBy>inf03m612@outlook.com</cp:lastModifiedBy>
  <cp:revision>15</cp:revision>
  <cp:lastPrinted>2024-11-07T18:27:00Z</cp:lastPrinted>
  <dcterms:created xsi:type="dcterms:W3CDTF">2024-10-28T19:04:00Z</dcterms:created>
  <dcterms:modified xsi:type="dcterms:W3CDTF">2024-11-20T18:13:00Z</dcterms:modified>
</cp:coreProperties>
</file>