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imes New Roman" w:cs="Times New Roman"/>
          <w:i w:val="0"/>
          <w:iCs w:val="0"/>
          <w:color w:val="auto"/>
          <w:sz w:val="16"/>
          <w:szCs w:val="16"/>
          <w:lang w:val="es-ES"/>
        </w:rPr>
        <w:id w:val="1492215735"/>
        <w:docPartObj>
          <w:docPartGallery w:val="Table of Contents"/>
          <w:docPartUnique/>
        </w:docPartObj>
      </w:sdtPr>
      <w:sdtEndPr>
        <w:rPr>
          <w:b/>
          <w:bCs/>
          <w:sz w:val="22"/>
          <w:szCs w:val="20"/>
        </w:rPr>
      </w:sdtEndPr>
      <w:sdtContent>
        <w:p w14:paraId="1AE18B79" w14:textId="3E807EB5" w:rsidR="00AE3DA7" w:rsidRPr="007E0696" w:rsidRDefault="006C18D8" w:rsidP="007E0696">
          <w:pPr>
            <w:pStyle w:val="Ttulo4"/>
            <w:rPr>
              <w:rStyle w:val="Hipervnculo"/>
              <w:rFonts w:eastAsia="Times New Roman" w:cs="Times New Roman"/>
              <w:i w:val="0"/>
              <w:iCs w:val="0"/>
              <w:noProof/>
              <w:color w:val="auto"/>
              <w:u w:val="none"/>
            </w:rPr>
          </w:pPr>
          <w:r w:rsidRPr="007E0696">
            <w:rPr>
              <w:rStyle w:val="Hipervnculo"/>
              <w:rFonts w:eastAsia="Times New Roman" w:cs="Times New Roman"/>
              <w:i w:val="0"/>
              <w:iCs w:val="0"/>
              <w:noProof/>
              <w:color w:val="auto"/>
              <w:u w:val="none"/>
            </w:rPr>
            <w:t>CONTENIDO</w:t>
          </w:r>
        </w:p>
        <w:p w14:paraId="642DEBE9" w14:textId="5E491D98" w:rsidR="00703703" w:rsidRPr="007E0696" w:rsidRDefault="00AE3DA7" w:rsidP="007E0696">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r w:rsidRPr="007E0696">
            <w:rPr>
              <w:sz w:val="16"/>
              <w:szCs w:val="16"/>
            </w:rPr>
            <w:fldChar w:fldCharType="begin"/>
          </w:r>
          <w:r w:rsidRPr="007E0696">
            <w:rPr>
              <w:sz w:val="16"/>
              <w:szCs w:val="16"/>
            </w:rPr>
            <w:instrText xml:space="preserve"> TOC \o "1-3" \h \z \u </w:instrText>
          </w:r>
          <w:r w:rsidRPr="007E0696">
            <w:rPr>
              <w:sz w:val="16"/>
              <w:szCs w:val="16"/>
            </w:rPr>
            <w:fldChar w:fldCharType="separate"/>
          </w:r>
          <w:hyperlink w:anchor="_Toc176438486" w:history="1">
            <w:r w:rsidR="00703703" w:rsidRPr="007E0696">
              <w:rPr>
                <w:rStyle w:val="Hipervnculo"/>
                <w:noProof/>
                <w:color w:val="auto"/>
              </w:rPr>
              <w:t>ANTECEDENTES</w:t>
            </w:r>
            <w:r w:rsidR="00703703" w:rsidRPr="007E0696">
              <w:rPr>
                <w:noProof/>
                <w:webHidden/>
              </w:rPr>
              <w:tab/>
            </w:r>
            <w:r w:rsidR="00703703" w:rsidRPr="007E0696">
              <w:rPr>
                <w:noProof/>
                <w:webHidden/>
              </w:rPr>
              <w:fldChar w:fldCharType="begin"/>
            </w:r>
            <w:r w:rsidR="00703703" w:rsidRPr="007E0696">
              <w:rPr>
                <w:noProof/>
                <w:webHidden/>
              </w:rPr>
              <w:instrText xml:space="preserve"> PAGEREF _Toc176438486 \h </w:instrText>
            </w:r>
            <w:r w:rsidR="00703703" w:rsidRPr="007E0696">
              <w:rPr>
                <w:noProof/>
                <w:webHidden/>
              </w:rPr>
            </w:r>
            <w:r w:rsidR="00703703" w:rsidRPr="007E0696">
              <w:rPr>
                <w:noProof/>
                <w:webHidden/>
              </w:rPr>
              <w:fldChar w:fldCharType="separate"/>
            </w:r>
            <w:r w:rsidR="00054F37">
              <w:rPr>
                <w:noProof/>
                <w:webHidden/>
              </w:rPr>
              <w:t>1</w:t>
            </w:r>
            <w:r w:rsidR="00703703" w:rsidRPr="007E0696">
              <w:rPr>
                <w:noProof/>
                <w:webHidden/>
              </w:rPr>
              <w:fldChar w:fldCharType="end"/>
            </w:r>
          </w:hyperlink>
        </w:p>
        <w:p w14:paraId="50C023DC" w14:textId="0779A46E" w:rsidR="00703703" w:rsidRPr="007E0696" w:rsidRDefault="000E229A" w:rsidP="007E0696">
          <w:pPr>
            <w:pStyle w:val="TDC2"/>
            <w:rPr>
              <w:rFonts w:asciiTheme="minorHAnsi" w:eastAsiaTheme="minorEastAsia" w:hAnsiTheme="minorHAnsi" w:cstheme="minorBidi"/>
              <w:noProof/>
              <w:kern w:val="2"/>
              <w:sz w:val="24"/>
              <w:szCs w:val="24"/>
              <w:lang w:eastAsia="es-MX"/>
              <w14:ligatures w14:val="standardContextual"/>
            </w:rPr>
          </w:pPr>
          <w:hyperlink w:anchor="_Toc176438487" w:history="1">
            <w:r w:rsidR="00703703" w:rsidRPr="007E0696">
              <w:rPr>
                <w:rStyle w:val="Hipervnculo"/>
                <w:noProof/>
                <w:color w:val="auto"/>
              </w:rPr>
              <w:t>DE LA SOLICITUD DE INFORMACIÓN</w:t>
            </w:r>
            <w:r w:rsidR="00703703" w:rsidRPr="007E0696">
              <w:rPr>
                <w:noProof/>
                <w:webHidden/>
              </w:rPr>
              <w:tab/>
            </w:r>
            <w:r w:rsidR="00703703" w:rsidRPr="007E0696">
              <w:rPr>
                <w:noProof/>
                <w:webHidden/>
              </w:rPr>
              <w:fldChar w:fldCharType="begin"/>
            </w:r>
            <w:r w:rsidR="00703703" w:rsidRPr="007E0696">
              <w:rPr>
                <w:noProof/>
                <w:webHidden/>
              </w:rPr>
              <w:instrText xml:space="preserve"> PAGEREF _Toc176438487 \h </w:instrText>
            </w:r>
            <w:r w:rsidR="00703703" w:rsidRPr="007E0696">
              <w:rPr>
                <w:noProof/>
                <w:webHidden/>
              </w:rPr>
            </w:r>
            <w:r w:rsidR="00703703" w:rsidRPr="007E0696">
              <w:rPr>
                <w:noProof/>
                <w:webHidden/>
              </w:rPr>
              <w:fldChar w:fldCharType="separate"/>
            </w:r>
            <w:r w:rsidR="00054F37">
              <w:rPr>
                <w:noProof/>
                <w:webHidden/>
              </w:rPr>
              <w:t>1</w:t>
            </w:r>
            <w:r w:rsidR="00703703" w:rsidRPr="007E0696">
              <w:rPr>
                <w:noProof/>
                <w:webHidden/>
              </w:rPr>
              <w:fldChar w:fldCharType="end"/>
            </w:r>
          </w:hyperlink>
        </w:p>
        <w:p w14:paraId="762C7D12" w14:textId="07FBFC99" w:rsidR="00703703" w:rsidRPr="007E0696" w:rsidRDefault="000E229A" w:rsidP="007E0696">
          <w:pPr>
            <w:pStyle w:val="TDC3"/>
            <w:rPr>
              <w:rFonts w:asciiTheme="minorHAnsi" w:eastAsiaTheme="minorEastAsia" w:hAnsiTheme="minorHAnsi" w:cstheme="minorBidi"/>
              <w:noProof/>
              <w:kern w:val="2"/>
              <w:sz w:val="24"/>
              <w:szCs w:val="24"/>
              <w:lang w:eastAsia="es-MX"/>
              <w14:ligatures w14:val="standardContextual"/>
            </w:rPr>
          </w:pPr>
          <w:hyperlink w:anchor="_Toc176438488" w:history="1">
            <w:r w:rsidR="00703703" w:rsidRPr="007E0696">
              <w:rPr>
                <w:rStyle w:val="Hipervnculo"/>
                <w:noProof/>
                <w:color w:val="auto"/>
              </w:rPr>
              <w:t>a) Solicitud de información</w:t>
            </w:r>
            <w:r w:rsidR="00703703" w:rsidRPr="007E0696">
              <w:rPr>
                <w:noProof/>
                <w:webHidden/>
              </w:rPr>
              <w:tab/>
            </w:r>
            <w:r w:rsidR="00703703" w:rsidRPr="007E0696">
              <w:rPr>
                <w:noProof/>
                <w:webHidden/>
              </w:rPr>
              <w:fldChar w:fldCharType="begin"/>
            </w:r>
            <w:r w:rsidR="00703703" w:rsidRPr="007E0696">
              <w:rPr>
                <w:noProof/>
                <w:webHidden/>
              </w:rPr>
              <w:instrText xml:space="preserve"> PAGEREF _Toc176438488 \h </w:instrText>
            </w:r>
            <w:r w:rsidR="00703703" w:rsidRPr="007E0696">
              <w:rPr>
                <w:noProof/>
                <w:webHidden/>
              </w:rPr>
            </w:r>
            <w:r w:rsidR="00703703" w:rsidRPr="007E0696">
              <w:rPr>
                <w:noProof/>
                <w:webHidden/>
              </w:rPr>
              <w:fldChar w:fldCharType="separate"/>
            </w:r>
            <w:r w:rsidR="00054F37">
              <w:rPr>
                <w:noProof/>
                <w:webHidden/>
              </w:rPr>
              <w:t>1</w:t>
            </w:r>
            <w:r w:rsidR="00703703" w:rsidRPr="007E0696">
              <w:rPr>
                <w:noProof/>
                <w:webHidden/>
              </w:rPr>
              <w:fldChar w:fldCharType="end"/>
            </w:r>
          </w:hyperlink>
        </w:p>
        <w:p w14:paraId="23C706B0" w14:textId="02D56385" w:rsidR="00703703" w:rsidRPr="007E0696" w:rsidRDefault="000E229A" w:rsidP="007E0696">
          <w:pPr>
            <w:pStyle w:val="TDC3"/>
            <w:rPr>
              <w:rFonts w:asciiTheme="minorHAnsi" w:eastAsiaTheme="minorEastAsia" w:hAnsiTheme="minorHAnsi" w:cstheme="minorBidi"/>
              <w:noProof/>
              <w:kern w:val="2"/>
              <w:sz w:val="24"/>
              <w:szCs w:val="24"/>
              <w:lang w:eastAsia="es-MX"/>
              <w14:ligatures w14:val="standardContextual"/>
            </w:rPr>
          </w:pPr>
          <w:hyperlink w:anchor="_Toc176438489" w:history="1">
            <w:r w:rsidR="00703703" w:rsidRPr="007E0696">
              <w:rPr>
                <w:rStyle w:val="Hipervnculo"/>
                <w:noProof/>
                <w:color w:val="auto"/>
              </w:rPr>
              <w:t>b) Turno de la solicitud de información</w:t>
            </w:r>
            <w:r w:rsidR="00703703" w:rsidRPr="007E0696">
              <w:rPr>
                <w:noProof/>
                <w:webHidden/>
              </w:rPr>
              <w:tab/>
            </w:r>
            <w:r w:rsidR="00703703" w:rsidRPr="007E0696">
              <w:rPr>
                <w:noProof/>
                <w:webHidden/>
              </w:rPr>
              <w:fldChar w:fldCharType="begin"/>
            </w:r>
            <w:r w:rsidR="00703703" w:rsidRPr="007E0696">
              <w:rPr>
                <w:noProof/>
                <w:webHidden/>
              </w:rPr>
              <w:instrText xml:space="preserve"> PAGEREF _Toc176438489 \h </w:instrText>
            </w:r>
            <w:r w:rsidR="00703703" w:rsidRPr="007E0696">
              <w:rPr>
                <w:noProof/>
                <w:webHidden/>
              </w:rPr>
            </w:r>
            <w:r w:rsidR="00703703" w:rsidRPr="007E0696">
              <w:rPr>
                <w:noProof/>
                <w:webHidden/>
              </w:rPr>
              <w:fldChar w:fldCharType="separate"/>
            </w:r>
            <w:r w:rsidR="00054F37">
              <w:rPr>
                <w:noProof/>
                <w:webHidden/>
              </w:rPr>
              <w:t>2</w:t>
            </w:r>
            <w:r w:rsidR="00703703" w:rsidRPr="007E0696">
              <w:rPr>
                <w:noProof/>
                <w:webHidden/>
              </w:rPr>
              <w:fldChar w:fldCharType="end"/>
            </w:r>
          </w:hyperlink>
        </w:p>
        <w:p w14:paraId="25585E30" w14:textId="5D148385" w:rsidR="00703703" w:rsidRPr="007E0696" w:rsidRDefault="000E229A" w:rsidP="007E0696">
          <w:pPr>
            <w:pStyle w:val="TDC3"/>
            <w:rPr>
              <w:rFonts w:asciiTheme="minorHAnsi" w:eastAsiaTheme="minorEastAsia" w:hAnsiTheme="minorHAnsi" w:cstheme="minorBidi"/>
              <w:noProof/>
              <w:kern w:val="2"/>
              <w:sz w:val="24"/>
              <w:szCs w:val="24"/>
              <w:lang w:eastAsia="es-MX"/>
              <w14:ligatures w14:val="standardContextual"/>
            </w:rPr>
          </w:pPr>
          <w:hyperlink w:anchor="_Toc176438490" w:history="1">
            <w:r w:rsidR="00703703" w:rsidRPr="007E0696">
              <w:rPr>
                <w:rStyle w:val="Hipervnculo"/>
                <w:noProof/>
                <w:color w:val="auto"/>
              </w:rPr>
              <w:t>c) Prórroga</w:t>
            </w:r>
            <w:r w:rsidR="00703703" w:rsidRPr="007E0696">
              <w:rPr>
                <w:noProof/>
                <w:webHidden/>
              </w:rPr>
              <w:tab/>
            </w:r>
            <w:r w:rsidR="00703703" w:rsidRPr="007E0696">
              <w:rPr>
                <w:noProof/>
                <w:webHidden/>
              </w:rPr>
              <w:fldChar w:fldCharType="begin"/>
            </w:r>
            <w:r w:rsidR="00703703" w:rsidRPr="007E0696">
              <w:rPr>
                <w:noProof/>
                <w:webHidden/>
              </w:rPr>
              <w:instrText xml:space="preserve"> PAGEREF _Toc176438490 \h </w:instrText>
            </w:r>
            <w:r w:rsidR="00703703" w:rsidRPr="007E0696">
              <w:rPr>
                <w:noProof/>
                <w:webHidden/>
              </w:rPr>
            </w:r>
            <w:r w:rsidR="00703703" w:rsidRPr="007E0696">
              <w:rPr>
                <w:noProof/>
                <w:webHidden/>
              </w:rPr>
              <w:fldChar w:fldCharType="separate"/>
            </w:r>
            <w:r w:rsidR="00054F37">
              <w:rPr>
                <w:noProof/>
                <w:webHidden/>
              </w:rPr>
              <w:t>2</w:t>
            </w:r>
            <w:r w:rsidR="00703703" w:rsidRPr="007E0696">
              <w:rPr>
                <w:noProof/>
                <w:webHidden/>
              </w:rPr>
              <w:fldChar w:fldCharType="end"/>
            </w:r>
          </w:hyperlink>
        </w:p>
        <w:p w14:paraId="4A221F85" w14:textId="523E07E0" w:rsidR="00703703" w:rsidRPr="007E0696" w:rsidRDefault="000E229A" w:rsidP="007E0696">
          <w:pPr>
            <w:pStyle w:val="TDC3"/>
            <w:rPr>
              <w:rFonts w:asciiTheme="minorHAnsi" w:eastAsiaTheme="minorEastAsia" w:hAnsiTheme="minorHAnsi" w:cstheme="minorBidi"/>
              <w:noProof/>
              <w:kern w:val="2"/>
              <w:sz w:val="24"/>
              <w:szCs w:val="24"/>
              <w:lang w:eastAsia="es-MX"/>
              <w14:ligatures w14:val="standardContextual"/>
            </w:rPr>
          </w:pPr>
          <w:hyperlink w:anchor="_Toc176438491" w:history="1">
            <w:r w:rsidR="00703703" w:rsidRPr="007E0696">
              <w:rPr>
                <w:rStyle w:val="Hipervnculo"/>
                <w:noProof/>
                <w:color w:val="auto"/>
                <w:lang w:val="es-ES"/>
              </w:rPr>
              <w:t xml:space="preserve">d) Respuesta </w:t>
            </w:r>
            <w:r w:rsidR="00703703" w:rsidRPr="007E0696">
              <w:rPr>
                <w:rStyle w:val="Hipervnculo"/>
                <w:rFonts w:eastAsia="Calibri"/>
                <w:noProof/>
                <w:color w:val="auto"/>
                <w:lang w:eastAsia="en-US"/>
              </w:rPr>
              <w:t>del Sujeto Obligado</w:t>
            </w:r>
            <w:r w:rsidR="00703703" w:rsidRPr="007E0696">
              <w:rPr>
                <w:noProof/>
                <w:webHidden/>
              </w:rPr>
              <w:tab/>
            </w:r>
            <w:r w:rsidR="00703703" w:rsidRPr="007E0696">
              <w:rPr>
                <w:noProof/>
                <w:webHidden/>
              </w:rPr>
              <w:fldChar w:fldCharType="begin"/>
            </w:r>
            <w:r w:rsidR="00703703" w:rsidRPr="007E0696">
              <w:rPr>
                <w:noProof/>
                <w:webHidden/>
              </w:rPr>
              <w:instrText xml:space="preserve"> PAGEREF _Toc176438491 \h </w:instrText>
            </w:r>
            <w:r w:rsidR="00703703" w:rsidRPr="007E0696">
              <w:rPr>
                <w:noProof/>
                <w:webHidden/>
              </w:rPr>
            </w:r>
            <w:r w:rsidR="00703703" w:rsidRPr="007E0696">
              <w:rPr>
                <w:noProof/>
                <w:webHidden/>
              </w:rPr>
              <w:fldChar w:fldCharType="separate"/>
            </w:r>
            <w:r w:rsidR="00054F37">
              <w:rPr>
                <w:noProof/>
                <w:webHidden/>
              </w:rPr>
              <w:t>3</w:t>
            </w:r>
            <w:r w:rsidR="00703703" w:rsidRPr="007E0696">
              <w:rPr>
                <w:noProof/>
                <w:webHidden/>
              </w:rPr>
              <w:fldChar w:fldCharType="end"/>
            </w:r>
          </w:hyperlink>
        </w:p>
        <w:p w14:paraId="1A20011E" w14:textId="5C95E9DD" w:rsidR="00703703" w:rsidRPr="007E0696" w:rsidRDefault="000E229A" w:rsidP="007E0696">
          <w:pPr>
            <w:pStyle w:val="TDC2"/>
            <w:rPr>
              <w:rFonts w:asciiTheme="minorHAnsi" w:eastAsiaTheme="minorEastAsia" w:hAnsiTheme="minorHAnsi" w:cstheme="minorBidi"/>
              <w:noProof/>
              <w:kern w:val="2"/>
              <w:sz w:val="24"/>
              <w:szCs w:val="24"/>
              <w:lang w:eastAsia="es-MX"/>
              <w14:ligatures w14:val="standardContextual"/>
            </w:rPr>
          </w:pPr>
          <w:hyperlink w:anchor="_Toc176438492" w:history="1">
            <w:r w:rsidR="00703703" w:rsidRPr="007E0696">
              <w:rPr>
                <w:rStyle w:val="Hipervnculo"/>
                <w:noProof/>
                <w:color w:val="auto"/>
              </w:rPr>
              <w:t>DEL RECURSO DE REVISIÓN</w:t>
            </w:r>
            <w:r w:rsidR="00703703" w:rsidRPr="007E0696">
              <w:rPr>
                <w:noProof/>
                <w:webHidden/>
              </w:rPr>
              <w:tab/>
            </w:r>
            <w:r w:rsidR="00703703" w:rsidRPr="007E0696">
              <w:rPr>
                <w:noProof/>
                <w:webHidden/>
              </w:rPr>
              <w:fldChar w:fldCharType="begin"/>
            </w:r>
            <w:r w:rsidR="00703703" w:rsidRPr="007E0696">
              <w:rPr>
                <w:noProof/>
                <w:webHidden/>
              </w:rPr>
              <w:instrText xml:space="preserve"> PAGEREF _Toc176438492 \h </w:instrText>
            </w:r>
            <w:r w:rsidR="00703703" w:rsidRPr="007E0696">
              <w:rPr>
                <w:noProof/>
                <w:webHidden/>
              </w:rPr>
            </w:r>
            <w:r w:rsidR="00703703" w:rsidRPr="007E0696">
              <w:rPr>
                <w:noProof/>
                <w:webHidden/>
              </w:rPr>
              <w:fldChar w:fldCharType="separate"/>
            </w:r>
            <w:r w:rsidR="00054F37">
              <w:rPr>
                <w:noProof/>
                <w:webHidden/>
              </w:rPr>
              <w:t>4</w:t>
            </w:r>
            <w:r w:rsidR="00703703" w:rsidRPr="007E0696">
              <w:rPr>
                <w:noProof/>
                <w:webHidden/>
              </w:rPr>
              <w:fldChar w:fldCharType="end"/>
            </w:r>
          </w:hyperlink>
        </w:p>
        <w:p w14:paraId="58D7A088" w14:textId="07DA1219" w:rsidR="00703703" w:rsidRPr="007E0696" w:rsidRDefault="000E229A" w:rsidP="007E0696">
          <w:pPr>
            <w:pStyle w:val="TDC3"/>
            <w:rPr>
              <w:rFonts w:asciiTheme="minorHAnsi" w:eastAsiaTheme="minorEastAsia" w:hAnsiTheme="minorHAnsi" w:cstheme="minorBidi"/>
              <w:noProof/>
              <w:kern w:val="2"/>
              <w:sz w:val="24"/>
              <w:szCs w:val="24"/>
              <w:lang w:eastAsia="es-MX"/>
              <w14:ligatures w14:val="standardContextual"/>
            </w:rPr>
          </w:pPr>
          <w:hyperlink w:anchor="_Toc176438493" w:history="1">
            <w:r w:rsidR="00703703" w:rsidRPr="007E0696">
              <w:rPr>
                <w:rStyle w:val="Hipervnculo"/>
                <w:noProof/>
                <w:color w:val="auto"/>
              </w:rPr>
              <w:t>a) Interposición del Recurso de Revisión</w:t>
            </w:r>
            <w:r w:rsidR="00703703" w:rsidRPr="007E0696">
              <w:rPr>
                <w:noProof/>
                <w:webHidden/>
              </w:rPr>
              <w:tab/>
            </w:r>
            <w:r w:rsidR="00703703" w:rsidRPr="007E0696">
              <w:rPr>
                <w:noProof/>
                <w:webHidden/>
              </w:rPr>
              <w:fldChar w:fldCharType="begin"/>
            </w:r>
            <w:r w:rsidR="00703703" w:rsidRPr="007E0696">
              <w:rPr>
                <w:noProof/>
                <w:webHidden/>
              </w:rPr>
              <w:instrText xml:space="preserve"> PAGEREF _Toc176438493 \h </w:instrText>
            </w:r>
            <w:r w:rsidR="00703703" w:rsidRPr="007E0696">
              <w:rPr>
                <w:noProof/>
                <w:webHidden/>
              </w:rPr>
            </w:r>
            <w:r w:rsidR="00703703" w:rsidRPr="007E0696">
              <w:rPr>
                <w:noProof/>
                <w:webHidden/>
              </w:rPr>
              <w:fldChar w:fldCharType="separate"/>
            </w:r>
            <w:r w:rsidR="00054F37">
              <w:rPr>
                <w:noProof/>
                <w:webHidden/>
              </w:rPr>
              <w:t>4</w:t>
            </w:r>
            <w:r w:rsidR="00703703" w:rsidRPr="007E0696">
              <w:rPr>
                <w:noProof/>
                <w:webHidden/>
              </w:rPr>
              <w:fldChar w:fldCharType="end"/>
            </w:r>
          </w:hyperlink>
        </w:p>
        <w:p w14:paraId="633669EE" w14:textId="18BF5171" w:rsidR="00703703" w:rsidRPr="007E0696" w:rsidRDefault="000E229A" w:rsidP="007E0696">
          <w:pPr>
            <w:pStyle w:val="TDC3"/>
            <w:rPr>
              <w:rFonts w:asciiTheme="minorHAnsi" w:eastAsiaTheme="minorEastAsia" w:hAnsiTheme="minorHAnsi" w:cstheme="minorBidi"/>
              <w:noProof/>
              <w:kern w:val="2"/>
              <w:sz w:val="24"/>
              <w:szCs w:val="24"/>
              <w:lang w:eastAsia="es-MX"/>
              <w14:ligatures w14:val="standardContextual"/>
            </w:rPr>
          </w:pPr>
          <w:hyperlink w:anchor="_Toc176438494" w:history="1">
            <w:r w:rsidR="00703703" w:rsidRPr="007E0696">
              <w:rPr>
                <w:rStyle w:val="Hipervnculo"/>
                <w:noProof/>
                <w:color w:val="auto"/>
              </w:rPr>
              <w:t>b) Turno del Recurso de Revisión</w:t>
            </w:r>
            <w:r w:rsidR="00703703" w:rsidRPr="007E0696">
              <w:rPr>
                <w:noProof/>
                <w:webHidden/>
              </w:rPr>
              <w:tab/>
            </w:r>
            <w:r w:rsidR="00703703" w:rsidRPr="007E0696">
              <w:rPr>
                <w:noProof/>
                <w:webHidden/>
              </w:rPr>
              <w:fldChar w:fldCharType="begin"/>
            </w:r>
            <w:r w:rsidR="00703703" w:rsidRPr="007E0696">
              <w:rPr>
                <w:noProof/>
                <w:webHidden/>
              </w:rPr>
              <w:instrText xml:space="preserve"> PAGEREF _Toc176438494 \h </w:instrText>
            </w:r>
            <w:r w:rsidR="00703703" w:rsidRPr="007E0696">
              <w:rPr>
                <w:noProof/>
                <w:webHidden/>
              </w:rPr>
            </w:r>
            <w:r w:rsidR="00703703" w:rsidRPr="007E0696">
              <w:rPr>
                <w:noProof/>
                <w:webHidden/>
              </w:rPr>
              <w:fldChar w:fldCharType="separate"/>
            </w:r>
            <w:r w:rsidR="00054F37">
              <w:rPr>
                <w:noProof/>
                <w:webHidden/>
              </w:rPr>
              <w:t>5</w:t>
            </w:r>
            <w:r w:rsidR="00703703" w:rsidRPr="007E0696">
              <w:rPr>
                <w:noProof/>
                <w:webHidden/>
              </w:rPr>
              <w:fldChar w:fldCharType="end"/>
            </w:r>
          </w:hyperlink>
        </w:p>
        <w:p w14:paraId="398AB836" w14:textId="3BBF1E78" w:rsidR="00703703" w:rsidRPr="007E0696" w:rsidRDefault="000E229A" w:rsidP="007E0696">
          <w:pPr>
            <w:pStyle w:val="TDC3"/>
            <w:rPr>
              <w:rFonts w:asciiTheme="minorHAnsi" w:eastAsiaTheme="minorEastAsia" w:hAnsiTheme="minorHAnsi" w:cstheme="minorBidi"/>
              <w:noProof/>
              <w:kern w:val="2"/>
              <w:sz w:val="24"/>
              <w:szCs w:val="24"/>
              <w:lang w:eastAsia="es-MX"/>
              <w14:ligatures w14:val="standardContextual"/>
            </w:rPr>
          </w:pPr>
          <w:hyperlink w:anchor="_Toc176438495" w:history="1">
            <w:r w:rsidR="00703703" w:rsidRPr="007E0696">
              <w:rPr>
                <w:rStyle w:val="Hipervnculo"/>
                <w:noProof/>
                <w:color w:val="auto"/>
              </w:rPr>
              <w:t>c) Admisión del Recurso de Revisión</w:t>
            </w:r>
            <w:r w:rsidR="00703703" w:rsidRPr="007E0696">
              <w:rPr>
                <w:noProof/>
                <w:webHidden/>
              </w:rPr>
              <w:tab/>
            </w:r>
            <w:r w:rsidR="00703703" w:rsidRPr="007E0696">
              <w:rPr>
                <w:noProof/>
                <w:webHidden/>
              </w:rPr>
              <w:fldChar w:fldCharType="begin"/>
            </w:r>
            <w:r w:rsidR="00703703" w:rsidRPr="007E0696">
              <w:rPr>
                <w:noProof/>
                <w:webHidden/>
              </w:rPr>
              <w:instrText xml:space="preserve"> PAGEREF _Toc176438495 \h </w:instrText>
            </w:r>
            <w:r w:rsidR="00703703" w:rsidRPr="007E0696">
              <w:rPr>
                <w:noProof/>
                <w:webHidden/>
              </w:rPr>
            </w:r>
            <w:r w:rsidR="00703703" w:rsidRPr="007E0696">
              <w:rPr>
                <w:noProof/>
                <w:webHidden/>
              </w:rPr>
              <w:fldChar w:fldCharType="separate"/>
            </w:r>
            <w:r w:rsidR="00054F37">
              <w:rPr>
                <w:noProof/>
                <w:webHidden/>
              </w:rPr>
              <w:t>5</w:t>
            </w:r>
            <w:r w:rsidR="00703703" w:rsidRPr="007E0696">
              <w:rPr>
                <w:noProof/>
                <w:webHidden/>
              </w:rPr>
              <w:fldChar w:fldCharType="end"/>
            </w:r>
          </w:hyperlink>
        </w:p>
        <w:p w14:paraId="19C9C6E9" w14:textId="3E8119B8" w:rsidR="00703703" w:rsidRPr="007E0696" w:rsidRDefault="000E229A" w:rsidP="007E0696">
          <w:pPr>
            <w:pStyle w:val="TDC3"/>
            <w:rPr>
              <w:rFonts w:asciiTheme="minorHAnsi" w:eastAsiaTheme="minorEastAsia" w:hAnsiTheme="minorHAnsi" w:cstheme="minorBidi"/>
              <w:noProof/>
              <w:kern w:val="2"/>
              <w:sz w:val="24"/>
              <w:szCs w:val="24"/>
              <w:lang w:eastAsia="es-MX"/>
              <w14:ligatures w14:val="standardContextual"/>
            </w:rPr>
          </w:pPr>
          <w:hyperlink w:anchor="_Toc176438496" w:history="1">
            <w:r w:rsidR="00703703" w:rsidRPr="007E0696">
              <w:rPr>
                <w:rStyle w:val="Hipervnculo"/>
                <w:noProof/>
                <w:color w:val="auto"/>
              </w:rPr>
              <w:t>d) Informe Justificado del Sujeto Obligado</w:t>
            </w:r>
            <w:r w:rsidR="00703703" w:rsidRPr="007E0696">
              <w:rPr>
                <w:noProof/>
                <w:webHidden/>
              </w:rPr>
              <w:tab/>
            </w:r>
            <w:r w:rsidR="00703703" w:rsidRPr="007E0696">
              <w:rPr>
                <w:noProof/>
                <w:webHidden/>
              </w:rPr>
              <w:fldChar w:fldCharType="begin"/>
            </w:r>
            <w:r w:rsidR="00703703" w:rsidRPr="007E0696">
              <w:rPr>
                <w:noProof/>
                <w:webHidden/>
              </w:rPr>
              <w:instrText xml:space="preserve"> PAGEREF _Toc176438496 \h </w:instrText>
            </w:r>
            <w:r w:rsidR="00703703" w:rsidRPr="007E0696">
              <w:rPr>
                <w:noProof/>
                <w:webHidden/>
              </w:rPr>
            </w:r>
            <w:r w:rsidR="00703703" w:rsidRPr="007E0696">
              <w:rPr>
                <w:noProof/>
                <w:webHidden/>
              </w:rPr>
              <w:fldChar w:fldCharType="separate"/>
            </w:r>
            <w:r w:rsidR="00054F37">
              <w:rPr>
                <w:noProof/>
                <w:webHidden/>
              </w:rPr>
              <w:t>6</w:t>
            </w:r>
            <w:r w:rsidR="00703703" w:rsidRPr="007E0696">
              <w:rPr>
                <w:noProof/>
                <w:webHidden/>
              </w:rPr>
              <w:fldChar w:fldCharType="end"/>
            </w:r>
          </w:hyperlink>
        </w:p>
        <w:p w14:paraId="6CE0A392" w14:textId="7EC3458B" w:rsidR="00703703" w:rsidRPr="007E0696" w:rsidRDefault="000E229A" w:rsidP="007E0696">
          <w:pPr>
            <w:pStyle w:val="TDC3"/>
            <w:rPr>
              <w:rFonts w:asciiTheme="minorHAnsi" w:eastAsiaTheme="minorEastAsia" w:hAnsiTheme="minorHAnsi" w:cstheme="minorBidi"/>
              <w:noProof/>
              <w:kern w:val="2"/>
              <w:sz w:val="24"/>
              <w:szCs w:val="24"/>
              <w:lang w:eastAsia="es-MX"/>
              <w14:ligatures w14:val="standardContextual"/>
            </w:rPr>
          </w:pPr>
          <w:hyperlink w:anchor="_Toc176438497" w:history="1">
            <w:r w:rsidR="00703703" w:rsidRPr="007E0696">
              <w:rPr>
                <w:rStyle w:val="Hipervnculo"/>
                <w:rFonts w:eastAsia="Calibri"/>
                <w:bCs/>
                <w:noProof/>
                <w:color w:val="auto"/>
                <w:lang w:eastAsia="en-US"/>
              </w:rPr>
              <w:t>e)</w:t>
            </w:r>
            <w:r w:rsidR="00703703" w:rsidRPr="007E0696">
              <w:rPr>
                <w:rStyle w:val="Hipervnculo"/>
                <w:noProof/>
                <w:color w:val="auto"/>
              </w:rPr>
              <w:t xml:space="preserve"> </w:t>
            </w:r>
            <w:r w:rsidR="00703703" w:rsidRPr="007E0696">
              <w:rPr>
                <w:rStyle w:val="Hipervnculo"/>
                <w:noProof/>
                <w:color w:val="auto"/>
                <w:lang w:val="es-ES"/>
              </w:rPr>
              <w:t>Manifestaciones de la Parte Recurrente</w:t>
            </w:r>
            <w:r w:rsidR="00703703" w:rsidRPr="007E0696">
              <w:rPr>
                <w:noProof/>
                <w:webHidden/>
              </w:rPr>
              <w:tab/>
            </w:r>
            <w:r w:rsidR="00703703" w:rsidRPr="007E0696">
              <w:rPr>
                <w:noProof/>
                <w:webHidden/>
              </w:rPr>
              <w:fldChar w:fldCharType="begin"/>
            </w:r>
            <w:r w:rsidR="00703703" w:rsidRPr="007E0696">
              <w:rPr>
                <w:noProof/>
                <w:webHidden/>
              </w:rPr>
              <w:instrText xml:space="preserve"> PAGEREF _Toc176438497 \h </w:instrText>
            </w:r>
            <w:r w:rsidR="00703703" w:rsidRPr="007E0696">
              <w:rPr>
                <w:noProof/>
                <w:webHidden/>
              </w:rPr>
            </w:r>
            <w:r w:rsidR="00703703" w:rsidRPr="007E0696">
              <w:rPr>
                <w:noProof/>
                <w:webHidden/>
              </w:rPr>
              <w:fldChar w:fldCharType="separate"/>
            </w:r>
            <w:r w:rsidR="00054F37">
              <w:rPr>
                <w:noProof/>
                <w:webHidden/>
              </w:rPr>
              <w:t>6</w:t>
            </w:r>
            <w:r w:rsidR="00703703" w:rsidRPr="007E0696">
              <w:rPr>
                <w:noProof/>
                <w:webHidden/>
              </w:rPr>
              <w:fldChar w:fldCharType="end"/>
            </w:r>
          </w:hyperlink>
        </w:p>
        <w:p w14:paraId="00F00A75" w14:textId="0781128A" w:rsidR="00703703" w:rsidRPr="007E0696" w:rsidRDefault="000E229A" w:rsidP="007E0696">
          <w:pPr>
            <w:pStyle w:val="TDC3"/>
            <w:rPr>
              <w:rFonts w:asciiTheme="minorHAnsi" w:eastAsiaTheme="minorEastAsia" w:hAnsiTheme="minorHAnsi" w:cstheme="minorBidi"/>
              <w:noProof/>
              <w:kern w:val="2"/>
              <w:sz w:val="24"/>
              <w:szCs w:val="24"/>
              <w:lang w:eastAsia="es-MX"/>
              <w14:ligatures w14:val="standardContextual"/>
            </w:rPr>
          </w:pPr>
          <w:hyperlink w:anchor="_Toc176438498" w:history="1">
            <w:r w:rsidR="00703703" w:rsidRPr="007E0696">
              <w:rPr>
                <w:rStyle w:val="Hipervnculo"/>
                <w:noProof/>
                <w:color w:val="auto"/>
              </w:rPr>
              <w:t>f) Cierre de instrucción</w:t>
            </w:r>
            <w:r w:rsidR="00703703" w:rsidRPr="007E0696">
              <w:rPr>
                <w:noProof/>
                <w:webHidden/>
              </w:rPr>
              <w:tab/>
            </w:r>
            <w:r w:rsidR="00703703" w:rsidRPr="007E0696">
              <w:rPr>
                <w:noProof/>
                <w:webHidden/>
              </w:rPr>
              <w:fldChar w:fldCharType="begin"/>
            </w:r>
            <w:r w:rsidR="00703703" w:rsidRPr="007E0696">
              <w:rPr>
                <w:noProof/>
                <w:webHidden/>
              </w:rPr>
              <w:instrText xml:space="preserve"> PAGEREF _Toc176438498 \h </w:instrText>
            </w:r>
            <w:r w:rsidR="00703703" w:rsidRPr="007E0696">
              <w:rPr>
                <w:noProof/>
                <w:webHidden/>
              </w:rPr>
            </w:r>
            <w:r w:rsidR="00703703" w:rsidRPr="007E0696">
              <w:rPr>
                <w:noProof/>
                <w:webHidden/>
              </w:rPr>
              <w:fldChar w:fldCharType="separate"/>
            </w:r>
            <w:r w:rsidR="00054F37">
              <w:rPr>
                <w:noProof/>
                <w:webHidden/>
              </w:rPr>
              <w:t>6</w:t>
            </w:r>
            <w:r w:rsidR="00703703" w:rsidRPr="007E0696">
              <w:rPr>
                <w:noProof/>
                <w:webHidden/>
              </w:rPr>
              <w:fldChar w:fldCharType="end"/>
            </w:r>
          </w:hyperlink>
        </w:p>
        <w:p w14:paraId="13CDEC12" w14:textId="2E215B95" w:rsidR="00703703" w:rsidRPr="007E0696" w:rsidRDefault="000E229A" w:rsidP="007E0696">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76438499" w:history="1">
            <w:r w:rsidR="00703703" w:rsidRPr="007E0696">
              <w:rPr>
                <w:rStyle w:val="Hipervnculo"/>
                <w:rFonts w:eastAsiaTheme="minorHAnsi"/>
                <w:noProof/>
                <w:color w:val="auto"/>
                <w:lang w:eastAsia="en-US"/>
              </w:rPr>
              <w:t>CONSIDERANDOS</w:t>
            </w:r>
            <w:r w:rsidR="00703703" w:rsidRPr="007E0696">
              <w:rPr>
                <w:noProof/>
                <w:webHidden/>
              </w:rPr>
              <w:tab/>
            </w:r>
            <w:r w:rsidR="00703703" w:rsidRPr="007E0696">
              <w:rPr>
                <w:noProof/>
                <w:webHidden/>
              </w:rPr>
              <w:fldChar w:fldCharType="begin"/>
            </w:r>
            <w:r w:rsidR="00703703" w:rsidRPr="007E0696">
              <w:rPr>
                <w:noProof/>
                <w:webHidden/>
              </w:rPr>
              <w:instrText xml:space="preserve"> PAGEREF _Toc176438499 \h </w:instrText>
            </w:r>
            <w:r w:rsidR="00703703" w:rsidRPr="007E0696">
              <w:rPr>
                <w:noProof/>
                <w:webHidden/>
              </w:rPr>
            </w:r>
            <w:r w:rsidR="00703703" w:rsidRPr="007E0696">
              <w:rPr>
                <w:noProof/>
                <w:webHidden/>
              </w:rPr>
              <w:fldChar w:fldCharType="separate"/>
            </w:r>
            <w:r w:rsidR="00054F37">
              <w:rPr>
                <w:noProof/>
                <w:webHidden/>
              </w:rPr>
              <w:t>7</w:t>
            </w:r>
            <w:r w:rsidR="00703703" w:rsidRPr="007E0696">
              <w:rPr>
                <w:noProof/>
                <w:webHidden/>
              </w:rPr>
              <w:fldChar w:fldCharType="end"/>
            </w:r>
          </w:hyperlink>
        </w:p>
        <w:p w14:paraId="5DE61F8B" w14:textId="6FF8D8A0" w:rsidR="00703703" w:rsidRPr="007E0696" w:rsidRDefault="000E229A" w:rsidP="007E0696">
          <w:pPr>
            <w:pStyle w:val="TDC2"/>
            <w:rPr>
              <w:rFonts w:asciiTheme="minorHAnsi" w:eastAsiaTheme="minorEastAsia" w:hAnsiTheme="minorHAnsi" w:cstheme="minorBidi"/>
              <w:noProof/>
              <w:kern w:val="2"/>
              <w:sz w:val="24"/>
              <w:szCs w:val="24"/>
              <w:lang w:eastAsia="es-MX"/>
              <w14:ligatures w14:val="standardContextual"/>
            </w:rPr>
          </w:pPr>
          <w:hyperlink w:anchor="_Toc176438500" w:history="1">
            <w:r w:rsidR="00703703" w:rsidRPr="007E0696">
              <w:rPr>
                <w:rStyle w:val="Hipervnculo"/>
                <w:rFonts w:eastAsia="Batang"/>
                <w:noProof/>
                <w:color w:val="auto"/>
              </w:rPr>
              <w:t>PRIMERO. Procedibilidad</w:t>
            </w:r>
            <w:r w:rsidR="00703703" w:rsidRPr="007E0696">
              <w:rPr>
                <w:noProof/>
                <w:webHidden/>
              </w:rPr>
              <w:tab/>
            </w:r>
            <w:r w:rsidR="00703703" w:rsidRPr="007E0696">
              <w:rPr>
                <w:noProof/>
                <w:webHidden/>
              </w:rPr>
              <w:fldChar w:fldCharType="begin"/>
            </w:r>
            <w:r w:rsidR="00703703" w:rsidRPr="007E0696">
              <w:rPr>
                <w:noProof/>
                <w:webHidden/>
              </w:rPr>
              <w:instrText xml:space="preserve"> PAGEREF _Toc176438500 \h </w:instrText>
            </w:r>
            <w:r w:rsidR="00703703" w:rsidRPr="007E0696">
              <w:rPr>
                <w:noProof/>
                <w:webHidden/>
              </w:rPr>
            </w:r>
            <w:r w:rsidR="00703703" w:rsidRPr="007E0696">
              <w:rPr>
                <w:noProof/>
                <w:webHidden/>
              </w:rPr>
              <w:fldChar w:fldCharType="separate"/>
            </w:r>
            <w:r w:rsidR="00054F37">
              <w:rPr>
                <w:noProof/>
                <w:webHidden/>
              </w:rPr>
              <w:t>7</w:t>
            </w:r>
            <w:r w:rsidR="00703703" w:rsidRPr="007E0696">
              <w:rPr>
                <w:noProof/>
                <w:webHidden/>
              </w:rPr>
              <w:fldChar w:fldCharType="end"/>
            </w:r>
          </w:hyperlink>
        </w:p>
        <w:p w14:paraId="6054F4E4" w14:textId="74D918DE" w:rsidR="00703703" w:rsidRPr="007E0696" w:rsidRDefault="000E229A" w:rsidP="007E0696">
          <w:pPr>
            <w:pStyle w:val="TDC3"/>
            <w:rPr>
              <w:rFonts w:asciiTheme="minorHAnsi" w:eastAsiaTheme="minorEastAsia" w:hAnsiTheme="minorHAnsi" w:cstheme="minorBidi"/>
              <w:noProof/>
              <w:kern w:val="2"/>
              <w:sz w:val="24"/>
              <w:szCs w:val="24"/>
              <w:lang w:eastAsia="es-MX"/>
              <w14:ligatures w14:val="standardContextual"/>
            </w:rPr>
          </w:pPr>
          <w:hyperlink w:anchor="_Toc176438501" w:history="1">
            <w:r w:rsidR="00703703" w:rsidRPr="007E0696">
              <w:rPr>
                <w:rStyle w:val="Hipervnculo"/>
                <w:noProof/>
                <w:color w:val="auto"/>
              </w:rPr>
              <w:t>a) Competencia del Instituto</w:t>
            </w:r>
            <w:r w:rsidR="00703703" w:rsidRPr="007E0696">
              <w:rPr>
                <w:noProof/>
                <w:webHidden/>
              </w:rPr>
              <w:tab/>
            </w:r>
            <w:r w:rsidR="00703703" w:rsidRPr="007E0696">
              <w:rPr>
                <w:noProof/>
                <w:webHidden/>
              </w:rPr>
              <w:fldChar w:fldCharType="begin"/>
            </w:r>
            <w:r w:rsidR="00703703" w:rsidRPr="007E0696">
              <w:rPr>
                <w:noProof/>
                <w:webHidden/>
              </w:rPr>
              <w:instrText xml:space="preserve"> PAGEREF _Toc176438501 \h </w:instrText>
            </w:r>
            <w:r w:rsidR="00703703" w:rsidRPr="007E0696">
              <w:rPr>
                <w:noProof/>
                <w:webHidden/>
              </w:rPr>
            </w:r>
            <w:r w:rsidR="00703703" w:rsidRPr="007E0696">
              <w:rPr>
                <w:noProof/>
                <w:webHidden/>
              </w:rPr>
              <w:fldChar w:fldCharType="separate"/>
            </w:r>
            <w:r w:rsidR="00054F37">
              <w:rPr>
                <w:noProof/>
                <w:webHidden/>
              </w:rPr>
              <w:t>7</w:t>
            </w:r>
            <w:r w:rsidR="00703703" w:rsidRPr="007E0696">
              <w:rPr>
                <w:noProof/>
                <w:webHidden/>
              </w:rPr>
              <w:fldChar w:fldCharType="end"/>
            </w:r>
          </w:hyperlink>
        </w:p>
        <w:p w14:paraId="3643CBCF" w14:textId="3B949DCF" w:rsidR="00703703" w:rsidRPr="007E0696" w:rsidRDefault="000E229A" w:rsidP="007E0696">
          <w:pPr>
            <w:pStyle w:val="TDC3"/>
            <w:rPr>
              <w:rFonts w:asciiTheme="minorHAnsi" w:eastAsiaTheme="minorEastAsia" w:hAnsiTheme="minorHAnsi" w:cstheme="minorBidi"/>
              <w:noProof/>
              <w:kern w:val="2"/>
              <w:sz w:val="24"/>
              <w:szCs w:val="24"/>
              <w:lang w:eastAsia="es-MX"/>
              <w14:ligatures w14:val="standardContextual"/>
            </w:rPr>
          </w:pPr>
          <w:hyperlink w:anchor="_Toc176438502" w:history="1">
            <w:r w:rsidR="00703703" w:rsidRPr="007E0696">
              <w:rPr>
                <w:rStyle w:val="Hipervnculo"/>
                <w:noProof/>
                <w:color w:val="auto"/>
              </w:rPr>
              <w:t>b) Legitimidad de la parte recurrente</w:t>
            </w:r>
            <w:r w:rsidR="00703703" w:rsidRPr="007E0696">
              <w:rPr>
                <w:noProof/>
                <w:webHidden/>
              </w:rPr>
              <w:tab/>
            </w:r>
            <w:r w:rsidR="00703703" w:rsidRPr="007E0696">
              <w:rPr>
                <w:noProof/>
                <w:webHidden/>
              </w:rPr>
              <w:fldChar w:fldCharType="begin"/>
            </w:r>
            <w:r w:rsidR="00703703" w:rsidRPr="007E0696">
              <w:rPr>
                <w:noProof/>
                <w:webHidden/>
              </w:rPr>
              <w:instrText xml:space="preserve"> PAGEREF _Toc176438502 \h </w:instrText>
            </w:r>
            <w:r w:rsidR="00703703" w:rsidRPr="007E0696">
              <w:rPr>
                <w:noProof/>
                <w:webHidden/>
              </w:rPr>
            </w:r>
            <w:r w:rsidR="00703703" w:rsidRPr="007E0696">
              <w:rPr>
                <w:noProof/>
                <w:webHidden/>
              </w:rPr>
              <w:fldChar w:fldCharType="separate"/>
            </w:r>
            <w:r w:rsidR="00054F37">
              <w:rPr>
                <w:noProof/>
                <w:webHidden/>
              </w:rPr>
              <w:t>7</w:t>
            </w:r>
            <w:r w:rsidR="00703703" w:rsidRPr="007E0696">
              <w:rPr>
                <w:noProof/>
                <w:webHidden/>
              </w:rPr>
              <w:fldChar w:fldCharType="end"/>
            </w:r>
          </w:hyperlink>
        </w:p>
        <w:p w14:paraId="61EE9D23" w14:textId="7A8E6938" w:rsidR="00703703" w:rsidRPr="007E0696" w:rsidRDefault="000E229A" w:rsidP="007E0696">
          <w:pPr>
            <w:pStyle w:val="TDC3"/>
            <w:rPr>
              <w:rFonts w:asciiTheme="minorHAnsi" w:eastAsiaTheme="minorEastAsia" w:hAnsiTheme="minorHAnsi" w:cstheme="minorBidi"/>
              <w:noProof/>
              <w:kern w:val="2"/>
              <w:sz w:val="24"/>
              <w:szCs w:val="24"/>
              <w:lang w:eastAsia="es-MX"/>
              <w14:ligatures w14:val="standardContextual"/>
            </w:rPr>
          </w:pPr>
          <w:hyperlink w:anchor="_Toc176438503" w:history="1">
            <w:r w:rsidR="00703703" w:rsidRPr="007E0696">
              <w:rPr>
                <w:rStyle w:val="Hipervnculo"/>
                <w:rFonts w:eastAsia="Calibri"/>
                <w:noProof/>
                <w:color w:val="auto"/>
                <w:lang w:eastAsia="es-ES_tradnl"/>
              </w:rPr>
              <w:t>c) Plazo para interponer el recurso</w:t>
            </w:r>
            <w:r w:rsidR="00703703" w:rsidRPr="007E0696">
              <w:rPr>
                <w:noProof/>
                <w:webHidden/>
              </w:rPr>
              <w:tab/>
            </w:r>
            <w:r w:rsidR="00703703" w:rsidRPr="007E0696">
              <w:rPr>
                <w:noProof/>
                <w:webHidden/>
              </w:rPr>
              <w:fldChar w:fldCharType="begin"/>
            </w:r>
            <w:r w:rsidR="00703703" w:rsidRPr="007E0696">
              <w:rPr>
                <w:noProof/>
                <w:webHidden/>
              </w:rPr>
              <w:instrText xml:space="preserve"> PAGEREF _Toc176438503 \h </w:instrText>
            </w:r>
            <w:r w:rsidR="00703703" w:rsidRPr="007E0696">
              <w:rPr>
                <w:noProof/>
                <w:webHidden/>
              </w:rPr>
            </w:r>
            <w:r w:rsidR="00703703" w:rsidRPr="007E0696">
              <w:rPr>
                <w:noProof/>
                <w:webHidden/>
              </w:rPr>
              <w:fldChar w:fldCharType="separate"/>
            </w:r>
            <w:r w:rsidR="00054F37">
              <w:rPr>
                <w:noProof/>
                <w:webHidden/>
              </w:rPr>
              <w:t>8</w:t>
            </w:r>
            <w:r w:rsidR="00703703" w:rsidRPr="007E0696">
              <w:rPr>
                <w:noProof/>
                <w:webHidden/>
              </w:rPr>
              <w:fldChar w:fldCharType="end"/>
            </w:r>
          </w:hyperlink>
        </w:p>
        <w:p w14:paraId="1A0F38DC" w14:textId="5B4B073E" w:rsidR="00703703" w:rsidRPr="007E0696" w:rsidRDefault="000E229A" w:rsidP="007E0696">
          <w:pPr>
            <w:pStyle w:val="TDC3"/>
            <w:rPr>
              <w:rFonts w:asciiTheme="minorHAnsi" w:eastAsiaTheme="minorEastAsia" w:hAnsiTheme="minorHAnsi" w:cstheme="minorBidi"/>
              <w:noProof/>
              <w:kern w:val="2"/>
              <w:sz w:val="24"/>
              <w:szCs w:val="24"/>
              <w:lang w:eastAsia="es-MX"/>
              <w14:ligatures w14:val="standardContextual"/>
            </w:rPr>
          </w:pPr>
          <w:hyperlink w:anchor="_Toc176438504" w:history="1">
            <w:r w:rsidR="00703703" w:rsidRPr="007E0696">
              <w:rPr>
                <w:rStyle w:val="Hipervnculo"/>
                <w:rFonts w:eastAsia="Calibri"/>
                <w:noProof/>
                <w:color w:val="auto"/>
                <w:lang w:eastAsia="es-ES_tradnl"/>
              </w:rPr>
              <w:t>d) Causal de Procedencia</w:t>
            </w:r>
            <w:r w:rsidR="00703703" w:rsidRPr="007E0696">
              <w:rPr>
                <w:noProof/>
                <w:webHidden/>
              </w:rPr>
              <w:tab/>
            </w:r>
            <w:r w:rsidR="00703703" w:rsidRPr="007E0696">
              <w:rPr>
                <w:noProof/>
                <w:webHidden/>
              </w:rPr>
              <w:fldChar w:fldCharType="begin"/>
            </w:r>
            <w:r w:rsidR="00703703" w:rsidRPr="007E0696">
              <w:rPr>
                <w:noProof/>
                <w:webHidden/>
              </w:rPr>
              <w:instrText xml:space="preserve"> PAGEREF _Toc176438504 \h </w:instrText>
            </w:r>
            <w:r w:rsidR="00703703" w:rsidRPr="007E0696">
              <w:rPr>
                <w:noProof/>
                <w:webHidden/>
              </w:rPr>
            </w:r>
            <w:r w:rsidR="00703703" w:rsidRPr="007E0696">
              <w:rPr>
                <w:noProof/>
                <w:webHidden/>
              </w:rPr>
              <w:fldChar w:fldCharType="separate"/>
            </w:r>
            <w:r w:rsidR="00054F37">
              <w:rPr>
                <w:noProof/>
                <w:webHidden/>
              </w:rPr>
              <w:t>8</w:t>
            </w:r>
            <w:r w:rsidR="00703703" w:rsidRPr="007E0696">
              <w:rPr>
                <w:noProof/>
                <w:webHidden/>
              </w:rPr>
              <w:fldChar w:fldCharType="end"/>
            </w:r>
          </w:hyperlink>
        </w:p>
        <w:p w14:paraId="55050E09" w14:textId="7A3EF61E" w:rsidR="00703703" w:rsidRPr="007E0696" w:rsidRDefault="000E229A" w:rsidP="007E0696">
          <w:pPr>
            <w:pStyle w:val="TDC3"/>
            <w:rPr>
              <w:rFonts w:asciiTheme="minorHAnsi" w:eastAsiaTheme="minorEastAsia" w:hAnsiTheme="minorHAnsi" w:cstheme="minorBidi"/>
              <w:noProof/>
              <w:kern w:val="2"/>
              <w:sz w:val="24"/>
              <w:szCs w:val="24"/>
              <w:lang w:eastAsia="es-MX"/>
              <w14:ligatures w14:val="standardContextual"/>
            </w:rPr>
          </w:pPr>
          <w:hyperlink w:anchor="_Toc176438505" w:history="1">
            <w:r w:rsidR="00703703" w:rsidRPr="007E0696">
              <w:rPr>
                <w:rStyle w:val="Hipervnculo"/>
                <w:noProof/>
                <w:color w:val="auto"/>
              </w:rPr>
              <w:t>e) Requisitos formales para la interposición del recurso</w:t>
            </w:r>
            <w:r w:rsidR="00703703" w:rsidRPr="007E0696">
              <w:rPr>
                <w:noProof/>
                <w:webHidden/>
              </w:rPr>
              <w:tab/>
            </w:r>
            <w:r w:rsidR="00703703" w:rsidRPr="007E0696">
              <w:rPr>
                <w:noProof/>
                <w:webHidden/>
              </w:rPr>
              <w:fldChar w:fldCharType="begin"/>
            </w:r>
            <w:r w:rsidR="00703703" w:rsidRPr="007E0696">
              <w:rPr>
                <w:noProof/>
                <w:webHidden/>
              </w:rPr>
              <w:instrText xml:space="preserve"> PAGEREF _Toc176438505 \h </w:instrText>
            </w:r>
            <w:r w:rsidR="00703703" w:rsidRPr="007E0696">
              <w:rPr>
                <w:noProof/>
                <w:webHidden/>
              </w:rPr>
            </w:r>
            <w:r w:rsidR="00703703" w:rsidRPr="007E0696">
              <w:rPr>
                <w:noProof/>
                <w:webHidden/>
              </w:rPr>
              <w:fldChar w:fldCharType="separate"/>
            </w:r>
            <w:r w:rsidR="00054F37">
              <w:rPr>
                <w:noProof/>
                <w:webHidden/>
              </w:rPr>
              <w:t>8</w:t>
            </w:r>
            <w:r w:rsidR="00703703" w:rsidRPr="007E0696">
              <w:rPr>
                <w:noProof/>
                <w:webHidden/>
              </w:rPr>
              <w:fldChar w:fldCharType="end"/>
            </w:r>
          </w:hyperlink>
        </w:p>
        <w:p w14:paraId="3DF85F5D" w14:textId="6045BC14" w:rsidR="00703703" w:rsidRPr="007E0696" w:rsidRDefault="000E229A" w:rsidP="007E0696">
          <w:pPr>
            <w:pStyle w:val="TDC2"/>
            <w:rPr>
              <w:rFonts w:asciiTheme="minorHAnsi" w:eastAsiaTheme="minorEastAsia" w:hAnsiTheme="minorHAnsi" w:cstheme="minorBidi"/>
              <w:noProof/>
              <w:kern w:val="2"/>
              <w:sz w:val="24"/>
              <w:szCs w:val="24"/>
              <w:lang w:eastAsia="es-MX"/>
              <w14:ligatures w14:val="standardContextual"/>
            </w:rPr>
          </w:pPr>
          <w:hyperlink w:anchor="_Toc176438506" w:history="1">
            <w:r w:rsidR="00703703" w:rsidRPr="007E0696">
              <w:rPr>
                <w:rStyle w:val="Hipervnculo"/>
                <w:noProof/>
                <w:color w:val="auto"/>
              </w:rPr>
              <w:t>SEGUNDO. Estudio de Fondo</w:t>
            </w:r>
            <w:r w:rsidR="00703703" w:rsidRPr="007E0696">
              <w:rPr>
                <w:noProof/>
                <w:webHidden/>
              </w:rPr>
              <w:tab/>
            </w:r>
            <w:r w:rsidR="00703703" w:rsidRPr="007E0696">
              <w:rPr>
                <w:noProof/>
                <w:webHidden/>
              </w:rPr>
              <w:fldChar w:fldCharType="begin"/>
            </w:r>
            <w:r w:rsidR="00703703" w:rsidRPr="007E0696">
              <w:rPr>
                <w:noProof/>
                <w:webHidden/>
              </w:rPr>
              <w:instrText xml:space="preserve"> PAGEREF _Toc176438506 \h </w:instrText>
            </w:r>
            <w:r w:rsidR="00703703" w:rsidRPr="007E0696">
              <w:rPr>
                <w:noProof/>
                <w:webHidden/>
              </w:rPr>
            </w:r>
            <w:r w:rsidR="00703703" w:rsidRPr="007E0696">
              <w:rPr>
                <w:noProof/>
                <w:webHidden/>
              </w:rPr>
              <w:fldChar w:fldCharType="separate"/>
            </w:r>
            <w:r w:rsidR="00054F37">
              <w:rPr>
                <w:noProof/>
                <w:webHidden/>
              </w:rPr>
              <w:t>8</w:t>
            </w:r>
            <w:r w:rsidR="00703703" w:rsidRPr="007E0696">
              <w:rPr>
                <w:noProof/>
                <w:webHidden/>
              </w:rPr>
              <w:fldChar w:fldCharType="end"/>
            </w:r>
          </w:hyperlink>
        </w:p>
        <w:p w14:paraId="7C6F426E" w14:textId="7333354C" w:rsidR="00703703" w:rsidRPr="007E0696" w:rsidRDefault="000E229A" w:rsidP="007E0696">
          <w:pPr>
            <w:pStyle w:val="TDC3"/>
            <w:rPr>
              <w:rFonts w:asciiTheme="minorHAnsi" w:eastAsiaTheme="minorEastAsia" w:hAnsiTheme="minorHAnsi" w:cstheme="minorBidi"/>
              <w:noProof/>
              <w:kern w:val="2"/>
              <w:sz w:val="24"/>
              <w:szCs w:val="24"/>
              <w:lang w:eastAsia="es-MX"/>
              <w14:ligatures w14:val="standardContextual"/>
            </w:rPr>
          </w:pPr>
          <w:hyperlink w:anchor="_Toc176438507" w:history="1">
            <w:r w:rsidR="00703703" w:rsidRPr="007E0696">
              <w:rPr>
                <w:rStyle w:val="Hipervnculo"/>
                <w:noProof/>
                <w:color w:val="auto"/>
              </w:rPr>
              <w:t>a) Mandato de transparencia y responsabilidad del Sujeto Obligado</w:t>
            </w:r>
            <w:r w:rsidR="00703703" w:rsidRPr="007E0696">
              <w:rPr>
                <w:noProof/>
                <w:webHidden/>
              </w:rPr>
              <w:tab/>
            </w:r>
            <w:r w:rsidR="00703703" w:rsidRPr="007E0696">
              <w:rPr>
                <w:noProof/>
                <w:webHidden/>
              </w:rPr>
              <w:fldChar w:fldCharType="begin"/>
            </w:r>
            <w:r w:rsidR="00703703" w:rsidRPr="007E0696">
              <w:rPr>
                <w:noProof/>
                <w:webHidden/>
              </w:rPr>
              <w:instrText xml:space="preserve"> PAGEREF _Toc176438507 \h </w:instrText>
            </w:r>
            <w:r w:rsidR="00703703" w:rsidRPr="007E0696">
              <w:rPr>
                <w:noProof/>
                <w:webHidden/>
              </w:rPr>
            </w:r>
            <w:r w:rsidR="00703703" w:rsidRPr="007E0696">
              <w:rPr>
                <w:noProof/>
                <w:webHidden/>
              </w:rPr>
              <w:fldChar w:fldCharType="separate"/>
            </w:r>
            <w:r w:rsidR="00054F37">
              <w:rPr>
                <w:noProof/>
                <w:webHidden/>
              </w:rPr>
              <w:t>8</w:t>
            </w:r>
            <w:r w:rsidR="00703703" w:rsidRPr="007E0696">
              <w:rPr>
                <w:noProof/>
                <w:webHidden/>
              </w:rPr>
              <w:fldChar w:fldCharType="end"/>
            </w:r>
          </w:hyperlink>
        </w:p>
        <w:p w14:paraId="53547962" w14:textId="714C8AF7" w:rsidR="00703703" w:rsidRPr="007E0696" w:rsidRDefault="000E229A" w:rsidP="007E0696">
          <w:pPr>
            <w:pStyle w:val="TDC3"/>
            <w:rPr>
              <w:rFonts w:asciiTheme="minorHAnsi" w:eastAsiaTheme="minorEastAsia" w:hAnsiTheme="minorHAnsi" w:cstheme="minorBidi"/>
              <w:noProof/>
              <w:kern w:val="2"/>
              <w:sz w:val="24"/>
              <w:szCs w:val="24"/>
              <w:lang w:eastAsia="es-MX"/>
              <w14:ligatures w14:val="standardContextual"/>
            </w:rPr>
          </w:pPr>
          <w:hyperlink w:anchor="_Toc176438508" w:history="1">
            <w:r w:rsidR="00703703" w:rsidRPr="007E0696">
              <w:rPr>
                <w:rStyle w:val="Hipervnculo"/>
                <w:rFonts w:eastAsia="Calibri"/>
                <w:noProof/>
                <w:color w:val="auto"/>
                <w:lang w:eastAsia="es-ES_tradnl"/>
              </w:rPr>
              <w:t>b) Controversia a resolver</w:t>
            </w:r>
            <w:r w:rsidR="00703703" w:rsidRPr="007E0696">
              <w:rPr>
                <w:noProof/>
                <w:webHidden/>
              </w:rPr>
              <w:tab/>
            </w:r>
            <w:r w:rsidR="00703703" w:rsidRPr="007E0696">
              <w:rPr>
                <w:noProof/>
                <w:webHidden/>
              </w:rPr>
              <w:fldChar w:fldCharType="begin"/>
            </w:r>
            <w:r w:rsidR="00703703" w:rsidRPr="007E0696">
              <w:rPr>
                <w:noProof/>
                <w:webHidden/>
              </w:rPr>
              <w:instrText xml:space="preserve"> PAGEREF _Toc176438508 \h </w:instrText>
            </w:r>
            <w:r w:rsidR="00703703" w:rsidRPr="007E0696">
              <w:rPr>
                <w:noProof/>
                <w:webHidden/>
              </w:rPr>
            </w:r>
            <w:r w:rsidR="00703703" w:rsidRPr="007E0696">
              <w:rPr>
                <w:noProof/>
                <w:webHidden/>
              </w:rPr>
              <w:fldChar w:fldCharType="separate"/>
            </w:r>
            <w:r w:rsidR="00054F37">
              <w:rPr>
                <w:noProof/>
                <w:webHidden/>
              </w:rPr>
              <w:t>12</w:t>
            </w:r>
            <w:r w:rsidR="00703703" w:rsidRPr="007E0696">
              <w:rPr>
                <w:noProof/>
                <w:webHidden/>
              </w:rPr>
              <w:fldChar w:fldCharType="end"/>
            </w:r>
          </w:hyperlink>
        </w:p>
        <w:p w14:paraId="6AC19584" w14:textId="3177FE9A" w:rsidR="00703703" w:rsidRPr="007E0696" w:rsidRDefault="000E229A" w:rsidP="007E0696">
          <w:pPr>
            <w:pStyle w:val="TDC3"/>
            <w:rPr>
              <w:rFonts w:asciiTheme="minorHAnsi" w:eastAsiaTheme="minorEastAsia" w:hAnsiTheme="minorHAnsi" w:cstheme="minorBidi"/>
              <w:noProof/>
              <w:kern w:val="2"/>
              <w:sz w:val="24"/>
              <w:szCs w:val="24"/>
              <w:lang w:eastAsia="es-MX"/>
              <w14:ligatures w14:val="standardContextual"/>
            </w:rPr>
          </w:pPr>
          <w:hyperlink w:anchor="_Toc176438509" w:history="1">
            <w:r w:rsidR="00703703" w:rsidRPr="007E0696">
              <w:rPr>
                <w:rStyle w:val="Hipervnculo"/>
                <w:noProof/>
                <w:color w:val="auto"/>
              </w:rPr>
              <w:t>c) Estudio de la controversia</w:t>
            </w:r>
            <w:r w:rsidR="00703703" w:rsidRPr="007E0696">
              <w:rPr>
                <w:noProof/>
                <w:webHidden/>
              </w:rPr>
              <w:tab/>
            </w:r>
            <w:r w:rsidR="00703703" w:rsidRPr="007E0696">
              <w:rPr>
                <w:noProof/>
                <w:webHidden/>
              </w:rPr>
              <w:fldChar w:fldCharType="begin"/>
            </w:r>
            <w:r w:rsidR="00703703" w:rsidRPr="007E0696">
              <w:rPr>
                <w:noProof/>
                <w:webHidden/>
              </w:rPr>
              <w:instrText xml:space="preserve"> PAGEREF _Toc176438509 \h </w:instrText>
            </w:r>
            <w:r w:rsidR="00703703" w:rsidRPr="007E0696">
              <w:rPr>
                <w:noProof/>
                <w:webHidden/>
              </w:rPr>
            </w:r>
            <w:r w:rsidR="00703703" w:rsidRPr="007E0696">
              <w:rPr>
                <w:noProof/>
                <w:webHidden/>
              </w:rPr>
              <w:fldChar w:fldCharType="separate"/>
            </w:r>
            <w:r w:rsidR="00054F37">
              <w:rPr>
                <w:noProof/>
                <w:webHidden/>
              </w:rPr>
              <w:t>13</w:t>
            </w:r>
            <w:r w:rsidR="00703703" w:rsidRPr="007E0696">
              <w:rPr>
                <w:noProof/>
                <w:webHidden/>
              </w:rPr>
              <w:fldChar w:fldCharType="end"/>
            </w:r>
          </w:hyperlink>
        </w:p>
        <w:p w14:paraId="1F91DEE4" w14:textId="70088CBF" w:rsidR="00703703" w:rsidRPr="007E0696" w:rsidRDefault="000E229A" w:rsidP="007E0696">
          <w:pPr>
            <w:pStyle w:val="TDC3"/>
            <w:rPr>
              <w:rFonts w:asciiTheme="minorHAnsi" w:eastAsiaTheme="minorEastAsia" w:hAnsiTheme="minorHAnsi" w:cstheme="minorBidi"/>
              <w:noProof/>
              <w:kern w:val="2"/>
              <w:sz w:val="24"/>
              <w:szCs w:val="24"/>
              <w:lang w:eastAsia="es-MX"/>
              <w14:ligatures w14:val="standardContextual"/>
            </w:rPr>
          </w:pPr>
          <w:hyperlink w:anchor="_Toc176438510" w:history="1">
            <w:r w:rsidR="00703703" w:rsidRPr="007E0696">
              <w:rPr>
                <w:rStyle w:val="Hipervnculo"/>
                <w:noProof/>
                <w:color w:val="auto"/>
              </w:rPr>
              <w:t>d) Conclusión</w:t>
            </w:r>
            <w:r w:rsidR="00703703" w:rsidRPr="007E0696">
              <w:rPr>
                <w:noProof/>
                <w:webHidden/>
              </w:rPr>
              <w:tab/>
            </w:r>
            <w:r w:rsidR="00703703" w:rsidRPr="007E0696">
              <w:rPr>
                <w:noProof/>
                <w:webHidden/>
              </w:rPr>
              <w:fldChar w:fldCharType="begin"/>
            </w:r>
            <w:r w:rsidR="00703703" w:rsidRPr="007E0696">
              <w:rPr>
                <w:noProof/>
                <w:webHidden/>
              </w:rPr>
              <w:instrText xml:space="preserve"> PAGEREF _Toc176438510 \h </w:instrText>
            </w:r>
            <w:r w:rsidR="00703703" w:rsidRPr="007E0696">
              <w:rPr>
                <w:noProof/>
                <w:webHidden/>
              </w:rPr>
            </w:r>
            <w:r w:rsidR="00703703" w:rsidRPr="007E0696">
              <w:rPr>
                <w:noProof/>
                <w:webHidden/>
              </w:rPr>
              <w:fldChar w:fldCharType="separate"/>
            </w:r>
            <w:r w:rsidR="00054F37">
              <w:rPr>
                <w:noProof/>
                <w:webHidden/>
              </w:rPr>
              <w:t>28</w:t>
            </w:r>
            <w:r w:rsidR="00703703" w:rsidRPr="007E0696">
              <w:rPr>
                <w:noProof/>
                <w:webHidden/>
              </w:rPr>
              <w:fldChar w:fldCharType="end"/>
            </w:r>
          </w:hyperlink>
        </w:p>
        <w:p w14:paraId="3A20A6EC" w14:textId="4C3476B2" w:rsidR="00703703" w:rsidRPr="007E0696" w:rsidRDefault="000E229A" w:rsidP="007E0696">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76438511" w:history="1">
            <w:r w:rsidR="00703703" w:rsidRPr="007E0696">
              <w:rPr>
                <w:rStyle w:val="Hipervnculo"/>
                <w:noProof/>
                <w:color w:val="auto"/>
              </w:rPr>
              <w:t>RESUELVE</w:t>
            </w:r>
            <w:r w:rsidR="00703703" w:rsidRPr="007E0696">
              <w:rPr>
                <w:noProof/>
                <w:webHidden/>
              </w:rPr>
              <w:tab/>
            </w:r>
            <w:r w:rsidR="00703703" w:rsidRPr="007E0696">
              <w:rPr>
                <w:noProof/>
                <w:webHidden/>
              </w:rPr>
              <w:fldChar w:fldCharType="begin"/>
            </w:r>
            <w:r w:rsidR="00703703" w:rsidRPr="007E0696">
              <w:rPr>
                <w:noProof/>
                <w:webHidden/>
              </w:rPr>
              <w:instrText xml:space="preserve"> PAGEREF _Toc176438511 \h </w:instrText>
            </w:r>
            <w:r w:rsidR="00703703" w:rsidRPr="007E0696">
              <w:rPr>
                <w:noProof/>
                <w:webHidden/>
              </w:rPr>
            </w:r>
            <w:r w:rsidR="00703703" w:rsidRPr="007E0696">
              <w:rPr>
                <w:noProof/>
                <w:webHidden/>
              </w:rPr>
              <w:fldChar w:fldCharType="separate"/>
            </w:r>
            <w:r w:rsidR="00054F37">
              <w:rPr>
                <w:noProof/>
                <w:webHidden/>
              </w:rPr>
              <w:t>29</w:t>
            </w:r>
            <w:r w:rsidR="00703703" w:rsidRPr="007E0696">
              <w:rPr>
                <w:noProof/>
                <w:webHidden/>
              </w:rPr>
              <w:fldChar w:fldCharType="end"/>
            </w:r>
          </w:hyperlink>
        </w:p>
        <w:p w14:paraId="0C82FD7A" w14:textId="11B07A43" w:rsidR="009B2945" w:rsidRPr="007E0696" w:rsidRDefault="00AE3DA7" w:rsidP="007E0696">
          <w:pPr>
            <w:pStyle w:val="TDC1"/>
            <w:tabs>
              <w:tab w:val="right" w:leader="dot" w:pos="9034"/>
            </w:tabs>
            <w:rPr>
              <w:b/>
              <w:bCs/>
              <w:lang w:val="es-ES"/>
            </w:rPr>
          </w:pPr>
          <w:r w:rsidRPr="007E0696">
            <w:rPr>
              <w:b/>
              <w:bCs/>
              <w:sz w:val="16"/>
              <w:szCs w:val="16"/>
              <w:lang w:val="es-ES"/>
            </w:rPr>
            <w:fldChar w:fldCharType="end"/>
          </w:r>
        </w:p>
      </w:sdtContent>
    </w:sdt>
    <w:p w14:paraId="603A07E2" w14:textId="77777777" w:rsidR="00646436" w:rsidRPr="007E0696" w:rsidRDefault="00646436" w:rsidP="007E0696">
      <w:pPr>
        <w:rPr>
          <w:rFonts w:cs="Tahoma"/>
          <w:szCs w:val="22"/>
        </w:rPr>
        <w:sectPr w:rsidR="00646436" w:rsidRPr="007E0696"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3235E9B" w:rsidR="00775BFC" w:rsidRPr="007E0696" w:rsidRDefault="00775BFC" w:rsidP="007E0696">
      <w:r w:rsidRPr="007E0696">
        <w:lastRenderedPageBreak/>
        <w:t xml:space="preserve">Resolución del Pleno del Instituto de Transparencia, Acceso a la Información Pública y Protección de Datos Personales del Estado de México y Municipios, con domicilio en Metepec, Estado de México, </w:t>
      </w:r>
      <w:r w:rsidR="006B4EDC" w:rsidRPr="007E0696">
        <w:rPr>
          <w:b/>
        </w:rPr>
        <w:t>d</w:t>
      </w:r>
      <w:r w:rsidR="001D103C" w:rsidRPr="007E0696">
        <w:rPr>
          <w:b/>
          <w:bCs/>
        </w:rPr>
        <w:t xml:space="preserve">el </w:t>
      </w:r>
      <w:r w:rsidR="008C322A" w:rsidRPr="007E0696">
        <w:rPr>
          <w:b/>
          <w:bCs/>
        </w:rPr>
        <w:t>once</w:t>
      </w:r>
      <w:r w:rsidR="001D103C" w:rsidRPr="007E0696">
        <w:rPr>
          <w:b/>
          <w:bCs/>
        </w:rPr>
        <w:t xml:space="preserve"> de septiembre</w:t>
      </w:r>
      <w:r w:rsidR="004A4311" w:rsidRPr="007E0696">
        <w:rPr>
          <w:b/>
        </w:rPr>
        <w:t xml:space="preserve"> </w:t>
      </w:r>
      <w:r w:rsidRPr="007E0696">
        <w:rPr>
          <w:b/>
        </w:rPr>
        <w:t xml:space="preserve">de dos mil </w:t>
      </w:r>
      <w:r w:rsidR="004A4311" w:rsidRPr="007E0696">
        <w:rPr>
          <w:b/>
        </w:rPr>
        <w:t>veinticuatro</w:t>
      </w:r>
      <w:r w:rsidRPr="007E0696">
        <w:t>.</w:t>
      </w:r>
    </w:p>
    <w:p w14:paraId="0AF3AAC4" w14:textId="77777777" w:rsidR="00775BFC" w:rsidRPr="007E0696" w:rsidRDefault="00775BFC" w:rsidP="007E0696"/>
    <w:p w14:paraId="40EAE038" w14:textId="7884D377" w:rsidR="00775BFC" w:rsidRPr="007E0696" w:rsidRDefault="00775BFC" w:rsidP="007E0696">
      <w:r w:rsidRPr="007E0696">
        <w:rPr>
          <w:b/>
        </w:rPr>
        <w:t xml:space="preserve">VISTO </w:t>
      </w:r>
      <w:r w:rsidRPr="007E0696">
        <w:t xml:space="preserve">el expediente formado con motivo del Recurso de Revisión </w:t>
      </w:r>
      <w:r w:rsidR="00C56776" w:rsidRPr="007E0696">
        <w:rPr>
          <w:rFonts w:eastAsia="Calibri"/>
          <w:b/>
          <w:lang w:eastAsia="en-US"/>
        </w:rPr>
        <w:t>04887/INFOEM/IP/RR/2024</w:t>
      </w:r>
      <w:r w:rsidR="006C18D8" w:rsidRPr="007E0696">
        <w:rPr>
          <w:rFonts w:eastAsia="Calibri"/>
          <w:b/>
          <w:lang w:eastAsia="en-US"/>
        </w:rPr>
        <w:t xml:space="preserve">, </w:t>
      </w:r>
      <w:r w:rsidRPr="007E0696">
        <w:t xml:space="preserve">interpuesto por </w:t>
      </w:r>
      <w:bookmarkStart w:id="3" w:name="_GoBack"/>
      <w:r w:rsidR="006632A1">
        <w:rPr>
          <w:b/>
          <w:bCs/>
        </w:rPr>
        <w:t>XXXXX XXXXXXXX XXXXX</w:t>
      </w:r>
      <w:bookmarkEnd w:id="3"/>
      <w:r w:rsidR="004A4311" w:rsidRPr="007E0696">
        <w:rPr>
          <w:b/>
          <w:bCs/>
        </w:rPr>
        <w:t xml:space="preserve">, </w:t>
      </w:r>
      <w:r w:rsidRPr="007E0696">
        <w:t xml:space="preserve">a quien en lo subsecuente se le denominará </w:t>
      </w:r>
      <w:r w:rsidRPr="007E0696">
        <w:rPr>
          <w:b/>
          <w:bCs/>
        </w:rPr>
        <w:t>LA PARTE RECURRENTE</w:t>
      </w:r>
      <w:r w:rsidRPr="007E0696">
        <w:t>, en contra de la respuesta emitida por</w:t>
      </w:r>
      <w:r w:rsidR="006C18D8" w:rsidRPr="007E0696">
        <w:t xml:space="preserve"> </w:t>
      </w:r>
      <w:r w:rsidR="00882AFA" w:rsidRPr="007E0696">
        <w:t>el</w:t>
      </w:r>
      <w:r w:rsidRPr="007E0696">
        <w:t xml:space="preserve"> </w:t>
      </w:r>
      <w:r w:rsidR="00C56776" w:rsidRPr="007E0696">
        <w:rPr>
          <w:b/>
          <w:bCs/>
        </w:rPr>
        <w:t>Organismo Público Descentralizado Municipal para la Prestación de Los Servicios de Agua Potable Drenaje y Tratamiento de Aguas Residuales de Almoloya de Juárez</w:t>
      </w:r>
      <w:r w:rsidR="004A4311" w:rsidRPr="007E0696">
        <w:rPr>
          <w:b/>
          <w:bCs/>
        </w:rPr>
        <w:t xml:space="preserve">, </w:t>
      </w:r>
      <w:r w:rsidRPr="007E0696">
        <w:t xml:space="preserve">en adelante </w:t>
      </w:r>
      <w:r w:rsidRPr="007E0696">
        <w:rPr>
          <w:b/>
          <w:bCs/>
        </w:rPr>
        <w:t>EL SUJETO OBLIGADO</w:t>
      </w:r>
      <w:r w:rsidRPr="007E0696">
        <w:rPr>
          <w:rFonts w:eastAsia="Calibri"/>
          <w:lang w:eastAsia="en-US"/>
        </w:rPr>
        <w:t xml:space="preserve">, </w:t>
      </w:r>
      <w:r w:rsidRPr="007E0696">
        <w:t>se emite la presente Resolución con base en los Antecedentes y Considerandos que se exponen a continuación:</w:t>
      </w:r>
    </w:p>
    <w:p w14:paraId="2116968C" w14:textId="77777777" w:rsidR="00775BFC" w:rsidRPr="007E0696" w:rsidRDefault="00775BFC" w:rsidP="007E0696"/>
    <w:p w14:paraId="5A444FB6" w14:textId="639D3567" w:rsidR="00664420" w:rsidRPr="007E0696" w:rsidRDefault="00664420" w:rsidP="007E0696">
      <w:pPr>
        <w:pStyle w:val="Ttulo1"/>
      </w:pPr>
      <w:bookmarkStart w:id="4" w:name="_Toc176438486"/>
      <w:r w:rsidRPr="007E0696">
        <w:t>ANTECEDENTES</w:t>
      </w:r>
      <w:bookmarkEnd w:id="4"/>
    </w:p>
    <w:p w14:paraId="5CB5034E" w14:textId="77777777" w:rsidR="00AC2DB8" w:rsidRPr="007E0696" w:rsidRDefault="00AC2DB8" w:rsidP="007E0696"/>
    <w:p w14:paraId="09B2D38F" w14:textId="6E49D146" w:rsidR="00664420" w:rsidRPr="007E0696" w:rsidRDefault="00E37A3F" w:rsidP="007E0696">
      <w:pPr>
        <w:pStyle w:val="Ttulo2"/>
      </w:pPr>
      <w:bookmarkStart w:id="5" w:name="_Toc176438487"/>
      <w:r w:rsidRPr="007E0696">
        <w:t>DE LA SOLICITUD DE INFORMACIÓN</w:t>
      </w:r>
      <w:bookmarkEnd w:id="5"/>
    </w:p>
    <w:p w14:paraId="7B7535DF" w14:textId="77777777" w:rsidR="00E37A3F" w:rsidRPr="007E0696" w:rsidRDefault="00E37A3F" w:rsidP="007E0696"/>
    <w:p w14:paraId="2C6AD1A5" w14:textId="0405B3CD" w:rsidR="00664420" w:rsidRPr="007E0696" w:rsidRDefault="00E37A3F" w:rsidP="007E0696">
      <w:pPr>
        <w:pStyle w:val="Ttulo3"/>
        <w:spacing w:line="360" w:lineRule="auto"/>
      </w:pPr>
      <w:bookmarkStart w:id="6" w:name="_Toc176438488"/>
      <w:r w:rsidRPr="007E0696">
        <w:t xml:space="preserve">a) </w:t>
      </w:r>
      <w:r w:rsidR="006B10B0" w:rsidRPr="007E0696">
        <w:t>S</w:t>
      </w:r>
      <w:r w:rsidR="00664420" w:rsidRPr="007E0696">
        <w:t xml:space="preserve">olicitud de </w:t>
      </w:r>
      <w:r w:rsidR="006B10B0" w:rsidRPr="007E0696">
        <w:t>i</w:t>
      </w:r>
      <w:r w:rsidR="00664420" w:rsidRPr="007E0696">
        <w:t>nformación</w:t>
      </w:r>
      <w:bookmarkEnd w:id="6"/>
    </w:p>
    <w:p w14:paraId="06DCD29D" w14:textId="3AE0FD8D" w:rsidR="009A2D78" w:rsidRPr="007E0696" w:rsidRDefault="006B10B0" w:rsidP="007E0696">
      <w:pPr>
        <w:pStyle w:val="Prrafodelista"/>
        <w:tabs>
          <w:tab w:val="left" w:pos="0"/>
        </w:tabs>
        <w:ind w:left="0"/>
        <w:contextualSpacing w:val="0"/>
        <w:rPr>
          <w:rFonts w:cs="Tahoma"/>
        </w:rPr>
      </w:pPr>
      <w:r w:rsidRPr="007E0696">
        <w:rPr>
          <w:rFonts w:cs="Tahoma"/>
        </w:rPr>
        <w:t>El</w:t>
      </w:r>
      <w:r w:rsidR="00664420" w:rsidRPr="007E0696">
        <w:rPr>
          <w:rFonts w:cs="Tahoma"/>
        </w:rPr>
        <w:t xml:space="preserve"> </w:t>
      </w:r>
      <w:r w:rsidR="00101924" w:rsidRPr="007E0696">
        <w:rPr>
          <w:rFonts w:cs="Tahoma"/>
          <w:b/>
          <w:bCs/>
        </w:rPr>
        <w:t>primero de julio</w:t>
      </w:r>
      <w:r w:rsidR="006C18D8" w:rsidRPr="007E0696">
        <w:rPr>
          <w:rFonts w:cs="Tahoma"/>
          <w:b/>
          <w:bCs/>
        </w:rPr>
        <w:t xml:space="preserve"> </w:t>
      </w:r>
      <w:r w:rsidR="00664420" w:rsidRPr="007E0696">
        <w:rPr>
          <w:rFonts w:cs="Tahoma"/>
          <w:b/>
          <w:bCs/>
        </w:rPr>
        <w:t xml:space="preserve">de dos mil </w:t>
      </w:r>
      <w:r w:rsidR="004A4311" w:rsidRPr="007E0696">
        <w:rPr>
          <w:rFonts w:cs="Tahoma"/>
          <w:b/>
          <w:bCs/>
        </w:rPr>
        <w:t xml:space="preserve">veinticuatro, </w:t>
      </w:r>
      <w:r w:rsidRPr="007E0696">
        <w:rPr>
          <w:b/>
          <w:bCs/>
        </w:rPr>
        <w:t>LA PARTE RECURRENTE</w:t>
      </w:r>
      <w:r w:rsidR="00664420" w:rsidRPr="007E0696">
        <w:rPr>
          <w:rFonts w:cs="Tahoma"/>
        </w:rPr>
        <w:t xml:space="preserve"> presentó una solicitud de acceso a la información pública </w:t>
      </w:r>
      <w:r w:rsidR="001F3515" w:rsidRPr="007E0696">
        <w:rPr>
          <w:rFonts w:cs="Tahoma"/>
        </w:rPr>
        <w:t xml:space="preserve">ante el </w:t>
      </w:r>
      <w:r w:rsidR="001F3515" w:rsidRPr="007E0696">
        <w:rPr>
          <w:rFonts w:cs="Tahoma"/>
          <w:b/>
          <w:bCs/>
        </w:rPr>
        <w:t>SUJETO OBLIGADO</w:t>
      </w:r>
      <w:r w:rsidR="001F3515" w:rsidRPr="007E0696">
        <w:rPr>
          <w:rFonts w:cs="Tahoma"/>
        </w:rPr>
        <w:t xml:space="preserve"> </w:t>
      </w:r>
      <w:r w:rsidR="00664420" w:rsidRPr="007E0696">
        <w:rPr>
          <w:rFonts w:cs="Tahoma"/>
        </w:rPr>
        <w:t>a través del Sistema de Acceso a la Información Mexiquense</w:t>
      </w:r>
      <w:r w:rsidRPr="007E0696">
        <w:rPr>
          <w:rFonts w:cs="Tahoma"/>
        </w:rPr>
        <w:t xml:space="preserve"> </w:t>
      </w:r>
      <w:r w:rsidR="009A2D78" w:rsidRPr="007E0696">
        <w:rPr>
          <w:rFonts w:cs="Tahoma"/>
          <w:b/>
          <w:bCs/>
        </w:rPr>
        <w:t>(</w:t>
      </w:r>
      <w:r w:rsidRPr="007E0696">
        <w:rPr>
          <w:rFonts w:cs="Tahoma"/>
          <w:b/>
          <w:bCs/>
        </w:rPr>
        <w:t>SAIMEX</w:t>
      </w:r>
      <w:r w:rsidR="009A2D78" w:rsidRPr="007E0696">
        <w:rPr>
          <w:rFonts w:cs="Tahoma"/>
          <w:b/>
          <w:bCs/>
        </w:rPr>
        <w:t>)</w:t>
      </w:r>
      <w:r w:rsidR="009A2D78" w:rsidRPr="007E0696">
        <w:rPr>
          <w:rFonts w:cs="Tahoma"/>
        </w:rPr>
        <w:t>. Dicha solicitud quedó</w:t>
      </w:r>
      <w:r w:rsidRPr="007E0696">
        <w:rPr>
          <w:rFonts w:cs="Tahoma"/>
        </w:rPr>
        <w:t xml:space="preserve"> registrada c</w:t>
      </w:r>
      <w:r w:rsidR="00664420" w:rsidRPr="007E0696">
        <w:rPr>
          <w:rFonts w:cs="Tahoma"/>
        </w:rPr>
        <w:t>on el número de folio</w:t>
      </w:r>
      <w:r w:rsidR="00664420" w:rsidRPr="007E0696">
        <w:rPr>
          <w:rFonts w:cs="Tahoma"/>
          <w:b/>
          <w:bCs/>
        </w:rPr>
        <w:t xml:space="preserve"> </w:t>
      </w:r>
      <w:r w:rsidR="00C56776" w:rsidRPr="007E0696">
        <w:rPr>
          <w:rFonts w:cs="Tahoma"/>
          <w:b/>
          <w:bCs/>
        </w:rPr>
        <w:t>00008/OASALMOJU/IP/2024</w:t>
      </w:r>
      <w:r w:rsidR="00882AFA" w:rsidRPr="007E0696">
        <w:rPr>
          <w:rFonts w:cs="Tahoma"/>
          <w:b/>
          <w:bCs/>
        </w:rPr>
        <w:t xml:space="preserve"> </w:t>
      </w:r>
      <w:r w:rsidR="002A3601" w:rsidRPr="007E0696">
        <w:rPr>
          <w:rFonts w:cs="Tahoma"/>
        </w:rPr>
        <w:t xml:space="preserve">y en ella </w:t>
      </w:r>
      <w:r w:rsidR="009A2D78" w:rsidRPr="007E0696">
        <w:rPr>
          <w:rFonts w:cs="Tahoma"/>
        </w:rPr>
        <w:t>se requirió la siguiente información:</w:t>
      </w:r>
    </w:p>
    <w:p w14:paraId="179FB369" w14:textId="36A92D7A" w:rsidR="00664420" w:rsidRPr="007E0696" w:rsidRDefault="006C18D8" w:rsidP="007E0696">
      <w:pPr>
        <w:pStyle w:val="Puesto"/>
      </w:pPr>
      <w:r w:rsidRPr="007E0696">
        <w:lastRenderedPageBreak/>
        <w:t>“</w:t>
      </w:r>
      <w:r w:rsidR="00101924" w:rsidRPr="007E0696">
        <w:t xml:space="preserve">a) quiero saber </w:t>
      </w:r>
      <w:proofErr w:type="spellStart"/>
      <w:r w:rsidR="00101924" w:rsidRPr="007E0696">
        <w:t>cuantos</w:t>
      </w:r>
      <w:proofErr w:type="spellEnd"/>
      <w:r w:rsidR="00101924" w:rsidRPr="007E0696">
        <w:t xml:space="preserve"> vehículos oficiales tiene el organismo, cuantos </w:t>
      </w:r>
      <w:proofErr w:type="spellStart"/>
      <w:r w:rsidR="00101924" w:rsidRPr="007E0696">
        <w:t>estan</w:t>
      </w:r>
      <w:proofErr w:type="spellEnd"/>
      <w:r w:rsidR="00101924" w:rsidRPr="007E0696">
        <w:t xml:space="preserve"> en desuso, b) Quiero conocer el formato de inventario de </w:t>
      </w:r>
      <w:proofErr w:type="spellStart"/>
      <w:r w:rsidR="00101924" w:rsidRPr="007E0696">
        <w:t>vehiculos</w:t>
      </w:r>
      <w:proofErr w:type="spellEnd"/>
      <w:r w:rsidR="00101924" w:rsidRPr="007E0696">
        <w:t xml:space="preserve"> c) Quiero conocer Cuánto gastan en gasolina de manera mensual del primero de enero de 2024 a la fecha. d) quiero conocer copia de los </w:t>
      </w:r>
      <w:proofErr w:type="spellStart"/>
      <w:r w:rsidR="00101924" w:rsidRPr="007E0696">
        <w:t>los</w:t>
      </w:r>
      <w:proofErr w:type="spellEnd"/>
      <w:r w:rsidR="00101924" w:rsidRPr="007E0696">
        <w:t xml:space="preserve"> vales de gasolina o documento donde se plasme la cantidad y </w:t>
      </w:r>
      <w:proofErr w:type="spellStart"/>
      <w:r w:rsidR="00101924" w:rsidRPr="007E0696">
        <w:t>vehiculo</w:t>
      </w:r>
      <w:proofErr w:type="spellEnd"/>
      <w:r w:rsidR="00101924" w:rsidRPr="007E0696">
        <w:t xml:space="preserve"> que se le asigna dicho combustible. e) quiero saber el kilometraje de cada uno de los </w:t>
      </w:r>
      <w:proofErr w:type="spellStart"/>
      <w:r w:rsidR="00101924" w:rsidRPr="007E0696">
        <w:t>vehiculos</w:t>
      </w:r>
      <w:proofErr w:type="spellEnd"/>
      <w:r w:rsidR="00101924" w:rsidRPr="007E0696">
        <w:t xml:space="preserve"> oficiales del organismo. </w:t>
      </w:r>
      <w:proofErr w:type="gramStart"/>
      <w:r w:rsidR="00101924" w:rsidRPr="007E0696">
        <w:t>f</w:t>
      </w:r>
      <w:proofErr w:type="gramEnd"/>
      <w:r w:rsidR="00101924" w:rsidRPr="007E0696">
        <w:t xml:space="preserve">) quiero saber si el uso de los </w:t>
      </w:r>
      <w:proofErr w:type="spellStart"/>
      <w:r w:rsidR="00101924" w:rsidRPr="007E0696">
        <w:t>vehiculos</w:t>
      </w:r>
      <w:proofErr w:type="spellEnd"/>
      <w:r w:rsidR="00101924" w:rsidRPr="007E0696">
        <w:t xml:space="preserve"> oficiales se ocupan para uso personal, como el permitirse trasladarse de la casa al trabajo y viceversa.</w:t>
      </w:r>
      <w:r w:rsidRPr="007E0696">
        <w:t>”</w:t>
      </w:r>
      <w:r w:rsidR="008C322A" w:rsidRPr="007E0696">
        <w:t xml:space="preserve"> (Sic)</w:t>
      </w:r>
    </w:p>
    <w:p w14:paraId="64B27DE3" w14:textId="77777777" w:rsidR="00664420" w:rsidRPr="007E0696" w:rsidRDefault="00664420" w:rsidP="007E0696">
      <w:pPr>
        <w:tabs>
          <w:tab w:val="left" w:pos="4667"/>
        </w:tabs>
        <w:ind w:left="567" w:right="567"/>
        <w:rPr>
          <w:rFonts w:cs="Tahoma"/>
          <w:bCs/>
          <w:i/>
          <w:szCs w:val="22"/>
        </w:rPr>
      </w:pPr>
    </w:p>
    <w:p w14:paraId="0BD6321D" w14:textId="56D9ABBC" w:rsidR="00664420" w:rsidRPr="007E0696" w:rsidRDefault="009A2D78" w:rsidP="007E0696">
      <w:pPr>
        <w:tabs>
          <w:tab w:val="left" w:pos="4667"/>
        </w:tabs>
        <w:spacing w:after="240"/>
        <w:ind w:left="567" w:right="567"/>
        <w:rPr>
          <w:rFonts w:cs="Tahoma"/>
          <w:bCs/>
          <w:szCs w:val="22"/>
        </w:rPr>
      </w:pPr>
      <w:r w:rsidRPr="007E0696">
        <w:rPr>
          <w:rFonts w:cs="Tahoma"/>
          <w:b/>
          <w:bCs/>
          <w:szCs w:val="22"/>
        </w:rPr>
        <w:t>Modalidad de entrega</w:t>
      </w:r>
      <w:r w:rsidRPr="007E0696">
        <w:rPr>
          <w:rFonts w:cs="Tahoma"/>
          <w:bCs/>
          <w:szCs w:val="22"/>
        </w:rPr>
        <w:t>: a</w:t>
      </w:r>
      <w:r w:rsidR="00664420" w:rsidRPr="007E0696">
        <w:rPr>
          <w:rFonts w:cs="Tahoma"/>
          <w:bCs/>
          <w:i/>
          <w:szCs w:val="22"/>
        </w:rPr>
        <w:t xml:space="preserve"> través del SAIMEX</w:t>
      </w:r>
      <w:r w:rsidRPr="007E0696">
        <w:rPr>
          <w:rFonts w:cs="Tahoma"/>
          <w:bCs/>
          <w:i/>
          <w:szCs w:val="22"/>
        </w:rPr>
        <w:t>.</w:t>
      </w:r>
    </w:p>
    <w:p w14:paraId="18D909E4" w14:textId="313CA028" w:rsidR="006C18D8" w:rsidRPr="007E0696" w:rsidRDefault="006C18D8" w:rsidP="007E0696">
      <w:pPr>
        <w:pStyle w:val="Ttulo3"/>
        <w:spacing w:line="360" w:lineRule="auto"/>
      </w:pPr>
      <w:bookmarkStart w:id="7" w:name="_Toc176438489"/>
      <w:r w:rsidRPr="007E0696">
        <w:t xml:space="preserve">b) </w:t>
      </w:r>
      <w:r w:rsidR="006D4E4A" w:rsidRPr="007E0696">
        <w:t>Turno de la solicitud de información</w:t>
      </w:r>
      <w:bookmarkEnd w:id="7"/>
    </w:p>
    <w:p w14:paraId="0C0A9C1A" w14:textId="37D87743" w:rsidR="006C18D8" w:rsidRPr="007E0696" w:rsidRDefault="006C18D8" w:rsidP="007E0696">
      <w:r w:rsidRPr="007E0696">
        <w:t xml:space="preserve">En cumplimiento al artículo 162 de la Ley de Transparencia y Acceso a la Información Pública del Estado de México y Municipios, el </w:t>
      </w:r>
      <w:r w:rsidR="00101924" w:rsidRPr="007E0696">
        <w:rPr>
          <w:rFonts w:eastAsia="Palatino Linotype" w:cs="Palatino Linotype"/>
          <w:b/>
        </w:rPr>
        <w:t>quince</w:t>
      </w:r>
      <w:r w:rsidR="00882AFA" w:rsidRPr="007E0696">
        <w:rPr>
          <w:rFonts w:eastAsia="Palatino Linotype" w:cs="Palatino Linotype"/>
          <w:b/>
        </w:rPr>
        <w:t xml:space="preserve"> de julio </w:t>
      </w:r>
      <w:r w:rsidRPr="007E0696">
        <w:rPr>
          <w:rFonts w:eastAsia="Palatino Linotype" w:cs="Palatino Linotype"/>
          <w:b/>
        </w:rPr>
        <w:t>de dos mil veinticuatro</w:t>
      </w:r>
      <w:r w:rsidRPr="007E0696">
        <w:t xml:space="preserve">, el Titular de la Unidad de Transparencia del </w:t>
      </w:r>
      <w:r w:rsidRPr="007E0696">
        <w:rPr>
          <w:b/>
        </w:rPr>
        <w:t>SUJETO OBLIGADO</w:t>
      </w:r>
      <w:r w:rsidRPr="007E0696">
        <w:t xml:space="preserve"> turnó la solicitud de información al servidor público habilitado que estimó pertinente.</w:t>
      </w:r>
    </w:p>
    <w:p w14:paraId="6C39A36C" w14:textId="75144809" w:rsidR="006C18D8" w:rsidRPr="007E0696" w:rsidRDefault="006C18D8" w:rsidP="007E0696"/>
    <w:p w14:paraId="1638E505" w14:textId="77777777" w:rsidR="00882AFA" w:rsidRPr="007E0696" w:rsidRDefault="00882AFA" w:rsidP="007E0696">
      <w:pPr>
        <w:pStyle w:val="Ttulo3"/>
      </w:pPr>
      <w:bookmarkStart w:id="8" w:name="_Toc165402857"/>
      <w:bookmarkStart w:id="9" w:name="_Toc176438490"/>
      <w:r w:rsidRPr="007E0696">
        <w:t>c) Prórroga</w:t>
      </w:r>
      <w:bookmarkEnd w:id="8"/>
      <w:bookmarkEnd w:id="9"/>
    </w:p>
    <w:p w14:paraId="672EB6B1" w14:textId="32A6E16A" w:rsidR="00882AFA" w:rsidRPr="007E0696" w:rsidRDefault="00882AFA" w:rsidP="007E0696">
      <w:pPr>
        <w:spacing w:after="240"/>
      </w:pPr>
      <w:r w:rsidRPr="007E0696">
        <w:t xml:space="preserve">De las constancias que obran en el SAIMEX, se advierte que el </w:t>
      </w:r>
      <w:r w:rsidR="00101924" w:rsidRPr="007E0696">
        <w:rPr>
          <w:b/>
          <w:bCs/>
        </w:rPr>
        <w:t>dos de agosto</w:t>
      </w:r>
      <w:r w:rsidRPr="007E0696">
        <w:rPr>
          <w:b/>
          <w:bCs/>
        </w:rPr>
        <w:t xml:space="preserve"> de dos mil </w:t>
      </w:r>
      <w:r w:rsidR="007E0608" w:rsidRPr="007E0696">
        <w:rPr>
          <w:b/>
          <w:bCs/>
        </w:rPr>
        <w:t>veinticuatro</w:t>
      </w:r>
      <w:r w:rsidRPr="007E0696">
        <w:t xml:space="preserve">, </w:t>
      </w:r>
      <w:r w:rsidRPr="007E0696">
        <w:rPr>
          <w:b/>
          <w:bCs/>
        </w:rPr>
        <w:t>EL SUJETO OBLIGADO</w:t>
      </w:r>
      <w:r w:rsidRPr="007E0696">
        <w:t xml:space="preserve"> notificó una prórroga de siete días para dar respuesta a la solicitud de información planteada por </w:t>
      </w:r>
      <w:r w:rsidRPr="007E0696">
        <w:rPr>
          <w:b/>
          <w:bCs/>
        </w:rPr>
        <w:t>LA PARTE RECURRENTE</w:t>
      </w:r>
      <w:r w:rsidRPr="007E0696">
        <w:t>, en los siguientes términos:</w:t>
      </w:r>
    </w:p>
    <w:p w14:paraId="7D42E3AF" w14:textId="77777777" w:rsidR="00101924" w:rsidRPr="007E0696" w:rsidRDefault="00882AFA" w:rsidP="007E0696">
      <w:pPr>
        <w:pStyle w:val="Puesto"/>
        <w:ind w:left="851" w:right="822"/>
      </w:pPr>
      <w:r w:rsidRPr="007E0696">
        <w:t>“</w:t>
      </w:r>
      <w:r w:rsidR="00101924" w:rsidRPr="007E0696">
        <w:t>Folio de la solicitud: 00008/OASALMOJU/IP/2024</w:t>
      </w:r>
    </w:p>
    <w:p w14:paraId="0A25BC8B" w14:textId="77777777" w:rsidR="00101924" w:rsidRPr="007E0696" w:rsidRDefault="00101924" w:rsidP="007E0696">
      <w:pPr>
        <w:pStyle w:val="Puesto"/>
        <w:ind w:left="851" w:right="822"/>
      </w:pPr>
      <w:r w:rsidRPr="007E0696">
        <w:t xml:space="preserve">Con fundamento en el artículo 163 de la Ley de Transparencia y Acceso a la Información Pública del Estado de México y Municipios, se le hace de su </w:t>
      </w:r>
      <w:r w:rsidRPr="007E0696">
        <w:lastRenderedPageBreak/>
        <w:t>conocimiento que el plazo de 15 días hábiles para atender su solicitud de información ha sido prorrogado por 7 días en virtud de las siguientes razones:</w:t>
      </w:r>
    </w:p>
    <w:p w14:paraId="64BEDFA9" w14:textId="77777777" w:rsidR="00101924" w:rsidRPr="007E0696" w:rsidRDefault="00101924" w:rsidP="007E0696">
      <w:pPr>
        <w:pStyle w:val="Puesto"/>
        <w:ind w:left="851" w:right="822"/>
      </w:pPr>
      <w:proofErr w:type="gramStart"/>
      <w:r w:rsidRPr="007E0696">
        <w:t>se</w:t>
      </w:r>
      <w:proofErr w:type="gramEnd"/>
      <w:r w:rsidRPr="007E0696">
        <w:t xml:space="preserve"> aprueba prorroga</w:t>
      </w:r>
    </w:p>
    <w:p w14:paraId="099734F5" w14:textId="77777777" w:rsidR="00101924" w:rsidRPr="007E0696" w:rsidRDefault="00101924" w:rsidP="007E0696">
      <w:pPr>
        <w:pStyle w:val="Puesto"/>
        <w:ind w:left="851" w:right="822"/>
      </w:pPr>
      <w:r w:rsidRPr="007E0696">
        <w:t>Lic. JUAN MARTIN GONZALEZ DE JESUS</w:t>
      </w:r>
    </w:p>
    <w:p w14:paraId="2D3F8088" w14:textId="7E15347B" w:rsidR="007E0608" w:rsidRPr="007E0696" w:rsidRDefault="00101924" w:rsidP="007E0696">
      <w:pPr>
        <w:pStyle w:val="Puesto"/>
        <w:ind w:left="851" w:right="822"/>
      </w:pPr>
      <w:r w:rsidRPr="007E0696">
        <w:t>Responsable de la Unidad de Transparencia</w:t>
      </w:r>
      <w:r w:rsidR="00882AFA" w:rsidRPr="007E0696">
        <w:t>”</w:t>
      </w:r>
      <w:r w:rsidRPr="007E0696">
        <w:t xml:space="preserve"> (Sic)</w:t>
      </w:r>
    </w:p>
    <w:p w14:paraId="0EE9D047" w14:textId="77777777" w:rsidR="00101924" w:rsidRPr="007E0696" w:rsidRDefault="00101924" w:rsidP="007E0696"/>
    <w:p w14:paraId="59C80011" w14:textId="47226E2F" w:rsidR="007E0608" w:rsidRPr="007E0696" w:rsidRDefault="007E0608" w:rsidP="007E0696">
      <w:r w:rsidRPr="007E0696">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w:t>
      </w:r>
      <w:r w:rsidRPr="007E0696">
        <w:rPr>
          <w:b/>
          <w:bCs/>
        </w:rPr>
        <w:t>SAIMEX</w:t>
      </w:r>
      <w:r w:rsidRPr="007E0696">
        <w:t xml:space="preserve"> no se advierte que </w:t>
      </w:r>
      <w:r w:rsidRPr="007E0696">
        <w:rPr>
          <w:b/>
          <w:bCs/>
        </w:rPr>
        <w:t>EL SUJETO OBLIGADO</w:t>
      </w:r>
      <w:r w:rsidRPr="007E0696">
        <w:t xml:space="preserve"> haya acompañó a la solicitud de prórroga el acuerdo mediante el cual el Comité de Transparencia aprobó la ampliación de plazo para dar respuesta a la solicitud de información.</w:t>
      </w:r>
    </w:p>
    <w:p w14:paraId="5CE03F21" w14:textId="77777777" w:rsidR="007E0608" w:rsidRPr="007E0696" w:rsidRDefault="007E0608" w:rsidP="007E0696"/>
    <w:p w14:paraId="3212BA4D" w14:textId="7286823E" w:rsidR="00664420" w:rsidRPr="007E0696" w:rsidRDefault="00882AFA" w:rsidP="007E0696">
      <w:pPr>
        <w:pStyle w:val="Ttulo3"/>
        <w:spacing w:line="360" w:lineRule="auto"/>
        <w:rPr>
          <w:rFonts w:eastAsia="Calibri"/>
          <w:lang w:eastAsia="en-US"/>
        </w:rPr>
      </w:pPr>
      <w:bookmarkStart w:id="10" w:name="_Toc176438491"/>
      <w:r w:rsidRPr="007E0696">
        <w:rPr>
          <w:lang w:val="es-ES"/>
        </w:rPr>
        <w:t>d</w:t>
      </w:r>
      <w:r w:rsidR="00E37A3F" w:rsidRPr="007E0696">
        <w:rPr>
          <w:lang w:val="es-ES"/>
        </w:rPr>
        <w:t xml:space="preserve">) </w:t>
      </w:r>
      <w:r w:rsidR="00664420" w:rsidRPr="007E0696">
        <w:rPr>
          <w:lang w:val="es-ES"/>
        </w:rPr>
        <w:t xml:space="preserve">Respuesta </w:t>
      </w:r>
      <w:r w:rsidR="00664420" w:rsidRPr="007E0696">
        <w:rPr>
          <w:rFonts w:eastAsia="Calibri"/>
          <w:lang w:eastAsia="en-US"/>
        </w:rPr>
        <w:t>del Sujeto Obligado</w:t>
      </w:r>
      <w:bookmarkEnd w:id="10"/>
    </w:p>
    <w:p w14:paraId="79199CC1" w14:textId="484EC96F" w:rsidR="00664420" w:rsidRPr="007E0696" w:rsidRDefault="00664420" w:rsidP="007E0696">
      <w:pPr>
        <w:pStyle w:val="Sinespaciado"/>
        <w:spacing w:line="360" w:lineRule="auto"/>
        <w:rPr>
          <w:lang w:val="es-ES"/>
        </w:rPr>
      </w:pPr>
      <w:r w:rsidRPr="007E0696">
        <w:rPr>
          <w:lang w:val="es-ES"/>
        </w:rPr>
        <w:t xml:space="preserve">El </w:t>
      </w:r>
      <w:r w:rsidR="00101924" w:rsidRPr="007E0696">
        <w:rPr>
          <w:b/>
          <w:bCs/>
          <w:lang w:val="es-ES"/>
        </w:rPr>
        <w:t>catorce</w:t>
      </w:r>
      <w:r w:rsidR="007E0608" w:rsidRPr="007E0696">
        <w:rPr>
          <w:b/>
          <w:bCs/>
          <w:lang w:val="es-ES"/>
        </w:rPr>
        <w:t xml:space="preserve"> de agosto</w:t>
      </w:r>
      <w:r w:rsidR="004A4311" w:rsidRPr="007E0696">
        <w:rPr>
          <w:b/>
          <w:bCs/>
          <w:lang w:val="es-ES"/>
        </w:rPr>
        <w:t xml:space="preserve"> </w:t>
      </w:r>
      <w:r w:rsidRPr="007E0696">
        <w:rPr>
          <w:b/>
          <w:bCs/>
          <w:lang w:val="es-ES"/>
        </w:rPr>
        <w:t xml:space="preserve">de dos mil </w:t>
      </w:r>
      <w:r w:rsidR="004A4311" w:rsidRPr="007E0696">
        <w:rPr>
          <w:b/>
          <w:bCs/>
          <w:lang w:val="es-ES"/>
        </w:rPr>
        <w:t xml:space="preserve">veinticuatro, </w:t>
      </w:r>
      <w:r w:rsidR="00F07EE6" w:rsidRPr="007E0696">
        <w:rPr>
          <w:lang w:val="es-ES"/>
        </w:rPr>
        <w:t xml:space="preserve">el Titular de la Unidad de Transparencia del </w:t>
      </w:r>
      <w:r w:rsidR="00F07EE6" w:rsidRPr="007E0696">
        <w:rPr>
          <w:b/>
          <w:lang w:val="es-ES"/>
        </w:rPr>
        <w:t>SUJETO OBLIGADO</w:t>
      </w:r>
      <w:r w:rsidR="00F07EE6" w:rsidRPr="007E0696">
        <w:rPr>
          <w:lang w:val="es-ES"/>
        </w:rPr>
        <w:t xml:space="preserve"> notificó la siguiente respuesta a través del </w:t>
      </w:r>
      <w:r w:rsidRPr="007E0696">
        <w:rPr>
          <w:lang w:val="es-ES"/>
        </w:rPr>
        <w:t>SAIMEX</w:t>
      </w:r>
      <w:r w:rsidR="00F07EE6" w:rsidRPr="007E0696">
        <w:rPr>
          <w:lang w:val="es-ES"/>
        </w:rPr>
        <w:t>:</w:t>
      </w:r>
    </w:p>
    <w:p w14:paraId="25EF071D" w14:textId="77777777" w:rsidR="006D4E4A" w:rsidRPr="007E0696" w:rsidRDefault="006D4E4A" w:rsidP="007E0696">
      <w:pPr>
        <w:tabs>
          <w:tab w:val="left" w:pos="4667"/>
        </w:tabs>
        <w:ind w:left="567" w:right="567"/>
        <w:rPr>
          <w:rFonts w:cs="Tahoma"/>
          <w:b/>
          <w:bCs/>
        </w:rPr>
      </w:pPr>
    </w:p>
    <w:p w14:paraId="74BA0F55" w14:textId="0237DDB7" w:rsidR="00101924" w:rsidRPr="007E0696" w:rsidRDefault="00886000" w:rsidP="007E0696">
      <w:pPr>
        <w:pStyle w:val="Puesto"/>
        <w:ind w:right="822"/>
      </w:pPr>
      <w:r w:rsidRPr="007E0696">
        <w:t>“</w:t>
      </w:r>
      <w:r w:rsidR="00101924" w:rsidRPr="007E0696">
        <w:t>Folio de la solicitud: 00008/OASALMOJU/IP/2024</w:t>
      </w:r>
    </w:p>
    <w:p w14:paraId="20EB3853" w14:textId="77777777" w:rsidR="00101924" w:rsidRPr="007E0696" w:rsidRDefault="00101924" w:rsidP="007E0696">
      <w:pPr>
        <w:pStyle w:val="Puesto"/>
        <w:ind w:right="822"/>
      </w:pPr>
      <w:r w:rsidRPr="007E0696">
        <w:t>En respuesta a la solicitud recibida, nos permitimos hacer de su conocimiento que con fundamento en el artículo 53, Fracciones: II, V y VI de la Ley de Transparencia y Acceso a la Información Pública del Estado de México y Municipios, le contestamos que:</w:t>
      </w:r>
    </w:p>
    <w:p w14:paraId="7ADC9926" w14:textId="77777777" w:rsidR="00101924" w:rsidRPr="007E0696" w:rsidRDefault="00101924" w:rsidP="007E0696">
      <w:pPr>
        <w:pStyle w:val="Puesto"/>
        <w:ind w:right="822"/>
      </w:pPr>
      <w:proofErr w:type="gramStart"/>
      <w:r w:rsidRPr="007E0696">
        <w:t>se</w:t>
      </w:r>
      <w:proofErr w:type="gramEnd"/>
      <w:r w:rsidRPr="007E0696">
        <w:t xml:space="preserve"> adjunta respuesta</w:t>
      </w:r>
    </w:p>
    <w:p w14:paraId="7BEC2E34" w14:textId="77777777" w:rsidR="00101924" w:rsidRPr="007E0696" w:rsidRDefault="00101924" w:rsidP="007E0696">
      <w:pPr>
        <w:pStyle w:val="Puesto"/>
        <w:ind w:right="822"/>
      </w:pPr>
      <w:r w:rsidRPr="007E0696">
        <w:t>ATENTAMENTE</w:t>
      </w:r>
    </w:p>
    <w:p w14:paraId="042FE73D" w14:textId="2EB57435" w:rsidR="00F07EE6" w:rsidRPr="007E0696" w:rsidRDefault="00101924" w:rsidP="007E0696">
      <w:pPr>
        <w:pStyle w:val="Puesto"/>
        <w:ind w:right="822"/>
      </w:pPr>
      <w:r w:rsidRPr="007E0696">
        <w:t>Lic. JUAN MARTIN GONZALEZ DE JESUS</w:t>
      </w:r>
      <w:r w:rsidR="00886000" w:rsidRPr="007E0696">
        <w:t>”</w:t>
      </w:r>
      <w:r w:rsidR="006D4E4A" w:rsidRPr="007E0696">
        <w:t xml:space="preserve"> (Sic)</w:t>
      </w:r>
    </w:p>
    <w:p w14:paraId="5D11024C" w14:textId="77777777" w:rsidR="00664420" w:rsidRPr="007E0696" w:rsidRDefault="00664420" w:rsidP="007E0696">
      <w:pPr>
        <w:autoSpaceDE w:val="0"/>
        <w:autoSpaceDN w:val="0"/>
        <w:adjustRightInd w:val="0"/>
        <w:ind w:right="-28"/>
        <w:rPr>
          <w:rFonts w:cs="Tahoma"/>
          <w:bCs/>
          <w:szCs w:val="22"/>
        </w:rPr>
      </w:pPr>
    </w:p>
    <w:p w14:paraId="0DCA244D" w14:textId="77777777" w:rsidR="00101924" w:rsidRPr="007E0696" w:rsidRDefault="00F07EE6" w:rsidP="007E0696">
      <w:pPr>
        <w:autoSpaceDE w:val="0"/>
        <w:autoSpaceDN w:val="0"/>
        <w:adjustRightInd w:val="0"/>
        <w:spacing w:after="240"/>
        <w:ind w:right="-28"/>
        <w:rPr>
          <w:rFonts w:cs="Tahoma"/>
          <w:bCs/>
          <w:szCs w:val="22"/>
          <w:lang w:val="es-ES"/>
        </w:rPr>
      </w:pPr>
      <w:r w:rsidRPr="007E0696">
        <w:rPr>
          <w:rFonts w:cs="Tahoma"/>
          <w:bCs/>
          <w:szCs w:val="22"/>
          <w:lang w:val="es-ES"/>
        </w:rPr>
        <w:lastRenderedPageBreak/>
        <w:t xml:space="preserve">Asimismo, </w:t>
      </w:r>
      <w:r w:rsidRPr="007E0696">
        <w:rPr>
          <w:rFonts w:cs="Tahoma"/>
          <w:b/>
          <w:szCs w:val="22"/>
          <w:lang w:val="es-ES"/>
        </w:rPr>
        <w:t xml:space="preserve">EL SUJETO OBLIGADO </w:t>
      </w:r>
      <w:r w:rsidRPr="007E0696">
        <w:rPr>
          <w:rFonts w:cs="Tahoma"/>
          <w:bCs/>
          <w:szCs w:val="22"/>
          <w:lang w:val="es-ES"/>
        </w:rPr>
        <w:t xml:space="preserve">adjuntó a su respuesta </w:t>
      </w:r>
      <w:r w:rsidR="007E0608" w:rsidRPr="007E0696">
        <w:rPr>
          <w:rFonts w:cs="Tahoma"/>
          <w:bCs/>
          <w:szCs w:val="22"/>
          <w:lang w:val="es-ES"/>
        </w:rPr>
        <w:t>l</w:t>
      </w:r>
      <w:r w:rsidR="00101924" w:rsidRPr="007E0696">
        <w:rPr>
          <w:rFonts w:cs="Tahoma"/>
          <w:bCs/>
          <w:szCs w:val="22"/>
          <w:lang w:val="es-ES"/>
        </w:rPr>
        <w:t>os siguientes</w:t>
      </w:r>
      <w:r w:rsidRPr="007E0696">
        <w:rPr>
          <w:rFonts w:cs="Tahoma"/>
          <w:bCs/>
          <w:szCs w:val="22"/>
          <w:lang w:val="es-ES"/>
        </w:rPr>
        <w:t xml:space="preserve"> archivo</w:t>
      </w:r>
      <w:r w:rsidR="00101924" w:rsidRPr="007E0696">
        <w:rPr>
          <w:rFonts w:cs="Tahoma"/>
          <w:bCs/>
          <w:szCs w:val="22"/>
          <w:lang w:val="es-ES"/>
        </w:rPr>
        <w:t>s</w:t>
      </w:r>
      <w:r w:rsidRPr="007E0696">
        <w:rPr>
          <w:rFonts w:cs="Tahoma"/>
          <w:bCs/>
          <w:szCs w:val="22"/>
          <w:lang w:val="es-ES"/>
        </w:rPr>
        <w:t xml:space="preserve"> electrónico</w:t>
      </w:r>
      <w:r w:rsidR="00101924" w:rsidRPr="007E0696">
        <w:rPr>
          <w:rFonts w:cs="Tahoma"/>
          <w:bCs/>
          <w:szCs w:val="22"/>
          <w:lang w:val="es-ES"/>
        </w:rPr>
        <w:t>s:</w:t>
      </w:r>
    </w:p>
    <w:p w14:paraId="1D0C8E62" w14:textId="49B1ED4E" w:rsidR="007E0608" w:rsidRPr="007E0696" w:rsidRDefault="00101924" w:rsidP="007E0696">
      <w:pPr>
        <w:pStyle w:val="Prrafodelista"/>
        <w:numPr>
          <w:ilvl w:val="0"/>
          <w:numId w:val="29"/>
        </w:numPr>
        <w:autoSpaceDE w:val="0"/>
        <w:autoSpaceDN w:val="0"/>
        <w:adjustRightInd w:val="0"/>
        <w:spacing w:after="240"/>
        <w:ind w:right="-28"/>
        <w:rPr>
          <w:rFonts w:cs="Tahoma"/>
          <w:bCs/>
          <w:szCs w:val="22"/>
          <w:lang w:val="es-ES"/>
        </w:rPr>
      </w:pPr>
      <w:r w:rsidRPr="007E0696">
        <w:rPr>
          <w:rFonts w:cs="Tahoma"/>
          <w:b/>
          <w:i/>
          <w:iCs/>
          <w:szCs w:val="22"/>
          <w:lang w:val="es-ES"/>
        </w:rPr>
        <w:t xml:space="preserve">“Respuesta </w:t>
      </w:r>
      <w:proofErr w:type="spellStart"/>
      <w:r w:rsidRPr="007E0696">
        <w:rPr>
          <w:rFonts w:cs="Tahoma"/>
          <w:b/>
          <w:i/>
          <w:iCs/>
          <w:szCs w:val="22"/>
          <w:lang w:val="es-ES"/>
        </w:rPr>
        <w:t>solicitu</w:t>
      </w:r>
      <w:proofErr w:type="spellEnd"/>
      <w:r w:rsidRPr="007E0696">
        <w:rPr>
          <w:rFonts w:cs="Tahoma"/>
          <w:b/>
          <w:i/>
          <w:iCs/>
          <w:szCs w:val="22"/>
          <w:lang w:val="es-ES"/>
        </w:rPr>
        <w:t xml:space="preserve"> 6-7-8-9.pdf”</w:t>
      </w:r>
      <w:r w:rsidRPr="007E0696">
        <w:rPr>
          <w:rFonts w:cs="Tahoma"/>
          <w:b/>
          <w:szCs w:val="22"/>
          <w:lang w:val="es-ES"/>
        </w:rPr>
        <w:t>,</w:t>
      </w:r>
      <w:r w:rsidR="00A529A2" w:rsidRPr="007E0696">
        <w:rPr>
          <w:rFonts w:cs="Tahoma"/>
          <w:b/>
          <w:szCs w:val="22"/>
          <w:lang w:val="es-ES"/>
        </w:rPr>
        <w:t xml:space="preserve"> </w:t>
      </w:r>
      <w:r w:rsidR="00F65C5E" w:rsidRPr="007E0696">
        <w:rPr>
          <w:rFonts w:cs="Tahoma"/>
          <w:bCs/>
          <w:szCs w:val="22"/>
          <w:lang w:val="es-ES"/>
        </w:rPr>
        <w:t>Archivo que consiste en el memorándum DG/DAF/772/2024, del nueve de agosto de dos mil veinticuatro, por medio del cual se da respuesta a diversas solicitudes de información dentro de las cuales se destaca la que nos ocupa, marcada con el número de folio 00008/OASALMOJU/IP/2024, diseminando los puntos peticionados y respondiendo a cada uno de ellos.</w:t>
      </w:r>
    </w:p>
    <w:p w14:paraId="49B50E52" w14:textId="195240DE" w:rsidR="00101924" w:rsidRPr="007E0696" w:rsidRDefault="00101924" w:rsidP="007E0696">
      <w:pPr>
        <w:pStyle w:val="Prrafodelista"/>
        <w:numPr>
          <w:ilvl w:val="0"/>
          <w:numId w:val="29"/>
        </w:numPr>
        <w:autoSpaceDE w:val="0"/>
        <w:autoSpaceDN w:val="0"/>
        <w:adjustRightInd w:val="0"/>
        <w:spacing w:after="240"/>
        <w:ind w:right="-28"/>
        <w:rPr>
          <w:rFonts w:cs="Tahoma"/>
          <w:bCs/>
          <w:szCs w:val="22"/>
          <w:lang w:val="es-ES"/>
        </w:rPr>
      </w:pPr>
      <w:r w:rsidRPr="007E0696">
        <w:rPr>
          <w:rFonts w:cs="Tahoma"/>
          <w:b/>
          <w:i/>
          <w:iCs/>
          <w:szCs w:val="22"/>
          <w:lang w:val="es-ES"/>
        </w:rPr>
        <w:t xml:space="preserve">“respuesta solicitud 8.pdf”, </w:t>
      </w:r>
      <w:r w:rsidR="00A529A2" w:rsidRPr="007E0696">
        <w:rPr>
          <w:rFonts w:cs="Tahoma"/>
          <w:bCs/>
          <w:szCs w:val="22"/>
          <w:lang w:val="es-ES"/>
        </w:rPr>
        <w:t>de cuyo contenido se advierte el oficio sin número del doce de agosto de dos mil veinticuatro, mediante el cual el Coordinador de la Unidad de Transparencia del SUJETO OBLIGADO, remite la información proporcionada por</w:t>
      </w:r>
      <w:r w:rsidR="00F65C5E" w:rsidRPr="007E0696">
        <w:rPr>
          <w:rFonts w:cs="Tahoma"/>
          <w:bCs/>
          <w:szCs w:val="22"/>
          <w:lang w:val="es-ES"/>
        </w:rPr>
        <w:t xml:space="preserve"> la Dirección de Administración y Finanzas a través del memorándum DG/DAF/772/2024.</w:t>
      </w:r>
    </w:p>
    <w:p w14:paraId="5A5DAB9E" w14:textId="77777777" w:rsidR="00E37A3F" w:rsidRPr="007E0696" w:rsidRDefault="00E37A3F" w:rsidP="007E0696">
      <w:pPr>
        <w:pStyle w:val="Ttulo2"/>
        <w:jc w:val="left"/>
      </w:pPr>
      <w:bookmarkStart w:id="11" w:name="_Toc176438492"/>
      <w:r w:rsidRPr="007E0696">
        <w:t>DEL RECURSO DE REVISIÓN</w:t>
      </w:r>
      <w:bookmarkEnd w:id="11"/>
    </w:p>
    <w:p w14:paraId="2B216813" w14:textId="61ADBB2B" w:rsidR="00664420" w:rsidRPr="007E0696" w:rsidRDefault="006E25BC" w:rsidP="007E0696">
      <w:pPr>
        <w:pStyle w:val="Ttulo3"/>
        <w:spacing w:line="360" w:lineRule="auto"/>
      </w:pPr>
      <w:bookmarkStart w:id="12" w:name="_Toc176438493"/>
      <w:r w:rsidRPr="007E0696">
        <w:rPr>
          <w:szCs w:val="32"/>
        </w:rPr>
        <w:t>a)</w:t>
      </w:r>
      <w:r w:rsidRPr="007E0696">
        <w:t xml:space="preserve"> </w:t>
      </w:r>
      <w:r w:rsidR="00664420" w:rsidRPr="007E0696">
        <w:t>Interposición del Recurso de Revisión</w:t>
      </w:r>
      <w:bookmarkEnd w:id="12"/>
    </w:p>
    <w:p w14:paraId="6279C622" w14:textId="1C37F4D9" w:rsidR="00664420" w:rsidRPr="007E0696" w:rsidRDefault="00664420" w:rsidP="007E0696">
      <w:pPr>
        <w:autoSpaceDE w:val="0"/>
        <w:autoSpaceDN w:val="0"/>
        <w:adjustRightInd w:val="0"/>
        <w:ind w:right="-28"/>
        <w:rPr>
          <w:rFonts w:cs="Tahoma"/>
          <w:szCs w:val="22"/>
        </w:rPr>
      </w:pPr>
      <w:r w:rsidRPr="007E0696">
        <w:rPr>
          <w:rFonts w:cs="Tahoma"/>
          <w:szCs w:val="22"/>
        </w:rPr>
        <w:t xml:space="preserve">El </w:t>
      </w:r>
      <w:r w:rsidR="00294C1F" w:rsidRPr="007E0696">
        <w:rPr>
          <w:rFonts w:cs="Tahoma"/>
          <w:b/>
          <w:szCs w:val="22"/>
        </w:rPr>
        <w:t>diecinueve</w:t>
      </w:r>
      <w:r w:rsidR="0049047D" w:rsidRPr="007E0696">
        <w:rPr>
          <w:rFonts w:cs="Tahoma"/>
          <w:b/>
          <w:szCs w:val="22"/>
        </w:rPr>
        <w:t xml:space="preserve"> de agosto</w:t>
      </w:r>
      <w:r w:rsidR="004D0670" w:rsidRPr="007E0696">
        <w:rPr>
          <w:rFonts w:cs="Tahoma"/>
          <w:b/>
          <w:bCs/>
          <w:szCs w:val="22"/>
        </w:rPr>
        <w:t xml:space="preserve"> </w:t>
      </w:r>
      <w:r w:rsidRPr="007E0696">
        <w:rPr>
          <w:rFonts w:cs="Tahoma"/>
          <w:b/>
          <w:bCs/>
          <w:szCs w:val="22"/>
        </w:rPr>
        <w:t xml:space="preserve">de dos mil </w:t>
      </w:r>
      <w:r w:rsidR="004D0670" w:rsidRPr="007E0696">
        <w:rPr>
          <w:rFonts w:cs="Tahoma"/>
          <w:b/>
          <w:bCs/>
          <w:szCs w:val="22"/>
        </w:rPr>
        <w:t xml:space="preserve">veinticuatro </w:t>
      </w:r>
      <w:r w:rsidR="00F75D23" w:rsidRPr="007E0696">
        <w:rPr>
          <w:rFonts w:cs="Tahoma"/>
          <w:b/>
          <w:bCs/>
          <w:szCs w:val="22"/>
        </w:rPr>
        <w:t>LA PARTE RECURRENTE</w:t>
      </w:r>
      <w:r w:rsidR="00F75D23" w:rsidRPr="007E0696">
        <w:rPr>
          <w:rFonts w:cs="Tahoma"/>
          <w:szCs w:val="22"/>
        </w:rPr>
        <w:t xml:space="preserve"> interpuso el recurso de revisión en contra de la respuesta emitida por el </w:t>
      </w:r>
      <w:r w:rsidR="00F75D23" w:rsidRPr="007E0696">
        <w:rPr>
          <w:rFonts w:cs="Tahoma"/>
          <w:b/>
          <w:bCs/>
          <w:szCs w:val="22"/>
        </w:rPr>
        <w:t>SUJETO OBLIGADO</w:t>
      </w:r>
      <w:r w:rsidR="00953430" w:rsidRPr="007E0696">
        <w:rPr>
          <w:rFonts w:cs="Tahoma"/>
          <w:szCs w:val="22"/>
        </w:rPr>
        <w:t xml:space="preserve">, mismo que fue registrado en el </w:t>
      </w:r>
      <w:r w:rsidR="00953430" w:rsidRPr="007E0696">
        <w:rPr>
          <w:rFonts w:cs="Tahoma"/>
          <w:b/>
          <w:bCs/>
          <w:szCs w:val="22"/>
        </w:rPr>
        <w:t>SAIMEX</w:t>
      </w:r>
      <w:r w:rsidR="00953430" w:rsidRPr="007E0696">
        <w:rPr>
          <w:rFonts w:cs="Tahoma"/>
          <w:szCs w:val="22"/>
        </w:rPr>
        <w:t xml:space="preserve"> con el número de expediente </w:t>
      </w:r>
      <w:r w:rsidR="00C56776" w:rsidRPr="007E0696">
        <w:rPr>
          <w:rFonts w:cs="Tahoma"/>
          <w:b/>
          <w:bCs/>
          <w:szCs w:val="22"/>
        </w:rPr>
        <w:t>04887/INFOEM/IP/RR/2024</w:t>
      </w:r>
      <w:r w:rsidR="00953430" w:rsidRPr="007E0696">
        <w:rPr>
          <w:rFonts w:cs="Tahoma"/>
          <w:szCs w:val="22"/>
        </w:rPr>
        <w:t>, y en el cual manifiesta lo siguiente</w:t>
      </w:r>
      <w:r w:rsidRPr="007E0696">
        <w:rPr>
          <w:rFonts w:cs="Tahoma"/>
          <w:szCs w:val="22"/>
        </w:rPr>
        <w:t>:</w:t>
      </w:r>
    </w:p>
    <w:p w14:paraId="74B30008" w14:textId="29B8F3E9" w:rsidR="00664420" w:rsidRPr="007E0696" w:rsidRDefault="00664420" w:rsidP="007E0696">
      <w:pPr>
        <w:tabs>
          <w:tab w:val="left" w:pos="4667"/>
        </w:tabs>
        <w:ind w:right="539"/>
        <w:rPr>
          <w:rFonts w:cs="Tahoma"/>
          <w:szCs w:val="22"/>
        </w:rPr>
      </w:pPr>
    </w:p>
    <w:p w14:paraId="37720BA2" w14:textId="77777777" w:rsidR="00294C1F" w:rsidRPr="007E0696" w:rsidRDefault="00294C1F" w:rsidP="007E0696">
      <w:pPr>
        <w:tabs>
          <w:tab w:val="left" w:pos="4667"/>
        </w:tabs>
        <w:ind w:right="539"/>
        <w:rPr>
          <w:rFonts w:cs="Tahoma"/>
          <w:szCs w:val="22"/>
        </w:rPr>
      </w:pPr>
    </w:p>
    <w:p w14:paraId="12153283" w14:textId="7A3232C3" w:rsidR="00664420" w:rsidRPr="007E0696" w:rsidRDefault="00204AB7" w:rsidP="007E0696">
      <w:pPr>
        <w:tabs>
          <w:tab w:val="left" w:pos="4667"/>
        </w:tabs>
        <w:ind w:left="851" w:right="822"/>
        <w:rPr>
          <w:rFonts w:cs="Tahoma"/>
          <w:b/>
          <w:iCs/>
        </w:rPr>
      </w:pPr>
      <w:r w:rsidRPr="007E0696">
        <w:rPr>
          <w:rFonts w:cs="Tahoma"/>
          <w:b/>
          <w:iCs/>
        </w:rPr>
        <w:lastRenderedPageBreak/>
        <w:t>ACTO IMPUGNADO</w:t>
      </w:r>
    </w:p>
    <w:p w14:paraId="523F8BF4" w14:textId="1580E705" w:rsidR="00664420" w:rsidRPr="007E0696" w:rsidRDefault="00FD5594" w:rsidP="007E0696">
      <w:pPr>
        <w:tabs>
          <w:tab w:val="left" w:pos="4667"/>
        </w:tabs>
        <w:spacing w:after="240" w:line="240" w:lineRule="auto"/>
        <w:ind w:left="851" w:right="822"/>
        <w:rPr>
          <w:rFonts w:cs="Tahoma"/>
          <w:i/>
        </w:rPr>
      </w:pPr>
      <w:r w:rsidRPr="007E0696">
        <w:rPr>
          <w:rFonts w:cs="Tahoma"/>
          <w:bCs/>
          <w:i/>
        </w:rPr>
        <w:t>“</w:t>
      </w:r>
      <w:r w:rsidR="00294C1F" w:rsidRPr="007E0696">
        <w:rPr>
          <w:rFonts w:cs="Tahoma"/>
          <w:bCs/>
          <w:i/>
        </w:rPr>
        <w:t xml:space="preserve">el oficio de respuesta trae información extra que no solicité. </w:t>
      </w:r>
      <w:proofErr w:type="gramStart"/>
      <w:r w:rsidR="00294C1F" w:rsidRPr="007E0696">
        <w:rPr>
          <w:rFonts w:cs="Tahoma"/>
          <w:bCs/>
          <w:i/>
        </w:rPr>
        <w:t>y</w:t>
      </w:r>
      <w:proofErr w:type="gramEnd"/>
      <w:r w:rsidR="00294C1F" w:rsidRPr="007E0696">
        <w:rPr>
          <w:rFonts w:cs="Tahoma"/>
          <w:bCs/>
          <w:i/>
        </w:rPr>
        <w:t xml:space="preserve"> sobre la que solicité </w:t>
      </w:r>
      <w:proofErr w:type="spellStart"/>
      <w:r w:rsidR="00294C1F" w:rsidRPr="007E0696">
        <w:rPr>
          <w:rFonts w:cs="Tahoma"/>
          <w:bCs/>
          <w:i/>
        </w:rPr>
        <w:t>esat</w:t>
      </w:r>
      <w:proofErr w:type="spellEnd"/>
      <w:r w:rsidR="00294C1F" w:rsidRPr="007E0696">
        <w:rPr>
          <w:rFonts w:cs="Tahoma"/>
          <w:bCs/>
          <w:i/>
        </w:rPr>
        <w:t xml:space="preserve"> incompleta.</w:t>
      </w:r>
      <w:r w:rsidRPr="007E0696">
        <w:rPr>
          <w:rFonts w:cs="Tahoma"/>
          <w:b/>
          <w:bCs/>
          <w:i/>
        </w:rPr>
        <w:t xml:space="preserve">” </w:t>
      </w:r>
      <w:r w:rsidRPr="007E0696">
        <w:rPr>
          <w:rFonts w:cs="Tahoma"/>
          <w:i/>
        </w:rPr>
        <w:t>(Sic)</w:t>
      </w:r>
    </w:p>
    <w:p w14:paraId="047D036B" w14:textId="0BE971DA" w:rsidR="00664420" w:rsidRPr="007E0696" w:rsidRDefault="00664420" w:rsidP="007E0696">
      <w:pPr>
        <w:tabs>
          <w:tab w:val="left" w:pos="4667"/>
        </w:tabs>
        <w:ind w:left="851" w:right="822"/>
        <w:rPr>
          <w:rFonts w:cs="Tahoma"/>
          <w:b/>
          <w:iCs/>
        </w:rPr>
      </w:pPr>
      <w:r w:rsidRPr="007E0696">
        <w:rPr>
          <w:rFonts w:cs="Tahoma"/>
          <w:b/>
          <w:iCs/>
        </w:rPr>
        <w:t>RAZONE</w:t>
      </w:r>
      <w:r w:rsidR="00204AB7" w:rsidRPr="007E0696">
        <w:rPr>
          <w:rFonts w:cs="Tahoma"/>
          <w:b/>
          <w:iCs/>
        </w:rPr>
        <w:t>S O MOTIVOS DE LA INCONFORMIDAD</w:t>
      </w:r>
    </w:p>
    <w:p w14:paraId="1DAE2563" w14:textId="0E4FFA3D" w:rsidR="00953430" w:rsidRPr="007E0696" w:rsidRDefault="00FD5594" w:rsidP="007E0696">
      <w:pPr>
        <w:tabs>
          <w:tab w:val="left" w:pos="4667"/>
        </w:tabs>
        <w:spacing w:line="240" w:lineRule="auto"/>
        <w:ind w:left="851" w:right="822"/>
        <w:rPr>
          <w:rFonts w:cs="Tahoma"/>
          <w:bCs/>
          <w:i/>
        </w:rPr>
      </w:pPr>
      <w:r w:rsidRPr="007E0696">
        <w:rPr>
          <w:rFonts w:cs="Tahoma"/>
          <w:bCs/>
          <w:i/>
        </w:rPr>
        <w:t>“</w:t>
      </w:r>
      <w:r w:rsidR="00294C1F" w:rsidRPr="007E0696">
        <w:rPr>
          <w:rFonts w:cs="Tahoma"/>
          <w:bCs/>
          <w:i/>
        </w:rPr>
        <w:t xml:space="preserve">del inciso a) quiero saber </w:t>
      </w:r>
      <w:proofErr w:type="spellStart"/>
      <w:r w:rsidR="00294C1F" w:rsidRPr="007E0696">
        <w:rPr>
          <w:rFonts w:cs="Tahoma"/>
          <w:bCs/>
          <w:i/>
        </w:rPr>
        <w:t>cuantos</w:t>
      </w:r>
      <w:proofErr w:type="spellEnd"/>
      <w:r w:rsidR="00294C1F" w:rsidRPr="007E0696">
        <w:rPr>
          <w:rFonts w:cs="Tahoma"/>
          <w:bCs/>
          <w:i/>
        </w:rPr>
        <w:t xml:space="preserve"> vehículos oficiales tiene el organismo, cuantos </w:t>
      </w:r>
      <w:proofErr w:type="spellStart"/>
      <w:r w:rsidR="00294C1F" w:rsidRPr="007E0696">
        <w:rPr>
          <w:rFonts w:cs="Tahoma"/>
          <w:bCs/>
          <w:i/>
        </w:rPr>
        <w:t>estan</w:t>
      </w:r>
      <w:proofErr w:type="spellEnd"/>
      <w:r w:rsidR="00294C1F" w:rsidRPr="007E0696">
        <w:rPr>
          <w:rFonts w:cs="Tahoma"/>
          <w:bCs/>
          <w:i/>
        </w:rPr>
        <w:t xml:space="preserve"> en desuso</w:t>
      </w:r>
      <w:proofErr w:type="gramStart"/>
      <w:r w:rsidR="00294C1F" w:rsidRPr="007E0696">
        <w:rPr>
          <w:rFonts w:cs="Tahoma"/>
          <w:bCs/>
          <w:i/>
        </w:rPr>
        <w:t>,:</w:t>
      </w:r>
      <w:proofErr w:type="gramEnd"/>
      <w:r w:rsidR="00294C1F" w:rsidRPr="007E0696">
        <w:rPr>
          <w:rFonts w:cs="Tahoma"/>
          <w:bCs/>
          <w:i/>
        </w:rPr>
        <w:t xml:space="preserve"> no me dicen </w:t>
      </w:r>
      <w:proofErr w:type="spellStart"/>
      <w:r w:rsidR="00294C1F" w:rsidRPr="007E0696">
        <w:rPr>
          <w:rFonts w:cs="Tahoma"/>
          <w:bCs/>
          <w:i/>
        </w:rPr>
        <w:t>cuantos</w:t>
      </w:r>
      <w:proofErr w:type="spellEnd"/>
      <w:r w:rsidR="00294C1F" w:rsidRPr="007E0696">
        <w:rPr>
          <w:rFonts w:cs="Tahoma"/>
          <w:bCs/>
          <w:i/>
        </w:rPr>
        <w:t xml:space="preserve"> vehículos tiene el organismo. </w:t>
      </w:r>
      <w:proofErr w:type="gramStart"/>
      <w:r w:rsidR="00294C1F" w:rsidRPr="007E0696">
        <w:rPr>
          <w:rFonts w:cs="Tahoma"/>
          <w:bCs/>
          <w:i/>
        </w:rPr>
        <w:t>del</w:t>
      </w:r>
      <w:proofErr w:type="gramEnd"/>
      <w:r w:rsidR="00294C1F" w:rsidRPr="007E0696">
        <w:rPr>
          <w:rFonts w:cs="Tahoma"/>
          <w:bCs/>
          <w:i/>
        </w:rPr>
        <w:t xml:space="preserve"> inciso b) Quiero conocer el formato de inventario de </w:t>
      </w:r>
      <w:proofErr w:type="spellStart"/>
      <w:r w:rsidR="00294C1F" w:rsidRPr="007E0696">
        <w:rPr>
          <w:rFonts w:cs="Tahoma"/>
          <w:bCs/>
          <w:i/>
        </w:rPr>
        <w:t>vehiculos</w:t>
      </w:r>
      <w:proofErr w:type="spellEnd"/>
      <w:r w:rsidR="00294C1F" w:rsidRPr="007E0696">
        <w:rPr>
          <w:rFonts w:cs="Tahoma"/>
          <w:bCs/>
          <w:i/>
        </w:rPr>
        <w:t>: No me dan la información ya que no viene un formato adjunto (solo uno de bienes muebles).</w:t>
      </w:r>
      <w:r w:rsidRPr="007E0696">
        <w:rPr>
          <w:rFonts w:cs="Tahoma"/>
          <w:bCs/>
          <w:i/>
        </w:rPr>
        <w:t>”(Sic)</w:t>
      </w:r>
    </w:p>
    <w:p w14:paraId="04C38A0B" w14:textId="77777777" w:rsidR="00204AB7" w:rsidRPr="007E0696" w:rsidRDefault="00204AB7" w:rsidP="007E0696">
      <w:pPr>
        <w:tabs>
          <w:tab w:val="left" w:pos="4667"/>
        </w:tabs>
        <w:spacing w:line="240" w:lineRule="auto"/>
        <w:ind w:left="851" w:right="822"/>
        <w:rPr>
          <w:rFonts w:cs="Tahoma"/>
          <w:bCs/>
          <w:i/>
        </w:rPr>
      </w:pPr>
    </w:p>
    <w:p w14:paraId="6804DEF1" w14:textId="3C4F6CB5" w:rsidR="00664420" w:rsidRPr="007E0696" w:rsidRDefault="006E25BC" w:rsidP="007E0696">
      <w:pPr>
        <w:pStyle w:val="Ttulo3"/>
        <w:spacing w:line="360" w:lineRule="auto"/>
      </w:pPr>
      <w:bookmarkStart w:id="13" w:name="_Toc176438494"/>
      <w:r w:rsidRPr="007E0696">
        <w:t>b</w:t>
      </w:r>
      <w:r w:rsidR="00664420" w:rsidRPr="007E0696">
        <w:t>) Turno del Recurso de Revisión</w:t>
      </w:r>
      <w:bookmarkEnd w:id="13"/>
    </w:p>
    <w:p w14:paraId="1173671B" w14:textId="5DED5780" w:rsidR="00C72DAA" w:rsidRPr="007E0696" w:rsidRDefault="00C72DAA" w:rsidP="007E0696">
      <w:r w:rsidRPr="007E0696">
        <w:t>Con fundamento en el artículo 185, fracción I de la Ley de Transparencia y Acceso a la Información Pública del Estado de México y Municipios, el</w:t>
      </w:r>
      <w:r w:rsidRPr="007E0696">
        <w:rPr>
          <w:b/>
          <w:bCs/>
        </w:rPr>
        <w:t xml:space="preserve"> </w:t>
      </w:r>
      <w:r w:rsidR="00294C1F" w:rsidRPr="007E0696">
        <w:rPr>
          <w:rFonts w:eastAsia="Palatino Linotype" w:cs="Palatino Linotype"/>
          <w:b/>
        </w:rPr>
        <w:t>diecinueve</w:t>
      </w:r>
      <w:r w:rsidR="0019420D" w:rsidRPr="007E0696">
        <w:rPr>
          <w:rFonts w:eastAsia="Palatino Linotype" w:cs="Palatino Linotype"/>
          <w:b/>
        </w:rPr>
        <w:t xml:space="preserve"> de agosto</w:t>
      </w:r>
      <w:r w:rsidR="007B190D" w:rsidRPr="007E0696">
        <w:rPr>
          <w:rFonts w:eastAsia="Palatino Linotype" w:cs="Palatino Linotype"/>
          <w:b/>
        </w:rPr>
        <w:t xml:space="preserve"> </w:t>
      </w:r>
      <w:r w:rsidRPr="007E0696">
        <w:rPr>
          <w:rFonts w:eastAsia="Palatino Linotype" w:cs="Palatino Linotype"/>
          <w:b/>
        </w:rPr>
        <w:t xml:space="preserve">de dos mil </w:t>
      </w:r>
      <w:r w:rsidR="007B190D" w:rsidRPr="007E0696">
        <w:rPr>
          <w:rFonts w:eastAsia="Palatino Linotype" w:cs="Palatino Linotype"/>
          <w:b/>
        </w:rPr>
        <w:t>veinticuatro</w:t>
      </w:r>
      <w:r w:rsidRPr="007E0696">
        <w:t xml:space="preserve"> se turnó el recurso de revisión a través del</w:t>
      </w:r>
      <w:r w:rsidRPr="007E0696">
        <w:rPr>
          <w:rFonts w:eastAsia="Arial Unicode MS"/>
        </w:rPr>
        <w:t xml:space="preserve"> </w:t>
      </w:r>
      <w:r w:rsidRPr="007E0696">
        <w:rPr>
          <w:rFonts w:eastAsia="Arial Unicode MS"/>
          <w:bCs/>
        </w:rPr>
        <w:t>SAIMEX</w:t>
      </w:r>
      <w:r w:rsidRPr="007E0696">
        <w:t xml:space="preserve"> a la </w:t>
      </w:r>
      <w:r w:rsidRPr="007E0696">
        <w:rPr>
          <w:b/>
        </w:rPr>
        <w:t>Comisionada Sharon Cristina Morales Martínez</w:t>
      </w:r>
      <w:r w:rsidRPr="007E0696">
        <w:rPr>
          <w:bCs/>
        </w:rPr>
        <w:t xml:space="preserve">, </w:t>
      </w:r>
      <w:r w:rsidRPr="007E0696">
        <w:t xml:space="preserve">a efecto de decretar su admisión o </w:t>
      </w:r>
      <w:proofErr w:type="spellStart"/>
      <w:r w:rsidRPr="007E0696">
        <w:t>desechamiento</w:t>
      </w:r>
      <w:proofErr w:type="spellEnd"/>
      <w:r w:rsidRPr="007E0696">
        <w:t xml:space="preserve">. </w:t>
      </w:r>
    </w:p>
    <w:p w14:paraId="18F305CB" w14:textId="77777777" w:rsidR="00664420" w:rsidRPr="007E0696" w:rsidRDefault="00664420" w:rsidP="007E0696">
      <w:pPr>
        <w:rPr>
          <w:rFonts w:eastAsia="Batang" w:cs="Tahoma"/>
          <w:bCs/>
          <w:szCs w:val="22"/>
        </w:rPr>
      </w:pPr>
    </w:p>
    <w:p w14:paraId="3E31EC2D" w14:textId="295256A1" w:rsidR="00664420" w:rsidRPr="007E0696" w:rsidRDefault="006E25BC" w:rsidP="007E0696">
      <w:pPr>
        <w:pStyle w:val="Ttulo3"/>
        <w:spacing w:line="360" w:lineRule="auto"/>
      </w:pPr>
      <w:bookmarkStart w:id="14" w:name="_Toc176438495"/>
      <w:r w:rsidRPr="007E0696">
        <w:t>c</w:t>
      </w:r>
      <w:r w:rsidR="00664420" w:rsidRPr="007E0696">
        <w:t>) Admisión del Recurso de Revisión</w:t>
      </w:r>
      <w:bookmarkEnd w:id="14"/>
    </w:p>
    <w:p w14:paraId="240447D5" w14:textId="5A5A326C" w:rsidR="000E09C4" w:rsidRPr="007E0696" w:rsidRDefault="000E09C4" w:rsidP="007E0696">
      <w:pPr>
        <w:rPr>
          <w:rFonts w:cs="Arial"/>
        </w:rPr>
      </w:pPr>
      <w:r w:rsidRPr="007E0696">
        <w:rPr>
          <w:rFonts w:cs="Arial"/>
        </w:rPr>
        <w:t xml:space="preserve">El </w:t>
      </w:r>
      <w:r w:rsidR="00294C1F" w:rsidRPr="007E0696">
        <w:rPr>
          <w:rFonts w:eastAsia="Palatino Linotype" w:cs="Palatino Linotype"/>
          <w:b/>
        </w:rPr>
        <w:t>veintisiete</w:t>
      </w:r>
      <w:r w:rsidR="0019420D" w:rsidRPr="007E0696">
        <w:rPr>
          <w:rFonts w:eastAsia="Palatino Linotype" w:cs="Palatino Linotype"/>
          <w:b/>
        </w:rPr>
        <w:t xml:space="preserve"> de agosto</w:t>
      </w:r>
      <w:r w:rsidR="007B190D" w:rsidRPr="007E0696">
        <w:rPr>
          <w:rFonts w:eastAsia="Palatino Linotype" w:cs="Palatino Linotype"/>
          <w:b/>
        </w:rPr>
        <w:t xml:space="preserve"> </w:t>
      </w:r>
      <w:r w:rsidRPr="007E0696">
        <w:rPr>
          <w:rFonts w:eastAsia="Palatino Linotype" w:cs="Palatino Linotype"/>
          <w:b/>
        </w:rPr>
        <w:t xml:space="preserve">de dos mil </w:t>
      </w:r>
      <w:r w:rsidR="007B190D" w:rsidRPr="007E0696">
        <w:rPr>
          <w:rFonts w:eastAsia="Palatino Linotype" w:cs="Palatino Linotype"/>
          <w:b/>
        </w:rPr>
        <w:t>veinticuatro</w:t>
      </w:r>
      <w:r w:rsidR="007B190D" w:rsidRPr="007E0696">
        <w:t xml:space="preserve"> </w:t>
      </w:r>
      <w:r w:rsidRPr="007E0696">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7E0696">
        <w:rPr>
          <w:rFonts w:cs="Arial"/>
        </w:rPr>
        <w:t>, fracción II</w:t>
      </w:r>
      <w:r w:rsidRPr="007E0696">
        <w:rPr>
          <w:rFonts w:cs="Arial"/>
        </w:rPr>
        <w:t xml:space="preserve"> de la Ley de Transparencia y Acceso a la Información Pública del Estado de México y Municipios.</w:t>
      </w:r>
    </w:p>
    <w:p w14:paraId="13FFC192" w14:textId="77777777" w:rsidR="0019420D" w:rsidRPr="007E0696" w:rsidRDefault="0019420D" w:rsidP="007E0696">
      <w:pPr>
        <w:rPr>
          <w:rFonts w:cs="Arial"/>
        </w:rPr>
      </w:pPr>
    </w:p>
    <w:p w14:paraId="3B820F58" w14:textId="30905F08" w:rsidR="00865CF4" w:rsidRPr="007E0696" w:rsidRDefault="007B190D" w:rsidP="007E0696">
      <w:pPr>
        <w:pStyle w:val="Ttulo3"/>
        <w:spacing w:line="360" w:lineRule="auto"/>
      </w:pPr>
      <w:bookmarkStart w:id="15" w:name="_Toc176438496"/>
      <w:r w:rsidRPr="007E0696">
        <w:lastRenderedPageBreak/>
        <w:t>d</w:t>
      </w:r>
      <w:r w:rsidR="00664420" w:rsidRPr="007E0696">
        <w:t xml:space="preserve">) </w:t>
      </w:r>
      <w:r w:rsidR="00865CF4" w:rsidRPr="007E0696">
        <w:t>Informe Justificado del Sujeto Obligado</w:t>
      </w:r>
      <w:bookmarkEnd w:id="15"/>
    </w:p>
    <w:p w14:paraId="4F6784D4" w14:textId="77777777" w:rsidR="0019420D" w:rsidRPr="007E0696" w:rsidRDefault="0019420D" w:rsidP="007E0696">
      <w:pPr>
        <w:rPr>
          <w:rFonts w:eastAsia="Arial Unicode MS" w:cs="Arial"/>
        </w:rPr>
      </w:pPr>
      <w:r w:rsidRPr="007E0696">
        <w:rPr>
          <w:rFonts w:cs="Tahoma"/>
          <w:b/>
          <w:szCs w:val="24"/>
        </w:rPr>
        <w:t xml:space="preserve">EL SUJETO OBLIGADO </w:t>
      </w:r>
      <w:r w:rsidRPr="007E0696">
        <w:rPr>
          <w:rFonts w:eastAsia="Arial Unicode MS" w:cs="Arial"/>
        </w:rPr>
        <w:t>no rindió su informe justificado dentro del término legalmente concedido para tal efecto.</w:t>
      </w:r>
    </w:p>
    <w:p w14:paraId="66BA6FC7" w14:textId="77777777" w:rsidR="00865CF4" w:rsidRPr="007E0696" w:rsidRDefault="00865CF4" w:rsidP="007E0696">
      <w:pPr>
        <w:rPr>
          <w:rFonts w:cs="Tahoma"/>
          <w:bCs/>
          <w:szCs w:val="24"/>
        </w:rPr>
      </w:pPr>
    </w:p>
    <w:p w14:paraId="755B7730" w14:textId="1B2B08C0" w:rsidR="00664420" w:rsidRPr="007E0696" w:rsidRDefault="007B190D" w:rsidP="007E0696">
      <w:pPr>
        <w:pStyle w:val="Ttulo3"/>
        <w:spacing w:line="360" w:lineRule="auto"/>
        <w:rPr>
          <w:lang w:val="es-ES"/>
        </w:rPr>
      </w:pPr>
      <w:bookmarkStart w:id="16" w:name="_Toc176438497"/>
      <w:r w:rsidRPr="007E0696">
        <w:rPr>
          <w:rFonts w:eastAsia="Calibri"/>
          <w:bCs/>
          <w:lang w:eastAsia="en-US"/>
        </w:rPr>
        <w:t>e</w:t>
      </w:r>
      <w:r w:rsidR="00664420" w:rsidRPr="007E0696">
        <w:rPr>
          <w:rFonts w:eastAsia="Calibri"/>
          <w:bCs/>
          <w:lang w:eastAsia="en-US"/>
        </w:rPr>
        <w:t>)</w:t>
      </w:r>
      <w:r w:rsidR="00664420" w:rsidRPr="007E0696">
        <w:t xml:space="preserve"> </w:t>
      </w:r>
      <w:r w:rsidR="00865CF4" w:rsidRPr="007E0696">
        <w:rPr>
          <w:lang w:val="es-ES"/>
        </w:rPr>
        <w:t>Manifestaciones de la Parte Recurrente</w:t>
      </w:r>
      <w:bookmarkEnd w:id="16"/>
    </w:p>
    <w:p w14:paraId="4E8AF011" w14:textId="77777777" w:rsidR="00865CF4" w:rsidRPr="007E0696" w:rsidRDefault="00865CF4" w:rsidP="007E0696">
      <w:pPr>
        <w:rPr>
          <w:rFonts w:eastAsia="Arial Unicode MS" w:cs="Arial"/>
        </w:rPr>
      </w:pPr>
      <w:r w:rsidRPr="007E0696">
        <w:rPr>
          <w:rFonts w:cs="Tahoma"/>
          <w:b/>
          <w:szCs w:val="24"/>
        </w:rPr>
        <w:t xml:space="preserve">LA PARTE RECURRENTE </w:t>
      </w:r>
      <w:r w:rsidRPr="007E0696">
        <w:rPr>
          <w:rFonts w:eastAsia="Arial Unicode MS" w:cs="Arial"/>
        </w:rPr>
        <w:t>no realizó manifestación alguna dentro del término legalmente concedido para tal efecto, ni presentó pruebas o alegatos.</w:t>
      </w:r>
    </w:p>
    <w:p w14:paraId="182367ED" w14:textId="77777777" w:rsidR="00BD6444" w:rsidRPr="007E0696" w:rsidRDefault="00BD6444" w:rsidP="007E0696">
      <w:pPr>
        <w:rPr>
          <w:rFonts w:eastAsia="Arial Unicode MS" w:cs="Arial"/>
        </w:rPr>
      </w:pPr>
    </w:p>
    <w:p w14:paraId="0E651988" w14:textId="4F0870CA" w:rsidR="00664420" w:rsidRPr="007E0696" w:rsidRDefault="0019420D" w:rsidP="007E0696">
      <w:pPr>
        <w:pStyle w:val="Ttulo3"/>
        <w:spacing w:line="360" w:lineRule="auto"/>
      </w:pPr>
      <w:bookmarkStart w:id="17" w:name="_Toc176438498"/>
      <w:r w:rsidRPr="007E0696">
        <w:t>f</w:t>
      </w:r>
      <w:r w:rsidR="00664420" w:rsidRPr="007E0696">
        <w:t>) Cierre de instrucción</w:t>
      </w:r>
      <w:bookmarkEnd w:id="17"/>
    </w:p>
    <w:p w14:paraId="79AF95DC" w14:textId="6C68944B" w:rsidR="00664420" w:rsidRPr="007E0696" w:rsidRDefault="00BF091A" w:rsidP="007E0696">
      <w:pPr>
        <w:rPr>
          <w:rFonts w:cs="Tahoma"/>
          <w:b/>
          <w:szCs w:val="22"/>
        </w:rPr>
      </w:pPr>
      <w:r w:rsidRPr="007E0696">
        <w:rPr>
          <w:rFonts w:cs="Tahoma"/>
          <w:szCs w:val="22"/>
        </w:rPr>
        <w:t>Al no existir diligencias pendientes por desahogar</w:t>
      </w:r>
      <w:r w:rsidRPr="007E0696">
        <w:rPr>
          <w:rFonts w:cs="Arial"/>
        </w:rPr>
        <w:t xml:space="preserve">, el </w:t>
      </w:r>
      <w:r w:rsidR="00294C1F" w:rsidRPr="007E0696">
        <w:rPr>
          <w:rFonts w:cs="Arial"/>
          <w:b/>
        </w:rPr>
        <w:t>diez</w:t>
      </w:r>
      <w:r w:rsidR="0019420D" w:rsidRPr="007E0696">
        <w:rPr>
          <w:rFonts w:cs="Arial"/>
          <w:b/>
        </w:rPr>
        <w:t xml:space="preserve"> </w:t>
      </w:r>
      <w:r w:rsidR="00B527DF" w:rsidRPr="007E0696">
        <w:rPr>
          <w:rFonts w:cs="Arial"/>
          <w:b/>
        </w:rPr>
        <w:t>de septiembre</w:t>
      </w:r>
      <w:r w:rsidR="00FD5594" w:rsidRPr="007E0696">
        <w:rPr>
          <w:rFonts w:cs="Arial"/>
          <w:b/>
        </w:rPr>
        <w:t xml:space="preserve"> de dos mil veinticuatro,</w:t>
      </w:r>
      <w:r w:rsidR="007B190D" w:rsidRPr="007E0696">
        <w:rPr>
          <w:rFonts w:cs="Arial"/>
          <w:b/>
        </w:rPr>
        <w:t xml:space="preserve"> </w:t>
      </w:r>
      <w:r w:rsidRPr="007E0696">
        <w:rPr>
          <w:rFonts w:cs="Arial"/>
        </w:rPr>
        <w:t xml:space="preserve">la </w:t>
      </w:r>
      <w:r w:rsidRPr="007E0696">
        <w:rPr>
          <w:rFonts w:cs="Arial"/>
          <w:b/>
          <w:bCs/>
        </w:rPr>
        <w:t xml:space="preserve">Comisionada </w:t>
      </w:r>
      <w:r w:rsidRPr="007E0696">
        <w:rPr>
          <w:b/>
        </w:rPr>
        <w:t xml:space="preserve">Sharon Cristina Morales Martínez </w:t>
      </w:r>
      <w:r w:rsidRPr="007E0696">
        <w:rPr>
          <w:rFonts w:cs="Arial"/>
        </w:rPr>
        <w:t>acordó el cierre de instrucción</w:t>
      </w:r>
      <w:r w:rsidR="0011350D" w:rsidRPr="007E0696">
        <w:rPr>
          <w:rFonts w:cs="Arial"/>
        </w:rPr>
        <w:t xml:space="preserve"> y</w:t>
      </w:r>
      <w:r w:rsidRPr="007E0696">
        <w:rPr>
          <w:rFonts w:cs="Arial"/>
        </w:rPr>
        <w:t xml:space="preserve"> </w:t>
      </w:r>
      <w:r w:rsidR="0011350D" w:rsidRPr="007E0696">
        <w:rPr>
          <w:rFonts w:cs="Arial"/>
        </w:rPr>
        <w:t xml:space="preserve">la </w:t>
      </w:r>
      <w:r w:rsidRPr="007E0696">
        <w:rPr>
          <w:rFonts w:cs="Arial"/>
        </w:rPr>
        <w:t>remisión del expediente a efecto de ser resuelto, de conformidad con lo establecido en el artículo 185 fracciones VI y VIII de la Ley de Transparencia y Acceso a la Información Pública del Estado de México y Municipios</w:t>
      </w:r>
      <w:r w:rsidRPr="007E0696">
        <w:t>.</w:t>
      </w:r>
      <w:r w:rsidR="0011350D" w:rsidRPr="007E0696">
        <w:t xml:space="preserve"> Dicho acuerdo </w:t>
      </w:r>
      <w:r w:rsidR="00664420" w:rsidRPr="007E0696">
        <w:rPr>
          <w:rFonts w:cs="Tahoma"/>
          <w:szCs w:val="22"/>
        </w:rPr>
        <w:t xml:space="preserve">fue notificado a las partes el mismo día a través del </w:t>
      </w:r>
      <w:r w:rsidR="00664420" w:rsidRPr="007E0696">
        <w:rPr>
          <w:rFonts w:cs="Tahoma"/>
          <w:b/>
          <w:szCs w:val="22"/>
          <w:lang w:val="es-ES"/>
        </w:rPr>
        <w:t>SAIMEX</w:t>
      </w:r>
      <w:r w:rsidR="00664420" w:rsidRPr="007E0696">
        <w:rPr>
          <w:rFonts w:cs="Tahoma"/>
          <w:b/>
          <w:szCs w:val="22"/>
        </w:rPr>
        <w:t>.</w:t>
      </w:r>
    </w:p>
    <w:p w14:paraId="030E0127" w14:textId="4B4EEB0B" w:rsidR="00294C1F" w:rsidRPr="007E0696" w:rsidRDefault="00294C1F" w:rsidP="007E0696">
      <w:pPr>
        <w:rPr>
          <w:rFonts w:cs="Tahoma"/>
          <w:b/>
          <w:szCs w:val="22"/>
        </w:rPr>
      </w:pPr>
    </w:p>
    <w:p w14:paraId="2D9BCF7B" w14:textId="4D735AEE" w:rsidR="00294C1F" w:rsidRPr="007E0696" w:rsidRDefault="00294C1F" w:rsidP="007E0696">
      <w:pPr>
        <w:rPr>
          <w:rFonts w:cs="Tahoma"/>
          <w:b/>
          <w:szCs w:val="22"/>
        </w:rPr>
      </w:pPr>
    </w:p>
    <w:p w14:paraId="5D742D9B" w14:textId="4D0688A5" w:rsidR="00294C1F" w:rsidRPr="007E0696" w:rsidRDefault="00294C1F" w:rsidP="007E0696">
      <w:pPr>
        <w:rPr>
          <w:rFonts w:cs="Tahoma"/>
          <w:b/>
          <w:szCs w:val="22"/>
        </w:rPr>
      </w:pPr>
    </w:p>
    <w:p w14:paraId="0EB50D04" w14:textId="77777777" w:rsidR="00294C1F" w:rsidRPr="007E0696" w:rsidRDefault="00294C1F" w:rsidP="007E0696"/>
    <w:p w14:paraId="741683E3" w14:textId="77777777" w:rsidR="0011350D" w:rsidRPr="007E0696" w:rsidRDefault="0011350D" w:rsidP="007E0696">
      <w:pPr>
        <w:rPr>
          <w:rFonts w:cs="Tahoma"/>
          <w:szCs w:val="22"/>
        </w:rPr>
      </w:pPr>
    </w:p>
    <w:p w14:paraId="7A9629DE" w14:textId="77777777" w:rsidR="00664420" w:rsidRPr="007E0696" w:rsidRDefault="00664420" w:rsidP="007E0696">
      <w:pPr>
        <w:pStyle w:val="Ttulo1"/>
        <w:rPr>
          <w:rFonts w:eastAsiaTheme="minorHAnsi"/>
          <w:lang w:eastAsia="en-US"/>
        </w:rPr>
      </w:pPr>
      <w:bookmarkStart w:id="18" w:name="_Toc176438499"/>
      <w:r w:rsidRPr="007E0696">
        <w:rPr>
          <w:rFonts w:eastAsiaTheme="minorHAnsi"/>
          <w:lang w:eastAsia="en-US"/>
        </w:rPr>
        <w:lastRenderedPageBreak/>
        <w:t>CONSIDERANDOS</w:t>
      </w:r>
      <w:bookmarkEnd w:id="18"/>
    </w:p>
    <w:p w14:paraId="6DD1243B" w14:textId="77777777" w:rsidR="00664420" w:rsidRPr="007E0696" w:rsidRDefault="00664420" w:rsidP="007E0696">
      <w:pPr>
        <w:contextualSpacing/>
        <w:jc w:val="center"/>
        <w:rPr>
          <w:rFonts w:eastAsiaTheme="minorHAnsi" w:cs="Tahoma"/>
          <w:b/>
          <w:szCs w:val="22"/>
          <w:lang w:eastAsia="en-US"/>
        </w:rPr>
      </w:pPr>
    </w:p>
    <w:p w14:paraId="0B67CB92" w14:textId="2E307D3B" w:rsidR="00664420" w:rsidRPr="007E0696" w:rsidRDefault="00664420" w:rsidP="007E0696">
      <w:pPr>
        <w:pStyle w:val="Ttulo2"/>
        <w:rPr>
          <w:rFonts w:eastAsia="Batang"/>
        </w:rPr>
      </w:pPr>
      <w:bookmarkStart w:id="19" w:name="_Toc176438500"/>
      <w:r w:rsidRPr="007E0696">
        <w:rPr>
          <w:rFonts w:eastAsia="Batang"/>
        </w:rPr>
        <w:t xml:space="preserve">PRIMERO. </w:t>
      </w:r>
      <w:proofErr w:type="spellStart"/>
      <w:r w:rsidR="00BA55A8" w:rsidRPr="007E0696">
        <w:rPr>
          <w:rFonts w:eastAsia="Batang"/>
        </w:rPr>
        <w:t>Procedibilidad</w:t>
      </w:r>
      <w:bookmarkEnd w:id="19"/>
      <w:proofErr w:type="spellEnd"/>
    </w:p>
    <w:p w14:paraId="39C52BC1" w14:textId="56FCC20D" w:rsidR="00BA55A8" w:rsidRPr="007E0696" w:rsidRDefault="00BA55A8" w:rsidP="007E0696">
      <w:pPr>
        <w:pStyle w:val="Ttulo3"/>
        <w:spacing w:line="360" w:lineRule="auto"/>
      </w:pPr>
      <w:bookmarkStart w:id="20" w:name="_Toc176438501"/>
      <w:r w:rsidRPr="007E0696">
        <w:t>a) Competencia</w:t>
      </w:r>
      <w:r w:rsidR="00150C49" w:rsidRPr="007E0696">
        <w:t xml:space="preserve"> del Instituto</w:t>
      </w:r>
      <w:bookmarkEnd w:id="20"/>
    </w:p>
    <w:p w14:paraId="56E64942" w14:textId="6572EDF7" w:rsidR="0011350D" w:rsidRPr="007E0696" w:rsidRDefault="0011350D" w:rsidP="007E0696">
      <w:pPr>
        <w:rPr>
          <w:rFonts w:cs="Arial"/>
        </w:rPr>
      </w:pPr>
      <w:r w:rsidRPr="007E0696">
        <w:t xml:space="preserve">Este Instituto de Transparencia, Acceso a la Información Pública y Protección de Datos Personales del Estado de México y Municipios es competente para conocer y resolver </w:t>
      </w:r>
      <w:r w:rsidR="005F65B7" w:rsidRPr="007E0696">
        <w:t xml:space="preserve">el </w:t>
      </w:r>
      <w:r w:rsidRPr="007E0696">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E0696">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7E0696" w:rsidRDefault="00DB1C09" w:rsidP="007E0696">
      <w:pPr>
        <w:rPr>
          <w:rFonts w:cs="Arial"/>
        </w:rPr>
      </w:pPr>
    </w:p>
    <w:p w14:paraId="517A2DD6" w14:textId="4169BE4D" w:rsidR="00664420" w:rsidRPr="007E0696" w:rsidRDefault="00BA55A8" w:rsidP="007E0696">
      <w:pPr>
        <w:pStyle w:val="Ttulo3"/>
        <w:spacing w:line="360" w:lineRule="auto"/>
      </w:pPr>
      <w:bookmarkStart w:id="21" w:name="_Toc176438502"/>
      <w:r w:rsidRPr="007E0696">
        <w:t>b)</w:t>
      </w:r>
      <w:r w:rsidR="00664420" w:rsidRPr="007E0696">
        <w:t xml:space="preserve"> </w:t>
      </w:r>
      <w:r w:rsidR="00D91CB4" w:rsidRPr="007E0696">
        <w:t>Legitimidad</w:t>
      </w:r>
      <w:r w:rsidRPr="007E0696">
        <w:t xml:space="preserve"> de la parte recurrente</w:t>
      </w:r>
      <w:bookmarkEnd w:id="21"/>
    </w:p>
    <w:p w14:paraId="26FEA382" w14:textId="0B06695C" w:rsidR="00D91CB4" w:rsidRPr="007E0696" w:rsidRDefault="00D91CB4" w:rsidP="007E0696">
      <w:pPr>
        <w:rPr>
          <w:rFonts w:cs="Arial"/>
          <w:bCs/>
        </w:rPr>
      </w:pPr>
      <w:r w:rsidRPr="007E0696">
        <w:rPr>
          <w:rFonts w:cs="Arial"/>
          <w:bCs/>
        </w:rPr>
        <w:t>El recurso de revisión fue interpuesto por parte legítima, ya que se presentó por la misma persona que formuló la solicitud de acceso a la Información Pública,</w:t>
      </w:r>
      <w:r w:rsidRPr="007E0696">
        <w:rPr>
          <w:rFonts w:cs="Arial"/>
          <w:b/>
          <w:bCs/>
        </w:rPr>
        <w:t xml:space="preserve"> </w:t>
      </w:r>
      <w:r w:rsidRPr="007E0696">
        <w:rPr>
          <w:rFonts w:cs="Arial"/>
        </w:rPr>
        <w:t>debido a que los datos de acceso</w:t>
      </w:r>
      <w:r w:rsidRPr="007E0696">
        <w:rPr>
          <w:rFonts w:cs="Arial"/>
          <w:b/>
          <w:bCs/>
        </w:rPr>
        <w:t xml:space="preserve"> </w:t>
      </w:r>
      <w:r w:rsidRPr="007E0696">
        <w:rPr>
          <w:rFonts w:cs="Arial"/>
          <w:b/>
        </w:rPr>
        <w:t>SAIMEX</w:t>
      </w:r>
      <w:r w:rsidRPr="007E0696">
        <w:rPr>
          <w:rFonts w:eastAsia="Calibri" w:cs="Arial"/>
          <w:lang w:eastAsia="en-US"/>
        </w:rPr>
        <w:t xml:space="preserve"> son personales e irrepetibles.</w:t>
      </w:r>
    </w:p>
    <w:p w14:paraId="2C367810" w14:textId="77777777" w:rsidR="00D91CB4" w:rsidRPr="007E0696" w:rsidRDefault="00D91CB4" w:rsidP="007E0696"/>
    <w:p w14:paraId="496490FC" w14:textId="1A5F3FDB" w:rsidR="00D91CB4" w:rsidRPr="007E0696" w:rsidRDefault="00BA55A8" w:rsidP="007E0696">
      <w:pPr>
        <w:pStyle w:val="Ttulo3"/>
        <w:spacing w:line="360" w:lineRule="auto"/>
        <w:rPr>
          <w:rFonts w:eastAsia="Calibri"/>
          <w:lang w:eastAsia="es-ES_tradnl"/>
        </w:rPr>
      </w:pPr>
      <w:bookmarkStart w:id="22" w:name="_Toc176438503"/>
      <w:r w:rsidRPr="007E0696">
        <w:rPr>
          <w:rFonts w:eastAsia="Calibri"/>
          <w:lang w:eastAsia="es-ES_tradnl"/>
        </w:rPr>
        <w:lastRenderedPageBreak/>
        <w:t>c)</w:t>
      </w:r>
      <w:r w:rsidR="00664420" w:rsidRPr="007E0696">
        <w:rPr>
          <w:rFonts w:eastAsia="Calibri"/>
          <w:lang w:eastAsia="es-ES_tradnl"/>
        </w:rPr>
        <w:t xml:space="preserve"> </w:t>
      </w:r>
      <w:r w:rsidR="00D91CB4" w:rsidRPr="007E0696">
        <w:rPr>
          <w:rFonts w:eastAsia="Calibri"/>
          <w:lang w:eastAsia="es-ES_tradnl"/>
        </w:rPr>
        <w:t>Plazo para interponer el recurso</w:t>
      </w:r>
      <w:bookmarkEnd w:id="22"/>
    </w:p>
    <w:p w14:paraId="106D37EE" w14:textId="2E6207FA" w:rsidR="00D91CB4" w:rsidRPr="007E0696" w:rsidRDefault="00D91CB4" w:rsidP="007E0696">
      <w:pPr>
        <w:rPr>
          <w:rFonts w:eastAsiaTheme="minorEastAsia" w:cs="Arial"/>
          <w:lang w:val="es-ES_tradnl"/>
        </w:rPr>
      </w:pPr>
      <w:r w:rsidRPr="007E0696">
        <w:rPr>
          <w:rFonts w:cs="Arial"/>
          <w:b/>
        </w:rPr>
        <w:t>EL SUJETO OBLIGADO</w:t>
      </w:r>
      <w:r w:rsidRPr="007E0696">
        <w:rPr>
          <w:rFonts w:cs="Arial"/>
        </w:rPr>
        <w:t xml:space="preserve"> notificó la respuesta a la solicitud de acceso a la Información Pública el </w:t>
      </w:r>
      <w:r w:rsidR="003162E4" w:rsidRPr="007E0696">
        <w:rPr>
          <w:rFonts w:eastAsia="Palatino Linotype" w:cs="Palatino Linotype"/>
          <w:b/>
        </w:rPr>
        <w:t>catorce</w:t>
      </w:r>
      <w:r w:rsidR="0019420D" w:rsidRPr="007E0696">
        <w:rPr>
          <w:rFonts w:eastAsia="Palatino Linotype" w:cs="Palatino Linotype"/>
          <w:b/>
        </w:rPr>
        <w:t xml:space="preserve"> de agosto</w:t>
      </w:r>
      <w:r w:rsidR="00F00891" w:rsidRPr="007E0696">
        <w:rPr>
          <w:rFonts w:eastAsia="Palatino Linotype" w:cs="Palatino Linotype"/>
          <w:b/>
        </w:rPr>
        <w:t xml:space="preserve"> </w:t>
      </w:r>
      <w:r w:rsidRPr="007E0696">
        <w:rPr>
          <w:rFonts w:eastAsia="Palatino Linotype" w:cs="Palatino Linotype"/>
          <w:b/>
        </w:rPr>
        <w:t xml:space="preserve">de dos mil </w:t>
      </w:r>
      <w:r w:rsidR="00F00891" w:rsidRPr="007E0696">
        <w:rPr>
          <w:rFonts w:eastAsia="Palatino Linotype" w:cs="Palatino Linotype"/>
          <w:b/>
        </w:rPr>
        <w:t>veinticuatro</w:t>
      </w:r>
      <w:r w:rsidR="00F00891" w:rsidRPr="007E0696">
        <w:t xml:space="preserve"> </w:t>
      </w:r>
      <w:r w:rsidR="00A53315" w:rsidRPr="007E0696">
        <w:rPr>
          <w:rFonts w:cs="Arial"/>
        </w:rPr>
        <w:t xml:space="preserve">y el recurso </w:t>
      </w:r>
      <w:r w:rsidR="00A53315" w:rsidRPr="007E0696">
        <w:rPr>
          <w:rFonts w:eastAsia="Palatino Linotype" w:cs="Palatino Linotype"/>
        </w:rPr>
        <w:t xml:space="preserve">que nos ocupa se interpuso el </w:t>
      </w:r>
      <w:r w:rsidR="003162E4" w:rsidRPr="007E0696">
        <w:rPr>
          <w:rFonts w:eastAsia="Palatino Linotype" w:cs="Palatino Linotype"/>
          <w:b/>
        </w:rPr>
        <w:t>diecinueve</w:t>
      </w:r>
      <w:r w:rsidR="0019420D" w:rsidRPr="007E0696">
        <w:rPr>
          <w:rFonts w:eastAsia="Palatino Linotype" w:cs="Palatino Linotype"/>
          <w:b/>
        </w:rPr>
        <w:t xml:space="preserve"> de agosto de dos mil </w:t>
      </w:r>
      <w:r w:rsidR="003162E4" w:rsidRPr="007E0696">
        <w:rPr>
          <w:rFonts w:eastAsia="Palatino Linotype" w:cs="Palatino Linotype"/>
          <w:b/>
        </w:rPr>
        <w:t>veinticuatro</w:t>
      </w:r>
      <w:r w:rsidR="00F00891" w:rsidRPr="007E0696">
        <w:rPr>
          <w:rFonts w:eastAsia="Palatino Linotype" w:cs="Palatino Linotype"/>
          <w:b/>
        </w:rPr>
        <w:t>;</w:t>
      </w:r>
      <w:r w:rsidR="00F00891" w:rsidRPr="007E0696">
        <w:t xml:space="preserve"> </w:t>
      </w:r>
      <w:r w:rsidR="00A53315" w:rsidRPr="007E0696">
        <w:rPr>
          <w:rFonts w:eastAsia="Palatino Linotype" w:cs="Palatino Linotype"/>
        </w:rPr>
        <w:t xml:space="preserve">por lo tanto, éste se encuentra dentro del margen temporal previsto en el artículo 178 de la </w:t>
      </w:r>
      <w:r w:rsidR="00A53315" w:rsidRPr="007E0696">
        <w:rPr>
          <w:rFonts w:cs="Arial"/>
        </w:rPr>
        <w:t>Ley de Transparencia y Acceso a la Información Pública del Estado de México y Municipios</w:t>
      </w:r>
      <w:r w:rsidR="00CB7E9A" w:rsidRPr="007E0696">
        <w:rPr>
          <w:rFonts w:eastAsiaTheme="minorEastAsia" w:cs="Arial"/>
          <w:lang w:val="es-ES_tradnl"/>
        </w:rPr>
        <w:t>.</w:t>
      </w:r>
    </w:p>
    <w:p w14:paraId="49076992" w14:textId="77777777" w:rsidR="00D91CB4" w:rsidRPr="007E0696" w:rsidRDefault="00D91CB4" w:rsidP="007E0696">
      <w:pPr>
        <w:rPr>
          <w:rFonts w:eastAsia="Palatino Linotype" w:cs="Palatino Linotype"/>
        </w:rPr>
      </w:pPr>
    </w:p>
    <w:p w14:paraId="46C0EB3A" w14:textId="08E0931A" w:rsidR="00A53315" w:rsidRPr="007E0696" w:rsidRDefault="00BA55A8" w:rsidP="007E0696">
      <w:pPr>
        <w:pStyle w:val="Ttulo3"/>
        <w:spacing w:line="360" w:lineRule="auto"/>
        <w:rPr>
          <w:rFonts w:eastAsia="Calibri"/>
          <w:lang w:eastAsia="es-ES_tradnl"/>
        </w:rPr>
      </w:pPr>
      <w:bookmarkStart w:id="23" w:name="_Toc176438504"/>
      <w:r w:rsidRPr="007E0696">
        <w:rPr>
          <w:rFonts w:eastAsia="Calibri"/>
          <w:lang w:eastAsia="es-ES_tradnl"/>
        </w:rPr>
        <w:t>d)</w:t>
      </w:r>
      <w:r w:rsidR="00D91CB4" w:rsidRPr="007E0696">
        <w:rPr>
          <w:rFonts w:eastAsia="Calibri"/>
          <w:lang w:eastAsia="es-ES_tradnl"/>
        </w:rPr>
        <w:t xml:space="preserve"> </w:t>
      </w:r>
      <w:r w:rsidR="0086735B" w:rsidRPr="007E0696">
        <w:rPr>
          <w:rFonts w:eastAsia="Calibri"/>
          <w:lang w:eastAsia="es-ES_tradnl"/>
        </w:rPr>
        <w:t>Causal de Procedencia</w:t>
      </w:r>
      <w:bookmarkEnd w:id="23"/>
    </w:p>
    <w:p w14:paraId="190404A6" w14:textId="74C95296" w:rsidR="00BA55A8" w:rsidRPr="007E0696" w:rsidRDefault="00BA55A8" w:rsidP="007E0696">
      <w:r w:rsidRPr="007E0696">
        <w:rPr>
          <w:rFonts w:cs="Arial"/>
        </w:rPr>
        <w:t xml:space="preserve">Resulta procedente la interposición del recurso de revisión, ya que </w:t>
      </w:r>
      <w:r w:rsidRPr="007E0696">
        <w:rPr>
          <w:rFonts w:eastAsia="Calibri" w:cs="Tahoma"/>
          <w:szCs w:val="22"/>
          <w:lang w:eastAsia="es-MX"/>
        </w:rPr>
        <w:t xml:space="preserve">se actualiza la causal de procedencia señalada en el artículo 179, fracción </w:t>
      </w:r>
      <w:r w:rsidR="003162E4" w:rsidRPr="007E0696">
        <w:rPr>
          <w:rFonts w:eastAsia="Calibri" w:cs="Tahoma"/>
          <w:szCs w:val="22"/>
          <w:lang w:eastAsia="es-MX"/>
        </w:rPr>
        <w:t>V</w:t>
      </w:r>
      <w:r w:rsidRPr="007E0696">
        <w:rPr>
          <w:rFonts w:cs="Arial"/>
        </w:rPr>
        <w:t xml:space="preserve"> de la </w:t>
      </w:r>
      <w:r w:rsidRPr="007E0696">
        <w:t>Ley de Transparencia y Acceso a la Información Pública del Estado de México y Municipios.</w:t>
      </w:r>
    </w:p>
    <w:p w14:paraId="0EFF7141" w14:textId="77777777" w:rsidR="00362A11" w:rsidRPr="007E0696" w:rsidRDefault="00362A11" w:rsidP="007E0696"/>
    <w:p w14:paraId="2284D7EB" w14:textId="3EE1D036" w:rsidR="00BA55A8" w:rsidRPr="007E0696" w:rsidRDefault="00362A11" w:rsidP="007E0696">
      <w:pPr>
        <w:pStyle w:val="Ttulo3"/>
        <w:spacing w:line="360" w:lineRule="auto"/>
      </w:pPr>
      <w:bookmarkStart w:id="24" w:name="_Toc176438505"/>
      <w:r w:rsidRPr="007E0696">
        <w:t>e) Requisitos formales para la interposición del recurso</w:t>
      </w:r>
      <w:bookmarkEnd w:id="24"/>
    </w:p>
    <w:p w14:paraId="2E703434" w14:textId="77777777" w:rsidR="00F13C9A" w:rsidRPr="007E0696" w:rsidRDefault="00F13C9A" w:rsidP="007E0696">
      <w:pPr>
        <w:rPr>
          <w:rFonts w:cs="Arial"/>
        </w:rPr>
      </w:pPr>
      <w:r w:rsidRPr="007E0696">
        <w:rPr>
          <w:rFonts w:cs="Arial"/>
          <w:b/>
          <w:bCs/>
        </w:rPr>
        <w:t xml:space="preserve">LA PARTE RECURRENTE </w:t>
      </w:r>
      <w:r w:rsidRPr="007E0696">
        <w:rPr>
          <w:rFonts w:cs="Arial"/>
        </w:rPr>
        <w:t>acreditó todos y cada uno de los elementos formales exigidos por el artículo 180 de la misma normatividad.</w:t>
      </w:r>
    </w:p>
    <w:p w14:paraId="20BDA7EE" w14:textId="77777777" w:rsidR="005F5301" w:rsidRPr="007E0696" w:rsidRDefault="005F5301" w:rsidP="007E0696">
      <w:pPr>
        <w:rPr>
          <w:rFonts w:cs="Arial"/>
        </w:rPr>
      </w:pPr>
    </w:p>
    <w:p w14:paraId="457548E9" w14:textId="3F7AF03B" w:rsidR="00C71CEF" w:rsidRPr="007E0696" w:rsidRDefault="00C71CEF" w:rsidP="007E0696">
      <w:pPr>
        <w:pStyle w:val="Ttulo2"/>
      </w:pPr>
      <w:bookmarkStart w:id="25" w:name="_Toc176438506"/>
      <w:r w:rsidRPr="007E0696">
        <w:t>SEGUNDO. Estudio de Fondo</w:t>
      </w:r>
      <w:bookmarkEnd w:id="25"/>
    </w:p>
    <w:p w14:paraId="2A308F59" w14:textId="0FF373F0" w:rsidR="00C049E2" w:rsidRPr="007E0696" w:rsidRDefault="00C71CEF" w:rsidP="007E0696">
      <w:pPr>
        <w:pStyle w:val="Ttulo3"/>
        <w:spacing w:line="360" w:lineRule="auto"/>
      </w:pPr>
      <w:bookmarkStart w:id="26" w:name="_Toc176438507"/>
      <w:r w:rsidRPr="007E0696">
        <w:t>a</w:t>
      </w:r>
      <w:r w:rsidR="00C049E2" w:rsidRPr="007E0696">
        <w:t>) Mandato de transparencia y responsabilidad del Sujeto Obligado</w:t>
      </w:r>
      <w:bookmarkEnd w:id="26"/>
    </w:p>
    <w:p w14:paraId="6901A889" w14:textId="59EEDAE1" w:rsidR="00C049E2" w:rsidRPr="007E0696" w:rsidRDefault="00C049E2" w:rsidP="007E0696">
      <w:pPr>
        <w:rPr>
          <w:rFonts w:eastAsia="Palatino Linotype"/>
        </w:rPr>
      </w:pPr>
      <w:r w:rsidRPr="007E0696">
        <w:rPr>
          <w:rFonts w:eastAsia="Palatino Linotype"/>
        </w:rPr>
        <w:t xml:space="preserve">El </w:t>
      </w:r>
      <w:r w:rsidR="00717E59" w:rsidRPr="007E0696">
        <w:rPr>
          <w:rFonts w:eastAsia="Palatino Linotype"/>
        </w:rPr>
        <w:t>d</w:t>
      </w:r>
      <w:r w:rsidRPr="007E0696">
        <w:rPr>
          <w:rFonts w:eastAsia="Palatino Linotype"/>
        </w:rPr>
        <w:t xml:space="preserve">erecho de </w:t>
      </w:r>
      <w:r w:rsidR="00717E59" w:rsidRPr="007E0696">
        <w:rPr>
          <w:rFonts w:eastAsia="Palatino Linotype"/>
        </w:rPr>
        <w:t>a</w:t>
      </w:r>
      <w:r w:rsidRPr="007E0696">
        <w:rPr>
          <w:rFonts w:eastAsia="Palatino Linotype"/>
        </w:rPr>
        <w:t xml:space="preserve">cceso a la </w:t>
      </w:r>
      <w:r w:rsidR="00717E59" w:rsidRPr="007E0696">
        <w:rPr>
          <w:rFonts w:eastAsia="Palatino Linotype"/>
        </w:rPr>
        <w:t>i</w:t>
      </w:r>
      <w:r w:rsidRPr="007E0696">
        <w:rPr>
          <w:rFonts w:eastAsia="Palatino Linotype"/>
        </w:rPr>
        <w:t xml:space="preserve">nformación </w:t>
      </w:r>
      <w:r w:rsidR="00717E59" w:rsidRPr="007E0696">
        <w:rPr>
          <w:rFonts w:eastAsia="Palatino Linotype"/>
        </w:rPr>
        <w:t>p</w:t>
      </w:r>
      <w:r w:rsidRPr="007E069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7E0696">
        <w:rPr>
          <w:rFonts w:eastAsia="Palatino Linotype"/>
        </w:rPr>
        <w:t>:</w:t>
      </w:r>
    </w:p>
    <w:p w14:paraId="05320813" w14:textId="77777777" w:rsidR="00C049E2" w:rsidRPr="007E0696" w:rsidRDefault="00C049E2" w:rsidP="007E0696">
      <w:pPr>
        <w:spacing w:line="240" w:lineRule="auto"/>
        <w:ind w:left="851" w:right="822"/>
        <w:rPr>
          <w:rFonts w:eastAsia="Palatino Linotype"/>
          <w:b/>
          <w:i/>
        </w:rPr>
      </w:pPr>
      <w:r w:rsidRPr="007E0696">
        <w:rPr>
          <w:rFonts w:eastAsia="Palatino Linotype"/>
          <w:b/>
          <w:i/>
        </w:rPr>
        <w:lastRenderedPageBreak/>
        <w:t>Constitución Política de los Estados Unidos Mexicanos</w:t>
      </w:r>
    </w:p>
    <w:p w14:paraId="6B6C67B6" w14:textId="77777777" w:rsidR="00C049E2" w:rsidRPr="007E0696" w:rsidRDefault="00C049E2" w:rsidP="007E0696">
      <w:pPr>
        <w:spacing w:line="240" w:lineRule="auto"/>
        <w:ind w:left="851" w:right="822"/>
        <w:rPr>
          <w:rFonts w:eastAsia="Palatino Linotype"/>
          <w:b/>
          <w:i/>
        </w:rPr>
      </w:pPr>
      <w:r w:rsidRPr="007E0696">
        <w:rPr>
          <w:rFonts w:eastAsia="Palatino Linotype"/>
          <w:b/>
          <w:i/>
        </w:rPr>
        <w:t>“Artículo 6.</w:t>
      </w:r>
    </w:p>
    <w:p w14:paraId="38D3B4C4" w14:textId="77777777" w:rsidR="00C049E2" w:rsidRPr="007E0696" w:rsidRDefault="00C049E2" w:rsidP="007E0696">
      <w:pPr>
        <w:spacing w:line="240" w:lineRule="auto"/>
        <w:ind w:left="851" w:right="822"/>
        <w:rPr>
          <w:rFonts w:eastAsia="Palatino Linotype"/>
          <w:i/>
        </w:rPr>
      </w:pPr>
      <w:r w:rsidRPr="007E0696">
        <w:rPr>
          <w:rFonts w:eastAsia="Palatino Linotype"/>
          <w:i/>
        </w:rPr>
        <w:t>(…)</w:t>
      </w:r>
    </w:p>
    <w:p w14:paraId="2CCAA297" w14:textId="6602827B" w:rsidR="00C049E2" w:rsidRPr="007E0696" w:rsidRDefault="00C049E2" w:rsidP="007E0696">
      <w:pPr>
        <w:spacing w:line="240" w:lineRule="auto"/>
        <w:ind w:left="851" w:right="822"/>
        <w:rPr>
          <w:rFonts w:eastAsia="Palatino Linotype"/>
          <w:i/>
        </w:rPr>
      </w:pPr>
      <w:r w:rsidRPr="007E0696">
        <w:rPr>
          <w:rFonts w:eastAsia="Palatino Linotype"/>
          <w:i/>
        </w:rPr>
        <w:t>Para efectos de lo dispuesto en el presente artículo se observará lo siguiente:</w:t>
      </w:r>
    </w:p>
    <w:p w14:paraId="74CC3718" w14:textId="77777777" w:rsidR="00C049E2" w:rsidRPr="007E0696" w:rsidRDefault="00C049E2" w:rsidP="007E0696">
      <w:pPr>
        <w:spacing w:line="240" w:lineRule="auto"/>
        <w:ind w:left="851" w:right="822"/>
        <w:rPr>
          <w:rFonts w:eastAsia="Palatino Linotype"/>
          <w:b/>
          <w:i/>
        </w:rPr>
      </w:pPr>
      <w:r w:rsidRPr="007E0696">
        <w:rPr>
          <w:rFonts w:eastAsia="Palatino Linotype"/>
          <w:b/>
          <w:i/>
        </w:rPr>
        <w:t>A</w:t>
      </w:r>
      <w:r w:rsidRPr="007E0696">
        <w:rPr>
          <w:rFonts w:eastAsia="Palatino Linotype"/>
          <w:i/>
        </w:rPr>
        <w:t xml:space="preserve">. </w:t>
      </w:r>
      <w:r w:rsidRPr="007E0696">
        <w:rPr>
          <w:rFonts w:eastAsia="Palatino Linotype"/>
          <w:b/>
          <w:i/>
        </w:rPr>
        <w:t>Para el ejercicio del derecho de acceso a la información</w:t>
      </w:r>
      <w:r w:rsidRPr="007E0696">
        <w:rPr>
          <w:rFonts w:eastAsia="Palatino Linotype"/>
          <w:i/>
        </w:rPr>
        <w:t xml:space="preserve">, la Federación y </w:t>
      </w:r>
      <w:r w:rsidRPr="007E0696">
        <w:rPr>
          <w:rFonts w:eastAsia="Palatino Linotype"/>
          <w:b/>
          <w:i/>
        </w:rPr>
        <w:t>las entidades federativas, en el ámbito de sus respectivas competencias, se regirán por los siguientes principios y bases:</w:t>
      </w:r>
    </w:p>
    <w:p w14:paraId="596A956B" w14:textId="77777777" w:rsidR="00C049E2" w:rsidRPr="007E0696" w:rsidRDefault="00C049E2" w:rsidP="007E0696">
      <w:pPr>
        <w:spacing w:line="240" w:lineRule="auto"/>
        <w:ind w:left="851" w:right="822"/>
        <w:rPr>
          <w:rFonts w:eastAsia="Palatino Linotype"/>
          <w:i/>
        </w:rPr>
      </w:pPr>
      <w:r w:rsidRPr="007E0696">
        <w:rPr>
          <w:rFonts w:eastAsia="Palatino Linotype"/>
          <w:b/>
          <w:i/>
        </w:rPr>
        <w:t xml:space="preserve">I. </w:t>
      </w:r>
      <w:r w:rsidRPr="007E0696">
        <w:rPr>
          <w:rFonts w:eastAsia="Palatino Linotype"/>
          <w:b/>
          <w:i/>
        </w:rPr>
        <w:tab/>
        <w:t>Toda la información en posesión de cualquier</w:t>
      </w:r>
      <w:r w:rsidRPr="007E0696">
        <w:rPr>
          <w:rFonts w:eastAsia="Palatino Linotype"/>
          <w:i/>
        </w:rPr>
        <w:t xml:space="preserve"> </w:t>
      </w:r>
      <w:r w:rsidRPr="007E0696">
        <w:rPr>
          <w:rFonts w:eastAsia="Palatino Linotype"/>
          <w:b/>
          <w:i/>
        </w:rPr>
        <w:t>autoridad</w:t>
      </w:r>
      <w:r w:rsidRPr="007E0696">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E0696">
        <w:rPr>
          <w:rFonts w:eastAsia="Palatino Linotype"/>
          <w:b/>
          <w:i/>
        </w:rPr>
        <w:t>municipal</w:t>
      </w:r>
      <w:r w:rsidRPr="007E0696">
        <w:rPr>
          <w:rFonts w:eastAsia="Palatino Linotype"/>
          <w:i/>
        </w:rPr>
        <w:t xml:space="preserve">, </w:t>
      </w:r>
      <w:r w:rsidRPr="007E0696">
        <w:rPr>
          <w:rFonts w:eastAsia="Palatino Linotype"/>
          <w:b/>
          <w:i/>
        </w:rPr>
        <w:t>es pública</w:t>
      </w:r>
      <w:r w:rsidRPr="007E0696">
        <w:rPr>
          <w:rFonts w:eastAsia="Palatino Linotype"/>
          <w:i/>
        </w:rPr>
        <w:t xml:space="preserve"> y sólo podrá ser reservada temporalmente por razones de interés público y seguridad nacional, en los términos que fijen las leyes. </w:t>
      </w:r>
      <w:r w:rsidRPr="007E0696">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7E0696">
        <w:rPr>
          <w:rFonts w:eastAsia="Palatino Linotype"/>
          <w:i/>
        </w:rPr>
        <w:t>, la ley determinará los supuestos específicos bajo los cuales procederá la declaración de inexistencia de la información.”</w:t>
      </w:r>
    </w:p>
    <w:p w14:paraId="68F313E4" w14:textId="77777777" w:rsidR="00C049E2" w:rsidRPr="007E0696" w:rsidRDefault="00C049E2" w:rsidP="007E0696">
      <w:pPr>
        <w:spacing w:line="240" w:lineRule="auto"/>
        <w:ind w:left="851" w:right="822"/>
        <w:rPr>
          <w:rFonts w:eastAsia="Palatino Linotype"/>
          <w:b/>
          <w:i/>
        </w:rPr>
      </w:pPr>
    </w:p>
    <w:p w14:paraId="504F12DB" w14:textId="77777777" w:rsidR="00C049E2" w:rsidRPr="007E0696" w:rsidRDefault="00C049E2" w:rsidP="007E0696">
      <w:pPr>
        <w:spacing w:line="240" w:lineRule="auto"/>
        <w:ind w:left="851" w:right="822"/>
        <w:rPr>
          <w:rFonts w:eastAsia="Palatino Linotype"/>
          <w:b/>
          <w:i/>
        </w:rPr>
      </w:pPr>
      <w:r w:rsidRPr="007E0696">
        <w:rPr>
          <w:rFonts w:eastAsia="Palatino Linotype"/>
          <w:b/>
          <w:i/>
        </w:rPr>
        <w:t>Constitución Política del Estado Libre y Soberano de México</w:t>
      </w:r>
    </w:p>
    <w:p w14:paraId="04932D29" w14:textId="77777777" w:rsidR="00C049E2" w:rsidRPr="007E0696" w:rsidRDefault="00C049E2" w:rsidP="007E0696">
      <w:pPr>
        <w:spacing w:line="240" w:lineRule="auto"/>
        <w:ind w:left="851" w:right="822"/>
        <w:rPr>
          <w:rFonts w:eastAsia="Palatino Linotype"/>
          <w:i/>
        </w:rPr>
      </w:pPr>
      <w:r w:rsidRPr="007E0696">
        <w:rPr>
          <w:rFonts w:eastAsia="Palatino Linotype"/>
          <w:b/>
          <w:i/>
        </w:rPr>
        <w:t>“Artículo 5</w:t>
      </w:r>
      <w:r w:rsidRPr="007E0696">
        <w:rPr>
          <w:rFonts w:eastAsia="Palatino Linotype"/>
          <w:i/>
        </w:rPr>
        <w:t xml:space="preserve">.- </w:t>
      </w:r>
    </w:p>
    <w:p w14:paraId="1D3829F4" w14:textId="77777777" w:rsidR="00C049E2" w:rsidRPr="007E0696" w:rsidRDefault="00C049E2" w:rsidP="007E0696">
      <w:pPr>
        <w:spacing w:line="240" w:lineRule="auto"/>
        <w:ind w:left="851" w:right="822"/>
        <w:rPr>
          <w:rFonts w:eastAsia="Palatino Linotype"/>
          <w:i/>
        </w:rPr>
      </w:pPr>
      <w:r w:rsidRPr="007E0696">
        <w:rPr>
          <w:rFonts w:eastAsia="Palatino Linotype"/>
          <w:i/>
        </w:rPr>
        <w:t>(…)</w:t>
      </w:r>
    </w:p>
    <w:p w14:paraId="0EAE47FD" w14:textId="77777777" w:rsidR="00C049E2" w:rsidRPr="007E0696" w:rsidRDefault="00C049E2" w:rsidP="007E0696">
      <w:pPr>
        <w:spacing w:line="240" w:lineRule="auto"/>
        <w:ind w:left="851" w:right="822"/>
        <w:rPr>
          <w:rFonts w:eastAsia="Palatino Linotype"/>
          <w:i/>
        </w:rPr>
      </w:pPr>
      <w:r w:rsidRPr="007E0696">
        <w:rPr>
          <w:rFonts w:eastAsia="Palatino Linotype"/>
          <w:b/>
          <w:i/>
        </w:rPr>
        <w:t>El derecho a la información será garantizado por el Estado. La ley establecerá las previsiones que permitan asegurar la protección, el respeto y la difusión de este derecho</w:t>
      </w:r>
      <w:r w:rsidRPr="007E0696">
        <w:rPr>
          <w:rFonts w:eastAsia="Palatino Linotype"/>
          <w:i/>
        </w:rPr>
        <w:t>.</w:t>
      </w:r>
    </w:p>
    <w:p w14:paraId="4F0C804A" w14:textId="77777777" w:rsidR="00C049E2" w:rsidRPr="007E0696" w:rsidRDefault="00C049E2" w:rsidP="007E0696">
      <w:pPr>
        <w:spacing w:line="240" w:lineRule="auto"/>
        <w:ind w:left="851" w:right="822"/>
        <w:rPr>
          <w:rFonts w:eastAsia="Palatino Linotype"/>
          <w:i/>
        </w:rPr>
      </w:pPr>
      <w:r w:rsidRPr="007E0696">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E0696" w:rsidRDefault="00C049E2" w:rsidP="007E0696">
      <w:pPr>
        <w:spacing w:line="240" w:lineRule="auto"/>
        <w:ind w:left="851" w:right="822"/>
        <w:rPr>
          <w:rFonts w:eastAsia="Palatino Linotype"/>
          <w:i/>
        </w:rPr>
      </w:pPr>
      <w:r w:rsidRPr="007E0696">
        <w:rPr>
          <w:rFonts w:eastAsia="Palatino Linotype"/>
          <w:b/>
          <w:i/>
        </w:rPr>
        <w:t>Este derecho se regirá por los principios y bases siguientes</w:t>
      </w:r>
      <w:r w:rsidRPr="007E0696">
        <w:rPr>
          <w:rFonts w:eastAsia="Palatino Linotype"/>
          <w:i/>
        </w:rPr>
        <w:t>:</w:t>
      </w:r>
    </w:p>
    <w:p w14:paraId="4A3E8CBA" w14:textId="77777777" w:rsidR="00C049E2" w:rsidRPr="007E0696" w:rsidRDefault="00C049E2" w:rsidP="007E0696">
      <w:pPr>
        <w:spacing w:line="240" w:lineRule="auto"/>
        <w:ind w:left="851" w:right="822"/>
        <w:rPr>
          <w:rFonts w:eastAsia="Palatino Linotype"/>
          <w:i/>
        </w:rPr>
      </w:pPr>
      <w:r w:rsidRPr="007E0696">
        <w:rPr>
          <w:rFonts w:eastAsia="Palatino Linotype"/>
          <w:b/>
          <w:i/>
        </w:rPr>
        <w:t>I. Toda la información en posesión de cualquier autoridad, entidad, órgano y organismos de los</w:t>
      </w:r>
      <w:r w:rsidRPr="007E0696">
        <w:rPr>
          <w:rFonts w:eastAsia="Palatino Linotype"/>
          <w:i/>
        </w:rPr>
        <w:t xml:space="preserve"> Poderes Ejecutivo, Legislativo y Judicial, órganos autónomos, </w:t>
      </w:r>
      <w:r w:rsidRPr="007E0696">
        <w:rPr>
          <w:rFonts w:eastAsia="Palatino Linotype"/>
          <w:i/>
        </w:rPr>
        <w:lastRenderedPageBreak/>
        <w:t xml:space="preserve">partidos políticos, fideicomisos y fondos públicos estatales y </w:t>
      </w:r>
      <w:r w:rsidRPr="007E0696">
        <w:rPr>
          <w:rFonts w:eastAsia="Palatino Linotype"/>
          <w:b/>
          <w:i/>
        </w:rPr>
        <w:t>municipales</w:t>
      </w:r>
      <w:r w:rsidRPr="007E0696">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E0696">
        <w:rPr>
          <w:rFonts w:eastAsia="Palatino Linotype"/>
          <w:b/>
          <w:i/>
        </w:rPr>
        <w:t>es pública</w:t>
      </w:r>
      <w:r w:rsidRPr="007E0696">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7E0696">
        <w:rPr>
          <w:rFonts w:eastAsia="Palatino Linotype"/>
          <w:b/>
          <w:i/>
        </w:rPr>
        <w:t>En la interpretación de este derecho deberá prevalecer el principio de máxima publicidad</w:t>
      </w:r>
      <w:r w:rsidRPr="007E0696">
        <w:rPr>
          <w:rFonts w:eastAsia="Palatino Linotype"/>
          <w:i/>
        </w:rPr>
        <w:t xml:space="preserve">. </w:t>
      </w:r>
      <w:r w:rsidRPr="007E0696">
        <w:rPr>
          <w:rFonts w:eastAsia="Palatino Linotype"/>
          <w:b/>
          <w:i/>
        </w:rPr>
        <w:t>Los sujetos obligados deberán documentar todo acto que derive del ejercicio de sus facultades, competencias o funciones</w:t>
      </w:r>
      <w:r w:rsidRPr="007E0696">
        <w:rPr>
          <w:rFonts w:eastAsia="Palatino Linotype"/>
          <w:i/>
        </w:rPr>
        <w:t>, la ley determinará los supuestos específicos bajo los cuales procederá la declaración de inexistencia de la información.”</w:t>
      </w:r>
    </w:p>
    <w:p w14:paraId="5CA98E37" w14:textId="77777777" w:rsidR="00C049E2" w:rsidRPr="007E0696" w:rsidRDefault="00C049E2" w:rsidP="007E0696">
      <w:pPr>
        <w:rPr>
          <w:rFonts w:eastAsia="Palatino Linotype"/>
          <w:b/>
          <w:i/>
        </w:rPr>
      </w:pPr>
    </w:p>
    <w:p w14:paraId="6FC1BB3B" w14:textId="3BF4A33D" w:rsidR="00C049E2" w:rsidRPr="007E0696" w:rsidRDefault="00717E59" w:rsidP="007E0696">
      <w:pPr>
        <w:rPr>
          <w:rFonts w:eastAsia="Palatino Linotype"/>
          <w:i/>
        </w:rPr>
      </w:pPr>
      <w:r w:rsidRPr="007E0696">
        <w:rPr>
          <w:rFonts w:eastAsia="Palatino Linotype"/>
        </w:rPr>
        <w:t xml:space="preserve">Asimismo, </w:t>
      </w:r>
      <w:r w:rsidR="00C049E2" w:rsidRPr="007E0696">
        <w:rPr>
          <w:rFonts w:eastAsia="Palatino Linotype"/>
        </w:rPr>
        <w:t>el artículo 150 de la Ley de Transparencia y Acceso a la Información Pública del Estado de México y Municipios</w:t>
      </w:r>
      <w:r w:rsidR="00057B2D" w:rsidRPr="007E0696">
        <w:rPr>
          <w:rFonts w:eastAsia="Palatino Linotype"/>
        </w:rPr>
        <w:t xml:space="preserve"> </w:t>
      </w:r>
      <w:r w:rsidR="00E9335C" w:rsidRPr="007E0696">
        <w:rPr>
          <w:rFonts w:eastAsia="Palatino Linotype"/>
        </w:rPr>
        <w:t xml:space="preserve">indica </w:t>
      </w:r>
      <w:r w:rsidR="00057B2D" w:rsidRPr="007E0696">
        <w:rPr>
          <w:rFonts w:eastAsia="Palatino Linotype"/>
        </w:rPr>
        <w:t>que</w:t>
      </w:r>
      <w:r w:rsidR="00C049E2" w:rsidRPr="007E0696">
        <w:rPr>
          <w:rFonts w:eastAsia="Palatino Linotype"/>
        </w:rPr>
        <w:t xml:space="preserve"> la solicitud es la garantía primaria del Derecho de Acceso a la Información, además, establece que se regirá </w:t>
      </w:r>
      <w:r w:rsidR="00C049E2" w:rsidRPr="007E0696">
        <w:rPr>
          <w:rFonts w:eastAsia="Palatino Linotype"/>
          <w:i/>
        </w:rPr>
        <w:t>por los principios de simplicidad, rapidez</w:t>
      </w:r>
      <w:r w:rsidR="005F65B7" w:rsidRPr="007E0696">
        <w:rPr>
          <w:rFonts w:eastAsia="Palatino Linotype"/>
          <w:i/>
        </w:rPr>
        <w:t>,</w:t>
      </w:r>
      <w:r w:rsidR="00C049E2" w:rsidRPr="007E0696">
        <w:rPr>
          <w:rFonts w:eastAsia="Palatino Linotype"/>
          <w:i/>
        </w:rPr>
        <w:t xml:space="preserve"> gratuidad del procedimiento, auxilio y orientación a los particulare</w:t>
      </w:r>
      <w:r w:rsidR="001A58B3" w:rsidRPr="007E0696">
        <w:rPr>
          <w:rFonts w:eastAsia="Palatino Linotype"/>
          <w:i/>
        </w:rPr>
        <w:t>s.</w:t>
      </w:r>
    </w:p>
    <w:p w14:paraId="033466A6" w14:textId="77777777" w:rsidR="001A58B3" w:rsidRPr="007E0696" w:rsidRDefault="001A58B3" w:rsidP="007E0696">
      <w:pPr>
        <w:rPr>
          <w:rFonts w:eastAsia="Palatino Linotype"/>
          <w:i/>
        </w:rPr>
      </w:pPr>
    </w:p>
    <w:p w14:paraId="04ADA10B" w14:textId="574A944A" w:rsidR="001A58B3" w:rsidRPr="007E0696" w:rsidRDefault="00233F17" w:rsidP="007E0696">
      <w:pPr>
        <w:rPr>
          <w:rFonts w:eastAsia="Palatino Linotype" w:cs="Palatino Linotype"/>
          <w:i/>
          <w:szCs w:val="22"/>
        </w:rPr>
      </w:pPr>
      <w:r w:rsidRPr="007E0696">
        <w:rPr>
          <w:rFonts w:eastAsia="Palatino Linotype" w:cs="Palatino Linotype"/>
        </w:rPr>
        <w:t xml:space="preserve">Por su parte, el artículo 4 de </w:t>
      </w:r>
      <w:r w:rsidR="001A58B3" w:rsidRPr="007E0696">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E0696">
        <w:rPr>
          <w:rFonts w:eastAsia="Palatino Linotype" w:cs="Palatino Linotype"/>
        </w:rPr>
        <w:t>.</w:t>
      </w:r>
    </w:p>
    <w:p w14:paraId="1407DBB8" w14:textId="77777777" w:rsidR="001A58B3" w:rsidRPr="007E0696" w:rsidRDefault="001A58B3" w:rsidP="007E0696">
      <w:pPr>
        <w:rPr>
          <w:rFonts w:eastAsia="Palatino Linotype" w:cs="Palatino Linotype"/>
        </w:rPr>
      </w:pPr>
    </w:p>
    <w:p w14:paraId="7552AA79" w14:textId="5C52E4A4" w:rsidR="001A58B3" w:rsidRPr="007E0696" w:rsidRDefault="001A58B3" w:rsidP="007E0696">
      <w:pPr>
        <w:rPr>
          <w:rFonts w:eastAsia="Palatino Linotype" w:cs="Palatino Linotype"/>
        </w:rPr>
      </w:pPr>
      <w:r w:rsidRPr="007E0696">
        <w:rPr>
          <w:rFonts w:eastAsia="Palatino Linotype" w:cs="Palatino Linotype"/>
        </w:rPr>
        <w:t xml:space="preserve">Esto es, que los Sujetos Obligados </w:t>
      </w:r>
      <w:r w:rsidR="00FA5957" w:rsidRPr="007E0696">
        <w:rPr>
          <w:rFonts w:eastAsia="Palatino Linotype" w:cs="Palatino Linotype"/>
        </w:rPr>
        <w:t>deben</w:t>
      </w:r>
      <w:r w:rsidRPr="007E0696">
        <w:rPr>
          <w:rFonts w:eastAsia="Palatino Linotype" w:cs="Palatino Linotype"/>
        </w:rPr>
        <w:t xml:space="preserve"> atender las solicitudes de acceso a la información pública que se les </w:t>
      </w:r>
      <w:r w:rsidR="00FA5957" w:rsidRPr="007E0696">
        <w:rPr>
          <w:rFonts w:eastAsia="Palatino Linotype" w:cs="Palatino Linotype"/>
        </w:rPr>
        <w:t>sean realizadas,</w:t>
      </w:r>
      <w:r w:rsidRPr="007E0696">
        <w:rPr>
          <w:rFonts w:eastAsia="Palatino Linotype" w:cs="Palatino Linotype"/>
        </w:rPr>
        <w:t xml:space="preserve"> y proporcionar la información pública que obre en su poder</w:t>
      </w:r>
      <w:r w:rsidR="00FA5957" w:rsidRPr="007E0696">
        <w:rPr>
          <w:rFonts w:eastAsia="Palatino Linotype" w:cs="Palatino Linotype"/>
        </w:rPr>
        <w:t>,</w:t>
      </w:r>
      <w:r w:rsidRPr="007E0696">
        <w:rPr>
          <w:rFonts w:eastAsia="Palatino Linotype" w:cs="Palatino Linotype"/>
        </w:rPr>
        <w:t xml:space="preserve"> conforme </w:t>
      </w:r>
      <w:r w:rsidR="00FA5957" w:rsidRPr="007E0696">
        <w:rPr>
          <w:rFonts w:eastAsia="Palatino Linotype" w:cs="Palatino Linotype"/>
        </w:rPr>
        <w:t>a</w:t>
      </w:r>
      <w:r w:rsidRPr="007E0696">
        <w:rPr>
          <w:rFonts w:eastAsia="Palatino Linotype" w:cs="Palatino Linotype"/>
        </w:rPr>
        <w:t xml:space="preserve">l estado </w:t>
      </w:r>
      <w:r w:rsidR="00FA5957" w:rsidRPr="007E0696">
        <w:rPr>
          <w:rFonts w:eastAsia="Palatino Linotype" w:cs="Palatino Linotype"/>
        </w:rPr>
        <w:t xml:space="preserve">en </w:t>
      </w:r>
      <w:r w:rsidRPr="007E0696">
        <w:rPr>
          <w:rFonts w:eastAsia="Palatino Linotype" w:cs="Palatino Linotype"/>
        </w:rPr>
        <w:t>que se encuentr</w:t>
      </w:r>
      <w:r w:rsidR="00FA5957" w:rsidRPr="007E0696">
        <w:rPr>
          <w:rFonts w:eastAsia="Palatino Linotype" w:cs="Palatino Linotype"/>
        </w:rPr>
        <w:t>e, sin que sea necesario</w:t>
      </w:r>
      <w:r w:rsidRPr="007E0696">
        <w:rPr>
          <w:rFonts w:eastAsia="Palatino Linotype" w:cs="Palatino Linotype"/>
        </w:rPr>
        <w:t xml:space="preserve"> </w:t>
      </w:r>
      <w:r w:rsidR="00FA5957" w:rsidRPr="007E0696">
        <w:rPr>
          <w:rFonts w:eastAsia="Palatino Linotype" w:cs="Palatino Linotype"/>
        </w:rPr>
        <w:t>procesar</w:t>
      </w:r>
      <w:r w:rsidRPr="007E0696">
        <w:rPr>
          <w:rFonts w:eastAsia="Palatino Linotype" w:cs="Palatino Linotype"/>
        </w:rPr>
        <w:t xml:space="preserve"> la misma, ni presentarla </w:t>
      </w:r>
      <w:r w:rsidRPr="007E0696">
        <w:rPr>
          <w:rFonts w:eastAsia="Palatino Linotype" w:cs="Palatino Linotype"/>
        </w:rPr>
        <w:lastRenderedPageBreak/>
        <w:t xml:space="preserve">conforme al interés del solicitante; </w:t>
      </w:r>
      <w:r w:rsidR="00FA5957" w:rsidRPr="007E0696">
        <w:rPr>
          <w:rFonts w:eastAsia="Palatino Linotype" w:cs="Palatino Linotype"/>
        </w:rPr>
        <w:t>tal y como</w:t>
      </w:r>
      <w:r w:rsidRPr="007E0696">
        <w:rPr>
          <w:rFonts w:eastAsia="Palatino Linotype" w:cs="Palatino Linotype"/>
        </w:rPr>
        <w:t xml:space="preserve"> lo establece el artículo 12 de la Ley de Transparencia y Acceso a la Información Pública del Estado de México y Municipios</w:t>
      </w:r>
      <w:r w:rsidR="00970EB3" w:rsidRPr="007E0696">
        <w:rPr>
          <w:rFonts w:eastAsia="Palatino Linotype" w:cs="Palatino Linotype"/>
        </w:rPr>
        <w:t>.</w:t>
      </w:r>
    </w:p>
    <w:p w14:paraId="73245195" w14:textId="77777777" w:rsidR="00970EB3" w:rsidRPr="007E0696" w:rsidRDefault="00970EB3" w:rsidP="007E0696">
      <w:pPr>
        <w:rPr>
          <w:rFonts w:eastAsia="Palatino Linotype" w:cs="Palatino Linotype"/>
        </w:rPr>
      </w:pPr>
    </w:p>
    <w:p w14:paraId="7F62D4DF" w14:textId="775730E1" w:rsidR="001A58B3" w:rsidRPr="007E0696" w:rsidRDefault="001A58B3" w:rsidP="007E0696">
      <w:pPr>
        <w:rPr>
          <w:rFonts w:eastAsia="Palatino Linotype" w:cs="Palatino Linotype"/>
        </w:rPr>
      </w:pPr>
      <w:r w:rsidRPr="007E0696">
        <w:rPr>
          <w:rFonts w:eastAsia="Palatino Linotype" w:cs="Palatino Linotype"/>
        </w:rPr>
        <w:t>Es decir, que todo sujeto obligado que genere, recopile, administre, procese, archive, posea o conserven, son responsables de la misma</w:t>
      </w:r>
      <w:r w:rsidR="00970EB3" w:rsidRPr="007E0696">
        <w:rPr>
          <w:rFonts w:eastAsia="Palatino Linotype" w:cs="Palatino Linotype"/>
        </w:rPr>
        <w:t>,</w:t>
      </w:r>
      <w:r w:rsidRPr="007E0696">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7E0696">
        <w:rPr>
          <w:rFonts w:eastAsia="Palatino Linotype" w:cs="Palatino Linotype"/>
        </w:rPr>
        <w:t>o</w:t>
      </w:r>
      <w:r w:rsidRPr="007E0696">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E0696" w:rsidRDefault="001A58B3" w:rsidP="007E0696">
      <w:pPr>
        <w:rPr>
          <w:rFonts w:eastAsia="Palatino Linotype" w:cs="Palatino Linotype"/>
        </w:rPr>
      </w:pPr>
    </w:p>
    <w:p w14:paraId="04E42DFE" w14:textId="573F1198" w:rsidR="001A58B3" w:rsidRPr="007E0696" w:rsidRDefault="001A58B3" w:rsidP="007E0696">
      <w:pPr>
        <w:rPr>
          <w:rFonts w:eastAsia="Palatino Linotype" w:cs="Palatino Linotype"/>
        </w:rPr>
      </w:pPr>
      <w:r w:rsidRPr="007E0696">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E0696">
        <w:rPr>
          <w:rFonts w:eastAsia="Palatino Linotype" w:cs="Palatino Linotype"/>
        </w:rPr>
        <w:t>, s</w:t>
      </w:r>
      <w:r w:rsidRPr="007E0696">
        <w:rPr>
          <w:rFonts w:eastAsia="Palatino Linotype" w:cs="Palatino Linotype"/>
        </w:rPr>
        <w:t xml:space="preserve">iempre y cuando no se trate de información reservada o </w:t>
      </w:r>
      <w:r w:rsidR="00331F35" w:rsidRPr="007E0696">
        <w:rPr>
          <w:rFonts w:eastAsia="Palatino Linotype" w:cs="Palatino Linotype"/>
        </w:rPr>
        <w:t>confidencial.</w:t>
      </w:r>
    </w:p>
    <w:p w14:paraId="40C5219F" w14:textId="77777777" w:rsidR="001A58B3" w:rsidRPr="007E0696" w:rsidRDefault="001A58B3" w:rsidP="007E0696">
      <w:pPr>
        <w:rPr>
          <w:rFonts w:eastAsia="Palatino Linotype" w:cs="Palatino Linotype"/>
        </w:rPr>
      </w:pPr>
    </w:p>
    <w:p w14:paraId="2E629608" w14:textId="01727E15" w:rsidR="00C049E2" w:rsidRPr="007E0696" w:rsidRDefault="006067C7" w:rsidP="007E0696">
      <w:pPr>
        <w:rPr>
          <w:rFonts w:eastAsia="Palatino Linotype"/>
        </w:rPr>
      </w:pPr>
      <w:bookmarkStart w:id="27" w:name="_heading=h.2s8eyo1" w:colFirst="0" w:colLast="0"/>
      <w:bookmarkEnd w:id="27"/>
      <w:r w:rsidRPr="007E0696">
        <w:rPr>
          <w:rFonts w:eastAsia="Palatino Linotype"/>
        </w:rPr>
        <w:t>Con base en lo anterior</w:t>
      </w:r>
      <w:r w:rsidR="00B22A80" w:rsidRPr="007E0696">
        <w:rPr>
          <w:rFonts w:eastAsia="Palatino Linotype"/>
        </w:rPr>
        <w:t>, se considera que</w:t>
      </w:r>
      <w:r w:rsidR="00C049E2" w:rsidRPr="007E0696">
        <w:rPr>
          <w:rFonts w:eastAsia="Palatino Linotype"/>
        </w:rPr>
        <w:t xml:space="preserve"> </w:t>
      </w:r>
      <w:r w:rsidR="00B22A80" w:rsidRPr="007E0696">
        <w:rPr>
          <w:rFonts w:eastAsia="Palatino Linotype"/>
          <w:b/>
          <w:bCs/>
        </w:rPr>
        <w:t>EL</w:t>
      </w:r>
      <w:r w:rsidR="00C049E2" w:rsidRPr="007E0696">
        <w:rPr>
          <w:rFonts w:eastAsia="Palatino Linotype"/>
        </w:rPr>
        <w:t xml:space="preserve"> </w:t>
      </w:r>
      <w:r w:rsidR="00C049E2" w:rsidRPr="007E0696">
        <w:rPr>
          <w:rFonts w:eastAsia="Palatino Linotype"/>
          <w:b/>
        </w:rPr>
        <w:t>SUJETO OBLIGADO</w:t>
      </w:r>
      <w:r w:rsidR="00C049E2" w:rsidRPr="007E0696">
        <w:rPr>
          <w:rFonts w:eastAsia="Palatino Linotype"/>
        </w:rPr>
        <w:t xml:space="preserve"> </w:t>
      </w:r>
      <w:r w:rsidR="00B22A80" w:rsidRPr="007E0696">
        <w:rPr>
          <w:rFonts w:eastAsia="Palatino Linotype"/>
        </w:rPr>
        <w:t xml:space="preserve">se </w:t>
      </w:r>
      <w:r w:rsidR="00717E59" w:rsidRPr="007E0696">
        <w:rPr>
          <w:rFonts w:eastAsia="Palatino Linotype"/>
        </w:rPr>
        <w:t>encontraba</w:t>
      </w:r>
      <w:r w:rsidR="00B22A80" w:rsidRPr="007E0696">
        <w:rPr>
          <w:rFonts w:eastAsia="Palatino Linotype"/>
        </w:rPr>
        <w:t xml:space="preserve"> compelido a</w:t>
      </w:r>
      <w:r w:rsidR="00C049E2" w:rsidRPr="007E0696">
        <w:rPr>
          <w:rFonts w:eastAsia="Palatino Linotype"/>
        </w:rPr>
        <w:t xml:space="preserve"> atender la solicitud de acceso a la información </w:t>
      </w:r>
      <w:r w:rsidR="00B22A80" w:rsidRPr="007E0696">
        <w:rPr>
          <w:rFonts w:eastAsia="Palatino Linotype"/>
        </w:rPr>
        <w:t xml:space="preserve">realizada por </w:t>
      </w:r>
      <w:r w:rsidR="00B22A80" w:rsidRPr="007E0696">
        <w:rPr>
          <w:rFonts w:eastAsia="Palatino Linotype"/>
          <w:b/>
          <w:bCs/>
        </w:rPr>
        <w:t>LA PARTE RECURRENTE</w:t>
      </w:r>
      <w:r w:rsidR="00331F35" w:rsidRPr="007E0696">
        <w:rPr>
          <w:rFonts w:eastAsia="Palatino Linotype"/>
        </w:rPr>
        <w:t>.</w:t>
      </w:r>
    </w:p>
    <w:p w14:paraId="1611F147" w14:textId="77777777" w:rsidR="00BD5A7C" w:rsidRPr="007E0696" w:rsidRDefault="00BD5A7C" w:rsidP="007E0696">
      <w:pPr>
        <w:rPr>
          <w:rFonts w:eastAsia="Palatino Linotype"/>
        </w:rPr>
      </w:pPr>
    </w:p>
    <w:p w14:paraId="51A0E8B4" w14:textId="676DCA47" w:rsidR="00664420" w:rsidRPr="007E0696" w:rsidRDefault="00C71CEF" w:rsidP="007E0696">
      <w:pPr>
        <w:pStyle w:val="Ttulo3"/>
        <w:spacing w:line="360" w:lineRule="auto"/>
        <w:rPr>
          <w:rFonts w:eastAsia="Calibri"/>
          <w:lang w:eastAsia="es-ES_tradnl"/>
        </w:rPr>
      </w:pPr>
      <w:bookmarkStart w:id="28" w:name="_Toc176438508"/>
      <w:r w:rsidRPr="007E0696">
        <w:rPr>
          <w:rFonts w:eastAsia="Calibri"/>
          <w:lang w:eastAsia="es-ES_tradnl"/>
        </w:rPr>
        <w:lastRenderedPageBreak/>
        <w:t>b)</w:t>
      </w:r>
      <w:r w:rsidR="00A53315" w:rsidRPr="007E0696">
        <w:rPr>
          <w:rFonts w:eastAsia="Calibri"/>
          <w:lang w:eastAsia="es-ES_tradnl"/>
        </w:rPr>
        <w:t xml:space="preserve"> </w:t>
      </w:r>
      <w:r w:rsidR="00A21A20" w:rsidRPr="007E0696">
        <w:rPr>
          <w:rFonts w:eastAsia="Calibri"/>
          <w:lang w:eastAsia="es-ES_tradnl"/>
        </w:rPr>
        <w:t>Controversia a resolver</w:t>
      </w:r>
      <w:bookmarkEnd w:id="28"/>
    </w:p>
    <w:p w14:paraId="13F07E19" w14:textId="77777777" w:rsidR="007748E8" w:rsidRPr="007E0696" w:rsidRDefault="00664420" w:rsidP="007E0696">
      <w:pPr>
        <w:rPr>
          <w:rFonts w:eastAsia="Calibri"/>
          <w:lang w:eastAsia="es-ES_tradnl"/>
        </w:rPr>
      </w:pPr>
      <w:r w:rsidRPr="007E0696">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7E0696">
        <w:rPr>
          <w:rFonts w:eastAsia="Calibri"/>
          <w:b/>
          <w:bCs/>
          <w:lang w:eastAsia="es-ES_tradnl"/>
        </w:rPr>
        <w:t>LA PARTE RECURRENTE</w:t>
      </w:r>
      <w:r w:rsidRPr="007E0696">
        <w:rPr>
          <w:rFonts w:eastAsia="Calibri"/>
          <w:lang w:eastAsia="es-ES_tradnl"/>
        </w:rPr>
        <w:t xml:space="preserve"> solicitó lo siguiente</w:t>
      </w:r>
      <w:r w:rsidR="007748E8" w:rsidRPr="007E0696">
        <w:rPr>
          <w:rFonts w:eastAsia="Calibri"/>
          <w:lang w:eastAsia="es-ES_tradnl"/>
        </w:rPr>
        <w:t>:</w:t>
      </w:r>
    </w:p>
    <w:p w14:paraId="17621D50" w14:textId="77777777" w:rsidR="007748E8" w:rsidRPr="007E0696" w:rsidRDefault="007748E8" w:rsidP="007E0696">
      <w:pPr>
        <w:rPr>
          <w:rFonts w:eastAsia="Calibri"/>
          <w:lang w:eastAsia="es-ES_tradnl"/>
        </w:rPr>
      </w:pPr>
    </w:p>
    <w:p w14:paraId="16BEAD0E" w14:textId="3A087F41" w:rsidR="00042DE4" w:rsidRPr="007E0696" w:rsidRDefault="007748E8" w:rsidP="007E0696">
      <w:pPr>
        <w:rPr>
          <w:rFonts w:eastAsia="Calibri"/>
          <w:lang w:eastAsia="es-ES_tradnl"/>
        </w:rPr>
      </w:pPr>
      <w:r w:rsidRPr="007E0696">
        <w:rPr>
          <w:rFonts w:eastAsia="Calibri"/>
          <w:lang w:eastAsia="es-ES_tradnl"/>
        </w:rPr>
        <w:t>Del</w:t>
      </w:r>
      <w:r w:rsidR="003162E4" w:rsidRPr="007E0696">
        <w:rPr>
          <w:rFonts w:eastAsia="Calibri"/>
          <w:lang w:eastAsia="es-ES_tradnl"/>
        </w:rPr>
        <w:t xml:space="preserve"> Organismo Público Descentralizado Municipal para la Prestación de </w:t>
      </w:r>
      <w:r w:rsidR="00876F23" w:rsidRPr="007E0696">
        <w:rPr>
          <w:rFonts w:eastAsia="Calibri"/>
          <w:lang w:eastAsia="es-ES_tradnl"/>
        </w:rPr>
        <w:t>l</w:t>
      </w:r>
      <w:r w:rsidR="003162E4" w:rsidRPr="007E0696">
        <w:rPr>
          <w:rFonts w:eastAsia="Calibri"/>
          <w:lang w:eastAsia="es-ES_tradnl"/>
        </w:rPr>
        <w:t>os Servicios de Agua Potable Drenaje y Tratamiento de Aguas Residuales de Almoloya de Juárez</w:t>
      </w:r>
      <w:r w:rsidR="00876F23" w:rsidRPr="007E0696">
        <w:rPr>
          <w:rFonts w:eastAsia="Calibri"/>
          <w:lang w:eastAsia="es-ES_tradnl"/>
        </w:rPr>
        <w:t>:</w:t>
      </w:r>
    </w:p>
    <w:p w14:paraId="690848E8" w14:textId="77777777" w:rsidR="003162E4" w:rsidRPr="007E0696" w:rsidRDefault="003162E4" w:rsidP="007E0696">
      <w:pPr>
        <w:tabs>
          <w:tab w:val="left" w:pos="4962"/>
        </w:tabs>
        <w:contextualSpacing/>
        <w:rPr>
          <w:rFonts w:eastAsia="Calibri"/>
          <w:lang w:eastAsia="es-ES_tradnl"/>
        </w:rPr>
      </w:pPr>
    </w:p>
    <w:p w14:paraId="7D9D559B" w14:textId="442EC1FF" w:rsidR="00664420" w:rsidRPr="007E0696" w:rsidRDefault="003162E4" w:rsidP="007E0696">
      <w:pPr>
        <w:pStyle w:val="Prrafodelista"/>
        <w:numPr>
          <w:ilvl w:val="0"/>
          <w:numId w:val="30"/>
        </w:numPr>
        <w:tabs>
          <w:tab w:val="left" w:pos="4962"/>
        </w:tabs>
        <w:ind w:right="822"/>
        <w:rPr>
          <w:rFonts w:eastAsia="Calibri" w:cs="Tahoma"/>
          <w:iCs/>
          <w:szCs w:val="22"/>
          <w:lang w:eastAsia="es-ES_tradnl"/>
        </w:rPr>
      </w:pPr>
      <w:r w:rsidRPr="007E0696">
        <w:rPr>
          <w:rFonts w:eastAsia="Calibri"/>
          <w:lang w:eastAsia="es-ES_tradnl"/>
        </w:rPr>
        <w:t>Número de vehículos oficiales con los que cuenta y cuantos están en desuso</w:t>
      </w:r>
      <w:r w:rsidR="00286A18" w:rsidRPr="007E0696">
        <w:rPr>
          <w:rFonts w:eastAsia="Calibri"/>
          <w:lang w:eastAsia="es-ES_tradnl"/>
        </w:rPr>
        <w:t>.</w:t>
      </w:r>
    </w:p>
    <w:p w14:paraId="50D52BAD" w14:textId="35F5CF98" w:rsidR="003162E4" w:rsidRPr="007E0696" w:rsidRDefault="003162E4" w:rsidP="007E0696">
      <w:pPr>
        <w:pStyle w:val="Prrafodelista"/>
        <w:numPr>
          <w:ilvl w:val="0"/>
          <w:numId w:val="30"/>
        </w:numPr>
        <w:tabs>
          <w:tab w:val="left" w:pos="4962"/>
        </w:tabs>
        <w:ind w:right="822"/>
        <w:rPr>
          <w:rFonts w:eastAsia="Calibri" w:cs="Tahoma"/>
          <w:iCs/>
          <w:szCs w:val="22"/>
          <w:lang w:eastAsia="es-ES_tradnl"/>
        </w:rPr>
      </w:pPr>
      <w:r w:rsidRPr="007E0696">
        <w:rPr>
          <w:rFonts w:eastAsia="Calibri"/>
          <w:lang w:eastAsia="es-ES_tradnl"/>
        </w:rPr>
        <w:t>El formato de inventario de vehículos.</w:t>
      </w:r>
    </w:p>
    <w:p w14:paraId="3229D5EF" w14:textId="6E0BB8DA" w:rsidR="003162E4" w:rsidRPr="007E0696" w:rsidRDefault="003162E4" w:rsidP="007E0696">
      <w:pPr>
        <w:pStyle w:val="Prrafodelista"/>
        <w:numPr>
          <w:ilvl w:val="0"/>
          <w:numId w:val="30"/>
        </w:numPr>
        <w:tabs>
          <w:tab w:val="left" w:pos="4962"/>
        </w:tabs>
        <w:ind w:right="822"/>
        <w:rPr>
          <w:rFonts w:eastAsia="Calibri" w:cs="Tahoma"/>
          <w:iCs/>
          <w:szCs w:val="22"/>
          <w:lang w:eastAsia="es-ES_tradnl"/>
        </w:rPr>
      </w:pPr>
      <w:r w:rsidRPr="007E0696">
        <w:rPr>
          <w:rFonts w:eastAsia="Calibri"/>
          <w:lang w:eastAsia="es-ES_tradnl"/>
        </w:rPr>
        <w:t>El gasto de gasolina mensual del primero de enero de 2024 a la fecha de la solicitud.</w:t>
      </w:r>
    </w:p>
    <w:p w14:paraId="52BF81F9" w14:textId="1558339F" w:rsidR="003162E4" w:rsidRPr="007E0696" w:rsidRDefault="003162E4" w:rsidP="007E0696">
      <w:pPr>
        <w:pStyle w:val="Prrafodelista"/>
        <w:numPr>
          <w:ilvl w:val="0"/>
          <w:numId w:val="30"/>
        </w:numPr>
        <w:tabs>
          <w:tab w:val="left" w:pos="4962"/>
        </w:tabs>
        <w:ind w:right="822"/>
        <w:rPr>
          <w:rFonts w:eastAsia="Calibri" w:cs="Tahoma"/>
          <w:iCs/>
          <w:szCs w:val="22"/>
          <w:lang w:eastAsia="es-ES_tradnl"/>
        </w:rPr>
      </w:pPr>
      <w:r w:rsidRPr="007E0696">
        <w:rPr>
          <w:rFonts w:eastAsia="Calibri"/>
          <w:lang w:eastAsia="es-ES_tradnl"/>
        </w:rPr>
        <w:t>Copia de los vales de gasolina o documento donde se plasme la cantidad y vehículo que se le asigna dicho combustible.</w:t>
      </w:r>
    </w:p>
    <w:p w14:paraId="73C111AE" w14:textId="2D159FCF" w:rsidR="003162E4" w:rsidRPr="007E0696" w:rsidRDefault="003162E4" w:rsidP="007E0696">
      <w:pPr>
        <w:pStyle w:val="Prrafodelista"/>
        <w:numPr>
          <w:ilvl w:val="0"/>
          <w:numId w:val="30"/>
        </w:numPr>
        <w:tabs>
          <w:tab w:val="left" w:pos="4962"/>
        </w:tabs>
        <w:ind w:right="822"/>
        <w:rPr>
          <w:rFonts w:eastAsia="Calibri" w:cs="Tahoma"/>
          <w:iCs/>
          <w:szCs w:val="22"/>
          <w:lang w:eastAsia="es-ES_tradnl"/>
        </w:rPr>
      </w:pPr>
      <w:r w:rsidRPr="007E0696">
        <w:rPr>
          <w:rFonts w:eastAsia="Calibri" w:cs="Tahoma"/>
          <w:iCs/>
          <w:szCs w:val="22"/>
          <w:lang w:eastAsia="es-ES_tradnl"/>
        </w:rPr>
        <w:t xml:space="preserve">Kilometraje de cada uno de los vehículos oficiales del </w:t>
      </w:r>
      <w:r w:rsidR="00EC57F5" w:rsidRPr="007E0696">
        <w:rPr>
          <w:rFonts w:eastAsia="Calibri" w:cs="Tahoma"/>
          <w:iCs/>
          <w:szCs w:val="22"/>
          <w:lang w:eastAsia="es-ES_tradnl"/>
        </w:rPr>
        <w:t>O</w:t>
      </w:r>
      <w:r w:rsidRPr="007E0696">
        <w:rPr>
          <w:rFonts w:eastAsia="Calibri" w:cs="Tahoma"/>
          <w:iCs/>
          <w:szCs w:val="22"/>
          <w:lang w:eastAsia="es-ES_tradnl"/>
        </w:rPr>
        <w:t>rganismo.</w:t>
      </w:r>
    </w:p>
    <w:p w14:paraId="6FBC4406" w14:textId="1097F263" w:rsidR="003162E4" w:rsidRPr="007E0696" w:rsidRDefault="003162E4" w:rsidP="007E0696">
      <w:pPr>
        <w:pStyle w:val="Prrafodelista"/>
        <w:numPr>
          <w:ilvl w:val="0"/>
          <w:numId w:val="30"/>
        </w:numPr>
        <w:tabs>
          <w:tab w:val="left" w:pos="4962"/>
        </w:tabs>
        <w:spacing w:after="240"/>
        <w:ind w:right="822"/>
        <w:rPr>
          <w:rFonts w:eastAsia="Calibri" w:cs="Tahoma"/>
          <w:iCs/>
          <w:szCs w:val="22"/>
          <w:lang w:eastAsia="es-ES_tradnl"/>
        </w:rPr>
      </w:pPr>
      <w:r w:rsidRPr="007E0696">
        <w:rPr>
          <w:rFonts w:eastAsia="Calibri" w:cs="Tahoma"/>
          <w:iCs/>
          <w:szCs w:val="22"/>
          <w:lang w:eastAsia="es-ES_tradnl"/>
        </w:rPr>
        <w:t>Saber si el uso de los vehículos oficiales se ocupa para uso personal, como el permitirse trasladarse de la casa al trabajo y viceversa.</w:t>
      </w:r>
    </w:p>
    <w:p w14:paraId="4BEBD880" w14:textId="72AEB355" w:rsidR="00664420" w:rsidRPr="007E0696" w:rsidRDefault="00664420" w:rsidP="007E0696">
      <w:pPr>
        <w:tabs>
          <w:tab w:val="left" w:pos="4962"/>
        </w:tabs>
        <w:contextualSpacing/>
        <w:rPr>
          <w:rFonts w:eastAsiaTheme="minorHAnsi" w:cs="Tahoma"/>
          <w:bCs/>
          <w:iCs/>
          <w:szCs w:val="22"/>
          <w:lang w:eastAsia="en-US"/>
        </w:rPr>
      </w:pPr>
      <w:r w:rsidRPr="007E0696">
        <w:rPr>
          <w:rFonts w:eastAsiaTheme="minorHAnsi" w:cs="Tahoma"/>
          <w:bCs/>
          <w:iCs/>
          <w:szCs w:val="22"/>
          <w:lang w:eastAsia="en-US"/>
        </w:rPr>
        <w:t xml:space="preserve">En respuesta, </w:t>
      </w:r>
      <w:r w:rsidR="005D5A50" w:rsidRPr="007E0696">
        <w:rPr>
          <w:rFonts w:eastAsiaTheme="minorHAnsi" w:cs="Tahoma"/>
          <w:b/>
          <w:iCs/>
          <w:szCs w:val="22"/>
          <w:lang w:eastAsia="en-US"/>
        </w:rPr>
        <w:t>EL SUJETO OBLIGADO</w:t>
      </w:r>
      <w:r w:rsidRPr="007E0696">
        <w:rPr>
          <w:rFonts w:eastAsiaTheme="minorHAnsi" w:cs="Tahoma"/>
          <w:bCs/>
          <w:iCs/>
          <w:szCs w:val="22"/>
          <w:lang w:eastAsia="en-US"/>
        </w:rPr>
        <w:t xml:space="preserve"> </w:t>
      </w:r>
      <w:r w:rsidR="00876F23" w:rsidRPr="007E0696">
        <w:rPr>
          <w:rFonts w:eastAsiaTheme="minorHAnsi" w:cs="Tahoma"/>
          <w:bCs/>
          <w:iCs/>
          <w:szCs w:val="22"/>
          <w:lang w:eastAsia="en-US"/>
        </w:rPr>
        <w:t xml:space="preserve">se pronunció por conducto de la Directora de Admiración y Finanzas del Organismo Público Descentralizado Municipal para la Prestación </w:t>
      </w:r>
      <w:r w:rsidR="00876F23" w:rsidRPr="007E0696">
        <w:rPr>
          <w:rFonts w:eastAsiaTheme="minorHAnsi" w:cs="Tahoma"/>
          <w:bCs/>
          <w:iCs/>
          <w:szCs w:val="22"/>
          <w:lang w:eastAsia="en-US"/>
        </w:rPr>
        <w:lastRenderedPageBreak/>
        <w:t>de los Servicios de Agua Potable Drenaje y Tratamiento de Aguas Residuales de Almoloya de Juárez Registros, respondiendo a cada uno de los cuestionamientos planteados</w:t>
      </w:r>
      <w:r w:rsidR="00286A18" w:rsidRPr="007E0696">
        <w:rPr>
          <w:rFonts w:eastAsiaTheme="minorHAnsi" w:cs="Tahoma"/>
          <w:bCs/>
          <w:iCs/>
          <w:szCs w:val="22"/>
          <w:lang w:eastAsia="en-US"/>
        </w:rPr>
        <w:t>.</w:t>
      </w:r>
    </w:p>
    <w:p w14:paraId="3B6840FD" w14:textId="6EEAE829" w:rsidR="005163F8" w:rsidRPr="007E0696" w:rsidRDefault="00CF7586" w:rsidP="007E0696">
      <w:pPr>
        <w:tabs>
          <w:tab w:val="left" w:pos="4962"/>
        </w:tabs>
        <w:contextualSpacing/>
        <w:rPr>
          <w:rFonts w:eastAsiaTheme="minorHAnsi" w:cs="Tahoma"/>
          <w:bCs/>
          <w:iCs/>
          <w:szCs w:val="22"/>
          <w:lang w:eastAsia="en-US"/>
        </w:rPr>
      </w:pPr>
      <w:r w:rsidRPr="007E0696">
        <w:rPr>
          <w:rFonts w:eastAsiaTheme="minorHAnsi" w:cs="Tahoma"/>
          <w:bCs/>
          <w:iCs/>
          <w:szCs w:val="22"/>
          <w:lang w:eastAsia="en-US"/>
        </w:rPr>
        <w:t xml:space="preserve">Ahora bien, en la interposición del presente recurso </w:t>
      </w:r>
      <w:r w:rsidRPr="007E0696">
        <w:rPr>
          <w:rFonts w:eastAsiaTheme="minorHAnsi" w:cs="Tahoma"/>
          <w:b/>
          <w:iCs/>
          <w:szCs w:val="22"/>
          <w:lang w:eastAsia="en-US"/>
        </w:rPr>
        <w:t>LA PARTE RECURRENTE</w:t>
      </w:r>
      <w:r w:rsidR="00664420" w:rsidRPr="007E0696">
        <w:rPr>
          <w:rFonts w:eastAsiaTheme="minorHAnsi" w:cs="Tahoma"/>
          <w:bCs/>
          <w:iCs/>
          <w:szCs w:val="22"/>
          <w:lang w:eastAsia="en-US"/>
        </w:rPr>
        <w:t xml:space="preserve"> se inconformó </w:t>
      </w:r>
      <w:r w:rsidR="005163F8" w:rsidRPr="007E0696">
        <w:rPr>
          <w:rFonts w:eastAsiaTheme="minorHAnsi" w:cs="Tahoma"/>
          <w:bCs/>
          <w:iCs/>
          <w:szCs w:val="22"/>
          <w:lang w:eastAsia="en-US"/>
        </w:rPr>
        <w:t xml:space="preserve">esencialmente </w:t>
      </w:r>
      <w:r w:rsidR="007748E8" w:rsidRPr="007E0696">
        <w:rPr>
          <w:rFonts w:eastAsiaTheme="minorHAnsi" w:cs="Tahoma"/>
          <w:bCs/>
          <w:iCs/>
          <w:szCs w:val="22"/>
          <w:lang w:eastAsia="en-US"/>
        </w:rPr>
        <w:t xml:space="preserve">que se le entregó de manera incompleta la información, particularmente la correspondiente a los </w:t>
      </w:r>
      <w:r w:rsidR="006D6072" w:rsidRPr="007E0696">
        <w:rPr>
          <w:rFonts w:eastAsiaTheme="minorHAnsi" w:cs="Tahoma"/>
          <w:bCs/>
          <w:iCs/>
          <w:szCs w:val="22"/>
          <w:lang w:eastAsia="en-US"/>
        </w:rPr>
        <w:t>puntos 1 y 2</w:t>
      </w:r>
      <w:r w:rsidR="007748E8" w:rsidRPr="007E0696">
        <w:rPr>
          <w:rFonts w:eastAsiaTheme="minorHAnsi" w:cs="Tahoma"/>
          <w:bCs/>
          <w:iCs/>
          <w:szCs w:val="22"/>
          <w:lang w:eastAsia="en-US"/>
        </w:rPr>
        <w:t>,</w:t>
      </w:r>
      <w:r w:rsidR="006D6072" w:rsidRPr="007E0696">
        <w:rPr>
          <w:rFonts w:eastAsiaTheme="minorHAnsi" w:cs="Tahoma"/>
          <w:bCs/>
          <w:iCs/>
          <w:szCs w:val="22"/>
          <w:lang w:eastAsia="en-US"/>
        </w:rPr>
        <w:t xml:space="preserve"> es decir</w:t>
      </w:r>
      <w:r w:rsidR="007748E8" w:rsidRPr="007E0696">
        <w:rPr>
          <w:rFonts w:eastAsiaTheme="minorHAnsi" w:cs="Tahoma"/>
          <w:bCs/>
          <w:iCs/>
          <w:szCs w:val="22"/>
          <w:lang w:eastAsia="en-US"/>
        </w:rPr>
        <w:t>,</w:t>
      </w:r>
      <w:r w:rsidR="006D6072" w:rsidRPr="007E0696">
        <w:rPr>
          <w:rFonts w:eastAsiaTheme="minorHAnsi" w:cs="Tahoma"/>
          <w:bCs/>
          <w:iCs/>
          <w:szCs w:val="22"/>
          <w:lang w:eastAsia="en-US"/>
        </w:rPr>
        <w:t xml:space="preserve"> del número de vehículos oficiales con los que cuenta</w:t>
      </w:r>
      <w:r w:rsidR="007748E8" w:rsidRPr="007E0696">
        <w:rPr>
          <w:rFonts w:eastAsiaTheme="minorHAnsi" w:cs="Tahoma"/>
          <w:bCs/>
          <w:iCs/>
          <w:szCs w:val="22"/>
          <w:lang w:eastAsia="en-US"/>
        </w:rPr>
        <w:t>,</w:t>
      </w:r>
      <w:r w:rsidR="006D6072" w:rsidRPr="007E0696">
        <w:rPr>
          <w:rFonts w:eastAsiaTheme="minorHAnsi" w:cs="Tahoma"/>
          <w:bCs/>
          <w:iCs/>
          <w:szCs w:val="22"/>
          <w:lang w:eastAsia="en-US"/>
        </w:rPr>
        <w:t xml:space="preserve"> cuantos están en desuso y el formato de inventario de vehículos</w:t>
      </w:r>
      <w:r w:rsidR="007748E8" w:rsidRPr="007E0696">
        <w:rPr>
          <w:rFonts w:eastAsiaTheme="minorHAnsi" w:cs="Tahoma"/>
          <w:bCs/>
          <w:iCs/>
          <w:szCs w:val="22"/>
          <w:lang w:eastAsia="en-US"/>
        </w:rPr>
        <w:t>,</w:t>
      </w:r>
      <w:r w:rsidR="006D6072" w:rsidRPr="007E0696">
        <w:rPr>
          <w:rFonts w:eastAsiaTheme="minorHAnsi" w:cs="Tahoma"/>
          <w:bCs/>
          <w:iCs/>
          <w:szCs w:val="22"/>
          <w:lang w:eastAsia="en-US"/>
        </w:rPr>
        <w:t xml:space="preserve"> de modo </w:t>
      </w:r>
      <w:r w:rsidR="00D72812" w:rsidRPr="007E0696">
        <w:rPr>
          <w:rFonts w:eastAsiaTheme="minorHAnsi" w:cs="Tahoma"/>
          <w:bCs/>
          <w:iCs/>
          <w:szCs w:val="22"/>
          <w:lang w:eastAsia="en-US"/>
        </w:rPr>
        <w:t xml:space="preserve">que solicitó </w:t>
      </w:r>
      <w:r w:rsidR="00932891" w:rsidRPr="007E0696">
        <w:rPr>
          <w:rFonts w:eastAsiaTheme="minorHAnsi" w:cs="Tahoma"/>
          <w:bCs/>
          <w:iCs/>
          <w:szCs w:val="22"/>
          <w:lang w:eastAsia="en-US"/>
        </w:rPr>
        <w:t>por lo que su derecho había sido vulnerado</w:t>
      </w:r>
      <w:r w:rsidR="00D72812" w:rsidRPr="007E0696">
        <w:rPr>
          <w:rFonts w:eastAsiaTheme="minorHAnsi" w:cs="Tahoma"/>
          <w:bCs/>
          <w:iCs/>
          <w:szCs w:val="22"/>
          <w:lang w:eastAsia="en-US"/>
        </w:rPr>
        <w:t>.</w:t>
      </w:r>
    </w:p>
    <w:p w14:paraId="4319F19A" w14:textId="77777777" w:rsidR="00286A18" w:rsidRPr="007E0696" w:rsidRDefault="00286A18" w:rsidP="007E0696">
      <w:pPr>
        <w:tabs>
          <w:tab w:val="left" w:pos="4962"/>
        </w:tabs>
        <w:contextualSpacing/>
        <w:rPr>
          <w:rFonts w:eastAsiaTheme="minorHAnsi" w:cs="Tahoma"/>
          <w:bCs/>
          <w:iCs/>
          <w:szCs w:val="22"/>
          <w:lang w:eastAsia="en-US"/>
        </w:rPr>
      </w:pPr>
    </w:p>
    <w:p w14:paraId="55568653" w14:textId="39C130C6" w:rsidR="00286A18" w:rsidRPr="007E0696" w:rsidRDefault="00F13C9A" w:rsidP="007E0696">
      <w:pPr>
        <w:tabs>
          <w:tab w:val="left" w:pos="4962"/>
        </w:tabs>
        <w:contextualSpacing/>
        <w:rPr>
          <w:rFonts w:eastAsiaTheme="minorHAnsi" w:cs="Tahoma"/>
          <w:bCs/>
          <w:iCs/>
          <w:szCs w:val="22"/>
          <w:lang w:eastAsia="en-US"/>
        </w:rPr>
      </w:pPr>
      <w:r w:rsidRPr="007E0696">
        <w:rPr>
          <w:rFonts w:eastAsiaTheme="minorHAnsi" w:cs="Tahoma"/>
          <w:iCs/>
          <w:szCs w:val="22"/>
          <w:lang w:eastAsia="en-US"/>
        </w:rPr>
        <w:t>Cabe precisar que</w:t>
      </w:r>
      <w:r w:rsidRPr="007E0696">
        <w:rPr>
          <w:rFonts w:eastAsiaTheme="minorHAnsi" w:cs="Tahoma"/>
          <w:b/>
          <w:bCs/>
          <w:iCs/>
          <w:szCs w:val="22"/>
          <w:lang w:eastAsia="en-US"/>
        </w:rPr>
        <w:t xml:space="preserve"> </w:t>
      </w:r>
      <w:r w:rsidR="00286A18" w:rsidRPr="007E0696">
        <w:rPr>
          <w:rFonts w:eastAsiaTheme="minorHAnsi" w:cs="Tahoma"/>
          <w:b/>
          <w:bCs/>
          <w:iCs/>
          <w:szCs w:val="22"/>
          <w:lang w:eastAsia="en-US"/>
        </w:rPr>
        <w:t>EL SUJETO OBLIGADO</w:t>
      </w:r>
      <w:r w:rsidR="00286A18" w:rsidRPr="007E0696">
        <w:rPr>
          <w:rFonts w:eastAsiaTheme="minorHAnsi" w:cs="Tahoma"/>
          <w:bCs/>
          <w:iCs/>
          <w:szCs w:val="22"/>
          <w:lang w:eastAsia="en-US"/>
        </w:rPr>
        <w:t xml:space="preserve"> </w:t>
      </w:r>
      <w:r w:rsidRPr="007E0696">
        <w:rPr>
          <w:rFonts w:eastAsiaTheme="minorHAnsi" w:cs="Tahoma"/>
          <w:bCs/>
          <w:iCs/>
          <w:szCs w:val="22"/>
          <w:lang w:eastAsia="en-US"/>
        </w:rPr>
        <w:t xml:space="preserve">no </w:t>
      </w:r>
      <w:r w:rsidR="00BC341C" w:rsidRPr="007E0696">
        <w:rPr>
          <w:rFonts w:eastAsiaTheme="minorHAnsi" w:cs="Tahoma"/>
          <w:bCs/>
          <w:iCs/>
          <w:szCs w:val="22"/>
          <w:lang w:eastAsia="en-US"/>
        </w:rPr>
        <w:t>rindió su informe justificado correspondiente</w:t>
      </w:r>
      <w:r w:rsidR="00286A18" w:rsidRPr="007E0696">
        <w:rPr>
          <w:rFonts w:eastAsiaTheme="minorHAnsi" w:cs="Tahoma"/>
          <w:bCs/>
          <w:iCs/>
          <w:szCs w:val="22"/>
          <w:lang w:eastAsia="en-US"/>
        </w:rPr>
        <w:t>.</w:t>
      </w:r>
    </w:p>
    <w:p w14:paraId="5E343620" w14:textId="77777777" w:rsidR="005163F8" w:rsidRPr="007E0696" w:rsidRDefault="005163F8" w:rsidP="007E0696">
      <w:pPr>
        <w:tabs>
          <w:tab w:val="left" w:pos="4962"/>
        </w:tabs>
        <w:contextualSpacing/>
        <w:rPr>
          <w:rFonts w:eastAsiaTheme="minorHAnsi" w:cs="Tahoma"/>
          <w:bCs/>
          <w:iCs/>
          <w:szCs w:val="22"/>
          <w:lang w:eastAsia="en-US"/>
        </w:rPr>
      </w:pPr>
    </w:p>
    <w:p w14:paraId="414FD2D5" w14:textId="458BC057" w:rsidR="00664420" w:rsidRPr="007E0696" w:rsidRDefault="00A21A20" w:rsidP="007E0696">
      <w:pPr>
        <w:pStyle w:val="Ttulo3"/>
      </w:pPr>
      <w:bookmarkStart w:id="29" w:name="_Toc176438509"/>
      <w:r w:rsidRPr="007E0696">
        <w:t>c)</w:t>
      </w:r>
      <w:r w:rsidR="00664420" w:rsidRPr="007E0696">
        <w:t xml:space="preserve"> </w:t>
      </w:r>
      <w:r w:rsidRPr="007E0696">
        <w:t>Estudio de la controversia</w:t>
      </w:r>
      <w:bookmarkEnd w:id="29"/>
    </w:p>
    <w:p w14:paraId="6C847BED" w14:textId="3B06A7F4" w:rsidR="006D6072" w:rsidRPr="007E0696" w:rsidRDefault="006D6072" w:rsidP="007E0696">
      <w:pPr>
        <w:ind w:right="-93"/>
        <w:rPr>
          <w:rFonts w:eastAsiaTheme="minorHAnsi" w:cs="Tahoma"/>
          <w:bCs/>
          <w:iCs/>
          <w:szCs w:val="22"/>
          <w:lang w:eastAsia="en-US"/>
        </w:rPr>
      </w:pPr>
      <w:r w:rsidRPr="007E0696">
        <w:rPr>
          <w:rFonts w:cs="Tahoma"/>
          <w:bCs/>
          <w:szCs w:val="22"/>
        </w:rPr>
        <w:t>Una vez determinada la controversia a resolver, se procede a desagregar la solicitud en contraste con la información entregada para determinar si se colma o no con la pretensión del recurrente o deviene fundado el argumento del recurrente respecto a que no entregó todo lo solicitado.</w:t>
      </w:r>
    </w:p>
    <w:p w14:paraId="44C264C6" w14:textId="77777777" w:rsidR="00876F23" w:rsidRPr="007E0696" w:rsidRDefault="00876F23" w:rsidP="007E0696">
      <w:pPr>
        <w:rPr>
          <w:rFonts w:eastAsia="Palatino Linotype" w:cs="Palatino Linotype"/>
          <w:sz w:val="24"/>
          <w:szCs w:val="24"/>
        </w:rPr>
      </w:pPr>
    </w:p>
    <w:tbl>
      <w:tblPr>
        <w:tblStyle w:val="Tablaconcuadrcula"/>
        <w:tblW w:w="0" w:type="auto"/>
        <w:jc w:val="center"/>
        <w:tblLook w:val="04A0" w:firstRow="1" w:lastRow="0" w:firstColumn="1" w:lastColumn="0" w:noHBand="0" w:noVBand="1"/>
      </w:tblPr>
      <w:tblGrid>
        <w:gridCol w:w="2532"/>
        <w:gridCol w:w="4388"/>
        <w:gridCol w:w="2114"/>
      </w:tblGrid>
      <w:tr w:rsidR="007E0696" w:rsidRPr="007E0696" w14:paraId="76410729" w14:textId="77777777" w:rsidTr="00EC57F5">
        <w:trPr>
          <w:trHeight w:val="694"/>
          <w:tblHeader/>
          <w:jc w:val="center"/>
        </w:trPr>
        <w:tc>
          <w:tcPr>
            <w:tcW w:w="3256" w:type="dxa"/>
            <w:shd w:val="clear" w:color="auto" w:fill="000000" w:themeFill="text1"/>
          </w:tcPr>
          <w:p w14:paraId="5245B03A" w14:textId="77777777" w:rsidR="00876F23" w:rsidRPr="007E0696" w:rsidRDefault="00876F23" w:rsidP="007E0696">
            <w:pPr>
              <w:ind w:right="-93"/>
              <w:jc w:val="center"/>
              <w:rPr>
                <w:rFonts w:eastAsiaTheme="minorHAnsi" w:cs="Tahoma"/>
                <w:b/>
                <w:bCs/>
                <w:szCs w:val="22"/>
                <w:lang w:eastAsia="en-US"/>
              </w:rPr>
            </w:pPr>
            <w:r w:rsidRPr="007E0696">
              <w:rPr>
                <w:rFonts w:eastAsiaTheme="minorHAnsi" w:cs="Tahoma"/>
                <w:b/>
                <w:bCs/>
                <w:szCs w:val="22"/>
                <w:lang w:eastAsia="en-US"/>
              </w:rPr>
              <w:t>SOLICITUD</w:t>
            </w:r>
          </w:p>
        </w:tc>
        <w:tc>
          <w:tcPr>
            <w:tcW w:w="2976" w:type="dxa"/>
            <w:shd w:val="clear" w:color="auto" w:fill="000000" w:themeFill="text1"/>
          </w:tcPr>
          <w:p w14:paraId="56868027" w14:textId="77777777" w:rsidR="00876F23" w:rsidRPr="007E0696" w:rsidRDefault="00876F23" w:rsidP="007E0696">
            <w:pPr>
              <w:ind w:right="-93"/>
              <w:jc w:val="center"/>
              <w:rPr>
                <w:rFonts w:eastAsiaTheme="minorHAnsi" w:cs="Tahoma"/>
                <w:b/>
                <w:bCs/>
                <w:szCs w:val="22"/>
                <w:lang w:eastAsia="en-US"/>
              </w:rPr>
            </w:pPr>
            <w:r w:rsidRPr="007E0696">
              <w:rPr>
                <w:rFonts w:eastAsiaTheme="minorHAnsi" w:cs="Tahoma"/>
                <w:b/>
                <w:bCs/>
                <w:szCs w:val="22"/>
                <w:lang w:eastAsia="en-US"/>
              </w:rPr>
              <w:t>INFORMACIÓN ENTREGADA</w:t>
            </w:r>
          </w:p>
        </w:tc>
        <w:tc>
          <w:tcPr>
            <w:tcW w:w="2802" w:type="dxa"/>
            <w:shd w:val="clear" w:color="auto" w:fill="000000" w:themeFill="text1"/>
          </w:tcPr>
          <w:p w14:paraId="00EF4545" w14:textId="77777777" w:rsidR="00876F23" w:rsidRPr="007E0696" w:rsidRDefault="00876F23" w:rsidP="007E0696">
            <w:pPr>
              <w:ind w:right="-93"/>
              <w:jc w:val="center"/>
              <w:rPr>
                <w:rFonts w:eastAsiaTheme="minorHAnsi" w:cs="Tahoma"/>
                <w:b/>
                <w:bCs/>
                <w:szCs w:val="22"/>
                <w:lang w:eastAsia="en-US"/>
              </w:rPr>
            </w:pPr>
            <w:r w:rsidRPr="007E0696">
              <w:rPr>
                <w:rFonts w:eastAsiaTheme="minorHAnsi" w:cs="Tahoma"/>
                <w:b/>
                <w:bCs/>
                <w:szCs w:val="22"/>
                <w:lang w:eastAsia="en-US"/>
              </w:rPr>
              <w:t>COLMA SI/NO</w:t>
            </w:r>
          </w:p>
        </w:tc>
      </w:tr>
      <w:tr w:rsidR="007E0696" w:rsidRPr="007E0696" w14:paraId="67E796F9" w14:textId="77777777" w:rsidTr="00EC57F5">
        <w:trPr>
          <w:jc w:val="center"/>
        </w:trPr>
        <w:tc>
          <w:tcPr>
            <w:tcW w:w="3256" w:type="dxa"/>
            <w:vAlign w:val="center"/>
          </w:tcPr>
          <w:p w14:paraId="37BC9859" w14:textId="7A6FF1B8" w:rsidR="00876F23" w:rsidRPr="007E0696" w:rsidRDefault="00EC57F5" w:rsidP="007E0696">
            <w:pPr>
              <w:spacing w:line="240" w:lineRule="auto"/>
              <w:ind w:right="-93"/>
              <w:rPr>
                <w:rFonts w:eastAsiaTheme="minorHAnsi" w:cs="Tahoma"/>
                <w:szCs w:val="22"/>
                <w:lang w:eastAsia="en-US"/>
              </w:rPr>
            </w:pPr>
            <w:r w:rsidRPr="007E0696">
              <w:rPr>
                <w:rFonts w:eastAsiaTheme="minorHAnsi" w:cs="Tahoma"/>
                <w:szCs w:val="22"/>
                <w:lang w:eastAsia="en-US"/>
              </w:rPr>
              <w:t>1-</w:t>
            </w:r>
            <w:r w:rsidRPr="007E0696">
              <w:rPr>
                <w:rFonts w:eastAsiaTheme="minorHAnsi" w:cs="Tahoma"/>
                <w:szCs w:val="22"/>
                <w:lang w:eastAsia="en-US"/>
              </w:rPr>
              <w:tab/>
              <w:t>Número de vehículos oficiales con los que cuenta y cuantos están en desuso.</w:t>
            </w:r>
          </w:p>
        </w:tc>
        <w:tc>
          <w:tcPr>
            <w:tcW w:w="2976" w:type="dxa"/>
            <w:vAlign w:val="center"/>
          </w:tcPr>
          <w:p w14:paraId="592D554A" w14:textId="5FA86061" w:rsidR="00876F23" w:rsidRPr="007E0696" w:rsidRDefault="00EC57F5" w:rsidP="007E0696">
            <w:pPr>
              <w:ind w:right="-93"/>
              <w:jc w:val="center"/>
              <w:rPr>
                <w:rFonts w:eastAsiaTheme="minorHAnsi" w:cs="Tahoma"/>
                <w:szCs w:val="22"/>
                <w:lang w:eastAsia="en-US"/>
              </w:rPr>
            </w:pPr>
            <w:r w:rsidRPr="007E0696">
              <w:rPr>
                <w:rFonts w:eastAsiaTheme="minorHAnsi" w:cs="Tahoma"/>
                <w:szCs w:val="22"/>
                <w:lang w:eastAsia="en-US"/>
              </w:rPr>
              <w:t>Dos en uso</w:t>
            </w:r>
          </w:p>
        </w:tc>
        <w:tc>
          <w:tcPr>
            <w:tcW w:w="2802" w:type="dxa"/>
            <w:vAlign w:val="center"/>
          </w:tcPr>
          <w:p w14:paraId="3B2DD23F" w14:textId="41912B7F" w:rsidR="00876F23" w:rsidRPr="007E0696" w:rsidRDefault="006D6072" w:rsidP="007E0696">
            <w:pPr>
              <w:ind w:right="-93"/>
              <w:jc w:val="center"/>
              <w:rPr>
                <w:rFonts w:eastAsiaTheme="minorHAnsi" w:cs="Tahoma"/>
                <w:szCs w:val="22"/>
                <w:lang w:eastAsia="en-US"/>
              </w:rPr>
            </w:pPr>
            <w:r w:rsidRPr="007E0696">
              <w:rPr>
                <w:rFonts w:eastAsiaTheme="minorHAnsi" w:cs="Tahoma"/>
                <w:szCs w:val="22"/>
                <w:lang w:eastAsia="en-US"/>
              </w:rPr>
              <w:t>Parcialmente</w:t>
            </w:r>
          </w:p>
        </w:tc>
      </w:tr>
      <w:tr w:rsidR="007E0696" w:rsidRPr="007E0696" w14:paraId="6C611477" w14:textId="77777777" w:rsidTr="00EC57F5">
        <w:trPr>
          <w:jc w:val="center"/>
        </w:trPr>
        <w:tc>
          <w:tcPr>
            <w:tcW w:w="3256" w:type="dxa"/>
            <w:vAlign w:val="center"/>
          </w:tcPr>
          <w:p w14:paraId="3A97B15D" w14:textId="56560810" w:rsidR="00876F23" w:rsidRPr="007E0696" w:rsidRDefault="00EC57F5" w:rsidP="007E0696">
            <w:pPr>
              <w:spacing w:line="240" w:lineRule="auto"/>
              <w:ind w:right="-93"/>
              <w:rPr>
                <w:rFonts w:eastAsiaTheme="minorHAnsi" w:cs="Tahoma"/>
                <w:szCs w:val="22"/>
                <w:lang w:eastAsia="en-US"/>
              </w:rPr>
            </w:pPr>
            <w:r w:rsidRPr="007E0696">
              <w:rPr>
                <w:rFonts w:eastAsiaTheme="minorHAnsi" w:cs="Tahoma"/>
                <w:szCs w:val="22"/>
                <w:lang w:eastAsia="en-US"/>
              </w:rPr>
              <w:lastRenderedPageBreak/>
              <w:t>2-</w:t>
            </w:r>
            <w:r w:rsidRPr="007E0696">
              <w:rPr>
                <w:rFonts w:eastAsiaTheme="minorHAnsi" w:cs="Tahoma"/>
                <w:szCs w:val="22"/>
                <w:lang w:eastAsia="en-US"/>
              </w:rPr>
              <w:tab/>
              <w:t>El formato de inventario de vehículos.</w:t>
            </w:r>
          </w:p>
        </w:tc>
        <w:tc>
          <w:tcPr>
            <w:tcW w:w="2976" w:type="dxa"/>
            <w:vAlign w:val="center"/>
          </w:tcPr>
          <w:p w14:paraId="7A23D950" w14:textId="01700AB3" w:rsidR="00876F23" w:rsidRPr="007E0696" w:rsidRDefault="00EC57F5" w:rsidP="007E0696">
            <w:pPr>
              <w:ind w:right="-93"/>
              <w:jc w:val="center"/>
              <w:rPr>
                <w:rFonts w:eastAsiaTheme="minorHAnsi" w:cs="Tahoma"/>
                <w:szCs w:val="22"/>
                <w:lang w:eastAsia="en-US"/>
              </w:rPr>
            </w:pPr>
            <w:r w:rsidRPr="007E0696">
              <w:rPr>
                <w:rFonts w:eastAsiaTheme="minorHAnsi" w:cs="Tahoma"/>
                <w:szCs w:val="22"/>
                <w:lang w:eastAsia="en-US"/>
              </w:rPr>
              <w:t>Se adjunta formato</w:t>
            </w:r>
          </w:p>
        </w:tc>
        <w:tc>
          <w:tcPr>
            <w:tcW w:w="2802" w:type="dxa"/>
            <w:vAlign w:val="center"/>
          </w:tcPr>
          <w:p w14:paraId="4C54CD9E" w14:textId="494D8784" w:rsidR="00876F23" w:rsidRPr="007E0696" w:rsidRDefault="006D6072" w:rsidP="007E0696">
            <w:pPr>
              <w:ind w:right="-93"/>
              <w:jc w:val="center"/>
              <w:rPr>
                <w:rFonts w:eastAsiaTheme="minorHAnsi" w:cs="Tahoma"/>
                <w:szCs w:val="22"/>
                <w:lang w:eastAsia="en-US"/>
              </w:rPr>
            </w:pPr>
            <w:r w:rsidRPr="007E0696">
              <w:rPr>
                <w:rFonts w:eastAsiaTheme="minorHAnsi" w:cs="Tahoma"/>
                <w:szCs w:val="22"/>
                <w:lang w:eastAsia="en-US"/>
              </w:rPr>
              <w:t>Colma</w:t>
            </w:r>
          </w:p>
        </w:tc>
      </w:tr>
      <w:tr w:rsidR="007E0696" w:rsidRPr="007E0696" w14:paraId="71A68A37" w14:textId="77777777" w:rsidTr="00EC57F5">
        <w:trPr>
          <w:jc w:val="center"/>
        </w:trPr>
        <w:tc>
          <w:tcPr>
            <w:tcW w:w="3256" w:type="dxa"/>
            <w:vAlign w:val="center"/>
          </w:tcPr>
          <w:p w14:paraId="635B12EA" w14:textId="4744048D" w:rsidR="00876F23" w:rsidRPr="007E0696" w:rsidRDefault="00EC57F5" w:rsidP="007E0696">
            <w:pPr>
              <w:spacing w:line="240" w:lineRule="auto"/>
              <w:ind w:right="-93"/>
              <w:rPr>
                <w:rFonts w:eastAsiaTheme="minorHAnsi" w:cs="Tahoma"/>
                <w:szCs w:val="22"/>
                <w:lang w:eastAsia="en-US"/>
              </w:rPr>
            </w:pPr>
            <w:r w:rsidRPr="007E0696">
              <w:rPr>
                <w:rFonts w:eastAsiaTheme="minorHAnsi" w:cs="Tahoma"/>
                <w:szCs w:val="22"/>
                <w:lang w:eastAsia="en-US"/>
              </w:rPr>
              <w:t>3-</w:t>
            </w:r>
            <w:r w:rsidRPr="007E0696">
              <w:rPr>
                <w:rFonts w:eastAsiaTheme="minorHAnsi" w:cs="Tahoma"/>
                <w:szCs w:val="22"/>
                <w:lang w:eastAsia="en-US"/>
              </w:rPr>
              <w:tab/>
              <w:t>El gasto de gasolina mensual del primero de enero de 2024 a la fecha de la solicitud.</w:t>
            </w:r>
          </w:p>
        </w:tc>
        <w:tc>
          <w:tcPr>
            <w:tcW w:w="2976" w:type="dxa"/>
            <w:vAlign w:val="center"/>
          </w:tcPr>
          <w:p w14:paraId="45057B8A" w14:textId="01E28ABD" w:rsidR="00876F23" w:rsidRPr="007E0696" w:rsidRDefault="00EC57F5" w:rsidP="007E0696">
            <w:pPr>
              <w:ind w:right="-93"/>
              <w:rPr>
                <w:rFonts w:eastAsiaTheme="minorHAnsi" w:cs="Tahoma"/>
                <w:szCs w:val="22"/>
                <w:lang w:eastAsia="en-US"/>
              </w:rPr>
            </w:pPr>
            <w:r w:rsidRPr="007E0696">
              <w:rPr>
                <w:rFonts w:eastAsiaTheme="minorHAnsi" w:cs="Tahoma"/>
                <w:noProof/>
                <w:szCs w:val="22"/>
                <w:lang w:eastAsia="es-MX"/>
              </w:rPr>
              <w:drawing>
                <wp:anchor distT="0" distB="0" distL="114300" distR="114300" simplePos="0" relativeHeight="251670528" behindDoc="0" locked="0" layoutInCell="1" allowOverlap="1" wp14:anchorId="6AF11DCB" wp14:editId="4D79A2F7">
                  <wp:simplePos x="0" y="0"/>
                  <wp:positionH relativeFrom="column">
                    <wp:posOffset>18415</wp:posOffset>
                  </wp:positionH>
                  <wp:positionV relativeFrom="paragraph">
                    <wp:posOffset>-1491615</wp:posOffset>
                  </wp:positionV>
                  <wp:extent cx="2649220" cy="1486535"/>
                  <wp:effectExtent l="0" t="0" r="0"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649220" cy="1486535"/>
                          </a:xfrm>
                          <a:prstGeom prst="rect">
                            <a:avLst/>
                          </a:prstGeom>
                        </pic:spPr>
                      </pic:pic>
                    </a:graphicData>
                  </a:graphic>
                  <wp14:sizeRelH relativeFrom="margin">
                    <wp14:pctWidth>0</wp14:pctWidth>
                  </wp14:sizeRelH>
                  <wp14:sizeRelV relativeFrom="margin">
                    <wp14:pctHeight>0</wp14:pctHeight>
                  </wp14:sizeRelV>
                </wp:anchor>
              </w:drawing>
            </w:r>
          </w:p>
        </w:tc>
        <w:tc>
          <w:tcPr>
            <w:tcW w:w="2802" w:type="dxa"/>
            <w:vAlign w:val="center"/>
          </w:tcPr>
          <w:p w14:paraId="7E613120" w14:textId="63D41248" w:rsidR="00876F23" w:rsidRPr="007E0696" w:rsidRDefault="006D6072" w:rsidP="007E0696">
            <w:pPr>
              <w:ind w:right="-93"/>
              <w:jc w:val="center"/>
              <w:rPr>
                <w:rFonts w:eastAsiaTheme="minorHAnsi" w:cs="Tahoma"/>
                <w:szCs w:val="22"/>
                <w:lang w:eastAsia="en-US"/>
              </w:rPr>
            </w:pPr>
            <w:r w:rsidRPr="007E0696">
              <w:rPr>
                <w:rFonts w:eastAsiaTheme="minorHAnsi" w:cs="Tahoma"/>
                <w:szCs w:val="22"/>
                <w:lang w:eastAsia="en-US"/>
              </w:rPr>
              <w:t>Actos Consentidos</w:t>
            </w:r>
          </w:p>
        </w:tc>
      </w:tr>
      <w:tr w:rsidR="007E0696" w:rsidRPr="007E0696" w14:paraId="3716BCB7" w14:textId="77777777" w:rsidTr="00EC57F5">
        <w:trPr>
          <w:jc w:val="center"/>
        </w:trPr>
        <w:tc>
          <w:tcPr>
            <w:tcW w:w="3256" w:type="dxa"/>
            <w:vAlign w:val="center"/>
          </w:tcPr>
          <w:p w14:paraId="1D1147E9" w14:textId="463F8C16" w:rsidR="00876F23" w:rsidRPr="007E0696" w:rsidRDefault="00EC57F5" w:rsidP="007E0696">
            <w:pPr>
              <w:spacing w:line="240" w:lineRule="auto"/>
              <w:ind w:right="-93"/>
            </w:pPr>
            <w:r w:rsidRPr="007E0696">
              <w:t>4-</w:t>
            </w:r>
            <w:r w:rsidRPr="007E0696">
              <w:tab/>
              <w:t>Copia de los vales de gasolina o documento donde se plasme la cantidad y vehículo que se le asigna dicho combustible.</w:t>
            </w:r>
          </w:p>
        </w:tc>
        <w:tc>
          <w:tcPr>
            <w:tcW w:w="2976" w:type="dxa"/>
            <w:vAlign w:val="center"/>
          </w:tcPr>
          <w:p w14:paraId="3B0066B9" w14:textId="320E77D5" w:rsidR="00876F23" w:rsidRPr="007E0696" w:rsidRDefault="00EC57F5" w:rsidP="007E0696">
            <w:pPr>
              <w:ind w:right="-93"/>
              <w:jc w:val="center"/>
              <w:rPr>
                <w:rFonts w:cs="Tahoma"/>
              </w:rPr>
            </w:pPr>
            <w:r w:rsidRPr="007E0696">
              <w:rPr>
                <w:rFonts w:eastAsiaTheme="minorHAnsi" w:cs="Tahoma"/>
                <w:szCs w:val="22"/>
                <w:lang w:eastAsia="en-US"/>
              </w:rPr>
              <w:t>Se adjunta formato</w:t>
            </w:r>
          </w:p>
        </w:tc>
        <w:tc>
          <w:tcPr>
            <w:tcW w:w="2802" w:type="dxa"/>
            <w:vAlign w:val="center"/>
          </w:tcPr>
          <w:p w14:paraId="1971A013" w14:textId="55B06258" w:rsidR="00876F23" w:rsidRPr="007E0696" w:rsidRDefault="006D6072" w:rsidP="007E0696">
            <w:pPr>
              <w:ind w:right="-93"/>
              <w:jc w:val="center"/>
              <w:rPr>
                <w:rFonts w:eastAsiaTheme="minorHAnsi" w:cs="Tahoma"/>
                <w:szCs w:val="22"/>
                <w:lang w:eastAsia="en-US"/>
              </w:rPr>
            </w:pPr>
            <w:r w:rsidRPr="007E0696">
              <w:rPr>
                <w:rFonts w:eastAsiaTheme="minorHAnsi" w:cs="Tahoma"/>
                <w:szCs w:val="22"/>
                <w:lang w:eastAsia="en-US"/>
              </w:rPr>
              <w:t>Actos Consentidos</w:t>
            </w:r>
          </w:p>
        </w:tc>
      </w:tr>
      <w:tr w:rsidR="007E0696" w:rsidRPr="007E0696" w14:paraId="595A0C0D" w14:textId="77777777" w:rsidTr="00EC57F5">
        <w:trPr>
          <w:jc w:val="center"/>
        </w:trPr>
        <w:tc>
          <w:tcPr>
            <w:tcW w:w="3256" w:type="dxa"/>
            <w:vAlign w:val="center"/>
          </w:tcPr>
          <w:p w14:paraId="3DE1AD8D" w14:textId="7ABD272E" w:rsidR="00EC57F5" w:rsidRPr="007E0696" w:rsidRDefault="00EC57F5" w:rsidP="007E0696">
            <w:pPr>
              <w:spacing w:line="240" w:lineRule="auto"/>
              <w:ind w:right="-93"/>
            </w:pPr>
            <w:r w:rsidRPr="007E0696">
              <w:t>5-</w:t>
            </w:r>
            <w:r w:rsidRPr="007E0696">
              <w:tab/>
              <w:t>Kilometraje de cada uno de los vehículos oficiales del organismo.</w:t>
            </w:r>
          </w:p>
        </w:tc>
        <w:tc>
          <w:tcPr>
            <w:tcW w:w="2976" w:type="dxa"/>
            <w:vAlign w:val="center"/>
          </w:tcPr>
          <w:p w14:paraId="15CBBF16" w14:textId="4F512050" w:rsidR="00EC57F5" w:rsidRPr="007E0696" w:rsidRDefault="006D6072" w:rsidP="007E0696">
            <w:pPr>
              <w:ind w:right="-93"/>
              <w:jc w:val="center"/>
              <w:rPr>
                <w:rFonts w:cs="Tahoma"/>
              </w:rPr>
            </w:pPr>
            <w:r w:rsidRPr="007E0696">
              <w:rPr>
                <w:rFonts w:cs="Tahoma"/>
              </w:rPr>
              <w:t>No funcionan</w:t>
            </w:r>
          </w:p>
        </w:tc>
        <w:tc>
          <w:tcPr>
            <w:tcW w:w="2802" w:type="dxa"/>
            <w:vAlign w:val="center"/>
          </w:tcPr>
          <w:p w14:paraId="446E5FB2" w14:textId="5882B9EE" w:rsidR="00EC57F5" w:rsidRPr="007E0696" w:rsidRDefault="006D6072" w:rsidP="007E0696">
            <w:pPr>
              <w:ind w:right="-93"/>
              <w:jc w:val="center"/>
              <w:rPr>
                <w:rFonts w:eastAsiaTheme="minorHAnsi" w:cs="Tahoma"/>
                <w:szCs w:val="22"/>
                <w:lang w:eastAsia="en-US"/>
              </w:rPr>
            </w:pPr>
            <w:r w:rsidRPr="007E0696">
              <w:rPr>
                <w:rFonts w:eastAsiaTheme="minorHAnsi" w:cs="Tahoma"/>
                <w:szCs w:val="22"/>
                <w:lang w:eastAsia="en-US"/>
              </w:rPr>
              <w:t>Actos Consentidos</w:t>
            </w:r>
          </w:p>
        </w:tc>
      </w:tr>
      <w:tr w:rsidR="00EC57F5" w:rsidRPr="007E0696" w14:paraId="5F7792BE" w14:textId="77777777" w:rsidTr="00EC57F5">
        <w:trPr>
          <w:jc w:val="center"/>
        </w:trPr>
        <w:tc>
          <w:tcPr>
            <w:tcW w:w="3256" w:type="dxa"/>
            <w:vAlign w:val="center"/>
          </w:tcPr>
          <w:p w14:paraId="36A8726F" w14:textId="2FFC24CF" w:rsidR="00EC57F5" w:rsidRPr="007E0696" w:rsidRDefault="00EC57F5" w:rsidP="007E0696">
            <w:pPr>
              <w:spacing w:line="240" w:lineRule="auto"/>
              <w:ind w:right="-93"/>
            </w:pPr>
            <w:r w:rsidRPr="007E0696">
              <w:t>6-</w:t>
            </w:r>
            <w:r w:rsidRPr="007E0696">
              <w:tab/>
              <w:t>Saber si el uso de los vehículos oficiales se ocupa para uso personal, como el permitirse trasladarse de la casa al trabajo y viceversa</w:t>
            </w:r>
          </w:p>
        </w:tc>
        <w:tc>
          <w:tcPr>
            <w:tcW w:w="2976" w:type="dxa"/>
            <w:vAlign w:val="center"/>
          </w:tcPr>
          <w:p w14:paraId="773ACA23" w14:textId="31536AAC" w:rsidR="00EC57F5" w:rsidRPr="007E0696" w:rsidRDefault="006D6072" w:rsidP="007E0696">
            <w:pPr>
              <w:ind w:right="-93"/>
              <w:jc w:val="center"/>
              <w:rPr>
                <w:rFonts w:cs="Tahoma"/>
              </w:rPr>
            </w:pPr>
            <w:r w:rsidRPr="007E0696">
              <w:rPr>
                <w:rFonts w:cs="Tahoma"/>
              </w:rPr>
              <w:t>No</w:t>
            </w:r>
          </w:p>
        </w:tc>
        <w:tc>
          <w:tcPr>
            <w:tcW w:w="2802" w:type="dxa"/>
            <w:vAlign w:val="center"/>
          </w:tcPr>
          <w:p w14:paraId="25699B4D" w14:textId="4454A6D4" w:rsidR="00EC57F5" w:rsidRPr="007E0696" w:rsidRDefault="006D6072" w:rsidP="007E0696">
            <w:pPr>
              <w:ind w:right="-93"/>
              <w:jc w:val="center"/>
              <w:rPr>
                <w:rFonts w:eastAsiaTheme="minorHAnsi" w:cs="Tahoma"/>
                <w:szCs w:val="22"/>
                <w:lang w:eastAsia="en-US"/>
              </w:rPr>
            </w:pPr>
            <w:r w:rsidRPr="007E0696">
              <w:rPr>
                <w:rFonts w:eastAsiaTheme="minorHAnsi" w:cs="Tahoma"/>
                <w:szCs w:val="22"/>
                <w:lang w:eastAsia="en-US"/>
              </w:rPr>
              <w:t>Actos Consentidos</w:t>
            </w:r>
          </w:p>
        </w:tc>
      </w:tr>
    </w:tbl>
    <w:p w14:paraId="681F5D0F" w14:textId="77777777" w:rsidR="00876F23" w:rsidRPr="007E0696" w:rsidRDefault="00876F23" w:rsidP="007E0696">
      <w:pPr>
        <w:rPr>
          <w:rFonts w:eastAsia="Palatino Linotype" w:cs="Palatino Linotype"/>
          <w:sz w:val="24"/>
          <w:szCs w:val="24"/>
        </w:rPr>
      </w:pPr>
    </w:p>
    <w:p w14:paraId="32176B92" w14:textId="26F06B78" w:rsidR="007D2634" w:rsidRPr="007E0696" w:rsidRDefault="007D2634" w:rsidP="007E0696">
      <w:pPr>
        <w:spacing w:before="100" w:beforeAutospacing="1" w:after="100" w:afterAutospacing="1"/>
        <w:rPr>
          <w:rFonts w:cs="Arial"/>
          <w:i/>
        </w:rPr>
      </w:pPr>
      <w:r w:rsidRPr="007E0696">
        <w:lastRenderedPageBreak/>
        <w:t xml:space="preserve">Como puede advertirse </w:t>
      </w:r>
      <w:r w:rsidRPr="007E0696">
        <w:rPr>
          <w:b/>
          <w:lang w:val="es-ES_tradnl"/>
        </w:rPr>
        <w:t xml:space="preserve">LA PARTE RECURRENTE </w:t>
      </w:r>
      <w:r w:rsidRPr="007E0696">
        <w:rPr>
          <w:lang w:val="es-ES_tradnl"/>
        </w:rPr>
        <w:t xml:space="preserve">únicamente se adolece respecto a que no se dio respuesta a los puntos 1 y 2, por lo tanto no se hará pronunciamiento sobre la información entregada por </w:t>
      </w:r>
      <w:r w:rsidRPr="007E0696">
        <w:rPr>
          <w:b/>
          <w:lang w:val="es-ES_tradnl"/>
        </w:rPr>
        <w:t xml:space="preserve">EL SUJETO OBLIGADO </w:t>
      </w:r>
      <w:r w:rsidRPr="007E0696">
        <w:rPr>
          <w:lang w:val="es-ES_tradnl"/>
        </w:rPr>
        <w:t xml:space="preserve">por no ser materia de impugnación, lo anterior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47869562" w14:textId="77777777" w:rsidR="007D2634" w:rsidRPr="007E0696" w:rsidRDefault="007D2634" w:rsidP="007E0696">
      <w:pPr>
        <w:spacing w:before="100" w:beforeAutospacing="1" w:after="100" w:afterAutospacing="1"/>
        <w:rPr>
          <w:lang w:val="es-ES_tradnl"/>
        </w:rPr>
      </w:pPr>
      <w:r w:rsidRPr="007E0696">
        <w:rPr>
          <w:lang w:val="es-ES_tradnl"/>
        </w:rPr>
        <w:t>Sirve de sustento, la tesis jurisprudencial número VI.3o.C. J/60, publicada en el Semanario Judicial de la Federación y su Gaceta bajo el número de registro 176,608 que a la letra dice:</w:t>
      </w:r>
    </w:p>
    <w:p w14:paraId="111DA62C" w14:textId="77777777" w:rsidR="007D2634" w:rsidRPr="007E0696" w:rsidRDefault="007D2634" w:rsidP="007E0696">
      <w:pPr>
        <w:spacing w:line="240" w:lineRule="auto"/>
        <w:ind w:left="851" w:right="822"/>
        <w:rPr>
          <w:i/>
          <w:lang w:val="es-ES_tradnl"/>
        </w:rPr>
      </w:pPr>
      <w:r w:rsidRPr="007E0696">
        <w:rPr>
          <w:b/>
          <w:bCs/>
          <w:i/>
          <w:lang w:val="es-ES_tradnl"/>
        </w:rPr>
        <w:t xml:space="preserve">“ACTOS CONSENTIDOS. SON LOS QUE NO SE IMPUGNAN MEDIANTE EL RECURSO IDÓNEO. </w:t>
      </w:r>
      <w:r w:rsidRPr="007E0696">
        <w:rPr>
          <w:i/>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97CAA18" w14:textId="77777777" w:rsidR="007D2634" w:rsidRPr="007E0696" w:rsidRDefault="007D2634" w:rsidP="007E0696">
      <w:pPr>
        <w:rPr>
          <w:i/>
          <w:lang w:val="es-ES_tradnl"/>
        </w:rPr>
      </w:pPr>
    </w:p>
    <w:p w14:paraId="7E9638D3" w14:textId="77777777" w:rsidR="007D2634" w:rsidRPr="007E0696" w:rsidRDefault="007D2634" w:rsidP="007E0696">
      <w:pPr>
        <w:spacing w:before="100" w:beforeAutospacing="1" w:after="100" w:afterAutospacing="1"/>
        <w:rPr>
          <w:lang w:val="es-ES_tradnl"/>
        </w:rPr>
      </w:pPr>
      <w:r w:rsidRPr="007E0696">
        <w:rPr>
          <w:lang w:val="es-ES_tradnl"/>
        </w:rPr>
        <w:lastRenderedPageBreak/>
        <w:t>Lo anterior es así, debido a que cuando el particular</w:t>
      </w:r>
      <w:r w:rsidRPr="007E0696">
        <w:rPr>
          <w:b/>
          <w:lang w:val="es-ES_tradnl"/>
        </w:rPr>
        <w:t xml:space="preserve"> </w:t>
      </w:r>
      <w:r w:rsidRPr="007E0696">
        <w:rPr>
          <w:lang w:val="es-ES_tradnl"/>
        </w:rPr>
        <w:t xml:space="preserve">impugnó la respuesta del </w:t>
      </w:r>
      <w:r w:rsidRPr="007E0696">
        <w:rPr>
          <w:b/>
          <w:lang w:val="es-ES_tradnl"/>
        </w:rPr>
        <w:t>SUJETO OBLIGADO</w:t>
      </w:r>
      <w:r w:rsidRPr="007E0696">
        <w:rPr>
          <w:lang w:val="es-ES_tradnl"/>
        </w:rPr>
        <w:t xml:space="preserve">, y no expresó razón o motivo de inconformidad en contra de todos los rubros solicitados, dichos rubros deben declararse atendidos, pues se entiende que </w:t>
      </w:r>
      <w:r w:rsidRPr="007E0696">
        <w:rPr>
          <w:b/>
          <w:lang w:val="es-ES_tradnl"/>
        </w:rPr>
        <w:t>EL RECURRENTE</w:t>
      </w:r>
      <w:r w:rsidRPr="007E0696">
        <w:rPr>
          <w:lang w:val="es-ES_tradnl"/>
        </w:rPr>
        <w:t xml:space="preserve"> está conforme con la respuesta proporcionada por </w:t>
      </w:r>
      <w:r w:rsidRPr="007E0696">
        <w:rPr>
          <w:b/>
          <w:lang w:val="es-ES_tradnl"/>
        </w:rPr>
        <w:t>EL SUJETO OBLIGADO,</w:t>
      </w:r>
      <w:r w:rsidRPr="007E0696">
        <w:rPr>
          <w:lang w:val="es-ES_tradnl"/>
        </w:rPr>
        <w:t xml:space="preserve"> al no contravenir la misma. </w:t>
      </w:r>
    </w:p>
    <w:p w14:paraId="640EFC3F" w14:textId="77777777" w:rsidR="007D2634" w:rsidRPr="007E0696" w:rsidRDefault="007D2634" w:rsidP="007E0696">
      <w:pPr>
        <w:spacing w:before="100" w:beforeAutospacing="1" w:after="100" w:afterAutospacing="1"/>
        <w:rPr>
          <w:lang w:val="es-ES_tradnl"/>
        </w:rPr>
      </w:pPr>
      <w:r w:rsidRPr="007E0696">
        <w:rPr>
          <w:lang w:val="es-ES_tradnl"/>
        </w:rPr>
        <w:t>Atento a ello, es importante traer a contexto la Tesis Jurisprudencial Número 3ª./J.7/91, Publicada en el Semanario Judicial de la Federación y su Gaceta bajo el número de registro 174,177, que establece lo siguiente:</w:t>
      </w:r>
    </w:p>
    <w:p w14:paraId="2DEFF7FF" w14:textId="77777777" w:rsidR="007D2634" w:rsidRPr="007E0696" w:rsidRDefault="007D2634" w:rsidP="007E0696">
      <w:pPr>
        <w:spacing w:line="240" w:lineRule="auto"/>
        <w:ind w:left="851" w:right="822"/>
        <w:rPr>
          <w:bCs/>
          <w:i/>
          <w:iCs/>
          <w:lang w:val="es-ES_tradnl"/>
        </w:rPr>
      </w:pPr>
      <w:r w:rsidRPr="007E0696">
        <w:rPr>
          <w:b/>
          <w:i/>
          <w:lang w:val="es-ES_tradnl"/>
        </w:rPr>
        <w:t xml:space="preserve">“REVISIÓN EN AMPARO. LOS RESOLUTIVOS NO COMBATIDOS DEBEN DECLARARSE FIRMES. </w:t>
      </w:r>
      <w:r w:rsidRPr="007E0696">
        <w:rPr>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7E0696">
        <w:rPr>
          <w:i/>
          <w:lang w:val="es-ES_tradnl"/>
        </w:rPr>
        <w:t>todos</w:t>
      </w:r>
      <w:r w:rsidRPr="007E0696">
        <w:rPr>
          <w:bCs/>
          <w:i/>
          <w:iCs/>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1911E5F" w14:textId="2C36618F" w:rsidR="007D2634" w:rsidRPr="007E0696" w:rsidRDefault="007D2634" w:rsidP="007E0696">
      <w:pPr>
        <w:spacing w:before="100" w:beforeAutospacing="1" w:after="100" w:afterAutospacing="1"/>
        <w:rPr>
          <w:lang w:val="es-ES_tradnl"/>
        </w:rPr>
      </w:pPr>
      <w:r w:rsidRPr="007E0696">
        <w:rPr>
          <w:lang w:val="es-ES_tradnl"/>
        </w:rPr>
        <w:t xml:space="preserve">Para mayor precisión a lo aquí expuesto, lo anterior guarda relación toda vez que en el caso de que </w:t>
      </w:r>
      <w:r w:rsidRPr="007E0696">
        <w:rPr>
          <w:b/>
          <w:lang w:val="es-ES_tradnl"/>
        </w:rPr>
        <w:t>LA PARTE RECURRENTE</w:t>
      </w:r>
      <w:r w:rsidRPr="007E0696">
        <w:rPr>
          <w:lang w:val="es-ES_tradnl"/>
        </w:rPr>
        <w:t xml:space="preserv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w:t>
      </w:r>
      <w:r w:rsidRPr="007E0696">
        <w:rPr>
          <w:lang w:val="es-ES_tradnl"/>
        </w:rPr>
        <w:lastRenderedPageBreak/>
        <w:t>quedaron firmes. Situación, que se robustece con el Criterio 01/20, emitido por el Instituto Nacional de Transparencia, Acceso a la Información y Protección de Datos Personales, que establece lo siguiente:</w:t>
      </w:r>
    </w:p>
    <w:p w14:paraId="43BCFA62" w14:textId="77777777" w:rsidR="007D2634" w:rsidRPr="007E0696" w:rsidRDefault="007D2634" w:rsidP="007E0696">
      <w:pPr>
        <w:spacing w:after="240" w:line="240" w:lineRule="auto"/>
        <w:ind w:left="851" w:right="822"/>
        <w:rPr>
          <w:bCs/>
          <w:i/>
        </w:rPr>
      </w:pPr>
      <w:r w:rsidRPr="007E0696">
        <w:rPr>
          <w:b/>
          <w:bCs/>
          <w:i/>
        </w:rPr>
        <w:t xml:space="preserve">“Actos consentidos tácitamente. Improcedencia de su análisis. </w:t>
      </w:r>
      <w:r w:rsidRPr="007E0696">
        <w:rPr>
          <w:bCs/>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455564FD" w14:textId="26960E9B" w:rsidR="007D2634" w:rsidRPr="007E0696" w:rsidRDefault="007D2634" w:rsidP="007E0696">
      <w:pPr>
        <w:rPr>
          <w:rFonts w:cs="Arial"/>
          <w:i/>
        </w:rPr>
      </w:pPr>
      <w:r w:rsidRPr="007E0696">
        <w:t xml:space="preserve">Conforme al Criterio establecido y a todo lo antes expuesto, este Órgano Garante no entra al análisis de las partes de la respuesta del </w:t>
      </w:r>
      <w:r w:rsidRPr="007E0696">
        <w:rPr>
          <w:b/>
        </w:rPr>
        <w:t>SUJETO OBLIGADO</w:t>
      </w:r>
      <w:r w:rsidRPr="007E0696">
        <w:t xml:space="preserve"> que no fueron impugnadas por el Recurrente</w:t>
      </w:r>
      <w:r w:rsidRPr="007E0696">
        <w:rPr>
          <w:bCs/>
        </w:rPr>
        <w:t xml:space="preserve">; por lo que, en el presente caso, se tiene por consentida la información solicitada consistentes en: </w:t>
      </w:r>
      <w:r w:rsidRPr="007E0696">
        <w:rPr>
          <w:bCs/>
          <w:i/>
          <w:iCs/>
        </w:rPr>
        <w:t>e</w:t>
      </w:r>
      <w:r w:rsidRPr="007E0696">
        <w:rPr>
          <w:rFonts w:cs="Arial"/>
          <w:i/>
          <w:iCs/>
        </w:rPr>
        <w:t>l</w:t>
      </w:r>
      <w:r w:rsidRPr="007E0696">
        <w:rPr>
          <w:rFonts w:cs="Arial"/>
          <w:i/>
        </w:rPr>
        <w:t xml:space="preserve"> gasto de gasolina mensual del primero de enero de 2024 a la fecha de la solicitud, copia de los vales de gasolina o documento donde se plasme la cantidad y vehículo que se le asigna dicho combustible; Kilometraje de cada uno de los vehículos oficiales del Organismo y saber si el uso de los vehículos oficiales se ocupa para uso personal, como el permitirse trasladarse de la casa al trabajo y viceversa.</w:t>
      </w:r>
    </w:p>
    <w:p w14:paraId="75B0613D" w14:textId="77777777" w:rsidR="00D22E55" w:rsidRPr="007E0696" w:rsidRDefault="00D22E55" w:rsidP="007E0696">
      <w:pPr>
        <w:rPr>
          <w:rFonts w:eastAsia="Palatino Linotype" w:cs="Palatino Linotype"/>
          <w:sz w:val="24"/>
          <w:szCs w:val="24"/>
        </w:rPr>
      </w:pPr>
    </w:p>
    <w:p w14:paraId="1A83AACF" w14:textId="6FADCC03" w:rsidR="007B65A0" w:rsidRPr="007E0696" w:rsidRDefault="00D22E55" w:rsidP="007E0696">
      <w:pPr>
        <w:rPr>
          <w:rFonts w:eastAsia="Palatino Linotype" w:cs="Palatino Linotype"/>
          <w:sz w:val="24"/>
          <w:szCs w:val="24"/>
        </w:rPr>
      </w:pPr>
      <w:r w:rsidRPr="007E0696">
        <w:rPr>
          <w:rFonts w:eastAsia="Palatino Linotype" w:cs="Palatino Linotype"/>
          <w:sz w:val="24"/>
          <w:szCs w:val="24"/>
        </w:rPr>
        <w:t xml:space="preserve">Continuando con el estudio, respecto al número de vehículos oficiales con los que cuenta y cuantos están en desuso la Directora de Administración y Finanzas </w:t>
      </w:r>
      <w:r w:rsidR="007B65A0" w:rsidRPr="007E0696">
        <w:rPr>
          <w:rFonts w:eastAsia="Palatino Linotype" w:cs="Palatino Linotype"/>
          <w:sz w:val="24"/>
          <w:szCs w:val="24"/>
        </w:rPr>
        <w:t xml:space="preserve">únicamente se pronunció respecto a que solo dos vehículos se encontraban en uso, no refiriendo si son todos los vehículos con los que cuenta el Organismo y de ellos cuantos </w:t>
      </w:r>
      <w:r w:rsidR="007B65A0" w:rsidRPr="007E0696">
        <w:rPr>
          <w:rFonts w:eastAsia="Palatino Linotype" w:cs="Palatino Linotype"/>
          <w:sz w:val="24"/>
          <w:szCs w:val="24"/>
        </w:rPr>
        <w:lastRenderedPageBreak/>
        <w:t xml:space="preserve">están en desuso, por lo que en ese orden de ideas este Órgano Garante estima pertinente ordenar informe al particular el total de vehículos con los que cuenta el parque  vehicular del </w:t>
      </w:r>
      <w:r w:rsidR="008D6F2F" w:rsidRPr="007E0696">
        <w:rPr>
          <w:rFonts w:eastAsia="Palatino Linotype" w:cs="Palatino Linotype"/>
          <w:b/>
          <w:bCs/>
          <w:sz w:val="24"/>
          <w:szCs w:val="24"/>
        </w:rPr>
        <w:t>SUJETO OBLIGADO</w:t>
      </w:r>
      <w:r w:rsidR="008D6F2F" w:rsidRPr="007E0696">
        <w:rPr>
          <w:rFonts w:eastAsia="Palatino Linotype" w:cs="Palatino Linotype"/>
          <w:sz w:val="24"/>
          <w:szCs w:val="24"/>
        </w:rPr>
        <w:t xml:space="preserve"> </w:t>
      </w:r>
      <w:r w:rsidR="007B65A0" w:rsidRPr="007E0696">
        <w:rPr>
          <w:rFonts w:eastAsia="Palatino Linotype" w:cs="Palatino Linotype"/>
          <w:sz w:val="24"/>
          <w:szCs w:val="24"/>
        </w:rPr>
        <w:t>y de estos cantos estas en desuso</w:t>
      </w:r>
      <w:r w:rsidR="00643644" w:rsidRPr="007E0696">
        <w:rPr>
          <w:rFonts w:eastAsia="Palatino Linotype" w:cs="Palatino Linotype"/>
          <w:sz w:val="24"/>
          <w:szCs w:val="24"/>
        </w:rPr>
        <w:t>, que de manera enunciativa mas no limitativa podrá obtener el dato del inventario de bienes</w:t>
      </w:r>
      <w:r w:rsidR="008D6F2F" w:rsidRPr="007E0696">
        <w:rPr>
          <w:rFonts w:eastAsia="Palatino Linotype" w:cs="Palatino Linotype"/>
          <w:sz w:val="24"/>
          <w:szCs w:val="24"/>
        </w:rPr>
        <w:t xml:space="preserve">, cabe precisar que </w:t>
      </w:r>
      <w:r w:rsidR="008D6F2F" w:rsidRPr="007E0696">
        <w:rPr>
          <w:rFonts w:eastAsia="Palatino Linotype" w:cs="Palatino Linotype"/>
          <w:b/>
          <w:bCs/>
          <w:sz w:val="24"/>
          <w:szCs w:val="24"/>
        </w:rPr>
        <w:t>LA PARTE RECURRENTE</w:t>
      </w:r>
      <w:r w:rsidR="008D6F2F" w:rsidRPr="007E0696">
        <w:rPr>
          <w:rFonts w:eastAsia="Palatino Linotype" w:cs="Palatino Linotype"/>
          <w:sz w:val="24"/>
          <w:szCs w:val="24"/>
        </w:rPr>
        <w:t xml:space="preserve"> no dispuso temporalidad de la información por lo que esta será determinada a la fecha de la solicitud</w:t>
      </w:r>
      <w:r w:rsidR="007B65A0" w:rsidRPr="007E0696">
        <w:rPr>
          <w:rFonts w:eastAsia="Palatino Linotype" w:cs="Palatino Linotype"/>
          <w:sz w:val="24"/>
          <w:szCs w:val="24"/>
        </w:rPr>
        <w:t>.</w:t>
      </w:r>
    </w:p>
    <w:p w14:paraId="55FE30B4" w14:textId="037785AC" w:rsidR="007B65A0" w:rsidRPr="007E0696" w:rsidRDefault="007B65A0" w:rsidP="007E0696">
      <w:pPr>
        <w:rPr>
          <w:rFonts w:eastAsia="Palatino Linotype" w:cs="Palatino Linotype"/>
          <w:sz w:val="24"/>
          <w:szCs w:val="24"/>
        </w:rPr>
      </w:pPr>
    </w:p>
    <w:p w14:paraId="238F197E" w14:textId="5B817743" w:rsidR="00643644" w:rsidRPr="007E0696" w:rsidRDefault="00643644" w:rsidP="007E0696">
      <w:pPr>
        <w:rPr>
          <w:rFonts w:eastAsia="Calibri" w:cs="Tahoma"/>
          <w:iCs/>
          <w:lang w:eastAsia="es-ES_tradnl"/>
        </w:rPr>
      </w:pPr>
      <w:r w:rsidRPr="007E0696">
        <w:rPr>
          <w:rFonts w:cs="Tahoma"/>
        </w:rPr>
        <w:t xml:space="preserve">De lo anterior se logra vislumbrar </w:t>
      </w:r>
      <w:r w:rsidRPr="007E0696">
        <w:rPr>
          <w:rFonts w:cs="Tahoma"/>
          <w:bCs/>
          <w:iCs/>
        </w:rPr>
        <w:t xml:space="preserve">que la pretensión de </w:t>
      </w:r>
      <w:r w:rsidRPr="007E0696">
        <w:rPr>
          <w:rFonts w:cs="Tahoma"/>
          <w:b/>
          <w:iCs/>
        </w:rPr>
        <w:t>LA PARTE</w:t>
      </w:r>
      <w:r w:rsidRPr="007E0696">
        <w:rPr>
          <w:rFonts w:cs="Tahoma"/>
          <w:bCs/>
          <w:iCs/>
        </w:rPr>
        <w:t xml:space="preserve"> </w:t>
      </w:r>
      <w:r w:rsidRPr="007E0696">
        <w:rPr>
          <w:rFonts w:cs="Tahoma"/>
          <w:b/>
          <w:bCs/>
          <w:iCs/>
        </w:rPr>
        <w:t>RECURRENTE</w:t>
      </w:r>
      <w:r w:rsidRPr="007E0696">
        <w:rPr>
          <w:rFonts w:cs="Tahoma"/>
          <w:bCs/>
          <w:iCs/>
        </w:rPr>
        <w:t xml:space="preserve"> es conocer información estadística; sobre esta situación resulta aplicable el Criterio </w:t>
      </w:r>
      <w:r w:rsidRPr="007E0696">
        <w:rPr>
          <w:rFonts w:eastAsia="Calibri" w:cs="Tahoma"/>
          <w:iCs/>
          <w:lang w:eastAsia="es-ES_tradnl"/>
        </w:rPr>
        <w:t>11/09, emitido por el Pleno del entonces Instituto Federal de Acceso a la Información y Protección de Datos, traído por analogía, que establece lo siguiente:</w:t>
      </w:r>
    </w:p>
    <w:p w14:paraId="10C92F37" w14:textId="77777777" w:rsidR="00643644" w:rsidRPr="007E0696" w:rsidRDefault="00643644" w:rsidP="007E0696">
      <w:pPr>
        <w:rPr>
          <w:rFonts w:eastAsia="Calibri" w:cs="Tahoma"/>
          <w:iCs/>
          <w:lang w:eastAsia="es-ES_tradnl"/>
        </w:rPr>
      </w:pPr>
    </w:p>
    <w:p w14:paraId="43D1BD5B" w14:textId="77777777" w:rsidR="00643644" w:rsidRPr="007E0696" w:rsidRDefault="00643644" w:rsidP="007E0696">
      <w:pPr>
        <w:tabs>
          <w:tab w:val="left" w:pos="8222"/>
        </w:tabs>
        <w:spacing w:after="240" w:line="240" w:lineRule="auto"/>
        <w:ind w:left="851" w:right="822"/>
        <w:rPr>
          <w:rFonts w:eastAsia="Calibri" w:cs="Tahoma"/>
          <w:bCs/>
          <w:i/>
        </w:rPr>
      </w:pPr>
      <w:r w:rsidRPr="007E0696">
        <w:rPr>
          <w:rFonts w:eastAsia="Calibri" w:cs="Tahoma"/>
          <w:b/>
          <w:bCs/>
          <w:i/>
        </w:rPr>
        <w:t xml:space="preserve">“La información estadística es de naturaleza pública, independientemente de la materia con la que se encuentre vinculada. </w:t>
      </w:r>
      <w:r w:rsidRPr="007E0696">
        <w:rPr>
          <w:rFonts w:eastAsia="Calibri" w:cs="Tahoma"/>
          <w:bCs/>
          <w:i/>
        </w:rPr>
        <w:t xml:space="preserve">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w:t>
      </w:r>
      <w:r w:rsidRPr="007E0696">
        <w:rPr>
          <w:rFonts w:eastAsia="Calibri" w:cs="Tahoma"/>
          <w:bCs/>
          <w:i/>
        </w:rPr>
        <w:lastRenderedPageBreak/>
        <w:t>personalizados a casos o situaciones específicas que pudieran llegar a justificar su clasificación.”</w:t>
      </w:r>
    </w:p>
    <w:p w14:paraId="605A29F1" w14:textId="77777777" w:rsidR="00643644" w:rsidRPr="007E0696" w:rsidRDefault="00643644" w:rsidP="007E0696">
      <w:pPr>
        <w:ind w:right="-28"/>
        <w:contextualSpacing/>
        <w:rPr>
          <w:rFonts w:cs="Tahoma"/>
          <w:bCs/>
          <w:shd w:val="clear" w:color="auto" w:fill="FFFFFF"/>
        </w:rPr>
      </w:pPr>
    </w:p>
    <w:p w14:paraId="7E07F33D" w14:textId="77777777" w:rsidR="00643644" w:rsidRPr="007E0696" w:rsidRDefault="00643644" w:rsidP="007E0696">
      <w:r w:rsidRPr="007E0696">
        <w:rPr>
          <w:rFonts w:cs="Tahoma"/>
        </w:rPr>
        <w:t>Del Criterio citado, se desprende que la información estadística es de naturaleza pública, al ser el producto de un conjunto de resultados cuantitativos obtenidos de un proceso sistemático de captación de datos primarios obtenidos sobre hechos que constan en la documentación que los sujetos obligados poseen, por lo que, dichos datos no se encuentran individualizados o personalizados.</w:t>
      </w:r>
    </w:p>
    <w:p w14:paraId="1B4FDC0C" w14:textId="61B9738D" w:rsidR="00643644" w:rsidRPr="007E0696" w:rsidRDefault="00643644" w:rsidP="007E0696">
      <w:pPr>
        <w:rPr>
          <w:rFonts w:eastAsia="Palatino Linotype" w:cs="Palatino Linotype"/>
          <w:sz w:val="24"/>
          <w:szCs w:val="24"/>
        </w:rPr>
      </w:pPr>
    </w:p>
    <w:p w14:paraId="06CF1AD9" w14:textId="35ABF3A3" w:rsidR="00876F23" w:rsidRPr="007E0696" w:rsidRDefault="00643644" w:rsidP="007E0696">
      <w:pPr>
        <w:rPr>
          <w:rFonts w:eastAsia="Palatino Linotype" w:cs="Palatino Linotype"/>
          <w:sz w:val="24"/>
          <w:szCs w:val="24"/>
        </w:rPr>
      </w:pPr>
      <w:r w:rsidRPr="007E0696">
        <w:rPr>
          <w:rFonts w:eastAsia="Palatino Linotype" w:cs="Palatino Linotype"/>
          <w:sz w:val="24"/>
          <w:szCs w:val="24"/>
        </w:rPr>
        <w:t xml:space="preserve">Ahora bien, por cuanto hace al </w:t>
      </w:r>
      <w:r w:rsidR="00D22E55" w:rsidRPr="007E0696">
        <w:rPr>
          <w:rFonts w:eastAsia="Palatino Linotype" w:cs="Palatino Linotype"/>
          <w:sz w:val="24"/>
          <w:szCs w:val="24"/>
        </w:rPr>
        <w:t>formato de inventario de vehículos</w:t>
      </w:r>
      <w:r w:rsidRPr="007E0696">
        <w:rPr>
          <w:rFonts w:eastAsia="Palatino Linotype" w:cs="Palatino Linotype"/>
          <w:sz w:val="24"/>
          <w:szCs w:val="24"/>
        </w:rPr>
        <w:t xml:space="preserve"> solicitado </w:t>
      </w:r>
      <w:r w:rsidRPr="007E0696">
        <w:rPr>
          <w:rFonts w:eastAsia="Palatino Linotype" w:cs="Palatino Linotype"/>
          <w:b/>
          <w:bCs/>
          <w:sz w:val="24"/>
          <w:szCs w:val="24"/>
        </w:rPr>
        <w:t xml:space="preserve">EL SUJETO OBLIGADO </w:t>
      </w:r>
      <w:r w:rsidRPr="007E0696">
        <w:rPr>
          <w:rFonts w:eastAsia="Palatino Linotype" w:cs="Palatino Linotype"/>
          <w:sz w:val="24"/>
          <w:szCs w:val="24"/>
        </w:rPr>
        <w:t>adjuntó el siguiente formato:</w:t>
      </w:r>
    </w:p>
    <w:p w14:paraId="20AE8810" w14:textId="77777777" w:rsidR="00643644" w:rsidRPr="007E0696" w:rsidRDefault="00643644" w:rsidP="007E0696">
      <w:pPr>
        <w:rPr>
          <w:rFonts w:eastAsia="Palatino Linotype" w:cs="Palatino Linotype"/>
          <w:sz w:val="24"/>
          <w:szCs w:val="24"/>
        </w:rPr>
      </w:pPr>
    </w:p>
    <w:p w14:paraId="562E2750" w14:textId="66B66166" w:rsidR="00643644" w:rsidRPr="007E0696" w:rsidRDefault="00643644" w:rsidP="007E0696">
      <w:pPr>
        <w:rPr>
          <w:rFonts w:eastAsia="Palatino Linotype" w:cs="Palatino Linotype"/>
          <w:sz w:val="24"/>
          <w:szCs w:val="24"/>
        </w:rPr>
      </w:pPr>
      <w:r w:rsidRPr="007E0696">
        <w:rPr>
          <w:rFonts w:eastAsia="Palatino Linotype" w:cs="Palatino Linotype"/>
          <w:noProof/>
          <w:sz w:val="24"/>
          <w:szCs w:val="24"/>
          <w:lang w:eastAsia="es-MX"/>
        </w:rPr>
        <w:drawing>
          <wp:inline distT="0" distB="0" distL="0" distR="0" wp14:anchorId="7DC37D1D" wp14:editId="561C1B7A">
            <wp:extent cx="5893282" cy="1558456"/>
            <wp:effectExtent l="0" t="0" r="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04272" cy="1561362"/>
                    </a:xfrm>
                    <a:prstGeom prst="rect">
                      <a:avLst/>
                    </a:prstGeom>
                  </pic:spPr>
                </pic:pic>
              </a:graphicData>
            </a:graphic>
          </wp:inline>
        </w:drawing>
      </w:r>
    </w:p>
    <w:p w14:paraId="27D74E68" w14:textId="77777777" w:rsidR="00C2100C" w:rsidRPr="007E0696" w:rsidRDefault="00C2100C" w:rsidP="007E0696">
      <w:pPr>
        <w:pStyle w:val="Prrafodelista"/>
        <w:widowControl w:val="0"/>
        <w:autoSpaceDE w:val="0"/>
        <w:autoSpaceDN w:val="0"/>
        <w:adjustRightInd w:val="0"/>
        <w:ind w:left="0"/>
        <w:rPr>
          <w:rFonts w:eastAsia="Palatino Linotype" w:cs="Palatino Linotype"/>
          <w:sz w:val="24"/>
          <w:szCs w:val="24"/>
        </w:rPr>
      </w:pPr>
    </w:p>
    <w:p w14:paraId="323FA77B" w14:textId="0C3A5931" w:rsidR="00C2100C" w:rsidRPr="007E0696" w:rsidRDefault="00643644" w:rsidP="007E0696">
      <w:pPr>
        <w:pStyle w:val="Prrafodelista"/>
        <w:widowControl w:val="0"/>
        <w:autoSpaceDE w:val="0"/>
        <w:autoSpaceDN w:val="0"/>
        <w:adjustRightInd w:val="0"/>
        <w:ind w:left="0"/>
        <w:rPr>
          <w:rFonts w:eastAsia="Palatino Linotype" w:cs="Palatino Linotype"/>
        </w:rPr>
      </w:pPr>
      <w:r w:rsidRPr="007E0696">
        <w:rPr>
          <w:rFonts w:eastAsia="Palatino Linotype" w:cs="Palatino Linotype"/>
          <w:szCs w:val="22"/>
        </w:rPr>
        <w:t xml:space="preserve">Por lo que en ese orden de ideas es conveniente </w:t>
      </w:r>
      <w:r w:rsidR="00C2100C" w:rsidRPr="007E0696">
        <w:rPr>
          <w:rFonts w:eastAsia="Palatino Linotype" w:cs="Palatino Linotype"/>
          <w:szCs w:val="22"/>
        </w:rPr>
        <w:t xml:space="preserve">recordar que </w:t>
      </w:r>
      <w:r w:rsidR="00C2100C" w:rsidRPr="007E0696">
        <w:rPr>
          <w:szCs w:val="22"/>
        </w:rPr>
        <w:t xml:space="preserve">la naturaleza de la información requerida por </w:t>
      </w:r>
      <w:r w:rsidR="00C2100C" w:rsidRPr="007E0696">
        <w:rPr>
          <w:b/>
          <w:bCs/>
          <w:szCs w:val="22"/>
        </w:rPr>
        <w:t>LA PARTE RECURRENTE</w:t>
      </w:r>
      <w:r w:rsidR="00C2100C" w:rsidRPr="007E0696">
        <w:rPr>
          <w:szCs w:val="22"/>
        </w:rPr>
        <w:t xml:space="preserve">, se encuentra contemplada dentro de las </w:t>
      </w:r>
      <w:r w:rsidR="00C2100C" w:rsidRPr="007E0696">
        <w:rPr>
          <w:szCs w:val="22"/>
        </w:rPr>
        <w:lastRenderedPageBreak/>
        <w:t xml:space="preserve">obligaciones de transparencia común que todos los </w:t>
      </w:r>
      <w:r w:rsidR="00C2100C" w:rsidRPr="007E0696">
        <w:rPr>
          <w:b/>
          <w:bCs/>
          <w:szCs w:val="22"/>
        </w:rPr>
        <w:t>SUJETOS OBLIGADOS</w:t>
      </w:r>
      <w:r w:rsidR="00C2100C" w:rsidRPr="007E0696">
        <w:rPr>
          <w:szCs w:val="22"/>
        </w:rPr>
        <w:t xml:space="preserve"> deben atender en el ejercicio de sus funciones, es</w:t>
      </w:r>
      <w:r w:rsidR="00C2100C" w:rsidRPr="007E0696">
        <w:t xml:space="preserve"> decir por obligación, dicha información debe ser cargada a través del sistema IPOMEX, en atención a lo establecido en el artículo 92 fracción </w:t>
      </w:r>
      <w:r w:rsidR="00C2100C" w:rsidRPr="007E0696">
        <w:rPr>
          <w:rFonts w:eastAsia="Palatino Linotype" w:cs="Palatino Linotype"/>
        </w:rPr>
        <w:t>XXXVIII de la Ley de Transparencia y Acceso a la Información Pública del Estado de México y Municipios, que a la letra señala lo siguiente:</w:t>
      </w:r>
    </w:p>
    <w:p w14:paraId="4F08D507" w14:textId="77777777" w:rsidR="00C2100C" w:rsidRPr="007E0696" w:rsidRDefault="00C2100C" w:rsidP="007E0696">
      <w:pPr>
        <w:spacing w:before="280" w:after="280" w:line="240" w:lineRule="auto"/>
        <w:ind w:left="850" w:right="822"/>
        <w:rPr>
          <w:rFonts w:eastAsia="Palatino Linotype" w:cs="Palatino Linotype"/>
          <w:b/>
          <w:i/>
          <w:szCs w:val="22"/>
        </w:rPr>
      </w:pPr>
      <w:r w:rsidRPr="007E0696">
        <w:rPr>
          <w:rFonts w:eastAsia="Palatino Linotype" w:cs="Palatino Linotype"/>
          <w:i/>
          <w:szCs w:val="22"/>
        </w:rPr>
        <w:t>“</w:t>
      </w:r>
      <w:r w:rsidRPr="007E0696">
        <w:rPr>
          <w:rFonts w:eastAsia="Palatino Linotype" w:cs="Palatino Linotype"/>
          <w:b/>
          <w:i/>
          <w:szCs w:val="22"/>
        </w:rPr>
        <w:t xml:space="preserve">Capítulo II </w:t>
      </w:r>
    </w:p>
    <w:p w14:paraId="20E141FD" w14:textId="77777777" w:rsidR="00C2100C" w:rsidRPr="007E0696" w:rsidRDefault="00C2100C" w:rsidP="007E0696">
      <w:pPr>
        <w:spacing w:before="280" w:after="280" w:line="240" w:lineRule="auto"/>
        <w:ind w:left="850" w:right="822"/>
        <w:rPr>
          <w:rFonts w:eastAsia="Palatino Linotype" w:cs="Palatino Linotype"/>
          <w:i/>
          <w:szCs w:val="22"/>
        </w:rPr>
      </w:pPr>
      <w:r w:rsidRPr="007E0696">
        <w:rPr>
          <w:rFonts w:eastAsia="Palatino Linotype" w:cs="Palatino Linotype"/>
          <w:b/>
          <w:i/>
          <w:szCs w:val="22"/>
        </w:rPr>
        <w:t>De las Obligaciones de Transparencia Comunes</w:t>
      </w:r>
      <w:r w:rsidRPr="007E0696">
        <w:rPr>
          <w:rFonts w:eastAsia="Palatino Linotype" w:cs="Palatino Linotype"/>
          <w:i/>
          <w:szCs w:val="22"/>
        </w:rPr>
        <w:t xml:space="preserve"> </w:t>
      </w:r>
    </w:p>
    <w:p w14:paraId="7CAD5595" w14:textId="2640376D" w:rsidR="00C2100C" w:rsidRPr="007E0696" w:rsidRDefault="00C2100C" w:rsidP="007E0696">
      <w:pPr>
        <w:spacing w:before="280" w:after="280" w:line="240" w:lineRule="auto"/>
        <w:ind w:left="850" w:right="822"/>
        <w:rPr>
          <w:rFonts w:eastAsia="Palatino Linotype" w:cs="Palatino Linotype"/>
          <w:i/>
          <w:szCs w:val="22"/>
        </w:rPr>
      </w:pPr>
      <w:r w:rsidRPr="007E0696">
        <w:rPr>
          <w:rFonts w:eastAsia="Palatino Linotype" w:cs="Palatino Linotype"/>
          <w:b/>
          <w:i/>
          <w:szCs w:val="22"/>
        </w:rPr>
        <w:t xml:space="preserve">Artículo 92. </w:t>
      </w:r>
      <w:r w:rsidRPr="007E0696">
        <w:rPr>
          <w:rFonts w:eastAsia="Palatino Linotype" w:cs="Palatino Linotype"/>
          <w:i/>
          <w:szCs w:val="22"/>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089B29E6" w14:textId="3756C2F1" w:rsidR="00C2100C" w:rsidRPr="007E0696" w:rsidRDefault="00C2100C" w:rsidP="007E0696">
      <w:pPr>
        <w:spacing w:before="280" w:after="280" w:line="240" w:lineRule="auto"/>
        <w:ind w:left="850" w:right="822"/>
        <w:rPr>
          <w:rFonts w:eastAsia="Palatino Linotype" w:cs="Palatino Linotype"/>
          <w:i/>
          <w:szCs w:val="22"/>
        </w:rPr>
      </w:pPr>
      <w:r w:rsidRPr="007E0696">
        <w:rPr>
          <w:rFonts w:eastAsia="Palatino Linotype" w:cs="Palatino Linotype"/>
          <w:b/>
          <w:i/>
          <w:szCs w:val="22"/>
        </w:rPr>
        <w:t>(…</w:t>
      </w:r>
      <w:r w:rsidRPr="007E0696">
        <w:rPr>
          <w:rFonts w:eastAsia="Palatino Linotype" w:cs="Palatino Linotype"/>
          <w:i/>
          <w:szCs w:val="22"/>
        </w:rPr>
        <w:t>)</w:t>
      </w:r>
    </w:p>
    <w:p w14:paraId="20B92AB2" w14:textId="16815E10" w:rsidR="00C2100C" w:rsidRPr="007E0696" w:rsidRDefault="00C2100C" w:rsidP="007E0696">
      <w:pPr>
        <w:spacing w:before="280" w:after="280" w:line="240" w:lineRule="auto"/>
        <w:ind w:left="850" w:right="822"/>
        <w:rPr>
          <w:rFonts w:eastAsia="Palatino Linotype" w:cs="Palatino Linotype"/>
          <w:i/>
          <w:szCs w:val="22"/>
        </w:rPr>
      </w:pPr>
      <w:r w:rsidRPr="007E0696">
        <w:rPr>
          <w:rFonts w:eastAsia="Palatino Linotype" w:cs="Palatino Linotype"/>
          <w:b/>
          <w:i/>
          <w:szCs w:val="22"/>
        </w:rPr>
        <w:t>XXXVIII. El inventario de bienes muebles e inmuebles en posesión y propiedad;</w:t>
      </w:r>
      <w:r w:rsidRPr="007E0696">
        <w:rPr>
          <w:rFonts w:eastAsia="Palatino Linotype" w:cs="Palatino Linotype"/>
          <w:i/>
          <w:szCs w:val="22"/>
        </w:rPr>
        <w:t xml:space="preserve"> “</w:t>
      </w:r>
    </w:p>
    <w:p w14:paraId="7C023C5D" w14:textId="164AF6C1" w:rsidR="00C2100C" w:rsidRPr="007E0696" w:rsidRDefault="00C2100C" w:rsidP="007E0696">
      <w:pPr>
        <w:spacing w:before="280" w:after="280" w:line="240" w:lineRule="auto"/>
        <w:ind w:left="850" w:right="822"/>
        <w:rPr>
          <w:rFonts w:eastAsia="Palatino Linotype" w:cs="Palatino Linotype"/>
          <w:i/>
          <w:szCs w:val="22"/>
        </w:rPr>
      </w:pPr>
      <w:r w:rsidRPr="007E0696">
        <w:rPr>
          <w:rFonts w:eastAsia="Palatino Linotype" w:cs="Palatino Linotype"/>
          <w:b/>
          <w:i/>
          <w:szCs w:val="22"/>
        </w:rPr>
        <w:t>(…</w:t>
      </w:r>
      <w:r w:rsidRPr="007E0696">
        <w:rPr>
          <w:rFonts w:eastAsia="Palatino Linotype" w:cs="Palatino Linotype"/>
          <w:i/>
          <w:szCs w:val="22"/>
        </w:rPr>
        <w:t>)</w:t>
      </w:r>
    </w:p>
    <w:p w14:paraId="7AA7A1FD" w14:textId="77777777" w:rsidR="00C2100C" w:rsidRPr="007E0696" w:rsidRDefault="00C2100C" w:rsidP="007E0696">
      <w:pPr>
        <w:spacing w:before="280" w:after="280" w:line="240" w:lineRule="auto"/>
        <w:ind w:left="850" w:right="822"/>
        <w:rPr>
          <w:rFonts w:eastAsia="Palatino Linotype" w:cs="Palatino Linotype"/>
          <w:i/>
          <w:szCs w:val="22"/>
        </w:rPr>
      </w:pPr>
      <w:r w:rsidRPr="007E0696">
        <w:rPr>
          <w:rFonts w:eastAsia="Palatino Linotype" w:cs="Palatino Linotype"/>
          <w:i/>
          <w:szCs w:val="22"/>
        </w:rPr>
        <w:t>(Énfasis añadido)</w:t>
      </w:r>
    </w:p>
    <w:p w14:paraId="0BFE5103" w14:textId="35E16DAE" w:rsidR="00C2100C" w:rsidRPr="007E0696" w:rsidRDefault="00C2100C" w:rsidP="007E0696">
      <w:pPr>
        <w:pStyle w:val="Prrafodelista"/>
        <w:widowControl w:val="0"/>
        <w:autoSpaceDE w:val="0"/>
        <w:autoSpaceDN w:val="0"/>
        <w:adjustRightInd w:val="0"/>
        <w:ind w:left="0"/>
        <w:rPr>
          <w:rFonts w:eastAsia="Palatino Linotype" w:cs="Palatino Linotype"/>
        </w:rPr>
      </w:pPr>
      <w:r w:rsidRPr="007E0696">
        <w:rPr>
          <w:rFonts w:eastAsia="Palatino Linotype" w:cs="Palatino Linotype"/>
        </w:rPr>
        <w:t xml:space="preserve">Aunado a lo anterior, es importante señalar que el inventario de bienes muebles no solo es información pública de oficio, sino que también es información que debe ser entregada en el informe anual de actividades que se reporta ante el Órgano Superior de Fiscalización, como </w:t>
      </w:r>
      <w:r w:rsidRPr="007E0696">
        <w:rPr>
          <w:rFonts w:eastAsia="Palatino Linotype" w:cs="Palatino Linotype"/>
        </w:rPr>
        <w:lastRenderedPageBreak/>
        <w:t>se describe en el Instructivo de Llenado del Módulo 4- Poder Legislativo, Poder Judicial, Órganos Autónomos y Auxiliares.</w:t>
      </w:r>
    </w:p>
    <w:p w14:paraId="36769B5C" w14:textId="77777777" w:rsidR="00C2100C" w:rsidRPr="007E0696" w:rsidRDefault="00C2100C" w:rsidP="007E0696">
      <w:pPr>
        <w:pStyle w:val="Prrafodelista"/>
        <w:widowControl w:val="0"/>
        <w:autoSpaceDE w:val="0"/>
        <w:autoSpaceDN w:val="0"/>
        <w:adjustRightInd w:val="0"/>
        <w:ind w:left="0"/>
        <w:rPr>
          <w:rFonts w:eastAsia="Palatino Linotype" w:cs="Palatino Linotype"/>
        </w:rPr>
      </w:pPr>
    </w:p>
    <w:p w14:paraId="7F32E5E5" w14:textId="2439721F" w:rsidR="00C2100C" w:rsidRPr="007E0696" w:rsidRDefault="00C2100C" w:rsidP="007E0696">
      <w:pPr>
        <w:pStyle w:val="Prrafodelista"/>
        <w:widowControl w:val="0"/>
        <w:autoSpaceDE w:val="0"/>
        <w:autoSpaceDN w:val="0"/>
        <w:adjustRightInd w:val="0"/>
        <w:ind w:left="0"/>
        <w:rPr>
          <w:rFonts w:eastAsia="Palatino Linotype" w:cs="Palatino Linotype"/>
        </w:rPr>
      </w:pPr>
      <w:r w:rsidRPr="007E0696">
        <w:rPr>
          <w:rFonts w:eastAsia="Palatino Linotype" w:cs="Palatino Linotype"/>
        </w:rPr>
        <w:t>Así pues, los resguardos de los bienes muebles se remiten al Órgano Superior de Fiscalización, para el programa anual de evaluación, y se describe en el Instructivo de Llenado del Módulo 4 de los Informes trimestrales Municipales para el ejercicio 2023, mismo que contempla el siguiente formato:</w:t>
      </w:r>
    </w:p>
    <w:p w14:paraId="65DD624B" w14:textId="77777777" w:rsidR="00C2100C" w:rsidRPr="007E0696" w:rsidRDefault="00C2100C" w:rsidP="007E0696">
      <w:pPr>
        <w:pStyle w:val="Prrafodelista"/>
        <w:widowControl w:val="0"/>
        <w:autoSpaceDE w:val="0"/>
        <w:autoSpaceDN w:val="0"/>
        <w:adjustRightInd w:val="0"/>
        <w:ind w:left="0"/>
        <w:rPr>
          <w:rFonts w:eastAsia="Palatino Linotype" w:cs="Palatino Linotype"/>
        </w:rPr>
      </w:pPr>
    </w:p>
    <w:p w14:paraId="7910BF2B" w14:textId="77777777" w:rsidR="00C2100C" w:rsidRPr="007E0696" w:rsidRDefault="00C2100C" w:rsidP="007E0696">
      <w:pPr>
        <w:pStyle w:val="Prrafodelista"/>
        <w:widowControl w:val="0"/>
        <w:autoSpaceDE w:val="0"/>
        <w:autoSpaceDN w:val="0"/>
        <w:adjustRightInd w:val="0"/>
        <w:ind w:left="0"/>
        <w:jc w:val="center"/>
      </w:pPr>
      <w:r w:rsidRPr="007E0696">
        <w:rPr>
          <w:noProof/>
          <w:lang w:eastAsia="es-MX"/>
        </w:rPr>
        <w:drawing>
          <wp:inline distT="0" distB="0" distL="0" distR="0" wp14:anchorId="62E7194E" wp14:editId="56C2B43B">
            <wp:extent cx="4961255" cy="2941982"/>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4711" t="12693" r="25866" b="5033"/>
                    <a:stretch/>
                  </pic:blipFill>
                  <pic:spPr bwMode="auto">
                    <a:xfrm>
                      <a:off x="0" y="0"/>
                      <a:ext cx="4988313" cy="2958027"/>
                    </a:xfrm>
                    <a:prstGeom prst="rect">
                      <a:avLst/>
                    </a:prstGeom>
                    <a:ln>
                      <a:noFill/>
                    </a:ln>
                    <a:extLst>
                      <a:ext uri="{53640926-AAD7-44D8-BBD7-CCE9431645EC}">
                        <a14:shadowObscured xmlns:a14="http://schemas.microsoft.com/office/drawing/2010/main"/>
                      </a:ext>
                    </a:extLst>
                  </pic:spPr>
                </pic:pic>
              </a:graphicData>
            </a:graphic>
          </wp:inline>
        </w:drawing>
      </w:r>
    </w:p>
    <w:p w14:paraId="3C3358D7" w14:textId="77777777" w:rsidR="00C2100C" w:rsidRPr="007E0696" w:rsidRDefault="00C2100C" w:rsidP="007E0696">
      <w:pPr>
        <w:pStyle w:val="Prrafodelista"/>
        <w:widowControl w:val="0"/>
        <w:autoSpaceDE w:val="0"/>
        <w:autoSpaceDN w:val="0"/>
        <w:adjustRightInd w:val="0"/>
        <w:ind w:left="0"/>
      </w:pPr>
    </w:p>
    <w:p w14:paraId="1282D25B" w14:textId="7D81D2B0" w:rsidR="00C2100C" w:rsidRPr="007E0696" w:rsidRDefault="00C2100C" w:rsidP="007E0696">
      <w:pPr>
        <w:pStyle w:val="Prrafodelista"/>
        <w:widowControl w:val="0"/>
        <w:autoSpaceDE w:val="0"/>
        <w:autoSpaceDN w:val="0"/>
        <w:adjustRightInd w:val="0"/>
        <w:ind w:left="0"/>
      </w:pPr>
      <w:r w:rsidRPr="007E0696">
        <w:t>Asimismo, el instructivo en referencia, señala de manera posterior, a la exposición de los formatos que, el inventario deberá contener los siguientes datos elementales:</w:t>
      </w:r>
    </w:p>
    <w:p w14:paraId="3FCC98BE" w14:textId="77777777" w:rsidR="00C2100C" w:rsidRPr="007E0696" w:rsidRDefault="00C2100C" w:rsidP="007E0696">
      <w:pPr>
        <w:pStyle w:val="Prrafodelista"/>
        <w:widowControl w:val="0"/>
        <w:autoSpaceDE w:val="0"/>
        <w:autoSpaceDN w:val="0"/>
        <w:adjustRightInd w:val="0"/>
        <w:ind w:left="0"/>
      </w:pPr>
    </w:p>
    <w:p w14:paraId="270C86E5" w14:textId="77777777" w:rsidR="00C2100C" w:rsidRPr="007E0696" w:rsidRDefault="00C2100C" w:rsidP="007E0696">
      <w:pPr>
        <w:pStyle w:val="Prrafodelista"/>
        <w:widowControl w:val="0"/>
        <w:autoSpaceDE w:val="0"/>
        <w:autoSpaceDN w:val="0"/>
        <w:adjustRightInd w:val="0"/>
        <w:spacing w:line="240" w:lineRule="auto"/>
        <w:ind w:left="851" w:right="822"/>
        <w:rPr>
          <w:i/>
        </w:rPr>
      </w:pPr>
      <w:r w:rsidRPr="007E0696">
        <w:rPr>
          <w:b/>
          <w:i/>
        </w:rPr>
        <w:t>1. Número Progresivo</w:t>
      </w:r>
      <w:r w:rsidRPr="007E0696">
        <w:rPr>
          <w:i/>
        </w:rPr>
        <w:t xml:space="preserve">: Anotar el número consecutivo de los bienes muebles con los que cuenta la entidad. </w:t>
      </w:r>
    </w:p>
    <w:p w14:paraId="269FB8D0" w14:textId="77777777" w:rsidR="00C2100C" w:rsidRPr="007E0696" w:rsidRDefault="00C2100C" w:rsidP="007E0696">
      <w:pPr>
        <w:pStyle w:val="Prrafodelista"/>
        <w:widowControl w:val="0"/>
        <w:autoSpaceDE w:val="0"/>
        <w:autoSpaceDN w:val="0"/>
        <w:adjustRightInd w:val="0"/>
        <w:spacing w:line="240" w:lineRule="auto"/>
        <w:ind w:left="851" w:right="822"/>
        <w:rPr>
          <w:i/>
        </w:rPr>
      </w:pPr>
      <w:r w:rsidRPr="007E0696">
        <w:rPr>
          <w:i/>
        </w:rPr>
        <w:t xml:space="preserve">2. Cuenta: Anotar el número de cuenta de acuerdo a la Lista de Cuentas establecida en el Manual Único de Contabilidad Gubernamental para las Dependencias y Entidades Públicas del Gobierno y Municipios del Estado de México (vigente). </w:t>
      </w:r>
    </w:p>
    <w:p w14:paraId="5881D130" w14:textId="77777777" w:rsidR="00C2100C" w:rsidRPr="007E0696" w:rsidRDefault="00C2100C" w:rsidP="007E0696">
      <w:pPr>
        <w:pStyle w:val="Prrafodelista"/>
        <w:widowControl w:val="0"/>
        <w:autoSpaceDE w:val="0"/>
        <w:autoSpaceDN w:val="0"/>
        <w:adjustRightInd w:val="0"/>
        <w:spacing w:line="240" w:lineRule="auto"/>
        <w:ind w:left="851" w:right="822"/>
        <w:rPr>
          <w:i/>
        </w:rPr>
      </w:pPr>
      <w:r w:rsidRPr="007E0696">
        <w:rPr>
          <w:i/>
        </w:rPr>
        <w:t xml:space="preserve">3. Subcuenta: Anotar el número de subcuenta de acuerdo a la Lista de Cuentas establecida en el Manual Único de Contabilidad Gubernamental para las Dependencias y Entidades Públicas del Gobierno y Municipios del Estado de México (vigente). </w:t>
      </w:r>
    </w:p>
    <w:p w14:paraId="0742FF2C" w14:textId="77777777" w:rsidR="00C2100C" w:rsidRPr="007E0696" w:rsidRDefault="00C2100C" w:rsidP="007E0696">
      <w:pPr>
        <w:pStyle w:val="Prrafodelista"/>
        <w:widowControl w:val="0"/>
        <w:autoSpaceDE w:val="0"/>
        <w:autoSpaceDN w:val="0"/>
        <w:adjustRightInd w:val="0"/>
        <w:spacing w:line="240" w:lineRule="auto"/>
        <w:ind w:left="851" w:right="822"/>
        <w:rPr>
          <w:i/>
        </w:rPr>
      </w:pPr>
      <w:r w:rsidRPr="007E0696">
        <w:rPr>
          <w:i/>
        </w:rPr>
        <w:t xml:space="preserve">4. Nombre de la Cuenta: Anotar el nombre de la cuenta contable que corresponda, de acuerdo al Manual Único de Contabilidad Gubernamental para las Dependencias y Entidades Públicas del Gobierno y Municipios del Estado de México (vigente). </w:t>
      </w:r>
    </w:p>
    <w:p w14:paraId="30440191" w14:textId="77777777" w:rsidR="00C2100C" w:rsidRPr="007E0696" w:rsidRDefault="00C2100C" w:rsidP="007E0696">
      <w:pPr>
        <w:pStyle w:val="Prrafodelista"/>
        <w:widowControl w:val="0"/>
        <w:autoSpaceDE w:val="0"/>
        <w:autoSpaceDN w:val="0"/>
        <w:adjustRightInd w:val="0"/>
        <w:spacing w:line="240" w:lineRule="auto"/>
        <w:ind w:left="851" w:right="822"/>
        <w:rPr>
          <w:i/>
        </w:rPr>
      </w:pPr>
      <w:r w:rsidRPr="007E0696">
        <w:rPr>
          <w:b/>
          <w:i/>
        </w:rPr>
        <w:t>5. Número de Inventario</w:t>
      </w:r>
      <w:r w:rsidRPr="007E0696">
        <w:rPr>
          <w:i/>
        </w:rPr>
        <w:t xml:space="preserve">: Anotar el número de inventario asignado a cada uno de los bienes, conforme a la norma vigente. </w:t>
      </w:r>
    </w:p>
    <w:p w14:paraId="3BFCF590" w14:textId="77777777" w:rsidR="00C2100C" w:rsidRPr="007E0696" w:rsidRDefault="00C2100C" w:rsidP="007E0696">
      <w:pPr>
        <w:pStyle w:val="Prrafodelista"/>
        <w:widowControl w:val="0"/>
        <w:autoSpaceDE w:val="0"/>
        <w:autoSpaceDN w:val="0"/>
        <w:adjustRightInd w:val="0"/>
        <w:spacing w:line="240" w:lineRule="auto"/>
        <w:ind w:left="851" w:right="822"/>
        <w:rPr>
          <w:i/>
        </w:rPr>
      </w:pPr>
      <w:r w:rsidRPr="007E0696">
        <w:rPr>
          <w:b/>
          <w:i/>
        </w:rPr>
        <w:t xml:space="preserve">6. Nombre del </w:t>
      </w:r>
      <w:proofErr w:type="spellStart"/>
      <w:r w:rsidRPr="007E0696">
        <w:rPr>
          <w:b/>
          <w:i/>
        </w:rPr>
        <w:t>Resguardatario</w:t>
      </w:r>
      <w:proofErr w:type="spellEnd"/>
      <w:r w:rsidRPr="007E0696">
        <w:rPr>
          <w:i/>
        </w:rPr>
        <w:t xml:space="preserve">: Anotar el nombre del servidor público responsable del bien. </w:t>
      </w:r>
    </w:p>
    <w:p w14:paraId="72655FA3" w14:textId="77777777" w:rsidR="00C2100C" w:rsidRPr="007E0696" w:rsidRDefault="00C2100C" w:rsidP="007E0696">
      <w:pPr>
        <w:pStyle w:val="Prrafodelista"/>
        <w:widowControl w:val="0"/>
        <w:autoSpaceDE w:val="0"/>
        <w:autoSpaceDN w:val="0"/>
        <w:adjustRightInd w:val="0"/>
        <w:spacing w:line="240" w:lineRule="auto"/>
        <w:ind w:left="851" w:right="822"/>
        <w:rPr>
          <w:i/>
        </w:rPr>
      </w:pPr>
      <w:r w:rsidRPr="007E0696">
        <w:rPr>
          <w:i/>
        </w:rPr>
        <w:t xml:space="preserve">7. Nombre del Mueble: Anotar el nombre del bien mueble de forma individual. </w:t>
      </w:r>
    </w:p>
    <w:p w14:paraId="3612F79C" w14:textId="77777777" w:rsidR="00C2100C" w:rsidRPr="007E0696" w:rsidRDefault="00C2100C" w:rsidP="007E0696">
      <w:pPr>
        <w:pStyle w:val="Prrafodelista"/>
        <w:widowControl w:val="0"/>
        <w:autoSpaceDE w:val="0"/>
        <w:autoSpaceDN w:val="0"/>
        <w:adjustRightInd w:val="0"/>
        <w:spacing w:line="240" w:lineRule="auto"/>
        <w:ind w:left="851" w:right="822"/>
        <w:rPr>
          <w:i/>
        </w:rPr>
      </w:pPr>
      <w:r w:rsidRPr="007E0696">
        <w:rPr>
          <w:i/>
        </w:rPr>
        <w:t xml:space="preserve">8. Marca: Anotar la marca del bien mueble. (En caso de que algunos bienes no cuenten con marca, se deberá especificar el motivo en la columna de comentarios). </w:t>
      </w:r>
    </w:p>
    <w:p w14:paraId="10B1FE35" w14:textId="77777777" w:rsidR="00C2100C" w:rsidRPr="007E0696" w:rsidRDefault="00C2100C" w:rsidP="007E0696">
      <w:pPr>
        <w:pStyle w:val="Prrafodelista"/>
        <w:widowControl w:val="0"/>
        <w:autoSpaceDE w:val="0"/>
        <w:autoSpaceDN w:val="0"/>
        <w:adjustRightInd w:val="0"/>
        <w:spacing w:line="240" w:lineRule="auto"/>
        <w:ind w:left="851" w:right="822"/>
        <w:rPr>
          <w:i/>
        </w:rPr>
      </w:pPr>
      <w:r w:rsidRPr="007E0696">
        <w:rPr>
          <w:i/>
        </w:rPr>
        <w:t xml:space="preserve">9. Modelo: Anotar el modelo del bien mueble. (En caso de que algunos bienes no cuenten con modelo, se deberá especificar el motivo en la columna de comentarios). </w:t>
      </w:r>
    </w:p>
    <w:p w14:paraId="1771E543" w14:textId="77777777" w:rsidR="00C2100C" w:rsidRPr="007E0696" w:rsidRDefault="00C2100C" w:rsidP="007E0696">
      <w:pPr>
        <w:pStyle w:val="Prrafodelista"/>
        <w:widowControl w:val="0"/>
        <w:autoSpaceDE w:val="0"/>
        <w:autoSpaceDN w:val="0"/>
        <w:adjustRightInd w:val="0"/>
        <w:spacing w:line="240" w:lineRule="auto"/>
        <w:ind w:left="851" w:right="822"/>
        <w:rPr>
          <w:i/>
        </w:rPr>
      </w:pPr>
      <w:r w:rsidRPr="007E0696">
        <w:rPr>
          <w:b/>
          <w:i/>
        </w:rPr>
        <w:t>10. Número de serie</w:t>
      </w:r>
      <w:r w:rsidRPr="007E0696">
        <w:rPr>
          <w:i/>
        </w:rPr>
        <w:t xml:space="preserve">: Anotar el número de serie del bien mueble. (En caso de que algunos bienes no cuenten con número de serie, se deberá especificar el motivo en la columna de comentarios). 11. Número de placa: Anotar el número de placa del bien. (Equipo de transporte). </w:t>
      </w:r>
    </w:p>
    <w:p w14:paraId="0775030D" w14:textId="77777777" w:rsidR="00C2100C" w:rsidRPr="007E0696" w:rsidRDefault="00C2100C" w:rsidP="007E0696">
      <w:pPr>
        <w:pStyle w:val="Prrafodelista"/>
        <w:widowControl w:val="0"/>
        <w:autoSpaceDE w:val="0"/>
        <w:autoSpaceDN w:val="0"/>
        <w:adjustRightInd w:val="0"/>
        <w:spacing w:line="240" w:lineRule="auto"/>
        <w:ind w:left="851" w:right="822"/>
        <w:rPr>
          <w:i/>
        </w:rPr>
      </w:pPr>
      <w:r w:rsidRPr="007E0696">
        <w:rPr>
          <w:i/>
        </w:rPr>
        <w:t xml:space="preserve">12. Número de motor: Anotar el número de motor del bien. (Equipo de transporte). 13. Factura: Anotar número, fecha, nombre del proveedor y costo del bien. </w:t>
      </w:r>
    </w:p>
    <w:p w14:paraId="2F02B6AE" w14:textId="77777777" w:rsidR="00C2100C" w:rsidRPr="007E0696" w:rsidRDefault="00C2100C" w:rsidP="007E0696">
      <w:pPr>
        <w:pStyle w:val="Prrafodelista"/>
        <w:widowControl w:val="0"/>
        <w:autoSpaceDE w:val="0"/>
        <w:autoSpaceDN w:val="0"/>
        <w:adjustRightInd w:val="0"/>
        <w:spacing w:line="240" w:lineRule="auto"/>
        <w:ind w:left="851" w:right="822"/>
        <w:rPr>
          <w:i/>
        </w:rPr>
      </w:pPr>
      <w:r w:rsidRPr="007E0696">
        <w:rPr>
          <w:i/>
        </w:rPr>
        <w:t xml:space="preserve">14. Póliza: Anotar tipo, número y fecha de las pólizas relacionadas con la alta contable del bien. 15. Fecha de Movimiento de Alta: Anotar la fecha de alta del bien. </w:t>
      </w:r>
    </w:p>
    <w:p w14:paraId="16270A74" w14:textId="77777777" w:rsidR="00C2100C" w:rsidRPr="007E0696" w:rsidRDefault="00C2100C" w:rsidP="007E0696">
      <w:pPr>
        <w:pStyle w:val="Prrafodelista"/>
        <w:widowControl w:val="0"/>
        <w:autoSpaceDE w:val="0"/>
        <w:autoSpaceDN w:val="0"/>
        <w:adjustRightInd w:val="0"/>
        <w:spacing w:line="240" w:lineRule="auto"/>
        <w:ind w:left="851" w:right="822"/>
        <w:rPr>
          <w:i/>
        </w:rPr>
      </w:pPr>
      <w:r w:rsidRPr="007E0696">
        <w:rPr>
          <w:i/>
        </w:rPr>
        <w:t xml:space="preserve">16. Área Responsable: Anotar el nombre de la unidad administrativa a la que está </w:t>
      </w:r>
      <w:r w:rsidRPr="007E0696">
        <w:rPr>
          <w:i/>
        </w:rPr>
        <w:lastRenderedPageBreak/>
        <w:t xml:space="preserve">asignado el bien. </w:t>
      </w:r>
    </w:p>
    <w:p w14:paraId="72C8C46D" w14:textId="77777777" w:rsidR="00C2100C" w:rsidRPr="007E0696" w:rsidRDefault="00C2100C" w:rsidP="007E0696">
      <w:pPr>
        <w:pStyle w:val="Prrafodelista"/>
        <w:widowControl w:val="0"/>
        <w:autoSpaceDE w:val="0"/>
        <w:autoSpaceDN w:val="0"/>
        <w:adjustRightInd w:val="0"/>
        <w:spacing w:line="240" w:lineRule="auto"/>
        <w:ind w:left="851" w:right="822"/>
        <w:rPr>
          <w:i/>
        </w:rPr>
      </w:pPr>
      <w:r w:rsidRPr="007E0696">
        <w:rPr>
          <w:b/>
          <w:i/>
        </w:rPr>
        <w:t>17. Depreciación</w:t>
      </w:r>
      <w:r w:rsidRPr="007E0696">
        <w:rPr>
          <w:i/>
        </w:rPr>
        <w:t xml:space="preserve">: Anotar el tiempo de vida útil del bien, porcentaje, importe mensual y acumulado por bien (Aplica para la cuenta 1233). </w:t>
      </w:r>
    </w:p>
    <w:p w14:paraId="1B2483F5" w14:textId="77777777" w:rsidR="00C2100C" w:rsidRPr="007E0696" w:rsidRDefault="00C2100C" w:rsidP="007E0696">
      <w:pPr>
        <w:pStyle w:val="Prrafodelista"/>
        <w:widowControl w:val="0"/>
        <w:autoSpaceDE w:val="0"/>
        <w:autoSpaceDN w:val="0"/>
        <w:adjustRightInd w:val="0"/>
        <w:spacing w:line="240" w:lineRule="auto"/>
        <w:ind w:left="851" w:right="822"/>
        <w:rPr>
          <w:i/>
        </w:rPr>
      </w:pPr>
      <w:r w:rsidRPr="007E0696">
        <w:rPr>
          <w:i/>
        </w:rPr>
        <w:t>18. Comentarios: Anotar los aspectos relevantes del bien mueble.</w:t>
      </w:r>
    </w:p>
    <w:p w14:paraId="49C11969" w14:textId="5F3A24EC" w:rsidR="00C2100C" w:rsidRPr="007E0696" w:rsidRDefault="00C2100C" w:rsidP="007E0696">
      <w:pPr>
        <w:pStyle w:val="Prrafodelista"/>
        <w:widowControl w:val="0"/>
        <w:autoSpaceDE w:val="0"/>
        <w:autoSpaceDN w:val="0"/>
        <w:adjustRightInd w:val="0"/>
        <w:ind w:left="0"/>
      </w:pPr>
      <w:r w:rsidRPr="007E0696">
        <w:t xml:space="preserve">No pasa desapercibido para este Órgano Garante que </w:t>
      </w:r>
      <w:r w:rsidRPr="007E0696">
        <w:rPr>
          <w:b/>
          <w:bCs/>
        </w:rPr>
        <w:t xml:space="preserve">LA PARTE RECURRENTE, </w:t>
      </w:r>
      <w:r w:rsidRPr="007E0696">
        <w:t>únicamente refirió</w:t>
      </w:r>
      <w:r w:rsidRPr="007E0696">
        <w:rPr>
          <w:b/>
          <w:bCs/>
        </w:rPr>
        <w:t xml:space="preserve"> </w:t>
      </w:r>
      <w:r w:rsidRPr="007E0696">
        <w:t xml:space="preserve">conocer el formato de dicho inventario, por lo que en consecuencia se estima que su derecho de acceso a la información fue garantizado y con la información adjunta colma su </w:t>
      </w:r>
      <w:r w:rsidR="006B4EDC" w:rsidRPr="007E0696">
        <w:t>pretensión</w:t>
      </w:r>
      <w:r w:rsidRPr="007E0696">
        <w:t xml:space="preserve">. </w:t>
      </w:r>
    </w:p>
    <w:p w14:paraId="7A54F229" w14:textId="77777777" w:rsidR="00C2100C" w:rsidRPr="007E0696" w:rsidRDefault="00C2100C" w:rsidP="007E0696">
      <w:pPr>
        <w:pStyle w:val="Prrafodelista"/>
        <w:widowControl w:val="0"/>
        <w:autoSpaceDE w:val="0"/>
        <w:autoSpaceDN w:val="0"/>
        <w:adjustRightInd w:val="0"/>
        <w:ind w:left="0"/>
      </w:pPr>
    </w:p>
    <w:p w14:paraId="3DEEE55C" w14:textId="5695B4C4" w:rsidR="00BC341C" w:rsidRPr="007E0696" w:rsidRDefault="00BC5E3E" w:rsidP="007E0696">
      <w:pPr>
        <w:rPr>
          <w:rFonts w:eastAsia="Palatino Linotype" w:cs="Palatino Linotype"/>
          <w:sz w:val="24"/>
          <w:szCs w:val="24"/>
          <w:lang w:eastAsia="en-US"/>
        </w:rPr>
      </w:pPr>
      <w:r w:rsidRPr="007E0696">
        <w:rPr>
          <w:rFonts w:eastAsia="Palatino Linotype" w:cs="Palatino Linotype"/>
          <w:sz w:val="24"/>
          <w:szCs w:val="24"/>
        </w:rPr>
        <w:t>Lo anterior</w:t>
      </w:r>
      <w:r w:rsidR="00BC341C" w:rsidRPr="007E0696">
        <w:rPr>
          <w:rFonts w:eastAsia="Palatino Linotype" w:cs="Palatino Linotype"/>
          <w:sz w:val="24"/>
          <w:szCs w:val="24"/>
        </w:rPr>
        <w:t>,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0E1C295" w14:textId="77777777" w:rsidR="00BC341C" w:rsidRPr="007E0696" w:rsidRDefault="00BC341C" w:rsidP="007E0696">
      <w:pPr>
        <w:rPr>
          <w:rFonts w:eastAsia="Palatino Linotype" w:cs="Palatino Linotype"/>
          <w:sz w:val="24"/>
          <w:szCs w:val="24"/>
        </w:rPr>
      </w:pPr>
    </w:p>
    <w:p w14:paraId="3FF27E88" w14:textId="77777777" w:rsidR="00BC341C" w:rsidRPr="007E0696" w:rsidRDefault="00BC341C" w:rsidP="007E0696">
      <w:pPr>
        <w:tabs>
          <w:tab w:val="left" w:pos="851"/>
          <w:tab w:val="left" w:pos="8222"/>
        </w:tabs>
        <w:spacing w:line="240" w:lineRule="auto"/>
        <w:ind w:left="851" w:right="822"/>
        <w:rPr>
          <w:rFonts w:eastAsia="Palatino Linotype" w:cs="Palatino Linotype"/>
          <w:i/>
          <w:szCs w:val="22"/>
        </w:rPr>
      </w:pPr>
      <w:r w:rsidRPr="007E0696">
        <w:rPr>
          <w:rFonts w:eastAsia="Palatino Linotype" w:cs="Palatino Linotype"/>
          <w:i/>
        </w:rPr>
        <w:t>“</w:t>
      </w:r>
      <w:r w:rsidRPr="007E0696">
        <w:rPr>
          <w:rFonts w:eastAsia="Palatino Linotype" w:cs="Palatino Linotype"/>
          <w:b/>
          <w:i/>
        </w:rPr>
        <w:t>Artículo 4</w:t>
      </w:r>
      <w:r w:rsidRPr="007E0696">
        <w:rPr>
          <w:rFonts w:eastAsia="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4ED0E48" w14:textId="77777777" w:rsidR="00BC341C" w:rsidRPr="007E0696" w:rsidRDefault="00BC341C" w:rsidP="007E0696">
      <w:pPr>
        <w:tabs>
          <w:tab w:val="left" w:pos="851"/>
          <w:tab w:val="left" w:pos="8222"/>
        </w:tabs>
        <w:spacing w:line="240" w:lineRule="auto"/>
        <w:ind w:left="851" w:right="822"/>
        <w:rPr>
          <w:rFonts w:eastAsia="Palatino Linotype" w:cs="Palatino Linotype"/>
          <w:i/>
        </w:rPr>
      </w:pPr>
      <w:r w:rsidRPr="007E0696">
        <w:rPr>
          <w:rFonts w:eastAsia="Palatino Linotype" w:cs="Palatino Linotype"/>
          <w:b/>
          <w:i/>
        </w:rPr>
        <w:t>Toda la información generada, obtenida, adquirida, transformada, administrada o en posesión de los sujetos obligados es pública y accesible de manera permanente a cualquier persona</w:t>
      </w:r>
      <w:r w:rsidRPr="007E0696">
        <w:rPr>
          <w:rFonts w:eastAsia="Palatino Linotype" w:cs="Palatino Linotype"/>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w:t>
      </w:r>
      <w:r w:rsidRPr="007E0696">
        <w:rPr>
          <w:rFonts w:eastAsia="Palatino Linotype" w:cs="Palatino Linotype"/>
          <w:i/>
        </w:rPr>
        <w:lastRenderedPageBreak/>
        <w:t>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549C90F" w14:textId="77777777" w:rsidR="00BC341C" w:rsidRPr="007E0696" w:rsidRDefault="00BC341C" w:rsidP="007E0696">
      <w:pPr>
        <w:tabs>
          <w:tab w:val="left" w:pos="851"/>
          <w:tab w:val="left" w:pos="8222"/>
        </w:tabs>
        <w:spacing w:line="240" w:lineRule="auto"/>
        <w:ind w:left="851" w:right="822"/>
        <w:rPr>
          <w:rFonts w:eastAsia="Palatino Linotype" w:cs="Palatino Linotype"/>
          <w:i/>
        </w:rPr>
      </w:pPr>
      <w:r w:rsidRPr="007E0696">
        <w:rPr>
          <w:rFonts w:eastAsia="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7E0696">
        <w:rPr>
          <w:rFonts w:eastAsia="Palatino Linotype" w:cs="Palatino Linotype"/>
          <w:i/>
        </w:rPr>
        <w:t>.”</w:t>
      </w:r>
    </w:p>
    <w:p w14:paraId="1AB30351" w14:textId="77777777" w:rsidR="00BC341C" w:rsidRPr="007E0696" w:rsidRDefault="00BC341C" w:rsidP="007E0696">
      <w:pPr>
        <w:rPr>
          <w:rFonts w:eastAsia="Palatino Linotype" w:cs="Palatino Linotype"/>
        </w:rPr>
      </w:pPr>
    </w:p>
    <w:p w14:paraId="6092FD1C" w14:textId="77777777" w:rsidR="00BC341C" w:rsidRPr="007E0696" w:rsidRDefault="00BC341C" w:rsidP="007E0696">
      <w:pPr>
        <w:rPr>
          <w:rFonts w:eastAsia="Palatino Linotype" w:cs="Palatino Linotype"/>
          <w:sz w:val="24"/>
          <w:szCs w:val="24"/>
        </w:rPr>
      </w:pPr>
      <w:r w:rsidRPr="007E0696">
        <w:rPr>
          <w:rFonts w:eastAsia="Palatino Linotype" w:cs="Palatino Linotype"/>
          <w:sz w:val="24"/>
          <w:szCs w:val="24"/>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2050E57" w14:textId="77777777" w:rsidR="00BC341C" w:rsidRPr="007E0696" w:rsidRDefault="00BC341C" w:rsidP="007E0696">
      <w:pPr>
        <w:ind w:left="567" w:right="616"/>
        <w:rPr>
          <w:rFonts w:eastAsia="Palatino Linotype" w:cs="Palatino Linotype"/>
          <w:szCs w:val="22"/>
        </w:rPr>
      </w:pPr>
    </w:p>
    <w:p w14:paraId="1703DA0D" w14:textId="77777777" w:rsidR="00BC341C" w:rsidRPr="007E0696" w:rsidRDefault="00BC341C" w:rsidP="007E0696">
      <w:pPr>
        <w:tabs>
          <w:tab w:val="left" w:pos="8222"/>
        </w:tabs>
        <w:spacing w:line="240" w:lineRule="auto"/>
        <w:ind w:left="851" w:right="822"/>
        <w:rPr>
          <w:rFonts w:eastAsia="Palatino Linotype" w:cs="Palatino Linotype"/>
          <w:i/>
        </w:rPr>
      </w:pPr>
      <w:r w:rsidRPr="007E0696">
        <w:rPr>
          <w:rFonts w:eastAsia="Palatino Linotype" w:cs="Palatino Linotype"/>
          <w:i/>
        </w:rPr>
        <w:t>“</w:t>
      </w:r>
      <w:r w:rsidRPr="007E0696">
        <w:rPr>
          <w:rFonts w:eastAsia="Palatino Linotype" w:cs="Palatino Linotype"/>
          <w:b/>
          <w:i/>
        </w:rPr>
        <w:t>Artículo 12.-</w:t>
      </w:r>
      <w:r w:rsidRPr="007E0696">
        <w:rPr>
          <w:rFonts w:eastAsia="Palatino Linotype" w:cs="Palatino Linotype"/>
          <w:i/>
        </w:rPr>
        <w:t xml:space="preserve"> Quienes generen, recopilen, administren, manejen, procesen, archiven o conserven información pública serán responsables de la misma en los términos de las disposiciones jurídicas aplicables. </w:t>
      </w:r>
    </w:p>
    <w:p w14:paraId="09D0F248" w14:textId="77777777" w:rsidR="00BC341C" w:rsidRPr="007E0696" w:rsidRDefault="00BC341C" w:rsidP="007E0696">
      <w:pPr>
        <w:tabs>
          <w:tab w:val="left" w:pos="8222"/>
        </w:tabs>
        <w:spacing w:line="240" w:lineRule="auto"/>
        <w:ind w:left="851" w:right="822"/>
        <w:rPr>
          <w:rFonts w:eastAsia="Palatino Linotype" w:cs="Palatino Linotype"/>
          <w:i/>
        </w:rPr>
      </w:pPr>
    </w:p>
    <w:p w14:paraId="2FEB5833" w14:textId="77777777" w:rsidR="00BC341C" w:rsidRPr="007E0696" w:rsidRDefault="00BC341C" w:rsidP="007E0696">
      <w:pPr>
        <w:tabs>
          <w:tab w:val="left" w:pos="8222"/>
        </w:tabs>
        <w:spacing w:line="240" w:lineRule="auto"/>
        <w:ind w:left="851" w:right="822"/>
        <w:rPr>
          <w:rFonts w:eastAsia="Palatino Linotype" w:cs="Palatino Linotype"/>
          <w:i/>
        </w:rPr>
      </w:pPr>
      <w:r w:rsidRPr="007E0696">
        <w:rPr>
          <w:rFonts w:eastAsia="Palatino Linotype" w:cs="Palatino Linotype"/>
          <w:b/>
          <w:i/>
        </w:rPr>
        <w:t>Los sujetos obligados sólo proporcionarán la información pública que se les requiera y que obre en sus archivos y en el estado en que ésta se encuentre</w:t>
      </w:r>
      <w:r w:rsidRPr="007E0696">
        <w:rPr>
          <w:rFonts w:eastAsia="Palatino Linotype" w:cs="Palatino Linotype"/>
          <w:i/>
        </w:rPr>
        <w:t xml:space="preserve">. </w:t>
      </w:r>
      <w:r w:rsidRPr="007E0696">
        <w:rPr>
          <w:rFonts w:eastAsia="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7E0696">
        <w:rPr>
          <w:rFonts w:eastAsia="Palatino Linotype" w:cs="Palatino Linotype"/>
          <w:i/>
        </w:rPr>
        <w:t xml:space="preserve">.” </w:t>
      </w:r>
    </w:p>
    <w:p w14:paraId="72A35E29" w14:textId="77777777" w:rsidR="00BC341C" w:rsidRPr="007E0696" w:rsidRDefault="00BC341C" w:rsidP="007E0696">
      <w:pPr>
        <w:ind w:left="567" w:right="616"/>
        <w:rPr>
          <w:rFonts w:eastAsia="Palatino Linotype" w:cs="Palatino Linotype"/>
          <w:i/>
        </w:rPr>
      </w:pPr>
    </w:p>
    <w:p w14:paraId="00604F99" w14:textId="77777777" w:rsidR="00BC341C" w:rsidRPr="007E0696" w:rsidRDefault="00BC341C" w:rsidP="007E0696">
      <w:pPr>
        <w:ind w:right="-93"/>
        <w:rPr>
          <w:rFonts w:eastAsia="Palatino Linotype" w:cs="Palatino Linotype"/>
          <w:sz w:val="24"/>
          <w:szCs w:val="24"/>
        </w:rPr>
      </w:pPr>
      <w:r w:rsidRPr="007E0696">
        <w:rPr>
          <w:rFonts w:eastAsia="Palatino Linotype" w:cs="Palatino Linotype"/>
          <w:sz w:val="24"/>
          <w:szCs w:val="24"/>
        </w:rPr>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09DA4813" w14:textId="77777777" w:rsidR="00BC341C" w:rsidRPr="007E0696" w:rsidRDefault="00BC341C" w:rsidP="007E0696">
      <w:pPr>
        <w:ind w:right="-93"/>
        <w:rPr>
          <w:rFonts w:eastAsia="Palatino Linotype" w:cs="Palatino Linotype"/>
          <w:szCs w:val="22"/>
        </w:rPr>
      </w:pPr>
    </w:p>
    <w:p w14:paraId="160BA9D1" w14:textId="77777777" w:rsidR="00BC341C" w:rsidRPr="007E0696" w:rsidRDefault="00BC341C" w:rsidP="007E0696">
      <w:pPr>
        <w:rPr>
          <w:rFonts w:eastAsia="Palatino Linotype" w:cs="Palatino Linotype"/>
          <w:b/>
          <w:sz w:val="24"/>
          <w:szCs w:val="24"/>
        </w:rPr>
      </w:pPr>
      <w:r w:rsidRPr="007E0696">
        <w:rPr>
          <w:rFonts w:eastAsia="Palatino Linotype" w:cs="Palatino Linotype"/>
          <w:sz w:val="24"/>
          <w:szCs w:val="24"/>
        </w:rPr>
        <w:t>Sirve de apoyo a lo anterior, el criterio 03-17, expuesto por el Instituto Nacional de Transparencia, Acceso a la Información y Protección de Datos Personales, que dice:</w:t>
      </w:r>
      <w:r w:rsidRPr="007E0696">
        <w:rPr>
          <w:rFonts w:eastAsia="Palatino Linotype" w:cs="Palatino Linotype"/>
          <w:b/>
          <w:sz w:val="24"/>
          <w:szCs w:val="24"/>
        </w:rPr>
        <w:t xml:space="preserve"> </w:t>
      </w:r>
    </w:p>
    <w:p w14:paraId="587E7F85" w14:textId="77777777" w:rsidR="00BC341C" w:rsidRPr="007E0696" w:rsidRDefault="00BC341C" w:rsidP="007E0696">
      <w:pPr>
        <w:ind w:left="851" w:right="850"/>
        <w:rPr>
          <w:rFonts w:eastAsia="Palatino Linotype" w:cs="Palatino Linotype"/>
          <w:szCs w:val="22"/>
        </w:rPr>
      </w:pPr>
    </w:p>
    <w:p w14:paraId="07EF02A6" w14:textId="77777777" w:rsidR="00BC341C" w:rsidRPr="007E0696" w:rsidRDefault="00BC341C" w:rsidP="007E0696">
      <w:pPr>
        <w:tabs>
          <w:tab w:val="left" w:pos="8222"/>
        </w:tabs>
        <w:spacing w:after="240" w:line="240" w:lineRule="auto"/>
        <w:ind w:left="851" w:right="822"/>
        <w:rPr>
          <w:rFonts w:eastAsia="Palatino Linotype" w:cs="Palatino Linotype"/>
          <w:i/>
        </w:rPr>
      </w:pPr>
      <w:r w:rsidRPr="007E0696">
        <w:rPr>
          <w:rFonts w:eastAsia="Palatino Linotype" w:cs="Palatino Linotype"/>
          <w:i/>
        </w:rPr>
        <w:t>“</w:t>
      </w:r>
      <w:r w:rsidRPr="007E0696">
        <w:rPr>
          <w:rFonts w:eastAsia="Palatino Linotype" w:cs="Palatino Linotype"/>
          <w:b/>
          <w:i/>
        </w:rPr>
        <w:t>No existe obligación de elaborar documentos ad hoc para atender las solicitudes de acceso a la información.</w:t>
      </w:r>
      <w:r w:rsidRPr="007E0696">
        <w:rPr>
          <w:rFonts w:eastAsia="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774556B2" w14:textId="60E90A66" w:rsidR="00BC341C" w:rsidRPr="007E0696" w:rsidRDefault="00BC341C" w:rsidP="007E0696">
      <w:pPr>
        <w:rPr>
          <w:rFonts w:eastAsia="Palatino Linotype" w:cs="Palatino Linotype"/>
          <w:sz w:val="24"/>
          <w:szCs w:val="24"/>
        </w:rPr>
      </w:pPr>
      <w:r w:rsidRPr="007E0696">
        <w:rPr>
          <w:rFonts w:eastAsia="Palatino Linotype" w:cs="Palatino Linotype"/>
          <w:sz w:val="24"/>
          <w:szCs w:val="24"/>
        </w:rPr>
        <w:t xml:space="preserve">En esa tesitura, el artículo 24 en su último párrafo de la Ley de la Materia, dispone que los Sujetos Obligados sólo proporcionarán la información pública que generen, </w:t>
      </w:r>
      <w:r w:rsidRPr="007E0696">
        <w:rPr>
          <w:rFonts w:eastAsia="Palatino Linotype" w:cs="Palatino Linotype"/>
          <w:sz w:val="24"/>
          <w:szCs w:val="24"/>
        </w:rPr>
        <w:lastRenderedPageBreak/>
        <w:t>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A1BD3F0" w14:textId="77777777" w:rsidR="00BC341C" w:rsidRPr="007E0696" w:rsidRDefault="00BC341C" w:rsidP="007E0696">
      <w:pPr>
        <w:rPr>
          <w:rFonts w:eastAsia="Palatino Linotype" w:cs="Palatino Linotype"/>
          <w:sz w:val="24"/>
          <w:szCs w:val="24"/>
        </w:rPr>
      </w:pPr>
    </w:p>
    <w:p w14:paraId="589E7FF8" w14:textId="77777777" w:rsidR="00BC341C" w:rsidRPr="007E0696" w:rsidRDefault="00BC341C" w:rsidP="007E0696">
      <w:pPr>
        <w:ind w:right="49"/>
        <w:rPr>
          <w:rFonts w:eastAsia="Palatino Linotype" w:cs="Palatino Linotype"/>
          <w:sz w:val="24"/>
          <w:szCs w:val="24"/>
        </w:rPr>
      </w:pPr>
      <w:r w:rsidRPr="007E0696">
        <w:rPr>
          <w:rFonts w:eastAsia="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3A02881" w14:textId="77777777" w:rsidR="00BC341C" w:rsidRPr="007E0696" w:rsidRDefault="00BC341C" w:rsidP="007E0696">
      <w:pPr>
        <w:ind w:right="49"/>
        <w:rPr>
          <w:rFonts w:eastAsia="Palatino Linotype" w:cs="Palatino Linotype"/>
          <w:sz w:val="24"/>
          <w:szCs w:val="24"/>
        </w:rPr>
      </w:pPr>
    </w:p>
    <w:p w14:paraId="423ECDC8" w14:textId="77777777" w:rsidR="00BC341C" w:rsidRPr="007E0696" w:rsidRDefault="00BC341C" w:rsidP="007E0696">
      <w:pPr>
        <w:rPr>
          <w:rFonts w:eastAsia="Palatino Linotype" w:cs="Palatino Linotype"/>
          <w:sz w:val="24"/>
          <w:szCs w:val="24"/>
        </w:rPr>
      </w:pPr>
      <w:r w:rsidRPr="007E0696">
        <w:rPr>
          <w:rFonts w:eastAsia="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w:t>
      </w:r>
      <w:r w:rsidRPr="007E0696">
        <w:rPr>
          <w:rFonts w:eastAsia="Palatino Linotype" w:cs="Palatino Linotype"/>
          <w:sz w:val="24"/>
          <w:szCs w:val="24"/>
        </w:rPr>
        <w:lastRenderedPageBreak/>
        <w:t xml:space="preserve">u holográfico de conformidad con el artículo 3, fracción XI de la Ley de la materia, el cual señala lo siguiente: </w:t>
      </w:r>
    </w:p>
    <w:p w14:paraId="7E69413A" w14:textId="77777777" w:rsidR="00BC341C" w:rsidRPr="007E0696" w:rsidRDefault="00BC341C" w:rsidP="007E0696">
      <w:pPr>
        <w:rPr>
          <w:rFonts w:eastAsia="Palatino Linotype" w:cs="Palatino Linotype"/>
          <w:sz w:val="24"/>
          <w:szCs w:val="24"/>
        </w:rPr>
      </w:pPr>
    </w:p>
    <w:p w14:paraId="26F84A87" w14:textId="77777777" w:rsidR="00BC341C" w:rsidRPr="007E0696" w:rsidRDefault="00BC341C" w:rsidP="007E0696">
      <w:pPr>
        <w:spacing w:line="240" w:lineRule="auto"/>
        <w:ind w:left="851" w:right="822"/>
        <w:rPr>
          <w:rFonts w:eastAsia="Palatino Linotype" w:cs="Palatino Linotype"/>
          <w:i/>
          <w:szCs w:val="22"/>
        </w:rPr>
      </w:pPr>
      <w:r w:rsidRPr="007E0696">
        <w:rPr>
          <w:rFonts w:eastAsia="Palatino Linotype" w:cs="Palatino Linotype"/>
          <w:i/>
        </w:rPr>
        <w:t>“</w:t>
      </w:r>
      <w:r w:rsidRPr="007E0696">
        <w:rPr>
          <w:rFonts w:eastAsia="Palatino Linotype" w:cs="Palatino Linotype"/>
          <w:b/>
          <w:i/>
        </w:rPr>
        <w:t xml:space="preserve">Artículo 3. </w:t>
      </w:r>
      <w:r w:rsidRPr="007E0696">
        <w:rPr>
          <w:rFonts w:eastAsia="Palatino Linotype" w:cs="Palatino Linotype"/>
          <w:i/>
        </w:rPr>
        <w:t>Para los efectos de la presente Ley se entenderá por:</w:t>
      </w:r>
    </w:p>
    <w:p w14:paraId="1E4FEBA5" w14:textId="77777777" w:rsidR="00BC341C" w:rsidRPr="007E0696" w:rsidRDefault="00BC341C" w:rsidP="007E0696">
      <w:pPr>
        <w:spacing w:line="240" w:lineRule="auto"/>
        <w:ind w:left="851" w:right="822"/>
        <w:rPr>
          <w:rFonts w:eastAsia="Palatino Linotype" w:cs="Palatino Linotype"/>
          <w:i/>
        </w:rPr>
      </w:pPr>
      <w:r w:rsidRPr="007E0696">
        <w:rPr>
          <w:rFonts w:eastAsia="Palatino Linotype" w:cs="Palatino Linotype"/>
          <w:i/>
        </w:rPr>
        <w:t>…</w:t>
      </w:r>
    </w:p>
    <w:p w14:paraId="7B0FE12B" w14:textId="77777777" w:rsidR="00BC341C" w:rsidRPr="007E0696" w:rsidRDefault="00BC341C" w:rsidP="007E0696">
      <w:pPr>
        <w:spacing w:line="240" w:lineRule="auto"/>
        <w:ind w:left="851" w:right="822"/>
        <w:rPr>
          <w:rFonts w:eastAsia="Palatino Linotype" w:cs="Palatino Linotype"/>
          <w:i/>
        </w:rPr>
      </w:pPr>
      <w:r w:rsidRPr="007E0696">
        <w:rPr>
          <w:rFonts w:eastAsia="Palatino Linotype" w:cs="Palatino Linotype"/>
          <w:b/>
          <w:i/>
        </w:rPr>
        <w:t>XI. Documento:</w:t>
      </w:r>
      <w:r w:rsidRPr="007E0696">
        <w:rPr>
          <w:rFonts w:eastAsia="Palatino Linotype" w:cs="Palatino Linotype"/>
          <w:i/>
        </w:rPr>
        <w:t xml:space="preserve"> Los expedientes, reportes, estudios, actas</w:t>
      </w:r>
      <w:r w:rsidRPr="007E0696">
        <w:rPr>
          <w:rFonts w:eastAsia="Palatino Linotype" w:cs="Palatino Linotype"/>
          <w:b/>
          <w:i/>
        </w:rPr>
        <w:t>,</w:t>
      </w:r>
      <w:r w:rsidRPr="007E0696">
        <w:rPr>
          <w:rFonts w:eastAsia="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B3E32B9" w14:textId="77777777" w:rsidR="00BC341C" w:rsidRPr="007E0696" w:rsidRDefault="00BC341C" w:rsidP="007E0696">
      <w:pPr>
        <w:ind w:left="851" w:right="899"/>
        <w:rPr>
          <w:rFonts w:eastAsia="Palatino Linotype" w:cs="Palatino Linotype"/>
        </w:rPr>
      </w:pPr>
    </w:p>
    <w:p w14:paraId="0C2C9FAD" w14:textId="77777777" w:rsidR="00BC341C" w:rsidRPr="007E0696" w:rsidRDefault="00BC341C" w:rsidP="007E0696">
      <w:pPr>
        <w:rPr>
          <w:rFonts w:eastAsia="Palatino Linotype" w:cs="Palatino Linotype"/>
          <w:sz w:val="24"/>
          <w:szCs w:val="24"/>
        </w:rPr>
      </w:pPr>
      <w:r w:rsidRPr="007E0696">
        <w:rPr>
          <w:rFonts w:eastAsia="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6F679BB" w14:textId="77777777" w:rsidR="00BC341C" w:rsidRPr="007E0696" w:rsidRDefault="00BC341C" w:rsidP="007E0696">
      <w:pPr>
        <w:ind w:left="851" w:right="899"/>
        <w:rPr>
          <w:rFonts w:eastAsia="Palatino Linotype" w:cs="Palatino Linotype"/>
          <w:szCs w:val="22"/>
        </w:rPr>
      </w:pPr>
    </w:p>
    <w:p w14:paraId="58A8B228" w14:textId="77777777" w:rsidR="00BC341C" w:rsidRPr="007E0696" w:rsidRDefault="00BC341C" w:rsidP="007E0696">
      <w:pPr>
        <w:tabs>
          <w:tab w:val="left" w:pos="7797"/>
        </w:tabs>
        <w:spacing w:line="240" w:lineRule="auto"/>
        <w:ind w:left="851" w:right="822"/>
        <w:rPr>
          <w:rFonts w:eastAsia="Palatino Linotype" w:cs="Palatino Linotype"/>
          <w:b/>
          <w:i/>
        </w:rPr>
      </w:pPr>
      <w:r w:rsidRPr="007E0696">
        <w:rPr>
          <w:rFonts w:eastAsia="Palatino Linotype" w:cs="Palatino Linotype"/>
          <w:b/>
        </w:rPr>
        <w:t>“</w:t>
      </w:r>
      <w:r w:rsidRPr="007E0696">
        <w:rPr>
          <w:rFonts w:eastAsia="Palatino Linotype" w:cs="Palatino Linotype"/>
          <w:b/>
          <w:i/>
        </w:rPr>
        <w:t>CRITERIO 0002-11. INFORMACIÓN PÚBLICA, CONCEPTO DE, EN MATERIA DE TRANSPARENCIA. INTERPRETACIÓN SISTEMÁTICA DE LOS ARTÍCULOS 2°, FRACCIÓN V, XV, Y XVI, 3°, 4°, 11 Y 41.</w:t>
      </w:r>
      <w:r w:rsidRPr="007E0696">
        <w:rPr>
          <w:rFonts w:eastAsia="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w:t>
      </w:r>
      <w:r w:rsidRPr="007E0696">
        <w:rPr>
          <w:rFonts w:eastAsia="Palatino Linotype" w:cs="Palatino Linotype"/>
          <w:i/>
        </w:rPr>
        <w:lastRenderedPageBreak/>
        <w:t>órganos u organismos públicos, en virtud del ejercicio de sus funciones de derecho público, sin importar su fuente, soporte o fecha de elaboración.</w:t>
      </w:r>
    </w:p>
    <w:p w14:paraId="5AC77D59" w14:textId="77777777" w:rsidR="00BC341C" w:rsidRPr="007E0696" w:rsidRDefault="00BC341C" w:rsidP="007E0696">
      <w:pPr>
        <w:tabs>
          <w:tab w:val="left" w:pos="7797"/>
        </w:tabs>
        <w:spacing w:line="240" w:lineRule="auto"/>
        <w:ind w:left="851" w:right="822"/>
        <w:rPr>
          <w:rFonts w:eastAsia="Palatino Linotype" w:cs="Palatino Linotype"/>
          <w:i/>
        </w:rPr>
      </w:pPr>
      <w:r w:rsidRPr="007E0696">
        <w:rPr>
          <w:rFonts w:eastAsia="Palatino Linotype" w:cs="Palatino Linotype"/>
          <w:i/>
        </w:rPr>
        <w:t>En consecuencia el acceso a la información se refiere a que se cumplan cualquiera de los siguientes tres supuestos:</w:t>
      </w:r>
    </w:p>
    <w:p w14:paraId="3220B0D9" w14:textId="77777777" w:rsidR="00BC341C" w:rsidRPr="007E0696" w:rsidRDefault="00BC341C" w:rsidP="007E0696">
      <w:pPr>
        <w:tabs>
          <w:tab w:val="left" w:pos="7797"/>
        </w:tabs>
        <w:spacing w:line="240" w:lineRule="auto"/>
        <w:ind w:left="851" w:right="822"/>
        <w:rPr>
          <w:rFonts w:eastAsia="Palatino Linotype" w:cs="Palatino Linotype"/>
          <w:i/>
        </w:rPr>
      </w:pPr>
      <w:r w:rsidRPr="007E0696">
        <w:rPr>
          <w:rFonts w:eastAsia="Palatino Linotype" w:cs="Palatino Linotype"/>
          <w:i/>
        </w:rPr>
        <w:t>1) Que se trate de información registrada en cualquier soporte documental, que en ejercicio de las atribuciones conferidas, sea generada por los Sujetos Obligados;</w:t>
      </w:r>
    </w:p>
    <w:p w14:paraId="2B2D55CA" w14:textId="77777777" w:rsidR="00BC341C" w:rsidRPr="007E0696" w:rsidRDefault="00BC341C" w:rsidP="007E0696">
      <w:pPr>
        <w:tabs>
          <w:tab w:val="left" w:pos="7797"/>
        </w:tabs>
        <w:spacing w:line="240" w:lineRule="auto"/>
        <w:ind w:left="851" w:right="822"/>
        <w:rPr>
          <w:rFonts w:eastAsia="Palatino Linotype" w:cs="Palatino Linotype"/>
          <w:b/>
          <w:i/>
        </w:rPr>
      </w:pPr>
      <w:r w:rsidRPr="007E0696">
        <w:rPr>
          <w:rFonts w:eastAsia="Palatino Linotype" w:cs="Palatino Linotype"/>
          <w:b/>
          <w:i/>
        </w:rPr>
        <w:t>2) Que se trate de información registrada en cualquier soporte documental, que en ejercicio de las atribuciones conferidas, sea administrada por los Sujetos Obligados, y</w:t>
      </w:r>
    </w:p>
    <w:p w14:paraId="054101E0" w14:textId="77777777" w:rsidR="00BC341C" w:rsidRPr="007E0696" w:rsidRDefault="00BC341C" w:rsidP="007E0696">
      <w:pPr>
        <w:tabs>
          <w:tab w:val="left" w:pos="851"/>
          <w:tab w:val="left" w:pos="7797"/>
        </w:tabs>
        <w:spacing w:line="240" w:lineRule="auto"/>
        <w:ind w:left="851" w:right="822"/>
        <w:rPr>
          <w:rFonts w:eastAsia="Palatino Linotype" w:cs="Palatino Linotype"/>
          <w:b/>
          <w:i/>
        </w:rPr>
      </w:pPr>
      <w:r w:rsidRPr="007E0696">
        <w:rPr>
          <w:rFonts w:eastAsia="Palatino Linotype" w:cs="Palatino Linotype"/>
          <w:b/>
          <w:i/>
        </w:rPr>
        <w:t xml:space="preserve">3) Que se trate de información registrada en cualquier soporte documental, que en ejercicio de las atribuciones conferidas, se encuentre en posesión de los Sujetos Obligados.” </w:t>
      </w:r>
    </w:p>
    <w:p w14:paraId="10D1FDBE" w14:textId="535D50BB" w:rsidR="00D40376" w:rsidRPr="007E0696" w:rsidRDefault="00D40376" w:rsidP="007E0696">
      <w:pPr>
        <w:ind w:right="-93"/>
        <w:rPr>
          <w:b/>
        </w:rPr>
      </w:pPr>
    </w:p>
    <w:p w14:paraId="6CD05AC4" w14:textId="02B50412" w:rsidR="00BD5A7C" w:rsidRPr="007E0696" w:rsidRDefault="00703703" w:rsidP="007E0696">
      <w:pPr>
        <w:pStyle w:val="Ttulo3"/>
        <w:spacing w:line="360" w:lineRule="auto"/>
      </w:pPr>
      <w:bookmarkStart w:id="30" w:name="_Toc176438510"/>
      <w:r w:rsidRPr="007E0696">
        <w:t>d</w:t>
      </w:r>
      <w:r w:rsidR="00BD5A7C" w:rsidRPr="007E0696">
        <w:t>) Conclusión</w:t>
      </w:r>
      <w:bookmarkEnd w:id="30"/>
    </w:p>
    <w:p w14:paraId="2B8F6CB8" w14:textId="034C1909" w:rsidR="00D25E9B" w:rsidRPr="007E0696" w:rsidRDefault="00D25E9B" w:rsidP="007E0696">
      <w:pPr>
        <w:widowControl w:val="0"/>
        <w:tabs>
          <w:tab w:val="left" w:pos="1701"/>
          <w:tab w:val="left" w:pos="1843"/>
        </w:tabs>
        <w:autoSpaceDE w:val="0"/>
        <w:autoSpaceDN w:val="0"/>
        <w:adjustRightInd w:val="0"/>
        <w:rPr>
          <w:rFonts w:cs="Arial"/>
        </w:rPr>
      </w:pPr>
      <w:bookmarkStart w:id="31" w:name="_Hlk165381027"/>
      <w:r w:rsidRPr="007E0696">
        <w:rPr>
          <w:rFonts w:cs="Arial"/>
        </w:rPr>
        <w:t xml:space="preserve">En conclusión y con base en lo anteriormente expuesto, este Instituto estima que las razones o motivos de inconformidad hechos valer por </w:t>
      </w:r>
      <w:r w:rsidRPr="007E0696">
        <w:rPr>
          <w:rFonts w:cs="Arial"/>
          <w:b/>
          <w:bCs/>
          <w:iCs/>
        </w:rPr>
        <w:t xml:space="preserve">LA PARTE RECURRENTE </w:t>
      </w:r>
      <w:r w:rsidRPr="007E0696">
        <w:rPr>
          <w:rFonts w:cs="Arial"/>
        </w:rPr>
        <w:t>devienen</w:t>
      </w:r>
      <w:r w:rsidR="00BC5E3E" w:rsidRPr="007E0696">
        <w:rPr>
          <w:rFonts w:cs="Arial"/>
        </w:rPr>
        <w:t xml:space="preserve"> </w:t>
      </w:r>
      <w:r w:rsidRPr="007E0696">
        <w:rPr>
          <w:rFonts w:cs="Arial"/>
          <w:b/>
        </w:rPr>
        <w:t>fundadas</w:t>
      </w:r>
      <w:r w:rsidRPr="007E0696">
        <w:rPr>
          <w:rFonts w:cs="Arial"/>
        </w:rPr>
        <w:t xml:space="preserve"> y suficientes para </w:t>
      </w:r>
      <w:r w:rsidRPr="007E0696">
        <w:rPr>
          <w:rFonts w:cs="Arial"/>
          <w:b/>
        </w:rPr>
        <w:t xml:space="preserve">MODIFICAR </w:t>
      </w:r>
      <w:r w:rsidRPr="007E0696">
        <w:rPr>
          <w:rFonts w:cs="Arial"/>
        </w:rPr>
        <w:t xml:space="preserve">la respuesta del </w:t>
      </w:r>
      <w:r w:rsidRPr="007E0696">
        <w:rPr>
          <w:rFonts w:cs="Arial"/>
          <w:b/>
        </w:rPr>
        <w:t>SUJETO OBLIGADO</w:t>
      </w:r>
      <w:r w:rsidRPr="007E0696">
        <w:rPr>
          <w:rFonts w:cs="Arial"/>
        </w:rPr>
        <w:t xml:space="preserve"> y ordenarle haga entrega previa búsqueda exhaustiva y razonable de la información descrita en el presente Considerando.</w:t>
      </w:r>
    </w:p>
    <w:p w14:paraId="54EBF23E" w14:textId="77777777" w:rsidR="00FF613E" w:rsidRPr="007E0696" w:rsidRDefault="00FF613E" w:rsidP="007E0696">
      <w:pPr>
        <w:widowControl w:val="0"/>
        <w:tabs>
          <w:tab w:val="left" w:pos="1701"/>
          <w:tab w:val="left" w:pos="1843"/>
        </w:tabs>
        <w:autoSpaceDE w:val="0"/>
        <w:autoSpaceDN w:val="0"/>
        <w:adjustRightInd w:val="0"/>
        <w:rPr>
          <w:rFonts w:cs="Arial"/>
        </w:rPr>
      </w:pPr>
    </w:p>
    <w:p w14:paraId="502EA917" w14:textId="7E96E336" w:rsidR="009F26A7" w:rsidRPr="007E0696" w:rsidRDefault="00BD5A7C" w:rsidP="007E0696">
      <w:pPr>
        <w:ind w:right="-93"/>
        <w:rPr>
          <w:rFonts w:cs="Tahoma"/>
          <w:bCs/>
          <w:szCs w:val="22"/>
        </w:rPr>
      </w:pPr>
      <w:r w:rsidRPr="007E0696">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51B9BA06" w:rsidR="00664420" w:rsidRPr="007E0696" w:rsidRDefault="00664420" w:rsidP="007E0696">
      <w:pPr>
        <w:pStyle w:val="Ttulo1"/>
      </w:pPr>
      <w:bookmarkStart w:id="32" w:name="_Toc176438511"/>
      <w:bookmarkEnd w:id="31"/>
      <w:r w:rsidRPr="007E0696">
        <w:lastRenderedPageBreak/>
        <w:t>RESUELVE</w:t>
      </w:r>
      <w:bookmarkEnd w:id="32"/>
    </w:p>
    <w:p w14:paraId="203B7093" w14:textId="77777777" w:rsidR="00664420" w:rsidRPr="007E0696" w:rsidRDefault="00664420" w:rsidP="007E0696">
      <w:pPr>
        <w:ind w:right="113"/>
        <w:rPr>
          <w:rFonts w:cs="Arial"/>
          <w:b/>
          <w:szCs w:val="22"/>
        </w:rPr>
      </w:pPr>
    </w:p>
    <w:p w14:paraId="40DE562B" w14:textId="0B67F156" w:rsidR="00FC3CE0" w:rsidRPr="007E0696" w:rsidRDefault="00FC3CE0" w:rsidP="007E0696">
      <w:pPr>
        <w:widowControl w:val="0"/>
        <w:rPr>
          <w:rFonts w:eastAsia="Calibri" w:cs="Tahoma"/>
          <w:bCs/>
          <w:szCs w:val="22"/>
          <w:lang w:eastAsia="en-US"/>
        </w:rPr>
      </w:pPr>
      <w:r w:rsidRPr="007E0696">
        <w:rPr>
          <w:b/>
          <w:bCs/>
        </w:rPr>
        <w:t>PRIMERO.</w:t>
      </w:r>
      <w:r w:rsidRPr="007E0696">
        <w:t xml:space="preserve"> </w:t>
      </w:r>
      <w:r w:rsidRPr="007E0696">
        <w:rPr>
          <w:rFonts w:cs="Tahoma"/>
          <w:szCs w:val="22"/>
        </w:rPr>
        <w:t xml:space="preserve">Se </w:t>
      </w:r>
      <w:r w:rsidR="004E5068" w:rsidRPr="007E0696">
        <w:rPr>
          <w:rFonts w:cs="Tahoma"/>
          <w:b/>
          <w:bCs/>
          <w:szCs w:val="22"/>
        </w:rPr>
        <w:t xml:space="preserve">MODIFICA </w:t>
      </w:r>
      <w:r w:rsidRPr="007E0696">
        <w:rPr>
          <w:rFonts w:cs="Tahoma"/>
          <w:szCs w:val="22"/>
        </w:rPr>
        <w:t xml:space="preserve">la respuesta entregada por el </w:t>
      </w:r>
      <w:r w:rsidR="004E5068" w:rsidRPr="007E0696">
        <w:rPr>
          <w:rFonts w:cs="Tahoma"/>
          <w:b/>
          <w:bCs/>
          <w:szCs w:val="22"/>
        </w:rPr>
        <w:t>SUJETO OBLIGADO</w:t>
      </w:r>
      <w:r w:rsidR="004E5068" w:rsidRPr="007E0696">
        <w:rPr>
          <w:rFonts w:cs="Tahoma"/>
          <w:szCs w:val="22"/>
        </w:rPr>
        <w:t xml:space="preserve"> </w:t>
      </w:r>
      <w:r w:rsidR="0041385B" w:rsidRPr="007E0696">
        <w:rPr>
          <w:rFonts w:cs="Tahoma"/>
          <w:szCs w:val="22"/>
        </w:rPr>
        <w:t>en</w:t>
      </w:r>
      <w:r w:rsidRPr="007E0696">
        <w:rPr>
          <w:rFonts w:cs="Tahoma"/>
          <w:szCs w:val="22"/>
        </w:rPr>
        <w:t xml:space="preserve"> la solicitud de información </w:t>
      </w:r>
      <w:r w:rsidR="00BC5E3E" w:rsidRPr="007E0696">
        <w:rPr>
          <w:rFonts w:cs="Tahoma"/>
          <w:b/>
        </w:rPr>
        <w:t>00008/OASALMOJU/IP/2024</w:t>
      </w:r>
      <w:r w:rsidRPr="007E0696">
        <w:rPr>
          <w:rFonts w:cs="Tahoma"/>
          <w:bCs/>
          <w:szCs w:val="22"/>
        </w:rPr>
        <w:t xml:space="preserve">, </w:t>
      </w:r>
      <w:r w:rsidRPr="007E0696">
        <w:rPr>
          <w:rFonts w:eastAsia="Calibri" w:cs="Tahoma"/>
          <w:bCs/>
          <w:szCs w:val="22"/>
          <w:lang w:eastAsia="en-US"/>
        </w:rPr>
        <w:t xml:space="preserve">por resultar </w:t>
      </w:r>
      <w:r w:rsidRPr="007E0696">
        <w:rPr>
          <w:rFonts w:eastAsia="Calibri" w:cs="Tahoma"/>
          <w:b/>
          <w:bCs/>
          <w:szCs w:val="22"/>
          <w:lang w:eastAsia="en-US"/>
        </w:rPr>
        <w:t>FUNDADAS</w:t>
      </w:r>
      <w:r w:rsidRPr="007E0696">
        <w:rPr>
          <w:rFonts w:eastAsia="Calibri" w:cs="Tahoma"/>
          <w:bCs/>
          <w:szCs w:val="22"/>
          <w:lang w:eastAsia="en-US"/>
        </w:rPr>
        <w:t xml:space="preserve"> las razones o motivos de inconformidad hechos valer por </w:t>
      </w:r>
      <w:r w:rsidRPr="007E0696">
        <w:rPr>
          <w:rFonts w:eastAsia="Calibri" w:cs="Tahoma"/>
          <w:b/>
          <w:szCs w:val="22"/>
          <w:lang w:eastAsia="en-US"/>
        </w:rPr>
        <w:t>LA PARTE RECURRENTE</w:t>
      </w:r>
      <w:r w:rsidRPr="007E0696">
        <w:rPr>
          <w:rFonts w:eastAsia="Calibri" w:cs="Tahoma"/>
          <w:bCs/>
          <w:szCs w:val="22"/>
          <w:lang w:eastAsia="en-US"/>
        </w:rPr>
        <w:t xml:space="preserve"> en el Recurso de Revisión </w:t>
      </w:r>
      <w:r w:rsidR="00C56776" w:rsidRPr="007E0696">
        <w:rPr>
          <w:rFonts w:eastAsiaTheme="minorHAnsi" w:cstheme="minorBidi"/>
          <w:b/>
          <w:bCs/>
          <w:szCs w:val="22"/>
          <w:lang w:eastAsia="en-US"/>
        </w:rPr>
        <w:t>04887/INFOEM/IP/RR/2024</w:t>
      </w:r>
      <w:r w:rsidRPr="007E0696">
        <w:rPr>
          <w:rFonts w:eastAsiaTheme="minorHAnsi" w:cstheme="minorBidi"/>
          <w:szCs w:val="22"/>
          <w:lang w:eastAsia="en-US"/>
        </w:rPr>
        <w:t>,</w:t>
      </w:r>
      <w:r w:rsidRPr="007E0696">
        <w:rPr>
          <w:rFonts w:cs="Tahoma"/>
          <w:b/>
          <w:szCs w:val="22"/>
        </w:rPr>
        <w:t xml:space="preserve"> </w:t>
      </w:r>
      <w:r w:rsidRPr="007E0696">
        <w:rPr>
          <w:rFonts w:eastAsia="Calibri" w:cs="Tahoma"/>
          <w:bCs/>
          <w:szCs w:val="22"/>
          <w:lang w:eastAsia="en-US"/>
        </w:rPr>
        <w:t xml:space="preserve">en términos del considerando </w:t>
      </w:r>
      <w:r w:rsidRPr="007E0696">
        <w:rPr>
          <w:rFonts w:eastAsia="Calibri" w:cs="Tahoma"/>
          <w:b/>
          <w:szCs w:val="22"/>
          <w:lang w:eastAsia="en-US"/>
        </w:rPr>
        <w:t>SEGUNDO</w:t>
      </w:r>
      <w:r w:rsidRPr="007E0696">
        <w:rPr>
          <w:rFonts w:eastAsia="Calibri" w:cs="Tahoma"/>
          <w:bCs/>
          <w:szCs w:val="22"/>
          <w:lang w:eastAsia="en-US"/>
        </w:rPr>
        <w:t xml:space="preserve"> de la presente Resolución.</w:t>
      </w:r>
    </w:p>
    <w:p w14:paraId="2DA21A6E" w14:textId="77777777" w:rsidR="00BC5E3E" w:rsidRPr="007E0696" w:rsidRDefault="00BC5E3E" w:rsidP="007E0696">
      <w:pPr>
        <w:widowControl w:val="0"/>
        <w:rPr>
          <w:rFonts w:eastAsia="Calibri" w:cs="Tahoma"/>
          <w:bCs/>
          <w:szCs w:val="22"/>
          <w:lang w:eastAsia="en-US"/>
        </w:rPr>
      </w:pPr>
    </w:p>
    <w:p w14:paraId="16CF919C" w14:textId="3C9012C1" w:rsidR="00FC3CE0" w:rsidRPr="007E0696" w:rsidRDefault="00FC3CE0" w:rsidP="007E0696">
      <w:pPr>
        <w:spacing w:after="240"/>
        <w:ind w:right="-93"/>
        <w:rPr>
          <w:rFonts w:eastAsia="Calibri" w:cs="Tahoma"/>
          <w:bCs/>
          <w:szCs w:val="22"/>
          <w:lang w:eastAsia="en-US"/>
        </w:rPr>
      </w:pPr>
      <w:r w:rsidRPr="007E0696">
        <w:rPr>
          <w:rFonts w:eastAsia="Calibri" w:cs="Tahoma"/>
          <w:b/>
          <w:bCs/>
          <w:szCs w:val="22"/>
          <w:lang w:eastAsia="en-US"/>
        </w:rPr>
        <w:t>SEGUNDO.</w:t>
      </w:r>
      <w:r w:rsidRPr="007E0696">
        <w:rPr>
          <w:rFonts w:eastAsia="Calibri" w:cs="Tahoma"/>
          <w:szCs w:val="22"/>
          <w:lang w:eastAsia="es-MX"/>
        </w:rPr>
        <w:t xml:space="preserve"> Se </w:t>
      </w:r>
      <w:r w:rsidRPr="007E0696">
        <w:rPr>
          <w:rFonts w:eastAsia="Calibri" w:cs="Tahoma"/>
          <w:b/>
          <w:szCs w:val="22"/>
          <w:lang w:eastAsia="es-MX"/>
        </w:rPr>
        <w:t xml:space="preserve">ORDENA </w:t>
      </w:r>
      <w:r w:rsidRPr="007E0696">
        <w:rPr>
          <w:rFonts w:eastAsia="Calibri" w:cs="Tahoma"/>
          <w:szCs w:val="22"/>
          <w:lang w:eastAsia="es-MX"/>
        </w:rPr>
        <w:t xml:space="preserve">al </w:t>
      </w:r>
      <w:r w:rsidRPr="007E0696">
        <w:rPr>
          <w:rFonts w:eastAsia="Calibri" w:cs="Tahoma"/>
          <w:b/>
          <w:bCs/>
          <w:szCs w:val="22"/>
          <w:lang w:eastAsia="es-MX"/>
        </w:rPr>
        <w:t>SUJETO OBLIGADO</w:t>
      </w:r>
      <w:r w:rsidRPr="007E0696">
        <w:rPr>
          <w:rFonts w:eastAsia="Calibri" w:cs="Tahoma"/>
          <w:szCs w:val="22"/>
          <w:lang w:eastAsia="es-MX"/>
        </w:rPr>
        <w:t xml:space="preserve">, </w:t>
      </w:r>
      <w:r w:rsidRPr="007E0696">
        <w:rPr>
          <w:rFonts w:eastAsia="Calibri" w:cs="Tahoma"/>
          <w:bCs/>
          <w:szCs w:val="22"/>
          <w:lang w:eastAsia="en-US"/>
        </w:rPr>
        <w:t xml:space="preserve">entregue a través del </w:t>
      </w:r>
      <w:r w:rsidR="00233005" w:rsidRPr="007E0696">
        <w:rPr>
          <w:rFonts w:eastAsia="Calibri" w:cs="Tahoma"/>
          <w:b/>
          <w:bCs/>
          <w:szCs w:val="22"/>
          <w:lang w:eastAsia="en-US"/>
        </w:rPr>
        <w:t>SAIMEX</w:t>
      </w:r>
      <w:r w:rsidR="00233005" w:rsidRPr="007E0696">
        <w:rPr>
          <w:rFonts w:eastAsia="Calibri" w:cs="Tahoma"/>
          <w:bCs/>
          <w:szCs w:val="22"/>
          <w:lang w:eastAsia="en-US"/>
        </w:rPr>
        <w:t xml:space="preserve">, </w:t>
      </w:r>
      <w:r w:rsidR="006B4EDC" w:rsidRPr="007E0696">
        <w:rPr>
          <w:rFonts w:eastAsia="Calibri" w:cs="Tahoma"/>
          <w:bCs/>
          <w:szCs w:val="22"/>
          <w:lang w:eastAsia="en-US"/>
        </w:rPr>
        <w:t xml:space="preserve">al 01 de julio de 2024 el o los documentos donde conste </w:t>
      </w:r>
      <w:r w:rsidR="00BC5E3E" w:rsidRPr="007E0696">
        <w:rPr>
          <w:rFonts w:eastAsia="Calibri" w:cs="Tahoma"/>
          <w:bCs/>
          <w:szCs w:val="22"/>
          <w:lang w:eastAsia="en-US"/>
        </w:rPr>
        <w:t>la siguiente información</w:t>
      </w:r>
      <w:r w:rsidRPr="007E0696">
        <w:rPr>
          <w:rFonts w:eastAsia="Calibri" w:cs="Tahoma"/>
          <w:bCs/>
          <w:szCs w:val="22"/>
          <w:lang w:eastAsia="en-US"/>
        </w:rPr>
        <w:t>:</w:t>
      </w:r>
    </w:p>
    <w:p w14:paraId="6F2A4383" w14:textId="7E268CBE" w:rsidR="006B4EDC" w:rsidRPr="007E0696" w:rsidRDefault="00BC5E3E" w:rsidP="007E0696">
      <w:pPr>
        <w:pStyle w:val="Prrafodelista"/>
        <w:numPr>
          <w:ilvl w:val="0"/>
          <w:numId w:val="33"/>
        </w:numPr>
        <w:tabs>
          <w:tab w:val="left" w:pos="4962"/>
        </w:tabs>
        <w:spacing w:after="240" w:line="240" w:lineRule="auto"/>
        <w:ind w:right="822"/>
        <w:rPr>
          <w:rFonts w:eastAsia="Calibri" w:cs="Tahoma"/>
          <w:i/>
          <w:iCs/>
          <w:sz w:val="20"/>
          <w:szCs w:val="22"/>
          <w:lang w:eastAsia="es-ES_tradnl"/>
        </w:rPr>
      </w:pPr>
      <w:r w:rsidRPr="007E0696">
        <w:rPr>
          <w:rFonts w:eastAsia="Calibri" w:cs="Tahoma"/>
          <w:i/>
          <w:iCs/>
          <w:sz w:val="20"/>
          <w:szCs w:val="22"/>
          <w:lang w:eastAsia="es-ES_tradnl"/>
        </w:rPr>
        <w:t>Número</w:t>
      </w:r>
      <w:r w:rsidR="006B4EDC" w:rsidRPr="007E0696">
        <w:rPr>
          <w:rFonts w:eastAsia="Calibri" w:cs="Tahoma"/>
          <w:i/>
          <w:iCs/>
          <w:sz w:val="20"/>
          <w:szCs w:val="22"/>
          <w:lang w:eastAsia="es-ES_tradnl"/>
        </w:rPr>
        <w:t xml:space="preserve"> total</w:t>
      </w:r>
      <w:r w:rsidRPr="007E0696">
        <w:rPr>
          <w:rFonts w:eastAsia="Calibri" w:cs="Tahoma"/>
          <w:i/>
          <w:iCs/>
          <w:sz w:val="20"/>
          <w:szCs w:val="22"/>
          <w:lang w:eastAsia="es-ES_tradnl"/>
        </w:rPr>
        <w:t xml:space="preserve"> de Vehículos con los que cuenta el </w:t>
      </w:r>
      <w:r w:rsidR="006B4EDC" w:rsidRPr="007E0696">
        <w:rPr>
          <w:rFonts w:eastAsia="Calibri" w:cs="Tahoma"/>
          <w:b/>
          <w:i/>
          <w:iCs/>
          <w:sz w:val="20"/>
          <w:szCs w:val="22"/>
          <w:lang w:eastAsia="es-ES_tradnl"/>
        </w:rPr>
        <w:t>SUJETO OBLIGADO</w:t>
      </w:r>
    </w:p>
    <w:p w14:paraId="429D8304" w14:textId="77777777" w:rsidR="006B4EDC" w:rsidRPr="007E0696" w:rsidRDefault="006B4EDC" w:rsidP="007E0696">
      <w:pPr>
        <w:pStyle w:val="Prrafodelista"/>
        <w:tabs>
          <w:tab w:val="left" w:pos="4962"/>
        </w:tabs>
        <w:spacing w:after="240" w:line="240" w:lineRule="auto"/>
        <w:ind w:left="851" w:right="822"/>
        <w:rPr>
          <w:rFonts w:eastAsia="Calibri" w:cs="Tahoma"/>
          <w:i/>
          <w:iCs/>
          <w:sz w:val="20"/>
          <w:szCs w:val="22"/>
          <w:lang w:eastAsia="es-ES_tradnl"/>
        </w:rPr>
      </w:pPr>
    </w:p>
    <w:p w14:paraId="66A8897B" w14:textId="61F639A1" w:rsidR="003379FA" w:rsidRPr="007E0696" w:rsidRDefault="006B4EDC" w:rsidP="007E0696">
      <w:pPr>
        <w:pStyle w:val="Prrafodelista"/>
        <w:numPr>
          <w:ilvl w:val="0"/>
          <w:numId w:val="33"/>
        </w:numPr>
        <w:tabs>
          <w:tab w:val="left" w:pos="4962"/>
        </w:tabs>
        <w:spacing w:after="240" w:line="240" w:lineRule="auto"/>
        <w:ind w:right="822"/>
        <w:rPr>
          <w:rFonts w:eastAsia="Calibri" w:cs="Tahoma"/>
          <w:i/>
          <w:iCs/>
          <w:sz w:val="20"/>
          <w:szCs w:val="22"/>
          <w:lang w:eastAsia="es-ES_tradnl"/>
        </w:rPr>
      </w:pPr>
      <w:r w:rsidRPr="007E0696">
        <w:rPr>
          <w:rFonts w:eastAsia="Calibri" w:cs="Tahoma"/>
          <w:i/>
          <w:iCs/>
          <w:sz w:val="20"/>
          <w:szCs w:val="22"/>
          <w:lang w:eastAsia="es-ES_tradnl"/>
        </w:rPr>
        <w:t xml:space="preserve">Número de Vehículos en </w:t>
      </w:r>
      <w:r w:rsidR="00BC5E3E" w:rsidRPr="007E0696">
        <w:rPr>
          <w:rFonts w:eastAsia="Calibri" w:cs="Tahoma"/>
          <w:i/>
          <w:iCs/>
          <w:sz w:val="20"/>
          <w:szCs w:val="22"/>
          <w:lang w:eastAsia="es-ES_tradnl"/>
        </w:rPr>
        <w:t>desuso</w:t>
      </w:r>
      <w:r w:rsidRPr="007E0696">
        <w:rPr>
          <w:rFonts w:eastAsia="Calibri" w:cs="Tahoma"/>
          <w:i/>
          <w:iCs/>
          <w:sz w:val="20"/>
          <w:szCs w:val="22"/>
          <w:lang w:eastAsia="es-ES_tradnl"/>
        </w:rPr>
        <w:t xml:space="preserve"> con los que cuenta el </w:t>
      </w:r>
      <w:r w:rsidRPr="007E0696">
        <w:rPr>
          <w:rFonts w:eastAsia="Calibri" w:cs="Tahoma"/>
          <w:b/>
          <w:i/>
          <w:iCs/>
          <w:sz w:val="20"/>
          <w:szCs w:val="22"/>
          <w:lang w:eastAsia="es-ES_tradnl"/>
        </w:rPr>
        <w:t>SUJETO OBLIGADO</w:t>
      </w:r>
      <w:r w:rsidRPr="007E0696">
        <w:rPr>
          <w:rFonts w:eastAsia="Calibri" w:cs="Tahoma"/>
          <w:i/>
          <w:iCs/>
          <w:sz w:val="20"/>
          <w:szCs w:val="22"/>
          <w:lang w:eastAsia="es-ES_tradnl"/>
        </w:rPr>
        <w:t>.</w:t>
      </w:r>
    </w:p>
    <w:p w14:paraId="3DA81570" w14:textId="3290AD9B" w:rsidR="0086735B" w:rsidRPr="007E0696" w:rsidRDefault="0086735B" w:rsidP="007E0696">
      <w:pPr>
        <w:ind w:right="49"/>
        <w:rPr>
          <w:rFonts w:eastAsia="Calibri" w:cs="Arial"/>
        </w:rPr>
      </w:pPr>
      <w:r w:rsidRPr="007E0696">
        <w:rPr>
          <w:rFonts w:eastAsia="Palatino Linotype" w:cs="Palatino Linotype"/>
          <w:b/>
        </w:rPr>
        <w:t>TERCERO.</w:t>
      </w:r>
      <w:r w:rsidRPr="007E0696">
        <w:rPr>
          <w:rFonts w:eastAsia="Palatino Linotype" w:cs="Palatino Linotype"/>
        </w:rPr>
        <w:t xml:space="preserve"> </w:t>
      </w:r>
      <w:r w:rsidRPr="007E0696">
        <w:rPr>
          <w:rFonts w:eastAsia="Palatino Linotype" w:cs="Palatino Linotype"/>
          <w:b/>
        </w:rPr>
        <w:t xml:space="preserve">Notifíquese </w:t>
      </w:r>
      <w:r w:rsidRPr="007E0696">
        <w:rPr>
          <w:lang w:eastAsia="es-ES_tradnl"/>
        </w:rPr>
        <w:t xml:space="preserve">vía </w:t>
      </w:r>
      <w:r w:rsidRPr="007E0696">
        <w:rPr>
          <w:rFonts w:eastAsia="Calibri" w:cs="Arial"/>
        </w:rPr>
        <w:t>Sistema de Acceso a la Información Mexiquense (</w:t>
      </w:r>
      <w:r w:rsidRPr="007E0696">
        <w:rPr>
          <w:rFonts w:eastAsia="Calibri" w:cs="Arial"/>
          <w:b/>
        </w:rPr>
        <w:t>SAIMEX</w:t>
      </w:r>
      <w:r w:rsidRPr="007E0696">
        <w:rPr>
          <w:rFonts w:eastAsia="Calibri" w:cs="Aria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w:t>
      </w:r>
      <w:r w:rsidRPr="007E0696">
        <w:rPr>
          <w:rFonts w:eastAsia="Calibri" w:cs="Arial"/>
        </w:rPr>
        <w:lastRenderedPageBreak/>
        <w:t>215 y 216 de la Ley de Transparencia y Acceso a la Información Pública del Estado de México y Municipios.</w:t>
      </w:r>
    </w:p>
    <w:p w14:paraId="0B820921" w14:textId="77777777" w:rsidR="00FC3CE0" w:rsidRPr="007E0696" w:rsidRDefault="00FC3CE0" w:rsidP="007E0696"/>
    <w:p w14:paraId="16A4F4E2" w14:textId="0A3B29C6" w:rsidR="00FC3CE0" w:rsidRPr="007E0696" w:rsidRDefault="00FC3CE0" w:rsidP="007E0696">
      <w:r w:rsidRPr="007E0696">
        <w:rPr>
          <w:b/>
          <w:bCs/>
        </w:rPr>
        <w:t>CUARTO.</w:t>
      </w:r>
      <w:r w:rsidRPr="007E0696">
        <w:t xml:space="preserve"> Notifíquese a </w:t>
      </w:r>
      <w:r w:rsidRPr="007E0696">
        <w:rPr>
          <w:b/>
          <w:bCs/>
        </w:rPr>
        <w:t>LA PARTE RECURRENTE</w:t>
      </w:r>
      <w:r w:rsidRPr="007E0696">
        <w:t xml:space="preserve"> la presente resolución vía Sistema de Acceso a la Información Mexiquense </w:t>
      </w:r>
      <w:r w:rsidR="008B1E16" w:rsidRPr="007E0696">
        <w:rPr>
          <w:b/>
          <w:bCs/>
        </w:rPr>
        <w:t>(</w:t>
      </w:r>
      <w:r w:rsidRPr="007E0696">
        <w:rPr>
          <w:b/>
          <w:bCs/>
        </w:rPr>
        <w:t>SAIMEX</w:t>
      </w:r>
      <w:r w:rsidR="008B1E16" w:rsidRPr="007E0696">
        <w:rPr>
          <w:b/>
          <w:bCs/>
        </w:rPr>
        <w:t>)</w:t>
      </w:r>
      <w:r w:rsidRPr="007E0696">
        <w:t>.</w:t>
      </w:r>
    </w:p>
    <w:p w14:paraId="41DFB46B" w14:textId="77777777" w:rsidR="0057438E" w:rsidRPr="007E0696" w:rsidRDefault="0057438E" w:rsidP="007E0696"/>
    <w:p w14:paraId="5F75D671" w14:textId="77777777" w:rsidR="00595F58" w:rsidRPr="007E0696" w:rsidRDefault="00FC3CE0" w:rsidP="007E0696">
      <w:pPr>
        <w:rPr>
          <w:szCs w:val="22"/>
        </w:rPr>
      </w:pPr>
      <w:r w:rsidRPr="007E0696">
        <w:rPr>
          <w:b/>
          <w:bCs/>
        </w:rPr>
        <w:t>QUINTO</w:t>
      </w:r>
      <w:r w:rsidRPr="007E0696">
        <w:t xml:space="preserve">. </w:t>
      </w:r>
      <w:r w:rsidR="00595F58" w:rsidRPr="007E0696">
        <w:rPr>
          <w:szCs w:val="22"/>
        </w:rPr>
        <w:t xml:space="preserve">Hágase del conocimiento a </w:t>
      </w:r>
      <w:r w:rsidR="00595F58" w:rsidRPr="007E0696">
        <w:rPr>
          <w:b/>
          <w:bCs/>
          <w:szCs w:val="22"/>
        </w:rPr>
        <w:t>LA PARTE RECURRENTE</w:t>
      </w:r>
      <w:r w:rsidR="00595F58" w:rsidRPr="007E0696">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06EFE1D" w14:textId="46B0A649" w:rsidR="00FC3CE0" w:rsidRPr="007E0696" w:rsidRDefault="00FC3CE0" w:rsidP="007E0696"/>
    <w:p w14:paraId="43DF9D99" w14:textId="3A167881" w:rsidR="00FC3CE0" w:rsidRDefault="00FC3CE0" w:rsidP="007E0696">
      <w:r w:rsidRPr="007E0696">
        <w:rPr>
          <w:b/>
          <w:bCs/>
        </w:rPr>
        <w:t>SEXTO.</w:t>
      </w:r>
      <w:r w:rsidRPr="007E0696">
        <w:t xml:space="preserve"> De conformidad con el artículo 198 de la Ley de Transparencia y Acceso a la Información Pública del Estado de México y Municipios, el </w:t>
      </w:r>
      <w:r w:rsidR="008B1E16" w:rsidRPr="007E0696">
        <w:rPr>
          <w:b/>
          <w:bCs/>
        </w:rPr>
        <w:t>SUJETO OBLIGADO</w:t>
      </w:r>
      <w:r w:rsidR="008B1E16" w:rsidRPr="007E0696">
        <w:t xml:space="preserve"> </w:t>
      </w:r>
      <w:r w:rsidRPr="007E0696">
        <w:t>podrá solicitar</w:t>
      </w:r>
      <w:r w:rsidR="008B1E16" w:rsidRPr="007E0696">
        <w:t xml:space="preserve"> </w:t>
      </w:r>
      <w:r w:rsidRPr="007E0696">
        <w:t xml:space="preserve">una ampliación de plazo </w:t>
      </w:r>
      <w:r w:rsidR="008B1E16" w:rsidRPr="007E0696">
        <w:t xml:space="preserve">de manera fundada y motivada, </w:t>
      </w:r>
      <w:r w:rsidRPr="007E0696">
        <w:t>para el cumplimiento de la presente resolución.</w:t>
      </w:r>
    </w:p>
    <w:p w14:paraId="317EF62B" w14:textId="77777777" w:rsidR="00054F37" w:rsidRDefault="00054F37" w:rsidP="007E0696"/>
    <w:p w14:paraId="6EB69A2C" w14:textId="77777777" w:rsidR="00054F37" w:rsidRDefault="00054F37" w:rsidP="007E0696"/>
    <w:p w14:paraId="6E457FEB" w14:textId="77777777" w:rsidR="00054F37" w:rsidRDefault="00054F37" w:rsidP="007E0696"/>
    <w:p w14:paraId="7B4956F9" w14:textId="77777777" w:rsidR="00054F37" w:rsidRPr="007E0696" w:rsidRDefault="00054F37" w:rsidP="007E0696"/>
    <w:p w14:paraId="0B19CFFF" w14:textId="784D2906" w:rsidR="00BC5E3E" w:rsidRPr="007E0696" w:rsidRDefault="00BC5E3E" w:rsidP="007E0696"/>
    <w:p w14:paraId="719A5C63" w14:textId="3421C616" w:rsidR="00664420" w:rsidRPr="007E0696" w:rsidRDefault="00664420" w:rsidP="007E0696">
      <w:pPr>
        <w:rPr>
          <w:rFonts w:eastAsia="Palatino Linotype" w:cs="Palatino Linotype"/>
          <w:szCs w:val="22"/>
        </w:rPr>
      </w:pPr>
      <w:r w:rsidRPr="007E0696">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17ECA" w:rsidRPr="007E0696">
        <w:rPr>
          <w:rFonts w:eastAsia="Palatino Linotype" w:cs="Palatino Linotype"/>
          <w:szCs w:val="22"/>
        </w:rPr>
        <w:t>TRIGÉSIMA</w:t>
      </w:r>
      <w:r w:rsidRPr="007E0696">
        <w:rPr>
          <w:rFonts w:eastAsia="Palatino Linotype" w:cs="Palatino Linotype"/>
          <w:szCs w:val="22"/>
        </w:rPr>
        <w:t xml:space="preserve"> </w:t>
      </w:r>
      <w:r w:rsidR="00B527DF" w:rsidRPr="007E0696">
        <w:rPr>
          <w:rFonts w:eastAsia="Palatino Linotype" w:cs="Palatino Linotype"/>
          <w:szCs w:val="22"/>
        </w:rPr>
        <w:t>SEGUND</w:t>
      </w:r>
      <w:r w:rsidR="00733379" w:rsidRPr="007E0696">
        <w:rPr>
          <w:rFonts w:eastAsia="Palatino Linotype" w:cs="Palatino Linotype"/>
          <w:szCs w:val="22"/>
        </w:rPr>
        <w:t xml:space="preserve">A </w:t>
      </w:r>
      <w:r w:rsidRPr="007E0696">
        <w:rPr>
          <w:rFonts w:eastAsia="Palatino Linotype" w:cs="Palatino Linotype"/>
          <w:szCs w:val="22"/>
        </w:rPr>
        <w:t xml:space="preserve">SESIÓN ORDINARIA, CELEBRADA EL </w:t>
      </w:r>
      <w:r w:rsidR="00B527DF" w:rsidRPr="007E0696">
        <w:rPr>
          <w:rFonts w:eastAsia="Palatino Linotype" w:cs="Palatino Linotype"/>
          <w:szCs w:val="22"/>
        </w:rPr>
        <w:t>ONCE</w:t>
      </w:r>
      <w:r w:rsidR="00733379" w:rsidRPr="007E0696">
        <w:rPr>
          <w:rFonts w:eastAsia="Palatino Linotype" w:cs="Palatino Linotype"/>
          <w:szCs w:val="22"/>
        </w:rPr>
        <w:t xml:space="preserve"> DE SEPTIEMBRE</w:t>
      </w:r>
      <w:r w:rsidR="00303862" w:rsidRPr="007E0696">
        <w:rPr>
          <w:rFonts w:eastAsia="Palatino Linotype" w:cs="Palatino Linotype"/>
          <w:szCs w:val="22"/>
        </w:rPr>
        <w:t xml:space="preserve"> </w:t>
      </w:r>
      <w:r w:rsidRPr="007E0696">
        <w:rPr>
          <w:rFonts w:eastAsia="Palatino Linotype" w:cs="Palatino Linotype"/>
          <w:szCs w:val="22"/>
        </w:rPr>
        <w:t xml:space="preserve">DE DOS MIL </w:t>
      </w:r>
      <w:r w:rsidR="00303862" w:rsidRPr="007E0696">
        <w:rPr>
          <w:rFonts w:eastAsia="Palatino Linotype" w:cs="Palatino Linotype"/>
          <w:szCs w:val="22"/>
        </w:rPr>
        <w:t>VEI</w:t>
      </w:r>
      <w:r w:rsidR="003379FA" w:rsidRPr="007E0696">
        <w:rPr>
          <w:rFonts w:eastAsia="Palatino Linotype" w:cs="Palatino Linotype"/>
          <w:szCs w:val="22"/>
        </w:rPr>
        <w:t>N</w:t>
      </w:r>
      <w:r w:rsidR="00303862" w:rsidRPr="007E0696">
        <w:rPr>
          <w:rFonts w:eastAsia="Palatino Linotype" w:cs="Palatino Linotype"/>
          <w:szCs w:val="22"/>
        </w:rPr>
        <w:t>T</w:t>
      </w:r>
      <w:r w:rsidR="003379FA" w:rsidRPr="007E0696">
        <w:rPr>
          <w:rFonts w:eastAsia="Palatino Linotype" w:cs="Palatino Linotype"/>
          <w:szCs w:val="22"/>
        </w:rPr>
        <w:t>I</w:t>
      </w:r>
      <w:r w:rsidR="00303862" w:rsidRPr="007E0696">
        <w:rPr>
          <w:rFonts w:eastAsia="Palatino Linotype" w:cs="Palatino Linotype"/>
          <w:szCs w:val="22"/>
        </w:rPr>
        <w:t>CUATRO</w:t>
      </w:r>
      <w:r w:rsidRPr="007E0696">
        <w:rPr>
          <w:rFonts w:eastAsia="Palatino Linotype" w:cs="Palatino Linotype"/>
          <w:szCs w:val="22"/>
        </w:rPr>
        <w:t>, ANTE EL SECRETARIO TÉCNICO DEL PLENO, ALEXIS TAPIA RAMÍREZ.</w:t>
      </w:r>
    </w:p>
    <w:p w14:paraId="52BF4325" w14:textId="0069F263" w:rsidR="0086735B" w:rsidRPr="007E0696" w:rsidRDefault="0086735B" w:rsidP="007E0696">
      <w:pPr>
        <w:widowControl w:val="0"/>
        <w:autoSpaceDE w:val="0"/>
        <w:autoSpaceDN w:val="0"/>
        <w:adjustRightInd w:val="0"/>
        <w:rPr>
          <w:rFonts w:eastAsiaTheme="minorEastAsia"/>
          <w:sz w:val="18"/>
          <w:szCs w:val="18"/>
          <w:lang w:val="it-IT"/>
        </w:rPr>
      </w:pPr>
      <w:r w:rsidRPr="007E0696">
        <w:rPr>
          <w:rFonts w:eastAsiaTheme="minorEastAsia"/>
          <w:sz w:val="18"/>
          <w:szCs w:val="18"/>
          <w:lang w:val="it-IT"/>
        </w:rPr>
        <w:t>SCMM/AGZ/DEMF/</w:t>
      </w:r>
      <w:r w:rsidR="00217ECA" w:rsidRPr="007E0696">
        <w:rPr>
          <w:rFonts w:eastAsiaTheme="minorEastAsia"/>
          <w:sz w:val="18"/>
          <w:szCs w:val="18"/>
          <w:lang w:val="it-IT"/>
        </w:rPr>
        <w:t>CMP</w:t>
      </w:r>
    </w:p>
    <w:p w14:paraId="49D72DA3" w14:textId="77777777" w:rsidR="00664420" w:rsidRPr="007E0696" w:rsidRDefault="00664420" w:rsidP="007E0696">
      <w:pPr>
        <w:ind w:right="-93"/>
        <w:rPr>
          <w:rFonts w:eastAsia="Calibri" w:cs="Tahoma"/>
          <w:bCs/>
          <w:szCs w:val="22"/>
          <w:lang w:eastAsia="en-US"/>
        </w:rPr>
      </w:pPr>
    </w:p>
    <w:p w14:paraId="5EFEA0CD" w14:textId="77777777" w:rsidR="00664420" w:rsidRPr="007E0696" w:rsidRDefault="00664420" w:rsidP="007E0696">
      <w:pPr>
        <w:ind w:right="-93"/>
        <w:rPr>
          <w:rFonts w:eastAsia="Calibri" w:cs="Tahoma"/>
          <w:szCs w:val="22"/>
          <w:lang w:val="es-ES"/>
        </w:rPr>
      </w:pPr>
    </w:p>
    <w:p w14:paraId="696BC976" w14:textId="77777777" w:rsidR="00664420" w:rsidRPr="007E0696" w:rsidRDefault="00664420" w:rsidP="007E0696">
      <w:pPr>
        <w:ind w:right="-93"/>
        <w:rPr>
          <w:rFonts w:eastAsia="Calibri" w:cs="Tahoma"/>
          <w:bCs/>
          <w:szCs w:val="22"/>
          <w:lang w:val="es-ES" w:eastAsia="en-US"/>
        </w:rPr>
      </w:pPr>
    </w:p>
    <w:p w14:paraId="671CB0C5" w14:textId="77777777" w:rsidR="00664420" w:rsidRPr="007E0696" w:rsidRDefault="00664420" w:rsidP="007E0696">
      <w:pPr>
        <w:ind w:right="-93"/>
        <w:rPr>
          <w:rFonts w:eastAsia="Calibri" w:cs="Tahoma"/>
          <w:bCs/>
          <w:szCs w:val="22"/>
          <w:lang w:val="es-ES_tradnl" w:eastAsia="en-US"/>
        </w:rPr>
      </w:pPr>
    </w:p>
    <w:p w14:paraId="52B66DE7" w14:textId="77777777" w:rsidR="00664420" w:rsidRPr="007E0696" w:rsidRDefault="00664420" w:rsidP="007E0696">
      <w:pPr>
        <w:ind w:right="-93"/>
        <w:rPr>
          <w:rFonts w:eastAsia="Calibri" w:cs="Tahoma"/>
          <w:bCs/>
          <w:szCs w:val="22"/>
          <w:lang w:val="es-ES_tradnl" w:eastAsia="en-US"/>
        </w:rPr>
      </w:pPr>
    </w:p>
    <w:p w14:paraId="3BA305D1" w14:textId="77777777" w:rsidR="00664420" w:rsidRPr="007E0696" w:rsidRDefault="00664420" w:rsidP="007E0696">
      <w:pPr>
        <w:ind w:right="-93"/>
        <w:rPr>
          <w:rFonts w:eastAsia="Calibri" w:cs="Tahoma"/>
          <w:bCs/>
          <w:szCs w:val="22"/>
          <w:lang w:val="es-ES_tradnl" w:eastAsia="en-US"/>
        </w:rPr>
      </w:pPr>
    </w:p>
    <w:p w14:paraId="78230707" w14:textId="77777777" w:rsidR="00664420" w:rsidRPr="007E0696" w:rsidRDefault="00664420" w:rsidP="007E0696">
      <w:pPr>
        <w:ind w:right="-93"/>
        <w:rPr>
          <w:rFonts w:eastAsia="Calibri" w:cs="Tahoma"/>
          <w:bCs/>
          <w:szCs w:val="22"/>
          <w:lang w:val="es-ES_tradnl" w:eastAsia="en-US"/>
        </w:rPr>
      </w:pPr>
    </w:p>
    <w:p w14:paraId="72D18B28" w14:textId="77777777" w:rsidR="00664420" w:rsidRPr="007E0696" w:rsidRDefault="00664420" w:rsidP="007E0696">
      <w:pPr>
        <w:ind w:right="-93"/>
        <w:rPr>
          <w:rFonts w:eastAsia="Calibri" w:cs="Tahoma"/>
          <w:bCs/>
          <w:szCs w:val="22"/>
          <w:lang w:val="es-ES_tradnl" w:eastAsia="en-US"/>
        </w:rPr>
      </w:pPr>
    </w:p>
    <w:p w14:paraId="6BD461DC" w14:textId="77777777" w:rsidR="00664420" w:rsidRPr="007E0696" w:rsidRDefault="00664420" w:rsidP="007E0696">
      <w:pPr>
        <w:tabs>
          <w:tab w:val="center" w:pos="4568"/>
        </w:tabs>
        <w:ind w:right="-93"/>
        <w:rPr>
          <w:rFonts w:eastAsia="Calibri" w:cs="Tahoma"/>
          <w:bCs/>
          <w:szCs w:val="22"/>
          <w:lang w:eastAsia="en-US"/>
        </w:rPr>
      </w:pPr>
    </w:p>
    <w:p w14:paraId="4DBB1727" w14:textId="77777777" w:rsidR="00664420" w:rsidRPr="007E0696" w:rsidRDefault="00664420" w:rsidP="007E0696">
      <w:pPr>
        <w:tabs>
          <w:tab w:val="center" w:pos="4568"/>
        </w:tabs>
        <w:ind w:right="-93"/>
        <w:rPr>
          <w:rFonts w:eastAsia="Calibri" w:cs="Tahoma"/>
          <w:bCs/>
          <w:szCs w:val="22"/>
          <w:lang w:eastAsia="en-US"/>
        </w:rPr>
      </w:pPr>
    </w:p>
    <w:p w14:paraId="1D74121B" w14:textId="77777777" w:rsidR="00664420" w:rsidRPr="007E0696" w:rsidRDefault="00664420" w:rsidP="007E0696">
      <w:pPr>
        <w:tabs>
          <w:tab w:val="center" w:pos="4568"/>
        </w:tabs>
        <w:ind w:right="-93"/>
        <w:rPr>
          <w:rFonts w:eastAsia="Calibri" w:cs="Tahoma"/>
          <w:bCs/>
          <w:szCs w:val="22"/>
          <w:lang w:eastAsia="en-US"/>
        </w:rPr>
      </w:pPr>
    </w:p>
    <w:p w14:paraId="08E74E9C" w14:textId="77777777" w:rsidR="00664420" w:rsidRPr="007E0696" w:rsidRDefault="00664420" w:rsidP="007E0696">
      <w:pPr>
        <w:tabs>
          <w:tab w:val="center" w:pos="4568"/>
        </w:tabs>
        <w:ind w:right="-93"/>
        <w:rPr>
          <w:rFonts w:eastAsia="Calibri" w:cs="Tahoma"/>
          <w:bCs/>
          <w:szCs w:val="22"/>
          <w:lang w:eastAsia="en-US"/>
        </w:rPr>
      </w:pPr>
    </w:p>
    <w:p w14:paraId="2CBF5E03" w14:textId="77777777" w:rsidR="00664420" w:rsidRPr="007E0696" w:rsidRDefault="00664420" w:rsidP="007E0696">
      <w:pPr>
        <w:tabs>
          <w:tab w:val="center" w:pos="4568"/>
        </w:tabs>
        <w:ind w:right="-93"/>
        <w:rPr>
          <w:rFonts w:eastAsia="Calibri" w:cs="Tahoma"/>
          <w:bCs/>
          <w:szCs w:val="22"/>
          <w:lang w:eastAsia="en-US"/>
        </w:rPr>
      </w:pPr>
    </w:p>
    <w:p w14:paraId="44865A6D" w14:textId="77777777" w:rsidR="00664420" w:rsidRPr="007E0696" w:rsidRDefault="00664420" w:rsidP="007E0696">
      <w:pPr>
        <w:tabs>
          <w:tab w:val="center" w:pos="4568"/>
        </w:tabs>
        <w:ind w:right="-93"/>
        <w:rPr>
          <w:rFonts w:eastAsia="Calibri" w:cs="Tahoma"/>
          <w:bCs/>
          <w:szCs w:val="22"/>
          <w:lang w:eastAsia="en-US"/>
        </w:rPr>
      </w:pPr>
    </w:p>
    <w:p w14:paraId="7147F06B" w14:textId="77777777" w:rsidR="00664420" w:rsidRPr="007E0696" w:rsidRDefault="00664420" w:rsidP="007E0696">
      <w:pPr>
        <w:tabs>
          <w:tab w:val="center" w:pos="4568"/>
        </w:tabs>
        <w:ind w:right="-93"/>
        <w:rPr>
          <w:rFonts w:eastAsia="Calibri" w:cs="Tahoma"/>
          <w:bCs/>
          <w:szCs w:val="22"/>
          <w:lang w:eastAsia="en-US"/>
        </w:rPr>
      </w:pPr>
    </w:p>
    <w:p w14:paraId="6FDF3D7E" w14:textId="77777777" w:rsidR="00664420" w:rsidRPr="007E0696" w:rsidRDefault="00664420" w:rsidP="007E0696">
      <w:pPr>
        <w:tabs>
          <w:tab w:val="center" w:pos="4568"/>
        </w:tabs>
        <w:ind w:right="-93"/>
        <w:rPr>
          <w:rFonts w:eastAsia="Calibri" w:cs="Tahoma"/>
          <w:bCs/>
          <w:szCs w:val="22"/>
          <w:lang w:eastAsia="en-US"/>
        </w:rPr>
      </w:pPr>
    </w:p>
    <w:p w14:paraId="6246F818" w14:textId="77777777" w:rsidR="00664420" w:rsidRPr="007E0696" w:rsidRDefault="00664420" w:rsidP="007E0696">
      <w:pPr>
        <w:tabs>
          <w:tab w:val="center" w:pos="4568"/>
        </w:tabs>
        <w:ind w:right="-93"/>
        <w:rPr>
          <w:rFonts w:eastAsia="Calibri" w:cs="Tahoma"/>
          <w:bCs/>
          <w:szCs w:val="22"/>
          <w:lang w:eastAsia="en-US"/>
        </w:rPr>
      </w:pPr>
    </w:p>
    <w:p w14:paraId="57A88B28" w14:textId="77777777" w:rsidR="00664420" w:rsidRPr="007E0696" w:rsidRDefault="00664420" w:rsidP="007E0696">
      <w:pPr>
        <w:tabs>
          <w:tab w:val="center" w:pos="4568"/>
        </w:tabs>
        <w:ind w:right="-93"/>
        <w:rPr>
          <w:rFonts w:eastAsia="Calibri" w:cs="Tahoma"/>
          <w:bCs/>
          <w:szCs w:val="22"/>
          <w:lang w:eastAsia="en-US"/>
        </w:rPr>
      </w:pPr>
    </w:p>
    <w:p w14:paraId="77EF6095" w14:textId="77777777" w:rsidR="00664420" w:rsidRPr="007E0696" w:rsidRDefault="00664420" w:rsidP="007E0696">
      <w:pPr>
        <w:tabs>
          <w:tab w:val="center" w:pos="4568"/>
        </w:tabs>
        <w:ind w:right="-93"/>
        <w:rPr>
          <w:rFonts w:eastAsia="Calibri" w:cs="Tahoma"/>
          <w:bCs/>
          <w:szCs w:val="22"/>
          <w:lang w:eastAsia="en-US"/>
        </w:rPr>
      </w:pPr>
    </w:p>
    <w:p w14:paraId="35593947" w14:textId="77777777" w:rsidR="00664420" w:rsidRPr="007E0696" w:rsidRDefault="00664420" w:rsidP="007E0696">
      <w:pPr>
        <w:tabs>
          <w:tab w:val="center" w:pos="4568"/>
        </w:tabs>
        <w:ind w:right="-93"/>
        <w:rPr>
          <w:rFonts w:eastAsia="Calibri" w:cs="Tahoma"/>
          <w:bCs/>
          <w:szCs w:val="22"/>
          <w:lang w:eastAsia="en-US"/>
        </w:rPr>
      </w:pPr>
    </w:p>
    <w:p w14:paraId="3AF72A17" w14:textId="77777777" w:rsidR="00664420" w:rsidRPr="007E0696" w:rsidRDefault="00664420" w:rsidP="007E0696">
      <w:pPr>
        <w:tabs>
          <w:tab w:val="center" w:pos="4568"/>
        </w:tabs>
        <w:ind w:right="-93"/>
        <w:rPr>
          <w:rFonts w:eastAsia="Calibri" w:cs="Tahoma"/>
          <w:bCs/>
          <w:szCs w:val="22"/>
          <w:lang w:eastAsia="en-US"/>
        </w:rPr>
      </w:pPr>
    </w:p>
    <w:p w14:paraId="37169144" w14:textId="77777777" w:rsidR="00664420" w:rsidRPr="007E0696" w:rsidRDefault="00664420" w:rsidP="007E0696">
      <w:pPr>
        <w:tabs>
          <w:tab w:val="center" w:pos="4568"/>
        </w:tabs>
        <w:ind w:right="-93"/>
        <w:rPr>
          <w:rFonts w:eastAsia="Calibri" w:cs="Tahoma"/>
          <w:bCs/>
          <w:szCs w:val="22"/>
          <w:lang w:eastAsia="en-US"/>
        </w:rPr>
      </w:pPr>
    </w:p>
    <w:p w14:paraId="77CFC088" w14:textId="77777777" w:rsidR="00664420" w:rsidRPr="007E0696" w:rsidRDefault="00664420" w:rsidP="007E0696">
      <w:pPr>
        <w:tabs>
          <w:tab w:val="center" w:pos="4568"/>
        </w:tabs>
        <w:ind w:right="-93"/>
        <w:rPr>
          <w:rFonts w:eastAsia="Calibri" w:cs="Tahoma"/>
          <w:bCs/>
          <w:szCs w:val="22"/>
          <w:lang w:eastAsia="en-US"/>
        </w:rPr>
      </w:pPr>
    </w:p>
    <w:p w14:paraId="781A11A5" w14:textId="77777777" w:rsidR="00664420" w:rsidRPr="007E0696" w:rsidRDefault="00664420" w:rsidP="007E0696">
      <w:pPr>
        <w:tabs>
          <w:tab w:val="center" w:pos="4568"/>
        </w:tabs>
        <w:ind w:right="-93"/>
        <w:rPr>
          <w:rFonts w:eastAsia="Calibri" w:cs="Tahoma"/>
          <w:bCs/>
          <w:szCs w:val="22"/>
          <w:lang w:eastAsia="en-US"/>
        </w:rPr>
      </w:pPr>
    </w:p>
    <w:p w14:paraId="5B4ADFF3" w14:textId="77777777" w:rsidR="00A131AC" w:rsidRPr="007E0696" w:rsidRDefault="00A131AC" w:rsidP="007E0696"/>
    <w:sectPr w:rsidR="00A131AC" w:rsidRPr="007E0696"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9011B" w14:textId="77777777" w:rsidR="000E229A" w:rsidRDefault="000E229A" w:rsidP="00664420">
      <w:pPr>
        <w:spacing w:line="240" w:lineRule="auto"/>
      </w:pPr>
      <w:r>
        <w:separator/>
      </w:r>
    </w:p>
  </w:endnote>
  <w:endnote w:type="continuationSeparator" w:id="0">
    <w:p w14:paraId="4BB8D877" w14:textId="77777777" w:rsidR="000E229A" w:rsidRDefault="000E229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D429E" w:rsidRDefault="002D429E">
    <w:pPr>
      <w:tabs>
        <w:tab w:val="center" w:pos="4550"/>
        <w:tab w:val="left" w:pos="5818"/>
      </w:tabs>
      <w:ind w:right="260"/>
      <w:jc w:val="right"/>
      <w:rPr>
        <w:color w:val="071320" w:themeColor="text2" w:themeShade="80"/>
        <w:sz w:val="24"/>
        <w:szCs w:val="24"/>
      </w:rPr>
    </w:pPr>
  </w:p>
  <w:p w14:paraId="1BCA7F23" w14:textId="77777777" w:rsidR="002D429E" w:rsidRDefault="002D429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2D429E" w:rsidRDefault="002D429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6632A1" w:rsidRPr="006632A1">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6632A1" w:rsidRPr="006632A1">
      <w:rPr>
        <w:noProof/>
        <w:color w:val="0A1D30" w:themeColor="text2" w:themeShade="BF"/>
        <w:sz w:val="24"/>
        <w:szCs w:val="24"/>
        <w:lang w:val="es-ES"/>
      </w:rPr>
      <w:t>34</w:t>
    </w:r>
    <w:r>
      <w:rPr>
        <w:color w:val="0A1D30" w:themeColor="text2" w:themeShade="BF"/>
        <w:sz w:val="24"/>
        <w:szCs w:val="24"/>
      </w:rPr>
      <w:fldChar w:fldCharType="end"/>
    </w:r>
  </w:p>
  <w:p w14:paraId="310E15C0" w14:textId="77777777" w:rsidR="002D429E" w:rsidRDefault="002D42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CF8BB" w14:textId="77777777" w:rsidR="000E229A" w:rsidRDefault="000E229A" w:rsidP="00664420">
      <w:pPr>
        <w:spacing w:line="240" w:lineRule="auto"/>
      </w:pPr>
      <w:r>
        <w:separator/>
      </w:r>
    </w:p>
  </w:footnote>
  <w:footnote w:type="continuationSeparator" w:id="0">
    <w:p w14:paraId="30EFE398" w14:textId="77777777" w:rsidR="000E229A" w:rsidRDefault="000E229A"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D429E" w:rsidRPr="00330DA7" w14:paraId="070A4B18" w14:textId="77777777" w:rsidTr="003F35FD">
      <w:trPr>
        <w:trHeight w:val="144"/>
        <w:jc w:val="right"/>
      </w:trPr>
      <w:tc>
        <w:tcPr>
          <w:tcW w:w="2727" w:type="dxa"/>
        </w:tcPr>
        <w:p w14:paraId="62B7493A" w14:textId="77777777" w:rsidR="002D429E" w:rsidRPr="00330DA7" w:rsidRDefault="002D429E"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2AF1258" w:rsidR="002D429E" w:rsidRPr="00A90C72" w:rsidRDefault="00C56776" w:rsidP="003F35FD">
          <w:pPr>
            <w:tabs>
              <w:tab w:val="right" w:pos="8838"/>
            </w:tabs>
            <w:ind w:left="-74" w:right="-105"/>
            <w:rPr>
              <w:rFonts w:eastAsia="Calibri" w:cs="Tahoma"/>
              <w:szCs w:val="22"/>
              <w:lang w:eastAsia="en-US"/>
            </w:rPr>
          </w:pPr>
          <w:r w:rsidRPr="00C56776">
            <w:rPr>
              <w:rFonts w:eastAsia="Calibri" w:cs="Tahoma"/>
              <w:szCs w:val="22"/>
              <w:lang w:eastAsia="en-US"/>
            </w:rPr>
            <w:t>04887/INFOEM/IP/RR/2024</w:t>
          </w:r>
        </w:p>
      </w:tc>
    </w:tr>
    <w:tr w:rsidR="002D429E" w:rsidRPr="00330DA7" w14:paraId="4521E058" w14:textId="77777777" w:rsidTr="003F35FD">
      <w:trPr>
        <w:trHeight w:val="283"/>
        <w:jc w:val="right"/>
      </w:trPr>
      <w:tc>
        <w:tcPr>
          <w:tcW w:w="2727" w:type="dxa"/>
        </w:tcPr>
        <w:p w14:paraId="0B68C086" w14:textId="77777777" w:rsidR="002D429E" w:rsidRPr="00330DA7" w:rsidRDefault="002D429E"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3FCDA22" w:rsidR="002D429E" w:rsidRPr="00952DD0" w:rsidRDefault="00C56776" w:rsidP="003F35FD">
          <w:pPr>
            <w:tabs>
              <w:tab w:val="left" w:pos="2834"/>
              <w:tab w:val="right" w:pos="8838"/>
            </w:tabs>
            <w:ind w:left="-108" w:right="-105"/>
            <w:rPr>
              <w:rFonts w:eastAsia="Calibri" w:cs="Tahoma"/>
              <w:szCs w:val="22"/>
              <w:lang w:eastAsia="en-US"/>
            </w:rPr>
          </w:pPr>
          <w:bookmarkStart w:id="0" w:name="_Hlk176429066"/>
          <w:r w:rsidRPr="00C56776">
            <w:rPr>
              <w:rFonts w:eastAsia="Calibri" w:cs="Tahoma"/>
              <w:szCs w:val="22"/>
              <w:lang w:eastAsia="en-US"/>
            </w:rPr>
            <w:t>Organismo Público Descentralizado Municipal para la Prestación de Los Servicios de Agua Potable Drenaje y Tratamiento de Aguas Residuales de Almoloya de Juárez</w:t>
          </w:r>
          <w:bookmarkEnd w:id="0"/>
        </w:p>
      </w:tc>
    </w:tr>
    <w:tr w:rsidR="002D429E" w:rsidRPr="00330DA7" w14:paraId="6331D9B6" w14:textId="77777777" w:rsidTr="003F35FD">
      <w:trPr>
        <w:trHeight w:val="283"/>
        <w:jc w:val="right"/>
      </w:trPr>
      <w:tc>
        <w:tcPr>
          <w:tcW w:w="2727" w:type="dxa"/>
        </w:tcPr>
        <w:p w14:paraId="3FA86BAE" w14:textId="440713A8" w:rsidR="002D429E" w:rsidRPr="00330DA7" w:rsidRDefault="002D429E"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2D429E" w:rsidRPr="00EA66FC" w:rsidRDefault="002D429E"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D429E" w:rsidRPr="00443C6B" w:rsidRDefault="002D429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F51DB87">
          <wp:simplePos x="0" y="0"/>
          <wp:positionH relativeFrom="margin">
            <wp:posOffset>-1318895</wp:posOffset>
          </wp:positionH>
          <wp:positionV relativeFrom="margin">
            <wp:posOffset>-2715895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D429E" w:rsidRPr="00330DA7" w14:paraId="29CFF901" w14:textId="77777777" w:rsidTr="004A4311">
      <w:trPr>
        <w:trHeight w:val="1435"/>
      </w:trPr>
      <w:tc>
        <w:tcPr>
          <w:tcW w:w="283" w:type="dxa"/>
          <w:shd w:val="clear" w:color="auto" w:fill="auto"/>
        </w:tcPr>
        <w:p w14:paraId="046B9F8F" w14:textId="77777777" w:rsidR="002D429E" w:rsidRPr="00330DA7" w:rsidRDefault="002D429E" w:rsidP="004A431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D429E" w:rsidRPr="00330DA7" w14:paraId="04F272D2" w14:textId="77777777" w:rsidTr="004A4311">
            <w:trPr>
              <w:trHeight w:val="144"/>
            </w:trPr>
            <w:tc>
              <w:tcPr>
                <w:tcW w:w="2727" w:type="dxa"/>
              </w:tcPr>
              <w:p w14:paraId="2FD4DBF6" w14:textId="77777777" w:rsidR="002D429E" w:rsidRPr="00330DA7" w:rsidRDefault="002D429E" w:rsidP="004A4311">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06DD21DC" w:rsidR="002D429E" w:rsidRPr="00A90C72" w:rsidRDefault="00C56776" w:rsidP="004A4311">
                <w:pPr>
                  <w:tabs>
                    <w:tab w:val="right" w:pos="8838"/>
                  </w:tabs>
                  <w:ind w:left="-74" w:right="-105"/>
                  <w:rPr>
                    <w:rFonts w:eastAsia="Calibri" w:cs="Tahoma"/>
                    <w:szCs w:val="22"/>
                    <w:lang w:eastAsia="en-US"/>
                  </w:rPr>
                </w:pPr>
                <w:r w:rsidRPr="00C56776">
                  <w:rPr>
                    <w:rFonts w:eastAsia="Calibri" w:cs="Tahoma"/>
                    <w:szCs w:val="22"/>
                    <w:lang w:eastAsia="en-US"/>
                  </w:rPr>
                  <w:t>04887/INFOEM/IP/RR/2024</w:t>
                </w:r>
              </w:p>
            </w:tc>
            <w:tc>
              <w:tcPr>
                <w:tcW w:w="3402" w:type="dxa"/>
              </w:tcPr>
              <w:p w14:paraId="71DEA1CF" w14:textId="77777777" w:rsidR="002D429E" w:rsidRDefault="002D429E" w:rsidP="004A4311">
                <w:pPr>
                  <w:tabs>
                    <w:tab w:val="right" w:pos="8838"/>
                  </w:tabs>
                  <w:ind w:left="-74" w:right="-105"/>
                  <w:rPr>
                    <w:rFonts w:eastAsia="Calibri" w:cs="Tahoma"/>
                    <w:szCs w:val="22"/>
                    <w:lang w:eastAsia="en-US"/>
                  </w:rPr>
                </w:pPr>
              </w:p>
            </w:tc>
          </w:tr>
          <w:tr w:rsidR="002D429E" w:rsidRPr="00330DA7" w14:paraId="05C58951" w14:textId="77777777" w:rsidTr="004A4311">
            <w:trPr>
              <w:trHeight w:val="144"/>
            </w:trPr>
            <w:tc>
              <w:tcPr>
                <w:tcW w:w="2727" w:type="dxa"/>
              </w:tcPr>
              <w:p w14:paraId="642B9610" w14:textId="77777777" w:rsidR="002D429E" w:rsidRPr="00330DA7" w:rsidRDefault="002D429E" w:rsidP="004A4311">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7789604A" w:rsidR="002D429E" w:rsidRPr="005F19B1" w:rsidRDefault="006632A1" w:rsidP="004A4311">
                <w:pPr>
                  <w:tabs>
                    <w:tab w:val="left" w:pos="3122"/>
                    <w:tab w:val="right" w:pos="8838"/>
                  </w:tabs>
                  <w:ind w:left="-105" w:right="-105"/>
                  <w:rPr>
                    <w:rFonts w:eastAsia="Calibri" w:cs="Tahoma"/>
                    <w:szCs w:val="22"/>
                    <w:lang w:eastAsia="en-US"/>
                  </w:rPr>
                </w:pPr>
                <w:r>
                  <w:rPr>
                    <w:rFonts w:eastAsia="Calibri" w:cs="Tahoma"/>
                    <w:szCs w:val="22"/>
                    <w:lang w:eastAsia="en-US"/>
                  </w:rPr>
                  <w:t>XXXXX XXXXXXXX XXXXX</w:t>
                </w:r>
              </w:p>
            </w:tc>
            <w:tc>
              <w:tcPr>
                <w:tcW w:w="3402" w:type="dxa"/>
              </w:tcPr>
              <w:p w14:paraId="73F47F53" w14:textId="77777777" w:rsidR="002D429E" w:rsidRPr="005F19B1" w:rsidRDefault="002D429E" w:rsidP="004A4311">
                <w:pPr>
                  <w:tabs>
                    <w:tab w:val="left" w:pos="3122"/>
                    <w:tab w:val="right" w:pos="8838"/>
                  </w:tabs>
                  <w:ind w:left="-105" w:right="-105"/>
                  <w:rPr>
                    <w:rFonts w:eastAsia="Calibri" w:cs="Tahoma"/>
                    <w:szCs w:val="22"/>
                    <w:lang w:eastAsia="en-US"/>
                  </w:rPr>
                </w:pPr>
              </w:p>
            </w:tc>
          </w:tr>
          <w:bookmarkEnd w:id="2"/>
          <w:tr w:rsidR="002D429E" w:rsidRPr="00330DA7" w14:paraId="00E6CDC1" w14:textId="77777777" w:rsidTr="004A4311">
            <w:trPr>
              <w:trHeight w:val="283"/>
            </w:trPr>
            <w:tc>
              <w:tcPr>
                <w:tcW w:w="2727" w:type="dxa"/>
              </w:tcPr>
              <w:p w14:paraId="0631AD24" w14:textId="77777777" w:rsidR="002D429E" w:rsidRPr="00330DA7" w:rsidRDefault="002D429E" w:rsidP="004A431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9C76020" w:rsidR="002D429E" w:rsidRPr="00952DD0" w:rsidRDefault="00C56776" w:rsidP="004A4311">
                <w:pPr>
                  <w:tabs>
                    <w:tab w:val="left" w:pos="2834"/>
                    <w:tab w:val="right" w:pos="8838"/>
                  </w:tabs>
                  <w:ind w:left="-108" w:right="-105"/>
                  <w:rPr>
                    <w:rFonts w:eastAsia="Calibri" w:cs="Tahoma"/>
                    <w:szCs w:val="22"/>
                    <w:lang w:eastAsia="en-US"/>
                  </w:rPr>
                </w:pPr>
                <w:r w:rsidRPr="00C56776">
                  <w:rPr>
                    <w:rFonts w:eastAsia="Calibri" w:cs="Tahoma"/>
                    <w:szCs w:val="22"/>
                    <w:lang w:eastAsia="en-US"/>
                  </w:rPr>
                  <w:t>Organismo Público Descentralizado Municipal para la Prestación de Los Servicios de Agua Potable Drenaje y Tratamiento de Aguas Residuales de Almoloya de Juárez</w:t>
                </w:r>
              </w:p>
            </w:tc>
            <w:tc>
              <w:tcPr>
                <w:tcW w:w="3402" w:type="dxa"/>
              </w:tcPr>
              <w:p w14:paraId="3A7DA319" w14:textId="77777777" w:rsidR="002D429E" w:rsidRPr="00A90C72" w:rsidRDefault="002D429E" w:rsidP="004A4311">
                <w:pPr>
                  <w:tabs>
                    <w:tab w:val="left" w:pos="2834"/>
                    <w:tab w:val="right" w:pos="8838"/>
                  </w:tabs>
                  <w:ind w:left="-108" w:right="-105"/>
                  <w:rPr>
                    <w:rFonts w:eastAsia="Calibri" w:cs="Tahoma"/>
                    <w:szCs w:val="22"/>
                    <w:lang w:eastAsia="en-US"/>
                  </w:rPr>
                </w:pPr>
              </w:p>
            </w:tc>
          </w:tr>
          <w:tr w:rsidR="002D429E" w:rsidRPr="00330DA7" w14:paraId="0F6CD8D2" w14:textId="77777777" w:rsidTr="004A4311">
            <w:trPr>
              <w:trHeight w:val="283"/>
            </w:trPr>
            <w:tc>
              <w:tcPr>
                <w:tcW w:w="2727" w:type="dxa"/>
              </w:tcPr>
              <w:p w14:paraId="31700628" w14:textId="18C13AF6" w:rsidR="002D429E" w:rsidRPr="00330DA7" w:rsidRDefault="002D429E" w:rsidP="004A4311">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2D429E" w:rsidRPr="00EA66FC" w:rsidRDefault="002D429E" w:rsidP="004A431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D429E" w:rsidRPr="00330DA7" w:rsidRDefault="002D429E" w:rsidP="004A4311">
                <w:pPr>
                  <w:tabs>
                    <w:tab w:val="right" w:pos="8838"/>
                  </w:tabs>
                  <w:ind w:left="-108" w:right="-105"/>
                  <w:rPr>
                    <w:rFonts w:eastAsia="Calibri" w:cs="Tahoma"/>
                    <w:szCs w:val="22"/>
                    <w:lang w:eastAsia="en-US"/>
                  </w:rPr>
                </w:pPr>
              </w:p>
            </w:tc>
          </w:tr>
        </w:tbl>
        <w:p w14:paraId="5DC6AC61" w14:textId="77777777" w:rsidR="002D429E" w:rsidRPr="00330DA7" w:rsidRDefault="002D429E" w:rsidP="004A4311">
          <w:pPr>
            <w:tabs>
              <w:tab w:val="right" w:pos="8838"/>
            </w:tabs>
            <w:ind w:left="-28"/>
            <w:rPr>
              <w:rFonts w:ascii="Arial" w:eastAsia="Calibri" w:hAnsi="Arial" w:cs="Arial"/>
              <w:b/>
              <w:szCs w:val="22"/>
              <w:lang w:eastAsia="en-US"/>
            </w:rPr>
          </w:pPr>
        </w:p>
      </w:tc>
    </w:tr>
  </w:tbl>
  <w:p w14:paraId="2A906731" w14:textId="77777777" w:rsidR="002D429E" w:rsidRPr="00765661" w:rsidRDefault="000E229A" w:rsidP="004A431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105.65pt;margin-top:-248.35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3DE2"/>
    <w:multiLevelType w:val="multilevel"/>
    <w:tmpl w:val="A6A8FE76"/>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5FC4C41"/>
    <w:multiLevelType w:val="hybridMultilevel"/>
    <w:tmpl w:val="03369276"/>
    <w:lvl w:ilvl="0" w:tplc="AFA2786A">
      <w:start w:val="1"/>
      <w:numFmt w:val="decimal"/>
      <w:lvlText w:val="%1-"/>
      <w:lvlJc w:val="left"/>
      <w:pPr>
        <w:ind w:left="1211" w:hanging="360"/>
      </w:pPr>
      <w:rPr>
        <w:rFonts w:cs="Times New Roman"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079C2C53"/>
    <w:multiLevelType w:val="hybridMultilevel"/>
    <w:tmpl w:val="A3F0A890"/>
    <w:lvl w:ilvl="0" w:tplc="3A4C075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B71DF8"/>
    <w:multiLevelType w:val="hybridMultilevel"/>
    <w:tmpl w:val="0AF4A222"/>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152FA5"/>
    <w:multiLevelType w:val="hybridMultilevel"/>
    <w:tmpl w:val="2032A072"/>
    <w:lvl w:ilvl="0" w:tplc="E84A11B2">
      <w:start w:val="1"/>
      <w:numFmt w:val="upperRoman"/>
      <w:lvlText w:val="%1."/>
      <w:lvlJc w:val="left"/>
      <w:pPr>
        <w:ind w:left="1571" w:hanging="720"/>
      </w:pPr>
      <w:rPr>
        <w:rFonts w:ascii="Palatino Linotype" w:eastAsia="Palatino Linotype" w:hAnsi="Palatino Linotype" w:cs="Palatino Linotype"/>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C4044C"/>
    <w:multiLevelType w:val="hybridMultilevel"/>
    <w:tmpl w:val="CF1877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DF7A48"/>
    <w:multiLevelType w:val="hybridMultilevel"/>
    <w:tmpl w:val="726C216E"/>
    <w:lvl w:ilvl="0" w:tplc="080A0009">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F2185A"/>
    <w:multiLevelType w:val="hybridMultilevel"/>
    <w:tmpl w:val="F5DE0808"/>
    <w:lvl w:ilvl="0" w:tplc="5EF66DBA">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5"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CD72791"/>
    <w:multiLevelType w:val="multilevel"/>
    <w:tmpl w:val="44364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2755DE"/>
    <w:multiLevelType w:val="hybridMultilevel"/>
    <w:tmpl w:val="61406A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38217E"/>
    <w:multiLevelType w:val="multilevel"/>
    <w:tmpl w:val="0AC0AB9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6925DF"/>
    <w:multiLevelType w:val="hybridMultilevel"/>
    <w:tmpl w:val="E640DBB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D9093D"/>
    <w:multiLevelType w:val="hybridMultilevel"/>
    <w:tmpl w:val="D92AB1CE"/>
    <w:lvl w:ilvl="0" w:tplc="EE0CEC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4E41F2A"/>
    <w:multiLevelType w:val="hybridMultilevel"/>
    <w:tmpl w:val="03369276"/>
    <w:lvl w:ilvl="0" w:tplc="AFA2786A">
      <w:start w:val="1"/>
      <w:numFmt w:val="decimal"/>
      <w:lvlText w:val="%1-"/>
      <w:lvlJc w:val="left"/>
      <w:pPr>
        <w:ind w:left="1211" w:hanging="360"/>
      </w:pPr>
      <w:rPr>
        <w:rFonts w:cs="Times New Roman"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8" w15:restartNumberingAfterBreak="0">
    <w:nsid w:val="75976102"/>
    <w:multiLevelType w:val="hybridMultilevel"/>
    <w:tmpl w:val="B694EC3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D156312"/>
    <w:multiLevelType w:val="hybridMultilevel"/>
    <w:tmpl w:val="F1C829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9"/>
  </w:num>
  <w:num w:numId="3">
    <w:abstractNumId w:val="26"/>
  </w:num>
  <w:num w:numId="4">
    <w:abstractNumId w:val="11"/>
  </w:num>
  <w:num w:numId="5">
    <w:abstractNumId w:val="5"/>
  </w:num>
  <w:num w:numId="6">
    <w:abstractNumId w:val="29"/>
  </w:num>
  <w:num w:numId="7">
    <w:abstractNumId w:val="17"/>
  </w:num>
  <w:num w:numId="8">
    <w:abstractNumId w:val="8"/>
  </w:num>
  <w:num w:numId="9">
    <w:abstractNumId w:val="16"/>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13"/>
  </w:num>
  <w:num w:numId="13">
    <w:abstractNumId w:val="3"/>
  </w:num>
  <w:num w:numId="14">
    <w:abstractNumId w:val="7"/>
  </w:num>
  <w:num w:numId="15">
    <w:abstractNumId w:val="18"/>
  </w:num>
  <w:num w:numId="16">
    <w:abstractNumId w:val="24"/>
  </w:num>
  <w:num w:numId="17">
    <w:abstractNumId w:val="2"/>
  </w:num>
  <w:num w:numId="18">
    <w:abstractNumId w:val="30"/>
  </w:num>
  <w:num w:numId="19">
    <w:abstractNumId w:val="25"/>
  </w:num>
  <w:num w:numId="20">
    <w:abstractNumId w:val="24"/>
  </w:num>
  <w:num w:numId="21">
    <w:abstractNumId w:val="9"/>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1"/>
  </w:num>
  <w:num w:numId="27">
    <w:abstractNumId w:val="28"/>
  </w:num>
  <w:num w:numId="28">
    <w:abstractNumId w:val="6"/>
  </w:num>
  <w:num w:numId="29">
    <w:abstractNumId w:val="10"/>
  </w:num>
  <w:num w:numId="30">
    <w:abstractNumId w:val="1"/>
  </w:num>
  <w:num w:numId="31">
    <w:abstractNumId w:val="27"/>
  </w:num>
  <w:num w:numId="32">
    <w:abstractNumId w:val="2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4147E"/>
    <w:rsid w:val="00042DE4"/>
    <w:rsid w:val="000521F4"/>
    <w:rsid w:val="00054F37"/>
    <w:rsid w:val="00057B2D"/>
    <w:rsid w:val="00080071"/>
    <w:rsid w:val="000A051B"/>
    <w:rsid w:val="000B2918"/>
    <w:rsid w:val="000D0D67"/>
    <w:rsid w:val="000E09C4"/>
    <w:rsid w:val="000E229A"/>
    <w:rsid w:val="000F03E5"/>
    <w:rsid w:val="00101924"/>
    <w:rsid w:val="0011350D"/>
    <w:rsid w:val="001224C8"/>
    <w:rsid w:val="00141876"/>
    <w:rsid w:val="0014207B"/>
    <w:rsid w:val="00150C49"/>
    <w:rsid w:val="00161BAA"/>
    <w:rsid w:val="0019420D"/>
    <w:rsid w:val="001A58B3"/>
    <w:rsid w:val="001C7688"/>
    <w:rsid w:val="001D103C"/>
    <w:rsid w:val="001F3515"/>
    <w:rsid w:val="00204AB7"/>
    <w:rsid w:val="00217ECA"/>
    <w:rsid w:val="00233005"/>
    <w:rsid w:val="00233F17"/>
    <w:rsid w:val="00234024"/>
    <w:rsid w:val="002402D3"/>
    <w:rsid w:val="00273D11"/>
    <w:rsid w:val="00282752"/>
    <w:rsid w:val="00286A18"/>
    <w:rsid w:val="00294C1F"/>
    <w:rsid w:val="002A3601"/>
    <w:rsid w:val="002A5E73"/>
    <w:rsid w:val="002B7C6F"/>
    <w:rsid w:val="002D111C"/>
    <w:rsid w:val="002D429E"/>
    <w:rsid w:val="002E7036"/>
    <w:rsid w:val="00302476"/>
    <w:rsid w:val="00303862"/>
    <w:rsid w:val="003162E4"/>
    <w:rsid w:val="00331F35"/>
    <w:rsid w:val="00335CDF"/>
    <w:rsid w:val="003379FA"/>
    <w:rsid w:val="00362A11"/>
    <w:rsid w:val="003A3423"/>
    <w:rsid w:val="003A40C1"/>
    <w:rsid w:val="003B5D3E"/>
    <w:rsid w:val="003C4D91"/>
    <w:rsid w:val="003D0928"/>
    <w:rsid w:val="003F35FD"/>
    <w:rsid w:val="0041385B"/>
    <w:rsid w:val="004263CD"/>
    <w:rsid w:val="00441BFA"/>
    <w:rsid w:val="00454FBD"/>
    <w:rsid w:val="004566D4"/>
    <w:rsid w:val="004636BC"/>
    <w:rsid w:val="00464CB3"/>
    <w:rsid w:val="0049047D"/>
    <w:rsid w:val="00491C14"/>
    <w:rsid w:val="004A4311"/>
    <w:rsid w:val="004B362F"/>
    <w:rsid w:val="004C6B0D"/>
    <w:rsid w:val="004D0670"/>
    <w:rsid w:val="004D4881"/>
    <w:rsid w:val="004D7CD8"/>
    <w:rsid w:val="004E5068"/>
    <w:rsid w:val="004F7A00"/>
    <w:rsid w:val="00501EE5"/>
    <w:rsid w:val="00502EB1"/>
    <w:rsid w:val="005163F8"/>
    <w:rsid w:val="00523F48"/>
    <w:rsid w:val="005365FA"/>
    <w:rsid w:val="005723CB"/>
    <w:rsid w:val="0057438E"/>
    <w:rsid w:val="00575400"/>
    <w:rsid w:val="00595F58"/>
    <w:rsid w:val="005B18AF"/>
    <w:rsid w:val="005D5A50"/>
    <w:rsid w:val="005E3DCA"/>
    <w:rsid w:val="005F5301"/>
    <w:rsid w:val="005F65B7"/>
    <w:rsid w:val="00604643"/>
    <w:rsid w:val="006067C7"/>
    <w:rsid w:val="006159AD"/>
    <w:rsid w:val="00621BC2"/>
    <w:rsid w:val="00643644"/>
    <w:rsid w:val="00646436"/>
    <w:rsid w:val="00657709"/>
    <w:rsid w:val="006632A1"/>
    <w:rsid w:val="00664420"/>
    <w:rsid w:val="006876DC"/>
    <w:rsid w:val="00696E6F"/>
    <w:rsid w:val="006A1661"/>
    <w:rsid w:val="006A646A"/>
    <w:rsid w:val="006B10B0"/>
    <w:rsid w:val="006B4EDC"/>
    <w:rsid w:val="006C18D8"/>
    <w:rsid w:val="006D4E4A"/>
    <w:rsid w:val="006D6072"/>
    <w:rsid w:val="006E25BC"/>
    <w:rsid w:val="006E6BBC"/>
    <w:rsid w:val="006F20D9"/>
    <w:rsid w:val="006F7768"/>
    <w:rsid w:val="0070235E"/>
    <w:rsid w:val="00703703"/>
    <w:rsid w:val="00711685"/>
    <w:rsid w:val="00717E59"/>
    <w:rsid w:val="007228DC"/>
    <w:rsid w:val="007235BA"/>
    <w:rsid w:val="00733379"/>
    <w:rsid w:val="007567A4"/>
    <w:rsid w:val="007748E8"/>
    <w:rsid w:val="00775BFC"/>
    <w:rsid w:val="007A3459"/>
    <w:rsid w:val="007B190D"/>
    <w:rsid w:val="007B5CB9"/>
    <w:rsid w:val="007B6074"/>
    <w:rsid w:val="007B65A0"/>
    <w:rsid w:val="007C1E85"/>
    <w:rsid w:val="007C2D61"/>
    <w:rsid w:val="007D1C55"/>
    <w:rsid w:val="007D2634"/>
    <w:rsid w:val="007D317F"/>
    <w:rsid w:val="007E0608"/>
    <w:rsid w:val="007E0696"/>
    <w:rsid w:val="007E2541"/>
    <w:rsid w:val="007E7534"/>
    <w:rsid w:val="007F5D06"/>
    <w:rsid w:val="007F6C98"/>
    <w:rsid w:val="00805A6E"/>
    <w:rsid w:val="00865CF4"/>
    <w:rsid w:val="0086735B"/>
    <w:rsid w:val="00876DBC"/>
    <w:rsid w:val="00876F23"/>
    <w:rsid w:val="00882AFA"/>
    <w:rsid w:val="00886000"/>
    <w:rsid w:val="008A6003"/>
    <w:rsid w:val="008A6F88"/>
    <w:rsid w:val="008B1E16"/>
    <w:rsid w:val="008C322A"/>
    <w:rsid w:val="008D6F2F"/>
    <w:rsid w:val="008E1316"/>
    <w:rsid w:val="008F17AF"/>
    <w:rsid w:val="00910FD2"/>
    <w:rsid w:val="00931437"/>
    <w:rsid w:val="00932891"/>
    <w:rsid w:val="00953430"/>
    <w:rsid w:val="009545C1"/>
    <w:rsid w:val="009673C4"/>
    <w:rsid w:val="00970EB3"/>
    <w:rsid w:val="009A2D78"/>
    <w:rsid w:val="009A7C10"/>
    <w:rsid w:val="009B2945"/>
    <w:rsid w:val="009B2B1D"/>
    <w:rsid w:val="009B5D36"/>
    <w:rsid w:val="009E2DEE"/>
    <w:rsid w:val="009F26A7"/>
    <w:rsid w:val="009F797C"/>
    <w:rsid w:val="00A12F98"/>
    <w:rsid w:val="00A131AC"/>
    <w:rsid w:val="00A16D85"/>
    <w:rsid w:val="00A21A20"/>
    <w:rsid w:val="00A24057"/>
    <w:rsid w:val="00A36A99"/>
    <w:rsid w:val="00A529A2"/>
    <w:rsid w:val="00A53315"/>
    <w:rsid w:val="00A54CDA"/>
    <w:rsid w:val="00A70EF0"/>
    <w:rsid w:val="00A82F99"/>
    <w:rsid w:val="00A9208D"/>
    <w:rsid w:val="00AA6EA9"/>
    <w:rsid w:val="00AA7A22"/>
    <w:rsid w:val="00AC2DB8"/>
    <w:rsid w:val="00AC3CA0"/>
    <w:rsid w:val="00AE3DA7"/>
    <w:rsid w:val="00AF03C4"/>
    <w:rsid w:val="00AF5E8A"/>
    <w:rsid w:val="00B07350"/>
    <w:rsid w:val="00B22A80"/>
    <w:rsid w:val="00B2682E"/>
    <w:rsid w:val="00B527DF"/>
    <w:rsid w:val="00B6681E"/>
    <w:rsid w:val="00B92AE1"/>
    <w:rsid w:val="00BA55A8"/>
    <w:rsid w:val="00BB2ABF"/>
    <w:rsid w:val="00BB64F4"/>
    <w:rsid w:val="00BC122F"/>
    <w:rsid w:val="00BC341C"/>
    <w:rsid w:val="00BC5E3E"/>
    <w:rsid w:val="00BD3F4F"/>
    <w:rsid w:val="00BD5A7C"/>
    <w:rsid w:val="00BD6444"/>
    <w:rsid w:val="00BE5AF3"/>
    <w:rsid w:val="00BE7A1B"/>
    <w:rsid w:val="00BF0221"/>
    <w:rsid w:val="00BF091A"/>
    <w:rsid w:val="00BF2630"/>
    <w:rsid w:val="00BF4EAD"/>
    <w:rsid w:val="00C004B2"/>
    <w:rsid w:val="00C049E2"/>
    <w:rsid w:val="00C2100C"/>
    <w:rsid w:val="00C27DB3"/>
    <w:rsid w:val="00C36795"/>
    <w:rsid w:val="00C43E4B"/>
    <w:rsid w:val="00C45F29"/>
    <w:rsid w:val="00C461EC"/>
    <w:rsid w:val="00C507D4"/>
    <w:rsid w:val="00C56776"/>
    <w:rsid w:val="00C71CEF"/>
    <w:rsid w:val="00C72DAA"/>
    <w:rsid w:val="00C80B14"/>
    <w:rsid w:val="00C86A4A"/>
    <w:rsid w:val="00C9790C"/>
    <w:rsid w:val="00CA22B4"/>
    <w:rsid w:val="00CA404A"/>
    <w:rsid w:val="00CA681D"/>
    <w:rsid w:val="00CB7E9A"/>
    <w:rsid w:val="00CD0B92"/>
    <w:rsid w:val="00CE29D3"/>
    <w:rsid w:val="00CF2D8B"/>
    <w:rsid w:val="00CF7586"/>
    <w:rsid w:val="00D036D3"/>
    <w:rsid w:val="00D22E55"/>
    <w:rsid w:val="00D25E9B"/>
    <w:rsid w:val="00D2790D"/>
    <w:rsid w:val="00D40376"/>
    <w:rsid w:val="00D44143"/>
    <w:rsid w:val="00D50C8D"/>
    <w:rsid w:val="00D51ECD"/>
    <w:rsid w:val="00D6170E"/>
    <w:rsid w:val="00D72812"/>
    <w:rsid w:val="00D80D47"/>
    <w:rsid w:val="00D91CB4"/>
    <w:rsid w:val="00DB1C09"/>
    <w:rsid w:val="00DE1133"/>
    <w:rsid w:val="00DE3735"/>
    <w:rsid w:val="00DF4910"/>
    <w:rsid w:val="00E01565"/>
    <w:rsid w:val="00E16BF5"/>
    <w:rsid w:val="00E37A3F"/>
    <w:rsid w:val="00E37D3C"/>
    <w:rsid w:val="00E46B17"/>
    <w:rsid w:val="00E55562"/>
    <w:rsid w:val="00E62E6A"/>
    <w:rsid w:val="00E83EF5"/>
    <w:rsid w:val="00E9335C"/>
    <w:rsid w:val="00EB53F2"/>
    <w:rsid w:val="00EC57F5"/>
    <w:rsid w:val="00ED1C1E"/>
    <w:rsid w:val="00EE2AF2"/>
    <w:rsid w:val="00EE7C46"/>
    <w:rsid w:val="00F00891"/>
    <w:rsid w:val="00F071AE"/>
    <w:rsid w:val="00F0748D"/>
    <w:rsid w:val="00F07EE6"/>
    <w:rsid w:val="00F13C9A"/>
    <w:rsid w:val="00F25A6C"/>
    <w:rsid w:val="00F33CC8"/>
    <w:rsid w:val="00F42539"/>
    <w:rsid w:val="00F4481C"/>
    <w:rsid w:val="00F65C5E"/>
    <w:rsid w:val="00F75D23"/>
    <w:rsid w:val="00F906C1"/>
    <w:rsid w:val="00FA5957"/>
    <w:rsid w:val="00FC3CE0"/>
    <w:rsid w:val="00FD06A8"/>
    <w:rsid w:val="00FD4EAE"/>
    <w:rsid w:val="00FD5594"/>
    <w:rsid w:val="00FE67E8"/>
    <w:rsid w:val="00FE74D4"/>
    <w:rsid w:val="00FF61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B477B3DC-7433-442C-BAE6-35B094F1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8D8"/>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deglobo">
    <w:name w:val="Balloon Text"/>
    <w:basedOn w:val="Normal"/>
    <w:link w:val="TextodegloboCar"/>
    <w:uiPriority w:val="99"/>
    <w:semiHidden/>
    <w:unhideWhenUsed/>
    <w:rsid w:val="00AF5E8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5E8A"/>
    <w:rPr>
      <w:rFonts w:ascii="Segoe UI" w:eastAsia="Times New Roman" w:hAnsi="Segoe UI" w:cs="Segoe UI"/>
      <w:kern w:val="0"/>
      <w:sz w:val="18"/>
      <w:szCs w:val="18"/>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semiHidden/>
    <w:unhideWhenUsed/>
    <w:qFormat/>
    <w:rsid w:val="000F03E5"/>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semiHidden/>
    <w:qFormat/>
    <w:rsid w:val="000F03E5"/>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semiHidden/>
    <w:unhideWhenUsed/>
    <w:qFormat/>
    <w:rsid w:val="000F03E5"/>
    <w:rPr>
      <w:vertAlign w:val="superscript"/>
    </w:rPr>
  </w:style>
  <w:style w:type="character" w:customStyle="1" w:styleId="Mencinsinresolver1">
    <w:name w:val="Mención sin resolver1"/>
    <w:basedOn w:val="Fuentedeprrafopredeter"/>
    <w:uiPriority w:val="99"/>
    <w:semiHidden/>
    <w:unhideWhenUsed/>
    <w:rsid w:val="000F03E5"/>
    <w:rPr>
      <w:color w:val="605E5C"/>
      <w:shd w:val="clear" w:color="auto" w:fill="E1DFDD"/>
    </w:rPr>
  </w:style>
  <w:style w:type="paragraph" w:customStyle="1" w:styleId="Citas">
    <w:name w:val="Citas"/>
    <w:basedOn w:val="Normal"/>
    <w:qFormat/>
    <w:rsid w:val="00F0748D"/>
    <w:pPr>
      <w:spacing w:before="240" w:after="160"/>
      <w:ind w:left="851" w:right="851"/>
    </w:pPr>
    <w:rPr>
      <w:rFonts w:eastAsiaTheme="minorHAnsi" w:cs="Arial"/>
      <w: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6229">
      <w:bodyDiv w:val="1"/>
      <w:marLeft w:val="0"/>
      <w:marRight w:val="0"/>
      <w:marTop w:val="0"/>
      <w:marBottom w:val="0"/>
      <w:divBdr>
        <w:top w:val="none" w:sz="0" w:space="0" w:color="auto"/>
        <w:left w:val="none" w:sz="0" w:space="0" w:color="auto"/>
        <w:bottom w:val="none" w:sz="0" w:space="0" w:color="auto"/>
        <w:right w:val="none" w:sz="0" w:space="0" w:color="auto"/>
      </w:divBdr>
    </w:div>
    <w:div w:id="120194262">
      <w:bodyDiv w:val="1"/>
      <w:marLeft w:val="0"/>
      <w:marRight w:val="0"/>
      <w:marTop w:val="0"/>
      <w:marBottom w:val="0"/>
      <w:divBdr>
        <w:top w:val="none" w:sz="0" w:space="0" w:color="auto"/>
        <w:left w:val="none" w:sz="0" w:space="0" w:color="auto"/>
        <w:bottom w:val="none" w:sz="0" w:space="0" w:color="auto"/>
        <w:right w:val="none" w:sz="0" w:space="0" w:color="auto"/>
      </w:divBdr>
    </w:div>
    <w:div w:id="272443547">
      <w:bodyDiv w:val="1"/>
      <w:marLeft w:val="0"/>
      <w:marRight w:val="0"/>
      <w:marTop w:val="0"/>
      <w:marBottom w:val="0"/>
      <w:divBdr>
        <w:top w:val="none" w:sz="0" w:space="0" w:color="auto"/>
        <w:left w:val="none" w:sz="0" w:space="0" w:color="auto"/>
        <w:bottom w:val="none" w:sz="0" w:space="0" w:color="auto"/>
        <w:right w:val="none" w:sz="0" w:space="0" w:color="auto"/>
      </w:divBdr>
    </w:div>
    <w:div w:id="337849525">
      <w:bodyDiv w:val="1"/>
      <w:marLeft w:val="0"/>
      <w:marRight w:val="0"/>
      <w:marTop w:val="0"/>
      <w:marBottom w:val="0"/>
      <w:divBdr>
        <w:top w:val="none" w:sz="0" w:space="0" w:color="auto"/>
        <w:left w:val="none" w:sz="0" w:space="0" w:color="auto"/>
        <w:bottom w:val="none" w:sz="0" w:space="0" w:color="auto"/>
        <w:right w:val="none" w:sz="0" w:space="0" w:color="auto"/>
      </w:divBdr>
    </w:div>
    <w:div w:id="689720771">
      <w:bodyDiv w:val="1"/>
      <w:marLeft w:val="0"/>
      <w:marRight w:val="0"/>
      <w:marTop w:val="0"/>
      <w:marBottom w:val="0"/>
      <w:divBdr>
        <w:top w:val="none" w:sz="0" w:space="0" w:color="auto"/>
        <w:left w:val="none" w:sz="0" w:space="0" w:color="auto"/>
        <w:bottom w:val="none" w:sz="0" w:space="0" w:color="auto"/>
        <w:right w:val="none" w:sz="0" w:space="0" w:color="auto"/>
      </w:divBdr>
    </w:div>
    <w:div w:id="715473722">
      <w:bodyDiv w:val="1"/>
      <w:marLeft w:val="0"/>
      <w:marRight w:val="0"/>
      <w:marTop w:val="0"/>
      <w:marBottom w:val="0"/>
      <w:divBdr>
        <w:top w:val="none" w:sz="0" w:space="0" w:color="auto"/>
        <w:left w:val="none" w:sz="0" w:space="0" w:color="auto"/>
        <w:bottom w:val="none" w:sz="0" w:space="0" w:color="auto"/>
        <w:right w:val="none" w:sz="0" w:space="0" w:color="auto"/>
      </w:divBdr>
    </w:div>
    <w:div w:id="726995660">
      <w:bodyDiv w:val="1"/>
      <w:marLeft w:val="0"/>
      <w:marRight w:val="0"/>
      <w:marTop w:val="0"/>
      <w:marBottom w:val="0"/>
      <w:divBdr>
        <w:top w:val="none" w:sz="0" w:space="0" w:color="auto"/>
        <w:left w:val="none" w:sz="0" w:space="0" w:color="auto"/>
        <w:bottom w:val="none" w:sz="0" w:space="0" w:color="auto"/>
        <w:right w:val="none" w:sz="0" w:space="0" w:color="auto"/>
      </w:divBdr>
    </w:div>
    <w:div w:id="735518647">
      <w:bodyDiv w:val="1"/>
      <w:marLeft w:val="0"/>
      <w:marRight w:val="0"/>
      <w:marTop w:val="0"/>
      <w:marBottom w:val="0"/>
      <w:divBdr>
        <w:top w:val="none" w:sz="0" w:space="0" w:color="auto"/>
        <w:left w:val="none" w:sz="0" w:space="0" w:color="auto"/>
        <w:bottom w:val="none" w:sz="0" w:space="0" w:color="auto"/>
        <w:right w:val="none" w:sz="0" w:space="0" w:color="auto"/>
      </w:divBdr>
    </w:div>
    <w:div w:id="866604405">
      <w:bodyDiv w:val="1"/>
      <w:marLeft w:val="0"/>
      <w:marRight w:val="0"/>
      <w:marTop w:val="0"/>
      <w:marBottom w:val="0"/>
      <w:divBdr>
        <w:top w:val="none" w:sz="0" w:space="0" w:color="auto"/>
        <w:left w:val="none" w:sz="0" w:space="0" w:color="auto"/>
        <w:bottom w:val="none" w:sz="0" w:space="0" w:color="auto"/>
        <w:right w:val="none" w:sz="0" w:space="0" w:color="auto"/>
      </w:divBdr>
    </w:div>
    <w:div w:id="1005521180">
      <w:bodyDiv w:val="1"/>
      <w:marLeft w:val="0"/>
      <w:marRight w:val="0"/>
      <w:marTop w:val="0"/>
      <w:marBottom w:val="0"/>
      <w:divBdr>
        <w:top w:val="none" w:sz="0" w:space="0" w:color="auto"/>
        <w:left w:val="none" w:sz="0" w:space="0" w:color="auto"/>
        <w:bottom w:val="none" w:sz="0" w:space="0" w:color="auto"/>
        <w:right w:val="none" w:sz="0" w:space="0" w:color="auto"/>
      </w:divBdr>
    </w:div>
    <w:div w:id="1077822817">
      <w:bodyDiv w:val="1"/>
      <w:marLeft w:val="0"/>
      <w:marRight w:val="0"/>
      <w:marTop w:val="0"/>
      <w:marBottom w:val="0"/>
      <w:divBdr>
        <w:top w:val="none" w:sz="0" w:space="0" w:color="auto"/>
        <w:left w:val="none" w:sz="0" w:space="0" w:color="auto"/>
        <w:bottom w:val="none" w:sz="0" w:space="0" w:color="auto"/>
        <w:right w:val="none" w:sz="0" w:space="0" w:color="auto"/>
      </w:divBdr>
    </w:div>
    <w:div w:id="1202480643">
      <w:bodyDiv w:val="1"/>
      <w:marLeft w:val="0"/>
      <w:marRight w:val="0"/>
      <w:marTop w:val="0"/>
      <w:marBottom w:val="0"/>
      <w:divBdr>
        <w:top w:val="none" w:sz="0" w:space="0" w:color="auto"/>
        <w:left w:val="none" w:sz="0" w:space="0" w:color="auto"/>
        <w:bottom w:val="none" w:sz="0" w:space="0" w:color="auto"/>
        <w:right w:val="none" w:sz="0" w:space="0" w:color="auto"/>
      </w:divBdr>
    </w:div>
    <w:div w:id="1234508742">
      <w:bodyDiv w:val="1"/>
      <w:marLeft w:val="0"/>
      <w:marRight w:val="0"/>
      <w:marTop w:val="0"/>
      <w:marBottom w:val="0"/>
      <w:divBdr>
        <w:top w:val="none" w:sz="0" w:space="0" w:color="auto"/>
        <w:left w:val="none" w:sz="0" w:space="0" w:color="auto"/>
        <w:bottom w:val="none" w:sz="0" w:space="0" w:color="auto"/>
        <w:right w:val="none" w:sz="0" w:space="0" w:color="auto"/>
      </w:divBdr>
    </w:div>
    <w:div w:id="1318651312">
      <w:bodyDiv w:val="1"/>
      <w:marLeft w:val="0"/>
      <w:marRight w:val="0"/>
      <w:marTop w:val="0"/>
      <w:marBottom w:val="0"/>
      <w:divBdr>
        <w:top w:val="none" w:sz="0" w:space="0" w:color="auto"/>
        <w:left w:val="none" w:sz="0" w:space="0" w:color="auto"/>
        <w:bottom w:val="none" w:sz="0" w:space="0" w:color="auto"/>
        <w:right w:val="none" w:sz="0" w:space="0" w:color="auto"/>
      </w:divBdr>
    </w:div>
    <w:div w:id="1382367313">
      <w:bodyDiv w:val="1"/>
      <w:marLeft w:val="0"/>
      <w:marRight w:val="0"/>
      <w:marTop w:val="0"/>
      <w:marBottom w:val="0"/>
      <w:divBdr>
        <w:top w:val="none" w:sz="0" w:space="0" w:color="auto"/>
        <w:left w:val="none" w:sz="0" w:space="0" w:color="auto"/>
        <w:bottom w:val="none" w:sz="0" w:space="0" w:color="auto"/>
        <w:right w:val="none" w:sz="0" w:space="0" w:color="auto"/>
      </w:divBdr>
    </w:div>
    <w:div w:id="1423262985">
      <w:bodyDiv w:val="1"/>
      <w:marLeft w:val="0"/>
      <w:marRight w:val="0"/>
      <w:marTop w:val="0"/>
      <w:marBottom w:val="0"/>
      <w:divBdr>
        <w:top w:val="none" w:sz="0" w:space="0" w:color="auto"/>
        <w:left w:val="none" w:sz="0" w:space="0" w:color="auto"/>
        <w:bottom w:val="none" w:sz="0" w:space="0" w:color="auto"/>
        <w:right w:val="none" w:sz="0" w:space="0" w:color="auto"/>
      </w:divBdr>
    </w:div>
    <w:div w:id="1543202382">
      <w:bodyDiv w:val="1"/>
      <w:marLeft w:val="0"/>
      <w:marRight w:val="0"/>
      <w:marTop w:val="0"/>
      <w:marBottom w:val="0"/>
      <w:divBdr>
        <w:top w:val="none" w:sz="0" w:space="0" w:color="auto"/>
        <w:left w:val="none" w:sz="0" w:space="0" w:color="auto"/>
        <w:bottom w:val="none" w:sz="0" w:space="0" w:color="auto"/>
        <w:right w:val="none" w:sz="0" w:space="0" w:color="auto"/>
      </w:divBdr>
    </w:div>
    <w:div w:id="1752506229">
      <w:bodyDiv w:val="1"/>
      <w:marLeft w:val="0"/>
      <w:marRight w:val="0"/>
      <w:marTop w:val="0"/>
      <w:marBottom w:val="0"/>
      <w:divBdr>
        <w:top w:val="none" w:sz="0" w:space="0" w:color="auto"/>
        <w:left w:val="none" w:sz="0" w:space="0" w:color="auto"/>
        <w:bottom w:val="none" w:sz="0" w:space="0" w:color="auto"/>
        <w:right w:val="none" w:sz="0" w:space="0" w:color="auto"/>
      </w:divBdr>
    </w:div>
    <w:div w:id="1976836799">
      <w:bodyDiv w:val="1"/>
      <w:marLeft w:val="0"/>
      <w:marRight w:val="0"/>
      <w:marTop w:val="0"/>
      <w:marBottom w:val="0"/>
      <w:divBdr>
        <w:top w:val="none" w:sz="0" w:space="0" w:color="auto"/>
        <w:left w:val="none" w:sz="0" w:space="0" w:color="auto"/>
        <w:bottom w:val="none" w:sz="0" w:space="0" w:color="auto"/>
        <w:right w:val="none" w:sz="0" w:space="0" w:color="auto"/>
      </w:divBdr>
    </w:div>
    <w:div w:id="210529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E6149B96-2FAC-47A4-BD86-0002A2A7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34</Pages>
  <Words>6774</Words>
  <Characters>37261</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13</cp:revision>
  <cp:lastPrinted>2024-09-12T19:39:00Z</cp:lastPrinted>
  <dcterms:created xsi:type="dcterms:W3CDTF">2024-09-05T16:48:00Z</dcterms:created>
  <dcterms:modified xsi:type="dcterms:W3CDTF">2024-10-24T00:35:00Z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