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0DD2F" w14:textId="77777777" w:rsidR="00F17F51" w:rsidRDefault="00BB2045">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 diecisiete de enero dos mil veinticuatro.</w:t>
      </w:r>
    </w:p>
    <w:p w14:paraId="0FE1FDBD" w14:textId="77777777" w:rsidR="00F17F51" w:rsidRDefault="00F17F51">
      <w:pPr>
        <w:shd w:val="clear" w:color="auto" w:fill="FFFFFF"/>
        <w:spacing w:line="360" w:lineRule="auto"/>
        <w:jc w:val="both"/>
        <w:rPr>
          <w:rFonts w:ascii="Palatino Linotype" w:hAnsi="Palatino Linotype" w:cs="Arial"/>
          <w:color w:val="000000"/>
          <w:lang w:val="es-MX" w:eastAsia="es-MX"/>
        </w:rPr>
      </w:pPr>
    </w:p>
    <w:p w14:paraId="6BCFEED5" w14:textId="56DBD183" w:rsidR="00F17F51" w:rsidRDefault="00BB2045">
      <w:pPr>
        <w:tabs>
          <w:tab w:val="left" w:pos="1701"/>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b/>
          <w:lang w:val="es-MX" w:eastAsia="en-US"/>
        </w:rPr>
        <w:t>VISTO</w:t>
      </w:r>
      <w:r>
        <w:rPr>
          <w:rFonts w:ascii="Palatino Linotype" w:eastAsiaTheme="minorHAnsi" w:hAnsi="Palatino Linotype" w:cs="Arial"/>
          <w:lang w:val="es-MX" w:eastAsia="en-US"/>
        </w:rPr>
        <w:t xml:space="preserve"> el expediente electrónico formado con motivo del recurso de revisión número </w:t>
      </w:r>
      <w:r>
        <w:rPr>
          <w:rFonts w:ascii="Palatino Linotype" w:eastAsiaTheme="minorHAnsi" w:hAnsi="Palatino Linotype" w:cs="Arial"/>
          <w:b/>
          <w:lang w:val="es-MX" w:eastAsia="en-US"/>
        </w:rPr>
        <w:t>06060</w:t>
      </w:r>
      <w:r>
        <w:rPr>
          <w:rFonts w:ascii="Palatino Linotype" w:eastAsiaTheme="minorHAnsi" w:hAnsi="Palatino Linotype" w:cs="Arial"/>
          <w:b/>
          <w:bCs/>
          <w:lang w:val="es-MX" w:eastAsia="es-MX"/>
        </w:rPr>
        <w:t>/INFOEM/IP/RR/2023</w:t>
      </w:r>
      <w:r>
        <w:rPr>
          <w:rFonts w:ascii="Palatino Linotype" w:eastAsiaTheme="minorHAnsi" w:hAnsi="Palatino Linotype" w:cs="Arial"/>
          <w:lang w:val="es-MX" w:eastAsia="en-US"/>
        </w:rPr>
        <w:t xml:space="preserve">, </w:t>
      </w:r>
      <w:r>
        <w:rPr>
          <w:rFonts w:ascii="Palatino Linotype" w:hAnsi="Palatino Linotype" w:cs="Arial"/>
        </w:rPr>
        <w:t xml:space="preserve">interpuesto por el </w:t>
      </w:r>
      <w:r>
        <w:rPr>
          <w:rFonts w:ascii="Palatino Linotype" w:hAnsi="Palatino Linotype" w:cs="Arial"/>
          <w:b/>
          <w:bCs/>
        </w:rPr>
        <w:t xml:space="preserve">C. </w:t>
      </w:r>
      <w:r w:rsidR="005C242F">
        <w:rPr>
          <w:rFonts w:ascii="Palatino Linotype" w:hAnsi="Palatino Linotype" w:cs="Arial"/>
          <w:b/>
          <w:bCs/>
        </w:rPr>
        <w:t>XXXXXXXXXXXXXXXXXX</w:t>
      </w:r>
      <w:r>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en lo sucesivo la parte </w:t>
      </w:r>
      <w:r>
        <w:rPr>
          <w:rFonts w:ascii="Palatino Linotype" w:hAnsi="Palatino Linotype" w:cs="Arial"/>
          <w:b/>
        </w:rPr>
        <w:t>Recurrente</w:t>
      </w:r>
      <w:r>
        <w:rPr>
          <w:rFonts w:ascii="Palatino Linotype" w:eastAsiaTheme="minorHAnsi" w:hAnsi="Palatino Linotype" w:cs="Arial"/>
          <w:lang w:val="es-MX" w:eastAsia="en-US"/>
        </w:rPr>
        <w:t xml:space="preserve">, en contra de la respuesta del </w:t>
      </w:r>
      <w:r>
        <w:rPr>
          <w:rFonts w:ascii="Palatino Linotype" w:eastAsiaTheme="minorHAnsi" w:hAnsi="Palatino Linotype" w:cs="Arial"/>
          <w:b/>
          <w:lang w:val="es-MX" w:eastAsia="en-US"/>
        </w:rPr>
        <w:t>Organismo Público Descentralizado Municipal para la Prestación de Los Servicios de Agua Potable Alcantarillado y Saneamiento de Cuautitlán Izcalli denominado OPERAGUA, O.P.D.M.</w:t>
      </w:r>
      <w:r>
        <w:rPr>
          <w:rFonts w:ascii="Palatino Linotype" w:eastAsiaTheme="minorHAnsi" w:hAnsi="Palatino Linotype" w:cs="Arial"/>
          <w:lang w:val="es-MX" w:eastAsia="en-US"/>
        </w:rPr>
        <w:t>,</w:t>
      </w:r>
      <w:r>
        <w:rPr>
          <w:rFonts w:ascii="Palatino Linotype" w:eastAsiaTheme="minorHAnsi" w:hAnsi="Palatino Linotype" w:cs="Arial"/>
          <w:b/>
          <w:lang w:val="es-MX" w:eastAsia="en-US"/>
        </w:rPr>
        <w:t xml:space="preserve"> </w:t>
      </w:r>
      <w:r>
        <w:rPr>
          <w:rFonts w:ascii="Palatino Linotype" w:eastAsiaTheme="minorHAnsi" w:hAnsi="Palatino Linotype" w:cs="Arial"/>
          <w:lang w:val="es-MX" w:eastAsia="en-US"/>
        </w:rPr>
        <w:t>en lo subsecuente</w:t>
      </w:r>
      <w:r>
        <w:rPr>
          <w:rFonts w:ascii="Palatino Linotype" w:eastAsiaTheme="minorHAnsi" w:hAnsi="Palatino Linotype" w:cs="Arial"/>
          <w:b/>
          <w:lang w:val="es-MX" w:eastAsia="en-US"/>
        </w:rPr>
        <w:t xml:space="preserve"> El Sujeto Obligado, </w:t>
      </w:r>
      <w:r>
        <w:rPr>
          <w:rFonts w:ascii="Palatino Linotype" w:eastAsiaTheme="minorHAnsi" w:hAnsi="Palatino Linotype" w:cs="Arial"/>
          <w:lang w:val="es-MX" w:eastAsia="en-US"/>
        </w:rPr>
        <w:t>se procede a dictar la presente resolución.</w:t>
      </w:r>
    </w:p>
    <w:p w14:paraId="230A63E8" w14:textId="77777777" w:rsidR="00F17F51" w:rsidRDefault="00F17F51">
      <w:pPr>
        <w:tabs>
          <w:tab w:val="left" w:pos="1701"/>
        </w:tabs>
        <w:spacing w:line="360" w:lineRule="auto"/>
        <w:jc w:val="both"/>
        <w:rPr>
          <w:rFonts w:ascii="Palatino Linotype" w:eastAsiaTheme="minorHAnsi" w:hAnsi="Palatino Linotype" w:cs="Arial"/>
          <w:lang w:val="es-MX" w:eastAsia="en-US"/>
        </w:rPr>
      </w:pPr>
    </w:p>
    <w:p w14:paraId="60A77EF1" w14:textId="77777777" w:rsidR="00F17F51" w:rsidRDefault="00BB2045">
      <w:pPr>
        <w:spacing w:line="360" w:lineRule="auto"/>
        <w:jc w:val="center"/>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A N T E C E D E N T E S</w:t>
      </w:r>
    </w:p>
    <w:p w14:paraId="14BDBE38" w14:textId="77777777" w:rsidR="00F17F51" w:rsidRDefault="00F17F51">
      <w:pPr>
        <w:spacing w:line="360" w:lineRule="auto"/>
        <w:jc w:val="center"/>
        <w:rPr>
          <w:rFonts w:ascii="Palatino Linotype" w:eastAsiaTheme="minorHAnsi" w:hAnsi="Palatino Linotype" w:cs="Arial"/>
          <w:b/>
          <w:sz w:val="20"/>
          <w:szCs w:val="18"/>
          <w:lang w:val="es-MX" w:eastAsia="en-US"/>
        </w:rPr>
      </w:pPr>
    </w:p>
    <w:p w14:paraId="4E371594" w14:textId="77777777" w:rsidR="00F17F51" w:rsidRDefault="00BB2045">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PRIMERO. De la solicitud de información.</w:t>
      </w:r>
    </w:p>
    <w:p w14:paraId="3243A130" w14:textId="77777777" w:rsidR="00F17F51" w:rsidRDefault="00BB2045">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En fecha veintidós de agosto de dos mil veintitrés, la parte </w:t>
      </w:r>
      <w:r>
        <w:rPr>
          <w:rFonts w:ascii="Palatino Linotype" w:eastAsiaTheme="minorHAnsi" w:hAnsi="Palatino Linotype" w:cs="Arial"/>
          <w:b/>
          <w:szCs w:val="22"/>
          <w:lang w:val="es-MX" w:eastAsia="en-US"/>
        </w:rPr>
        <w:t>Recurrente</w:t>
      </w:r>
      <w:r>
        <w:rPr>
          <w:rFonts w:ascii="Palatino Linotype" w:eastAsiaTheme="minorHAnsi" w:hAnsi="Palatino Linotype" w:cs="Arial"/>
          <w:szCs w:val="22"/>
          <w:lang w:val="es-MX" w:eastAsia="en-US"/>
        </w:rPr>
        <w:t xml:space="preserve">, presentó a través del Sistema de Acceso a la Información Mexiquense </w:t>
      </w:r>
      <w:r>
        <w:rPr>
          <w:rFonts w:ascii="Palatino Linotype" w:eastAsiaTheme="minorHAnsi" w:hAnsi="Palatino Linotype" w:cs="Arial"/>
          <w:b/>
          <w:szCs w:val="22"/>
          <w:lang w:val="es-MX" w:eastAsia="en-US"/>
        </w:rPr>
        <w:t>(SAIMEX),</w:t>
      </w:r>
      <w:r>
        <w:rPr>
          <w:rFonts w:ascii="Palatino Linotype" w:eastAsiaTheme="minorHAnsi" w:hAnsi="Palatino Linotype" w:cs="Arial"/>
          <w:szCs w:val="22"/>
          <w:lang w:val="es-MX" w:eastAsia="en-US"/>
        </w:rPr>
        <w:t xml:space="preserve"> ante el </w:t>
      </w:r>
      <w:r>
        <w:rPr>
          <w:rFonts w:ascii="Palatino Linotype" w:eastAsiaTheme="minorHAnsi" w:hAnsi="Palatino Linotype" w:cs="Arial"/>
          <w:b/>
          <w:szCs w:val="22"/>
          <w:lang w:val="es-MX" w:eastAsia="en-US"/>
        </w:rPr>
        <w:t>Sujeto Obligado</w:t>
      </w:r>
      <w:r>
        <w:rPr>
          <w:rFonts w:ascii="Palatino Linotype" w:eastAsiaTheme="minorHAnsi" w:hAnsi="Palatino Linotype" w:cs="Arial"/>
          <w:szCs w:val="22"/>
          <w:lang w:val="es-MX" w:eastAsia="en-US"/>
        </w:rPr>
        <w:t xml:space="preserve">, la solicitud de acceso a la información pública, a la que se le asignó el número de expediente </w:t>
      </w:r>
      <w:r>
        <w:rPr>
          <w:rFonts w:ascii="Palatino Linotype" w:eastAsiaTheme="minorHAnsi" w:hAnsi="Palatino Linotype" w:cs="Arial"/>
          <w:b/>
          <w:szCs w:val="22"/>
          <w:lang w:val="es-MX" w:eastAsia="en-US"/>
        </w:rPr>
        <w:t>00136/OASCUATIZC/IP/2023</w:t>
      </w:r>
      <w:r>
        <w:rPr>
          <w:rFonts w:ascii="Palatino Linotype" w:eastAsiaTheme="minorHAnsi" w:hAnsi="Palatino Linotype" w:cs="Arial"/>
          <w:szCs w:val="22"/>
          <w:lang w:val="es-MX" w:eastAsia="en-US"/>
        </w:rPr>
        <w:t>, mediante la cual solicitó lo siguiente:</w:t>
      </w:r>
    </w:p>
    <w:p w14:paraId="678B80C8" w14:textId="77777777" w:rsidR="00F17F51" w:rsidRDefault="00F17F51">
      <w:pPr>
        <w:pStyle w:val="Sinespaciado"/>
        <w:rPr>
          <w:rFonts w:eastAsiaTheme="minorHAnsi"/>
          <w:sz w:val="14"/>
          <w:szCs w:val="14"/>
          <w:lang w:eastAsia="en-US"/>
        </w:rPr>
      </w:pPr>
    </w:p>
    <w:p w14:paraId="6DD86A65" w14:textId="77777777" w:rsidR="00F17F51" w:rsidRDefault="00BB2045">
      <w:pPr>
        <w:ind w:left="284" w:right="332"/>
        <w:jc w:val="both"/>
        <w:rPr>
          <w:rFonts w:ascii="Palatino Linotype" w:hAnsi="Palatino Linotype"/>
          <w:i/>
          <w:sz w:val="22"/>
          <w:szCs w:val="22"/>
          <w:lang w:val="es-MX" w:eastAsia="es-MX"/>
        </w:rPr>
      </w:pPr>
      <w:r>
        <w:rPr>
          <w:rFonts w:ascii="Palatino Linotype" w:hAnsi="Palatino Linotype"/>
          <w:i/>
          <w:sz w:val="22"/>
          <w:szCs w:val="22"/>
          <w:lang w:val="es-MX"/>
        </w:rPr>
        <w:lastRenderedPageBreak/>
        <w:t>“</w:t>
      </w:r>
      <w:r>
        <w:rPr>
          <w:rFonts w:ascii="Palatino Linotype" w:hAnsi="Palatino Linotype"/>
          <w:i/>
          <w:sz w:val="22"/>
          <w:szCs w:val="22"/>
          <w:lang w:val="es-MX" w:eastAsia="es-MX"/>
        </w:rPr>
        <w:t>requiero el contrato del prestador del servicio del sistema que utilizan en su área comercial para fines recaudatorios</w:t>
      </w:r>
      <w:r>
        <w:rPr>
          <w:rFonts w:ascii="Palatino Linotype" w:hAnsi="Palatino Linotype"/>
          <w:i/>
          <w:sz w:val="22"/>
          <w:szCs w:val="22"/>
          <w:lang w:val="es-MX"/>
        </w:rPr>
        <w:t>”</w:t>
      </w:r>
      <w:r>
        <w:rPr>
          <w:rFonts w:ascii="Palatino Linotype" w:hAnsi="Palatino Linotype"/>
          <w:i/>
          <w:sz w:val="22"/>
          <w:szCs w:val="22"/>
        </w:rPr>
        <w:t xml:space="preserve"> (Sic).</w:t>
      </w:r>
    </w:p>
    <w:p w14:paraId="22769A8E" w14:textId="77777777" w:rsidR="00F17F51" w:rsidRDefault="00F17F51">
      <w:pPr>
        <w:pStyle w:val="Sinespaciado"/>
        <w:rPr>
          <w:sz w:val="4"/>
        </w:rPr>
      </w:pPr>
    </w:p>
    <w:p w14:paraId="3B1408C9" w14:textId="77777777" w:rsidR="00F17F51" w:rsidRDefault="00F17F51">
      <w:pPr>
        <w:pStyle w:val="Sinespaciado"/>
      </w:pPr>
    </w:p>
    <w:p w14:paraId="0AA1E0A3" w14:textId="77777777" w:rsidR="00F17F51" w:rsidRDefault="00BB2045">
      <w:pPr>
        <w:tabs>
          <w:tab w:val="left" w:pos="5647"/>
        </w:tabs>
        <w:spacing w:line="360" w:lineRule="auto"/>
        <w:ind w:right="850"/>
        <w:jc w:val="both"/>
        <w:rPr>
          <w:rFonts w:ascii="Palatino Linotype" w:eastAsiaTheme="minorHAnsi" w:hAnsi="Palatino Linotype" w:cstheme="minorBidi"/>
          <w:color w:val="000000"/>
          <w:lang w:val="es-MX" w:eastAsia="en-US"/>
        </w:rPr>
      </w:pPr>
      <w:r>
        <w:rPr>
          <w:rFonts w:ascii="Palatino Linotype" w:hAnsi="Palatino Linotype"/>
          <w:b/>
        </w:rPr>
        <w:t>MODALIDAD DE ENTREGA:</w:t>
      </w:r>
      <w:r>
        <w:rPr>
          <w:rFonts w:ascii="Palatino Linotype" w:hAnsi="Palatino Linotype"/>
        </w:rPr>
        <w:t xml:space="preserve"> </w:t>
      </w:r>
      <w:r>
        <w:rPr>
          <w:rFonts w:ascii="Palatino Linotype" w:eastAsiaTheme="minorHAnsi" w:hAnsi="Palatino Linotype" w:cstheme="minorBidi"/>
          <w:color w:val="000000"/>
          <w:lang w:val="es-MX" w:eastAsia="en-US"/>
        </w:rPr>
        <w:t xml:space="preserve">A través del </w:t>
      </w:r>
      <w:r>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color w:val="000000"/>
          <w:lang w:val="es-MX" w:eastAsia="en-US"/>
        </w:rPr>
        <w:t>.</w:t>
      </w:r>
    </w:p>
    <w:p w14:paraId="7F3389FA" w14:textId="77777777" w:rsidR="00F17F51" w:rsidRDefault="00F17F51">
      <w:pPr>
        <w:spacing w:line="360" w:lineRule="auto"/>
        <w:jc w:val="both"/>
        <w:rPr>
          <w:rFonts w:ascii="Palatino Linotype" w:eastAsiaTheme="minorHAnsi" w:hAnsi="Palatino Linotype" w:cs="Arial"/>
          <w:b/>
          <w:szCs w:val="22"/>
          <w:lang w:val="es-MX" w:eastAsia="en-US"/>
        </w:rPr>
      </w:pPr>
    </w:p>
    <w:p w14:paraId="774147EF" w14:textId="77777777" w:rsidR="00F17F51" w:rsidRDefault="00BB2045">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SEGUNDO. De la respuesta del Sujeto Obligado. </w:t>
      </w:r>
    </w:p>
    <w:p w14:paraId="1E718F71" w14:textId="77777777" w:rsidR="00F17F51" w:rsidRDefault="00BB204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las constancias que obran en el sistema SAIMEX, se advierte que en fecha doce de septiembre de dos mil veintitrés, </w:t>
      </w:r>
      <w:r>
        <w:rPr>
          <w:rFonts w:ascii="Palatino Linotype" w:eastAsiaTheme="minorHAnsi" w:hAnsi="Palatino Linotype" w:cs="Arial"/>
          <w:b/>
          <w:lang w:val="es-MX" w:eastAsia="en-US"/>
        </w:rPr>
        <w:t>El Sujeto Obligado</w:t>
      </w:r>
      <w:r>
        <w:rPr>
          <w:rFonts w:ascii="Palatino Linotype" w:eastAsiaTheme="minorHAnsi" w:hAnsi="Palatino Linotype" w:cs="Arial"/>
          <w:lang w:val="es-MX" w:eastAsia="en-US"/>
        </w:rPr>
        <w:t xml:space="preserve"> emitió la respuesta en los siguientes términos:</w:t>
      </w:r>
    </w:p>
    <w:p w14:paraId="0598A005" w14:textId="77777777" w:rsidR="00F17F51" w:rsidRDefault="00F17F51">
      <w:pPr>
        <w:pStyle w:val="Sinespaciado"/>
        <w:rPr>
          <w:rFonts w:eastAsiaTheme="minorHAnsi"/>
          <w:lang w:eastAsia="en-US"/>
        </w:rPr>
      </w:pPr>
    </w:p>
    <w:p w14:paraId="4B3F9B9C" w14:textId="77777777" w:rsidR="00F17F51" w:rsidRDefault="00BB2045">
      <w:pPr>
        <w:spacing w:line="276" w:lineRule="auto"/>
        <w:ind w:left="567" w:right="567"/>
        <w:jc w:val="both"/>
        <w:rPr>
          <w:rFonts w:ascii="Palatino Linotype" w:hAnsi="Palatino Linotype"/>
          <w:i/>
          <w:sz w:val="22"/>
          <w:szCs w:val="22"/>
          <w:lang w:val="es-MX" w:eastAsia="es-MX"/>
        </w:rPr>
      </w:pPr>
      <w:r>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418790" w14:textId="77777777" w:rsidR="00F17F51" w:rsidRDefault="00F17F51">
      <w:pPr>
        <w:spacing w:line="276" w:lineRule="auto"/>
        <w:ind w:left="567" w:right="567"/>
        <w:jc w:val="both"/>
        <w:rPr>
          <w:rFonts w:ascii="Palatino Linotype" w:hAnsi="Palatino Linotype"/>
          <w:i/>
          <w:sz w:val="22"/>
          <w:szCs w:val="22"/>
          <w:lang w:val="es-MX" w:eastAsia="es-MX"/>
        </w:rPr>
      </w:pPr>
    </w:p>
    <w:p w14:paraId="06FA7BA1" w14:textId="77777777" w:rsidR="00F17F51" w:rsidRDefault="00BB2045">
      <w:pPr>
        <w:spacing w:line="276" w:lineRule="auto"/>
        <w:ind w:left="567" w:right="567"/>
        <w:jc w:val="both"/>
        <w:rPr>
          <w:rFonts w:ascii="Palatino Linotype" w:hAnsi="Palatino Linotype"/>
          <w:i/>
          <w:sz w:val="22"/>
          <w:szCs w:val="22"/>
          <w:lang w:val="es-MX" w:eastAsia="es-MX"/>
        </w:rPr>
      </w:pPr>
      <w:r>
        <w:rPr>
          <w:rFonts w:ascii="Palatino Linotype" w:hAnsi="Palatino Linotype"/>
          <w:i/>
          <w:sz w:val="22"/>
          <w:szCs w:val="22"/>
          <w:lang w:val="es-MX" w:eastAsia="es-MX"/>
        </w:rPr>
        <w:t>Le envío archivos electrónicos con respuesta a su solicitud de información con número de folio SAIMEX 00136/OASCUATIZC/IP/2023.</w:t>
      </w:r>
    </w:p>
    <w:p w14:paraId="52657A92" w14:textId="77777777" w:rsidR="00F17F51" w:rsidRDefault="00F17F51">
      <w:pPr>
        <w:spacing w:line="276" w:lineRule="auto"/>
        <w:ind w:left="567" w:right="567"/>
        <w:jc w:val="both"/>
        <w:rPr>
          <w:rFonts w:ascii="Palatino Linotype" w:hAnsi="Palatino Linotype"/>
          <w:i/>
          <w:sz w:val="22"/>
          <w:szCs w:val="22"/>
          <w:lang w:val="es-MX" w:eastAsia="es-MX"/>
        </w:rPr>
      </w:pPr>
    </w:p>
    <w:p w14:paraId="1A1C1DE4" w14:textId="77777777" w:rsidR="00F17F51" w:rsidRDefault="00BB2045">
      <w:pPr>
        <w:spacing w:line="276" w:lineRule="auto"/>
        <w:ind w:left="567" w:right="567"/>
        <w:jc w:val="both"/>
        <w:rPr>
          <w:rFonts w:ascii="Palatino Linotype" w:hAnsi="Palatino Linotype"/>
          <w:i/>
          <w:sz w:val="22"/>
          <w:szCs w:val="22"/>
          <w:lang w:val="es-MX" w:eastAsia="es-MX"/>
        </w:rPr>
      </w:pPr>
      <w:r>
        <w:rPr>
          <w:rFonts w:ascii="Palatino Linotype" w:hAnsi="Palatino Linotype"/>
          <w:i/>
          <w:sz w:val="22"/>
          <w:szCs w:val="22"/>
          <w:lang w:val="es-MX" w:eastAsia="es-MX"/>
        </w:rPr>
        <w:t>ATENTAMENTE” (Sic).</w:t>
      </w:r>
    </w:p>
    <w:p w14:paraId="43B3680E" w14:textId="77777777" w:rsidR="00F17F51" w:rsidRDefault="00F17F51">
      <w:pPr>
        <w:ind w:right="567"/>
        <w:jc w:val="both"/>
        <w:rPr>
          <w:rFonts w:ascii="Palatino Linotype" w:hAnsi="Palatino Linotype"/>
          <w:i/>
          <w:sz w:val="14"/>
          <w:szCs w:val="22"/>
          <w:lang w:val="es-MX" w:eastAsia="es-MX"/>
        </w:rPr>
      </w:pPr>
    </w:p>
    <w:p w14:paraId="54ABABB7" w14:textId="77777777" w:rsidR="00F17F51" w:rsidRDefault="00F17F51">
      <w:pPr>
        <w:pStyle w:val="Sinespaciado"/>
        <w:rPr>
          <w:lang w:eastAsia="es-MX"/>
        </w:rPr>
      </w:pPr>
    </w:p>
    <w:p w14:paraId="58E76205" w14:textId="77777777" w:rsidR="00F17F51" w:rsidRDefault="00BB2045">
      <w:pPr>
        <w:spacing w:line="360" w:lineRule="auto"/>
        <w:jc w:val="both"/>
        <w:rPr>
          <w:rFonts w:ascii="Palatino Linotype" w:hAnsi="Palatino Linotype"/>
          <w:i/>
          <w:sz w:val="22"/>
          <w:szCs w:val="22"/>
          <w:lang w:val="es-MX" w:eastAsia="es-MX"/>
        </w:rPr>
      </w:pPr>
      <w:r>
        <w:rPr>
          <w:rFonts w:ascii="Palatino Linotype" w:eastAsiaTheme="minorHAnsi" w:hAnsi="Palatino Linotype" w:cs="Arial"/>
          <w:lang w:val="es-MX" w:eastAsia="en-US"/>
        </w:rPr>
        <w:t xml:space="preserve">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adjuntó a su respuesta, los archivos electrónicos denominados </w:t>
      </w:r>
      <w:r>
        <w:rPr>
          <w:rFonts w:ascii="Palatino Linotype" w:eastAsiaTheme="minorHAnsi" w:hAnsi="Palatino Linotype" w:cs="Arial"/>
          <w:i/>
          <w:lang w:val="es-MX" w:eastAsia="en-US"/>
        </w:rPr>
        <w:t xml:space="preserve">“CONTESTACIÓN SAIMEX 136.pdf” </w:t>
      </w:r>
      <w:r>
        <w:rPr>
          <w:rFonts w:ascii="Palatino Linotype" w:eastAsiaTheme="minorHAnsi" w:hAnsi="Palatino Linotype" w:cs="Arial"/>
          <w:iCs/>
          <w:lang w:val="es-MX" w:eastAsia="en-US"/>
        </w:rPr>
        <w:t>y</w:t>
      </w:r>
      <w:r>
        <w:rPr>
          <w:rFonts w:ascii="Palatino Linotype" w:eastAsiaTheme="minorHAnsi" w:hAnsi="Palatino Linotype" w:cs="Arial"/>
          <w:i/>
          <w:lang w:val="es-MX" w:eastAsia="en-US"/>
        </w:rPr>
        <w:t xml:space="preserve"> “NYOTA SERVICIOS_.pdf”;</w:t>
      </w:r>
      <w:r>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3FA85227" w14:textId="77777777" w:rsidR="00F17F51" w:rsidRDefault="00F17F51">
      <w:pPr>
        <w:ind w:right="567"/>
        <w:jc w:val="both"/>
        <w:rPr>
          <w:rFonts w:ascii="Palatino Linotype" w:hAnsi="Palatino Linotype"/>
          <w:i/>
          <w:szCs w:val="22"/>
          <w:lang w:val="es-MX" w:eastAsia="es-MX"/>
        </w:rPr>
      </w:pPr>
    </w:p>
    <w:p w14:paraId="37647111" w14:textId="77777777" w:rsidR="00F17F51" w:rsidRDefault="00BB2045">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 Del recurso de revisión.</w:t>
      </w:r>
    </w:p>
    <w:p w14:paraId="23527D48" w14:textId="77777777" w:rsidR="00F17F51" w:rsidRDefault="00BB204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Inconforme con la respuesta por parte del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el ahora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interpuso el presente recurso de revisión en fecha trece de septiembre de dos mil </w:t>
      </w:r>
      <w:r>
        <w:rPr>
          <w:rFonts w:ascii="Palatino Linotype" w:eastAsiaTheme="minorHAnsi" w:hAnsi="Palatino Linotype" w:cs="Arial"/>
          <w:lang w:val="es-MX" w:eastAsia="en-US"/>
        </w:rPr>
        <w:lastRenderedPageBreak/>
        <w:t>veintitrés, el cual fue registrado</w:t>
      </w:r>
      <w:r>
        <w:rPr>
          <w:rFonts w:ascii="Palatino Linotype" w:eastAsiaTheme="minorHAnsi" w:hAnsi="Palatino Linotype" w:cs="Arial"/>
          <w:b/>
          <w:lang w:val="es-MX" w:eastAsia="en-US"/>
        </w:rPr>
        <w:t xml:space="preserve"> </w:t>
      </w:r>
      <w:r>
        <w:rPr>
          <w:rFonts w:ascii="Palatino Linotype" w:eastAsiaTheme="minorHAnsi" w:hAnsi="Palatino Linotype" w:cs="Arial"/>
          <w:lang w:val="es-MX" w:eastAsia="en-US"/>
        </w:rPr>
        <w:t xml:space="preserve">en el sistema electrónico con el expediente número </w:t>
      </w:r>
      <w:r>
        <w:rPr>
          <w:rFonts w:ascii="Palatino Linotype" w:eastAsiaTheme="minorHAnsi" w:hAnsi="Palatino Linotype" w:cs="Arial"/>
          <w:b/>
          <w:bCs/>
          <w:lang w:val="es-MX" w:eastAsia="es-MX"/>
        </w:rPr>
        <w:t>06060/INFOEM/IP/RR/2023</w:t>
      </w:r>
      <w:r>
        <w:rPr>
          <w:rFonts w:ascii="Palatino Linotype" w:eastAsiaTheme="minorHAnsi" w:hAnsi="Palatino Linotype" w:cs="Arial"/>
          <w:lang w:val="es-MX" w:eastAsia="en-US"/>
        </w:rPr>
        <w:t>, en el cual aduce, las siguientes manifestaciones:</w:t>
      </w:r>
    </w:p>
    <w:p w14:paraId="2E9D0069" w14:textId="77777777" w:rsidR="00F17F51" w:rsidRDefault="00F17F51">
      <w:pPr>
        <w:pStyle w:val="Sinespaciado"/>
        <w:rPr>
          <w:sz w:val="14"/>
        </w:rPr>
      </w:pPr>
    </w:p>
    <w:p w14:paraId="58257A09" w14:textId="77777777" w:rsidR="00F17F51" w:rsidRDefault="00F17F51">
      <w:pPr>
        <w:rPr>
          <w:lang w:val="es-MX"/>
        </w:rPr>
      </w:pPr>
    </w:p>
    <w:p w14:paraId="30C78675" w14:textId="77777777" w:rsidR="00F17F51" w:rsidRDefault="00BB2045">
      <w:pPr>
        <w:numPr>
          <w:ilvl w:val="0"/>
          <w:numId w:val="1"/>
        </w:numPr>
        <w:spacing w:line="259" w:lineRule="auto"/>
        <w:jc w:val="both"/>
        <w:rPr>
          <w:rFonts w:ascii="Palatino Linotype" w:hAnsi="Palatino Linotype" w:cs="Arial"/>
          <w:b/>
          <w:sz w:val="26"/>
          <w:szCs w:val="26"/>
        </w:rPr>
      </w:pPr>
      <w:r>
        <w:rPr>
          <w:rFonts w:ascii="Palatino Linotype" w:hAnsi="Palatino Linotype" w:cs="Arial"/>
          <w:b/>
          <w:sz w:val="26"/>
          <w:szCs w:val="26"/>
        </w:rPr>
        <w:t xml:space="preserve">Acto Impugnado: </w:t>
      </w:r>
      <w:r>
        <w:rPr>
          <w:rFonts w:ascii="Palatino Linotype" w:eastAsiaTheme="minorHAnsi" w:hAnsi="Palatino Linotype" w:cstheme="minorBidi"/>
          <w:i/>
          <w:color w:val="000000"/>
          <w:sz w:val="22"/>
          <w:szCs w:val="22"/>
          <w:lang w:val="es-MX" w:eastAsia="en-US"/>
        </w:rPr>
        <w:t>“Respuesta” (Sic).</w:t>
      </w:r>
    </w:p>
    <w:p w14:paraId="717E1283" w14:textId="77777777" w:rsidR="00F17F51" w:rsidRDefault="00F17F51">
      <w:pPr>
        <w:spacing w:line="276" w:lineRule="auto"/>
        <w:ind w:left="284"/>
        <w:jc w:val="both"/>
        <w:rPr>
          <w:rFonts w:ascii="Palatino Linotype" w:hAnsi="Palatino Linotype"/>
          <w:i/>
          <w:sz w:val="22"/>
          <w:szCs w:val="22"/>
          <w:lang w:val="es-MX" w:eastAsia="es-MX"/>
        </w:rPr>
      </w:pPr>
    </w:p>
    <w:p w14:paraId="0C992DE5" w14:textId="77777777" w:rsidR="00F17F51" w:rsidRDefault="00BB2045">
      <w:pPr>
        <w:pStyle w:val="Prrafodelista"/>
        <w:numPr>
          <w:ilvl w:val="0"/>
          <w:numId w:val="1"/>
        </w:numPr>
        <w:spacing w:line="276" w:lineRule="auto"/>
        <w:jc w:val="both"/>
        <w:rPr>
          <w:rFonts w:ascii="Palatino Linotype" w:hAnsi="Palatino Linotype"/>
          <w:i/>
          <w:sz w:val="26"/>
          <w:szCs w:val="26"/>
          <w:lang w:val="es-MX" w:eastAsia="es-MX"/>
        </w:rPr>
      </w:pPr>
      <w:r>
        <w:rPr>
          <w:rFonts w:ascii="Palatino Linotype" w:hAnsi="Palatino Linotype" w:cs="Arial"/>
          <w:b/>
          <w:sz w:val="26"/>
          <w:szCs w:val="26"/>
        </w:rPr>
        <w:t>Razones o Motivos de Inconformidad</w:t>
      </w:r>
      <w:r>
        <w:rPr>
          <w:rFonts w:ascii="Palatino Linotype" w:hAnsi="Palatino Linotype" w:cs="Arial"/>
          <w:sz w:val="26"/>
          <w:szCs w:val="26"/>
        </w:rPr>
        <w:t xml:space="preserve">: </w:t>
      </w:r>
      <w:r>
        <w:rPr>
          <w:rFonts w:ascii="Palatino Linotype" w:eastAsiaTheme="minorHAnsi" w:hAnsi="Palatino Linotype" w:cs="Arial"/>
          <w:i/>
          <w:sz w:val="22"/>
          <w:szCs w:val="22"/>
          <w:lang w:val="es-MX" w:eastAsia="en-US"/>
        </w:rPr>
        <w:t>“</w:t>
      </w:r>
      <w:r>
        <w:rPr>
          <w:rFonts w:ascii="Palatino Linotype" w:eastAsiaTheme="minorHAnsi" w:hAnsi="Palatino Linotype" w:cstheme="minorBidi"/>
          <w:i/>
          <w:color w:val="000000"/>
          <w:sz w:val="22"/>
          <w:szCs w:val="22"/>
          <w:lang w:val="es-MX" w:eastAsia="en-US"/>
        </w:rPr>
        <w:t>Falta hoja 10 y 11 del contrato, falta acuerdo de transparencia por la clasificación de la clave de elector” (Sic)</w:t>
      </w:r>
    </w:p>
    <w:p w14:paraId="6B8258DF" w14:textId="77777777" w:rsidR="00F17F51" w:rsidRDefault="00F17F51">
      <w:pPr>
        <w:spacing w:line="360" w:lineRule="auto"/>
        <w:jc w:val="both"/>
        <w:rPr>
          <w:rFonts w:ascii="Palatino Linotype" w:eastAsiaTheme="minorHAnsi" w:hAnsi="Palatino Linotype" w:cs="Arial"/>
          <w:b/>
          <w:sz w:val="28"/>
          <w:lang w:val="es-MX" w:eastAsia="en-US"/>
        </w:rPr>
      </w:pPr>
    </w:p>
    <w:p w14:paraId="02984313" w14:textId="77777777" w:rsidR="00F17F51" w:rsidRDefault="00BB2045">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 Del turno del recurso de revisión.</w:t>
      </w:r>
    </w:p>
    <w:p w14:paraId="2651DE49" w14:textId="77777777" w:rsidR="00F17F51" w:rsidRDefault="00BB204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Medio de impugnación que le fue turnado al Comisionado Presidente </w:t>
      </w:r>
      <w:r>
        <w:rPr>
          <w:rFonts w:ascii="Palatino Linotype" w:eastAsiaTheme="minorHAnsi" w:hAnsi="Palatino Linotype" w:cs="Arial"/>
          <w:b/>
          <w:lang w:val="es-MX" w:eastAsia="en-US"/>
        </w:rPr>
        <w:t>José Martínez Vilchis</w:t>
      </w:r>
      <w:r>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 diecinueve de septiembre de dos mil veintitrés, determinándose en él, un plazo de siete días para que las partes manifestaran lo que a su derecho corresponda en términos del numeral ya citado.</w:t>
      </w:r>
    </w:p>
    <w:p w14:paraId="2DC95AB5" w14:textId="77777777" w:rsidR="00F17F51" w:rsidRDefault="00F17F51">
      <w:pPr>
        <w:spacing w:line="360" w:lineRule="auto"/>
        <w:jc w:val="both"/>
        <w:rPr>
          <w:rFonts w:ascii="Palatino Linotype" w:hAnsi="Palatino Linotype"/>
          <w:bCs/>
          <w:lang w:val="es-MX"/>
        </w:rPr>
      </w:pPr>
    </w:p>
    <w:p w14:paraId="20A9A779" w14:textId="77777777" w:rsidR="00F17F51" w:rsidRDefault="00BB2045">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 De la etapa de manifestaciones y/o alegatos.</w:t>
      </w:r>
    </w:p>
    <w:p w14:paraId="278A9F01" w14:textId="77777777" w:rsidR="00F17F51" w:rsidRDefault="00BB204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Una vez transcurrido el término legal referido se destaca que, en fecha veintinueve de septiembre de dos mil veintitrés, </w:t>
      </w:r>
      <w:r>
        <w:rPr>
          <w:rFonts w:ascii="Palatino Linotype" w:eastAsiaTheme="minorHAnsi" w:hAnsi="Palatino Linotype" w:cs="Arial"/>
          <w:b/>
          <w:lang w:val="es-MX" w:eastAsia="en-US"/>
        </w:rPr>
        <w:t>El Sujeto Obligado</w:t>
      </w:r>
      <w:r>
        <w:rPr>
          <w:rFonts w:ascii="Palatino Linotype" w:eastAsiaTheme="minorHAnsi" w:hAnsi="Palatino Linotype" w:cs="Arial"/>
          <w:lang w:val="es-MX" w:eastAsia="en-US"/>
        </w:rPr>
        <w:t xml:space="preserve"> remitió su informe justificado, mediante el archivo electrónico denominado </w:t>
      </w:r>
      <w:r>
        <w:rPr>
          <w:rFonts w:ascii="Palatino Linotype" w:eastAsiaTheme="minorHAnsi" w:hAnsi="Palatino Linotype" w:cs="Arial"/>
          <w:i/>
          <w:lang w:val="es-MX" w:eastAsia="en-US"/>
        </w:rPr>
        <w:t>“MANIFESTACION06060SAIMEX136.pdf”</w:t>
      </w:r>
      <w:r>
        <w:rPr>
          <w:rFonts w:ascii="Palatino Linotype" w:eastAsiaTheme="minorHAnsi" w:hAnsi="Palatino Linotype" w:cs="Arial"/>
          <w:lang w:val="es-MX" w:eastAsia="en-US"/>
        </w:rPr>
        <w:t xml:space="preserve">; mismo que se puso a la vista del particular, mediante el Acuerdo de fecha dos de octubre del mismo año; asimismo, se aprecia que </w:t>
      </w:r>
      <w:r>
        <w:rPr>
          <w:rFonts w:ascii="Palatino Linotype" w:eastAsiaTheme="minorHAnsi" w:hAnsi="Palatino Linotype" w:cs="Arial"/>
          <w:lang w:val="es-MX" w:eastAsia="en-US"/>
        </w:rPr>
        <w:lastRenderedPageBreak/>
        <w:t xml:space="preserve">la parte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no realizó alegatos, ni remitió  pruebas o manifestaciones, lo anterior de conformidad con la siguiente imagen:</w:t>
      </w:r>
    </w:p>
    <w:p w14:paraId="0C02BF3C" w14:textId="77777777" w:rsidR="00F17F51" w:rsidRDefault="00BB2045">
      <w:pPr>
        <w:spacing w:line="360" w:lineRule="auto"/>
        <w:jc w:val="center"/>
        <w:rPr>
          <w:rFonts w:ascii="Palatino Linotype" w:eastAsiaTheme="minorHAnsi" w:hAnsi="Palatino Linotype" w:cs="Arial"/>
          <w:lang w:val="es-MX" w:eastAsia="es-MX"/>
        </w:rPr>
      </w:pPr>
      <w:r>
        <w:rPr>
          <w:rFonts w:ascii="Palatino Linotype" w:eastAsiaTheme="minorHAnsi" w:hAnsi="Palatino Linotype" w:cs="Arial"/>
          <w:noProof/>
          <w:lang w:val="es-MX" w:eastAsia="es-MX"/>
        </w:rPr>
        <w:drawing>
          <wp:inline distT="0" distB="0" distL="0" distR="0" wp14:anchorId="7DEA6E59" wp14:editId="259839CE">
            <wp:extent cx="5791835" cy="1991360"/>
            <wp:effectExtent l="190500" t="190500" r="189865" b="199390"/>
            <wp:docPr id="3668765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76505" name="Imagen 1"/>
                    <pic:cNvPicPr>
                      <a:picLocks noChangeAspect="1"/>
                    </pic:cNvPicPr>
                  </pic:nvPicPr>
                  <pic:blipFill>
                    <a:blip r:embed="rId9"/>
                    <a:stretch>
                      <a:fillRect/>
                    </a:stretch>
                  </pic:blipFill>
                  <pic:spPr>
                    <a:xfrm>
                      <a:off x="0" y="0"/>
                      <a:ext cx="5791835" cy="1991360"/>
                    </a:xfrm>
                    <a:prstGeom prst="rect">
                      <a:avLst/>
                    </a:prstGeom>
                    <a:ln>
                      <a:noFill/>
                    </a:ln>
                    <a:effectLst>
                      <a:outerShdw blurRad="190500" algn="tl" rotWithShape="0">
                        <a:srgbClr val="000000">
                          <a:alpha val="70000"/>
                        </a:srgbClr>
                      </a:outerShdw>
                    </a:effectLst>
                  </pic:spPr>
                </pic:pic>
              </a:graphicData>
            </a:graphic>
          </wp:inline>
        </w:drawing>
      </w:r>
    </w:p>
    <w:p w14:paraId="606F1A6A" w14:textId="77777777" w:rsidR="00F17F51" w:rsidRDefault="00BB2045">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 Del cierre de instrucción.</w:t>
      </w:r>
      <w:r>
        <w:rPr>
          <w:rFonts w:ascii="Palatino Linotype" w:eastAsiaTheme="minorHAnsi" w:hAnsi="Palatino Linotype" w:cs="Arial"/>
          <w:b/>
          <w:sz w:val="28"/>
          <w:lang w:val="es-MX" w:eastAsia="en-US"/>
        </w:rPr>
        <w:tab/>
      </w:r>
    </w:p>
    <w:p w14:paraId="21554880" w14:textId="77777777" w:rsidR="00F17F51" w:rsidRDefault="00BB204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Así, una vez transcurrido el término legal, permitió decretarse el cierre de instrucción en fecha seis de octubre de dos mil veintitrés, en términos del artículo 185, Fracción VI, de la Ley de Transparencia y Acceso a la Información Pública del Estado de México y Municipios, iniciando el término legal para dictar resolución definitiva del asunto.</w:t>
      </w:r>
    </w:p>
    <w:p w14:paraId="5FCB10DE" w14:textId="77777777" w:rsidR="00F17F51" w:rsidRDefault="00F17F51">
      <w:pPr>
        <w:spacing w:line="360" w:lineRule="auto"/>
        <w:jc w:val="both"/>
        <w:rPr>
          <w:rFonts w:ascii="Palatino Linotype" w:eastAsiaTheme="minorHAnsi" w:hAnsi="Palatino Linotype" w:cs="Arial"/>
          <w:lang w:val="es-MX" w:eastAsia="en-US"/>
        </w:rPr>
      </w:pPr>
    </w:p>
    <w:p w14:paraId="0C530199" w14:textId="77777777" w:rsidR="00F17F51" w:rsidRDefault="00BB2045">
      <w:pPr>
        <w:spacing w:line="360" w:lineRule="auto"/>
        <w:rPr>
          <w:rFonts w:ascii="Palatino Linotype" w:hAnsi="Palatino Linotype"/>
          <w:b/>
          <w:sz w:val="28"/>
          <w:szCs w:val="26"/>
          <w:lang w:val="es-MX"/>
        </w:rPr>
      </w:pPr>
      <w:r>
        <w:rPr>
          <w:rFonts w:ascii="Palatino Linotype" w:hAnsi="Palatino Linotype"/>
          <w:b/>
          <w:sz w:val="28"/>
          <w:szCs w:val="26"/>
          <w:lang w:val="es-MX"/>
        </w:rPr>
        <w:t>SÉPTIMO. De la ampliación del término para resolver.</w:t>
      </w:r>
    </w:p>
    <w:p w14:paraId="6771021A" w14:textId="77777777" w:rsidR="00F17F51" w:rsidRDefault="00BB2045">
      <w:pPr>
        <w:spacing w:line="360" w:lineRule="auto"/>
        <w:jc w:val="both"/>
        <w:rPr>
          <w:rFonts w:ascii="Palatino Linotype" w:hAnsi="Palatino Linotype"/>
          <w:lang w:val="es-MX"/>
        </w:rPr>
      </w:pPr>
      <w:r>
        <w:rPr>
          <w:rFonts w:ascii="Palatino Linotype" w:hAnsi="Palatino Linotype"/>
          <w:lang w:val="es-MX"/>
        </w:rPr>
        <w:t>En fecha treinta y uno de octubre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56A9022" w14:textId="77777777" w:rsidR="00F17F51" w:rsidRDefault="00F17F51">
      <w:pPr>
        <w:spacing w:line="360" w:lineRule="auto"/>
        <w:jc w:val="both"/>
        <w:rPr>
          <w:rFonts w:ascii="Palatino Linotype" w:eastAsiaTheme="minorHAnsi" w:hAnsi="Palatino Linotype" w:cstheme="minorBidi"/>
          <w:szCs w:val="22"/>
          <w:lang w:val="es-MX" w:eastAsia="en-US"/>
        </w:rPr>
      </w:pPr>
    </w:p>
    <w:p w14:paraId="14286FC0"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lastRenderedPageBreak/>
        <w:t xml:space="preserve">Este organismo garante no pasa por alto justificar, </w:t>
      </w:r>
      <w:r>
        <w:rPr>
          <w:rFonts w:ascii="Palatino Linotype" w:eastAsiaTheme="minorHAnsi" w:hAnsi="Palatino Linotype" w:cstheme="minorBidi"/>
          <w:bCs/>
          <w:szCs w:val="22"/>
          <w:lang w:val="es-MX" w:eastAsia="en-US"/>
        </w:rPr>
        <w:t xml:space="preserve">que el plazo para emitir resolución en el presente asunto </w:t>
      </w:r>
      <w:r>
        <w:rPr>
          <w:rFonts w:ascii="Palatino Linotype" w:eastAsiaTheme="minorHAnsi" w:hAnsi="Palatino Linotype" w:cstheme="minorBidi"/>
          <w:szCs w:val="22"/>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53D4EA" w14:textId="77777777" w:rsidR="00F17F51" w:rsidRDefault="00F17F51">
      <w:pPr>
        <w:spacing w:line="360" w:lineRule="auto"/>
        <w:jc w:val="both"/>
        <w:rPr>
          <w:rFonts w:ascii="Palatino Linotype" w:eastAsiaTheme="minorHAnsi" w:hAnsi="Palatino Linotype" w:cstheme="minorBidi"/>
          <w:szCs w:val="22"/>
          <w:lang w:val="es-MX" w:eastAsia="en-US"/>
        </w:rPr>
      </w:pPr>
    </w:p>
    <w:p w14:paraId="211C0FBE"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Pr>
          <w:rFonts w:ascii="Palatino Linotype" w:eastAsiaTheme="minorHAnsi" w:hAnsi="Palatino Linotype" w:cstheme="minorBidi"/>
          <w:bCs/>
          <w:szCs w:val="22"/>
          <w:lang w:val="es-MX" w:eastAsia="en-US"/>
        </w:rPr>
        <w:t>el plazo para emitir resolución</w:t>
      </w:r>
      <w:r>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C94B3E1"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 </w:t>
      </w:r>
    </w:p>
    <w:p w14:paraId="7FC59FFE"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97CAA2" w14:textId="77777777" w:rsidR="00F17F51" w:rsidRDefault="00F17F51">
      <w:pPr>
        <w:spacing w:line="360" w:lineRule="auto"/>
        <w:jc w:val="both"/>
        <w:rPr>
          <w:rFonts w:ascii="Palatino Linotype" w:eastAsiaTheme="minorHAnsi" w:hAnsi="Palatino Linotype" w:cstheme="minorBidi"/>
          <w:szCs w:val="22"/>
          <w:lang w:val="es-MX" w:eastAsia="en-US"/>
        </w:rPr>
      </w:pPr>
    </w:p>
    <w:p w14:paraId="69459053"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En ese sentido, el legislador fijó los términos procesales en las leyes, de manera general, sin que pudiera prever la variada gama de casos que son resueltos por los órganos </w:t>
      </w:r>
      <w:r>
        <w:rPr>
          <w:rFonts w:ascii="Palatino Linotype" w:eastAsiaTheme="minorHAnsi" w:hAnsi="Palatino Linotype" w:cstheme="minorBidi"/>
          <w:szCs w:val="22"/>
          <w:lang w:val="es-MX" w:eastAsia="en-US"/>
        </w:rPr>
        <w:lastRenderedPageBreak/>
        <w:t>jurisdiccionales o cuasi jurisdiccionales, tanto por la complejidad de los hechos, como por el número de casos que conocen.</w:t>
      </w:r>
    </w:p>
    <w:p w14:paraId="2CBEBA70" w14:textId="77777777" w:rsidR="00F17F51" w:rsidRDefault="00F17F51">
      <w:pPr>
        <w:spacing w:line="360" w:lineRule="auto"/>
        <w:jc w:val="both"/>
        <w:rPr>
          <w:rFonts w:ascii="Palatino Linotype" w:eastAsiaTheme="minorHAnsi" w:hAnsi="Palatino Linotype" w:cstheme="minorBidi"/>
          <w:szCs w:val="22"/>
          <w:lang w:val="es-MX" w:eastAsia="en-US"/>
        </w:rPr>
      </w:pPr>
    </w:p>
    <w:p w14:paraId="2C031EF3"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0EC715F7" w14:textId="77777777" w:rsidR="00F17F51" w:rsidRDefault="00F17F51">
      <w:pPr>
        <w:rPr>
          <w:rFonts w:ascii="Palatino Linotype" w:eastAsiaTheme="minorHAnsi" w:hAnsi="Palatino Linotype" w:cstheme="minorBidi"/>
          <w:sz w:val="22"/>
          <w:szCs w:val="22"/>
          <w:lang w:val="es-MX" w:eastAsia="en-US"/>
        </w:rPr>
      </w:pPr>
    </w:p>
    <w:p w14:paraId="06A2555D"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1CB17FD8"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b)     Actividad Procesal del interesado: Acciones u omisiones del interesado.</w:t>
      </w:r>
    </w:p>
    <w:p w14:paraId="608237A4"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7E9D74ED"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799BACF1" w14:textId="77777777" w:rsidR="00F17F51" w:rsidRDefault="00F17F51">
      <w:pPr>
        <w:spacing w:line="360" w:lineRule="auto"/>
        <w:jc w:val="both"/>
        <w:rPr>
          <w:rFonts w:ascii="Palatino Linotype" w:eastAsiaTheme="minorHAnsi" w:hAnsi="Palatino Linotype" w:cstheme="minorBidi"/>
          <w:sz w:val="22"/>
          <w:szCs w:val="22"/>
          <w:lang w:val="es-MX" w:eastAsia="en-US"/>
        </w:rPr>
      </w:pPr>
    </w:p>
    <w:p w14:paraId="64469BB3"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D00F80"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Pr>
          <w:rFonts w:ascii="Palatino Linotype" w:eastAsiaTheme="minorHAnsi" w:hAnsi="Palatino Linotype" w:cstheme="minorBidi"/>
          <w:i/>
          <w:szCs w:val="22"/>
          <w:lang w:val="es-MX" w:eastAsia="en-US"/>
        </w:rPr>
        <w:t xml:space="preserve">“TÉRMINOS PROCESALES. PARA DETERMINAR SI UN FUNCIONARIO JUDICIAL ACTUÓ INDEBIDAMENTE </w:t>
      </w:r>
      <w:r>
        <w:rPr>
          <w:rFonts w:ascii="Palatino Linotype" w:eastAsiaTheme="minorHAnsi" w:hAnsi="Palatino Linotype" w:cstheme="minorBidi"/>
          <w:i/>
          <w:szCs w:val="22"/>
          <w:lang w:val="es-MX" w:eastAsia="en-US"/>
        </w:rPr>
        <w:lastRenderedPageBreak/>
        <w:t>POR NO RESPETARLOS SE DEBE ATENDER AL PRESUPUESTO QUE CONSIDERÓ EL LEGISLADOR AL FIJARLOS Y LAS CARACTERÍSTICAS DEL CASO.”</w:t>
      </w:r>
      <w:r>
        <w:rPr>
          <w:rFonts w:ascii="Palatino Linotype" w:eastAsiaTheme="minorHAnsi" w:hAnsi="Palatino Linotype" w:cstheme="minorBidi"/>
          <w:szCs w:val="22"/>
          <w:lang w:val="es-MX" w:eastAsia="en-US"/>
        </w:rPr>
        <w:t>, visible en la Gaceta del Seminario Judicial de la Federación con el registro digital 205635.</w:t>
      </w:r>
    </w:p>
    <w:p w14:paraId="5FEF636F" w14:textId="77777777" w:rsidR="00F17F51" w:rsidRDefault="00F17F51">
      <w:pPr>
        <w:spacing w:line="360" w:lineRule="auto"/>
        <w:jc w:val="both"/>
        <w:rPr>
          <w:rFonts w:ascii="Palatino Linotype" w:eastAsiaTheme="minorHAnsi" w:hAnsi="Palatino Linotype" w:cstheme="minorBidi"/>
          <w:szCs w:val="22"/>
          <w:lang w:val="es-MX" w:eastAsia="en-US"/>
        </w:rPr>
      </w:pPr>
    </w:p>
    <w:p w14:paraId="7DC69387"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16AC10" w14:textId="77777777" w:rsidR="00F17F51" w:rsidRDefault="00F17F51">
      <w:pPr>
        <w:spacing w:line="360" w:lineRule="auto"/>
        <w:jc w:val="both"/>
        <w:rPr>
          <w:rFonts w:ascii="Palatino Linotype" w:eastAsiaTheme="minorHAnsi" w:hAnsi="Palatino Linotype" w:cstheme="minorBidi"/>
          <w:szCs w:val="22"/>
          <w:lang w:val="es-MX" w:eastAsia="en-US"/>
        </w:rPr>
      </w:pPr>
    </w:p>
    <w:p w14:paraId="6ED3ABC4" w14:textId="77777777" w:rsidR="00F17F51" w:rsidRDefault="00BB20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497162C2" w14:textId="77777777" w:rsidR="00F17F51" w:rsidRDefault="00F17F51">
      <w:pPr>
        <w:spacing w:line="360" w:lineRule="auto"/>
        <w:jc w:val="both"/>
        <w:rPr>
          <w:rFonts w:ascii="Palatino Linotype" w:eastAsiaTheme="minorHAnsi" w:hAnsi="Palatino Linotype" w:cstheme="minorBidi"/>
          <w:b/>
          <w:i/>
          <w:sz w:val="22"/>
          <w:szCs w:val="22"/>
          <w:lang w:val="es-MX" w:eastAsia="en-US"/>
        </w:rPr>
      </w:pPr>
    </w:p>
    <w:p w14:paraId="1DE67D54" w14:textId="77777777" w:rsidR="00F17F51" w:rsidRDefault="00BB2045">
      <w:pPr>
        <w:spacing w:line="360" w:lineRule="auto"/>
        <w:jc w:val="both"/>
        <w:rPr>
          <w:rFonts w:ascii="Palatino Linotype" w:eastAsiaTheme="minorHAnsi" w:hAnsi="Palatino Linotype" w:cstheme="minorBidi"/>
          <w:sz w:val="22"/>
          <w:szCs w:val="22"/>
          <w:lang w:val="es-MX" w:eastAsia="en-US"/>
        </w:rPr>
      </w:pPr>
      <w:r>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2E62B29E" w14:textId="77777777" w:rsidR="00F17F51" w:rsidRDefault="00F17F51">
      <w:pPr>
        <w:spacing w:line="360" w:lineRule="auto"/>
        <w:jc w:val="both"/>
        <w:rPr>
          <w:rFonts w:ascii="Palatino Linotype" w:eastAsiaTheme="minorHAnsi" w:hAnsi="Palatino Linotype" w:cstheme="minorBidi"/>
          <w:b/>
          <w:i/>
          <w:sz w:val="22"/>
          <w:szCs w:val="22"/>
          <w:lang w:val="es-MX" w:eastAsia="en-US"/>
        </w:rPr>
      </w:pPr>
    </w:p>
    <w:p w14:paraId="1B6B2C98" w14:textId="77777777" w:rsidR="00F17F51" w:rsidRDefault="00BB2045">
      <w:pPr>
        <w:spacing w:line="360" w:lineRule="auto"/>
        <w:jc w:val="both"/>
        <w:rPr>
          <w:rFonts w:ascii="Palatino Linotype" w:eastAsiaTheme="minorHAnsi" w:hAnsi="Palatino Linotype" w:cstheme="minorBidi"/>
          <w:sz w:val="22"/>
          <w:szCs w:val="22"/>
          <w:lang w:val="es-MX" w:eastAsia="en-US"/>
        </w:rPr>
      </w:pPr>
      <w:r>
        <w:rPr>
          <w:rFonts w:ascii="Palatino Linotype" w:eastAsiaTheme="minorHAnsi" w:hAnsi="Palatino Linotype" w:cstheme="minorBidi"/>
          <w:b/>
          <w:i/>
          <w:sz w:val="22"/>
          <w:szCs w:val="22"/>
          <w:lang w:val="es-MX" w:eastAsia="en-US"/>
        </w:rPr>
        <w:lastRenderedPageBreak/>
        <w:t>“PLAZO RAZONABLE PARA RESOLVER. CONCEPTO Y ELEMENTOS QUE LO INTEGRAN A LA LUZ DEL DERECHO INTERNACIONAL DE LOS DERECHOS HUMANOS.”</w:t>
      </w:r>
      <w:r>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799A8AD9" w14:textId="77777777" w:rsidR="00F17F51" w:rsidRDefault="00F17F51">
      <w:pPr>
        <w:spacing w:line="360" w:lineRule="auto"/>
        <w:jc w:val="both"/>
        <w:rPr>
          <w:rFonts w:ascii="Palatino Linotype" w:eastAsiaTheme="minorHAnsi" w:hAnsi="Palatino Linotype" w:cstheme="minorBidi"/>
          <w:sz w:val="22"/>
          <w:szCs w:val="22"/>
          <w:lang w:val="es-MX" w:eastAsia="en-US"/>
        </w:rPr>
      </w:pPr>
    </w:p>
    <w:p w14:paraId="38CD998C" w14:textId="77777777" w:rsidR="00F17F51" w:rsidRDefault="00BB2045">
      <w:pPr>
        <w:spacing w:line="360" w:lineRule="auto"/>
        <w:jc w:val="both"/>
        <w:rPr>
          <w:rFonts w:ascii="Palatino Linotype" w:eastAsiaTheme="minorHAnsi" w:hAnsi="Palatino Linotype" w:cstheme="minorBidi"/>
          <w:bCs/>
          <w:szCs w:val="22"/>
          <w:lang w:val="es-MX" w:eastAsia="en-US"/>
        </w:rPr>
      </w:pPr>
      <w:r>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42886D4C" w14:textId="77777777" w:rsidR="00F17F51" w:rsidRDefault="00F17F51">
      <w:pPr>
        <w:spacing w:line="360" w:lineRule="auto"/>
        <w:jc w:val="both"/>
        <w:rPr>
          <w:rFonts w:ascii="Palatino Linotype" w:eastAsiaTheme="minorHAnsi" w:hAnsi="Palatino Linotype" w:cstheme="minorBidi"/>
          <w:bCs/>
          <w:szCs w:val="22"/>
          <w:lang w:val="es-MX" w:eastAsia="en-US"/>
        </w:rPr>
      </w:pPr>
    </w:p>
    <w:p w14:paraId="06D5C37F" w14:textId="77777777" w:rsidR="00F17F51" w:rsidRDefault="00BB2045">
      <w:pPr>
        <w:spacing w:line="360" w:lineRule="auto"/>
        <w:jc w:val="center"/>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C O N S I D E R A N D O </w:t>
      </w:r>
    </w:p>
    <w:p w14:paraId="51B98C2B" w14:textId="77777777" w:rsidR="00F17F51" w:rsidRDefault="00F17F51">
      <w:pPr>
        <w:spacing w:line="360" w:lineRule="auto"/>
        <w:jc w:val="both"/>
        <w:rPr>
          <w:rFonts w:ascii="Palatino Linotype" w:eastAsiaTheme="minorHAnsi" w:hAnsi="Palatino Linotype" w:cstheme="minorBidi"/>
          <w:bCs/>
          <w:szCs w:val="22"/>
          <w:lang w:val="es-MX" w:eastAsia="en-US"/>
        </w:rPr>
      </w:pPr>
    </w:p>
    <w:p w14:paraId="56432DD4" w14:textId="77777777" w:rsidR="00F17F51" w:rsidRDefault="00BB2045">
      <w:pPr>
        <w:spacing w:line="360" w:lineRule="auto"/>
        <w:jc w:val="both"/>
        <w:rPr>
          <w:rFonts w:ascii="Palatino Linotype" w:eastAsia="Calibri" w:hAnsi="Palatino Linotype" w:cs="Arial"/>
          <w:sz w:val="28"/>
          <w:lang w:val="es-MX" w:eastAsia="en-US"/>
        </w:rPr>
      </w:pPr>
      <w:r>
        <w:rPr>
          <w:rFonts w:ascii="Palatino Linotype" w:eastAsia="Calibri" w:hAnsi="Palatino Linotype" w:cs="Arial"/>
          <w:b/>
          <w:sz w:val="28"/>
          <w:lang w:val="es-MX" w:eastAsia="en-US"/>
        </w:rPr>
        <w:t>PRIMERO. De la competencia</w:t>
      </w:r>
      <w:r>
        <w:rPr>
          <w:rFonts w:ascii="Palatino Linotype" w:eastAsia="Calibri" w:hAnsi="Palatino Linotype" w:cs="Arial"/>
          <w:sz w:val="28"/>
          <w:lang w:val="es-MX" w:eastAsia="en-US"/>
        </w:rPr>
        <w:t>.</w:t>
      </w:r>
    </w:p>
    <w:p w14:paraId="6A42008B" w14:textId="77777777" w:rsidR="00F17F51" w:rsidRDefault="00BB2045">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11BCF3C" w14:textId="77777777" w:rsidR="00F17F51" w:rsidRDefault="00BB2045">
      <w:pPr>
        <w:autoSpaceDE w:val="0"/>
        <w:autoSpaceDN w:val="0"/>
        <w:adjustRightInd w:val="0"/>
        <w:spacing w:line="360" w:lineRule="auto"/>
        <w:jc w:val="both"/>
        <w:rPr>
          <w:rFonts w:ascii="Palatino Linotype" w:eastAsia="Calibri" w:hAnsi="Palatino Linotype" w:cs="Arial"/>
          <w:b/>
          <w:sz w:val="28"/>
          <w:lang w:val="es-MX" w:eastAsia="en-US"/>
        </w:rPr>
      </w:pPr>
      <w:r>
        <w:rPr>
          <w:rFonts w:ascii="Palatino Linotype" w:eastAsia="Calibri" w:hAnsi="Palatino Linotype" w:cs="Arial"/>
          <w:b/>
          <w:sz w:val="28"/>
          <w:lang w:val="es-MX" w:eastAsia="en-US"/>
        </w:rPr>
        <w:lastRenderedPageBreak/>
        <w:t xml:space="preserve">SEGUNDO. De los alcances del Recurso de Revisión. </w:t>
      </w:r>
    </w:p>
    <w:p w14:paraId="22E9D224" w14:textId="77777777" w:rsidR="00F17F51" w:rsidRDefault="00BB2045">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2F8265" w14:textId="77777777" w:rsidR="00F17F51" w:rsidRDefault="00F17F51">
      <w:pPr>
        <w:autoSpaceDE w:val="0"/>
        <w:autoSpaceDN w:val="0"/>
        <w:adjustRightInd w:val="0"/>
        <w:spacing w:line="360" w:lineRule="auto"/>
        <w:jc w:val="both"/>
        <w:rPr>
          <w:rFonts w:ascii="Palatino Linotype" w:eastAsia="Calibri" w:hAnsi="Palatino Linotype" w:cs="Arial"/>
          <w:lang w:val="es-MX" w:eastAsia="en-US"/>
        </w:rPr>
      </w:pPr>
    </w:p>
    <w:p w14:paraId="5CAA67CB" w14:textId="77777777" w:rsidR="00F17F51" w:rsidRDefault="00BB2045">
      <w:pPr>
        <w:autoSpaceDE w:val="0"/>
        <w:autoSpaceDN w:val="0"/>
        <w:adjustRightInd w:val="0"/>
        <w:spacing w:line="360" w:lineRule="auto"/>
        <w:jc w:val="both"/>
        <w:rPr>
          <w:rFonts w:ascii="Palatino Linotype" w:eastAsia="Calibri" w:hAnsi="Palatino Linotype" w:cs="Arial"/>
          <w:b/>
          <w:sz w:val="28"/>
          <w:lang w:val="es-MX" w:eastAsia="en-US"/>
        </w:rPr>
      </w:pPr>
      <w:r>
        <w:rPr>
          <w:rFonts w:ascii="Palatino Linotype" w:eastAsia="Calibri" w:hAnsi="Palatino Linotype" w:cs="Arial"/>
          <w:b/>
          <w:sz w:val="28"/>
          <w:lang w:val="es-MX" w:eastAsia="en-US"/>
        </w:rPr>
        <w:t xml:space="preserve">TERCERO. Del estudio de las causas de improcedencia. </w:t>
      </w:r>
    </w:p>
    <w:p w14:paraId="105CCC29" w14:textId="77777777" w:rsidR="00F17F51" w:rsidRDefault="00BB2045">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Fonts w:ascii="Palatino Linotype" w:eastAsia="Calibri" w:hAnsi="Palatino Linotype" w:cs="Arial"/>
          <w:vertAlign w:val="superscript"/>
          <w:lang w:val="es-MX" w:eastAsia="en-US"/>
        </w:rPr>
        <w:footnoteReference w:id="1"/>
      </w:r>
      <w:r>
        <w:rPr>
          <w:rFonts w:ascii="Palatino Linotype" w:eastAsia="Calibri" w:hAnsi="Palatino Linotype" w:cs="Arial"/>
          <w:lang w:val="es-MX" w:eastAsia="en-US"/>
        </w:rPr>
        <w:t>.</w:t>
      </w:r>
    </w:p>
    <w:p w14:paraId="53110C92" w14:textId="77777777" w:rsidR="00F17F51" w:rsidRDefault="00BB2045">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lastRenderedPageBreak/>
        <w:t>Por lo que una vez que se analizó el expediente en estudio se cae en la cuenta de que no se actualiza ninguna de las casuales a continuación transcritas:</w:t>
      </w:r>
    </w:p>
    <w:p w14:paraId="501C2869" w14:textId="77777777" w:rsidR="00F17F51" w:rsidRDefault="00F17F51">
      <w:pPr>
        <w:rPr>
          <w:lang w:val="es-MX"/>
        </w:rPr>
      </w:pPr>
    </w:p>
    <w:p w14:paraId="63472925"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191.</w:t>
      </w:r>
      <w:r>
        <w:rPr>
          <w:rFonts w:ascii="Palatino Linotype" w:hAnsi="Palatino Linotype" w:cs="Arial"/>
          <w:i/>
          <w:sz w:val="22"/>
          <w:szCs w:val="22"/>
        </w:rPr>
        <w:t xml:space="preserve"> El recurso será desechado por improcedente cuando:  </w:t>
      </w:r>
    </w:p>
    <w:p w14:paraId="3C026AF3"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 xml:space="preserve">I. Sea extemporáneo por haber transcurrido el plazo establecido en la presente Ley, a partir de la respuesta;  </w:t>
      </w:r>
    </w:p>
    <w:p w14:paraId="43CDC571"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 xml:space="preserve">II. Se esté tramitando ante el Poder Judicial de la Federación algún recurso o medio de defensa interpuesto por el recurrente;  </w:t>
      </w:r>
    </w:p>
    <w:p w14:paraId="481C5FBC"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 xml:space="preserve">III. No actualice alguno de los supuestos previstos en la presente Ley;  </w:t>
      </w:r>
    </w:p>
    <w:p w14:paraId="0391876B"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IV. No se haya desahogado la prevención en los términos establecidos en la presente Ley;</w:t>
      </w:r>
    </w:p>
    <w:p w14:paraId="0104B85E"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 xml:space="preserve">V. Se impugne la veracidad de la información proporcionada;  </w:t>
      </w:r>
    </w:p>
    <w:p w14:paraId="2D218CDF"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 xml:space="preserve">VI. Se trate de una consulta, o trámite en específico; y  </w:t>
      </w:r>
    </w:p>
    <w:p w14:paraId="7B260C9E" w14:textId="77777777" w:rsidR="00F17F51" w:rsidRDefault="00BB2045">
      <w:pPr>
        <w:autoSpaceDE w:val="0"/>
        <w:autoSpaceDN w:val="0"/>
        <w:adjustRightInd w:val="0"/>
        <w:ind w:left="708" w:right="850"/>
        <w:jc w:val="both"/>
        <w:rPr>
          <w:rFonts w:ascii="Palatino Linotype" w:hAnsi="Palatino Linotype" w:cs="Arial"/>
          <w:i/>
          <w:sz w:val="22"/>
          <w:szCs w:val="22"/>
        </w:rPr>
      </w:pPr>
      <w:r>
        <w:rPr>
          <w:rFonts w:ascii="Palatino Linotype" w:hAnsi="Palatino Linotype" w:cs="Arial"/>
          <w:i/>
          <w:sz w:val="22"/>
          <w:szCs w:val="22"/>
        </w:rPr>
        <w:t>VII. El recurrente amplíe su solicitud en el recurso de revisión, únicamente respecto de los nuevos contenidos.”</w:t>
      </w:r>
    </w:p>
    <w:p w14:paraId="7DBF0B48" w14:textId="77777777" w:rsidR="00F17F51" w:rsidRDefault="00F17F51">
      <w:pPr>
        <w:autoSpaceDE w:val="0"/>
        <w:autoSpaceDN w:val="0"/>
        <w:adjustRightInd w:val="0"/>
        <w:spacing w:line="360" w:lineRule="auto"/>
        <w:ind w:left="708" w:right="850"/>
        <w:jc w:val="both"/>
        <w:rPr>
          <w:rFonts w:ascii="Palatino Linotype" w:hAnsi="Palatino Linotype" w:cs="Arial"/>
          <w:i/>
        </w:rPr>
      </w:pPr>
    </w:p>
    <w:p w14:paraId="2520D7BF" w14:textId="77777777" w:rsidR="00F17F51" w:rsidRDefault="00BB2045">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8018756" w14:textId="77777777" w:rsidR="00F17F51" w:rsidRDefault="00BB2045">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6DB1DCFC" w14:textId="77777777" w:rsidR="00F17F51" w:rsidRDefault="00F17F51">
      <w:pPr>
        <w:autoSpaceDE w:val="0"/>
        <w:autoSpaceDN w:val="0"/>
        <w:adjustRightInd w:val="0"/>
        <w:spacing w:line="360" w:lineRule="auto"/>
        <w:jc w:val="both"/>
        <w:rPr>
          <w:rFonts w:ascii="Palatino Linotype" w:hAnsi="Palatino Linotype" w:cs="Arial"/>
        </w:rPr>
      </w:pPr>
    </w:p>
    <w:p w14:paraId="5B779B5E" w14:textId="77777777" w:rsidR="00F17F51" w:rsidRDefault="00BB2045">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 Del estudio y resolución del asunto.</w:t>
      </w:r>
      <w:r>
        <w:rPr>
          <w:rFonts w:ascii="Palatino Linotype" w:hAnsi="Palatino Linotype" w:cs="Arial"/>
          <w:sz w:val="28"/>
        </w:rPr>
        <w:t xml:space="preserve"> </w:t>
      </w:r>
    </w:p>
    <w:p w14:paraId="16904DAD" w14:textId="77777777" w:rsidR="00F17F51" w:rsidRDefault="00BB2045">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900A83C" w14:textId="77777777" w:rsidR="00F17F51" w:rsidRDefault="00F17F51">
      <w:pPr>
        <w:autoSpaceDE w:val="0"/>
        <w:autoSpaceDN w:val="0"/>
        <w:adjustRightInd w:val="0"/>
        <w:spacing w:line="360" w:lineRule="auto"/>
        <w:jc w:val="both"/>
        <w:rPr>
          <w:rFonts w:ascii="Palatino Linotype" w:eastAsia="Calibri" w:hAnsi="Palatino Linotype" w:cs="Arial"/>
          <w:lang w:val="es-MX" w:eastAsia="en-US"/>
        </w:rPr>
      </w:pPr>
    </w:p>
    <w:p w14:paraId="6942DD16" w14:textId="77777777" w:rsidR="00F17F51" w:rsidRDefault="00BB2045">
      <w:pPr>
        <w:spacing w:line="360" w:lineRule="auto"/>
        <w:ind w:right="141"/>
        <w:jc w:val="both"/>
        <w:rPr>
          <w:rFonts w:ascii="Palatino Linotype" w:eastAsia="Calibri" w:hAnsi="Palatino Linotype"/>
          <w:lang w:val="es-MX" w:eastAsia="es-MX"/>
        </w:rPr>
      </w:pPr>
      <w:r>
        <w:rPr>
          <w:rFonts w:ascii="Palatino Linotype" w:eastAsia="Calibri" w:hAnsi="Palatino Linotype"/>
          <w:lang w:val="es-MX" w:eastAsia="es-MX"/>
        </w:rPr>
        <w:t>En este sentido nuestro estudio versará en determinar si la información remitida mediante respuesta, colma el derecho de acceso a la información solicitado por la</w:t>
      </w:r>
      <w:r>
        <w:rPr>
          <w:rFonts w:ascii="Palatino Linotype" w:eastAsia="Calibri" w:hAnsi="Palatino Linotype"/>
          <w:b/>
          <w:lang w:val="es-MX" w:eastAsia="es-MX"/>
        </w:rPr>
        <w:t xml:space="preserve"> </w:t>
      </w:r>
      <w:r>
        <w:rPr>
          <w:rFonts w:ascii="Palatino Linotype" w:eastAsia="Calibri" w:hAnsi="Palatino Linotype"/>
          <w:lang w:val="es-MX" w:eastAsia="es-MX"/>
        </w:rPr>
        <w:t>parte</w:t>
      </w:r>
      <w:r>
        <w:rPr>
          <w:rFonts w:ascii="Palatino Linotype" w:eastAsia="Calibri" w:hAnsi="Palatino Linotype"/>
          <w:b/>
          <w:lang w:val="es-MX" w:eastAsia="es-MX"/>
        </w:rPr>
        <w:t xml:space="preserve"> Recurrente</w:t>
      </w:r>
      <w:r>
        <w:rPr>
          <w:rFonts w:ascii="Palatino Linotype" w:eastAsia="Calibri" w:hAnsi="Palatino Linotype"/>
          <w:lang w:val="es-MX" w:eastAsia="es-MX"/>
        </w:rPr>
        <w:t>, para ello analizaremos lo solicitado y la información proporcionada.</w:t>
      </w:r>
    </w:p>
    <w:p w14:paraId="45288649" w14:textId="77777777" w:rsidR="00F17F51" w:rsidRDefault="00F17F51">
      <w:pPr>
        <w:spacing w:line="360" w:lineRule="auto"/>
        <w:ind w:right="141"/>
        <w:jc w:val="both"/>
        <w:rPr>
          <w:rFonts w:ascii="Palatino Linotype" w:eastAsia="Calibri" w:hAnsi="Palatino Linotype"/>
          <w:lang w:val="es-MX" w:eastAsia="es-MX"/>
        </w:rPr>
      </w:pPr>
    </w:p>
    <w:p w14:paraId="3EB46A92" w14:textId="77777777" w:rsidR="00F17F51" w:rsidRDefault="00BB2045">
      <w:pPr>
        <w:spacing w:line="360" w:lineRule="auto"/>
        <w:ind w:right="141"/>
        <w:jc w:val="both"/>
        <w:rPr>
          <w:rFonts w:ascii="Palatino Linotype" w:eastAsia="Calibri" w:hAnsi="Palatino Linotype"/>
          <w:b/>
          <w:szCs w:val="22"/>
          <w:lang w:val="es-MX" w:eastAsia="es-MX"/>
        </w:rPr>
      </w:pPr>
      <w:r>
        <w:rPr>
          <w:rFonts w:ascii="Palatino Linotype" w:eastAsia="Calibri" w:hAnsi="Palatino Linotype"/>
          <w:b/>
          <w:szCs w:val="22"/>
          <w:lang w:val="es-MX" w:eastAsia="es-MX"/>
        </w:rPr>
        <w:t xml:space="preserve">REQUERIMIENTOS SOLICITADOS: </w:t>
      </w:r>
    </w:p>
    <w:p w14:paraId="2A694AE4" w14:textId="77777777" w:rsidR="00F17F51" w:rsidRDefault="00BB2045">
      <w:pPr>
        <w:numPr>
          <w:ilvl w:val="0"/>
          <w:numId w:val="2"/>
        </w:numPr>
        <w:spacing w:line="360" w:lineRule="auto"/>
        <w:ind w:right="49"/>
        <w:jc w:val="both"/>
        <w:rPr>
          <w:rFonts w:ascii="Palatino Linotype" w:eastAsia="Calibri" w:hAnsi="Palatino Linotype"/>
          <w:lang w:val="es-MX" w:eastAsia="es-MX"/>
        </w:rPr>
      </w:pPr>
      <w:r>
        <w:rPr>
          <w:rFonts w:ascii="Palatino Linotype" w:eastAsia="Calibri" w:hAnsi="Palatino Linotype"/>
          <w:lang w:val="es-MX" w:eastAsia="es-MX"/>
        </w:rPr>
        <w:t xml:space="preserve"> El contrato del prestador del servicio del sistema que utilizan en su área comercial para fines recaudatorios. </w:t>
      </w:r>
    </w:p>
    <w:p w14:paraId="246ADD3A" w14:textId="77777777" w:rsidR="00F17F51" w:rsidRDefault="00BB2045">
      <w:pPr>
        <w:spacing w:line="360" w:lineRule="auto"/>
        <w:ind w:right="49"/>
        <w:jc w:val="both"/>
        <w:rPr>
          <w:rFonts w:ascii="Palatino Linotype" w:hAnsi="Palatino Linotype" w:cs="Arial"/>
        </w:rPr>
      </w:pPr>
      <w:r>
        <w:rPr>
          <w:rFonts w:ascii="Palatino Linotype" w:eastAsia="Calibri" w:hAnsi="Palatino Linotype"/>
          <w:lang w:val="es-MX" w:eastAsia="es-MX"/>
        </w:rPr>
        <w:lastRenderedPageBreak/>
        <w:t xml:space="preserve">Atento a la solicitud de información </w:t>
      </w:r>
      <w:r>
        <w:rPr>
          <w:rFonts w:ascii="Palatino Linotype" w:eastAsia="Calibri" w:hAnsi="Palatino Linotype"/>
          <w:b/>
          <w:lang w:val="es-MX" w:eastAsia="es-MX"/>
        </w:rPr>
        <w:t>El Sujeto Obligado</w:t>
      </w:r>
      <w:r>
        <w:rPr>
          <w:rFonts w:ascii="Palatino Linotype" w:eastAsia="Calibri" w:hAnsi="Palatino Linotype"/>
          <w:lang w:val="es-MX" w:eastAsia="es-MX"/>
        </w:rPr>
        <w:t xml:space="preserve">, emitió su respuesta en donde </w:t>
      </w:r>
      <w:r>
        <w:rPr>
          <w:rFonts w:ascii="Palatino Linotype" w:hAnsi="Palatino Linotype" w:cs="Arial"/>
        </w:rPr>
        <w:t>se advierte lo siguiente:</w:t>
      </w:r>
    </w:p>
    <w:p w14:paraId="32B5D017" w14:textId="77777777" w:rsidR="00F17F51" w:rsidRDefault="00F17F51">
      <w:pPr>
        <w:rPr>
          <w:lang w:val="es-MX"/>
        </w:rPr>
      </w:pPr>
    </w:p>
    <w:tbl>
      <w:tblPr>
        <w:tblStyle w:val="Tablaconcuadrcula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0"/>
        <w:gridCol w:w="4812"/>
        <w:gridCol w:w="1879"/>
      </w:tblGrid>
      <w:tr w:rsidR="00F17F51" w14:paraId="269E271B" w14:textId="77777777">
        <w:trPr>
          <w:tblHeader/>
        </w:trPr>
        <w:tc>
          <w:tcPr>
            <w:tcW w:w="240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3FCC9EA" w14:textId="77777777" w:rsidR="00F17F51" w:rsidRDefault="00BB2045">
            <w:pPr>
              <w:ind w:right="49"/>
              <w:jc w:val="center"/>
              <w:rPr>
                <w:rFonts w:ascii="Palatino Linotype" w:hAnsi="Palatino Linotype" w:cs="Arial"/>
                <w:b/>
              </w:rPr>
            </w:pPr>
            <w:r>
              <w:rPr>
                <w:rFonts w:ascii="Palatino Linotype" w:hAnsi="Palatino Linotype" w:cs="Arial"/>
                <w:b/>
              </w:rPr>
              <w:t>Solicitud de información</w:t>
            </w:r>
          </w:p>
        </w:tc>
        <w:tc>
          <w:tcPr>
            <w:tcW w:w="481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3DADB65" w14:textId="77777777" w:rsidR="00F17F51" w:rsidRDefault="00BB2045">
            <w:pPr>
              <w:ind w:right="49"/>
              <w:jc w:val="center"/>
              <w:rPr>
                <w:rFonts w:ascii="Palatino Linotype" w:hAnsi="Palatino Linotype" w:cs="Arial"/>
                <w:b/>
              </w:rPr>
            </w:pPr>
            <w:r>
              <w:rPr>
                <w:rFonts w:ascii="Palatino Linotype" w:hAnsi="Palatino Linotype" w:cs="Arial"/>
                <w:b/>
              </w:rPr>
              <w:t>Respuesta</w:t>
            </w:r>
          </w:p>
        </w:tc>
        <w:tc>
          <w:tcPr>
            <w:tcW w:w="187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E1F6CCF" w14:textId="77777777" w:rsidR="00F17F51" w:rsidRDefault="00BB2045">
            <w:pPr>
              <w:ind w:right="49"/>
              <w:jc w:val="center"/>
              <w:rPr>
                <w:rFonts w:ascii="Palatino Linotype" w:hAnsi="Palatino Linotype" w:cs="Arial"/>
                <w:b/>
              </w:rPr>
            </w:pPr>
            <w:r>
              <w:rPr>
                <w:rFonts w:ascii="Palatino Linotype" w:hAnsi="Palatino Linotype" w:cs="Arial"/>
                <w:b/>
              </w:rPr>
              <w:t>Cumplimiento</w:t>
            </w:r>
          </w:p>
        </w:tc>
      </w:tr>
      <w:tr w:rsidR="00F17F51" w14:paraId="537AA517" w14:textId="77777777">
        <w:tc>
          <w:tcPr>
            <w:tcW w:w="2400" w:type="dxa"/>
            <w:tcBorders>
              <w:top w:val="double" w:sz="4" w:space="0" w:color="auto"/>
              <w:left w:val="double" w:sz="4" w:space="0" w:color="auto"/>
              <w:bottom w:val="double" w:sz="4" w:space="0" w:color="auto"/>
              <w:right w:val="double" w:sz="4" w:space="0" w:color="auto"/>
            </w:tcBorders>
            <w:vAlign w:val="center"/>
          </w:tcPr>
          <w:p w14:paraId="1C4EEB7C" w14:textId="77777777" w:rsidR="00F17F51" w:rsidRDefault="00BB2045">
            <w:pPr>
              <w:jc w:val="both"/>
              <w:rPr>
                <w:rFonts w:ascii="Palatino Linotype" w:eastAsia="Calibri" w:hAnsi="Palatino Linotype"/>
                <w:sz w:val="20"/>
                <w:szCs w:val="22"/>
                <w:lang w:val="es-MX" w:eastAsia="es-MX"/>
              </w:rPr>
            </w:pPr>
            <w:bookmarkStart w:id="0" w:name="_Hlk153292669"/>
            <w:bookmarkStart w:id="1" w:name="_Hlk147337637"/>
            <w:r>
              <w:rPr>
                <w:rFonts w:ascii="Palatino Linotype" w:eastAsia="Calibri" w:hAnsi="Palatino Linotype"/>
                <w:sz w:val="20"/>
                <w:szCs w:val="22"/>
                <w:lang w:val="es-MX" w:eastAsia="es-MX"/>
              </w:rPr>
              <w:t>El contrato del prestador del servicio del sistema que utilizan en su área comercial para fines recaudatorios.</w:t>
            </w:r>
            <w:bookmarkEnd w:id="0"/>
          </w:p>
        </w:tc>
        <w:tc>
          <w:tcPr>
            <w:tcW w:w="4812" w:type="dxa"/>
            <w:tcBorders>
              <w:top w:val="double" w:sz="4" w:space="0" w:color="auto"/>
              <w:left w:val="double" w:sz="4" w:space="0" w:color="auto"/>
              <w:bottom w:val="double" w:sz="4" w:space="0" w:color="auto"/>
              <w:right w:val="double" w:sz="4" w:space="0" w:color="auto"/>
            </w:tcBorders>
            <w:vAlign w:val="center"/>
          </w:tcPr>
          <w:p w14:paraId="1AACC220" w14:textId="77777777" w:rsidR="00F17F51" w:rsidRDefault="00BB2045">
            <w:pPr>
              <w:spacing w:line="276" w:lineRule="auto"/>
              <w:ind w:right="49"/>
              <w:jc w:val="both"/>
              <w:rPr>
                <w:rFonts w:ascii="Palatino Linotype" w:hAnsi="Palatino Linotype" w:cs="Arial"/>
                <w:sz w:val="20"/>
              </w:rPr>
            </w:pPr>
            <w:bookmarkStart w:id="2" w:name="_Hlk153292713"/>
            <w:r>
              <w:rPr>
                <w:rFonts w:ascii="Palatino Linotype" w:hAnsi="Palatino Linotype" w:cs="Arial"/>
                <w:sz w:val="20"/>
              </w:rPr>
              <w:t xml:space="preserve">Mediante el oficio número DAF/0564/2023, firmado por </w:t>
            </w:r>
            <w:bookmarkStart w:id="3" w:name="_Hlk153293634"/>
            <w:r>
              <w:rPr>
                <w:rFonts w:ascii="Palatino Linotype" w:hAnsi="Palatino Linotype" w:cs="Arial"/>
                <w:sz w:val="20"/>
              </w:rPr>
              <w:t>la Directora de Administración y Finanzas de OPERAGUA IZCALLI O.P.D.M., informó que anexó el contrato en versión pública del sistema que se utiliza en el área comercial para fine recaudatorios, la cual, fue aprobada durante la Décimo Cuarta Sesión del Comité de Transparencia del Sujeto Obligado.</w:t>
            </w:r>
          </w:p>
          <w:bookmarkEnd w:id="3"/>
          <w:p w14:paraId="70A00370" w14:textId="77777777" w:rsidR="00F17F51" w:rsidRDefault="00F17F51">
            <w:pPr>
              <w:spacing w:line="276" w:lineRule="auto"/>
              <w:ind w:right="49"/>
              <w:jc w:val="both"/>
              <w:rPr>
                <w:rFonts w:ascii="Palatino Linotype" w:hAnsi="Palatino Linotype" w:cs="Arial"/>
                <w:sz w:val="20"/>
              </w:rPr>
            </w:pPr>
          </w:p>
          <w:p w14:paraId="45B0DA45" w14:textId="77777777" w:rsidR="00F17F51" w:rsidRDefault="00BB2045">
            <w:pPr>
              <w:spacing w:line="276" w:lineRule="auto"/>
              <w:ind w:right="49"/>
              <w:jc w:val="both"/>
              <w:rPr>
                <w:rFonts w:ascii="Palatino Linotype" w:hAnsi="Palatino Linotype" w:cs="Arial"/>
                <w:sz w:val="20"/>
              </w:rPr>
            </w:pPr>
            <w:r>
              <w:rPr>
                <w:rFonts w:ascii="Palatino Linotype" w:hAnsi="Palatino Linotype" w:cs="Arial"/>
                <w:sz w:val="20"/>
              </w:rPr>
              <w:t xml:space="preserve">Adicionalmente, remitió el contrato e implementación del sistema premia (aplicativo ejecutable), celebrado con la empresa </w:t>
            </w:r>
            <w:r>
              <w:rPr>
                <w:rFonts w:ascii="Palatino Linotype" w:hAnsi="Palatino Linotype" w:cs="Arial"/>
                <w:b/>
                <w:bCs/>
                <w:sz w:val="20"/>
              </w:rPr>
              <w:t>NYOTA SERVICIOS S.A. DE C.V.</w:t>
            </w:r>
            <w:r>
              <w:rPr>
                <w:rFonts w:ascii="Palatino Linotype" w:hAnsi="Palatino Linotype" w:cs="Arial"/>
                <w:sz w:val="20"/>
              </w:rPr>
              <w:t xml:space="preserve">, formalizado el día siete de marzo de dos mil veintitrés. </w:t>
            </w:r>
            <w:bookmarkEnd w:id="2"/>
          </w:p>
        </w:tc>
        <w:tc>
          <w:tcPr>
            <w:tcW w:w="1879" w:type="dxa"/>
            <w:tcBorders>
              <w:top w:val="double" w:sz="4" w:space="0" w:color="auto"/>
              <w:left w:val="double" w:sz="4" w:space="0" w:color="auto"/>
              <w:bottom w:val="double" w:sz="4" w:space="0" w:color="auto"/>
              <w:right w:val="double" w:sz="4" w:space="0" w:color="auto"/>
            </w:tcBorders>
            <w:vAlign w:val="center"/>
          </w:tcPr>
          <w:p w14:paraId="2CB26933" w14:textId="77777777" w:rsidR="00F17F51" w:rsidRDefault="00BB2045">
            <w:pPr>
              <w:spacing w:line="360" w:lineRule="auto"/>
              <w:ind w:right="49"/>
              <w:jc w:val="center"/>
              <w:rPr>
                <w:rFonts w:ascii="Palatino Linotype" w:hAnsi="Palatino Linotype" w:cs="Arial"/>
                <w:b/>
              </w:rPr>
            </w:pPr>
            <w:r>
              <w:rPr>
                <w:rFonts w:ascii="Palatino Linotype" w:hAnsi="Palatino Linotype" w:cs="Arial"/>
                <w:b/>
              </w:rPr>
              <w:t>Parcialmente</w:t>
            </w:r>
          </w:p>
        </w:tc>
      </w:tr>
      <w:bookmarkEnd w:id="1"/>
    </w:tbl>
    <w:p w14:paraId="231C3BD9" w14:textId="77777777" w:rsidR="00F17F51" w:rsidRDefault="00F17F51">
      <w:pPr>
        <w:shd w:val="clear" w:color="auto" w:fill="FFFFFF"/>
        <w:spacing w:line="360" w:lineRule="auto"/>
        <w:jc w:val="both"/>
        <w:rPr>
          <w:rFonts w:ascii="Palatino Linotype" w:hAnsi="Palatino Linotype" w:cs="Arial"/>
          <w:sz w:val="16"/>
        </w:rPr>
      </w:pPr>
    </w:p>
    <w:p w14:paraId="0D30BB2B" w14:textId="77777777" w:rsidR="00F17F51" w:rsidRDefault="00BB2045">
      <w:pPr>
        <w:shd w:val="clear" w:color="auto" w:fill="FFFFFF"/>
        <w:spacing w:line="360" w:lineRule="auto"/>
        <w:jc w:val="both"/>
        <w:rPr>
          <w:rFonts w:ascii="Palatino Linotype" w:hAnsi="Palatino Linotype"/>
          <w:color w:val="222222"/>
        </w:rPr>
      </w:pPr>
      <w:r>
        <w:rPr>
          <w:rFonts w:ascii="Palatino Linotype" w:hAnsi="Palatino Linotype"/>
          <w:color w:val="222222"/>
        </w:rPr>
        <w:t>En este sentido, debe dejarse claro que, al haber existido un pronunciamiento por parte del </w:t>
      </w:r>
      <w:r>
        <w:rPr>
          <w:rFonts w:ascii="Palatino Linotype" w:hAnsi="Palatino Linotype"/>
          <w:b/>
          <w:bCs/>
          <w:color w:val="222222"/>
        </w:rPr>
        <w:t>Sujeto Obligado</w:t>
      </w:r>
      <w:r>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2189111A" w14:textId="77777777" w:rsidR="00F17F51" w:rsidRDefault="00F17F51">
      <w:pPr>
        <w:rPr>
          <w:lang w:val="es-MX"/>
        </w:rPr>
      </w:pPr>
    </w:p>
    <w:p w14:paraId="2261D9EE" w14:textId="77777777" w:rsidR="00F17F51" w:rsidRDefault="00BB2045">
      <w:pPr>
        <w:shd w:val="clear" w:color="auto" w:fill="FFFFFF"/>
        <w:spacing w:line="221" w:lineRule="atLeast"/>
        <w:ind w:left="567" w:right="616"/>
        <w:jc w:val="both"/>
        <w:rPr>
          <w:color w:val="222222"/>
          <w:sz w:val="22"/>
        </w:rPr>
      </w:pPr>
      <w:r>
        <w:rPr>
          <w:rFonts w:ascii="Palatino Linotype" w:hAnsi="Palatino Linotype"/>
          <w:i/>
          <w:iCs/>
          <w:color w:val="222222"/>
          <w:sz w:val="22"/>
        </w:rPr>
        <w:t>“</w:t>
      </w:r>
      <w:r>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iCs/>
          <w:color w:val="222222"/>
          <w:sz w:val="22"/>
        </w:rPr>
        <w:t xml:space="preserve"> El Instituto Federal de Acceso a la Información y Protección de Datos es un órgano de la Administración Pública Federal con </w:t>
      </w:r>
      <w:r>
        <w:rPr>
          <w:rFonts w:ascii="Palatino Linotype" w:hAnsi="Palatino Linotype"/>
          <w:i/>
          <w:iCs/>
          <w:color w:val="222222"/>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F23DE1" w14:textId="77777777" w:rsidR="00F17F51" w:rsidRDefault="00F17F51">
      <w:pPr>
        <w:spacing w:line="360" w:lineRule="auto"/>
        <w:ind w:right="141"/>
        <w:jc w:val="both"/>
        <w:rPr>
          <w:rFonts w:ascii="Palatino Linotype" w:eastAsia="Calibri" w:hAnsi="Palatino Linotype" w:cs="Arial"/>
          <w:bCs/>
          <w:lang w:val="es-MX" w:eastAsia="en-US"/>
        </w:rPr>
      </w:pPr>
    </w:p>
    <w:p w14:paraId="4E3C9FFA" w14:textId="77777777" w:rsidR="00F17F51" w:rsidRDefault="00BB2045">
      <w:pPr>
        <w:spacing w:line="360" w:lineRule="auto"/>
        <w:ind w:right="141"/>
        <w:jc w:val="both"/>
        <w:rPr>
          <w:rFonts w:ascii="Palatino Linotype" w:eastAsia="Calibri" w:hAnsi="Palatino Linotype" w:cs="Arial"/>
          <w:bCs/>
          <w:i/>
          <w:sz w:val="22"/>
          <w:lang w:val="es-MX" w:eastAsia="en-US"/>
        </w:rPr>
      </w:pPr>
      <w:r>
        <w:rPr>
          <w:rFonts w:ascii="Palatino Linotype" w:eastAsia="Calibri" w:hAnsi="Palatino Linotype" w:cs="Arial"/>
          <w:bCs/>
          <w:lang w:val="es-MX" w:eastAsia="en-US"/>
        </w:rPr>
        <w:t xml:space="preserve">Es así que derivado de la respuesta emitida por </w:t>
      </w:r>
      <w:r>
        <w:rPr>
          <w:rFonts w:ascii="Palatino Linotype" w:eastAsia="Calibri" w:hAnsi="Palatino Linotype" w:cs="Arial"/>
          <w:b/>
          <w:bCs/>
          <w:lang w:val="es-MX" w:eastAsia="en-US"/>
        </w:rPr>
        <w:t>El Sujeto Obligado</w:t>
      </w:r>
      <w:r>
        <w:rPr>
          <w:rFonts w:ascii="Palatino Linotype" w:eastAsia="Calibri" w:hAnsi="Palatino Linotype" w:cs="Arial"/>
          <w:bCs/>
          <w:lang w:val="es-MX" w:eastAsia="en-US"/>
        </w:rPr>
        <w:t xml:space="preserve">, </w:t>
      </w:r>
      <w:r>
        <w:rPr>
          <w:rFonts w:ascii="Palatino Linotype" w:eastAsia="Calibri" w:hAnsi="Palatino Linotype" w:cs="Arial"/>
          <w:b/>
          <w:bCs/>
          <w:lang w:val="es-MX" w:eastAsia="en-US"/>
        </w:rPr>
        <w:t>El Recurrente</w:t>
      </w:r>
      <w:r>
        <w:rPr>
          <w:rFonts w:ascii="Palatino Linotype" w:eastAsia="Calibri" w:hAnsi="Palatino Linotype" w:cs="Arial"/>
          <w:bCs/>
          <w:lang w:val="es-MX" w:eastAsia="en-US"/>
        </w:rPr>
        <w:t xml:space="preserve">, interpuso el presente recurso de revisión, señalando sustancialmente como sus razones o motivos de inconformidad, lo siguiente: </w:t>
      </w:r>
      <w:r>
        <w:rPr>
          <w:rFonts w:ascii="Palatino Linotype" w:eastAsia="Calibri" w:hAnsi="Palatino Linotype" w:cs="Arial"/>
          <w:bCs/>
          <w:i/>
          <w:sz w:val="22"/>
          <w:lang w:val="es-MX" w:eastAsia="en-US"/>
        </w:rPr>
        <w:t>“Falta hoja 10 y 11 del contrato, falta acuerdo de transparencia por la clasificación de la clave de elector” (Sic).</w:t>
      </w:r>
    </w:p>
    <w:p w14:paraId="06D21F5A" w14:textId="77777777" w:rsidR="00F17F51" w:rsidRDefault="00F17F51">
      <w:pPr>
        <w:spacing w:line="360" w:lineRule="auto"/>
        <w:ind w:right="141"/>
        <w:jc w:val="both"/>
        <w:rPr>
          <w:rFonts w:ascii="Palatino Linotype" w:eastAsia="Calibri" w:hAnsi="Palatino Linotype" w:cs="Arial"/>
          <w:bCs/>
          <w:i/>
          <w:sz w:val="22"/>
          <w:lang w:val="es-MX" w:eastAsia="en-US"/>
        </w:rPr>
      </w:pPr>
    </w:p>
    <w:p w14:paraId="460977E4" w14:textId="77777777" w:rsidR="00F17F51" w:rsidRDefault="00BB2045">
      <w:pPr>
        <w:tabs>
          <w:tab w:val="left" w:pos="709"/>
        </w:tabs>
        <w:spacing w:line="360" w:lineRule="auto"/>
        <w:jc w:val="both"/>
        <w:rPr>
          <w:rFonts w:ascii="Palatino Linotype" w:eastAsia="Calibri" w:hAnsi="Palatino Linotype" w:cs="Arial"/>
          <w:lang w:val="es-MX" w:eastAsia="en-US"/>
        </w:rPr>
      </w:pPr>
      <w:r>
        <w:rPr>
          <w:rFonts w:ascii="Palatino Linotype" w:eastAsia="Calibri" w:hAnsi="Palatino Linotype" w:cs="Arial"/>
          <w:lang w:eastAsia="en-US"/>
        </w:rPr>
        <w:t xml:space="preserve">Por tal motivo, es de </w:t>
      </w:r>
      <w:r>
        <w:rPr>
          <w:rFonts w:ascii="Palatino Linotype" w:eastAsia="Calibri" w:hAnsi="Palatino Linotype" w:cs="Arial"/>
          <w:lang w:val="es-MX" w:eastAsia="en-US"/>
        </w:rPr>
        <w:t>señalar que el artículo 4, párrafo segundo de la Ley de Transparencia y Acceso a la Información Pública del Estado de México y Municipios, dispone:</w:t>
      </w:r>
    </w:p>
    <w:p w14:paraId="74494881" w14:textId="77777777" w:rsidR="00F17F51" w:rsidRDefault="00F17F51">
      <w:pPr>
        <w:rPr>
          <w:rFonts w:ascii="Calibri" w:eastAsia="Calibri" w:hAnsi="Calibri"/>
          <w:sz w:val="22"/>
          <w:szCs w:val="22"/>
          <w:lang w:val="es-MX" w:eastAsia="en-US"/>
        </w:rPr>
      </w:pPr>
    </w:p>
    <w:p w14:paraId="3A6F8588" w14:textId="77777777" w:rsidR="00F17F51" w:rsidRDefault="00BB2045">
      <w:pPr>
        <w:spacing w:line="256" w:lineRule="auto"/>
        <w:ind w:left="851" w:right="901"/>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Pr>
          <w:rFonts w:ascii="Palatino Linotype" w:eastAsia="Calibri" w:hAnsi="Palatino Linotype" w:cs="Arial"/>
          <w:b/>
          <w:i/>
          <w:sz w:val="22"/>
          <w:szCs w:val="22"/>
          <w:lang w:val="es-MX" w:eastAsia="en-US"/>
        </w:rPr>
        <w:t xml:space="preserve">Artículo 4. </w:t>
      </w:r>
      <w:r>
        <w:rPr>
          <w:rFonts w:ascii="Palatino Linotype" w:eastAsia="Calibri" w:hAnsi="Palatino Linotype" w:cs="Arial"/>
          <w:i/>
          <w:sz w:val="22"/>
          <w:szCs w:val="22"/>
          <w:lang w:val="es-MX" w:eastAsia="en-US"/>
        </w:rPr>
        <w:t xml:space="preserve">… </w:t>
      </w:r>
    </w:p>
    <w:p w14:paraId="6362983B" w14:textId="77777777" w:rsidR="00F17F51" w:rsidRDefault="00BB2045">
      <w:pPr>
        <w:spacing w:line="256" w:lineRule="auto"/>
        <w:ind w:left="851" w:right="901"/>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7709DE" w14:textId="77777777" w:rsidR="00F17F51" w:rsidRDefault="00F17F51">
      <w:pPr>
        <w:tabs>
          <w:tab w:val="left" w:pos="709"/>
        </w:tabs>
        <w:spacing w:line="360" w:lineRule="auto"/>
        <w:jc w:val="both"/>
        <w:rPr>
          <w:rFonts w:ascii="Palatino Linotype" w:eastAsia="Calibri" w:hAnsi="Palatino Linotype" w:cs="Arial"/>
          <w:sz w:val="22"/>
          <w:szCs w:val="22"/>
          <w:lang w:eastAsia="en-US"/>
        </w:rPr>
      </w:pPr>
    </w:p>
    <w:p w14:paraId="69C25BD8" w14:textId="77777777" w:rsidR="00F17F51" w:rsidRDefault="00BB2045">
      <w:pPr>
        <w:tabs>
          <w:tab w:val="left" w:pos="709"/>
        </w:tabs>
        <w:spacing w:line="360" w:lineRule="auto"/>
        <w:jc w:val="both"/>
        <w:rPr>
          <w:rFonts w:ascii="Palatino Linotype" w:eastAsia="Calibri" w:hAnsi="Palatino Linotype" w:cs="Arial"/>
          <w:lang w:eastAsia="en-US"/>
        </w:rPr>
      </w:pPr>
      <w:r>
        <w:rPr>
          <w:rFonts w:ascii="Palatino Linotype" w:eastAsia="Calibri" w:hAnsi="Palatino Linotype" w:cs="Arial"/>
          <w:lang w:eastAsia="en-US"/>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04A5146" w14:textId="77777777" w:rsidR="00F17F51" w:rsidRDefault="00F17F51">
      <w:pPr>
        <w:tabs>
          <w:tab w:val="left" w:pos="709"/>
        </w:tabs>
        <w:spacing w:line="360" w:lineRule="auto"/>
        <w:jc w:val="both"/>
        <w:rPr>
          <w:rFonts w:ascii="Palatino Linotype" w:eastAsia="Calibri" w:hAnsi="Palatino Linotype" w:cs="Arial"/>
          <w:lang w:val="es-MX" w:eastAsia="en-US"/>
        </w:rPr>
      </w:pPr>
    </w:p>
    <w:p w14:paraId="1E1CC22C" w14:textId="77777777" w:rsidR="00F17F51" w:rsidRDefault="00BB2045">
      <w:pPr>
        <w:tabs>
          <w:tab w:val="left" w:pos="709"/>
        </w:tabs>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051E05C" w14:textId="77777777" w:rsidR="00F17F51" w:rsidRDefault="00F17F51">
      <w:pPr>
        <w:tabs>
          <w:tab w:val="left" w:pos="709"/>
        </w:tabs>
        <w:spacing w:line="360" w:lineRule="auto"/>
        <w:jc w:val="both"/>
        <w:rPr>
          <w:rFonts w:ascii="Palatino Linotype" w:eastAsia="Calibri" w:hAnsi="Palatino Linotype" w:cs="Arial"/>
          <w:lang w:val="es-MX" w:eastAsia="en-US"/>
        </w:rPr>
      </w:pPr>
    </w:p>
    <w:p w14:paraId="7019031C" w14:textId="77777777" w:rsidR="00F17F51" w:rsidRDefault="00BB2045">
      <w:pPr>
        <w:spacing w:after="160" w:line="256" w:lineRule="auto"/>
        <w:ind w:left="851" w:right="901"/>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Pr>
          <w:rFonts w:ascii="Palatino Linotype" w:eastAsia="Calibri" w:hAnsi="Palatino Linotype" w:cs="Arial"/>
          <w:b/>
          <w:i/>
          <w:sz w:val="22"/>
          <w:szCs w:val="22"/>
          <w:lang w:val="es-MX" w:eastAsia="en-US"/>
        </w:rPr>
        <w:t>Artículo 12.</w:t>
      </w:r>
      <w:r>
        <w:rPr>
          <w:rFonts w:ascii="Palatino Linotype" w:eastAsia="Calibr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0A993346" w14:textId="77777777" w:rsidR="00F17F51" w:rsidRDefault="00BB2045">
      <w:pPr>
        <w:spacing w:line="256" w:lineRule="auto"/>
        <w:ind w:left="851" w:right="901"/>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50BFB3" w14:textId="77777777" w:rsidR="00F17F51" w:rsidRDefault="00F17F51">
      <w:pPr>
        <w:spacing w:line="256" w:lineRule="auto"/>
        <w:ind w:left="851" w:right="901"/>
        <w:jc w:val="both"/>
        <w:rPr>
          <w:rFonts w:ascii="Palatino Linotype" w:eastAsia="Calibri" w:hAnsi="Palatino Linotype" w:cs="Arial"/>
          <w:i/>
          <w:sz w:val="22"/>
          <w:szCs w:val="22"/>
          <w:lang w:val="es-MX" w:eastAsia="en-US"/>
        </w:rPr>
      </w:pPr>
    </w:p>
    <w:p w14:paraId="5ED70380" w14:textId="77777777" w:rsidR="00F17F51" w:rsidRDefault="00BB2045">
      <w:pPr>
        <w:tabs>
          <w:tab w:val="left" w:pos="709"/>
        </w:tabs>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Pr>
          <w:rFonts w:ascii="Palatino Linotype" w:eastAsia="Calibri" w:hAnsi="Palatino Linotype" w:cs="Arial"/>
          <w:lang w:val="es-MX" w:eastAsia="en-US"/>
        </w:rPr>
        <w:lastRenderedPageBreak/>
        <w:t>disposición de cualquier persona, lo que implica que es deber de los Sujetos Obligados, garantizar el derecho de acceso a la información pública.</w:t>
      </w:r>
    </w:p>
    <w:p w14:paraId="79AE3EA8" w14:textId="77777777" w:rsidR="00F17F51" w:rsidRDefault="00F17F51">
      <w:pPr>
        <w:tabs>
          <w:tab w:val="left" w:pos="709"/>
        </w:tabs>
        <w:spacing w:line="360" w:lineRule="auto"/>
        <w:jc w:val="both"/>
        <w:rPr>
          <w:rFonts w:ascii="Palatino Linotype" w:eastAsia="Calibri" w:hAnsi="Palatino Linotype" w:cs="Arial"/>
          <w:lang w:val="es-MX" w:eastAsia="en-US"/>
        </w:rPr>
      </w:pPr>
    </w:p>
    <w:p w14:paraId="2CA6A838" w14:textId="77777777" w:rsidR="00F17F51" w:rsidRDefault="00BB2045">
      <w:pPr>
        <w:tabs>
          <w:tab w:val="left" w:pos="709"/>
        </w:tabs>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Pr>
          <w:rFonts w:ascii="Palatino Linotype" w:eastAsia="Calibr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Pr>
          <w:rFonts w:ascii="Palatino Linotype" w:eastAsia="Calibr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090497C" w14:textId="77777777" w:rsidR="00F17F51" w:rsidRDefault="00F17F51">
      <w:pPr>
        <w:rPr>
          <w:rFonts w:eastAsia="Calibri"/>
          <w:lang w:val="es-MX" w:eastAsia="en-US"/>
        </w:rPr>
      </w:pPr>
    </w:p>
    <w:p w14:paraId="0A5FC50F" w14:textId="77777777" w:rsidR="00F17F51" w:rsidRDefault="00BB2045">
      <w:pPr>
        <w:ind w:left="851" w:right="901"/>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Pr>
          <w:rFonts w:ascii="Palatino Linotype" w:eastAsia="Calibri" w:hAnsi="Palatino Linotype" w:cs="Arial"/>
          <w:b/>
          <w:i/>
          <w:sz w:val="22"/>
          <w:szCs w:val="22"/>
          <w:lang w:val="es-MX" w:eastAsia="en-US"/>
        </w:rPr>
        <w:t xml:space="preserve">Artículo 3. </w:t>
      </w:r>
      <w:r>
        <w:rPr>
          <w:rFonts w:ascii="Palatino Linotype" w:eastAsia="Calibri" w:hAnsi="Palatino Linotype" w:cs="Arial"/>
          <w:i/>
          <w:sz w:val="22"/>
          <w:szCs w:val="22"/>
          <w:lang w:val="es-MX" w:eastAsia="en-US"/>
        </w:rPr>
        <w:t>Para los efectos de la presente Ley se entenderá por:</w:t>
      </w:r>
    </w:p>
    <w:p w14:paraId="17178DF8" w14:textId="77777777" w:rsidR="00F17F51" w:rsidRDefault="00BB2045">
      <w:pPr>
        <w:ind w:left="851" w:right="85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14:paraId="7DAE1B70" w14:textId="77777777" w:rsidR="00F17F51" w:rsidRDefault="00BB2045">
      <w:pPr>
        <w:ind w:left="851" w:right="901"/>
        <w:jc w:val="both"/>
        <w:rPr>
          <w:rFonts w:ascii="Palatino Linotype" w:eastAsia="Calibri" w:hAnsi="Palatino Linotype" w:cs="Arial"/>
          <w:i/>
          <w:sz w:val="22"/>
          <w:szCs w:val="22"/>
          <w:lang w:val="es-MX" w:eastAsia="en-US"/>
        </w:rPr>
      </w:pPr>
      <w:r>
        <w:rPr>
          <w:rFonts w:ascii="Palatino Linotype" w:eastAsia="Calibri" w:hAnsi="Palatino Linotype" w:cs="Arial"/>
          <w:b/>
          <w:i/>
          <w:sz w:val="22"/>
          <w:szCs w:val="22"/>
          <w:lang w:val="es-MX" w:eastAsia="en-US"/>
        </w:rPr>
        <w:t>XI. Documento:</w:t>
      </w:r>
      <w:r>
        <w:rPr>
          <w:rFonts w:ascii="Palatino Linotype" w:eastAsia="Calibr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Pr>
          <w:rFonts w:ascii="Palatino Linotype" w:eastAsia="Calibri" w:hAnsi="Palatino Linotype" w:cs="Arial"/>
          <w:b/>
          <w:i/>
          <w:sz w:val="22"/>
          <w:szCs w:val="22"/>
          <w:u w:val="single"/>
          <w:lang w:val="es-MX" w:eastAsia="en-US"/>
        </w:rPr>
        <w:t>registro que documente el ejercicio de las facultades, funciones y competencias de los sujetos obligados</w:t>
      </w:r>
      <w:r>
        <w:rPr>
          <w:rFonts w:ascii="Palatino Linotype" w:eastAsia="Calibri" w:hAnsi="Palatino Linotype" w:cs="Arial"/>
          <w:i/>
          <w:sz w:val="22"/>
          <w:szCs w:val="22"/>
          <w:u w:val="single"/>
          <w:lang w:val="es-MX" w:eastAsia="en-US"/>
        </w:rPr>
        <w:t>,</w:t>
      </w:r>
      <w:r>
        <w:rPr>
          <w:rFonts w:ascii="Palatino Linotype" w:eastAsia="Calibri" w:hAnsi="Palatino Linotype" w:cs="Arial"/>
          <w:i/>
          <w:sz w:val="22"/>
          <w:szCs w:val="22"/>
          <w:lang w:val="es-MX" w:eastAsia="en-US"/>
        </w:rPr>
        <w:t xml:space="preserve"> sus servidores públicos e integrantes, </w:t>
      </w:r>
      <w:r>
        <w:rPr>
          <w:rFonts w:ascii="Palatino Linotype" w:eastAsia="Calibri" w:hAnsi="Palatino Linotype" w:cs="Arial"/>
          <w:b/>
          <w:i/>
          <w:sz w:val="22"/>
          <w:szCs w:val="22"/>
          <w:u w:val="single"/>
          <w:lang w:val="es-MX" w:eastAsia="en-US"/>
        </w:rPr>
        <w:t>sin importar su fuente o fecha de elaboración.</w:t>
      </w:r>
      <w:r>
        <w:rPr>
          <w:rFonts w:ascii="Palatino Linotype" w:eastAsia="Calibri" w:hAnsi="Palatino Linotype" w:cs="Arial"/>
          <w:i/>
          <w:sz w:val="22"/>
          <w:szCs w:val="22"/>
          <w:lang w:val="es-MX" w:eastAsia="en-US"/>
        </w:rPr>
        <w:t xml:space="preserve"> Los documentos podrán estar en cualquier medio, sea escrito, impreso, sonoro, visual, electrónico, informático u holográfico;</w:t>
      </w:r>
    </w:p>
    <w:p w14:paraId="1B5F884F" w14:textId="77777777" w:rsidR="00F17F51" w:rsidRDefault="00BB2045">
      <w:pPr>
        <w:ind w:left="851" w:right="901"/>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14:paraId="3AFCF27A" w14:textId="77777777" w:rsidR="00F17F51" w:rsidRDefault="00F17F51">
      <w:pPr>
        <w:spacing w:after="160" w:line="256" w:lineRule="auto"/>
        <w:rPr>
          <w:rFonts w:ascii="Calibri" w:eastAsia="Calibri" w:hAnsi="Calibri"/>
          <w:sz w:val="8"/>
          <w:szCs w:val="16"/>
          <w:lang w:val="es-MX" w:eastAsia="en-US"/>
        </w:rPr>
      </w:pPr>
    </w:p>
    <w:p w14:paraId="14EEF981" w14:textId="77777777" w:rsidR="00F17F51" w:rsidRDefault="00BB2045">
      <w:pPr>
        <w:spacing w:line="360" w:lineRule="auto"/>
        <w:ind w:right="49"/>
        <w:contextualSpacing/>
        <w:jc w:val="both"/>
        <w:rPr>
          <w:rFonts w:ascii="Palatino Linotype" w:eastAsia="Calibri" w:hAnsi="Palatino Linotype" w:cs="Arial"/>
          <w:lang w:val="es-MX" w:eastAsia="es-MX"/>
        </w:rPr>
      </w:pPr>
      <w:r>
        <w:rPr>
          <w:rFonts w:ascii="Palatino Linotype" w:eastAsia="Calibri" w:hAnsi="Palatino Linotype" w:cs="Arial"/>
          <w:lang w:val="es-MX" w:eastAsia="en-US"/>
        </w:rPr>
        <w:t xml:space="preserve">Además, </w:t>
      </w:r>
      <w:r>
        <w:rPr>
          <w:rFonts w:ascii="Palatino Linotype" w:eastAsia="MS Mincho" w:hAnsi="Palatino Linotype"/>
          <w:lang w:val="es-MX" w:eastAsia="en-US"/>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Pr>
          <w:rFonts w:ascii="Palatino Linotype" w:eastAsia="MS Mincho" w:hAnsi="Palatino Linotype"/>
          <w:lang w:val="es-MX" w:eastAsia="en-US"/>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EE692C5" w14:textId="77777777" w:rsidR="00F17F51" w:rsidRDefault="00F17F51">
      <w:pPr>
        <w:spacing w:line="360" w:lineRule="auto"/>
        <w:ind w:right="49"/>
        <w:contextualSpacing/>
        <w:jc w:val="both"/>
        <w:rPr>
          <w:rFonts w:ascii="Palatino Linotype" w:eastAsia="Calibri" w:hAnsi="Palatino Linotype" w:cs="Arial"/>
          <w:lang w:val="es-MX" w:eastAsia="es-MX"/>
        </w:rPr>
      </w:pPr>
    </w:p>
    <w:p w14:paraId="5E995F4A" w14:textId="77777777" w:rsidR="00F17F51" w:rsidRDefault="00BB2045">
      <w:pPr>
        <w:spacing w:line="360" w:lineRule="auto"/>
        <w:ind w:right="49"/>
        <w:contextualSpacing/>
        <w:jc w:val="both"/>
        <w:rPr>
          <w:rFonts w:ascii="Palatino Linotype" w:eastAsia="MS Mincho" w:hAnsi="Palatino Linotype" w:cs="Tahoma"/>
          <w:lang w:val="es-MX" w:eastAsia="en-US"/>
        </w:rPr>
      </w:pPr>
      <w:r>
        <w:rPr>
          <w:rFonts w:ascii="Palatino Linotype" w:eastAsia="Calibri" w:hAnsi="Palatino Linotype" w:cs="Arial"/>
          <w:lang w:val="es-MX" w:eastAsia="es-MX"/>
        </w:rPr>
        <w:t xml:space="preserve">De la misma forma, </w:t>
      </w:r>
      <w:r>
        <w:rPr>
          <w:rFonts w:ascii="Palatino Linotype" w:eastAsia="MS Mincho" w:hAnsi="Palatino Linotype"/>
          <w:lang w:val="es-MX" w:eastAsia="en-US"/>
        </w:rPr>
        <w:t>de acuerdo al contenido del artículo 160,</w:t>
      </w:r>
      <w:r>
        <w:rPr>
          <w:rFonts w:ascii="Palatino Linotype" w:eastAsia="Calibri" w:hAnsi="Palatino Linotype" w:cs="Arial"/>
          <w:lang w:val="es-MX" w:eastAsia="en-US"/>
        </w:rPr>
        <w:t xml:space="preserve"> de la Ley </w:t>
      </w:r>
      <w:r>
        <w:rPr>
          <w:rFonts w:ascii="Palatino Linotype" w:eastAsia="MS Mincho" w:hAnsi="Palatino Linotype" w:cs="Tahoma"/>
          <w:lang w:val="es-MX" w:eastAsia="en-US"/>
        </w:rPr>
        <w:t>General de Transparencia y Acceso a la Información Pública que a la letra dispone:</w:t>
      </w:r>
    </w:p>
    <w:p w14:paraId="3CE97DEA" w14:textId="77777777" w:rsidR="00F17F51" w:rsidRDefault="00F17F51">
      <w:pPr>
        <w:rPr>
          <w:rFonts w:eastAsia="MS Mincho"/>
          <w:lang w:val="es-MX" w:eastAsia="en-US"/>
        </w:rPr>
      </w:pPr>
    </w:p>
    <w:p w14:paraId="6490404A" w14:textId="77777777" w:rsidR="00F17F51" w:rsidRDefault="00BB2045">
      <w:pPr>
        <w:spacing w:line="256" w:lineRule="auto"/>
        <w:ind w:left="567" w:right="616"/>
        <w:contextualSpacing/>
        <w:jc w:val="both"/>
        <w:rPr>
          <w:rFonts w:ascii="Palatino Linotype" w:eastAsia="Calibri" w:hAnsi="Palatino Linotype" w:cs="Arial"/>
          <w:i/>
          <w:sz w:val="22"/>
          <w:szCs w:val="22"/>
          <w:lang w:val="es-MX" w:eastAsia="gl-ES"/>
        </w:rPr>
      </w:pPr>
      <w:r>
        <w:rPr>
          <w:rFonts w:ascii="Palatino Linotype" w:eastAsia="Calibri" w:hAnsi="Palatino Linotype" w:cs="Arial"/>
          <w:b/>
          <w:i/>
          <w:sz w:val="22"/>
          <w:szCs w:val="22"/>
          <w:lang w:val="es-MX" w:eastAsia="gl-ES"/>
        </w:rPr>
        <w:t>Artículo 160</w:t>
      </w:r>
      <w:r>
        <w:rPr>
          <w:rFonts w:ascii="Palatino Linotype" w:eastAsia="Calibr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CFF3F43" w14:textId="77777777" w:rsidR="00F17F51" w:rsidRDefault="00F17F51">
      <w:pPr>
        <w:spacing w:line="256" w:lineRule="auto"/>
        <w:ind w:right="616"/>
        <w:contextualSpacing/>
        <w:jc w:val="both"/>
        <w:rPr>
          <w:rFonts w:ascii="Palatino Linotype" w:eastAsia="Calibri" w:hAnsi="Palatino Linotype" w:cs="Arial"/>
          <w:i/>
          <w:sz w:val="14"/>
          <w:szCs w:val="22"/>
          <w:lang w:val="es-MX" w:eastAsia="gl-ES"/>
        </w:rPr>
      </w:pPr>
    </w:p>
    <w:p w14:paraId="372AA1CA" w14:textId="77777777" w:rsidR="00F17F51" w:rsidRDefault="00F17F51">
      <w:pPr>
        <w:spacing w:line="256" w:lineRule="auto"/>
        <w:ind w:right="616"/>
        <w:contextualSpacing/>
        <w:jc w:val="both"/>
        <w:rPr>
          <w:rFonts w:ascii="Palatino Linotype" w:eastAsia="Calibri" w:hAnsi="Palatino Linotype" w:cs="Arial"/>
          <w:i/>
          <w:sz w:val="14"/>
          <w:szCs w:val="22"/>
          <w:lang w:val="es-MX" w:eastAsia="gl-ES"/>
        </w:rPr>
      </w:pPr>
    </w:p>
    <w:p w14:paraId="798DA1EA" w14:textId="77777777" w:rsidR="00F17F51" w:rsidRDefault="00BB2045">
      <w:pPr>
        <w:spacing w:after="160" w:line="360" w:lineRule="auto"/>
        <w:jc w:val="both"/>
        <w:rPr>
          <w:rFonts w:ascii="Palatino Linotype" w:eastAsia="Calibri" w:hAnsi="Palatino Linotype" w:cs="Arial"/>
          <w:color w:val="222222"/>
          <w:szCs w:val="20"/>
          <w:lang w:val="es-MX" w:eastAsia="es-MX"/>
        </w:rPr>
      </w:pPr>
      <w:r>
        <w:rPr>
          <w:rFonts w:ascii="Palatino Linotype" w:eastAsia="Calibri" w:hAnsi="Palatino Linotype"/>
          <w:color w:val="000000"/>
          <w:lang w:val="es-MX" w:eastAsia="en-US"/>
        </w:rPr>
        <w:t xml:space="preserve">Sirve como apoyo </w:t>
      </w:r>
      <w:r>
        <w:rPr>
          <w:rFonts w:ascii="Palatino Linotype" w:eastAsia="Calibri" w:hAnsi="Palatino Linotype" w:cs="Arial"/>
          <w:color w:val="222222"/>
          <w:szCs w:val="20"/>
          <w:lang w:val="es-MX" w:eastAsia="es-MX"/>
        </w:rPr>
        <w:t>a lo anterior, el criterio 09-10, emitido por el Pleno del entonces Instituto Federal de Acceso a la Información y Protección de Datos, que a la letra dice:</w:t>
      </w:r>
    </w:p>
    <w:p w14:paraId="49897E8D" w14:textId="77777777" w:rsidR="00F17F51" w:rsidRDefault="00F17F51">
      <w:pPr>
        <w:rPr>
          <w:rFonts w:ascii="Calibri" w:eastAsia="Calibri" w:hAnsi="Calibri"/>
          <w:sz w:val="10"/>
          <w:szCs w:val="10"/>
          <w:lang w:val="es-MX" w:eastAsia="en-US"/>
        </w:rPr>
      </w:pPr>
    </w:p>
    <w:p w14:paraId="3AC8BA78" w14:textId="77777777" w:rsidR="00F17F51" w:rsidRDefault="00BB2045">
      <w:pPr>
        <w:shd w:val="clear" w:color="auto" w:fill="FFFFFF"/>
        <w:tabs>
          <w:tab w:val="left" w:pos="8647"/>
        </w:tabs>
        <w:ind w:left="567" w:right="616"/>
        <w:jc w:val="both"/>
        <w:rPr>
          <w:rFonts w:ascii="Palatino Linotype" w:eastAsia="Calibri" w:hAnsi="Palatino Linotype" w:cs="Arial"/>
          <w:i/>
          <w:iCs/>
          <w:color w:val="222222"/>
          <w:sz w:val="22"/>
          <w:szCs w:val="22"/>
          <w:lang w:val="es-MX" w:eastAsia="es-MX"/>
        </w:rPr>
      </w:pPr>
      <w:r>
        <w:rPr>
          <w:rFonts w:ascii="Palatino Linotype" w:eastAsia="Calibri" w:hAnsi="Palatino Linotype" w:cs="Arial"/>
          <w:b/>
          <w:bCs/>
          <w:i/>
          <w:iCs/>
          <w:color w:val="222222"/>
          <w:sz w:val="22"/>
          <w:szCs w:val="22"/>
          <w:lang w:val="es-MX" w:eastAsia="es-MX"/>
        </w:rPr>
        <w:t>“Las dependencias y entidades no están obligadas a generar documentos ad hoc para responder una solicitud de acceso a la información. </w:t>
      </w:r>
      <w:r>
        <w:rPr>
          <w:rFonts w:ascii="Palatino Linotype" w:eastAsia="Calibri" w:hAnsi="Palatino Linotype" w:cs="Arial"/>
          <w:i/>
          <w:iCs/>
          <w:color w:val="222222"/>
          <w:sz w:val="22"/>
          <w:szCs w:val="22"/>
          <w:lang w:val="es-MX"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Pr>
          <w:rFonts w:ascii="Palatino Linotype" w:eastAsia="Calibri" w:hAnsi="Palatino Linotype" w:cs="Arial"/>
          <w:i/>
          <w:iCs/>
          <w:color w:val="222222"/>
          <w:sz w:val="22"/>
          <w:szCs w:val="22"/>
          <w:lang w:val="es-MX" w:eastAsia="es-MX"/>
        </w:rPr>
        <w:lastRenderedPageBreak/>
        <w:t>el acceso a la información con la que cuentan en el formato que la misma así lo permita o se encuentre, en aras de dar satisfacción a la solicitud presentada.” (Sic)</w:t>
      </w:r>
    </w:p>
    <w:p w14:paraId="41A65FDE" w14:textId="77777777" w:rsidR="00F17F51" w:rsidRDefault="00F17F51">
      <w:pPr>
        <w:rPr>
          <w:rFonts w:ascii="Calibri" w:eastAsia="Calibri" w:hAnsi="Calibri"/>
          <w:sz w:val="22"/>
          <w:szCs w:val="22"/>
          <w:lang w:val="es-MX" w:eastAsia="en-US"/>
        </w:rPr>
      </w:pPr>
    </w:p>
    <w:p w14:paraId="26B88C0F" w14:textId="77777777" w:rsidR="00F17F51" w:rsidRDefault="00F17F51">
      <w:pPr>
        <w:rPr>
          <w:rFonts w:ascii="Calibri" w:eastAsia="Calibri" w:hAnsi="Calibri"/>
          <w:sz w:val="16"/>
          <w:szCs w:val="22"/>
          <w:lang w:val="es-MX" w:eastAsia="en-US"/>
        </w:rPr>
      </w:pPr>
    </w:p>
    <w:p w14:paraId="10E1EF13" w14:textId="77777777" w:rsidR="00F17F51" w:rsidRDefault="00BB2045">
      <w:pPr>
        <w:spacing w:line="360" w:lineRule="auto"/>
        <w:jc w:val="both"/>
        <w:rPr>
          <w:rFonts w:ascii="Palatino Linotype" w:eastAsia="Calibri" w:hAnsi="Palatino Linotype" w:cs="Arial"/>
          <w:lang w:val="es-MX" w:eastAsia="en-US"/>
        </w:rPr>
      </w:pPr>
      <w:r>
        <w:rPr>
          <w:rFonts w:ascii="Palatino Linotype" w:eastAsia="Calibri" w:hAnsi="Palatino Linotype" w:cs="Arial"/>
          <w:bCs/>
          <w:lang w:val="es-MX" w:eastAsia="en-US"/>
        </w:rPr>
        <w:t xml:space="preserve">Además, </w:t>
      </w:r>
      <w:r>
        <w:rPr>
          <w:rFonts w:ascii="Palatino Linotype" w:eastAsia="Calibri"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69D544A" w14:textId="77777777" w:rsidR="00F17F51" w:rsidRDefault="00F17F51">
      <w:pPr>
        <w:rPr>
          <w:rFonts w:eastAsia="Calibri"/>
          <w:lang w:val="es-MX" w:eastAsia="en-US"/>
        </w:rPr>
      </w:pPr>
    </w:p>
    <w:p w14:paraId="1CB7710E" w14:textId="77777777" w:rsidR="00F17F51" w:rsidRDefault="00F17F51">
      <w:pPr>
        <w:rPr>
          <w:rFonts w:ascii="Calibri" w:eastAsia="Calibri" w:hAnsi="Calibri"/>
          <w:sz w:val="10"/>
          <w:szCs w:val="10"/>
          <w:lang w:val="es-MX" w:eastAsia="en-US"/>
        </w:rPr>
      </w:pPr>
    </w:p>
    <w:p w14:paraId="4478D537" w14:textId="77777777" w:rsidR="00F17F51" w:rsidRDefault="00BB2045">
      <w:pPr>
        <w:spacing w:line="276" w:lineRule="auto"/>
        <w:ind w:left="426" w:right="567"/>
        <w:jc w:val="both"/>
        <w:rPr>
          <w:rFonts w:ascii="Palatino Linotype" w:hAnsi="Palatino Linotype" w:cs="Arial"/>
          <w:bCs/>
          <w:i/>
          <w:sz w:val="22"/>
        </w:rPr>
      </w:pPr>
      <w:r>
        <w:rPr>
          <w:rFonts w:ascii="Palatino Linotype" w:hAnsi="Palatino Linotype" w:cs="Arial"/>
          <w:b/>
          <w:i/>
          <w:sz w:val="22"/>
        </w:rPr>
        <w:t>IV.</w:t>
      </w:r>
      <w:r>
        <w:rPr>
          <w:rFonts w:ascii="Palatino Linotype" w:hAnsi="Palatino Linotype" w:cs="Arial"/>
          <w:i/>
          <w:sz w:val="22"/>
        </w:rPr>
        <w:t xml:space="preserve"> Los ayuntamientos y las dependencias, </w:t>
      </w:r>
      <w:r>
        <w:rPr>
          <w:rFonts w:ascii="Palatino Linotype" w:hAnsi="Palatino Linotype" w:cs="Arial"/>
          <w:bCs/>
          <w:i/>
          <w:sz w:val="22"/>
        </w:rPr>
        <w:t>organismos, órganos y entidades de la administración municipal;</w:t>
      </w:r>
    </w:p>
    <w:p w14:paraId="6A98827C" w14:textId="77777777" w:rsidR="00F17F51" w:rsidRDefault="00F17F51">
      <w:pPr>
        <w:ind w:left="426" w:right="567"/>
        <w:jc w:val="both"/>
        <w:rPr>
          <w:rFonts w:ascii="Palatino Linotype" w:hAnsi="Palatino Linotype" w:cs="Arial"/>
          <w:i/>
          <w:sz w:val="22"/>
        </w:rPr>
      </w:pPr>
    </w:p>
    <w:p w14:paraId="77D2B146" w14:textId="77777777" w:rsidR="00F17F51" w:rsidRDefault="00F17F51">
      <w:pPr>
        <w:ind w:left="426" w:right="567"/>
        <w:jc w:val="both"/>
        <w:rPr>
          <w:rFonts w:ascii="Palatino Linotype" w:hAnsi="Palatino Linotype" w:cs="Arial"/>
          <w:i/>
          <w:sz w:val="22"/>
        </w:rPr>
      </w:pPr>
    </w:p>
    <w:p w14:paraId="68E7CFA6" w14:textId="77777777" w:rsidR="00F17F51" w:rsidRDefault="00BB2045">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Por lo que, de la respuesta emitida por parte de la Unidad de Transparencia del </w:t>
      </w:r>
      <w:r>
        <w:rPr>
          <w:rFonts w:ascii="Palatino Linotype" w:eastAsia="Calibri" w:hAnsi="Palatino Linotype" w:cs="Arial"/>
          <w:b/>
          <w:lang w:val="es-MX" w:eastAsia="en-US"/>
        </w:rPr>
        <w:t>Sujeto Obligado</w:t>
      </w:r>
      <w:r>
        <w:rPr>
          <w:rFonts w:ascii="Palatino Linotype" w:eastAsia="Calibri" w:hAnsi="Palatino Linotype" w:cs="Arial"/>
          <w:lang w:val="es-MX" w:eastAsia="en-US"/>
        </w:rPr>
        <w:t xml:space="preserve"> generó, se enuncia cada una de las respuestas proporcionadas, con la finalidad de saber si se da cumplimiento a todos los requerimientos y si lo motivos de inconformidad resultan procedentes, de conformidad con lo siguiente.</w:t>
      </w:r>
    </w:p>
    <w:p w14:paraId="20161203" w14:textId="77777777" w:rsidR="00F17F51" w:rsidRDefault="00F17F51">
      <w:pPr>
        <w:spacing w:line="360" w:lineRule="auto"/>
        <w:jc w:val="both"/>
        <w:rPr>
          <w:rFonts w:ascii="Palatino Linotype" w:eastAsia="Calibri" w:hAnsi="Palatino Linotype" w:cs="Arial"/>
          <w:lang w:val="es-MX" w:eastAsia="en-US"/>
        </w:rPr>
      </w:pPr>
    </w:p>
    <w:p w14:paraId="09BDB67D" w14:textId="77777777" w:rsidR="00F17F51" w:rsidRDefault="00BB2045">
      <w:pPr>
        <w:spacing w:line="360" w:lineRule="auto"/>
        <w:jc w:val="both"/>
        <w:rPr>
          <w:rFonts w:ascii="Palatino Linotype" w:eastAsia="Calibri" w:hAnsi="Palatino Linotype" w:cs="Tahoma"/>
          <w:bCs/>
          <w:lang w:val="es-MX" w:eastAsia="en-US"/>
        </w:rPr>
      </w:pPr>
      <w:r>
        <w:rPr>
          <w:rFonts w:ascii="Palatino Linotype" w:eastAsia="Calibri" w:hAnsi="Palatino Linotype" w:cs="Tahoma"/>
          <w:bCs/>
          <w:lang w:val="es-MX" w:eastAsia="en-US"/>
        </w:rPr>
        <w:t xml:space="preserve">Bajo estas líneas argumentativas, al retomar y delimitar los requerimientos del ahora </w:t>
      </w:r>
      <w:r>
        <w:rPr>
          <w:rFonts w:ascii="Palatino Linotype" w:eastAsia="Calibri" w:hAnsi="Palatino Linotype" w:cs="Tahoma"/>
          <w:b/>
          <w:bCs/>
          <w:lang w:val="es-MX" w:eastAsia="en-US"/>
        </w:rPr>
        <w:t>Recurrente</w:t>
      </w:r>
      <w:r>
        <w:rPr>
          <w:rFonts w:ascii="Palatino Linotype" w:eastAsia="Calibri" w:hAnsi="Palatino Linotype" w:cs="Tahoma"/>
          <w:bCs/>
          <w:lang w:val="es-MX" w:eastAsia="en-US"/>
        </w:rPr>
        <w:t>, de manera objetiva requirió lo siguiente:</w:t>
      </w:r>
    </w:p>
    <w:p w14:paraId="4E0E9221" w14:textId="77777777" w:rsidR="00F17F51" w:rsidRDefault="00F17F51">
      <w:pPr>
        <w:spacing w:line="360" w:lineRule="auto"/>
        <w:jc w:val="both"/>
        <w:rPr>
          <w:rFonts w:ascii="Palatino Linotype" w:eastAsia="Calibri" w:hAnsi="Palatino Linotype" w:cs="Tahoma"/>
          <w:bCs/>
          <w:lang w:val="es-MX" w:eastAsia="en-US"/>
        </w:rPr>
      </w:pPr>
    </w:p>
    <w:p w14:paraId="2008E916" w14:textId="77777777" w:rsidR="00F17F51" w:rsidRDefault="00BB2045">
      <w:pPr>
        <w:numPr>
          <w:ilvl w:val="0"/>
          <w:numId w:val="3"/>
        </w:numPr>
        <w:spacing w:line="360" w:lineRule="auto"/>
        <w:jc w:val="both"/>
        <w:rPr>
          <w:rFonts w:ascii="Palatino Linotype" w:eastAsia="Calibri" w:hAnsi="Palatino Linotype" w:cs="Tahoma"/>
          <w:bCs/>
          <w:lang w:val="es-MX" w:eastAsia="en-US"/>
        </w:rPr>
      </w:pPr>
      <w:bookmarkStart w:id="4" w:name="_Hlk147338508"/>
      <w:r>
        <w:rPr>
          <w:rFonts w:ascii="Palatino Linotype" w:eastAsia="Calibri" w:hAnsi="Palatino Linotype" w:cs="Tahoma"/>
          <w:bCs/>
          <w:lang w:val="es-MX" w:eastAsia="en-US"/>
        </w:rPr>
        <w:t>El contrato del prestador del servicio del sistema que utilizan en su área comercial para fines recaudatorios.</w:t>
      </w:r>
    </w:p>
    <w:bookmarkEnd w:id="4"/>
    <w:p w14:paraId="10E2B674" w14:textId="77777777" w:rsidR="00F17F51" w:rsidRDefault="00F17F51">
      <w:pPr>
        <w:spacing w:line="360" w:lineRule="auto"/>
        <w:ind w:left="720"/>
        <w:jc w:val="both"/>
        <w:rPr>
          <w:rFonts w:ascii="Palatino Linotype" w:eastAsia="Calibri" w:hAnsi="Palatino Linotype" w:cs="Tahoma"/>
          <w:bCs/>
          <w:lang w:val="es-MX" w:eastAsia="en-US"/>
        </w:rPr>
      </w:pPr>
    </w:p>
    <w:p w14:paraId="647E423A" w14:textId="77777777" w:rsidR="00F17F51" w:rsidRDefault="00BB2045">
      <w:pPr>
        <w:spacing w:line="360" w:lineRule="auto"/>
        <w:jc w:val="both"/>
        <w:rPr>
          <w:rFonts w:ascii="Palatino Linotype" w:eastAsia="Calibri" w:hAnsi="Palatino Linotype" w:cs="Tahoma"/>
          <w:bCs/>
          <w:lang w:eastAsia="en-US"/>
        </w:rPr>
      </w:pPr>
      <w:r>
        <w:rPr>
          <w:rFonts w:ascii="Palatino Linotype" w:eastAsia="Calibri" w:hAnsi="Palatino Linotype" w:cs="Tahoma"/>
          <w:bCs/>
          <w:lang w:val="es-MX" w:eastAsia="en-US"/>
        </w:rPr>
        <w:t xml:space="preserve">Por lo que, el </w:t>
      </w:r>
      <w:r>
        <w:rPr>
          <w:rFonts w:ascii="Palatino Linotype" w:eastAsia="Calibri" w:hAnsi="Palatino Linotype" w:cs="Tahoma"/>
          <w:b/>
          <w:lang w:val="es-MX" w:eastAsia="en-US"/>
        </w:rPr>
        <w:t>Sujeto Obligado</w:t>
      </w:r>
      <w:r>
        <w:rPr>
          <w:rFonts w:ascii="Palatino Linotype" w:eastAsia="Calibri" w:hAnsi="Palatino Linotype" w:cs="Tahoma"/>
          <w:bCs/>
          <w:lang w:val="es-MX" w:eastAsia="en-US"/>
        </w:rPr>
        <w:t xml:space="preserve"> </w:t>
      </w:r>
      <w:r>
        <w:rPr>
          <w:rFonts w:ascii="Palatino Linotype" w:eastAsia="Calibri" w:hAnsi="Palatino Linotype" w:cs="Tahoma"/>
          <w:bCs/>
          <w:lang w:eastAsia="en-US"/>
        </w:rPr>
        <w:t xml:space="preserve">mediante el oficio número </w:t>
      </w:r>
      <w:r>
        <w:rPr>
          <w:rFonts w:ascii="Palatino Linotype" w:eastAsia="Calibri" w:hAnsi="Palatino Linotype" w:cs="Tahoma"/>
          <w:b/>
          <w:lang w:eastAsia="en-US"/>
        </w:rPr>
        <w:t>DAF/0564/2023</w:t>
      </w:r>
      <w:r>
        <w:rPr>
          <w:rFonts w:ascii="Palatino Linotype" w:eastAsia="Calibri" w:hAnsi="Palatino Linotype" w:cs="Tahoma"/>
          <w:bCs/>
          <w:lang w:eastAsia="en-US"/>
        </w:rPr>
        <w:t xml:space="preserve">, firmado por la Directora de Administración y Finanzas de OPERAGUA IZCALLI O.P.D.M., </w:t>
      </w:r>
      <w:r>
        <w:rPr>
          <w:rFonts w:ascii="Palatino Linotype" w:eastAsia="Calibri" w:hAnsi="Palatino Linotype" w:cs="Tahoma"/>
          <w:bCs/>
          <w:lang w:eastAsia="en-US"/>
        </w:rPr>
        <w:lastRenderedPageBreak/>
        <w:t>informó que anexó el contrato en versión pública del sistema que se utiliza en el área comercial para fine recaudatorios, la cual, fue aprobada durante la Décimo Cuarta Sesión del Comité de Transparencia del Sujeto Obligado.</w:t>
      </w:r>
    </w:p>
    <w:p w14:paraId="5ABF8CDA" w14:textId="77777777" w:rsidR="00F17F51" w:rsidRDefault="00F17F51">
      <w:pPr>
        <w:spacing w:line="360" w:lineRule="auto"/>
        <w:jc w:val="both"/>
        <w:rPr>
          <w:rFonts w:ascii="Palatino Linotype" w:eastAsia="Calibri" w:hAnsi="Palatino Linotype" w:cs="Tahoma"/>
          <w:bCs/>
          <w:lang w:eastAsia="en-US"/>
        </w:rPr>
      </w:pPr>
    </w:p>
    <w:p w14:paraId="018B629D" w14:textId="77777777" w:rsidR="00F17F51" w:rsidRDefault="00BB2045">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Adicionalmente, remitió el contrato e implementación del sistema premia (aplicativo ejecutable), celebrado con la empresa </w:t>
      </w:r>
      <w:r>
        <w:rPr>
          <w:rFonts w:ascii="Palatino Linotype" w:eastAsia="Calibri" w:hAnsi="Palatino Linotype" w:cs="Tahoma"/>
          <w:b/>
          <w:bCs/>
          <w:lang w:eastAsia="en-US"/>
        </w:rPr>
        <w:t>NYOTA SERVICIOS S.A. DE C.V.</w:t>
      </w:r>
      <w:r>
        <w:rPr>
          <w:rFonts w:ascii="Palatino Linotype" w:eastAsia="Calibri" w:hAnsi="Palatino Linotype" w:cs="Tahoma"/>
          <w:bCs/>
          <w:lang w:eastAsia="en-US"/>
        </w:rPr>
        <w:t>, formalizado el día siete de marzo de dos mil veintitrés.</w:t>
      </w:r>
    </w:p>
    <w:p w14:paraId="5B52C539" w14:textId="77777777" w:rsidR="00F17F51" w:rsidRDefault="00F17F51">
      <w:pPr>
        <w:spacing w:line="360" w:lineRule="auto"/>
        <w:jc w:val="both"/>
        <w:rPr>
          <w:rFonts w:ascii="Palatino Linotype" w:eastAsia="Calibri" w:hAnsi="Palatino Linotype" w:cs="Tahoma"/>
          <w:bCs/>
          <w:lang w:eastAsia="en-US"/>
        </w:rPr>
      </w:pPr>
    </w:p>
    <w:p w14:paraId="116511A6" w14:textId="77777777" w:rsidR="00F17F51" w:rsidRDefault="00BB2045">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Es así que derivado de la respuesta emitida por </w:t>
      </w:r>
      <w:r>
        <w:rPr>
          <w:rFonts w:ascii="Palatino Linotype" w:eastAsiaTheme="minorHAnsi" w:hAnsi="Palatino Linotype" w:cs="Arial"/>
          <w:b/>
          <w:bCs/>
          <w:lang w:val="es-MX" w:eastAsia="en-US"/>
        </w:rPr>
        <w:t>El Sujeto Obligado</w:t>
      </w:r>
      <w:r>
        <w:rPr>
          <w:rFonts w:ascii="Palatino Linotype" w:eastAsiaTheme="minorHAnsi" w:hAnsi="Palatino Linotype" w:cs="Arial"/>
          <w:bCs/>
          <w:lang w:val="es-MX" w:eastAsia="en-US"/>
        </w:rPr>
        <w:t xml:space="preserve">, </w:t>
      </w:r>
      <w:r>
        <w:rPr>
          <w:rFonts w:ascii="Palatino Linotype" w:eastAsiaTheme="minorHAnsi" w:hAnsi="Palatino Linotype" w:cs="Arial"/>
          <w:b/>
          <w:bCs/>
          <w:lang w:val="es-MX" w:eastAsia="en-US"/>
        </w:rPr>
        <w:t>El Recurrente</w:t>
      </w:r>
      <w:r>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Pr>
          <w:rFonts w:ascii="Palatino Linotype" w:eastAsiaTheme="minorHAnsi" w:hAnsi="Palatino Linotype" w:cs="Arial"/>
          <w:b/>
          <w:i/>
          <w:iCs/>
          <w:u w:val="single"/>
          <w:lang w:val="es-MX" w:eastAsia="en-US"/>
        </w:rPr>
        <w:t>“Falta hoja 10 y 11 del contrato, falta acuerdo de transparencia por la clasificación de la clave de elector”</w:t>
      </w:r>
      <w:r>
        <w:rPr>
          <w:rFonts w:ascii="Palatino Linotype" w:eastAsiaTheme="minorHAnsi" w:hAnsi="Palatino Linotype" w:cs="Arial"/>
          <w:bCs/>
          <w:lang w:val="es-MX" w:eastAsia="en-US"/>
        </w:rPr>
        <w:t xml:space="preserve"> (Sic). </w:t>
      </w:r>
    </w:p>
    <w:p w14:paraId="6D62C87F" w14:textId="77777777" w:rsidR="00F17F51" w:rsidRDefault="00F17F51">
      <w:pPr>
        <w:spacing w:line="360" w:lineRule="auto"/>
        <w:jc w:val="both"/>
        <w:rPr>
          <w:rFonts w:ascii="Palatino Linotype" w:eastAsia="Calibri" w:hAnsi="Palatino Linotype" w:cs="Tahoma"/>
          <w:bCs/>
          <w:lang w:val="es-MX" w:eastAsia="en-US"/>
        </w:rPr>
      </w:pPr>
    </w:p>
    <w:p w14:paraId="01B29D03" w14:textId="77777777" w:rsidR="00F17F51" w:rsidRDefault="00BB2045">
      <w:pPr>
        <w:spacing w:line="360" w:lineRule="auto"/>
        <w:ind w:right="141"/>
        <w:jc w:val="both"/>
        <w:rPr>
          <w:rFonts w:ascii="Palatino Linotype" w:hAnsi="Palatino Linotype" w:cs="Arial"/>
          <w:bCs/>
        </w:rPr>
      </w:pPr>
      <w:r>
        <w:rPr>
          <w:rFonts w:ascii="Palatino Linotype" w:hAnsi="Palatino Linotype" w:cs="Arial"/>
          <w:bCs/>
        </w:rPr>
        <w:t xml:space="preserve">Así que, en la etapa de manifestaciones el </w:t>
      </w:r>
      <w:r>
        <w:rPr>
          <w:rFonts w:ascii="Palatino Linotype" w:hAnsi="Palatino Linotype" w:cs="Arial"/>
          <w:b/>
          <w:bCs/>
        </w:rPr>
        <w:t>Sujeto Obligado</w:t>
      </w:r>
      <w:r>
        <w:rPr>
          <w:rFonts w:ascii="Palatino Linotype" w:hAnsi="Palatino Linotype" w:cs="Arial"/>
          <w:bCs/>
        </w:rPr>
        <w:t xml:space="preserve">, mediante </w:t>
      </w:r>
      <w:r>
        <w:rPr>
          <w:rFonts w:ascii="Palatino Linotype" w:eastAsiaTheme="minorHAnsi" w:hAnsi="Palatino Linotype" w:cs="Arial"/>
          <w:lang w:val="es-MX" w:eastAsia="en-US"/>
        </w:rPr>
        <w:t xml:space="preserve">el archivo electrónico denominado </w:t>
      </w:r>
      <w:r>
        <w:rPr>
          <w:rFonts w:ascii="Palatino Linotype" w:eastAsiaTheme="minorHAnsi" w:hAnsi="Palatino Linotype" w:cs="Arial"/>
          <w:i/>
          <w:lang w:val="es-MX" w:eastAsia="en-US"/>
        </w:rPr>
        <w:t>“MANIFESTACION 06060 SAIMEX 136.pdf”</w:t>
      </w:r>
      <w:r>
        <w:rPr>
          <w:rFonts w:ascii="Palatino Linotype" w:eastAsiaTheme="minorHAnsi" w:hAnsi="Palatino Linotype" w:cs="Arial"/>
          <w:lang w:val="es-MX" w:eastAsia="en-US"/>
        </w:rPr>
        <w:t>;</w:t>
      </w:r>
      <w:r>
        <w:rPr>
          <w:rFonts w:ascii="Palatino Linotype" w:hAnsi="Palatino Linotype" w:cs="Arial"/>
          <w:bCs/>
        </w:rPr>
        <w:t xml:space="preserve"> remitió su Informe Justificado, en el cual, remitió el contrato con las hojas faltantes, de conformidad con las siguientes capturas de pantalla:</w:t>
      </w:r>
    </w:p>
    <w:p w14:paraId="3C3E2CB8" w14:textId="77777777" w:rsidR="00F17F51" w:rsidRDefault="00F17F51">
      <w:pPr>
        <w:spacing w:line="360" w:lineRule="auto"/>
        <w:ind w:right="141"/>
        <w:jc w:val="both"/>
        <w:rPr>
          <w:rFonts w:ascii="Palatino Linotype" w:hAnsi="Palatino Linotype" w:cs="Arial"/>
          <w:bCs/>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4525"/>
        <w:gridCol w:w="4536"/>
      </w:tblGrid>
      <w:tr w:rsidR="00F17F51" w14:paraId="1F2F0207" w14:textId="77777777">
        <w:tc>
          <w:tcPr>
            <w:tcW w:w="4555" w:type="dxa"/>
            <w:vAlign w:val="center"/>
          </w:tcPr>
          <w:p w14:paraId="38466444" w14:textId="77777777" w:rsidR="00F17F51" w:rsidRDefault="00BB2045">
            <w:pPr>
              <w:spacing w:line="360" w:lineRule="auto"/>
              <w:ind w:right="141"/>
              <w:jc w:val="center"/>
              <w:rPr>
                <w:rFonts w:ascii="Palatino Linotype" w:hAnsi="Palatino Linotype" w:cs="Arial"/>
                <w:bCs/>
              </w:rPr>
            </w:pPr>
            <w:r>
              <w:rPr>
                <w:rFonts w:ascii="Palatino Linotype" w:hAnsi="Palatino Linotype" w:cs="Arial"/>
                <w:bCs/>
                <w:noProof/>
                <w:lang w:val="es-MX" w:eastAsia="es-MX"/>
              </w:rPr>
              <w:lastRenderedPageBreak/>
              <w:drawing>
                <wp:inline distT="0" distB="0" distL="0" distR="0" wp14:anchorId="5BEE55D9" wp14:editId="616040A5">
                  <wp:extent cx="2377440" cy="2933700"/>
                  <wp:effectExtent l="0" t="0" r="3810" b="0"/>
                  <wp:docPr id="1954608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08814" name="Imagen 1"/>
                          <pic:cNvPicPr>
                            <a:picLocks noChangeAspect="1"/>
                          </pic:cNvPicPr>
                        </pic:nvPicPr>
                        <pic:blipFill>
                          <a:blip r:embed="rId10"/>
                          <a:stretch>
                            <a:fillRect/>
                          </a:stretch>
                        </pic:blipFill>
                        <pic:spPr>
                          <a:xfrm>
                            <a:off x="0" y="0"/>
                            <a:ext cx="2389984" cy="2949512"/>
                          </a:xfrm>
                          <a:prstGeom prst="rect">
                            <a:avLst/>
                          </a:prstGeom>
                        </pic:spPr>
                      </pic:pic>
                    </a:graphicData>
                  </a:graphic>
                </wp:inline>
              </w:drawing>
            </w:r>
          </w:p>
        </w:tc>
        <w:tc>
          <w:tcPr>
            <w:tcW w:w="4556" w:type="dxa"/>
            <w:vAlign w:val="center"/>
          </w:tcPr>
          <w:p w14:paraId="7F8151E0" w14:textId="77777777" w:rsidR="00F17F51" w:rsidRDefault="00BB2045">
            <w:pPr>
              <w:spacing w:line="360" w:lineRule="auto"/>
              <w:ind w:right="141"/>
              <w:jc w:val="center"/>
              <w:rPr>
                <w:rFonts w:ascii="Palatino Linotype" w:hAnsi="Palatino Linotype" w:cs="Arial"/>
                <w:bCs/>
              </w:rPr>
            </w:pPr>
            <w:r>
              <w:rPr>
                <w:rFonts w:ascii="Palatino Linotype" w:hAnsi="Palatino Linotype" w:cs="Arial"/>
                <w:bCs/>
                <w:noProof/>
                <w:lang w:val="es-MX" w:eastAsia="es-MX"/>
              </w:rPr>
              <w:drawing>
                <wp:inline distT="0" distB="0" distL="0" distR="0" wp14:anchorId="449CD97A" wp14:editId="504FE780">
                  <wp:extent cx="2475865" cy="2592070"/>
                  <wp:effectExtent l="0" t="0" r="635" b="0"/>
                  <wp:docPr id="8771964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96478" name="Imagen 1"/>
                          <pic:cNvPicPr>
                            <a:picLocks noChangeAspect="1"/>
                          </pic:cNvPicPr>
                        </pic:nvPicPr>
                        <pic:blipFill>
                          <a:blip r:embed="rId11"/>
                          <a:stretch>
                            <a:fillRect/>
                          </a:stretch>
                        </pic:blipFill>
                        <pic:spPr>
                          <a:xfrm>
                            <a:off x="0" y="0"/>
                            <a:ext cx="2483830" cy="2600464"/>
                          </a:xfrm>
                          <a:prstGeom prst="rect">
                            <a:avLst/>
                          </a:prstGeom>
                        </pic:spPr>
                      </pic:pic>
                    </a:graphicData>
                  </a:graphic>
                </wp:inline>
              </w:drawing>
            </w:r>
          </w:p>
        </w:tc>
      </w:tr>
    </w:tbl>
    <w:p w14:paraId="696D7F90" w14:textId="77777777" w:rsidR="00F17F51" w:rsidRDefault="00F17F51">
      <w:pPr>
        <w:spacing w:line="360" w:lineRule="auto"/>
        <w:ind w:right="141"/>
        <w:jc w:val="both"/>
        <w:rPr>
          <w:rFonts w:ascii="Palatino Linotype" w:hAnsi="Palatino Linotype" w:cs="Arial"/>
          <w:bCs/>
        </w:rPr>
      </w:pPr>
    </w:p>
    <w:p w14:paraId="28C399EB" w14:textId="77777777" w:rsidR="00F17F51" w:rsidRDefault="00BB2045">
      <w:pPr>
        <w:spacing w:line="360" w:lineRule="auto"/>
        <w:ind w:right="141"/>
        <w:jc w:val="both"/>
        <w:rPr>
          <w:rFonts w:ascii="Palatino Linotype" w:hAnsi="Palatino Linotype" w:cs="Arial"/>
          <w:bCs/>
        </w:rPr>
      </w:pPr>
      <w:r>
        <w:rPr>
          <w:rFonts w:ascii="Palatino Linotype" w:hAnsi="Palatino Linotype" w:cs="Arial"/>
          <w:bCs/>
        </w:rPr>
        <w:t xml:space="preserve">No obstante, recordemos que, en respuesta, la Directora de Administración y Finanzas de OPERAGUA IZCALLI O.P.D.M., informó que anexó la versión pública del contrato, aprobada durante la Décimo Cuarta sesión del Comité de Transparencia del </w:t>
      </w:r>
      <w:r>
        <w:rPr>
          <w:rFonts w:ascii="Palatino Linotype" w:hAnsi="Palatino Linotype" w:cs="Arial"/>
          <w:b/>
        </w:rPr>
        <w:t>Sujeto Obligado</w:t>
      </w:r>
      <w:r>
        <w:rPr>
          <w:rFonts w:ascii="Palatino Linotype" w:hAnsi="Palatino Linotype" w:cs="Arial"/>
          <w:bCs/>
        </w:rPr>
        <w:t>; sin embargo, en el expediente electrónico no se aprecia dicha Acta; asimismo, se observa que en dicho documento se encuentra suprimido en la página tres, referente al documento expedido por el Instituto Nacional Electoral.</w:t>
      </w:r>
    </w:p>
    <w:p w14:paraId="72F4A7B5" w14:textId="77777777" w:rsidR="00F17F51" w:rsidRDefault="00F17F51">
      <w:pPr>
        <w:spacing w:line="360" w:lineRule="auto"/>
        <w:ind w:right="141"/>
        <w:jc w:val="both"/>
        <w:rPr>
          <w:rFonts w:ascii="Palatino Linotype" w:hAnsi="Palatino Linotype" w:cs="Arial"/>
          <w:bCs/>
        </w:rPr>
      </w:pPr>
    </w:p>
    <w:p w14:paraId="2ED2B4B4" w14:textId="77777777" w:rsidR="00F17F51" w:rsidRDefault="00BB2045">
      <w:pPr>
        <w:spacing w:line="360" w:lineRule="auto"/>
        <w:jc w:val="both"/>
        <w:rPr>
          <w:rFonts w:ascii="Palatino Linotype" w:hAnsi="Palatino Linotype" w:cs="Arial"/>
        </w:rPr>
      </w:pPr>
      <w:r>
        <w:rPr>
          <w:rFonts w:ascii="Palatino Linotype" w:hAnsi="Palatino Linotype" w:cs="Arial"/>
          <w:bCs/>
        </w:rPr>
        <w:t xml:space="preserve">Por lo que, el </w:t>
      </w:r>
      <w:r>
        <w:rPr>
          <w:rFonts w:ascii="Palatino Linotype" w:hAnsi="Palatino Linotype" w:cs="Arial"/>
          <w:b/>
        </w:rPr>
        <w:t>Sujeto Obligado</w:t>
      </w:r>
      <w:r>
        <w:rPr>
          <w:rFonts w:ascii="Palatino Linotype" w:hAnsi="Palatino Linotype" w:cs="Arial"/>
        </w:rPr>
        <w:t xml:space="preserve"> </w:t>
      </w:r>
      <w:r>
        <w:rPr>
          <w:rFonts w:ascii="Palatino Linotype" w:hAnsi="Palatino Linotype" w:cs="Arial"/>
          <w:u w:val="single"/>
        </w:rPr>
        <w:t>deberá remitir el Acuerdo de Clasificación con el que se sustente la pretendida versión pública, y al ser omiso en dicho documento, deberá cumplir con lo dispuesto</w:t>
      </w:r>
      <w:r>
        <w:rPr>
          <w:rFonts w:ascii="Palatino Linotype" w:hAnsi="Palatino Linotype" w:cs="Arial"/>
        </w:rPr>
        <w:t xml:space="preserve"> en los numerales 49, fracción VIII, y 132, fracciones II y III, de la Ley de Transparencia y Acceso a la Información Pública del Estado de México y </w:t>
      </w:r>
      <w:r>
        <w:rPr>
          <w:rFonts w:ascii="Palatino Linotype" w:hAnsi="Palatino Linotype" w:cs="Arial"/>
        </w:rPr>
        <w:lastRenderedPageBreak/>
        <w:t>Municipios, así como los numerales del Cuarto al Décimo Primero de los Lineamientos Generales en materia de Clasificación y Desclasificación de la Información, así como para la elaboración de Versiones Públicas, que literalmente expresan:</w:t>
      </w:r>
    </w:p>
    <w:p w14:paraId="646B313C" w14:textId="77777777" w:rsidR="00F17F51" w:rsidRDefault="00F17F51">
      <w:pPr>
        <w:pStyle w:val="Sinespaciado"/>
      </w:pPr>
    </w:p>
    <w:p w14:paraId="7F4CAE73"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 xml:space="preserve">Artículo 49. </w:t>
      </w:r>
      <w:r>
        <w:rPr>
          <w:rFonts w:ascii="Palatino Linotype" w:hAnsi="Palatino Linotype" w:cs="Arial"/>
          <w:i/>
          <w:sz w:val="22"/>
          <w:lang w:eastAsia="es-MX"/>
        </w:rPr>
        <w:t>Los Comités de Transparencia tendrán las siguientes atribuciones:</w:t>
      </w:r>
    </w:p>
    <w:p w14:paraId="3BCD61F2" w14:textId="77777777" w:rsidR="00F17F51" w:rsidRDefault="00BB2045">
      <w:pPr>
        <w:ind w:left="709" w:right="757"/>
        <w:jc w:val="both"/>
        <w:rPr>
          <w:rFonts w:ascii="Palatino Linotype" w:hAnsi="Palatino Linotype" w:cs="Arial"/>
          <w:b/>
          <w:i/>
          <w:sz w:val="22"/>
          <w:lang w:eastAsia="es-MX"/>
        </w:rPr>
      </w:pPr>
      <w:r>
        <w:rPr>
          <w:rFonts w:ascii="Palatino Linotype" w:hAnsi="Palatino Linotype" w:cs="Arial"/>
          <w:b/>
          <w:i/>
          <w:sz w:val="22"/>
          <w:lang w:eastAsia="es-MX"/>
        </w:rPr>
        <w:t>(…)</w:t>
      </w:r>
    </w:p>
    <w:p w14:paraId="5133579B"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VIII.</w:t>
      </w:r>
      <w:r>
        <w:rPr>
          <w:rFonts w:ascii="Palatino Linotype" w:hAnsi="Palatino Linotype" w:cs="Arial"/>
          <w:i/>
          <w:sz w:val="22"/>
          <w:lang w:eastAsia="es-MX"/>
        </w:rPr>
        <w:t xml:space="preserve"> Aprobar, modificar o revocar la clasificación de la información;</w:t>
      </w:r>
    </w:p>
    <w:p w14:paraId="39B4B538" w14:textId="77777777" w:rsidR="00F17F51" w:rsidRDefault="00BB2045">
      <w:pPr>
        <w:ind w:left="709" w:right="757"/>
        <w:jc w:val="both"/>
        <w:rPr>
          <w:rFonts w:ascii="Palatino Linotype" w:hAnsi="Palatino Linotype" w:cs="Arial"/>
          <w:b/>
          <w:i/>
          <w:sz w:val="22"/>
          <w:lang w:eastAsia="es-MX"/>
        </w:rPr>
      </w:pPr>
      <w:r>
        <w:rPr>
          <w:rFonts w:ascii="Palatino Linotype" w:hAnsi="Palatino Linotype" w:cs="Arial"/>
          <w:b/>
          <w:i/>
          <w:sz w:val="22"/>
          <w:lang w:eastAsia="es-MX"/>
        </w:rPr>
        <w:t>(…)</w:t>
      </w:r>
    </w:p>
    <w:p w14:paraId="6498EC00" w14:textId="77777777" w:rsidR="00F17F51" w:rsidRDefault="00F17F51">
      <w:pPr>
        <w:ind w:left="709" w:right="757"/>
        <w:jc w:val="both"/>
        <w:rPr>
          <w:rFonts w:ascii="Palatino Linotype" w:hAnsi="Palatino Linotype" w:cs="Arial"/>
          <w:b/>
          <w:i/>
          <w:sz w:val="22"/>
          <w:lang w:eastAsia="es-MX"/>
        </w:rPr>
      </w:pPr>
    </w:p>
    <w:p w14:paraId="59A2A0DA"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Artículo 132.</w:t>
      </w:r>
      <w:r>
        <w:rPr>
          <w:rFonts w:ascii="Palatino Linotype" w:hAnsi="Palatino Linotype" w:cs="Arial"/>
          <w:i/>
          <w:sz w:val="22"/>
          <w:lang w:eastAsia="es-MX"/>
        </w:rPr>
        <w:t xml:space="preserve"> La clasificación de la información se llevará a cabo en el momento en que:</w:t>
      </w:r>
    </w:p>
    <w:p w14:paraId="4F01B7C4" w14:textId="77777777" w:rsidR="00F17F51" w:rsidRDefault="00F17F51">
      <w:pPr>
        <w:ind w:left="709" w:right="757"/>
        <w:jc w:val="both"/>
        <w:rPr>
          <w:rFonts w:ascii="Palatino Linotype" w:hAnsi="Palatino Linotype" w:cs="Arial"/>
          <w:b/>
          <w:i/>
          <w:sz w:val="22"/>
          <w:lang w:eastAsia="es-MX"/>
        </w:rPr>
      </w:pPr>
    </w:p>
    <w:p w14:paraId="0FF3BB9D"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I.</w:t>
      </w:r>
      <w:r>
        <w:rPr>
          <w:rFonts w:ascii="Palatino Linotype" w:hAnsi="Palatino Linotype" w:cs="Arial"/>
          <w:i/>
          <w:sz w:val="22"/>
          <w:lang w:eastAsia="es-MX"/>
        </w:rPr>
        <w:t xml:space="preserve"> Se reciba una solicitud de acceso a la información;</w:t>
      </w:r>
    </w:p>
    <w:p w14:paraId="14712E9C"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II.</w:t>
      </w:r>
      <w:r>
        <w:rPr>
          <w:rFonts w:ascii="Palatino Linotype" w:hAnsi="Palatino Linotype" w:cs="Arial"/>
          <w:i/>
          <w:sz w:val="22"/>
          <w:lang w:eastAsia="es-MX"/>
        </w:rPr>
        <w:t xml:space="preserve"> Se determine mediante resolución de autoridad competente; o</w:t>
      </w:r>
    </w:p>
    <w:p w14:paraId="5515CF77" w14:textId="77777777" w:rsidR="00F17F51" w:rsidRDefault="00BB2045">
      <w:pPr>
        <w:ind w:left="709" w:right="757"/>
        <w:jc w:val="both"/>
        <w:rPr>
          <w:rFonts w:ascii="Palatino Linotype" w:hAnsi="Palatino Linotype" w:cs="Arial"/>
          <w:b/>
          <w:i/>
          <w:sz w:val="22"/>
          <w:lang w:eastAsia="es-MX"/>
        </w:rPr>
      </w:pPr>
      <w:r>
        <w:rPr>
          <w:rFonts w:ascii="Palatino Linotype" w:hAnsi="Palatino Linotype" w:cs="Arial"/>
          <w:i/>
          <w:sz w:val="22"/>
          <w:lang w:eastAsia="es-MX"/>
        </w:rPr>
        <w:t>III. Se generen versiones públicas para dar cumplimiento a las obligaciones de transparencia previstas en esta Ley.</w:t>
      </w:r>
      <w:r>
        <w:rPr>
          <w:rFonts w:ascii="Palatino Linotype" w:hAnsi="Palatino Linotype" w:cs="Arial"/>
          <w:b/>
          <w:i/>
          <w:sz w:val="22"/>
          <w:lang w:eastAsia="es-MX"/>
        </w:rPr>
        <w:t>”</w:t>
      </w:r>
    </w:p>
    <w:p w14:paraId="40C4FC4B" w14:textId="77777777" w:rsidR="00F17F51" w:rsidRDefault="00F17F51">
      <w:pPr>
        <w:ind w:left="709" w:right="757"/>
        <w:jc w:val="both"/>
        <w:rPr>
          <w:rFonts w:ascii="Palatino Linotype" w:hAnsi="Palatino Linotype" w:cs="Arial"/>
          <w:b/>
          <w:i/>
          <w:sz w:val="22"/>
          <w:lang w:eastAsia="es-MX"/>
        </w:rPr>
      </w:pPr>
    </w:p>
    <w:p w14:paraId="600FB0F2"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“Cuarto.</w:t>
      </w:r>
      <w:r>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041CBD" w14:textId="77777777" w:rsidR="00F17F51" w:rsidRDefault="00F17F51">
      <w:pPr>
        <w:ind w:left="709" w:right="757"/>
        <w:jc w:val="both"/>
        <w:rPr>
          <w:rFonts w:ascii="Palatino Linotype" w:hAnsi="Palatino Linotype" w:cs="Arial"/>
          <w:i/>
          <w:sz w:val="22"/>
          <w:lang w:eastAsia="es-MX"/>
        </w:rPr>
      </w:pPr>
    </w:p>
    <w:p w14:paraId="19CF5CEC"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432C908B" w14:textId="77777777" w:rsidR="00F17F51" w:rsidRDefault="00F17F51">
      <w:pPr>
        <w:ind w:left="709" w:right="757"/>
        <w:jc w:val="both"/>
        <w:rPr>
          <w:rFonts w:ascii="Palatino Linotype" w:hAnsi="Palatino Linotype" w:cs="Arial"/>
          <w:b/>
          <w:i/>
          <w:sz w:val="22"/>
          <w:lang w:eastAsia="es-MX"/>
        </w:rPr>
      </w:pPr>
    </w:p>
    <w:p w14:paraId="1FB1F0ED"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Quinto.</w:t>
      </w:r>
      <w:r>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747211" w14:textId="77777777" w:rsidR="00F17F51" w:rsidRDefault="00F17F51">
      <w:pPr>
        <w:ind w:left="709" w:right="757"/>
        <w:jc w:val="both"/>
        <w:rPr>
          <w:rFonts w:ascii="Palatino Linotype" w:hAnsi="Palatino Linotype" w:cs="Arial"/>
          <w:b/>
          <w:i/>
          <w:sz w:val="22"/>
          <w:lang w:eastAsia="es-MX"/>
        </w:rPr>
      </w:pPr>
    </w:p>
    <w:p w14:paraId="7648B1F7"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lastRenderedPageBreak/>
        <w:t>Sexto.</w:t>
      </w:r>
      <w:r>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DE04EFC" w14:textId="77777777" w:rsidR="00F17F51" w:rsidRDefault="00F17F51">
      <w:pPr>
        <w:ind w:left="709" w:right="757"/>
        <w:jc w:val="both"/>
        <w:rPr>
          <w:rFonts w:ascii="Palatino Linotype" w:hAnsi="Palatino Linotype" w:cs="Arial"/>
          <w:i/>
          <w:sz w:val="22"/>
          <w:lang w:eastAsia="es-MX"/>
        </w:rPr>
      </w:pPr>
    </w:p>
    <w:p w14:paraId="0142F5F0"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00E1AA3E" w14:textId="77777777" w:rsidR="00F17F51" w:rsidRDefault="00F17F51">
      <w:pPr>
        <w:ind w:left="709" w:right="757"/>
        <w:jc w:val="both"/>
        <w:rPr>
          <w:rFonts w:ascii="Palatino Linotype" w:hAnsi="Palatino Linotype" w:cs="Arial"/>
          <w:b/>
          <w:i/>
          <w:sz w:val="22"/>
          <w:lang w:eastAsia="es-MX"/>
        </w:rPr>
      </w:pPr>
    </w:p>
    <w:p w14:paraId="6C4CCCE3"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Séptimo.</w:t>
      </w:r>
      <w:r>
        <w:rPr>
          <w:rFonts w:ascii="Palatino Linotype" w:hAnsi="Palatino Linotype" w:cs="Arial"/>
          <w:i/>
          <w:sz w:val="22"/>
          <w:lang w:eastAsia="es-MX"/>
        </w:rPr>
        <w:t xml:space="preserve"> La clasificación de la información se llevará a cabo en el momento en que:</w:t>
      </w:r>
    </w:p>
    <w:p w14:paraId="595D06ED"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I.</w:t>
      </w:r>
      <w:r>
        <w:rPr>
          <w:rFonts w:ascii="Palatino Linotype" w:hAnsi="Palatino Linotype" w:cs="Arial"/>
          <w:i/>
          <w:sz w:val="22"/>
          <w:lang w:eastAsia="es-MX"/>
        </w:rPr>
        <w:t xml:space="preserve"> Se reciba una solicitud de acceso a la información;</w:t>
      </w:r>
    </w:p>
    <w:p w14:paraId="60DF9753"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II.</w:t>
      </w:r>
      <w:r>
        <w:rPr>
          <w:rFonts w:ascii="Palatino Linotype" w:hAnsi="Palatino Linotype" w:cs="Arial"/>
          <w:i/>
          <w:sz w:val="22"/>
          <w:lang w:eastAsia="es-MX"/>
        </w:rPr>
        <w:t xml:space="preserve"> Se determine mediante resolución de autoridad competente, o</w:t>
      </w:r>
    </w:p>
    <w:p w14:paraId="7CBD3433"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III.</w:t>
      </w:r>
      <w:r>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01887BB2" w14:textId="77777777" w:rsidR="00F17F51" w:rsidRDefault="00F17F51">
      <w:pPr>
        <w:ind w:left="709" w:right="757"/>
        <w:jc w:val="both"/>
        <w:rPr>
          <w:rFonts w:ascii="Palatino Linotype" w:hAnsi="Palatino Linotype" w:cs="Arial"/>
          <w:i/>
          <w:sz w:val="22"/>
          <w:lang w:eastAsia="es-MX"/>
        </w:rPr>
      </w:pPr>
    </w:p>
    <w:p w14:paraId="6BFE162E"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0DA5DD99" w14:textId="77777777" w:rsidR="00F17F51" w:rsidRDefault="00F17F51">
      <w:pPr>
        <w:ind w:left="709" w:right="757"/>
        <w:jc w:val="both"/>
        <w:rPr>
          <w:rFonts w:ascii="Palatino Linotype" w:hAnsi="Palatino Linotype" w:cs="Arial"/>
          <w:b/>
          <w:i/>
          <w:sz w:val="22"/>
          <w:lang w:eastAsia="es-MX"/>
        </w:rPr>
      </w:pPr>
    </w:p>
    <w:p w14:paraId="2F32F167"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Octavo.</w:t>
      </w:r>
      <w:r>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63C672" w14:textId="77777777" w:rsidR="00F17F51" w:rsidRDefault="00F17F51">
      <w:pPr>
        <w:ind w:left="709" w:right="757"/>
        <w:jc w:val="both"/>
        <w:rPr>
          <w:rFonts w:ascii="Palatino Linotype" w:hAnsi="Palatino Linotype" w:cs="Arial"/>
          <w:i/>
          <w:sz w:val="22"/>
          <w:lang w:eastAsia="es-MX"/>
        </w:rPr>
      </w:pPr>
    </w:p>
    <w:p w14:paraId="1EC0EEF0"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6A9B39C3" w14:textId="77777777" w:rsidR="00F17F51" w:rsidRDefault="00F17F51">
      <w:pPr>
        <w:ind w:left="709" w:right="757"/>
        <w:jc w:val="both"/>
        <w:rPr>
          <w:rFonts w:ascii="Palatino Linotype" w:hAnsi="Palatino Linotype" w:cs="Arial"/>
          <w:i/>
          <w:sz w:val="22"/>
          <w:lang w:eastAsia="es-MX"/>
        </w:rPr>
      </w:pPr>
    </w:p>
    <w:p w14:paraId="6003E01B"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0FB945BA" w14:textId="77777777" w:rsidR="00F17F51" w:rsidRDefault="00F17F51">
      <w:pPr>
        <w:ind w:left="709" w:right="757"/>
        <w:jc w:val="both"/>
        <w:rPr>
          <w:rFonts w:ascii="Palatino Linotype" w:hAnsi="Palatino Linotype" w:cs="Arial"/>
          <w:i/>
          <w:sz w:val="22"/>
          <w:lang w:eastAsia="es-MX"/>
        </w:rPr>
      </w:pPr>
    </w:p>
    <w:p w14:paraId="51B4A2D9"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D8341A" w14:textId="77777777" w:rsidR="00F17F51" w:rsidRDefault="00F17F51">
      <w:pPr>
        <w:ind w:left="709" w:right="757"/>
        <w:jc w:val="both"/>
        <w:rPr>
          <w:rFonts w:ascii="Palatino Linotype" w:hAnsi="Palatino Linotype" w:cs="Arial"/>
          <w:i/>
          <w:sz w:val="22"/>
          <w:lang w:eastAsia="es-MX"/>
        </w:rPr>
      </w:pPr>
    </w:p>
    <w:p w14:paraId="1653980C"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1FFCCC98" w14:textId="77777777" w:rsidR="00F17F51" w:rsidRDefault="00F17F51">
      <w:pPr>
        <w:ind w:left="709" w:right="757"/>
        <w:jc w:val="both"/>
        <w:rPr>
          <w:rFonts w:ascii="Palatino Linotype" w:hAnsi="Palatino Linotype" w:cs="Arial"/>
          <w:b/>
          <w:i/>
          <w:sz w:val="22"/>
          <w:lang w:eastAsia="es-MX"/>
        </w:rPr>
      </w:pPr>
    </w:p>
    <w:p w14:paraId="40419A97"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Noveno.</w:t>
      </w:r>
      <w:r>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FD4759D" w14:textId="77777777" w:rsidR="00F17F51" w:rsidRDefault="00F17F51">
      <w:pPr>
        <w:ind w:left="709" w:right="757"/>
        <w:jc w:val="both"/>
        <w:rPr>
          <w:rFonts w:ascii="Palatino Linotype" w:hAnsi="Palatino Linotype" w:cs="Arial"/>
          <w:b/>
          <w:i/>
          <w:sz w:val="22"/>
          <w:lang w:eastAsia="es-MX"/>
        </w:rPr>
      </w:pPr>
    </w:p>
    <w:p w14:paraId="04B0CAF3"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Décimo.</w:t>
      </w:r>
      <w:r>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6687A0" w14:textId="77777777" w:rsidR="00F17F51" w:rsidRDefault="00F17F51">
      <w:pPr>
        <w:ind w:left="709" w:right="757"/>
        <w:jc w:val="both"/>
        <w:rPr>
          <w:rFonts w:ascii="Palatino Linotype" w:hAnsi="Palatino Linotype" w:cs="Arial"/>
          <w:i/>
          <w:sz w:val="22"/>
          <w:lang w:eastAsia="es-MX"/>
        </w:rPr>
      </w:pPr>
    </w:p>
    <w:p w14:paraId="316DB335"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5880C6ED" w14:textId="77777777" w:rsidR="00F17F51" w:rsidRDefault="00F17F51">
      <w:pPr>
        <w:ind w:left="709" w:right="757"/>
        <w:jc w:val="both"/>
        <w:rPr>
          <w:rFonts w:ascii="Palatino Linotype" w:hAnsi="Palatino Linotype" w:cs="Arial"/>
          <w:b/>
          <w:i/>
          <w:sz w:val="22"/>
          <w:lang w:eastAsia="es-MX"/>
        </w:rPr>
      </w:pPr>
    </w:p>
    <w:p w14:paraId="5F5C67A9" w14:textId="77777777" w:rsidR="00F17F51" w:rsidRDefault="00BB2045">
      <w:pPr>
        <w:ind w:left="709" w:right="757"/>
        <w:jc w:val="both"/>
        <w:rPr>
          <w:rFonts w:ascii="Palatino Linotype" w:hAnsi="Palatino Linotype" w:cs="Arial"/>
          <w:i/>
          <w:sz w:val="22"/>
          <w:lang w:eastAsia="es-MX"/>
        </w:rPr>
      </w:pPr>
      <w:r>
        <w:rPr>
          <w:rFonts w:ascii="Palatino Linotype" w:hAnsi="Palatino Linotype" w:cs="Arial"/>
          <w:b/>
          <w:i/>
          <w:sz w:val="22"/>
          <w:lang w:eastAsia="es-MX"/>
        </w:rPr>
        <w:t>Décimo primero.</w:t>
      </w:r>
      <w:r>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019801" w14:textId="77777777" w:rsidR="00F17F51" w:rsidRDefault="00F17F51">
      <w:pPr>
        <w:ind w:left="709" w:right="757"/>
        <w:jc w:val="both"/>
        <w:rPr>
          <w:rFonts w:ascii="Palatino Linotype" w:hAnsi="Palatino Linotype" w:cs="Arial"/>
          <w:i/>
          <w:sz w:val="22"/>
          <w:lang w:eastAsia="es-MX"/>
        </w:rPr>
      </w:pPr>
    </w:p>
    <w:p w14:paraId="133167DC" w14:textId="77777777" w:rsidR="00F17F51" w:rsidRDefault="00BB2045">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vigilar su cumplimiento mediante la emisión de versiones públicas.</w:t>
      </w:r>
    </w:p>
    <w:p w14:paraId="696A2262" w14:textId="77777777" w:rsidR="00F17F51" w:rsidRDefault="00F17F5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27B60409" w14:textId="77777777" w:rsidR="00F17F51" w:rsidRDefault="00BB2045">
      <w:pPr>
        <w:spacing w:line="360" w:lineRule="auto"/>
        <w:jc w:val="both"/>
        <w:rPr>
          <w:rFonts w:ascii="Palatino Linotype" w:hAnsi="Palatino Linotype" w:cs="Arial"/>
        </w:rPr>
      </w:pPr>
      <w:r>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CC59F78" w14:textId="77777777" w:rsidR="00F17F51" w:rsidRDefault="00F17F51">
      <w:pPr>
        <w:spacing w:line="360" w:lineRule="auto"/>
        <w:jc w:val="both"/>
        <w:rPr>
          <w:rFonts w:ascii="Palatino Linotype" w:hAnsi="Palatino Linotype" w:cs="Arial"/>
        </w:rPr>
      </w:pPr>
    </w:p>
    <w:p w14:paraId="14837C0A"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lastRenderedPageBreak/>
        <w:t>Artículo 3.</w:t>
      </w:r>
      <w:r>
        <w:rPr>
          <w:rFonts w:ascii="Palatino Linotype" w:hAnsi="Palatino Linotype" w:cs="Arial"/>
          <w:i/>
          <w:sz w:val="22"/>
        </w:rPr>
        <w:t xml:space="preserve"> Para los efectos de la presente Ley se entenderá por:</w:t>
      </w:r>
    </w:p>
    <w:p w14:paraId="133A3D03" w14:textId="77777777" w:rsidR="00F17F51" w:rsidRDefault="00BB2045">
      <w:pPr>
        <w:ind w:left="851" w:right="851"/>
        <w:jc w:val="both"/>
        <w:rPr>
          <w:rFonts w:ascii="Palatino Linotype" w:hAnsi="Palatino Linotype" w:cs="Arial"/>
          <w:i/>
          <w:sz w:val="22"/>
        </w:rPr>
      </w:pPr>
      <w:r>
        <w:rPr>
          <w:rFonts w:ascii="Palatino Linotype" w:hAnsi="Palatino Linotype" w:cs="Arial"/>
          <w:i/>
          <w:sz w:val="22"/>
        </w:rPr>
        <w:t>[…]</w:t>
      </w:r>
    </w:p>
    <w:p w14:paraId="3C436A77" w14:textId="77777777" w:rsidR="00F17F51" w:rsidRDefault="00F17F51">
      <w:pPr>
        <w:ind w:left="851" w:right="851"/>
        <w:jc w:val="both"/>
        <w:rPr>
          <w:rFonts w:ascii="Palatino Linotype" w:hAnsi="Palatino Linotype" w:cs="Arial"/>
          <w:i/>
          <w:sz w:val="22"/>
        </w:rPr>
      </w:pPr>
    </w:p>
    <w:p w14:paraId="015830EC"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IX. Datos personales:</w:t>
      </w:r>
      <w:r>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2F599179" w14:textId="77777777" w:rsidR="00F17F51" w:rsidRDefault="00F17F51">
      <w:pPr>
        <w:ind w:left="851" w:right="851"/>
        <w:jc w:val="both"/>
        <w:rPr>
          <w:rFonts w:ascii="Palatino Linotype" w:hAnsi="Palatino Linotype" w:cs="Arial"/>
          <w:b/>
          <w:i/>
          <w:sz w:val="22"/>
        </w:rPr>
      </w:pPr>
    </w:p>
    <w:p w14:paraId="1A2E8A3B"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XX. Información clasificada:</w:t>
      </w:r>
      <w:r>
        <w:rPr>
          <w:rFonts w:ascii="Palatino Linotype" w:hAnsi="Palatino Linotype" w:cs="Arial"/>
          <w:i/>
          <w:sz w:val="22"/>
        </w:rPr>
        <w:t xml:space="preserve"> Aquella considerada por la presente Ley como reservada o confidencial;</w:t>
      </w:r>
    </w:p>
    <w:p w14:paraId="0679AC0D" w14:textId="77777777" w:rsidR="00F17F51" w:rsidRDefault="00F17F51">
      <w:pPr>
        <w:ind w:left="851" w:right="851"/>
        <w:jc w:val="both"/>
        <w:rPr>
          <w:rFonts w:ascii="Palatino Linotype" w:hAnsi="Palatino Linotype" w:cs="Arial"/>
          <w:b/>
          <w:i/>
          <w:sz w:val="22"/>
        </w:rPr>
      </w:pPr>
    </w:p>
    <w:p w14:paraId="04CA29CF"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XXI. Información confidencial:</w:t>
      </w:r>
      <w:r>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B29312" w14:textId="77777777" w:rsidR="00F17F51" w:rsidRDefault="00F17F51">
      <w:pPr>
        <w:ind w:left="851" w:right="851"/>
        <w:jc w:val="both"/>
        <w:rPr>
          <w:rFonts w:ascii="Palatino Linotype" w:hAnsi="Palatino Linotype" w:cs="Arial"/>
          <w:b/>
          <w:i/>
          <w:sz w:val="22"/>
        </w:rPr>
      </w:pPr>
    </w:p>
    <w:p w14:paraId="0FC109D3"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XLV. Versión pública:</w:t>
      </w:r>
      <w:r>
        <w:rPr>
          <w:rFonts w:ascii="Palatino Linotype" w:hAnsi="Palatino Linotype" w:cs="Arial"/>
          <w:i/>
          <w:sz w:val="22"/>
        </w:rPr>
        <w:t xml:space="preserve"> Documento en el que se elimine, suprime o borra la información clasificada como reservada o confidencial para permitir su acceso.</w:t>
      </w:r>
    </w:p>
    <w:p w14:paraId="7BA28B36" w14:textId="77777777" w:rsidR="00F17F51" w:rsidRDefault="00BB2045">
      <w:pPr>
        <w:ind w:left="851" w:right="851"/>
        <w:jc w:val="both"/>
        <w:rPr>
          <w:rFonts w:ascii="Palatino Linotype" w:hAnsi="Palatino Linotype" w:cs="Arial"/>
          <w:i/>
          <w:sz w:val="22"/>
        </w:rPr>
      </w:pPr>
      <w:r>
        <w:rPr>
          <w:rFonts w:ascii="Palatino Linotype" w:hAnsi="Palatino Linotype" w:cs="Arial"/>
          <w:i/>
          <w:sz w:val="22"/>
        </w:rPr>
        <w:t>[…]</w:t>
      </w:r>
    </w:p>
    <w:p w14:paraId="25C3933A"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Artículo 91.</w:t>
      </w:r>
      <w:r>
        <w:rPr>
          <w:rFonts w:ascii="Palatino Linotype" w:hAnsi="Palatino Linotype" w:cs="Arial"/>
          <w:i/>
          <w:sz w:val="22"/>
        </w:rPr>
        <w:t xml:space="preserve"> El acceso a la información pública será restringido excepcionalmente, cuando ésta sea clasificada como reservada o confidencial.</w:t>
      </w:r>
    </w:p>
    <w:p w14:paraId="5AF3CE3E" w14:textId="77777777" w:rsidR="00F17F51" w:rsidRDefault="00F17F51">
      <w:pPr>
        <w:ind w:left="851" w:right="851"/>
        <w:jc w:val="both"/>
        <w:rPr>
          <w:rFonts w:ascii="Palatino Linotype" w:hAnsi="Palatino Linotype" w:cs="Arial"/>
          <w:i/>
          <w:sz w:val="22"/>
        </w:rPr>
      </w:pPr>
    </w:p>
    <w:p w14:paraId="563C06E0"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Artículo 132.</w:t>
      </w:r>
      <w:r>
        <w:rPr>
          <w:rFonts w:ascii="Palatino Linotype" w:hAnsi="Palatino Linotype" w:cs="Arial"/>
          <w:i/>
          <w:sz w:val="22"/>
        </w:rPr>
        <w:t xml:space="preserve"> </w:t>
      </w:r>
      <w:r>
        <w:rPr>
          <w:rFonts w:ascii="Palatino Linotype" w:hAnsi="Palatino Linotype" w:cs="Arial"/>
          <w:i/>
          <w:sz w:val="22"/>
          <w:u w:val="single"/>
        </w:rPr>
        <w:t>La clasificación de la información se llevará a cabo en el momento en que</w:t>
      </w:r>
      <w:r>
        <w:rPr>
          <w:rFonts w:ascii="Palatino Linotype" w:hAnsi="Palatino Linotype" w:cs="Arial"/>
          <w:i/>
          <w:sz w:val="22"/>
        </w:rPr>
        <w:t>:</w:t>
      </w:r>
    </w:p>
    <w:p w14:paraId="57E09DDC"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I.</w:t>
      </w:r>
      <w:r>
        <w:rPr>
          <w:rFonts w:ascii="Palatino Linotype" w:hAnsi="Palatino Linotype" w:cs="Arial"/>
          <w:i/>
          <w:sz w:val="22"/>
        </w:rPr>
        <w:t xml:space="preserve"> Se reciba una solicitud de acceso a la información;</w:t>
      </w:r>
    </w:p>
    <w:p w14:paraId="5F14DCA2" w14:textId="77777777" w:rsidR="00F17F51" w:rsidRDefault="00BB2045">
      <w:pPr>
        <w:ind w:left="851" w:right="851"/>
        <w:jc w:val="both"/>
        <w:rPr>
          <w:rFonts w:ascii="Palatino Linotype" w:hAnsi="Palatino Linotype" w:cs="Arial"/>
          <w:i/>
          <w:sz w:val="22"/>
          <w:u w:val="single"/>
        </w:rPr>
      </w:pPr>
      <w:r>
        <w:rPr>
          <w:rFonts w:ascii="Palatino Linotype" w:hAnsi="Palatino Linotype" w:cs="Arial"/>
          <w:b/>
          <w:i/>
          <w:sz w:val="22"/>
        </w:rPr>
        <w:t>II.</w:t>
      </w:r>
      <w:r>
        <w:rPr>
          <w:rFonts w:ascii="Palatino Linotype" w:hAnsi="Palatino Linotype" w:cs="Arial"/>
          <w:i/>
          <w:sz w:val="22"/>
        </w:rPr>
        <w:t xml:space="preserve"> </w:t>
      </w:r>
      <w:r>
        <w:rPr>
          <w:rFonts w:ascii="Palatino Linotype" w:hAnsi="Palatino Linotype" w:cs="Arial"/>
          <w:i/>
          <w:sz w:val="22"/>
          <w:u w:val="single"/>
        </w:rPr>
        <w:t>Se determine mediante resolución de autoridad competente; o</w:t>
      </w:r>
    </w:p>
    <w:p w14:paraId="3E611947" w14:textId="77777777" w:rsidR="00F17F51" w:rsidRDefault="00BB2045">
      <w:pPr>
        <w:ind w:left="851" w:right="851"/>
        <w:jc w:val="both"/>
        <w:rPr>
          <w:rFonts w:ascii="Palatino Linotype" w:hAnsi="Palatino Linotype" w:cs="Arial"/>
          <w:i/>
          <w:sz w:val="22"/>
          <w:u w:val="single"/>
        </w:rPr>
      </w:pPr>
      <w:r>
        <w:rPr>
          <w:rFonts w:ascii="Palatino Linotype" w:hAnsi="Palatino Linotype" w:cs="Arial"/>
          <w:b/>
          <w:i/>
          <w:sz w:val="22"/>
        </w:rPr>
        <w:t>III.</w:t>
      </w:r>
      <w:r>
        <w:rPr>
          <w:rFonts w:ascii="Palatino Linotype" w:hAnsi="Palatino Linotype" w:cs="Arial"/>
          <w:i/>
          <w:sz w:val="22"/>
        </w:rPr>
        <w:t xml:space="preserve"> </w:t>
      </w:r>
      <w:r>
        <w:rPr>
          <w:rFonts w:ascii="Palatino Linotype" w:hAnsi="Palatino Linotype" w:cs="Arial"/>
          <w:i/>
          <w:sz w:val="22"/>
          <w:u w:val="single"/>
        </w:rPr>
        <w:t>Se generen versiones públicas para dar cumplimiento a las obligaciones de transparencia previstas en esta Ley.</w:t>
      </w:r>
    </w:p>
    <w:p w14:paraId="2E139E3F" w14:textId="77777777" w:rsidR="00F17F51" w:rsidRDefault="00BB2045">
      <w:pPr>
        <w:ind w:left="851" w:right="851"/>
        <w:jc w:val="both"/>
        <w:rPr>
          <w:rFonts w:ascii="Palatino Linotype" w:hAnsi="Palatino Linotype" w:cs="Arial"/>
          <w:i/>
          <w:sz w:val="22"/>
        </w:rPr>
      </w:pPr>
      <w:r>
        <w:rPr>
          <w:rFonts w:ascii="Palatino Linotype" w:hAnsi="Palatino Linotype" w:cs="Arial"/>
          <w:i/>
          <w:sz w:val="22"/>
        </w:rPr>
        <w:t>[…]</w:t>
      </w:r>
    </w:p>
    <w:p w14:paraId="41AAAE7A" w14:textId="77777777" w:rsidR="00F17F51" w:rsidRDefault="00F17F51">
      <w:pPr>
        <w:ind w:left="851" w:right="851"/>
        <w:jc w:val="both"/>
        <w:rPr>
          <w:rFonts w:ascii="Palatino Linotype" w:hAnsi="Palatino Linotype" w:cs="Arial"/>
          <w:i/>
          <w:sz w:val="22"/>
        </w:rPr>
      </w:pPr>
    </w:p>
    <w:p w14:paraId="4BF4651F"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Artículo 143.</w:t>
      </w:r>
      <w:r>
        <w:rPr>
          <w:rFonts w:ascii="Palatino Linotype" w:hAnsi="Palatino Linotype" w:cs="Arial"/>
          <w:i/>
          <w:sz w:val="22"/>
        </w:rPr>
        <w:t xml:space="preserve"> </w:t>
      </w:r>
      <w:r>
        <w:rPr>
          <w:rFonts w:ascii="Palatino Linotype" w:hAnsi="Palatino Linotype" w:cs="Arial"/>
          <w:i/>
          <w:sz w:val="22"/>
          <w:u w:val="single"/>
        </w:rPr>
        <w:t>Para los efectos de esta Ley se considera información confidencial, la clasificada como tal, de manera permanente, por su naturaleza, cuando</w:t>
      </w:r>
      <w:r>
        <w:rPr>
          <w:rFonts w:ascii="Palatino Linotype" w:hAnsi="Palatino Linotype" w:cs="Arial"/>
          <w:i/>
          <w:sz w:val="22"/>
        </w:rPr>
        <w:t>:</w:t>
      </w:r>
    </w:p>
    <w:p w14:paraId="79D83831" w14:textId="77777777" w:rsidR="00F17F51" w:rsidRDefault="00F17F51">
      <w:pPr>
        <w:ind w:left="851" w:right="851"/>
        <w:jc w:val="both"/>
        <w:rPr>
          <w:rFonts w:ascii="Palatino Linotype" w:hAnsi="Palatino Linotype" w:cs="Arial"/>
          <w:b/>
          <w:i/>
          <w:sz w:val="22"/>
        </w:rPr>
      </w:pPr>
    </w:p>
    <w:p w14:paraId="76F09926"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t>I.</w:t>
      </w:r>
      <w:r>
        <w:rPr>
          <w:rFonts w:ascii="Palatino Linotype" w:hAnsi="Palatino Linotype" w:cs="Arial"/>
          <w:i/>
          <w:sz w:val="22"/>
        </w:rPr>
        <w:t xml:space="preserve"> </w:t>
      </w:r>
      <w:r>
        <w:rPr>
          <w:rFonts w:ascii="Palatino Linotype" w:hAnsi="Palatino Linotype" w:cs="Arial"/>
          <w:i/>
          <w:sz w:val="22"/>
          <w:u w:val="single"/>
        </w:rPr>
        <w:t>Se refiera a la información privada y los datos personales concernientes a una persona física o jurídico colectiva identificada o identificable</w:t>
      </w:r>
      <w:r>
        <w:rPr>
          <w:rFonts w:ascii="Palatino Linotype" w:hAnsi="Palatino Linotype" w:cs="Arial"/>
          <w:i/>
          <w:sz w:val="22"/>
        </w:rPr>
        <w:t>;</w:t>
      </w:r>
    </w:p>
    <w:p w14:paraId="07302FA2" w14:textId="77777777" w:rsidR="00F17F51" w:rsidRDefault="00BB2045">
      <w:pPr>
        <w:ind w:left="851" w:right="851"/>
        <w:jc w:val="both"/>
        <w:rPr>
          <w:rFonts w:ascii="Palatino Linotype" w:hAnsi="Palatino Linotype" w:cs="Arial"/>
          <w:i/>
          <w:sz w:val="22"/>
          <w:u w:val="single"/>
        </w:rPr>
      </w:pPr>
      <w:r>
        <w:rPr>
          <w:rFonts w:ascii="Palatino Linotype" w:hAnsi="Palatino Linotype" w:cs="Arial"/>
          <w:b/>
          <w:i/>
          <w:sz w:val="22"/>
        </w:rPr>
        <w:t>II.</w:t>
      </w:r>
      <w:r>
        <w:rPr>
          <w:rFonts w:ascii="Palatino Linotype" w:hAnsi="Palatino Linotype" w:cs="Arial"/>
          <w:i/>
          <w:sz w:val="22"/>
        </w:rPr>
        <w:t xml:space="preserve"> </w:t>
      </w:r>
      <w:r>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EA011D2" w14:textId="77777777" w:rsidR="00F17F51" w:rsidRDefault="00BB2045">
      <w:pPr>
        <w:ind w:left="851" w:right="851"/>
        <w:jc w:val="both"/>
        <w:rPr>
          <w:rFonts w:ascii="Palatino Linotype" w:hAnsi="Palatino Linotype" w:cs="Arial"/>
          <w:i/>
          <w:sz w:val="22"/>
        </w:rPr>
      </w:pPr>
      <w:r>
        <w:rPr>
          <w:rFonts w:ascii="Palatino Linotype" w:hAnsi="Palatino Linotype" w:cs="Arial"/>
          <w:b/>
          <w:i/>
          <w:sz w:val="22"/>
        </w:rPr>
        <w:lastRenderedPageBreak/>
        <w:t>III.</w:t>
      </w:r>
      <w:r>
        <w:rPr>
          <w:rFonts w:ascii="Palatino Linotype" w:hAnsi="Palatino Linotype" w:cs="Arial"/>
          <w:i/>
          <w:sz w:val="22"/>
        </w:rPr>
        <w:t xml:space="preserve"> La que presenten los particulares a los sujetos obligados, de conformidad con lo dispuesto por las leyes o los tratados internacionales.</w:t>
      </w:r>
    </w:p>
    <w:p w14:paraId="3DD8996E" w14:textId="77777777" w:rsidR="00F17F51" w:rsidRDefault="00F17F51">
      <w:pPr>
        <w:ind w:left="851" w:right="851"/>
        <w:jc w:val="both"/>
        <w:rPr>
          <w:rFonts w:ascii="Palatino Linotype" w:hAnsi="Palatino Linotype" w:cs="Arial"/>
          <w:i/>
          <w:sz w:val="22"/>
        </w:rPr>
      </w:pPr>
    </w:p>
    <w:p w14:paraId="3982D944" w14:textId="77777777" w:rsidR="00F17F51" w:rsidRDefault="00BB2045">
      <w:pPr>
        <w:ind w:left="851" w:right="851"/>
        <w:jc w:val="both"/>
        <w:rPr>
          <w:rFonts w:ascii="Palatino Linotype" w:hAnsi="Palatino Linotype" w:cs="Arial"/>
          <w:i/>
          <w:sz w:val="22"/>
        </w:rPr>
      </w:pPr>
      <w:r>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6BD5EA68" w14:textId="77777777" w:rsidR="00F17F51" w:rsidRDefault="00F17F51">
      <w:pPr>
        <w:ind w:left="851" w:right="851"/>
        <w:jc w:val="both"/>
        <w:rPr>
          <w:rFonts w:ascii="Palatino Linotype" w:hAnsi="Palatino Linotype" w:cs="Arial"/>
          <w:i/>
          <w:sz w:val="22"/>
        </w:rPr>
      </w:pPr>
    </w:p>
    <w:p w14:paraId="088E766B" w14:textId="77777777" w:rsidR="00F17F51" w:rsidRDefault="00BB2045">
      <w:pPr>
        <w:ind w:left="851" w:right="851"/>
        <w:jc w:val="both"/>
        <w:rPr>
          <w:rFonts w:ascii="Palatino Linotype" w:hAnsi="Palatino Linotype" w:cs="Arial"/>
          <w:i/>
          <w:sz w:val="22"/>
        </w:rPr>
      </w:pPr>
      <w:r>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5C61AA3B" w14:textId="77777777" w:rsidR="00F17F51" w:rsidRDefault="00F17F51">
      <w:pPr>
        <w:spacing w:line="360" w:lineRule="auto"/>
        <w:jc w:val="both"/>
        <w:rPr>
          <w:rFonts w:ascii="Palatino Linotype" w:hAnsi="Palatino Linotype"/>
          <w:lang w:eastAsia="es-MX"/>
        </w:rPr>
      </w:pPr>
    </w:p>
    <w:p w14:paraId="29CC7E97" w14:textId="77777777" w:rsidR="00F17F51" w:rsidRDefault="00BB2045">
      <w:pPr>
        <w:spacing w:line="360" w:lineRule="auto"/>
        <w:jc w:val="both"/>
        <w:rPr>
          <w:rFonts w:ascii="Palatino Linotype" w:hAnsi="Palatino Linotype" w:cs="Arial"/>
          <w:lang w:eastAsia="es-CO"/>
        </w:rPr>
      </w:pPr>
      <w:r>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hAnsi="Palatino Linotype" w:cs="Arial"/>
          <w:b/>
          <w:lang w:eastAsia="es-CO"/>
        </w:rPr>
        <w:t>Sujeto Obligado</w:t>
      </w:r>
      <w:r>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5212293" w14:textId="77777777" w:rsidR="00F17F51" w:rsidRDefault="00F17F51">
      <w:pPr>
        <w:spacing w:line="360" w:lineRule="auto"/>
        <w:jc w:val="both"/>
        <w:rPr>
          <w:rFonts w:ascii="Palatino Linotype" w:hAnsi="Palatino Linotype" w:cs="Arial"/>
          <w:lang w:eastAsia="es-CO"/>
        </w:rPr>
      </w:pPr>
    </w:p>
    <w:p w14:paraId="03383254" w14:textId="77777777" w:rsidR="00F17F51" w:rsidRDefault="00BB2045">
      <w:p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En conclusión, es dable ordenar la entrega del Acuerdo de Clasificación de la información, mediante el cual el Comité de Transparencia funde y motive las razones por la cuales se suprimieron datos del contrato remitido en informe justificado.</w:t>
      </w:r>
    </w:p>
    <w:p w14:paraId="1DEF7A96" w14:textId="77777777" w:rsidR="00F17F51" w:rsidRDefault="00F17F51">
      <w:pPr>
        <w:spacing w:line="360" w:lineRule="auto"/>
        <w:jc w:val="both"/>
        <w:rPr>
          <w:rFonts w:ascii="Palatino Linotype" w:eastAsia="Palatino Linotype" w:hAnsi="Palatino Linotype" w:cs="Palatino Linotype"/>
          <w:lang w:eastAsia="es-MX"/>
        </w:rPr>
      </w:pPr>
    </w:p>
    <w:p w14:paraId="073E9D92" w14:textId="77777777" w:rsidR="00F17F51" w:rsidRDefault="00BB2045">
      <w:pPr>
        <w:spacing w:line="360" w:lineRule="auto"/>
        <w:jc w:val="both"/>
        <w:rPr>
          <w:rFonts w:ascii="Palatino Linotype" w:hAnsi="Palatino Linotype"/>
        </w:rPr>
      </w:pPr>
      <w:r>
        <w:rPr>
          <w:rFonts w:ascii="Palatino Linotype" w:hAnsi="Palatino Linotype" w:cs="Arial"/>
          <w:lang w:eastAsia="es-MX"/>
        </w:rPr>
        <w:lastRenderedPageBreak/>
        <w:t>Final</w:t>
      </w:r>
      <w:r>
        <w:rPr>
          <w:rFonts w:ascii="Palatino Linotype" w:hAnsi="Palatino Linotype"/>
        </w:rPr>
        <w:t xml:space="preserve">mente, y en mérito de lo expuesto en líneas anteriores, resultan fundados los motivos de inconformidad vertidos por </w:t>
      </w:r>
      <w:r>
        <w:rPr>
          <w:rFonts w:ascii="Palatino Linotype" w:hAnsi="Palatino Linotype"/>
          <w:b/>
        </w:rPr>
        <w:t>El Recurrente</w:t>
      </w:r>
      <w:r>
        <w:rPr>
          <w:rFonts w:ascii="Palatino Linotype" w:hAnsi="Palatino Linotype"/>
        </w:rPr>
        <w:t xml:space="preserve">, por ello con fundamento en la </w:t>
      </w:r>
      <w:r>
        <w:rPr>
          <w:rFonts w:ascii="Palatino Linotype" w:hAnsi="Palatino Linotype"/>
          <w:i/>
        </w:rPr>
        <w:t>segunda hipótesis</w:t>
      </w:r>
      <w:r>
        <w:rPr>
          <w:rFonts w:ascii="Palatino Linotype" w:hAnsi="Palatino Linotype"/>
        </w:rPr>
        <w:t xml:space="preserve"> del artículo 186, fracción III, de la Ley de Transparencia y Acceso a la Información Pública del Estado de México y Municipios, se </w:t>
      </w:r>
      <w:r>
        <w:rPr>
          <w:rFonts w:ascii="Palatino Linotype" w:hAnsi="Palatino Linotype"/>
          <w:b/>
        </w:rPr>
        <w:t xml:space="preserve">MODIFICA </w:t>
      </w:r>
      <w:r>
        <w:rPr>
          <w:rFonts w:ascii="Palatino Linotype" w:hAnsi="Palatino Linotype"/>
        </w:rPr>
        <w:t xml:space="preserve">la respuesta a la solicitud de información </w:t>
      </w:r>
      <w:r>
        <w:rPr>
          <w:rFonts w:ascii="Palatino Linotype" w:hAnsi="Palatino Linotype" w:cs="Arial"/>
          <w:b/>
        </w:rPr>
        <w:t>00136/OASCUATIZC/IP/2023</w:t>
      </w:r>
      <w:r>
        <w:rPr>
          <w:rFonts w:ascii="Palatino Linotype" w:hAnsi="Palatino Linotype" w:cs="Arial"/>
        </w:rPr>
        <w:t xml:space="preserve">, </w:t>
      </w:r>
      <w:r>
        <w:rPr>
          <w:rFonts w:ascii="Palatino Linotype" w:hAnsi="Palatino Linotype"/>
        </w:rPr>
        <w:t>que ha sido materia del presente fallo.</w:t>
      </w:r>
    </w:p>
    <w:p w14:paraId="082FA2B0" w14:textId="77777777" w:rsidR="00F17F51" w:rsidRDefault="00F17F51">
      <w:pPr>
        <w:spacing w:line="360" w:lineRule="auto"/>
        <w:jc w:val="both"/>
        <w:rPr>
          <w:rFonts w:ascii="Palatino Linotype" w:hAnsi="Palatino Linotype"/>
        </w:rPr>
      </w:pPr>
    </w:p>
    <w:p w14:paraId="2680F9B4" w14:textId="77777777" w:rsidR="00F17F51" w:rsidRDefault="00BB2045">
      <w:pPr>
        <w:spacing w:line="360" w:lineRule="auto"/>
        <w:jc w:val="both"/>
        <w:rPr>
          <w:rFonts w:ascii="Palatino Linotype" w:hAnsi="Palatino Linotype"/>
        </w:rPr>
      </w:pPr>
      <w:r>
        <w:rPr>
          <w:rFonts w:ascii="Palatino Linotype" w:hAnsi="Palatino Linotype"/>
        </w:rPr>
        <w:t xml:space="preserve">Por lo antes expuesto y fundado. </w:t>
      </w:r>
    </w:p>
    <w:p w14:paraId="3CF837F9" w14:textId="77777777" w:rsidR="00F17F51" w:rsidRDefault="00F17F51">
      <w:pPr>
        <w:spacing w:line="360" w:lineRule="auto"/>
        <w:jc w:val="both"/>
        <w:rPr>
          <w:rFonts w:ascii="Palatino Linotype" w:hAnsi="Palatino Linotype"/>
        </w:rPr>
      </w:pPr>
    </w:p>
    <w:p w14:paraId="19880D2C" w14:textId="77777777" w:rsidR="00F17F51" w:rsidRDefault="00BB2045">
      <w:pPr>
        <w:spacing w:line="360" w:lineRule="auto"/>
        <w:jc w:val="center"/>
        <w:rPr>
          <w:rFonts w:ascii="Palatino Linotype" w:hAnsi="Palatino Linotype"/>
          <w:b/>
          <w:bCs/>
          <w:spacing w:val="60"/>
          <w:sz w:val="28"/>
        </w:rPr>
      </w:pPr>
      <w:r>
        <w:rPr>
          <w:rFonts w:ascii="Palatino Linotype" w:hAnsi="Palatino Linotype"/>
          <w:b/>
          <w:bCs/>
          <w:spacing w:val="60"/>
          <w:sz w:val="28"/>
        </w:rPr>
        <w:t>SE    RESUELVE</w:t>
      </w:r>
    </w:p>
    <w:p w14:paraId="136E0FED" w14:textId="77777777" w:rsidR="00F17F51" w:rsidRDefault="00F17F51">
      <w:pPr>
        <w:rPr>
          <w:rFonts w:ascii="Palatino Linotype" w:hAnsi="Palatino Linotype"/>
        </w:rPr>
      </w:pPr>
    </w:p>
    <w:p w14:paraId="0065C0C2" w14:textId="77777777" w:rsidR="00F17F51" w:rsidRDefault="00BB2045">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rPr>
        <w:t xml:space="preserve"> Se</w:t>
      </w:r>
      <w:r>
        <w:rPr>
          <w:rFonts w:ascii="Palatino Linotype" w:hAnsi="Palatino Linotype" w:cs="Arial"/>
          <w:b/>
        </w:rPr>
        <w:t xml:space="preserve"> MODIFICA </w:t>
      </w:r>
      <w:r>
        <w:rPr>
          <w:rFonts w:ascii="Palatino Linotype" w:eastAsia="Arial Unicode MS" w:hAnsi="Palatino Linotype" w:cs="Arial"/>
        </w:rPr>
        <w:t xml:space="preserve">la respuesta entregada por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a la solicitud de información número </w:t>
      </w:r>
      <w:r>
        <w:rPr>
          <w:rFonts w:ascii="Palatino Linotype" w:hAnsi="Palatino Linotype" w:cs="Arial"/>
          <w:b/>
        </w:rPr>
        <w:t>00136/OASCUATIZC/IP/2023</w:t>
      </w:r>
      <w:r>
        <w:rPr>
          <w:rFonts w:ascii="Palatino Linotype" w:hAnsi="Palatino Linotype" w:cs="Arial"/>
        </w:rPr>
        <w:t>, por resultar fundados los motivos de inconformidad vertidos por el</w:t>
      </w:r>
      <w:r>
        <w:rPr>
          <w:rFonts w:ascii="Palatino Linotype" w:hAnsi="Palatino Linotype" w:cs="Arial"/>
          <w:b/>
        </w:rPr>
        <w:t xml:space="preserve"> Recurrente</w:t>
      </w:r>
      <w:r>
        <w:rPr>
          <w:rFonts w:ascii="Palatino Linotype" w:hAnsi="Palatino Linotype" w:cs="Arial"/>
        </w:rPr>
        <w:t xml:space="preserve">, en términos del Considerando </w:t>
      </w:r>
      <w:r>
        <w:rPr>
          <w:rFonts w:ascii="Palatino Linotype" w:hAnsi="Palatino Linotype" w:cs="Arial"/>
          <w:b/>
        </w:rPr>
        <w:t>CUARTO</w:t>
      </w:r>
      <w:r>
        <w:rPr>
          <w:rFonts w:ascii="Palatino Linotype" w:hAnsi="Palatino Linotype" w:cs="Arial"/>
        </w:rPr>
        <w:t xml:space="preserve"> de esta resolución.</w:t>
      </w:r>
    </w:p>
    <w:p w14:paraId="5AA074CB" w14:textId="77777777" w:rsidR="00F17F51" w:rsidRDefault="00F17F51">
      <w:pPr>
        <w:autoSpaceDE w:val="0"/>
        <w:autoSpaceDN w:val="0"/>
        <w:adjustRightInd w:val="0"/>
        <w:spacing w:line="360" w:lineRule="auto"/>
        <w:ind w:right="49"/>
        <w:jc w:val="both"/>
        <w:rPr>
          <w:rFonts w:ascii="Palatino Linotype" w:hAnsi="Palatino Linotype" w:cs="Arial"/>
        </w:rPr>
      </w:pPr>
    </w:p>
    <w:p w14:paraId="58AD70EE" w14:textId="77777777" w:rsidR="00F17F51" w:rsidRDefault="00BB2045">
      <w:pPr>
        <w:spacing w:line="360" w:lineRule="auto"/>
        <w:jc w:val="both"/>
        <w:rPr>
          <w:rFonts w:ascii="Palatino Linotype" w:hAnsi="Palatino Linotype" w:cs="Arial"/>
        </w:rPr>
      </w:pPr>
      <w:r>
        <w:rPr>
          <w:rFonts w:ascii="Palatino Linotype" w:hAnsi="Palatino Linotype" w:cs="Arial"/>
          <w:b/>
          <w:sz w:val="28"/>
          <w:szCs w:val="28"/>
        </w:rPr>
        <w:t>SEGUNDO.</w:t>
      </w:r>
      <w:r>
        <w:rPr>
          <w:rFonts w:ascii="Palatino Linotype" w:hAnsi="Palatino Linotype" w:cs="Arial"/>
        </w:rPr>
        <w:t xml:space="preserve"> Se </w:t>
      </w:r>
      <w:r>
        <w:rPr>
          <w:rFonts w:ascii="Palatino Linotype" w:hAnsi="Palatino Linotype" w:cs="Arial"/>
          <w:b/>
        </w:rPr>
        <w:t>ORDENA</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Pr>
          <w:rFonts w:ascii="Palatino Linotype" w:hAnsi="Palatino Linotype" w:cs="Arial"/>
        </w:rPr>
        <w:t xml:space="preserve">en términos del Considerando </w:t>
      </w:r>
      <w:r>
        <w:rPr>
          <w:rFonts w:ascii="Palatino Linotype" w:hAnsi="Palatino Linotype" w:cs="Arial"/>
          <w:b/>
        </w:rPr>
        <w:t xml:space="preserve">CUARTO </w:t>
      </w:r>
      <w:r>
        <w:rPr>
          <w:rFonts w:ascii="Palatino Linotype" w:hAnsi="Palatino Linotype" w:cs="Arial"/>
        </w:rPr>
        <w:t>de esta resolución, a través del</w:t>
      </w:r>
      <w:r>
        <w:rPr>
          <w:rFonts w:ascii="Palatino Linotype" w:hAnsi="Palatino Linotype" w:cs="Arial"/>
          <w:b/>
        </w:rPr>
        <w:t xml:space="preserve"> </w:t>
      </w:r>
      <w:r>
        <w:rPr>
          <w:rFonts w:ascii="Palatino Linotype" w:hAnsi="Palatino Linotype" w:cs="Arial"/>
        </w:rPr>
        <w:t xml:space="preserve">Sistema de Acceso a la Información Mexiquense </w:t>
      </w:r>
      <w:r>
        <w:rPr>
          <w:rFonts w:ascii="Palatino Linotype" w:hAnsi="Palatino Linotype" w:cs="Arial"/>
          <w:b/>
        </w:rPr>
        <w:t>(SAIMEX)</w:t>
      </w:r>
      <w:r>
        <w:rPr>
          <w:rFonts w:ascii="Palatino Linotype" w:hAnsi="Palatino Linotype" w:cs="Arial"/>
        </w:rPr>
        <w:t>, lo siguiente:</w:t>
      </w:r>
    </w:p>
    <w:p w14:paraId="10D232E1" w14:textId="77777777" w:rsidR="00F17F51" w:rsidRDefault="00F17F51">
      <w:pPr>
        <w:spacing w:line="360" w:lineRule="auto"/>
        <w:jc w:val="both"/>
        <w:rPr>
          <w:rFonts w:ascii="Palatino Linotype" w:hAnsi="Palatino Linotype" w:cs="Arial"/>
        </w:rPr>
      </w:pPr>
    </w:p>
    <w:p w14:paraId="6AF6A219" w14:textId="77777777" w:rsidR="00F17F51" w:rsidRDefault="00BB2045">
      <w:pPr>
        <w:pStyle w:val="Prrafodelista"/>
        <w:numPr>
          <w:ilvl w:val="0"/>
          <w:numId w:val="4"/>
        </w:numPr>
        <w:spacing w:line="360" w:lineRule="auto"/>
        <w:jc w:val="both"/>
        <w:rPr>
          <w:rFonts w:ascii="Palatino Linotype" w:hAnsi="Palatino Linotype" w:cs="Arial"/>
        </w:rPr>
      </w:pPr>
      <w:r>
        <w:rPr>
          <w:rFonts w:ascii="Palatino Linotype" w:hAnsi="Palatino Linotype" w:cs="Arial"/>
        </w:rPr>
        <w:lastRenderedPageBreak/>
        <w:t>El Acuerdo de Clasificación de la información, en el que se funde y motive las razones por la cuales se suprimieron datos del contrato remitido en informe justificado.</w:t>
      </w:r>
    </w:p>
    <w:p w14:paraId="12B59A69" w14:textId="77777777" w:rsidR="00F17F51" w:rsidRDefault="00F17F51">
      <w:pPr>
        <w:spacing w:line="360" w:lineRule="auto"/>
        <w:jc w:val="both"/>
        <w:rPr>
          <w:rFonts w:ascii="Palatino Linotype" w:hAnsi="Palatino Linotype" w:cs="Arial"/>
        </w:rPr>
      </w:pPr>
    </w:p>
    <w:p w14:paraId="5BF17566" w14:textId="77777777" w:rsidR="00F17F51" w:rsidRDefault="00BB2045">
      <w:pPr>
        <w:autoSpaceDE w:val="0"/>
        <w:autoSpaceDN w:val="0"/>
        <w:adjustRightInd w:val="0"/>
        <w:spacing w:line="360" w:lineRule="auto"/>
        <w:ind w:right="49"/>
        <w:jc w:val="both"/>
        <w:rPr>
          <w:rFonts w:ascii="Palatino Linotype" w:hAnsi="Palatino Linotype" w:cs="Arial"/>
          <w:szCs w:val="28"/>
        </w:rPr>
      </w:pPr>
      <w:r>
        <w:rPr>
          <w:rFonts w:ascii="Palatino Linotype" w:hAnsi="Palatino Linotype" w:cs="Arial"/>
          <w:b/>
          <w:sz w:val="28"/>
          <w:szCs w:val="28"/>
        </w:rPr>
        <w:t xml:space="preserve">TERCERO. </w:t>
      </w:r>
      <w:r>
        <w:rPr>
          <w:rFonts w:ascii="Palatino Linotype" w:hAnsi="Palatino Linotype" w:cs="Arial"/>
          <w:b/>
          <w:szCs w:val="28"/>
        </w:rPr>
        <w:t xml:space="preserve">NOTIFÍQUESE </w:t>
      </w:r>
      <w:r>
        <w:rPr>
          <w:rFonts w:ascii="Palatino Linotype" w:hAnsi="Palatino Linotype" w:cs="Arial"/>
          <w:szCs w:val="28"/>
        </w:rPr>
        <w:t xml:space="preserve">la presente resolución </w:t>
      </w:r>
      <w:r>
        <w:rPr>
          <w:rFonts w:ascii="Palatino Linotype" w:hAnsi="Palatino Linotype" w:cs="Arial"/>
        </w:rPr>
        <w:t xml:space="preserve">a través del Sistema de Acceso a la Información Mexiquense </w:t>
      </w:r>
      <w:r>
        <w:rPr>
          <w:rFonts w:ascii="Palatino Linotype" w:hAnsi="Palatino Linotype" w:cs="Arial"/>
          <w:b/>
        </w:rPr>
        <w:t>(SAIMEX)</w:t>
      </w:r>
      <w:r>
        <w:rPr>
          <w:rFonts w:ascii="Palatino Linotype" w:hAnsi="Palatino Linotype" w:cs="Arial"/>
          <w:szCs w:val="28"/>
        </w:rPr>
        <w:t xml:space="preserve"> al Titular de la Unidad de Transparencia del </w:t>
      </w:r>
      <w:r>
        <w:rPr>
          <w:rFonts w:ascii="Palatino Linotype" w:hAnsi="Palatino Linotype" w:cs="Arial"/>
          <w:b/>
          <w:szCs w:val="28"/>
        </w:rPr>
        <w:t>Sujeto Obligado</w:t>
      </w:r>
      <w:r>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31C04A" w14:textId="77777777" w:rsidR="00F17F51" w:rsidRDefault="00F17F51">
      <w:pPr>
        <w:autoSpaceDE w:val="0"/>
        <w:autoSpaceDN w:val="0"/>
        <w:adjustRightInd w:val="0"/>
        <w:spacing w:line="360" w:lineRule="auto"/>
        <w:ind w:right="49"/>
        <w:jc w:val="both"/>
        <w:rPr>
          <w:rFonts w:ascii="Palatino Linotype" w:hAnsi="Palatino Linotype" w:cs="Arial"/>
          <w:szCs w:val="28"/>
        </w:rPr>
      </w:pPr>
    </w:p>
    <w:p w14:paraId="64AAC8D9" w14:textId="77777777" w:rsidR="00F17F51" w:rsidRDefault="00BB2045">
      <w:pPr>
        <w:spacing w:line="360" w:lineRule="auto"/>
        <w:jc w:val="both"/>
        <w:rPr>
          <w:rFonts w:ascii="Palatino Linotype" w:hAnsi="Palatino Linotype" w:cs="Arial"/>
          <w:bCs/>
          <w:szCs w:val="28"/>
        </w:rPr>
      </w:pPr>
      <w:r>
        <w:rPr>
          <w:rFonts w:ascii="Palatino Linotype" w:hAnsi="Palatino Linotype" w:cs="Arial"/>
          <w:b/>
          <w:bCs/>
          <w:sz w:val="28"/>
          <w:szCs w:val="28"/>
        </w:rPr>
        <w:t>CUARTO.</w:t>
      </w:r>
      <w:r>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Pr>
          <w:rFonts w:ascii="Palatino Linotype" w:hAnsi="Palatino Linotype" w:cs="Arial"/>
          <w:b/>
          <w:bCs/>
          <w:szCs w:val="28"/>
        </w:rPr>
        <w:t>Sujeto Obligado</w:t>
      </w:r>
      <w:r>
        <w:rPr>
          <w:rFonts w:ascii="Palatino Linotype" w:hAnsi="Palatino Linotype" w:cs="Arial"/>
          <w:bCs/>
          <w:szCs w:val="28"/>
        </w:rPr>
        <w:t xml:space="preserve"> de manera fundada y motivada, podrá solicitar una ampliación de plazo para el cumplimiento de la presente resolución.</w:t>
      </w:r>
    </w:p>
    <w:p w14:paraId="06E8113D" w14:textId="77777777" w:rsidR="00F17F51" w:rsidRDefault="00F17F51">
      <w:pPr>
        <w:autoSpaceDE w:val="0"/>
        <w:autoSpaceDN w:val="0"/>
        <w:adjustRightInd w:val="0"/>
        <w:spacing w:line="360" w:lineRule="auto"/>
        <w:ind w:right="49"/>
        <w:jc w:val="both"/>
        <w:rPr>
          <w:rFonts w:ascii="Palatino Linotype" w:hAnsi="Palatino Linotype" w:cs="Arial"/>
          <w:b/>
          <w:szCs w:val="28"/>
        </w:rPr>
      </w:pPr>
    </w:p>
    <w:p w14:paraId="0FEA13ED" w14:textId="77777777" w:rsidR="00F17F51" w:rsidRDefault="00BB2045">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szCs w:val="28"/>
        </w:rPr>
        <w:lastRenderedPageBreak/>
        <w:t>QUINTO.</w:t>
      </w:r>
      <w:r>
        <w:rPr>
          <w:rFonts w:ascii="Palatino Linotype" w:hAnsi="Palatino Linotype" w:cs="Arial"/>
          <w:b/>
        </w:rPr>
        <w:t xml:space="preserve"> NOTIFÍQUESE</w:t>
      </w:r>
      <w:r>
        <w:rPr>
          <w:rFonts w:ascii="Palatino Linotype" w:hAnsi="Palatino Linotype" w:cs="Arial"/>
        </w:rPr>
        <w:t xml:space="preserve"> al </w:t>
      </w:r>
      <w:r>
        <w:rPr>
          <w:rFonts w:ascii="Palatino Linotype" w:hAnsi="Palatino Linotype" w:cs="Arial"/>
          <w:b/>
        </w:rPr>
        <w:t>Recurrente</w:t>
      </w:r>
      <w:r>
        <w:rPr>
          <w:rFonts w:ascii="Palatino Linotype" w:hAnsi="Palatino Linotype" w:cs="Arial"/>
        </w:rPr>
        <w:t xml:space="preserve"> la presente resolución a través del Sistema de Acceso a la Información Mexiquense </w:t>
      </w:r>
      <w:r>
        <w:rPr>
          <w:rFonts w:ascii="Palatino Linotype" w:hAnsi="Palatino Linotype" w:cs="Arial"/>
          <w:b/>
        </w:rPr>
        <w:t>(SAIMEX),</w:t>
      </w:r>
      <w:r>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20B1882" w14:textId="77777777" w:rsidR="00F17F51" w:rsidRDefault="00F17F51">
      <w:pPr>
        <w:autoSpaceDE w:val="0"/>
        <w:autoSpaceDN w:val="0"/>
        <w:adjustRightInd w:val="0"/>
        <w:spacing w:line="360" w:lineRule="auto"/>
        <w:ind w:right="49"/>
        <w:jc w:val="both"/>
        <w:rPr>
          <w:rFonts w:ascii="Palatino Linotype" w:hAnsi="Palatino Linotype" w:cs="Arial"/>
        </w:rPr>
      </w:pPr>
    </w:p>
    <w:p w14:paraId="1EB7E98D" w14:textId="20122B30" w:rsidR="00F17F51" w:rsidRDefault="00BB204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ASÍ LO RESUELVE, POR UNANIMIDAD DE VOTOS, EL PLENO DEL</w:t>
      </w:r>
      <w:r>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5251A9">
        <w:rPr>
          <w:rFonts w:ascii="Palatino Linotype" w:eastAsiaTheme="minorHAnsi" w:hAnsi="Palatino Linotype" w:cs="Arial"/>
          <w:lang w:val="es-MX" w:eastAsia="en-US"/>
        </w:rPr>
        <w:t>PRIMERA</w:t>
      </w:r>
      <w:r>
        <w:rPr>
          <w:rFonts w:ascii="Palatino Linotype" w:eastAsiaTheme="minorHAnsi" w:hAnsi="Palatino Linotype" w:cs="Arial"/>
          <w:lang w:val="es-MX" w:eastAsia="en-US"/>
        </w:rPr>
        <w:t xml:space="preserve"> SESIÓN ORDINARIA CELEBRADA EL </w:t>
      </w:r>
      <w:r>
        <w:rPr>
          <w:rFonts w:ascii="Palatino Linotype" w:hAnsi="Palatino Linotype" w:cs="Arial"/>
          <w:color w:val="000000"/>
          <w:lang w:val="es-MX" w:eastAsia="es-MX"/>
        </w:rPr>
        <w:t>DIECISIETE DE ENERO DE</w:t>
      </w:r>
      <w:r>
        <w:rPr>
          <w:rFonts w:ascii="Palatino Linotype" w:eastAsiaTheme="minorHAnsi" w:hAnsi="Palatino Linotype" w:cs="Arial"/>
          <w:lang w:val="es-MX" w:eastAsia="en-US"/>
        </w:rPr>
        <w:t xml:space="preserve"> DOS MIL </w:t>
      </w:r>
      <w:r w:rsidR="00912700">
        <w:rPr>
          <w:rFonts w:ascii="Palatino Linotype" w:eastAsiaTheme="minorHAnsi" w:hAnsi="Palatino Linotype" w:cs="Arial"/>
          <w:lang w:val="es-MX" w:eastAsia="en-US"/>
        </w:rPr>
        <w:t>VEINTICUATRO</w:t>
      </w:r>
      <w:r>
        <w:rPr>
          <w:rFonts w:ascii="Palatino Linotype" w:eastAsiaTheme="minorHAnsi" w:hAnsi="Palatino Linotype" w:cs="Arial"/>
          <w:lang w:val="es-MX" w:eastAsia="en-US"/>
        </w:rPr>
        <w:t>, ANTE EL SECRETARIO TÉCNICO DEL PLENO, ALEXIS TAPIA RAMÍREZ.---------------------------------------------------------------------------------------------------------------------------------------------------------------------------------------------------------------------</w:t>
      </w:r>
      <w:r w:rsidRPr="00BB204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p>
    <w:p w14:paraId="10879427" w14:textId="77777777" w:rsidR="00F17F51" w:rsidRDefault="00BB2045">
      <w:pPr>
        <w:spacing w:line="360" w:lineRule="auto"/>
        <w:jc w:val="both"/>
        <w:rPr>
          <w:rFonts w:ascii="Palatino Linotype" w:eastAsiaTheme="minorHAnsi" w:hAnsi="Palatino Linotype" w:cs="Arial"/>
          <w:sz w:val="8"/>
          <w:lang w:val="es-MX" w:eastAsia="en-US"/>
        </w:rPr>
      </w:pPr>
      <w:r>
        <w:rPr>
          <w:rFonts w:ascii="Palatino Linotype" w:eastAsiaTheme="minorHAnsi" w:hAnsi="Palatino Linotype" w:cs="Arial"/>
          <w:sz w:val="14"/>
          <w:lang w:val="es-MX" w:eastAsia="en-US"/>
        </w:rPr>
        <w:t>JMV/CCR/</w:t>
      </w:r>
      <w:proofErr w:type="spellStart"/>
      <w:r>
        <w:rPr>
          <w:rFonts w:ascii="Palatino Linotype" w:eastAsiaTheme="minorHAnsi" w:hAnsi="Palatino Linotype" w:cs="Arial"/>
          <w:sz w:val="14"/>
          <w:lang w:val="es-MX" w:eastAsia="en-US"/>
        </w:rPr>
        <w:t>jasm</w:t>
      </w:r>
      <w:proofErr w:type="spellEnd"/>
    </w:p>
    <w:p w14:paraId="3C4B4C0C" w14:textId="77777777" w:rsidR="00F17F51" w:rsidRDefault="00F17F51"/>
    <w:p w14:paraId="2FB144D2" w14:textId="77777777" w:rsidR="00F17F51" w:rsidRDefault="00F17F51"/>
    <w:p w14:paraId="3EAA0BAC" w14:textId="77777777" w:rsidR="00F17F51" w:rsidRDefault="00F17F51"/>
    <w:p w14:paraId="1C8EA818" w14:textId="77777777" w:rsidR="00F17F51" w:rsidRDefault="00F17F51"/>
    <w:p w14:paraId="27D355B2" w14:textId="77777777" w:rsidR="00F17F51" w:rsidRDefault="00F17F51"/>
    <w:p w14:paraId="718B513F" w14:textId="77777777" w:rsidR="00F17F51" w:rsidRDefault="00F17F51"/>
    <w:p w14:paraId="08B8D7F3" w14:textId="77777777" w:rsidR="00F17F51" w:rsidRDefault="00F17F51"/>
    <w:p w14:paraId="364134B5" w14:textId="77777777" w:rsidR="00F17F51" w:rsidRDefault="00F17F51"/>
    <w:p w14:paraId="7E8FDCC4" w14:textId="77777777" w:rsidR="00F17F51" w:rsidRDefault="00F17F51"/>
    <w:p w14:paraId="70154350" w14:textId="77777777" w:rsidR="00F17F51" w:rsidRDefault="00F17F51"/>
    <w:p w14:paraId="7AC4347E" w14:textId="77777777" w:rsidR="00F17F51" w:rsidRDefault="00F17F51"/>
    <w:p w14:paraId="541EBD48" w14:textId="77777777" w:rsidR="00F17F51" w:rsidRDefault="00F17F51"/>
    <w:p w14:paraId="3A506892" w14:textId="77777777" w:rsidR="00F17F51" w:rsidRDefault="00F17F51"/>
    <w:p w14:paraId="39C874B8" w14:textId="77777777" w:rsidR="00F17F51" w:rsidRDefault="00F17F51"/>
    <w:p w14:paraId="5A327BDA" w14:textId="77777777" w:rsidR="00F17F51" w:rsidRDefault="00F17F51"/>
    <w:p w14:paraId="5DC63F32" w14:textId="77777777" w:rsidR="00F17F51" w:rsidRDefault="00F17F51"/>
    <w:p w14:paraId="19735BAD" w14:textId="77777777" w:rsidR="00F17F51" w:rsidRDefault="00F17F51"/>
    <w:p w14:paraId="7990AEA5" w14:textId="77777777" w:rsidR="00F17F51" w:rsidRDefault="00F17F51"/>
    <w:p w14:paraId="3E88F5FD" w14:textId="77777777" w:rsidR="00F17F51" w:rsidRDefault="00F17F51"/>
    <w:p w14:paraId="2751C31A" w14:textId="77777777" w:rsidR="00F17F51" w:rsidRDefault="00F17F51"/>
    <w:p w14:paraId="06B68E45" w14:textId="77777777" w:rsidR="00F17F51" w:rsidRDefault="00F17F51"/>
    <w:p w14:paraId="247CAE08" w14:textId="77777777" w:rsidR="00F17F51" w:rsidRDefault="00F17F51"/>
    <w:p w14:paraId="5E2D2EE3" w14:textId="77777777" w:rsidR="00F17F51" w:rsidRDefault="00F17F51"/>
    <w:p w14:paraId="066CAD55" w14:textId="77777777" w:rsidR="00F17F51" w:rsidRDefault="00F17F51"/>
    <w:p w14:paraId="12425AD1" w14:textId="77777777" w:rsidR="00F17F51" w:rsidRDefault="00F17F51"/>
    <w:p w14:paraId="16A2BB9A" w14:textId="77777777" w:rsidR="00F17F51" w:rsidRDefault="00F17F51"/>
    <w:p w14:paraId="7C03B4D8" w14:textId="77777777" w:rsidR="00F17F51" w:rsidRDefault="00F17F51"/>
    <w:p w14:paraId="353DC1A0" w14:textId="77777777" w:rsidR="00F17F51" w:rsidRDefault="00F17F51"/>
    <w:p w14:paraId="1D39D40B" w14:textId="77777777" w:rsidR="00F17F51" w:rsidRDefault="00F17F51"/>
    <w:p w14:paraId="4E887752" w14:textId="77777777" w:rsidR="00F17F51" w:rsidRDefault="00F17F51"/>
    <w:p w14:paraId="64567002" w14:textId="77777777" w:rsidR="00F17F51" w:rsidRDefault="00F17F51"/>
    <w:p w14:paraId="6313FA28" w14:textId="77777777" w:rsidR="00F17F51" w:rsidRDefault="00F17F51"/>
    <w:p w14:paraId="1070ACEC" w14:textId="77777777" w:rsidR="00F17F51" w:rsidRDefault="00F17F51"/>
    <w:p w14:paraId="4DA68BC9" w14:textId="77777777" w:rsidR="00F17F51" w:rsidRDefault="00F17F51"/>
    <w:p w14:paraId="094D84C0" w14:textId="77777777" w:rsidR="00F17F51" w:rsidRDefault="00F17F51"/>
    <w:sectPr w:rsidR="00F17F5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E1BC" w14:textId="77777777" w:rsidR="00F63FE7" w:rsidRDefault="00F63FE7">
      <w:r>
        <w:separator/>
      </w:r>
    </w:p>
  </w:endnote>
  <w:endnote w:type="continuationSeparator" w:id="0">
    <w:p w14:paraId="0EC364C6" w14:textId="77777777" w:rsidR="00F63FE7" w:rsidRDefault="00F6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8BD9" w14:textId="77777777" w:rsidR="00F17F51" w:rsidRDefault="00BB2045">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1B2337">
      <w:rPr>
        <w:rFonts w:ascii="Palatino Linotype" w:hAnsi="Palatino Linotype" w:cs="Arial"/>
        <w:bCs/>
        <w:noProof/>
        <w:sz w:val="20"/>
        <w:szCs w:val="20"/>
      </w:rPr>
      <w:t>26</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1B2337">
      <w:rPr>
        <w:rFonts w:ascii="Palatino Linotype" w:hAnsi="Palatino Linotype" w:cs="Arial"/>
        <w:bCs/>
        <w:noProof/>
        <w:sz w:val="20"/>
        <w:szCs w:val="20"/>
      </w:rPr>
      <w:t>28</w:t>
    </w:r>
    <w:r>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1E94" w14:textId="77777777" w:rsidR="00F17F51" w:rsidRDefault="00BB2045">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1B2337">
      <w:rPr>
        <w:rFonts w:ascii="Palatino Linotype" w:hAnsi="Palatino Linotype" w:cs="Arial"/>
        <w:bCs/>
        <w:noProof/>
        <w:sz w:val="20"/>
        <w:szCs w:val="20"/>
      </w:rPr>
      <w:t>1</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1B2337">
      <w:rPr>
        <w:rFonts w:ascii="Palatino Linotype" w:hAnsi="Palatino Linotype" w:cs="Arial"/>
        <w:bCs/>
        <w:noProof/>
        <w:sz w:val="20"/>
        <w:szCs w:val="20"/>
      </w:rPr>
      <w:t>28</w:t>
    </w:r>
    <w:r>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864E" w14:textId="77777777" w:rsidR="00F63FE7" w:rsidRDefault="00F63FE7">
      <w:r>
        <w:separator/>
      </w:r>
    </w:p>
  </w:footnote>
  <w:footnote w:type="continuationSeparator" w:id="0">
    <w:p w14:paraId="007E8EE1" w14:textId="77777777" w:rsidR="00F63FE7" w:rsidRDefault="00F63FE7">
      <w:r>
        <w:continuationSeparator/>
      </w:r>
    </w:p>
  </w:footnote>
  <w:footnote w:id="1">
    <w:p w14:paraId="61AE537F" w14:textId="77777777" w:rsidR="00F17F51" w:rsidRDefault="00BB2045">
      <w:pPr>
        <w:ind w:right="49"/>
        <w:jc w:val="both"/>
        <w:rPr>
          <w:rFonts w:ascii="Palatino Linotype" w:eastAsia="Calibri" w:hAnsi="Palatino Linotype"/>
          <w:b/>
          <w:bCs/>
          <w:i/>
          <w:sz w:val="16"/>
          <w:szCs w:val="22"/>
          <w:lang w:val="es-MX" w:eastAsia="es-MX"/>
        </w:rPr>
      </w:pPr>
      <w:r>
        <w:rPr>
          <w:rStyle w:val="Refdenotaalpie"/>
        </w:rPr>
        <w:footnoteRef/>
      </w:r>
      <w:r>
        <w:t xml:space="preserve"> </w:t>
      </w:r>
      <w:r>
        <w:rPr>
          <w:rFonts w:ascii="Palatino Linotype" w:eastAsia="Calibri" w:hAnsi="Palatino Linotype"/>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7C620BA" w14:textId="77777777" w:rsidR="00F17F51" w:rsidRDefault="00F17F51">
      <w:pPr>
        <w:autoSpaceDE w:val="0"/>
        <w:autoSpaceDN w:val="0"/>
        <w:adjustRightInd w:val="0"/>
        <w:ind w:right="49"/>
        <w:jc w:val="both"/>
        <w:rPr>
          <w:rFonts w:ascii="Palatino Linotype" w:hAnsi="Palatino Linotype"/>
          <w:i/>
          <w:sz w:val="16"/>
          <w:szCs w:val="22"/>
        </w:rPr>
      </w:pPr>
    </w:p>
    <w:p w14:paraId="06E26780" w14:textId="77777777" w:rsidR="00F17F51" w:rsidRDefault="00BB2045">
      <w:pPr>
        <w:autoSpaceDE w:val="0"/>
        <w:autoSpaceDN w:val="0"/>
        <w:adjustRightInd w:val="0"/>
        <w:ind w:right="49"/>
        <w:jc w:val="both"/>
        <w:rPr>
          <w:rFonts w:ascii="Palatino Linotype" w:hAnsi="Palatino Linotype" w:cs="Arial"/>
          <w:sz w:val="16"/>
          <w:szCs w:val="22"/>
        </w:rPr>
      </w:pPr>
      <w:r>
        <w:rPr>
          <w:rFonts w:ascii="Palatino Linotype" w:hAnsi="Palatino Linotype"/>
          <w:i/>
          <w:sz w:val="16"/>
          <w:szCs w:val="22"/>
        </w:rPr>
        <w:t>Del examen de compatibilidad de los artículos </w:t>
      </w:r>
      <w:hyperlink r:id="rId1" w:history="1">
        <w:r>
          <w:rPr>
            <w:rStyle w:val="Hipervnculo"/>
            <w:rFonts w:ascii="Palatino Linotype" w:eastAsia="Calibri" w:hAnsi="Palatino Linotype"/>
            <w:i/>
            <w:sz w:val="16"/>
            <w:szCs w:val="22"/>
          </w:rPr>
          <w:t>73 y 74 de la Ley de Amparo</w:t>
        </w:r>
      </w:hyperlink>
      <w:r>
        <w:rPr>
          <w:rFonts w:ascii="Palatino Linotype" w:hAnsi="Palatino Linotype"/>
          <w:i/>
          <w:sz w:val="16"/>
          <w:szCs w:val="22"/>
        </w:rPr>
        <w:t> con el artículo </w:t>
      </w:r>
      <w:hyperlink r:id="rId2" w:history="1">
        <w:r>
          <w:rPr>
            <w:rStyle w:val="Hipervnculo"/>
            <w:rFonts w:ascii="Palatino Linotype" w:eastAsia="Calibri" w:hAnsi="Palatino Linotype"/>
            <w:i/>
            <w:sz w:val="16"/>
            <w:szCs w:val="22"/>
          </w:rPr>
          <w:t>25.1 de la Convención Americana sobre Derechos Humanos</w:t>
        </w:r>
      </w:hyperlink>
      <w:r>
        <w:rPr>
          <w:rFonts w:ascii="Palatino Linotype" w:hAnsi="Palatino Linotype"/>
          <w:i/>
          <w:sz w:val="16"/>
          <w:szCs w:val="22"/>
        </w:rPr>
        <w:t> </w:t>
      </w:r>
      <w:r>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6A94A94" w14:textId="77777777" w:rsidR="00F17F51" w:rsidRDefault="00F17F51">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AB1C" w14:textId="77777777" w:rsidR="00F17F51" w:rsidRDefault="005C242F">
    <w:pPr>
      <w:pStyle w:val="Encabezado"/>
    </w:pPr>
    <w:r>
      <w:rPr>
        <w:lang w:val="es-MX" w:eastAsia="es-MX"/>
      </w:rPr>
      <w:pict w14:anchorId="548F5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mso-width-relative:page;mso-height-relative:page"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87" w:type="dxa"/>
      <w:tblInd w:w="2127" w:type="dxa"/>
      <w:tblLayout w:type="fixed"/>
      <w:tblLook w:val="04A0" w:firstRow="1" w:lastRow="0" w:firstColumn="1" w:lastColumn="0" w:noHBand="0" w:noVBand="1"/>
    </w:tblPr>
    <w:tblGrid>
      <w:gridCol w:w="2835"/>
      <w:gridCol w:w="4252"/>
    </w:tblGrid>
    <w:tr w:rsidR="00F17F51" w14:paraId="7370AD20" w14:textId="77777777">
      <w:tc>
        <w:tcPr>
          <w:tcW w:w="2835" w:type="dxa"/>
          <w:shd w:val="clear" w:color="auto" w:fill="auto"/>
          <w:vAlign w:val="center"/>
        </w:tcPr>
        <w:p w14:paraId="53D98DC7" w14:textId="77777777" w:rsidR="00F17F51" w:rsidRDefault="00BB2045">
          <w:pPr>
            <w:spacing w:line="276" w:lineRule="auto"/>
            <w:jc w:val="right"/>
            <w:rPr>
              <w:rFonts w:ascii="Palatino Linotype" w:hAnsi="Palatino Linotype"/>
              <w:b/>
              <w:sz w:val="22"/>
              <w:szCs w:val="22"/>
            </w:rPr>
          </w:pPr>
          <w:r>
            <w:rPr>
              <w:rFonts w:ascii="Palatino Linotype" w:hAnsi="Palatino Linotype"/>
              <w:b/>
              <w:sz w:val="22"/>
              <w:szCs w:val="22"/>
            </w:rPr>
            <w:t>Recurso de revisión:</w:t>
          </w:r>
        </w:p>
      </w:tc>
      <w:tc>
        <w:tcPr>
          <w:tcW w:w="4252" w:type="dxa"/>
          <w:shd w:val="clear" w:color="auto" w:fill="auto"/>
          <w:vAlign w:val="center"/>
        </w:tcPr>
        <w:p w14:paraId="5C20DAA4" w14:textId="77777777" w:rsidR="00F17F51" w:rsidRDefault="00BB2045">
          <w:pPr>
            <w:spacing w:line="276" w:lineRule="auto"/>
            <w:jc w:val="right"/>
            <w:rPr>
              <w:rFonts w:ascii="Palatino Linotype" w:hAnsi="Palatino Linotype"/>
              <w:sz w:val="22"/>
              <w:szCs w:val="22"/>
            </w:rPr>
          </w:pPr>
          <w:r>
            <w:rPr>
              <w:rFonts w:ascii="Palatino Linotype" w:hAnsi="Palatino Linotype"/>
              <w:sz w:val="22"/>
              <w:szCs w:val="22"/>
            </w:rPr>
            <w:t>06060/INFOEM/IP/RR/2023</w:t>
          </w:r>
        </w:p>
      </w:tc>
    </w:tr>
    <w:tr w:rsidR="00F17F51" w14:paraId="58AD25AA" w14:textId="77777777">
      <w:trPr>
        <w:trHeight w:val="228"/>
      </w:trPr>
      <w:tc>
        <w:tcPr>
          <w:tcW w:w="2835" w:type="dxa"/>
          <w:shd w:val="clear" w:color="auto" w:fill="auto"/>
          <w:vAlign w:val="center"/>
        </w:tcPr>
        <w:p w14:paraId="44AEA5E0" w14:textId="77777777" w:rsidR="00F17F51" w:rsidRDefault="00BB2045">
          <w:pPr>
            <w:spacing w:line="276" w:lineRule="auto"/>
            <w:jc w:val="right"/>
            <w:rPr>
              <w:rFonts w:ascii="Palatino Linotype" w:hAnsi="Palatino Linotype"/>
              <w:b/>
              <w:sz w:val="22"/>
              <w:szCs w:val="22"/>
            </w:rPr>
          </w:pPr>
          <w:r>
            <w:rPr>
              <w:rFonts w:ascii="Palatino Linotype" w:hAnsi="Palatino Linotype"/>
              <w:b/>
              <w:sz w:val="22"/>
              <w:szCs w:val="22"/>
            </w:rPr>
            <w:t>Sujeto Obligado:</w:t>
          </w:r>
        </w:p>
      </w:tc>
      <w:tc>
        <w:tcPr>
          <w:tcW w:w="4252" w:type="dxa"/>
          <w:shd w:val="clear" w:color="auto" w:fill="auto"/>
          <w:vAlign w:val="center"/>
        </w:tcPr>
        <w:p w14:paraId="7B1E68F3" w14:textId="77777777" w:rsidR="00F17F51" w:rsidRDefault="00BB2045">
          <w:pPr>
            <w:spacing w:line="276" w:lineRule="auto"/>
            <w:jc w:val="both"/>
            <w:rPr>
              <w:rFonts w:ascii="Palatino Linotype" w:hAnsi="Palatino Linotype"/>
              <w:sz w:val="22"/>
              <w:szCs w:val="22"/>
            </w:rPr>
          </w:pPr>
          <w:r>
            <w:rPr>
              <w:rFonts w:ascii="Palatino Linotype" w:hAnsi="Palatino Linotype"/>
              <w:sz w:val="22"/>
              <w:szCs w:val="22"/>
            </w:rPr>
            <w:t>Organismo Público Descentralizado Municipal para la Prestación de Los Servicios de Agua Potable Alcantarillado y Saneamiento de Cuautitlán Izcalli denominado OPERAGUA, O.P.D.M.</w:t>
          </w:r>
        </w:p>
      </w:tc>
    </w:tr>
    <w:tr w:rsidR="00F17F51" w14:paraId="0C66BD55" w14:textId="77777777">
      <w:tc>
        <w:tcPr>
          <w:tcW w:w="2835" w:type="dxa"/>
          <w:shd w:val="clear" w:color="auto" w:fill="auto"/>
          <w:vAlign w:val="center"/>
        </w:tcPr>
        <w:p w14:paraId="058AE079" w14:textId="77777777" w:rsidR="00F17F51" w:rsidRDefault="00BB2045">
          <w:pPr>
            <w:spacing w:line="276" w:lineRule="auto"/>
            <w:jc w:val="right"/>
            <w:rPr>
              <w:rFonts w:ascii="Palatino Linotype" w:hAnsi="Palatino Linotype"/>
              <w:b/>
              <w:sz w:val="22"/>
              <w:szCs w:val="22"/>
            </w:rPr>
          </w:pPr>
          <w:r>
            <w:rPr>
              <w:rFonts w:ascii="Palatino Linotype" w:hAnsi="Palatino Linotype"/>
              <w:b/>
              <w:sz w:val="22"/>
              <w:szCs w:val="22"/>
            </w:rPr>
            <w:t>Comisionado Ponente:</w:t>
          </w:r>
        </w:p>
      </w:tc>
      <w:tc>
        <w:tcPr>
          <w:tcW w:w="4252" w:type="dxa"/>
          <w:shd w:val="clear" w:color="auto" w:fill="auto"/>
          <w:vAlign w:val="center"/>
        </w:tcPr>
        <w:p w14:paraId="3BD24325" w14:textId="77777777" w:rsidR="00F17F51" w:rsidRDefault="00BB2045">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bl>
  <w:p w14:paraId="5C7A2604" w14:textId="77777777" w:rsidR="00F17F51" w:rsidRDefault="005C242F">
    <w:pPr>
      <w:pStyle w:val="Encabezado"/>
      <w:tabs>
        <w:tab w:val="clear" w:pos="4252"/>
        <w:tab w:val="clear" w:pos="8504"/>
        <w:tab w:val="left" w:pos="2326"/>
      </w:tabs>
      <w:rPr>
        <w:rFonts w:ascii="Palatino Linotype" w:hAnsi="Palatino Linotype"/>
        <w:sz w:val="20"/>
      </w:rPr>
    </w:pPr>
    <w:r>
      <w:rPr>
        <w:rFonts w:ascii="Palatino Linotype" w:hAnsi="Palatino Linotype"/>
        <w:sz w:val="20"/>
        <w:lang w:val="es-MX" w:eastAsia="es-MX"/>
      </w:rPr>
      <w:pict w14:anchorId="19BC4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67.95pt;width:649.35pt;height:845.8pt;z-index:-251655168;mso-position-horizontal-relative:margin;mso-position-vertical-relative:margin;mso-width-relative:page;mso-height-relative:page"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6" w:type="dxa"/>
      <w:tblInd w:w="1418" w:type="dxa"/>
      <w:tblLayout w:type="fixed"/>
      <w:tblLook w:val="04A0" w:firstRow="1" w:lastRow="0" w:firstColumn="1" w:lastColumn="0" w:noHBand="0" w:noVBand="1"/>
    </w:tblPr>
    <w:tblGrid>
      <w:gridCol w:w="3118"/>
      <w:gridCol w:w="4678"/>
    </w:tblGrid>
    <w:tr w:rsidR="00F17F51" w14:paraId="59534C3C" w14:textId="77777777">
      <w:tc>
        <w:tcPr>
          <w:tcW w:w="3118" w:type="dxa"/>
          <w:shd w:val="clear" w:color="auto" w:fill="auto"/>
          <w:vAlign w:val="center"/>
        </w:tcPr>
        <w:p w14:paraId="0144CC5B" w14:textId="77777777" w:rsidR="00F17F51" w:rsidRDefault="00BB2045">
          <w:pPr>
            <w:spacing w:line="276" w:lineRule="auto"/>
            <w:jc w:val="right"/>
            <w:rPr>
              <w:rFonts w:ascii="Palatino Linotype" w:hAnsi="Palatino Linotype"/>
              <w:b/>
              <w:sz w:val="22"/>
              <w:szCs w:val="22"/>
            </w:rPr>
          </w:pPr>
          <w:r>
            <w:rPr>
              <w:rFonts w:ascii="Palatino Linotype" w:hAnsi="Palatino Linotype"/>
              <w:b/>
              <w:sz w:val="22"/>
              <w:szCs w:val="22"/>
            </w:rPr>
            <w:t>Recurso de revisión:</w:t>
          </w:r>
        </w:p>
      </w:tc>
      <w:tc>
        <w:tcPr>
          <w:tcW w:w="4678" w:type="dxa"/>
          <w:shd w:val="clear" w:color="auto" w:fill="auto"/>
          <w:vAlign w:val="center"/>
        </w:tcPr>
        <w:p w14:paraId="47606D70" w14:textId="77777777" w:rsidR="00F17F51" w:rsidRDefault="00BB2045">
          <w:pPr>
            <w:spacing w:line="276" w:lineRule="auto"/>
            <w:jc w:val="right"/>
            <w:rPr>
              <w:rFonts w:ascii="Palatino Linotype" w:hAnsi="Palatino Linotype"/>
              <w:sz w:val="22"/>
              <w:szCs w:val="22"/>
            </w:rPr>
          </w:pPr>
          <w:r>
            <w:rPr>
              <w:rFonts w:ascii="Palatino Linotype" w:hAnsi="Palatino Linotype"/>
              <w:sz w:val="22"/>
              <w:szCs w:val="22"/>
            </w:rPr>
            <w:t>06060/INFOEM/IP/RR/2023</w:t>
          </w:r>
        </w:p>
      </w:tc>
    </w:tr>
    <w:tr w:rsidR="00F17F51" w14:paraId="472303CD" w14:textId="77777777">
      <w:tc>
        <w:tcPr>
          <w:tcW w:w="3118" w:type="dxa"/>
          <w:shd w:val="clear" w:color="auto" w:fill="auto"/>
          <w:vAlign w:val="center"/>
        </w:tcPr>
        <w:p w14:paraId="6BA08A56" w14:textId="77777777" w:rsidR="00F17F51" w:rsidRDefault="00BB2045">
          <w:pPr>
            <w:spacing w:line="276" w:lineRule="auto"/>
            <w:jc w:val="right"/>
            <w:rPr>
              <w:rFonts w:ascii="Palatino Linotype" w:hAnsi="Palatino Linotype"/>
              <w:b/>
              <w:sz w:val="22"/>
              <w:szCs w:val="22"/>
            </w:rPr>
          </w:pPr>
          <w:r>
            <w:rPr>
              <w:rFonts w:ascii="Palatino Linotype" w:hAnsi="Palatino Linotype"/>
              <w:b/>
              <w:sz w:val="22"/>
              <w:szCs w:val="22"/>
            </w:rPr>
            <w:t>Recurrente:</w:t>
          </w:r>
        </w:p>
      </w:tc>
      <w:tc>
        <w:tcPr>
          <w:tcW w:w="4678" w:type="dxa"/>
          <w:shd w:val="clear" w:color="auto" w:fill="auto"/>
          <w:vAlign w:val="center"/>
        </w:tcPr>
        <w:p w14:paraId="08E7FEB4" w14:textId="0DBD9A9C" w:rsidR="00F17F51" w:rsidRDefault="005C242F">
          <w:pPr>
            <w:spacing w:line="276" w:lineRule="auto"/>
            <w:jc w:val="right"/>
            <w:rPr>
              <w:rFonts w:ascii="Palatino Linotype" w:hAnsi="Palatino Linotype"/>
              <w:sz w:val="22"/>
              <w:szCs w:val="22"/>
            </w:rPr>
          </w:pPr>
          <w:r>
            <w:rPr>
              <w:rFonts w:ascii="Palatino Linotype" w:hAnsi="Palatino Linotype"/>
              <w:sz w:val="22"/>
              <w:szCs w:val="22"/>
            </w:rPr>
            <w:t>XXXXXXXXXXXXXXXXXX</w:t>
          </w:r>
        </w:p>
      </w:tc>
    </w:tr>
    <w:tr w:rsidR="00F17F51" w14:paraId="05F237C4" w14:textId="77777777">
      <w:trPr>
        <w:trHeight w:val="228"/>
      </w:trPr>
      <w:tc>
        <w:tcPr>
          <w:tcW w:w="3118" w:type="dxa"/>
          <w:shd w:val="clear" w:color="auto" w:fill="auto"/>
          <w:vAlign w:val="center"/>
        </w:tcPr>
        <w:p w14:paraId="2555A318" w14:textId="77777777" w:rsidR="00F17F51" w:rsidRDefault="00BB2045">
          <w:pPr>
            <w:spacing w:line="276" w:lineRule="auto"/>
            <w:jc w:val="right"/>
            <w:rPr>
              <w:rFonts w:ascii="Palatino Linotype" w:hAnsi="Palatino Linotype"/>
              <w:b/>
              <w:sz w:val="22"/>
              <w:szCs w:val="22"/>
            </w:rPr>
          </w:pPr>
          <w:r>
            <w:rPr>
              <w:rFonts w:ascii="Palatino Linotype" w:hAnsi="Palatino Linotype"/>
              <w:b/>
              <w:sz w:val="22"/>
              <w:szCs w:val="22"/>
            </w:rPr>
            <w:t>Sujeto Obligado:</w:t>
          </w:r>
        </w:p>
      </w:tc>
      <w:tc>
        <w:tcPr>
          <w:tcW w:w="4678" w:type="dxa"/>
          <w:shd w:val="clear" w:color="auto" w:fill="auto"/>
          <w:vAlign w:val="center"/>
        </w:tcPr>
        <w:p w14:paraId="615E9E77" w14:textId="77777777" w:rsidR="00F17F51" w:rsidRDefault="00BB2045">
          <w:pPr>
            <w:spacing w:line="276" w:lineRule="auto"/>
            <w:jc w:val="both"/>
            <w:rPr>
              <w:rFonts w:ascii="Palatino Linotype" w:hAnsi="Palatino Linotype"/>
              <w:sz w:val="22"/>
              <w:szCs w:val="22"/>
            </w:rPr>
          </w:pPr>
          <w:r>
            <w:rPr>
              <w:rFonts w:ascii="Palatino Linotype" w:hAnsi="Palatino Linotype"/>
              <w:sz w:val="22"/>
              <w:szCs w:val="22"/>
            </w:rPr>
            <w:t>Organismo Público Descentralizado Municipal para la Prestación de Los Servicios de Agua Potable Alcantarillado y Saneamiento de Cuautitlán Izcalli denominado OPERAGUA, O.P.D.M.</w:t>
          </w:r>
        </w:p>
      </w:tc>
    </w:tr>
    <w:tr w:rsidR="00F17F51" w14:paraId="4138C2D5" w14:textId="77777777">
      <w:tc>
        <w:tcPr>
          <w:tcW w:w="3118" w:type="dxa"/>
          <w:shd w:val="clear" w:color="auto" w:fill="auto"/>
          <w:vAlign w:val="center"/>
        </w:tcPr>
        <w:p w14:paraId="38520955" w14:textId="77777777" w:rsidR="00F17F51" w:rsidRDefault="00BB2045">
          <w:pPr>
            <w:spacing w:line="276" w:lineRule="auto"/>
            <w:jc w:val="right"/>
            <w:rPr>
              <w:rFonts w:ascii="Palatino Linotype" w:hAnsi="Palatino Linotype"/>
              <w:b/>
              <w:sz w:val="22"/>
              <w:szCs w:val="22"/>
            </w:rPr>
          </w:pPr>
          <w:r>
            <w:rPr>
              <w:rFonts w:ascii="Palatino Linotype" w:hAnsi="Palatino Linotype"/>
              <w:b/>
              <w:sz w:val="22"/>
              <w:szCs w:val="22"/>
            </w:rPr>
            <w:t>Comisionado Ponente:</w:t>
          </w:r>
        </w:p>
      </w:tc>
      <w:tc>
        <w:tcPr>
          <w:tcW w:w="4678" w:type="dxa"/>
          <w:shd w:val="clear" w:color="auto" w:fill="auto"/>
          <w:vAlign w:val="center"/>
        </w:tcPr>
        <w:p w14:paraId="3E3CE562" w14:textId="77777777" w:rsidR="00F17F51" w:rsidRDefault="00BB2045">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r w:rsidR="00F17F51" w14:paraId="56773E84" w14:textId="77777777">
      <w:tc>
        <w:tcPr>
          <w:tcW w:w="3118" w:type="dxa"/>
          <w:shd w:val="clear" w:color="auto" w:fill="auto"/>
          <w:vAlign w:val="center"/>
        </w:tcPr>
        <w:p w14:paraId="3997443D" w14:textId="77777777" w:rsidR="00F17F51" w:rsidRDefault="00F17F51">
          <w:pPr>
            <w:spacing w:line="276" w:lineRule="auto"/>
            <w:jc w:val="right"/>
            <w:rPr>
              <w:rFonts w:ascii="Palatino Linotype" w:hAnsi="Palatino Linotype"/>
              <w:b/>
              <w:sz w:val="22"/>
              <w:szCs w:val="22"/>
            </w:rPr>
          </w:pPr>
        </w:p>
      </w:tc>
      <w:tc>
        <w:tcPr>
          <w:tcW w:w="4678" w:type="dxa"/>
          <w:shd w:val="clear" w:color="auto" w:fill="auto"/>
          <w:vAlign w:val="center"/>
        </w:tcPr>
        <w:p w14:paraId="7B21B059" w14:textId="77777777" w:rsidR="00F17F51" w:rsidRDefault="00F17F51">
          <w:pPr>
            <w:spacing w:line="276" w:lineRule="auto"/>
            <w:rPr>
              <w:rFonts w:ascii="Palatino Linotype" w:hAnsi="Palatino Linotype"/>
              <w:sz w:val="2"/>
              <w:szCs w:val="6"/>
            </w:rPr>
          </w:pPr>
        </w:p>
      </w:tc>
    </w:tr>
  </w:tbl>
  <w:p w14:paraId="37A63548" w14:textId="77777777" w:rsidR="00F17F51" w:rsidRDefault="005C242F">
    <w:pPr>
      <w:pStyle w:val="Encabezado"/>
      <w:rPr>
        <w:sz w:val="10"/>
      </w:rPr>
    </w:pPr>
    <w:r>
      <w:rPr>
        <w:sz w:val="10"/>
        <w:lang w:val="es-MX" w:eastAsia="es-MX"/>
      </w:rPr>
      <w:pict w14:anchorId="67026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7pt;margin-top:-195.4pt;width:628.7pt;height:818.9pt;z-index:-251657216;mso-position-horizontal-relative:margin;mso-position-vertical-relative:margin;mso-width-relative:page;mso-height-relative:page"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
      </v:shape>
    </w:pict>
  </w:numPicBullet>
  <w:abstractNum w:abstractNumId="0" w15:restartNumberingAfterBreak="0">
    <w:nsid w:val="0D6D4AFA"/>
    <w:multiLevelType w:val="multilevel"/>
    <w:tmpl w:val="0D6D4AF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D5092B"/>
    <w:multiLevelType w:val="multilevel"/>
    <w:tmpl w:val="30D5092B"/>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464325"/>
    <w:multiLevelType w:val="multilevel"/>
    <w:tmpl w:val="7946432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7A193D"/>
    <w:multiLevelType w:val="multilevel"/>
    <w:tmpl w:val="797A193D"/>
    <w:lvl w:ilvl="0">
      <w:start w:val="1"/>
      <w:numFmt w:val="low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3036659">
    <w:abstractNumId w:val="3"/>
  </w:num>
  <w:num w:numId="2" w16cid:durableId="717124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438688">
    <w:abstractNumId w:val="0"/>
  </w:num>
  <w:num w:numId="4" w16cid:durableId="37173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23E3F"/>
    <w:rsid w:val="00032D08"/>
    <w:rsid w:val="00036F8B"/>
    <w:rsid w:val="00054E04"/>
    <w:rsid w:val="000572E9"/>
    <w:rsid w:val="00070547"/>
    <w:rsid w:val="00071173"/>
    <w:rsid w:val="000775FC"/>
    <w:rsid w:val="000927A2"/>
    <w:rsid w:val="00093AE1"/>
    <w:rsid w:val="000A34BB"/>
    <w:rsid w:val="000A351E"/>
    <w:rsid w:val="000A717C"/>
    <w:rsid w:val="000B293E"/>
    <w:rsid w:val="000B3D36"/>
    <w:rsid w:val="000B4402"/>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949AC"/>
    <w:rsid w:val="001A6109"/>
    <w:rsid w:val="001A6C89"/>
    <w:rsid w:val="001B2337"/>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3673"/>
    <w:rsid w:val="002167BB"/>
    <w:rsid w:val="00216D40"/>
    <w:rsid w:val="00217E6C"/>
    <w:rsid w:val="00225163"/>
    <w:rsid w:val="00226B4A"/>
    <w:rsid w:val="002325DC"/>
    <w:rsid w:val="00235936"/>
    <w:rsid w:val="00236CBA"/>
    <w:rsid w:val="0024323F"/>
    <w:rsid w:val="00247138"/>
    <w:rsid w:val="002554C6"/>
    <w:rsid w:val="00255F1A"/>
    <w:rsid w:val="00261BC7"/>
    <w:rsid w:val="0026516A"/>
    <w:rsid w:val="00267458"/>
    <w:rsid w:val="00267BB5"/>
    <w:rsid w:val="00283696"/>
    <w:rsid w:val="002868B2"/>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7FE5"/>
    <w:rsid w:val="00307006"/>
    <w:rsid w:val="0030701F"/>
    <w:rsid w:val="00320F38"/>
    <w:rsid w:val="003259D6"/>
    <w:rsid w:val="00330FC3"/>
    <w:rsid w:val="00337FFA"/>
    <w:rsid w:val="00340A06"/>
    <w:rsid w:val="00343F0B"/>
    <w:rsid w:val="003520C5"/>
    <w:rsid w:val="0035559A"/>
    <w:rsid w:val="00371835"/>
    <w:rsid w:val="003746DE"/>
    <w:rsid w:val="003804E8"/>
    <w:rsid w:val="00380D3E"/>
    <w:rsid w:val="00386934"/>
    <w:rsid w:val="00386D38"/>
    <w:rsid w:val="00391828"/>
    <w:rsid w:val="00396DB6"/>
    <w:rsid w:val="003B1C85"/>
    <w:rsid w:val="003B70B0"/>
    <w:rsid w:val="003C160D"/>
    <w:rsid w:val="003C59BC"/>
    <w:rsid w:val="003C6E1C"/>
    <w:rsid w:val="003D6804"/>
    <w:rsid w:val="003E21A7"/>
    <w:rsid w:val="003E56C9"/>
    <w:rsid w:val="004018F9"/>
    <w:rsid w:val="00414CE3"/>
    <w:rsid w:val="00425E0F"/>
    <w:rsid w:val="00427E65"/>
    <w:rsid w:val="004344EA"/>
    <w:rsid w:val="0043515A"/>
    <w:rsid w:val="004403F7"/>
    <w:rsid w:val="004426DC"/>
    <w:rsid w:val="00442FD8"/>
    <w:rsid w:val="00443892"/>
    <w:rsid w:val="004445A1"/>
    <w:rsid w:val="00445CAA"/>
    <w:rsid w:val="00467118"/>
    <w:rsid w:val="004672ED"/>
    <w:rsid w:val="00483A95"/>
    <w:rsid w:val="00485743"/>
    <w:rsid w:val="00487B7B"/>
    <w:rsid w:val="00491E86"/>
    <w:rsid w:val="004A034A"/>
    <w:rsid w:val="004A49DB"/>
    <w:rsid w:val="004B2314"/>
    <w:rsid w:val="004D18B6"/>
    <w:rsid w:val="004D2BF5"/>
    <w:rsid w:val="004D5D2F"/>
    <w:rsid w:val="004D6F71"/>
    <w:rsid w:val="004E5628"/>
    <w:rsid w:val="004F26E3"/>
    <w:rsid w:val="0050130E"/>
    <w:rsid w:val="0050243E"/>
    <w:rsid w:val="00511E00"/>
    <w:rsid w:val="00524A8D"/>
    <w:rsid w:val="005251A9"/>
    <w:rsid w:val="00543039"/>
    <w:rsid w:val="0054391A"/>
    <w:rsid w:val="00551441"/>
    <w:rsid w:val="00555C87"/>
    <w:rsid w:val="00563A28"/>
    <w:rsid w:val="00563B39"/>
    <w:rsid w:val="0057289F"/>
    <w:rsid w:val="005758A2"/>
    <w:rsid w:val="00580264"/>
    <w:rsid w:val="0059032F"/>
    <w:rsid w:val="0059614C"/>
    <w:rsid w:val="00597D71"/>
    <w:rsid w:val="005A6216"/>
    <w:rsid w:val="005A740A"/>
    <w:rsid w:val="005B0692"/>
    <w:rsid w:val="005B234D"/>
    <w:rsid w:val="005B26AD"/>
    <w:rsid w:val="005B36A8"/>
    <w:rsid w:val="005B5693"/>
    <w:rsid w:val="005C242F"/>
    <w:rsid w:val="005C6646"/>
    <w:rsid w:val="005D115D"/>
    <w:rsid w:val="005D77CC"/>
    <w:rsid w:val="005E09AB"/>
    <w:rsid w:val="005E5716"/>
    <w:rsid w:val="005F1F89"/>
    <w:rsid w:val="005F4BFB"/>
    <w:rsid w:val="005F6823"/>
    <w:rsid w:val="006000C5"/>
    <w:rsid w:val="006002E0"/>
    <w:rsid w:val="00620280"/>
    <w:rsid w:val="006258FD"/>
    <w:rsid w:val="00632E48"/>
    <w:rsid w:val="00643B58"/>
    <w:rsid w:val="006810FF"/>
    <w:rsid w:val="0068515C"/>
    <w:rsid w:val="00694976"/>
    <w:rsid w:val="006952D2"/>
    <w:rsid w:val="006B321A"/>
    <w:rsid w:val="006B418F"/>
    <w:rsid w:val="006C3931"/>
    <w:rsid w:val="006C6A15"/>
    <w:rsid w:val="006D0C82"/>
    <w:rsid w:val="006D0D56"/>
    <w:rsid w:val="006D1713"/>
    <w:rsid w:val="006D30E6"/>
    <w:rsid w:val="006D3A03"/>
    <w:rsid w:val="006E08FA"/>
    <w:rsid w:val="006E13A6"/>
    <w:rsid w:val="006F5F93"/>
    <w:rsid w:val="00701A71"/>
    <w:rsid w:val="00710FED"/>
    <w:rsid w:val="00716632"/>
    <w:rsid w:val="00717A0C"/>
    <w:rsid w:val="0072658E"/>
    <w:rsid w:val="007317D9"/>
    <w:rsid w:val="00732345"/>
    <w:rsid w:val="007532C7"/>
    <w:rsid w:val="007566CA"/>
    <w:rsid w:val="00756F04"/>
    <w:rsid w:val="00757D60"/>
    <w:rsid w:val="00766026"/>
    <w:rsid w:val="00770F18"/>
    <w:rsid w:val="007749C7"/>
    <w:rsid w:val="007764BB"/>
    <w:rsid w:val="0078199B"/>
    <w:rsid w:val="007828DC"/>
    <w:rsid w:val="00792EAA"/>
    <w:rsid w:val="0079708B"/>
    <w:rsid w:val="007A118C"/>
    <w:rsid w:val="007A37FE"/>
    <w:rsid w:val="007B3C31"/>
    <w:rsid w:val="007C1D5B"/>
    <w:rsid w:val="007C3435"/>
    <w:rsid w:val="007C35A4"/>
    <w:rsid w:val="007C3E46"/>
    <w:rsid w:val="007C7EE0"/>
    <w:rsid w:val="007D2A81"/>
    <w:rsid w:val="007D4B05"/>
    <w:rsid w:val="007E52D5"/>
    <w:rsid w:val="007E534B"/>
    <w:rsid w:val="007E7C02"/>
    <w:rsid w:val="007F7462"/>
    <w:rsid w:val="00800A80"/>
    <w:rsid w:val="008032D9"/>
    <w:rsid w:val="00812DDF"/>
    <w:rsid w:val="00830C36"/>
    <w:rsid w:val="008313E0"/>
    <w:rsid w:val="00831B13"/>
    <w:rsid w:val="00835035"/>
    <w:rsid w:val="00837C9A"/>
    <w:rsid w:val="0084644F"/>
    <w:rsid w:val="008500D3"/>
    <w:rsid w:val="00852668"/>
    <w:rsid w:val="008578BF"/>
    <w:rsid w:val="008660D6"/>
    <w:rsid w:val="00866ABE"/>
    <w:rsid w:val="00896D29"/>
    <w:rsid w:val="008A12CF"/>
    <w:rsid w:val="008A1A90"/>
    <w:rsid w:val="008A64CB"/>
    <w:rsid w:val="008B082B"/>
    <w:rsid w:val="008B6546"/>
    <w:rsid w:val="008C3B24"/>
    <w:rsid w:val="008D1BDC"/>
    <w:rsid w:val="008D26E6"/>
    <w:rsid w:val="008E01E4"/>
    <w:rsid w:val="008E7F32"/>
    <w:rsid w:val="008F066D"/>
    <w:rsid w:val="008F148C"/>
    <w:rsid w:val="008F5DAE"/>
    <w:rsid w:val="00900C9B"/>
    <w:rsid w:val="00901487"/>
    <w:rsid w:val="00910839"/>
    <w:rsid w:val="00912700"/>
    <w:rsid w:val="009212A0"/>
    <w:rsid w:val="00921551"/>
    <w:rsid w:val="009217E8"/>
    <w:rsid w:val="00925B0B"/>
    <w:rsid w:val="00926AAF"/>
    <w:rsid w:val="00926C44"/>
    <w:rsid w:val="009311A8"/>
    <w:rsid w:val="0093645B"/>
    <w:rsid w:val="0094381A"/>
    <w:rsid w:val="00946698"/>
    <w:rsid w:val="00961002"/>
    <w:rsid w:val="009758CB"/>
    <w:rsid w:val="00980909"/>
    <w:rsid w:val="00993406"/>
    <w:rsid w:val="0099391A"/>
    <w:rsid w:val="0099758E"/>
    <w:rsid w:val="00997950"/>
    <w:rsid w:val="009A0F77"/>
    <w:rsid w:val="009A1EEF"/>
    <w:rsid w:val="009A5223"/>
    <w:rsid w:val="009A6B97"/>
    <w:rsid w:val="009A6D6A"/>
    <w:rsid w:val="009B23B7"/>
    <w:rsid w:val="009B2B6B"/>
    <w:rsid w:val="009C4FCC"/>
    <w:rsid w:val="009D2E87"/>
    <w:rsid w:val="009D39B3"/>
    <w:rsid w:val="009D6AE6"/>
    <w:rsid w:val="009D7E06"/>
    <w:rsid w:val="009E0C45"/>
    <w:rsid w:val="009E0E89"/>
    <w:rsid w:val="009E1F26"/>
    <w:rsid w:val="009F4FF4"/>
    <w:rsid w:val="009F62C3"/>
    <w:rsid w:val="009F71DC"/>
    <w:rsid w:val="00A0100D"/>
    <w:rsid w:val="00A05133"/>
    <w:rsid w:val="00A05D3A"/>
    <w:rsid w:val="00A21B73"/>
    <w:rsid w:val="00A26BD8"/>
    <w:rsid w:val="00A5260D"/>
    <w:rsid w:val="00A5377D"/>
    <w:rsid w:val="00A54C18"/>
    <w:rsid w:val="00A572B6"/>
    <w:rsid w:val="00A6692F"/>
    <w:rsid w:val="00A6775F"/>
    <w:rsid w:val="00A72262"/>
    <w:rsid w:val="00A7773A"/>
    <w:rsid w:val="00A83B4F"/>
    <w:rsid w:val="00AA26B4"/>
    <w:rsid w:val="00AB15E3"/>
    <w:rsid w:val="00AB4982"/>
    <w:rsid w:val="00AC2894"/>
    <w:rsid w:val="00AC3DB9"/>
    <w:rsid w:val="00AC687D"/>
    <w:rsid w:val="00AD33BE"/>
    <w:rsid w:val="00AE1A47"/>
    <w:rsid w:val="00AE5995"/>
    <w:rsid w:val="00AE6704"/>
    <w:rsid w:val="00AE78CA"/>
    <w:rsid w:val="00B01BD5"/>
    <w:rsid w:val="00B02C86"/>
    <w:rsid w:val="00B03C42"/>
    <w:rsid w:val="00B04476"/>
    <w:rsid w:val="00B05B83"/>
    <w:rsid w:val="00B064F1"/>
    <w:rsid w:val="00B11D46"/>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1F2F"/>
    <w:rsid w:val="00B83E10"/>
    <w:rsid w:val="00B85697"/>
    <w:rsid w:val="00B85F29"/>
    <w:rsid w:val="00B911AF"/>
    <w:rsid w:val="00B96A17"/>
    <w:rsid w:val="00BA27FC"/>
    <w:rsid w:val="00BA2D32"/>
    <w:rsid w:val="00BA43DC"/>
    <w:rsid w:val="00BA54AE"/>
    <w:rsid w:val="00BB06D2"/>
    <w:rsid w:val="00BB134B"/>
    <w:rsid w:val="00BB2045"/>
    <w:rsid w:val="00BB5BCB"/>
    <w:rsid w:val="00BC0CFA"/>
    <w:rsid w:val="00BC1388"/>
    <w:rsid w:val="00BC462B"/>
    <w:rsid w:val="00BD14B3"/>
    <w:rsid w:val="00BD677A"/>
    <w:rsid w:val="00BD74AF"/>
    <w:rsid w:val="00BE233B"/>
    <w:rsid w:val="00BE7A6E"/>
    <w:rsid w:val="00BF13DE"/>
    <w:rsid w:val="00BF6E0F"/>
    <w:rsid w:val="00C0414E"/>
    <w:rsid w:val="00C058C8"/>
    <w:rsid w:val="00C20F80"/>
    <w:rsid w:val="00C249A6"/>
    <w:rsid w:val="00C33A9B"/>
    <w:rsid w:val="00C400AC"/>
    <w:rsid w:val="00C4326C"/>
    <w:rsid w:val="00C56DD5"/>
    <w:rsid w:val="00C57FE5"/>
    <w:rsid w:val="00C63F7B"/>
    <w:rsid w:val="00C7451B"/>
    <w:rsid w:val="00C753C2"/>
    <w:rsid w:val="00C802FB"/>
    <w:rsid w:val="00C85653"/>
    <w:rsid w:val="00CA028B"/>
    <w:rsid w:val="00CA216C"/>
    <w:rsid w:val="00CA4114"/>
    <w:rsid w:val="00CA4BF9"/>
    <w:rsid w:val="00CB5B7B"/>
    <w:rsid w:val="00CB756E"/>
    <w:rsid w:val="00CC0700"/>
    <w:rsid w:val="00CD024D"/>
    <w:rsid w:val="00CD3A41"/>
    <w:rsid w:val="00CD431E"/>
    <w:rsid w:val="00CE1C82"/>
    <w:rsid w:val="00CE20B2"/>
    <w:rsid w:val="00CE2381"/>
    <w:rsid w:val="00CE51D0"/>
    <w:rsid w:val="00CE7546"/>
    <w:rsid w:val="00CF1DF5"/>
    <w:rsid w:val="00CF7FBE"/>
    <w:rsid w:val="00D01A63"/>
    <w:rsid w:val="00D12C36"/>
    <w:rsid w:val="00D1697E"/>
    <w:rsid w:val="00D1750D"/>
    <w:rsid w:val="00D21ECE"/>
    <w:rsid w:val="00D268D2"/>
    <w:rsid w:val="00D27727"/>
    <w:rsid w:val="00D4431A"/>
    <w:rsid w:val="00D467EF"/>
    <w:rsid w:val="00D54B83"/>
    <w:rsid w:val="00D553D4"/>
    <w:rsid w:val="00D57210"/>
    <w:rsid w:val="00D57AED"/>
    <w:rsid w:val="00D57F74"/>
    <w:rsid w:val="00D66FE8"/>
    <w:rsid w:val="00D76EF7"/>
    <w:rsid w:val="00D901D7"/>
    <w:rsid w:val="00D92BFE"/>
    <w:rsid w:val="00DA300B"/>
    <w:rsid w:val="00DA57DF"/>
    <w:rsid w:val="00DC1583"/>
    <w:rsid w:val="00DC2B31"/>
    <w:rsid w:val="00DC3CEA"/>
    <w:rsid w:val="00DD1866"/>
    <w:rsid w:val="00DD5A69"/>
    <w:rsid w:val="00DE0A8D"/>
    <w:rsid w:val="00DE407A"/>
    <w:rsid w:val="00DE562A"/>
    <w:rsid w:val="00DE5D6D"/>
    <w:rsid w:val="00DE7148"/>
    <w:rsid w:val="00DF62A4"/>
    <w:rsid w:val="00DF67A4"/>
    <w:rsid w:val="00E00D15"/>
    <w:rsid w:val="00E0698E"/>
    <w:rsid w:val="00E11B18"/>
    <w:rsid w:val="00E341AD"/>
    <w:rsid w:val="00E40828"/>
    <w:rsid w:val="00E42B2B"/>
    <w:rsid w:val="00E45AE1"/>
    <w:rsid w:val="00E5647F"/>
    <w:rsid w:val="00E61A4C"/>
    <w:rsid w:val="00E625D3"/>
    <w:rsid w:val="00E65F37"/>
    <w:rsid w:val="00E711DE"/>
    <w:rsid w:val="00E74701"/>
    <w:rsid w:val="00E75E5F"/>
    <w:rsid w:val="00E823B8"/>
    <w:rsid w:val="00E833D1"/>
    <w:rsid w:val="00E86AD2"/>
    <w:rsid w:val="00E8719C"/>
    <w:rsid w:val="00E9091C"/>
    <w:rsid w:val="00E93BB3"/>
    <w:rsid w:val="00E9680B"/>
    <w:rsid w:val="00EA46CC"/>
    <w:rsid w:val="00EA49B9"/>
    <w:rsid w:val="00EA5AA1"/>
    <w:rsid w:val="00EA61B9"/>
    <w:rsid w:val="00EA7BF4"/>
    <w:rsid w:val="00EB0964"/>
    <w:rsid w:val="00EB6C62"/>
    <w:rsid w:val="00EC0798"/>
    <w:rsid w:val="00EC7868"/>
    <w:rsid w:val="00ED6373"/>
    <w:rsid w:val="00EE2FB1"/>
    <w:rsid w:val="00EE338D"/>
    <w:rsid w:val="00EE4D9C"/>
    <w:rsid w:val="00EE571A"/>
    <w:rsid w:val="00EE6265"/>
    <w:rsid w:val="00EE7518"/>
    <w:rsid w:val="00EF193B"/>
    <w:rsid w:val="00EF75EF"/>
    <w:rsid w:val="00F17F51"/>
    <w:rsid w:val="00F241AD"/>
    <w:rsid w:val="00F30C33"/>
    <w:rsid w:val="00F32EBF"/>
    <w:rsid w:val="00F34A32"/>
    <w:rsid w:val="00F3556B"/>
    <w:rsid w:val="00F37AE7"/>
    <w:rsid w:val="00F455F1"/>
    <w:rsid w:val="00F54221"/>
    <w:rsid w:val="00F570D3"/>
    <w:rsid w:val="00F62221"/>
    <w:rsid w:val="00F63FE7"/>
    <w:rsid w:val="00F662F6"/>
    <w:rsid w:val="00F712EE"/>
    <w:rsid w:val="00F73BB1"/>
    <w:rsid w:val="00F774DF"/>
    <w:rsid w:val="00F8513C"/>
    <w:rsid w:val="00F96437"/>
    <w:rsid w:val="00F97C38"/>
    <w:rsid w:val="00FA7ED5"/>
    <w:rsid w:val="00FB11E9"/>
    <w:rsid w:val="00FC0DAE"/>
    <w:rsid w:val="00FC1FC5"/>
    <w:rsid w:val="00FC576D"/>
    <w:rsid w:val="00FC6F08"/>
    <w:rsid w:val="00FC7CC7"/>
    <w:rsid w:val="00FE2FFB"/>
    <w:rsid w:val="00FF2D02"/>
    <w:rsid w:val="00FF6617"/>
    <w:rsid w:val="14FD7E5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305FE"/>
  <w15:docId w15:val="{BDFF8AD0-3F7D-4EDF-9DB4-7D85746B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72"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CitaHTML">
    <w:name w:val="HTML Cite"/>
    <w:uiPriority w:val="99"/>
    <w:semiHidden/>
    <w:unhideWhenUsed/>
    <w:rPr>
      <w:i/>
      <w:iCs/>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rPr>
      <w:sz w:val="20"/>
      <w:szCs w:val="20"/>
    </w:rPr>
  </w:style>
  <w:style w:type="paragraph" w:styleId="Textonotaalfinal">
    <w:name w:val="endnote text"/>
    <w:basedOn w:val="Normal"/>
    <w:link w:val="TextonotaalfinalCar"/>
    <w:uiPriority w:val="99"/>
    <w:semiHidden/>
    <w:unhideWhenUsed/>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after="160"/>
    </w:pPr>
    <w:rPr>
      <w:rFonts w:asciiTheme="minorHAnsi" w:eastAsiaTheme="minorHAnsi" w:hAnsiTheme="minorHAnsi" w:cstheme="minorBidi"/>
      <w:sz w:val="20"/>
      <w:szCs w:val="20"/>
      <w:lang w:val="es-MX" w:eastAsia="en-US"/>
    </w:rPr>
  </w:style>
  <w:style w:type="paragraph" w:styleId="Textodeglobo">
    <w:name w:val="Balloon Text"/>
    <w:basedOn w:val="Normal"/>
    <w:link w:val="TextodegloboCar"/>
    <w:uiPriority w:val="99"/>
    <w:semiHidden/>
    <w:unhideWhenUsed/>
    <w:rPr>
      <w:rFonts w:ascii="Tahoma" w:eastAsiaTheme="minorHAnsi" w:hAnsi="Tahoma" w:cs="Tahoma"/>
      <w:sz w:val="16"/>
      <w:szCs w:val="16"/>
      <w:lang w:val="es-MX" w:eastAsia="en-US"/>
    </w:rPr>
  </w:style>
  <w:style w:type="paragraph" w:styleId="Textoindependiente2">
    <w:name w:val="Body Text 2"/>
    <w:basedOn w:val="Normal"/>
    <w:link w:val="Textoindependiente2Car"/>
    <w:uiPriority w:val="99"/>
    <w:unhideWhenUsed/>
    <w:pPr>
      <w:spacing w:after="120" w:line="480" w:lineRule="auto"/>
    </w:pPr>
    <w:rPr>
      <w:lang w:val="es-MX"/>
    </w:rPr>
  </w:style>
  <w:style w:type="paragraph" w:styleId="Lista3">
    <w:name w:val="List 3"/>
    <w:basedOn w:val="Normal"/>
    <w:uiPriority w:val="99"/>
    <w:unhideWhenUsed/>
    <w:pPr>
      <w:ind w:left="849" w:hanging="283"/>
      <w:contextualSpacing/>
    </w:pPr>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rPr>
  </w:style>
  <w:style w:type="paragraph" w:styleId="Sangradetextonormal">
    <w:name w:val="Body Text Indent"/>
    <w:basedOn w:val="Normal"/>
    <w:link w:val="SangradetextonormalCar"/>
    <w:uiPriority w:val="99"/>
    <w:unhideWhenUsed/>
    <w:pPr>
      <w:spacing w:after="120" w:line="276" w:lineRule="auto"/>
      <w:ind w:left="283"/>
    </w:pPr>
    <w:rPr>
      <w:rFonts w:ascii="Calibri" w:eastAsia="Calibri" w:hAnsi="Calibri"/>
      <w:sz w:val="22"/>
      <w:szCs w:val="22"/>
      <w:lang w:val="es-MX" w:eastAsia="en-US"/>
    </w:rPr>
  </w:style>
  <w:style w:type="paragraph" w:styleId="Lista2">
    <w:name w:val="List 2"/>
    <w:basedOn w:val="Normal"/>
    <w:uiPriority w:val="99"/>
    <w:unhideWhenUsed/>
    <w:pPr>
      <w:ind w:left="566" w:hanging="283"/>
      <w:contextualSpacing/>
    </w:pPr>
  </w:style>
  <w:style w:type="paragraph" w:styleId="Lista">
    <w:name w:val="List"/>
    <w:basedOn w:val="Normal"/>
    <w:uiPriority w:val="99"/>
    <w:unhideWhenUsed/>
    <w:pPr>
      <w:ind w:left="283" w:hanging="283"/>
      <w:contextualSpacing/>
    </w:pPr>
  </w:style>
  <w:style w:type="paragraph" w:styleId="NormalWeb">
    <w:name w:val="Normal (Web)"/>
    <w:basedOn w:val="Normal"/>
    <w:uiPriority w:val="99"/>
    <w:unhideWhenUsed/>
    <w:pPr>
      <w:spacing w:before="100" w:beforeAutospacing="1" w:after="100" w:afterAutospacing="1"/>
    </w:pPr>
    <w:rPr>
      <w:lang w:val="es-MX" w:eastAsia="es-MX"/>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rPr>
  </w:style>
  <w:style w:type="paragraph" w:styleId="Saludo">
    <w:name w:val="Salutation"/>
    <w:basedOn w:val="Normal"/>
    <w:next w:val="Normal"/>
    <w:link w:val="SaludoCar"/>
    <w:uiPriority w:val="99"/>
    <w:unhideWhenUsed/>
    <w:rPr>
      <w:lang w:val="es-MX"/>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lang w:eastAsia="es-MX"/>
    </w:rPr>
  </w:style>
  <w:style w:type="paragraph" w:styleId="Textoindependiente">
    <w:name w:val="Body Text"/>
    <w:basedOn w:val="Normal"/>
    <w:link w:val="TextoindependienteCar"/>
    <w:uiPriority w:val="1"/>
    <w:unhideWhenUsed/>
    <w:qFormat/>
    <w:pPr>
      <w:spacing w:after="120" w:line="259" w:lineRule="auto"/>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pPr>
      <w:spacing w:after="0" w:line="240" w:lineRule="auto"/>
      <w:ind w:left="360" w:firstLine="360"/>
    </w:pPr>
    <w:rPr>
      <w:rFonts w:ascii="Times New Roman" w:eastAsia="Times New Roman" w:hAnsi="Times New Roman"/>
      <w:sz w:val="24"/>
      <w:szCs w:val="24"/>
      <w:lang w:val="es-ES" w:eastAsia="es-ES"/>
    </w:rPr>
  </w:style>
  <w:style w:type="paragraph" w:styleId="Textosinformato">
    <w:name w:val="Plain Text"/>
    <w:basedOn w:val="Normal"/>
    <w:link w:val="TextosinformatoCar"/>
    <w:rPr>
      <w:rFonts w:ascii="Courier New" w:hAnsi="Courier New"/>
      <w:sz w:val="20"/>
      <w:szCs w:val="20"/>
    </w:rPr>
  </w:style>
  <w:style w:type="paragraph" w:styleId="Ttulo">
    <w:name w:val="Title"/>
    <w:basedOn w:val="Normal"/>
    <w:next w:val="Normal"/>
    <w:link w:val="TtuloCar"/>
    <w:pPr>
      <w:keepNext/>
      <w:keepLines/>
      <w:spacing w:before="480" w:after="120"/>
    </w:pPr>
    <w:rPr>
      <w:b/>
      <w:sz w:val="72"/>
      <w:szCs w:val="72"/>
      <w:lang w:eastAsia="es-MX"/>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eastAsiaTheme="minorEastAsia"/>
      <w:sz w:val="24"/>
      <w:szCs w:val="24"/>
      <w:lang w:eastAsia="es-ES"/>
    </w:rPr>
  </w:style>
  <w:style w:type="character" w:customStyle="1" w:styleId="PiedepginaCar">
    <w:name w:val="Pie de página Car"/>
    <w:basedOn w:val="Fuentedeprrafopredeter"/>
    <w:link w:val="Piedepgina"/>
    <w:uiPriority w:val="99"/>
    <w:rPr>
      <w:rFonts w:eastAsiaTheme="minorEastAsia"/>
      <w:sz w:val="24"/>
      <w:szCs w:val="24"/>
      <w:lang w:eastAsia="es-ES"/>
    </w:rPr>
  </w:style>
  <w:style w:type="paragraph" w:styleId="Prrafodelista">
    <w:name w:val="List Paragraph"/>
    <w:basedOn w:val="Normal"/>
    <w:link w:val="PrrafodelistaCar"/>
    <w:uiPriority w:val="72"/>
    <w:qFormat/>
    <w:pPr>
      <w:ind w:left="708"/>
    </w:pPr>
  </w:style>
  <w:style w:type="character" w:customStyle="1" w:styleId="PrrafodelistaCar">
    <w:name w:val="Párrafo de lista Car"/>
    <w:link w:val="Prrafodelista"/>
    <w:uiPriority w:val="72"/>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character" w:customStyle="1" w:styleId="TextonotapieCar">
    <w:name w:val="Texto nota pie Car"/>
    <w:basedOn w:val="Fuentedeprrafopredeter"/>
    <w:link w:val="Textonotapie"/>
    <w:uiPriority w:val="99"/>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uiPriority w:val="46"/>
    <w:rPr>
      <w:rFonts w:eastAsia="MS Mincho"/>
      <w:sz w:val="24"/>
      <w:szCs w:val="24"/>
      <w:lang w:eastAsia="es-ES"/>
    </w:rP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uiPriority w:val="46"/>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xtonotaalfinalCar">
    <w:name w:val="Texto nota al final Car"/>
    <w:basedOn w:val="Fuentedeprrafopredeter"/>
    <w:link w:val="Textonotaalfinal"/>
    <w:uiPriority w:val="99"/>
    <w:semiHidden/>
    <w:rPr>
      <w:rFonts w:ascii="Times New Roman" w:eastAsia="Times New Roman" w:hAnsi="Times New Roman" w:cs="Times New Roman"/>
      <w:sz w:val="20"/>
      <w:szCs w:val="20"/>
      <w:lang w:val="es-ES" w:eastAsia="es-ES"/>
    </w:rPr>
  </w:style>
  <w:style w:type="paragraph" w:customStyle="1" w:styleId="Default">
    <w:name w:val="Default"/>
    <w:pPr>
      <w:autoSpaceDE w:val="0"/>
      <w:autoSpaceDN w:val="0"/>
      <w:adjustRightInd w:val="0"/>
    </w:pPr>
    <w:rPr>
      <w:rFonts w:ascii="Palatino Linotype" w:hAnsi="Palatino Linotype" w:cs="Palatino Linotype"/>
      <w:color w:val="000000"/>
      <w:sz w:val="24"/>
      <w:szCs w:val="24"/>
      <w:lang w:eastAsia="en-US"/>
    </w:rPr>
  </w:style>
  <w:style w:type="character" w:customStyle="1" w:styleId="TextoindependienteCar">
    <w:name w:val="Texto independiente Car"/>
    <w:basedOn w:val="Fuentedeprrafopredeter"/>
    <w:link w:val="Textoindependiente"/>
    <w:uiPriority w:val="1"/>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MX"/>
    </w:rPr>
  </w:style>
  <w:style w:type="character" w:customStyle="1" w:styleId="il">
    <w:name w:val="il"/>
    <w:basedOn w:val="Fuentedeprrafopredete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extodegloboCar1">
    <w:name w:val="Texto de globo Car1"/>
    <w:basedOn w:val="Fuentedeprrafopredeter"/>
    <w:uiPriority w:val="99"/>
    <w:semiHidden/>
    <w:rPr>
      <w:rFonts w:ascii="Segoe UI" w:eastAsia="Times New Roman" w:hAnsi="Segoe UI" w:cs="Segoe UI"/>
      <w:sz w:val="18"/>
      <w:szCs w:val="18"/>
      <w:lang w:val="es-ES" w:eastAsia="es-ES"/>
    </w:rPr>
  </w:style>
  <w:style w:type="paragraph" w:customStyle="1" w:styleId="n2">
    <w:name w:val="n2"/>
    <w:basedOn w:val="Normal"/>
    <w:pPr>
      <w:spacing w:before="100" w:beforeAutospacing="1" w:after="100" w:afterAutospacing="1"/>
    </w:pPr>
    <w:rPr>
      <w:lang w:val="es-MX" w:eastAsia="es-MX"/>
    </w:rPr>
  </w:style>
  <w:style w:type="paragraph" w:customStyle="1" w:styleId="j">
    <w:name w:val="j"/>
    <w:basedOn w:val="Normal"/>
    <w:pPr>
      <w:spacing w:before="100" w:beforeAutospacing="1" w:after="100" w:afterAutospacing="1"/>
    </w:pPr>
    <w:rPr>
      <w:lang w:val="es-MX" w:eastAsia="es-MX"/>
    </w:rPr>
  </w:style>
  <w:style w:type="character" w:customStyle="1" w:styleId="nacep">
    <w:name w:val="n_acep"/>
    <w:basedOn w:val="Fuentedeprrafopredeter"/>
  </w:style>
  <w:style w:type="character" w:customStyle="1" w:styleId="notranslate">
    <w:name w:val="notranslate"/>
    <w:basedOn w:val="Fuentedeprrafopredete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TextocomentarioCar1">
    <w:name w:val="Texto comentario Car1"/>
    <w:basedOn w:val="Fuentedeprrafopredeter"/>
    <w:uiPriority w:val="99"/>
    <w:semiHidden/>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AsuntodelcomentarioCar1">
    <w:name w:val="Asunto del comentario Car1"/>
    <w:basedOn w:val="TextocomentarioCar1"/>
    <w:uiPriority w:val="99"/>
    <w:semiHidden/>
    <w:rPr>
      <w:rFonts w:ascii="Times New Roman" w:eastAsia="Times New Roman" w:hAnsi="Times New Roman" w:cs="Times New Roman"/>
      <w:b/>
      <w:bCs/>
      <w:sz w:val="20"/>
      <w:szCs w:val="20"/>
      <w:lang w:val="es-ES" w:eastAsia="es-ES"/>
    </w:rPr>
  </w:style>
  <w:style w:type="character" w:customStyle="1" w:styleId="apple-style-span">
    <w:name w:val="apple-style-span"/>
  </w:style>
  <w:style w:type="paragraph" w:customStyle="1" w:styleId="paragraph">
    <w:name w:val="paragraph"/>
    <w:basedOn w:val="Normal"/>
    <w:qFormat/>
    <w:pPr>
      <w:spacing w:before="100" w:beforeAutospacing="1" w:after="100" w:afterAutospacing="1"/>
    </w:pPr>
    <w:rPr>
      <w:lang w:val="es-MX" w:eastAsia="es-MX"/>
    </w:rPr>
  </w:style>
  <w:style w:type="character" w:customStyle="1" w:styleId="normaltextrun">
    <w:name w:val="normaltextrun"/>
    <w:basedOn w:val="Fuentedeprrafopredeter"/>
  </w:style>
  <w:style w:type="paragraph" w:customStyle="1" w:styleId="Body1">
    <w:name w:val="Body 1"/>
    <w:pPr>
      <w:spacing w:after="200" w:line="276" w:lineRule="auto"/>
      <w:outlineLvl w:val="0"/>
    </w:pPr>
    <w:rPr>
      <w:rFonts w:ascii="Helvetica" w:eastAsia="Arial Unicode MS" w:hAnsi="Helvetica" w:cs="Times New Roman"/>
      <w:color w:val="000000"/>
      <w:sz w:val="22"/>
      <w:u w:color="000000"/>
    </w:rPr>
  </w:style>
  <w:style w:type="character" w:customStyle="1" w:styleId="TextosinformatoCar">
    <w:name w:val="Texto sin formato Car"/>
    <w:basedOn w:val="Fuentedeprrafopredeter"/>
    <w:link w:val="Textosinformato"/>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style>
  <w:style w:type="character" w:customStyle="1" w:styleId="red">
    <w:name w:val="red"/>
    <w:basedOn w:val="Fuentedeprrafopredeter"/>
  </w:style>
  <w:style w:type="paragraph" w:customStyle="1" w:styleId="francesa">
    <w:name w:val="francesa"/>
    <w:basedOn w:val="Normal"/>
    <w:pPr>
      <w:spacing w:before="100" w:beforeAutospacing="1" w:after="100" w:afterAutospacing="1"/>
    </w:pPr>
    <w:rPr>
      <w:lang w:val="es-MX" w:eastAsia="es-MX"/>
    </w:rPr>
  </w:style>
  <w:style w:type="paragraph" w:customStyle="1" w:styleId="Pa0">
    <w:name w:val="Pa0"/>
    <w:basedOn w:val="Default"/>
    <w:next w:val="Default"/>
    <w:uiPriority w:val="99"/>
    <w:pPr>
      <w:spacing w:line="221" w:lineRule="atLeast"/>
    </w:pPr>
    <w:rPr>
      <w:rFonts w:ascii="Arial" w:hAnsi="Arial" w:cs="Arial"/>
      <w:color w:val="auto"/>
    </w:rPr>
  </w:style>
  <w:style w:type="paragraph" w:customStyle="1" w:styleId="j2">
    <w:name w:val="j2"/>
    <w:basedOn w:val="Normal"/>
    <w:pPr>
      <w:spacing w:before="100" w:beforeAutospacing="1" w:after="100" w:afterAutospacing="1"/>
    </w:pPr>
    <w:rPr>
      <w:lang w:val="es-MX" w:eastAsia="es-MX"/>
    </w:rPr>
  </w:style>
  <w:style w:type="paragraph" w:customStyle="1" w:styleId="o">
    <w:name w:val="o"/>
    <w:basedOn w:val="Normal"/>
    <w:pPr>
      <w:spacing w:before="100" w:beforeAutospacing="1" w:after="100" w:afterAutospacing="1"/>
    </w:pPr>
    <w:rPr>
      <w:lang w:val="es-MX" w:eastAsia="es-MX"/>
    </w:rPr>
  </w:style>
  <w:style w:type="character" w:customStyle="1" w:styleId="h">
    <w:name w:val="h"/>
    <w:basedOn w:val="Fuentedeprrafopredeter"/>
  </w:style>
  <w:style w:type="character" w:customStyle="1" w:styleId="i1">
    <w:name w:val="i1"/>
    <w:basedOn w:val="Fuentedeprrafopredeter"/>
  </w:style>
  <w:style w:type="character" w:customStyle="1" w:styleId="SangradetextonormalCar">
    <w:name w:val="Sangría de texto normal Car"/>
    <w:basedOn w:val="Fuentedeprrafopredeter"/>
    <w:link w:val="Sangradetextonormal"/>
    <w:uiPriority w:val="99"/>
    <w:rPr>
      <w:rFonts w:ascii="Calibri" w:eastAsia="Calibri" w:hAnsi="Calibri" w:cs="Times New Roman"/>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Pr>
      <w:rFonts w:asciiTheme="majorHAnsi" w:eastAsiaTheme="majorEastAsia" w:hAnsiTheme="majorHAnsi" w:cstheme="majorBidi"/>
      <w:color w:val="1F4E79" w:themeColor="accent1" w:themeShade="80"/>
      <w:sz w:val="24"/>
      <w:szCs w:val="24"/>
      <w:lang w:val="es-ES" w:eastAsia="es-ES"/>
    </w:rPr>
  </w:style>
  <w:style w:type="character" w:customStyle="1" w:styleId="Textoindependiente2Car">
    <w:name w:val="Texto independiente 2 Car"/>
    <w:basedOn w:val="Fuentedeprrafopredeter"/>
    <w:link w:val="Textoindependiente2"/>
    <w:uiPriority w:val="99"/>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pPr>
      <w:ind w:left="708"/>
    </w:pPr>
    <w:rPr>
      <w:lang w:val="es-MX"/>
    </w:rPr>
  </w:style>
  <w:style w:type="character" w:customStyle="1" w:styleId="Listavistosa-nfasis1Car">
    <w:name w:val="Lista vistosa - Énfasis 1 Car"/>
    <w:link w:val="Listavistosa-nfasis11"/>
    <w:uiPriority w:val="34"/>
    <w:locked/>
    <w:rPr>
      <w:rFonts w:ascii="Times New Roman" w:eastAsia="Times New Roman" w:hAnsi="Times New Roman" w:cs="Times New Roman"/>
      <w:sz w:val="24"/>
      <w:szCs w:val="24"/>
      <w:lang w:eastAsia="es-ES"/>
    </w:rPr>
  </w:style>
  <w:style w:type="paragraph" w:customStyle="1" w:styleId="Texto">
    <w:name w:val="Texto"/>
    <w:basedOn w:val="Normal"/>
    <w:link w:val="TextoCar"/>
    <w:qFormat/>
    <w:pPr>
      <w:spacing w:after="101" w:line="216" w:lineRule="exact"/>
      <w:ind w:firstLine="288"/>
      <w:jc w:val="both"/>
    </w:pPr>
    <w:rPr>
      <w:rFonts w:ascii="Arial" w:hAnsi="Arial" w:cs="Arial"/>
      <w:sz w:val="18"/>
      <w:szCs w:val="18"/>
      <w:lang w:val="es-MX"/>
    </w:rPr>
  </w:style>
  <w:style w:type="paragraph" w:customStyle="1" w:styleId="Standard">
    <w:name w:val="Standard"/>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Pr>
      <w:rFonts w:ascii="Arial" w:hAnsi="Arial" w:cs="Arial" w:hint="default"/>
      <w:b/>
      <w:bCs/>
      <w:sz w:val="18"/>
      <w:szCs w:val="18"/>
    </w:rPr>
  </w:style>
  <w:style w:type="paragraph" w:customStyle="1" w:styleId="Pa2">
    <w:name w:val="Pa2"/>
    <w:basedOn w:val="Normal"/>
    <w:next w:val="Normal"/>
    <w:uiPriority w:val="99"/>
    <w:pPr>
      <w:autoSpaceDE w:val="0"/>
      <w:autoSpaceDN w:val="0"/>
      <w:adjustRightInd w:val="0"/>
      <w:spacing w:line="240" w:lineRule="atLeast"/>
    </w:pPr>
    <w:rPr>
      <w:rFonts w:ascii="Helvetica" w:hAnsi="Helvetica"/>
    </w:rPr>
  </w:style>
  <w:style w:type="paragraph" w:customStyle="1" w:styleId="q">
    <w:name w:val="q"/>
    <w:basedOn w:val="Normal"/>
    <w:pPr>
      <w:spacing w:before="100" w:beforeAutospacing="1" w:after="100" w:afterAutospacing="1"/>
    </w:pPr>
    <w:rPr>
      <w:lang w:val="es-MX" w:eastAsia="es-MX"/>
    </w:rPr>
  </w:style>
  <w:style w:type="character" w:customStyle="1" w:styleId="d">
    <w:name w:val="d"/>
    <w:basedOn w:val="Fuentedeprrafopredeter"/>
  </w:style>
  <w:style w:type="character" w:customStyle="1" w:styleId="b">
    <w:name w:val="b"/>
    <w:basedOn w:val="Fuentedeprrafopredeter"/>
  </w:style>
  <w:style w:type="character" w:customStyle="1" w:styleId="k">
    <w:name w:val="k"/>
    <w:basedOn w:val="Fuentedeprrafopredeter"/>
  </w:style>
  <w:style w:type="paragraph" w:customStyle="1" w:styleId="RSCGnotaalpie">
    <w:name w:val="RSCG nota al pie"/>
    <w:basedOn w:val="Normal"/>
    <w:uiPriority w:val="99"/>
    <w:qFormat/>
    <w:pPr>
      <w:spacing w:after="120"/>
      <w:jc w:val="both"/>
    </w:pPr>
    <w:rPr>
      <w:rFonts w:ascii="Palatino" w:hAnsi="Palatino" w:cstheme="minorBidi"/>
      <w:sz w:val="22"/>
      <w:szCs w:val="22"/>
      <w:lang w:val="es-MX" w:eastAsia="en-US"/>
    </w:rPr>
  </w:style>
  <w:style w:type="character" w:customStyle="1" w:styleId="lbl-encabezado-blanco2">
    <w:name w:val="lbl-encabezado-blanco2"/>
    <w:rPr>
      <w:color w:val="FFFFFF"/>
    </w:rPr>
  </w:style>
  <w:style w:type="character" w:customStyle="1" w:styleId="TextoCar">
    <w:name w:val="Texto Car"/>
    <w:link w:val="Texto"/>
    <w:locked/>
    <w:rPr>
      <w:rFonts w:ascii="Arial" w:eastAsia="Times New Roman" w:hAnsi="Arial" w:cs="Arial"/>
      <w:sz w:val="18"/>
      <w:szCs w:val="18"/>
      <w:lang w:eastAsia="es-ES"/>
    </w:rPr>
  </w:style>
  <w:style w:type="paragraph" w:customStyle="1" w:styleId="ANOTACION">
    <w:name w:val="ANOTACION"/>
    <w:basedOn w:val="Normal"/>
    <w:link w:val="ANOTACIONCar"/>
    <w:pPr>
      <w:spacing w:before="101" w:after="101"/>
      <w:jc w:val="center"/>
    </w:pPr>
    <w:rPr>
      <w:b/>
      <w:sz w:val="18"/>
      <w:szCs w:val="18"/>
      <w:lang w:val="es-MX"/>
    </w:rPr>
  </w:style>
  <w:style w:type="character" w:customStyle="1" w:styleId="ANOTACIONCar">
    <w:name w:val="ANOTACION Car"/>
    <w:link w:val="ANOTACION"/>
    <w:locked/>
    <w:rPr>
      <w:rFonts w:ascii="Times New Roman" w:eastAsia="Times New Roman" w:hAnsi="Times New Roman" w:cs="Times New Roman"/>
      <w:b/>
      <w:sz w:val="18"/>
      <w:szCs w:val="18"/>
      <w:lang w:eastAsia="es-ES"/>
    </w:rPr>
  </w:style>
  <w:style w:type="paragraph" w:customStyle="1" w:styleId="Bibliografa1">
    <w:name w:val="Bibliografía1"/>
    <w:basedOn w:val="Normal"/>
    <w:next w:val="Normal"/>
    <w:uiPriority w:val="37"/>
    <w:semiHidden/>
    <w:unhideWhenUsed/>
    <w:rPr>
      <w:lang w:val="es-MX"/>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style>
  <w:style w:type="character" w:customStyle="1" w:styleId="Ninguno">
    <w:name w:val="Ninguno"/>
  </w:style>
  <w:style w:type="paragraph" w:customStyle="1" w:styleId="Cuerpo">
    <w:name w:val="Cuerpo"/>
    <w:pPr>
      <w:spacing w:after="160" w:line="259" w:lineRule="auto"/>
    </w:pPr>
    <w:rPr>
      <w:rFonts w:ascii="Calibri" w:eastAsia="Calibri" w:hAnsi="Calibri" w:cs="Calibri"/>
      <w:color w:val="000000"/>
      <w:sz w:val="22"/>
      <w:szCs w:val="22"/>
      <w:u w:color="000000"/>
      <w:lang w:val="de-DE" w:eastAsia="es-ES"/>
    </w:rPr>
  </w:style>
  <w:style w:type="paragraph" w:customStyle="1" w:styleId="INCISO">
    <w:name w:val="INCISO"/>
    <w:basedOn w:val="Normal"/>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pPr>
      <w:spacing w:before="100" w:beforeAutospacing="1" w:after="100" w:afterAutospacing="1"/>
    </w:pPr>
    <w:rPr>
      <w:lang w:val="es-MX" w:eastAsia="es-MX"/>
    </w:rPr>
  </w:style>
  <w:style w:type="character" w:customStyle="1" w:styleId="user-highlighted-active">
    <w:name w:val="user-highlighted-active"/>
    <w:basedOn w:val="Fuentedeprrafopredete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style>
  <w:style w:type="character" w:customStyle="1" w:styleId="titulorubrolgt">
    <w:name w:val="titulorubrolgt"/>
    <w:basedOn w:val="Fuentedeprrafopredeter"/>
  </w:style>
  <w:style w:type="paragraph" w:customStyle="1" w:styleId="Text">
    <w:name w:val="Text"/>
    <w:basedOn w:val="Normal"/>
    <w:link w:val="TextChar"/>
    <w:pPr>
      <w:spacing w:after="240"/>
    </w:pPr>
    <w:rPr>
      <w:szCs w:val="20"/>
      <w:lang w:val="en-US" w:eastAsia="en-US"/>
    </w:rPr>
  </w:style>
  <w:style w:type="character" w:customStyle="1" w:styleId="TextChar">
    <w:name w:val="Text Char"/>
    <w:link w:val="Text"/>
    <w:locked/>
    <w:rPr>
      <w:rFonts w:ascii="Times New Roman" w:eastAsia="Times New Roman" w:hAnsi="Times New Roman" w:cs="Times New Roman"/>
      <w:sz w:val="24"/>
      <w:szCs w:val="20"/>
      <w:lang w:val="en-US"/>
    </w:rPr>
  </w:style>
  <w:style w:type="paragraph" w:customStyle="1" w:styleId="corte5transcripcion">
    <w:name w:val="corte5 transcripcion"/>
    <w:basedOn w:val="Normal"/>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Pr>
      <w:rFonts w:asciiTheme="minorHAnsi" w:eastAsia="Cambria" w:hAnsiTheme="minorHAnsi" w:cstheme="minorBidi"/>
      <w:sz w:val="20"/>
      <w:szCs w:val="20"/>
      <w:lang w:val="es-MX" w:eastAsia="en-US"/>
    </w:rPr>
  </w:style>
  <w:style w:type="table" w:customStyle="1" w:styleId="Tablaconcuadrcula1">
    <w:name w:val="Tabla con cuadrícula1"/>
    <w:basedOn w:val="Tablanormal"/>
    <w:uiPriority w:val="59"/>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temp">
    <w:name w:val="temp"/>
    <w:basedOn w:val="Normal"/>
    <w:pPr>
      <w:spacing w:before="100" w:beforeAutospacing="1" w:after="100" w:afterAutospacing="1"/>
    </w:pPr>
    <w:rPr>
      <w:lang w:val="es-MX" w:eastAsia="es-MX"/>
    </w:rPr>
  </w:style>
  <w:style w:type="character" w:customStyle="1" w:styleId="bold">
    <w:name w:val="bold"/>
    <w:basedOn w:val="Fuentedeprrafopredeter"/>
  </w:style>
  <w:style w:type="paragraph" w:customStyle="1" w:styleId="ng-star-inserted">
    <w:name w:val="ng-star-inserted"/>
    <w:basedOn w:val="Normal"/>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SaludoCar">
    <w:name w:val="Saludo Car"/>
    <w:basedOn w:val="Fuentedeprrafopredeter"/>
    <w:link w:val="Saludo"/>
    <w:uiPriority w:val="99"/>
    <w:rPr>
      <w:rFonts w:ascii="Times New Roman" w:eastAsia="Times New Roman" w:hAnsi="Times New Roman" w:cs="Times New Roman"/>
      <w:sz w:val="24"/>
      <w:szCs w:val="24"/>
      <w:lang w:eastAsia="es-ES"/>
    </w:rPr>
  </w:style>
  <w:style w:type="character" w:customStyle="1" w:styleId="Caracteresdenotaalpie">
    <w:name w:val="Caracteres de nota al pie"/>
    <w:qFormat/>
  </w:style>
  <w:style w:type="character" w:customStyle="1" w:styleId="Mencinsinresolver4">
    <w:name w:val="Mención sin resolver4"/>
    <w:basedOn w:val="Fuentedeprrafopredeter"/>
    <w:uiPriority w:val="99"/>
    <w:semiHidden/>
    <w:unhideWhenUsed/>
    <w:rPr>
      <w:color w:val="605E5C"/>
      <w:shd w:val="clear" w:color="auto" w:fill="E1DFDD"/>
    </w:rPr>
  </w:style>
  <w:style w:type="paragraph" w:customStyle="1" w:styleId="Revisin1">
    <w:name w:val="Revisión1"/>
    <w:hidden/>
    <w:uiPriority w:val="99"/>
    <w:semiHidden/>
    <w:rPr>
      <w:rFonts w:ascii="Times New Roman" w:eastAsia="Times New Roman" w:hAnsi="Times New Roman" w:cs="Times New Roman"/>
      <w:sz w:val="24"/>
      <w:szCs w:val="24"/>
      <w:lang w:eastAsia="es-ES"/>
    </w:rPr>
  </w:style>
  <w:style w:type="table" w:customStyle="1" w:styleId="Tablaconcuadrcula3">
    <w:name w:val="Tabla con cuadrícula3"/>
    <w:basedOn w:val="Tabla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character" w:customStyle="1" w:styleId="TtuloCar">
    <w:name w:val="Título Car"/>
    <w:basedOn w:val="Fuentedeprrafopredeter"/>
    <w:link w:val="Ttulo"/>
    <w:rPr>
      <w:rFonts w:ascii="Times New Roman" w:eastAsia="Times New Roman" w:hAnsi="Times New Roman" w:cs="Times New Roman"/>
      <w:b/>
      <w:sz w:val="72"/>
      <w:szCs w:val="72"/>
      <w:lang w:val="es-ES" w:eastAsia="es-MX"/>
    </w:rPr>
  </w:style>
  <w:style w:type="character" w:customStyle="1" w:styleId="SubttuloCar">
    <w:name w:val="Subtítulo Car"/>
    <w:basedOn w:val="Fuentedeprrafopredeter"/>
    <w:link w:val="Subttulo"/>
    <w:rPr>
      <w:rFonts w:ascii="Georgia" w:eastAsia="Georgia" w:hAnsi="Georgia" w:cs="Georgia"/>
      <w:i/>
      <w:color w:val="666666"/>
      <w:sz w:val="48"/>
      <w:szCs w:val="48"/>
      <w:lang w:val="es-ES" w:eastAsia="es-MX"/>
    </w:rPr>
  </w:style>
  <w:style w:type="table" w:customStyle="1" w:styleId="8">
    <w:name w:val="8"/>
    <w:basedOn w:val="TableNormal"/>
    <w:tblPr>
      <w:tblCellMar>
        <w:left w:w="115" w:type="dxa"/>
        <w:right w:w="115" w:type="dxa"/>
      </w:tblCellMar>
    </w:tblPr>
  </w:style>
  <w:style w:type="table" w:customStyle="1" w:styleId="7">
    <w:name w:val="7"/>
    <w:basedOn w:val="TableNormal"/>
    <w:tblPr>
      <w:tblCellMar>
        <w:left w:w="115" w:type="dxa"/>
        <w:right w:w="115" w:type="dxa"/>
      </w:tblCellMar>
    </w:tblPr>
  </w:style>
  <w:style w:type="table" w:customStyle="1" w:styleId="6">
    <w:name w:val="6"/>
    <w:basedOn w:val="TableNormal"/>
    <w:tblPr>
      <w:tblCellMar>
        <w:left w:w="115" w:type="dxa"/>
        <w:right w:w="115" w:type="dxa"/>
      </w:tblCellMar>
    </w:tblPr>
  </w:style>
  <w:style w:type="table" w:customStyle="1" w:styleId="5">
    <w:name w:val="5"/>
    <w:basedOn w:val="TableNormal"/>
    <w:tblPr>
      <w:tblCellMar>
        <w:left w:w="115" w:type="dxa"/>
        <w:right w:w="115" w:type="dxa"/>
      </w:tblCellMar>
    </w:tblPr>
  </w:style>
  <w:style w:type="table" w:customStyle="1" w:styleId="4">
    <w:name w:val="4"/>
    <w:basedOn w:val="TableNormal"/>
    <w:tblPr>
      <w:tblCellMar>
        <w:left w:w="115" w:type="dxa"/>
        <w:right w:w="115" w:type="dxa"/>
      </w:tblCellMar>
    </w:tblPr>
  </w:style>
  <w:style w:type="table" w:customStyle="1" w:styleId="3">
    <w:name w:val="3"/>
    <w:basedOn w:val="TableNormal"/>
    <w:tblPr>
      <w:tblCellMar>
        <w:left w:w="115" w:type="dxa"/>
        <w:right w:w="115" w:type="dxa"/>
      </w:tblCellMar>
    </w:tblPr>
  </w:style>
  <w:style w:type="table" w:customStyle="1" w:styleId="2">
    <w:name w:val="2"/>
    <w:basedOn w:val="TableNormal"/>
    <w:tblPr>
      <w:tblCellMar>
        <w:left w:w="115" w:type="dxa"/>
        <w:right w:w="115" w:type="dxa"/>
      </w:tblCellMar>
    </w:tblPr>
  </w:style>
  <w:style w:type="table" w:customStyle="1" w:styleId="1">
    <w:name w:val="1"/>
    <w:basedOn w:val="TableNormal"/>
    <w:tblPr>
      <w:tblCellMar>
        <w:left w:w="115" w:type="dxa"/>
        <w:right w:w="115" w:type="dxa"/>
      </w:tblCellMar>
    </w:tblPr>
  </w:style>
  <w:style w:type="character" w:customStyle="1" w:styleId="TextonotapieCar1">
    <w:name w:val="Texto nota pie Car1"/>
    <w:basedOn w:val="Fuentedeprrafopredeter"/>
    <w:uiPriority w:val="99"/>
    <w:rPr>
      <w:rFonts w:ascii="Times New Roman" w:eastAsia="Times New Roman" w:hAnsi="Times New Roman" w:cs="Times New Roman"/>
      <w:sz w:val="20"/>
      <w:szCs w:val="20"/>
      <w:lang w:eastAsia="es-MX"/>
    </w:rPr>
  </w:style>
  <w:style w:type="character" w:customStyle="1" w:styleId="eop">
    <w:name w:val="eop"/>
    <w:basedOn w:val="Fuentedeprrafopredeter"/>
  </w:style>
  <w:style w:type="character" w:customStyle="1" w:styleId="m2871584667633129156gmail-apple-converted-space">
    <w:name w:val="m_2871584667633129156gmail-apple-converted-space"/>
    <w:basedOn w:val="Fuentedeprrafopredeter"/>
  </w:style>
  <w:style w:type="character" w:customStyle="1" w:styleId="m2871584667633129156gmail-msofootnotereference">
    <w:name w:val="m_2871584667633129156gmail-msofootnotereference"/>
    <w:basedOn w:val="Fuentedeprrafopredeter"/>
  </w:style>
  <w:style w:type="paragraph" w:customStyle="1" w:styleId="m2871584667633129156gmail-msofootnotetext">
    <w:name w:val="m_2871584667633129156gmail-msofootnotetext"/>
    <w:basedOn w:val="Normal"/>
    <w:pPr>
      <w:spacing w:before="100" w:beforeAutospacing="1" w:after="100" w:afterAutospacing="1"/>
    </w:pPr>
    <w:rPr>
      <w:lang w:val="es-MX" w:eastAsia="es-MX"/>
    </w:rPr>
  </w:style>
  <w:style w:type="character" w:customStyle="1" w:styleId="u">
    <w:name w:val="u"/>
    <w:basedOn w:val="Fuentedeprrafopredeter"/>
  </w:style>
  <w:style w:type="paragraph" w:customStyle="1" w:styleId="rtejustify">
    <w:name w:val="rtejustify"/>
    <w:basedOn w:val="Normal"/>
    <w:pPr>
      <w:spacing w:before="100" w:beforeAutospacing="1" w:after="100" w:afterAutospacing="1"/>
    </w:pPr>
    <w:rPr>
      <w:lang w:val="es-MX" w:eastAsia="es-MX"/>
    </w:rPr>
  </w:style>
  <w:style w:type="paragraph" w:customStyle="1" w:styleId="j1">
    <w:name w:val="j1"/>
    <w:basedOn w:val="Normal"/>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style>
  <w:style w:type="character" w:customStyle="1" w:styleId="m-3579365149168697376gmail-msofootnotereference">
    <w:name w:val="m_-3579365149168697376gmail-msofootnotereference"/>
    <w:basedOn w:val="Fuentedeprrafopredeter"/>
  </w:style>
  <w:style w:type="paragraph" w:customStyle="1" w:styleId="m-3579365149168697376gmail-msofootnotetext">
    <w:name w:val="m_-3579365149168697376gmail-msofootnotetext"/>
    <w:basedOn w:val="Normal"/>
    <w:pPr>
      <w:spacing w:before="100" w:beforeAutospacing="1" w:after="100" w:afterAutospacing="1"/>
    </w:pPr>
    <w:rPr>
      <w:lang w:val="es-MX" w:eastAsia="es-MX"/>
    </w:rPr>
  </w:style>
  <w:style w:type="character" w:customStyle="1" w:styleId="ams">
    <w:name w:val="ams"/>
    <w:basedOn w:val="Fuentedeprrafopredeter"/>
  </w:style>
  <w:style w:type="table" w:customStyle="1" w:styleId="Tablaconcuadrcula4">
    <w:name w:val="Tabla con cuadrícula4"/>
    <w:basedOn w:val="Tabla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1">
    <w:name w:val="81"/>
    <w:basedOn w:val="TableNormal"/>
    <w:tblPr>
      <w:tblCellMar>
        <w:left w:w="115" w:type="dxa"/>
        <w:right w:w="115" w:type="dxa"/>
      </w:tblCellMar>
    </w:tblPr>
  </w:style>
  <w:style w:type="table" w:customStyle="1" w:styleId="71">
    <w:name w:val="71"/>
    <w:basedOn w:val="TableNormal"/>
    <w:tblPr>
      <w:tblCellMar>
        <w:left w:w="115" w:type="dxa"/>
        <w:right w:w="115" w:type="dxa"/>
      </w:tblCellMar>
    </w:tblPr>
  </w:style>
  <w:style w:type="table" w:customStyle="1" w:styleId="61">
    <w:name w:val="61"/>
    <w:basedOn w:val="TableNormal"/>
    <w:tblPr>
      <w:tblCellMar>
        <w:left w:w="115" w:type="dxa"/>
        <w:right w:w="115" w:type="dxa"/>
      </w:tblCellMar>
    </w:tblPr>
  </w:style>
  <w:style w:type="table" w:customStyle="1" w:styleId="51">
    <w:name w:val="51"/>
    <w:basedOn w:val="TableNormal"/>
    <w:tblPr>
      <w:tblCellMar>
        <w:left w:w="115" w:type="dxa"/>
        <w:right w:w="115" w:type="dxa"/>
      </w:tblCellMar>
    </w:tblPr>
  </w:style>
  <w:style w:type="table" w:customStyle="1" w:styleId="41">
    <w:name w:val="41"/>
    <w:basedOn w:val="TableNormal"/>
    <w:tblPr>
      <w:tblCellMar>
        <w:left w:w="115" w:type="dxa"/>
        <w:right w:w="115" w:type="dxa"/>
      </w:tblCellMar>
    </w:tblPr>
  </w:style>
  <w:style w:type="table" w:customStyle="1" w:styleId="31">
    <w:name w:val="31"/>
    <w:basedOn w:val="TableNormal"/>
    <w:tblPr>
      <w:tblCellMar>
        <w:left w:w="115" w:type="dxa"/>
        <w:right w:w="115" w:type="dxa"/>
      </w:tblCellMar>
    </w:tblPr>
  </w:style>
  <w:style w:type="table" w:customStyle="1" w:styleId="21">
    <w:name w:val="21"/>
    <w:basedOn w:val="TableNormal"/>
    <w:tblPr>
      <w:tblCellMar>
        <w:left w:w="115" w:type="dxa"/>
        <w:right w:w="115" w:type="dxa"/>
      </w:tblCellMar>
    </w:tblPr>
  </w:style>
  <w:style w:type="table" w:customStyle="1" w:styleId="11">
    <w:name w:val="11"/>
    <w:basedOn w:val="TableNormal"/>
    <w:tblPr>
      <w:tblCellMar>
        <w:left w:w="115" w:type="dxa"/>
        <w:right w:w="115" w:type="dxa"/>
      </w:tblCellMar>
    </w:tblPr>
  </w:style>
  <w:style w:type="paragraph" w:customStyle="1" w:styleId="Citas">
    <w:name w:val="Citas"/>
    <w:basedOn w:val="Normal"/>
    <w:qFormat/>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Pr>
      <w:color w:val="605E5C"/>
      <w:shd w:val="clear" w:color="auto" w:fill="E1DFDD"/>
    </w:rPr>
  </w:style>
  <w:style w:type="table" w:customStyle="1" w:styleId="Tablaconcuadrcula5">
    <w:name w:val="Tabla con cuadrícula5"/>
    <w:basedOn w:val="Tabla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F3E8991C-B7DF-4216-8C08-30DD259FC4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6101</Words>
  <Characters>33560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dc:creator>
  <cp:lastModifiedBy>institutometepe26@outlook.com</cp:lastModifiedBy>
  <cp:revision>10</cp:revision>
  <cp:lastPrinted>2024-01-19T00:45:00Z</cp:lastPrinted>
  <dcterms:created xsi:type="dcterms:W3CDTF">2023-12-12T22:15:00Z</dcterms:created>
  <dcterms:modified xsi:type="dcterms:W3CDTF">2024-01-26T15:42:00Z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19242927E05D456DB1F49BBCD146DE35_12</vt:lpwstr>
  </property>
</Properties>
</file>