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veintiocho de febrero de dos mil veinticuatro.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w:t>
      </w:r>
      <w:r w:rsidDel="00000000" w:rsidR="00000000" w:rsidRPr="00000000">
        <w:rPr>
          <w:rFonts w:ascii="Palatino Linotype" w:cs="Palatino Linotype" w:eastAsia="Palatino Linotype" w:hAnsi="Palatino Linotype"/>
          <w:b w:val="1"/>
          <w:rtl w:val="0"/>
        </w:rPr>
        <w:t xml:space="preserve"> 04009/INFOEM/IP/RR/2023</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XXXXXX XXXX XXXXXXXX XXXXXXX,</w:t>
      </w:r>
      <w:r w:rsidDel="00000000" w:rsidR="00000000" w:rsidRPr="00000000">
        <w:rPr>
          <w:rFonts w:ascii="Palatino Linotype" w:cs="Palatino Linotype" w:eastAsia="Palatino Linotype" w:hAnsi="Palatino Linotype"/>
          <w:rtl w:val="0"/>
        </w:rPr>
        <w:t xml:space="preserve">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por parte del </w:t>
      </w:r>
      <w:r w:rsidDel="00000000" w:rsidR="00000000" w:rsidRPr="00000000">
        <w:rPr>
          <w:rFonts w:ascii="Palatino Linotype" w:cs="Palatino Linotype" w:eastAsia="Palatino Linotype" w:hAnsi="Palatino Linotype"/>
          <w:b w:val="1"/>
          <w:rtl w:val="0"/>
        </w:rPr>
        <w:t xml:space="preserve">Sistema de Transporte Masivo y Teleférico del Estado de México,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r w:rsidDel="00000000" w:rsidR="00000000" w:rsidRPr="00000000">
        <w:rPr>
          <w:rtl w:val="0"/>
        </w:rPr>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ind w:left="0" w:right="62.59842519685151" w:firstLine="0"/>
        <w:jc w:val="both"/>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siete de junio de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dos mil veintitrés,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rtl w:val="0"/>
        </w:rPr>
        <w:t xml:space="preserve"> 00080/STMEM/IP/2023,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after="240" w:before="240" w:line="360" w:lineRule="auto"/>
        <w:ind w:left="850.3937007874017" w:right="62.59842519685151" w:firstLine="0"/>
        <w:jc w:val="both"/>
        <w:rPr>
          <w:rFonts w:ascii="Palatino Linotype" w:cs="Palatino Linotype" w:eastAsia="Palatino Linotype" w:hAnsi="Palatino Linotype"/>
          <w:b w:val="1"/>
          <w:i w:val="1"/>
          <w:sz w:val="22"/>
          <w:szCs w:val="22"/>
        </w:rPr>
      </w:pPr>
      <w:bookmarkStart w:colFirst="0" w:colLast="0" w:name="_heading=h.7bp518naxm3k" w:id="1"/>
      <w:bookmarkEnd w:id="1"/>
      <w:r w:rsidDel="00000000" w:rsidR="00000000" w:rsidRPr="00000000">
        <w:rPr>
          <w:rFonts w:ascii="Palatino Linotype" w:cs="Palatino Linotype" w:eastAsia="Palatino Linotype" w:hAnsi="Palatino Linotype"/>
          <w:i w:val="1"/>
          <w:sz w:val="22"/>
          <w:szCs w:val="22"/>
          <w:rtl w:val="0"/>
        </w:rPr>
        <w:t xml:space="preserve"> “La solicitud de información se adjunta en archivo PDF.</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(sic) </w:t>
      </w:r>
      <w:r w:rsidDel="00000000" w:rsidR="00000000" w:rsidRPr="00000000">
        <w:rPr>
          <w:rtl w:val="0"/>
        </w:rPr>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persona solicitante adjunto el escrito de fecha siete de julio de dos mil veintitrés, cuyo contenido es el siguiente:</w:t>
      </w:r>
    </w:p>
    <w:p w:rsidR="00000000" w:rsidDel="00000000" w:rsidP="00000000" w:rsidRDefault="00000000" w:rsidRPr="00000000" w14:paraId="00000007">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“07 de julio de 2023 </w:t>
      </w:r>
    </w:p>
    <w:p w:rsidR="00000000" w:rsidDel="00000000" w:rsidP="00000000" w:rsidRDefault="00000000" w:rsidRPr="00000000" w14:paraId="00000008">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SITRAMyTEM </w:t>
      </w:r>
    </w:p>
    <w:p w:rsidR="00000000" w:rsidDel="00000000" w:rsidP="00000000" w:rsidRDefault="00000000" w:rsidRPr="00000000" w14:paraId="00000009">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Estado de México </w:t>
      </w:r>
    </w:p>
    <w:p w:rsidR="00000000" w:rsidDel="00000000" w:rsidP="00000000" w:rsidRDefault="00000000" w:rsidRPr="00000000" w14:paraId="0000000A">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el artículo 6° Constitución de los Estados Unidos Mexicanos, artículo 5°, fracción I, III, IV, V y VI de la Constitución Política del Estado Libre y Soberano de México y artículos 24 fracción XXI,150, 151, 152, 153, 154, 155, 156, 158, 159, 160: </w:t>
      </w:r>
    </w:p>
    <w:p w:rsidR="00000000" w:rsidDel="00000000" w:rsidP="00000000" w:rsidRDefault="00000000" w:rsidRPr="00000000" w14:paraId="0000000B">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otorgar acceso a los documentos que se encuentren en sus archivos o que estén obligados a documentar de acuerdo con sus facultades, competencias o funciones </w:t>
      </w:r>
      <w:r w:rsidDel="00000000" w:rsidR="00000000" w:rsidRPr="00000000">
        <w:rPr>
          <w:rFonts w:ascii="Palatino Linotype" w:cs="Palatino Linotype" w:eastAsia="Palatino Linotype" w:hAnsi="Palatino Linotype"/>
          <w:b w:val="1"/>
          <w:i w:val="1"/>
          <w:sz w:val="22"/>
          <w:szCs w:val="22"/>
          <w:rtl w:val="0"/>
        </w:rPr>
        <w:t xml:space="preserve">en el formato que el solicitante manifieste</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0C">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que la información solicitada consista en bases de datos se </w:t>
      </w:r>
      <w:r w:rsidDel="00000000" w:rsidR="00000000" w:rsidRPr="00000000">
        <w:rPr>
          <w:rFonts w:ascii="Palatino Linotype" w:cs="Palatino Linotype" w:eastAsia="Palatino Linotype" w:hAnsi="Palatino Linotype"/>
          <w:b w:val="1"/>
          <w:i w:val="1"/>
          <w:sz w:val="22"/>
          <w:szCs w:val="22"/>
          <w:rtl w:val="0"/>
        </w:rPr>
        <w:t xml:space="preserve">deberá privilegiar la entrega de la misma en formatos abiertos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0D">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161, 162, 163, 164, 165 y 166 de la Ley de Transparencia y Acceso a la Información Pública del Estado de México y Municipios, así como de conformidad con el </w:t>
      </w:r>
      <w:r w:rsidDel="00000000" w:rsidR="00000000" w:rsidRPr="00000000">
        <w:rPr>
          <w:rFonts w:ascii="Palatino Linotype" w:cs="Palatino Linotype" w:eastAsia="Palatino Linotype" w:hAnsi="Palatino Linotype"/>
          <w:b w:val="1"/>
          <w:i w:val="1"/>
          <w:sz w:val="22"/>
          <w:szCs w:val="22"/>
          <w:rtl w:val="0"/>
        </w:rPr>
        <w:t xml:space="preserve">Criterio 3/13, emitido por el Instituto Nacional de Transparencia, Acceso a la Información y Protección de Datos Personales (INAI), </w:t>
      </w:r>
      <w:r w:rsidDel="00000000" w:rsidR="00000000" w:rsidRPr="00000000">
        <w:rPr>
          <w:rFonts w:ascii="Palatino Linotype" w:cs="Palatino Linotype" w:eastAsia="Palatino Linotype" w:hAnsi="Palatino Linotype"/>
          <w:i w:val="1"/>
          <w:sz w:val="22"/>
          <w:szCs w:val="22"/>
          <w:rtl w:val="0"/>
        </w:rPr>
        <w:t xml:space="preserve">se solicita lo siguiente:</w:t>
      </w:r>
    </w:p>
    <w:p w:rsidR="00000000" w:rsidDel="00000000" w:rsidP="00000000" w:rsidRDefault="00000000" w:rsidRPr="00000000" w14:paraId="0000000E">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Base de datos en archivo editable de Excel del registro de la composición actual de flota de autobuses de BRT de la Línea 1 de Mexibús informando y hacer de conocimiento: </w:t>
      </w:r>
    </w:p>
    <w:p w:rsidR="00000000" w:rsidDel="00000000" w:rsidP="00000000" w:rsidRDefault="00000000" w:rsidRPr="00000000" w14:paraId="0000000F">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Número económico o de identificación de cada autobús </w:t>
      </w:r>
    </w:p>
    <w:p w:rsidR="00000000" w:rsidDel="00000000" w:rsidP="00000000" w:rsidRDefault="00000000" w:rsidRPr="00000000" w14:paraId="00000010">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Año modelo de fabricación de cada autobús </w:t>
      </w:r>
    </w:p>
    <w:p w:rsidR="00000000" w:rsidDel="00000000" w:rsidP="00000000" w:rsidRDefault="00000000" w:rsidRPr="00000000" w14:paraId="00000011">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Marca de cada autobús</w:t>
      </w:r>
    </w:p>
    <w:p w:rsidR="00000000" w:rsidDel="00000000" w:rsidP="00000000" w:rsidRDefault="00000000" w:rsidRPr="00000000" w14:paraId="00000012">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 Tecnología o certificación ambiental (EURO O EPA) de cada autobús </w:t>
      </w:r>
    </w:p>
    <w:p w:rsidR="00000000" w:rsidDel="00000000" w:rsidP="00000000" w:rsidRDefault="00000000" w:rsidRPr="00000000" w14:paraId="00000013">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 Tipo de autobús (corto, largo, articulado o biarticulado) </w:t>
      </w:r>
    </w:p>
    <w:p w:rsidR="00000000" w:rsidDel="00000000" w:rsidP="00000000" w:rsidRDefault="00000000" w:rsidRPr="00000000" w14:paraId="00000014">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 Tipo de combustible de cada autobús (Diésel, Gas, Hibrido)</w:t>
      </w:r>
    </w:p>
    <w:p w:rsidR="00000000" w:rsidDel="00000000" w:rsidP="00000000" w:rsidRDefault="00000000" w:rsidRPr="00000000" w14:paraId="00000015">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g) Capacidad de personas usuarias de cada autobús </w:t>
      </w:r>
    </w:p>
    <w:p w:rsidR="00000000" w:rsidDel="00000000" w:rsidP="00000000" w:rsidRDefault="00000000" w:rsidRPr="00000000" w14:paraId="00000016">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h) Estado operativo (en operación, mantenimiento, inoperable o en proceso de baja) </w:t>
      </w:r>
    </w:p>
    <w:p w:rsidR="00000000" w:rsidDel="00000000" w:rsidP="00000000" w:rsidRDefault="00000000" w:rsidRPr="00000000" w14:paraId="00000017">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Base de datos en archivo editable de Excel del registro de la composición actual de flota de autobuses de BRT del servicio AIFA informando y hacer de conocimiento:</w:t>
      </w:r>
    </w:p>
    <w:p w:rsidR="00000000" w:rsidDel="00000000" w:rsidP="00000000" w:rsidRDefault="00000000" w:rsidRPr="00000000" w14:paraId="00000018">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Número económico o de identificación de cada autobús </w:t>
      </w:r>
    </w:p>
    <w:p w:rsidR="00000000" w:rsidDel="00000000" w:rsidP="00000000" w:rsidRDefault="00000000" w:rsidRPr="00000000" w14:paraId="00000019">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Año modelo de fabricación de cada autobús </w:t>
      </w:r>
    </w:p>
    <w:p w:rsidR="00000000" w:rsidDel="00000000" w:rsidP="00000000" w:rsidRDefault="00000000" w:rsidRPr="00000000" w14:paraId="0000001A">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Marca de cada autobús</w:t>
      </w:r>
    </w:p>
    <w:p w:rsidR="00000000" w:rsidDel="00000000" w:rsidP="00000000" w:rsidRDefault="00000000" w:rsidRPr="00000000" w14:paraId="0000001B">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 Tecnología o certificación ambiental (EURO O EPA) de cada autobús </w:t>
      </w:r>
    </w:p>
    <w:p w:rsidR="00000000" w:rsidDel="00000000" w:rsidP="00000000" w:rsidRDefault="00000000" w:rsidRPr="00000000" w14:paraId="0000001C">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 Tipo de autobús (corto, largo, articulado o biarticulado) </w:t>
      </w:r>
    </w:p>
    <w:p w:rsidR="00000000" w:rsidDel="00000000" w:rsidP="00000000" w:rsidRDefault="00000000" w:rsidRPr="00000000" w14:paraId="0000001D">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 Tipo de combustible de cada autobús (Diésel, Gas, Hibrido) </w:t>
      </w:r>
    </w:p>
    <w:p w:rsidR="00000000" w:rsidDel="00000000" w:rsidP="00000000" w:rsidRDefault="00000000" w:rsidRPr="00000000" w14:paraId="0000001E">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g) Capacidad de personas usuarias de cada autobús </w:t>
      </w:r>
    </w:p>
    <w:p w:rsidR="00000000" w:rsidDel="00000000" w:rsidP="00000000" w:rsidRDefault="00000000" w:rsidRPr="00000000" w14:paraId="0000001F">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h) Estado operativo (en operación, mantenimiento, inoperable o en proceso de baja) </w:t>
      </w:r>
    </w:p>
    <w:p w:rsidR="00000000" w:rsidDel="00000000" w:rsidP="00000000" w:rsidRDefault="00000000" w:rsidRPr="00000000" w14:paraId="00000020">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Base de datos en archivo editable de Excel del registro de la composición actual de flota de autobuses de BRT de la Línea 2 de Mexibús informando y hacer de conocimiento:</w:t>
      </w:r>
    </w:p>
    <w:p w:rsidR="00000000" w:rsidDel="00000000" w:rsidP="00000000" w:rsidRDefault="00000000" w:rsidRPr="00000000" w14:paraId="00000021">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Número económico o de identificación de cada autobús </w:t>
      </w:r>
    </w:p>
    <w:p w:rsidR="00000000" w:rsidDel="00000000" w:rsidP="00000000" w:rsidRDefault="00000000" w:rsidRPr="00000000" w14:paraId="00000022">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Año modelo de fabricación de cada autobús </w:t>
      </w:r>
    </w:p>
    <w:p w:rsidR="00000000" w:rsidDel="00000000" w:rsidP="00000000" w:rsidRDefault="00000000" w:rsidRPr="00000000" w14:paraId="00000023">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Marca de cada autobús</w:t>
      </w:r>
    </w:p>
    <w:p w:rsidR="00000000" w:rsidDel="00000000" w:rsidP="00000000" w:rsidRDefault="00000000" w:rsidRPr="00000000" w14:paraId="00000024">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 Tecnología o certificación ambiental (EURO O EPA) de cada autobús </w:t>
      </w:r>
    </w:p>
    <w:p w:rsidR="00000000" w:rsidDel="00000000" w:rsidP="00000000" w:rsidRDefault="00000000" w:rsidRPr="00000000" w14:paraId="00000025">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 Tipo de autobús (corto, largo, articulado o biarticulado) </w:t>
      </w:r>
    </w:p>
    <w:p w:rsidR="00000000" w:rsidDel="00000000" w:rsidP="00000000" w:rsidRDefault="00000000" w:rsidRPr="00000000" w14:paraId="00000026">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 Tipo de combustible de cada autobús (Diésel, Gas, Hibrido)</w:t>
      </w:r>
    </w:p>
    <w:p w:rsidR="00000000" w:rsidDel="00000000" w:rsidP="00000000" w:rsidRDefault="00000000" w:rsidRPr="00000000" w14:paraId="00000027">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g) Capacidad de personas usuarias de cada autobús </w:t>
      </w:r>
    </w:p>
    <w:p w:rsidR="00000000" w:rsidDel="00000000" w:rsidP="00000000" w:rsidRDefault="00000000" w:rsidRPr="00000000" w14:paraId="00000028">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h) Estado operativo (en operación, mantenimiento, inoperable o en proceso de baja) </w:t>
      </w:r>
    </w:p>
    <w:p w:rsidR="00000000" w:rsidDel="00000000" w:rsidP="00000000" w:rsidRDefault="00000000" w:rsidRPr="00000000" w14:paraId="0000002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 Base de datos en archivo editable de Excel del registro de la composición actual de flota de autobuses de BRT de la Línea 3 de Mexibús informando y hacer de conocimiento</w:t>
      </w:r>
      <w:r w:rsidDel="00000000" w:rsidR="00000000" w:rsidRPr="00000000">
        <w:rPr>
          <w:rFonts w:ascii="Palatino Linotype" w:cs="Palatino Linotype" w:eastAsia="Palatino Linotype" w:hAnsi="Palatino Linotype"/>
          <w:rtl w:val="0"/>
        </w:rPr>
        <w:t xml:space="preserve">:</w:t>
      </w:r>
      <w:r w:rsidDel="00000000" w:rsidR="00000000" w:rsidRPr="00000000">
        <w:rPr>
          <w:rtl w:val="0"/>
        </w:rPr>
      </w:r>
    </w:p>
    <w:p w:rsidR="00000000" w:rsidDel="00000000" w:rsidP="00000000" w:rsidRDefault="00000000" w:rsidRPr="00000000" w14:paraId="0000002A">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Número económico o de identificación de cada autobús </w:t>
      </w:r>
    </w:p>
    <w:p w:rsidR="00000000" w:rsidDel="00000000" w:rsidP="00000000" w:rsidRDefault="00000000" w:rsidRPr="00000000" w14:paraId="0000002B">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Año modelo de fabricación de cada autobús </w:t>
      </w:r>
    </w:p>
    <w:p w:rsidR="00000000" w:rsidDel="00000000" w:rsidP="00000000" w:rsidRDefault="00000000" w:rsidRPr="00000000" w14:paraId="0000002C">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Marca de cada autobús</w:t>
      </w:r>
    </w:p>
    <w:p w:rsidR="00000000" w:rsidDel="00000000" w:rsidP="00000000" w:rsidRDefault="00000000" w:rsidRPr="00000000" w14:paraId="0000002D">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 Tecnología o certificación ambiental (EURO O EPA) de cada autobús </w:t>
      </w:r>
    </w:p>
    <w:p w:rsidR="00000000" w:rsidDel="00000000" w:rsidP="00000000" w:rsidRDefault="00000000" w:rsidRPr="00000000" w14:paraId="0000002E">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 Tipo de autobús (corto, largo, articulado o biarticulado) </w:t>
      </w:r>
    </w:p>
    <w:p w:rsidR="00000000" w:rsidDel="00000000" w:rsidP="00000000" w:rsidRDefault="00000000" w:rsidRPr="00000000" w14:paraId="0000002F">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 Tipo de combustible de cada autobús (Diésel, Gas, Hibrido) </w:t>
      </w:r>
    </w:p>
    <w:p w:rsidR="00000000" w:rsidDel="00000000" w:rsidP="00000000" w:rsidRDefault="00000000" w:rsidRPr="00000000" w14:paraId="00000030">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g) Capacidad de personas usuarias de cada autobús </w:t>
      </w:r>
    </w:p>
    <w:p w:rsidR="00000000" w:rsidDel="00000000" w:rsidP="00000000" w:rsidRDefault="00000000" w:rsidRPr="00000000" w14:paraId="00000031">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h) Estado operativo (en operación, mantenimiento, inoperable o en proceso de baja) </w:t>
      </w:r>
    </w:p>
    <w:p w:rsidR="00000000" w:rsidDel="00000000" w:rsidP="00000000" w:rsidRDefault="00000000" w:rsidRPr="00000000" w14:paraId="00000032">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5. Base de datos en archivo editable de Excel del registro de la composición actual de flota de autobuses de BRT para el servicio de la ampliación de la Línea 3 de Mexibús informando y hacer de conocimiento</w:t>
      </w:r>
      <w:r w:rsidDel="00000000" w:rsidR="00000000" w:rsidRPr="00000000">
        <w:rPr>
          <w:rFonts w:ascii="Palatino Linotype" w:cs="Palatino Linotype" w:eastAsia="Palatino Linotype" w:hAnsi="Palatino Linotype"/>
          <w:rtl w:val="0"/>
        </w:rPr>
        <w:t xml:space="preserve">:</w:t>
      </w:r>
      <w:r w:rsidDel="00000000" w:rsidR="00000000" w:rsidRPr="00000000">
        <w:rPr>
          <w:rtl w:val="0"/>
        </w:rPr>
      </w:r>
    </w:p>
    <w:p w:rsidR="00000000" w:rsidDel="00000000" w:rsidP="00000000" w:rsidRDefault="00000000" w:rsidRPr="00000000" w14:paraId="00000033">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Número económico o de identificación de cada autobús </w:t>
      </w:r>
    </w:p>
    <w:p w:rsidR="00000000" w:rsidDel="00000000" w:rsidP="00000000" w:rsidRDefault="00000000" w:rsidRPr="00000000" w14:paraId="00000034">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Año modelo de fabricación de cada autobús </w:t>
      </w:r>
    </w:p>
    <w:p w:rsidR="00000000" w:rsidDel="00000000" w:rsidP="00000000" w:rsidRDefault="00000000" w:rsidRPr="00000000" w14:paraId="00000035">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Marca de cada autobús</w:t>
      </w:r>
    </w:p>
    <w:p w:rsidR="00000000" w:rsidDel="00000000" w:rsidP="00000000" w:rsidRDefault="00000000" w:rsidRPr="00000000" w14:paraId="00000036">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 Tecnología o certificación ambiental (EURO O EPA) de cada autobús </w:t>
      </w:r>
    </w:p>
    <w:p w:rsidR="00000000" w:rsidDel="00000000" w:rsidP="00000000" w:rsidRDefault="00000000" w:rsidRPr="00000000" w14:paraId="00000037">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 Tipo de autobús (corto, largo, articulado o biarticulado) </w:t>
      </w:r>
    </w:p>
    <w:p w:rsidR="00000000" w:rsidDel="00000000" w:rsidP="00000000" w:rsidRDefault="00000000" w:rsidRPr="00000000" w14:paraId="00000038">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 Tipo de combustible de cada autobús (Diésel, Gas, Hibrido) </w:t>
      </w:r>
    </w:p>
    <w:p w:rsidR="00000000" w:rsidDel="00000000" w:rsidP="00000000" w:rsidRDefault="00000000" w:rsidRPr="00000000" w14:paraId="00000039">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g) Capacidad de personas usuarias de cada autobús </w:t>
      </w:r>
    </w:p>
    <w:p w:rsidR="00000000" w:rsidDel="00000000" w:rsidP="00000000" w:rsidRDefault="00000000" w:rsidRPr="00000000" w14:paraId="0000003A">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h) Estado operativo (en operación, mantenimiento, inoperable o en proceso de baja) </w:t>
      </w:r>
    </w:p>
    <w:p w:rsidR="00000000" w:rsidDel="00000000" w:rsidP="00000000" w:rsidRDefault="00000000" w:rsidRPr="00000000" w14:paraId="0000003B">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6. Base de datos en archivo editable de Excel del registro de la composición actual de flota de autobuses de BRT de la Línea 4 de Mexibús informando y hacer de conocimiento</w:t>
      </w:r>
      <w:r w:rsidDel="00000000" w:rsidR="00000000" w:rsidRPr="00000000">
        <w:rPr>
          <w:rFonts w:ascii="Palatino Linotype" w:cs="Palatino Linotype" w:eastAsia="Palatino Linotype" w:hAnsi="Palatino Linotype"/>
          <w:rtl w:val="0"/>
        </w:rPr>
        <w:t xml:space="preserve">:</w:t>
      </w:r>
      <w:r w:rsidDel="00000000" w:rsidR="00000000" w:rsidRPr="00000000">
        <w:rPr>
          <w:rtl w:val="0"/>
        </w:rPr>
      </w:r>
    </w:p>
    <w:p w:rsidR="00000000" w:rsidDel="00000000" w:rsidP="00000000" w:rsidRDefault="00000000" w:rsidRPr="00000000" w14:paraId="0000003C">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Número económico o de identificación de cada autobús </w:t>
      </w:r>
    </w:p>
    <w:p w:rsidR="00000000" w:rsidDel="00000000" w:rsidP="00000000" w:rsidRDefault="00000000" w:rsidRPr="00000000" w14:paraId="0000003D">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Año modelo de fabricación de cada autobús </w:t>
      </w:r>
    </w:p>
    <w:p w:rsidR="00000000" w:rsidDel="00000000" w:rsidP="00000000" w:rsidRDefault="00000000" w:rsidRPr="00000000" w14:paraId="0000003E">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Marca de cada autobús</w:t>
      </w:r>
    </w:p>
    <w:p w:rsidR="00000000" w:rsidDel="00000000" w:rsidP="00000000" w:rsidRDefault="00000000" w:rsidRPr="00000000" w14:paraId="0000003F">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 Tecnología o certificación ambiental (EURO O EPA) de cada autobús </w:t>
      </w:r>
    </w:p>
    <w:p w:rsidR="00000000" w:rsidDel="00000000" w:rsidP="00000000" w:rsidRDefault="00000000" w:rsidRPr="00000000" w14:paraId="00000040">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 Tipo de autobús (corto, largo, articulado o biarticulado) </w:t>
      </w:r>
    </w:p>
    <w:p w:rsidR="00000000" w:rsidDel="00000000" w:rsidP="00000000" w:rsidRDefault="00000000" w:rsidRPr="00000000" w14:paraId="00000041">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 Tipo de combustible de cada autobús (Diésel, Gas, Hibrido) </w:t>
      </w:r>
    </w:p>
    <w:p w:rsidR="00000000" w:rsidDel="00000000" w:rsidP="00000000" w:rsidRDefault="00000000" w:rsidRPr="00000000" w14:paraId="00000042">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g) Capacidad de personas usuarias de cada autobús </w:t>
      </w:r>
    </w:p>
    <w:p w:rsidR="00000000" w:rsidDel="00000000" w:rsidP="00000000" w:rsidRDefault="00000000" w:rsidRPr="00000000" w14:paraId="00000043">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h) Estado operativo (en operación, mantenimiento, inoperable o en proceso de baja)” (sic)</w:t>
      </w:r>
    </w:p>
    <w:p w:rsidR="00000000" w:rsidDel="00000000" w:rsidP="00000000" w:rsidRDefault="00000000" w:rsidRPr="00000000" w14:paraId="0000004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w:t>
      </w:r>
      <w:r w:rsidDel="00000000" w:rsidR="00000000" w:rsidRPr="00000000">
        <w:rPr>
          <w:rFonts w:ascii="Palatino Linotype" w:cs="Palatino Linotype" w:eastAsia="Palatino Linotype" w:hAnsi="Palatino Linotype"/>
          <w:b w:val="1"/>
          <w:rtl w:val="0"/>
        </w:rPr>
        <w:t xml:space="preserve">de SAIMEX</w:t>
      </w:r>
      <w:r w:rsidDel="00000000" w:rsidR="00000000" w:rsidRPr="00000000">
        <w:rPr>
          <w:rtl w:val="0"/>
        </w:rPr>
      </w:r>
    </w:p>
    <w:p w:rsidR="00000000" w:rsidDel="00000000" w:rsidP="00000000" w:rsidRDefault="00000000" w:rsidRPr="00000000" w14:paraId="00000045">
      <w:pPr>
        <w:spacing w:after="240" w:before="240" w:line="360" w:lineRule="auto"/>
        <w:jc w:val="both"/>
        <w:rPr>
          <w:rFonts w:ascii="Palatino Linotype" w:cs="Palatino Linotype" w:eastAsia="Palatino Linotype" w:hAnsi="Palatino Linotype"/>
          <w:b w:val="1"/>
        </w:rPr>
      </w:pPr>
      <w:bookmarkStart w:colFirst="0" w:colLast="0" w:name="_heading=h.3dy6vkm" w:id="2"/>
      <w:bookmarkEnd w:id="2"/>
      <w:r w:rsidDel="00000000" w:rsidR="00000000" w:rsidRPr="00000000">
        <w:rPr>
          <w:rFonts w:ascii="Palatino Linotype" w:cs="Palatino Linotype" w:eastAsia="Palatino Linotype" w:hAnsi="Palatino Linotype"/>
          <w:b w:val="1"/>
          <w:rtl w:val="0"/>
        </w:rPr>
        <w:t xml:space="preserve">2. Prórroga.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veintiocho de junio de dos mil veintitrés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solicitó prórroga mediante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argumentando lo siguiente:</w:t>
      </w:r>
      <w:r w:rsidDel="00000000" w:rsidR="00000000" w:rsidRPr="00000000">
        <w:rPr>
          <w:rtl w:val="0"/>
        </w:rPr>
      </w:r>
    </w:p>
    <w:p w:rsidR="00000000" w:rsidDel="00000000" w:rsidP="00000000" w:rsidRDefault="00000000" w:rsidRPr="00000000" w14:paraId="00000046">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00000" w:rsidDel="00000000" w:rsidP="00000000" w:rsidRDefault="00000000" w:rsidRPr="00000000" w14:paraId="00000047">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aprueba...”</w:t>
      </w:r>
    </w:p>
    <w:p w:rsidR="00000000" w:rsidDel="00000000" w:rsidP="00000000" w:rsidRDefault="00000000" w:rsidRPr="00000000" w14:paraId="0000004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refiere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rsidR="00000000" w:rsidDel="00000000" w:rsidP="00000000" w:rsidRDefault="00000000" w:rsidRPr="00000000" w14:paraId="00000049">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Respuesta. </w:t>
      </w:r>
      <w:r w:rsidDel="00000000" w:rsidR="00000000" w:rsidRPr="00000000">
        <w:rPr>
          <w:rFonts w:ascii="Palatino Linotype" w:cs="Palatino Linotype" w:eastAsia="Palatino Linotype" w:hAnsi="Palatino Linotype"/>
          <w:rtl w:val="0"/>
        </w:rPr>
        <w:t xml:space="preserve">Con fecha</w:t>
      </w:r>
      <w:r w:rsidDel="00000000" w:rsidR="00000000" w:rsidRPr="00000000">
        <w:rPr>
          <w:rFonts w:ascii="Palatino Linotype" w:cs="Palatino Linotype" w:eastAsia="Palatino Linotype" w:hAnsi="Palatino Linotype"/>
          <w:b w:val="1"/>
          <w:rtl w:val="0"/>
        </w:rPr>
        <w:t xml:space="preserve"> siete de julio de dos mil veintitrés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4A">
      <w:pPr>
        <w:spacing w:after="240" w:before="24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“…Se da contestación a la solicitud...” (sic)</w:t>
      </w:r>
      <w:r w:rsidDel="00000000" w:rsidR="00000000" w:rsidRPr="00000000">
        <w:rPr>
          <w:rtl w:val="0"/>
        </w:rPr>
      </w:r>
    </w:p>
    <w:p w:rsidR="00000000" w:rsidDel="00000000" w:rsidP="00000000" w:rsidRDefault="00000000" w:rsidRPr="00000000" w14:paraId="0000004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adjuntó lo siguiente:</w:t>
      </w:r>
    </w:p>
    <w:p w:rsidR="00000000" w:rsidDel="00000000" w:rsidP="00000000" w:rsidRDefault="00000000" w:rsidRPr="00000000" w14:paraId="0000004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UT/213C03010301200/226/2023, de fecha siete de julio de dos mil veintitrés de dos mil veintitrés, signado por el Titular de la Unidad de Transparencia, mediante el cual notifica a la persona solicitante el pronunciamiento emitido por el Director de Supervisión y Control, en respuesta a la solicitud.</w:t>
      </w:r>
    </w:p>
    <w:p w:rsidR="00000000" w:rsidDel="00000000" w:rsidP="00000000" w:rsidRDefault="00000000" w:rsidRPr="00000000" w14:paraId="0000004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220C0301020000L/454/2023, de fecha seis de julio de dos mil veintitrés, signado por el Director de Supervisión y Control, mediante el cual, en atención a la solicitud de información, refiere que una vez realizada la búsqueda en los archivos de la Dirección a su cargo, adjunta el archivo “Anexo SAIMEX 00080”, manifestando que es la información con la que se cuenta, en términos de los artículos 4 y 12 de la Ley de Trasparecía y Acceso a la Información Pública del Estado de México. </w:t>
      </w:r>
    </w:p>
    <w:p w:rsidR="00000000" w:rsidDel="00000000" w:rsidP="00000000" w:rsidRDefault="00000000" w:rsidRPr="00000000" w14:paraId="0000004E">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w:t>
      </w:r>
      <w:r w:rsidDel="00000000" w:rsidR="00000000" w:rsidRPr="00000000">
        <w:rPr>
          <w:rFonts w:ascii="Palatino Linotype" w:cs="Palatino Linotype" w:eastAsia="Palatino Linotype" w:hAnsi="Palatino Linotype"/>
          <w:b w:val="1"/>
          <w:rtl w:val="0"/>
        </w:rPr>
        <w:t xml:space="preserve"> diez de julio de dos mil veintitrés,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r w:rsidDel="00000000" w:rsidR="00000000" w:rsidRPr="00000000">
        <w:rPr>
          <w:rtl w:val="0"/>
        </w:rPr>
      </w:r>
    </w:p>
    <w:p w:rsidR="00000000" w:rsidDel="00000000" w:rsidP="00000000" w:rsidRDefault="00000000" w:rsidRPr="00000000" w14:paraId="0000004F">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50">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"OFICIO Y RESPUESTA SAIMEX 00080.pdf" en su pagina tres señala se adjunta "Anexo SAIMEX 00080". Archivo que no fue adjuntado." (sic)</w:t>
      </w:r>
    </w:p>
    <w:p w:rsidR="00000000" w:rsidDel="00000000" w:rsidP="00000000" w:rsidRDefault="00000000" w:rsidRPr="00000000" w14:paraId="00000051">
      <w:pPr>
        <w:spacing w:line="360" w:lineRule="auto"/>
        <w:jc w:val="both"/>
        <w:rPr>
          <w:rFonts w:ascii="Palatino Linotype" w:cs="Palatino Linotype" w:eastAsia="Palatino Linotype" w:hAnsi="Palatino Linotype"/>
        </w:rPr>
      </w:pPr>
      <w:bookmarkStart w:colFirst="0" w:colLast="0" w:name="_heading=h.30j0zll" w:id="3"/>
      <w:bookmarkEnd w:id="3"/>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52">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recibió la información adjunta como señala la respuesta de la Dirección de Operación y Control y que omitió adjuntar el Subdirector Jurídico y Titular de la Unidad de Transparencia" (sic)</w:t>
      </w:r>
    </w:p>
    <w:p w:rsidR="00000000" w:rsidDel="00000000" w:rsidP="00000000" w:rsidRDefault="00000000" w:rsidRPr="00000000" w14:paraId="00000053">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adjuntó las siguientes imágenes:</w:t>
      </w:r>
    </w:p>
    <w:p w:rsidR="00000000" w:rsidDel="00000000" w:rsidP="00000000" w:rsidRDefault="00000000" w:rsidRPr="00000000" w14:paraId="00000054">
      <w:pPr>
        <w:spacing w:after="240" w:before="240" w:line="360" w:lineRule="auto"/>
        <w:ind w:right="51"/>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220000" cy="3287685"/>
            <wp:effectExtent b="0" l="0" r="0" t="0"/>
            <wp:docPr id="171805564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220000" cy="328768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after="240" w:before="240" w:line="360" w:lineRule="auto"/>
        <w:ind w:right="51"/>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220000" cy="3391405"/>
            <wp:effectExtent b="0" l="0" r="0" t="0"/>
            <wp:docPr id="171805564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220000" cy="339140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5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Admisión del Recurso de revisión.</w:t>
      </w:r>
      <w:r w:rsidDel="00000000" w:rsidR="00000000" w:rsidRPr="00000000">
        <w:rPr>
          <w:rFonts w:ascii="Palatino Linotype" w:cs="Palatino Linotype" w:eastAsia="Palatino Linotype" w:hAnsi="Palatino Linotype"/>
          <w:rtl w:val="0"/>
        </w:rPr>
        <w:t xml:space="preserve"> Con fecha</w:t>
      </w:r>
      <w:r w:rsidDel="00000000" w:rsidR="00000000" w:rsidRPr="00000000">
        <w:rPr>
          <w:rFonts w:ascii="Palatino Linotype" w:cs="Palatino Linotype" w:eastAsia="Palatino Linotype" w:hAnsi="Palatino Linotype"/>
          <w:b w:val="1"/>
          <w:rtl w:val="0"/>
        </w:rPr>
        <w:t xml:space="preserve"> doce de julio de dos mil veintitrés,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58">
      <w:pPr>
        <w:spacing w:after="240" w:before="240" w:line="360" w:lineRule="auto"/>
        <w:jc w:val="both"/>
        <w:rPr>
          <w:rFonts w:ascii="Palatino Linotype" w:cs="Palatino Linotype" w:eastAsia="Palatino Linotype" w:hAnsi="Palatino Linotype"/>
        </w:rPr>
      </w:pPr>
      <w:bookmarkStart w:colFirst="0" w:colLast="0" w:name="_heading=h.2s8eyo1" w:id="4"/>
      <w:bookmarkEnd w:id="4"/>
      <w:r w:rsidDel="00000000" w:rsidR="00000000" w:rsidRPr="00000000">
        <w:rPr>
          <w:rFonts w:ascii="Palatino Linotype" w:cs="Palatino Linotype" w:eastAsia="Palatino Linotype" w:hAnsi="Palatino Linotype"/>
          <w:b w:val="1"/>
          <w:rtl w:val="0"/>
        </w:rPr>
        <w:t xml:space="preserve">7. Manifestaciones</w:t>
      </w:r>
      <w:r w:rsidDel="00000000" w:rsidR="00000000" w:rsidRPr="00000000">
        <w:rPr>
          <w:rFonts w:ascii="Palatino Linotype" w:cs="Palatino Linotype" w:eastAsia="Palatino Linotype" w:hAnsi="Palatino Linotype"/>
          <w:rtl w:val="0"/>
        </w:rPr>
        <w:t xml:space="preserve">. De las constancias que obran en el expediente electrónico del SAIMEX se desprende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rindió su informe justificado, del mismo modo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omitió realizar manifestaciones, como se observa a continuación:</w:t>
      </w:r>
    </w:p>
    <w:p w:rsidR="00000000" w:rsidDel="00000000" w:rsidP="00000000" w:rsidRDefault="00000000" w:rsidRPr="00000000" w14:paraId="0000005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1604645"/>
            <wp:effectExtent b="0" l="0" r="0" t="0"/>
            <wp:docPr id="171805564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612130" cy="160464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rtl w:val="0"/>
        </w:rPr>
        <w:t xml:space="preserve">siete de agosto de dos mil veintitrés</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5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9. Ampliación del término para resolver</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nueve de octubre de dos mil veintitrés</w:t>
      </w:r>
      <w:r w:rsidDel="00000000" w:rsidR="00000000" w:rsidRPr="00000000">
        <w:rPr>
          <w:rFonts w:ascii="Palatino Linotype" w:cs="Palatino Linotype" w:eastAsia="Palatino Linotype" w:hAnsi="Palatino Linotype"/>
          <w:rtl w:val="0"/>
        </w:rPr>
        <w:t xml:space="preserve">, se amplió el término para resolver el recurso de revisión en términos del artículo 181 párrafo tercero de la Ley de Transparencia y Acceso a la Información Pública del Estado de México y Municipios.</w:t>
      </w:r>
    </w:p>
    <w:p w:rsidR="00000000" w:rsidDel="00000000" w:rsidP="00000000" w:rsidRDefault="00000000" w:rsidRPr="00000000" w14:paraId="0000005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5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5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5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60">
      <w:pPr>
        <w:spacing w:after="240" w:before="24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61">
      <w:pPr>
        <w:numPr>
          <w:ilvl w:val="0"/>
          <w:numId w:val="1"/>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62">
      <w:pPr>
        <w:numPr>
          <w:ilvl w:val="0"/>
          <w:numId w:val="1"/>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63">
      <w:pPr>
        <w:numPr>
          <w:ilvl w:val="0"/>
          <w:numId w:val="1"/>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64">
      <w:pPr>
        <w:numPr>
          <w:ilvl w:val="0"/>
          <w:numId w:val="1"/>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afectación generada en la situación jurídica de la persona involucrada en el proceso: Violación a sus derechos humanos.</w:t>
      </w:r>
    </w:p>
    <w:p w:rsidR="00000000" w:rsidDel="00000000" w:rsidP="00000000" w:rsidRDefault="00000000" w:rsidRPr="00000000" w14:paraId="0000006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66">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6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6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69">
      <w:pPr>
        <w:spacing w:after="240" w:before="240" w:lineRule="auto"/>
        <w:ind w:left="851"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6A">
      <w:pPr>
        <w:spacing w:after="240" w:before="240" w:lineRule="auto"/>
        <w:ind w:left="851"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6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6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6D">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6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6F">
      <w:pPr>
        <w:spacing w:after="240" w:before="240" w:line="360" w:lineRule="auto"/>
        <w:jc w:val="both"/>
        <w:rPr>
          <w:rFonts w:ascii="Palatino Linotype" w:cs="Palatino Linotype" w:eastAsia="Palatino Linotype" w:hAnsi="Palatino Linotype"/>
        </w:rPr>
      </w:pPr>
      <w:bookmarkStart w:colFirst="0" w:colLast="0" w:name="_heading=h.tyjcwt" w:id="5"/>
      <w:bookmarkEnd w:id="5"/>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7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día </w:t>
      </w:r>
      <w:r w:rsidDel="00000000" w:rsidR="00000000" w:rsidRPr="00000000">
        <w:rPr>
          <w:rFonts w:ascii="Palatino Linotype" w:cs="Palatino Linotype" w:eastAsia="Palatino Linotype" w:hAnsi="Palatino Linotype"/>
          <w:b w:val="1"/>
          <w:rtl w:val="0"/>
        </w:rPr>
        <w:t xml:space="preserve">siete de julio de dos mil veintitrés, </w:t>
      </w:r>
      <w:r w:rsidDel="00000000" w:rsidR="00000000" w:rsidRPr="00000000">
        <w:rPr>
          <w:rFonts w:ascii="Palatino Linotype" w:cs="Palatino Linotype" w:eastAsia="Palatino Linotype" w:hAnsi="Palatino Linotype"/>
          <w:rtl w:val="0"/>
        </w:rPr>
        <w:t xml:space="preserve">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día </w:t>
      </w:r>
      <w:r w:rsidDel="00000000" w:rsidR="00000000" w:rsidRPr="00000000">
        <w:rPr>
          <w:rFonts w:ascii="Palatino Linotype" w:cs="Palatino Linotype" w:eastAsia="Palatino Linotype" w:hAnsi="Palatino Linotype"/>
          <w:b w:val="1"/>
          <w:rtl w:val="0"/>
        </w:rPr>
        <w:t xml:space="preserve">ocho de julio de dos mil veintitrés, </w:t>
      </w:r>
      <w:r w:rsidDel="00000000" w:rsidR="00000000" w:rsidRPr="00000000">
        <w:rPr>
          <w:rFonts w:ascii="Palatino Linotype" w:cs="Palatino Linotype" w:eastAsia="Palatino Linotype" w:hAnsi="Palatino Linotype"/>
          <w:rtl w:val="0"/>
        </w:rPr>
        <w:t xml:space="preserve">esto es, al siguiente día hábil en que tuvo conocimiento de la respuesta impugnada. En este sentido, se concluye que el presente recurso de revisión se encuentra dentro de los márgenes temporales previstos en las disposiciones legales referidas.</w:t>
      </w:r>
    </w:p>
    <w:p w:rsidR="00000000" w:rsidDel="00000000" w:rsidP="00000000" w:rsidRDefault="00000000" w:rsidRPr="00000000" w14:paraId="00000071">
      <w:pPr>
        <w:spacing w:after="240" w:before="240" w:line="360" w:lineRule="auto"/>
        <w:jc w:val="both"/>
        <w:rPr>
          <w:rFonts w:ascii="Palatino Linotype" w:cs="Palatino Linotype" w:eastAsia="Palatino Linotype" w:hAnsi="Palatino Linotype"/>
        </w:rPr>
      </w:pPr>
      <w:bookmarkStart w:colFirst="0" w:colLast="0" w:name="_heading=h.3znysh7" w:id="6"/>
      <w:bookmarkEnd w:id="6"/>
      <w:r w:rsidDel="00000000" w:rsidR="00000000" w:rsidRPr="00000000">
        <w:rPr>
          <w:rFonts w:ascii="Palatino Linotype" w:cs="Palatino Linotype" w:eastAsia="Palatino Linotype" w:hAnsi="Palatino Linotype"/>
          <w:rtl w:val="0"/>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7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fracciones I y V del ordenamiento legal citado, que a la letra dice: </w:t>
      </w:r>
    </w:p>
    <w:p w:rsidR="00000000" w:rsidDel="00000000" w:rsidP="00000000" w:rsidRDefault="00000000" w:rsidRPr="00000000" w14:paraId="0000007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74">
      <w:pPr>
        <w:spacing w:after="120" w:before="120" w:lineRule="auto"/>
        <w:ind w:left="1134"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negativa a la información solicitada;</w:t>
      </w:r>
    </w:p>
    <w:p w:rsidR="00000000" w:rsidDel="00000000" w:rsidP="00000000" w:rsidRDefault="00000000" w:rsidRPr="00000000" w14:paraId="00000075">
      <w:pPr>
        <w:spacing w:after="120" w:before="120" w:lineRule="auto"/>
        <w:ind w:left="1134"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6">
      <w:pPr>
        <w:spacing w:after="120" w:before="120" w:lineRule="auto"/>
        <w:ind w:left="1134"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La entrega de información incompleta</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tl w:val="0"/>
        </w:rPr>
      </w:r>
    </w:p>
    <w:p w:rsidR="00000000" w:rsidDel="00000000" w:rsidP="00000000" w:rsidRDefault="00000000" w:rsidRPr="00000000" w14:paraId="0000007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información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 oportuna.</w:t>
      </w:r>
    </w:p>
    <w:p w:rsidR="00000000" w:rsidDel="00000000" w:rsidP="00000000" w:rsidRDefault="00000000" w:rsidRPr="00000000" w14:paraId="0000007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7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7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7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7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7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7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(Sic)</w:t>
      </w:r>
      <w:r w:rsidDel="00000000" w:rsidR="00000000" w:rsidRPr="00000000">
        <w:rPr>
          <w:rtl w:val="0"/>
        </w:rPr>
      </w:r>
    </w:p>
    <w:p w:rsidR="00000000" w:rsidDel="00000000" w:rsidP="00000000" w:rsidRDefault="00000000" w:rsidRPr="00000000" w14:paraId="0000007F">
      <w:pPr>
        <w:spacing w:after="240" w:before="24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80">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Sirve de apoyo a lo anterior, el Criterio de interpretación con clave de control SO/003/2017, emitido por el Pleno del Instituto Nacional de Transparencia, Acceso a la Información y Protección de Datos Personales,  INAI, que por rubro y texto, dispone lo siguiente:</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8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000000" w:rsidDel="00000000" w:rsidP="00000000" w:rsidRDefault="00000000" w:rsidRPr="00000000" w14:paraId="0000008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8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8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8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8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8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8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8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8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8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 (Sic)</w:t>
      </w:r>
    </w:p>
    <w:p w:rsidR="00000000" w:rsidDel="00000000" w:rsidP="00000000" w:rsidRDefault="00000000" w:rsidRPr="00000000" w14:paraId="0000008D">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8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8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de la solicitud de información, motivo del recurso de revisión que ahora se resuelve, se advierte que la persona solicitante 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le proporcione información que consiste en lo siguiente:</w:t>
      </w:r>
    </w:p>
    <w:p w:rsidR="00000000" w:rsidDel="00000000" w:rsidP="00000000" w:rsidRDefault="00000000" w:rsidRPr="00000000" w14:paraId="00000090">
      <w:pPr>
        <w:spacing w:after="240" w:before="240" w:line="360" w:lineRule="auto"/>
        <w:ind w:left="426" w:firstLine="0"/>
        <w:jc w:val="both"/>
        <w:rPr>
          <w:rFonts w:ascii="Palatino Linotype" w:cs="Palatino Linotype" w:eastAsia="Palatino Linotype" w:hAnsi="Palatino Linotype"/>
        </w:rPr>
      </w:pPr>
      <w:bookmarkStart w:colFirst="0" w:colLast="0" w:name="_heading=h.35nkun2" w:id="7"/>
      <w:bookmarkEnd w:id="7"/>
      <w:r w:rsidDel="00000000" w:rsidR="00000000" w:rsidRPr="00000000">
        <w:rPr>
          <w:rFonts w:ascii="Palatino Linotype" w:cs="Palatino Linotype" w:eastAsia="Palatino Linotype" w:hAnsi="Palatino Linotype"/>
          <w:rtl w:val="0"/>
        </w:rPr>
        <w:t xml:space="preserve">1. Bases de datos en archivo editable de Excel, del registro de la composición actual de la flota de autobuses de BRT de las Líneas 1, 2, 3, el servicio de la ampliación de la Línea 3, y 4 del Mexibús, así como del servicio AIFA, donde se informe lo siguiente:</w:t>
      </w:r>
    </w:p>
    <w:p w:rsidR="00000000" w:rsidDel="00000000" w:rsidP="00000000" w:rsidRDefault="00000000" w:rsidRPr="00000000" w14:paraId="00000091">
      <w:pPr>
        <w:spacing w:after="120" w:before="120" w:lineRule="auto"/>
        <w:ind w:left="709"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2"/>
          <w:szCs w:val="22"/>
          <w:rtl w:val="0"/>
        </w:rPr>
        <w:t xml:space="preserve">a) </w:t>
      </w:r>
      <w:r w:rsidDel="00000000" w:rsidR="00000000" w:rsidRPr="00000000">
        <w:rPr>
          <w:rFonts w:ascii="Palatino Linotype" w:cs="Palatino Linotype" w:eastAsia="Palatino Linotype" w:hAnsi="Palatino Linotype"/>
          <w:rtl w:val="0"/>
        </w:rPr>
        <w:t xml:space="preserve">Número económico o de identificación de cada autobús </w:t>
      </w:r>
    </w:p>
    <w:p w:rsidR="00000000" w:rsidDel="00000000" w:rsidP="00000000" w:rsidRDefault="00000000" w:rsidRPr="00000000" w14:paraId="00000092">
      <w:pPr>
        <w:spacing w:after="120" w:before="120" w:lineRule="auto"/>
        <w:ind w:left="709"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Año modelo de fabricación de cada autobús </w:t>
      </w:r>
    </w:p>
    <w:p w:rsidR="00000000" w:rsidDel="00000000" w:rsidP="00000000" w:rsidRDefault="00000000" w:rsidRPr="00000000" w14:paraId="00000093">
      <w:pPr>
        <w:spacing w:after="120" w:before="120" w:lineRule="auto"/>
        <w:ind w:left="709"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 Marca de cada autobús</w:t>
      </w:r>
    </w:p>
    <w:p w:rsidR="00000000" w:rsidDel="00000000" w:rsidP="00000000" w:rsidRDefault="00000000" w:rsidRPr="00000000" w14:paraId="00000094">
      <w:pPr>
        <w:spacing w:after="120" w:before="120" w:lineRule="auto"/>
        <w:ind w:left="709"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Tecnología o certificación ambiental (EURO O EPA) de cada autobús </w:t>
      </w:r>
    </w:p>
    <w:p w:rsidR="00000000" w:rsidDel="00000000" w:rsidP="00000000" w:rsidRDefault="00000000" w:rsidRPr="00000000" w14:paraId="00000095">
      <w:pPr>
        <w:spacing w:after="120" w:before="120" w:lineRule="auto"/>
        <w:ind w:left="709"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 Tipo de autobús (corto, largo, articulado o biarticulado) </w:t>
      </w:r>
    </w:p>
    <w:p w:rsidR="00000000" w:rsidDel="00000000" w:rsidP="00000000" w:rsidRDefault="00000000" w:rsidRPr="00000000" w14:paraId="00000096">
      <w:pPr>
        <w:spacing w:after="120" w:before="120" w:lineRule="auto"/>
        <w:ind w:left="709"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 Tipo de combustible de cada autobús (Diésel, Gas, Hibrido) </w:t>
      </w:r>
    </w:p>
    <w:p w:rsidR="00000000" w:rsidDel="00000000" w:rsidP="00000000" w:rsidRDefault="00000000" w:rsidRPr="00000000" w14:paraId="00000097">
      <w:pPr>
        <w:spacing w:after="120" w:before="120" w:lineRule="auto"/>
        <w:ind w:left="709"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 Capacidad de personas usuarias de cada autobús </w:t>
      </w:r>
    </w:p>
    <w:p w:rsidR="00000000" w:rsidDel="00000000" w:rsidP="00000000" w:rsidRDefault="00000000" w:rsidRPr="00000000" w14:paraId="00000098">
      <w:pPr>
        <w:spacing w:after="120" w:before="120" w:lineRule="auto"/>
        <w:ind w:left="709"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 Estado operativo (en operación, mantenimiento, inoperable o en proceso de baja) </w:t>
      </w:r>
    </w:p>
    <w:p w:rsidR="00000000" w:rsidDel="00000000" w:rsidP="00000000" w:rsidRDefault="00000000" w:rsidRPr="00000000" w14:paraId="0000009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la Unidad de Transparencia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notificó a la persona solicitante, la respuesta proporcionada por el Director de Supervisión y Control, quien manifestó haber realizado la búsqueda de la información solicitada en los archivos de la Dirección a su cargo, asimismo refirió adjuntar la información con la que se cuenta, en términos de los artículos 4 y 12 de la Ley de Transparencia y Acceso a la Información Pública del Estado de México, no obstante, es de señalar que el referido archivo</w:t>
      </w:r>
      <w:r w:rsidDel="00000000" w:rsidR="00000000" w:rsidRPr="00000000">
        <w:rPr>
          <w:rFonts w:ascii="Palatino Linotype" w:cs="Palatino Linotype" w:eastAsia="Palatino Linotype" w:hAnsi="Palatino Linotype"/>
          <w:b w:val="1"/>
          <w:rtl w:val="0"/>
        </w:rPr>
        <w:t xml:space="preserve"> no fue localizado en el expediente de SAIMEX, </w:t>
      </w:r>
      <w:r w:rsidDel="00000000" w:rsidR="00000000" w:rsidRPr="00000000">
        <w:rPr>
          <w:rFonts w:ascii="Palatino Linotype" w:cs="Palatino Linotype" w:eastAsia="Palatino Linotype" w:hAnsi="Palatino Linotype"/>
          <w:rtl w:val="0"/>
        </w:rPr>
        <w:t xml:space="preserve">motivando así, la interposición del recurso de revisión que se resuelve, donde manifestó como inconformidad, que no se recibió la información adjunta, como lo señala la respuesta de la Dirección de Operación y Control.</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Durante la etapa de manifestaciones, las partes fueron omisas en presentar informe justificado y manifestaciones en el plazo establecido para tal efecto, como se señaló anteriormente.</w:t>
      </w:r>
    </w:p>
    <w:p w:rsidR="00000000" w:rsidDel="00000000" w:rsidP="00000000" w:rsidRDefault="00000000" w:rsidRPr="00000000" w14:paraId="0000009B">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Expuestas las posturas de las partes, resulta de suma importancia mencionar en primer lugar, que el Autobús de Transito Rápido o BRT</w:t>
      </w:r>
      <w:r w:rsidDel="00000000" w:rsidR="00000000" w:rsidRPr="00000000">
        <w:rPr>
          <w:rFonts w:ascii="Palatino Linotype" w:cs="Palatino Linotype" w:eastAsia="Palatino Linotype" w:hAnsi="Palatino Linotype"/>
          <w:i w:val="1"/>
          <w:rtl w:val="0"/>
        </w:rPr>
        <w:t xml:space="preserve"> (Bus Rapid Transit, </w:t>
      </w:r>
      <w:r w:rsidDel="00000000" w:rsidR="00000000" w:rsidRPr="00000000">
        <w:rPr>
          <w:rFonts w:ascii="Palatino Linotype" w:cs="Palatino Linotype" w:eastAsia="Palatino Linotype" w:hAnsi="Palatino Linotype"/>
          <w:rtl w:val="0"/>
        </w:rPr>
        <w:t xml:space="preserve">por sus siglas en inglés), es un sistema diseñado para mejorar la capacidad y la fiabilidad del transporte público en ciudades congestionadas, basado en autobuses, que ofrece una movilidad urbana rápida, confortable y económica, a través de carriles propios o reservados, alta velocidad de circulación, alta frecuencia de paso, entre otras características. Los sistemas BRT se utilizan principalmente en las ciudades con alta demanda de transporte.</w:t>
      </w:r>
    </w:p>
    <w:p w:rsidR="00000000" w:rsidDel="00000000" w:rsidP="00000000" w:rsidRDefault="00000000" w:rsidRPr="00000000" w14:paraId="0000009C">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contexto, de conformidad con el artículo 7.5 del Código Administrativo del Estado de México, el transporte que se realiza en la infraestructura vial se clasifica en:</w:t>
      </w:r>
    </w:p>
    <w:p w:rsidR="00000000" w:rsidDel="00000000" w:rsidP="00000000" w:rsidRDefault="00000000" w:rsidRPr="00000000" w14:paraId="0000009D">
      <w:pPr>
        <w:spacing w:after="240" w:before="240" w:line="276"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 De pasajeros, que puede ser:</w:t>
      </w:r>
    </w:p>
    <w:p w:rsidR="00000000" w:rsidDel="00000000" w:rsidP="00000000" w:rsidRDefault="00000000" w:rsidRPr="00000000" w14:paraId="0000009E">
      <w:pPr>
        <w:spacing w:after="240" w:before="240" w:line="276" w:lineRule="auto"/>
        <w:ind w:left="567"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Colectivo, que es el que se ofrece al público en general, de manera colectiva, uniforme y permanente;</w:t>
      </w:r>
    </w:p>
    <w:p w:rsidR="00000000" w:rsidDel="00000000" w:rsidP="00000000" w:rsidRDefault="00000000" w:rsidRPr="00000000" w14:paraId="0000009F">
      <w:pPr>
        <w:spacing w:after="240" w:before="240" w:line="276" w:lineRule="auto"/>
        <w:ind w:left="567"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u w:val="single"/>
          <w:rtl w:val="0"/>
        </w:rPr>
        <w:t xml:space="preserve">b) Masivo o de alta capacidad, que es aquel que se presta en vías específicas o confinadas y/o con equipo vehicular capaz de transportar a más de cien personas a la vez y con tecnologías para su control y operación</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A0">
      <w:pPr>
        <w:spacing w:after="240" w:before="240" w:line="276" w:lineRule="auto"/>
        <w:ind w:left="567"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 Individual, que es el que se presta a uno o más pasajeros en vehículos denominados taxis; </w:t>
      </w:r>
    </w:p>
    <w:p w:rsidR="00000000" w:rsidDel="00000000" w:rsidP="00000000" w:rsidRDefault="00000000" w:rsidRPr="00000000" w14:paraId="000000A1">
      <w:pPr>
        <w:spacing w:after="240" w:before="240" w:line="276" w:lineRule="auto"/>
        <w:ind w:left="567"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Especializado, que es el que comprende al de personal, al escolar, y al de turismo. </w:t>
      </w:r>
    </w:p>
    <w:p w:rsidR="00000000" w:rsidDel="00000000" w:rsidP="00000000" w:rsidRDefault="00000000" w:rsidRPr="00000000" w14:paraId="000000A2">
      <w:pPr>
        <w:spacing w:after="240" w:before="240" w:line="276"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II. De carga, que se refiere al porte de mercancías que se presta a terceros; </w:t>
      </w:r>
    </w:p>
    <w:p w:rsidR="00000000" w:rsidDel="00000000" w:rsidP="00000000" w:rsidRDefault="00000000" w:rsidRPr="00000000" w14:paraId="000000A3">
      <w:pPr>
        <w:spacing w:after="240" w:before="240" w:line="276"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III. Mixto; </w:t>
      </w:r>
    </w:p>
    <w:p w:rsidR="00000000" w:rsidDel="00000000" w:rsidP="00000000" w:rsidRDefault="00000000" w:rsidRPr="00000000" w14:paraId="000000A4">
      <w:pPr>
        <w:spacing w:after="240" w:before="240" w:line="276"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IV. Particular: </w:t>
      </w:r>
    </w:p>
    <w:p w:rsidR="00000000" w:rsidDel="00000000" w:rsidP="00000000" w:rsidRDefault="00000000" w:rsidRPr="00000000" w14:paraId="000000A5">
      <w:pPr>
        <w:spacing w:after="240" w:before="240" w:line="276" w:lineRule="auto"/>
        <w:ind w:left="567"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El destino para transporte de pasajeros de uso propio no considerado en las fracciones anteriores; </w:t>
      </w:r>
    </w:p>
    <w:p w:rsidR="00000000" w:rsidDel="00000000" w:rsidP="00000000" w:rsidRDefault="00000000" w:rsidRPr="00000000" w14:paraId="000000A6">
      <w:pPr>
        <w:spacing w:after="240" w:before="240" w:line="276" w:lineRule="auto"/>
        <w:ind w:left="567"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De carga particular, que es el destinado exclusivamente al servicio particular de carga de un establecimiento o empresa que constituya un instrumento de trabajo, y que no preste servicios a terceros. </w:t>
      </w:r>
    </w:p>
    <w:p w:rsidR="00000000" w:rsidDel="00000000" w:rsidP="00000000" w:rsidRDefault="00000000" w:rsidRPr="00000000" w14:paraId="000000A7">
      <w:pPr>
        <w:spacing w:after="240" w:before="240" w:line="276"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 El destinado para prestar un servicio a la población por parte de organismos y dependencias federales, estatales o municipales, tales como de seguridad pública, tránsito estatal y municipal, protección civil, rescate, bomberos, policía ministerial, servicio médico forense, traslado de valores, ambulancias, servicios funerarios, de traslado de residuos y materiales peligrosos, pipas para agua potable, recolección y traslado de residuos líquidos y sólidos, mantenimiento de redes hidráulicas y eléctricas, y de particulares sobre servicios similares; y que no esté considerado en las fracciones anteriores. </w:t>
      </w:r>
    </w:p>
    <w:p w:rsidR="00000000" w:rsidDel="00000000" w:rsidP="00000000" w:rsidRDefault="00000000" w:rsidRPr="00000000" w14:paraId="000000A8">
      <w:pPr>
        <w:spacing w:after="240" w:before="240" w:line="360" w:lineRule="auto"/>
        <w:ind w:right="51"/>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Respecto al transporte masivo o de alta capacidad, el artículo 17.4, fracción VIII del Código Administrativo, dispone que es el que </w:t>
      </w:r>
      <w:r w:rsidDel="00000000" w:rsidR="00000000" w:rsidRPr="00000000">
        <w:rPr>
          <w:rFonts w:ascii="Palatino Linotype" w:cs="Palatino Linotype" w:eastAsia="Palatino Linotype" w:hAnsi="Palatino Linotype"/>
          <w:i w:val="1"/>
          <w:rtl w:val="0"/>
        </w:rPr>
        <w:t xml:space="preserve">se presta en vías específicas y/o confinadas, con equipos electrónicos de recaudo y despacho centralizado, con rodamiento técnico especializado y/o con equipo vehicular capaz de transportar a más de cien personas a la vez; incluyendo los accesos, vestíbulos, líneas de conducción, andenes, trenes, autobuses de alta capacidad, equipos electromecánicos, vías, carril confinado, talleres, depósitos de vehículos, locales técnicos, sistemas electrónicos de recaudo y despacho y demás construcciones e instalaciones destinadas al servicio público de transporte de alta capacidad.</w:t>
      </w:r>
    </w:p>
    <w:p w:rsidR="00000000" w:rsidDel="00000000" w:rsidP="00000000" w:rsidRDefault="00000000" w:rsidRPr="00000000" w14:paraId="000000A9">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que corresponde al Sistema de Transportes Masivo y Teleférico del Estado de México, de conformidad con los artículos 17.5, fracción V y 17.76, del Código Administrativo del Estado de México, es reconocido como autoridad para aplicar el Libro Décimo Séptimo del referido Código, y tiene por objeto la planeación, la coordinación de los programas y acciones relacionados con la infraestructura y operación de los sistemas de transporte de alta capacidad y teleférico, las estaciones de transferencia modal y las de origen-destino e intermedias que se requieren para el eficiente funcionamiento del teleférico, así como efectuar investigaciones y estudios que permitan al Gobierno del Estado sustentar las solicitudes de concesiones o permisos ante las autoridades federales para la administración, operación, explotación y, en su caso, construcción de transporte de alta capacidad en territorio estatal, para lo cual se le confieren, entre otras atribuciones, las siguientes en su parte conducente:</w:t>
      </w:r>
    </w:p>
    <w:p w:rsidR="00000000" w:rsidDel="00000000" w:rsidP="00000000" w:rsidRDefault="00000000" w:rsidRPr="00000000" w14:paraId="000000AA">
      <w:pPr>
        <w:spacing w:after="120" w:before="120" w:lineRule="auto"/>
        <w:ind w:left="709"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17.77</w:t>
      </w:r>
      <w:r w:rsidDel="00000000" w:rsidR="00000000" w:rsidRPr="00000000">
        <w:rPr>
          <w:rFonts w:ascii="Palatino Linotype" w:cs="Palatino Linotype" w:eastAsia="Palatino Linotype" w:hAnsi="Palatino Linotype"/>
          <w:i w:val="1"/>
          <w:sz w:val="22"/>
          <w:szCs w:val="22"/>
          <w:rtl w:val="0"/>
        </w:rPr>
        <w:t xml:space="preserve">.- El Sistema, para el cumplimiento de su objeto, tiene las atribuciones siguientes: </w:t>
      </w:r>
    </w:p>
    <w:p w:rsidR="00000000" w:rsidDel="00000000" w:rsidP="00000000" w:rsidRDefault="00000000" w:rsidRPr="00000000" w14:paraId="000000A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Proponer y ejecutar planes, programas, proyectos y acciones para el diseño, construcción, operación, administración, explotación, conservación, rehabilitación y mantenimiento de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sistemas de transporte de alta capacidad</w:t>
      </w:r>
      <w:r w:rsidDel="00000000" w:rsidR="00000000" w:rsidRPr="00000000">
        <w:rPr>
          <w:rFonts w:ascii="Palatino Linotype" w:cs="Palatino Linotype" w:eastAsia="Palatino Linotype" w:hAnsi="Palatino Linotype"/>
          <w:i w:val="1"/>
          <w:sz w:val="22"/>
          <w:szCs w:val="22"/>
          <w:rtl w:val="0"/>
        </w:rPr>
        <w:t xml:space="preserve"> y teleférico, de las estaciones de transferencia modal, así como de las de origen-destino e intermedias que se requieren para el eficiente funcionamiento del teleférico; </w:t>
      </w:r>
    </w:p>
    <w:p w:rsidR="00000000" w:rsidDel="00000000" w:rsidP="00000000" w:rsidRDefault="00000000" w:rsidRPr="00000000" w14:paraId="000000A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Promover y fomentar la participación de la iniciativa privada en la construcción, administración, operación, explotación, mantenimiento, rehabilitación y conservación de infraestructura y operación de transporte de alta capacidad</w:t>
      </w:r>
      <w:r w:rsidDel="00000000" w:rsidR="00000000" w:rsidRPr="00000000">
        <w:rPr>
          <w:rFonts w:ascii="Palatino Linotype" w:cs="Palatino Linotype" w:eastAsia="Palatino Linotype" w:hAnsi="Palatino Linotype"/>
          <w:i w:val="1"/>
          <w:sz w:val="22"/>
          <w:szCs w:val="22"/>
          <w:rtl w:val="0"/>
        </w:rPr>
        <w:t xml:space="preserve">, de estaciones de transferencia modal, así como del sistema de transporte teleférico y las estaciones de origen-destino e intermedias que se requieren para su eficiente funcionamiento;</w:t>
      </w:r>
    </w:p>
    <w:p w:rsidR="00000000" w:rsidDel="00000000" w:rsidP="00000000" w:rsidRDefault="00000000" w:rsidRPr="00000000" w14:paraId="000000A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Efectuar las calificaciones de operación y conservación de la infraestructura y operación del transporte masivo o de alta capacidad y teleférico; y estaciones de transferencia modal;</w:t>
      </w:r>
    </w:p>
    <w:p w:rsidR="00000000" w:rsidDel="00000000" w:rsidP="00000000" w:rsidRDefault="00000000" w:rsidRPr="00000000" w14:paraId="000000A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Realizar visitas de inspección, supervisar y vigilar las concesiones y contratos del transporte masivo o de alta capacidad</w:t>
      </w:r>
      <w:r w:rsidDel="00000000" w:rsidR="00000000" w:rsidRPr="00000000">
        <w:rPr>
          <w:rFonts w:ascii="Palatino Linotype" w:cs="Palatino Linotype" w:eastAsia="Palatino Linotype" w:hAnsi="Palatino Linotype"/>
          <w:i w:val="1"/>
          <w:sz w:val="22"/>
          <w:szCs w:val="22"/>
          <w:rtl w:val="0"/>
        </w:rPr>
        <w:t xml:space="preserve"> y teleférico, su derecho de vía, así como la prestación de servicios en las estaciones de transferencia modal y en las estaciones de origen-destino e intermedias relativas al sistema del teleférico y emitir las recomendaciones correspondientes; </w:t>
      </w:r>
    </w:p>
    <w:p w:rsidR="00000000" w:rsidDel="00000000" w:rsidP="00000000" w:rsidRDefault="00000000" w:rsidRPr="00000000" w14:paraId="000000B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Evaluar el cumplimiento de las concesiones, contratos y permisos y, en su caso, calificar las infracciones y aplicar las sanciones a que se hagan acreedores los prestadores del servicio público de transporte masivo o de alta capacidad</w:t>
      </w:r>
      <w:r w:rsidDel="00000000" w:rsidR="00000000" w:rsidRPr="00000000">
        <w:rPr>
          <w:rFonts w:ascii="Palatino Linotype" w:cs="Palatino Linotype" w:eastAsia="Palatino Linotype" w:hAnsi="Palatino Linotype"/>
          <w:i w:val="1"/>
          <w:sz w:val="22"/>
          <w:szCs w:val="22"/>
          <w:rtl w:val="0"/>
        </w:rPr>
        <w:t xml:space="preserve"> y teleférico, en las estaciones de transferencia modal y en las estaciones de origen-destino e intermedias relativas al sistema del teleférico;”</w:t>
      </w:r>
    </w:p>
    <w:p w:rsidR="00000000" w:rsidDel="00000000" w:rsidP="00000000" w:rsidRDefault="00000000" w:rsidRPr="00000000" w14:paraId="000000B2">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conforme a lo establecido en los artículos 53, fracciones II y IV y  162 de la Ley de Transparencia y Acceso a la Información Pública del Estado de México y Municipios, la Unidad de Transparencia turnó la solicitud a la Dirección de Supervisión y Control, como el área encargada de establecer y coordinar los programas y acciones que permitan garantizar que los servicios de la operación del transporte de alta capacidad y teleférico, los de infraestructura y de las Estaciones de Transferencia Modal y las de origen-destino e intermedias que se requieren para el eficiente funcionamiento del Teleférico </w:t>
      </w:r>
      <w:r w:rsidDel="00000000" w:rsidR="00000000" w:rsidRPr="00000000">
        <w:rPr>
          <w:rFonts w:ascii="Palatino Linotype" w:cs="Palatino Linotype" w:eastAsia="Palatino Linotype" w:hAnsi="Palatino Linotype"/>
          <w:b w:val="1"/>
          <w:rtl w:val="0"/>
        </w:rPr>
        <w:t xml:space="preserve">que se presten en forma permanente, regular, y </w:t>
      </w:r>
      <w:r w:rsidDel="00000000" w:rsidR="00000000" w:rsidRPr="00000000">
        <w:rPr>
          <w:rFonts w:ascii="Palatino Linotype" w:cs="Palatino Linotype" w:eastAsia="Palatino Linotype" w:hAnsi="Palatino Linotype"/>
          <w:b w:val="1"/>
          <w:u w:val="single"/>
          <w:rtl w:val="0"/>
        </w:rPr>
        <w:t xml:space="preserve">en los niveles de seguridad y calidad requeridos</w:t>
      </w:r>
      <w:r w:rsidDel="00000000" w:rsidR="00000000" w:rsidRPr="00000000">
        <w:rPr>
          <w:rFonts w:ascii="Palatino Linotype" w:cs="Palatino Linotype" w:eastAsia="Palatino Linotype" w:hAnsi="Palatino Linotype"/>
          <w:rtl w:val="0"/>
        </w:rPr>
        <w:t xml:space="preserve">. En términos del artículo 16 del Reglamento Interno del Sistema de Transporte Masivo y Teleférico del Estado de México, tiene a su cargo las siguientes atribuciones en su parte conducente:</w:t>
      </w:r>
    </w:p>
    <w:p w:rsidR="00000000" w:rsidDel="00000000" w:rsidP="00000000" w:rsidRDefault="00000000" w:rsidRPr="00000000" w14:paraId="000000B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w:t>
      </w:r>
      <w:r w:rsidDel="00000000" w:rsidR="00000000" w:rsidRPr="00000000">
        <w:rPr>
          <w:rFonts w:ascii="Palatino Linotype" w:cs="Palatino Linotype" w:eastAsia="Palatino Linotype" w:hAnsi="Palatino Linotype"/>
          <w:i w:val="1"/>
          <w:sz w:val="22"/>
          <w:szCs w:val="22"/>
          <w:rtl w:val="0"/>
        </w:rPr>
        <w:t xml:space="preserve"> Corresponde a la Dirección de Supervisión y Control:</w:t>
      </w:r>
    </w:p>
    <w:p w:rsidR="00000000" w:rsidDel="00000000" w:rsidP="00000000" w:rsidRDefault="00000000" w:rsidRPr="00000000" w14:paraId="000000B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Someter a consideración del Director General</w:t>
      </w:r>
      <w:r w:rsidDel="00000000" w:rsidR="00000000" w:rsidRPr="00000000">
        <w:rPr>
          <w:rFonts w:ascii="Palatino Linotype" w:cs="Palatino Linotype" w:eastAsia="Palatino Linotype" w:hAnsi="Palatino Linotype"/>
          <w:b w:val="1"/>
          <w:i w:val="1"/>
          <w:sz w:val="22"/>
          <w:szCs w:val="22"/>
          <w:u w:val="single"/>
          <w:rtl w:val="0"/>
        </w:rPr>
        <w:t xml:space="preserve">, la definición y difusión de las políticas de operación, uso y conservación del material rodante</w:t>
      </w:r>
      <w:r w:rsidDel="00000000" w:rsidR="00000000" w:rsidRPr="00000000">
        <w:rPr>
          <w:rFonts w:ascii="Palatino Linotype" w:cs="Palatino Linotype" w:eastAsia="Palatino Linotype" w:hAnsi="Palatino Linotype"/>
          <w:b w:val="1"/>
          <w:i w:val="1"/>
          <w:sz w:val="22"/>
          <w:szCs w:val="22"/>
          <w:rtl w:val="0"/>
        </w:rPr>
        <w:t xml:space="preserve"> y de la infraestructura de transporte masivo o de alta capacidad,</w:t>
      </w:r>
      <w:r w:rsidDel="00000000" w:rsidR="00000000" w:rsidRPr="00000000">
        <w:rPr>
          <w:rFonts w:ascii="Palatino Linotype" w:cs="Palatino Linotype" w:eastAsia="Palatino Linotype" w:hAnsi="Palatino Linotype"/>
          <w:i w:val="1"/>
          <w:sz w:val="22"/>
          <w:szCs w:val="22"/>
          <w:rtl w:val="0"/>
        </w:rPr>
        <w:t xml:space="preserve"> teleférico, centros de control y estaciones de transferencia modal; </w:t>
      </w:r>
    </w:p>
    <w:p w:rsidR="00000000" w:rsidDel="00000000" w:rsidP="00000000" w:rsidRDefault="00000000" w:rsidRPr="00000000" w14:paraId="000000B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Vigilar el cumplimiento de las reglas de operación del servicio de transporte masivo o de alta capacidad,</w:t>
      </w:r>
      <w:r w:rsidDel="00000000" w:rsidR="00000000" w:rsidRPr="00000000">
        <w:rPr>
          <w:rFonts w:ascii="Palatino Linotype" w:cs="Palatino Linotype" w:eastAsia="Palatino Linotype" w:hAnsi="Palatino Linotype"/>
          <w:i w:val="1"/>
          <w:sz w:val="22"/>
          <w:szCs w:val="22"/>
          <w:rtl w:val="0"/>
        </w:rPr>
        <w:t xml:space="preserve"> teleférico, centros de control, estaciones de transferencia modal, de origen-destino e intermedias establecidas en los títulos de concesión y reglamentos respectivamente;</w:t>
      </w:r>
    </w:p>
    <w:p w:rsidR="00000000" w:rsidDel="00000000" w:rsidP="00000000" w:rsidRDefault="00000000" w:rsidRPr="00000000" w14:paraId="000000B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Calificar las infracciones de los concesionarios en los rubros de operación del transporte, </w:t>
      </w:r>
      <w:r w:rsidDel="00000000" w:rsidR="00000000" w:rsidRPr="00000000">
        <w:rPr>
          <w:rFonts w:ascii="Palatino Linotype" w:cs="Palatino Linotype" w:eastAsia="Palatino Linotype" w:hAnsi="Palatino Linotype"/>
          <w:b w:val="1"/>
          <w:i w:val="1"/>
          <w:sz w:val="22"/>
          <w:szCs w:val="22"/>
          <w:u w:val="single"/>
          <w:rtl w:val="0"/>
        </w:rPr>
        <w:t xml:space="preserve">material rodante</w:t>
      </w:r>
      <w:r w:rsidDel="00000000" w:rsidR="00000000" w:rsidRPr="00000000">
        <w:rPr>
          <w:rFonts w:ascii="Palatino Linotype" w:cs="Palatino Linotype" w:eastAsia="Palatino Linotype" w:hAnsi="Palatino Linotype"/>
          <w:i w:val="1"/>
          <w:sz w:val="22"/>
          <w:szCs w:val="22"/>
          <w:rtl w:val="0"/>
        </w:rPr>
        <w:t xml:space="preserve"> y mantenimiento de su infraestructura;</w:t>
      </w:r>
    </w:p>
    <w:p w:rsidR="00000000" w:rsidDel="00000000" w:rsidP="00000000" w:rsidRDefault="00000000" w:rsidRPr="00000000" w14:paraId="000000B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Aprobar los programas de mantenimiento y conservación del estado físico, mecánico y operativo de los componentes de los corredores de transporte masivo o de alta capacidad y teleférico; así como verificar su cumplimiento;”</w:t>
      </w:r>
    </w:p>
    <w:p w:rsidR="00000000" w:rsidDel="00000000" w:rsidP="00000000" w:rsidRDefault="00000000" w:rsidRPr="00000000" w14:paraId="000000B9">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no obsta mencionar que de conformidad con el Manual General de Organización del Sistema de Transporte Masivo y Teleférico del Estado de México, la Dirección de Supervisión y Control se integra por las siguientes unidades administrativas:</w:t>
      </w:r>
    </w:p>
    <w:p w:rsidR="00000000" w:rsidDel="00000000" w:rsidP="00000000" w:rsidRDefault="00000000" w:rsidRPr="00000000" w14:paraId="000000BA">
      <w:pPr>
        <w:spacing w:after="240" w:before="240" w:line="360" w:lineRule="auto"/>
        <w:ind w:right="51"/>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2733675" cy="3419475"/>
            <wp:effectExtent b="0" l="0" r="0" t="0"/>
            <wp:docPr id="1718055648"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733675" cy="3419475"/>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Subdirección de Control Operativo tiene por objetivo establecer y ejecutar los controles que garanticen la correcta prestación, supervisión e inspección del servicio de transporte de alta capacidad y teleférico, dando cumplimiento a los estándares de servicio y de seguridad de las y los usuarios, establecidos en las reglas de operación de los corredores y a la normatividad que al efecto emita el Sistema de Transporte Masivo y Teleférico del Estado de México.</w:t>
      </w:r>
    </w:p>
    <w:p w:rsidR="00000000" w:rsidDel="00000000" w:rsidP="00000000" w:rsidRDefault="00000000" w:rsidRPr="00000000" w14:paraId="000000BC">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el objetivo de la </w:t>
      </w:r>
      <w:r w:rsidDel="00000000" w:rsidR="00000000" w:rsidRPr="00000000">
        <w:rPr>
          <w:rFonts w:ascii="Palatino Linotype" w:cs="Palatino Linotype" w:eastAsia="Palatino Linotype" w:hAnsi="Palatino Linotype"/>
          <w:b w:val="1"/>
          <w:u w:val="single"/>
          <w:rtl w:val="0"/>
        </w:rPr>
        <w:t xml:space="preserve">Subdirección de Control de la Infraestructura</w:t>
      </w:r>
      <w:r w:rsidDel="00000000" w:rsidR="00000000" w:rsidRPr="00000000">
        <w:rPr>
          <w:rFonts w:ascii="Palatino Linotype" w:cs="Palatino Linotype" w:eastAsia="Palatino Linotype" w:hAnsi="Palatino Linotype"/>
          <w:rtl w:val="0"/>
        </w:rPr>
        <w:t xml:space="preserve"> consiste en </w:t>
      </w:r>
      <w:r w:rsidDel="00000000" w:rsidR="00000000" w:rsidRPr="00000000">
        <w:rPr>
          <w:rFonts w:ascii="Palatino Linotype" w:cs="Palatino Linotype" w:eastAsia="Palatino Linotype" w:hAnsi="Palatino Linotype"/>
          <w:b w:val="1"/>
          <w:rtl w:val="0"/>
        </w:rPr>
        <w:t xml:space="preserve">establecer y ejecutar los controles que garanticen el correcto funcionamiento y conservación, </w:t>
      </w:r>
      <w:r w:rsidDel="00000000" w:rsidR="00000000" w:rsidRPr="00000000">
        <w:rPr>
          <w:rFonts w:ascii="Palatino Linotype" w:cs="Palatino Linotype" w:eastAsia="Palatino Linotype" w:hAnsi="Palatino Linotype"/>
          <w:b w:val="1"/>
          <w:u w:val="single"/>
          <w:rtl w:val="0"/>
        </w:rPr>
        <w:t xml:space="preserve">del material rodante</w:t>
      </w:r>
      <w:r w:rsidDel="00000000" w:rsidR="00000000" w:rsidRPr="00000000">
        <w:rPr>
          <w:rFonts w:ascii="Palatino Linotype" w:cs="Palatino Linotype" w:eastAsia="Palatino Linotype" w:hAnsi="Palatino Linotype"/>
          <w:rtl w:val="0"/>
        </w:rPr>
        <w:t xml:space="preserve"> y de las instalaciones fijas e infraestructura empleadas en la operación del servicio de transporte de alta capacidad y teleférico, dando cumplimiento a los estándares de servicio y de seguridad de las y los usuarios, establecidos en las reglas de operación de los corredores y a la normatividad que al efecto emita el Sistema de Transporte Masivo y Teleférico del Estado de México, y, entre sus funciones, se encuentran las siguientes:</w:t>
      </w:r>
    </w:p>
    <w:p w:rsidR="00000000" w:rsidDel="00000000" w:rsidP="00000000" w:rsidRDefault="00000000" w:rsidRPr="00000000" w14:paraId="000000BD">
      <w:pPr>
        <w:spacing w:after="240" w:before="24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Someter a la aprobación de la o del Director de Supervisión y Control del Sistema de Transporte Masivo y Teleférico del Estado de México los estudios y proyectos que se elaboren para la </w:t>
      </w:r>
      <w:r w:rsidDel="00000000" w:rsidR="00000000" w:rsidRPr="00000000">
        <w:rPr>
          <w:rFonts w:ascii="Palatino Linotype" w:cs="Palatino Linotype" w:eastAsia="Palatino Linotype" w:hAnsi="Palatino Linotype"/>
          <w:b w:val="1"/>
          <w:rtl w:val="0"/>
        </w:rPr>
        <w:t xml:space="preserve">correcta operatividad y conservación del material rodante</w:t>
      </w:r>
      <w:r w:rsidDel="00000000" w:rsidR="00000000" w:rsidRPr="00000000">
        <w:rPr>
          <w:rFonts w:ascii="Palatino Linotype" w:cs="Palatino Linotype" w:eastAsia="Palatino Linotype" w:hAnsi="Palatino Linotype"/>
          <w:rtl w:val="0"/>
        </w:rPr>
        <w:t xml:space="preserve"> y de las instalaciones e infraestructura de los corredores de transporte público de las y los pasajeros de alta capacidad y teleférico.</w:t>
      </w:r>
    </w:p>
    <w:p w:rsidR="00000000" w:rsidDel="00000000" w:rsidP="00000000" w:rsidRDefault="00000000" w:rsidRPr="00000000" w14:paraId="000000BE">
      <w:pPr>
        <w:spacing w:after="240" w:before="240" w:line="360" w:lineRule="auto"/>
        <w:ind w:left="284" w:right="51"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Verificar</w:t>
      </w:r>
      <w:r w:rsidDel="00000000" w:rsidR="00000000" w:rsidRPr="00000000">
        <w:rPr>
          <w:rFonts w:ascii="Palatino Linotype" w:cs="Palatino Linotype" w:eastAsia="Palatino Linotype" w:hAnsi="Palatino Linotype"/>
          <w:rtl w:val="0"/>
        </w:rPr>
        <w:t xml:space="preserve">, con recursos propios o a través de terceros, </w:t>
      </w:r>
      <w:r w:rsidDel="00000000" w:rsidR="00000000" w:rsidRPr="00000000">
        <w:rPr>
          <w:rFonts w:ascii="Palatino Linotype" w:cs="Palatino Linotype" w:eastAsia="Palatino Linotype" w:hAnsi="Palatino Linotype"/>
          <w:b w:val="1"/>
          <w:u w:val="single"/>
          <w:rtl w:val="0"/>
        </w:rPr>
        <w:t xml:space="preserve">que la flota vehicular de los corredores de transporte de alta capacidad</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y teleférico </w:t>
      </w:r>
      <w:r w:rsidDel="00000000" w:rsidR="00000000" w:rsidRPr="00000000">
        <w:rPr>
          <w:rFonts w:ascii="Palatino Linotype" w:cs="Palatino Linotype" w:eastAsia="Palatino Linotype" w:hAnsi="Palatino Linotype"/>
          <w:b w:val="1"/>
          <w:rtl w:val="0"/>
        </w:rPr>
        <w:t xml:space="preserve">cumplan con la normatividad oficial vigente.</w:t>
      </w:r>
    </w:p>
    <w:p w:rsidR="00000000" w:rsidDel="00000000" w:rsidP="00000000" w:rsidRDefault="00000000" w:rsidRPr="00000000" w14:paraId="000000BF">
      <w:pPr>
        <w:spacing w:after="240" w:before="24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Vigilar el </w:t>
      </w:r>
      <w:r w:rsidDel="00000000" w:rsidR="00000000" w:rsidRPr="00000000">
        <w:rPr>
          <w:rFonts w:ascii="Palatino Linotype" w:cs="Palatino Linotype" w:eastAsia="Palatino Linotype" w:hAnsi="Palatino Linotype"/>
          <w:b w:val="1"/>
          <w:rtl w:val="0"/>
        </w:rPr>
        <w:t xml:space="preserve">cumplimiento de los estándares de mantenimiento y de calidad de los vehículos</w:t>
      </w:r>
      <w:r w:rsidDel="00000000" w:rsidR="00000000" w:rsidRPr="00000000">
        <w:rPr>
          <w:rFonts w:ascii="Palatino Linotype" w:cs="Palatino Linotype" w:eastAsia="Palatino Linotype" w:hAnsi="Palatino Linotype"/>
          <w:rtl w:val="0"/>
        </w:rPr>
        <w:t xml:space="preserve"> establecidos en las reglas de operación.</w:t>
      </w:r>
    </w:p>
    <w:p w:rsidR="00000000" w:rsidDel="00000000" w:rsidP="00000000" w:rsidRDefault="00000000" w:rsidRPr="00000000" w14:paraId="000000C0">
      <w:pPr>
        <w:spacing w:after="240" w:before="240" w:line="360" w:lineRule="auto"/>
        <w:ind w:left="284" w:right="51" w:firstLine="0"/>
        <w:jc w:val="both"/>
        <w:rPr>
          <w:rFonts w:ascii="Palatino Linotype" w:cs="Palatino Linotype" w:eastAsia="Palatino Linotype" w:hAnsi="Palatino Linotype"/>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Palatino Linotype" w:cs="Palatino Linotype" w:eastAsia="Palatino Linotype" w:hAnsi="Palatino Linotype"/>
          <w:rtl w:val="0"/>
        </w:rPr>
        <w:t xml:space="preserve">Supervisar el seguimiento al Programa Anual de Verificación de Emisiones Contaminantes. </w:t>
      </w:r>
    </w:p>
    <w:p w:rsidR="00000000" w:rsidDel="00000000" w:rsidP="00000000" w:rsidRDefault="00000000" w:rsidRPr="00000000" w14:paraId="000000C1">
      <w:pPr>
        <w:spacing w:after="240" w:before="240" w:line="360" w:lineRule="auto"/>
        <w:ind w:left="284" w:right="51" w:firstLine="0"/>
        <w:jc w:val="both"/>
        <w:rPr>
          <w:rFonts w:ascii="Palatino Linotype" w:cs="Palatino Linotype" w:eastAsia="Palatino Linotype" w:hAnsi="Palatino Linotype"/>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Palatino Linotype" w:cs="Palatino Linotype" w:eastAsia="Palatino Linotype" w:hAnsi="Palatino Linotype"/>
          <w:rtl w:val="0"/>
        </w:rPr>
        <w:t xml:space="preserve">Supervisar el cumplimiento del Programa de Residuos Peligrosos elaborado por las empresas concesionarias.</w:t>
      </w:r>
    </w:p>
    <w:p w:rsidR="00000000" w:rsidDel="00000000" w:rsidP="00000000" w:rsidRDefault="00000000" w:rsidRPr="00000000" w14:paraId="000000C2">
      <w:pPr>
        <w:spacing w:after="240" w:before="240" w:line="360" w:lineRule="auto"/>
        <w:ind w:left="284" w:right="51" w:firstLine="0"/>
        <w:jc w:val="both"/>
        <w:rPr>
          <w:rFonts w:ascii="Palatino Linotype" w:cs="Palatino Linotype" w:eastAsia="Palatino Linotype" w:hAnsi="Palatino Linotype"/>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Palatino Linotype" w:cs="Palatino Linotype" w:eastAsia="Palatino Linotype" w:hAnsi="Palatino Linotype"/>
          <w:rtl w:val="0"/>
        </w:rPr>
        <w:t xml:space="preserve">Verificar, con recursos propios o a través de terceros, los vehículos e impedir la operación de aquellos que no cumplan con las normas y lineamientos.</w:t>
      </w:r>
    </w:p>
    <w:p w:rsidR="00000000" w:rsidDel="00000000" w:rsidP="00000000" w:rsidRDefault="00000000" w:rsidRPr="00000000" w14:paraId="000000C3">
      <w:pPr>
        <w:spacing w:after="240" w:before="24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Estructurar el compendio de normas técnicas para el material rodante que se incorporen a los corredores de transporte de alta capacidad y teleférico.</w:t>
      </w:r>
    </w:p>
    <w:p w:rsidR="00000000" w:rsidDel="00000000" w:rsidP="00000000" w:rsidRDefault="00000000" w:rsidRPr="00000000" w14:paraId="000000C4">
      <w:pPr>
        <w:spacing w:after="240" w:before="24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Verificar y reportar el desempeño de las y los concesionarios en las condiciones operativas y de mantenimiento del material rodante y de la infraestructura.</w:t>
      </w:r>
    </w:p>
    <w:p w:rsidR="00000000" w:rsidDel="00000000" w:rsidP="00000000" w:rsidRDefault="00000000" w:rsidRPr="00000000" w14:paraId="000000C5">
      <w:pPr>
        <w:spacing w:after="240" w:before="240" w:line="360" w:lineRule="auto"/>
        <w:ind w:left="284" w:right="51" w:firstLine="0"/>
        <w:jc w:val="both"/>
        <w:rPr>
          <w:rFonts w:ascii="Palatino Linotype" w:cs="Palatino Linotype" w:eastAsia="Palatino Linotype" w:hAnsi="Palatino Linotype"/>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Palatino Linotype" w:cs="Palatino Linotype" w:eastAsia="Palatino Linotype" w:hAnsi="Palatino Linotype"/>
          <w:b w:val="1"/>
          <w:rtl w:val="0"/>
        </w:rPr>
        <w:t xml:space="preserve">Asegurar la satisfacción de las y los pasajeros a través de la evaluación y solución de problemas relacionados con la calidad del material rodante</w:t>
      </w:r>
      <w:r w:rsidDel="00000000" w:rsidR="00000000" w:rsidRPr="00000000">
        <w:rPr>
          <w:rFonts w:ascii="Palatino Linotype" w:cs="Palatino Linotype" w:eastAsia="Palatino Linotype" w:hAnsi="Palatino Linotype"/>
          <w:rtl w:val="0"/>
        </w:rPr>
        <w:t xml:space="preserve"> y las instalaciones de los corredores.</w:t>
      </w:r>
    </w:p>
    <w:p w:rsidR="00000000" w:rsidDel="00000000" w:rsidP="00000000" w:rsidRDefault="00000000" w:rsidRPr="00000000" w14:paraId="000000C6">
      <w:pPr>
        <w:spacing w:after="240" w:before="24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Elaborar y enviar al Comité de Operación los reportes de resultados de inspecciones del parque vehicular</w:t>
      </w:r>
      <w:r w:rsidDel="00000000" w:rsidR="00000000" w:rsidRPr="00000000">
        <w:rPr>
          <w:rFonts w:ascii="Palatino Linotype" w:cs="Palatino Linotype" w:eastAsia="Palatino Linotype" w:hAnsi="Palatino Linotype"/>
          <w:rtl w:val="0"/>
        </w:rPr>
        <w:t xml:space="preserve"> y de la infraestructura, así como a las áreas e instancias que le instruya la o el Director de Supervisión y Control del Sistema de Transporte Masivo y Teleférico del Estado de México.</w:t>
      </w:r>
    </w:p>
    <w:p w:rsidR="00000000" w:rsidDel="00000000" w:rsidP="00000000" w:rsidRDefault="00000000" w:rsidRPr="00000000" w14:paraId="000000C7">
      <w:pPr>
        <w:spacing w:after="240" w:before="240" w:line="360" w:lineRule="auto"/>
        <w:ind w:left="284" w:right="51"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u w:val="single"/>
          <w:rtl w:val="0"/>
        </w:rPr>
        <w:t xml:space="preserve">Elaborar reporte de la situación del material rodante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 infraestructura </w:t>
      </w:r>
      <w:r w:rsidDel="00000000" w:rsidR="00000000" w:rsidRPr="00000000">
        <w:rPr>
          <w:rFonts w:ascii="Palatino Linotype" w:cs="Palatino Linotype" w:eastAsia="Palatino Linotype" w:hAnsi="Palatino Linotype"/>
          <w:b w:val="1"/>
          <w:rtl w:val="0"/>
        </w:rPr>
        <w:t xml:space="preserve">en cuanto a su apariencia y funcionamiento.</w:t>
      </w:r>
    </w:p>
    <w:p w:rsidR="00000000" w:rsidDel="00000000" w:rsidP="00000000" w:rsidRDefault="00000000" w:rsidRPr="00000000" w14:paraId="000000C8">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señalar que las unidades BRT, forman parte del material rodante.</w:t>
      </w:r>
    </w:p>
    <w:p w:rsidR="00000000" w:rsidDel="00000000" w:rsidP="00000000" w:rsidRDefault="00000000" w:rsidRPr="00000000" w14:paraId="000000C9">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efecto de sustentar dicha afirmación, sirve de ejemplo el Pbr-11a Informe de metas por proyecto y unidad ejecutora, del primer trimestre de 2021, donde se advierten como metas del Sistema de Transporte Masivo y Teleférico del Estado de México, la de realzar la supervisión del mantenimiento al material rodante (Unidades BRT) del Mexibús, de las líneas I, II, III y IV:</w:t>
      </w:r>
    </w:p>
    <w:p w:rsidR="00000000" w:rsidDel="00000000" w:rsidP="00000000" w:rsidRDefault="00000000" w:rsidRPr="00000000" w14:paraId="000000CA">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2532380"/>
            <wp:effectExtent b="0" l="0" r="0" t="0"/>
            <wp:docPr id="1718055647"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612130" cy="25323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1638300</wp:posOffset>
                </wp:positionH>
                <wp:positionV relativeFrom="paragraph">
                  <wp:posOffset>2070100</wp:posOffset>
                </wp:positionV>
                <wp:extent cx="141037" cy="304132"/>
                <wp:effectExtent b="0" l="0" r="0" t="0"/>
                <wp:wrapNone/>
                <wp:docPr id="1718055641" name=""/>
                <a:graphic>
                  <a:graphicData uri="http://schemas.microsoft.com/office/word/2010/wordprocessingShape">
                    <wps:wsp>
                      <wps:cNvSpPr/>
                      <wps:cNvPr id="3" name="Shape 3"/>
                      <wps:spPr>
                        <a:xfrm>
                          <a:off x="5300882" y="3653334"/>
                          <a:ext cx="90237" cy="253332"/>
                        </a:xfrm>
                        <a:prstGeom prst="rightBrace">
                          <a:avLst>
                            <a:gd fmla="val 8333" name="adj1"/>
                            <a:gd fmla="val 50000" name="adj2"/>
                          </a:avLst>
                        </a:prstGeom>
                        <a:noFill/>
                        <a:ln cap="flat" cmpd="sng" w="254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2070100</wp:posOffset>
                </wp:positionV>
                <wp:extent cx="141037" cy="304132"/>
                <wp:effectExtent b="0" l="0" r="0" t="0"/>
                <wp:wrapNone/>
                <wp:docPr id="1718055641"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141037" cy="30413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1638300</wp:posOffset>
                </wp:positionH>
                <wp:positionV relativeFrom="paragraph">
                  <wp:posOffset>1739900</wp:posOffset>
                </wp:positionV>
                <wp:extent cx="158583" cy="269306"/>
                <wp:effectExtent b="0" l="0" r="0" t="0"/>
                <wp:wrapNone/>
                <wp:docPr id="1718055640" name=""/>
                <a:graphic>
                  <a:graphicData uri="http://schemas.microsoft.com/office/word/2010/wordprocessingShape">
                    <wps:wsp>
                      <wps:cNvSpPr/>
                      <wps:cNvPr id="2" name="Shape 2"/>
                      <wps:spPr>
                        <a:xfrm>
                          <a:off x="5292109" y="3670747"/>
                          <a:ext cx="107783" cy="218506"/>
                        </a:xfrm>
                        <a:prstGeom prst="rightBrace">
                          <a:avLst>
                            <a:gd fmla="val 8333" name="adj1"/>
                            <a:gd fmla="val 50000" name="adj2"/>
                          </a:avLst>
                        </a:prstGeom>
                        <a:noFill/>
                        <a:ln cap="flat" cmpd="sng" w="254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1739900</wp:posOffset>
                </wp:positionV>
                <wp:extent cx="158583" cy="269306"/>
                <wp:effectExtent b="0" l="0" r="0" t="0"/>
                <wp:wrapNone/>
                <wp:docPr id="1718055640"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158583" cy="269306"/>
                        </a:xfrm>
                        <a:prstGeom prst="rect"/>
                        <a:ln/>
                      </pic:spPr>
                    </pic:pic>
                  </a:graphicData>
                </a:graphic>
              </wp:anchor>
            </w:drawing>
          </mc:Fallback>
        </mc:AlternateContent>
      </w:r>
    </w:p>
    <w:p w:rsidR="00000000" w:rsidDel="00000000" w:rsidP="00000000" w:rsidRDefault="00000000" w:rsidRPr="00000000" w14:paraId="000000CB">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anterior, se colige que la solicitud fue turnada al área que de acuerdo con sus facultades pudiera conocer de la información que es del interés de la persona solicitante, al ser competente para autorizar, verificar y evaluar el cumplimiento de los programas de mantenimiento y conservación del estado físico, mecánico y operativo de los componentes de los corredores de transporte de alta capacidad como lo es el material rodante, que incluye a las Unidades BRT.</w:t>
      </w:r>
    </w:p>
    <w:p w:rsidR="00000000" w:rsidDel="00000000" w:rsidP="00000000" w:rsidRDefault="00000000" w:rsidRPr="00000000" w14:paraId="000000CC">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no obsta mencionar que, de la consulta realizada por este Organismo Garante en la página de internet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localizó el apartado “Flota”, cuyo contenido es el siguiente: </w:t>
      </w:r>
    </w:p>
    <w:p w:rsidR="00000000" w:rsidDel="00000000" w:rsidP="00000000" w:rsidRDefault="00000000" w:rsidRPr="00000000" w14:paraId="000000CD">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4459605"/>
            <wp:effectExtent b="0" l="0" r="0" t="0"/>
            <wp:docPr id="1718055650"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612130" cy="4459605"/>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se localizó, en el apartado “Mexibús”, información de las Líneas de dicho sistema de transporte; a manera de ejemplo se inserta lo relativo a la Línea 1:</w:t>
      </w:r>
    </w:p>
    <w:p w:rsidR="00000000" w:rsidDel="00000000" w:rsidP="00000000" w:rsidRDefault="00000000" w:rsidRPr="00000000" w14:paraId="000000CF">
      <w:pPr>
        <w:spacing w:after="240" w:before="24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0">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4133215"/>
            <wp:effectExtent b="0" l="0" r="0" t="0"/>
            <wp:docPr id="1718055649"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612130" cy="4133215"/>
                    </a:xfrm>
                    <a:prstGeom prst="rect"/>
                    <a:ln/>
                  </pic:spPr>
                </pic:pic>
              </a:graphicData>
            </a:graphic>
          </wp:inline>
        </w:drawing>
      </w:r>
      <w:r w:rsidDel="00000000" w:rsidR="00000000" w:rsidRPr="00000000">
        <w:rPr>
          <w:rFonts w:ascii="Palatino Linotype" w:cs="Palatino Linotype" w:eastAsia="Palatino Linotype" w:hAnsi="Palatino Linotyp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3238500</wp:posOffset>
                </wp:positionV>
                <wp:extent cx="2477022" cy="430643"/>
                <wp:effectExtent b="0" l="0" r="0" t="0"/>
                <wp:wrapNone/>
                <wp:docPr id="1718055642" name=""/>
                <a:graphic>
                  <a:graphicData uri="http://schemas.microsoft.com/office/word/2010/wordprocessingShape">
                    <wps:wsp>
                      <wps:cNvSpPr/>
                      <wps:cNvPr id="4" name="Shape 4"/>
                      <wps:spPr>
                        <a:xfrm>
                          <a:off x="4145589" y="3602779"/>
                          <a:ext cx="2400822" cy="354443"/>
                        </a:xfrm>
                        <a:prstGeom prst="rect">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3238500</wp:posOffset>
                </wp:positionV>
                <wp:extent cx="2477022" cy="430643"/>
                <wp:effectExtent b="0" l="0" r="0" t="0"/>
                <wp:wrapNone/>
                <wp:docPr id="1718055642"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2477022" cy="430643"/>
                        </a:xfrm>
                        <a:prstGeom prst="rect"/>
                        <a:ln/>
                      </pic:spPr>
                    </pic:pic>
                  </a:graphicData>
                </a:graphic>
              </wp:anchor>
            </w:drawing>
          </mc:Fallback>
        </mc:AlternateContent>
      </w:r>
    </w:p>
    <w:p w:rsidR="00000000" w:rsidDel="00000000" w:rsidP="00000000" w:rsidRDefault="00000000" w:rsidRPr="00000000" w14:paraId="000000D1">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imágenes anteriores, se desprende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ejercicio de sus atribuciones conoce información de las Unidades BRT que integran el sistema de transporte Mexibús, de manera enunciativa, más no limitativa, el número económico de cada unidad, la marca, la tecnología o certificación ambiental, entre otros datos.  </w:t>
      </w:r>
    </w:p>
    <w:p w:rsidR="00000000" w:rsidDel="00000000" w:rsidP="00000000" w:rsidRDefault="00000000" w:rsidRPr="00000000" w14:paraId="000000D2">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recordemos que el servidor púbico habilitado competente, manifestó haber realizado la búsqueda de la información que es del interés de la persona solicitante, asimismo, refirió hacer entrega de la misma como obra en sus archivos, a través de un documento adjunto, sin embargo, dicho archivo no se localiza en el expediente electrónico.</w:t>
      </w:r>
    </w:p>
    <w:p w:rsidR="00000000" w:rsidDel="00000000" w:rsidP="00000000" w:rsidRDefault="00000000" w:rsidRPr="00000000" w14:paraId="000000D3">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tales consideraciones, toda vez que el servidor público habilitado reconoció de manera expresa contar con información relacionada con la solicitud, lo procedente es ordenar la entrega del soporte documental correspondiente, en versión pública de ser necesario conforme al considerando siguiente, actualizado al siete de junio de dos mil veintitrés.</w:t>
      </w:r>
    </w:p>
    <w:p w:rsidR="00000000" w:rsidDel="00000000" w:rsidP="00000000" w:rsidRDefault="00000000" w:rsidRPr="00000000" w14:paraId="000000D4">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efectos de lo anterior, toda vez que la persona solicitante requirió específicamente bases de datos, en archivo editable Excel, es necesario hacer las siguientes precisiones:</w:t>
      </w:r>
    </w:p>
    <w:p w:rsidR="00000000" w:rsidDel="00000000" w:rsidP="00000000" w:rsidRDefault="00000000" w:rsidRPr="00000000" w14:paraId="000000D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bien, de conformidad con el artículo 24, fracción XXI de la Ley de Transparencia y Acceso a la Información Pública del Estado de México y Municipios, los Sujetos Obligados deben procurar, </w:t>
      </w:r>
      <w:r w:rsidDel="00000000" w:rsidR="00000000" w:rsidRPr="00000000">
        <w:rPr>
          <w:rFonts w:ascii="Palatino Linotype" w:cs="Palatino Linotype" w:eastAsia="Palatino Linotype" w:hAnsi="Palatino Linotype"/>
          <w:b w:val="1"/>
          <w:u w:val="single"/>
          <w:rtl w:val="0"/>
        </w:rPr>
        <w:t xml:space="preserve">en la medida de lo posible</w:t>
      </w:r>
      <w:r w:rsidDel="00000000" w:rsidR="00000000" w:rsidRPr="00000000">
        <w:rPr>
          <w:rFonts w:ascii="Palatino Linotype" w:cs="Palatino Linotype" w:eastAsia="Palatino Linotype" w:hAnsi="Palatino Linotype"/>
          <w:rtl w:val="0"/>
        </w:rPr>
        <w:t xml:space="preserve">, generar estadísticas de su información, en formato de datos abiertos, a saber:</w:t>
      </w:r>
    </w:p>
    <w:p w:rsidR="00000000" w:rsidDel="00000000" w:rsidP="00000000" w:rsidRDefault="00000000" w:rsidRPr="00000000" w14:paraId="000000D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24</w:t>
      </w:r>
      <w:r w:rsidDel="00000000" w:rsidR="00000000" w:rsidRPr="00000000">
        <w:rPr>
          <w:rFonts w:ascii="Palatino Linotype" w:cs="Palatino Linotype" w:eastAsia="Palatino Linotype" w:hAnsi="Palatino Linotype"/>
          <w:i w:val="1"/>
          <w:sz w:val="22"/>
          <w:szCs w:val="22"/>
          <w:rtl w:val="0"/>
        </w:rPr>
        <w:t xml:space="preserve">. Para el cumplimiento de los objetivos de esta Ley, los sujetos obligados deberán cumplir con las siguientes obligaciones, según corresponda, de acuerdo a su naturaleza:</w:t>
      </w:r>
    </w:p>
    <w:p w:rsidR="00000000" w:rsidDel="00000000" w:rsidP="00000000" w:rsidRDefault="00000000" w:rsidRPr="00000000" w14:paraId="000000D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w:t>
      </w:r>
      <w:r w:rsidDel="00000000" w:rsidR="00000000" w:rsidRPr="00000000">
        <w:rPr>
          <w:rFonts w:ascii="Palatino Linotype" w:cs="Palatino Linotype" w:eastAsia="Palatino Linotype" w:hAnsi="Palatino Linotype"/>
          <w:i w:val="1"/>
          <w:sz w:val="22"/>
          <w:szCs w:val="22"/>
          <w:rtl w:val="0"/>
        </w:rPr>
        <w:t xml:space="preserve">. Procurar la generación de estadística de su información en formato de datos abiertos en la medida de lo posible;</w:t>
      </w:r>
    </w:p>
    <w:p w:rsidR="00000000" w:rsidDel="00000000" w:rsidP="00000000" w:rsidRDefault="00000000" w:rsidRPr="00000000" w14:paraId="000000D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imprescindible mencionar que, del análisis efectuado en el marco normativo aplicable, no se localizó fuente obligacional que constriña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generar registro de la composición de la flota de Unidades BRT, con los datos específicos solicitados, asimismo, que la obligación de transparencia implica únicamente que los Sujetos Obligados hagan entrega de aquella información que generen y que obre en sus archivos, en el estado en el que esta se encuentre, sin que les constriña a generar información, practicar investigaciones, realizar cálculos o hacer resúmenes conforme al interés de las personas solicitantes, razón por la cual la entrega de información que se ordena deberá realizarse al mayor grado de desagregación posible, sin que ello implique que se deba realizar un documento </w:t>
      </w:r>
      <w:r w:rsidDel="00000000" w:rsidR="00000000" w:rsidRPr="00000000">
        <w:rPr>
          <w:rFonts w:ascii="Palatino Linotype" w:cs="Palatino Linotype" w:eastAsia="Palatino Linotype" w:hAnsi="Palatino Linotype"/>
          <w:i w:val="1"/>
          <w:rtl w:val="0"/>
        </w:rPr>
        <w:t xml:space="preserve">ad hoc</w:t>
      </w:r>
      <w:r w:rsidDel="00000000" w:rsidR="00000000" w:rsidRPr="00000000">
        <w:rPr>
          <w:rFonts w:ascii="Palatino Linotype" w:cs="Palatino Linotype" w:eastAsia="Palatino Linotype" w:hAnsi="Palatino Linotype"/>
          <w:rtl w:val="0"/>
        </w:rPr>
        <w:t xml:space="preserve">, de conformidad con el los artículos 12, último párrafo, 24, último párrafo de la Ley de la Materia, y el Criterio de interpretación con clave de control SO/003/2017,  emitido por el Instituto Nacional de Transparencia, Acceso a la Información y Protección de Datos Personales, citados con antelación.</w:t>
      </w:r>
    </w:p>
    <w:p w:rsidR="00000000" w:rsidDel="00000000" w:rsidP="00000000" w:rsidRDefault="00000000" w:rsidRPr="00000000" w14:paraId="000000D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cabe señalar que si bien, de conformidad con el Criterio de Interpretación con clave de control SO/003/2013, emitido por el entonces Instituto Federal de Acceso a la Información Pública, IFAI, citado por la propia persona solicitante, que es del tenor literal siguiente:</w:t>
      </w:r>
    </w:p>
    <w:p w:rsidR="00000000" w:rsidDel="00000000" w:rsidP="00000000" w:rsidRDefault="00000000" w:rsidRPr="00000000" w14:paraId="000000D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Bases de datos. Deberá otorgarse acceso a las mismas, en el formato en el que obren en los archivos de los sujetos obligados, a fin de garantizar la libre explotación, manipulación y reutilización de la información que contienen. </w:t>
      </w:r>
      <w:r w:rsidDel="00000000" w:rsidR="00000000" w:rsidRPr="00000000">
        <w:rPr>
          <w:rFonts w:ascii="Palatino Linotype" w:cs="Palatino Linotype" w:eastAsia="Palatino Linotype" w:hAnsi="Palatino Linotype"/>
          <w:i w:val="1"/>
          <w:sz w:val="22"/>
          <w:szCs w:val="22"/>
          <w:rtl w:val="0"/>
        </w:rPr>
        <w:t xml:space="preserve">Uno de los objetivos de la Ley Federal de Transparencia y Acceso a la Información Pública Gubernamental, previsto en el artículo 4, fracción I, es garantizar el acceso a la información en posesión de los sujetos obligados. En este sentido, al amparo de la Ley es posible solicitar acceso a la información contenida en documentos, en el sentido más amplio del término, en el formato en el que se encuentren en los archivos de las dependencias y entidades, el cual puede ser escrito, impreso, sonoro, visual, electrónico, informático u holográfico, de conformidad con lo dispuesto en las fracciones III y V del artículo 3 de la Ley. En este contexto y de conformidad con lo dispuesto en el artículo 42 de dicho ordenamiento legal que establece que </w:t>
      </w:r>
      <w:r w:rsidDel="00000000" w:rsidR="00000000" w:rsidRPr="00000000">
        <w:rPr>
          <w:rFonts w:ascii="Palatino Linotype" w:cs="Palatino Linotype" w:eastAsia="Palatino Linotype" w:hAnsi="Palatino Linotype"/>
          <w:b w:val="1"/>
          <w:i w:val="1"/>
          <w:sz w:val="22"/>
          <w:szCs w:val="22"/>
          <w:rtl w:val="0"/>
        </w:rPr>
        <w:t xml:space="preserve">las dependencias y entidades están obligadas a proporcionar la información </w:t>
      </w:r>
      <w:r w:rsidDel="00000000" w:rsidR="00000000" w:rsidRPr="00000000">
        <w:rPr>
          <w:rFonts w:ascii="Palatino Linotype" w:cs="Palatino Linotype" w:eastAsia="Palatino Linotype" w:hAnsi="Palatino Linotype"/>
          <w:b w:val="1"/>
          <w:i w:val="1"/>
          <w:sz w:val="22"/>
          <w:szCs w:val="22"/>
          <w:u w:val="single"/>
          <w:rtl w:val="0"/>
        </w:rPr>
        <w:t xml:space="preserve">que se encuentra en sus archivos</w:t>
      </w:r>
      <w:r w:rsidDel="00000000" w:rsidR="00000000" w:rsidRPr="00000000">
        <w:rPr>
          <w:rFonts w:ascii="Palatino Linotype" w:cs="Palatino Linotype" w:eastAsia="Palatino Linotype" w:hAnsi="Palatino Linotype"/>
          <w:b w:val="1"/>
          <w:i w:val="1"/>
          <w:sz w:val="22"/>
          <w:szCs w:val="22"/>
          <w:rtl w:val="0"/>
        </w:rPr>
        <w:t xml:space="preserve">, en la forma en que lo permita el documento de que se trate, ante solicitudes de acceso en las que se requieran bases de datos, o información pública contenida en éstas, deberá otorgarse acceso a las mismas, por tratarse de documentos en archivo electrónico a partir de los cuales se recoge, genera, transforma o conserva información de los sujetos obligados</w:t>
      </w:r>
      <w:r w:rsidDel="00000000" w:rsidR="00000000" w:rsidRPr="00000000">
        <w:rPr>
          <w:rFonts w:ascii="Palatino Linotype" w:cs="Palatino Linotype" w:eastAsia="Palatino Linotype" w:hAnsi="Palatino Linotype"/>
          <w:i w:val="1"/>
          <w:sz w:val="22"/>
          <w:szCs w:val="22"/>
          <w:rtl w:val="0"/>
        </w:rPr>
        <w:t xml:space="preserve">. La entrega de dicha información no constituye la elaboración de un documento ad hoc, ni resulta una carga para las autoridades, pues </w:t>
      </w:r>
      <w:r w:rsidDel="00000000" w:rsidR="00000000" w:rsidRPr="00000000">
        <w:rPr>
          <w:rFonts w:ascii="Palatino Linotype" w:cs="Palatino Linotype" w:eastAsia="Palatino Linotype" w:hAnsi="Palatino Linotype"/>
          <w:b w:val="1"/>
          <w:i w:val="1"/>
          <w:sz w:val="22"/>
          <w:szCs w:val="22"/>
          <w:rtl w:val="0"/>
        </w:rPr>
        <w:t xml:space="preserve">consiste, simplemente, en poner a disposición de los particulares las bases de datos, o el repositorio de las mismas, </w:t>
      </w:r>
      <w:r w:rsidDel="00000000" w:rsidR="00000000" w:rsidRPr="00000000">
        <w:rPr>
          <w:rFonts w:ascii="Palatino Linotype" w:cs="Palatino Linotype" w:eastAsia="Palatino Linotype" w:hAnsi="Palatino Linotype"/>
          <w:b w:val="1"/>
          <w:i w:val="1"/>
          <w:sz w:val="22"/>
          <w:szCs w:val="22"/>
          <w:u w:val="single"/>
          <w:rtl w:val="0"/>
        </w:rPr>
        <w:t xml:space="preserve">en el formato en el que obran en sus archivos</w:t>
      </w:r>
      <w:r w:rsidDel="00000000" w:rsidR="00000000" w:rsidRPr="00000000">
        <w:rPr>
          <w:rFonts w:ascii="Palatino Linotype" w:cs="Palatino Linotype" w:eastAsia="Palatino Linotype" w:hAnsi="Palatino Linotype"/>
          <w:i w:val="1"/>
          <w:sz w:val="22"/>
          <w:szCs w:val="22"/>
          <w:u w:val="single"/>
          <w:rtl w:val="0"/>
        </w:rPr>
        <w:t xml:space="preserve">,</w:t>
      </w:r>
      <w:r w:rsidDel="00000000" w:rsidR="00000000" w:rsidRPr="00000000">
        <w:rPr>
          <w:rFonts w:ascii="Palatino Linotype" w:cs="Palatino Linotype" w:eastAsia="Palatino Linotype" w:hAnsi="Palatino Linotype"/>
          <w:i w:val="1"/>
          <w:sz w:val="22"/>
          <w:szCs w:val="22"/>
          <w:rtl w:val="0"/>
        </w:rPr>
        <w:t xml:space="preserve"> garantizando a los solicitantes la libre explotación, manipulación y reutilización de la información gubernamental.”</w:t>
      </w:r>
    </w:p>
    <w:p w:rsidR="00000000" w:rsidDel="00000000" w:rsidP="00000000" w:rsidRDefault="00000000" w:rsidRPr="00000000" w14:paraId="000000DC">
      <w:pP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Los entes públicos deben hacer entrega de las bases de datos que se soliciten en ejercicio del Derecho de acceso a la información, por tratarse de documentos en archivo electrónico a partir de los cuales se recoge, genera, transforma o conserva información de los Sujetos Obligados, sin embargo, no debe perderse de vista que dicho Criterio establece también que las bases de datos deben ponerse a disposición </w:t>
      </w:r>
      <w:r w:rsidDel="00000000" w:rsidR="00000000" w:rsidRPr="00000000">
        <w:rPr>
          <w:rFonts w:ascii="Palatino Linotype" w:cs="Palatino Linotype" w:eastAsia="Palatino Linotype" w:hAnsi="Palatino Linotype"/>
          <w:b w:val="1"/>
          <w:rtl w:val="0"/>
        </w:rPr>
        <w:t xml:space="preserve">en el formato en el que </w:t>
      </w:r>
      <w:r w:rsidDel="00000000" w:rsidR="00000000" w:rsidRPr="00000000">
        <w:rPr>
          <w:rFonts w:ascii="Palatino Linotype" w:cs="Palatino Linotype" w:eastAsia="Palatino Linotype" w:hAnsi="Palatino Linotype"/>
          <w:b w:val="1"/>
          <w:u w:val="single"/>
          <w:rtl w:val="0"/>
        </w:rPr>
        <w:t xml:space="preserve">obren en los archivos de los Sujetos Obligados</w:t>
      </w:r>
      <w:r w:rsidDel="00000000" w:rsidR="00000000" w:rsidRPr="00000000">
        <w:rPr>
          <w:rFonts w:ascii="Palatino Linotype" w:cs="Palatino Linotype" w:eastAsia="Palatino Linotype" w:hAnsi="Palatino Linotype"/>
          <w:rtl w:val="0"/>
        </w:rPr>
        <w:t xml:space="preserve">, esto es, se entregarán como se hubieran generado siempre y cuando obren en sus archivos, lo que se traduce en que las bases de datos son información a la cual se puede acceder si previamente a la solicitud de las mismas, los Sujetos Obligados las hubieran generado, pues de lo contrario, se estaría obligando a un ente público a procesar información para elaborar un documento que satisfaga la pretensión de las personas solicitantes conforme a su interés,  es decir, un documento </w:t>
      </w:r>
      <w:r w:rsidDel="00000000" w:rsidR="00000000" w:rsidRPr="00000000">
        <w:rPr>
          <w:rFonts w:ascii="Palatino Linotype" w:cs="Palatino Linotype" w:eastAsia="Palatino Linotype" w:hAnsi="Palatino Linotype"/>
          <w:i w:val="1"/>
          <w:rtl w:val="0"/>
        </w:rPr>
        <w:t xml:space="preserve">ad hoc.</w:t>
      </w:r>
    </w:p>
    <w:p w:rsidR="00000000" w:rsidDel="00000000" w:rsidP="00000000" w:rsidRDefault="00000000" w:rsidRPr="00000000" w14:paraId="000000D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orden de ideas, respecto al formato en el que se solicita la información, es decir, en archivo editable de Excel, es de destacar que, en términos del artículo 3 fracción XVI de la Ley de Acceso a la Información Pública del Estado de México y Municipios, los datos abiertos son entendidos como </w:t>
      </w:r>
      <w:r w:rsidDel="00000000" w:rsidR="00000000" w:rsidRPr="00000000">
        <w:rPr>
          <w:rFonts w:ascii="Palatino Linotype" w:cs="Palatino Linotype" w:eastAsia="Palatino Linotype" w:hAnsi="Palatino Linotype"/>
          <w:i w:val="1"/>
          <w:rtl w:val="0"/>
        </w:rPr>
        <w:t xml:space="preserve">el conjunto de características técnicas y de presentación de la información que corresponden a la estructura lógica usada para almacenar datos de forma integral y </w:t>
      </w:r>
      <w:r w:rsidDel="00000000" w:rsidR="00000000" w:rsidRPr="00000000">
        <w:rPr>
          <w:rFonts w:ascii="Palatino Linotype" w:cs="Palatino Linotype" w:eastAsia="Palatino Linotype" w:hAnsi="Palatino Linotype"/>
          <w:b w:val="1"/>
          <w:i w:val="1"/>
          <w:rtl w:val="0"/>
        </w:rPr>
        <w:t xml:space="preserve">facilitan su procesamiento digital</w:t>
      </w:r>
      <w:r w:rsidDel="00000000" w:rsidR="00000000" w:rsidRPr="00000000">
        <w:rPr>
          <w:rFonts w:ascii="Palatino Linotype" w:cs="Palatino Linotype" w:eastAsia="Palatino Linotype" w:hAnsi="Palatino Linotype"/>
          <w:i w:val="1"/>
          <w:rtl w:val="0"/>
        </w:rPr>
        <w:t xml:space="preserve">, cuyas especificaciones están disponibles públicamente y que </w:t>
      </w:r>
      <w:r w:rsidDel="00000000" w:rsidR="00000000" w:rsidRPr="00000000">
        <w:rPr>
          <w:rFonts w:ascii="Palatino Linotype" w:cs="Palatino Linotype" w:eastAsia="Palatino Linotype" w:hAnsi="Palatino Linotype"/>
          <w:b w:val="1"/>
          <w:i w:val="1"/>
          <w:rtl w:val="0"/>
        </w:rPr>
        <w:t xml:space="preserve">permiten el acceso sin restricción de uso</w:t>
      </w:r>
      <w:r w:rsidDel="00000000" w:rsidR="00000000" w:rsidRPr="00000000">
        <w:rPr>
          <w:rFonts w:ascii="Palatino Linotype" w:cs="Palatino Linotype" w:eastAsia="Palatino Linotype" w:hAnsi="Palatino Linotype"/>
          <w:i w:val="1"/>
          <w:rtl w:val="0"/>
        </w:rPr>
        <w:t xml:space="preserve"> por parte de los usuarios</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DE">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el Diccionario de Transparencia y Acceso a la Información Pública del Instituto Nacional de Transparencia, Acceso a la Información y protección de Datos Personales, INAI, define el “formato abierto” como se lee a continuación:</w:t>
      </w:r>
    </w:p>
    <w:p w:rsidR="00000000" w:rsidDel="00000000" w:rsidP="00000000" w:rsidRDefault="00000000" w:rsidRPr="00000000" w14:paraId="000000DF">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“Formato abierto</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E0">
      <w:pPr>
        <w:spacing w:after="120" w:before="120" w:lineRule="auto"/>
        <w:ind w:left="851" w:right="900" w:firstLine="0"/>
        <w:jc w:val="both"/>
        <w:rPr>
          <w:rFonts w:ascii="Palatino Linotype" w:cs="Palatino Linotype" w:eastAsia="Palatino Linotype" w:hAnsi="Palatino Linotype"/>
          <w:i w:val="1"/>
          <w:sz w:val="22"/>
          <w:szCs w:val="22"/>
        </w:rPr>
      </w:pPr>
      <w:bookmarkStart w:colFirst="0" w:colLast="0" w:name="_heading=h.1ksv4uv" w:id="8"/>
      <w:bookmarkEnd w:id="8"/>
      <w:r w:rsidDel="00000000" w:rsidR="00000000" w:rsidRPr="00000000">
        <w:rPr>
          <w:rFonts w:ascii="Palatino Linotype" w:cs="Palatino Linotype" w:eastAsia="Palatino Linotype" w:hAnsi="Palatino Linotype"/>
          <w:i w:val="1"/>
          <w:sz w:val="22"/>
          <w:szCs w:val="22"/>
          <w:rtl w:val="0"/>
        </w:rPr>
        <w:t xml:space="preserve">Cuando un sujeto obligado proporciona información pública de manera electrónica </w:t>
      </w:r>
      <w:r w:rsidDel="00000000" w:rsidR="00000000" w:rsidRPr="00000000">
        <w:rPr>
          <w:rFonts w:ascii="Palatino Linotype" w:cs="Palatino Linotype" w:eastAsia="Palatino Linotype" w:hAnsi="Palatino Linotype"/>
          <w:b w:val="1"/>
          <w:i w:val="1"/>
          <w:sz w:val="22"/>
          <w:szCs w:val="22"/>
          <w:rtl w:val="0"/>
        </w:rPr>
        <w:t xml:space="preserve">es necesario garantizar su interoperabilidad</w:t>
      </w:r>
      <w:r w:rsidDel="00000000" w:rsidR="00000000" w:rsidRPr="00000000">
        <w:rPr>
          <w:rFonts w:ascii="Palatino Linotype" w:cs="Palatino Linotype" w:eastAsia="Palatino Linotype" w:hAnsi="Palatino Linotype"/>
          <w:i w:val="1"/>
          <w:sz w:val="22"/>
          <w:szCs w:val="22"/>
          <w:rtl w:val="0"/>
        </w:rPr>
        <w:t xml:space="preserve">. Es decir, </w:t>
      </w:r>
      <w:r w:rsidDel="00000000" w:rsidR="00000000" w:rsidRPr="00000000">
        <w:rPr>
          <w:rFonts w:ascii="Palatino Linotype" w:cs="Palatino Linotype" w:eastAsia="Palatino Linotype" w:hAnsi="Palatino Linotype"/>
          <w:b w:val="1"/>
          <w:i w:val="1"/>
          <w:sz w:val="22"/>
          <w:szCs w:val="22"/>
          <w:rtl w:val="0"/>
        </w:rPr>
        <w:t xml:space="preserve">que esta información </w:t>
      </w:r>
      <w:r w:rsidDel="00000000" w:rsidR="00000000" w:rsidRPr="00000000">
        <w:rPr>
          <w:rFonts w:ascii="Palatino Linotype" w:cs="Palatino Linotype" w:eastAsia="Palatino Linotype" w:hAnsi="Palatino Linotype"/>
          <w:b w:val="1"/>
          <w:i w:val="1"/>
          <w:sz w:val="22"/>
          <w:szCs w:val="22"/>
          <w:u w:val="single"/>
          <w:rtl w:val="0"/>
        </w:rPr>
        <w:t xml:space="preserve">contenga datos en formatos y estándares abiertos para su reproducción y reutilización electrónica</w:t>
      </w:r>
      <w:r w:rsidDel="00000000" w:rsidR="00000000" w:rsidRPr="00000000">
        <w:rPr>
          <w:rFonts w:ascii="Palatino Linotype" w:cs="Palatino Linotype" w:eastAsia="Palatino Linotype" w:hAnsi="Palatino Linotype"/>
          <w:b w:val="1"/>
          <w:i w:val="1"/>
          <w:sz w:val="22"/>
          <w:szCs w:val="22"/>
          <w:rtl w:val="0"/>
        </w:rPr>
        <w:t xml:space="preserve">; de manera libre, sin ninguna restricción, obligación o compensación</w:t>
      </w:r>
      <w:r w:rsidDel="00000000" w:rsidR="00000000" w:rsidRPr="00000000">
        <w:rPr>
          <w:rFonts w:ascii="Palatino Linotype" w:cs="Palatino Linotype" w:eastAsia="Palatino Linotype" w:hAnsi="Palatino Linotype"/>
          <w:i w:val="1"/>
          <w:sz w:val="22"/>
          <w:szCs w:val="22"/>
          <w:rtl w:val="0"/>
        </w:rPr>
        <w:t xml:space="preserve"> (Media April, 2017). </w:t>
      </w:r>
    </w:p>
    <w:p w:rsidR="00000000" w:rsidDel="00000000" w:rsidP="00000000" w:rsidRDefault="00000000" w:rsidRPr="00000000" w14:paraId="000000E1">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 información no está en un formato abierto, cuando existen datos inaccesibles, en secreto y solo se puede acceder a ellos a través de un procedimiento desconocido para el usuario</w:t>
      </w:r>
      <w:r w:rsidDel="00000000" w:rsidR="00000000" w:rsidRPr="00000000">
        <w:rPr>
          <w:rFonts w:ascii="Palatino Linotype" w:cs="Palatino Linotype" w:eastAsia="Palatino Linotype" w:hAnsi="Palatino Linotype"/>
          <w:i w:val="1"/>
          <w:sz w:val="22"/>
          <w:szCs w:val="22"/>
          <w:rtl w:val="0"/>
        </w:rPr>
        <w:t xml:space="preserve">. (Es preciso aclarar, que pueden existir formatos abiertos con información secreta, cuando por ley es necesario ocultar información clasificada o proteger datos personales)” </w:t>
      </w:r>
    </w:p>
    <w:p w:rsidR="00000000" w:rsidDel="00000000" w:rsidP="00000000" w:rsidRDefault="00000000" w:rsidRPr="00000000" w14:paraId="000000E2">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es oportuno mencionar que los datos abiertos, según lo dispuesto en el artículo 3 fracción VIII de la Ley de Transparencia Local, son considerados como los datos digitales de carácter público que son accesibles en línea que pueden ser usados, reutilizados y redistribuidos por cualquier interesado, y tienen las siguientes características: </w:t>
      </w:r>
    </w:p>
    <w:p w:rsidR="00000000" w:rsidDel="00000000" w:rsidP="00000000" w:rsidRDefault="00000000" w:rsidRPr="00000000" w14:paraId="000000E3">
      <w:pPr>
        <w:spacing w:line="276"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E4">
      <w:pPr>
        <w:spacing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Accesibles:</w:t>
      </w:r>
      <w:r w:rsidDel="00000000" w:rsidR="00000000" w:rsidRPr="00000000">
        <w:rPr>
          <w:rFonts w:ascii="Palatino Linotype" w:cs="Palatino Linotype" w:eastAsia="Palatino Linotype" w:hAnsi="Palatino Linotype"/>
          <w:i w:val="1"/>
          <w:sz w:val="22"/>
          <w:szCs w:val="22"/>
          <w:rtl w:val="0"/>
        </w:rPr>
        <w:t xml:space="preserve"> Los datos están disponibles para la gama más amplia de usuarios, para cualquier propósito; </w:t>
      </w:r>
    </w:p>
    <w:p w:rsidR="00000000" w:rsidDel="00000000" w:rsidP="00000000" w:rsidRDefault="00000000" w:rsidRPr="00000000" w14:paraId="000000E5">
      <w:pPr>
        <w:spacing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 Integrales</w:t>
      </w:r>
      <w:r w:rsidDel="00000000" w:rsidR="00000000" w:rsidRPr="00000000">
        <w:rPr>
          <w:rFonts w:ascii="Palatino Linotype" w:cs="Palatino Linotype" w:eastAsia="Palatino Linotype" w:hAnsi="Palatino Linotype"/>
          <w:i w:val="1"/>
          <w:sz w:val="22"/>
          <w:szCs w:val="22"/>
          <w:rtl w:val="0"/>
        </w:rPr>
        <w:t xml:space="preserve">: Contienen el tema que describen a detalle y con los metadatos necesarios; </w:t>
      </w:r>
    </w:p>
    <w:p w:rsidR="00000000" w:rsidDel="00000000" w:rsidP="00000000" w:rsidRDefault="00000000" w:rsidRPr="00000000" w14:paraId="000000E6">
      <w:pPr>
        <w:spacing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 Gratuitos</w:t>
      </w:r>
      <w:r w:rsidDel="00000000" w:rsidR="00000000" w:rsidRPr="00000000">
        <w:rPr>
          <w:rFonts w:ascii="Palatino Linotype" w:cs="Palatino Linotype" w:eastAsia="Palatino Linotype" w:hAnsi="Palatino Linotype"/>
          <w:i w:val="1"/>
          <w:sz w:val="22"/>
          <w:szCs w:val="22"/>
          <w:rtl w:val="0"/>
        </w:rPr>
        <w:t xml:space="preserve">: Se obtienen sin entregar a cambio contraprestación alguna; </w:t>
      </w:r>
    </w:p>
    <w:p w:rsidR="00000000" w:rsidDel="00000000" w:rsidP="00000000" w:rsidRDefault="00000000" w:rsidRPr="00000000" w14:paraId="000000E7">
      <w:pPr>
        <w:spacing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 No discriminatorios</w:t>
      </w:r>
      <w:r w:rsidDel="00000000" w:rsidR="00000000" w:rsidRPr="00000000">
        <w:rPr>
          <w:rFonts w:ascii="Palatino Linotype" w:cs="Palatino Linotype" w:eastAsia="Palatino Linotype" w:hAnsi="Palatino Linotype"/>
          <w:i w:val="1"/>
          <w:sz w:val="22"/>
          <w:szCs w:val="22"/>
          <w:rtl w:val="0"/>
        </w:rPr>
        <w:t xml:space="preserve">: Los datos están disponibles para cualquier persona, sin necesidad de registro; </w:t>
      </w:r>
    </w:p>
    <w:p w:rsidR="00000000" w:rsidDel="00000000" w:rsidP="00000000" w:rsidRDefault="00000000" w:rsidRPr="00000000" w14:paraId="000000E8">
      <w:pPr>
        <w:spacing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 Oportunos:</w:t>
      </w:r>
      <w:r w:rsidDel="00000000" w:rsidR="00000000" w:rsidRPr="00000000">
        <w:rPr>
          <w:rFonts w:ascii="Palatino Linotype" w:cs="Palatino Linotype" w:eastAsia="Palatino Linotype" w:hAnsi="Palatino Linotype"/>
          <w:i w:val="1"/>
          <w:sz w:val="22"/>
          <w:szCs w:val="22"/>
          <w:rtl w:val="0"/>
        </w:rPr>
        <w:t xml:space="preserve"> Son actualizados, periódicamente, conforme se generen; </w:t>
      </w:r>
    </w:p>
    <w:p w:rsidR="00000000" w:rsidDel="00000000" w:rsidP="00000000" w:rsidRDefault="00000000" w:rsidRPr="00000000" w14:paraId="000000E9">
      <w:pPr>
        <w:spacing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 Permanentes</w:t>
      </w:r>
      <w:r w:rsidDel="00000000" w:rsidR="00000000" w:rsidRPr="00000000">
        <w:rPr>
          <w:rFonts w:ascii="Palatino Linotype" w:cs="Palatino Linotype" w:eastAsia="Palatino Linotype" w:hAnsi="Palatino Linotype"/>
          <w:i w:val="1"/>
          <w:sz w:val="22"/>
          <w:szCs w:val="22"/>
          <w:rtl w:val="0"/>
        </w:rPr>
        <w:t xml:space="preserve">: Se conservan en el tiempo, para lo cual, las versiones históricas relevantes para uso público se mantendrán disponibles con identificadores adecuados al efecto; </w:t>
      </w:r>
    </w:p>
    <w:p w:rsidR="00000000" w:rsidDel="00000000" w:rsidP="00000000" w:rsidRDefault="00000000" w:rsidRPr="00000000" w14:paraId="000000EA">
      <w:pPr>
        <w:spacing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g) Primarios:</w:t>
      </w:r>
      <w:r w:rsidDel="00000000" w:rsidR="00000000" w:rsidRPr="00000000">
        <w:rPr>
          <w:rFonts w:ascii="Palatino Linotype" w:cs="Palatino Linotype" w:eastAsia="Palatino Linotype" w:hAnsi="Palatino Linotype"/>
          <w:i w:val="1"/>
          <w:sz w:val="22"/>
          <w:szCs w:val="22"/>
          <w:rtl w:val="0"/>
        </w:rPr>
        <w:t xml:space="preserve"> Provienen de la fuente de origen con el máximo nivel de desagregación posible; </w:t>
      </w:r>
    </w:p>
    <w:p w:rsidR="00000000" w:rsidDel="00000000" w:rsidP="00000000" w:rsidRDefault="00000000" w:rsidRPr="00000000" w14:paraId="000000EB">
      <w:pPr>
        <w:spacing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h) Legibles por máquinas</w:t>
      </w:r>
      <w:r w:rsidDel="00000000" w:rsidR="00000000" w:rsidRPr="00000000">
        <w:rPr>
          <w:rFonts w:ascii="Palatino Linotype" w:cs="Palatino Linotype" w:eastAsia="Palatino Linotype" w:hAnsi="Palatino Linotype"/>
          <w:i w:val="1"/>
          <w:sz w:val="22"/>
          <w:szCs w:val="22"/>
          <w:rtl w:val="0"/>
        </w:rPr>
        <w:t xml:space="preserve">: Deberán estar estructurados, total o parcialmente, para ser procesados e interpretados por equipos electrónicos de manera automática; </w:t>
      </w:r>
    </w:p>
    <w:p w:rsidR="00000000" w:rsidDel="00000000" w:rsidP="00000000" w:rsidRDefault="00000000" w:rsidRPr="00000000" w14:paraId="000000EC">
      <w:pPr>
        <w:spacing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En formatos abiertos</w:t>
      </w:r>
      <w:r w:rsidDel="00000000" w:rsidR="00000000" w:rsidRPr="00000000">
        <w:rPr>
          <w:rFonts w:ascii="Palatino Linotype" w:cs="Palatino Linotype" w:eastAsia="Palatino Linotype" w:hAnsi="Palatino Linotype"/>
          <w:i w:val="1"/>
          <w:sz w:val="22"/>
          <w:szCs w:val="22"/>
          <w:rtl w:val="0"/>
        </w:rPr>
        <w:t xml:space="preserve">: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 y</w:t>
      </w:r>
    </w:p>
    <w:p w:rsidR="00000000" w:rsidDel="00000000" w:rsidP="00000000" w:rsidRDefault="00000000" w:rsidRPr="00000000" w14:paraId="000000ED">
      <w:pPr>
        <w:spacing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j) De libre uso</w:t>
      </w:r>
      <w:r w:rsidDel="00000000" w:rsidR="00000000" w:rsidRPr="00000000">
        <w:rPr>
          <w:rFonts w:ascii="Palatino Linotype" w:cs="Palatino Linotype" w:eastAsia="Palatino Linotype" w:hAnsi="Palatino Linotype"/>
          <w:i w:val="1"/>
          <w:sz w:val="22"/>
          <w:szCs w:val="22"/>
          <w:rtl w:val="0"/>
        </w:rPr>
        <w:t xml:space="preserve">: Citan la fuente de origen como único requerimiento para ser utilizados libremente.”</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Derivado de los argumentos expuestos, se colige que, en cumplimiento a la presente resolución,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hacer entrega de la información solicitada </w:t>
      </w:r>
      <w:r w:rsidDel="00000000" w:rsidR="00000000" w:rsidRPr="00000000">
        <w:rPr>
          <w:rFonts w:ascii="Palatino Linotype" w:cs="Palatino Linotype" w:eastAsia="Palatino Linotype" w:hAnsi="Palatino Linotype"/>
          <w:b w:val="1"/>
          <w:u w:val="single"/>
          <w:rtl w:val="0"/>
        </w:rPr>
        <w:t xml:space="preserve">en formato de datos abiertos, preferiblemente en formato Excel</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o en el formato que obre en sus archivos y que permita su reutilización, a efecto de tener por satisfecho el Derecho de acceso a la información.</w:t>
      </w:r>
      <w:r w:rsidDel="00000000" w:rsidR="00000000" w:rsidRPr="00000000">
        <w:rPr>
          <w:rtl w:val="0"/>
        </w:rPr>
      </w:r>
    </w:p>
    <w:p w:rsidR="00000000" w:rsidDel="00000000" w:rsidP="00000000" w:rsidRDefault="00000000" w:rsidRPr="00000000" w14:paraId="000000EF">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hasta aquí expuesto, se concluye que los motivos de inconformidad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devienen fundados, siendo procedente </w:t>
      </w:r>
      <w:r w:rsidDel="00000000" w:rsidR="00000000" w:rsidRPr="00000000">
        <w:rPr>
          <w:rFonts w:ascii="Palatino Linotype" w:cs="Palatino Linotype" w:eastAsia="Palatino Linotype" w:hAnsi="Palatino Linotype"/>
          <w:i w:val="1"/>
          <w:rtl w:val="0"/>
        </w:rPr>
        <w:t xml:space="preserve">Revocar </w:t>
      </w:r>
      <w:r w:rsidDel="00000000" w:rsidR="00000000" w:rsidRPr="00000000">
        <w:rPr>
          <w:rFonts w:ascii="Palatino Linotype" w:cs="Palatino Linotype" w:eastAsia="Palatino Linotype" w:hAnsi="Palatino Linotype"/>
          <w:rtl w:val="0"/>
        </w:rPr>
        <w:t xml:space="preserve">la respuesta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términos del artículo 186 fracción III de la Ley de Transparencia y Acceso a la Información Pública del Estado de México y Municipios.</w:t>
      </w:r>
    </w:p>
    <w:p w:rsidR="00000000" w:rsidDel="00000000" w:rsidP="00000000" w:rsidRDefault="00000000" w:rsidRPr="00000000" w14:paraId="000000F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Finalmente, debe señalarse que de ser el caso en que los documentos que vayan a ser entregados para dar cumplimiento a la presente resolución, contengan datos que deban ser clasificados,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hacer la elaboración de la versión pública de tales documentos a fin de satisfacer el derecho de acceso a la información pública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sin menoscabo al derecho a la protección de los datos personales de terceros.</w:t>
      </w:r>
    </w:p>
    <w:p w:rsidR="00000000" w:rsidDel="00000000" w:rsidP="00000000" w:rsidRDefault="00000000" w:rsidRPr="00000000" w14:paraId="000000F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0F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0F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0F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0F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 </w:t>
      </w:r>
      <w:r w:rsidDel="00000000" w:rsidR="00000000" w:rsidRPr="00000000">
        <w:rPr>
          <w:rFonts w:ascii="Palatino Linotype" w:cs="Palatino Linotype" w:eastAsia="Palatino Linotype" w:hAnsi="Palatino Linotype"/>
          <w:i w:val="1"/>
          <w:sz w:val="22"/>
          <w:szCs w:val="22"/>
          <w:rtl w:val="0"/>
        </w:rPr>
        <w:t xml:space="preserve">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F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0F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0F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0F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0F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0F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0F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0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10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0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10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0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0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0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Entorno a lo que aquí nos interesa, los Lineamientos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siendo estas las siguientes:</w:t>
      </w:r>
    </w:p>
    <w:p w:rsidR="00000000" w:rsidDel="00000000" w:rsidP="00000000" w:rsidRDefault="00000000" w:rsidRPr="00000000" w14:paraId="0000010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“Quincuagésimo. </w:t>
      </w:r>
      <w:r w:rsidDel="00000000" w:rsidR="00000000" w:rsidRPr="00000000">
        <w:rPr>
          <w:rFonts w:ascii="Palatino Linotype" w:cs="Palatino Linotype" w:eastAsia="Palatino Linotype" w:hAnsi="Palatino Linotype"/>
          <w:i w:val="1"/>
          <w:sz w:val="22"/>
          <w:szCs w:val="22"/>
          <w:rtl w:val="0"/>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 </w:t>
      </w:r>
      <w:r w:rsidDel="00000000" w:rsidR="00000000" w:rsidRPr="00000000">
        <w:rPr>
          <w:rFonts w:ascii="Palatino Linotype" w:cs="Palatino Linotype" w:eastAsia="Palatino Linotype" w:hAnsi="Palatino Linotype"/>
          <w:i w:val="1"/>
          <w:sz w:val="22"/>
          <w:szCs w:val="22"/>
          <w:rtl w:val="0"/>
        </w:rPr>
        <w:t xml:space="preserve">Toda acta del Comité de Transparencia deberá contener: </w:t>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número de sesión y fecha; </w: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del área que solicitó la clasificación de información; </w:t>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fundamentación legal y motivación correspondiente; </w:t>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La resolución o resoluciones aprobadas; y </w:t>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La rúbrica o firma digital de cada integrante del Comité de Transparencia. </w:t>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Los motivos y razonamientos que sustenten la confirmación o modificación de la prueba de daño;</w:t>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Descripción de las partes o secciones reservadas, en caso de clasificación parcial</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El periodo por el que mantendrá su clasificación y fecha de expiración; y </w:t>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El nombre del titular y área encargada de realizar la versión pública del documento, en su caso. </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15">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16">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especifico de la clasificación y elaboración de versiones públicas de documentos que contengan información confidencial, las áreas de los sujetos obligados deberán: </w:t>
      </w:r>
    </w:p>
    <w:p w:rsidR="00000000" w:rsidDel="00000000" w:rsidP="00000000" w:rsidRDefault="00000000" w:rsidRPr="00000000" w14:paraId="00000117">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Fijar la fecha en que se elaboró la versión pública y la fecha en la cual el Comité de Transparencia confirmó dicha versión;</w:t>
      </w:r>
    </w:p>
    <w:p w:rsidR="00000000" w:rsidDel="00000000" w:rsidP="00000000" w:rsidRDefault="00000000" w:rsidRPr="00000000" w14:paraId="00000118">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Señalar dentro del documento el tipo de información confidencial que fue testada en cada caso específico, de conformidad con el lineamiento trigésimo octavo; y</w:t>
      </w:r>
    </w:p>
    <w:p w:rsidR="00000000" w:rsidDel="00000000" w:rsidP="00000000" w:rsidRDefault="00000000" w:rsidRPr="00000000" w14:paraId="00000119">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Señalar las personas o instancias autorizadas a acceder a la información clasificada.</w:t>
      </w:r>
    </w:p>
    <w:p w:rsidR="00000000" w:rsidDel="00000000" w:rsidP="00000000" w:rsidRDefault="00000000" w:rsidRPr="00000000" w14:paraId="0000011A">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1B">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En relación directa con ello deberá observar el Lineamiento Quincuagésimo tercero de los Lineamientos Generales en Materia de Clasificación y Desclasificación de la Información supraindicados, que establece los formatos para la clasificación de los documentos, conforme a lo siguiente: </w:t>
      </w:r>
      <w:r w:rsidDel="00000000" w:rsidR="00000000" w:rsidRPr="00000000">
        <w:rPr>
          <w:rtl w:val="0"/>
        </w:rPr>
      </w:r>
    </w:p>
    <w:p w:rsidR="00000000" w:rsidDel="00000000" w:rsidP="00000000" w:rsidRDefault="00000000" w:rsidRPr="00000000" w14:paraId="0000011C">
      <w:pPr>
        <w:ind w:left="851" w:right="900"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VIII</w:t>
      </w:r>
    </w:p>
    <w:p w:rsidR="00000000" w:rsidDel="00000000" w:rsidP="00000000" w:rsidRDefault="00000000" w:rsidRPr="00000000" w14:paraId="0000011D">
      <w:pPr>
        <w:ind w:left="851" w:right="900"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LOS ELEMENTOS PARA LA CLASIFICACIÓN </w:t>
      </w:r>
    </w:p>
    <w:p w:rsidR="00000000" w:rsidDel="00000000" w:rsidP="00000000" w:rsidRDefault="00000000" w:rsidRPr="00000000" w14:paraId="0000011E">
      <w:pPr>
        <w:ind w:left="851" w:right="900"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1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tercero. </w:t>
      </w:r>
      <w:r w:rsidDel="00000000" w:rsidR="00000000" w:rsidRPr="00000000">
        <w:rPr>
          <w:rFonts w:ascii="Palatino Linotype" w:cs="Palatino Linotype" w:eastAsia="Palatino Linotype" w:hAnsi="Palatino Linotype"/>
          <w:b w:val="1"/>
          <w:i w:val="1"/>
          <w:sz w:val="22"/>
          <w:szCs w:val="22"/>
          <w:u w:val="single"/>
          <w:rtl w:val="0"/>
        </w:rPr>
        <w:t xml:space="preserve">El formato para señalar la clasificación de un documento o expediente que contenga información reservada</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es el siguiente: </w:t>
      </w:r>
    </w:p>
    <w:p w:rsidR="00000000" w:rsidDel="00000000" w:rsidP="00000000" w:rsidRDefault="00000000" w:rsidRPr="00000000" w14:paraId="00000120">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Pr>
        <w:drawing>
          <wp:inline distB="0" distT="0" distL="0" distR="0">
            <wp:extent cx="4295775" cy="295275"/>
            <wp:effectExtent b="0" l="0" r="0" t="0"/>
            <wp:docPr id="1718055653" name="image12.png"/>
            <a:graphic>
              <a:graphicData uri="http://schemas.openxmlformats.org/drawingml/2006/picture">
                <pic:pic>
                  <pic:nvPicPr>
                    <pic:cNvPr id="0" name="image12.png"/>
                    <pic:cNvPicPr preferRelativeResize="0"/>
                  </pic:nvPicPr>
                  <pic:blipFill>
                    <a:blip r:embed="rId17"/>
                    <a:srcRect b="95731" l="0" r="0" t="0"/>
                    <a:stretch>
                      <a:fillRect/>
                    </a:stretch>
                  </pic:blipFill>
                  <pic:spPr>
                    <a:xfrm>
                      <a:off x="0" y="0"/>
                      <a:ext cx="42957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Pr>
        <w:drawing>
          <wp:inline distB="0" distT="0" distL="0" distR="0">
            <wp:extent cx="4333875" cy="2952758"/>
            <wp:effectExtent b="0" l="0" r="0" t="0"/>
            <wp:docPr id="1718055652" name="image12.png"/>
            <a:graphic>
              <a:graphicData uri="http://schemas.openxmlformats.org/drawingml/2006/picture">
                <pic:pic>
                  <pic:nvPicPr>
                    <pic:cNvPr id="0" name="image12.png"/>
                    <pic:cNvPicPr preferRelativeResize="0"/>
                  </pic:nvPicPr>
                  <pic:blipFill>
                    <a:blip r:embed="rId17"/>
                    <a:srcRect b="26339" l="0" r="0" t="30908"/>
                    <a:stretch>
                      <a:fillRect/>
                    </a:stretch>
                  </pic:blipFill>
                  <pic:spPr>
                    <a:xfrm>
                      <a:off x="0" y="0"/>
                      <a:ext cx="4333875" cy="2952758"/>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Pr>
        <w:drawing>
          <wp:inline distB="0" distT="0" distL="0" distR="0">
            <wp:extent cx="4333875" cy="2305388"/>
            <wp:effectExtent b="0" l="0" r="0" t="0"/>
            <wp:docPr id="1718055654" name="image12.png"/>
            <a:graphic>
              <a:graphicData uri="http://schemas.openxmlformats.org/drawingml/2006/picture">
                <pic:pic>
                  <pic:nvPicPr>
                    <pic:cNvPr id="0" name="image12.png"/>
                    <pic:cNvPicPr preferRelativeResize="0"/>
                  </pic:nvPicPr>
                  <pic:blipFill>
                    <a:blip r:embed="rId17"/>
                    <a:srcRect b="1231" l="0" r="0" t="65390"/>
                    <a:stretch>
                      <a:fillRect/>
                    </a:stretch>
                  </pic:blipFill>
                  <pic:spPr>
                    <a:xfrm>
                      <a:off x="0" y="0"/>
                      <a:ext cx="4333875" cy="2305388"/>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2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que integren un expediente reservado en su totalidad no deberán marcarse en lo individual.</w:t>
      </w:r>
    </w:p>
    <w:p w:rsidR="00000000" w:rsidDel="00000000" w:rsidP="00000000" w:rsidRDefault="00000000" w:rsidRPr="00000000" w14:paraId="0000012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Una vez desclasificados los expedientes, si existieren documentos que tuvieran el carácter de reservados deberán permanecer o ser marcados.”</w:t>
      </w:r>
    </w:p>
    <w:p w:rsidR="00000000" w:rsidDel="00000000" w:rsidP="00000000" w:rsidRDefault="00000000" w:rsidRPr="00000000" w14:paraId="0000012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deberá observar los Lineamientos Quincuagésimo cuarto, Quincuagésimo quinto, Quincuagésimo sexto, Quincuagésimo séptimo y Quincuagésimo octavo, establecen lo siguiente:</w:t>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cuarto. </w:t>
      </w:r>
      <w:r w:rsidDel="00000000" w:rsidR="00000000" w:rsidRPr="00000000">
        <w:rPr>
          <w:rFonts w:ascii="Palatino Linotype" w:cs="Palatino Linotype" w:eastAsia="Palatino Linotype" w:hAnsi="Palatino Linotype"/>
          <w:i w:val="1"/>
          <w:sz w:val="22"/>
          <w:szCs w:val="22"/>
          <w:rtl w:val="0"/>
        </w:rPr>
        <w:t xml:space="preserve">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12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quinto. </w:t>
      </w:r>
      <w:r w:rsidDel="00000000" w:rsidR="00000000" w:rsidRPr="00000000">
        <w:rPr>
          <w:rFonts w:ascii="Palatino Linotype" w:cs="Palatino Linotype" w:eastAsia="Palatino Linotype" w:hAnsi="Palatino Linotype"/>
          <w:i w:val="1"/>
          <w:sz w:val="22"/>
          <w:szCs w:val="22"/>
          <w:rtl w:val="0"/>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29">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2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2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12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2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2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2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octavo</w:t>
      </w:r>
      <w:r w:rsidDel="00000000" w:rsidR="00000000" w:rsidRPr="00000000">
        <w:rPr>
          <w:rFonts w:ascii="Palatino Linotype" w:cs="Palatino Linotype" w:eastAsia="Palatino Linotype" w:hAnsi="Palatino Linotype"/>
          <w:i w:val="1"/>
          <w:sz w:val="22"/>
          <w:szCs w:val="22"/>
          <w:rtl w:val="0"/>
        </w:rPr>
        <w:t xml:space="preserve">.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3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133">
      <w:pPr>
        <w:spacing w:after="240" w:before="240" w:line="360" w:lineRule="auto"/>
        <w:jc w:val="both"/>
        <w:rPr>
          <w:rFonts w:ascii="Palatino Linotype" w:cs="Palatino Linotype" w:eastAsia="Palatino Linotype" w:hAnsi="Palatino Linotype"/>
          <w:b w:val="1"/>
        </w:rPr>
      </w:pPr>
      <w:bookmarkStart w:colFirst="0" w:colLast="0" w:name="_heading=h.26in1rg" w:id="9"/>
      <w:bookmarkEnd w:id="9"/>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w:t>
      </w:r>
      <w:r w:rsidDel="00000000" w:rsidR="00000000" w:rsidRPr="00000000">
        <w:rPr>
          <w:rFonts w:ascii="Palatino Linotype" w:cs="Palatino Linotype" w:eastAsia="Palatino Linotype" w:hAnsi="Palatino Linotype"/>
          <w:b w:val="1"/>
          <w:rtl w:val="0"/>
        </w:rPr>
        <w:t xml:space="preserve"> fundados</w:t>
      </w:r>
      <w:r w:rsidDel="00000000" w:rsidR="00000000" w:rsidRPr="00000000">
        <w:rPr>
          <w:rFonts w:ascii="Palatino Linotype" w:cs="Palatino Linotype" w:eastAsia="Palatino Linotype" w:hAnsi="Palatino Linotype"/>
          <w:rtl w:val="0"/>
        </w:rPr>
        <w:t xml:space="preserve"> los motivos de inconformidad hechos valer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en el recurso de revisión </w:t>
      </w:r>
      <w:r w:rsidDel="00000000" w:rsidR="00000000" w:rsidRPr="00000000">
        <w:rPr>
          <w:rFonts w:ascii="Palatino Linotype" w:cs="Palatino Linotype" w:eastAsia="Palatino Linotype" w:hAnsi="Palatino Linotype"/>
          <w:b w:val="1"/>
          <w:rtl w:val="0"/>
        </w:rPr>
        <w:t xml:space="preserve">04009/INFOEM/IP/RR/2023, </w:t>
      </w:r>
      <w:r w:rsidDel="00000000" w:rsidR="00000000" w:rsidRPr="00000000">
        <w:rPr>
          <w:rFonts w:ascii="Palatino Linotype" w:cs="Palatino Linotype" w:eastAsia="Palatino Linotype" w:hAnsi="Palatino Linotype"/>
          <w:rtl w:val="0"/>
        </w:rPr>
        <w:t xml:space="preserve">por lo que, 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 se</w:t>
      </w:r>
      <w:r w:rsidDel="00000000" w:rsidR="00000000" w:rsidRPr="00000000">
        <w:rPr>
          <w:rFonts w:ascii="Palatino Linotype" w:cs="Palatino Linotype" w:eastAsia="Palatino Linotype" w:hAnsi="Palatino Linotype"/>
          <w:b w:val="1"/>
          <w:rtl w:val="0"/>
        </w:rPr>
        <w:t xml:space="preserve"> Revoca </w:t>
      </w:r>
      <w:r w:rsidDel="00000000" w:rsidR="00000000" w:rsidRPr="00000000">
        <w:rPr>
          <w:rFonts w:ascii="Palatino Linotype" w:cs="Palatino Linotype" w:eastAsia="Palatino Linotype" w:hAnsi="Palatino Linotype"/>
          <w:rtl w:val="0"/>
        </w:rPr>
        <w:t xml:space="preserve">la respuesta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p>
    <w:p w:rsidR="00000000" w:rsidDel="00000000" w:rsidP="00000000" w:rsidRDefault="00000000" w:rsidRPr="00000000" w14:paraId="00000134">
      <w:pPr>
        <w:spacing w:after="240" w:before="240" w:line="360" w:lineRule="auto"/>
        <w:jc w:val="both"/>
        <w:rPr>
          <w:rFonts w:ascii="Palatino Linotype" w:cs="Palatino Linotype" w:eastAsia="Palatino Linotype" w:hAnsi="Palatino Linotype"/>
        </w:rPr>
      </w:pPr>
      <w:bookmarkStart w:colFirst="0" w:colLast="0" w:name="_heading=h.44sinio" w:id="10"/>
      <w:bookmarkEnd w:id="10"/>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términos de los Considerandos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y</w:t>
      </w:r>
      <w:r w:rsidDel="00000000" w:rsidR="00000000" w:rsidRPr="00000000">
        <w:rPr>
          <w:rFonts w:ascii="Palatino Linotype" w:cs="Palatino Linotype" w:eastAsia="Palatino Linotype" w:hAnsi="Palatino Linotype"/>
          <w:b w:val="1"/>
          <w:rtl w:val="0"/>
        </w:rPr>
        <w:t xml:space="preserve"> Quinto </w:t>
      </w:r>
      <w:r w:rsidDel="00000000" w:rsidR="00000000" w:rsidRPr="00000000">
        <w:rPr>
          <w:rFonts w:ascii="Palatino Linotype" w:cs="Palatino Linotype" w:eastAsia="Palatino Linotype" w:hAnsi="Palatino Linotype"/>
          <w:rtl w:val="0"/>
        </w:rPr>
        <w:t xml:space="preserve">de esta resolución, haga entrega, vía SAIMEX, en versión pública de ser necesario, en formato de datos abiertos o en el que se hubiera generado, de lo siguiente:</w:t>
      </w:r>
    </w:p>
    <w:p w:rsidR="00000000" w:rsidDel="00000000" w:rsidP="00000000" w:rsidRDefault="00000000" w:rsidRPr="00000000" w14:paraId="00000135">
      <w:pPr>
        <w:spacing w:after="240" w:before="240" w:line="360" w:lineRule="auto"/>
        <w:ind w:left="426" w:firstLine="0"/>
        <w:jc w:val="both"/>
        <w:rPr>
          <w:rFonts w:ascii="Palatino Linotype" w:cs="Palatino Linotype" w:eastAsia="Palatino Linotype" w:hAnsi="Palatino Linotype"/>
        </w:rPr>
      </w:pPr>
      <w:bookmarkStart w:colFirst="0" w:colLast="0" w:name="_heading=h.4d34og8" w:id="11"/>
      <w:bookmarkEnd w:id="11"/>
      <w:r w:rsidDel="00000000" w:rsidR="00000000" w:rsidRPr="00000000">
        <w:rPr>
          <w:rFonts w:ascii="Palatino Linotype" w:cs="Palatino Linotype" w:eastAsia="Palatino Linotype" w:hAnsi="Palatino Linotype"/>
          <w:rtl w:val="0"/>
        </w:rPr>
        <w:t xml:space="preserve">1. Documento donde conste la información, al siete de junio de dos mil veintitrés, de la composición de la flota de autobuses de BRT de las Líneas 1, 2, 3, el servicio de la ampliación de la Línea 3, y 4 del Mexibús, así como del servicio AIFA, donde se informe, al mayor grado de desagregación posible, lo siguiente:</w:t>
      </w:r>
    </w:p>
    <w:p w:rsidR="00000000" w:rsidDel="00000000" w:rsidP="00000000" w:rsidRDefault="00000000" w:rsidRPr="00000000" w14:paraId="00000136">
      <w:pPr>
        <w:spacing w:after="120" w:before="120" w:line="360" w:lineRule="auto"/>
        <w:ind w:lef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Número económico o de identificación de cada autobús. </w:t>
      </w:r>
    </w:p>
    <w:p w:rsidR="00000000" w:rsidDel="00000000" w:rsidP="00000000" w:rsidRDefault="00000000" w:rsidRPr="00000000" w14:paraId="00000137">
      <w:pPr>
        <w:spacing w:after="120" w:before="120" w:line="360" w:lineRule="auto"/>
        <w:ind w:lef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Año modelo de fabricación de cada autobús.</w:t>
      </w:r>
    </w:p>
    <w:p w:rsidR="00000000" w:rsidDel="00000000" w:rsidP="00000000" w:rsidRDefault="00000000" w:rsidRPr="00000000" w14:paraId="00000138">
      <w:pPr>
        <w:spacing w:after="120" w:before="120" w:line="360" w:lineRule="auto"/>
        <w:ind w:lef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 Marca de cada autobús.</w:t>
      </w:r>
    </w:p>
    <w:p w:rsidR="00000000" w:rsidDel="00000000" w:rsidP="00000000" w:rsidRDefault="00000000" w:rsidRPr="00000000" w14:paraId="00000139">
      <w:pPr>
        <w:spacing w:after="120" w:before="120" w:line="360" w:lineRule="auto"/>
        <w:ind w:lef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Tecnología o certificación ambiental (EURO O EPA), de cada autobús, </w:t>
      </w:r>
    </w:p>
    <w:p w:rsidR="00000000" w:rsidDel="00000000" w:rsidP="00000000" w:rsidRDefault="00000000" w:rsidRPr="00000000" w14:paraId="0000013A">
      <w:pPr>
        <w:spacing w:after="120" w:before="120" w:line="360" w:lineRule="auto"/>
        <w:ind w:lef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 Tipo de autobús (corto, largo, articulado o biarticulado).</w:t>
      </w:r>
    </w:p>
    <w:p w:rsidR="00000000" w:rsidDel="00000000" w:rsidP="00000000" w:rsidRDefault="00000000" w:rsidRPr="00000000" w14:paraId="0000013B">
      <w:pPr>
        <w:spacing w:after="120" w:before="120" w:line="360" w:lineRule="auto"/>
        <w:ind w:lef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 Tipo de combustible de cada autobús (Diésel, Gas, Hibrido). </w:t>
      </w:r>
    </w:p>
    <w:p w:rsidR="00000000" w:rsidDel="00000000" w:rsidP="00000000" w:rsidRDefault="00000000" w:rsidRPr="00000000" w14:paraId="0000013C">
      <w:pPr>
        <w:spacing w:after="120" w:before="120" w:line="360" w:lineRule="auto"/>
        <w:ind w:lef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 Capacidad de personas usuarias de cada autobús.</w:t>
      </w:r>
    </w:p>
    <w:p w:rsidR="00000000" w:rsidDel="00000000" w:rsidP="00000000" w:rsidRDefault="00000000" w:rsidRPr="00000000" w14:paraId="0000013D">
      <w:pPr>
        <w:spacing w:after="120" w:before="120" w:line="360" w:lineRule="auto"/>
        <w:ind w:lef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 Estado operativo (en operación, mantenimiento, inoperable o en proceso de baja).</w:t>
      </w:r>
    </w:p>
    <w:p w:rsidR="00000000" w:rsidDel="00000000" w:rsidP="00000000" w:rsidRDefault="00000000" w:rsidRPr="00000000" w14:paraId="0000013E">
      <w:pPr>
        <w:spacing w:after="120" w:before="120" w:lineRule="auto"/>
        <w:ind w:left="357" w:right="4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Del="00000000" w:rsidR="00000000" w:rsidRPr="00000000">
        <w:rPr>
          <w:rFonts w:ascii="Palatino Linotype" w:cs="Palatino Linotype" w:eastAsia="Palatino Linotype" w:hAnsi="Palatino Linotype"/>
          <w:b w:val="1"/>
          <w:i w:val="1"/>
          <w:sz w:val="20"/>
          <w:szCs w:val="20"/>
          <w:rtl w:val="0"/>
        </w:rPr>
        <w:t xml:space="preserve">Recurrente</w:t>
      </w:r>
      <w:r w:rsidDel="00000000" w:rsidR="00000000" w:rsidRPr="00000000">
        <w:rPr>
          <w:rFonts w:ascii="Palatino Linotype" w:cs="Palatino Linotype" w:eastAsia="Palatino Linotype" w:hAnsi="Palatino Linotype"/>
          <w:i w:val="1"/>
          <w:sz w:val="20"/>
          <w:szCs w:val="20"/>
          <w:rtl w:val="0"/>
        </w:rPr>
        <w:t xml:space="preserve">, mismo que igualmente hará de su conocimiento.</w:t>
      </w:r>
    </w:p>
    <w:p w:rsidR="00000000" w:rsidDel="00000000" w:rsidP="00000000" w:rsidRDefault="00000000" w:rsidRPr="00000000" w14:paraId="0000013F">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al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140">
      <w:pPr>
        <w:spacing w:after="240" w:before="240" w:line="360" w:lineRule="auto"/>
        <w:jc w:val="both"/>
        <w:rPr>
          <w:rFonts w:ascii="Palatino Linotype" w:cs="Palatino Linotype" w:eastAsia="Palatino Linotype" w:hAnsi="Palatino Linotype"/>
        </w:rPr>
      </w:pPr>
      <w:bookmarkStart w:colFirst="0" w:colLast="0" w:name="_heading=h.17dp8vu" w:id="12"/>
      <w:bookmarkEnd w:id="12"/>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4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42">
      <w:pPr>
        <w:spacing w:line="360" w:lineRule="auto"/>
        <w:jc w:val="both"/>
        <w:rPr>
          <w:rFonts w:ascii="Palatino Linotype" w:cs="Palatino Linotype" w:eastAsia="Palatino Linotype" w:hAnsi="Palatino Linotype"/>
        </w:rPr>
      </w:pPr>
      <w:bookmarkStart w:colFirst="0" w:colLast="0" w:name="_heading=h.2et92p0" w:id="13"/>
      <w:bookmarkEnd w:id="13"/>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SÉPTIMA SESIÓN ORDINARIA CELEBRADA EL VEINTIOCHO DE FEBRERO DE DOS MIL VEINTICUATRO, ANTE EL SECRETARIO TÉCNICO DEL PLENO ALEXIS TAPIA RAMÍREZ.</w:t>
      </w:r>
    </w:p>
    <w:p w:rsidR="00000000" w:rsidDel="00000000" w:rsidP="00000000" w:rsidRDefault="00000000" w:rsidRPr="00000000" w14:paraId="0000014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4">
      <w:pPr>
        <w:spacing w:line="360" w:lineRule="auto"/>
        <w:jc w:val="both"/>
        <w:rPr>
          <w:rFonts w:ascii="Palatino Linotype" w:cs="Palatino Linotype" w:eastAsia="Palatino Linotype" w:hAnsi="Palatino Linotype"/>
        </w:rPr>
      </w:pPr>
      <w:bookmarkStart w:colFirst="0" w:colLast="0" w:name="_heading=h.1fob9te" w:id="14"/>
      <w:bookmarkEnd w:id="14"/>
      <w:r w:rsidDel="00000000" w:rsidR="00000000" w:rsidRPr="00000000">
        <w:rPr>
          <w:rtl w:val="0"/>
        </w:rPr>
      </w:r>
    </w:p>
    <w:p w:rsidR="00000000" w:rsidDel="00000000" w:rsidP="00000000" w:rsidRDefault="00000000" w:rsidRPr="00000000" w14:paraId="00000145">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6">
      <w:pPr>
        <w:tabs>
          <w:tab w:val="left" w:leader="none" w:pos="2220"/>
        </w:tabs>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r>
    </w:p>
    <w:p w:rsidR="00000000" w:rsidDel="00000000" w:rsidP="00000000" w:rsidRDefault="00000000" w:rsidRPr="00000000" w14:paraId="00000147">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8">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9">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A">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B">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C">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D">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E">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F">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0">
      <w:pPr>
        <w:spacing w:line="360" w:lineRule="auto"/>
        <w:jc w:val="both"/>
        <w:rPr>
          <w:rFonts w:ascii="Palatino Linotype" w:cs="Palatino Linotype" w:eastAsia="Palatino Linotype" w:hAnsi="Palatino Linotype"/>
        </w:rPr>
      </w:pPr>
      <w:bookmarkStart w:colFirst="0" w:colLast="0" w:name="_heading=h.3rdcrjn" w:id="15"/>
      <w:bookmarkEnd w:id="15"/>
      <w:r w:rsidDel="00000000" w:rsidR="00000000" w:rsidRPr="00000000">
        <w:rPr>
          <w:rtl w:val="0"/>
        </w:rPr>
      </w:r>
    </w:p>
    <w:p w:rsidR="00000000" w:rsidDel="00000000" w:rsidP="00000000" w:rsidRDefault="00000000" w:rsidRPr="00000000" w14:paraId="0000015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3">
      <w:pPr>
        <w:spacing w:line="360" w:lineRule="auto"/>
        <w:jc w:val="both"/>
        <w:rPr>
          <w:rFonts w:ascii="Palatino Linotype" w:cs="Palatino Linotype" w:eastAsia="Palatino Linotype" w:hAnsi="Palatino Linotype"/>
        </w:rPr>
      </w:pPr>
      <w:bookmarkStart w:colFirst="0" w:colLast="0" w:name="_heading=h.1t3h5sf" w:id="16"/>
      <w:bookmarkEnd w:id="16"/>
      <w:r w:rsidDel="00000000" w:rsidR="00000000" w:rsidRPr="00000000">
        <w:rPr>
          <w:rtl w:val="0"/>
        </w:rPr>
      </w:r>
    </w:p>
    <w:p w:rsidR="00000000" w:rsidDel="00000000" w:rsidP="00000000" w:rsidRDefault="00000000" w:rsidRPr="00000000" w14:paraId="0000015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E">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18" w:type="default"/>
      <w:headerReference r:id="rId19" w:type="first"/>
      <w:footerReference r:id="rId20" w:type="default"/>
      <w:footerReference r:id="rId21" w:type="first"/>
      <w:pgSz w:h="15840" w:w="12240" w:orient="portrait"/>
      <w:pgMar w:bottom="1701" w:top="1985" w:left="1701" w:right="2466.259842519685"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2">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4">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F">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-1080129</wp:posOffset>
          </wp:positionH>
          <wp:positionV relativeFrom="paragraph">
            <wp:posOffset>-328920</wp:posOffset>
          </wp:positionV>
          <wp:extent cx="7809865" cy="10165715"/>
          <wp:effectExtent b="0" l="0" r="0" t="0"/>
          <wp:wrapNone/>
          <wp:docPr id="171805564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16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61">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04009/INFOEM/IP/RR/2023</w:t>
          </w:r>
        </w:p>
      </w:tc>
    </w:tr>
    <w:tr>
      <w:trPr>
        <w:cantSplit w:val="0"/>
        <w:trHeight w:val="130" w:hRule="atLeast"/>
        <w:tblHeader w:val="0"/>
      </w:trPr>
      <w:tc>
        <w:tcPr>
          <w:shd w:fill="auto" w:val="clear"/>
          <w:vAlign w:val="center"/>
        </w:tcPr>
        <w:p w:rsidR="00000000" w:rsidDel="00000000" w:rsidP="00000000" w:rsidRDefault="00000000" w:rsidRPr="00000000" w14:paraId="0000016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63">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XXXXXX XXXX XXXXXXXX XXXXXXX</w:t>
          </w:r>
        </w:p>
      </w:tc>
    </w:tr>
    <w:tr>
      <w:trPr>
        <w:cantSplit w:val="0"/>
        <w:trHeight w:val="228" w:hRule="atLeast"/>
        <w:tblHeader w:val="0"/>
      </w:trPr>
      <w:tc>
        <w:tcPr>
          <w:shd w:fill="auto" w:val="clear"/>
          <w:vAlign w:val="center"/>
        </w:tcPr>
        <w:p w:rsidR="00000000" w:rsidDel="00000000" w:rsidP="00000000" w:rsidRDefault="00000000" w:rsidRPr="00000000" w14:paraId="0000016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65">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Sistema de Transporte Masivo y Teleférico del Estado de México</w:t>
          </w:r>
        </w:p>
      </w:tc>
    </w:tr>
    <w:tr>
      <w:trPr>
        <w:cantSplit w:val="0"/>
        <w:tblHeader w:val="0"/>
      </w:trPr>
      <w:tc>
        <w:tcPr>
          <w:shd w:fill="auto" w:val="clear"/>
          <w:vAlign w:val="center"/>
        </w:tcPr>
        <w:p w:rsidR="00000000" w:rsidDel="00000000" w:rsidP="00000000" w:rsidRDefault="00000000" w:rsidRPr="00000000" w14:paraId="0000016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67">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68">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A">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-1080112</wp:posOffset>
          </wp:positionH>
          <wp:positionV relativeFrom="paragraph">
            <wp:posOffset>-488288</wp:posOffset>
          </wp:positionV>
          <wp:extent cx="7809865" cy="10165715"/>
          <wp:effectExtent b="0" l="0" r="0" t="0"/>
          <wp:wrapNone/>
          <wp:docPr id="171805565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16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6C">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04009/INFOEM/IP/RR/2023</w:t>
          </w:r>
        </w:p>
      </w:tc>
    </w:tr>
    <w:tr>
      <w:trPr>
        <w:cantSplit w:val="0"/>
        <w:trHeight w:val="228" w:hRule="atLeast"/>
        <w:tblHeader w:val="0"/>
      </w:trPr>
      <w:tc>
        <w:tcPr>
          <w:shd w:fill="auto" w:val="clear"/>
          <w:vAlign w:val="center"/>
        </w:tcPr>
        <w:p w:rsidR="00000000" w:rsidDel="00000000" w:rsidP="00000000" w:rsidRDefault="00000000" w:rsidRPr="00000000" w14:paraId="0000016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6E">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Sistema de Transporte Masivo y Teleférico del Estado de México</w:t>
          </w:r>
        </w:p>
      </w:tc>
    </w:tr>
    <w:tr>
      <w:trPr>
        <w:cantSplit w:val="0"/>
        <w:tblHeader w:val="0"/>
      </w:trPr>
      <w:tc>
        <w:tcPr>
          <w:shd w:fill="auto" w:val="clear"/>
          <w:vAlign w:val="center"/>
        </w:tcPr>
        <w:p w:rsidR="00000000" w:rsidDel="00000000" w:rsidP="00000000" w:rsidRDefault="00000000" w:rsidRPr="00000000" w14:paraId="0000016F">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70">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71">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Ttulo1">
    <w:name w:val="heading 1"/>
    <w:basedOn w:val="Normal"/>
    <w:next w:val="Normal"/>
    <w:pPr>
      <w:keepNext w:val="1"/>
      <w:keepLines w:val="1"/>
      <w:spacing w:before="240"/>
      <w:outlineLvl w:val="0"/>
    </w:pPr>
    <w:rPr>
      <w:rFonts w:ascii="Calibri" w:cs="Calibri" w:eastAsia="Calibri" w:hAnsi="Calibri"/>
      <w:color w:val="366091"/>
      <w:sz w:val="32"/>
      <w:szCs w:val="32"/>
    </w:rPr>
  </w:style>
  <w:style w:type="paragraph" w:styleId="Ttulo2">
    <w:name w:val="heading 2"/>
    <w:basedOn w:val="Normal"/>
    <w:next w:val="Normal"/>
    <w:pPr>
      <w:keepNext w:val="1"/>
      <w:keepLines w:val="1"/>
      <w:spacing w:before="40"/>
      <w:outlineLvl w:val="1"/>
    </w:pPr>
    <w:rPr>
      <w:rFonts w:ascii="Calibri" w:cs="Calibri" w:eastAsia="Calibri" w:hAnsi="Calibri"/>
      <w:color w:val="366091"/>
      <w:sz w:val="26"/>
      <w:szCs w:val="26"/>
    </w:rPr>
  </w:style>
  <w:style w:type="paragraph" w:styleId="Ttulo3">
    <w:name w:val="heading 3"/>
    <w:basedOn w:val="Normal"/>
    <w:next w:val="Normal"/>
    <w:pPr>
      <w:keepNext w:val="1"/>
      <w:spacing w:after="60" w:before="240"/>
      <w:ind w:left="2160" w:hanging="720"/>
      <w:outlineLvl w:val="2"/>
    </w:pPr>
    <w:rPr>
      <w:rFonts w:ascii="Calibri" w:cs="Calibri" w:eastAsia="Calibri" w:hAnsi="Calibri"/>
      <w:b w:val="1"/>
      <w:sz w:val="26"/>
      <w:szCs w:val="26"/>
    </w:rPr>
  </w:style>
  <w:style w:type="paragraph" w:styleId="Ttulo4">
    <w:name w:val="heading 4"/>
    <w:basedOn w:val="Normal"/>
    <w:next w:val="Normal"/>
    <w:pPr>
      <w:keepNext w:val="1"/>
      <w:spacing w:after="60" w:before="240"/>
      <w:ind w:left="2880" w:hanging="720"/>
      <w:outlineLvl w:val="3"/>
    </w:pPr>
    <w:rPr>
      <w:rFonts w:ascii="Cambria" w:cs="Cambria" w:eastAsia="Cambria" w:hAnsi="Cambria"/>
      <w:b w:val="1"/>
      <w:sz w:val="28"/>
      <w:szCs w:val="28"/>
    </w:rPr>
  </w:style>
  <w:style w:type="paragraph" w:styleId="Ttulo5">
    <w:name w:val="heading 5"/>
    <w:basedOn w:val="Normal"/>
    <w:next w:val="Normal"/>
    <w:pPr>
      <w:spacing w:after="60" w:before="240"/>
      <w:ind w:left="3600" w:hanging="720"/>
      <w:outlineLvl w:val="4"/>
    </w:pPr>
    <w:rPr>
      <w:rFonts w:ascii="Cambria" w:cs="Cambria" w:eastAsia="Cambria" w:hAnsi="Cambria"/>
      <w:b w:val="1"/>
      <w:i w:val="1"/>
      <w:sz w:val="26"/>
      <w:szCs w:val="26"/>
    </w:rPr>
  </w:style>
  <w:style w:type="paragraph" w:styleId="Ttulo6">
    <w:name w:val="heading 6"/>
    <w:basedOn w:val="Normal"/>
    <w:next w:val="Normal"/>
    <w:pPr>
      <w:spacing w:after="60" w:before="240"/>
      <w:ind w:left="4320" w:hanging="720"/>
      <w:outlineLvl w:val="5"/>
    </w:pPr>
    <w:rPr>
      <w:b w:val="1"/>
      <w:sz w:val="22"/>
      <w:szCs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115.0" w:type="dxa"/>
        <w:right w:w="115.0" w:type="dxa"/>
      </w:tblCellMar>
    </w:tblPr>
  </w:style>
  <w:style w:type="table" w:styleId="a0" w:customStyle="1">
    <w:basedOn w:val="TableNormal0"/>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5147C9"/>
    <w:pPr>
      <w:tabs>
        <w:tab w:val="center" w:pos="4419"/>
        <w:tab w:val="right" w:pos="8838"/>
      </w:tabs>
    </w:pPr>
  </w:style>
  <w:style w:type="character" w:styleId="EncabezadoCar" w:customStyle="1">
    <w:name w:val="Encabezado Car"/>
    <w:basedOn w:val="Fuentedeprrafopredeter"/>
    <w:link w:val="Encabezado"/>
    <w:uiPriority w:val="99"/>
    <w:rsid w:val="005147C9"/>
  </w:style>
  <w:style w:type="paragraph" w:styleId="Piedepgina">
    <w:name w:val="footer"/>
    <w:basedOn w:val="Normal"/>
    <w:link w:val="PiedepginaCar"/>
    <w:uiPriority w:val="99"/>
    <w:unhideWhenUsed w:val="1"/>
    <w:rsid w:val="005147C9"/>
    <w:pPr>
      <w:tabs>
        <w:tab w:val="center" w:pos="4419"/>
        <w:tab w:val="right" w:pos="8838"/>
      </w:tabs>
    </w:pPr>
  </w:style>
  <w:style w:type="character" w:styleId="PiedepginaCar" w:customStyle="1">
    <w:name w:val="Pie de página Car"/>
    <w:basedOn w:val="Fuentedeprrafopredeter"/>
    <w:link w:val="Piedepgina"/>
    <w:uiPriority w:val="99"/>
    <w:rsid w:val="005147C9"/>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127B2"/>
    <w:pPr>
      <w:ind w:left="720"/>
      <w:contextualSpacing w:val="1"/>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85FBB"/>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E37099"/>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7099"/>
    <w:rPr>
      <w:rFonts w:asciiTheme="minorHAnsi" w:cstheme="minorBidi" w:eastAsiaTheme="minorHAnsi" w:hAnsiTheme="minorHAns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E37099"/>
    <w:rPr>
      <w:vertAlign w:val="superscript"/>
    </w:rPr>
  </w:style>
  <w:style w:type="table" w:styleId="a1" w:customStyle="1">
    <w:basedOn w:val="TableNormal0"/>
    <w:tblPr>
      <w:tblStyleRowBandSize w:val="1"/>
      <w:tblStyleColBandSize w:val="1"/>
      <w:tblCellMar>
        <w:left w:w="115.0" w:type="dxa"/>
        <w:right w:w="115.0" w:type="dxa"/>
      </w:tblCellMar>
    </w:tblPr>
  </w:style>
  <w:style w:type="table" w:styleId="a2" w:customStyle="1">
    <w:basedOn w:val="TableNormal0"/>
    <w:tblPr>
      <w:tblStyleRowBandSize w:val="1"/>
      <w:tblStyleColBandSize w:val="1"/>
      <w:tblCellMar>
        <w:left w:w="115.0" w:type="dxa"/>
        <w:right w:w="115.0" w:type="dxa"/>
      </w:tblCellMar>
    </w:tblPr>
  </w:style>
  <w:style w:type="character" w:styleId="Hipervnculo">
    <w:name w:val="Hyperlink"/>
    <w:basedOn w:val="Fuentedeprrafopredeter"/>
    <w:uiPriority w:val="99"/>
    <w:unhideWhenUsed w:val="1"/>
    <w:rsid w:val="008F11BC"/>
    <w:rPr>
      <w:color w:val="0000ff"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6.png"/><Relationship Id="rId10" Type="http://schemas.openxmlformats.org/officeDocument/2006/relationships/image" Target="media/image7.png"/><Relationship Id="rId21" Type="http://schemas.openxmlformats.org/officeDocument/2006/relationships/footer" Target="footer1.xml"/><Relationship Id="rId13" Type="http://schemas.openxmlformats.org/officeDocument/2006/relationships/image" Target="media/image1.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9.png"/><Relationship Id="rId14" Type="http://schemas.openxmlformats.org/officeDocument/2006/relationships/image" Target="media/image10.png"/><Relationship Id="rId17" Type="http://schemas.openxmlformats.org/officeDocument/2006/relationships/image" Target="media/image12.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3.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6eq7UYUs12mutHbOnOouVWHfmw==">CgMxLjAyCGguZ2pkZ3hzMg5oLjdicDUxOG5heG0zazIJaC4zZHk2dmttMgloLjMwajB6bGwyCWguMnM4ZXlvMTIIaC50eWpjd3QyCWguM3pueXNoNzIJaC4zNW5rdW4yMgloLjFrc3Y0dXYyCWguMjZpbjFyZzIJaC40NHNpbmlvMgloLjRkMzRvZzgyCWguMTdkcDh2dTIJaC4yZXQ5MnAwMgloLjFmb2I5dGUyCWguM3JkY3JqbjIJaC4xdDNoNXNmOAByITEzazBZN09mYm9YdmFkWGdUVExTckpUb2Y5cFh4ek9D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2024-03-07T19:26:00Z</dcterms:created>
  <dc:creator>SAFOVI</dc:creator>
</cp:coreProperties>
</file>