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305849D" w:rsidR="00457BB8" w:rsidRPr="001D57D4" w:rsidRDefault="00457BB8" w:rsidP="001D57D4">
      <w:pPr>
        <w:spacing w:line="360" w:lineRule="auto"/>
        <w:jc w:val="both"/>
        <w:rPr>
          <w:rFonts w:ascii="Palatino Linotype" w:hAnsi="Palatino Linotype"/>
        </w:rPr>
      </w:pPr>
      <w:r w:rsidRPr="001D57D4">
        <w:rPr>
          <w:rFonts w:ascii="Palatino Linotype" w:hAnsi="Palatino Linotype"/>
        </w:rPr>
        <w:t xml:space="preserve">Resolución del Pleno del Instituto de Transparencia, Acceso a la </w:t>
      </w:r>
      <w:r w:rsidR="00D86297" w:rsidRPr="001D57D4">
        <w:rPr>
          <w:rFonts w:ascii="Palatino Linotype" w:hAnsi="Palatino Linotype"/>
        </w:rPr>
        <w:t>Información Pública</w:t>
      </w:r>
      <w:r w:rsidRPr="001D57D4">
        <w:rPr>
          <w:rFonts w:ascii="Palatino Linotype" w:hAnsi="Palatino Linotype"/>
        </w:rPr>
        <w:t xml:space="preserve"> y Protección de Datos Personales del Estado de México y Municipios, con domicilio en Metepec, Estado de México, </w:t>
      </w:r>
      <w:r w:rsidR="00EE3389" w:rsidRPr="001D57D4">
        <w:rPr>
          <w:rFonts w:ascii="Palatino Linotype" w:hAnsi="Palatino Linotype"/>
        </w:rPr>
        <w:t xml:space="preserve">de fecha </w:t>
      </w:r>
      <w:r w:rsidR="00036EEA" w:rsidRPr="001D57D4">
        <w:rPr>
          <w:rFonts w:ascii="Palatino Linotype" w:hAnsi="Palatino Linotype"/>
        </w:rPr>
        <w:t xml:space="preserve">diecisiete </w:t>
      </w:r>
      <w:r w:rsidR="00226D9E" w:rsidRPr="001D57D4">
        <w:rPr>
          <w:rFonts w:ascii="Palatino Linotype" w:hAnsi="Palatino Linotype"/>
        </w:rPr>
        <w:t>de enero de dos mil veinticuatro</w:t>
      </w:r>
      <w:r w:rsidRPr="001D57D4">
        <w:rPr>
          <w:rFonts w:ascii="Palatino Linotype" w:hAnsi="Palatino Linotype"/>
        </w:rPr>
        <w:t>.</w:t>
      </w:r>
    </w:p>
    <w:p w14:paraId="28464D58" w14:textId="77777777" w:rsidR="00457BB8" w:rsidRPr="001D57D4" w:rsidRDefault="00457BB8" w:rsidP="001D57D4">
      <w:pPr>
        <w:spacing w:line="360" w:lineRule="auto"/>
        <w:jc w:val="both"/>
        <w:rPr>
          <w:rFonts w:ascii="Palatino Linotype" w:hAnsi="Palatino Linotype"/>
        </w:rPr>
      </w:pPr>
    </w:p>
    <w:p w14:paraId="2C11FACB" w14:textId="1EF5CE39" w:rsidR="00457BB8" w:rsidRPr="001D57D4" w:rsidRDefault="00457BB8" w:rsidP="001D57D4">
      <w:pPr>
        <w:spacing w:line="360" w:lineRule="auto"/>
        <w:jc w:val="both"/>
        <w:rPr>
          <w:rFonts w:ascii="Palatino Linotype" w:hAnsi="Palatino Linotype"/>
          <w:b/>
        </w:rPr>
      </w:pPr>
      <w:r w:rsidRPr="001D57D4">
        <w:rPr>
          <w:rFonts w:ascii="Palatino Linotype" w:hAnsi="Palatino Linotype"/>
          <w:b/>
        </w:rPr>
        <w:t>VISTO</w:t>
      </w:r>
      <w:r w:rsidRPr="001D57D4">
        <w:rPr>
          <w:rFonts w:ascii="Palatino Linotype" w:hAnsi="Palatino Linotype"/>
        </w:rPr>
        <w:t xml:space="preserve"> el exp</w:t>
      </w:r>
      <w:r w:rsidR="00CB5585" w:rsidRPr="001D57D4">
        <w:rPr>
          <w:rFonts w:ascii="Palatino Linotype" w:hAnsi="Palatino Linotype"/>
        </w:rPr>
        <w:t xml:space="preserve">ediente formado con motivo del </w:t>
      </w:r>
      <w:r w:rsidR="00D86297" w:rsidRPr="001D57D4">
        <w:rPr>
          <w:rFonts w:ascii="Palatino Linotype" w:hAnsi="Palatino Linotype"/>
        </w:rPr>
        <w:t>Recurso Revisión</w:t>
      </w:r>
      <w:r w:rsidRPr="001D57D4">
        <w:rPr>
          <w:rFonts w:ascii="Palatino Linotype" w:hAnsi="Palatino Linotype"/>
        </w:rPr>
        <w:t xml:space="preserve"> </w:t>
      </w:r>
      <w:r w:rsidR="007E32FC" w:rsidRPr="001D57D4">
        <w:rPr>
          <w:rFonts w:ascii="Palatino Linotype" w:hAnsi="Palatino Linotype"/>
          <w:b/>
          <w:lang w:val="es-ES_tradnl"/>
        </w:rPr>
        <w:t>0547</w:t>
      </w:r>
      <w:r w:rsidR="00830CEA" w:rsidRPr="001D57D4">
        <w:rPr>
          <w:rFonts w:ascii="Palatino Linotype" w:hAnsi="Palatino Linotype"/>
          <w:b/>
          <w:lang w:val="es-ES_tradnl"/>
        </w:rPr>
        <w:t>7/INFOEM/IP/RR/2023</w:t>
      </w:r>
      <w:r w:rsidRPr="001D57D4">
        <w:rPr>
          <w:rFonts w:ascii="Palatino Linotype" w:hAnsi="Palatino Linotype"/>
        </w:rPr>
        <w:t xml:space="preserve">, </w:t>
      </w:r>
      <w:r w:rsidR="006C52D7" w:rsidRPr="001D57D4">
        <w:rPr>
          <w:rFonts w:ascii="Palatino Linotype" w:hAnsi="Palatino Linotype"/>
        </w:rPr>
        <w:t xml:space="preserve">promovido </w:t>
      </w:r>
      <w:r w:rsidR="005C250B" w:rsidRPr="001D57D4">
        <w:rPr>
          <w:rFonts w:ascii="Palatino Linotype" w:hAnsi="Palatino Linotype"/>
        </w:rPr>
        <w:t>por</w:t>
      </w:r>
      <w:r w:rsidR="003C773C" w:rsidRPr="001D57D4">
        <w:rPr>
          <w:rFonts w:ascii="Palatino Linotype" w:hAnsi="Palatino Linotype"/>
          <w:b/>
        </w:rPr>
        <w:t xml:space="preserve"> </w:t>
      </w:r>
      <w:r w:rsidR="001C3B29" w:rsidRPr="001D57D4">
        <w:rPr>
          <w:rFonts w:ascii="Palatino Linotype" w:hAnsi="Palatino Linotype"/>
          <w:b/>
        </w:rPr>
        <w:t>una persona de manera anónima</w:t>
      </w:r>
      <w:r w:rsidR="005C250B" w:rsidRPr="001D57D4">
        <w:rPr>
          <w:rFonts w:ascii="Palatino Linotype" w:hAnsi="Palatino Linotype"/>
        </w:rPr>
        <w:t>,</w:t>
      </w:r>
      <w:r w:rsidR="005C250B" w:rsidRPr="001D57D4">
        <w:rPr>
          <w:rFonts w:ascii="Palatino Linotype" w:hAnsi="Palatino Linotype" w:cs="Arial"/>
          <w:b/>
          <w:lang w:val="es-ES"/>
        </w:rPr>
        <w:t xml:space="preserve"> </w:t>
      </w:r>
      <w:r w:rsidR="000109C6" w:rsidRPr="001D57D4">
        <w:rPr>
          <w:rFonts w:ascii="Palatino Linotype" w:hAnsi="Palatino Linotype"/>
          <w:lang w:val="es-ES"/>
        </w:rPr>
        <w:t>a quien</w:t>
      </w:r>
      <w:r w:rsidR="005C250B" w:rsidRPr="001D57D4">
        <w:rPr>
          <w:rFonts w:ascii="Palatino Linotype" w:hAnsi="Palatino Linotype" w:cs="Arial"/>
          <w:b/>
          <w:lang w:val="es-ES"/>
        </w:rPr>
        <w:t xml:space="preserve"> </w:t>
      </w:r>
      <w:r w:rsidR="005C250B" w:rsidRPr="001D57D4">
        <w:rPr>
          <w:rFonts w:ascii="Palatino Linotype" w:hAnsi="Palatino Linotype"/>
        </w:rPr>
        <w:t xml:space="preserve">en lo sucesivo se denominará </w:t>
      </w:r>
      <w:r w:rsidR="00901AE2" w:rsidRPr="001D57D4">
        <w:rPr>
          <w:rFonts w:ascii="Palatino Linotype" w:hAnsi="Palatino Linotype" w:cs="Arial"/>
          <w:b/>
          <w:lang w:val="es-ES"/>
        </w:rPr>
        <w:t>EL</w:t>
      </w:r>
      <w:r w:rsidR="005C250B" w:rsidRPr="001D57D4">
        <w:rPr>
          <w:rFonts w:ascii="Palatino Linotype" w:hAnsi="Palatino Linotype" w:cs="Arial"/>
          <w:b/>
          <w:lang w:val="es-ES"/>
        </w:rPr>
        <w:t xml:space="preserve"> RECURRENTE</w:t>
      </w:r>
      <w:r w:rsidR="005C250B" w:rsidRPr="001D57D4">
        <w:rPr>
          <w:rFonts w:ascii="Palatino Linotype" w:hAnsi="Palatino Linotype"/>
        </w:rPr>
        <w:t>,</w:t>
      </w:r>
      <w:r w:rsidRPr="001D57D4">
        <w:rPr>
          <w:rFonts w:ascii="Palatino Linotype" w:hAnsi="Palatino Linotype"/>
        </w:rPr>
        <w:t xml:space="preserve"> </w:t>
      </w:r>
      <w:r w:rsidR="00E24730" w:rsidRPr="001D57D4">
        <w:rPr>
          <w:rFonts w:ascii="Palatino Linotype" w:hAnsi="Palatino Linotype"/>
        </w:rPr>
        <w:t xml:space="preserve">en contra de </w:t>
      </w:r>
      <w:r w:rsidR="00D25291" w:rsidRPr="001D57D4">
        <w:rPr>
          <w:rFonts w:ascii="Palatino Linotype" w:hAnsi="Palatino Linotype" w:cs="Arial"/>
          <w:lang w:val="es-ES"/>
        </w:rPr>
        <w:t xml:space="preserve">la </w:t>
      </w:r>
      <w:r w:rsidR="00E24730" w:rsidRPr="001D57D4">
        <w:rPr>
          <w:rFonts w:ascii="Palatino Linotype" w:hAnsi="Palatino Linotype" w:cs="Arial"/>
          <w:lang w:val="es-ES"/>
        </w:rPr>
        <w:t>respuesta</w:t>
      </w:r>
      <w:r w:rsidR="00F74502" w:rsidRPr="001D57D4">
        <w:rPr>
          <w:rFonts w:ascii="Palatino Linotype" w:hAnsi="Palatino Linotype" w:cs="Arial"/>
          <w:lang w:val="es-ES"/>
        </w:rPr>
        <w:t xml:space="preserve"> </w:t>
      </w:r>
      <w:r w:rsidR="00763CC0" w:rsidRPr="001D57D4">
        <w:rPr>
          <w:rFonts w:ascii="Palatino Linotype" w:hAnsi="Palatino Linotype" w:cs="Arial"/>
          <w:lang w:val="es-ES"/>
        </w:rPr>
        <w:t xml:space="preserve">emitida por el </w:t>
      </w:r>
      <w:r w:rsidR="001C3B29" w:rsidRPr="001D57D4">
        <w:rPr>
          <w:rFonts w:ascii="Palatino Linotype" w:hAnsi="Palatino Linotype" w:cs="Arial"/>
          <w:b/>
        </w:rPr>
        <w:t>Ayuntamiento de Zinacantepec</w:t>
      </w:r>
      <w:r w:rsidRPr="001D57D4">
        <w:rPr>
          <w:rFonts w:ascii="Palatino Linotype" w:hAnsi="Palatino Linotype"/>
          <w:b/>
        </w:rPr>
        <w:t xml:space="preserve">, </w:t>
      </w:r>
      <w:r w:rsidR="000109C6" w:rsidRPr="001D57D4">
        <w:rPr>
          <w:rFonts w:ascii="Palatino Linotype" w:hAnsi="Palatino Linotype"/>
        </w:rPr>
        <w:t>que</w:t>
      </w:r>
      <w:r w:rsidR="00A606B9" w:rsidRPr="001D57D4">
        <w:rPr>
          <w:rFonts w:ascii="Palatino Linotype" w:hAnsi="Palatino Linotype"/>
          <w:b/>
          <w:lang w:val="es-419"/>
        </w:rPr>
        <w:t xml:space="preserve"> </w:t>
      </w:r>
      <w:r w:rsidRPr="001D57D4">
        <w:rPr>
          <w:rFonts w:ascii="Palatino Linotype" w:hAnsi="Palatino Linotype"/>
        </w:rPr>
        <w:t xml:space="preserve">en lo sucesivo </w:t>
      </w:r>
      <w:r w:rsidR="009E2E2C" w:rsidRPr="001D57D4">
        <w:rPr>
          <w:rFonts w:ascii="Palatino Linotype" w:hAnsi="Palatino Linotype"/>
        </w:rPr>
        <w:t xml:space="preserve">se denominará </w:t>
      </w:r>
      <w:r w:rsidRPr="001D57D4">
        <w:rPr>
          <w:rFonts w:ascii="Palatino Linotype" w:hAnsi="Palatino Linotype"/>
          <w:b/>
        </w:rPr>
        <w:t>EL SUJETO OBLIGADO</w:t>
      </w:r>
      <w:r w:rsidRPr="001D57D4">
        <w:rPr>
          <w:rFonts w:ascii="Palatino Linotype" w:hAnsi="Palatino Linotype"/>
        </w:rPr>
        <w:t xml:space="preserve">, se procede a dictar la presente resolución con base en lo siguiente: </w:t>
      </w:r>
    </w:p>
    <w:p w14:paraId="6B4CC40D" w14:textId="661CCDBC" w:rsidR="00336D3F" w:rsidRDefault="00336D3F" w:rsidP="001D57D4">
      <w:pPr>
        <w:jc w:val="center"/>
        <w:rPr>
          <w:rFonts w:ascii="Palatino Linotype" w:hAnsi="Palatino Linotype"/>
        </w:rPr>
      </w:pPr>
    </w:p>
    <w:p w14:paraId="089B1089" w14:textId="77777777" w:rsidR="001D57D4" w:rsidRPr="001D57D4" w:rsidRDefault="001D57D4" w:rsidP="001D57D4">
      <w:pPr>
        <w:jc w:val="center"/>
        <w:rPr>
          <w:rFonts w:ascii="Palatino Linotype" w:hAnsi="Palatino Linotype"/>
        </w:rPr>
      </w:pPr>
    </w:p>
    <w:p w14:paraId="480E521A" w14:textId="77777777" w:rsidR="00457BB8" w:rsidRPr="001D57D4" w:rsidRDefault="00457BB8" w:rsidP="001D57D4">
      <w:pPr>
        <w:jc w:val="center"/>
        <w:rPr>
          <w:rFonts w:ascii="Palatino Linotype" w:hAnsi="Palatino Linotype"/>
          <w:b/>
          <w:bCs/>
          <w:spacing w:val="40"/>
          <w:sz w:val="28"/>
        </w:rPr>
      </w:pPr>
      <w:r w:rsidRPr="001D57D4">
        <w:rPr>
          <w:rFonts w:ascii="Palatino Linotype" w:hAnsi="Palatino Linotype"/>
          <w:b/>
          <w:bCs/>
          <w:spacing w:val="40"/>
          <w:sz w:val="28"/>
        </w:rPr>
        <w:t>RESULTANDO</w:t>
      </w:r>
    </w:p>
    <w:p w14:paraId="4D145FFC" w14:textId="779E9C29" w:rsidR="00336D3F" w:rsidRPr="001D57D4" w:rsidRDefault="00336D3F" w:rsidP="001D57D4">
      <w:pPr>
        <w:jc w:val="center"/>
        <w:rPr>
          <w:rFonts w:ascii="Palatino Linotype" w:hAnsi="Palatino Linotype"/>
          <w:b/>
          <w:bCs/>
          <w:spacing w:val="40"/>
        </w:rPr>
      </w:pPr>
    </w:p>
    <w:p w14:paraId="27A028CA" w14:textId="32CFF71D" w:rsidR="0046481A" w:rsidRPr="001D57D4" w:rsidRDefault="00457BB8" w:rsidP="001D57D4">
      <w:pPr>
        <w:spacing w:line="360" w:lineRule="auto"/>
        <w:jc w:val="both"/>
        <w:rPr>
          <w:rFonts w:ascii="Palatino Linotype" w:hAnsi="Palatino Linotype"/>
          <w:b/>
          <w:sz w:val="28"/>
          <w:szCs w:val="28"/>
        </w:rPr>
      </w:pPr>
      <w:r w:rsidRPr="001D57D4">
        <w:rPr>
          <w:rFonts w:ascii="Palatino Linotype" w:hAnsi="Palatino Linotype"/>
          <w:b/>
          <w:sz w:val="28"/>
          <w:szCs w:val="28"/>
        </w:rPr>
        <w:t xml:space="preserve">I. </w:t>
      </w:r>
      <w:r w:rsidR="00747069" w:rsidRPr="001D57D4">
        <w:rPr>
          <w:rFonts w:ascii="Palatino Linotype" w:hAnsi="Palatino Linotype"/>
          <w:b/>
          <w:sz w:val="28"/>
          <w:szCs w:val="28"/>
        </w:rPr>
        <w:t>De la Solicitud de Información</w:t>
      </w:r>
    </w:p>
    <w:p w14:paraId="4DB7B57B" w14:textId="08B85691" w:rsidR="00B41543" w:rsidRPr="001D57D4" w:rsidRDefault="00F6043D" w:rsidP="001D57D4">
      <w:pPr>
        <w:spacing w:line="360" w:lineRule="auto"/>
        <w:jc w:val="both"/>
        <w:rPr>
          <w:rFonts w:ascii="Palatino Linotype" w:hAnsi="Palatino Linotype"/>
        </w:rPr>
      </w:pPr>
      <w:r w:rsidRPr="001D57D4">
        <w:rPr>
          <w:rFonts w:ascii="Palatino Linotype" w:hAnsi="Palatino Linotype" w:cs="Arial"/>
        </w:rPr>
        <w:t>E</w:t>
      </w:r>
      <w:r w:rsidR="009C3226" w:rsidRPr="001D57D4">
        <w:rPr>
          <w:rFonts w:ascii="Palatino Linotype" w:hAnsi="Palatino Linotype" w:cs="Arial"/>
        </w:rPr>
        <w:t>l</w:t>
      </w:r>
      <w:r w:rsidRPr="001D57D4">
        <w:rPr>
          <w:rFonts w:ascii="Palatino Linotype" w:hAnsi="Palatino Linotype" w:cs="Arial"/>
        </w:rPr>
        <w:t xml:space="preserve"> </w:t>
      </w:r>
      <w:r w:rsidR="007E32FC" w:rsidRPr="001D57D4">
        <w:rPr>
          <w:rFonts w:ascii="Palatino Linotype" w:hAnsi="Palatino Linotype" w:cs="Arial"/>
          <w:b/>
        </w:rPr>
        <w:t>dos</w:t>
      </w:r>
      <w:r w:rsidR="00763CC0" w:rsidRPr="001D57D4">
        <w:rPr>
          <w:rFonts w:ascii="Palatino Linotype" w:hAnsi="Palatino Linotype" w:cs="Arial"/>
          <w:b/>
        </w:rPr>
        <w:t xml:space="preserve"> de agosto</w:t>
      </w:r>
      <w:r w:rsidR="001C3B29" w:rsidRPr="001D57D4">
        <w:rPr>
          <w:rFonts w:ascii="Palatino Linotype" w:hAnsi="Palatino Linotype" w:cs="Arial"/>
          <w:b/>
        </w:rPr>
        <w:t xml:space="preserve"> </w:t>
      </w:r>
      <w:r w:rsidR="002A640F" w:rsidRPr="001D57D4">
        <w:rPr>
          <w:rFonts w:ascii="Palatino Linotype" w:hAnsi="Palatino Linotype" w:cs="Arial"/>
          <w:b/>
        </w:rPr>
        <w:t xml:space="preserve">de </w:t>
      </w:r>
      <w:r w:rsidR="00CA280A" w:rsidRPr="001D57D4">
        <w:rPr>
          <w:rFonts w:ascii="Palatino Linotype" w:hAnsi="Palatino Linotype" w:cs="Arial"/>
          <w:b/>
        </w:rPr>
        <w:t xml:space="preserve">dos </w:t>
      </w:r>
      <w:r w:rsidR="00901AE2" w:rsidRPr="001D57D4">
        <w:rPr>
          <w:rFonts w:ascii="Palatino Linotype" w:hAnsi="Palatino Linotype" w:cs="Arial"/>
          <w:b/>
        </w:rPr>
        <w:t>mil veintitrés</w:t>
      </w:r>
      <w:r w:rsidRPr="001D57D4">
        <w:rPr>
          <w:rFonts w:ascii="Palatino Linotype" w:hAnsi="Palatino Linotype" w:cs="Arial"/>
        </w:rPr>
        <w:t xml:space="preserve">, </w:t>
      </w:r>
      <w:r w:rsidR="00901AE2" w:rsidRPr="001D57D4">
        <w:rPr>
          <w:rFonts w:ascii="Palatino Linotype" w:hAnsi="Palatino Linotype" w:cs="Arial"/>
          <w:b/>
          <w:lang w:val="es-ES"/>
        </w:rPr>
        <w:t>EL</w:t>
      </w:r>
      <w:r w:rsidRPr="001D57D4">
        <w:rPr>
          <w:rFonts w:ascii="Palatino Linotype" w:hAnsi="Palatino Linotype"/>
          <w:b/>
        </w:rPr>
        <w:t xml:space="preserve"> RECURRENTE</w:t>
      </w:r>
      <w:r w:rsidRPr="001D57D4">
        <w:rPr>
          <w:rFonts w:ascii="Palatino Linotype" w:hAnsi="Palatino Linotype" w:cs="Arial"/>
        </w:rPr>
        <w:t xml:space="preserve"> presentó a través </w:t>
      </w:r>
      <w:r w:rsidR="00BD4D9A" w:rsidRPr="001D57D4">
        <w:rPr>
          <w:rFonts w:ascii="Palatino Linotype" w:hAnsi="Palatino Linotype" w:cs="Arial"/>
        </w:rPr>
        <w:t>de</w:t>
      </w:r>
      <w:r w:rsidRPr="001D57D4">
        <w:rPr>
          <w:rFonts w:ascii="Palatino Linotype" w:hAnsi="Palatino Linotype" w:cs="Arial"/>
        </w:rPr>
        <w:t xml:space="preserve">l Sistema de Acceso a la Información Mexiquense, que en lo subsecuente se denominará </w:t>
      </w:r>
      <w:r w:rsidRPr="001D57D4">
        <w:rPr>
          <w:rFonts w:ascii="Palatino Linotype" w:hAnsi="Palatino Linotype" w:cs="Arial"/>
          <w:b/>
        </w:rPr>
        <w:t>EL SAIMEX</w:t>
      </w:r>
      <w:r w:rsidRPr="001D57D4">
        <w:rPr>
          <w:rFonts w:ascii="Palatino Linotype" w:hAnsi="Palatino Linotype" w:cs="Arial"/>
        </w:rPr>
        <w:t xml:space="preserve"> ante </w:t>
      </w:r>
      <w:r w:rsidRPr="001D57D4">
        <w:rPr>
          <w:rFonts w:ascii="Palatino Linotype" w:hAnsi="Palatino Linotype" w:cs="Arial"/>
          <w:b/>
        </w:rPr>
        <w:t>EL SUJETO OBLIGADO</w:t>
      </w:r>
      <w:r w:rsidRPr="001D57D4">
        <w:rPr>
          <w:rFonts w:ascii="Palatino Linotype" w:hAnsi="Palatino Linotype" w:cs="Arial"/>
        </w:rPr>
        <w:t>, la solicitud de acceso a la información pública,</w:t>
      </w:r>
      <w:r w:rsidR="00901AE2" w:rsidRPr="001D57D4">
        <w:rPr>
          <w:rFonts w:ascii="Palatino Linotype" w:hAnsi="Palatino Linotype" w:cs="Arial"/>
        </w:rPr>
        <w:t xml:space="preserve"> </w:t>
      </w:r>
      <w:r w:rsidR="00304A50" w:rsidRPr="001D57D4">
        <w:rPr>
          <w:rFonts w:ascii="Palatino Linotype" w:hAnsi="Palatino Linotype" w:cs="Arial"/>
        </w:rPr>
        <w:t>a la que</w:t>
      </w:r>
      <w:r w:rsidRPr="001D57D4">
        <w:rPr>
          <w:rFonts w:ascii="Palatino Linotype" w:hAnsi="Palatino Linotype" w:cs="Arial"/>
        </w:rPr>
        <w:t xml:space="preserve"> se le asignó el número de expediente</w:t>
      </w:r>
      <w:r w:rsidRPr="001D57D4">
        <w:rPr>
          <w:rFonts w:ascii="Palatino Linotype" w:hAnsi="Palatino Linotype" w:cs="Arial"/>
          <w:b/>
        </w:rPr>
        <w:t xml:space="preserve"> </w:t>
      </w:r>
      <w:r w:rsidR="007E32FC" w:rsidRPr="001D57D4">
        <w:rPr>
          <w:rFonts w:ascii="Palatino Linotype" w:hAnsi="Palatino Linotype"/>
          <w:b/>
          <w:bCs/>
        </w:rPr>
        <w:t>01084</w:t>
      </w:r>
      <w:r w:rsidR="00763CC0" w:rsidRPr="001D57D4">
        <w:rPr>
          <w:rFonts w:ascii="Palatino Linotype" w:hAnsi="Palatino Linotype"/>
          <w:b/>
          <w:bCs/>
        </w:rPr>
        <w:t>/ZINACANT/IP/2023</w:t>
      </w:r>
      <w:r w:rsidRPr="001D57D4">
        <w:rPr>
          <w:rFonts w:ascii="Palatino Linotype" w:hAnsi="Palatino Linotype" w:cs="Arial"/>
          <w:b/>
        </w:rPr>
        <w:t>,</w:t>
      </w:r>
      <w:r w:rsidRPr="001D57D4">
        <w:rPr>
          <w:rFonts w:ascii="Palatino Linotype" w:hAnsi="Palatino Linotype"/>
        </w:rPr>
        <w:t xml:space="preserve"> mediante la cual requirió lo </w:t>
      </w:r>
      <w:r w:rsidRPr="001D57D4">
        <w:rPr>
          <w:rFonts w:ascii="Palatino Linotype" w:hAnsi="Palatino Linotype" w:cs="Arial"/>
        </w:rPr>
        <w:t>siguiente</w:t>
      </w:r>
      <w:r w:rsidRPr="001D57D4">
        <w:rPr>
          <w:rFonts w:ascii="Palatino Linotype" w:hAnsi="Palatino Linotype"/>
        </w:rPr>
        <w:t>:</w:t>
      </w:r>
    </w:p>
    <w:p w14:paraId="487D4FF9" w14:textId="77777777" w:rsidR="00DB38DB" w:rsidRPr="001D57D4" w:rsidRDefault="00DB38DB" w:rsidP="001D57D4">
      <w:pPr>
        <w:spacing w:line="360" w:lineRule="auto"/>
        <w:jc w:val="both"/>
        <w:rPr>
          <w:rFonts w:ascii="Palatino Linotype" w:hAnsi="Palatino Linotype" w:cs="Arial"/>
          <w:b/>
          <w:bCs/>
          <w:lang w:val="es-ES"/>
        </w:rPr>
      </w:pPr>
    </w:p>
    <w:p w14:paraId="13BC2DF0" w14:textId="66D67FCB" w:rsidR="00457BB8" w:rsidRPr="001D57D4" w:rsidRDefault="00457BB8" w:rsidP="001D57D4">
      <w:pPr>
        <w:tabs>
          <w:tab w:val="left" w:pos="851"/>
        </w:tabs>
        <w:ind w:left="851" w:right="901"/>
        <w:jc w:val="both"/>
        <w:rPr>
          <w:rFonts w:ascii="Palatino Linotype" w:hAnsi="Palatino Linotype" w:cs="Arial"/>
          <w:i/>
          <w:sz w:val="22"/>
          <w:szCs w:val="22"/>
        </w:rPr>
      </w:pPr>
      <w:r w:rsidRPr="001D57D4">
        <w:rPr>
          <w:rFonts w:ascii="Palatino Linotype" w:hAnsi="Palatino Linotype" w:cs="Arial"/>
          <w:i/>
          <w:sz w:val="22"/>
          <w:szCs w:val="22"/>
        </w:rPr>
        <w:t>“</w:t>
      </w:r>
      <w:r w:rsidR="007E32FC" w:rsidRPr="001D57D4">
        <w:rPr>
          <w:rFonts w:ascii="Palatino Linotype" w:hAnsi="Palatino Linotype" w:cs="Arial"/>
          <w:i/>
          <w:sz w:val="22"/>
          <w:szCs w:val="22"/>
        </w:rPr>
        <w:t>SOLICITO LA RENUNCIA DE LA TESORERA MUNICIPAL, TODOS SUS RECIBOS DE NÓMINA, SU NOMBRAMIENTO Y SU ENTREGA RECEPCIÓN</w:t>
      </w:r>
      <w:r w:rsidR="000109C6" w:rsidRPr="001D57D4">
        <w:rPr>
          <w:rFonts w:ascii="Palatino Linotype" w:hAnsi="Palatino Linotype" w:cs="Arial"/>
          <w:i/>
          <w:sz w:val="22"/>
          <w:szCs w:val="22"/>
        </w:rPr>
        <w:t>” (S</w:t>
      </w:r>
      <w:r w:rsidRPr="001D57D4">
        <w:rPr>
          <w:rFonts w:ascii="Palatino Linotype" w:hAnsi="Palatino Linotype" w:cs="Arial"/>
          <w:i/>
          <w:sz w:val="22"/>
          <w:szCs w:val="22"/>
        </w:rPr>
        <w:t>ic)</w:t>
      </w:r>
    </w:p>
    <w:p w14:paraId="3E93CB2B" w14:textId="183B748C" w:rsidR="003A4542" w:rsidRPr="001D57D4" w:rsidRDefault="003A4542" w:rsidP="001D57D4">
      <w:pPr>
        <w:tabs>
          <w:tab w:val="left" w:pos="851"/>
        </w:tabs>
        <w:ind w:left="851" w:right="901"/>
        <w:jc w:val="both"/>
        <w:rPr>
          <w:rFonts w:ascii="Palatino Linotype" w:hAnsi="Palatino Linotype" w:cs="Arial"/>
          <w:i/>
          <w:sz w:val="22"/>
          <w:szCs w:val="22"/>
        </w:rPr>
      </w:pPr>
    </w:p>
    <w:p w14:paraId="3BF2E631" w14:textId="77777777" w:rsidR="001C3B29" w:rsidRPr="001D57D4" w:rsidRDefault="001C3B29" w:rsidP="001D57D4">
      <w:pPr>
        <w:tabs>
          <w:tab w:val="left" w:pos="851"/>
        </w:tabs>
        <w:ind w:left="851" w:right="901"/>
        <w:jc w:val="both"/>
        <w:rPr>
          <w:rFonts w:ascii="Palatino Linotype" w:hAnsi="Palatino Linotype" w:cs="Arial"/>
          <w:i/>
          <w:sz w:val="22"/>
          <w:szCs w:val="22"/>
        </w:rPr>
      </w:pPr>
    </w:p>
    <w:p w14:paraId="3FD608C6" w14:textId="77777777" w:rsidR="001D57D4" w:rsidRDefault="001D57D4" w:rsidP="001D57D4">
      <w:pPr>
        <w:spacing w:line="360" w:lineRule="auto"/>
        <w:jc w:val="both"/>
        <w:rPr>
          <w:rFonts w:ascii="Palatino Linotype" w:hAnsi="Palatino Linotype" w:cs="Arial"/>
          <w:b/>
        </w:rPr>
      </w:pPr>
    </w:p>
    <w:p w14:paraId="33E0243E" w14:textId="77777777" w:rsidR="00457BB8" w:rsidRPr="001D57D4" w:rsidRDefault="00457BB8" w:rsidP="001D57D4">
      <w:pPr>
        <w:spacing w:line="360" w:lineRule="auto"/>
        <w:jc w:val="both"/>
        <w:rPr>
          <w:rFonts w:ascii="Palatino Linotype" w:hAnsi="Palatino Linotype" w:cs="Arial"/>
          <w:b/>
        </w:rPr>
      </w:pPr>
      <w:r w:rsidRPr="001D57D4">
        <w:rPr>
          <w:rFonts w:ascii="Palatino Linotype" w:hAnsi="Palatino Linotype" w:cs="Arial"/>
          <w:b/>
        </w:rPr>
        <w:t>MODALIDAD DE ENTREGA:</w:t>
      </w:r>
      <w:r w:rsidRPr="001D57D4">
        <w:rPr>
          <w:rFonts w:ascii="Palatino Linotype" w:hAnsi="Palatino Linotype" w:cs="Arial"/>
        </w:rPr>
        <w:t xml:space="preserve"> Vía </w:t>
      </w:r>
      <w:r w:rsidRPr="001D57D4">
        <w:rPr>
          <w:rFonts w:ascii="Palatino Linotype" w:hAnsi="Palatino Linotype" w:cs="Arial"/>
          <w:b/>
        </w:rPr>
        <w:t>SAIMEX.</w:t>
      </w:r>
    </w:p>
    <w:p w14:paraId="7637505C" w14:textId="77777777" w:rsidR="00763CC0" w:rsidRPr="001D57D4" w:rsidRDefault="00763CC0" w:rsidP="001D57D4">
      <w:pPr>
        <w:spacing w:line="360" w:lineRule="auto"/>
        <w:jc w:val="both"/>
        <w:rPr>
          <w:rFonts w:ascii="Palatino Linotype" w:eastAsia="Calibri" w:hAnsi="Palatino Linotype" w:cs="Arial"/>
          <w:b/>
          <w:bCs/>
          <w:sz w:val="26"/>
          <w:szCs w:val="26"/>
          <w:lang w:val="es-ES" w:eastAsia="en-US"/>
        </w:rPr>
      </w:pPr>
      <w:bookmarkStart w:id="0" w:name="_Hlk149220382"/>
      <w:r w:rsidRPr="001D57D4">
        <w:rPr>
          <w:rFonts w:ascii="Palatino Linotype" w:eastAsia="Calibri" w:hAnsi="Palatino Linotype" w:cs="Arial"/>
          <w:b/>
          <w:bCs/>
          <w:sz w:val="26"/>
          <w:szCs w:val="26"/>
          <w:lang w:val="es-ES" w:eastAsia="en-US"/>
        </w:rPr>
        <w:lastRenderedPageBreak/>
        <w:t>II. Turno de la solicitud de información.</w:t>
      </w:r>
    </w:p>
    <w:p w14:paraId="0394E062" w14:textId="4156C16E" w:rsidR="001C3B29" w:rsidRPr="001D57D4" w:rsidRDefault="00763CC0" w:rsidP="001D57D4">
      <w:pPr>
        <w:spacing w:line="360" w:lineRule="auto"/>
        <w:jc w:val="both"/>
        <w:rPr>
          <w:rFonts w:ascii="Palatino Linotype" w:eastAsia="Calibri" w:hAnsi="Palatino Linotype" w:cs="Arial"/>
          <w:bCs/>
          <w:lang w:val="es-ES" w:eastAsia="en-US"/>
        </w:rPr>
      </w:pPr>
      <w:r w:rsidRPr="001D57D4">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7E32FC" w:rsidRPr="001D57D4">
        <w:rPr>
          <w:rFonts w:ascii="Palatino Linotype" w:eastAsia="Calibri" w:hAnsi="Palatino Linotype" w:cs="Arial"/>
          <w:b/>
          <w:bCs/>
          <w:lang w:val="es-ES" w:eastAsia="en-US"/>
        </w:rPr>
        <w:t xml:space="preserve">ocho </w:t>
      </w:r>
      <w:r w:rsidR="009B5FFB" w:rsidRPr="001D57D4">
        <w:rPr>
          <w:rFonts w:ascii="Palatino Linotype" w:eastAsia="Calibri" w:hAnsi="Palatino Linotype" w:cs="Arial"/>
          <w:b/>
          <w:bCs/>
          <w:lang w:val="es-ES" w:eastAsia="en-US"/>
        </w:rPr>
        <w:t>de agosto</w:t>
      </w:r>
      <w:r w:rsidR="00FB5EC0" w:rsidRPr="001D57D4">
        <w:rPr>
          <w:rFonts w:ascii="Palatino Linotype" w:eastAsia="Calibri" w:hAnsi="Palatino Linotype" w:cs="Arial"/>
          <w:b/>
          <w:bCs/>
          <w:lang w:val="es-ES" w:eastAsia="en-US"/>
        </w:rPr>
        <w:t xml:space="preserve"> de dos mil veintitrés</w:t>
      </w:r>
      <w:r w:rsidR="00FB5EC0" w:rsidRPr="001D57D4">
        <w:rPr>
          <w:rFonts w:ascii="Palatino Linotype" w:eastAsia="Calibri" w:hAnsi="Palatino Linotype" w:cs="Arial"/>
          <w:bCs/>
          <w:lang w:val="es-ES" w:eastAsia="en-US"/>
        </w:rPr>
        <w:t>,</w:t>
      </w:r>
      <w:r w:rsidRPr="001D57D4">
        <w:rPr>
          <w:rFonts w:ascii="Palatino Linotype" w:eastAsia="Calibri" w:hAnsi="Palatino Linotype" w:cs="Arial"/>
          <w:bCs/>
          <w:lang w:val="es-ES" w:eastAsia="en-US"/>
        </w:rPr>
        <w:t xml:space="preserve"> </w:t>
      </w:r>
      <w:r w:rsidR="009B5FFB" w:rsidRPr="001D57D4">
        <w:rPr>
          <w:rFonts w:ascii="Palatino Linotype" w:eastAsia="Calibri" w:hAnsi="Palatino Linotype" w:cs="Arial"/>
          <w:bCs/>
          <w:lang w:val="es-ES" w:eastAsia="en-US"/>
        </w:rPr>
        <w:t>la</w:t>
      </w:r>
      <w:r w:rsidRPr="001D57D4">
        <w:rPr>
          <w:rFonts w:ascii="Palatino Linotype" w:eastAsia="Calibri" w:hAnsi="Palatino Linotype" w:cs="Arial"/>
          <w:bCs/>
          <w:lang w:val="es-ES" w:eastAsia="en-US"/>
        </w:rPr>
        <w:t xml:space="preserve"> Titular de la Unidad de Transparencia del Sujeto Obligado, turnó el requerimiento de información a los servidores públicos habilitados que estimó pertinente, a fin de colmar la solicitud de acceso a la información; tal y como, se aprecia en la siguiente imagen:</w:t>
      </w:r>
      <w:bookmarkEnd w:id="0"/>
    </w:p>
    <w:p w14:paraId="39686E3B" w14:textId="77777777" w:rsidR="00DB38DB" w:rsidRPr="001D57D4" w:rsidRDefault="00DB38DB" w:rsidP="001D57D4">
      <w:pPr>
        <w:spacing w:line="360" w:lineRule="auto"/>
        <w:jc w:val="both"/>
        <w:rPr>
          <w:rFonts w:ascii="Palatino Linotype" w:hAnsi="Palatino Linotype"/>
          <w:b/>
          <w:sz w:val="28"/>
          <w:szCs w:val="28"/>
        </w:rPr>
      </w:pPr>
    </w:p>
    <w:p w14:paraId="3921A726" w14:textId="17C3F1D9" w:rsidR="00763CC0" w:rsidRPr="001D57D4" w:rsidRDefault="007E32FC" w:rsidP="001D57D4">
      <w:pPr>
        <w:spacing w:line="360" w:lineRule="auto"/>
        <w:jc w:val="center"/>
        <w:rPr>
          <w:rFonts w:ascii="Palatino Linotype" w:hAnsi="Palatino Linotype"/>
        </w:rPr>
      </w:pPr>
      <w:r w:rsidRPr="001D57D4">
        <w:rPr>
          <w:rFonts w:ascii="Palatino Linotype" w:hAnsi="Palatino Linotype"/>
          <w:noProof/>
          <w:lang w:eastAsia="es-MX"/>
        </w:rPr>
        <w:drawing>
          <wp:inline distT="0" distB="0" distL="0" distR="0" wp14:anchorId="0AFD4011" wp14:editId="11C398A7">
            <wp:extent cx="5781675" cy="18764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876425"/>
                    </a:xfrm>
                    <a:prstGeom prst="rect">
                      <a:avLst/>
                    </a:prstGeom>
                    <a:noFill/>
                    <a:ln>
                      <a:noFill/>
                    </a:ln>
                  </pic:spPr>
                </pic:pic>
              </a:graphicData>
            </a:graphic>
          </wp:inline>
        </w:drawing>
      </w:r>
    </w:p>
    <w:p w14:paraId="7D4114DC" w14:textId="6D5597A5" w:rsidR="00763CC0" w:rsidRPr="001D57D4" w:rsidRDefault="00763CC0" w:rsidP="001D57D4">
      <w:pPr>
        <w:spacing w:line="360" w:lineRule="auto"/>
        <w:jc w:val="both"/>
        <w:rPr>
          <w:rFonts w:ascii="Palatino Linotype" w:hAnsi="Palatino Linotype"/>
        </w:rPr>
      </w:pPr>
    </w:p>
    <w:p w14:paraId="6FF61F9E" w14:textId="5D35387A" w:rsidR="009B5FFB" w:rsidRPr="001D57D4" w:rsidRDefault="009B5FFB" w:rsidP="001D57D4">
      <w:pPr>
        <w:spacing w:line="360" w:lineRule="auto"/>
        <w:jc w:val="both"/>
        <w:rPr>
          <w:rFonts w:ascii="Palatino Linotype" w:hAnsi="Palatino Linotype"/>
          <w:sz w:val="26"/>
          <w:szCs w:val="26"/>
        </w:rPr>
      </w:pPr>
      <w:bookmarkStart w:id="1" w:name="_Hlk149220418"/>
      <w:r w:rsidRPr="001D57D4">
        <w:rPr>
          <w:rFonts w:ascii="Palatino Linotype" w:hAnsi="Palatino Linotype"/>
          <w:b/>
          <w:sz w:val="26"/>
          <w:szCs w:val="26"/>
        </w:rPr>
        <w:t>III.</w:t>
      </w:r>
      <w:r w:rsidRPr="001D57D4">
        <w:rPr>
          <w:rFonts w:ascii="Palatino Linotype" w:hAnsi="Palatino Linotype"/>
          <w:sz w:val="26"/>
          <w:szCs w:val="26"/>
        </w:rPr>
        <w:t xml:space="preserve"> </w:t>
      </w:r>
      <w:r w:rsidRPr="001D57D4">
        <w:rPr>
          <w:rFonts w:ascii="Palatino Linotype" w:hAnsi="Palatino Linotype"/>
          <w:b/>
          <w:sz w:val="26"/>
          <w:szCs w:val="26"/>
        </w:rPr>
        <w:t>Prórroga</w:t>
      </w:r>
    </w:p>
    <w:p w14:paraId="5027D5C7" w14:textId="46811B80" w:rsidR="009B5FFB" w:rsidRPr="001D57D4" w:rsidRDefault="009B5FFB" w:rsidP="001D57D4">
      <w:pPr>
        <w:spacing w:line="360" w:lineRule="auto"/>
        <w:jc w:val="both"/>
        <w:rPr>
          <w:rFonts w:ascii="Palatino Linotype" w:hAnsi="Palatino Linotype"/>
          <w:b/>
          <w:sz w:val="22"/>
          <w:szCs w:val="22"/>
        </w:rPr>
      </w:pPr>
      <w:r w:rsidRPr="001D57D4">
        <w:rPr>
          <w:rFonts w:ascii="Palatino Linotype" w:hAnsi="Palatino Linotype"/>
        </w:rPr>
        <w:t xml:space="preserve">De las constancias que obran en </w:t>
      </w:r>
      <w:r w:rsidRPr="001D57D4">
        <w:rPr>
          <w:rFonts w:ascii="Palatino Linotype" w:hAnsi="Palatino Linotype"/>
          <w:b/>
        </w:rPr>
        <w:t>EL SAIMEX,</w:t>
      </w:r>
      <w:r w:rsidRPr="001D57D4">
        <w:rPr>
          <w:rFonts w:ascii="Palatino Linotype" w:hAnsi="Palatino Linotype"/>
        </w:rPr>
        <w:t xml:space="preserve"> se advierte que el </w:t>
      </w:r>
      <w:r w:rsidR="007E32FC" w:rsidRPr="001D57D4">
        <w:rPr>
          <w:rFonts w:ascii="Palatino Linotype" w:hAnsi="Palatino Linotype"/>
          <w:b/>
        </w:rPr>
        <w:t>veintitrés</w:t>
      </w:r>
      <w:r w:rsidR="005B77A0" w:rsidRPr="001D57D4">
        <w:rPr>
          <w:rFonts w:ascii="Palatino Linotype" w:hAnsi="Palatino Linotype"/>
          <w:b/>
        </w:rPr>
        <w:t xml:space="preserve"> de agosto</w:t>
      </w:r>
      <w:r w:rsidR="00FB5EC0" w:rsidRPr="001D57D4">
        <w:rPr>
          <w:rFonts w:ascii="Palatino Linotype" w:hAnsi="Palatino Linotype"/>
          <w:b/>
        </w:rPr>
        <w:t xml:space="preserve"> de dos mil veintitrés</w:t>
      </w:r>
      <w:r w:rsidRPr="001D57D4">
        <w:rPr>
          <w:rFonts w:ascii="Palatino Linotype" w:hAnsi="Palatino Linotype"/>
        </w:rPr>
        <w:t xml:space="preserve">, </w:t>
      </w:r>
      <w:r w:rsidRPr="001D57D4">
        <w:rPr>
          <w:rFonts w:ascii="Palatino Linotype" w:hAnsi="Palatino Linotype"/>
          <w:b/>
        </w:rPr>
        <w:t xml:space="preserve">EL SUJETO OBLIGADO </w:t>
      </w:r>
      <w:r w:rsidRPr="001D57D4">
        <w:rPr>
          <w:rFonts w:ascii="Palatino Linotype" w:hAnsi="Palatino Linotype"/>
        </w:rPr>
        <w:t xml:space="preserve">notificó una prórroga de siete días para dar respuesta a la solicitud de información planteada por </w:t>
      </w:r>
      <w:r w:rsidRPr="001D57D4">
        <w:rPr>
          <w:rFonts w:ascii="Palatino Linotype" w:hAnsi="Palatino Linotype" w:cs="Arial"/>
          <w:b/>
          <w:lang w:val="es-ES"/>
        </w:rPr>
        <w:t>EL RECURRENTE</w:t>
      </w:r>
      <w:r w:rsidRPr="001D57D4">
        <w:rPr>
          <w:rFonts w:ascii="Palatino Linotype" w:hAnsi="Palatino Linotype"/>
        </w:rPr>
        <w:t>, en los siguientes términos:</w:t>
      </w:r>
    </w:p>
    <w:p w14:paraId="234103FE" w14:textId="77777777" w:rsidR="009B5FFB" w:rsidRPr="001D57D4" w:rsidRDefault="009B5FFB" w:rsidP="001D57D4">
      <w:pPr>
        <w:spacing w:line="360" w:lineRule="auto"/>
        <w:jc w:val="both"/>
        <w:rPr>
          <w:rFonts w:ascii="Palatino Linotype" w:hAnsi="Palatino Linotype"/>
          <w:b/>
          <w:sz w:val="22"/>
          <w:szCs w:val="22"/>
        </w:rPr>
      </w:pPr>
    </w:p>
    <w:p w14:paraId="056D1EDC" w14:textId="565B8C45" w:rsidR="005B77A0" w:rsidRPr="001D57D4" w:rsidRDefault="009B5FFB" w:rsidP="001D57D4">
      <w:pPr>
        <w:ind w:left="851" w:right="899"/>
        <w:jc w:val="both"/>
        <w:rPr>
          <w:rFonts w:ascii="Palatino Linotype" w:hAnsi="Palatino Linotype" w:cs="Arial"/>
          <w:i/>
          <w:sz w:val="22"/>
          <w:szCs w:val="22"/>
        </w:rPr>
      </w:pPr>
      <w:r w:rsidRPr="001D57D4">
        <w:rPr>
          <w:rFonts w:ascii="Palatino Linotype" w:hAnsi="Palatino Linotype" w:cs="Arial"/>
          <w:i/>
          <w:sz w:val="22"/>
          <w:szCs w:val="22"/>
        </w:rPr>
        <w:t>“</w:t>
      </w:r>
      <w:r w:rsidR="007E32FC" w:rsidRPr="001D57D4">
        <w:rPr>
          <w:rFonts w:ascii="Palatino Linotype" w:hAnsi="Palatino Linotype" w:cs="Arial"/>
          <w:i/>
          <w:sz w:val="22"/>
          <w:szCs w:val="22"/>
        </w:rPr>
        <w:t>Folio de la solicitud: 01084</w:t>
      </w:r>
      <w:r w:rsidR="005B77A0" w:rsidRPr="001D57D4">
        <w:rPr>
          <w:rFonts w:ascii="Palatino Linotype" w:hAnsi="Palatino Linotype" w:cs="Arial"/>
          <w:i/>
          <w:sz w:val="22"/>
          <w:szCs w:val="22"/>
        </w:rPr>
        <w:t>/ZINACANT/IP/2023</w:t>
      </w:r>
    </w:p>
    <w:p w14:paraId="46457F44" w14:textId="77777777" w:rsidR="005B77A0" w:rsidRPr="001D57D4" w:rsidRDefault="005B77A0" w:rsidP="001D57D4">
      <w:pPr>
        <w:ind w:left="851" w:right="899"/>
        <w:jc w:val="both"/>
        <w:rPr>
          <w:rFonts w:ascii="Palatino Linotype" w:hAnsi="Palatino Linotype" w:cs="Arial"/>
          <w:i/>
          <w:sz w:val="22"/>
          <w:szCs w:val="22"/>
        </w:rPr>
      </w:pPr>
      <w:r w:rsidRPr="001D57D4">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3302705" w14:textId="77777777" w:rsidR="005B77A0" w:rsidRPr="001D57D4" w:rsidRDefault="005B77A0" w:rsidP="001D57D4">
      <w:pPr>
        <w:ind w:left="851" w:right="899"/>
        <w:jc w:val="both"/>
        <w:rPr>
          <w:rFonts w:ascii="Palatino Linotype" w:hAnsi="Palatino Linotype" w:cs="Arial"/>
          <w:i/>
          <w:sz w:val="22"/>
          <w:szCs w:val="22"/>
        </w:rPr>
      </w:pPr>
      <w:r w:rsidRPr="001D57D4">
        <w:rPr>
          <w:rFonts w:ascii="Palatino Linotype" w:hAnsi="Palatino Linotype" w:cs="Arial"/>
          <w:i/>
          <w:sz w:val="22"/>
          <w:szCs w:val="22"/>
        </w:rPr>
        <w:lastRenderedPageBreak/>
        <w:t>Con fundamento en el artículo 163 de la Ley de Transparencia y Acceso a la Información Pública del Estado de México y Municipios se aprueba prórroga solicitada con la finalidad de dar cabal cumplimiento a su requerimiento.</w:t>
      </w:r>
    </w:p>
    <w:p w14:paraId="6475EBAD" w14:textId="77777777" w:rsidR="00FB5EC0" w:rsidRPr="001D57D4" w:rsidRDefault="00FB5EC0" w:rsidP="001D57D4">
      <w:pPr>
        <w:ind w:left="851" w:right="899"/>
        <w:jc w:val="both"/>
        <w:rPr>
          <w:rFonts w:ascii="Palatino Linotype" w:hAnsi="Palatino Linotype" w:cs="Arial"/>
          <w:i/>
          <w:sz w:val="22"/>
          <w:szCs w:val="22"/>
        </w:rPr>
      </w:pPr>
    </w:p>
    <w:p w14:paraId="1955EA6C" w14:textId="77777777" w:rsidR="005B77A0" w:rsidRPr="001D57D4" w:rsidRDefault="005B77A0" w:rsidP="001D57D4">
      <w:pPr>
        <w:ind w:left="851" w:right="899"/>
        <w:jc w:val="both"/>
        <w:rPr>
          <w:rFonts w:ascii="Palatino Linotype" w:hAnsi="Palatino Linotype" w:cs="Arial"/>
          <w:i/>
          <w:sz w:val="22"/>
          <w:szCs w:val="22"/>
        </w:rPr>
      </w:pPr>
      <w:r w:rsidRPr="001D57D4">
        <w:rPr>
          <w:rFonts w:ascii="Palatino Linotype" w:hAnsi="Palatino Linotype" w:cs="Arial"/>
          <w:i/>
          <w:sz w:val="22"/>
          <w:szCs w:val="22"/>
        </w:rPr>
        <w:t>BRENDA SELENE HERNANDEZ LOPEZ</w:t>
      </w:r>
    </w:p>
    <w:p w14:paraId="07A774C7" w14:textId="100EF19A" w:rsidR="009B5FFB" w:rsidRPr="001D57D4" w:rsidRDefault="005B77A0" w:rsidP="001D57D4">
      <w:pPr>
        <w:ind w:left="851" w:right="899"/>
        <w:jc w:val="both"/>
        <w:rPr>
          <w:rFonts w:ascii="Palatino Linotype" w:hAnsi="Palatino Linotype"/>
        </w:rPr>
      </w:pPr>
      <w:r w:rsidRPr="001D57D4">
        <w:rPr>
          <w:rFonts w:ascii="Palatino Linotype" w:hAnsi="Palatino Linotype" w:cs="Arial"/>
          <w:b/>
          <w:i/>
          <w:sz w:val="22"/>
          <w:szCs w:val="22"/>
        </w:rPr>
        <w:t>Responsable de la Unidad de Transparencia</w:t>
      </w:r>
      <w:r w:rsidR="009B5FFB" w:rsidRPr="001D57D4">
        <w:rPr>
          <w:rFonts w:ascii="Palatino Linotype" w:hAnsi="Palatino Linotype" w:cs="Arial"/>
          <w:i/>
          <w:sz w:val="22"/>
          <w:szCs w:val="22"/>
        </w:rPr>
        <w:t>” (Sic)</w:t>
      </w:r>
    </w:p>
    <w:p w14:paraId="7A502707" w14:textId="08057F63" w:rsidR="009B5FFB" w:rsidRPr="001D57D4" w:rsidRDefault="009B5FFB" w:rsidP="001D57D4">
      <w:pPr>
        <w:spacing w:line="360" w:lineRule="auto"/>
        <w:jc w:val="both"/>
        <w:rPr>
          <w:rFonts w:ascii="Palatino Linotype" w:hAnsi="Palatino Linotype"/>
        </w:rPr>
      </w:pPr>
    </w:p>
    <w:p w14:paraId="563B9F1E" w14:textId="77777777" w:rsidR="00FB5EC0" w:rsidRPr="001D57D4" w:rsidRDefault="00FB5EC0" w:rsidP="001D57D4">
      <w:pPr>
        <w:spacing w:before="100" w:beforeAutospacing="1" w:after="100" w:afterAutospacing="1" w:line="360" w:lineRule="auto"/>
        <w:jc w:val="both"/>
        <w:rPr>
          <w:rFonts w:ascii="Palatino Linotype" w:eastAsia="Palatino Linotype" w:hAnsi="Palatino Linotype" w:cs="Palatino Linotype"/>
          <w:lang w:eastAsia="es-MX"/>
        </w:rPr>
      </w:pPr>
      <w:r w:rsidRPr="001D57D4">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1D57D4">
        <w:rPr>
          <w:rFonts w:ascii="Palatino Linotype" w:eastAsia="Palatino Linotype" w:hAnsi="Palatino Linotype" w:cs="Palatino Linotype"/>
          <w:b/>
          <w:lang w:eastAsia="es-MX"/>
        </w:rPr>
        <w:t xml:space="preserve">EL SUJETO OBLIGADO </w:t>
      </w:r>
      <w:r w:rsidRPr="001D57D4">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bookmarkEnd w:id="1"/>
    <w:p w14:paraId="76EA6FDE" w14:textId="77777777" w:rsidR="005B77A0" w:rsidRPr="001D57D4" w:rsidRDefault="005B77A0" w:rsidP="001D57D4">
      <w:pPr>
        <w:spacing w:line="360" w:lineRule="auto"/>
        <w:jc w:val="both"/>
        <w:rPr>
          <w:rFonts w:ascii="Palatino Linotype" w:hAnsi="Palatino Linotype"/>
        </w:rPr>
      </w:pPr>
    </w:p>
    <w:p w14:paraId="63EBEDD5" w14:textId="1BF16CF0" w:rsidR="001C3B29" w:rsidRPr="001D57D4" w:rsidRDefault="001C3B29" w:rsidP="001D57D4">
      <w:pPr>
        <w:spacing w:line="360" w:lineRule="auto"/>
        <w:jc w:val="both"/>
        <w:rPr>
          <w:rFonts w:ascii="Palatino Linotype" w:hAnsi="Palatino Linotype" w:cs="Arial"/>
          <w:b/>
          <w:sz w:val="26"/>
          <w:szCs w:val="26"/>
        </w:rPr>
      </w:pPr>
      <w:r w:rsidRPr="001D57D4">
        <w:rPr>
          <w:rFonts w:ascii="Palatino Linotype" w:hAnsi="Palatino Linotype"/>
          <w:b/>
          <w:sz w:val="26"/>
          <w:szCs w:val="26"/>
        </w:rPr>
        <w:t>I</w:t>
      </w:r>
      <w:r w:rsidR="009B5FFB" w:rsidRPr="001D57D4">
        <w:rPr>
          <w:rFonts w:ascii="Palatino Linotype" w:hAnsi="Palatino Linotype"/>
          <w:b/>
          <w:sz w:val="26"/>
          <w:szCs w:val="26"/>
        </w:rPr>
        <w:t>V</w:t>
      </w:r>
      <w:r w:rsidRPr="001D57D4">
        <w:rPr>
          <w:rFonts w:ascii="Palatino Linotype" w:hAnsi="Palatino Linotype"/>
          <w:b/>
          <w:sz w:val="26"/>
          <w:szCs w:val="26"/>
        </w:rPr>
        <w:t xml:space="preserve">. </w:t>
      </w:r>
      <w:r w:rsidRPr="001D57D4">
        <w:rPr>
          <w:rFonts w:ascii="Palatino Linotype" w:hAnsi="Palatino Linotype" w:cs="Arial"/>
          <w:b/>
          <w:sz w:val="26"/>
          <w:szCs w:val="26"/>
        </w:rPr>
        <w:t xml:space="preserve">Respuesta </w:t>
      </w:r>
      <w:r w:rsidR="009B5FFB" w:rsidRPr="001D57D4">
        <w:rPr>
          <w:rFonts w:ascii="Palatino Linotype" w:hAnsi="Palatino Linotype" w:cs="Arial"/>
          <w:b/>
          <w:sz w:val="26"/>
          <w:szCs w:val="26"/>
        </w:rPr>
        <w:t>del Sujeto obligado</w:t>
      </w:r>
    </w:p>
    <w:p w14:paraId="4F6088F6" w14:textId="008D27F6" w:rsidR="009B5FFB" w:rsidRPr="001D57D4" w:rsidRDefault="009B5FFB" w:rsidP="001D57D4">
      <w:pPr>
        <w:spacing w:line="360" w:lineRule="auto"/>
        <w:jc w:val="both"/>
        <w:rPr>
          <w:rFonts w:ascii="Palatino Linotype" w:hAnsi="Palatino Linotype" w:cs="Arial"/>
          <w:b/>
          <w:sz w:val="28"/>
          <w:szCs w:val="28"/>
        </w:rPr>
      </w:pPr>
      <w:r w:rsidRPr="001D57D4">
        <w:rPr>
          <w:rFonts w:ascii="Palatino Linotype" w:hAnsi="Palatino Linotype" w:cs="Arial"/>
        </w:rPr>
        <w:t xml:space="preserve">Del expediente electrónico conformado en el </w:t>
      </w:r>
      <w:r w:rsidRPr="001D57D4">
        <w:rPr>
          <w:rFonts w:ascii="Palatino Linotype" w:hAnsi="Palatino Linotype" w:cs="Arial"/>
          <w:b/>
        </w:rPr>
        <w:t>SAIMEX</w:t>
      </w:r>
      <w:r w:rsidRPr="001D57D4">
        <w:rPr>
          <w:rFonts w:ascii="Palatino Linotype" w:hAnsi="Palatino Linotype" w:cs="Arial"/>
        </w:rPr>
        <w:t xml:space="preserve">, del Recurso de Revisión materia del presente estudio, se advierte que el </w:t>
      </w:r>
      <w:r w:rsidR="00D45CCE" w:rsidRPr="001D57D4">
        <w:rPr>
          <w:rFonts w:ascii="Palatino Linotype" w:hAnsi="Palatino Linotype" w:cs="Arial"/>
          <w:b/>
        </w:rPr>
        <w:t>treinta y uno de agosto</w:t>
      </w:r>
      <w:r w:rsidR="00FB5EC0" w:rsidRPr="001D57D4">
        <w:rPr>
          <w:rFonts w:ascii="Palatino Linotype" w:hAnsi="Palatino Linotype" w:cs="Arial"/>
          <w:b/>
        </w:rPr>
        <w:t xml:space="preserve"> de dos mil veintitrés</w:t>
      </w:r>
      <w:r w:rsidRPr="001D57D4">
        <w:rPr>
          <w:rFonts w:ascii="Palatino Linotype" w:hAnsi="Palatino Linotype" w:cs="Arial"/>
          <w:b/>
        </w:rPr>
        <w:t>,</w:t>
      </w:r>
      <w:r w:rsidRPr="001D57D4">
        <w:rPr>
          <w:rFonts w:ascii="Palatino Linotype" w:hAnsi="Palatino Linotype" w:cs="Arial"/>
        </w:rPr>
        <w:t xml:space="preserve"> </w:t>
      </w:r>
      <w:r w:rsidRPr="001D57D4">
        <w:rPr>
          <w:rFonts w:ascii="Palatino Linotype" w:hAnsi="Palatino Linotype" w:cs="Arial"/>
          <w:b/>
        </w:rPr>
        <w:t xml:space="preserve">EL SUJETO OBLIGADO </w:t>
      </w:r>
      <w:r w:rsidRPr="001D57D4">
        <w:rPr>
          <w:rFonts w:ascii="Palatino Linotype" w:hAnsi="Palatino Linotype" w:cs="Arial"/>
        </w:rPr>
        <w:t>dio respuesta a la solicitud de información pública en los siguientes términos:</w:t>
      </w:r>
    </w:p>
    <w:p w14:paraId="19419A33" w14:textId="77777777" w:rsidR="00E269AB" w:rsidRPr="001D57D4" w:rsidRDefault="00E269AB" w:rsidP="001D57D4">
      <w:pPr>
        <w:spacing w:line="360" w:lineRule="auto"/>
        <w:jc w:val="both"/>
        <w:rPr>
          <w:rFonts w:ascii="Palatino Linotype" w:hAnsi="Palatino Linotype"/>
          <w:b/>
          <w:sz w:val="22"/>
          <w:szCs w:val="22"/>
        </w:rPr>
      </w:pPr>
    </w:p>
    <w:p w14:paraId="21A21E45" w14:textId="1F0E01EE" w:rsidR="005B77A0" w:rsidRPr="001D57D4" w:rsidRDefault="00D45CCE" w:rsidP="001D57D4">
      <w:pPr>
        <w:ind w:left="851" w:right="899"/>
        <w:jc w:val="both"/>
        <w:rPr>
          <w:rFonts w:ascii="Palatino Linotype" w:eastAsia="Palatino Linotype" w:hAnsi="Palatino Linotype" w:cs="Palatino Linotype"/>
          <w:i/>
          <w:sz w:val="22"/>
          <w:szCs w:val="22"/>
        </w:rPr>
      </w:pPr>
      <w:r w:rsidRPr="001D57D4">
        <w:rPr>
          <w:rFonts w:ascii="Palatino Linotype" w:eastAsia="Palatino Linotype" w:hAnsi="Palatino Linotype" w:cs="Palatino Linotype"/>
          <w:i/>
          <w:sz w:val="22"/>
          <w:szCs w:val="22"/>
        </w:rPr>
        <w:t>“Folio de la solicitud: 01084</w:t>
      </w:r>
      <w:r w:rsidR="005B77A0" w:rsidRPr="001D57D4">
        <w:rPr>
          <w:rFonts w:ascii="Palatino Linotype" w:eastAsia="Palatino Linotype" w:hAnsi="Palatino Linotype" w:cs="Palatino Linotype"/>
          <w:i/>
          <w:sz w:val="22"/>
          <w:szCs w:val="22"/>
        </w:rPr>
        <w:t>/ZINACANT/IP/2023</w:t>
      </w:r>
    </w:p>
    <w:p w14:paraId="3F9E1B5A" w14:textId="77777777" w:rsidR="00D45CCE" w:rsidRPr="001D57D4" w:rsidRDefault="00D45CCE" w:rsidP="001D57D4">
      <w:pPr>
        <w:ind w:left="851" w:right="899"/>
        <w:jc w:val="both"/>
        <w:rPr>
          <w:rFonts w:ascii="Palatino Linotype" w:eastAsia="Palatino Linotype" w:hAnsi="Palatino Linotype" w:cs="Palatino Linotype"/>
          <w:i/>
          <w:sz w:val="22"/>
          <w:szCs w:val="22"/>
        </w:rPr>
      </w:pPr>
      <w:r w:rsidRPr="001D57D4">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sidRPr="001D57D4">
        <w:rPr>
          <w:rFonts w:ascii="Palatino Linotype" w:eastAsia="Palatino Linotype" w:hAnsi="Palatino Linotype" w:cs="Palatino Linotype"/>
          <w:i/>
          <w:sz w:val="22"/>
          <w:szCs w:val="22"/>
        </w:rPr>
        <w:lastRenderedPageBreak/>
        <w:t>y Acceso a la Información Pública del Estado de México y Municipios, le contestamos que:</w:t>
      </w:r>
    </w:p>
    <w:p w14:paraId="2F8C2A8E" w14:textId="77777777" w:rsidR="00D45CCE" w:rsidRPr="001D57D4" w:rsidRDefault="00D45CCE" w:rsidP="001D57D4">
      <w:pPr>
        <w:ind w:left="851" w:right="899"/>
        <w:jc w:val="both"/>
        <w:rPr>
          <w:rFonts w:ascii="Palatino Linotype" w:eastAsia="Palatino Linotype" w:hAnsi="Palatino Linotype" w:cs="Palatino Linotype"/>
          <w:i/>
          <w:sz w:val="22"/>
          <w:szCs w:val="22"/>
        </w:rPr>
      </w:pPr>
      <w:r w:rsidRPr="001D57D4">
        <w:rPr>
          <w:rFonts w:ascii="Palatino Linotype" w:eastAsia="Palatino Linotype" w:hAnsi="Palatino Linotype" w:cs="Palatino Linotype"/>
          <w:i/>
          <w:sz w:val="22"/>
          <w:szCs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01084/ZINACANT/IP/2023, recibida a través del Sistema SAIMEX, en donde se solicita textualmente lo siguiente: “SOLICITO LA RENUNCIA DE LA TESORERA MUNICIPAL, TODOS SUS RECIBOS DE NÓMINA, SU NOMBRAMIENTO Y SU ENTREGA RECEPCIÓN” (sic). En apego a lo establecido su solicitud fue analizada y turnada al área poseedora de la información, en este caso a la Dirección de Administración y la Contraloría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2F1B4C0" w14:textId="77777777" w:rsidR="00D45CCE" w:rsidRPr="001D57D4" w:rsidRDefault="00D45CCE" w:rsidP="001D57D4">
      <w:pPr>
        <w:ind w:left="851" w:right="899"/>
        <w:jc w:val="both"/>
        <w:rPr>
          <w:rFonts w:ascii="Palatino Linotype" w:eastAsia="Palatino Linotype" w:hAnsi="Palatino Linotype" w:cs="Palatino Linotype"/>
          <w:i/>
          <w:sz w:val="22"/>
          <w:szCs w:val="22"/>
        </w:rPr>
      </w:pPr>
    </w:p>
    <w:p w14:paraId="2F4961C7" w14:textId="0692A5DD" w:rsidR="00D45CCE" w:rsidRPr="001D57D4" w:rsidRDefault="00D45CCE" w:rsidP="001D57D4">
      <w:pPr>
        <w:ind w:left="851" w:right="899"/>
        <w:jc w:val="both"/>
        <w:rPr>
          <w:rFonts w:ascii="Palatino Linotype" w:eastAsia="Palatino Linotype" w:hAnsi="Palatino Linotype" w:cs="Palatino Linotype"/>
          <w:i/>
          <w:sz w:val="22"/>
          <w:szCs w:val="22"/>
        </w:rPr>
      </w:pPr>
      <w:r w:rsidRPr="001D57D4">
        <w:rPr>
          <w:rFonts w:ascii="Palatino Linotype" w:eastAsia="Palatino Linotype" w:hAnsi="Palatino Linotype" w:cs="Palatino Linotype"/>
          <w:i/>
          <w:sz w:val="22"/>
          <w:szCs w:val="22"/>
        </w:rPr>
        <w:t>ATENTAMENTE</w:t>
      </w:r>
    </w:p>
    <w:p w14:paraId="1C745D33" w14:textId="2D38E11E" w:rsidR="005B77A0" w:rsidRPr="001D57D4" w:rsidRDefault="00D45CCE" w:rsidP="001D57D4">
      <w:pPr>
        <w:ind w:left="851" w:right="899"/>
        <w:jc w:val="both"/>
        <w:rPr>
          <w:rFonts w:ascii="Palatino Linotype" w:eastAsia="Palatino Linotype" w:hAnsi="Palatino Linotype" w:cs="Palatino Linotype"/>
          <w:i/>
          <w:sz w:val="22"/>
          <w:szCs w:val="22"/>
        </w:rPr>
      </w:pPr>
      <w:r w:rsidRPr="001D57D4">
        <w:rPr>
          <w:rFonts w:ascii="Palatino Linotype" w:eastAsia="Palatino Linotype" w:hAnsi="Palatino Linotype" w:cs="Palatino Linotype"/>
          <w:i/>
          <w:sz w:val="22"/>
          <w:szCs w:val="22"/>
        </w:rPr>
        <w:t>BRENDA SELENE HERNANDEZ LOPEZ</w:t>
      </w:r>
      <w:r w:rsidR="005B77A0" w:rsidRPr="001D57D4">
        <w:rPr>
          <w:rFonts w:ascii="Palatino Linotype" w:eastAsia="Palatino Linotype" w:hAnsi="Palatino Linotype" w:cs="Palatino Linotype"/>
          <w:i/>
          <w:sz w:val="22"/>
          <w:szCs w:val="22"/>
        </w:rPr>
        <w:t>” (Sic)</w:t>
      </w:r>
    </w:p>
    <w:p w14:paraId="372830D0" w14:textId="77777777" w:rsidR="005B77A0" w:rsidRPr="001D57D4" w:rsidRDefault="005B77A0" w:rsidP="001D57D4">
      <w:pPr>
        <w:widowControl w:val="0"/>
        <w:autoSpaceDE w:val="0"/>
        <w:autoSpaceDN w:val="0"/>
        <w:adjustRightInd w:val="0"/>
        <w:spacing w:line="360" w:lineRule="auto"/>
        <w:jc w:val="both"/>
        <w:rPr>
          <w:rFonts w:ascii="Palatino Linotype" w:hAnsi="Palatino Linotype" w:cs="Segoe UI"/>
          <w:lang w:eastAsia="es-MX"/>
        </w:rPr>
      </w:pPr>
    </w:p>
    <w:p w14:paraId="406349A9" w14:textId="21312DF5" w:rsidR="005B77A0" w:rsidRPr="001D57D4" w:rsidRDefault="005B77A0" w:rsidP="001D57D4">
      <w:pPr>
        <w:spacing w:line="360" w:lineRule="auto"/>
        <w:jc w:val="both"/>
        <w:rPr>
          <w:rFonts w:ascii="Palatino Linotype" w:hAnsi="Palatino Linotype" w:cs="Segoe UI"/>
          <w:lang w:eastAsia="es-MX"/>
        </w:rPr>
      </w:pPr>
      <w:r w:rsidRPr="001D57D4">
        <w:rPr>
          <w:rFonts w:ascii="Palatino Linotype" w:hAnsi="Palatino Linotype" w:cs="Segoe UI"/>
          <w:lang w:eastAsia="es-MX"/>
        </w:rPr>
        <w:t xml:space="preserve">Aunado a esto se advierte que </w:t>
      </w:r>
      <w:r w:rsidRPr="001D57D4">
        <w:rPr>
          <w:rFonts w:ascii="Palatino Linotype" w:hAnsi="Palatino Linotype" w:cs="Segoe UI"/>
          <w:b/>
          <w:bCs/>
          <w:lang w:eastAsia="es-MX"/>
        </w:rPr>
        <w:t>EL SUJETO OBLIGADO</w:t>
      </w:r>
      <w:r w:rsidRPr="001D57D4">
        <w:rPr>
          <w:rFonts w:ascii="Palatino Linotype" w:hAnsi="Palatino Linotype" w:cs="Segoe UI"/>
          <w:lang w:eastAsia="es-MX"/>
        </w:rPr>
        <w:t xml:space="preserve"> adjuntó a su respuesta los siguientes archivos electrónicos:</w:t>
      </w:r>
    </w:p>
    <w:p w14:paraId="76BCC580" w14:textId="77777777" w:rsidR="00B214DA" w:rsidRPr="001D57D4" w:rsidRDefault="00B214DA" w:rsidP="001D57D4">
      <w:pPr>
        <w:spacing w:line="360" w:lineRule="auto"/>
        <w:jc w:val="both"/>
        <w:rPr>
          <w:rFonts w:ascii="Palatino Linotype" w:hAnsi="Palatino Linotype" w:cs="Segoe UI"/>
          <w:lang w:eastAsia="es-MX"/>
        </w:rPr>
      </w:pPr>
    </w:p>
    <w:p w14:paraId="4C38D5B0" w14:textId="1FD987ED" w:rsidR="00041A07" w:rsidRPr="001D57D4" w:rsidRDefault="005B77A0" w:rsidP="001D57D4">
      <w:pPr>
        <w:pStyle w:val="Prrafodelista"/>
        <w:numPr>
          <w:ilvl w:val="0"/>
          <w:numId w:val="15"/>
        </w:numPr>
        <w:spacing w:line="360" w:lineRule="auto"/>
        <w:jc w:val="both"/>
        <w:rPr>
          <w:rFonts w:ascii="Palatino Linotype" w:hAnsi="Palatino Linotype" w:cs="Arial"/>
          <w:b/>
          <w:bCs/>
          <w:iCs/>
          <w:sz w:val="22"/>
        </w:rPr>
      </w:pPr>
      <w:r w:rsidRPr="001D57D4">
        <w:rPr>
          <w:rFonts w:ascii="Palatino Linotype" w:hAnsi="Palatino Linotype" w:cs="Arial"/>
          <w:b/>
          <w:bCs/>
          <w:iCs/>
          <w:sz w:val="22"/>
        </w:rPr>
        <w:t>“</w:t>
      </w:r>
      <w:r w:rsidR="00041A07" w:rsidRPr="001D57D4">
        <w:rPr>
          <w:rFonts w:ascii="Palatino Linotype" w:hAnsi="Palatino Linotype" w:cs="Arial"/>
          <w:b/>
          <w:bCs/>
          <w:iCs/>
          <w:sz w:val="22"/>
        </w:rPr>
        <w:t xml:space="preserve">ZIN.CM.1175.2023.pdf: </w:t>
      </w:r>
      <w:r w:rsidR="008700FE" w:rsidRPr="001D57D4">
        <w:rPr>
          <w:rFonts w:ascii="Palatino Linotype" w:hAnsi="Palatino Linotype" w:cs="Arial"/>
          <w:bCs/>
          <w:iCs/>
          <w:sz w:val="22"/>
        </w:rPr>
        <w:t xml:space="preserve">consta del oficio ZIN/CM/1175/2023, del quince de agosto de dos mil veintitrés, signado por el Contralor Municipal, mismo que informa que solicita someter a consideración del Comité de Transparencia, la reserva de información por un </w:t>
      </w:r>
      <w:r w:rsidR="008700FE" w:rsidRPr="001D57D4">
        <w:rPr>
          <w:rFonts w:ascii="Palatino Linotype" w:hAnsi="Palatino Linotype" w:cs="Arial"/>
          <w:bCs/>
          <w:iCs/>
          <w:sz w:val="22"/>
        </w:rPr>
        <w:lastRenderedPageBreak/>
        <w:t>término de un año, el Acta final o de conclusión de la Gestión Municipal EAR-1 de la Tesorería Municipal realizada el tres de agosto de dos mil veintitrés, derivado a que contiene información cuya divulgación puede obstruir o causar un serio perjuicio a las actividades de fiscalización.</w:t>
      </w:r>
    </w:p>
    <w:p w14:paraId="3B6A9DB3" w14:textId="44ADC29A" w:rsidR="00041A07" w:rsidRPr="001D57D4" w:rsidRDefault="00041A07" w:rsidP="001D57D4">
      <w:pPr>
        <w:pStyle w:val="Prrafodelista"/>
        <w:numPr>
          <w:ilvl w:val="0"/>
          <w:numId w:val="15"/>
        </w:numPr>
        <w:spacing w:line="360" w:lineRule="auto"/>
        <w:jc w:val="both"/>
        <w:rPr>
          <w:rFonts w:ascii="Palatino Linotype" w:hAnsi="Palatino Linotype" w:cs="Arial"/>
          <w:b/>
          <w:bCs/>
          <w:iCs/>
          <w:sz w:val="22"/>
        </w:rPr>
      </w:pPr>
      <w:r w:rsidRPr="001D57D4">
        <w:rPr>
          <w:rFonts w:ascii="Palatino Linotype" w:hAnsi="Palatino Linotype" w:cs="Arial"/>
          <w:b/>
          <w:bCs/>
          <w:iCs/>
          <w:sz w:val="22"/>
        </w:rPr>
        <w:t xml:space="preserve">Oficio de Atención a Solicitud 01084 ZINACANT- 2023.pdf: </w:t>
      </w:r>
      <w:r w:rsidR="008700FE" w:rsidRPr="001D57D4">
        <w:rPr>
          <w:rFonts w:ascii="Palatino Linotype" w:hAnsi="Palatino Linotype" w:cs="Arial"/>
          <w:bCs/>
          <w:iCs/>
          <w:sz w:val="22"/>
        </w:rPr>
        <w:t xml:space="preserve">Oficio ZIN/DA/2023 signado por la </w:t>
      </w:r>
      <w:r w:rsidR="00631D66" w:rsidRPr="001D57D4">
        <w:rPr>
          <w:rFonts w:ascii="Palatino Linotype" w:hAnsi="Palatino Linotype" w:cs="Arial"/>
          <w:bCs/>
          <w:iCs/>
          <w:sz w:val="22"/>
        </w:rPr>
        <w:t>Dirección</w:t>
      </w:r>
      <w:r w:rsidR="008700FE" w:rsidRPr="001D57D4">
        <w:rPr>
          <w:rFonts w:ascii="Palatino Linotype" w:hAnsi="Palatino Linotype" w:cs="Arial"/>
          <w:bCs/>
          <w:iCs/>
          <w:sz w:val="22"/>
        </w:rPr>
        <w:t xml:space="preserve"> de </w:t>
      </w:r>
      <w:r w:rsidR="00631D66" w:rsidRPr="001D57D4">
        <w:rPr>
          <w:rFonts w:ascii="Palatino Linotype" w:hAnsi="Palatino Linotype" w:cs="Arial"/>
          <w:bCs/>
          <w:iCs/>
          <w:sz w:val="22"/>
        </w:rPr>
        <w:t>Administración</w:t>
      </w:r>
      <w:r w:rsidR="008700FE" w:rsidRPr="001D57D4">
        <w:rPr>
          <w:rFonts w:ascii="Palatino Linotype" w:hAnsi="Palatino Linotype" w:cs="Arial"/>
          <w:bCs/>
          <w:iCs/>
          <w:sz w:val="22"/>
        </w:rPr>
        <w:t xml:space="preserve">, </w:t>
      </w:r>
      <w:r w:rsidR="00631D66" w:rsidRPr="001D57D4">
        <w:rPr>
          <w:rFonts w:ascii="Palatino Linotype" w:hAnsi="Palatino Linotype" w:cs="Arial"/>
          <w:bCs/>
          <w:iCs/>
          <w:sz w:val="22"/>
        </w:rPr>
        <w:t>mediante el que remite renuncia en versión publica, recibos de nómina en versión publica de la tesorera municipal de los ejercicios fiscales 2022 y 2023, así como el nombramiento como Tesorera Municipal.</w:t>
      </w:r>
    </w:p>
    <w:p w14:paraId="0430B0ED" w14:textId="583CADDB" w:rsidR="00041A07" w:rsidRPr="001D57D4" w:rsidRDefault="00041A07" w:rsidP="001D57D4">
      <w:pPr>
        <w:pStyle w:val="Prrafodelista"/>
        <w:numPr>
          <w:ilvl w:val="0"/>
          <w:numId w:val="15"/>
        </w:numPr>
        <w:spacing w:line="360" w:lineRule="auto"/>
        <w:jc w:val="both"/>
        <w:rPr>
          <w:rFonts w:ascii="Palatino Linotype" w:hAnsi="Palatino Linotype" w:cs="Arial"/>
          <w:b/>
          <w:bCs/>
          <w:iCs/>
          <w:sz w:val="22"/>
        </w:rPr>
      </w:pPr>
      <w:r w:rsidRPr="001D57D4">
        <w:rPr>
          <w:rFonts w:ascii="Palatino Linotype" w:hAnsi="Palatino Linotype" w:cs="Arial"/>
          <w:b/>
          <w:bCs/>
          <w:iCs/>
          <w:sz w:val="22"/>
        </w:rPr>
        <w:t xml:space="preserve">Recibos de Nómina VP 2022 y 2023 - </w:t>
      </w:r>
      <w:proofErr w:type="spellStart"/>
      <w:r w:rsidRPr="001D57D4">
        <w:rPr>
          <w:rFonts w:ascii="Palatino Linotype" w:hAnsi="Palatino Linotype" w:cs="Arial"/>
          <w:b/>
          <w:bCs/>
          <w:iCs/>
          <w:sz w:val="22"/>
        </w:rPr>
        <w:t>Yeni</w:t>
      </w:r>
      <w:proofErr w:type="spellEnd"/>
      <w:r w:rsidRPr="001D57D4">
        <w:rPr>
          <w:rFonts w:ascii="Palatino Linotype" w:hAnsi="Palatino Linotype" w:cs="Arial"/>
          <w:b/>
          <w:bCs/>
          <w:iCs/>
          <w:sz w:val="22"/>
        </w:rPr>
        <w:t xml:space="preserve"> Isabel Nava Hernández.pdf:</w:t>
      </w:r>
      <w:r w:rsidR="00631D66" w:rsidRPr="001D57D4">
        <w:rPr>
          <w:rFonts w:ascii="Palatino Linotype" w:hAnsi="Palatino Linotype" w:cs="Arial"/>
          <w:b/>
          <w:bCs/>
          <w:iCs/>
          <w:sz w:val="22"/>
        </w:rPr>
        <w:t xml:space="preserve"> </w:t>
      </w:r>
      <w:r w:rsidR="00631D66" w:rsidRPr="001D57D4">
        <w:rPr>
          <w:rFonts w:ascii="Palatino Linotype" w:hAnsi="Palatino Linotype" w:cs="Arial"/>
          <w:bCs/>
          <w:iCs/>
          <w:sz w:val="22"/>
        </w:rPr>
        <w:t xml:space="preserve">consta de cuarenta y cuatro recibos de nómina en versión publica de la servidora pública </w:t>
      </w:r>
      <w:proofErr w:type="spellStart"/>
      <w:r w:rsidR="00631D66" w:rsidRPr="001D57D4">
        <w:rPr>
          <w:rFonts w:ascii="Palatino Linotype" w:hAnsi="Palatino Linotype" w:cs="Arial"/>
          <w:bCs/>
          <w:iCs/>
          <w:sz w:val="22"/>
        </w:rPr>
        <w:t>Yeni</w:t>
      </w:r>
      <w:proofErr w:type="spellEnd"/>
      <w:r w:rsidR="00631D66" w:rsidRPr="001D57D4">
        <w:rPr>
          <w:rFonts w:ascii="Palatino Linotype" w:hAnsi="Palatino Linotype" w:cs="Arial"/>
          <w:bCs/>
          <w:iCs/>
          <w:sz w:val="22"/>
        </w:rPr>
        <w:t xml:space="preserve"> Isabel Nava Hernández, correspondientes a los meses de enero a diciembre del dos mil veintitrés y de enero a julio de dos mil veintitrés, así como lo correspondiente a aguinaldos y prima vacacional. </w:t>
      </w:r>
    </w:p>
    <w:p w14:paraId="5B001FDB" w14:textId="6799E16B" w:rsidR="00041A07" w:rsidRPr="001D57D4" w:rsidRDefault="00041A07" w:rsidP="001D57D4">
      <w:pPr>
        <w:pStyle w:val="Prrafodelista"/>
        <w:numPr>
          <w:ilvl w:val="0"/>
          <w:numId w:val="15"/>
        </w:numPr>
        <w:spacing w:line="360" w:lineRule="auto"/>
        <w:jc w:val="both"/>
        <w:rPr>
          <w:rFonts w:ascii="Palatino Linotype" w:hAnsi="Palatino Linotype" w:cs="Arial"/>
          <w:b/>
          <w:bCs/>
          <w:iCs/>
          <w:sz w:val="22"/>
        </w:rPr>
      </w:pPr>
      <w:r w:rsidRPr="001D57D4">
        <w:rPr>
          <w:rFonts w:ascii="Palatino Linotype" w:hAnsi="Palatino Linotype" w:cs="Arial"/>
          <w:b/>
          <w:bCs/>
          <w:iCs/>
          <w:sz w:val="22"/>
        </w:rPr>
        <w:t xml:space="preserve">Renuncia VP Tesorera - </w:t>
      </w:r>
      <w:proofErr w:type="spellStart"/>
      <w:r w:rsidRPr="001D57D4">
        <w:rPr>
          <w:rFonts w:ascii="Palatino Linotype" w:hAnsi="Palatino Linotype" w:cs="Arial"/>
          <w:b/>
          <w:bCs/>
          <w:iCs/>
          <w:sz w:val="22"/>
        </w:rPr>
        <w:t>Yeni</w:t>
      </w:r>
      <w:proofErr w:type="spellEnd"/>
      <w:r w:rsidRPr="001D57D4">
        <w:rPr>
          <w:rFonts w:ascii="Palatino Linotype" w:hAnsi="Palatino Linotype" w:cs="Arial"/>
          <w:b/>
          <w:bCs/>
          <w:iCs/>
          <w:sz w:val="22"/>
        </w:rPr>
        <w:t xml:space="preserve"> Isabel Nava Hernández.pdf:</w:t>
      </w:r>
      <w:r w:rsidR="00631D66" w:rsidRPr="001D57D4">
        <w:rPr>
          <w:rFonts w:ascii="Palatino Linotype" w:hAnsi="Palatino Linotype" w:cs="Arial"/>
          <w:b/>
          <w:bCs/>
          <w:iCs/>
          <w:sz w:val="22"/>
        </w:rPr>
        <w:t xml:space="preserve"> </w:t>
      </w:r>
      <w:r w:rsidR="00631D66" w:rsidRPr="001D57D4">
        <w:rPr>
          <w:rFonts w:ascii="Palatino Linotype" w:hAnsi="Palatino Linotype" w:cs="Arial"/>
          <w:bCs/>
          <w:iCs/>
          <w:sz w:val="22"/>
        </w:rPr>
        <w:t xml:space="preserve">consta de la carta renuncia de la C. </w:t>
      </w:r>
      <w:proofErr w:type="spellStart"/>
      <w:r w:rsidR="00631D66" w:rsidRPr="001D57D4">
        <w:rPr>
          <w:rFonts w:ascii="Palatino Linotype" w:hAnsi="Palatino Linotype" w:cs="Arial"/>
          <w:bCs/>
          <w:iCs/>
          <w:sz w:val="22"/>
        </w:rPr>
        <w:t>Yeni</w:t>
      </w:r>
      <w:proofErr w:type="spellEnd"/>
      <w:r w:rsidR="00631D66" w:rsidRPr="001D57D4">
        <w:rPr>
          <w:rFonts w:ascii="Palatino Linotype" w:hAnsi="Palatino Linotype" w:cs="Arial"/>
          <w:bCs/>
          <w:iCs/>
          <w:sz w:val="22"/>
        </w:rPr>
        <w:t xml:space="preserve"> Isabel Nava Hernández, del treinta y uno de julio de dos mil veintitrés.</w:t>
      </w:r>
    </w:p>
    <w:p w14:paraId="172C61D0" w14:textId="657C4B9C" w:rsidR="00041A07" w:rsidRPr="001D57D4" w:rsidRDefault="00041A07" w:rsidP="001D57D4">
      <w:pPr>
        <w:pStyle w:val="Prrafodelista"/>
        <w:numPr>
          <w:ilvl w:val="0"/>
          <w:numId w:val="15"/>
        </w:numPr>
        <w:spacing w:line="360" w:lineRule="auto"/>
        <w:jc w:val="both"/>
        <w:rPr>
          <w:rFonts w:ascii="Palatino Linotype" w:hAnsi="Palatino Linotype" w:cs="Arial"/>
          <w:iCs/>
          <w:sz w:val="22"/>
        </w:rPr>
      </w:pPr>
      <w:r w:rsidRPr="001D57D4">
        <w:rPr>
          <w:rFonts w:ascii="Palatino Linotype" w:hAnsi="Palatino Linotype" w:cs="Arial"/>
          <w:b/>
          <w:bCs/>
          <w:iCs/>
          <w:sz w:val="22"/>
        </w:rPr>
        <w:t xml:space="preserve">Nombramiento Tesorera - </w:t>
      </w:r>
      <w:proofErr w:type="spellStart"/>
      <w:r w:rsidRPr="001D57D4">
        <w:rPr>
          <w:rFonts w:ascii="Palatino Linotype" w:hAnsi="Palatino Linotype" w:cs="Arial"/>
          <w:b/>
          <w:bCs/>
          <w:iCs/>
          <w:sz w:val="22"/>
        </w:rPr>
        <w:t>Yeni</w:t>
      </w:r>
      <w:proofErr w:type="spellEnd"/>
      <w:r w:rsidRPr="001D57D4">
        <w:rPr>
          <w:rFonts w:ascii="Palatino Linotype" w:hAnsi="Palatino Linotype" w:cs="Arial"/>
          <w:b/>
          <w:bCs/>
          <w:iCs/>
          <w:sz w:val="22"/>
        </w:rPr>
        <w:t xml:space="preserve"> Isabel Nava Hernández.pdf: </w:t>
      </w:r>
      <w:r w:rsidR="00537A55" w:rsidRPr="001D57D4">
        <w:rPr>
          <w:rFonts w:ascii="Palatino Linotype" w:hAnsi="Palatino Linotype" w:cs="Arial"/>
          <w:bCs/>
          <w:iCs/>
          <w:sz w:val="22"/>
        </w:rPr>
        <w:t xml:space="preserve">consta del nombramiento de Tesorera Municipal a favor de la C. </w:t>
      </w:r>
      <w:proofErr w:type="spellStart"/>
      <w:r w:rsidR="00537A55" w:rsidRPr="001D57D4">
        <w:rPr>
          <w:rFonts w:ascii="Palatino Linotype" w:hAnsi="Palatino Linotype" w:cs="Arial"/>
          <w:bCs/>
          <w:iCs/>
          <w:sz w:val="22"/>
        </w:rPr>
        <w:t>Yeni</w:t>
      </w:r>
      <w:proofErr w:type="spellEnd"/>
      <w:r w:rsidR="00537A55" w:rsidRPr="001D57D4">
        <w:rPr>
          <w:rFonts w:ascii="Palatino Linotype" w:hAnsi="Palatino Linotype" w:cs="Arial"/>
          <w:bCs/>
          <w:iCs/>
          <w:sz w:val="22"/>
        </w:rPr>
        <w:t xml:space="preserve"> Isabel Nava Hernández, del primero de enero de dos mil veintitrés</w:t>
      </w:r>
    </w:p>
    <w:p w14:paraId="0027504E" w14:textId="2C1A60C0" w:rsidR="00E269AB" w:rsidRPr="001D57D4" w:rsidRDefault="00E269AB" w:rsidP="001D57D4">
      <w:pPr>
        <w:spacing w:line="360" w:lineRule="auto"/>
        <w:ind w:left="360"/>
        <w:jc w:val="both"/>
        <w:rPr>
          <w:rFonts w:ascii="Palatino Linotype" w:hAnsi="Palatino Linotype" w:cs="Arial"/>
          <w:iCs/>
          <w:sz w:val="22"/>
        </w:rPr>
      </w:pPr>
    </w:p>
    <w:p w14:paraId="5AF077F6" w14:textId="7B67033E" w:rsidR="007D38BB" w:rsidRPr="001D57D4" w:rsidRDefault="00C00691" w:rsidP="001D57D4">
      <w:pPr>
        <w:pStyle w:val="Prrafodelista"/>
        <w:tabs>
          <w:tab w:val="left" w:pos="709"/>
        </w:tabs>
        <w:spacing w:line="360" w:lineRule="auto"/>
        <w:ind w:left="0"/>
        <w:jc w:val="both"/>
        <w:rPr>
          <w:rFonts w:ascii="Palatino Linotype" w:hAnsi="Palatino Linotype" w:cs="Arial"/>
          <w:b/>
          <w:bCs/>
          <w:sz w:val="26"/>
          <w:szCs w:val="26"/>
        </w:rPr>
      </w:pPr>
      <w:r w:rsidRPr="001D57D4">
        <w:rPr>
          <w:rFonts w:ascii="Palatino Linotype" w:hAnsi="Palatino Linotype" w:cs="Arial"/>
          <w:b/>
          <w:sz w:val="26"/>
          <w:szCs w:val="26"/>
          <w:lang w:val="es-419"/>
        </w:rPr>
        <w:t>V</w:t>
      </w:r>
      <w:r w:rsidR="00E24730" w:rsidRPr="001D57D4">
        <w:rPr>
          <w:rFonts w:ascii="Palatino Linotype" w:hAnsi="Palatino Linotype" w:cs="Arial"/>
          <w:b/>
          <w:sz w:val="26"/>
          <w:szCs w:val="26"/>
        </w:rPr>
        <w:t>.</w:t>
      </w:r>
      <w:r w:rsidR="000171D8" w:rsidRPr="001D57D4">
        <w:rPr>
          <w:rFonts w:ascii="Palatino Linotype" w:hAnsi="Palatino Linotype" w:cs="Arial"/>
          <w:b/>
          <w:sz w:val="26"/>
          <w:szCs w:val="26"/>
        </w:rPr>
        <w:t xml:space="preserve"> </w:t>
      </w:r>
      <w:r w:rsidR="007D38BB" w:rsidRPr="001D57D4">
        <w:rPr>
          <w:rFonts w:ascii="Palatino Linotype" w:hAnsi="Palatino Linotype" w:cs="Arial"/>
          <w:b/>
          <w:bCs/>
          <w:sz w:val="26"/>
          <w:szCs w:val="26"/>
        </w:rPr>
        <w:t xml:space="preserve">Del </w:t>
      </w:r>
      <w:r w:rsidR="00D86297" w:rsidRPr="001D57D4">
        <w:rPr>
          <w:rFonts w:ascii="Palatino Linotype" w:hAnsi="Palatino Linotype" w:cs="Arial"/>
          <w:b/>
          <w:bCs/>
          <w:sz w:val="26"/>
          <w:szCs w:val="26"/>
        </w:rPr>
        <w:t>Recurso Revisión</w:t>
      </w:r>
    </w:p>
    <w:p w14:paraId="607A83CD" w14:textId="10BAF2AB" w:rsidR="003F3F35" w:rsidRPr="001D57D4" w:rsidRDefault="000171D8" w:rsidP="001D57D4">
      <w:pPr>
        <w:spacing w:line="360" w:lineRule="auto"/>
        <w:jc w:val="both"/>
        <w:rPr>
          <w:rFonts w:ascii="Palatino Linotype" w:hAnsi="Palatino Linotype" w:cs="Arial"/>
        </w:rPr>
      </w:pPr>
      <w:r w:rsidRPr="001D57D4">
        <w:rPr>
          <w:rFonts w:ascii="Palatino Linotype" w:hAnsi="Palatino Linotype" w:cs="Arial"/>
        </w:rPr>
        <w:t xml:space="preserve">Inconforme </w:t>
      </w:r>
      <w:r w:rsidR="00590F40" w:rsidRPr="001D57D4">
        <w:rPr>
          <w:rFonts w:ascii="Palatino Linotype" w:hAnsi="Palatino Linotype" w:cs="Arial"/>
        </w:rPr>
        <w:t>con</w:t>
      </w:r>
      <w:r w:rsidRPr="001D57D4">
        <w:rPr>
          <w:rFonts w:ascii="Palatino Linotype" w:hAnsi="Palatino Linotype" w:cs="Arial"/>
        </w:rPr>
        <w:t xml:space="preserve"> la respuesta, e</w:t>
      </w:r>
      <w:r w:rsidR="00673C06" w:rsidRPr="001D57D4">
        <w:rPr>
          <w:rFonts w:ascii="Palatino Linotype" w:hAnsi="Palatino Linotype" w:cs="Arial"/>
        </w:rPr>
        <w:t>l</w:t>
      </w:r>
      <w:r w:rsidRPr="001D57D4">
        <w:rPr>
          <w:rFonts w:ascii="Palatino Linotype" w:hAnsi="Palatino Linotype" w:cs="Arial"/>
        </w:rPr>
        <w:t xml:space="preserve"> </w:t>
      </w:r>
      <w:r w:rsidR="006C43E2" w:rsidRPr="001D57D4">
        <w:rPr>
          <w:rFonts w:ascii="Palatino Linotype" w:hAnsi="Palatino Linotype" w:cs="Arial"/>
          <w:b/>
        </w:rPr>
        <w:t>seis</w:t>
      </w:r>
      <w:r w:rsidR="00590F40" w:rsidRPr="001D57D4">
        <w:rPr>
          <w:rFonts w:ascii="Palatino Linotype" w:hAnsi="Palatino Linotype" w:cs="Arial"/>
          <w:b/>
        </w:rPr>
        <w:t xml:space="preserve"> de septiembre</w:t>
      </w:r>
      <w:r w:rsidR="001A4806" w:rsidRPr="001D57D4">
        <w:rPr>
          <w:rFonts w:ascii="Palatino Linotype" w:hAnsi="Palatino Linotype" w:cs="Arial"/>
          <w:b/>
        </w:rPr>
        <w:t xml:space="preserve"> de dos mil veintitrés</w:t>
      </w:r>
      <w:r w:rsidRPr="001D57D4">
        <w:rPr>
          <w:rFonts w:ascii="Palatino Linotype" w:hAnsi="Palatino Linotype" w:cs="Arial"/>
        </w:rPr>
        <w:t xml:space="preserve">, </w:t>
      </w:r>
      <w:r w:rsidR="00901AE2" w:rsidRPr="001D57D4">
        <w:rPr>
          <w:rFonts w:ascii="Palatino Linotype" w:hAnsi="Palatino Linotype" w:cs="Arial"/>
          <w:b/>
          <w:lang w:val="es-ES"/>
        </w:rPr>
        <w:t>EL</w:t>
      </w:r>
      <w:r w:rsidR="00884EC7" w:rsidRPr="001D57D4">
        <w:rPr>
          <w:rFonts w:ascii="Palatino Linotype" w:hAnsi="Palatino Linotype" w:cs="Arial"/>
          <w:b/>
          <w:lang w:val="es-ES"/>
        </w:rPr>
        <w:t xml:space="preserve"> RECURRENTE</w:t>
      </w:r>
      <w:r w:rsidR="00E5139C" w:rsidRPr="001D57D4">
        <w:rPr>
          <w:rFonts w:ascii="Palatino Linotype" w:hAnsi="Palatino Linotype" w:cs="Arial"/>
          <w:b/>
        </w:rPr>
        <w:t xml:space="preserve"> </w:t>
      </w:r>
      <w:r w:rsidRPr="001D57D4">
        <w:rPr>
          <w:rFonts w:ascii="Palatino Linotype" w:hAnsi="Palatino Linotype" w:cs="Arial"/>
        </w:rPr>
        <w:t xml:space="preserve">interpuso el </w:t>
      </w:r>
      <w:r w:rsidR="00D86297" w:rsidRPr="001D57D4">
        <w:rPr>
          <w:rFonts w:ascii="Palatino Linotype" w:hAnsi="Palatino Linotype" w:cs="Arial"/>
        </w:rPr>
        <w:t>Recurso Revisión</w:t>
      </w:r>
      <w:r w:rsidRPr="001D57D4">
        <w:rPr>
          <w:rFonts w:ascii="Palatino Linotype" w:hAnsi="Palatino Linotype" w:cs="Arial"/>
        </w:rPr>
        <w:t xml:space="preserve"> sujeto del presente estudio</w:t>
      </w:r>
      <w:r w:rsidR="002B686D" w:rsidRPr="001D57D4">
        <w:rPr>
          <w:rFonts w:ascii="Palatino Linotype" w:hAnsi="Palatino Linotype" w:cs="Arial"/>
          <w:b/>
        </w:rPr>
        <w:t xml:space="preserve">, </w:t>
      </w:r>
      <w:r w:rsidRPr="001D57D4">
        <w:rPr>
          <w:rFonts w:ascii="Palatino Linotype" w:hAnsi="Palatino Linotype" w:cs="Arial"/>
        </w:rPr>
        <w:t xml:space="preserve">el cual fue registrado en </w:t>
      </w:r>
      <w:r w:rsidRPr="001D57D4">
        <w:rPr>
          <w:rFonts w:ascii="Palatino Linotype" w:hAnsi="Palatino Linotype" w:cs="Arial"/>
          <w:b/>
        </w:rPr>
        <w:t xml:space="preserve">EL SAIMEX, </w:t>
      </w:r>
      <w:r w:rsidRPr="001D57D4">
        <w:rPr>
          <w:rFonts w:ascii="Palatino Linotype" w:hAnsi="Palatino Linotype" w:cs="Arial"/>
          <w:bCs/>
        </w:rPr>
        <w:t>y</w:t>
      </w:r>
      <w:r w:rsidRPr="001D57D4">
        <w:rPr>
          <w:rFonts w:ascii="Palatino Linotype" w:hAnsi="Palatino Linotype" w:cs="Arial"/>
        </w:rPr>
        <w:t xml:space="preserve"> se le asignó el número de expediente </w:t>
      </w:r>
      <w:r w:rsidR="006C43E2" w:rsidRPr="001D57D4">
        <w:rPr>
          <w:rFonts w:ascii="Palatino Linotype" w:hAnsi="Palatino Linotype" w:cs="Arial"/>
          <w:b/>
          <w:lang w:val="es-ES"/>
        </w:rPr>
        <w:t>0547</w:t>
      </w:r>
      <w:r w:rsidR="00763CC0" w:rsidRPr="001D57D4">
        <w:rPr>
          <w:rFonts w:ascii="Palatino Linotype" w:hAnsi="Palatino Linotype" w:cs="Arial"/>
          <w:b/>
          <w:lang w:val="es-ES"/>
        </w:rPr>
        <w:t>7/INFOEM/IP/RR/2023</w:t>
      </w:r>
      <w:r w:rsidRPr="001D57D4">
        <w:rPr>
          <w:rFonts w:ascii="Palatino Linotype" w:hAnsi="Palatino Linotype" w:cs="Arial"/>
          <w:b/>
        </w:rPr>
        <w:t>,</w:t>
      </w:r>
      <w:r w:rsidRPr="001D57D4">
        <w:rPr>
          <w:rFonts w:ascii="Palatino Linotype" w:hAnsi="Palatino Linotype" w:cs="Arial"/>
        </w:rPr>
        <w:t xml:space="preserve"> en el que señaló </w:t>
      </w:r>
      <w:r w:rsidR="00590F40" w:rsidRPr="001D57D4">
        <w:rPr>
          <w:rFonts w:ascii="Palatino Linotype" w:hAnsi="Palatino Linotype" w:cs="Arial"/>
        </w:rPr>
        <w:t xml:space="preserve">como: </w:t>
      </w:r>
    </w:p>
    <w:p w14:paraId="001C5C63" w14:textId="5B10F1FE" w:rsidR="00590F40" w:rsidRPr="001D57D4" w:rsidRDefault="00590F40" w:rsidP="001D57D4">
      <w:pPr>
        <w:spacing w:line="360" w:lineRule="auto"/>
        <w:jc w:val="both"/>
        <w:rPr>
          <w:rFonts w:ascii="Palatino Linotype" w:hAnsi="Palatino Linotype" w:cs="Arial"/>
        </w:rPr>
      </w:pPr>
    </w:p>
    <w:p w14:paraId="4288083F" w14:textId="77777777" w:rsidR="00590F40" w:rsidRPr="001D57D4" w:rsidRDefault="00590F40" w:rsidP="001D57D4">
      <w:pPr>
        <w:widowControl w:val="0"/>
        <w:autoSpaceDE w:val="0"/>
        <w:autoSpaceDN w:val="0"/>
        <w:adjustRightInd w:val="0"/>
        <w:spacing w:line="360" w:lineRule="auto"/>
        <w:jc w:val="both"/>
        <w:rPr>
          <w:rFonts w:ascii="Palatino Linotype" w:hAnsi="Palatino Linotype" w:cs="Arial"/>
          <w:b/>
        </w:rPr>
      </w:pPr>
      <w:bookmarkStart w:id="2" w:name="_Hlk149220614"/>
      <w:r w:rsidRPr="001D57D4">
        <w:rPr>
          <w:rFonts w:ascii="Palatino Linotype" w:hAnsi="Palatino Linotype" w:cs="Arial"/>
          <w:b/>
          <w:bCs/>
        </w:rPr>
        <w:lastRenderedPageBreak/>
        <w:t>Acto Impugnado:</w:t>
      </w:r>
      <w:r w:rsidRPr="001D57D4">
        <w:rPr>
          <w:rFonts w:ascii="Palatino Linotype" w:hAnsi="Palatino Linotype" w:cs="Arial"/>
        </w:rPr>
        <w:t xml:space="preserve"> </w:t>
      </w:r>
    </w:p>
    <w:p w14:paraId="77B13D83" w14:textId="77777777" w:rsidR="00590F40" w:rsidRPr="001D57D4" w:rsidRDefault="00590F40" w:rsidP="001D57D4">
      <w:pPr>
        <w:widowControl w:val="0"/>
        <w:ind w:left="850" w:right="689"/>
        <w:jc w:val="both"/>
        <w:rPr>
          <w:rFonts w:ascii="Palatino Linotype" w:eastAsia="Palatino Linotype" w:hAnsi="Palatino Linotype" w:cs="Palatino Linotype"/>
          <w:i/>
          <w:sz w:val="20"/>
          <w:szCs w:val="20"/>
          <w:lang w:eastAsia="es-MX"/>
        </w:rPr>
      </w:pPr>
    </w:p>
    <w:p w14:paraId="6591C89E" w14:textId="1A83E9BA" w:rsidR="00590F40" w:rsidRPr="001D57D4" w:rsidRDefault="00590F40" w:rsidP="001D57D4">
      <w:pPr>
        <w:widowControl w:val="0"/>
        <w:ind w:left="850" w:right="899"/>
        <w:jc w:val="both"/>
        <w:rPr>
          <w:rFonts w:ascii="Palatino Linotype" w:eastAsia="Palatino Linotype" w:hAnsi="Palatino Linotype" w:cs="Palatino Linotype"/>
          <w:i/>
          <w:sz w:val="22"/>
          <w:szCs w:val="22"/>
          <w:lang w:eastAsia="es-MX"/>
        </w:rPr>
      </w:pPr>
      <w:r w:rsidRPr="001D57D4">
        <w:rPr>
          <w:rFonts w:ascii="Palatino Linotype" w:eastAsia="Palatino Linotype" w:hAnsi="Palatino Linotype" w:cs="Palatino Linotype"/>
          <w:i/>
          <w:sz w:val="22"/>
          <w:szCs w:val="22"/>
          <w:lang w:eastAsia="es-MX"/>
        </w:rPr>
        <w:t>“</w:t>
      </w:r>
      <w:r w:rsidR="006C43E2" w:rsidRPr="001D57D4">
        <w:rPr>
          <w:rFonts w:ascii="Palatino Linotype" w:eastAsia="Palatino Linotype" w:hAnsi="Palatino Linotype" w:cs="Palatino Linotype"/>
          <w:i/>
          <w:sz w:val="22"/>
          <w:szCs w:val="22"/>
          <w:lang w:eastAsia="es-MX"/>
        </w:rPr>
        <w:t>ENTREGA INFORMACIÓN INCOMPLETA</w:t>
      </w:r>
      <w:r w:rsidRPr="001D57D4">
        <w:rPr>
          <w:rFonts w:ascii="Palatino Linotype" w:eastAsia="Palatino Linotype" w:hAnsi="Palatino Linotype" w:cs="Palatino Linotype"/>
          <w:i/>
          <w:sz w:val="22"/>
          <w:szCs w:val="22"/>
          <w:lang w:eastAsia="es-MX"/>
        </w:rPr>
        <w:t xml:space="preserve">” </w:t>
      </w:r>
      <w:r w:rsidRPr="001D57D4">
        <w:rPr>
          <w:rFonts w:ascii="Palatino Linotype" w:eastAsia="Palatino Linotype" w:hAnsi="Palatino Linotype" w:cs="Palatino Linotype"/>
          <w:sz w:val="22"/>
          <w:szCs w:val="22"/>
          <w:lang w:eastAsia="es-MX"/>
        </w:rPr>
        <w:t>(Sic).</w:t>
      </w:r>
      <w:r w:rsidRPr="001D57D4">
        <w:rPr>
          <w:rFonts w:ascii="Palatino Linotype" w:eastAsia="Palatino Linotype" w:hAnsi="Palatino Linotype" w:cs="Palatino Linotype"/>
          <w:i/>
          <w:sz w:val="22"/>
          <w:szCs w:val="22"/>
          <w:lang w:eastAsia="es-MX"/>
        </w:rPr>
        <w:t xml:space="preserve"> </w:t>
      </w:r>
    </w:p>
    <w:p w14:paraId="24CA4352" w14:textId="48962BFE" w:rsidR="00590F40" w:rsidRPr="001D57D4" w:rsidRDefault="00590F40" w:rsidP="001D57D4">
      <w:pPr>
        <w:widowControl w:val="0"/>
        <w:spacing w:line="360" w:lineRule="auto"/>
        <w:jc w:val="both"/>
        <w:rPr>
          <w:rFonts w:ascii="Palatino Linotype" w:eastAsia="Palatino Linotype" w:hAnsi="Palatino Linotype" w:cs="Palatino Linotype"/>
          <w:lang w:eastAsia="es-MX"/>
        </w:rPr>
      </w:pPr>
      <w:r w:rsidRPr="001D57D4">
        <w:rPr>
          <w:rFonts w:ascii="Palatino Linotype" w:eastAsia="Palatino Linotype" w:hAnsi="Palatino Linotype" w:cs="Palatino Linotype"/>
          <w:b/>
          <w:bCs/>
          <w:lang w:eastAsia="es-MX"/>
        </w:rPr>
        <w:t>Así como Razones o Motivos de Inconformidad</w:t>
      </w:r>
      <w:r w:rsidRPr="001D57D4">
        <w:rPr>
          <w:rFonts w:ascii="Palatino Linotype" w:eastAsia="Palatino Linotype" w:hAnsi="Palatino Linotype" w:cs="Palatino Linotype"/>
          <w:lang w:eastAsia="es-MX"/>
        </w:rPr>
        <w:t>:</w:t>
      </w:r>
    </w:p>
    <w:p w14:paraId="44228823" w14:textId="77777777" w:rsidR="00590F40" w:rsidRPr="001D57D4" w:rsidRDefault="00590F40" w:rsidP="001D57D4">
      <w:pPr>
        <w:widowControl w:val="0"/>
        <w:spacing w:line="360" w:lineRule="auto"/>
        <w:jc w:val="both"/>
        <w:rPr>
          <w:rFonts w:ascii="Palatino Linotype" w:eastAsia="Palatino Linotype" w:hAnsi="Palatino Linotype" w:cs="Palatino Linotype"/>
          <w:lang w:eastAsia="es-MX"/>
        </w:rPr>
      </w:pPr>
    </w:p>
    <w:p w14:paraId="7E85662B" w14:textId="23C8292F" w:rsidR="00590F40" w:rsidRPr="001D57D4" w:rsidRDefault="00590F40" w:rsidP="001D57D4">
      <w:pPr>
        <w:widowControl w:val="0"/>
        <w:ind w:left="850" w:right="899"/>
        <w:jc w:val="both"/>
        <w:rPr>
          <w:rFonts w:ascii="Palatino Linotype" w:hAnsi="Palatino Linotype"/>
          <w:iCs/>
          <w:sz w:val="22"/>
          <w:szCs w:val="22"/>
        </w:rPr>
      </w:pPr>
      <w:r w:rsidRPr="001D57D4">
        <w:rPr>
          <w:rFonts w:ascii="Palatino Linotype" w:hAnsi="Palatino Linotype"/>
          <w:i/>
          <w:iCs/>
          <w:sz w:val="22"/>
          <w:szCs w:val="22"/>
        </w:rPr>
        <w:t>“</w:t>
      </w:r>
      <w:r w:rsidR="006C43E2" w:rsidRPr="001D57D4">
        <w:rPr>
          <w:rFonts w:ascii="Palatino Linotype" w:hAnsi="Palatino Linotype"/>
          <w:i/>
          <w:iCs/>
          <w:sz w:val="22"/>
          <w:szCs w:val="22"/>
        </w:rPr>
        <w:t>ENTREGA INFORMACIÓN INCOMPLETA</w:t>
      </w:r>
      <w:r w:rsidRPr="001D57D4">
        <w:rPr>
          <w:rFonts w:ascii="Palatino Linotype" w:hAnsi="Palatino Linotype"/>
          <w:i/>
          <w:iCs/>
          <w:sz w:val="22"/>
          <w:szCs w:val="22"/>
        </w:rPr>
        <w:t xml:space="preserve">” </w:t>
      </w:r>
      <w:r w:rsidRPr="001D57D4">
        <w:rPr>
          <w:rFonts w:ascii="Palatino Linotype" w:hAnsi="Palatino Linotype"/>
          <w:iCs/>
          <w:sz w:val="22"/>
          <w:szCs w:val="22"/>
        </w:rPr>
        <w:t>(Sic).</w:t>
      </w:r>
    </w:p>
    <w:bookmarkEnd w:id="2"/>
    <w:p w14:paraId="69CB3119" w14:textId="3E7854C3" w:rsidR="008821D3" w:rsidRPr="001D57D4" w:rsidRDefault="008821D3" w:rsidP="001D57D4">
      <w:pPr>
        <w:widowControl w:val="0"/>
        <w:ind w:right="616"/>
        <w:contextualSpacing/>
        <w:jc w:val="both"/>
        <w:rPr>
          <w:rFonts w:ascii="Palatino Linotype" w:eastAsia="Palatino Linotype" w:hAnsi="Palatino Linotype" w:cs="Palatino Linotype"/>
          <w:lang w:eastAsia="es-MX"/>
        </w:rPr>
      </w:pPr>
    </w:p>
    <w:p w14:paraId="11CDF804" w14:textId="703C2F97" w:rsidR="007D38BB" w:rsidRPr="001D57D4" w:rsidRDefault="00A606B9" w:rsidP="001D57D4">
      <w:pPr>
        <w:spacing w:line="360" w:lineRule="auto"/>
        <w:jc w:val="both"/>
        <w:rPr>
          <w:rFonts w:ascii="Palatino Linotype" w:hAnsi="Palatino Linotype" w:cs="Arial"/>
          <w:b/>
          <w:sz w:val="28"/>
          <w:szCs w:val="28"/>
        </w:rPr>
      </w:pPr>
      <w:r w:rsidRPr="001D57D4">
        <w:rPr>
          <w:rFonts w:ascii="Palatino Linotype" w:hAnsi="Palatino Linotype" w:cs="Arial"/>
          <w:b/>
          <w:sz w:val="28"/>
          <w:szCs w:val="28"/>
          <w:lang w:val="es-419"/>
        </w:rPr>
        <w:t>V</w:t>
      </w:r>
      <w:r w:rsidR="003F3F35" w:rsidRPr="001D57D4">
        <w:rPr>
          <w:rFonts w:ascii="Palatino Linotype" w:hAnsi="Palatino Linotype" w:cs="Arial"/>
          <w:b/>
          <w:sz w:val="28"/>
          <w:szCs w:val="28"/>
          <w:lang w:val="es-419"/>
        </w:rPr>
        <w:t>I</w:t>
      </w:r>
      <w:r w:rsidR="000171D8" w:rsidRPr="001D57D4">
        <w:rPr>
          <w:rFonts w:ascii="Palatino Linotype" w:hAnsi="Palatino Linotype" w:cs="Arial"/>
          <w:b/>
          <w:sz w:val="28"/>
          <w:szCs w:val="28"/>
        </w:rPr>
        <w:t xml:space="preserve">. </w:t>
      </w:r>
      <w:r w:rsidR="007D38BB" w:rsidRPr="001D57D4">
        <w:rPr>
          <w:rFonts w:ascii="Palatino Linotype" w:hAnsi="Palatino Linotype" w:cs="Arial"/>
          <w:b/>
          <w:sz w:val="28"/>
          <w:szCs w:val="28"/>
        </w:rPr>
        <w:t xml:space="preserve">Del turno del </w:t>
      </w:r>
      <w:r w:rsidR="00D86297" w:rsidRPr="001D57D4">
        <w:rPr>
          <w:rFonts w:ascii="Palatino Linotype" w:hAnsi="Palatino Linotype" w:cs="Arial"/>
          <w:b/>
          <w:sz w:val="28"/>
          <w:szCs w:val="28"/>
        </w:rPr>
        <w:t>Recurso Revisión</w:t>
      </w:r>
    </w:p>
    <w:p w14:paraId="18DB342D" w14:textId="287BAB78" w:rsidR="000171D8" w:rsidRPr="001D57D4" w:rsidRDefault="000171D8" w:rsidP="001D57D4">
      <w:pPr>
        <w:spacing w:line="360" w:lineRule="auto"/>
        <w:jc w:val="both"/>
        <w:rPr>
          <w:rFonts w:ascii="Palatino Linotype" w:hAnsi="Palatino Linotype" w:cs="Arial"/>
        </w:rPr>
      </w:pPr>
      <w:r w:rsidRPr="001D57D4">
        <w:rPr>
          <w:rFonts w:ascii="Palatino Linotype" w:hAnsi="Palatino Linotype" w:cs="Arial"/>
        </w:rPr>
        <w:t>E</w:t>
      </w:r>
      <w:r w:rsidR="00673C06" w:rsidRPr="001D57D4">
        <w:rPr>
          <w:rFonts w:ascii="Palatino Linotype" w:hAnsi="Palatino Linotype" w:cs="Arial"/>
        </w:rPr>
        <w:t>l</w:t>
      </w:r>
      <w:r w:rsidRPr="001D57D4">
        <w:rPr>
          <w:rFonts w:ascii="Palatino Linotype" w:hAnsi="Palatino Linotype" w:cs="Arial"/>
        </w:rPr>
        <w:t xml:space="preserve"> </w:t>
      </w:r>
      <w:r w:rsidR="00D935F9" w:rsidRPr="001D57D4">
        <w:rPr>
          <w:rFonts w:ascii="Palatino Linotype" w:hAnsi="Palatino Linotype" w:cs="Arial"/>
          <w:b/>
          <w:bCs/>
        </w:rPr>
        <w:t>seis</w:t>
      </w:r>
      <w:r w:rsidR="00590F40" w:rsidRPr="001D57D4">
        <w:rPr>
          <w:rFonts w:ascii="Palatino Linotype" w:hAnsi="Palatino Linotype" w:cs="Arial"/>
          <w:b/>
          <w:bCs/>
        </w:rPr>
        <w:t xml:space="preserve"> de septiembre</w:t>
      </w:r>
      <w:r w:rsidR="001A4806" w:rsidRPr="001D57D4">
        <w:rPr>
          <w:rFonts w:ascii="Palatino Linotype" w:hAnsi="Palatino Linotype" w:cs="Arial"/>
          <w:b/>
          <w:bCs/>
        </w:rPr>
        <w:t xml:space="preserve"> de dos mil veintitrés</w:t>
      </w:r>
      <w:r w:rsidRPr="001D57D4">
        <w:rPr>
          <w:rFonts w:ascii="Palatino Linotype" w:hAnsi="Palatino Linotype" w:cs="Arial"/>
        </w:rPr>
        <w:t xml:space="preserve">, el </w:t>
      </w:r>
      <w:r w:rsidR="004D5FF2" w:rsidRPr="001D57D4">
        <w:rPr>
          <w:rFonts w:ascii="Palatino Linotype" w:hAnsi="Palatino Linotype" w:cs="Arial"/>
        </w:rPr>
        <w:t>R</w:t>
      </w:r>
      <w:r w:rsidRPr="001D57D4">
        <w:rPr>
          <w:rFonts w:ascii="Palatino Linotype" w:hAnsi="Palatino Linotype" w:cs="Arial"/>
        </w:rPr>
        <w:t xml:space="preserve">ecurso que se trata se envió electrónicamente al Instituto de </w:t>
      </w:r>
      <w:r w:rsidRPr="001D57D4">
        <w:rPr>
          <w:rFonts w:ascii="Palatino Linotype" w:eastAsia="Arial Unicode MS" w:hAnsi="Palatino Linotype" w:cs="Arial"/>
        </w:rPr>
        <w:t>Transparencia</w:t>
      </w:r>
      <w:r w:rsidRPr="001D57D4">
        <w:rPr>
          <w:rFonts w:ascii="Palatino Linotype" w:hAnsi="Palatino Linotype" w:cs="Arial"/>
        </w:rPr>
        <w:t xml:space="preserve">, Acceso a la </w:t>
      </w:r>
      <w:r w:rsidR="00D86297" w:rsidRPr="001D57D4">
        <w:rPr>
          <w:rFonts w:ascii="Palatino Linotype" w:hAnsi="Palatino Linotype" w:cs="Arial"/>
        </w:rPr>
        <w:t>Información Pública</w:t>
      </w:r>
      <w:r w:rsidRPr="001D57D4">
        <w:rPr>
          <w:rFonts w:ascii="Palatino Linotype" w:hAnsi="Palatino Linotype" w:cs="Arial"/>
        </w:rPr>
        <w:t xml:space="preserve"> y Protección de Datos Personales del Estado de México y Municipios; </w:t>
      </w:r>
      <w:r w:rsidR="009E2E2C" w:rsidRPr="001D57D4">
        <w:rPr>
          <w:rFonts w:ascii="Palatino Linotype" w:hAnsi="Palatino Linotype" w:cs="Arial"/>
        </w:rPr>
        <w:t xml:space="preserve">por lo que, </w:t>
      </w:r>
      <w:r w:rsidRPr="001D57D4">
        <w:rPr>
          <w:rFonts w:ascii="Palatino Linotype" w:hAnsi="Palatino Linotype" w:cs="Arial"/>
        </w:rPr>
        <w:t xml:space="preserve">con fundamento en el artículo 185, fracción I de la </w:t>
      </w:r>
      <w:r w:rsidRPr="001D57D4">
        <w:rPr>
          <w:rFonts w:ascii="Palatino Linotype" w:hAnsi="Palatino Linotype"/>
        </w:rPr>
        <w:t xml:space="preserve">Ley de Transparencia </w:t>
      </w:r>
      <w:r w:rsidR="008821D3" w:rsidRPr="001D57D4">
        <w:rPr>
          <w:rFonts w:ascii="Palatino Linotype" w:hAnsi="Palatino Linotype"/>
        </w:rPr>
        <w:t>local</w:t>
      </w:r>
      <w:r w:rsidRPr="001D57D4">
        <w:rPr>
          <w:rFonts w:ascii="Palatino Linotype" w:hAnsi="Palatino Linotype" w:cs="Arial"/>
        </w:rPr>
        <w:t xml:space="preserve">, se turnó </w:t>
      </w:r>
      <w:r w:rsidR="00727578" w:rsidRPr="001D57D4">
        <w:rPr>
          <w:rFonts w:ascii="Palatino Linotype" w:hAnsi="Palatino Linotype" w:cs="Arial"/>
        </w:rPr>
        <w:t xml:space="preserve">mediante </w:t>
      </w:r>
      <w:r w:rsidR="00727578" w:rsidRPr="001D57D4">
        <w:rPr>
          <w:rFonts w:ascii="Palatino Linotype" w:hAnsi="Palatino Linotype" w:cs="Arial"/>
          <w:b/>
        </w:rPr>
        <w:t xml:space="preserve">EL </w:t>
      </w:r>
      <w:r w:rsidRPr="001D57D4">
        <w:rPr>
          <w:rFonts w:ascii="Palatino Linotype" w:eastAsia="Arial Unicode MS" w:hAnsi="Palatino Linotype" w:cs="Arial"/>
          <w:b/>
        </w:rPr>
        <w:t>SAIMEX</w:t>
      </w:r>
      <w:r w:rsidR="00B41543" w:rsidRPr="001D57D4">
        <w:rPr>
          <w:rFonts w:ascii="Palatino Linotype" w:hAnsi="Palatino Linotype"/>
        </w:rPr>
        <w:t xml:space="preserve">, </w:t>
      </w:r>
      <w:r w:rsidR="00136CC0" w:rsidRPr="001D57D4">
        <w:rPr>
          <w:rFonts w:ascii="Palatino Linotype" w:hAnsi="Palatino Linotype"/>
        </w:rPr>
        <w:t>a</w:t>
      </w:r>
      <w:r w:rsidR="00A606B9" w:rsidRPr="001D57D4">
        <w:rPr>
          <w:rFonts w:ascii="Palatino Linotype" w:hAnsi="Palatino Linotype"/>
          <w:lang w:val="es-419"/>
        </w:rPr>
        <w:t xml:space="preserve"> </w:t>
      </w:r>
      <w:r w:rsidR="00136CC0" w:rsidRPr="001D57D4">
        <w:rPr>
          <w:rFonts w:ascii="Palatino Linotype" w:hAnsi="Palatino Linotype"/>
        </w:rPr>
        <w:t>l</w:t>
      </w:r>
      <w:r w:rsidR="00A606B9" w:rsidRPr="001D57D4">
        <w:rPr>
          <w:rFonts w:ascii="Palatino Linotype" w:hAnsi="Palatino Linotype"/>
          <w:lang w:val="es-419"/>
        </w:rPr>
        <w:t>a</w:t>
      </w:r>
      <w:r w:rsidR="00CE22BE" w:rsidRPr="001D57D4">
        <w:rPr>
          <w:rFonts w:ascii="Palatino Linotype" w:hAnsi="Palatino Linotype"/>
        </w:rPr>
        <w:t xml:space="preserve"> </w:t>
      </w:r>
      <w:r w:rsidR="00136CC0" w:rsidRPr="001D57D4">
        <w:rPr>
          <w:rFonts w:ascii="Palatino Linotype" w:hAnsi="Palatino Linotype"/>
          <w:b/>
        </w:rPr>
        <w:t>C</w:t>
      </w:r>
      <w:r w:rsidR="00136CC0" w:rsidRPr="001D57D4">
        <w:rPr>
          <w:rFonts w:ascii="Palatino Linotype" w:hAnsi="Palatino Linotype" w:cs="Arial"/>
          <w:b/>
        </w:rPr>
        <w:t>omisionad</w:t>
      </w:r>
      <w:r w:rsidR="00A606B9" w:rsidRPr="001D57D4">
        <w:rPr>
          <w:rFonts w:ascii="Palatino Linotype" w:hAnsi="Palatino Linotype" w:cs="Arial"/>
          <w:b/>
          <w:lang w:val="es-419"/>
        </w:rPr>
        <w:t xml:space="preserve">a </w:t>
      </w:r>
      <w:r w:rsidR="009260D0" w:rsidRPr="001D57D4">
        <w:rPr>
          <w:rFonts w:ascii="Palatino Linotype" w:hAnsi="Palatino Linotype" w:cs="Arial"/>
          <w:b/>
          <w:lang w:val="es-419"/>
        </w:rPr>
        <w:t>Sharon Cristina Morales Martínez</w:t>
      </w:r>
      <w:r w:rsidR="00873E36" w:rsidRPr="001D57D4">
        <w:rPr>
          <w:rFonts w:ascii="Palatino Linotype" w:hAnsi="Palatino Linotype" w:cs="Arial"/>
          <w:b/>
          <w:lang w:val="es-419"/>
        </w:rPr>
        <w:t xml:space="preserve"> </w:t>
      </w:r>
      <w:r w:rsidRPr="001D57D4">
        <w:rPr>
          <w:rFonts w:ascii="Palatino Linotype" w:hAnsi="Palatino Linotype" w:cs="Arial"/>
        </w:rPr>
        <w:t>a efecto de decretar su admisión o desechamiento.</w:t>
      </w:r>
    </w:p>
    <w:p w14:paraId="4BBA06FC" w14:textId="77777777" w:rsidR="00406476" w:rsidRPr="001D57D4" w:rsidRDefault="00406476" w:rsidP="001D57D4">
      <w:pPr>
        <w:spacing w:line="360" w:lineRule="auto"/>
        <w:jc w:val="both"/>
        <w:rPr>
          <w:rFonts w:ascii="Palatino Linotype" w:hAnsi="Palatino Linotype" w:cs="Arial"/>
        </w:rPr>
      </w:pPr>
    </w:p>
    <w:p w14:paraId="6E2E972C" w14:textId="326D50B8" w:rsidR="007D38BB" w:rsidRPr="001D57D4" w:rsidRDefault="007D38BB" w:rsidP="001D57D4">
      <w:pPr>
        <w:tabs>
          <w:tab w:val="center" w:pos="4252"/>
          <w:tab w:val="right" w:pos="8504"/>
        </w:tabs>
        <w:spacing w:line="360" w:lineRule="auto"/>
        <w:jc w:val="both"/>
        <w:rPr>
          <w:rFonts w:ascii="Palatino Linotype" w:hAnsi="Palatino Linotype" w:cs="Arial"/>
          <w:b/>
        </w:rPr>
      </w:pPr>
      <w:r w:rsidRPr="001D57D4">
        <w:rPr>
          <w:rFonts w:ascii="Palatino Linotype" w:hAnsi="Palatino Linotype" w:cs="Arial"/>
          <w:b/>
        </w:rPr>
        <w:t xml:space="preserve">a) Admisión del </w:t>
      </w:r>
      <w:r w:rsidR="00D86297" w:rsidRPr="001D57D4">
        <w:rPr>
          <w:rFonts w:ascii="Palatino Linotype" w:hAnsi="Palatino Linotype" w:cs="Arial"/>
          <w:b/>
        </w:rPr>
        <w:t>Recurso Revisión</w:t>
      </w:r>
    </w:p>
    <w:p w14:paraId="7B625BB9" w14:textId="7387A8EE" w:rsidR="000171D8" w:rsidRPr="001D57D4" w:rsidRDefault="000171D8" w:rsidP="001D57D4">
      <w:pPr>
        <w:tabs>
          <w:tab w:val="center" w:pos="4252"/>
          <w:tab w:val="right" w:pos="8504"/>
        </w:tabs>
        <w:spacing w:line="360" w:lineRule="auto"/>
        <w:jc w:val="both"/>
        <w:rPr>
          <w:rFonts w:ascii="Palatino Linotype" w:hAnsi="Palatino Linotype" w:cs="Arial"/>
        </w:rPr>
      </w:pPr>
      <w:r w:rsidRPr="001D57D4">
        <w:rPr>
          <w:rFonts w:ascii="Palatino Linotype" w:hAnsi="Palatino Linotype" w:cs="Arial"/>
        </w:rPr>
        <w:t>De las constancias del expediente electrónico del</w:t>
      </w:r>
      <w:r w:rsidRPr="001D57D4">
        <w:rPr>
          <w:rFonts w:ascii="Palatino Linotype" w:hAnsi="Palatino Linotype" w:cs="Arial"/>
          <w:b/>
        </w:rPr>
        <w:t xml:space="preserve"> SAIMEX</w:t>
      </w:r>
      <w:r w:rsidRPr="001D57D4">
        <w:rPr>
          <w:rFonts w:ascii="Palatino Linotype" w:hAnsi="Palatino Linotype" w:cs="Arial"/>
        </w:rPr>
        <w:t xml:space="preserve">, se advierte que </w:t>
      </w:r>
      <w:r w:rsidR="00727578" w:rsidRPr="001D57D4">
        <w:rPr>
          <w:rFonts w:ascii="Palatino Linotype" w:hAnsi="Palatino Linotype" w:cs="Arial"/>
        </w:rPr>
        <w:t>el</w:t>
      </w:r>
      <w:r w:rsidRPr="001D57D4">
        <w:rPr>
          <w:rFonts w:ascii="Palatino Linotype" w:hAnsi="Palatino Linotype" w:cs="Arial"/>
        </w:rPr>
        <w:t xml:space="preserve"> </w:t>
      </w:r>
      <w:r w:rsidR="00D935F9" w:rsidRPr="001D57D4">
        <w:rPr>
          <w:rFonts w:ascii="Palatino Linotype" w:hAnsi="Palatino Linotype" w:cs="Arial"/>
          <w:b/>
        </w:rPr>
        <w:t>trece</w:t>
      </w:r>
      <w:r w:rsidR="00590F40" w:rsidRPr="001D57D4">
        <w:rPr>
          <w:rFonts w:ascii="Palatino Linotype" w:hAnsi="Palatino Linotype" w:cs="Arial"/>
          <w:b/>
        </w:rPr>
        <w:t xml:space="preserve"> de septiembre</w:t>
      </w:r>
      <w:r w:rsidR="001A4806" w:rsidRPr="001D57D4">
        <w:rPr>
          <w:rFonts w:ascii="Palatino Linotype" w:hAnsi="Palatino Linotype" w:cs="Arial"/>
          <w:b/>
        </w:rPr>
        <w:t xml:space="preserve"> de dos mil veintitrés</w:t>
      </w:r>
      <w:r w:rsidRPr="001D57D4">
        <w:rPr>
          <w:rFonts w:ascii="Palatino Linotype" w:hAnsi="Palatino Linotype" w:cs="Arial"/>
        </w:rPr>
        <w:t xml:space="preserve">, se acordó la admisión a trámite del </w:t>
      </w:r>
      <w:r w:rsidR="00D86297" w:rsidRPr="001D57D4">
        <w:rPr>
          <w:rFonts w:ascii="Palatino Linotype" w:hAnsi="Palatino Linotype" w:cs="Arial"/>
        </w:rPr>
        <w:t>Recurso Revisión</w:t>
      </w:r>
      <w:r w:rsidRPr="001D57D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1D57D4">
        <w:rPr>
          <w:rFonts w:ascii="Palatino Linotype" w:hAnsi="Palatino Linotype" w:cs="Arial"/>
        </w:rPr>
        <w:t>local</w:t>
      </w:r>
      <w:r w:rsidR="00F74A05" w:rsidRPr="001D57D4">
        <w:rPr>
          <w:rFonts w:ascii="Palatino Linotype" w:hAnsi="Palatino Linotype" w:cs="Arial"/>
        </w:rPr>
        <w:t>;</w:t>
      </w:r>
      <w:r w:rsidRPr="001D57D4">
        <w:rPr>
          <w:rFonts w:ascii="Palatino Linotype" w:hAnsi="Palatino Linotype" w:cs="Arial"/>
        </w:rPr>
        <w:t xml:space="preserve"> </w:t>
      </w:r>
      <w:r w:rsidR="00901AE2" w:rsidRPr="001D57D4">
        <w:rPr>
          <w:rFonts w:ascii="Palatino Linotype" w:hAnsi="Palatino Linotype" w:cs="Arial"/>
          <w:b/>
          <w:lang w:val="es-ES"/>
        </w:rPr>
        <w:t>EL</w:t>
      </w:r>
      <w:r w:rsidR="00884EC7" w:rsidRPr="001D57D4">
        <w:rPr>
          <w:rFonts w:ascii="Palatino Linotype" w:hAnsi="Palatino Linotype" w:cs="Arial"/>
          <w:b/>
        </w:rPr>
        <w:t xml:space="preserve"> RECURRENTE</w:t>
      </w:r>
      <w:r w:rsidR="00E5139C" w:rsidRPr="001D57D4">
        <w:rPr>
          <w:rFonts w:ascii="Palatino Linotype" w:hAnsi="Palatino Linotype" w:cs="Arial"/>
          <w:b/>
        </w:rPr>
        <w:t xml:space="preserve"> </w:t>
      </w:r>
      <w:r w:rsidRPr="001D57D4">
        <w:rPr>
          <w:rFonts w:ascii="Palatino Linotype" w:hAnsi="Palatino Linotype" w:cs="Arial"/>
        </w:rPr>
        <w:t>manifestara</w:t>
      </w:r>
      <w:r w:rsidR="00F74A05" w:rsidRPr="001D57D4">
        <w:rPr>
          <w:rFonts w:ascii="Palatino Linotype" w:hAnsi="Palatino Linotype" w:cs="Arial"/>
        </w:rPr>
        <w:t xml:space="preserve"> </w:t>
      </w:r>
      <w:r w:rsidRPr="001D57D4">
        <w:rPr>
          <w:rFonts w:ascii="Palatino Linotype" w:hAnsi="Palatino Linotype" w:cs="Arial"/>
        </w:rPr>
        <w:t xml:space="preserve">lo que a su derecho conviniera, a efecto de presentar pruebas </w:t>
      </w:r>
      <w:r w:rsidR="00727578" w:rsidRPr="001D57D4">
        <w:rPr>
          <w:rFonts w:ascii="Palatino Linotype" w:hAnsi="Palatino Linotype" w:cs="Arial"/>
        </w:rPr>
        <w:t>o</w:t>
      </w:r>
      <w:r w:rsidRPr="001D57D4">
        <w:rPr>
          <w:rFonts w:ascii="Palatino Linotype" w:hAnsi="Palatino Linotype" w:cs="Arial"/>
        </w:rPr>
        <w:t xml:space="preserve"> alegatos</w:t>
      </w:r>
      <w:r w:rsidR="00727578" w:rsidRPr="001D57D4">
        <w:rPr>
          <w:rFonts w:ascii="Palatino Linotype" w:hAnsi="Palatino Linotype" w:cs="Arial"/>
        </w:rPr>
        <w:t xml:space="preserve"> y</w:t>
      </w:r>
      <w:r w:rsidR="00D5111B" w:rsidRPr="001D57D4">
        <w:rPr>
          <w:rFonts w:ascii="Palatino Linotype" w:hAnsi="Palatino Linotype" w:cs="Arial"/>
        </w:rPr>
        <w:t>,</w:t>
      </w:r>
      <w:r w:rsidR="00727578" w:rsidRPr="001D57D4">
        <w:rPr>
          <w:rFonts w:ascii="Palatino Linotype" w:hAnsi="Palatino Linotype" w:cs="Arial"/>
        </w:rPr>
        <w:t xml:space="preserve"> en su caso, </w:t>
      </w:r>
      <w:r w:rsidRPr="001D57D4">
        <w:rPr>
          <w:rFonts w:ascii="Palatino Linotype" w:hAnsi="Palatino Linotype" w:cs="Arial"/>
          <w:b/>
        </w:rPr>
        <w:t xml:space="preserve">EL SUJETO OBLIGADO </w:t>
      </w:r>
      <w:r w:rsidRPr="001D57D4">
        <w:rPr>
          <w:rFonts w:ascii="Palatino Linotype" w:hAnsi="Palatino Linotype" w:cs="Arial"/>
        </w:rPr>
        <w:t>rindiera su</w:t>
      </w:r>
      <w:r w:rsidR="00727578" w:rsidRPr="001D57D4">
        <w:rPr>
          <w:rFonts w:ascii="Palatino Linotype" w:hAnsi="Palatino Linotype" w:cs="Arial"/>
        </w:rPr>
        <w:t xml:space="preserve"> correspondiente </w:t>
      </w:r>
      <w:r w:rsidRPr="001D57D4">
        <w:rPr>
          <w:rFonts w:ascii="Palatino Linotype" w:hAnsi="Palatino Linotype" w:cs="Arial"/>
        </w:rPr>
        <w:t>Informe Justificado.</w:t>
      </w:r>
    </w:p>
    <w:p w14:paraId="1281E030" w14:textId="77777777" w:rsidR="006F3F95" w:rsidRDefault="006F3F95" w:rsidP="001D57D4">
      <w:pPr>
        <w:spacing w:line="360" w:lineRule="auto"/>
        <w:jc w:val="both"/>
        <w:rPr>
          <w:rFonts w:ascii="Palatino Linotype" w:eastAsia="Arial Unicode MS" w:hAnsi="Palatino Linotype" w:cs="Arial"/>
          <w:b/>
        </w:rPr>
      </w:pPr>
    </w:p>
    <w:p w14:paraId="111B65D4" w14:textId="77777777" w:rsidR="001D57D4" w:rsidRPr="001D57D4" w:rsidRDefault="001D57D4" w:rsidP="001D57D4">
      <w:pPr>
        <w:spacing w:line="360" w:lineRule="auto"/>
        <w:jc w:val="both"/>
        <w:rPr>
          <w:rFonts w:ascii="Palatino Linotype" w:eastAsia="Arial Unicode MS" w:hAnsi="Palatino Linotype" w:cs="Arial"/>
          <w:b/>
        </w:rPr>
      </w:pPr>
    </w:p>
    <w:p w14:paraId="28CF2940" w14:textId="53FFAC4D" w:rsidR="00F74A05" w:rsidRPr="001D57D4" w:rsidRDefault="00F74A05" w:rsidP="001D57D4">
      <w:pPr>
        <w:spacing w:line="360" w:lineRule="auto"/>
        <w:jc w:val="both"/>
        <w:rPr>
          <w:rFonts w:ascii="Palatino Linotype" w:eastAsia="Arial Unicode MS" w:hAnsi="Palatino Linotype" w:cs="Arial"/>
          <w:b/>
        </w:rPr>
      </w:pPr>
      <w:r w:rsidRPr="001D57D4">
        <w:rPr>
          <w:rFonts w:ascii="Palatino Linotype" w:eastAsia="Arial Unicode MS" w:hAnsi="Palatino Linotype" w:cs="Arial"/>
          <w:b/>
        </w:rPr>
        <w:lastRenderedPageBreak/>
        <w:t xml:space="preserve">b) </w:t>
      </w:r>
      <w:r w:rsidR="00E97320" w:rsidRPr="001D57D4">
        <w:rPr>
          <w:rFonts w:ascii="Palatino Linotype" w:hAnsi="Palatino Linotype" w:cs="Arial"/>
          <w:b/>
          <w:bCs/>
        </w:rPr>
        <w:t xml:space="preserve">Manifestaciones </w:t>
      </w:r>
    </w:p>
    <w:p w14:paraId="6C9F3349" w14:textId="7EB4AFE1" w:rsidR="009D21A0" w:rsidRPr="001D57D4" w:rsidRDefault="009D21A0" w:rsidP="001D57D4">
      <w:pPr>
        <w:spacing w:line="360" w:lineRule="auto"/>
        <w:jc w:val="both"/>
        <w:rPr>
          <w:rFonts w:ascii="Palatino Linotype" w:eastAsia="Arial Unicode MS" w:hAnsi="Palatino Linotype" w:cs="Arial"/>
        </w:rPr>
      </w:pPr>
      <w:r w:rsidRPr="001D57D4">
        <w:rPr>
          <w:rFonts w:ascii="Palatino Linotype" w:eastAsia="Arial Unicode MS" w:hAnsi="Palatino Linotype" w:cs="Arial"/>
        </w:rPr>
        <w:t xml:space="preserve">De acuerdo con las constancias digitales que obran en </w:t>
      </w:r>
      <w:r w:rsidRPr="001D57D4">
        <w:rPr>
          <w:rFonts w:ascii="Palatino Linotype" w:eastAsia="Arial Unicode MS" w:hAnsi="Palatino Linotype" w:cs="Arial"/>
          <w:b/>
        </w:rPr>
        <w:t>EL</w:t>
      </w:r>
      <w:r w:rsidRPr="001D57D4">
        <w:rPr>
          <w:rFonts w:ascii="Palatino Linotype" w:eastAsia="Arial Unicode MS" w:hAnsi="Palatino Linotype" w:cs="Arial"/>
        </w:rPr>
        <w:t xml:space="preserve"> </w:t>
      </w:r>
      <w:r w:rsidRPr="001D57D4">
        <w:rPr>
          <w:rFonts w:ascii="Palatino Linotype" w:eastAsia="Arial Unicode MS" w:hAnsi="Palatino Linotype" w:cs="Arial"/>
          <w:b/>
        </w:rPr>
        <w:t>SAIMEX</w:t>
      </w:r>
      <w:r w:rsidRPr="001D57D4">
        <w:rPr>
          <w:rFonts w:ascii="Palatino Linotype" w:eastAsia="Arial Unicode MS" w:hAnsi="Palatino Linotype" w:cs="Arial"/>
        </w:rPr>
        <w:t xml:space="preserve"> se desprende que conforme a lo dispuesto en el artículo 185 de la Ley de Transparencia </w:t>
      </w:r>
      <w:r w:rsidR="008821D3" w:rsidRPr="001D57D4">
        <w:rPr>
          <w:rFonts w:ascii="Palatino Linotype" w:eastAsia="Arial Unicode MS" w:hAnsi="Palatino Linotype" w:cs="Arial"/>
        </w:rPr>
        <w:t>local</w:t>
      </w:r>
      <w:r w:rsidRPr="001D57D4">
        <w:rPr>
          <w:rFonts w:ascii="Palatino Linotype" w:eastAsia="Arial Unicode MS" w:hAnsi="Palatino Linotype" w:cs="Arial"/>
        </w:rPr>
        <w:t>, dentro del término legalmente concedido a</w:t>
      </w:r>
      <w:r w:rsidR="00901AE2" w:rsidRPr="001D57D4">
        <w:rPr>
          <w:rFonts w:ascii="Palatino Linotype" w:eastAsia="Arial Unicode MS" w:hAnsi="Palatino Linotype" w:cs="Arial"/>
        </w:rPr>
        <w:t xml:space="preserve">l </w:t>
      </w:r>
      <w:r w:rsidRPr="001D57D4">
        <w:rPr>
          <w:rFonts w:ascii="Palatino Linotype" w:eastAsia="Arial Unicode MS" w:hAnsi="Palatino Linotype" w:cs="Arial"/>
          <w:b/>
        </w:rPr>
        <w:t>RECURRENTE</w:t>
      </w:r>
      <w:r w:rsidRPr="001D57D4">
        <w:rPr>
          <w:rFonts w:ascii="Palatino Linotype" w:eastAsia="Arial Unicode MS" w:hAnsi="Palatino Linotype" w:cs="Arial"/>
        </w:rPr>
        <w:t xml:space="preserve">, éste no realizó manifestación alguna, ni presentó pruebas o alegatos, así como tampoco </w:t>
      </w:r>
      <w:r w:rsidRPr="001D57D4">
        <w:rPr>
          <w:rFonts w:ascii="Palatino Linotype" w:eastAsia="Arial Unicode MS" w:hAnsi="Palatino Linotype" w:cs="Arial"/>
          <w:b/>
          <w:lang w:eastAsia="es-MX"/>
        </w:rPr>
        <w:t>EL SUJETO OBLIGADO</w:t>
      </w:r>
      <w:r w:rsidRPr="001D57D4">
        <w:rPr>
          <w:rFonts w:ascii="Palatino Linotype" w:eastAsia="Arial Unicode MS" w:hAnsi="Palatino Linotype" w:cs="Arial"/>
        </w:rPr>
        <w:t xml:space="preserve"> rindió su Informe Justificado, tal y como se aprecia en la siguiente imagen:</w:t>
      </w:r>
    </w:p>
    <w:p w14:paraId="74CC5102" w14:textId="77777777" w:rsidR="00D935F9" w:rsidRPr="001D57D4" w:rsidRDefault="00D935F9" w:rsidP="001D57D4">
      <w:pPr>
        <w:spacing w:line="360" w:lineRule="auto"/>
        <w:jc w:val="both"/>
        <w:rPr>
          <w:rFonts w:ascii="Palatino Linotype" w:hAnsi="Palatino Linotype" w:cs="Arial"/>
        </w:rPr>
      </w:pPr>
    </w:p>
    <w:p w14:paraId="73324436" w14:textId="3AA89C9B" w:rsidR="007F0BF4" w:rsidRPr="001D57D4" w:rsidRDefault="00D935F9" w:rsidP="001D57D4">
      <w:pPr>
        <w:spacing w:line="360" w:lineRule="auto"/>
        <w:jc w:val="both"/>
        <w:rPr>
          <w:rFonts w:ascii="Palatino Linotype" w:eastAsia="Arial Unicode MS" w:hAnsi="Palatino Linotype" w:cs="Arial"/>
        </w:rPr>
      </w:pPr>
      <w:r w:rsidRPr="001D57D4">
        <w:rPr>
          <w:rFonts w:ascii="Palatino Linotype" w:eastAsia="Arial Unicode MS" w:hAnsi="Palatino Linotype" w:cs="Arial"/>
          <w:noProof/>
          <w:lang w:eastAsia="es-MX"/>
        </w:rPr>
        <w:drawing>
          <wp:inline distT="0" distB="0" distL="0" distR="0" wp14:anchorId="644E6CE1" wp14:editId="03E9C7F4">
            <wp:extent cx="5791200" cy="2095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095500"/>
                    </a:xfrm>
                    <a:prstGeom prst="rect">
                      <a:avLst/>
                    </a:prstGeom>
                    <a:noFill/>
                    <a:ln>
                      <a:noFill/>
                    </a:ln>
                  </pic:spPr>
                </pic:pic>
              </a:graphicData>
            </a:graphic>
          </wp:inline>
        </w:drawing>
      </w:r>
    </w:p>
    <w:p w14:paraId="41840885" w14:textId="14609A94" w:rsidR="00CE22BE" w:rsidRPr="001D57D4" w:rsidRDefault="00CE22BE" w:rsidP="001D57D4">
      <w:pPr>
        <w:spacing w:line="360" w:lineRule="auto"/>
        <w:jc w:val="center"/>
        <w:rPr>
          <w:noProof/>
        </w:rPr>
      </w:pPr>
    </w:p>
    <w:p w14:paraId="7165DAE7" w14:textId="577632CF" w:rsidR="00022170" w:rsidRPr="001D57D4" w:rsidRDefault="00022170" w:rsidP="001D57D4">
      <w:pPr>
        <w:widowControl w:val="0"/>
        <w:tabs>
          <w:tab w:val="left" w:pos="0"/>
        </w:tabs>
        <w:spacing w:line="360" w:lineRule="auto"/>
        <w:jc w:val="both"/>
        <w:rPr>
          <w:rFonts w:ascii="Palatino Linotype" w:eastAsia="Palatino Linotype" w:hAnsi="Palatino Linotype" w:cs="Palatino Linotype"/>
          <w:b/>
        </w:rPr>
      </w:pPr>
      <w:r w:rsidRPr="001D57D4">
        <w:rPr>
          <w:rFonts w:ascii="Palatino Linotype" w:eastAsia="Palatino Linotype" w:hAnsi="Palatino Linotype" w:cs="Palatino Linotype"/>
          <w:b/>
        </w:rPr>
        <w:t xml:space="preserve">c) De la ampliación </w:t>
      </w:r>
    </w:p>
    <w:p w14:paraId="6B8BCAF3" w14:textId="25989E85" w:rsidR="00022170" w:rsidRPr="001D57D4" w:rsidRDefault="00022170" w:rsidP="001D57D4">
      <w:pPr>
        <w:spacing w:line="360" w:lineRule="auto"/>
        <w:jc w:val="both"/>
        <w:rPr>
          <w:rFonts w:ascii="Palatino Linotype" w:eastAsia="Palatino Linotype" w:hAnsi="Palatino Linotype" w:cs="Palatino Linotype"/>
        </w:rPr>
      </w:pPr>
      <w:r w:rsidRPr="001D57D4">
        <w:rPr>
          <w:rFonts w:ascii="Palatino Linotype" w:eastAsia="Palatino Linotype" w:hAnsi="Palatino Linotype" w:cs="Palatino Linotype"/>
        </w:rPr>
        <w:t xml:space="preserve">El </w:t>
      </w:r>
      <w:r w:rsidR="00D935F9" w:rsidRPr="001D57D4">
        <w:rPr>
          <w:rFonts w:ascii="Palatino Linotype" w:eastAsia="Palatino Linotype" w:hAnsi="Palatino Linotype" w:cs="Palatino Linotype"/>
          <w:b/>
        </w:rPr>
        <w:t>diecinueve de octubre</w:t>
      </w:r>
      <w:r w:rsidRPr="001D57D4">
        <w:rPr>
          <w:rFonts w:ascii="Palatino Linotype" w:eastAsia="Palatino Linotype" w:hAnsi="Palatino Linotype" w:cs="Palatino Linotype"/>
          <w:b/>
        </w:rPr>
        <w:t xml:space="preserve"> de dos mil veintitrés</w:t>
      </w:r>
      <w:r w:rsidRPr="001D57D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CF5B001" w14:textId="77777777" w:rsidR="00022170" w:rsidRPr="001D57D4" w:rsidRDefault="00022170" w:rsidP="001D57D4">
      <w:pPr>
        <w:spacing w:line="360" w:lineRule="auto"/>
        <w:jc w:val="both"/>
        <w:rPr>
          <w:rFonts w:ascii="Palatino Linotype" w:eastAsia="Palatino Linotype" w:hAnsi="Palatino Linotype" w:cs="Palatino Linotype"/>
        </w:rPr>
      </w:pPr>
    </w:p>
    <w:p w14:paraId="286E0D93" w14:textId="77777777" w:rsidR="00022170" w:rsidRPr="001D57D4" w:rsidRDefault="00022170" w:rsidP="001D57D4">
      <w:pPr>
        <w:spacing w:line="360" w:lineRule="auto"/>
        <w:jc w:val="both"/>
        <w:rPr>
          <w:rFonts w:ascii="Palatino Linotype" w:hAnsi="Palatino Linotype" w:cs="Arial"/>
          <w:lang w:eastAsia="es-MX"/>
        </w:rPr>
      </w:pPr>
      <w:r w:rsidRPr="001D57D4">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1D57D4">
        <w:rPr>
          <w:rFonts w:ascii="Palatino Linotype" w:eastAsia="Palatino Linotype" w:hAnsi="Palatino Linotype" w:cs="Palatino Linotype"/>
        </w:rPr>
        <w:lastRenderedPageBreak/>
        <w:t>con los recibidos en el año dos mil veintiuno dentro del mismo periodo, se ha incrementado aproximadamente un 400%, circunstancia atípica que ha rebasado las capacidades técnicas y humanas del personal enc</w:t>
      </w:r>
      <w:r w:rsidRPr="001D57D4">
        <w:rPr>
          <w:rFonts w:ascii="Palatino Linotype" w:hAnsi="Palatino Linotype" w:cs="Arial"/>
          <w:lang w:eastAsia="es-MX"/>
        </w:rPr>
        <w:t>argado de la proyección de las resoluciones a dichos medios de impugnación.</w:t>
      </w:r>
    </w:p>
    <w:p w14:paraId="210B99F2" w14:textId="77777777" w:rsidR="00022170" w:rsidRPr="001D57D4" w:rsidRDefault="00022170" w:rsidP="001D57D4">
      <w:pPr>
        <w:spacing w:line="360" w:lineRule="auto"/>
        <w:jc w:val="both"/>
        <w:rPr>
          <w:rFonts w:ascii="Palatino Linotype" w:hAnsi="Palatino Linotype" w:cs="Arial"/>
          <w:lang w:eastAsia="es-MX"/>
        </w:rPr>
      </w:pPr>
    </w:p>
    <w:p w14:paraId="551D8EB6" w14:textId="77777777" w:rsidR="00022170" w:rsidRPr="001D57D4" w:rsidRDefault="00022170" w:rsidP="001D57D4">
      <w:pPr>
        <w:spacing w:line="360" w:lineRule="auto"/>
        <w:jc w:val="both"/>
        <w:rPr>
          <w:rFonts w:ascii="Palatino Linotype" w:hAnsi="Palatino Linotype" w:cs="Arial"/>
          <w:lang w:eastAsia="es-MX"/>
        </w:rPr>
      </w:pPr>
      <w:r w:rsidRPr="001D57D4">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9F8C5FD" w14:textId="77777777" w:rsidR="00022170" w:rsidRPr="001D57D4" w:rsidRDefault="00022170" w:rsidP="001D57D4">
      <w:pPr>
        <w:spacing w:line="360" w:lineRule="auto"/>
        <w:jc w:val="both"/>
        <w:rPr>
          <w:rFonts w:ascii="Palatino Linotype" w:hAnsi="Palatino Linotype" w:cs="Arial"/>
          <w:lang w:eastAsia="es-MX"/>
        </w:rPr>
      </w:pPr>
    </w:p>
    <w:p w14:paraId="07D06E01" w14:textId="77777777" w:rsidR="00022170" w:rsidRPr="001D57D4" w:rsidRDefault="00022170" w:rsidP="001D57D4">
      <w:pPr>
        <w:spacing w:line="360" w:lineRule="auto"/>
        <w:jc w:val="both"/>
        <w:rPr>
          <w:rFonts w:ascii="Palatino Linotype" w:hAnsi="Palatino Linotype" w:cs="Arial"/>
          <w:lang w:eastAsia="es-MX"/>
        </w:rPr>
      </w:pPr>
      <w:r w:rsidRPr="001D57D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18CFD6" w14:textId="77777777" w:rsidR="00022170" w:rsidRPr="001D57D4" w:rsidRDefault="00022170" w:rsidP="001D57D4">
      <w:pPr>
        <w:spacing w:line="360" w:lineRule="auto"/>
        <w:jc w:val="both"/>
        <w:rPr>
          <w:rFonts w:ascii="Palatino Linotype" w:hAnsi="Palatino Linotype" w:cs="Arial"/>
          <w:lang w:eastAsia="es-MX"/>
        </w:rPr>
      </w:pPr>
    </w:p>
    <w:p w14:paraId="6CEA3CC6" w14:textId="77777777" w:rsidR="00022170" w:rsidRPr="001D57D4" w:rsidRDefault="00022170" w:rsidP="001D57D4">
      <w:pPr>
        <w:spacing w:line="360" w:lineRule="auto"/>
        <w:jc w:val="both"/>
        <w:rPr>
          <w:rFonts w:ascii="Palatino Linotype" w:hAnsi="Palatino Linotype" w:cs="Arial"/>
          <w:lang w:eastAsia="es-MX"/>
        </w:rPr>
      </w:pPr>
      <w:r w:rsidRPr="001D57D4">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12A77AE" w14:textId="77777777" w:rsidR="00022170" w:rsidRPr="001D57D4" w:rsidRDefault="00022170" w:rsidP="001D57D4">
      <w:pPr>
        <w:spacing w:line="360" w:lineRule="auto"/>
        <w:jc w:val="both"/>
        <w:rPr>
          <w:rFonts w:ascii="Palatino Linotype" w:hAnsi="Palatino Linotype" w:cs="Arial"/>
          <w:lang w:eastAsia="es-MX"/>
        </w:rPr>
      </w:pPr>
    </w:p>
    <w:p w14:paraId="053E42E1" w14:textId="77777777" w:rsidR="00022170" w:rsidRPr="001D57D4" w:rsidRDefault="00022170" w:rsidP="001D57D4">
      <w:pPr>
        <w:spacing w:line="360" w:lineRule="auto"/>
        <w:jc w:val="both"/>
        <w:rPr>
          <w:rFonts w:ascii="Palatino Linotype" w:hAnsi="Palatino Linotype" w:cs="Arial"/>
          <w:lang w:eastAsia="es-MX"/>
        </w:rPr>
      </w:pPr>
      <w:r w:rsidRPr="001D57D4">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40985E2C" w14:textId="77777777" w:rsidR="00022170" w:rsidRPr="001D57D4" w:rsidRDefault="00022170" w:rsidP="001D57D4">
      <w:pPr>
        <w:spacing w:line="360" w:lineRule="auto"/>
        <w:jc w:val="both"/>
        <w:rPr>
          <w:rFonts w:ascii="Palatino Linotype" w:hAnsi="Palatino Linotype" w:cs="Arial"/>
          <w:lang w:eastAsia="es-MX"/>
        </w:rPr>
      </w:pPr>
    </w:p>
    <w:p w14:paraId="30618CCF" w14:textId="77777777" w:rsidR="00022170" w:rsidRPr="001D57D4" w:rsidRDefault="00022170" w:rsidP="001D57D4">
      <w:pPr>
        <w:pStyle w:val="Prrafodelista"/>
        <w:numPr>
          <w:ilvl w:val="0"/>
          <w:numId w:val="13"/>
        </w:numPr>
        <w:spacing w:line="360" w:lineRule="auto"/>
        <w:contextualSpacing/>
        <w:jc w:val="both"/>
        <w:rPr>
          <w:rFonts w:ascii="Palatino Linotype" w:hAnsi="Palatino Linotype" w:cs="Arial"/>
          <w:lang w:eastAsia="es-MX"/>
        </w:rPr>
      </w:pPr>
      <w:r w:rsidRPr="001D57D4">
        <w:rPr>
          <w:rFonts w:ascii="Palatino Linotype" w:hAnsi="Palatino Linotype" w:cs="Arial"/>
          <w:lang w:eastAsia="es-MX"/>
        </w:rPr>
        <w:t>Complejidad del asunto: La complejidad de la prueba, la pluralidad de sujetos procesales, el tiempo transcurrido, las características y contexto del recurso.</w:t>
      </w:r>
    </w:p>
    <w:p w14:paraId="2963BE56" w14:textId="77777777" w:rsidR="00022170" w:rsidRPr="001D57D4" w:rsidRDefault="00022170" w:rsidP="001D57D4">
      <w:pPr>
        <w:pStyle w:val="Prrafodelista"/>
        <w:numPr>
          <w:ilvl w:val="0"/>
          <w:numId w:val="13"/>
        </w:numPr>
        <w:spacing w:line="360" w:lineRule="auto"/>
        <w:contextualSpacing/>
        <w:jc w:val="both"/>
        <w:rPr>
          <w:rFonts w:ascii="Palatino Linotype" w:hAnsi="Palatino Linotype" w:cs="Arial"/>
          <w:lang w:eastAsia="es-MX"/>
        </w:rPr>
      </w:pPr>
      <w:r w:rsidRPr="001D57D4">
        <w:rPr>
          <w:rFonts w:ascii="Palatino Linotype" w:hAnsi="Palatino Linotype" w:cs="Arial"/>
          <w:lang w:eastAsia="es-MX"/>
        </w:rPr>
        <w:t>Actividad Procesal del interesado: Acciones u omisiones del interesado.</w:t>
      </w:r>
    </w:p>
    <w:p w14:paraId="7289BA9D" w14:textId="77777777" w:rsidR="00022170" w:rsidRPr="001D57D4" w:rsidRDefault="00022170" w:rsidP="001D57D4">
      <w:pPr>
        <w:pStyle w:val="Prrafodelista"/>
        <w:numPr>
          <w:ilvl w:val="0"/>
          <w:numId w:val="13"/>
        </w:numPr>
        <w:spacing w:line="360" w:lineRule="auto"/>
        <w:contextualSpacing/>
        <w:jc w:val="both"/>
        <w:rPr>
          <w:rFonts w:ascii="Palatino Linotype" w:hAnsi="Palatino Linotype" w:cs="Arial"/>
          <w:lang w:eastAsia="es-MX"/>
        </w:rPr>
      </w:pPr>
      <w:r w:rsidRPr="001D57D4">
        <w:rPr>
          <w:rFonts w:ascii="Palatino Linotype" w:hAnsi="Palatino Linotype" w:cs="Arial"/>
          <w:lang w:eastAsia="es-MX"/>
        </w:rPr>
        <w:t>Conducta de la Autoridad: Las Acciones u omisiones realizadas en el procedimiento. Así como si la autoridad actuó con la debida diligencia.</w:t>
      </w:r>
    </w:p>
    <w:p w14:paraId="28C8FCEB" w14:textId="77777777" w:rsidR="00022170" w:rsidRPr="001D57D4" w:rsidRDefault="00022170" w:rsidP="001D57D4">
      <w:pPr>
        <w:pStyle w:val="Prrafodelista"/>
        <w:numPr>
          <w:ilvl w:val="0"/>
          <w:numId w:val="13"/>
        </w:numPr>
        <w:spacing w:line="360" w:lineRule="auto"/>
        <w:contextualSpacing/>
        <w:jc w:val="both"/>
        <w:rPr>
          <w:rFonts w:ascii="Palatino Linotype" w:hAnsi="Palatino Linotype" w:cs="Arial"/>
          <w:lang w:eastAsia="es-MX"/>
        </w:rPr>
      </w:pPr>
      <w:r w:rsidRPr="001D57D4">
        <w:rPr>
          <w:rFonts w:ascii="Palatino Linotype" w:hAnsi="Palatino Linotype" w:cs="Arial"/>
          <w:lang w:eastAsia="es-MX"/>
        </w:rPr>
        <w:t>La afectación generada en la situación jurídica de la persona involucrada en el proceso: Violación a sus derechos humanos.</w:t>
      </w:r>
    </w:p>
    <w:p w14:paraId="419B7BCB" w14:textId="77777777" w:rsidR="00022170" w:rsidRPr="001D57D4" w:rsidRDefault="00022170" w:rsidP="001D57D4">
      <w:pPr>
        <w:spacing w:line="360" w:lineRule="auto"/>
        <w:ind w:left="360"/>
        <w:jc w:val="both"/>
        <w:rPr>
          <w:rFonts w:ascii="Palatino Linotype" w:hAnsi="Palatino Linotype" w:cs="Arial"/>
          <w:lang w:eastAsia="es-MX"/>
        </w:rPr>
      </w:pPr>
    </w:p>
    <w:p w14:paraId="04E8EBF9" w14:textId="77777777" w:rsidR="00022170" w:rsidRPr="001D57D4" w:rsidRDefault="00022170" w:rsidP="001D57D4">
      <w:pPr>
        <w:spacing w:line="360" w:lineRule="auto"/>
        <w:jc w:val="both"/>
        <w:rPr>
          <w:rFonts w:ascii="Palatino Linotype" w:hAnsi="Palatino Linotype" w:cs="Arial"/>
          <w:lang w:eastAsia="es-MX"/>
        </w:rPr>
      </w:pPr>
      <w:r w:rsidRPr="001D57D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B15F09" w14:textId="77777777" w:rsidR="00022170" w:rsidRPr="001D57D4" w:rsidRDefault="00022170" w:rsidP="001D57D4">
      <w:pPr>
        <w:spacing w:line="360" w:lineRule="auto"/>
        <w:jc w:val="both"/>
        <w:rPr>
          <w:rFonts w:ascii="Palatino Linotype" w:hAnsi="Palatino Linotype" w:cs="Arial"/>
          <w:lang w:eastAsia="es-MX"/>
        </w:rPr>
      </w:pPr>
    </w:p>
    <w:p w14:paraId="0D97C339" w14:textId="77777777" w:rsidR="00022170" w:rsidRPr="001D57D4" w:rsidRDefault="00022170" w:rsidP="001D57D4">
      <w:pPr>
        <w:spacing w:line="360" w:lineRule="auto"/>
        <w:jc w:val="both"/>
        <w:rPr>
          <w:rFonts w:ascii="Palatino Linotype" w:hAnsi="Palatino Linotype" w:cs="Arial"/>
          <w:lang w:eastAsia="es-MX"/>
        </w:rPr>
      </w:pPr>
      <w:r w:rsidRPr="001D57D4">
        <w:rPr>
          <w:rFonts w:ascii="Palatino Linotype" w:hAnsi="Palatino Linotype" w:cs="Arial"/>
          <w:lang w:eastAsia="es-MX"/>
        </w:rPr>
        <w:t>Argumento que encuentra sustento en la jurisprudencia P</w:t>
      </w:r>
      <w:proofErr w:type="gramStart"/>
      <w:r w:rsidRPr="001D57D4">
        <w:rPr>
          <w:rFonts w:ascii="Palatino Linotype" w:hAnsi="Palatino Linotype" w:cs="Arial"/>
          <w:lang w:eastAsia="es-MX"/>
        </w:rPr>
        <w:t>./</w:t>
      </w:r>
      <w:proofErr w:type="gramEnd"/>
      <w:r w:rsidRPr="001D57D4">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0715777" w14:textId="77777777" w:rsidR="00022170" w:rsidRPr="001D57D4" w:rsidRDefault="00022170" w:rsidP="001D57D4">
      <w:pPr>
        <w:spacing w:line="360" w:lineRule="auto"/>
        <w:jc w:val="both"/>
        <w:rPr>
          <w:rFonts w:ascii="Palatino Linotype" w:hAnsi="Palatino Linotype" w:cs="Arial"/>
          <w:lang w:eastAsia="es-MX"/>
        </w:rPr>
      </w:pPr>
      <w:r w:rsidRPr="001D57D4">
        <w:rPr>
          <w:rFonts w:ascii="Palatino Linotype" w:hAnsi="Palatino Linotype" w:cs="Arial"/>
          <w:lang w:eastAsia="es-MX"/>
        </w:rPr>
        <w:lastRenderedPageBreak/>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35516A" w14:textId="77777777" w:rsidR="00022170" w:rsidRPr="001D57D4" w:rsidRDefault="00022170" w:rsidP="001D57D4">
      <w:pPr>
        <w:spacing w:line="360" w:lineRule="auto"/>
        <w:jc w:val="both"/>
        <w:rPr>
          <w:rFonts w:ascii="Palatino Linotype" w:hAnsi="Palatino Linotype" w:cs="Arial"/>
          <w:lang w:eastAsia="es-MX"/>
        </w:rPr>
      </w:pPr>
    </w:p>
    <w:p w14:paraId="43811989" w14:textId="77777777" w:rsidR="00022170" w:rsidRPr="001D57D4" w:rsidRDefault="00022170" w:rsidP="001D57D4">
      <w:pPr>
        <w:spacing w:line="360" w:lineRule="auto"/>
        <w:jc w:val="both"/>
        <w:rPr>
          <w:rFonts w:ascii="Palatino Linotype" w:hAnsi="Palatino Linotype" w:cs="Arial"/>
          <w:lang w:eastAsia="es-MX"/>
        </w:rPr>
      </w:pPr>
      <w:r w:rsidRPr="001D57D4">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ABD884B" w14:textId="77777777" w:rsidR="00022170" w:rsidRPr="001D57D4" w:rsidRDefault="00022170" w:rsidP="001D57D4">
      <w:pPr>
        <w:spacing w:line="360" w:lineRule="auto"/>
        <w:jc w:val="both"/>
        <w:rPr>
          <w:rFonts w:ascii="Palatino Linotype" w:hAnsi="Palatino Linotype" w:cs="Arial"/>
          <w:lang w:eastAsia="es-MX"/>
        </w:rPr>
      </w:pPr>
    </w:p>
    <w:p w14:paraId="642271D2" w14:textId="77777777" w:rsidR="00022170" w:rsidRPr="001D57D4" w:rsidRDefault="00022170" w:rsidP="001D57D4">
      <w:pPr>
        <w:spacing w:line="360" w:lineRule="auto"/>
        <w:jc w:val="both"/>
        <w:rPr>
          <w:rFonts w:ascii="Palatino Linotype" w:hAnsi="Palatino Linotype" w:cs="Arial"/>
          <w:lang w:eastAsia="es-MX"/>
        </w:rPr>
      </w:pPr>
      <w:r w:rsidRPr="001D57D4">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1875778F" w14:textId="77777777" w:rsidR="00022170" w:rsidRPr="001D57D4" w:rsidRDefault="00022170" w:rsidP="001D57D4">
      <w:pPr>
        <w:spacing w:line="360" w:lineRule="auto"/>
        <w:jc w:val="both"/>
        <w:rPr>
          <w:rFonts w:ascii="Palatino Linotype" w:hAnsi="Palatino Linotype" w:cs="Arial"/>
          <w:lang w:eastAsia="es-MX"/>
        </w:rPr>
      </w:pPr>
    </w:p>
    <w:p w14:paraId="6D785C7F" w14:textId="77777777" w:rsidR="00022170" w:rsidRPr="001D57D4" w:rsidRDefault="00022170" w:rsidP="001D57D4">
      <w:pPr>
        <w:spacing w:line="360" w:lineRule="auto"/>
        <w:jc w:val="both"/>
        <w:rPr>
          <w:rFonts w:ascii="Palatino Linotype" w:hAnsi="Palatino Linotype" w:cs="Arial"/>
          <w:lang w:eastAsia="es-MX"/>
        </w:rPr>
      </w:pPr>
      <w:r w:rsidRPr="001D57D4">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D817324" w14:textId="77777777" w:rsidR="00022170" w:rsidRPr="001D57D4" w:rsidRDefault="00022170" w:rsidP="001D57D4">
      <w:pPr>
        <w:spacing w:line="360" w:lineRule="auto"/>
        <w:jc w:val="both"/>
        <w:rPr>
          <w:rFonts w:ascii="Palatino Linotype" w:hAnsi="Palatino Linotype" w:cs="Arial"/>
          <w:lang w:eastAsia="es-MX"/>
        </w:rPr>
      </w:pPr>
    </w:p>
    <w:p w14:paraId="0E04E95A" w14:textId="76599690" w:rsidR="00022170" w:rsidRPr="001D57D4" w:rsidRDefault="00022170" w:rsidP="001D57D4">
      <w:pPr>
        <w:spacing w:line="360" w:lineRule="auto"/>
        <w:jc w:val="both"/>
        <w:rPr>
          <w:rFonts w:ascii="Palatino Linotype" w:hAnsi="Palatino Linotype" w:cs="Arial"/>
          <w:lang w:eastAsia="es-MX"/>
        </w:rPr>
      </w:pPr>
      <w:r w:rsidRPr="001D57D4">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64722506" w14:textId="758EC094" w:rsidR="00022170" w:rsidRPr="001D57D4" w:rsidRDefault="00022170" w:rsidP="001D57D4">
      <w:pPr>
        <w:spacing w:line="360" w:lineRule="auto"/>
        <w:jc w:val="both"/>
        <w:rPr>
          <w:noProof/>
        </w:rPr>
      </w:pPr>
    </w:p>
    <w:p w14:paraId="3ACA5BEE" w14:textId="1A3B5524" w:rsidR="009A6C91" w:rsidRPr="001D57D4" w:rsidRDefault="001D57D4" w:rsidP="001D57D4">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9A6C91" w:rsidRPr="001D57D4">
        <w:rPr>
          <w:rFonts w:ascii="Palatino Linotype" w:hAnsi="Palatino Linotype" w:cs="Arial"/>
          <w:b/>
          <w:bCs/>
        </w:rPr>
        <w:t>) Cierre de Instrucción</w:t>
      </w:r>
    </w:p>
    <w:p w14:paraId="13F81E71" w14:textId="48B7D4F8" w:rsidR="009A6C91" w:rsidRPr="001D57D4" w:rsidRDefault="009A6C91" w:rsidP="001D57D4">
      <w:pPr>
        <w:spacing w:line="360" w:lineRule="auto"/>
        <w:jc w:val="both"/>
        <w:rPr>
          <w:rFonts w:ascii="Palatino Linotype" w:hAnsi="Palatino Linotype" w:cs="Arial"/>
        </w:rPr>
      </w:pPr>
      <w:r w:rsidRPr="001D57D4">
        <w:rPr>
          <w:rFonts w:ascii="Palatino Linotype" w:hAnsi="Palatino Linotype"/>
        </w:rPr>
        <w:t xml:space="preserve">Una vez analizado el estado procesal que guarda el expediente, el </w:t>
      </w:r>
      <w:r w:rsidR="00036EEA" w:rsidRPr="001D57D4">
        <w:rPr>
          <w:rFonts w:ascii="Palatino Linotype" w:hAnsi="Palatino Linotype"/>
          <w:b/>
          <w:bCs/>
        </w:rPr>
        <w:t xml:space="preserve">dieciséis de enero </w:t>
      </w:r>
      <w:r w:rsidR="000106D5" w:rsidRPr="001D57D4">
        <w:rPr>
          <w:rFonts w:ascii="Palatino Linotype" w:hAnsi="Palatino Linotype"/>
          <w:b/>
          <w:bCs/>
        </w:rPr>
        <w:t xml:space="preserve"> de dos mil veintitrés</w:t>
      </w:r>
      <w:r w:rsidRPr="001D57D4">
        <w:rPr>
          <w:rFonts w:ascii="Palatino Linotype" w:hAnsi="Palatino Linotype"/>
        </w:rPr>
        <w:t xml:space="preserve">, la </w:t>
      </w:r>
      <w:r w:rsidRPr="001D57D4">
        <w:rPr>
          <w:rFonts w:ascii="Palatino Linotype" w:hAnsi="Palatino Linotype"/>
          <w:b/>
        </w:rPr>
        <w:t>Comisionada Sharon Cristina Morales Martínez</w:t>
      </w:r>
      <w:r w:rsidRPr="001D57D4">
        <w:rPr>
          <w:rFonts w:ascii="Palatino Linotype" w:hAnsi="Palatino Linotype"/>
          <w:lang w:val="es-419"/>
        </w:rPr>
        <w:t xml:space="preserve"> </w:t>
      </w:r>
      <w:r w:rsidRPr="001D57D4">
        <w:rPr>
          <w:rFonts w:ascii="Palatino Linotype" w:hAnsi="Palatino Linotype"/>
        </w:rPr>
        <w:t>acordó el cierre de instrucción;</w:t>
      </w:r>
      <w:r w:rsidRPr="001D57D4">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1D57D4">
        <w:rPr>
          <w:rFonts w:ascii="Palatino Linotype" w:hAnsi="Palatino Linotype" w:cs="Arial"/>
        </w:rPr>
        <w:t>local</w:t>
      </w:r>
      <w:r w:rsidR="00BB13FB" w:rsidRPr="001D57D4">
        <w:rPr>
          <w:rFonts w:ascii="Palatino Linotype" w:hAnsi="Palatino Linotype" w:cs="Arial"/>
        </w:rPr>
        <w:t xml:space="preserve">; </w:t>
      </w:r>
      <w:r w:rsidR="008821D3" w:rsidRPr="001D57D4">
        <w:rPr>
          <w:rFonts w:ascii="Palatino Linotype" w:hAnsi="Palatino Linotype" w:cs="Arial"/>
        </w:rPr>
        <w:t>y,</w:t>
      </w:r>
    </w:p>
    <w:p w14:paraId="2AA0A9D1" w14:textId="77777777" w:rsidR="003D6117" w:rsidRPr="001D57D4" w:rsidRDefault="003D6117" w:rsidP="001D57D4">
      <w:pPr>
        <w:spacing w:line="360" w:lineRule="auto"/>
        <w:jc w:val="both"/>
        <w:rPr>
          <w:rFonts w:ascii="Palatino Linotype" w:hAnsi="Palatino Linotype" w:cs="Arial"/>
        </w:rPr>
      </w:pPr>
    </w:p>
    <w:p w14:paraId="3AB9D768" w14:textId="553C4962" w:rsidR="000171D8" w:rsidRPr="001D57D4" w:rsidRDefault="000171D8" w:rsidP="001D57D4">
      <w:pPr>
        <w:jc w:val="center"/>
        <w:rPr>
          <w:rFonts w:ascii="Palatino Linotype" w:hAnsi="Palatino Linotype" w:cs="Arial"/>
          <w:b/>
          <w:bCs/>
          <w:spacing w:val="60"/>
          <w:sz w:val="28"/>
        </w:rPr>
      </w:pPr>
      <w:r w:rsidRPr="001D57D4">
        <w:rPr>
          <w:rFonts w:ascii="Palatino Linotype" w:hAnsi="Palatino Linotype" w:cs="Arial"/>
          <w:b/>
          <w:bCs/>
          <w:spacing w:val="60"/>
          <w:sz w:val="28"/>
        </w:rPr>
        <w:t>CONSIDERANDO</w:t>
      </w:r>
    </w:p>
    <w:p w14:paraId="04D81663" w14:textId="74CDCC38" w:rsidR="009D21A0" w:rsidRPr="001D57D4" w:rsidRDefault="009D21A0" w:rsidP="001D57D4">
      <w:pPr>
        <w:jc w:val="center"/>
        <w:rPr>
          <w:rFonts w:ascii="Palatino Linotype" w:hAnsi="Palatino Linotype" w:cs="Arial"/>
          <w:b/>
          <w:bCs/>
          <w:spacing w:val="60"/>
          <w:sz w:val="28"/>
        </w:rPr>
      </w:pPr>
    </w:p>
    <w:p w14:paraId="109E4DF8" w14:textId="77777777" w:rsidR="00684C99" w:rsidRPr="001D57D4" w:rsidRDefault="000171D8" w:rsidP="001D57D4">
      <w:pPr>
        <w:spacing w:line="360" w:lineRule="auto"/>
        <w:ind w:right="50"/>
        <w:jc w:val="both"/>
        <w:rPr>
          <w:rFonts w:ascii="Palatino Linotype" w:hAnsi="Palatino Linotype"/>
          <w:b/>
        </w:rPr>
      </w:pPr>
      <w:r w:rsidRPr="001D57D4">
        <w:rPr>
          <w:rFonts w:ascii="Palatino Linotype" w:hAnsi="Palatino Linotype"/>
          <w:b/>
          <w:sz w:val="28"/>
          <w:szCs w:val="28"/>
        </w:rPr>
        <w:t>PRIMERO</w:t>
      </w:r>
      <w:r w:rsidRPr="001D57D4">
        <w:rPr>
          <w:rFonts w:ascii="Palatino Linotype" w:hAnsi="Palatino Linotype"/>
          <w:b/>
        </w:rPr>
        <w:t>.</w:t>
      </w:r>
      <w:r w:rsidRPr="001D57D4">
        <w:rPr>
          <w:rFonts w:ascii="Palatino Linotype" w:hAnsi="Palatino Linotype"/>
        </w:rPr>
        <w:t xml:space="preserve"> </w:t>
      </w:r>
      <w:r w:rsidRPr="001D57D4">
        <w:rPr>
          <w:rFonts w:ascii="Palatino Linotype" w:hAnsi="Palatino Linotype"/>
          <w:b/>
        </w:rPr>
        <w:t>Competencia</w:t>
      </w:r>
      <w:r w:rsidRPr="001D57D4">
        <w:rPr>
          <w:rFonts w:ascii="Palatino Linotype" w:hAnsi="Palatino Linotype"/>
        </w:rPr>
        <w:t>.</w:t>
      </w:r>
      <w:r w:rsidRPr="001D57D4">
        <w:rPr>
          <w:rFonts w:ascii="Palatino Linotype" w:hAnsi="Palatino Linotype"/>
          <w:b/>
        </w:rPr>
        <w:t xml:space="preserve"> </w:t>
      </w:r>
    </w:p>
    <w:p w14:paraId="07007E92" w14:textId="2BAA944B" w:rsidR="008B239D" w:rsidRPr="001D57D4" w:rsidRDefault="008B239D" w:rsidP="001D57D4">
      <w:pPr>
        <w:spacing w:line="360" w:lineRule="auto"/>
        <w:ind w:right="50"/>
        <w:jc w:val="both"/>
        <w:rPr>
          <w:rFonts w:ascii="Palatino Linotype" w:hAnsi="Palatino Linotype" w:cs="Arial"/>
        </w:rPr>
      </w:pPr>
      <w:r w:rsidRPr="001D57D4">
        <w:rPr>
          <w:rFonts w:ascii="Palatino Linotype" w:hAnsi="Palatino Linotype"/>
        </w:rPr>
        <w:t xml:space="preserve">Este Instituto de Transparencia, Acceso a la </w:t>
      </w:r>
      <w:r w:rsidR="00D86297" w:rsidRPr="001D57D4">
        <w:rPr>
          <w:rFonts w:ascii="Palatino Linotype" w:hAnsi="Palatino Linotype"/>
        </w:rPr>
        <w:t>Información Pública</w:t>
      </w:r>
      <w:r w:rsidRPr="001D57D4">
        <w:rPr>
          <w:rFonts w:ascii="Palatino Linotype" w:hAnsi="Palatino Linotype"/>
        </w:rPr>
        <w:t xml:space="preserve"> y Protección de Datos Personales del Estado de México y Municipios, es competente para </w:t>
      </w:r>
      <w:r w:rsidR="00CB5585" w:rsidRPr="001D57D4">
        <w:rPr>
          <w:rFonts w:ascii="Palatino Linotype" w:hAnsi="Palatino Linotype"/>
        </w:rPr>
        <w:t xml:space="preserve">conocer y resolver el presente </w:t>
      </w:r>
      <w:r w:rsidR="00D86297" w:rsidRPr="001D57D4">
        <w:rPr>
          <w:rFonts w:ascii="Palatino Linotype" w:hAnsi="Palatino Linotype"/>
        </w:rPr>
        <w:t>Recurso Revisión</w:t>
      </w:r>
      <w:r w:rsidRPr="001D57D4">
        <w:rPr>
          <w:rFonts w:ascii="Palatino Linotype" w:hAnsi="Palatino Linotype"/>
        </w:rPr>
        <w:t xml:space="preserve">, conforme a lo dispuesto en los artículos 6, Apartado A de la Constitución Política de los Estados Unidos Mexicanos; </w:t>
      </w:r>
      <w:r w:rsidR="00160B47" w:rsidRPr="001D57D4">
        <w:rPr>
          <w:rFonts w:ascii="Palatino Linotype" w:hAnsi="Palatino Linotype"/>
        </w:rPr>
        <w:t xml:space="preserve">5, párrafos trigésimo segundo, trigésimo tercero y trigésimo cuarto, fracciones IV y V de la Constitución Política del Estado Libre y Soberano de México; </w:t>
      </w:r>
      <w:r w:rsidR="00727578" w:rsidRPr="001D57D4">
        <w:rPr>
          <w:rFonts w:ascii="Palatino Linotype" w:hAnsi="Palatino Linotype"/>
        </w:rPr>
        <w:t>ordinal</w:t>
      </w:r>
      <w:r w:rsidRPr="001D57D4">
        <w:rPr>
          <w:rFonts w:ascii="Palatino Linotype" w:hAnsi="Palatino Linotype"/>
        </w:rPr>
        <w:t xml:space="preserve"> 2</w:t>
      </w:r>
      <w:r w:rsidR="00727578" w:rsidRPr="001D57D4">
        <w:rPr>
          <w:rFonts w:ascii="Palatino Linotype" w:hAnsi="Palatino Linotype"/>
        </w:rPr>
        <w:t>,</w:t>
      </w:r>
      <w:r w:rsidRPr="001D57D4">
        <w:rPr>
          <w:rFonts w:ascii="Palatino Linotype" w:hAnsi="Palatino Linotype"/>
        </w:rPr>
        <w:t xml:space="preserve"> fracción II, 13, 29, 36, fracciones I y II, 176, 178, 179, 181 párrafo tercero y 185 de la Ley de Transparencia </w:t>
      </w:r>
      <w:r w:rsidR="008821D3" w:rsidRPr="001D57D4">
        <w:rPr>
          <w:rFonts w:ascii="Palatino Linotype" w:hAnsi="Palatino Linotype"/>
        </w:rPr>
        <w:t>local</w:t>
      </w:r>
      <w:r w:rsidRPr="001D57D4">
        <w:rPr>
          <w:rFonts w:ascii="Palatino Linotype" w:hAnsi="Palatino Linotype" w:cs="Arial"/>
        </w:rPr>
        <w:t xml:space="preserve">; y </w:t>
      </w:r>
      <w:bookmarkStart w:id="3" w:name="_Hlk132283567"/>
      <w:r w:rsidRPr="001D57D4">
        <w:rPr>
          <w:rFonts w:ascii="Palatino Linotype" w:hAnsi="Palatino Linotype" w:cs="Arial"/>
        </w:rPr>
        <w:t>9, fracciones I y XXI</w:t>
      </w:r>
      <w:r w:rsidR="00F2169D" w:rsidRPr="001D57D4">
        <w:rPr>
          <w:rFonts w:ascii="Palatino Linotype" w:hAnsi="Palatino Linotype" w:cs="Arial"/>
        </w:rPr>
        <w:t>II</w:t>
      </w:r>
      <w:r w:rsidR="006A6BB6" w:rsidRPr="001D57D4">
        <w:rPr>
          <w:rFonts w:ascii="Palatino Linotype" w:hAnsi="Palatino Linotype" w:cs="Arial"/>
        </w:rPr>
        <w:t>,</w:t>
      </w:r>
      <w:r w:rsidRPr="001D57D4">
        <w:rPr>
          <w:rFonts w:ascii="Palatino Linotype" w:hAnsi="Palatino Linotype" w:cs="Arial"/>
        </w:rPr>
        <w:t xml:space="preserve"> 11</w:t>
      </w:r>
      <w:bookmarkEnd w:id="3"/>
      <w:r w:rsidR="0028643A" w:rsidRPr="001D57D4">
        <w:rPr>
          <w:rFonts w:ascii="Palatino Linotype" w:hAnsi="Palatino Linotype" w:cs="Arial"/>
        </w:rPr>
        <w:t xml:space="preserve"> </w:t>
      </w:r>
      <w:r w:rsidRPr="001D57D4">
        <w:rPr>
          <w:rFonts w:ascii="Palatino Linotype" w:hAnsi="Palatino Linotype" w:cs="Arial"/>
        </w:rPr>
        <w:t xml:space="preserve">del Reglamento Interior del Instituto de Transparencia, Acceso a la </w:t>
      </w:r>
      <w:r w:rsidR="00D86297" w:rsidRPr="001D57D4">
        <w:rPr>
          <w:rFonts w:ascii="Palatino Linotype" w:hAnsi="Palatino Linotype" w:cs="Arial"/>
        </w:rPr>
        <w:t>Información Pública</w:t>
      </w:r>
      <w:r w:rsidRPr="001D57D4">
        <w:rPr>
          <w:rFonts w:ascii="Palatino Linotype" w:hAnsi="Palatino Linotype" w:cs="Arial"/>
        </w:rPr>
        <w:t xml:space="preserve"> y Protección de Datos Personales del Estado de México y Municipios.</w:t>
      </w:r>
    </w:p>
    <w:p w14:paraId="508C9D22" w14:textId="08B97FF1" w:rsidR="004510AB" w:rsidRPr="001D57D4" w:rsidRDefault="000171D8" w:rsidP="001D57D4">
      <w:pPr>
        <w:spacing w:line="360" w:lineRule="auto"/>
        <w:jc w:val="both"/>
        <w:rPr>
          <w:rFonts w:ascii="Palatino Linotype" w:hAnsi="Palatino Linotype" w:cs="Arial"/>
          <w:b/>
        </w:rPr>
      </w:pPr>
      <w:r w:rsidRPr="001D57D4">
        <w:rPr>
          <w:rFonts w:ascii="Palatino Linotype" w:hAnsi="Palatino Linotype" w:cs="Arial"/>
          <w:b/>
          <w:sz w:val="28"/>
        </w:rPr>
        <w:lastRenderedPageBreak/>
        <w:t>SEGUNDO</w:t>
      </w:r>
      <w:r w:rsidRPr="001D57D4">
        <w:rPr>
          <w:rFonts w:ascii="Palatino Linotype" w:hAnsi="Palatino Linotype" w:cs="Arial"/>
          <w:b/>
        </w:rPr>
        <w:t xml:space="preserve">. Interés. </w:t>
      </w:r>
    </w:p>
    <w:p w14:paraId="62DE6AC3" w14:textId="68A4F3D7" w:rsidR="005B5043" w:rsidRPr="001D57D4" w:rsidRDefault="000171D8" w:rsidP="001D57D4">
      <w:pPr>
        <w:spacing w:line="360" w:lineRule="auto"/>
        <w:jc w:val="both"/>
        <w:rPr>
          <w:rFonts w:ascii="Palatino Linotype" w:hAnsi="Palatino Linotype" w:cs="Arial"/>
          <w:lang w:eastAsia="es-MX"/>
        </w:rPr>
      </w:pPr>
      <w:r w:rsidRPr="001D57D4">
        <w:rPr>
          <w:rFonts w:ascii="Palatino Linotype" w:hAnsi="Palatino Linotype" w:cs="Arial"/>
          <w:bCs/>
        </w:rPr>
        <w:t xml:space="preserve">El </w:t>
      </w:r>
      <w:r w:rsidR="00D86297" w:rsidRPr="001D57D4">
        <w:rPr>
          <w:rFonts w:ascii="Palatino Linotype" w:hAnsi="Palatino Linotype" w:cs="Arial"/>
          <w:bCs/>
        </w:rPr>
        <w:t>Recurso Revisión</w:t>
      </w:r>
      <w:r w:rsidRPr="001D57D4">
        <w:rPr>
          <w:rFonts w:ascii="Palatino Linotype" w:hAnsi="Palatino Linotype" w:cs="Arial"/>
          <w:bCs/>
        </w:rPr>
        <w:t xml:space="preserve"> fue interpuesto por parte legítima, en atención a que se presentó por </w:t>
      </w:r>
      <w:r w:rsidR="00901AE2" w:rsidRPr="001D57D4">
        <w:rPr>
          <w:rFonts w:ascii="Palatino Linotype" w:hAnsi="Palatino Linotype" w:cs="Arial"/>
          <w:b/>
          <w:lang w:val="es-ES"/>
        </w:rPr>
        <w:t>EL</w:t>
      </w:r>
      <w:r w:rsidR="00B30AF3" w:rsidRPr="001D57D4">
        <w:rPr>
          <w:rFonts w:ascii="Palatino Linotype" w:hAnsi="Palatino Linotype" w:cs="Arial"/>
          <w:b/>
          <w:lang w:val="es-ES"/>
        </w:rPr>
        <w:t xml:space="preserve"> </w:t>
      </w:r>
      <w:r w:rsidR="00884EC7" w:rsidRPr="001D57D4">
        <w:rPr>
          <w:rFonts w:ascii="Palatino Linotype" w:hAnsi="Palatino Linotype" w:cs="Arial"/>
          <w:b/>
        </w:rPr>
        <w:t>RECURRENTE</w:t>
      </w:r>
      <w:r w:rsidRPr="001D57D4">
        <w:rPr>
          <w:rFonts w:ascii="Palatino Linotype" w:hAnsi="Palatino Linotype" w:cs="Arial"/>
          <w:b/>
          <w:bCs/>
        </w:rPr>
        <w:t>,</w:t>
      </w:r>
      <w:r w:rsidRPr="001D57D4">
        <w:rPr>
          <w:rFonts w:ascii="Palatino Linotype" w:hAnsi="Palatino Linotype" w:cs="Arial"/>
          <w:bCs/>
        </w:rPr>
        <w:t xml:space="preserve"> quien es la misma persona que formuló la solicitud de acceso a la </w:t>
      </w:r>
      <w:r w:rsidR="00D86297" w:rsidRPr="001D57D4">
        <w:rPr>
          <w:rFonts w:ascii="Palatino Linotype" w:hAnsi="Palatino Linotype" w:cs="Arial"/>
          <w:bCs/>
        </w:rPr>
        <w:t>Información Pública</w:t>
      </w:r>
      <w:r w:rsidRPr="001D57D4">
        <w:rPr>
          <w:rFonts w:ascii="Palatino Linotype" w:hAnsi="Palatino Linotype" w:cs="Arial"/>
          <w:bCs/>
        </w:rPr>
        <w:t xml:space="preserve"> al </w:t>
      </w:r>
      <w:r w:rsidRPr="001D57D4">
        <w:rPr>
          <w:rFonts w:ascii="Palatino Linotype" w:hAnsi="Palatino Linotype" w:cs="Arial"/>
          <w:b/>
          <w:bCs/>
        </w:rPr>
        <w:t>SUJETO OBLIGADO</w:t>
      </w:r>
      <w:r w:rsidR="005B5043" w:rsidRPr="001D57D4">
        <w:rPr>
          <w:rFonts w:ascii="Palatino Linotype" w:hAnsi="Palatino Linotype" w:cs="Arial"/>
          <w:b/>
          <w:bCs/>
        </w:rPr>
        <w:t xml:space="preserve">, </w:t>
      </w:r>
      <w:r w:rsidR="005B5043" w:rsidRPr="001D57D4">
        <w:rPr>
          <w:rFonts w:ascii="Palatino Linotype" w:hAnsi="Palatino Linotype" w:cs="Arial"/>
          <w:bCs/>
        </w:rPr>
        <w:t xml:space="preserve">pues para ello, es </w:t>
      </w:r>
      <w:r w:rsidR="005B5043" w:rsidRPr="001D57D4">
        <w:rPr>
          <w:rFonts w:ascii="Palatino Linotype" w:hAnsi="Palatino Linotype" w:cs="Arial"/>
          <w:lang w:eastAsia="es-MX"/>
        </w:rPr>
        <w:t xml:space="preserve">necesario que el particular ingrese al </w:t>
      </w:r>
      <w:r w:rsidR="005B5043" w:rsidRPr="001D57D4">
        <w:rPr>
          <w:rFonts w:ascii="Palatino Linotype" w:hAnsi="Palatino Linotype" w:cs="Arial"/>
          <w:b/>
          <w:lang w:eastAsia="es-MX"/>
        </w:rPr>
        <w:t xml:space="preserve">SAIMEX </w:t>
      </w:r>
      <w:r w:rsidR="005B5043" w:rsidRPr="001D57D4">
        <w:rPr>
          <w:rFonts w:ascii="Palatino Linotype" w:hAnsi="Palatino Linotype" w:cs="Arial"/>
          <w:lang w:eastAsia="es-MX"/>
        </w:rPr>
        <w:t>mediante la utilización de su clave de usuario y contraseña.</w:t>
      </w:r>
    </w:p>
    <w:p w14:paraId="59419AF7" w14:textId="77777777" w:rsidR="009D21A0" w:rsidRPr="001D57D4" w:rsidRDefault="009D21A0" w:rsidP="001D57D4">
      <w:pPr>
        <w:spacing w:line="360" w:lineRule="auto"/>
        <w:jc w:val="both"/>
        <w:rPr>
          <w:rFonts w:ascii="Palatino Linotype" w:hAnsi="Palatino Linotype" w:cs="Arial"/>
          <w:lang w:eastAsia="es-MX"/>
        </w:rPr>
      </w:pPr>
    </w:p>
    <w:p w14:paraId="73B57685" w14:textId="77777777" w:rsidR="005C250B" w:rsidRPr="001D57D4" w:rsidRDefault="005C250B" w:rsidP="001D57D4">
      <w:pPr>
        <w:autoSpaceDE w:val="0"/>
        <w:autoSpaceDN w:val="0"/>
        <w:adjustRightInd w:val="0"/>
        <w:spacing w:line="360" w:lineRule="auto"/>
        <w:ind w:right="49"/>
        <w:jc w:val="both"/>
        <w:rPr>
          <w:rFonts w:ascii="Palatino Linotype" w:hAnsi="Palatino Linotype" w:cs="Arial"/>
          <w:b/>
          <w:lang w:val="es-ES"/>
        </w:rPr>
      </w:pPr>
      <w:r w:rsidRPr="001D57D4">
        <w:rPr>
          <w:rFonts w:ascii="Palatino Linotype" w:hAnsi="Palatino Linotype" w:cs="Arial"/>
          <w:b/>
          <w:sz w:val="28"/>
          <w:szCs w:val="28"/>
        </w:rPr>
        <w:t xml:space="preserve">TERCERO. </w:t>
      </w:r>
      <w:r w:rsidRPr="001D57D4">
        <w:rPr>
          <w:rFonts w:ascii="Palatino Linotype" w:hAnsi="Palatino Linotype" w:cs="Arial"/>
          <w:b/>
          <w:lang w:val="es-ES"/>
        </w:rPr>
        <w:t xml:space="preserve">Oportunidad. </w:t>
      </w:r>
    </w:p>
    <w:p w14:paraId="6A6DD1EA" w14:textId="25349213" w:rsidR="00BB13FB" w:rsidRPr="001D57D4" w:rsidRDefault="00BB13FB" w:rsidP="001D57D4">
      <w:pPr>
        <w:widowControl w:val="0"/>
        <w:tabs>
          <w:tab w:val="left" w:pos="1701"/>
        </w:tabs>
        <w:spacing w:line="360" w:lineRule="auto"/>
        <w:ind w:right="49"/>
        <w:jc w:val="both"/>
        <w:rPr>
          <w:rFonts w:ascii="Palatino Linotype" w:eastAsia="Palatino Linotype" w:hAnsi="Palatino Linotype" w:cs="Palatino Linotype"/>
          <w:b/>
        </w:rPr>
      </w:pPr>
      <w:r w:rsidRPr="001D57D4">
        <w:rPr>
          <w:rFonts w:ascii="Palatino Linotype" w:eastAsia="Palatino Linotype" w:hAnsi="Palatino Linotype" w:cs="Palatino Linotype"/>
        </w:rPr>
        <w:t xml:space="preserve">El Recurso de Revisión fue interpuesto dentro del plazo de quince días hábiles, contados a partir del día siguiente al que </w:t>
      </w:r>
      <w:r w:rsidRPr="001D57D4">
        <w:rPr>
          <w:rFonts w:ascii="Palatino Linotype" w:eastAsia="Palatino Linotype" w:hAnsi="Palatino Linotype" w:cs="Palatino Linotype"/>
          <w:b/>
        </w:rPr>
        <w:t xml:space="preserve">EL RECURRENTE </w:t>
      </w:r>
      <w:r w:rsidRPr="001D57D4">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121AE4F6" w14:textId="77777777" w:rsidR="00BB13FB" w:rsidRPr="001D57D4" w:rsidRDefault="00BB13FB" w:rsidP="001D57D4">
      <w:pPr>
        <w:ind w:left="720" w:right="709"/>
        <w:jc w:val="both"/>
        <w:rPr>
          <w:rFonts w:ascii="Palatino Linotype" w:eastAsia="Palatino Linotype" w:hAnsi="Palatino Linotype" w:cs="Palatino Linotype"/>
          <w:i/>
        </w:rPr>
      </w:pPr>
    </w:p>
    <w:p w14:paraId="2CCE7AE0" w14:textId="77777777" w:rsidR="00BB13FB" w:rsidRPr="001D57D4" w:rsidRDefault="00BB13FB" w:rsidP="001D57D4">
      <w:pPr>
        <w:ind w:left="851" w:right="899"/>
        <w:jc w:val="both"/>
        <w:rPr>
          <w:rFonts w:ascii="Palatino Linotype" w:eastAsia="Palatino Linotype" w:hAnsi="Palatino Linotype" w:cs="Palatino Linotype"/>
          <w:i/>
        </w:rPr>
      </w:pPr>
      <w:r w:rsidRPr="001D57D4">
        <w:rPr>
          <w:rFonts w:ascii="Palatino Linotype" w:eastAsia="Palatino Linotype" w:hAnsi="Palatino Linotype" w:cs="Palatino Linotype"/>
          <w:i/>
        </w:rPr>
        <w:t>“</w:t>
      </w:r>
      <w:r w:rsidRPr="001D57D4">
        <w:rPr>
          <w:rFonts w:ascii="Palatino Linotype" w:eastAsia="Palatino Linotype" w:hAnsi="Palatino Linotype" w:cs="Palatino Linotype"/>
          <w:b/>
          <w:i/>
        </w:rPr>
        <w:t>Artículo 178.</w:t>
      </w:r>
      <w:r w:rsidRPr="001D57D4">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4C9E1F" w14:textId="77777777" w:rsidR="00BB13FB" w:rsidRPr="001D57D4" w:rsidRDefault="00BB13FB" w:rsidP="001D57D4">
      <w:pPr>
        <w:ind w:left="851" w:right="899"/>
        <w:jc w:val="both"/>
        <w:rPr>
          <w:rFonts w:ascii="Palatino Linotype" w:eastAsia="Palatino Linotype" w:hAnsi="Palatino Linotype" w:cs="Palatino Linotype"/>
          <w:i/>
        </w:rPr>
      </w:pPr>
    </w:p>
    <w:p w14:paraId="7E5ACE52" w14:textId="77777777" w:rsidR="00BB13FB" w:rsidRPr="001D57D4" w:rsidRDefault="00BB13FB" w:rsidP="001D57D4">
      <w:pPr>
        <w:ind w:left="851" w:right="899"/>
        <w:jc w:val="both"/>
        <w:rPr>
          <w:rFonts w:ascii="Palatino Linotype" w:eastAsia="Palatino Linotype" w:hAnsi="Palatino Linotype" w:cs="Palatino Linotype"/>
          <w:i/>
        </w:rPr>
      </w:pPr>
      <w:r w:rsidRPr="001D57D4">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AA0F6E" w14:textId="77777777" w:rsidR="00BB13FB" w:rsidRPr="001D57D4" w:rsidRDefault="00BB13FB" w:rsidP="001D57D4">
      <w:pPr>
        <w:ind w:left="851" w:right="899"/>
        <w:jc w:val="both"/>
        <w:rPr>
          <w:rFonts w:ascii="Palatino Linotype" w:eastAsia="Palatino Linotype" w:hAnsi="Palatino Linotype" w:cs="Palatino Linotype"/>
          <w:i/>
        </w:rPr>
      </w:pPr>
    </w:p>
    <w:p w14:paraId="231EE1AE" w14:textId="77777777" w:rsidR="00BB13FB" w:rsidRPr="001D57D4" w:rsidRDefault="00BB13FB" w:rsidP="001D57D4">
      <w:pPr>
        <w:ind w:left="851" w:right="899"/>
        <w:jc w:val="both"/>
        <w:rPr>
          <w:rFonts w:ascii="Palatino Linotype" w:eastAsia="Palatino Linotype" w:hAnsi="Palatino Linotype" w:cs="Palatino Linotype"/>
          <w:i/>
        </w:rPr>
      </w:pPr>
      <w:r w:rsidRPr="001D57D4">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72C48748" w14:textId="77777777" w:rsidR="00BB13FB" w:rsidRPr="001D57D4" w:rsidRDefault="00BB13FB" w:rsidP="001D57D4">
      <w:pPr>
        <w:ind w:left="720" w:right="709"/>
        <w:jc w:val="both"/>
        <w:rPr>
          <w:rFonts w:ascii="Palatino Linotype" w:eastAsia="Palatino Linotype" w:hAnsi="Palatino Linotype" w:cs="Palatino Linotype"/>
          <w:i/>
        </w:rPr>
      </w:pPr>
    </w:p>
    <w:p w14:paraId="7886C266" w14:textId="581B6FC0" w:rsidR="00BB13FB" w:rsidRPr="001D57D4" w:rsidRDefault="00BB13FB" w:rsidP="001D57D4">
      <w:pPr>
        <w:spacing w:line="360" w:lineRule="auto"/>
        <w:jc w:val="both"/>
        <w:rPr>
          <w:rFonts w:ascii="Palatino Linotype" w:eastAsia="Palatino Linotype" w:hAnsi="Palatino Linotype" w:cs="Palatino Linotype"/>
        </w:rPr>
      </w:pPr>
      <w:bookmarkStart w:id="4" w:name="_heading=h.2et92p0" w:colFirst="0" w:colLast="0"/>
      <w:bookmarkEnd w:id="4"/>
      <w:r w:rsidRPr="001D57D4">
        <w:rPr>
          <w:rFonts w:ascii="Palatino Linotype" w:eastAsia="Palatino Linotype" w:hAnsi="Palatino Linotype" w:cs="Palatino Linotype"/>
        </w:rPr>
        <w:lastRenderedPageBreak/>
        <w:t xml:space="preserve">En esa tesitura, atendiendo a que </w:t>
      </w:r>
      <w:r w:rsidRPr="001D57D4">
        <w:rPr>
          <w:rFonts w:ascii="Palatino Linotype" w:eastAsia="Palatino Linotype" w:hAnsi="Palatino Linotype" w:cs="Palatino Linotype"/>
          <w:b/>
        </w:rPr>
        <w:t>EL SUJETO OBLIGADO</w:t>
      </w:r>
      <w:r w:rsidRPr="001D57D4">
        <w:rPr>
          <w:rFonts w:ascii="Palatino Linotype" w:eastAsia="Palatino Linotype" w:hAnsi="Palatino Linotype" w:cs="Palatino Linotype"/>
        </w:rPr>
        <w:t xml:space="preserve"> notificó la respuesta a la solicitud de acceso a la información pública el </w:t>
      </w:r>
      <w:r w:rsidR="00D935F9" w:rsidRPr="001D57D4">
        <w:rPr>
          <w:rFonts w:ascii="Palatino Linotype" w:eastAsia="Palatino Linotype" w:hAnsi="Palatino Linotype" w:cs="Palatino Linotype"/>
          <w:b/>
        </w:rPr>
        <w:t>treinta y uno de agosto</w:t>
      </w:r>
      <w:r w:rsidR="00117E8E" w:rsidRPr="001D57D4">
        <w:rPr>
          <w:rFonts w:ascii="Palatino Linotype" w:eastAsia="Palatino Linotype" w:hAnsi="Palatino Linotype" w:cs="Palatino Linotype"/>
          <w:b/>
        </w:rPr>
        <w:t xml:space="preserve"> de dos mil veintitrés</w:t>
      </w:r>
      <w:r w:rsidRPr="001D57D4">
        <w:rPr>
          <w:rFonts w:ascii="Palatino Linotype" w:eastAsia="Palatino Linotype" w:hAnsi="Palatino Linotype" w:cs="Palatino Linotype"/>
        </w:rPr>
        <w:t>, así el plazo de quince días hábiles que el artículo 178 de la Ley de la materia otorga a</w:t>
      </w:r>
      <w:r w:rsidRPr="001D57D4">
        <w:rPr>
          <w:rFonts w:ascii="Palatino Linotype" w:eastAsia="Palatino Linotype" w:hAnsi="Palatino Linotype" w:cs="Palatino Linotype"/>
          <w:b/>
        </w:rPr>
        <w:t xml:space="preserve"> EL RECURRENTE</w:t>
      </w:r>
      <w:r w:rsidRPr="001D57D4">
        <w:rPr>
          <w:rFonts w:ascii="Palatino Linotype" w:eastAsia="Palatino Linotype" w:hAnsi="Palatino Linotype" w:cs="Palatino Linotype"/>
        </w:rPr>
        <w:t xml:space="preserve"> para presentar el respectivo Recurso de Revisión, transcurrió del</w:t>
      </w:r>
      <w:r w:rsidRPr="001D57D4">
        <w:rPr>
          <w:rFonts w:ascii="Palatino Linotype" w:eastAsia="Palatino Linotype" w:hAnsi="Palatino Linotype" w:cs="Palatino Linotype"/>
          <w:b/>
        </w:rPr>
        <w:t xml:space="preserve"> </w:t>
      </w:r>
      <w:r w:rsidR="00D935F9" w:rsidRPr="001D57D4">
        <w:rPr>
          <w:rFonts w:ascii="Palatino Linotype" w:eastAsia="Palatino Linotype" w:hAnsi="Palatino Linotype" w:cs="Palatino Linotype"/>
          <w:b/>
        </w:rPr>
        <w:t xml:space="preserve">primero al </w:t>
      </w:r>
      <w:r w:rsidR="000409F5" w:rsidRPr="001D57D4">
        <w:rPr>
          <w:rFonts w:ascii="Palatino Linotype" w:eastAsia="Palatino Linotype" w:hAnsi="Palatino Linotype" w:cs="Palatino Linotype"/>
          <w:b/>
        </w:rPr>
        <w:t>veintiuno</w:t>
      </w:r>
      <w:r w:rsidRPr="001D57D4">
        <w:rPr>
          <w:rFonts w:ascii="Palatino Linotype" w:eastAsia="Palatino Linotype" w:hAnsi="Palatino Linotype" w:cs="Palatino Linotype"/>
          <w:b/>
        </w:rPr>
        <w:t xml:space="preserve"> de septiembre</w:t>
      </w:r>
      <w:r w:rsidR="00117E8E" w:rsidRPr="001D57D4">
        <w:rPr>
          <w:rFonts w:ascii="Palatino Linotype" w:eastAsia="Palatino Linotype" w:hAnsi="Palatino Linotype" w:cs="Palatino Linotype"/>
          <w:b/>
        </w:rPr>
        <w:t xml:space="preserve"> de dos mil veintitrés</w:t>
      </w:r>
      <w:r w:rsidRPr="001D57D4">
        <w:rPr>
          <w:rFonts w:ascii="Palatino Linotype" w:eastAsia="Palatino Linotype" w:hAnsi="Palatino Linotype" w:cs="Palatino Linotype"/>
          <w:b/>
        </w:rPr>
        <w:t xml:space="preserve">, </w:t>
      </w:r>
      <w:r w:rsidRPr="001D57D4">
        <w:rPr>
          <w:rFonts w:ascii="Palatino Linotype" w:eastAsia="Palatino Linotype" w:hAnsi="Palatino Linotype" w:cs="Palatino Linotype"/>
        </w:rPr>
        <w:t>sin contemplar en el cómputo los sábados y domingos, considerados como días inhábiles, en términos del artículo 3, fracción X de la Ley de Transparencia y Acceso a la Información Pública del Estado de México y Municipios.</w:t>
      </w:r>
    </w:p>
    <w:p w14:paraId="64DCBCF6" w14:textId="77777777" w:rsidR="00BB13FB" w:rsidRPr="001D57D4" w:rsidRDefault="00BB13FB" w:rsidP="001D57D4">
      <w:pPr>
        <w:spacing w:line="360" w:lineRule="auto"/>
        <w:jc w:val="both"/>
        <w:rPr>
          <w:rFonts w:ascii="Palatino Linotype" w:eastAsia="Palatino Linotype" w:hAnsi="Palatino Linotype" w:cs="Palatino Linotype"/>
          <w:sz w:val="16"/>
        </w:rPr>
      </w:pPr>
    </w:p>
    <w:p w14:paraId="034A1797" w14:textId="6FAE21EE" w:rsidR="00BB13FB" w:rsidRPr="001D57D4" w:rsidRDefault="00BB13FB" w:rsidP="001D57D4">
      <w:pPr>
        <w:spacing w:line="360" w:lineRule="auto"/>
        <w:jc w:val="both"/>
        <w:rPr>
          <w:rFonts w:ascii="Palatino Linotype" w:eastAsia="Palatino Linotype" w:hAnsi="Palatino Linotype" w:cs="Palatino Linotype"/>
        </w:rPr>
      </w:pPr>
      <w:bookmarkStart w:id="5" w:name="_heading=h.umr0zfczji45" w:colFirst="0" w:colLast="0"/>
      <w:bookmarkStart w:id="6" w:name="_heading=h.1j5r03d45pmh" w:colFirst="0" w:colLast="0"/>
      <w:bookmarkStart w:id="7" w:name="_heading=h.5rr2st44stcm" w:colFirst="0" w:colLast="0"/>
      <w:bookmarkEnd w:id="5"/>
      <w:bookmarkEnd w:id="6"/>
      <w:bookmarkEnd w:id="7"/>
      <w:r w:rsidRPr="001D57D4">
        <w:rPr>
          <w:rFonts w:ascii="Palatino Linotype" w:eastAsia="Palatino Linotype" w:hAnsi="Palatino Linotype" w:cs="Palatino Linotype"/>
        </w:rPr>
        <w:t>En ese tenor, si el Recurso de Revisión que nos ocupa, se presentó el día</w:t>
      </w:r>
      <w:r w:rsidRPr="001D57D4">
        <w:rPr>
          <w:rFonts w:ascii="Palatino Linotype" w:eastAsia="Palatino Linotype" w:hAnsi="Palatino Linotype" w:cs="Palatino Linotype"/>
          <w:b/>
        </w:rPr>
        <w:t xml:space="preserve"> </w:t>
      </w:r>
      <w:r w:rsidR="005D02D1" w:rsidRPr="001D57D4">
        <w:rPr>
          <w:rFonts w:ascii="Palatino Linotype" w:eastAsia="Palatino Linotype" w:hAnsi="Palatino Linotype" w:cs="Palatino Linotype"/>
          <w:b/>
        </w:rPr>
        <w:t>seis</w:t>
      </w:r>
      <w:r w:rsidRPr="001D57D4">
        <w:rPr>
          <w:rFonts w:ascii="Palatino Linotype" w:eastAsia="Palatino Linotype" w:hAnsi="Palatino Linotype" w:cs="Palatino Linotype"/>
          <w:b/>
        </w:rPr>
        <w:t xml:space="preserve"> de septiembre</w:t>
      </w:r>
      <w:r w:rsidR="00117E8E" w:rsidRPr="001D57D4">
        <w:rPr>
          <w:rFonts w:ascii="Palatino Linotype" w:eastAsia="Palatino Linotype" w:hAnsi="Palatino Linotype" w:cs="Palatino Linotype"/>
          <w:b/>
        </w:rPr>
        <w:t xml:space="preserve"> de dos mil veintitrés</w:t>
      </w:r>
      <w:r w:rsidRPr="001D57D4">
        <w:rPr>
          <w:rFonts w:ascii="Palatino Linotype" w:eastAsia="Palatino Linotype" w:hAnsi="Palatino Linotype" w:cs="Palatino Linotype"/>
          <w:b/>
        </w:rPr>
        <w:t xml:space="preserve">, </w:t>
      </w:r>
      <w:r w:rsidRPr="001D57D4">
        <w:rPr>
          <w:rFonts w:ascii="Palatino Linotype" w:eastAsia="Palatino Linotype" w:hAnsi="Palatino Linotype" w:cs="Palatino Linotype"/>
        </w:rPr>
        <w:t>este se encuentra dentro de los márgenes temporales previstos en el citado precepto legal y, por tanto, se considera oportuno.</w:t>
      </w:r>
    </w:p>
    <w:p w14:paraId="49935362" w14:textId="77777777" w:rsidR="00117E8E" w:rsidRPr="001D57D4" w:rsidRDefault="00117E8E" w:rsidP="001D57D4">
      <w:pPr>
        <w:spacing w:line="360" w:lineRule="auto"/>
        <w:jc w:val="both"/>
        <w:rPr>
          <w:rFonts w:ascii="Palatino Linotype" w:eastAsia="Palatino Linotype" w:hAnsi="Palatino Linotype" w:cs="Palatino Linotype"/>
          <w:sz w:val="18"/>
        </w:rPr>
      </w:pPr>
    </w:p>
    <w:p w14:paraId="71D326AF" w14:textId="77777777" w:rsidR="005C250B" w:rsidRPr="001D57D4" w:rsidRDefault="005C250B" w:rsidP="001D57D4">
      <w:pPr>
        <w:autoSpaceDE w:val="0"/>
        <w:autoSpaceDN w:val="0"/>
        <w:adjustRightInd w:val="0"/>
        <w:spacing w:line="360" w:lineRule="auto"/>
        <w:ind w:right="49"/>
        <w:jc w:val="both"/>
        <w:rPr>
          <w:rFonts w:ascii="Palatino Linotype" w:hAnsi="Palatino Linotype"/>
          <w:b/>
        </w:rPr>
      </w:pPr>
      <w:r w:rsidRPr="001D57D4">
        <w:rPr>
          <w:rFonts w:ascii="Palatino Linotype" w:hAnsi="Palatino Linotype" w:cs="Arial"/>
          <w:b/>
          <w:sz w:val="28"/>
          <w:szCs w:val="28"/>
        </w:rPr>
        <w:t>CUARTO</w:t>
      </w:r>
      <w:r w:rsidRPr="001D57D4">
        <w:rPr>
          <w:rFonts w:ascii="Palatino Linotype" w:hAnsi="Palatino Linotype"/>
          <w:b/>
          <w:sz w:val="28"/>
          <w:szCs w:val="28"/>
        </w:rPr>
        <w:t>.</w:t>
      </w:r>
      <w:r w:rsidRPr="001D57D4">
        <w:rPr>
          <w:rFonts w:ascii="Palatino Linotype" w:hAnsi="Palatino Linotype"/>
          <w:b/>
        </w:rPr>
        <w:t xml:space="preserve"> Procedibilidad. </w:t>
      </w:r>
    </w:p>
    <w:p w14:paraId="50E03E7F" w14:textId="77777777" w:rsidR="00BB13FB" w:rsidRPr="001D57D4" w:rsidRDefault="00BB13FB" w:rsidP="001D57D4">
      <w:pPr>
        <w:autoSpaceDE w:val="0"/>
        <w:autoSpaceDN w:val="0"/>
        <w:adjustRightInd w:val="0"/>
        <w:spacing w:line="360" w:lineRule="auto"/>
        <w:ind w:right="49"/>
        <w:jc w:val="both"/>
        <w:rPr>
          <w:rFonts w:ascii="Palatino Linotype" w:hAnsi="Palatino Linotype" w:cs="Arial"/>
          <w:lang w:val="es-ES" w:eastAsia="es-MX"/>
        </w:rPr>
      </w:pPr>
      <w:r w:rsidRPr="001D57D4">
        <w:rPr>
          <w:rFonts w:ascii="Palatino Linotype" w:hAnsi="Palatino Linotype" w:cs="Arial"/>
          <w:lang w:val="es-ES"/>
        </w:rPr>
        <w:t xml:space="preserve">Esté Órgano Garante considera importante precisar que conforme al artículo 180, fracción II, último párrafo de la </w:t>
      </w:r>
      <w:r w:rsidRPr="001D57D4">
        <w:rPr>
          <w:rFonts w:ascii="Palatino Linotype" w:hAnsi="Palatino Linotype" w:cs="Arial"/>
          <w:lang w:val="es-ES" w:eastAsia="es-MX"/>
        </w:rPr>
        <w:t xml:space="preserve">Ley de Transparencia y Acceso a la </w:t>
      </w:r>
      <w:r w:rsidRPr="001D57D4">
        <w:rPr>
          <w:rFonts w:ascii="Palatino Linotype" w:hAnsi="Palatino Linotype" w:cs="Arial"/>
          <w:lang w:val="es-ES"/>
        </w:rPr>
        <w:t>Información Pública</w:t>
      </w:r>
      <w:r w:rsidRPr="001D57D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45CA656E" w14:textId="77777777" w:rsidR="00BB13FB" w:rsidRPr="001D57D4" w:rsidRDefault="00BB13FB" w:rsidP="001D57D4">
      <w:pPr>
        <w:autoSpaceDE w:val="0"/>
        <w:autoSpaceDN w:val="0"/>
        <w:adjustRightInd w:val="0"/>
        <w:spacing w:line="360" w:lineRule="auto"/>
        <w:ind w:right="49"/>
        <w:jc w:val="both"/>
        <w:rPr>
          <w:rFonts w:ascii="Palatino Linotype" w:hAnsi="Palatino Linotype" w:cs="Arial"/>
          <w:sz w:val="16"/>
          <w:lang w:val="es-ES" w:eastAsia="es-MX"/>
        </w:rPr>
      </w:pPr>
    </w:p>
    <w:p w14:paraId="00A1F7E5" w14:textId="77777777" w:rsidR="00BB13FB" w:rsidRPr="001D57D4" w:rsidRDefault="00BB13FB" w:rsidP="001D57D4">
      <w:pPr>
        <w:tabs>
          <w:tab w:val="left" w:pos="851"/>
        </w:tabs>
        <w:ind w:left="851" w:right="901"/>
        <w:jc w:val="both"/>
        <w:rPr>
          <w:rFonts w:ascii="Palatino Linotype" w:hAnsi="Palatino Linotype"/>
          <w:b/>
          <w:i/>
          <w:sz w:val="22"/>
          <w:szCs w:val="22"/>
          <w:lang w:val="es-ES"/>
        </w:rPr>
      </w:pPr>
      <w:r w:rsidRPr="001D57D4">
        <w:rPr>
          <w:rFonts w:ascii="Palatino Linotype" w:hAnsi="Palatino Linotype"/>
          <w:b/>
          <w:i/>
          <w:sz w:val="22"/>
          <w:szCs w:val="22"/>
          <w:lang w:val="es-ES"/>
        </w:rPr>
        <w:t xml:space="preserve">“Artículo 180. </w:t>
      </w:r>
      <w:r w:rsidRPr="001D57D4">
        <w:rPr>
          <w:rFonts w:ascii="Palatino Linotype" w:hAnsi="Palatino Linotype"/>
          <w:i/>
          <w:sz w:val="22"/>
          <w:szCs w:val="22"/>
          <w:lang w:val="es-ES"/>
        </w:rPr>
        <w:t xml:space="preserve">El </w:t>
      </w:r>
      <w:r w:rsidRPr="001D57D4">
        <w:rPr>
          <w:rFonts w:ascii="Palatino Linotype" w:hAnsi="Palatino Linotype" w:cs="Arial"/>
          <w:i/>
          <w:sz w:val="22"/>
          <w:szCs w:val="22"/>
          <w:lang w:val="es-ES"/>
        </w:rPr>
        <w:t>Recurso Revisión</w:t>
      </w:r>
      <w:r w:rsidRPr="001D57D4">
        <w:rPr>
          <w:rFonts w:ascii="Palatino Linotype" w:hAnsi="Palatino Linotype"/>
          <w:i/>
          <w:sz w:val="22"/>
          <w:szCs w:val="22"/>
          <w:lang w:val="es-ES"/>
        </w:rPr>
        <w:t xml:space="preserve"> contendrá:</w:t>
      </w:r>
      <w:r w:rsidRPr="001D57D4">
        <w:rPr>
          <w:rFonts w:ascii="Palatino Linotype" w:hAnsi="Palatino Linotype"/>
          <w:b/>
          <w:i/>
          <w:sz w:val="22"/>
          <w:szCs w:val="22"/>
          <w:lang w:val="es-ES"/>
        </w:rPr>
        <w:t xml:space="preserve"> </w:t>
      </w:r>
    </w:p>
    <w:p w14:paraId="60AFB1E1" w14:textId="77777777" w:rsidR="00BB13FB" w:rsidRPr="001D57D4" w:rsidRDefault="00BB13FB" w:rsidP="001D57D4">
      <w:pPr>
        <w:tabs>
          <w:tab w:val="left" w:pos="851"/>
        </w:tabs>
        <w:ind w:left="851" w:right="901"/>
        <w:jc w:val="both"/>
        <w:rPr>
          <w:rFonts w:ascii="Palatino Linotype" w:hAnsi="Palatino Linotype"/>
          <w:b/>
          <w:i/>
          <w:sz w:val="22"/>
          <w:szCs w:val="22"/>
          <w:lang w:val="es-ES"/>
        </w:rPr>
      </w:pPr>
      <w:r w:rsidRPr="001D57D4">
        <w:rPr>
          <w:rFonts w:ascii="Palatino Linotype" w:hAnsi="Palatino Linotype"/>
          <w:b/>
          <w:i/>
          <w:sz w:val="22"/>
          <w:szCs w:val="22"/>
          <w:lang w:val="es-ES"/>
        </w:rPr>
        <w:t>…</w:t>
      </w:r>
    </w:p>
    <w:p w14:paraId="4F47EC97" w14:textId="77777777" w:rsidR="00BB13FB" w:rsidRPr="001D57D4" w:rsidRDefault="00BB13FB" w:rsidP="001D57D4">
      <w:pPr>
        <w:tabs>
          <w:tab w:val="left" w:pos="851"/>
        </w:tabs>
        <w:ind w:left="851" w:right="901"/>
        <w:jc w:val="both"/>
        <w:rPr>
          <w:rFonts w:ascii="Palatino Linotype" w:hAnsi="Palatino Linotype"/>
          <w:i/>
          <w:sz w:val="22"/>
          <w:szCs w:val="22"/>
          <w:lang w:val="es-ES"/>
        </w:rPr>
      </w:pPr>
      <w:r w:rsidRPr="001D57D4">
        <w:rPr>
          <w:rFonts w:ascii="Palatino Linotype" w:hAnsi="Palatino Linotype"/>
          <w:b/>
          <w:i/>
          <w:sz w:val="22"/>
          <w:szCs w:val="22"/>
          <w:lang w:val="es-ES"/>
        </w:rPr>
        <w:t xml:space="preserve">II. El nombre del solicitante </w:t>
      </w:r>
      <w:r w:rsidRPr="001D57D4">
        <w:rPr>
          <w:rFonts w:ascii="Palatino Linotype" w:hAnsi="Palatino Linotype" w:cs="Arial"/>
          <w:b/>
          <w:i/>
          <w:sz w:val="22"/>
          <w:szCs w:val="22"/>
          <w:lang w:val="es-ES" w:eastAsia="es-MX"/>
        </w:rPr>
        <w:t>que</w:t>
      </w:r>
      <w:r w:rsidRPr="001D57D4">
        <w:rPr>
          <w:rFonts w:ascii="Palatino Linotype" w:hAnsi="Palatino Linotype"/>
          <w:b/>
          <w:i/>
          <w:sz w:val="22"/>
          <w:szCs w:val="22"/>
          <w:lang w:val="es-ES"/>
        </w:rPr>
        <w:t xml:space="preserve"> recurre </w:t>
      </w:r>
      <w:r w:rsidRPr="001D57D4">
        <w:rPr>
          <w:rFonts w:ascii="Palatino Linotype" w:hAnsi="Palatino Linotype"/>
          <w:i/>
          <w:sz w:val="22"/>
          <w:szCs w:val="22"/>
          <w:lang w:val="es-ES"/>
        </w:rPr>
        <w:t>o de su representante y, en su caso</w:t>
      </w:r>
      <w:proofErr w:type="gramStart"/>
      <w:r w:rsidRPr="001D57D4">
        <w:rPr>
          <w:rFonts w:ascii="Palatino Linotype" w:hAnsi="Palatino Linotype"/>
          <w:i/>
          <w:sz w:val="22"/>
          <w:szCs w:val="22"/>
          <w:lang w:val="es-ES"/>
        </w:rPr>
        <w:t>, …</w:t>
      </w:r>
      <w:proofErr w:type="gramEnd"/>
    </w:p>
    <w:p w14:paraId="154C38B8" w14:textId="77777777" w:rsidR="00BB13FB" w:rsidRPr="001D57D4" w:rsidRDefault="00BB13FB" w:rsidP="001D57D4">
      <w:pPr>
        <w:tabs>
          <w:tab w:val="left" w:pos="851"/>
        </w:tabs>
        <w:ind w:left="851" w:right="901"/>
        <w:jc w:val="both"/>
        <w:rPr>
          <w:rFonts w:ascii="Palatino Linotype" w:hAnsi="Palatino Linotype"/>
          <w:b/>
          <w:i/>
          <w:sz w:val="22"/>
          <w:szCs w:val="22"/>
          <w:lang w:val="es-ES"/>
        </w:rPr>
      </w:pPr>
      <w:r w:rsidRPr="001D57D4">
        <w:rPr>
          <w:rFonts w:ascii="Palatino Linotype" w:hAnsi="Palatino Linotype"/>
          <w:b/>
          <w:i/>
          <w:sz w:val="22"/>
          <w:szCs w:val="22"/>
          <w:lang w:val="es-ES"/>
        </w:rPr>
        <w:t xml:space="preserve">En caso de </w:t>
      </w:r>
      <w:r w:rsidRPr="001D57D4">
        <w:rPr>
          <w:rFonts w:ascii="Palatino Linotype" w:hAnsi="Palatino Linotype" w:cs="Arial"/>
          <w:b/>
          <w:i/>
          <w:sz w:val="22"/>
          <w:szCs w:val="22"/>
          <w:lang w:val="es-ES" w:eastAsia="es-MX"/>
        </w:rPr>
        <w:t>que</w:t>
      </w:r>
      <w:r w:rsidRPr="001D57D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D57D4">
        <w:rPr>
          <w:rFonts w:ascii="Palatino Linotype" w:hAnsi="Palatino Linotype"/>
          <w:i/>
          <w:sz w:val="22"/>
          <w:szCs w:val="22"/>
          <w:lang w:val="es-ES"/>
        </w:rPr>
        <w:t>, IV, VII y VIII.</w:t>
      </w:r>
      <w:r w:rsidRPr="001D57D4">
        <w:rPr>
          <w:rFonts w:ascii="Palatino Linotype" w:hAnsi="Palatino Linotype"/>
          <w:b/>
          <w:i/>
          <w:sz w:val="22"/>
          <w:szCs w:val="22"/>
          <w:lang w:val="es-ES"/>
        </w:rPr>
        <w:t>”</w:t>
      </w:r>
    </w:p>
    <w:p w14:paraId="2828B8D9" w14:textId="77777777" w:rsidR="00BB13FB" w:rsidRPr="001D57D4" w:rsidRDefault="00BB13FB" w:rsidP="001D57D4">
      <w:pPr>
        <w:tabs>
          <w:tab w:val="left" w:pos="851"/>
        </w:tabs>
        <w:ind w:left="851" w:right="901"/>
        <w:jc w:val="both"/>
        <w:rPr>
          <w:rFonts w:ascii="Palatino Linotype" w:hAnsi="Palatino Linotype"/>
          <w:i/>
          <w:sz w:val="22"/>
          <w:szCs w:val="22"/>
          <w:lang w:val="es-ES"/>
        </w:rPr>
      </w:pPr>
      <w:r w:rsidRPr="001D57D4">
        <w:rPr>
          <w:rFonts w:ascii="Palatino Linotype" w:hAnsi="Palatino Linotype"/>
          <w:i/>
          <w:sz w:val="22"/>
          <w:szCs w:val="22"/>
          <w:lang w:val="es-ES"/>
        </w:rPr>
        <w:t>(Énfasis añadido)</w:t>
      </w:r>
    </w:p>
    <w:p w14:paraId="1127D28E" w14:textId="4748ECF3" w:rsidR="00BB13FB" w:rsidRPr="001D57D4" w:rsidRDefault="00BB13FB" w:rsidP="001D57D4">
      <w:pPr>
        <w:spacing w:line="360" w:lineRule="auto"/>
        <w:jc w:val="both"/>
        <w:rPr>
          <w:rFonts w:ascii="Palatino Linotype" w:hAnsi="Palatino Linotype"/>
          <w:lang w:val="es-ES"/>
        </w:rPr>
      </w:pPr>
      <w:r w:rsidRPr="001D57D4">
        <w:rPr>
          <w:rFonts w:ascii="Palatino Linotype" w:hAnsi="Palatino Linotype"/>
          <w:lang w:val="es-ES"/>
        </w:rPr>
        <w:lastRenderedPageBreak/>
        <w:t xml:space="preserve">Con fundamento en el precepto legal antes citado, el Recurso Revisión materia del presente asunto, se interpuso de manera electrónica y, por ende, no es necesario que contenga determinados requisitos, entre ellos, el nombre de </w:t>
      </w:r>
      <w:r w:rsidRPr="001D57D4">
        <w:rPr>
          <w:rFonts w:ascii="Palatino Linotype" w:hAnsi="Palatino Linotype" w:cs="Arial"/>
          <w:b/>
        </w:rPr>
        <w:t>EL</w:t>
      </w:r>
      <w:r w:rsidRPr="001D57D4">
        <w:rPr>
          <w:rFonts w:ascii="Palatino Linotype" w:hAnsi="Palatino Linotype" w:cs="Arial"/>
          <w:b/>
          <w:lang w:val="es-ES"/>
        </w:rPr>
        <w:t xml:space="preserve"> RECURRENTE;</w:t>
      </w:r>
      <w:r w:rsidRPr="001D57D4">
        <w:rPr>
          <w:rFonts w:ascii="Palatino Linotype" w:hAnsi="Palatino Linotype"/>
          <w:lang w:val="es-ES"/>
        </w:rPr>
        <w:t xml:space="preserve"> en ese sentido en el presente caso, al haber sido presentado el Recurso Revisión vía </w:t>
      </w:r>
      <w:r w:rsidRPr="001D57D4">
        <w:rPr>
          <w:rFonts w:ascii="Palatino Linotype" w:hAnsi="Palatino Linotype"/>
          <w:b/>
          <w:lang w:val="es-ES"/>
        </w:rPr>
        <w:t>SAIMEX</w:t>
      </w:r>
      <w:r w:rsidRPr="001D57D4">
        <w:rPr>
          <w:rFonts w:ascii="Palatino Linotype" w:hAnsi="Palatino Linotype"/>
          <w:lang w:val="es-ES"/>
        </w:rPr>
        <w:t>, dicho requisito resulta innecesario.</w:t>
      </w:r>
    </w:p>
    <w:p w14:paraId="3FC54AFB" w14:textId="77777777" w:rsidR="00BB13FB" w:rsidRPr="001D57D4" w:rsidRDefault="00BB13FB" w:rsidP="001D57D4">
      <w:pPr>
        <w:spacing w:line="360" w:lineRule="auto"/>
        <w:jc w:val="both"/>
        <w:rPr>
          <w:rFonts w:ascii="Palatino Linotype" w:hAnsi="Palatino Linotype"/>
          <w:lang w:val="es-ES"/>
        </w:rPr>
      </w:pPr>
    </w:p>
    <w:p w14:paraId="0EDA5E45" w14:textId="77777777" w:rsidR="00BB13FB" w:rsidRPr="001D57D4" w:rsidRDefault="00BB13FB" w:rsidP="001D57D4">
      <w:pPr>
        <w:spacing w:line="360" w:lineRule="auto"/>
        <w:jc w:val="both"/>
        <w:rPr>
          <w:rFonts w:ascii="Palatino Linotype" w:hAnsi="Palatino Linotype" w:cs="Arial"/>
          <w:lang w:val="es-ES"/>
        </w:rPr>
      </w:pPr>
      <w:r w:rsidRPr="001D57D4">
        <w:rPr>
          <w:rFonts w:ascii="Palatino Linotype" w:hAnsi="Palatino Linotype"/>
          <w:lang w:val="es-ES"/>
        </w:rPr>
        <w:t xml:space="preserve">Lo anterior es así, pues el artículo 15 de </w:t>
      </w:r>
      <w:r w:rsidRPr="001D57D4">
        <w:rPr>
          <w:rFonts w:ascii="Palatino Linotype" w:hAnsi="Palatino Linotype" w:cs="Arial"/>
          <w:lang w:val="es-ES" w:eastAsia="es-MX"/>
        </w:rPr>
        <w:t xml:space="preserve">Ley de Transparencia y Acceso a la </w:t>
      </w:r>
      <w:r w:rsidRPr="001D57D4">
        <w:rPr>
          <w:rFonts w:ascii="Palatino Linotype" w:hAnsi="Palatino Linotype" w:cs="Arial"/>
          <w:lang w:val="es-ES"/>
        </w:rPr>
        <w:t>Información Pública</w:t>
      </w:r>
      <w:r w:rsidRPr="001D57D4">
        <w:rPr>
          <w:rFonts w:ascii="Palatino Linotype" w:hAnsi="Palatino Linotype" w:cs="Arial"/>
          <w:lang w:val="es-ES" w:eastAsia="es-MX"/>
        </w:rPr>
        <w:t xml:space="preserve"> del Estado de México y Municipios </w:t>
      </w:r>
      <w:r w:rsidRPr="001D57D4">
        <w:rPr>
          <w:rFonts w:ascii="Palatino Linotype" w:hAnsi="Palatino Linotype" w:cs="Arial"/>
          <w:iCs/>
          <w:lang w:val="es-ES"/>
        </w:rPr>
        <w:t xml:space="preserve">prevé que, </w:t>
      </w:r>
      <w:r w:rsidRPr="001D57D4">
        <w:rPr>
          <w:rFonts w:ascii="Palatino Linotype" w:hAnsi="Palatino Linotype"/>
          <w:lang w:val="es-ES"/>
        </w:rPr>
        <w:t xml:space="preserve">toda persona tendrá acceso a la información </w:t>
      </w:r>
      <w:r w:rsidRPr="001D57D4">
        <w:rPr>
          <w:rFonts w:ascii="Palatino Linotype" w:hAnsi="Palatino Linotype" w:cs="Arial"/>
          <w:lang w:val="es-ES"/>
        </w:rPr>
        <w:t xml:space="preserve">sin necesidad de acreditar interés alguno o justificar su utilización, de lo que se infiere que para el </w:t>
      </w:r>
      <w:r w:rsidRPr="001D57D4">
        <w:rPr>
          <w:rFonts w:ascii="Palatino Linotype" w:hAnsi="Palatino Linotype"/>
          <w:lang w:val="es-ES"/>
        </w:rPr>
        <w:t>ejercicio</w:t>
      </w:r>
      <w:r w:rsidRPr="001D57D4">
        <w:rPr>
          <w:rFonts w:ascii="Palatino Linotype" w:hAnsi="Palatino Linotype" w:cs="Arial"/>
          <w:lang w:val="es-ES"/>
        </w:rPr>
        <w:t xml:space="preserve"> del derecho de acceso a la Información Pública, </w:t>
      </w:r>
      <w:r w:rsidRPr="001D57D4">
        <w:rPr>
          <w:rFonts w:ascii="Palatino Linotype" w:hAnsi="Palatino Linotype" w:cs="Arial"/>
          <w:b/>
          <w:u w:val="single"/>
          <w:lang w:val="es-ES"/>
        </w:rPr>
        <w:t xml:space="preserve">el nombre no es un requisito </w:t>
      </w:r>
      <w:r w:rsidRPr="001D57D4">
        <w:rPr>
          <w:rFonts w:ascii="Palatino Linotype" w:hAnsi="Palatino Linotype" w:cs="Arial"/>
          <w:b/>
          <w:i/>
          <w:u w:val="single"/>
          <w:lang w:val="es-ES"/>
        </w:rPr>
        <w:t>sine qua non</w:t>
      </w:r>
      <w:r w:rsidRPr="001D57D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A5F43CC" w14:textId="77777777" w:rsidR="00BB13FB" w:rsidRPr="001D57D4" w:rsidRDefault="00BB13FB" w:rsidP="001D57D4">
      <w:pPr>
        <w:spacing w:line="360" w:lineRule="auto"/>
        <w:jc w:val="both"/>
        <w:rPr>
          <w:rFonts w:ascii="Palatino Linotype" w:hAnsi="Palatino Linotype" w:cs="Arial"/>
          <w:lang w:val="es-ES"/>
        </w:rPr>
      </w:pPr>
    </w:p>
    <w:p w14:paraId="63B8D4EE" w14:textId="77777777" w:rsidR="00BB13FB" w:rsidRPr="001D57D4" w:rsidRDefault="00BB13FB" w:rsidP="001D57D4">
      <w:pPr>
        <w:spacing w:line="360" w:lineRule="auto"/>
        <w:jc w:val="both"/>
        <w:rPr>
          <w:rFonts w:ascii="Palatino Linotype" w:hAnsi="Palatino Linotype"/>
          <w:sz w:val="22"/>
          <w:szCs w:val="22"/>
          <w:lang w:val="es-ES"/>
        </w:rPr>
      </w:pPr>
      <w:r w:rsidRPr="001D57D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4CD96E9" w14:textId="77777777" w:rsidR="00BB13FB" w:rsidRPr="001D57D4" w:rsidRDefault="00BB13FB" w:rsidP="001D57D4">
      <w:pPr>
        <w:tabs>
          <w:tab w:val="left" w:pos="851"/>
        </w:tabs>
        <w:ind w:right="901"/>
        <w:jc w:val="both"/>
        <w:rPr>
          <w:rFonts w:ascii="Palatino Linotype" w:hAnsi="Palatino Linotype"/>
          <w:sz w:val="22"/>
          <w:szCs w:val="22"/>
          <w:lang w:val="es-ES"/>
        </w:rPr>
      </w:pPr>
    </w:p>
    <w:p w14:paraId="1E234A6E" w14:textId="77777777" w:rsidR="00BB13FB" w:rsidRPr="001D57D4" w:rsidRDefault="00BB13FB" w:rsidP="001D57D4">
      <w:pPr>
        <w:spacing w:line="360" w:lineRule="auto"/>
        <w:jc w:val="both"/>
        <w:rPr>
          <w:rFonts w:ascii="Palatino Linotype" w:hAnsi="Palatino Linotype"/>
          <w:lang w:val="es-ES"/>
        </w:rPr>
      </w:pPr>
      <w:r w:rsidRPr="001D57D4">
        <w:rPr>
          <w:rFonts w:ascii="Palatino Linotype" w:hAnsi="Palatino Linotype"/>
          <w:lang w:val="es-ES"/>
        </w:rPr>
        <w:lastRenderedPageBreak/>
        <w:t xml:space="preserve">Asimismo, se estima que el requisito relativo al nombre de </w:t>
      </w:r>
      <w:r w:rsidRPr="001D57D4">
        <w:rPr>
          <w:rFonts w:ascii="Palatino Linotype" w:hAnsi="Palatino Linotype" w:cs="Arial"/>
          <w:b/>
        </w:rPr>
        <w:t>EL</w:t>
      </w:r>
      <w:r w:rsidRPr="001D57D4">
        <w:rPr>
          <w:rFonts w:ascii="Palatino Linotype" w:hAnsi="Palatino Linotype"/>
          <w:lang w:val="es-ES"/>
        </w:rPr>
        <w:t xml:space="preserve"> </w:t>
      </w:r>
      <w:r w:rsidRPr="001D57D4">
        <w:rPr>
          <w:rFonts w:ascii="Palatino Linotype" w:hAnsi="Palatino Linotype" w:cs="Arial"/>
          <w:b/>
          <w:lang w:val="es-ES"/>
        </w:rPr>
        <w:t>RECURRENTE</w:t>
      </w:r>
      <w:r w:rsidRPr="001D57D4">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1D57D4">
        <w:rPr>
          <w:rFonts w:ascii="Palatino Linotype" w:hAnsi="Palatino Linotype" w:cs="Arial"/>
          <w:b/>
        </w:rPr>
        <w:t>EL</w:t>
      </w:r>
      <w:r w:rsidRPr="001D57D4">
        <w:rPr>
          <w:rFonts w:ascii="Palatino Linotype" w:hAnsi="Palatino Linotype" w:cs="Arial"/>
          <w:b/>
          <w:lang w:val="es-ES"/>
        </w:rPr>
        <w:t xml:space="preserve"> RECURRENTE</w:t>
      </w:r>
      <w:r w:rsidRPr="001D57D4">
        <w:rPr>
          <w:rFonts w:ascii="Palatino Linotype" w:hAnsi="Palatino Linotype"/>
          <w:lang w:val="es-ES"/>
        </w:rPr>
        <w:t xml:space="preserve"> es la misma persona que realizó la solicitud de acceso a la Información Pública que ahora se impugna.</w:t>
      </w:r>
    </w:p>
    <w:p w14:paraId="4AEB1303" w14:textId="77777777" w:rsidR="00BB13FB" w:rsidRPr="001D57D4" w:rsidRDefault="00BB13FB" w:rsidP="001D57D4">
      <w:pPr>
        <w:spacing w:line="360" w:lineRule="auto"/>
        <w:jc w:val="both"/>
        <w:rPr>
          <w:rFonts w:ascii="Palatino Linotype" w:hAnsi="Palatino Linotype"/>
          <w:lang w:val="es-ES"/>
        </w:rPr>
      </w:pPr>
    </w:p>
    <w:p w14:paraId="374524A5" w14:textId="77777777" w:rsidR="00BB13FB" w:rsidRPr="001D57D4" w:rsidRDefault="00BB13FB" w:rsidP="001D57D4">
      <w:pPr>
        <w:spacing w:line="360" w:lineRule="auto"/>
        <w:jc w:val="both"/>
        <w:rPr>
          <w:rFonts w:ascii="Palatino Linotype" w:eastAsia="Palatino Linotype" w:hAnsi="Palatino Linotype" w:cs="Palatino Linotype"/>
          <w:b/>
          <w:sz w:val="28"/>
        </w:rPr>
      </w:pPr>
      <w:r w:rsidRPr="001D57D4">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C9EE0F0" w14:textId="77777777" w:rsidR="008A0D26" w:rsidRPr="001D57D4" w:rsidRDefault="008A0D26" w:rsidP="001D57D4">
      <w:pPr>
        <w:spacing w:line="360" w:lineRule="auto"/>
        <w:jc w:val="both"/>
        <w:textAlignment w:val="baseline"/>
        <w:rPr>
          <w:rFonts w:ascii="Palatino Linotype" w:hAnsi="Palatino Linotype"/>
          <w:b/>
          <w:lang w:eastAsia="es-MX"/>
        </w:rPr>
      </w:pPr>
    </w:p>
    <w:p w14:paraId="1845814D" w14:textId="77777777" w:rsidR="005B5043" w:rsidRPr="001D57D4" w:rsidRDefault="000171D8" w:rsidP="001D57D4">
      <w:pPr>
        <w:spacing w:line="360" w:lineRule="auto"/>
        <w:jc w:val="both"/>
        <w:textAlignment w:val="baseline"/>
        <w:rPr>
          <w:rFonts w:ascii="Palatino Linotype" w:hAnsi="Palatino Linotype" w:cs="Arial"/>
          <w:b/>
          <w:lang w:val="es-ES" w:eastAsia="es-MX"/>
        </w:rPr>
      </w:pPr>
      <w:r w:rsidRPr="001D57D4">
        <w:rPr>
          <w:rFonts w:ascii="Palatino Linotype" w:hAnsi="Palatino Linotype"/>
          <w:b/>
          <w:sz w:val="28"/>
          <w:lang w:eastAsia="es-MX"/>
        </w:rPr>
        <w:t>QUINTO</w:t>
      </w:r>
      <w:r w:rsidRPr="001D57D4">
        <w:rPr>
          <w:rFonts w:ascii="Palatino Linotype" w:hAnsi="Palatino Linotype" w:cs="Arial"/>
          <w:b/>
          <w:lang w:eastAsia="es-MX"/>
        </w:rPr>
        <w:t xml:space="preserve">. </w:t>
      </w:r>
      <w:r w:rsidRPr="001D57D4">
        <w:rPr>
          <w:rFonts w:ascii="Palatino Linotype" w:hAnsi="Palatino Linotype" w:cs="Arial"/>
          <w:b/>
          <w:lang w:val="es-ES" w:eastAsia="es-MX"/>
        </w:rPr>
        <w:t>Estudio y resolución del asunto.</w:t>
      </w:r>
    </w:p>
    <w:p w14:paraId="33F2C5F2" w14:textId="64406836" w:rsidR="00117E8E" w:rsidRPr="001D57D4" w:rsidRDefault="00D50870" w:rsidP="001D57D4">
      <w:pPr>
        <w:spacing w:line="360" w:lineRule="auto"/>
        <w:jc w:val="both"/>
        <w:rPr>
          <w:rFonts w:ascii="Palatino Linotype" w:hAnsi="Palatino Linotype" w:cs="Arial"/>
          <w:lang w:val="es-ES"/>
        </w:rPr>
      </w:pPr>
      <w:r w:rsidRPr="001D57D4">
        <w:rPr>
          <w:rFonts w:ascii="Palatino Linotype" w:hAnsi="Palatino Linotype" w:cs="Arial"/>
        </w:rPr>
        <w:t xml:space="preserve">Una vez determinada la vía sobre la que versará el presente recurso, y previa revisión del expediente electrónico formado en </w:t>
      </w:r>
      <w:r w:rsidRPr="001D57D4">
        <w:rPr>
          <w:rFonts w:ascii="Palatino Linotype" w:hAnsi="Palatino Linotype" w:cs="Arial"/>
          <w:b/>
        </w:rPr>
        <w:t>EL SAIMEX</w:t>
      </w:r>
      <w:r w:rsidRPr="001D57D4">
        <w:rPr>
          <w:rFonts w:ascii="Palatino Linotype" w:hAnsi="Palatino Linotype" w:cs="Arial"/>
        </w:rPr>
        <w:t xml:space="preserve"> con motivo de la solicitud de </w:t>
      </w:r>
      <w:r w:rsidRPr="001D57D4">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1D57D4">
        <w:rPr>
          <w:rFonts w:ascii="Palatino Linotype" w:hAnsi="Palatino Linotype"/>
          <w:lang w:val="es-ES"/>
        </w:rPr>
        <w:t>Constitución Política de los Estados Unidos Mexicanos, en la Constitución Política del Estado Libre y Soberano de México</w:t>
      </w:r>
      <w:r w:rsidRPr="001D57D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D57D4">
        <w:rPr>
          <w:rFonts w:ascii="Palatino Linotype" w:hAnsi="Palatino Linotype"/>
          <w:lang w:val="es-ES"/>
        </w:rPr>
        <w:t>Constitución Política de los Estados Unidos Mexicanos</w:t>
      </w:r>
      <w:r w:rsidRPr="001D57D4">
        <w:rPr>
          <w:rFonts w:ascii="Palatino Linotype" w:hAnsi="Palatino Linotype" w:cs="Arial"/>
        </w:rPr>
        <w:t xml:space="preserve"> y los numerales 8 y 9 de la </w:t>
      </w:r>
      <w:r w:rsidRPr="001D57D4">
        <w:rPr>
          <w:rFonts w:ascii="Palatino Linotype" w:hAnsi="Palatino Linotype" w:cs="Arial"/>
          <w:lang w:val="es-ES"/>
        </w:rPr>
        <w:t>Ley de Transparencia y Acceso a la Información Pública del Estado de México y Municipios.</w:t>
      </w:r>
    </w:p>
    <w:p w14:paraId="643B7E9F" w14:textId="7FB3A7D8" w:rsidR="00DB4868" w:rsidRPr="001D57D4" w:rsidRDefault="00DB4868" w:rsidP="001D57D4">
      <w:pPr>
        <w:spacing w:before="100" w:beforeAutospacing="1" w:after="100" w:afterAutospacing="1" w:line="360" w:lineRule="auto"/>
        <w:jc w:val="both"/>
        <w:rPr>
          <w:rFonts w:ascii="Palatino Linotype" w:hAnsi="Palatino Linotype"/>
          <w:lang w:eastAsia="es-MX"/>
        </w:rPr>
      </w:pPr>
      <w:r w:rsidRPr="001D57D4">
        <w:rPr>
          <w:rFonts w:ascii="Palatino Linotype" w:hAnsi="Palatino Linotype" w:cs="Arial"/>
        </w:rPr>
        <w:t>Un</w:t>
      </w:r>
      <w:r w:rsidR="005E03C3" w:rsidRPr="001D57D4">
        <w:rPr>
          <w:rFonts w:ascii="Palatino Linotype" w:hAnsi="Palatino Linotype" w:cs="Arial"/>
        </w:rPr>
        <w:t xml:space="preserve">a vez precisado lo anterior, </w:t>
      </w:r>
      <w:r w:rsidRPr="001D57D4">
        <w:rPr>
          <w:rFonts w:ascii="Palatino Linotype" w:eastAsia="Palatino Linotype" w:hAnsi="Palatino Linotype" w:cs="Palatino Linotype"/>
        </w:rPr>
        <w:t xml:space="preserve">es menester señalar que el Servidor Público Habilitado que se pronunció remitiendo la Renuncia en versión publica, los recibos de nómina en versión pública y el nombramiento de la Tesorera Municipal, fue la Directora de Administración, misma que recaen sus atribuciones en el artículo 52 y 53 fracción VI del Reglamento Orgánico Municipal de Zinacantepec, mismo que establece que es el área encargada de desarrollar un registro para el control de asistencias, nombramientos, remociones, renuncias, licencias, cambios de adscripción, promociones, incapacidades, vacaciones, días no laborales, y demás días de inconsistencias en los Servicios Públicos Municipales, por lo que se tiene que es el área competente. </w:t>
      </w:r>
    </w:p>
    <w:p w14:paraId="0D89B9C2" w14:textId="3A4BEB7B" w:rsidR="005E03C3" w:rsidRPr="001D57D4" w:rsidRDefault="00EC0AA3" w:rsidP="001D57D4">
      <w:pPr>
        <w:pStyle w:val="Prrafodelista"/>
        <w:widowControl w:val="0"/>
        <w:autoSpaceDE w:val="0"/>
        <w:autoSpaceDN w:val="0"/>
        <w:adjustRightInd w:val="0"/>
        <w:spacing w:line="360" w:lineRule="auto"/>
        <w:ind w:left="0"/>
        <w:jc w:val="both"/>
        <w:rPr>
          <w:rFonts w:ascii="Palatino Linotype" w:hAnsi="Palatino Linotype" w:cs="Arial"/>
        </w:rPr>
      </w:pPr>
      <w:r w:rsidRPr="001D57D4">
        <w:rPr>
          <w:rFonts w:ascii="Palatino Linotype" w:hAnsi="Palatino Linotype" w:cs="Arial"/>
        </w:rPr>
        <w:t xml:space="preserve">Asimismo, </w:t>
      </w:r>
      <w:r w:rsidR="005E03C3" w:rsidRPr="001D57D4">
        <w:rPr>
          <w:rFonts w:ascii="Palatino Linotype" w:hAnsi="Palatino Linotype" w:cs="Arial"/>
        </w:rPr>
        <w:t xml:space="preserve">se procede a analizar si la respuesta del </w:t>
      </w:r>
      <w:r w:rsidR="005E03C3" w:rsidRPr="001D57D4">
        <w:rPr>
          <w:rFonts w:ascii="Palatino Linotype" w:hAnsi="Palatino Linotype" w:cs="Arial"/>
          <w:b/>
          <w:lang w:eastAsia="es-MX"/>
        </w:rPr>
        <w:t>SUJETO OBLIGADO</w:t>
      </w:r>
      <w:r w:rsidR="005E03C3" w:rsidRPr="001D57D4">
        <w:rPr>
          <w:rFonts w:ascii="Palatino Linotype" w:hAnsi="Palatino Linotype" w:cs="Arial"/>
        </w:rPr>
        <w:t xml:space="preserve"> cumple con </w:t>
      </w:r>
      <w:r w:rsidR="005E03C3" w:rsidRPr="001D57D4">
        <w:rPr>
          <w:rFonts w:ascii="Palatino Linotype" w:hAnsi="Palatino Linotype" w:cs="Arial"/>
        </w:rPr>
        <w:lastRenderedPageBreak/>
        <w:t xml:space="preserve">los requisitos del Derecho de Acceso a la Información Pública, por lo que, para efectos de mejor estudio y comprensión, conviene citar las solicitudes del </w:t>
      </w:r>
      <w:r w:rsidR="005E03C3" w:rsidRPr="001D57D4">
        <w:rPr>
          <w:rFonts w:ascii="Palatino Linotype" w:hAnsi="Palatino Linotype" w:cs="Arial"/>
          <w:b/>
          <w:bCs/>
        </w:rPr>
        <w:t>RECURRENTE</w:t>
      </w:r>
      <w:r w:rsidR="005E03C3" w:rsidRPr="001D57D4">
        <w:rPr>
          <w:rFonts w:ascii="Palatino Linotype" w:hAnsi="Palatino Linotype" w:cs="Arial"/>
        </w:rPr>
        <w:t xml:space="preserve">, así como, la respuesta otorgada por </w:t>
      </w:r>
      <w:r w:rsidR="005E03C3" w:rsidRPr="001D57D4">
        <w:rPr>
          <w:rFonts w:ascii="Palatino Linotype" w:hAnsi="Palatino Linotype" w:cs="Arial"/>
          <w:b/>
        </w:rPr>
        <w:t xml:space="preserve">EL SUJETO OBLIGADO, </w:t>
      </w:r>
      <w:r w:rsidR="005E03C3" w:rsidRPr="001D57D4">
        <w:rPr>
          <w:rFonts w:ascii="Palatino Linotype" w:hAnsi="Palatino Linotype" w:cs="Arial"/>
        </w:rPr>
        <w:t>motivo por el cual se realiza la siguiente tabla para mayor entendimiento:</w:t>
      </w:r>
    </w:p>
    <w:p w14:paraId="4889B716" w14:textId="13D4413A" w:rsidR="00B214DA" w:rsidRPr="001D57D4" w:rsidRDefault="00477905" w:rsidP="001D57D4">
      <w:pPr>
        <w:spacing w:line="360" w:lineRule="auto"/>
        <w:jc w:val="both"/>
        <w:rPr>
          <w:rFonts w:ascii="Palatino Linotype" w:hAnsi="Palatino Linotype" w:cs="Arial"/>
          <w:lang w:val="es-ES"/>
        </w:rPr>
      </w:pPr>
      <w:r w:rsidRPr="001D57D4">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50D71627" wp14:editId="4FB74363">
                <wp:simplePos x="0" y="0"/>
                <wp:positionH relativeFrom="margin">
                  <wp:align>right</wp:align>
                </wp:positionH>
                <wp:positionV relativeFrom="paragraph">
                  <wp:posOffset>349249</wp:posOffset>
                </wp:positionV>
                <wp:extent cx="5753100" cy="46386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753100" cy="4638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837B66" id="Conector recto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8pt,27.5pt" to="854.8pt,3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" strokecolor="#4f81bd [3204]" strokeweight="2pt">
                <v:shadow on="t" color="black" opacity="24903f" origin=",.5" offset="0,.55556mm"/>
                <w10:wrap anchorx="margin"/>
              </v:line>
            </w:pict>
          </mc:Fallback>
        </mc:AlternateContent>
      </w:r>
    </w:p>
    <w:tbl>
      <w:tblPr>
        <w:tblStyle w:val="Tablaconcuadrcula"/>
        <w:tblW w:w="0" w:type="auto"/>
        <w:jc w:val="center"/>
        <w:tblLayout w:type="fixed"/>
        <w:tblLook w:val="04A0" w:firstRow="1" w:lastRow="0" w:firstColumn="1" w:lastColumn="0" w:noHBand="0" w:noVBand="1"/>
      </w:tblPr>
      <w:tblGrid>
        <w:gridCol w:w="1838"/>
        <w:gridCol w:w="4820"/>
        <w:gridCol w:w="1842"/>
      </w:tblGrid>
      <w:tr w:rsidR="001D57D4" w:rsidRPr="001D57D4" w14:paraId="4D428F30" w14:textId="77777777" w:rsidTr="00A34B9D">
        <w:trPr>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E55BC40" w14:textId="01D74ABF" w:rsidR="00B214DA" w:rsidRPr="001D57D4" w:rsidRDefault="00B214DA" w:rsidP="001D57D4">
            <w:pPr>
              <w:pStyle w:val="Prrafodelista"/>
              <w:tabs>
                <w:tab w:val="left" w:pos="709"/>
              </w:tabs>
              <w:spacing w:before="100" w:beforeAutospacing="1" w:after="100" w:afterAutospacing="1" w:line="360" w:lineRule="auto"/>
              <w:ind w:left="0"/>
              <w:jc w:val="center"/>
              <w:rPr>
                <w:rFonts w:ascii="Palatino Linotype" w:hAnsi="Palatino Linotype"/>
                <w:b/>
              </w:rPr>
            </w:pPr>
            <w:r w:rsidRPr="001D57D4">
              <w:rPr>
                <w:rFonts w:ascii="Palatino Linotype" w:hAnsi="Palatino Linotype"/>
                <w:b/>
                <w:sz w:val="24"/>
                <w:szCs w:val="24"/>
              </w:rPr>
              <w:t>Información Solicitada</w:t>
            </w:r>
          </w:p>
        </w:tc>
        <w:tc>
          <w:tcPr>
            <w:tcW w:w="482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A23C7E2" w14:textId="77777777" w:rsidR="00B214DA" w:rsidRPr="001D57D4" w:rsidRDefault="00B214DA" w:rsidP="001D57D4">
            <w:pPr>
              <w:pStyle w:val="Prrafodelista"/>
              <w:tabs>
                <w:tab w:val="left" w:pos="709"/>
              </w:tabs>
              <w:spacing w:before="100" w:beforeAutospacing="1" w:after="100" w:afterAutospacing="1" w:line="360" w:lineRule="auto"/>
              <w:ind w:left="0"/>
              <w:jc w:val="center"/>
              <w:rPr>
                <w:rFonts w:ascii="Palatino Linotype" w:hAnsi="Palatino Linotype"/>
                <w:b/>
              </w:rPr>
            </w:pPr>
            <w:r w:rsidRPr="001D57D4">
              <w:rPr>
                <w:rFonts w:ascii="Palatino Linotype" w:hAnsi="Palatino Linotype"/>
                <w:b/>
                <w:sz w:val="24"/>
                <w:szCs w:val="24"/>
              </w:rPr>
              <w:t xml:space="preserve">Respuesta </w:t>
            </w: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B7DA67" w14:textId="2BB0CA19" w:rsidR="00B214DA" w:rsidRPr="001D57D4" w:rsidRDefault="00B214DA" w:rsidP="001D57D4">
            <w:pPr>
              <w:pStyle w:val="Prrafodelista"/>
              <w:tabs>
                <w:tab w:val="left" w:pos="709"/>
              </w:tabs>
              <w:spacing w:before="100" w:beforeAutospacing="1" w:after="100" w:afterAutospacing="1" w:line="360" w:lineRule="auto"/>
              <w:ind w:left="0"/>
              <w:jc w:val="center"/>
              <w:rPr>
                <w:rFonts w:ascii="Palatino Linotype" w:hAnsi="Palatino Linotype"/>
                <w:b/>
              </w:rPr>
            </w:pPr>
            <w:r w:rsidRPr="001D57D4">
              <w:rPr>
                <w:rFonts w:ascii="Palatino Linotype" w:hAnsi="Palatino Linotype"/>
                <w:b/>
                <w:sz w:val="24"/>
                <w:szCs w:val="24"/>
              </w:rPr>
              <w:t xml:space="preserve">Colma </w:t>
            </w:r>
          </w:p>
        </w:tc>
      </w:tr>
      <w:tr w:rsidR="001D57D4" w:rsidRPr="001D57D4" w14:paraId="74A181C4" w14:textId="77777777" w:rsidTr="00A34B9D">
        <w:trPr>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4934FAA" w14:textId="4E083E78" w:rsidR="005D02D1" w:rsidRPr="001D57D4" w:rsidRDefault="005D02D1" w:rsidP="001D57D4">
            <w:pPr>
              <w:tabs>
                <w:tab w:val="left" w:pos="22"/>
              </w:tabs>
              <w:spacing w:before="100" w:beforeAutospacing="1" w:after="100" w:afterAutospacing="1" w:line="360" w:lineRule="auto"/>
              <w:rPr>
                <w:rFonts w:ascii="Palatino Linotype" w:hAnsi="Palatino Linotype"/>
              </w:rPr>
            </w:pPr>
            <w:r w:rsidRPr="001D57D4">
              <w:rPr>
                <w:rFonts w:ascii="Palatino Linotype" w:hAnsi="Palatino Linotype"/>
              </w:rPr>
              <w:t>1.- Renuncia de la Tesorera</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292907B" w14:textId="77777777" w:rsidR="005D02D1" w:rsidRPr="001D57D4" w:rsidRDefault="005D02D1" w:rsidP="001D57D4">
            <w:pPr>
              <w:jc w:val="both"/>
              <w:rPr>
                <w:rFonts w:ascii="Palatino Linotype" w:hAnsi="Palatino Linotype" w:cs="Arial"/>
                <w:b/>
                <w:bCs/>
                <w:iCs/>
              </w:rPr>
            </w:pPr>
            <w:r w:rsidRPr="001D57D4">
              <w:rPr>
                <w:rFonts w:ascii="Palatino Linotype" w:hAnsi="Palatino Linotype" w:cs="Arial"/>
                <w:b/>
                <w:bCs/>
                <w:iCs/>
              </w:rPr>
              <w:t xml:space="preserve">Renuncia VP Tesorera - </w:t>
            </w:r>
            <w:proofErr w:type="spellStart"/>
            <w:r w:rsidRPr="001D57D4">
              <w:rPr>
                <w:rFonts w:ascii="Palatino Linotype" w:hAnsi="Palatino Linotype" w:cs="Arial"/>
                <w:b/>
                <w:bCs/>
                <w:iCs/>
              </w:rPr>
              <w:t>Yeni</w:t>
            </w:r>
            <w:proofErr w:type="spellEnd"/>
            <w:r w:rsidRPr="001D57D4">
              <w:rPr>
                <w:rFonts w:ascii="Palatino Linotype" w:hAnsi="Palatino Linotype" w:cs="Arial"/>
                <w:b/>
                <w:bCs/>
                <w:iCs/>
              </w:rPr>
              <w:t xml:space="preserve"> Isabel Nava Hernández.pdf: </w:t>
            </w:r>
            <w:r w:rsidRPr="001D57D4">
              <w:rPr>
                <w:rFonts w:ascii="Palatino Linotype" w:hAnsi="Palatino Linotype" w:cs="Arial"/>
                <w:bCs/>
                <w:iCs/>
              </w:rPr>
              <w:t xml:space="preserve">consta de la carta renuncia de la C. </w:t>
            </w:r>
            <w:proofErr w:type="spellStart"/>
            <w:r w:rsidRPr="001D57D4">
              <w:rPr>
                <w:rFonts w:ascii="Palatino Linotype" w:hAnsi="Palatino Linotype" w:cs="Arial"/>
                <w:bCs/>
                <w:iCs/>
              </w:rPr>
              <w:t>Yeni</w:t>
            </w:r>
            <w:proofErr w:type="spellEnd"/>
            <w:r w:rsidRPr="001D57D4">
              <w:rPr>
                <w:rFonts w:ascii="Palatino Linotype" w:hAnsi="Palatino Linotype" w:cs="Arial"/>
                <w:bCs/>
                <w:iCs/>
              </w:rPr>
              <w:t xml:space="preserve"> Isabel Nava Hernández, del treinta y uno de julio de dos mil veintitrés.</w:t>
            </w:r>
          </w:p>
          <w:p w14:paraId="52643128" w14:textId="10D963CE" w:rsidR="005D02D1" w:rsidRPr="001D57D4" w:rsidRDefault="005D02D1" w:rsidP="001D57D4">
            <w:pPr>
              <w:jc w:val="both"/>
              <w:rPr>
                <w:rFonts w:ascii="Palatino Linotype" w:hAnsi="Palatino Linotype"/>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A9423E" w14:textId="7C892971" w:rsidR="005D02D1" w:rsidRPr="001D57D4" w:rsidRDefault="00247F0F" w:rsidP="001D57D4">
            <w:pPr>
              <w:pStyle w:val="Prrafodelista"/>
              <w:tabs>
                <w:tab w:val="left" w:pos="709"/>
              </w:tabs>
              <w:spacing w:before="100" w:beforeAutospacing="1" w:after="100" w:afterAutospacing="1" w:line="360" w:lineRule="auto"/>
              <w:ind w:left="0"/>
              <w:jc w:val="center"/>
              <w:rPr>
                <w:rFonts w:ascii="Palatino Linotype" w:hAnsi="Palatino Linotype"/>
                <w:b/>
              </w:rPr>
            </w:pPr>
            <w:r w:rsidRPr="001D57D4">
              <w:rPr>
                <w:rFonts w:ascii="Palatino Linotype" w:hAnsi="Palatino Linotype"/>
                <w:b/>
              </w:rPr>
              <w:t>SI</w:t>
            </w:r>
          </w:p>
          <w:p w14:paraId="68BEA3DF" w14:textId="3E4859C9" w:rsidR="005D02D1" w:rsidRPr="001D57D4" w:rsidRDefault="005D02D1" w:rsidP="001D57D4">
            <w:pPr>
              <w:pStyle w:val="Prrafodelista"/>
              <w:tabs>
                <w:tab w:val="left" w:pos="709"/>
              </w:tabs>
              <w:spacing w:before="100" w:beforeAutospacing="1" w:after="100" w:afterAutospacing="1" w:line="360" w:lineRule="auto"/>
              <w:ind w:left="0"/>
              <w:jc w:val="center"/>
              <w:rPr>
                <w:rFonts w:ascii="Palatino Linotype" w:hAnsi="Palatino Linotype"/>
                <w:b/>
              </w:rPr>
            </w:pPr>
          </w:p>
        </w:tc>
      </w:tr>
      <w:tr w:rsidR="001D57D4" w:rsidRPr="001D57D4" w14:paraId="28A9DED6" w14:textId="77777777" w:rsidTr="00A34B9D">
        <w:trPr>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B92AC07" w14:textId="0782DEDF" w:rsidR="005D02D1" w:rsidRPr="001D57D4" w:rsidRDefault="005D02D1" w:rsidP="001D57D4">
            <w:pPr>
              <w:tabs>
                <w:tab w:val="left" w:pos="22"/>
              </w:tabs>
              <w:spacing w:before="100" w:beforeAutospacing="1" w:after="100" w:afterAutospacing="1" w:line="360" w:lineRule="auto"/>
              <w:rPr>
                <w:rFonts w:ascii="Palatino Linotype" w:hAnsi="Palatino Linotype"/>
              </w:rPr>
            </w:pPr>
            <w:r w:rsidRPr="001D57D4">
              <w:rPr>
                <w:rFonts w:ascii="Palatino Linotype" w:hAnsi="Palatino Linotype"/>
              </w:rPr>
              <w:t xml:space="preserve">2.- Todos su recibos de nomina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4DE630F" w14:textId="653F8EC4" w:rsidR="005D02D1" w:rsidRPr="001D57D4" w:rsidRDefault="005D02D1" w:rsidP="001D57D4">
            <w:pPr>
              <w:jc w:val="both"/>
              <w:rPr>
                <w:rFonts w:ascii="Palatino Linotype" w:hAnsi="Palatino Linotype" w:cs="Arial"/>
                <w:b/>
                <w:bCs/>
                <w:iCs/>
              </w:rPr>
            </w:pPr>
            <w:r w:rsidRPr="001D57D4">
              <w:rPr>
                <w:rFonts w:ascii="Palatino Linotype" w:hAnsi="Palatino Linotype" w:cs="Arial"/>
                <w:b/>
                <w:bCs/>
                <w:iCs/>
              </w:rPr>
              <w:t xml:space="preserve">Recibos de Nómina VP 2022 y 2023 - </w:t>
            </w:r>
            <w:proofErr w:type="spellStart"/>
            <w:r w:rsidRPr="001D57D4">
              <w:rPr>
                <w:rFonts w:ascii="Palatino Linotype" w:hAnsi="Palatino Linotype" w:cs="Arial"/>
                <w:b/>
                <w:bCs/>
                <w:iCs/>
              </w:rPr>
              <w:t>Yeni</w:t>
            </w:r>
            <w:proofErr w:type="spellEnd"/>
            <w:r w:rsidRPr="001D57D4">
              <w:rPr>
                <w:rFonts w:ascii="Palatino Linotype" w:hAnsi="Palatino Linotype" w:cs="Arial"/>
                <w:b/>
                <w:bCs/>
                <w:iCs/>
              </w:rPr>
              <w:t xml:space="preserve"> Isabel Nava Hernández.pdf: </w:t>
            </w:r>
            <w:r w:rsidRPr="001D57D4">
              <w:rPr>
                <w:rFonts w:ascii="Palatino Linotype" w:hAnsi="Palatino Linotype" w:cs="Arial"/>
                <w:bCs/>
                <w:iCs/>
              </w:rPr>
              <w:t xml:space="preserve">consta de cuarenta y cuatro recibos de nómina en versión publica de la servidora pública </w:t>
            </w:r>
            <w:proofErr w:type="spellStart"/>
            <w:r w:rsidRPr="001D57D4">
              <w:rPr>
                <w:rFonts w:ascii="Palatino Linotype" w:hAnsi="Palatino Linotype" w:cs="Arial"/>
                <w:bCs/>
                <w:iCs/>
              </w:rPr>
              <w:t>Yeni</w:t>
            </w:r>
            <w:proofErr w:type="spellEnd"/>
            <w:r w:rsidRPr="001D57D4">
              <w:rPr>
                <w:rFonts w:ascii="Palatino Linotype" w:hAnsi="Palatino Linotype" w:cs="Arial"/>
                <w:bCs/>
                <w:iCs/>
              </w:rPr>
              <w:t xml:space="preserve"> Isabel Nava Hernández, correspondientes a los meses de enero a diciembre del dos mil veintitrés y de enero a julio de dos mil veintitrés, así como lo correspondiente a aguinaldos y prima vacacional.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8AFA1D" w14:textId="64172FB0" w:rsidR="005D02D1" w:rsidRPr="001D57D4" w:rsidRDefault="00A34B9D" w:rsidP="001D57D4">
            <w:pPr>
              <w:pStyle w:val="Prrafodelista"/>
              <w:tabs>
                <w:tab w:val="left" w:pos="709"/>
              </w:tabs>
              <w:spacing w:before="100" w:beforeAutospacing="1" w:after="100" w:afterAutospacing="1" w:line="360" w:lineRule="auto"/>
              <w:ind w:left="0"/>
              <w:jc w:val="center"/>
              <w:rPr>
                <w:rFonts w:ascii="Palatino Linotype" w:hAnsi="Palatino Linotype"/>
                <w:b/>
              </w:rPr>
            </w:pPr>
            <w:r w:rsidRPr="001D57D4">
              <w:rPr>
                <w:rFonts w:ascii="Palatino Linotype" w:hAnsi="Palatino Linotype"/>
                <w:b/>
              </w:rPr>
              <w:t>Parcialmente</w:t>
            </w:r>
          </w:p>
        </w:tc>
      </w:tr>
      <w:tr w:rsidR="001D57D4" w:rsidRPr="001D57D4" w14:paraId="6E0CA419" w14:textId="77777777" w:rsidTr="00A34B9D">
        <w:trPr>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CCB9294" w14:textId="62C07CC4" w:rsidR="005D02D1" w:rsidRPr="001D57D4" w:rsidRDefault="005D02D1" w:rsidP="001D57D4">
            <w:pPr>
              <w:tabs>
                <w:tab w:val="left" w:pos="22"/>
              </w:tabs>
              <w:spacing w:before="100" w:beforeAutospacing="1" w:after="100" w:afterAutospacing="1" w:line="360" w:lineRule="auto"/>
              <w:rPr>
                <w:rFonts w:ascii="Palatino Linotype" w:hAnsi="Palatino Linotype"/>
              </w:rPr>
            </w:pPr>
            <w:r w:rsidRPr="001D57D4">
              <w:rPr>
                <w:rFonts w:ascii="Palatino Linotype" w:hAnsi="Palatino Linotype"/>
              </w:rPr>
              <w:t>3.- Nombramiento</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8C2E7A6" w14:textId="2C602B4E" w:rsidR="005D02D1" w:rsidRPr="001D57D4" w:rsidRDefault="005D02D1" w:rsidP="001D57D4">
            <w:pPr>
              <w:jc w:val="both"/>
              <w:rPr>
                <w:rFonts w:ascii="Palatino Linotype" w:hAnsi="Palatino Linotype" w:cs="Arial"/>
                <w:iCs/>
              </w:rPr>
            </w:pPr>
            <w:r w:rsidRPr="001D57D4">
              <w:rPr>
                <w:rFonts w:ascii="Palatino Linotype" w:hAnsi="Palatino Linotype" w:cs="Arial"/>
                <w:b/>
                <w:bCs/>
                <w:iCs/>
              </w:rPr>
              <w:t xml:space="preserve">Nombramiento Tesorera - </w:t>
            </w:r>
            <w:proofErr w:type="spellStart"/>
            <w:r w:rsidRPr="001D57D4">
              <w:rPr>
                <w:rFonts w:ascii="Palatino Linotype" w:hAnsi="Palatino Linotype" w:cs="Arial"/>
                <w:b/>
                <w:bCs/>
                <w:iCs/>
              </w:rPr>
              <w:t>Yeni</w:t>
            </w:r>
            <w:proofErr w:type="spellEnd"/>
            <w:r w:rsidRPr="001D57D4">
              <w:rPr>
                <w:rFonts w:ascii="Palatino Linotype" w:hAnsi="Palatino Linotype" w:cs="Arial"/>
                <w:b/>
                <w:bCs/>
                <w:iCs/>
              </w:rPr>
              <w:t xml:space="preserve"> Isabel Nava Hernández.pdf: </w:t>
            </w:r>
            <w:r w:rsidRPr="001D57D4">
              <w:rPr>
                <w:rFonts w:ascii="Palatino Linotype" w:hAnsi="Palatino Linotype" w:cs="Arial"/>
                <w:bCs/>
                <w:iCs/>
              </w:rPr>
              <w:t xml:space="preserve">consta del nombramiento de Tesorera Municipal a favor de la C. </w:t>
            </w:r>
            <w:proofErr w:type="spellStart"/>
            <w:r w:rsidRPr="001D57D4">
              <w:rPr>
                <w:rFonts w:ascii="Palatino Linotype" w:hAnsi="Palatino Linotype" w:cs="Arial"/>
                <w:bCs/>
                <w:iCs/>
              </w:rPr>
              <w:t>Yeni</w:t>
            </w:r>
            <w:proofErr w:type="spellEnd"/>
            <w:r w:rsidRPr="001D57D4">
              <w:rPr>
                <w:rFonts w:ascii="Palatino Linotype" w:hAnsi="Palatino Linotype" w:cs="Arial"/>
                <w:bCs/>
                <w:iCs/>
              </w:rPr>
              <w:t xml:space="preserve"> Isabel Nava Hernández, del primero de enero de dos mil veintitrés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3D9867" w14:textId="2165683C" w:rsidR="005D02D1" w:rsidRPr="001D57D4" w:rsidRDefault="00247F0F" w:rsidP="001D57D4">
            <w:pPr>
              <w:pStyle w:val="Prrafodelista"/>
              <w:tabs>
                <w:tab w:val="left" w:pos="709"/>
              </w:tabs>
              <w:spacing w:before="100" w:beforeAutospacing="1" w:after="100" w:afterAutospacing="1" w:line="360" w:lineRule="auto"/>
              <w:ind w:left="0"/>
              <w:jc w:val="center"/>
              <w:rPr>
                <w:rFonts w:ascii="Palatino Linotype" w:hAnsi="Palatino Linotype"/>
                <w:b/>
              </w:rPr>
            </w:pPr>
            <w:r w:rsidRPr="001D57D4">
              <w:rPr>
                <w:rFonts w:ascii="Palatino Linotype" w:hAnsi="Palatino Linotype"/>
                <w:b/>
              </w:rPr>
              <w:t>SI</w:t>
            </w:r>
          </w:p>
        </w:tc>
      </w:tr>
      <w:tr w:rsidR="00B214DA" w:rsidRPr="001D57D4" w14:paraId="45559F06" w14:textId="77777777" w:rsidTr="00A34B9D">
        <w:trPr>
          <w:trHeight w:val="208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D7C0240" w14:textId="67953386" w:rsidR="00B214DA" w:rsidRPr="001D57D4" w:rsidRDefault="005D02D1" w:rsidP="001D57D4">
            <w:pPr>
              <w:pStyle w:val="Prrafodelista"/>
              <w:tabs>
                <w:tab w:val="left" w:pos="709"/>
              </w:tabs>
              <w:spacing w:before="100" w:beforeAutospacing="1" w:after="100" w:afterAutospacing="1" w:line="360" w:lineRule="auto"/>
              <w:ind w:left="0"/>
              <w:jc w:val="both"/>
              <w:rPr>
                <w:rFonts w:ascii="Palatino Linotype" w:hAnsi="Palatino Linotype"/>
                <w:bCs/>
              </w:rPr>
            </w:pPr>
            <w:r w:rsidRPr="001D57D4">
              <w:rPr>
                <w:rFonts w:ascii="Palatino Linotype" w:hAnsi="Palatino Linotype"/>
                <w:bCs/>
                <w:sz w:val="24"/>
                <w:szCs w:val="24"/>
              </w:rPr>
              <w:t>4</w:t>
            </w:r>
            <w:r w:rsidR="00406476" w:rsidRPr="001D57D4">
              <w:rPr>
                <w:rFonts w:ascii="Palatino Linotype" w:hAnsi="Palatino Linotype"/>
                <w:bCs/>
                <w:sz w:val="24"/>
                <w:szCs w:val="24"/>
              </w:rPr>
              <w:t>.- El Acta De Entrega</w:t>
            </w:r>
          </w:p>
        </w:tc>
        <w:tc>
          <w:tcPr>
            <w:tcW w:w="4820" w:type="dxa"/>
            <w:tcBorders>
              <w:top w:val="single" w:sz="4" w:space="0" w:color="auto"/>
              <w:left w:val="single" w:sz="4" w:space="0" w:color="auto"/>
              <w:bottom w:val="single" w:sz="4" w:space="0" w:color="auto"/>
              <w:right w:val="single" w:sz="4" w:space="0" w:color="auto"/>
            </w:tcBorders>
            <w:hideMark/>
          </w:tcPr>
          <w:p w14:paraId="23136311" w14:textId="2D4A6BB9" w:rsidR="00247F0F" w:rsidRPr="001D57D4" w:rsidRDefault="00247F0F" w:rsidP="001D57D4">
            <w:pPr>
              <w:jc w:val="both"/>
              <w:rPr>
                <w:rFonts w:ascii="Palatino Linotype" w:hAnsi="Palatino Linotype" w:cs="Arial"/>
                <w:b/>
                <w:bCs/>
                <w:iCs/>
              </w:rPr>
            </w:pPr>
            <w:r w:rsidRPr="001D57D4">
              <w:rPr>
                <w:rFonts w:ascii="Palatino Linotype" w:hAnsi="Palatino Linotype" w:cs="Arial"/>
                <w:b/>
                <w:bCs/>
                <w:iCs/>
              </w:rPr>
              <w:t xml:space="preserve">“ZIN.CM.1175.2023.pdf: </w:t>
            </w:r>
            <w:r w:rsidRPr="001D57D4">
              <w:rPr>
                <w:rFonts w:ascii="Palatino Linotype" w:hAnsi="Palatino Linotype" w:cs="Arial"/>
                <w:bCs/>
                <w:iCs/>
              </w:rPr>
              <w:t xml:space="preserve">consta del oficio ZIN/CM/1175/2023, del quince de agosto de dos mil veintitrés, signado por el Contralor Municipal, mismo que solicita </w:t>
            </w:r>
            <w:r w:rsidR="00A34B9D" w:rsidRPr="001D57D4">
              <w:rPr>
                <w:rFonts w:ascii="Palatino Linotype" w:hAnsi="Palatino Linotype" w:cs="Arial"/>
                <w:bCs/>
                <w:iCs/>
              </w:rPr>
              <w:t xml:space="preserve">a la Titular de la Unidad de Transparencia </w:t>
            </w:r>
            <w:r w:rsidRPr="001D57D4">
              <w:rPr>
                <w:rFonts w:ascii="Palatino Linotype" w:hAnsi="Palatino Linotype" w:cs="Arial"/>
                <w:bCs/>
                <w:iCs/>
              </w:rPr>
              <w:t xml:space="preserve">someter a consideración del Comité de Transparencia, la reserva de información por un término de un año, el Acta final o de conclusión de la Gestión </w:t>
            </w:r>
            <w:r w:rsidRPr="001D57D4">
              <w:rPr>
                <w:rFonts w:ascii="Palatino Linotype" w:hAnsi="Palatino Linotype" w:cs="Arial"/>
                <w:bCs/>
                <w:iCs/>
              </w:rPr>
              <w:lastRenderedPageBreak/>
              <w:t>Municipal EAR-1 de la Tesorería Municipal realizada el tres de agosto de dos mil veintitrés, derivado a que contiene información cuya divulgación puede obstruir o causar un serio perjuicio a las actividades de fiscalización.</w:t>
            </w:r>
          </w:p>
          <w:p w14:paraId="40505AC7" w14:textId="2DA4F444" w:rsidR="00B214DA" w:rsidRPr="001D57D4" w:rsidRDefault="00B214DA" w:rsidP="001D57D4">
            <w:pPr>
              <w:tabs>
                <w:tab w:val="left" w:pos="709"/>
              </w:tabs>
              <w:jc w:val="both"/>
              <w:rPr>
                <w:rFonts w:ascii="Palatino Linotype" w:hAnsi="Palatino Linotype"/>
                <w:i/>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5B75570" w14:textId="32C88060" w:rsidR="00B214DA" w:rsidRPr="001D57D4" w:rsidRDefault="00406476" w:rsidP="001D57D4">
            <w:pPr>
              <w:tabs>
                <w:tab w:val="left" w:pos="709"/>
              </w:tabs>
              <w:jc w:val="center"/>
              <w:rPr>
                <w:rFonts w:ascii="Palatino Linotype" w:hAnsi="Palatino Linotype"/>
              </w:rPr>
            </w:pPr>
            <w:r w:rsidRPr="001D57D4">
              <w:rPr>
                <w:rFonts w:ascii="Palatino Linotype" w:hAnsi="Palatino Linotype"/>
                <w:sz w:val="24"/>
                <w:szCs w:val="24"/>
              </w:rPr>
              <w:lastRenderedPageBreak/>
              <w:t>N</w:t>
            </w:r>
            <w:r w:rsidR="00111710" w:rsidRPr="001D57D4">
              <w:rPr>
                <w:rFonts w:ascii="Palatino Linotype" w:hAnsi="Palatino Linotype"/>
                <w:sz w:val="24"/>
                <w:szCs w:val="24"/>
              </w:rPr>
              <w:t>o</w:t>
            </w:r>
          </w:p>
        </w:tc>
      </w:tr>
    </w:tbl>
    <w:p w14:paraId="00450BBA" w14:textId="71E47409" w:rsidR="00B214DA" w:rsidRPr="001D57D4" w:rsidRDefault="00B214DA" w:rsidP="001D57D4">
      <w:pPr>
        <w:spacing w:line="360" w:lineRule="auto"/>
        <w:jc w:val="both"/>
        <w:rPr>
          <w:rFonts w:ascii="Palatino Linotype" w:hAnsi="Palatino Linotype" w:cs="Arial"/>
          <w:lang w:val="es-ES"/>
        </w:rPr>
      </w:pPr>
    </w:p>
    <w:p w14:paraId="2A367AB5" w14:textId="77777777" w:rsidR="00D41C60" w:rsidRPr="001D57D4" w:rsidRDefault="00D41C60" w:rsidP="001D57D4">
      <w:pPr>
        <w:spacing w:line="360" w:lineRule="auto"/>
        <w:jc w:val="both"/>
        <w:rPr>
          <w:rFonts w:ascii="Palatino Linotype" w:hAnsi="Palatino Linotype"/>
          <w:lang w:eastAsia="es-MX"/>
        </w:rPr>
      </w:pPr>
    </w:p>
    <w:p w14:paraId="1118E769" w14:textId="661410EE" w:rsidR="00D41C60" w:rsidRPr="001D57D4" w:rsidRDefault="00D41C60" w:rsidP="001D57D4">
      <w:pPr>
        <w:spacing w:line="360" w:lineRule="auto"/>
        <w:jc w:val="both"/>
        <w:rPr>
          <w:rFonts w:ascii="Palatino Linotype" w:hAnsi="Palatino Linotype"/>
          <w:lang w:eastAsia="es-MX"/>
        </w:rPr>
      </w:pPr>
    </w:p>
    <w:p w14:paraId="11A32191" w14:textId="577726D0" w:rsidR="005E03C3" w:rsidRPr="001D57D4" w:rsidRDefault="005E03C3" w:rsidP="001D57D4">
      <w:pPr>
        <w:spacing w:line="360" w:lineRule="auto"/>
        <w:jc w:val="both"/>
        <w:rPr>
          <w:rFonts w:ascii="Palatino Linotype" w:hAnsi="Palatino Linotype"/>
          <w:lang w:eastAsia="es-MX"/>
        </w:rPr>
      </w:pPr>
      <w:r w:rsidRPr="001D57D4">
        <w:rPr>
          <w:rFonts w:ascii="Palatino Linotype" w:hAnsi="Palatino Linotype"/>
          <w:lang w:eastAsia="es-MX"/>
        </w:rPr>
        <w:t xml:space="preserve">Es así que, del análisis realizado a las documentales que integran el expediente electrónico, se advierte que </w:t>
      </w:r>
      <w:r w:rsidRPr="001D57D4">
        <w:rPr>
          <w:rFonts w:ascii="Palatino Linotype" w:hAnsi="Palatino Linotype"/>
          <w:b/>
          <w:lang w:eastAsia="es-MX"/>
        </w:rPr>
        <w:t xml:space="preserve">EL SUJETO OBLIGADO </w:t>
      </w:r>
      <w:r w:rsidRPr="001D57D4">
        <w:rPr>
          <w:rFonts w:ascii="Palatino Linotype" w:hAnsi="Palatino Linotype"/>
          <w:lang w:eastAsia="es-MX"/>
        </w:rPr>
        <w:t xml:space="preserve">no atendió cabalmente el derecho </w:t>
      </w:r>
      <w:r w:rsidRPr="001D57D4">
        <w:rPr>
          <w:rFonts w:ascii="Palatino Linotype" w:hAnsi="Palatino Linotype"/>
          <w:lang w:eastAsia="es-MX"/>
        </w:rPr>
        <w:lastRenderedPageBreak/>
        <w:t xml:space="preserve">de acceso a la información ejercido por el particular, ello en razón de que no hizo entrega de todo lo solicitado como se puede observar en la tabla que antecede. </w:t>
      </w:r>
    </w:p>
    <w:p w14:paraId="2917D069" w14:textId="77777777" w:rsidR="005E03C3" w:rsidRPr="001D57D4" w:rsidRDefault="005E03C3" w:rsidP="001D57D4">
      <w:pPr>
        <w:spacing w:line="360" w:lineRule="auto"/>
        <w:jc w:val="both"/>
        <w:rPr>
          <w:rFonts w:ascii="Palatino Linotype" w:hAnsi="Palatino Linotype" w:cs="Arial"/>
          <w:lang w:val="es-ES"/>
        </w:rPr>
      </w:pPr>
    </w:p>
    <w:p w14:paraId="1C1591AD" w14:textId="66DDD4CC" w:rsidR="00247F0F" w:rsidRPr="001D57D4" w:rsidRDefault="00454BAC" w:rsidP="001D57D4">
      <w:pPr>
        <w:spacing w:line="360" w:lineRule="auto"/>
        <w:jc w:val="both"/>
        <w:rPr>
          <w:rFonts w:ascii="Palatino Linotype" w:hAnsi="Palatino Linotype" w:cs="Arial"/>
          <w:b/>
          <w:bCs/>
          <w:iCs/>
        </w:rPr>
      </w:pPr>
      <w:r w:rsidRPr="001D57D4">
        <w:rPr>
          <w:rFonts w:ascii="Palatino Linotype" w:hAnsi="Palatino Linotype" w:cs="Arial"/>
          <w:lang w:val="es-ES"/>
        </w:rPr>
        <w:t>Lo anterior es así, pues del requerimiento realizado por el particul</w:t>
      </w:r>
      <w:r w:rsidR="00A34B9D" w:rsidRPr="001D57D4">
        <w:rPr>
          <w:rFonts w:ascii="Palatino Linotype" w:hAnsi="Palatino Linotype" w:cs="Arial"/>
          <w:lang w:val="es-ES"/>
        </w:rPr>
        <w:t>ar identificado con el numeral 4</w:t>
      </w:r>
      <w:r w:rsidRPr="001D57D4">
        <w:rPr>
          <w:rFonts w:ascii="Palatino Linotype" w:hAnsi="Palatino Linotype" w:cs="Arial"/>
          <w:lang w:val="es-ES"/>
        </w:rPr>
        <w:t xml:space="preserve">, relacionado con el acta de entrega, </w:t>
      </w:r>
      <w:r w:rsidRPr="001D57D4">
        <w:rPr>
          <w:rFonts w:ascii="Palatino Linotype" w:hAnsi="Palatino Linotype" w:cs="Arial"/>
          <w:b/>
          <w:lang w:val="es-ES"/>
        </w:rPr>
        <w:t xml:space="preserve">EL SUJETO OBLIGADO </w:t>
      </w:r>
      <w:r w:rsidR="00A34B9D" w:rsidRPr="001D57D4">
        <w:rPr>
          <w:rFonts w:ascii="Palatino Linotype" w:hAnsi="Palatino Linotype" w:cs="Arial"/>
          <w:lang w:val="es-ES"/>
        </w:rPr>
        <w:t>a través del Contralor Interno Municipal</w:t>
      </w:r>
      <w:r w:rsidR="00247F0F" w:rsidRPr="001D57D4">
        <w:rPr>
          <w:rFonts w:ascii="Palatino Linotype" w:hAnsi="Palatino Linotype" w:cs="Arial"/>
          <w:bCs/>
          <w:iCs/>
        </w:rPr>
        <w:t xml:space="preserve">, mismo que solicita </w:t>
      </w:r>
      <w:r w:rsidR="00A34B9D" w:rsidRPr="001D57D4">
        <w:rPr>
          <w:rFonts w:ascii="Palatino Linotype" w:hAnsi="Palatino Linotype" w:cs="Arial"/>
          <w:bCs/>
          <w:iCs/>
        </w:rPr>
        <w:t xml:space="preserve">a la Titular de la Unidad de Transparencia </w:t>
      </w:r>
      <w:r w:rsidR="00247F0F" w:rsidRPr="001D57D4">
        <w:rPr>
          <w:rFonts w:ascii="Palatino Linotype" w:hAnsi="Palatino Linotype" w:cs="Arial"/>
          <w:bCs/>
          <w:iCs/>
        </w:rPr>
        <w:t>someter a consideración del Comité de Transparencia, la reserva de información por un término de un año, el Acta final o de conclusión de la Gestión Municipal EAR-1 de la Tesorería Municipal realizada el tres de agosto de dos mil veintitrés, derivado a que contiene información cuya divulgación puede obstruir o causar un serio perjuicio a las actividades de fiscalización.</w:t>
      </w:r>
    </w:p>
    <w:p w14:paraId="62D58330" w14:textId="24AE74A4" w:rsidR="002E22F2" w:rsidRPr="001D57D4" w:rsidRDefault="002E22F2" w:rsidP="001D57D4">
      <w:pPr>
        <w:spacing w:line="360" w:lineRule="auto"/>
        <w:jc w:val="both"/>
        <w:rPr>
          <w:rFonts w:ascii="Palatino Linotype" w:hAnsi="Palatino Linotype" w:cs="Arial"/>
          <w:lang w:val="es-ES"/>
        </w:rPr>
      </w:pPr>
    </w:p>
    <w:p w14:paraId="5CEC0476" w14:textId="77777777" w:rsidR="00A34B9D" w:rsidRPr="001D57D4" w:rsidRDefault="00A34B9D" w:rsidP="001D57D4">
      <w:pPr>
        <w:spacing w:line="360" w:lineRule="auto"/>
        <w:jc w:val="both"/>
        <w:rPr>
          <w:rFonts w:ascii="Palatino Linotype" w:hAnsi="Palatino Linotype"/>
        </w:rPr>
      </w:pPr>
      <w:r w:rsidRPr="001D57D4">
        <w:rPr>
          <w:rFonts w:ascii="Palatino Linotype" w:eastAsia="Arial Unicode MS" w:hAnsi="Palatino Linotype" w:cs="Arial"/>
          <w:lang w:val="es-ES"/>
        </w:rPr>
        <w:t>Derivado de lo anterior, e</w:t>
      </w:r>
      <w:r w:rsidRPr="001D57D4">
        <w:rPr>
          <w:rFonts w:ascii="Palatino Linotype" w:hAnsi="Palatino Linotype" w:cs="Arial"/>
        </w:rPr>
        <w:t>s importante traer a contexto lo dispuesto por el artículo 5, párrafo trigésimo, fracción I de la Constitución Política del Estado Libre y Soberano de México, el cual dispone:</w:t>
      </w:r>
    </w:p>
    <w:p w14:paraId="657410B6" w14:textId="77777777" w:rsidR="00A34B9D" w:rsidRPr="001D57D4" w:rsidRDefault="00A34B9D" w:rsidP="001D57D4">
      <w:pPr>
        <w:contextualSpacing/>
        <w:jc w:val="both"/>
        <w:rPr>
          <w:rFonts w:ascii="Palatino Linotype" w:hAnsi="Palatino Linotype" w:cs="Arial"/>
          <w:b/>
          <w:i/>
        </w:rPr>
      </w:pPr>
    </w:p>
    <w:p w14:paraId="30B1FAE6" w14:textId="77777777" w:rsidR="00A34B9D" w:rsidRPr="001D57D4" w:rsidRDefault="00A34B9D" w:rsidP="001D57D4">
      <w:pPr>
        <w:autoSpaceDE w:val="0"/>
        <w:autoSpaceDN w:val="0"/>
        <w:adjustRightInd w:val="0"/>
        <w:ind w:left="851" w:right="902"/>
        <w:jc w:val="both"/>
        <w:rPr>
          <w:rFonts w:ascii="Palatino Linotype" w:hAnsi="Palatino Linotype" w:cs="Arial"/>
          <w:b/>
          <w:i/>
          <w:sz w:val="22"/>
        </w:rPr>
      </w:pPr>
      <w:r w:rsidRPr="001D57D4">
        <w:rPr>
          <w:rFonts w:ascii="Palatino Linotype" w:hAnsi="Palatino Linotype" w:cs="Arial"/>
          <w:b/>
          <w:i/>
          <w:sz w:val="22"/>
        </w:rPr>
        <w:t>“Artículo 5.-...</w:t>
      </w:r>
    </w:p>
    <w:p w14:paraId="36F308CC" w14:textId="77777777" w:rsidR="00A34B9D" w:rsidRPr="001D57D4" w:rsidRDefault="00A34B9D" w:rsidP="001D57D4">
      <w:pPr>
        <w:autoSpaceDE w:val="0"/>
        <w:autoSpaceDN w:val="0"/>
        <w:adjustRightInd w:val="0"/>
        <w:ind w:left="851" w:right="902"/>
        <w:jc w:val="both"/>
        <w:rPr>
          <w:rFonts w:ascii="Palatino Linotype" w:hAnsi="Palatino Linotype" w:cs="Arial"/>
          <w:i/>
          <w:sz w:val="22"/>
        </w:rPr>
      </w:pPr>
      <w:r w:rsidRPr="001D57D4">
        <w:rPr>
          <w:rFonts w:ascii="Palatino Linotype" w:hAnsi="Palatino Linotype" w:cs="Arial"/>
          <w:i/>
          <w:sz w:val="22"/>
        </w:rPr>
        <w:t>...</w:t>
      </w:r>
    </w:p>
    <w:p w14:paraId="24A53947" w14:textId="77777777" w:rsidR="00A34B9D" w:rsidRPr="001D57D4" w:rsidRDefault="00A34B9D" w:rsidP="001D57D4">
      <w:pPr>
        <w:autoSpaceDE w:val="0"/>
        <w:autoSpaceDN w:val="0"/>
        <w:adjustRightInd w:val="0"/>
        <w:ind w:left="851" w:right="902"/>
        <w:jc w:val="both"/>
        <w:rPr>
          <w:rFonts w:ascii="Palatino Linotype" w:hAnsi="Palatino Linotype" w:cs="Arial"/>
          <w:i/>
          <w:sz w:val="22"/>
        </w:rPr>
      </w:pPr>
      <w:r w:rsidRPr="001D57D4">
        <w:rPr>
          <w:rFonts w:ascii="Palatino Linotype" w:hAnsi="Palatino Linotype" w:cs="Arial"/>
          <w:i/>
          <w:sz w:val="22"/>
        </w:rPr>
        <w:t>Este derecho se regirá por los siguientes principios y bases siguientes:</w:t>
      </w:r>
    </w:p>
    <w:p w14:paraId="719310FD" w14:textId="77777777" w:rsidR="00A34B9D" w:rsidRPr="001D57D4" w:rsidRDefault="00A34B9D" w:rsidP="001D57D4">
      <w:pPr>
        <w:ind w:left="709" w:right="757"/>
        <w:contextualSpacing/>
        <w:jc w:val="both"/>
        <w:rPr>
          <w:rFonts w:ascii="Palatino Linotype" w:hAnsi="Palatino Linotype" w:cs="Arial"/>
          <w:i/>
          <w:sz w:val="22"/>
        </w:rPr>
      </w:pPr>
    </w:p>
    <w:p w14:paraId="31FF9C98" w14:textId="77777777" w:rsidR="00A34B9D" w:rsidRPr="001D57D4" w:rsidRDefault="00A34B9D" w:rsidP="001D57D4">
      <w:pPr>
        <w:autoSpaceDE w:val="0"/>
        <w:autoSpaceDN w:val="0"/>
        <w:adjustRightInd w:val="0"/>
        <w:ind w:left="851" w:right="902"/>
        <w:jc w:val="both"/>
        <w:rPr>
          <w:rFonts w:ascii="Palatino Linotype" w:hAnsi="Palatino Linotype" w:cs="Arial"/>
          <w:i/>
          <w:sz w:val="22"/>
        </w:rPr>
      </w:pPr>
      <w:r w:rsidRPr="001D57D4">
        <w:rPr>
          <w:rFonts w:ascii="Palatino Linotype" w:hAnsi="Palatino Linotype" w:cs="Arial"/>
          <w:i/>
          <w:sz w:val="22"/>
        </w:rPr>
        <w:t xml:space="preserve">I. </w:t>
      </w:r>
      <w:r w:rsidRPr="001D57D4">
        <w:rPr>
          <w:rFonts w:ascii="Palatino Linotype" w:hAnsi="Palatino Linotype"/>
          <w:b/>
          <w:i/>
          <w:sz w:val="22"/>
        </w:rPr>
        <w:t>Toda la información en posesión de cualquier autoridad, entidad, órgano y organismos de los Poderes Ejecutivo, Legislativo y Judicial, órganos autónomos</w:t>
      </w:r>
      <w:r w:rsidRPr="001D57D4">
        <w:rPr>
          <w:rFonts w:ascii="Palatino Linotype" w:hAnsi="Palatino Linotype"/>
          <w:i/>
          <w:sz w:val="22"/>
        </w:rPr>
        <w:t xml:space="preserve">,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57D4">
        <w:rPr>
          <w:rFonts w:ascii="Palatino Linotype" w:hAnsi="Palatino Linotype"/>
          <w:b/>
          <w:i/>
          <w:sz w:val="22"/>
        </w:rPr>
        <w:t xml:space="preserve">es pública y sólo podrá ser reservada temporalmente </w:t>
      </w:r>
      <w:r w:rsidRPr="001D57D4">
        <w:rPr>
          <w:rFonts w:ascii="Palatino Linotype" w:hAnsi="Palatino Linotype"/>
          <w:i/>
          <w:sz w:val="22"/>
        </w:rPr>
        <w:t xml:space="preserve">por razones previstas en la Constitución Política de los Estados Unidos Mexicanos de interés público y seguridad, en los términos que fijen las leyes. </w:t>
      </w:r>
      <w:r w:rsidRPr="001D57D4">
        <w:rPr>
          <w:rFonts w:ascii="Palatino Linotype" w:hAnsi="Palatino Linotype"/>
          <w:i/>
          <w:sz w:val="22"/>
        </w:rPr>
        <w:lastRenderedPageBreak/>
        <w:t>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D57D4">
        <w:rPr>
          <w:rFonts w:ascii="Palatino Linotype" w:hAnsi="Palatino Linotype" w:cs="Arial"/>
          <w:i/>
          <w:sz w:val="22"/>
        </w:rPr>
        <w:t>;</w:t>
      </w:r>
    </w:p>
    <w:p w14:paraId="36272F3D" w14:textId="77777777" w:rsidR="00A34B9D" w:rsidRPr="001D57D4" w:rsidRDefault="00A34B9D" w:rsidP="001D57D4">
      <w:pPr>
        <w:autoSpaceDE w:val="0"/>
        <w:autoSpaceDN w:val="0"/>
        <w:adjustRightInd w:val="0"/>
        <w:ind w:left="851" w:right="902"/>
        <w:jc w:val="both"/>
        <w:rPr>
          <w:rFonts w:ascii="Palatino Linotype" w:hAnsi="Palatino Linotype" w:cs="Arial"/>
          <w:i/>
          <w:sz w:val="22"/>
        </w:rPr>
      </w:pPr>
      <w:r w:rsidRPr="001D57D4">
        <w:rPr>
          <w:rFonts w:ascii="Palatino Linotype" w:hAnsi="Palatino Linotype" w:cs="Arial"/>
          <w:i/>
          <w:sz w:val="22"/>
        </w:rPr>
        <w:t>...”</w:t>
      </w:r>
    </w:p>
    <w:p w14:paraId="184BFD98" w14:textId="77777777" w:rsidR="00A34B9D" w:rsidRPr="001D57D4" w:rsidRDefault="00A34B9D" w:rsidP="001D57D4">
      <w:pPr>
        <w:contextualSpacing/>
        <w:jc w:val="both"/>
        <w:rPr>
          <w:rFonts w:ascii="Palatino Linotype" w:hAnsi="Palatino Linotype" w:cs="Arial"/>
          <w:i/>
        </w:rPr>
      </w:pPr>
    </w:p>
    <w:p w14:paraId="364C802B" w14:textId="77777777" w:rsidR="00A34B9D" w:rsidRPr="001D57D4" w:rsidRDefault="00A34B9D" w:rsidP="001D57D4">
      <w:pPr>
        <w:spacing w:line="360" w:lineRule="auto"/>
        <w:jc w:val="both"/>
        <w:rPr>
          <w:rFonts w:ascii="Palatino Linotype" w:hAnsi="Palatino Linotype" w:cs="Arial"/>
        </w:rPr>
      </w:pPr>
      <w:r w:rsidRPr="001D57D4">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14:paraId="2FDDC432" w14:textId="77777777" w:rsidR="00A34B9D" w:rsidRPr="001D57D4" w:rsidRDefault="00A34B9D" w:rsidP="001D57D4">
      <w:pPr>
        <w:spacing w:line="360" w:lineRule="auto"/>
        <w:jc w:val="both"/>
        <w:rPr>
          <w:rFonts w:ascii="Palatino Linotype" w:hAnsi="Palatino Linotype" w:cs="Arial"/>
        </w:rPr>
      </w:pPr>
    </w:p>
    <w:p w14:paraId="69BC6C15" w14:textId="77777777" w:rsidR="00A34B9D" w:rsidRPr="001D57D4" w:rsidRDefault="00A34B9D" w:rsidP="001D57D4">
      <w:pPr>
        <w:spacing w:line="360" w:lineRule="auto"/>
        <w:jc w:val="both"/>
        <w:rPr>
          <w:rFonts w:ascii="Palatino Linotype" w:hAnsi="Palatino Linotype" w:cs="Arial"/>
        </w:rPr>
      </w:pPr>
      <w:r w:rsidRPr="001D57D4">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14:paraId="7C8B4B20" w14:textId="77777777" w:rsidR="00A34B9D" w:rsidRPr="001D57D4" w:rsidRDefault="00A34B9D" w:rsidP="001D57D4">
      <w:pPr>
        <w:jc w:val="both"/>
        <w:rPr>
          <w:rFonts w:ascii="Palatino Linotype" w:hAnsi="Palatino Linotype" w:cs="Arial"/>
        </w:rPr>
      </w:pPr>
    </w:p>
    <w:p w14:paraId="06CE013E"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i/>
          <w:sz w:val="22"/>
        </w:rPr>
        <w:t>“</w:t>
      </w:r>
      <w:r w:rsidRPr="001D57D4">
        <w:rPr>
          <w:rFonts w:ascii="Palatino Linotype" w:hAnsi="Palatino Linotype" w:cs="Arial"/>
          <w:b/>
          <w:i/>
          <w:sz w:val="22"/>
        </w:rPr>
        <w:t>Artículo 122</w:t>
      </w:r>
      <w:r w:rsidRPr="001D57D4">
        <w:rPr>
          <w:rFonts w:ascii="Palatino Linotype" w:hAnsi="Palatino Linotype" w:cs="Arial"/>
          <w:i/>
          <w:sz w:val="22"/>
        </w:rPr>
        <w:t xml:space="preserve">. La clasificación es el proceso mediante el cual el sujeto obligado determina que la información en su poder </w:t>
      </w:r>
      <w:proofErr w:type="spellStart"/>
      <w:r w:rsidRPr="001D57D4">
        <w:rPr>
          <w:rFonts w:ascii="Palatino Linotype" w:hAnsi="Palatino Linotype" w:cs="Arial"/>
          <w:i/>
          <w:sz w:val="22"/>
        </w:rPr>
        <w:t>actualiza</w:t>
      </w:r>
      <w:proofErr w:type="spellEnd"/>
      <w:r w:rsidRPr="001D57D4">
        <w:rPr>
          <w:rFonts w:ascii="Palatino Linotype" w:hAnsi="Palatino Linotype" w:cs="Arial"/>
          <w:i/>
          <w:sz w:val="22"/>
        </w:rPr>
        <w:t xml:space="preserve"> alguno de los supuestos de reserva o confidencialidad, de conformidad con lo dispuesto en el presente título.</w:t>
      </w:r>
    </w:p>
    <w:p w14:paraId="28124951" w14:textId="77777777" w:rsidR="00A34B9D" w:rsidRPr="001D57D4" w:rsidRDefault="00A34B9D" w:rsidP="001D57D4">
      <w:pPr>
        <w:tabs>
          <w:tab w:val="left" w:pos="7797"/>
        </w:tabs>
        <w:ind w:left="709" w:right="757"/>
        <w:contextualSpacing/>
        <w:jc w:val="both"/>
        <w:rPr>
          <w:rFonts w:ascii="Palatino Linotype" w:hAnsi="Palatino Linotype" w:cs="Arial"/>
          <w:i/>
          <w:sz w:val="22"/>
        </w:rPr>
      </w:pPr>
      <w:r w:rsidRPr="001D57D4">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60937F31" w14:textId="77777777" w:rsidR="00A34B9D" w:rsidRPr="001D57D4" w:rsidRDefault="00A34B9D" w:rsidP="001D57D4">
      <w:pPr>
        <w:tabs>
          <w:tab w:val="left" w:pos="7797"/>
        </w:tabs>
        <w:ind w:left="709" w:right="757"/>
        <w:contextualSpacing/>
        <w:jc w:val="both"/>
        <w:rPr>
          <w:rFonts w:ascii="Palatino Linotype" w:hAnsi="Palatino Linotype" w:cs="Arial"/>
          <w:i/>
          <w:sz w:val="22"/>
        </w:rPr>
      </w:pPr>
      <w:r w:rsidRPr="001D57D4">
        <w:rPr>
          <w:rFonts w:ascii="Palatino Linotype" w:hAnsi="Palatino Linotype" w:cs="Arial"/>
          <w:i/>
          <w:sz w:val="22"/>
        </w:rPr>
        <w:lastRenderedPageBreak/>
        <w:t>Los titulares de las áreas de los sujetos obligados serán los responsables de clasificar la información, de conformidad con lo dispuesto en la presente Ley y demás disposiciones jurídicas aplicables.</w:t>
      </w:r>
    </w:p>
    <w:p w14:paraId="158361AE" w14:textId="77777777" w:rsidR="00A34B9D" w:rsidRPr="001D57D4" w:rsidRDefault="00A34B9D" w:rsidP="001D57D4">
      <w:pPr>
        <w:ind w:left="709" w:right="757"/>
        <w:contextualSpacing/>
        <w:jc w:val="both"/>
        <w:rPr>
          <w:rFonts w:ascii="Palatino Linotype" w:hAnsi="Palatino Linotype" w:cs="Arial"/>
          <w:b/>
          <w:i/>
          <w:sz w:val="22"/>
        </w:rPr>
      </w:pPr>
    </w:p>
    <w:p w14:paraId="6C4712BF" w14:textId="77777777" w:rsidR="00A34B9D" w:rsidRPr="001D57D4" w:rsidRDefault="00A34B9D" w:rsidP="001D57D4">
      <w:pPr>
        <w:ind w:left="709" w:right="757"/>
        <w:contextualSpacing/>
        <w:jc w:val="both"/>
        <w:rPr>
          <w:rFonts w:ascii="Palatino Linotype" w:hAnsi="Palatino Linotype" w:cs="Arial"/>
          <w:b/>
          <w:i/>
          <w:sz w:val="22"/>
        </w:rPr>
      </w:pPr>
      <w:r w:rsidRPr="001D57D4">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14:paraId="7DA70E9D"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I.</w:t>
      </w:r>
      <w:r w:rsidRPr="001D57D4">
        <w:rPr>
          <w:rFonts w:ascii="Palatino Linotype" w:hAnsi="Palatino Linotype" w:cs="Arial"/>
          <w:i/>
          <w:sz w:val="22"/>
        </w:rPr>
        <w:t xml:space="preserve"> Comprometa la seguridad pública y cuente con un propósito genuino y un efecto demostrable;</w:t>
      </w:r>
    </w:p>
    <w:p w14:paraId="0CE8862A"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II.</w:t>
      </w:r>
      <w:r w:rsidRPr="001D57D4">
        <w:rPr>
          <w:rFonts w:ascii="Palatino Linotype" w:hAnsi="Palatino Linotype" w:cs="Arial"/>
          <w:i/>
          <w:sz w:val="22"/>
        </w:rPr>
        <w:t xml:space="preserve"> Pueda menoscabar la conducción de las negociaciones y relaciones internacionales;</w:t>
      </w:r>
    </w:p>
    <w:p w14:paraId="4F6FA6BD"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III.</w:t>
      </w:r>
      <w:r w:rsidRPr="001D57D4">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95C8452"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IV.</w:t>
      </w:r>
      <w:r w:rsidRPr="001D57D4">
        <w:rPr>
          <w:rFonts w:ascii="Palatino Linotype" w:hAnsi="Palatino Linotype" w:cs="Arial"/>
          <w:i/>
          <w:sz w:val="22"/>
        </w:rPr>
        <w:t xml:space="preserve"> Ponga en riesgo la vida, la seguridad o la salud de una persona física;</w:t>
      </w:r>
    </w:p>
    <w:p w14:paraId="3D4CE13B"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V.</w:t>
      </w:r>
      <w:r w:rsidRPr="001D57D4">
        <w:rPr>
          <w:rFonts w:ascii="Palatino Linotype" w:hAnsi="Palatino Linotype" w:cs="Arial"/>
          <w:i/>
          <w:sz w:val="22"/>
        </w:rPr>
        <w:t xml:space="preserve"> Aquella cuya divulgación obstruya o pueda causar un serio perjuicio a:</w:t>
      </w:r>
    </w:p>
    <w:p w14:paraId="49696B0D"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1.</w:t>
      </w:r>
      <w:r w:rsidRPr="001D57D4">
        <w:rPr>
          <w:rFonts w:ascii="Palatino Linotype" w:hAnsi="Palatino Linotype" w:cs="Arial"/>
          <w:i/>
          <w:sz w:val="22"/>
        </w:rPr>
        <w:t xml:space="preserve"> Las actividades de fiscalización, verificación, inspección, comprobación y auditoría sobre el cumplimiento de las Leyes; o</w:t>
      </w:r>
    </w:p>
    <w:p w14:paraId="6C3CAAA9"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2.</w:t>
      </w:r>
      <w:r w:rsidRPr="001D57D4">
        <w:rPr>
          <w:rFonts w:ascii="Palatino Linotype" w:hAnsi="Palatino Linotype" w:cs="Arial"/>
          <w:i/>
          <w:sz w:val="22"/>
        </w:rPr>
        <w:t xml:space="preserve"> La recaudación de las contribuciones.</w:t>
      </w:r>
    </w:p>
    <w:p w14:paraId="6E6C0689"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VI.</w:t>
      </w:r>
      <w:r w:rsidRPr="001D57D4">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1439A66"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VII.</w:t>
      </w:r>
      <w:r w:rsidRPr="001D57D4">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598712CB"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VIII.</w:t>
      </w:r>
      <w:r w:rsidRPr="001D57D4">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2DE8EA7C"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IX.</w:t>
      </w:r>
      <w:r w:rsidRPr="001D57D4">
        <w:rPr>
          <w:rFonts w:ascii="Palatino Linotype" w:hAnsi="Palatino Linotype" w:cs="Arial"/>
          <w:i/>
          <w:sz w:val="22"/>
        </w:rPr>
        <w:t xml:space="preserve"> Se encuentre contenida dentro de las investigaciones de hechos que la Ley señale como delitos y se tramiten ante el Ministerio Público;</w:t>
      </w:r>
    </w:p>
    <w:p w14:paraId="5B7870BC"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X.</w:t>
      </w:r>
      <w:r w:rsidRPr="001D57D4">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689C665"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i/>
          <w:sz w:val="22"/>
        </w:rPr>
        <w:t xml:space="preserve">Cuando se trate de información sobre estudios y proyectos cuya divulgación pueda causar daños al interés del Estado o suponga un riesgo para su realización, siempre que </w:t>
      </w:r>
      <w:r w:rsidRPr="001D57D4">
        <w:rPr>
          <w:rFonts w:ascii="Palatino Linotype" w:hAnsi="Palatino Linotype" w:cs="Arial"/>
          <w:i/>
          <w:sz w:val="22"/>
        </w:rPr>
        <w:lastRenderedPageBreak/>
        <w:t>esté directamente relacionado con procesos o procedimientos administrativos o judiciales que no hayan quedado firmes; y</w:t>
      </w:r>
    </w:p>
    <w:p w14:paraId="5E8CF252"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14:paraId="603927A0" w14:textId="77777777" w:rsidR="00A34B9D" w:rsidRPr="001D57D4" w:rsidRDefault="00A34B9D" w:rsidP="001D57D4">
      <w:pPr>
        <w:ind w:left="709" w:right="757"/>
        <w:contextualSpacing/>
        <w:jc w:val="both"/>
        <w:rPr>
          <w:rFonts w:ascii="Palatino Linotype" w:hAnsi="Palatino Linotype" w:cs="Arial"/>
          <w:i/>
          <w:sz w:val="22"/>
        </w:rPr>
      </w:pPr>
    </w:p>
    <w:p w14:paraId="0BB21E4A" w14:textId="77777777" w:rsidR="00A34B9D" w:rsidRPr="001D57D4" w:rsidRDefault="00A34B9D" w:rsidP="001D57D4">
      <w:pPr>
        <w:ind w:left="709" w:right="757"/>
        <w:contextualSpacing/>
        <w:jc w:val="both"/>
        <w:rPr>
          <w:rFonts w:ascii="Palatino Linotype" w:hAnsi="Palatino Linotype" w:cs="Arial"/>
          <w:b/>
          <w:i/>
          <w:sz w:val="22"/>
        </w:rPr>
      </w:pPr>
      <w:r w:rsidRPr="001D57D4">
        <w:rPr>
          <w:rFonts w:ascii="Palatino Linotype" w:hAnsi="Palatino Linotype" w:cs="Arial"/>
          <w:b/>
          <w:i/>
          <w:sz w:val="22"/>
        </w:rPr>
        <w:t>Artículo 141</w:t>
      </w:r>
      <w:r w:rsidRPr="001D57D4">
        <w:rPr>
          <w:rFonts w:ascii="Palatino Linotype" w:hAnsi="Palatino Linotype" w:cs="Arial"/>
          <w:i/>
          <w:sz w:val="22"/>
        </w:rPr>
        <w:t xml:space="preserve">. </w:t>
      </w:r>
      <w:r w:rsidRPr="001D57D4">
        <w:rPr>
          <w:rFonts w:ascii="Palatino Linotype" w:hAnsi="Palatino Linotype" w:cs="Arial"/>
          <w:b/>
          <w:i/>
          <w:sz w:val="22"/>
        </w:rPr>
        <w:t>Las causales de reserva previstas en este Capítulo se deberán fundar y motivar, a través de la aplicación de la prueba de daño a la que se hace referencia en el presente Título.”(Sic)</w:t>
      </w:r>
    </w:p>
    <w:p w14:paraId="4B40A558" w14:textId="77777777" w:rsidR="00A34B9D" w:rsidRPr="001D57D4" w:rsidRDefault="00A34B9D" w:rsidP="001D57D4">
      <w:pPr>
        <w:contextualSpacing/>
        <w:jc w:val="both"/>
        <w:rPr>
          <w:rFonts w:ascii="Palatino Linotype" w:hAnsi="Palatino Linotype" w:cs="Arial"/>
          <w:b/>
          <w:i/>
        </w:rPr>
      </w:pPr>
    </w:p>
    <w:p w14:paraId="0A13FE1C" w14:textId="77777777" w:rsidR="00A34B9D" w:rsidRPr="001D57D4" w:rsidRDefault="00A34B9D" w:rsidP="001D57D4">
      <w:pPr>
        <w:spacing w:line="360" w:lineRule="auto"/>
        <w:jc w:val="both"/>
        <w:rPr>
          <w:rFonts w:ascii="Palatino Linotype" w:hAnsi="Palatino Linotype"/>
        </w:rPr>
      </w:pPr>
      <w:r w:rsidRPr="001D57D4">
        <w:rPr>
          <w:rFonts w:ascii="Palatino Linotype" w:hAnsi="Palatino Linotype"/>
        </w:rPr>
        <w:t xml:space="preserve">Ahora bien, el reservar la información, implica el reconocimiento por parte del </w:t>
      </w:r>
      <w:r w:rsidRPr="001D57D4">
        <w:rPr>
          <w:rFonts w:ascii="Palatino Linotype" w:hAnsi="Palatino Linotype" w:cs="Arial"/>
          <w:b/>
        </w:rPr>
        <w:t>SUJETO OBLIGADO</w:t>
      </w:r>
      <w:r w:rsidRPr="001D57D4">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3C08232E" w14:textId="77777777" w:rsidR="00A34B9D" w:rsidRPr="001D57D4" w:rsidRDefault="00A34B9D" w:rsidP="001D57D4">
      <w:pPr>
        <w:spacing w:line="360" w:lineRule="auto"/>
        <w:jc w:val="both"/>
        <w:rPr>
          <w:rFonts w:ascii="Palatino Linotype" w:hAnsi="Palatino Linotype"/>
        </w:rPr>
      </w:pPr>
    </w:p>
    <w:p w14:paraId="1F3A7F98" w14:textId="77777777" w:rsidR="00A34B9D" w:rsidRPr="001D57D4" w:rsidRDefault="00A34B9D" w:rsidP="001D57D4">
      <w:pPr>
        <w:spacing w:line="360" w:lineRule="auto"/>
        <w:jc w:val="both"/>
        <w:rPr>
          <w:rFonts w:ascii="Palatino Linotype" w:hAnsi="Palatino Linotype"/>
        </w:rPr>
      </w:pPr>
      <w:r w:rsidRPr="001D57D4">
        <w:rPr>
          <w:rFonts w:ascii="Palatino Linotype" w:hAnsi="Palatino Linotype"/>
        </w:rPr>
        <w:t>Siendo pertinente aclarar que, la información clasificada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223DA291" w14:textId="77777777" w:rsidR="00A34B9D" w:rsidRPr="001D57D4" w:rsidRDefault="00A34B9D" w:rsidP="001D57D4">
      <w:pPr>
        <w:spacing w:line="360" w:lineRule="auto"/>
        <w:jc w:val="both"/>
        <w:rPr>
          <w:rFonts w:ascii="Palatino Linotype" w:hAnsi="Palatino Linotype"/>
        </w:rPr>
      </w:pPr>
    </w:p>
    <w:p w14:paraId="31925EEE" w14:textId="77777777" w:rsidR="00A34B9D" w:rsidRPr="001D57D4" w:rsidRDefault="00A34B9D" w:rsidP="001D57D4">
      <w:pPr>
        <w:spacing w:line="360" w:lineRule="auto"/>
        <w:jc w:val="both"/>
        <w:rPr>
          <w:rFonts w:ascii="Palatino Linotype" w:hAnsi="Palatino Linotype"/>
          <w:bCs/>
        </w:rPr>
      </w:pPr>
      <w:r w:rsidRPr="001D57D4">
        <w:rPr>
          <w:rFonts w:ascii="Palatino Linotype" w:hAnsi="Palatino Linotype"/>
          <w:bCs/>
        </w:rPr>
        <w:t xml:space="preserve">Por todo lo anterior, la reserva de la información implica una clasificación, la cual debe entenderse como el proceso mediante el cual </w:t>
      </w:r>
      <w:r w:rsidRPr="001D57D4">
        <w:rPr>
          <w:rFonts w:ascii="Palatino Linotype" w:hAnsi="Palatino Linotype"/>
          <w:b/>
          <w:bCs/>
        </w:rPr>
        <w:t>EL SUJETO OBLIGADO</w:t>
      </w:r>
      <w:r w:rsidRPr="001D57D4">
        <w:rPr>
          <w:rFonts w:ascii="Palatino Linotype" w:hAnsi="Palatino Linotype"/>
          <w:bCs/>
        </w:rPr>
        <w:t xml:space="preserve"> determina que la información en su poder </w:t>
      </w:r>
      <w:proofErr w:type="spellStart"/>
      <w:r w:rsidRPr="001D57D4">
        <w:rPr>
          <w:rFonts w:ascii="Palatino Linotype" w:hAnsi="Palatino Linotype"/>
          <w:bCs/>
        </w:rPr>
        <w:t>actualiza</w:t>
      </w:r>
      <w:proofErr w:type="spellEnd"/>
      <w:r w:rsidRPr="001D57D4">
        <w:rPr>
          <w:rFonts w:ascii="Palatino Linotype" w:hAnsi="Palatino Linotype"/>
          <w:bCs/>
        </w:rPr>
        <w:t xml:space="preserve"> alguno de los supuestos conforme a las normas aplicables.</w:t>
      </w:r>
    </w:p>
    <w:p w14:paraId="5750AA86" w14:textId="77777777" w:rsidR="00A34B9D" w:rsidRPr="001D57D4" w:rsidRDefault="00A34B9D" w:rsidP="001D57D4">
      <w:pPr>
        <w:spacing w:line="360" w:lineRule="auto"/>
        <w:jc w:val="both"/>
        <w:rPr>
          <w:rFonts w:ascii="Palatino Linotype" w:hAnsi="Palatino Linotype"/>
          <w:bCs/>
        </w:rPr>
      </w:pPr>
    </w:p>
    <w:p w14:paraId="4CAABD42" w14:textId="77777777" w:rsidR="00A34B9D" w:rsidRPr="001D57D4" w:rsidRDefault="00A34B9D" w:rsidP="001D57D4">
      <w:pPr>
        <w:spacing w:line="360" w:lineRule="auto"/>
        <w:jc w:val="both"/>
        <w:rPr>
          <w:rFonts w:ascii="Palatino Linotype" w:hAnsi="Palatino Linotype"/>
        </w:rPr>
      </w:pPr>
      <w:r w:rsidRPr="001D57D4">
        <w:rPr>
          <w:rFonts w:ascii="Palatino Linotype" w:hAnsi="Palatino Linotype"/>
        </w:rPr>
        <w:lastRenderedPageBreak/>
        <w:t xml:space="preserve">En tal virtud, conforme al artículo 49, fracción VIII, de la </w:t>
      </w:r>
      <w:r w:rsidRPr="001D57D4">
        <w:rPr>
          <w:rFonts w:ascii="Palatino Linotype" w:hAnsi="Palatino Linotype" w:cs="Arial"/>
        </w:rPr>
        <w:t>Ley de Transparencia y Acceso a la Información Pública del Estado de México y Municipios</w:t>
      </w:r>
      <w:r w:rsidRPr="001D57D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1D57D4">
        <w:rPr>
          <w:rFonts w:ascii="Palatino Linotype" w:hAnsi="Palatino Linotype"/>
          <w:b/>
        </w:rPr>
        <w:t>SUJETO OBLIGADO</w:t>
      </w:r>
      <w:r w:rsidRPr="001D57D4">
        <w:rPr>
          <w:rFonts w:ascii="Palatino Linotype" w:hAnsi="Palatino Linotype"/>
        </w:rPr>
        <w:t xml:space="preserve"> a concluir que el caso particular se ajusta al supuesto previsto por la norma legal invocada como fundamento; siendo que, además, </w:t>
      </w:r>
      <w:r w:rsidRPr="001D57D4">
        <w:rPr>
          <w:rFonts w:ascii="Palatino Linotype" w:hAnsi="Palatino Linotype"/>
          <w:b/>
        </w:rPr>
        <w:t>EL SUJETO OBLIGADO</w:t>
      </w:r>
      <w:r w:rsidRPr="001D57D4">
        <w:rPr>
          <w:rFonts w:ascii="Palatino Linotype" w:hAnsi="Palatino Linotype"/>
        </w:rPr>
        <w:t xml:space="preserve"> debe, en todo momento, aplicar una prueba de daño.</w:t>
      </w:r>
    </w:p>
    <w:p w14:paraId="4D2B5A01" w14:textId="77777777" w:rsidR="00A34B9D" w:rsidRPr="001D57D4" w:rsidRDefault="00A34B9D" w:rsidP="001D57D4">
      <w:pPr>
        <w:spacing w:line="360" w:lineRule="auto"/>
        <w:jc w:val="both"/>
        <w:rPr>
          <w:rFonts w:ascii="Palatino Linotype" w:hAnsi="Palatino Linotype"/>
        </w:rPr>
      </w:pPr>
    </w:p>
    <w:p w14:paraId="1328A7B7" w14:textId="77777777" w:rsidR="00A34B9D" w:rsidRPr="001D57D4" w:rsidRDefault="00A34B9D" w:rsidP="001D57D4">
      <w:pPr>
        <w:spacing w:line="360" w:lineRule="auto"/>
        <w:jc w:val="both"/>
        <w:rPr>
          <w:rFonts w:ascii="Palatino Linotype" w:hAnsi="Palatino Linotype"/>
        </w:rPr>
      </w:pPr>
      <w:r w:rsidRPr="001D57D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9B6D8AC" w14:textId="77777777" w:rsidR="00A34B9D" w:rsidRPr="001D57D4" w:rsidRDefault="00A34B9D" w:rsidP="001D57D4">
      <w:pPr>
        <w:spacing w:line="360" w:lineRule="auto"/>
        <w:jc w:val="both"/>
        <w:rPr>
          <w:rFonts w:ascii="Palatino Linotype" w:hAnsi="Palatino Linotype"/>
        </w:rPr>
      </w:pPr>
    </w:p>
    <w:p w14:paraId="16A2F303" w14:textId="77777777" w:rsidR="00A34B9D" w:rsidRPr="001D57D4" w:rsidRDefault="00A34B9D" w:rsidP="001D57D4">
      <w:pPr>
        <w:spacing w:line="360" w:lineRule="auto"/>
        <w:jc w:val="both"/>
        <w:rPr>
          <w:rFonts w:ascii="Palatino Linotype" w:hAnsi="Palatino Linotype"/>
        </w:rPr>
      </w:pPr>
      <w:r w:rsidRPr="001D57D4">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4517A3C" w14:textId="77777777" w:rsidR="00A34B9D" w:rsidRPr="001D57D4" w:rsidRDefault="00A34B9D" w:rsidP="001D57D4">
      <w:pPr>
        <w:spacing w:line="360" w:lineRule="auto"/>
        <w:jc w:val="both"/>
        <w:rPr>
          <w:rFonts w:ascii="Palatino Linotype" w:hAnsi="Palatino Linotype"/>
        </w:rPr>
      </w:pPr>
    </w:p>
    <w:p w14:paraId="44CAEF7E" w14:textId="77777777" w:rsidR="00A34B9D" w:rsidRPr="001D57D4" w:rsidRDefault="00A34B9D" w:rsidP="001D57D4">
      <w:pPr>
        <w:numPr>
          <w:ilvl w:val="0"/>
          <w:numId w:val="3"/>
        </w:numPr>
        <w:spacing w:line="360" w:lineRule="auto"/>
        <w:ind w:left="1429"/>
        <w:jc w:val="both"/>
        <w:rPr>
          <w:rFonts w:ascii="Palatino Linotype" w:hAnsi="Palatino Linotype"/>
        </w:rPr>
      </w:pPr>
      <w:r w:rsidRPr="001D57D4">
        <w:rPr>
          <w:rFonts w:ascii="Palatino Linotype" w:hAnsi="Palatino Linotype"/>
        </w:rPr>
        <w:t>Se reciba una solicitud de acceso a la información.</w:t>
      </w:r>
    </w:p>
    <w:p w14:paraId="3852883F" w14:textId="77777777" w:rsidR="00A34B9D" w:rsidRPr="001D57D4" w:rsidRDefault="00A34B9D" w:rsidP="001D57D4">
      <w:pPr>
        <w:numPr>
          <w:ilvl w:val="0"/>
          <w:numId w:val="3"/>
        </w:numPr>
        <w:spacing w:line="360" w:lineRule="auto"/>
        <w:ind w:left="1429"/>
        <w:jc w:val="both"/>
        <w:rPr>
          <w:rFonts w:ascii="Palatino Linotype" w:hAnsi="Palatino Linotype"/>
        </w:rPr>
      </w:pPr>
      <w:r w:rsidRPr="001D57D4">
        <w:rPr>
          <w:rFonts w:ascii="Palatino Linotype" w:hAnsi="Palatino Linotype"/>
        </w:rPr>
        <w:t>Se determine mediante resolución de autoridad competente.</w:t>
      </w:r>
    </w:p>
    <w:p w14:paraId="514199B3" w14:textId="77777777" w:rsidR="00A34B9D" w:rsidRPr="001D57D4" w:rsidRDefault="00A34B9D" w:rsidP="001D57D4">
      <w:pPr>
        <w:numPr>
          <w:ilvl w:val="0"/>
          <w:numId w:val="3"/>
        </w:numPr>
        <w:spacing w:line="360" w:lineRule="auto"/>
        <w:ind w:left="1429"/>
        <w:jc w:val="both"/>
        <w:rPr>
          <w:rFonts w:ascii="Palatino Linotype" w:hAnsi="Palatino Linotype"/>
        </w:rPr>
      </w:pPr>
      <w:r w:rsidRPr="001D57D4">
        <w:rPr>
          <w:rFonts w:ascii="Palatino Linotype" w:hAnsi="Palatino Linotype"/>
        </w:rPr>
        <w:t>Se generen versiones públicas para dar cumplimiento a las obligaciones de transparencia previstas en la Ley.</w:t>
      </w:r>
    </w:p>
    <w:p w14:paraId="5CB24670" w14:textId="77777777" w:rsidR="00A34B9D" w:rsidRPr="001D57D4" w:rsidRDefault="00A34B9D" w:rsidP="001D57D4">
      <w:pPr>
        <w:spacing w:line="360" w:lineRule="auto"/>
        <w:ind w:left="1429"/>
        <w:jc w:val="both"/>
        <w:rPr>
          <w:rFonts w:ascii="Palatino Linotype" w:hAnsi="Palatino Linotype"/>
        </w:rPr>
      </w:pPr>
    </w:p>
    <w:p w14:paraId="3E450B6F" w14:textId="04BC74AB" w:rsidR="00A34B9D" w:rsidRPr="001D57D4" w:rsidRDefault="00A34B9D" w:rsidP="001D57D4">
      <w:pPr>
        <w:spacing w:line="360" w:lineRule="auto"/>
        <w:jc w:val="both"/>
        <w:rPr>
          <w:rFonts w:ascii="Palatino Linotype" w:hAnsi="Palatino Linotype"/>
        </w:rPr>
      </w:pPr>
      <w:r w:rsidRPr="001D57D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CD464CA" w14:textId="77777777" w:rsidR="00B41133" w:rsidRPr="001D57D4" w:rsidRDefault="00B41133" w:rsidP="001D57D4">
      <w:pPr>
        <w:spacing w:line="360" w:lineRule="auto"/>
        <w:jc w:val="both"/>
        <w:rPr>
          <w:rFonts w:ascii="Palatino Linotype" w:hAnsi="Palatino Linotype"/>
        </w:rPr>
      </w:pPr>
    </w:p>
    <w:p w14:paraId="79D46581" w14:textId="77777777" w:rsidR="00A34B9D" w:rsidRPr="001D57D4" w:rsidRDefault="00A34B9D" w:rsidP="001D57D4">
      <w:pPr>
        <w:spacing w:line="360" w:lineRule="auto"/>
        <w:jc w:val="both"/>
        <w:rPr>
          <w:rFonts w:ascii="Palatino Linotype" w:hAnsi="Palatino Linotype"/>
        </w:rPr>
      </w:pPr>
      <w:r w:rsidRPr="001D57D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447114E" w14:textId="77777777" w:rsidR="00A34B9D" w:rsidRPr="001D57D4" w:rsidRDefault="00A34B9D" w:rsidP="001D57D4">
      <w:pPr>
        <w:spacing w:line="360" w:lineRule="auto"/>
        <w:jc w:val="both"/>
        <w:rPr>
          <w:rFonts w:ascii="Palatino Linotype" w:hAnsi="Palatino Linotype"/>
        </w:rPr>
      </w:pPr>
    </w:p>
    <w:p w14:paraId="156FB887" w14:textId="77777777" w:rsidR="00A34B9D" w:rsidRPr="001D57D4" w:rsidRDefault="00A34B9D" w:rsidP="001D57D4">
      <w:pPr>
        <w:numPr>
          <w:ilvl w:val="0"/>
          <w:numId w:val="4"/>
        </w:numPr>
        <w:spacing w:line="360" w:lineRule="auto"/>
        <w:ind w:left="1429"/>
        <w:jc w:val="both"/>
        <w:rPr>
          <w:rFonts w:ascii="Palatino Linotype" w:hAnsi="Palatino Linotype"/>
        </w:rPr>
      </w:pPr>
      <w:r w:rsidRPr="001D57D4">
        <w:rPr>
          <w:rFonts w:ascii="Palatino Linotype" w:hAnsi="Palatino Linotype"/>
        </w:rPr>
        <w:t>La divulgación de la información representa un riesgo real, demostrable e identificable del perjuicio significativo al interés público o a la seguridad pública;</w:t>
      </w:r>
    </w:p>
    <w:p w14:paraId="7A06C8B0" w14:textId="77777777" w:rsidR="00A34B9D" w:rsidRPr="001D57D4" w:rsidRDefault="00A34B9D" w:rsidP="001D57D4">
      <w:pPr>
        <w:numPr>
          <w:ilvl w:val="0"/>
          <w:numId w:val="4"/>
        </w:numPr>
        <w:spacing w:line="360" w:lineRule="auto"/>
        <w:ind w:left="1429"/>
        <w:jc w:val="both"/>
        <w:rPr>
          <w:rFonts w:ascii="Palatino Linotype" w:hAnsi="Palatino Linotype"/>
        </w:rPr>
      </w:pPr>
      <w:r w:rsidRPr="001D57D4">
        <w:rPr>
          <w:rFonts w:ascii="Palatino Linotype" w:hAnsi="Palatino Linotype"/>
        </w:rPr>
        <w:t>El riesgo de perjuicio que supondría la divulgación supera el interés público general de que se difunda; y</w:t>
      </w:r>
    </w:p>
    <w:p w14:paraId="714E0A3C" w14:textId="77777777" w:rsidR="00A34B9D" w:rsidRPr="001D57D4" w:rsidRDefault="00A34B9D" w:rsidP="001D57D4">
      <w:pPr>
        <w:numPr>
          <w:ilvl w:val="0"/>
          <w:numId w:val="4"/>
        </w:numPr>
        <w:spacing w:line="360" w:lineRule="auto"/>
        <w:ind w:left="1429"/>
        <w:jc w:val="both"/>
        <w:rPr>
          <w:rFonts w:ascii="Palatino Linotype" w:hAnsi="Palatino Linotype"/>
        </w:rPr>
      </w:pPr>
      <w:r w:rsidRPr="001D57D4">
        <w:rPr>
          <w:rFonts w:ascii="Palatino Linotype" w:hAnsi="Palatino Linotype"/>
        </w:rPr>
        <w:t xml:space="preserve">La limitación se adecua al principio de proporcionalidad y representa el medio menos restrictivo disponible para evitar el perjuicio. </w:t>
      </w:r>
    </w:p>
    <w:p w14:paraId="59EB9B34" w14:textId="77777777" w:rsidR="00A34B9D" w:rsidRPr="001D57D4" w:rsidRDefault="00A34B9D" w:rsidP="001D57D4">
      <w:pPr>
        <w:spacing w:line="360" w:lineRule="auto"/>
        <w:ind w:left="1429"/>
        <w:jc w:val="both"/>
        <w:rPr>
          <w:rFonts w:ascii="Palatino Linotype" w:hAnsi="Palatino Linotype"/>
        </w:rPr>
      </w:pPr>
    </w:p>
    <w:p w14:paraId="3EADFA06" w14:textId="77777777" w:rsidR="00A34B9D" w:rsidRPr="001D57D4" w:rsidRDefault="00A34B9D" w:rsidP="001D57D4">
      <w:pPr>
        <w:spacing w:line="360" w:lineRule="auto"/>
        <w:jc w:val="both"/>
        <w:rPr>
          <w:rFonts w:ascii="Palatino Linotype" w:eastAsia="Calibri" w:hAnsi="Palatino Linotype" w:cs="Arial"/>
        </w:rPr>
      </w:pPr>
      <w:r w:rsidRPr="001D57D4">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335D93BE" w14:textId="77777777" w:rsidR="00A34B9D" w:rsidRPr="001D57D4" w:rsidRDefault="00A34B9D" w:rsidP="001D57D4">
      <w:pPr>
        <w:spacing w:line="360" w:lineRule="auto"/>
        <w:jc w:val="both"/>
        <w:rPr>
          <w:rFonts w:ascii="Palatino Linotype" w:eastAsia="Calibri" w:hAnsi="Palatino Linotype" w:cs="Arial"/>
        </w:rPr>
      </w:pPr>
    </w:p>
    <w:p w14:paraId="27F9B884" w14:textId="77777777" w:rsidR="00A34B9D" w:rsidRPr="001D57D4" w:rsidRDefault="00A34B9D" w:rsidP="001D57D4">
      <w:pPr>
        <w:spacing w:line="360" w:lineRule="auto"/>
        <w:jc w:val="both"/>
        <w:rPr>
          <w:rFonts w:ascii="Palatino Linotype" w:eastAsia="Calibri" w:hAnsi="Palatino Linotype" w:cs="Arial"/>
          <w:bCs/>
        </w:rPr>
      </w:pPr>
      <w:r w:rsidRPr="001D57D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1D57D4">
        <w:rPr>
          <w:rFonts w:ascii="Palatino Linotype" w:eastAsia="Arial Unicode MS" w:hAnsi="Palatino Linotype" w:cs="Arial"/>
        </w:rPr>
        <w:t>,</w:t>
      </w:r>
      <w:r w:rsidRPr="001D57D4">
        <w:rPr>
          <w:rFonts w:ascii="Palatino Linotype" w:eastAsia="Calibri" w:hAnsi="Palatino Linotype" w:cs="Arial"/>
          <w:bCs/>
        </w:rPr>
        <w:t xml:space="preserve"> que literalmente señala:</w:t>
      </w:r>
    </w:p>
    <w:p w14:paraId="530F325C" w14:textId="5788EABC" w:rsidR="00A34B9D" w:rsidRPr="001D57D4" w:rsidRDefault="00A34B9D" w:rsidP="001D57D4">
      <w:pPr>
        <w:jc w:val="both"/>
        <w:rPr>
          <w:rFonts w:ascii="Palatino Linotype" w:eastAsia="Calibri" w:hAnsi="Palatino Linotype" w:cs="Arial"/>
        </w:rPr>
      </w:pPr>
    </w:p>
    <w:p w14:paraId="090BE145" w14:textId="77777777" w:rsidR="00A34B9D" w:rsidRPr="001D57D4" w:rsidRDefault="00A34B9D" w:rsidP="001D57D4">
      <w:pPr>
        <w:ind w:left="851" w:right="899"/>
        <w:jc w:val="both"/>
        <w:rPr>
          <w:rFonts w:ascii="Palatino Linotype" w:eastAsia="Calibri" w:hAnsi="Palatino Linotype"/>
          <w:i/>
          <w:sz w:val="22"/>
          <w:szCs w:val="22"/>
        </w:rPr>
      </w:pPr>
      <w:r w:rsidRPr="001D57D4">
        <w:rPr>
          <w:rFonts w:ascii="Palatino Linotype" w:eastAsia="Calibri" w:hAnsi="Palatino Linotype"/>
          <w:i/>
          <w:sz w:val="22"/>
          <w:szCs w:val="22"/>
        </w:rPr>
        <w:t>“</w:t>
      </w:r>
      <w:r w:rsidRPr="001D57D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D57D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D57D4">
        <w:rPr>
          <w:rFonts w:ascii="Palatino Linotype" w:eastAsia="Calibri" w:hAnsi="Palatino Linotype"/>
          <w:i/>
          <w:sz w:val="22"/>
          <w:szCs w:val="22"/>
        </w:rPr>
        <w:t>officio</w:t>
      </w:r>
      <w:proofErr w:type="spellEnd"/>
      <w:r w:rsidRPr="001D57D4">
        <w:rPr>
          <w:rFonts w:ascii="Palatino Linotype" w:eastAsia="Calibri" w:hAnsi="Palatino Linotype"/>
          <w:i/>
          <w:sz w:val="22"/>
          <w:szCs w:val="22"/>
        </w:rPr>
        <w:t>, con el propósito de obtener una versión que sea pública para la parte interesada.” (</w:t>
      </w:r>
      <w:proofErr w:type="gramStart"/>
      <w:r w:rsidRPr="001D57D4">
        <w:rPr>
          <w:rFonts w:ascii="Palatino Linotype" w:eastAsia="Calibri" w:hAnsi="Palatino Linotype"/>
          <w:i/>
          <w:sz w:val="22"/>
          <w:szCs w:val="22"/>
        </w:rPr>
        <w:t>sic</w:t>
      </w:r>
      <w:proofErr w:type="gramEnd"/>
      <w:r w:rsidRPr="001D57D4">
        <w:rPr>
          <w:rFonts w:ascii="Palatino Linotype" w:eastAsia="Calibri" w:hAnsi="Palatino Linotype"/>
          <w:i/>
          <w:sz w:val="22"/>
          <w:szCs w:val="22"/>
        </w:rPr>
        <w:t>)</w:t>
      </w:r>
    </w:p>
    <w:p w14:paraId="27CDD27C" w14:textId="77777777" w:rsidR="00A34B9D" w:rsidRPr="001D57D4" w:rsidRDefault="00A34B9D" w:rsidP="001D57D4">
      <w:pPr>
        <w:ind w:left="851" w:right="899"/>
        <w:jc w:val="both"/>
        <w:rPr>
          <w:rFonts w:ascii="Palatino Linotype" w:eastAsia="Calibri" w:hAnsi="Palatino Linotype" w:cs="Arial"/>
          <w:i/>
          <w:sz w:val="22"/>
          <w:szCs w:val="22"/>
        </w:rPr>
      </w:pPr>
    </w:p>
    <w:p w14:paraId="1E109E4A" w14:textId="77777777" w:rsidR="00A34B9D" w:rsidRPr="001D57D4" w:rsidRDefault="00A34B9D" w:rsidP="001D57D4">
      <w:pPr>
        <w:spacing w:line="360" w:lineRule="auto"/>
        <w:jc w:val="both"/>
        <w:rPr>
          <w:rFonts w:ascii="Palatino Linotype" w:hAnsi="Palatino Linotype"/>
        </w:rPr>
      </w:pPr>
      <w:r w:rsidRPr="001D57D4">
        <w:rPr>
          <w:rFonts w:ascii="Palatino Linotype" w:hAnsi="Palatino Linotype"/>
        </w:rPr>
        <w:t>Prueba de daño, que cobra relevancia puesto que sí ésta no arroja resultados contundentes sobre un posible peligro, deberá de publicarse la información.</w:t>
      </w:r>
    </w:p>
    <w:p w14:paraId="7E953C0B" w14:textId="77777777" w:rsidR="00A34B9D" w:rsidRPr="001D57D4" w:rsidRDefault="00A34B9D" w:rsidP="001D57D4">
      <w:pPr>
        <w:spacing w:line="360" w:lineRule="auto"/>
        <w:jc w:val="both"/>
        <w:rPr>
          <w:rFonts w:ascii="Palatino Linotype" w:hAnsi="Palatino Linotype"/>
        </w:rPr>
      </w:pPr>
    </w:p>
    <w:p w14:paraId="3E2D76EB" w14:textId="77777777" w:rsidR="00A34B9D" w:rsidRPr="001D57D4" w:rsidRDefault="00A34B9D" w:rsidP="001D57D4">
      <w:pPr>
        <w:spacing w:line="360" w:lineRule="auto"/>
        <w:jc w:val="both"/>
        <w:rPr>
          <w:rFonts w:ascii="Palatino Linotype" w:hAnsi="Palatino Linotype"/>
        </w:rPr>
      </w:pPr>
      <w:r w:rsidRPr="001D57D4">
        <w:rPr>
          <w:rFonts w:ascii="Palatino Linotype" w:hAnsi="Palatino Linotype"/>
        </w:rPr>
        <w:lastRenderedPageBreak/>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7137F833" w14:textId="77777777" w:rsidR="00A34B9D" w:rsidRPr="001D57D4" w:rsidRDefault="00A34B9D" w:rsidP="001D57D4">
      <w:pPr>
        <w:spacing w:line="360" w:lineRule="auto"/>
        <w:jc w:val="both"/>
        <w:rPr>
          <w:rFonts w:ascii="Palatino Linotype" w:hAnsi="Palatino Linotype"/>
        </w:rPr>
      </w:pPr>
    </w:p>
    <w:p w14:paraId="0B39ACC6" w14:textId="77777777" w:rsidR="00A34B9D" w:rsidRPr="001D57D4" w:rsidRDefault="00A34B9D" w:rsidP="001D57D4">
      <w:pPr>
        <w:spacing w:line="360" w:lineRule="auto"/>
        <w:jc w:val="both"/>
        <w:rPr>
          <w:rFonts w:ascii="Palatino Linotype" w:hAnsi="Palatino Linotype"/>
        </w:rPr>
      </w:pPr>
      <w:r w:rsidRPr="001D57D4">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0A68C5A8" w14:textId="77777777" w:rsidR="00B41133" w:rsidRPr="001D57D4" w:rsidRDefault="00B41133" w:rsidP="001D57D4">
      <w:pPr>
        <w:spacing w:line="360" w:lineRule="auto"/>
        <w:jc w:val="both"/>
        <w:rPr>
          <w:rFonts w:ascii="Palatino Linotype" w:hAnsi="Palatino Linotype"/>
        </w:rPr>
      </w:pPr>
    </w:p>
    <w:p w14:paraId="3EA5DF4D" w14:textId="140E79F1" w:rsidR="00A34B9D" w:rsidRPr="001D57D4" w:rsidRDefault="00A34B9D" w:rsidP="001D57D4">
      <w:pPr>
        <w:spacing w:line="360" w:lineRule="auto"/>
        <w:jc w:val="both"/>
        <w:rPr>
          <w:rFonts w:ascii="Palatino Linotype" w:hAnsi="Palatino Linotype"/>
        </w:rPr>
      </w:pPr>
      <w:r w:rsidRPr="001D57D4">
        <w:rPr>
          <w:rFonts w:ascii="Palatino Linotype" w:hAnsi="Palatino Linotype"/>
        </w:rPr>
        <w:t xml:space="preserve">De este modo, es necesario que </w:t>
      </w:r>
      <w:r w:rsidRPr="001D57D4">
        <w:rPr>
          <w:rFonts w:ascii="Palatino Linotype" w:hAnsi="Palatino Linotype"/>
          <w:b/>
        </w:rPr>
        <w:t>EL SUJETO OBLIGADO</w:t>
      </w:r>
      <w:r w:rsidRPr="001D57D4">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7C746FBA" w14:textId="77777777" w:rsidR="00A34B9D" w:rsidRPr="001D57D4" w:rsidRDefault="00A34B9D" w:rsidP="001D57D4">
      <w:pPr>
        <w:spacing w:line="360" w:lineRule="auto"/>
        <w:jc w:val="both"/>
        <w:rPr>
          <w:rFonts w:ascii="Palatino Linotype" w:hAnsi="Palatino Linotype"/>
        </w:rPr>
      </w:pPr>
    </w:p>
    <w:p w14:paraId="19EF1BD9" w14:textId="77777777" w:rsidR="00A34B9D" w:rsidRPr="001D57D4" w:rsidRDefault="00A34B9D" w:rsidP="001D57D4">
      <w:pPr>
        <w:spacing w:line="360" w:lineRule="auto"/>
        <w:jc w:val="both"/>
        <w:rPr>
          <w:rFonts w:ascii="Palatino Linotype" w:hAnsi="Palatino Linotype"/>
        </w:rPr>
      </w:pPr>
      <w:r w:rsidRPr="001D57D4">
        <w:rPr>
          <w:rFonts w:ascii="Palatino Linotype" w:hAnsi="Palatino Linotype"/>
        </w:rPr>
        <w:t xml:space="preserve">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w:t>
      </w:r>
      <w:r w:rsidRPr="001D57D4">
        <w:rPr>
          <w:rFonts w:ascii="Palatino Linotype" w:hAnsi="Palatino Linotype"/>
        </w:rPr>
        <w:lastRenderedPageBreak/>
        <w:t>otorgue el carácter de reservada, así como especificando las razones o circunstancias especiales que lo llevaron a concluir que el caso particular se ajusta al supuesto previsto por la norma legal invocada como fundamento.</w:t>
      </w:r>
    </w:p>
    <w:p w14:paraId="050C0F41" w14:textId="77777777" w:rsidR="00A34B9D" w:rsidRPr="001D57D4" w:rsidRDefault="00A34B9D" w:rsidP="001D57D4">
      <w:pPr>
        <w:spacing w:line="360" w:lineRule="auto"/>
        <w:jc w:val="both"/>
        <w:rPr>
          <w:rFonts w:ascii="Palatino Linotype" w:hAnsi="Palatino Linotype"/>
        </w:rPr>
      </w:pPr>
    </w:p>
    <w:p w14:paraId="3AB1E5AA" w14:textId="77777777" w:rsidR="00A34B9D" w:rsidRPr="001D57D4" w:rsidRDefault="00A34B9D" w:rsidP="001D57D4">
      <w:pPr>
        <w:spacing w:line="360" w:lineRule="auto"/>
        <w:jc w:val="both"/>
        <w:rPr>
          <w:rFonts w:ascii="Palatino Linotype" w:hAnsi="Palatino Linotype"/>
        </w:rPr>
      </w:pPr>
      <w:r w:rsidRPr="001D57D4">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55C4754F" w14:textId="77777777" w:rsidR="00A34B9D" w:rsidRPr="001D57D4" w:rsidRDefault="00A34B9D" w:rsidP="001D57D4">
      <w:pPr>
        <w:spacing w:line="360" w:lineRule="auto"/>
        <w:jc w:val="both"/>
        <w:rPr>
          <w:rFonts w:ascii="Palatino Linotype" w:hAnsi="Palatino Linotype"/>
        </w:rPr>
      </w:pPr>
    </w:p>
    <w:p w14:paraId="6CD54DA2" w14:textId="77777777" w:rsidR="00A34B9D" w:rsidRPr="001D57D4" w:rsidRDefault="00A34B9D" w:rsidP="001D57D4">
      <w:pPr>
        <w:spacing w:line="360" w:lineRule="auto"/>
        <w:jc w:val="both"/>
        <w:rPr>
          <w:rFonts w:ascii="Palatino Linotype" w:hAnsi="Palatino Linotype" w:cs="Arial"/>
        </w:rPr>
      </w:pPr>
      <w:r w:rsidRPr="001D57D4">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4E103C4F" w14:textId="77777777" w:rsidR="00A34B9D" w:rsidRPr="001D57D4" w:rsidRDefault="00A34B9D" w:rsidP="001D57D4">
      <w:pPr>
        <w:spacing w:line="360" w:lineRule="auto"/>
        <w:jc w:val="both"/>
        <w:rPr>
          <w:rFonts w:ascii="Palatino Linotype" w:hAnsi="Palatino Linotype" w:cs="Arial"/>
        </w:rPr>
      </w:pPr>
    </w:p>
    <w:p w14:paraId="5FE6714C" w14:textId="77777777" w:rsidR="00A34B9D" w:rsidRPr="001D57D4" w:rsidRDefault="00A34B9D" w:rsidP="001D57D4">
      <w:pPr>
        <w:spacing w:line="360" w:lineRule="auto"/>
        <w:jc w:val="both"/>
        <w:rPr>
          <w:rFonts w:ascii="Palatino Linotype" w:hAnsi="Palatino Linotype" w:cs="Arial"/>
        </w:rPr>
      </w:pPr>
      <w:r w:rsidRPr="001D57D4">
        <w:rPr>
          <w:rFonts w:ascii="Palatino Linotype" w:hAnsi="Palatino Linotype" w:cs="Arial"/>
        </w:rPr>
        <w:t>Al respecto, el máximo tribunal del país ha establecido jurisprudencia respecto a qué debe entenderse por fundamentación y motivación, en los siguientes términos:</w:t>
      </w:r>
    </w:p>
    <w:p w14:paraId="26955F35" w14:textId="77777777" w:rsidR="00A34B9D" w:rsidRPr="001D57D4" w:rsidRDefault="00A34B9D" w:rsidP="001D57D4">
      <w:pPr>
        <w:jc w:val="both"/>
        <w:rPr>
          <w:rFonts w:ascii="Palatino Linotype" w:hAnsi="Palatino Linotype" w:cs="Arial"/>
        </w:rPr>
      </w:pPr>
    </w:p>
    <w:p w14:paraId="4B722BA0"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i/>
          <w:sz w:val="22"/>
        </w:rPr>
        <w:t>“</w:t>
      </w:r>
      <w:r w:rsidRPr="001D57D4">
        <w:rPr>
          <w:rFonts w:ascii="Palatino Linotype" w:hAnsi="Palatino Linotype" w:cs="Arial"/>
          <w:b/>
          <w:i/>
          <w:sz w:val="22"/>
        </w:rPr>
        <w:t xml:space="preserve">FUNDAMENTACION Y MOTIVACION. </w:t>
      </w:r>
      <w:r w:rsidRPr="001D57D4">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6007BE1" w14:textId="77777777" w:rsidR="00A34B9D" w:rsidRPr="001D57D4" w:rsidRDefault="00A34B9D" w:rsidP="001D57D4">
      <w:pPr>
        <w:contextualSpacing/>
        <w:jc w:val="both"/>
        <w:rPr>
          <w:rFonts w:ascii="Palatino Linotype" w:hAnsi="Palatino Linotype" w:cs="Arial"/>
          <w:i/>
        </w:rPr>
      </w:pPr>
    </w:p>
    <w:p w14:paraId="0B9D5004" w14:textId="77777777" w:rsidR="00A34B9D" w:rsidRPr="001D57D4" w:rsidRDefault="00A34B9D" w:rsidP="001D57D4">
      <w:pPr>
        <w:spacing w:line="360" w:lineRule="auto"/>
        <w:jc w:val="both"/>
        <w:rPr>
          <w:rFonts w:ascii="Palatino Linotype" w:hAnsi="Palatino Linotype" w:cs="Arial"/>
        </w:rPr>
      </w:pPr>
      <w:r w:rsidRPr="001D57D4">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D1364DF" w14:textId="77777777" w:rsidR="00A34B9D" w:rsidRPr="001D57D4" w:rsidRDefault="00A34B9D" w:rsidP="001D57D4">
      <w:pPr>
        <w:spacing w:line="360" w:lineRule="auto"/>
        <w:jc w:val="both"/>
        <w:rPr>
          <w:rFonts w:ascii="Palatino Linotype" w:hAnsi="Palatino Linotype" w:cs="Arial"/>
        </w:rPr>
      </w:pPr>
    </w:p>
    <w:p w14:paraId="5C119A6C" w14:textId="77777777" w:rsidR="00A34B9D" w:rsidRPr="001D57D4" w:rsidRDefault="00A34B9D" w:rsidP="001D57D4">
      <w:pPr>
        <w:spacing w:line="360" w:lineRule="auto"/>
        <w:jc w:val="both"/>
        <w:rPr>
          <w:rFonts w:ascii="Palatino Linotype" w:hAnsi="Palatino Linotype" w:cs="Arial"/>
        </w:rPr>
      </w:pPr>
      <w:r w:rsidRPr="001D57D4">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A5E1227" w14:textId="77777777" w:rsidR="00A34B9D" w:rsidRPr="001D57D4" w:rsidRDefault="00A34B9D" w:rsidP="001D57D4">
      <w:pPr>
        <w:jc w:val="both"/>
        <w:rPr>
          <w:rFonts w:ascii="Palatino Linotype" w:hAnsi="Palatino Linotype" w:cs="Arial"/>
        </w:rPr>
      </w:pPr>
    </w:p>
    <w:p w14:paraId="75EB31BD" w14:textId="77777777" w:rsidR="00A34B9D" w:rsidRPr="001D57D4" w:rsidRDefault="00A34B9D" w:rsidP="001D57D4">
      <w:pPr>
        <w:ind w:left="709" w:right="757"/>
        <w:contextualSpacing/>
        <w:jc w:val="both"/>
        <w:rPr>
          <w:rFonts w:ascii="Palatino Linotype" w:hAnsi="Palatino Linotype" w:cs="Arial"/>
          <w:i/>
          <w:sz w:val="22"/>
        </w:rPr>
      </w:pPr>
      <w:r w:rsidRPr="001D57D4">
        <w:rPr>
          <w:rFonts w:ascii="Palatino Linotype" w:hAnsi="Palatino Linotype" w:cs="Arial"/>
          <w:b/>
          <w:i/>
          <w:sz w:val="22"/>
        </w:rPr>
        <w:t>“FUNDAMENTACIÓN Y MOTIVACIÓN. EL ASPECTO FORMAL DE LA GARANTÍA Y SU FINALIDAD SE TRADUCEN EN EXPLICAR, JUSTIFICAR, POSIBILITAR LA DEFENSA Y COMUNICAR LA DECISIÓN</w:t>
      </w:r>
      <w:r w:rsidRPr="001D57D4">
        <w:rPr>
          <w:rFonts w:ascii="Palatino Linotype" w:hAnsi="Palatino Linotype" w:cs="Arial"/>
          <w:i/>
          <w:sz w:val="22"/>
        </w:rPr>
        <w:t xml:space="preserve">. El contenido formal de la garantía de legalidad prevista en el artículo 16 constitucional relativa a la </w:t>
      </w:r>
      <w:r w:rsidRPr="001D57D4">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D57D4">
        <w:rPr>
          <w:rFonts w:ascii="Palatino Linotype" w:hAnsi="Palatino Linotype" w:cs="Arial"/>
          <w:i/>
          <w:sz w:val="22"/>
        </w:rPr>
        <w:t xml:space="preserve">. Por tanto, </w:t>
      </w:r>
      <w:r w:rsidRPr="001D57D4">
        <w:rPr>
          <w:rFonts w:ascii="Palatino Linotype" w:hAnsi="Palatino Linotype" w:cs="Arial"/>
          <w:b/>
          <w:i/>
          <w:sz w:val="22"/>
        </w:rPr>
        <w:t>no basta que el acto de autoridad apenas observe una motivación pro forma pero de una manera incongruente, insuficiente o imprecisa</w:t>
      </w:r>
      <w:r w:rsidRPr="001D57D4">
        <w:rPr>
          <w:rFonts w:ascii="Palatino Linotype" w:hAnsi="Palatino Linotype" w:cs="Arial"/>
          <w:i/>
          <w:sz w:val="22"/>
        </w:rPr>
        <w:t>, que impida la finalidad del conocimiento, comprobación y defensa pertinente</w:t>
      </w:r>
      <w:r w:rsidRPr="001D57D4">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D57D4">
        <w:rPr>
          <w:rFonts w:ascii="Palatino Linotype" w:hAnsi="Palatino Linotype" w:cs="Arial"/>
          <w:i/>
          <w:sz w:val="22"/>
        </w:rPr>
        <w:t>.”(Sic)</w:t>
      </w:r>
    </w:p>
    <w:p w14:paraId="5AE01C1D" w14:textId="77777777" w:rsidR="00A34B9D" w:rsidRPr="001D57D4" w:rsidRDefault="00A34B9D" w:rsidP="001D57D4">
      <w:pPr>
        <w:contextualSpacing/>
        <w:jc w:val="both"/>
        <w:rPr>
          <w:rFonts w:ascii="Palatino Linotype" w:hAnsi="Palatino Linotype" w:cs="Arial"/>
          <w:i/>
        </w:rPr>
      </w:pPr>
    </w:p>
    <w:p w14:paraId="62A3797F" w14:textId="77777777" w:rsidR="00A34B9D" w:rsidRPr="001D57D4" w:rsidRDefault="00A34B9D" w:rsidP="001D57D4">
      <w:pPr>
        <w:spacing w:line="360" w:lineRule="auto"/>
        <w:jc w:val="both"/>
        <w:rPr>
          <w:rFonts w:ascii="Palatino Linotype" w:hAnsi="Palatino Linotype" w:cs="Arial"/>
        </w:rPr>
      </w:pPr>
      <w:r w:rsidRPr="001D57D4">
        <w:rPr>
          <w:rFonts w:ascii="Palatino Linotype" w:hAnsi="Palatino Linotype" w:cs="Arial"/>
        </w:rPr>
        <w:t>Conforme a lo anterior, se advierte lo siguiente:</w:t>
      </w:r>
    </w:p>
    <w:p w14:paraId="3478EBBB" w14:textId="77777777" w:rsidR="00A34B9D" w:rsidRPr="001D57D4" w:rsidRDefault="00A34B9D" w:rsidP="001D57D4">
      <w:pPr>
        <w:spacing w:line="360" w:lineRule="auto"/>
        <w:jc w:val="both"/>
        <w:rPr>
          <w:rFonts w:ascii="Palatino Linotype" w:hAnsi="Palatino Linotype" w:cs="Arial"/>
        </w:rPr>
      </w:pPr>
    </w:p>
    <w:p w14:paraId="1DF842AC" w14:textId="77777777" w:rsidR="00A34B9D" w:rsidRPr="001D57D4" w:rsidRDefault="00A34B9D" w:rsidP="001D57D4">
      <w:pPr>
        <w:pStyle w:val="Prrafodelista"/>
        <w:numPr>
          <w:ilvl w:val="0"/>
          <w:numId w:val="4"/>
        </w:numPr>
        <w:spacing w:line="360" w:lineRule="auto"/>
        <w:jc w:val="both"/>
        <w:rPr>
          <w:rFonts w:ascii="Palatino Linotype" w:hAnsi="Palatino Linotype" w:cs="Arial"/>
        </w:rPr>
      </w:pPr>
      <w:r w:rsidRPr="001D57D4">
        <w:rPr>
          <w:rFonts w:ascii="Palatino Linotype" w:hAnsi="Palatino Linotype" w:cs="Arial"/>
          <w:b/>
        </w:rPr>
        <w:t>Fundamentación:</w:t>
      </w:r>
      <w:r w:rsidRPr="001D57D4">
        <w:rPr>
          <w:rFonts w:ascii="Palatino Linotype" w:hAnsi="Palatino Linotype" w:cs="Arial"/>
        </w:rPr>
        <w:t xml:space="preserve"> Obligación de la autoridad que emite un acto, para citar los preceptos legales, sustantivos y adjetivos, en que se apoye para la determinación tomada.</w:t>
      </w:r>
    </w:p>
    <w:p w14:paraId="58227CE0" w14:textId="77777777" w:rsidR="00A34B9D" w:rsidRPr="001D57D4" w:rsidRDefault="00A34B9D" w:rsidP="001D57D4">
      <w:pPr>
        <w:pStyle w:val="Prrafodelista"/>
        <w:numPr>
          <w:ilvl w:val="0"/>
          <w:numId w:val="4"/>
        </w:numPr>
        <w:spacing w:line="360" w:lineRule="auto"/>
        <w:jc w:val="both"/>
        <w:rPr>
          <w:rFonts w:ascii="Palatino Linotype" w:hAnsi="Palatino Linotype" w:cs="Arial"/>
        </w:rPr>
      </w:pPr>
      <w:r w:rsidRPr="001D57D4">
        <w:rPr>
          <w:rFonts w:ascii="Palatino Linotype" w:hAnsi="Palatino Linotype" w:cs="Arial"/>
          <w:b/>
        </w:rPr>
        <w:t>Motivación:</w:t>
      </w:r>
      <w:r w:rsidRPr="001D57D4">
        <w:rPr>
          <w:rFonts w:ascii="Palatino Linotype" w:hAnsi="Palatino Linotype" w:cs="Arial"/>
        </w:rPr>
        <w:t xml:space="preserve"> Razonamientos lógico-jurídicos sobre porque se consideró en el caso en concreto, que se ajusta a la hipótesis normativa.</w:t>
      </w:r>
    </w:p>
    <w:p w14:paraId="3E1D86A6" w14:textId="77777777" w:rsidR="00A34B9D" w:rsidRPr="001D57D4" w:rsidRDefault="00A34B9D" w:rsidP="001D57D4">
      <w:pPr>
        <w:spacing w:line="360" w:lineRule="auto"/>
        <w:jc w:val="both"/>
        <w:rPr>
          <w:rFonts w:ascii="Palatino Linotype" w:hAnsi="Palatino Linotype" w:cs="Arial"/>
          <w:lang w:val="es-ES"/>
        </w:rPr>
      </w:pPr>
    </w:p>
    <w:p w14:paraId="1DACF789" w14:textId="7D3ACA3F"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 xml:space="preserve">Es así que, derivado que únicamente hubo una expresión del </w:t>
      </w:r>
      <w:r w:rsidRPr="001D57D4">
        <w:rPr>
          <w:rFonts w:ascii="Palatino Linotype" w:hAnsi="Palatino Linotype" w:cs="Arial"/>
          <w:b/>
          <w:lang w:val="es-ES"/>
        </w:rPr>
        <w:t xml:space="preserve">EL SUJETO OBLIGADO </w:t>
      </w:r>
      <w:r w:rsidRPr="001D57D4">
        <w:rPr>
          <w:rFonts w:ascii="Palatino Linotype" w:hAnsi="Palatino Linotype" w:cs="Arial"/>
          <w:lang w:val="es-ES"/>
        </w:rPr>
        <w:t>a través del Contralor sin que remitiera el acuerdo mediante el cual haya fundamentado y motivado la reserva de la información relacionada con el acta de entrega recepción solicitada por el particular; este Órgano Garante determina ordenar la entrega de</w:t>
      </w:r>
      <w:r w:rsidR="00B41133" w:rsidRPr="001D57D4">
        <w:rPr>
          <w:rFonts w:ascii="Palatino Linotype" w:hAnsi="Palatino Linotype" w:cs="Arial"/>
          <w:lang w:val="es-ES"/>
        </w:rPr>
        <w:t xml:space="preserve"> la misma, en versión pública. </w:t>
      </w:r>
    </w:p>
    <w:p w14:paraId="0FA11173" w14:textId="77777777" w:rsidR="00A34B9D" w:rsidRPr="001D57D4" w:rsidRDefault="00A34B9D" w:rsidP="001D57D4">
      <w:pPr>
        <w:spacing w:line="360" w:lineRule="auto"/>
        <w:jc w:val="both"/>
        <w:rPr>
          <w:rFonts w:ascii="Palatino Linotype" w:hAnsi="Palatino Linotype" w:cs="Arial"/>
          <w:lang w:val="es-ES"/>
        </w:rPr>
      </w:pPr>
    </w:p>
    <w:p w14:paraId="3127119D"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Ahora bien, no se omite comentar que para el caso de que las Actas de Entrega-Recepción contengan observaciones que deriven o sean motivo de un procedimiento, que actualice la causal de clasificación establecida en el artículo 140, fracciones VI y VIII, de la Ley de Transparencia y Acceso a la Información Pública del Estado de México y Municipios (homólogo al 113, fracción XI, de la Ley General de Transparencia y Acceso a la Información Pública), misma que establece que será información reservada, aquella que vulnere la conducción de los procedimientos administrativos seguidos en forma de juicio, en tanto no hayan causado estado. En ese sentido, los Lineamientos Generales prevén lo siguiente:</w:t>
      </w:r>
    </w:p>
    <w:p w14:paraId="42DB8DA6" w14:textId="77777777" w:rsidR="00A34B9D" w:rsidRPr="001D57D4" w:rsidRDefault="00A34B9D" w:rsidP="001D57D4">
      <w:pPr>
        <w:spacing w:line="360" w:lineRule="auto"/>
        <w:jc w:val="both"/>
        <w:rPr>
          <w:rFonts w:ascii="Palatino Linotype" w:hAnsi="Palatino Linotype" w:cs="Arial"/>
          <w:lang w:val="es-ES"/>
        </w:rPr>
      </w:pPr>
    </w:p>
    <w:p w14:paraId="7BD5FC6E" w14:textId="77777777" w:rsidR="00A34B9D" w:rsidRPr="001D57D4" w:rsidRDefault="00A34B9D" w:rsidP="001D57D4">
      <w:pPr>
        <w:ind w:left="851" w:right="899"/>
        <w:jc w:val="both"/>
        <w:rPr>
          <w:rFonts w:ascii="Palatino Linotype" w:hAnsi="Palatino Linotype" w:cs="Arial"/>
          <w:i/>
          <w:lang w:val="es-ES"/>
        </w:rPr>
      </w:pPr>
      <w:r w:rsidRPr="001D57D4">
        <w:rPr>
          <w:rFonts w:ascii="Palatino Linotype" w:hAnsi="Palatino Linotype" w:cs="Arial"/>
          <w:i/>
          <w:lang w:val="es-ES"/>
        </w:rPr>
        <w:t>“Trigésimo.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5B421413" w14:textId="77777777" w:rsidR="00A34B9D" w:rsidRPr="001D57D4" w:rsidRDefault="00A34B9D" w:rsidP="001D57D4">
      <w:pPr>
        <w:ind w:left="851" w:right="899"/>
        <w:jc w:val="both"/>
        <w:rPr>
          <w:rFonts w:ascii="Palatino Linotype" w:hAnsi="Palatino Linotype" w:cs="Arial"/>
          <w:i/>
          <w:lang w:val="es-ES"/>
        </w:rPr>
      </w:pPr>
      <w:r w:rsidRPr="001D57D4">
        <w:rPr>
          <w:rFonts w:ascii="Palatino Linotype" w:hAnsi="Palatino Linotype" w:cs="Arial"/>
          <w:i/>
          <w:lang w:val="es-ES"/>
        </w:rPr>
        <w:t>I. La existencia de un juicio o procedimiento administrativo materialmente jurisdiccional, que se encuentre en trámite;</w:t>
      </w:r>
    </w:p>
    <w:p w14:paraId="11091085" w14:textId="77777777" w:rsidR="00A34B9D" w:rsidRPr="001D57D4" w:rsidRDefault="00A34B9D" w:rsidP="001D57D4">
      <w:pPr>
        <w:ind w:left="851" w:right="899"/>
        <w:jc w:val="both"/>
        <w:rPr>
          <w:rFonts w:ascii="Palatino Linotype" w:hAnsi="Palatino Linotype" w:cs="Arial"/>
          <w:i/>
          <w:lang w:val="es-ES"/>
        </w:rPr>
      </w:pPr>
      <w:r w:rsidRPr="001D57D4">
        <w:rPr>
          <w:rFonts w:ascii="Palatino Linotype" w:hAnsi="Palatino Linotype" w:cs="Arial"/>
          <w:i/>
          <w:lang w:val="es-ES"/>
        </w:rPr>
        <w:t>II. Que la información solicitada se refiera a actuaciones, diligencias o constancias propias del procedimiento; y</w:t>
      </w:r>
    </w:p>
    <w:p w14:paraId="23CB7C36" w14:textId="77777777" w:rsidR="00A34B9D" w:rsidRPr="001D57D4" w:rsidRDefault="00A34B9D" w:rsidP="001D57D4">
      <w:pPr>
        <w:ind w:left="851" w:right="899"/>
        <w:jc w:val="both"/>
        <w:rPr>
          <w:rFonts w:ascii="Palatino Linotype" w:hAnsi="Palatino Linotype" w:cs="Arial"/>
          <w:i/>
          <w:lang w:val="es-ES"/>
        </w:rPr>
      </w:pPr>
      <w:r w:rsidRPr="001D57D4">
        <w:rPr>
          <w:rFonts w:ascii="Palatino Linotype" w:hAnsi="Palatino Linotype" w:cs="Arial"/>
          <w:i/>
          <w:lang w:val="es-ES"/>
        </w:rPr>
        <w:lastRenderedPageBreak/>
        <w:t>III. Que su difusión afecte o interrumpa la libertad de decisión de las autoridades dentro del juicio o procedimiento administrativo seguido en forma de juicio.</w:t>
      </w:r>
    </w:p>
    <w:p w14:paraId="5068D871" w14:textId="77777777" w:rsidR="00A34B9D" w:rsidRPr="001D57D4" w:rsidRDefault="00A34B9D" w:rsidP="001D57D4">
      <w:pPr>
        <w:ind w:left="851" w:right="899"/>
        <w:jc w:val="both"/>
        <w:rPr>
          <w:rFonts w:ascii="Palatino Linotype" w:hAnsi="Palatino Linotype" w:cs="Arial"/>
          <w:i/>
          <w:lang w:val="es-ES"/>
        </w:rPr>
      </w:pPr>
      <w:r w:rsidRPr="001D57D4">
        <w:rPr>
          <w:rFonts w:ascii="Palatino Linotype" w:hAnsi="Palatino Linotype" w:cs="Arial"/>
          <w:i/>
          <w:lang w:val="es-ES"/>
        </w:rPr>
        <w:t>Para los efectos del primer párrafo de este numeral, se considera procedimiento seguido en forma de juicio a aquel formalmente administrativo, pero materialmente jurisdiccional; esto es, en el que concurran los siguientes elementos:</w:t>
      </w:r>
    </w:p>
    <w:p w14:paraId="61444310" w14:textId="77777777" w:rsidR="00A34B9D" w:rsidRPr="001D57D4" w:rsidRDefault="00A34B9D" w:rsidP="001D57D4">
      <w:pPr>
        <w:ind w:left="851" w:right="899"/>
        <w:jc w:val="both"/>
        <w:rPr>
          <w:rFonts w:ascii="Palatino Linotype" w:hAnsi="Palatino Linotype" w:cs="Arial"/>
          <w:i/>
          <w:lang w:val="es-ES"/>
        </w:rPr>
      </w:pPr>
      <w:r w:rsidRPr="001D57D4">
        <w:rPr>
          <w:rFonts w:ascii="Palatino Linotype" w:hAnsi="Palatino Linotype" w:cs="Arial"/>
          <w:i/>
          <w:lang w:val="es-ES"/>
        </w:rPr>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12CD98C1" w14:textId="77777777" w:rsidR="00A34B9D" w:rsidRPr="001D57D4" w:rsidRDefault="00A34B9D" w:rsidP="001D57D4">
      <w:pPr>
        <w:ind w:left="851" w:right="899"/>
        <w:jc w:val="both"/>
        <w:rPr>
          <w:rFonts w:ascii="Palatino Linotype" w:hAnsi="Palatino Linotype" w:cs="Arial"/>
          <w:i/>
          <w:lang w:val="es-ES"/>
        </w:rPr>
      </w:pPr>
      <w:r w:rsidRPr="001D57D4">
        <w:rPr>
          <w:rFonts w:ascii="Palatino Linotype" w:hAnsi="Palatino Linotype" w:cs="Arial"/>
          <w:i/>
          <w:lang w:val="es-ES"/>
        </w:rPr>
        <w:t>2. Que se cumplan las formalidades esenciales del procedimiento. 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Pr="001D57D4">
        <w:rPr>
          <w:rFonts w:ascii="Palatino Linotype" w:hAnsi="Palatino Linotype" w:cs="Arial"/>
          <w:i/>
          <w:lang w:val="es-ES"/>
        </w:rPr>
        <w:cr/>
      </w:r>
    </w:p>
    <w:p w14:paraId="7469D2B7"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De la normatividad citada, se desprende que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1AC5B5F0" w14:textId="77777777" w:rsidR="00A34B9D" w:rsidRPr="001D57D4" w:rsidRDefault="00A34B9D" w:rsidP="001D57D4">
      <w:pPr>
        <w:spacing w:line="360" w:lineRule="auto"/>
        <w:jc w:val="both"/>
        <w:rPr>
          <w:rFonts w:ascii="Palatino Linotype" w:hAnsi="Palatino Linotype" w:cs="Arial"/>
          <w:lang w:val="es-ES"/>
        </w:rPr>
      </w:pPr>
    </w:p>
    <w:p w14:paraId="2DE16A9E" w14:textId="77777777" w:rsidR="00A34B9D" w:rsidRPr="001D57D4" w:rsidRDefault="00A34B9D" w:rsidP="001D57D4">
      <w:pPr>
        <w:pStyle w:val="Prrafodelista"/>
        <w:numPr>
          <w:ilvl w:val="0"/>
          <w:numId w:val="21"/>
        </w:numPr>
        <w:spacing w:line="360" w:lineRule="auto"/>
        <w:jc w:val="both"/>
        <w:rPr>
          <w:rFonts w:ascii="Palatino Linotype" w:hAnsi="Palatino Linotype" w:cs="Arial"/>
          <w:lang w:val="es-ES"/>
        </w:rPr>
      </w:pPr>
      <w:r w:rsidRPr="001D57D4">
        <w:rPr>
          <w:rFonts w:ascii="Palatino Linotype" w:hAnsi="Palatino Linotype" w:cs="Arial"/>
          <w:lang w:val="es-ES"/>
        </w:rPr>
        <w:t>La existencia de un juicio o procedimiento administrativo materialmente jurisdiccional, que se encuentre en trámite;</w:t>
      </w:r>
    </w:p>
    <w:p w14:paraId="3BC3EC3E" w14:textId="77777777" w:rsidR="00A34B9D" w:rsidRPr="001D57D4" w:rsidRDefault="00A34B9D" w:rsidP="001D57D4">
      <w:pPr>
        <w:pStyle w:val="Prrafodelista"/>
        <w:numPr>
          <w:ilvl w:val="0"/>
          <w:numId w:val="21"/>
        </w:numPr>
        <w:spacing w:line="360" w:lineRule="auto"/>
        <w:jc w:val="both"/>
        <w:rPr>
          <w:rFonts w:ascii="Palatino Linotype" w:hAnsi="Palatino Linotype" w:cs="Arial"/>
          <w:lang w:val="es-ES"/>
        </w:rPr>
      </w:pPr>
      <w:r w:rsidRPr="001D57D4">
        <w:rPr>
          <w:rFonts w:ascii="Palatino Linotype" w:hAnsi="Palatino Linotype" w:cs="Arial"/>
          <w:lang w:val="es-ES"/>
        </w:rPr>
        <w:t>Que la información solicitada se refiera a actuaciones, diligencias o constancias propias del procedimiento, y</w:t>
      </w:r>
    </w:p>
    <w:p w14:paraId="664ACCE1" w14:textId="77777777" w:rsidR="00A34B9D" w:rsidRPr="001D57D4" w:rsidRDefault="00A34B9D" w:rsidP="001D57D4">
      <w:pPr>
        <w:pStyle w:val="Prrafodelista"/>
        <w:numPr>
          <w:ilvl w:val="0"/>
          <w:numId w:val="21"/>
        </w:numPr>
        <w:spacing w:line="360" w:lineRule="auto"/>
        <w:jc w:val="both"/>
        <w:rPr>
          <w:rFonts w:ascii="Palatino Linotype" w:hAnsi="Palatino Linotype" w:cs="Arial"/>
          <w:lang w:val="es-ES"/>
        </w:rPr>
      </w:pPr>
      <w:r w:rsidRPr="001D57D4">
        <w:rPr>
          <w:rFonts w:ascii="Palatino Linotype" w:hAnsi="Palatino Linotype" w:cs="Arial"/>
          <w:lang w:val="es-ES"/>
        </w:rPr>
        <w:t xml:space="preserve"> Que su difusión afecte o interrumpa la libertad de decisión de las autoridades dentro del juicio o procedimiento administrativo seguido en forma de juicio.</w:t>
      </w:r>
    </w:p>
    <w:p w14:paraId="5EA2C315" w14:textId="77777777" w:rsidR="00A34B9D" w:rsidRPr="001D57D4" w:rsidRDefault="00A34B9D" w:rsidP="001D57D4">
      <w:pPr>
        <w:spacing w:line="360" w:lineRule="auto"/>
        <w:jc w:val="both"/>
        <w:rPr>
          <w:rFonts w:ascii="Palatino Linotype" w:hAnsi="Palatino Linotype" w:cs="Arial"/>
          <w:lang w:val="es-ES"/>
        </w:rPr>
      </w:pPr>
    </w:p>
    <w:p w14:paraId="2522D353"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lastRenderedPageBreak/>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4411D0B3" w14:textId="77777777" w:rsidR="00A34B9D" w:rsidRPr="001D57D4" w:rsidRDefault="00A34B9D" w:rsidP="001D57D4">
      <w:pPr>
        <w:spacing w:line="360" w:lineRule="auto"/>
        <w:jc w:val="both"/>
        <w:rPr>
          <w:rFonts w:ascii="Palatino Linotype" w:hAnsi="Palatino Linotype" w:cs="Arial"/>
          <w:lang w:val="es-ES"/>
        </w:rPr>
      </w:pPr>
    </w:p>
    <w:p w14:paraId="7A8029AE"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Por lo cual, se procede analizar cada uno de los requisitos señalados en los Lineamientos Generales, con la finalidad de verificar si se configura la hipótesis de reserva en estudio:</w:t>
      </w:r>
    </w:p>
    <w:p w14:paraId="21CC036E" w14:textId="77777777" w:rsidR="00A34B9D" w:rsidRPr="001D57D4" w:rsidRDefault="00A34B9D" w:rsidP="001D57D4">
      <w:pPr>
        <w:pStyle w:val="Prrafodelista"/>
        <w:numPr>
          <w:ilvl w:val="0"/>
          <w:numId w:val="22"/>
        </w:numPr>
        <w:spacing w:line="360" w:lineRule="auto"/>
        <w:jc w:val="both"/>
        <w:rPr>
          <w:rFonts w:ascii="Palatino Linotype" w:hAnsi="Palatino Linotype" w:cs="Arial"/>
          <w:lang w:val="es-ES"/>
        </w:rPr>
      </w:pPr>
      <w:r w:rsidRPr="001D57D4">
        <w:rPr>
          <w:rFonts w:ascii="Palatino Linotype" w:hAnsi="Palatino Linotype" w:cs="Arial"/>
          <w:lang w:val="es-ES"/>
        </w:rPr>
        <w:t>La existencia de un juicio o procedimiento administrativo materialmente jurisdiccional, que se encuentre en trámite.</w:t>
      </w:r>
    </w:p>
    <w:p w14:paraId="2AAC5952"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En atención a los Lineamientos referidos, se advierte que, en el presente caso, se trata del procedimiento de verificación de la información contenida en la Entrega-Recepción, por lo que es necesario analizar, si este es seguido en forma de juicio y determinar, sí se actualiza el primer elemento, para acreditar la causal de clasificación en estudio.</w:t>
      </w:r>
    </w:p>
    <w:p w14:paraId="5AB4AB7D" w14:textId="77777777" w:rsidR="00DE779A" w:rsidRPr="001D57D4" w:rsidRDefault="00DE779A" w:rsidP="001D57D4">
      <w:pPr>
        <w:spacing w:line="360" w:lineRule="auto"/>
        <w:jc w:val="both"/>
        <w:rPr>
          <w:rFonts w:ascii="Palatino Linotype" w:hAnsi="Palatino Linotype" w:cs="Arial"/>
          <w:lang w:val="es-ES"/>
        </w:rPr>
      </w:pPr>
    </w:p>
    <w:p w14:paraId="30EB67C5" w14:textId="08E52B24"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 xml:space="preserve">En relación con lo anterior, es menester precisar que para que se trate de un juicio o procedimiento administrativo materialmente jurisdiccional, debe cumplirse con lo dispuesto en los Lineamientos Generales, así como lo sostenido por la Segunda Sala de la Suprema Corte de Justicia de la Nación, en la Tesis 2a./J. 22/2003, consistente en que un “procedimiento en forma de juicio”, debe entenderse lato sensu, no únicamente comprendiendo los procedimientos en que la autoridad dirime una controversia entre las partes, sino que deben incluir todos aquellos procedimientos en que una autoridad </w:t>
      </w:r>
      <w:r w:rsidRPr="001D57D4">
        <w:rPr>
          <w:rFonts w:ascii="Palatino Linotype" w:hAnsi="Palatino Linotype" w:cs="Arial"/>
          <w:lang w:val="es-ES"/>
        </w:rPr>
        <w:lastRenderedPageBreak/>
        <w:t>frente a la particular, prepara su resolución definitiva, aunque sólo sea un trámite para cumplir con la garantía de audiencia, tal como se muestra a continuación:</w:t>
      </w:r>
    </w:p>
    <w:p w14:paraId="51F8C742" w14:textId="77777777" w:rsidR="00A34B9D" w:rsidRPr="001D57D4" w:rsidRDefault="00A34B9D" w:rsidP="001D57D4">
      <w:pPr>
        <w:spacing w:line="360" w:lineRule="auto"/>
        <w:jc w:val="both"/>
        <w:rPr>
          <w:rFonts w:ascii="Palatino Linotype" w:hAnsi="Palatino Linotype" w:cs="Arial"/>
          <w:lang w:val="es-ES"/>
        </w:rPr>
      </w:pPr>
    </w:p>
    <w:p w14:paraId="50010EE2" w14:textId="77777777" w:rsidR="00A34B9D" w:rsidRPr="001D57D4" w:rsidRDefault="00A34B9D" w:rsidP="001D57D4">
      <w:pPr>
        <w:ind w:left="851" w:right="899"/>
        <w:jc w:val="both"/>
        <w:rPr>
          <w:rFonts w:ascii="Palatino Linotype" w:hAnsi="Palatino Linotype" w:cs="Arial"/>
          <w:i/>
          <w:sz w:val="22"/>
          <w:lang w:val="es-ES"/>
        </w:rPr>
      </w:pPr>
      <w:r w:rsidRPr="001D57D4">
        <w:rPr>
          <w:rFonts w:ascii="Palatino Linotype" w:hAnsi="Palatino Linotype" w:cs="Arial"/>
          <w:i/>
          <w:sz w:val="22"/>
          <w:lang w:val="es-ES"/>
        </w:rPr>
        <w:t>“</w:t>
      </w:r>
      <w:r w:rsidRPr="001D57D4">
        <w:rPr>
          <w:rFonts w:ascii="Palatino Linotype" w:hAnsi="Palatino Linotype" w:cs="Arial"/>
          <w:b/>
          <w:i/>
          <w:sz w:val="22"/>
          <w:lang w:val="es-ES"/>
        </w:rPr>
        <w:t>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w:t>
      </w:r>
      <w:r w:rsidRPr="001D57D4">
        <w:rPr>
          <w:rFonts w:ascii="Palatino Linotype" w:hAnsi="Palatino Linotype" w:cs="Arial"/>
          <w:i/>
          <w:sz w:val="22"/>
          <w:lang w:val="es-ES"/>
        </w:rPr>
        <w:t xml:space="preserve"> 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w:t>
      </w:r>
      <w:proofErr w:type="spellStart"/>
      <w:r w:rsidRPr="001D57D4">
        <w:rPr>
          <w:rFonts w:ascii="Palatino Linotype" w:hAnsi="Palatino Linotype" w:cs="Arial"/>
          <w:i/>
          <w:sz w:val="22"/>
          <w:lang w:val="es-ES"/>
        </w:rPr>
        <w:t>expeditez</w:t>
      </w:r>
      <w:proofErr w:type="spellEnd"/>
      <w:r w:rsidRPr="001D57D4">
        <w:rPr>
          <w:rFonts w:ascii="Palatino Linotype" w:hAnsi="Palatino Linotype" w:cs="Arial"/>
          <w:i/>
          <w:sz w:val="22"/>
          <w:lang w:val="es-ES"/>
        </w:rPr>
        <w:t xml:space="preserve"> de las diligencias 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14:paraId="53A4E11F" w14:textId="77777777" w:rsidR="00A34B9D" w:rsidRPr="001D57D4" w:rsidRDefault="00A34B9D" w:rsidP="001D57D4">
      <w:pPr>
        <w:spacing w:line="360" w:lineRule="auto"/>
        <w:jc w:val="both"/>
        <w:rPr>
          <w:rFonts w:ascii="Palatino Linotype" w:hAnsi="Palatino Linotype" w:cs="Arial"/>
          <w:lang w:val="es-ES"/>
        </w:rPr>
      </w:pPr>
    </w:p>
    <w:p w14:paraId="775D471D"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 xml:space="preserve">Ahora bien, es necesario señalar que, respecto a las formalidades esenciales del procedimiento, el Pleno de la Suprema de Corte de Justicia de la Nación mediante tesis jurisprudencial P./J.47/95, publicada en el Semanario Judicial de la Federación y su </w:t>
      </w:r>
      <w:r w:rsidRPr="001D57D4">
        <w:rPr>
          <w:rFonts w:ascii="Palatino Linotype" w:hAnsi="Palatino Linotype" w:cs="Arial"/>
          <w:lang w:val="es-ES"/>
        </w:rPr>
        <w:lastRenderedPageBreak/>
        <w:t>Gaceta, novena época, t. II, diciembre de 1995, página 133; ha sostenido:</w:t>
      </w:r>
      <w:r w:rsidRPr="001D57D4">
        <w:rPr>
          <w:rFonts w:ascii="Palatino Linotype" w:hAnsi="Palatino Linotype" w:cs="Arial"/>
          <w:lang w:val="es-ES"/>
        </w:rPr>
        <w:cr/>
      </w:r>
    </w:p>
    <w:p w14:paraId="507E101B" w14:textId="77777777" w:rsidR="00A34B9D" w:rsidRPr="001D57D4" w:rsidRDefault="00A34B9D" w:rsidP="001D57D4">
      <w:pPr>
        <w:ind w:left="851" w:right="899"/>
        <w:jc w:val="both"/>
        <w:rPr>
          <w:rFonts w:ascii="Palatino Linotype" w:hAnsi="Palatino Linotype" w:cs="Arial"/>
          <w:i/>
          <w:sz w:val="22"/>
          <w:lang w:val="es-ES"/>
        </w:rPr>
      </w:pPr>
      <w:r w:rsidRPr="001D57D4">
        <w:rPr>
          <w:rFonts w:ascii="Palatino Linotype" w:hAnsi="Palatino Linotype" w:cs="Arial"/>
          <w:i/>
          <w:sz w:val="22"/>
          <w:lang w:val="es-ES"/>
        </w:rPr>
        <w:t>“</w:t>
      </w:r>
      <w:r w:rsidRPr="001D57D4">
        <w:rPr>
          <w:rFonts w:ascii="Palatino Linotype" w:hAnsi="Palatino Linotype" w:cs="Arial"/>
          <w:b/>
          <w:i/>
          <w:sz w:val="22"/>
          <w:lang w:val="es-ES"/>
        </w:rPr>
        <w:t>FORMALIDADES ESENCIALES DEL PROCEDIMIENTO. SON LAS QUE GARANTIZAN UNA ADECUADA Y OPORTUNA DEFENSA PREVIA AL ACTO PRIVATIVO.</w:t>
      </w:r>
      <w:r w:rsidRPr="001D57D4">
        <w:rPr>
          <w:rFonts w:ascii="Palatino Linotype" w:hAnsi="Palatino Linotype" w:cs="Arial"/>
          <w:i/>
          <w:sz w:val="22"/>
          <w:lang w:val="es-ES"/>
        </w:rPr>
        <w:t xml:space="preserve"> 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0F3CBD4B" w14:textId="77777777" w:rsidR="00A34B9D" w:rsidRPr="001D57D4" w:rsidRDefault="00A34B9D" w:rsidP="001D57D4">
      <w:pPr>
        <w:spacing w:line="360" w:lineRule="auto"/>
        <w:jc w:val="both"/>
        <w:rPr>
          <w:rFonts w:ascii="Palatino Linotype" w:hAnsi="Palatino Linotype" w:cs="Arial"/>
          <w:lang w:val="es-ES"/>
        </w:rPr>
      </w:pPr>
    </w:p>
    <w:p w14:paraId="2836A5C9"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14:paraId="5382EB0E" w14:textId="77777777" w:rsidR="00A34B9D" w:rsidRPr="001D57D4" w:rsidRDefault="00A34B9D" w:rsidP="001D57D4">
      <w:pPr>
        <w:spacing w:line="360" w:lineRule="auto"/>
        <w:jc w:val="both"/>
        <w:rPr>
          <w:rFonts w:ascii="Palatino Linotype" w:hAnsi="Palatino Linotype" w:cs="Arial"/>
          <w:lang w:val="es-ES"/>
        </w:rPr>
      </w:pPr>
    </w:p>
    <w:p w14:paraId="60806C86" w14:textId="77777777" w:rsidR="00A34B9D" w:rsidRPr="001D57D4" w:rsidRDefault="00A34B9D" w:rsidP="001D57D4">
      <w:pPr>
        <w:pStyle w:val="Prrafodelista"/>
        <w:numPr>
          <w:ilvl w:val="0"/>
          <w:numId w:val="23"/>
        </w:numPr>
        <w:spacing w:line="360" w:lineRule="auto"/>
        <w:jc w:val="both"/>
        <w:rPr>
          <w:rFonts w:ascii="Palatino Linotype" w:hAnsi="Palatino Linotype" w:cs="Arial"/>
          <w:lang w:val="es-ES"/>
        </w:rPr>
      </w:pPr>
      <w:r w:rsidRPr="001D57D4">
        <w:rPr>
          <w:rFonts w:ascii="Palatino Linotype" w:hAnsi="Palatino Linotype" w:cs="Arial"/>
          <w:lang w:val="es-ES"/>
        </w:rPr>
        <w:t>La notificación del inicio del procedimiento y sus consecuencias;</w:t>
      </w:r>
    </w:p>
    <w:p w14:paraId="39D034DC" w14:textId="77777777" w:rsidR="00A34B9D" w:rsidRPr="001D57D4" w:rsidRDefault="00A34B9D" w:rsidP="001D57D4">
      <w:pPr>
        <w:pStyle w:val="Prrafodelista"/>
        <w:numPr>
          <w:ilvl w:val="0"/>
          <w:numId w:val="23"/>
        </w:numPr>
        <w:spacing w:line="360" w:lineRule="auto"/>
        <w:jc w:val="both"/>
        <w:rPr>
          <w:rFonts w:ascii="Palatino Linotype" w:hAnsi="Palatino Linotype" w:cs="Arial"/>
          <w:lang w:val="es-ES"/>
        </w:rPr>
      </w:pPr>
      <w:r w:rsidRPr="001D57D4">
        <w:rPr>
          <w:rFonts w:ascii="Palatino Linotype" w:hAnsi="Palatino Linotype" w:cs="Arial"/>
          <w:lang w:val="es-ES"/>
        </w:rPr>
        <w:t>La oportunidad de ofrecer y desahogar pruebas;</w:t>
      </w:r>
    </w:p>
    <w:p w14:paraId="0388B025" w14:textId="77777777" w:rsidR="00A34B9D" w:rsidRPr="001D57D4" w:rsidRDefault="00A34B9D" w:rsidP="001D57D4">
      <w:pPr>
        <w:pStyle w:val="Prrafodelista"/>
        <w:numPr>
          <w:ilvl w:val="0"/>
          <w:numId w:val="23"/>
        </w:numPr>
        <w:spacing w:line="360" w:lineRule="auto"/>
        <w:jc w:val="both"/>
        <w:rPr>
          <w:rFonts w:ascii="Palatino Linotype" w:hAnsi="Palatino Linotype" w:cs="Arial"/>
          <w:lang w:val="es-ES"/>
        </w:rPr>
      </w:pPr>
      <w:r w:rsidRPr="001D57D4">
        <w:rPr>
          <w:rFonts w:ascii="Palatino Linotype" w:hAnsi="Palatino Linotype" w:cs="Arial"/>
          <w:lang w:val="es-ES"/>
        </w:rPr>
        <w:t>La oportunidad de alegar; y</w:t>
      </w:r>
    </w:p>
    <w:p w14:paraId="2DDA3536" w14:textId="77777777" w:rsidR="00A34B9D" w:rsidRPr="001D57D4" w:rsidRDefault="00A34B9D" w:rsidP="001D57D4">
      <w:pPr>
        <w:pStyle w:val="Prrafodelista"/>
        <w:numPr>
          <w:ilvl w:val="0"/>
          <w:numId w:val="23"/>
        </w:numPr>
        <w:spacing w:line="360" w:lineRule="auto"/>
        <w:jc w:val="both"/>
        <w:rPr>
          <w:rFonts w:ascii="Palatino Linotype" w:hAnsi="Palatino Linotype" w:cs="Arial"/>
          <w:lang w:val="es-ES"/>
        </w:rPr>
      </w:pPr>
      <w:r w:rsidRPr="001D57D4">
        <w:rPr>
          <w:rFonts w:ascii="Palatino Linotype" w:hAnsi="Palatino Linotype" w:cs="Arial"/>
          <w:lang w:val="es-ES"/>
        </w:rPr>
        <w:t>El dictado de una resolución que dirima las cuestiones debatidas</w:t>
      </w:r>
    </w:p>
    <w:p w14:paraId="2738342E" w14:textId="77777777" w:rsidR="00A34B9D" w:rsidRPr="001D57D4" w:rsidRDefault="00A34B9D" w:rsidP="001D57D4">
      <w:pPr>
        <w:spacing w:line="360" w:lineRule="auto"/>
        <w:jc w:val="both"/>
        <w:rPr>
          <w:rFonts w:ascii="Palatino Linotype" w:hAnsi="Palatino Linotype" w:cs="Arial"/>
          <w:lang w:val="es-ES"/>
        </w:rPr>
      </w:pPr>
    </w:p>
    <w:p w14:paraId="3236A134"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lastRenderedPageBreak/>
        <w:t>Por lo que hace a la notificación del inicio del procedimiento y sus consecuencias, es la etapa en la que se hace del conocimiento de una de las partes que se ha instaurado un procedimiento en su contra; por lo que hace la oportunidad de ofrecer y desahogar pruebas, es la instancia en la que se da a las partes de presentar aquellos elementos de convicción que acrediten sus pretensiones; en relación con la fase de alegar, es aquella del proceso en que las partes presentan las manifestaciones que a su derecho convenga; y finalmente, por lo que hace al dictado de la resolución, versa en la determinación de la autoridad competente de las cuestiones debatidas.</w:t>
      </w:r>
    </w:p>
    <w:p w14:paraId="74D30F38" w14:textId="77777777" w:rsidR="00A34B9D" w:rsidRPr="001D57D4" w:rsidRDefault="00A34B9D" w:rsidP="001D57D4">
      <w:pPr>
        <w:spacing w:line="360" w:lineRule="auto"/>
        <w:jc w:val="both"/>
        <w:rPr>
          <w:rFonts w:ascii="Palatino Linotype" w:hAnsi="Palatino Linotype" w:cs="Arial"/>
          <w:lang w:val="es-ES"/>
        </w:rPr>
      </w:pPr>
    </w:p>
    <w:p w14:paraId="5FFBD48C"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En ese sentido, a efecto de corroborar si en efecto el procedimiento de verificación de la información contenida en la Entrega-Recepción, se trata de un procedimiento administrativo materialmente jurisdiccional, es decir, seguido en forma de juicio, es necesario traer a colación la normatividad que las regula.</w:t>
      </w:r>
    </w:p>
    <w:p w14:paraId="5B15ECC7" w14:textId="77777777" w:rsidR="00A34B9D" w:rsidRPr="001D57D4" w:rsidRDefault="00A34B9D" w:rsidP="001D57D4">
      <w:pPr>
        <w:spacing w:line="360" w:lineRule="auto"/>
        <w:jc w:val="both"/>
        <w:rPr>
          <w:rFonts w:ascii="Palatino Linotype" w:hAnsi="Palatino Linotype" w:cs="Arial"/>
          <w:lang w:val="es-ES"/>
        </w:rPr>
      </w:pPr>
    </w:p>
    <w:p w14:paraId="73297A09"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Al respecto, el artículo 47 de los Lineamientos que normar la Entrega-Recepción de los</w:t>
      </w:r>
    </w:p>
    <w:p w14:paraId="193BB31E"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Ayuntamientos, sus Dependencias y Organismos Descentralizados Municipal del Estado de México, establecen que se hará una revisión y verificación física y electrónica de la información y soporte documental referidos en el Acta de Entrega-Recepción, formatos y anexos se realizará por el servidor público entrante, conforme a las siguientes hipótesis:</w:t>
      </w:r>
    </w:p>
    <w:p w14:paraId="22534584" w14:textId="77777777" w:rsidR="00A34B9D" w:rsidRPr="001D57D4" w:rsidRDefault="00A34B9D" w:rsidP="001D57D4">
      <w:pPr>
        <w:pStyle w:val="Prrafodelista"/>
        <w:numPr>
          <w:ilvl w:val="0"/>
          <w:numId w:val="23"/>
        </w:numPr>
        <w:spacing w:line="360" w:lineRule="auto"/>
        <w:jc w:val="both"/>
        <w:rPr>
          <w:rFonts w:ascii="Palatino Linotype" w:hAnsi="Palatino Linotype" w:cs="Arial"/>
          <w:lang w:val="es-ES"/>
        </w:rPr>
      </w:pPr>
      <w:r w:rsidRPr="001D57D4">
        <w:rPr>
          <w:rFonts w:ascii="Palatino Linotype" w:hAnsi="Palatino Linotype" w:cs="Arial"/>
          <w:lang w:val="es-ES"/>
        </w:rPr>
        <w:t xml:space="preserve">Derivado de la revisión y verificación que realice al contenido de los informes, expedientes, documentos probatorios, deberá determinar si coinciden con el marco normativo aplicable, las evidencias físicas, los reportes de existencia de inventarios, lotes de materiales, fondos, valores y bienes muebles e inmuebles </w:t>
      </w:r>
      <w:r w:rsidRPr="001D57D4">
        <w:rPr>
          <w:rFonts w:ascii="Palatino Linotype" w:hAnsi="Palatino Linotype" w:cs="Arial"/>
          <w:lang w:val="es-ES"/>
        </w:rPr>
        <w:lastRenderedPageBreak/>
        <w:t>que forman parte de la entrega-recepción; en caso de identificar diferencias entre lo reportado y lo constatado será procedente solicitar las aclaraciones respectivas a través de la persona titular del Órgano Interno de Control.</w:t>
      </w:r>
    </w:p>
    <w:p w14:paraId="6F9E9498" w14:textId="77777777" w:rsidR="00A34B9D" w:rsidRPr="001D57D4" w:rsidRDefault="00A34B9D" w:rsidP="001D57D4">
      <w:pPr>
        <w:pStyle w:val="Prrafodelista"/>
        <w:numPr>
          <w:ilvl w:val="0"/>
          <w:numId w:val="23"/>
        </w:numPr>
        <w:spacing w:line="360" w:lineRule="auto"/>
        <w:jc w:val="both"/>
        <w:rPr>
          <w:rFonts w:ascii="Palatino Linotype" w:hAnsi="Palatino Linotype" w:cs="Arial"/>
          <w:lang w:val="es-ES"/>
        </w:rPr>
      </w:pPr>
      <w:r w:rsidRPr="001D57D4">
        <w:rPr>
          <w:rFonts w:ascii="Palatino Linotype" w:hAnsi="Palatino Linotype" w:cs="Arial"/>
          <w:lang w:val="es-ES"/>
        </w:rPr>
        <w:t>Recibida la solicitud de aclaración, el Órgano Interno de Control requerirá al servidor público saliente que realice las acciones necesarias para esclarecer las inconsistencias detectadas, para lo que señalará fecha, lugar y hora.</w:t>
      </w:r>
    </w:p>
    <w:p w14:paraId="31B77B8A" w14:textId="77777777" w:rsidR="00A34B9D" w:rsidRPr="001D57D4" w:rsidRDefault="00A34B9D" w:rsidP="001D57D4">
      <w:pPr>
        <w:pStyle w:val="Prrafodelista"/>
        <w:numPr>
          <w:ilvl w:val="0"/>
          <w:numId w:val="23"/>
        </w:numPr>
        <w:spacing w:line="360" w:lineRule="auto"/>
        <w:jc w:val="both"/>
        <w:rPr>
          <w:rFonts w:ascii="Palatino Linotype" w:hAnsi="Palatino Linotype" w:cs="Arial"/>
          <w:lang w:val="es-ES"/>
        </w:rPr>
      </w:pPr>
      <w:r w:rsidRPr="001D57D4">
        <w:rPr>
          <w:rFonts w:ascii="Palatino Linotype" w:hAnsi="Palatino Linotype" w:cs="Arial"/>
          <w:lang w:val="es-ES"/>
        </w:rPr>
        <w:t>Si existen diferencias entre lo reportado y lo constado que no hayan sido producidas por causas negligentes o incumplimiento de las normas vigentes, y la situación pueda explicarse por motivos previamente registrados y documentados como de fuerza mayor o causas no imputables a la voluntad o acción de los servidores públicos que se trate, se requerirán las pruebas que acrediten la existencia de tales circunstancias.</w:t>
      </w:r>
    </w:p>
    <w:p w14:paraId="670B1B65" w14:textId="77777777" w:rsidR="00A34B9D" w:rsidRPr="001D57D4" w:rsidRDefault="00A34B9D" w:rsidP="001D57D4">
      <w:pPr>
        <w:pStyle w:val="Prrafodelista"/>
        <w:numPr>
          <w:ilvl w:val="0"/>
          <w:numId w:val="23"/>
        </w:numPr>
        <w:spacing w:line="360" w:lineRule="auto"/>
        <w:jc w:val="both"/>
        <w:rPr>
          <w:rFonts w:ascii="Palatino Linotype" w:hAnsi="Palatino Linotype" w:cs="Arial"/>
          <w:lang w:val="es-ES"/>
        </w:rPr>
      </w:pPr>
      <w:r w:rsidRPr="001D57D4">
        <w:rPr>
          <w:rFonts w:ascii="Palatino Linotype" w:hAnsi="Palatino Linotype" w:cs="Arial"/>
          <w:lang w:val="es-ES"/>
        </w:rPr>
        <w:t>Si existen diferencias entre lo reportado y lo constatado y fueron producidas por omisiones, negligencia, incumplimiento de la norma o errores que presentan de manera ostensible irregularidades que no puedan justificarse por causa de fuerza mayor y que signifiquen daño al patrimonio, se dará vista al Órgano Interno de Control para iniciar el procedimiento de responsabilidad correspondiente.</w:t>
      </w:r>
    </w:p>
    <w:p w14:paraId="5326D134" w14:textId="77777777" w:rsidR="001A440D" w:rsidRPr="001D57D4" w:rsidRDefault="001A440D" w:rsidP="001D57D4">
      <w:pPr>
        <w:spacing w:line="360" w:lineRule="auto"/>
        <w:jc w:val="both"/>
        <w:rPr>
          <w:rFonts w:ascii="Palatino Linotype" w:hAnsi="Palatino Linotype" w:cs="Arial"/>
          <w:lang w:val="es-ES"/>
        </w:rPr>
      </w:pPr>
    </w:p>
    <w:p w14:paraId="3026EFB9" w14:textId="1B381FC0"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 xml:space="preserve">Si existen diferencias entre lo reportado y lo constatado y sus efectos hayan sido producidos con dolo, omisión u otra causa imputable al responsable de su manejo o gestión y genere afectaciones, merma, o pérdida irreparable al patrimonio de los entes públicos, se dará vista al Órgano Interno de Control y, en su caso, a la Fiscalía General </w:t>
      </w:r>
      <w:r w:rsidRPr="001D57D4">
        <w:rPr>
          <w:rFonts w:ascii="Palatino Linotype" w:hAnsi="Palatino Linotype" w:cs="Arial"/>
          <w:lang w:val="es-ES"/>
        </w:rPr>
        <w:lastRenderedPageBreak/>
        <w:t>de Justicia, así como la promoción del ejercicio de la facultad de comprobación fiscal ante el Servicio de Administración Tributaria.</w:t>
      </w:r>
    </w:p>
    <w:p w14:paraId="60C7539D" w14:textId="77777777" w:rsidR="00A34B9D" w:rsidRPr="001D57D4" w:rsidRDefault="00A34B9D" w:rsidP="001D57D4">
      <w:pPr>
        <w:spacing w:line="360" w:lineRule="auto"/>
        <w:jc w:val="both"/>
        <w:rPr>
          <w:rFonts w:ascii="Palatino Linotype" w:hAnsi="Palatino Linotype" w:cs="Arial"/>
          <w:lang w:val="es-ES"/>
        </w:rPr>
      </w:pPr>
    </w:p>
    <w:p w14:paraId="59DF8BD8"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Conforme a lo anterior, se logra observar que el procedimiento de verificación de información contenida en la Entrega-Recepción, del cual se derivan los documentos de aclaraciones y observaciones, no cumple con las formalidades esenciales de un procedimiento seguido en forma de juicio; toda vez que no se encuentra integrado por etapas procesales, pues únicamente consiste en determinar si se cumplen las observaciones y aclaraciones realizadas por el servidor público entrantes y revisadas por la Contraloría Municipal, además, esta última área no emite una resolución al concluir dicho procedimiento, sino únicamente realiza una deliberación para determinar si procede dar vista a la autoridad competente.</w:t>
      </w:r>
      <w:r w:rsidRPr="001D57D4">
        <w:rPr>
          <w:rFonts w:ascii="Palatino Linotype" w:hAnsi="Palatino Linotype" w:cs="Arial"/>
          <w:lang w:val="es-ES"/>
        </w:rPr>
        <w:cr/>
      </w:r>
    </w:p>
    <w:p w14:paraId="7004C731"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Conforme a lo anterior, toda vez que el procedimiento de verificación de la información contenida en la Entrega-Recepción, no es un procedimiento administrativo seguido en forma de juicio, se considera que no se cumple el primer requisito establecido en los Lineamientos Generales, pues no existe un proceso en trámite.</w:t>
      </w:r>
    </w:p>
    <w:p w14:paraId="025A87F5" w14:textId="77777777" w:rsidR="00A34B9D" w:rsidRPr="001D57D4" w:rsidRDefault="00A34B9D" w:rsidP="001D57D4">
      <w:pPr>
        <w:spacing w:line="360" w:lineRule="auto"/>
        <w:jc w:val="both"/>
        <w:rPr>
          <w:rFonts w:ascii="Palatino Linotype" w:hAnsi="Palatino Linotype" w:cs="Arial"/>
          <w:lang w:val="es-ES"/>
        </w:rPr>
      </w:pPr>
    </w:p>
    <w:p w14:paraId="661E7DDF"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En ese orden de ideas, al no acreditar la primera condición para actualizar la causal de reserva, este Instituto considera que tampoco se justifican el segundo y tercer requerimiento; esto es,</w:t>
      </w:r>
      <w:r w:rsidRPr="001D57D4">
        <w:t xml:space="preserve"> </w:t>
      </w:r>
      <w:r w:rsidRPr="001D57D4">
        <w:rPr>
          <w:rFonts w:ascii="Palatino Linotype" w:hAnsi="Palatino Linotype" w:cs="Arial"/>
          <w:lang w:val="es-ES"/>
        </w:rPr>
        <w:t xml:space="preserve">que la información no refiere a actuaciones, diligencia o constancias que puedan interrumpir o afectar la decisión que tome la autoridad, pues como se refirió no existe un procedimiento administrativo seguido en forma de juicio; lo cual da como resultado que no resulte procedente la reserva de lo peticionado, en </w:t>
      </w:r>
      <w:r w:rsidRPr="001D57D4">
        <w:rPr>
          <w:rFonts w:ascii="Palatino Linotype" w:hAnsi="Palatino Linotype" w:cs="Arial"/>
          <w:lang w:val="es-ES"/>
        </w:rPr>
        <w:lastRenderedPageBreak/>
        <w:t>términos del artículo 140, fracciones VI y VIII, de la Ley de Transparencia y Acceso a la Información Pública del Estado de México y Municipios.</w:t>
      </w:r>
    </w:p>
    <w:p w14:paraId="3ACFB2E0" w14:textId="77777777" w:rsidR="00A34B9D" w:rsidRPr="001D57D4" w:rsidRDefault="00A34B9D" w:rsidP="001D57D4">
      <w:pPr>
        <w:spacing w:line="360" w:lineRule="auto"/>
        <w:jc w:val="both"/>
        <w:rPr>
          <w:rFonts w:ascii="Palatino Linotype" w:hAnsi="Palatino Linotype" w:cs="Arial"/>
          <w:lang w:val="es-ES"/>
        </w:rPr>
      </w:pPr>
    </w:p>
    <w:p w14:paraId="4D0E0434"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Arial"/>
          <w:lang w:val="es-ES"/>
        </w:rPr>
        <w:t xml:space="preserve">Asimismo, no se omite comentar que para el caso de que dicha información actualice alguna causal de reserva, </w:t>
      </w:r>
      <w:r w:rsidRPr="001D57D4">
        <w:rPr>
          <w:rFonts w:ascii="Palatino Linotype" w:hAnsi="Palatino Linotype" w:cs="Arial"/>
          <w:b/>
          <w:lang w:val="es-ES"/>
        </w:rPr>
        <w:t>EL SUJETO OBLIGADO</w:t>
      </w:r>
      <w:r w:rsidRPr="001D57D4">
        <w:rPr>
          <w:rFonts w:ascii="Palatino Linotype" w:hAnsi="Palatino Linotype" w:cs="Arial"/>
          <w:lang w:val="es-ES"/>
        </w:rPr>
        <w:t xml:space="preserve"> deberá emitir el Acuerdo de Clasificación a través de su Comité de Transparencia y notificarlo vía SAIMEX al </w:t>
      </w:r>
      <w:r w:rsidRPr="001D57D4">
        <w:rPr>
          <w:rFonts w:ascii="Palatino Linotype" w:hAnsi="Palatino Linotype" w:cs="Arial"/>
          <w:b/>
          <w:bCs/>
          <w:lang w:val="es-ES"/>
        </w:rPr>
        <w:t>RECURRENTE</w:t>
      </w:r>
      <w:r w:rsidRPr="001D57D4">
        <w:rPr>
          <w:rFonts w:ascii="Palatino Linotype" w:hAnsi="Palatino Linotype" w:cs="Arial"/>
          <w:lang w:val="es-ES"/>
        </w:rPr>
        <w:t xml:space="preserve"> en términos de los ordinales 49, fracción VIII, 129, 140 y 141 de la Ley de Transparencia y Acceso a la Información pública del Estado de México y Municipios. </w:t>
      </w:r>
    </w:p>
    <w:p w14:paraId="760C70FA" w14:textId="4456CA2E" w:rsidR="00A34B9D" w:rsidRPr="001D57D4" w:rsidRDefault="00A34B9D" w:rsidP="001D57D4">
      <w:pPr>
        <w:spacing w:line="360" w:lineRule="auto"/>
        <w:jc w:val="both"/>
        <w:rPr>
          <w:rFonts w:ascii="Palatino Linotype" w:eastAsia="Calibri" w:hAnsi="Palatino Linotype"/>
          <w:bCs/>
          <w:szCs w:val="22"/>
          <w:lang w:eastAsia="en-US"/>
        </w:rPr>
      </w:pPr>
    </w:p>
    <w:p w14:paraId="56570AA0" w14:textId="399DFD84" w:rsidR="00A34B9D" w:rsidRPr="001D57D4" w:rsidRDefault="00A34B9D" w:rsidP="001D57D4">
      <w:pPr>
        <w:spacing w:line="360" w:lineRule="auto"/>
        <w:jc w:val="both"/>
        <w:rPr>
          <w:rFonts w:ascii="Palatino Linotype" w:hAnsi="Palatino Linotype" w:cs="Arial"/>
        </w:rPr>
      </w:pPr>
      <w:r w:rsidRPr="001D57D4">
        <w:rPr>
          <w:rFonts w:ascii="Palatino Linotype" w:eastAsia="Calibri" w:hAnsi="Palatino Linotype"/>
          <w:bCs/>
          <w:szCs w:val="22"/>
          <w:lang w:eastAsia="en-US"/>
        </w:rPr>
        <w:t xml:space="preserve">Finalmente, respecto al requerimiento relacionado con el recibo de nómina; al respecto </w:t>
      </w:r>
      <w:r w:rsidRPr="001D57D4">
        <w:rPr>
          <w:rFonts w:ascii="Palatino Linotype" w:eastAsia="Calibri" w:hAnsi="Palatino Linotype"/>
          <w:b/>
          <w:bCs/>
          <w:szCs w:val="22"/>
          <w:lang w:eastAsia="en-US"/>
        </w:rPr>
        <w:t xml:space="preserve">EL SUJETO OBLIGADO </w:t>
      </w:r>
      <w:r w:rsidRPr="001D57D4">
        <w:rPr>
          <w:rFonts w:ascii="Palatino Linotype" w:eastAsia="Calibri" w:hAnsi="Palatino Linotype"/>
          <w:bCs/>
          <w:szCs w:val="22"/>
          <w:lang w:eastAsia="en-US"/>
        </w:rPr>
        <w:t xml:space="preserve">hizo entrega del mismo;  sin embargo, del análisis realizado al mismo, se advierte que fue testada </w:t>
      </w:r>
      <w:r w:rsidRPr="001D57D4">
        <w:rPr>
          <w:rFonts w:ascii="Palatino Linotype" w:hAnsi="Palatino Linotype"/>
        </w:rPr>
        <w:t xml:space="preserve">información que no es susceptible de ser clasificada como confidencial; aunado a que, </w:t>
      </w:r>
      <w:r w:rsidRPr="001D57D4">
        <w:rPr>
          <w:rFonts w:ascii="Palatino Linotype" w:hAnsi="Palatino Linotype"/>
          <w:b/>
        </w:rPr>
        <w:t xml:space="preserve">EL SUJETO OBLIGADO </w:t>
      </w:r>
      <w:r w:rsidRPr="001D57D4">
        <w:rPr>
          <w:rFonts w:ascii="Palatino Linotype" w:hAnsi="Palatino Linotype"/>
        </w:rPr>
        <w:t xml:space="preserve">omitió hacer la entrega del Acuerdo de Clasificación de la información con motivo de la versión pública, el cual debe cumplir con las formalidades previstas en los artículos </w:t>
      </w:r>
      <w:r w:rsidRPr="001D57D4">
        <w:rPr>
          <w:rFonts w:ascii="Palatino Linotype" w:hAnsi="Palatino Linotype" w:cs="Arial"/>
        </w:rPr>
        <w:t>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43F73DD" w14:textId="77777777" w:rsidR="00A34B9D" w:rsidRPr="001D57D4" w:rsidRDefault="00A34B9D" w:rsidP="001D57D4">
      <w:pPr>
        <w:jc w:val="both"/>
        <w:rPr>
          <w:rFonts w:ascii="Palatino Linotype" w:hAnsi="Palatino Linotype" w:cs="Arial"/>
        </w:rPr>
      </w:pPr>
    </w:p>
    <w:p w14:paraId="714CDA05" w14:textId="77777777" w:rsidR="00A34B9D" w:rsidRPr="001D57D4" w:rsidRDefault="00A34B9D" w:rsidP="001D57D4">
      <w:pPr>
        <w:tabs>
          <w:tab w:val="left" w:pos="8222"/>
        </w:tabs>
        <w:ind w:left="851" w:right="899"/>
        <w:jc w:val="center"/>
        <w:rPr>
          <w:rFonts w:ascii="Palatino Linotype" w:hAnsi="Palatino Linotype" w:cs="Arial"/>
          <w:b/>
          <w:i/>
          <w:sz w:val="22"/>
          <w:szCs w:val="22"/>
        </w:rPr>
      </w:pPr>
      <w:r w:rsidRPr="001D57D4">
        <w:rPr>
          <w:rFonts w:ascii="Palatino Linotype" w:hAnsi="Palatino Linotype" w:cs="Arial"/>
          <w:b/>
          <w:i/>
          <w:sz w:val="22"/>
          <w:szCs w:val="22"/>
          <w:lang w:val="es-ES_tradnl"/>
        </w:rPr>
        <w:t>Ley de Transparencia y Acceso a la Información Pública del Estado de México y Municipios</w:t>
      </w:r>
    </w:p>
    <w:p w14:paraId="2C54F1DF" w14:textId="77777777" w:rsidR="00A34B9D" w:rsidRPr="001D57D4" w:rsidRDefault="00A34B9D" w:rsidP="001D57D4">
      <w:pPr>
        <w:jc w:val="both"/>
        <w:rPr>
          <w:rFonts w:ascii="Palatino Linotype" w:hAnsi="Palatino Linotype" w:cs="Arial"/>
        </w:rPr>
      </w:pPr>
    </w:p>
    <w:p w14:paraId="51CFBBD2"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lastRenderedPageBreak/>
        <w:t xml:space="preserve">Artículo 49. </w:t>
      </w:r>
      <w:r w:rsidRPr="001D57D4">
        <w:rPr>
          <w:rFonts w:ascii="Palatino Linotype" w:hAnsi="Palatino Linotype" w:cs="Arial"/>
          <w:i/>
          <w:sz w:val="22"/>
          <w:szCs w:val="22"/>
        </w:rPr>
        <w:t>Los Comités de Transparencia tendrán las siguientes atribuciones:</w:t>
      </w:r>
    </w:p>
    <w:p w14:paraId="29654FE4"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VIII.</w:t>
      </w:r>
      <w:r w:rsidRPr="001D57D4">
        <w:rPr>
          <w:rFonts w:ascii="Palatino Linotype" w:hAnsi="Palatino Linotype" w:cs="Arial"/>
          <w:i/>
          <w:sz w:val="22"/>
          <w:szCs w:val="22"/>
        </w:rPr>
        <w:t xml:space="preserve"> Aprobar, modificar o revocar la clasificación de la información;</w:t>
      </w:r>
    </w:p>
    <w:p w14:paraId="2EB6A72F"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Artículo 132.</w:t>
      </w:r>
      <w:r w:rsidRPr="001D57D4">
        <w:rPr>
          <w:rFonts w:ascii="Palatino Linotype" w:hAnsi="Palatino Linotype" w:cs="Arial"/>
          <w:i/>
          <w:sz w:val="22"/>
          <w:szCs w:val="22"/>
        </w:rPr>
        <w:t xml:space="preserve"> La clasificación de la información se llevará a cabo en el momento en que:</w:t>
      </w:r>
    </w:p>
    <w:p w14:paraId="3038893F"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I.</w:t>
      </w:r>
      <w:r w:rsidRPr="001D57D4">
        <w:rPr>
          <w:rFonts w:ascii="Palatino Linotype" w:hAnsi="Palatino Linotype" w:cs="Arial"/>
          <w:i/>
          <w:sz w:val="22"/>
          <w:szCs w:val="22"/>
        </w:rPr>
        <w:t xml:space="preserve"> Se reciba una solicitud de acceso a la información;</w:t>
      </w:r>
    </w:p>
    <w:p w14:paraId="03F60132"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II.</w:t>
      </w:r>
      <w:r w:rsidRPr="001D57D4">
        <w:rPr>
          <w:rFonts w:ascii="Palatino Linotype" w:hAnsi="Palatino Linotype" w:cs="Arial"/>
          <w:i/>
          <w:sz w:val="22"/>
          <w:szCs w:val="22"/>
        </w:rPr>
        <w:t xml:space="preserve"> Se determine mediante resolución de autoridad competente; o</w:t>
      </w:r>
    </w:p>
    <w:p w14:paraId="0F987D56" w14:textId="77777777" w:rsidR="00A34B9D" w:rsidRPr="001D57D4" w:rsidRDefault="00A34B9D" w:rsidP="001D57D4">
      <w:pPr>
        <w:ind w:left="851" w:right="902"/>
        <w:jc w:val="both"/>
        <w:rPr>
          <w:rFonts w:ascii="Palatino Linotype" w:hAnsi="Palatino Linotype" w:cs="Arial"/>
          <w:b/>
          <w:i/>
          <w:sz w:val="22"/>
          <w:szCs w:val="22"/>
        </w:rPr>
      </w:pPr>
      <w:r w:rsidRPr="001D57D4">
        <w:rPr>
          <w:rFonts w:ascii="Palatino Linotype" w:hAnsi="Palatino Linotype" w:cs="Arial"/>
          <w:i/>
          <w:sz w:val="22"/>
          <w:szCs w:val="22"/>
        </w:rPr>
        <w:t>III. Se generen versiones públicas para dar cumplimiento a las obligaciones de transparencia previstas en esta Ley.</w:t>
      </w:r>
      <w:r w:rsidRPr="001D57D4">
        <w:rPr>
          <w:rFonts w:ascii="Palatino Linotype" w:hAnsi="Palatino Linotype" w:cs="Arial"/>
          <w:b/>
          <w:i/>
          <w:sz w:val="22"/>
          <w:szCs w:val="22"/>
        </w:rPr>
        <w:t>”</w:t>
      </w:r>
    </w:p>
    <w:p w14:paraId="680CF91F" w14:textId="77777777" w:rsidR="00A34B9D" w:rsidRPr="001D57D4" w:rsidRDefault="00A34B9D" w:rsidP="001D57D4">
      <w:pPr>
        <w:ind w:left="851" w:right="902"/>
        <w:jc w:val="both"/>
        <w:rPr>
          <w:rFonts w:ascii="Palatino Linotype" w:hAnsi="Palatino Linotype" w:cs="Arial"/>
          <w:b/>
          <w:i/>
          <w:sz w:val="22"/>
          <w:szCs w:val="22"/>
        </w:rPr>
      </w:pPr>
    </w:p>
    <w:p w14:paraId="54BE12E5"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Segundo. -</w:t>
      </w:r>
      <w:r w:rsidRPr="001D57D4">
        <w:rPr>
          <w:rFonts w:ascii="Palatino Linotype" w:hAnsi="Palatino Linotype" w:cs="Arial"/>
          <w:i/>
          <w:sz w:val="22"/>
          <w:szCs w:val="22"/>
        </w:rPr>
        <w:t xml:space="preserve"> Para efectos de los presentes Lineamientos Generales, se entenderá por:</w:t>
      </w:r>
    </w:p>
    <w:p w14:paraId="1AE7C5F8"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XVIII.</w:t>
      </w:r>
      <w:r w:rsidRPr="001D57D4">
        <w:rPr>
          <w:rFonts w:ascii="Palatino Linotype" w:hAnsi="Palatino Linotype" w:cs="Arial"/>
          <w:i/>
          <w:sz w:val="22"/>
          <w:szCs w:val="22"/>
        </w:rPr>
        <w:t xml:space="preserve">  </w:t>
      </w:r>
      <w:r w:rsidRPr="001D57D4">
        <w:rPr>
          <w:rFonts w:ascii="Palatino Linotype" w:hAnsi="Palatino Linotype" w:cs="Arial"/>
          <w:b/>
          <w:i/>
          <w:sz w:val="22"/>
          <w:szCs w:val="22"/>
        </w:rPr>
        <w:t>Versión pública:</w:t>
      </w:r>
      <w:r w:rsidRPr="001D57D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8A2685A" w14:textId="77777777" w:rsidR="00A34B9D" w:rsidRPr="001D57D4" w:rsidRDefault="00A34B9D" w:rsidP="001D57D4">
      <w:pPr>
        <w:ind w:left="851" w:right="902"/>
        <w:jc w:val="both"/>
        <w:rPr>
          <w:rFonts w:ascii="Palatino Linotype" w:hAnsi="Palatino Linotype" w:cs="Arial"/>
          <w:i/>
          <w:sz w:val="22"/>
          <w:szCs w:val="22"/>
        </w:rPr>
      </w:pPr>
    </w:p>
    <w:p w14:paraId="198A1373" w14:textId="77777777" w:rsidR="00A34B9D" w:rsidRPr="001D57D4" w:rsidRDefault="00A34B9D" w:rsidP="001D57D4">
      <w:pPr>
        <w:tabs>
          <w:tab w:val="left" w:pos="8222"/>
        </w:tabs>
        <w:ind w:left="851" w:right="899"/>
        <w:jc w:val="center"/>
        <w:rPr>
          <w:rFonts w:ascii="Palatino Linotype" w:hAnsi="Palatino Linotype" w:cs="Arial"/>
          <w:b/>
          <w:i/>
          <w:sz w:val="22"/>
          <w:szCs w:val="22"/>
          <w:lang w:val="es-ES_tradnl" w:eastAsia="es-MX"/>
        </w:rPr>
      </w:pPr>
      <w:r w:rsidRPr="001D57D4">
        <w:rPr>
          <w:rFonts w:ascii="Palatino Linotype" w:hAnsi="Palatino Linotype" w:cs="Arial"/>
          <w:b/>
          <w:i/>
          <w:sz w:val="22"/>
          <w:szCs w:val="22"/>
          <w:lang w:val="es-ES_tradnl" w:eastAsia="es-MX"/>
        </w:rPr>
        <w:t xml:space="preserve">Lineamientos Generales en materia de Clasificación y Desclasificación de la </w:t>
      </w:r>
      <w:r w:rsidRPr="001D57D4">
        <w:rPr>
          <w:rFonts w:ascii="Palatino Linotype" w:hAnsi="Palatino Linotype" w:cs="Arial"/>
          <w:b/>
          <w:i/>
          <w:sz w:val="22"/>
          <w:szCs w:val="22"/>
          <w:lang w:val="es-ES_tradnl"/>
        </w:rPr>
        <w:t>Información</w:t>
      </w:r>
    </w:p>
    <w:p w14:paraId="6118D294" w14:textId="77777777" w:rsidR="00A34B9D" w:rsidRPr="001D57D4" w:rsidRDefault="00A34B9D" w:rsidP="001D57D4">
      <w:pPr>
        <w:ind w:left="851" w:right="902"/>
        <w:jc w:val="both"/>
        <w:rPr>
          <w:rFonts w:ascii="Palatino Linotype" w:hAnsi="Palatino Linotype" w:cs="Arial"/>
          <w:i/>
          <w:sz w:val="22"/>
          <w:szCs w:val="22"/>
        </w:rPr>
      </w:pPr>
    </w:p>
    <w:p w14:paraId="105373A0"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Cuarto.</w:t>
      </w:r>
      <w:r w:rsidRPr="001D57D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877E44"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503D8F0"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Quinto.</w:t>
      </w:r>
      <w:r w:rsidRPr="001D57D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A627C3"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Sexto.</w:t>
      </w:r>
      <w:r w:rsidRPr="001D57D4">
        <w:rPr>
          <w:rFonts w:ascii="Palatino Linotype" w:hAnsi="Palatino Linotype" w:cs="Arial"/>
          <w:i/>
          <w:sz w:val="22"/>
          <w:szCs w:val="22"/>
        </w:rPr>
        <w:t xml:space="preserve"> Se deroga.</w:t>
      </w:r>
    </w:p>
    <w:p w14:paraId="44501CA3"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Séptimo.</w:t>
      </w:r>
      <w:r w:rsidRPr="001D57D4">
        <w:rPr>
          <w:rFonts w:ascii="Palatino Linotype" w:hAnsi="Palatino Linotype" w:cs="Arial"/>
          <w:i/>
          <w:sz w:val="22"/>
          <w:szCs w:val="22"/>
        </w:rPr>
        <w:t xml:space="preserve"> La clasificación de la información se llevará a cabo en el momento en que:</w:t>
      </w:r>
    </w:p>
    <w:p w14:paraId="506766EA"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I.</w:t>
      </w:r>
      <w:r w:rsidRPr="001D57D4">
        <w:rPr>
          <w:rFonts w:ascii="Palatino Linotype" w:hAnsi="Palatino Linotype" w:cs="Arial"/>
          <w:i/>
          <w:sz w:val="22"/>
          <w:szCs w:val="22"/>
        </w:rPr>
        <w:t xml:space="preserve">        Se reciba una solicitud de acceso a la información;</w:t>
      </w:r>
    </w:p>
    <w:p w14:paraId="29E406B6"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II.</w:t>
      </w:r>
      <w:r w:rsidRPr="001D57D4">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2BE23695"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lastRenderedPageBreak/>
        <w:t>III.</w:t>
      </w:r>
      <w:r w:rsidRPr="001D57D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054AA07"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6B0B9559"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Octavo.</w:t>
      </w:r>
      <w:r w:rsidRPr="001D57D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66D6A20"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E8D0B98"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4028203"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Noveno.</w:t>
      </w:r>
      <w:r w:rsidRPr="001D57D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4284FC"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Décimo.</w:t>
      </w:r>
      <w:r w:rsidRPr="001D57D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5F46D80"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D197296" w14:textId="77777777" w:rsidR="00A34B9D" w:rsidRPr="001D57D4" w:rsidRDefault="00A34B9D" w:rsidP="001D57D4">
      <w:pPr>
        <w:ind w:left="851" w:right="899"/>
        <w:jc w:val="both"/>
        <w:rPr>
          <w:rFonts w:ascii="Palatino Linotype" w:hAnsi="Palatino Linotype" w:cs="Arial"/>
          <w:b/>
          <w:i/>
          <w:sz w:val="22"/>
          <w:szCs w:val="22"/>
        </w:rPr>
      </w:pPr>
      <w:r w:rsidRPr="001D57D4">
        <w:rPr>
          <w:rFonts w:ascii="Palatino Linotype" w:hAnsi="Palatino Linotype" w:cs="Arial"/>
          <w:b/>
          <w:i/>
          <w:sz w:val="22"/>
          <w:szCs w:val="22"/>
        </w:rPr>
        <w:t>Décimo primero.</w:t>
      </w:r>
      <w:r w:rsidRPr="001D57D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D57D4">
        <w:rPr>
          <w:rFonts w:ascii="Palatino Linotype" w:hAnsi="Palatino Linotype" w:cs="Arial"/>
          <w:b/>
          <w:i/>
          <w:sz w:val="22"/>
          <w:szCs w:val="22"/>
        </w:rPr>
        <w:t>”</w:t>
      </w:r>
    </w:p>
    <w:p w14:paraId="244DA8FB" w14:textId="77777777" w:rsidR="00A34B9D" w:rsidRPr="001D57D4" w:rsidRDefault="00A34B9D" w:rsidP="001D57D4">
      <w:pPr>
        <w:spacing w:line="360" w:lineRule="auto"/>
        <w:jc w:val="both"/>
        <w:rPr>
          <w:rFonts w:ascii="Palatino Linotype" w:hAnsi="Palatino Linotype"/>
        </w:rPr>
      </w:pPr>
    </w:p>
    <w:p w14:paraId="52585968" w14:textId="77777777" w:rsidR="00A34B9D" w:rsidRPr="001D57D4" w:rsidRDefault="00A34B9D" w:rsidP="001D57D4">
      <w:pPr>
        <w:widowControl w:val="0"/>
        <w:autoSpaceDE w:val="0"/>
        <w:autoSpaceDN w:val="0"/>
        <w:adjustRightInd w:val="0"/>
        <w:spacing w:line="360" w:lineRule="auto"/>
        <w:jc w:val="both"/>
        <w:rPr>
          <w:rFonts w:ascii="Palatino Linotype" w:hAnsi="Palatino Linotype" w:cs="Arial"/>
        </w:rPr>
      </w:pPr>
      <w:r w:rsidRPr="001D57D4">
        <w:rPr>
          <w:rFonts w:ascii="Palatino Linotype" w:hAnsi="Palatino Linotype" w:cs="Arial"/>
        </w:rPr>
        <w:t xml:space="preserve">En este contexto, el hecho de que la información pública solicitada contenga datos personales susceptibles de ser protegidos mediante su </w:t>
      </w:r>
      <w:r w:rsidRPr="001D57D4">
        <w:rPr>
          <w:rFonts w:ascii="Palatino Linotype" w:hAnsi="Palatino Linotype" w:cs="Arial"/>
          <w:b/>
        </w:rPr>
        <w:t>versión pública</w:t>
      </w:r>
      <w:r w:rsidRPr="001D57D4">
        <w:rPr>
          <w:rFonts w:ascii="Palatino Linotype" w:hAnsi="Palatino Linotype" w:cs="Arial"/>
        </w:rPr>
        <w:t xml:space="preserve">, ello no implica </w:t>
      </w:r>
      <w:r w:rsidRPr="001D57D4">
        <w:rPr>
          <w:rFonts w:ascii="Palatino Linotype" w:hAnsi="Palatino Linotype" w:cs="Arial"/>
        </w:rPr>
        <w:lastRenderedPageBreak/>
        <w:t xml:space="preserve">que esta </w:t>
      </w:r>
      <w:r w:rsidRPr="001D57D4">
        <w:rPr>
          <w:rFonts w:ascii="Palatino Linotype" w:hAnsi="Palatino Linotype"/>
        </w:rPr>
        <w:t>circunstancia</w:t>
      </w:r>
      <w:r w:rsidRPr="001D57D4">
        <w:rPr>
          <w:rFonts w:ascii="Palatino Linotype" w:hAnsi="Palatino Linotype" w:cs="Arial"/>
        </w:rPr>
        <w:t xml:space="preserve"> opere en </w:t>
      </w:r>
      <w:r w:rsidRPr="001D57D4">
        <w:rPr>
          <w:rFonts w:ascii="Palatino Linotype" w:hAnsi="Palatino Linotype"/>
        </w:rPr>
        <w:t>automático</w:t>
      </w:r>
      <w:r w:rsidRPr="001D57D4">
        <w:rPr>
          <w:rFonts w:ascii="Palatino Linotype" w:hAnsi="Palatino Linotype" w:cs="Arial"/>
        </w:rPr>
        <w:t>, sino que es necesario que el Comité de Transparencia del</w:t>
      </w:r>
      <w:r w:rsidRPr="001D57D4">
        <w:rPr>
          <w:rFonts w:ascii="Palatino Linotype" w:hAnsi="Palatino Linotype" w:cs="Arial"/>
          <w:b/>
        </w:rPr>
        <w:t xml:space="preserve"> SUJETO OBLIGADO </w:t>
      </w:r>
      <w:r w:rsidRPr="001D57D4">
        <w:rPr>
          <w:rFonts w:ascii="Palatino Linotype" w:hAnsi="Palatino Linotype" w:cs="Arial"/>
        </w:rPr>
        <w:t>emita el Acuerdo de Clasificación.</w:t>
      </w:r>
    </w:p>
    <w:p w14:paraId="226ADBC6" w14:textId="77777777" w:rsidR="00A34B9D" w:rsidRPr="001D57D4" w:rsidRDefault="00A34B9D" w:rsidP="001D57D4">
      <w:pPr>
        <w:widowControl w:val="0"/>
        <w:autoSpaceDE w:val="0"/>
        <w:autoSpaceDN w:val="0"/>
        <w:adjustRightInd w:val="0"/>
        <w:spacing w:line="360" w:lineRule="auto"/>
        <w:jc w:val="both"/>
        <w:rPr>
          <w:rFonts w:ascii="Palatino Linotype" w:hAnsi="Palatino Linotype" w:cs="Arial"/>
        </w:rPr>
      </w:pPr>
    </w:p>
    <w:p w14:paraId="787E1178" w14:textId="77777777" w:rsidR="00A34B9D" w:rsidRPr="001D57D4" w:rsidRDefault="00A34B9D" w:rsidP="001D57D4">
      <w:pPr>
        <w:spacing w:line="360" w:lineRule="auto"/>
        <w:jc w:val="both"/>
        <w:rPr>
          <w:rFonts w:ascii="Palatino Linotype" w:hAnsi="Palatino Linotype" w:cs="Arial"/>
        </w:rPr>
      </w:pPr>
      <w:r w:rsidRPr="001D57D4">
        <w:rPr>
          <w:rFonts w:ascii="Palatino Linotype" w:eastAsia="Arial Unicode MS" w:hAnsi="Palatino Linotype" w:cs="Arial"/>
        </w:rPr>
        <w:t>Por tanto, dicho Acuerdo debe</w:t>
      </w:r>
      <w:r w:rsidRPr="001D57D4">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177120EE" w14:textId="77777777" w:rsidR="00A34B9D" w:rsidRPr="001D57D4" w:rsidRDefault="00A34B9D" w:rsidP="001D57D4">
      <w:pPr>
        <w:ind w:left="851" w:right="901"/>
        <w:jc w:val="both"/>
        <w:rPr>
          <w:rFonts w:ascii="Palatino Linotype" w:hAnsi="Palatino Linotype" w:cs="Arial"/>
          <w:i/>
          <w:sz w:val="22"/>
          <w:szCs w:val="22"/>
          <w:lang w:val="es-ES" w:eastAsia="es-MX"/>
        </w:rPr>
      </w:pPr>
    </w:p>
    <w:p w14:paraId="6A091982" w14:textId="77777777" w:rsidR="00A34B9D" w:rsidRPr="001D57D4" w:rsidRDefault="00A34B9D" w:rsidP="001D57D4">
      <w:pPr>
        <w:ind w:left="851" w:right="901"/>
        <w:jc w:val="both"/>
        <w:rPr>
          <w:rFonts w:ascii="Palatino Linotype" w:hAnsi="Palatino Linotype" w:cs="Arial"/>
          <w:i/>
          <w:sz w:val="22"/>
          <w:szCs w:val="22"/>
        </w:rPr>
      </w:pPr>
      <w:r w:rsidRPr="001D57D4">
        <w:rPr>
          <w:rFonts w:ascii="Palatino Linotype" w:hAnsi="Palatino Linotype" w:cs="Arial"/>
          <w:i/>
          <w:sz w:val="22"/>
          <w:szCs w:val="22"/>
          <w:lang w:val="es-ES" w:eastAsia="es-MX"/>
        </w:rPr>
        <w:t>“</w:t>
      </w:r>
      <w:r w:rsidRPr="001D57D4">
        <w:rPr>
          <w:rFonts w:ascii="Palatino Linotype" w:hAnsi="Palatino Linotype" w:cs="Arial"/>
          <w:b/>
          <w:i/>
          <w:sz w:val="22"/>
          <w:szCs w:val="22"/>
          <w:lang w:val="es-ES" w:eastAsia="es-MX"/>
        </w:rPr>
        <w:t>Artículo 135.</w:t>
      </w:r>
      <w:r w:rsidRPr="001D57D4">
        <w:rPr>
          <w:rFonts w:ascii="Palatino Linotype" w:hAnsi="Palatino Linotype" w:cs="Arial"/>
          <w:i/>
          <w:sz w:val="22"/>
          <w:szCs w:val="22"/>
          <w:lang w:val="es-ES" w:eastAsia="es-MX"/>
        </w:rPr>
        <w:t xml:space="preserve"> Los </w:t>
      </w:r>
      <w:proofErr w:type="spellStart"/>
      <w:r w:rsidRPr="001D57D4">
        <w:rPr>
          <w:rFonts w:ascii="Palatino Linotype" w:hAnsi="Palatino Linotype" w:cs="Arial"/>
          <w:i/>
          <w:sz w:val="22"/>
          <w:szCs w:val="22"/>
          <w:lang w:val="es-ES" w:eastAsia="es-MX"/>
        </w:rPr>
        <w:t>lin</w:t>
      </w:r>
      <w:r w:rsidRPr="001D57D4">
        <w:rPr>
          <w:rFonts w:ascii="Palatino Linotype" w:hAnsi="Palatino Linotype" w:cs="Arial"/>
          <w:i/>
          <w:sz w:val="22"/>
          <w:szCs w:val="22"/>
        </w:rPr>
        <w:t>eamientos</w:t>
      </w:r>
      <w:proofErr w:type="spellEnd"/>
      <w:r w:rsidRPr="001D57D4">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14:paraId="7A248244" w14:textId="77777777" w:rsidR="00A34B9D" w:rsidRPr="001D57D4" w:rsidRDefault="00A34B9D" w:rsidP="001D57D4">
      <w:pPr>
        <w:ind w:left="851" w:right="901"/>
        <w:jc w:val="both"/>
        <w:rPr>
          <w:rFonts w:ascii="Palatino Linotype" w:hAnsi="Palatino Linotype" w:cs="Arial"/>
          <w:i/>
          <w:sz w:val="22"/>
          <w:szCs w:val="22"/>
        </w:rPr>
      </w:pPr>
      <w:r w:rsidRPr="001D57D4">
        <w:rPr>
          <w:rFonts w:ascii="Palatino Linotype" w:hAnsi="Palatino Linotype" w:cs="Arial"/>
          <w:i/>
          <w:sz w:val="22"/>
          <w:szCs w:val="22"/>
        </w:rPr>
        <w:t>…”</w:t>
      </w:r>
    </w:p>
    <w:p w14:paraId="65A65613" w14:textId="77777777" w:rsidR="00A34B9D" w:rsidRPr="001D57D4" w:rsidRDefault="00A34B9D" w:rsidP="001D57D4">
      <w:pPr>
        <w:widowControl w:val="0"/>
        <w:autoSpaceDE w:val="0"/>
        <w:autoSpaceDN w:val="0"/>
        <w:adjustRightInd w:val="0"/>
        <w:ind w:right="49"/>
        <w:jc w:val="both"/>
        <w:rPr>
          <w:rFonts w:ascii="Palatino Linotype" w:hAnsi="Palatino Linotype" w:cs="Arial"/>
          <w:sz w:val="22"/>
          <w:szCs w:val="22"/>
        </w:rPr>
      </w:pPr>
    </w:p>
    <w:p w14:paraId="3940FBFB" w14:textId="77777777" w:rsidR="00A34B9D" w:rsidRPr="001D57D4" w:rsidRDefault="00A34B9D" w:rsidP="001D57D4">
      <w:pPr>
        <w:spacing w:line="360" w:lineRule="auto"/>
        <w:jc w:val="both"/>
        <w:rPr>
          <w:rFonts w:ascii="Palatino Linotype" w:hAnsi="Palatino Linotype" w:cs="Arial"/>
        </w:rPr>
      </w:pPr>
      <w:r w:rsidRPr="001D57D4">
        <w:rPr>
          <w:rFonts w:ascii="Palatino Linotype" w:hAnsi="Palatino Linotype" w:cs="Arial"/>
        </w:rPr>
        <w:t>Lineamientos Generales en Materia de Clasificación y Desclasificación de la información, así como para la elaboración de Versiones Públicas.</w:t>
      </w:r>
    </w:p>
    <w:p w14:paraId="0D0FA74D" w14:textId="77777777" w:rsidR="00A34B9D" w:rsidRPr="001D57D4" w:rsidRDefault="00A34B9D" w:rsidP="001D57D4">
      <w:pPr>
        <w:widowControl w:val="0"/>
        <w:autoSpaceDE w:val="0"/>
        <w:autoSpaceDN w:val="0"/>
        <w:adjustRightInd w:val="0"/>
        <w:ind w:right="49"/>
        <w:jc w:val="both"/>
        <w:rPr>
          <w:rFonts w:ascii="Palatino Linotype" w:hAnsi="Palatino Linotype" w:cs="Arial"/>
          <w:sz w:val="22"/>
          <w:szCs w:val="22"/>
        </w:rPr>
      </w:pPr>
    </w:p>
    <w:p w14:paraId="2C91E3A8"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b/>
          <w:i/>
          <w:sz w:val="22"/>
          <w:szCs w:val="22"/>
        </w:rPr>
        <w:t>Octavo.</w:t>
      </w:r>
      <w:r w:rsidRPr="001D57D4">
        <w:rPr>
          <w:rFonts w:ascii="Palatino Linotype" w:hAnsi="Palatino Linotype" w:cs="Arial"/>
          <w:i/>
          <w:sz w:val="22"/>
          <w:szCs w:val="22"/>
        </w:rPr>
        <w:t xml:space="preserve"> </w:t>
      </w:r>
      <w:r w:rsidRPr="001D57D4">
        <w:rPr>
          <w:rFonts w:ascii="Palatino Linotype" w:hAnsi="Palatino Linotype" w:cs="Arial"/>
          <w:b/>
          <w:i/>
          <w:sz w:val="22"/>
          <w:szCs w:val="22"/>
        </w:rPr>
        <w:t>Para fundar la clasificación de la información se debe señalar el artículo, fracción, inciso, párrafo</w:t>
      </w:r>
      <w:r w:rsidRPr="001D57D4">
        <w:rPr>
          <w:rFonts w:ascii="Palatino Linotype" w:hAnsi="Palatino Linotype" w:cs="Arial"/>
          <w:i/>
          <w:sz w:val="22"/>
          <w:szCs w:val="22"/>
        </w:rPr>
        <w:t xml:space="preserve"> o numeral de la ley o tratado internacional suscrito por el Estado mexicano que </w:t>
      </w:r>
      <w:r w:rsidRPr="001D57D4">
        <w:rPr>
          <w:rFonts w:ascii="Palatino Linotype" w:hAnsi="Palatino Linotype" w:cs="Arial"/>
          <w:b/>
          <w:i/>
          <w:sz w:val="22"/>
          <w:szCs w:val="22"/>
        </w:rPr>
        <w:t>expresamente</w:t>
      </w:r>
      <w:r w:rsidRPr="001D57D4">
        <w:rPr>
          <w:rFonts w:ascii="Palatino Linotype" w:hAnsi="Palatino Linotype" w:cs="Arial"/>
          <w:i/>
          <w:sz w:val="22"/>
          <w:szCs w:val="22"/>
        </w:rPr>
        <w:t xml:space="preserve"> le otorga el carácter de reservada o confidencial.</w:t>
      </w:r>
    </w:p>
    <w:p w14:paraId="73D75DB9" w14:textId="77777777" w:rsidR="00A34B9D" w:rsidRPr="001D57D4" w:rsidRDefault="00A34B9D" w:rsidP="001D57D4">
      <w:pPr>
        <w:ind w:left="851" w:right="902"/>
        <w:jc w:val="both"/>
        <w:rPr>
          <w:rFonts w:ascii="Palatino Linotype" w:hAnsi="Palatino Linotype" w:cs="Arial"/>
          <w:i/>
          <w:sz w:val="22"/>
          <w:szCs w:val="22"/>
        </w:rPr>
      </w:pPr>
      <w:r w:rsidRPr="001D57D4">
        <w:rPr>
          <w:rFonts w:ascii="Palatino Linotype" w:hAnsi="Palatino Linotype" w:cs="Arial"/>
          <w:i/>
          <w:sz w:val="22"/>
          <w:szCs w:val="22"/>
        </w:rPr>
        <w:t xml:space="preserve">Para motivar la clasificación se deberán </w:t>
      </w:r>
      <w:r w:rsidRPr="001D57D4">
        <w:rPr>
          <w:rFonts w:ascii="Palatino Linotype" w:hAnsi="Palatino Linotype" w:cs="Arial"/>
          <w:b/>
          <w:i/>
          <w:sz w:val="22"/>
          <w:szCs w:val="22"/>
        </w:rPr>
        <w:t xml:space="preserve">señalar las razones o circunstancias especiales que lo llevaron a concluir que el caso particular se ajusta al supuesto previsto por la norma legal invocada </w:t>
      </w:r>
      <w:r w:rsidRPr="001D57D4">
        <w:rPr>
          <w:rFonts w:ascii="Palatino Linotype" w:hAnsi="Palatino Linotype" w:cs="Arial"/>
          <w:i/>
          <w:sz w:val="22"/>
          <w:szCs w:val="22"/>
        </w:rPr>
        <w:t>como fundamento.</w:t>
      </w:r>
    </w:p>
    <w:p w14:paraId="28337D2B" w14:textId="77777777" w:rsidR="00A34B9D" w:rsidRPr="001D57D4" w:rsidRDefault="00A34B9D" w:rsidP="001D57D4">
      <w:pPr>
        <w:ind w:left="851" w:right="901"/>
        <w:jc w:val="both"/>
        <w:rPr>
          <w:rFonts w:ascii="Palatino Linotype" w:hAnsi="Palatino Linotype" w:cs="Arial"/>
          <w:i/>
          <w:sz w:val="22"/>
          <w:szCs w:val="22"/>
        </w:rPr>
      </w:pPr>
      <w:r w:rsidRPr="001D57D4">
        <w:rPr>
          <w:rFonts w:ascii="Palatino Linotype" w:hAnsi="Palatino Linotype" w:cs="Arial"/>
          <w:i/>
          <w:sz w:val="22"/>
          <w:szCs w:val="22"/>
        </w:rPr>
        <w:t>…”</w:t>
      </w:r>
    </w:p>
    <w:p w14:paraId="5A5590F1" w14:textId="77777777" w:rsidR="00A34B9D" w:rsidRPr="001D57D4" w:rsidRDefault="00A34B9D" w:rsidP="001D57D4">
      <w:pPr>
        <w:ind w:left="851" w:right="901"/>
        <w:jc w:val="both"/>
        <w:rPr>
          <w:rFonts w:ascii="Palatino Linotype" w:hAnsi="Palatino Linotype" w:cs="Arial"/>
          <w:i/>
          <w:sz w:val="22"/>
          <w:szCs w:val="22"/>
        </w:rPr>
      </w:pPr>
      <w:r w:rsidRPr="001D57D4">
        <w:rPr>
          <w:rFonts w:ascii="Palatino Linotype" w:hAnsi="Palatino Linotype" w:cs="Arial"/>
          <w:i/>
          <w:sz w:val="22"/>
          <w:szCs w:val="22"/>
        </w:rPr>
        <w:t xml:space="preserve">(Énfasis añadido)  </w:t>
      </w:r>
    </w:p>
    <w:p w14:paraId="1FA661D7" w14:textId="77777777" w:rsidR="00A34B9D" w:rsidRPr="001D57D4" w:rsidRDefault="00A34B9D" w:rsidP="001D57D4">
      <w:pPr>
        <w:widowControl w:val="0"/>
        <w:autoSpaceDE w:val="0"/>
        <w:autoSpaceDN w:val="0"/>
        <w:adjustRightInd w:val="0"/>
        <w:ind w:left="709" w:right="757"/>
        <w:jc w:val="both"/>
        <w:rPr>
          <w:rFonts w:ascii="Palatino Linotype" w:hAnsi="Palatino Linotype" w:cs="Arial"/>
          <w:i/>
          <w:sz w:val="22"/>
          <w:szCs w:val="22"/>
        </w:rPr>
      </w:pPr>
    </w:p>
    <w:p w14:paraId="4D044B59" w14:textId="77777777" w:rsidR="00A34B9D" w:rsidRPr="001D57D4" w:rsidRDefault="00A34B9D" w:rsidP="001D57D4">
      <w:pPr>
        <w:autoSpaceDE w:val="0"/>
        <w:autoSpaceDN w:val="0"/>
        <w:adjustRightInd w:val="0"/>
        <w:spacing w:line="360" w:lineRule="auto"/>
        <w:jc w:val="both"/>
        <w:rPr>
          <w:rFonts w:ascii="Palatino Linotype" w:eastAsia="Arial Unicode MS" w:hAnsi="Palatino Linotype" w:cs="Arial"/>
          <w:lang w:val="es-ES"/>
        </w:rPr>
      </w:pPr>
      <w:r w:rsidRPr="001D57D4">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w:t>
      </w:r>
      <w:r w:rsidRPr="001D57D4">
        <w:rPr>
          <w:rFonts w:ascii="Palatino Linotype" w:eastAsia="Arial Unicode MS" w:hAnsi="Palatino Linotype" w:cs="Arial"/>
          <w:lang w:val="es-ES"/>
        </w:rPr>
        <w:lastRenderedPageBreak/>
        <w:t xml:space="preserve">artículo 4, fracción XI, de la Ley de Protección de Datos Personales en Posesión de Sujetos Obligados del Estado de México y Municipios; por consiguiente, se trata de información confidencial, que debe ser protegida por </w:t>
      </w:r>
      <w:r w:rsidRPr="001D57D4">
        <w:rPr>
          <w:rFonts w:ascii="Palatino Linotype" w:eastAsia="Arial Unicode MS" w:hAnsi="Palatino Linotype" w:cs="Arial"/>
          <w:b/>
          <w:lang w:eastAsia="es-MX"/>
        </w:rPr>
        <w:t>EL SUJETO OBLIGADO</w:t>
      </w:r>
      <w:r w:rsidRPr="001D57D4">
        <w:rPr>
          <w:rFonts w:ascii="Palatino Linotype" w:eastAsia="Arial Unicode MS" w:hAnsi="Palatino Linotype" w:cs="Arial"/>
          <w:lang w:val="es-ES"/>
        </w:rPr>
        <w:t xml:space="preserve">, en ese contexto, todo dato personal susceptible de clasificación debe ser protegido. </w:t>
      </w:r>
    </w:p>
    <w:p w14:paraId="38CB71CB" w14:textId="77777777" w:rsidR="00A34B9D" w:rsidRPr="001D57D4" w:rsidRDefault="00A34B9D" w:rsidP="001D57D4">
      <w:pPr>
        <w:autoSpaceDE w:val="0"/>
        <w:autoSpaceDN w:val="0"/>
        <w:adjustRightInd w:val="0"/>
        <w:spacing w:line="360" w:lineRule="auto"/>
        <w:jc w:val="both"/>
        <w:rPr>
          <w:rFonts w:ascii="Palatino Linotype" w:eastAsia="Arial Unicode MS" w:hAnsi="Palatino Linotype" w:cs="Arial"/>
          <w:lang w:val="es-ES"/>
        </w:rPr>
      </w:pPr>
    </w:p>
    <w:p w14:paraId="6FD95821" w14:textId="77777777" w:rsidR="00A34B9D" w:rsidRPr="001D57D4" w:rsidRDefault="00A34B9D" w:rsidP="001D57D4">
      <w:pPr>
        <w:autoSpaceDE w:val="0"/>
        <w:autoSpaceDN w:val="0"/>
        <w:adjustRightInd w:val="0"/>
        <w:spacing w:line="360" w:lineRule="auto"/>
        <w:jc w:val="both"/>
        <w:rPr>
          <w:rFonts w:ascii="Palatino Linotype" w:hAnsi="Palatino Linotype" w:cs="Arial"/>
          <w:lang w:val="es-ES"/>
        </w:rPr>
      </w:pPr>
      <w:r w:rsidRPr="001D57D4">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016CC99" w14:textId="77777777" w:rsidR="00A34B9D" w:rsidRPr="001D57D4" w:rsidRDefault="00A34B9D" w:rsidP="001D57D4">
      <w:pPr>
        <w:autoSpaceDE w:val="0"/>
        <w:autoSpaceDN w:val="0"/>
        <w:adjustRightInd w:val="0"/>
        <w:jc w:val="both"/>
        <w:rPr>
          <w:rFonts w:ascii="Palatino Linotype" w:hAnsi="Palatino Linotype" w:cs="Arial"/>
          <w:lang w:val="es-ES"/>
        </w:rPr>
      </w:pPr>
    </w:p>
    <w:p w14:paraId="05B3BE8F" w14:textId="77777777" w:rsidR="00A34B9D" w:rsidRPr="001D57D4" w:rsidRDefault="00A34B9D" w:rsidP="001D57D4">
      <w:pPr>
        <w:ind w:left="851" w:right="901"/>
        <w:jc w:val="both"/>
        <w:rPr>
          <w:rFonts w:ascii="Palatino Linotype" w:hAnsi="Palatino Linotype" w:cs="Arial"/>
          <w:b/>
          <w:i/>
          <w:sz w:val="22"/>
          <w:lang w:eastAsia="es-MX"/>
        </w:rPr>
      </w:pPr>
      <w:r w:rsidRPr="001D57D4">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D57D4">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1D57D4">
        <w:rPr>
          <w:rFonts w:ascii="Palatino Linotype" w:hAnsi="Palatino Linotype" w:cs="Arial"/>
          <w:b/>
          <w:i/>
          <w:sz w:val="22"/>
          <w:lang w:eastAsia="es-MX"/>
        </w:rPr>
        <w:t>"</w:t>
      </w:r>
    </w:p>
    <w:p w14:paraId="5BA23789" w14:textId="77777777" w:rsidR="00A34B9D" w:rsidRPr="001D57D4" w:rsidRDefault="00A34B9D" w:rsidP="001D57D4">
      <w:pPr>
        <w:jc w:val="both"/>
        <w:rPr>
          <w:rFonts w:ascii="Palatino Linotype" w:hAnsi="Palatino Linotype" w:cs="Arial"/>
          <w:i/>
          <w:lang w:eastAsia="es-MX"/>
        </w:rPr>
      </w:pPr>
    </w:p>
    <w:p w14:paraId="7939641E" w14:textId="77777777" w:rsidR="00A34B9D" w:rsidRPr="001D57D4" w:rsidRDefault="00A34B9D" w:rsidP="001D57D4">
      <w:pPr>
        <w:spacing w:line="360" w:lineRule="auto"/>
        <w:jc w:val="both"/>
        <w:rPr>
          <w:rFonts w:ascii="Palatino Linotype" w:hAnsi="Palatino Linotype" w:cs="Arial"/>
          <w:lang w:eastAsia="es-MX"/>
        </w:rPr>
      </w:pPr>
      <w:r w:rsidRPr="001D57D4">
        <w:rPr>
          <w:rFonts w:ascii="Palatino Linotype" w:hAnsi="Palatino Linotype" w:cs="Arial"/>
        </w:rPr>
        <w:lastRenderedPageBreak/>
        <w:t xml:space="preserve">Por ende, en el presente caso, </w:t>
      </w:r>
      <w:r w:rsidRPr="001D57D4">
        <w:rPr>
          <w:rFonts w:ascii="Palatino Linotype" w:hAnsi="Palatino Linotype" w:cs="Arial"/>
          <w:b/>
        </w:rPr>
        <w:t>EL SUJETO OBLIGADO</w:t>
      </w:r>
      <w:r w:rsidRPr="001D57D4">
        <w:rPr>
          <w:rFonts w:ascii="Palatino Linotype" w:hAnsi="Palatino Linotype" w:cs="Arial"/>
        </w:rPr>
        <w:t xml:space="preserve"> debe </w:t>
      </w:r>
      <w:r w:rsidRPr="001D57D4">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1D57D4">
        <w:rPr>
          <w:rFonts w:ascii="Palatino Linotype" w:hAnsi="Palatino Linotype" w:cs="Arial"/>
          <w:b/>
          <w:lang w:eastAsia="es-MX"/>
        </w:rPr>
        <w:t>EL SUJETO OBLIGADO</w:t>
      </w:r>
      <w:r w:rsidRPr="001D57D4">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1D57D4">
        <w:rPr>
          <w:rFonts w:ascii="Palatino Linotype" w:hAnsi="Palatino Linotype" w:cs="Arial"/>
          <w:b/>
          <w:lang w:eastAsia="es-MX"/>
        </w:rPr>
        <w:t>SUJETO OBLIGADO</w:t>
      </w:r>
      <w:r w:rsidRPr="001D57D4">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9C2C95D" w14:textId="77777777" w:rsidR="00A34B9D" w:rsidRPr="001D57D4" w:rsidRDefault="00A34B9D" w:rsidP="001D57D4">
      <w:pPr>
        <w:spacing w:line="360" w:lineRule="auto"/>
        <w:jc w:val="both"/>
        <w:rPr>
          <w:rFonts w:ascii="Palatino Linotype" w:hAnsi="Palatino Linotype" w:cs="Arial"/>
        </w:rPr>
      </w:pPr>
      <w:r w:rsidRPr="001D57D4">
        <w:rPr>
          <w:rFonts w:ascii="Palatino Linotype" w:eastAsia="Calibri" w:hAnsi="Palatino Linotype"/>
        </w:rPr>
        <w:t xml:space="preserve">Así, es que </w:t>
      </w:r>
      <w:r w:rsidRPr="001D57D4">
        <w:rPr>
          <w:rFonts w:ascii="Palatino Linotype" w:eastAsia="Calibri" w:hAnsi="Palatino Linotype"/>
          <w:b/>
        </w:rPr>
        <w:t>EL SUJETO OBLIGADO</w:t>
      </w:r>
      <w:r w:rsidRPr="001D57D4">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1D57D4">
        <w:rPr>
          <w:rFonts w:ascii="Palatino Linotype" w:hAnsi="Palatino Linotype" w:cs="Arial"/>
        </w:rPr>
        <w:t xml:space="preserve"> es claro que el mismo debe aplicar de manera restrictiva y limitada las hipótesis de clasificación y no hacerlas valer </w:t>
      </w:r>
      <w:r w:rsidRPr="001D57D4">
        <w:rPr>
          <w:rFonts w:ascii="Palatino Linotype" w:hAnsi="Palatino Linotype" w:cs="Arial"/>
        </w:rPr>
        <w:lastRenderedPageBreak/>
        <w:t>de manera general. Es importante señalar que, para acreditar dichos supuestos jurídicos se debe fundar y motivar correctamente la categorización de la información.</w:t>
      </w:r>
    </w:p>
    <w:p w14:paraId="30B3AF01" w14:textId="77777777" w:rsidR="00A34B9D" w:rsidRPr="001D57D4" w:rsidRDefault="00A34B9D" w:rsidP="001D57D4">
      <w:pPr>
        <w:spacing w:line="360" w:lineRule="auto"/>
        <w:jc w:val="both"/>
        <w:rPr>
          <w:rFonts w:ascii="Palatino Linotype" w:hAnsi="Palatino Linotype" w:cs="Arial"/>
        </w:rPr>
      </w:pPr>
    </w:p>
    <w:p w14:paraId="784D985F" w14:textId="77777777" w:rsidR="00A34B9D" w:rsidRPr="001D57D4" w:rsidRDefault="00A34B9D" w:rsidP="001D57D4">
      <w:pPr>
        <w:spacing w:line="360" w:lineRule="auto"/>
        <w:jc w:val="both"/>
        <w:rPr>
          <w:rFonts w:ascii="Palatino Linotype" w:hAnsi="Palatino Linotype" w:cs="Arial"/>
        </w:rPr>
      </w:pPr>
      <w:r w:rsidRPr="001D57D4">
        <w:rPr>
          <w:rFonts w:ascii="Palatino Linotype" w:hAnsi="Palatino Linotype" w:cs="Arial"/>
        </w:rPr>
        <w:t>Lo anterior, atiendo lo señalado en el artículo 149 de la Ley de Transparencia Local, cuyo contenido es de la literalidad siguiente:</w:t>
      </w:r>
    </w:p>
    <w:p w14:paraId="53DB5AA3" w14:textId="77777777" w:rsidR="00A34B9D" w:rsidRPr="001D57D4" w:rsidRDefault="00A34B9D" w:rsidP="001D57D4">
      <w:pPr>
        <w:jc w:val="both"/>
        <w:rPr>
          <w:rFonts w:ascii="Palatino Linotype" w:hAnsi="Palatino Linotype"/>
        </w:rPr>
      </w:pPr>
    </w:p>
    <w:p w14:paraId="21310F3C" w14:textId="77777777" w:rsidR="00A34B9D" w:rsidRPr="001D57D4" w:rsidRDefault="00A34B9D" w:rsidP="001D57D4">
      <w:pPr>
        <w:ind w:left="993" w:right="1041"/>
        <w:jc w:val="both"/>
        <w:rPr>
          <w:rFonts w:ascii="Palatino Linotype" w:hAnsi="Palatino Linotype"/>
          <w:i/>
          <w:sz w:val="22"/>
          <w:szCs w:val="22"/>
        </w:rPr>
      </w:pPr>
      <w:r w:rsidRPr="001D57D4">
        <w:rPr>
          <w:rFonts w:ascii="Palatino Linotype" w:hAnsi="Palatino Linotype"/>
          <w:i/>
          <w:sz w:val="22"/>
          <w:szCs w:val="22"/>
        </w:rPr>
        <w:t>“</w:t>
      </w:r>
      <w:r w:rsidRPr="001D57D4">
        <w:rPr>
          <w:rFonts w:ascii="Palatino Linotype" w:hAnsi="Palatino Linotype"/>
          <w:b/>
          <w:i/>
          <w:sz w:val="22"/>
          <w:szCs w:val="22"/>
        </w:rPr>
        <w:t>Artículo 149.</w:t>
      </w:r>
      <w:r w:rsidRPr="001D57D4">
        <w:rPr>
          <w:rFonts w:ascii="Palatino Linotype" w:hAnsi="Palatino Linotype"/>
          <w:i/>
          <w:sz w:val="22"/>
          <w:szCs w:val="22"/>
        </w:rPr>
        <w:t xml:space="preserve"> El </w:t>
      </w:r>
      <w:r w:rsidRPr="001D57D4">
        <w:rPr>
          <w:rFonts w:ascii="Palatino Linotype" w:hAnsi="Palatino Linotype"/>
          <w:b/>
          <w:i/>
          <w:sz w:val="22"/>
          <w:szCs w:val="22"/>
        </w:rPr>
        <w:t>acuerdo que clasifique la información como confidencial</w:t>
      </w:r>
      <w:r w:rsidRPr="001D57D4">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2223979" w14:textId="77777777" w:rsidR="00A34B9D" w:rsidRPr="001D57D4" w:rsidRDefault="00A34B9D" w:rsidP="001D57D4">
      <w:pPr>
        <w:jc w:val="both"/>
        <w:rPr>
          <w:rFonts w:ascii="Palatino Linotype" w:hAnsi="Palatino Linotype" w:cs="Arial"/>
        </w:rPr>
      </w:pPr>
    </w:p>
    <w:p w14:paraId="2603DE81" w14:textId="77777777" w:rsidR="00A34B9D" w:rsidRPr="001D57D4" w:rsidRDefault="00A34B9D" w:rsidP="001D57D4">
      <w:pPr>
        <w:spacing w:after="160" w:line="360" w:lineRule="auto"/>
        <w:contextualSpacing/>
        <w:jc w:val="both"/>
        <w:rPr>
          <w:rFonts w:ascii="Palatino Linotype" w:hAnsi="Palatino Linotype" w:cs="Tahoma"/>
          <w:bCs/>
        </w:rPr>
      </w:pPr>
      <w:r w:rsidRPr="001D57D4">
        <w:rPr>
          <w:rFonts w:ascii="Palatino Linotype" w:hAnsi="Palatino Linotype"/>
        </w:rPr>
        <w:t xml:space="preserve">Asimismo, es necesario destacar que </w:t>
      </w:r>
      <w:r w:rsidRPr="001D57D4">
        <w:rPr>
          <w:rFonts w:ascii="Palatino Linotype" w:hAnsi="Palatino Linotype"/>
          <w:b/>
        </w:rPr>
        <w:t xml:space="preserve">EL SUJETO OBLIGADO </w:t>
      </w:r>
      <w:r w:rsidRPr="001D57D4">
        <w:rPr>
          <w:rFonts w:ascii="Palatino Linotype" w:hAnsi="Palatino Linotype"/>
        </w:rPr>
        <w:t xml:space="preserve">testó </w:t>
      </w:r>
      <w:r w:rsidRPr="001D57D4">
        <w:rPr>
          <w:rFonts w:ascii="Palatino Linotype" w:hAnsi="Palatino Linotype" w:cs="Tahoma"/>
          <w:bCs/>
        </w:rPr>
        <w:t>la información relativa al</w:t>
      </w:r>
      <w:r w:rsidRPr="001D57D4">
        <w:rPr>
          <w:rFonts w:ascii="Palatino Linotype" w:hAnsi="Palatino Linotype" w:cs="Tahoma"/>
          <w:b/>
          <w:bCs/>
        </w:rPr>
        <w:t xml:space="preserve"> Folio Fiscal, Sellos digitales del emisor, del Servicio de Administración Tributaria y cadena original del complemento de certificación digital del órgano previamente señalado; así como sus respectivos números de serie de los certificados de sellos digitales, </w:t>
      </w:r>
      <w:r w:rsidRPr="001D57D4">
        <w:rPr>
          <w:rFonts w:ascii="Palatino Linotype" w:hAnsi="Palatino Linotype" w:cs="Tahoma"/>
          <w:bCs/>
        </w:rPr>
        <w:t xml:space="preserve">para mayor referencia se inserta la siguiente imagen: </w:t>
      </w:r>
    </w:p>
    <w:p w14:paraId="7D7BC4F7" w14:textId="77777777" w:rsidR="00A34B9D" w:rsidRPr="001D57D4" w:rsidRDefault="00A34B9D" w:rsidP="001D57D4">
      <w:pPr>
        <w:spacing w:after="160" w:line="360" w:lineRule="auto"/>
        <w:contextualSpacing/>
        <w:jc w:val="both"/>
        <w:rPr>
          <w:rFonts w:ascii="Palatino Linotype" w:hAnsi="Palatino Linotype" w:cs="Tahoma"/>
          <w:bCs/>
        </w:rPr>
      </w:pPr>
    </w:p>
    <w:p w14:paraId="10402A39" w14:textId="12AD0366" w:rsidR="00A34B9D" w:rsidRPr="001D57D4" w:rsidRDefault="001A440D" w:rsidP="001D57D4">
      <w:pPr>
        <w:spacing w:after="160" w:line="360" w:lineRule="auto"/>
        <w:contextualSpacing/>
        <w:jc w:val="both"/>
        <w:rPr>
          <w:rFonts w:ascii="Palatino Linotype" w:hAnsi="Palatino Linotype" w:cs="Tahoma"/>
          <w:b/>
          <w:bCs/>
        </w:rPr>
      </w:pPr>
      <w:r w:rsidRPr="001D57D4">
        <w:rPr>
          <w:rFonts w:ascii="Palatino Linotype" w:hAnsi="Palatino Linotype" w:cs="Tahoma"/>
          <w:b/>
          <w:bCs/>
          <w:noProof/>
          <w:lang w:eastAsia="es-MX"/>
        </w:rPr>
        <w:lastRenderedPageBreak/>
        <w:drawing>
          <wp:inline distT="0" distB="0" distL="0" distR="0" wp14:anchorId="2E5DC405" wp14:editId="747A4B70">
            <wp:extent cx="5781675" cy="3514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3514725"/>
                    </a:xfrm>
                    <a:prstGeom prst="rect">
                      <a:avLst/>
                    </a:prstGeom>
                    <a:noFill/>
                    <a:ln>
                      <a:noFill/>
                    </a:ln>
                  </pic:spPr>
                </pic:pic>
              </a:graphicData>
            </a:graphic>
          </wp:inline>
        </w:drawing>
      </w:r>
    </w:p>
    <w:p w14:paraId="08A0952B" w14:textId="77777777" w:rsidR="00A34B9D" w:rsidRPr="001D57D4" w:rsidRDefault="00A34B9D" w:rsidP="001D57D4">
      <w:pPr>
        <w:spacing w:line="360" w:lineRule="auto"/>
        <w:jc w:val="both"/>
        <w:rPr>
          <w:rFonts w:ascii="Palatino Linotype" w:hAnsi="Palatino Linotype"/>
        </w:rPr>
      </w:pPr>
    </w:p>
    <w:p w14:paraId="1387388A" w14:textId="77777777" w:rsidR="00A34B9D" w:rsidRPr="001D57D4" w:rsidRDefault="00A34B9D" w:rsidP="001D57D4">
      <w:pPr>
        <w:spacing w:line="360" w:lineRule="auto"/>
        <w:contextualSpacing/>
        <w:jc w:val="both"/>
        <w:rPr>
          <w:rFonts w:ascii="Palatino Linotype" w:hAnsi="Palatino Linotype" w:cs="Tahoma"/>
          <w:bCs/>
          <w:szCs w:val="22"/>
          <w:lang w:val="es-ES"/>
        </w:rPr>
      </w:pPr>
      <w:r w:rsidRPr="001D57D4">
        <w:rPr>
          <w:rFonts w:ascii="Palatino Linotype" w:hAnsi="Palatino Linotype" w:cs="Tahoma"/>
          <w:bCs/>
          <w:szCs w:val="22"/>
          <w:lang w:val="es-ES"/>
        </w:rPr>
        <w:t xml:space="preserve">Sin embargo, cabe señalar que,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w:t>
      </w:r>
      <w:r w:rsidRPr="001D57D4">
        <w:rPr>
          <w:rFonts w:ascii="Palatino Linotype" w:hAnsi="Palatino Linotype" w:cs="Tahoma"/>
          <w:bCs/>
          <w:szCs w:val="22"/>
          <w:lang w:val="es-ES"/>
        </w:rPr>
        <w:lastRenderedPageBreak/>
        <w:t>personal de los contribuyentes, esta se encuentra encriptada como se verá a continuación.</w:t>
      </w:r>
    </w:p>
    <w:p w14:paraId="4590B629" w14:textId="77777777" w:rsidR="00A34B9D" w:rsidRPr="001D57D4" w:rsidRDefault="00A34B9D" w:rsidP="001D57D4">
      <w:pPr>
        <w:spacing w:line="360" w:lineRule="auto"/>
        <w:contextualSpacing/>
        <w:jc w:val="both"/>
        <w:rPr>
          <w:rFonts w:ascii="Palatino Linotype" w:hAnsi="Palatino Linotype" w:cs="Tahoma"/>
          <w:bCs/>
          <w:szCs w:val="22"/>
          <w:lang w:val="es-ES"/>
        </w:rPr>
      </w:pPr>
      <w:r w:rsidRPr="001D57D4">
        <w:rPr>
          <w:rFonts w:ascii="Palatino Linotype" w:hAnsi="Palatino Linotype" w:cs="Tahoma"/>
          <w:bCs/>
          <w:szCs w:val="22"/>
          <w:lang w:val="es-ES"/>
        </w:rPr>
        <w:t> </w:t>
      </w:r>
    </w:p>
    <w:p w14:paraId="043B6D64" w14:textId="39EADED5" w:rsidR="00A34B9D" w:rsidRPr="001D57D4" w:rsidRDefault="00A34B9D" w:rsidP="001D57D4">
      <w:pPr>
        <w:spacing w:line="360" w:lineRule="auto"/>
        <w:contextualSpacing/>
        <w:jc w:val="both"/>
        <w:rPr>
          <w:rFonts w:ascii="Palatino Linotype" w:hAnsi="Palatino Linotype" w:cs="Tahoma"/>
          <w:bCs/>
          <w:szCs w:val="22"/>
          <w:lang w:val="es-ES"/>
        </w:rPr>
      </w:pPr>
      <w:r w:rsidRPr="001D57D4">
        <w:rPr>
          <w:rFonts w:ascii="Palatino Linotype" w:hAnsi="Palatino Linotype" w:cs="Tahoma"/>
          <w:szCs w:val="22"/>
          <w:lang w:val="es-ES"/>
        </w:rPr>
        <w:t>Las cadenas originales y sellos que se agregan a las facturas</w:t>
      </w:r>
      <w:r w:rsidRPr="001D57D4">
        <w:rPr>
          <w:rFonts w:ascii="Palatino Linotype" w:hAnsi="Palatino Linotype" w:cs="Tahoma"/>
          <w:bCs/>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w:t>
      </w:r>
      <w:r w:rsidR="004948F4" w:rsidRPr="001D57D4">
        <w:rPr>
          <w:rFonts w:ascii="Palatino Linotype" w:hAnsi="Palatino Linotype" w:cs="Tahoma"/>
          <w:bCs/>
          <w:szCs w:val="22"/>
          <w:lang w:val="es-ES"/>
        </w:rPr>
        <w:t>ha información está encriptada.</w:t>
      </w:r>
    </w:p>
    <w:p w14:paraId="76E05251" w14:textId="77777777" w:rsidR="00A34B9D" w:rsidRPr="001D57D4" w:rsidRDefault="00A34B9D" w:rsidP="001D57D4">
      <w:pPr>
        <w:ind w:left="567" w:right="539"/>
        <w:jc w:val="both"/>
        <w:rPr>
          <w:rFonts w:ascii="Palatino Linotype" w:eastAsia="Calibri" w:hAnsi="Palatino Linotype" w:cs="Tahoma"/>
          <w:bCs/>
          <w:i/>
          <w:sz w:val="20"/>
          <w:szCs w:val="20"/>
          <w:lang w:val="es-ES" w:eastAsia="en-US"/>
        </w:rPr>
      </w:pPr>
      <w:r w:rsidRPr="001D57D4">
        <w:rPr>
          <w:rFonts w:ascii="Palatino Linotype" w:eastAsia="Calibri" w:hAnsi="Palatino Linotype" w:cs="Tahoma"/>
          <w:bCs/>
          <w:i/>
          <w:sz w:val="20"/>
          <w:szCs w:val="20"/>
          <w:lang w:val="es-ES" w:eastAsia="en-US"/>
        </w:rPr>
        <w:t>“…</w:t>
      </w:r>
    </w:p>
    <w:p w14:paraId="16C2E816" w14:textId="77777777" w:rsidR="00A34B9D" w:rsidRPr="001D57D4" w:rsidRDefault="00A34B9D" w:rsidP="001D57D4">
      <w:pPr>
        <w:ind w:left="567" w:right="539"/>
        <w:jc w:val="both"/>
        <w:rPr>
          <w:rFonts w:ascii="Palatino Linotype" w:eastAsia="Calibri" w:hAnsi="Palatino Linotype" w:cs="Tahoma"/>
          <w:bCs/>
          <w:i/>
          <w:sz w:val="20"/>
          <w:szCs w:val="20"/>
          <w:lang w:val="es-ES" w:eastAsia="en-US"/>
        </w:rPr>
      </w:pPr>
      <w:r w:rsidRPr="001D57D4">
        <w:rPr>
          <w:rFonts w:ascii="Palatino Linotype" w:eastAsia="Calibri" w:hAnsi="Palatino Linotype" w:cs="Tahoma"/>
          <w:bCs/>
          <w:i/>
          <w:sz w:val="20"/>
          <w:szCs w:val="20"/>
          <w:lang w:val="es-ES" w:eastAsia="en-US"/>
        </w:rPr>
        <w:t>Elementos utilizados en la generación de Sellos Digitales:</w:t>
      </w:r>
    </w:p>
    <w:p w14:paraId="4E4E54CE" w14:textId="77777777" w:rsidR="00A34B9D" w:rsidRPr="001D57D4" w:rsidRDefault="00A34B9D" w:rsidP="001D57D4">
      <w:pPr>
        <w:ind w:left="567" w:right="539"/>
        <w:jc w:val="both"/>
        <w:rPr>
          <w:rFonts w:ascii="Palatino Linotype" w:eastAsia="Calibri" w:hAnsi="Palatino Linotype" w:cs="Tahoma"/>
          <w:bCs/>
          <w:i/>
          <w:sz w:val="20"/>
          <w:szCs w:val="20"/>
          <w:lang w:val="es-ES" w:eastAsia="en-US"/>
        </w:rPr>
      </w:pPr>
      <w:r w:rsidRPr="001D57D4">
        <w:rPr>
          <w:rFonts w:ascii="Palatino Linotype" w:eastAsia="Calibri" w:hAnsi="Palatino Linotype" w:cs="Tahoma"/>
          <w:bCs/>
          <w:i/>
          <w:sz w:val="20"/>
          <w:szCs w:val="20"/>
          <w:lang w:val="es-ES" w:eastAsia="en-US"/>
        </w:rPr>
        <w:t>•</w:t>
      </w:r>
      <w:r w:rsidRPr="001D57D4">
        <w:rPr>
          <w:rFonts w:ascii="Palatino Linotype" w:eastAsia="Calibri" w:hAnsi="Palatino Linotype" w:cs="Tahoma"/>
          <w:bCs/>
          <w:i/>
          <w:sz w:val="20"/>
          <w:szCs w:val="20"/>
          <w:lang w:val="es-ES" w:eastAsia="en-US"/>
        </w:rPr>
        <w:tab/>
        <w:t>Cadena Original, el elemento a sellar, en este caso de un comprobante fiscal digital a través de Internet.</w:t>
      </w:r>
    </w:p>
    <w:p w14:paraId="2E18413F" w14:textId="77777777" w:rsidR="00A34B9D" w:rsidRPr="001D57D4" w:rsidRDefault="00A34B9D" w:rsidP="001D57D4">
      <w:pPr>
        <w:ind w:left="567" w:right="539"/>
        <w:jc w:val="both"/>
        <w:rPr>
          <w:rFonts w:ascii="Palatino Linotype" w:eastAsia="Calibri" w:hAnsi="Palatino Linotype" w:cs="Tahoma"/>
          <w:bCs/>
          <w:i/>
          <w:sz w:val="20"/>
          <w:szCs w:val="20"/>
          <w:lang w:val="es-ES" w:eastAsia="en-US"/>
        </w:rPr>
      </w:pPr>
      <w:r w:rsidRPr="001D57D4">
        <w:rPr>
          <w:rFonts w:ascii="Palatino Linotype" w:eastAsia="Calibri" w:hAnsi="Palatino Linotype" w:cs="Tahoma"/>
          <w:bCs/>
          <w:i/>
          <w:sz w:val="20"/>
          <w:szCs w:val="20"/>
          <w:lang w:val="es-ES" w:eastAsia="en-US"/>
        </w:rPr>
        <w:t>•</w:t>
      </w:r>
      <w:r w:rsidRPr="001D57D4">
        <w:rPr>
          <w:rFonts w:ascii="Palatino Linotype" w:eastAsia="Calibri" w:hAnsi="Palatino Linotype" w:cs="Tahoma"/>
          <w:bCs/>
          <w:i/>
          <w:sz w:val="20"/>
          <w:szCs w:val="20"/>
          <w:lang w:val="es-ES" w:eastAsia="en-US"/>
        </w:rPr>
        <w:tab/>
        <w:t>Certificado de Sello Digital y su correspondiente clave privada.</w:t>
      </w:r>
    </w:p>
    <w:p w14:paraId="738BE2A1" w14:textId="77777777" w:rsidR="00A34B9D" w:rsidRPr="001D57D4" w:rsidRDefault="00A34B9D" w:rsidP="001D57D4">
      <w:pPr>
        <w:ind w:left="567" w:right="539"/>
        <w:jc w:val="both"/>
        <w:rPr>
          <w:rFonts w:ascii="Palatino Linotype" w:eastAsia="Calibri" w:hAnsi="Palatino Linotype" w:cs="Tahoma"/>
          <w:bCs/>
          <w:i/>
          <w:sz w:val="20"/>
          <w:szCs w:val="20"/>
          <w:lang w:val="es-ES" w:eastAsia="en-US"/>
        </w:rPr>
      </w:pPr>
      <w:r w:rsidRPr="001D57D4">
        <w:rPr>
          <w:rFonts w:ascii="Palatino Linotype" w:eastAsia="Calibri" w:hAnsi="Palatino Linotype" w:cs="Tahoma"/>
          <w:bCs/>
          <w:i/>
          <w:sz w:val="20"/>
          <w:szCs w:val="20"/>
          <w:lang w:val="es-ES" w:eastAsia="en-US"/>
        </w:rPr>
        <w:t>•</w:t>
      </w:r>
      <w:r w:rsidRPr="001D57D4">
        <w:rPr>
          <w:rFonts w:ascii="Palatino Linotype" w:eastAsia="Calibri" w:hAnsi="Palatino Linotype" w:cs="Tahoma"/>
          <w:bCs/>
          <w:i/>
          <w:sz w:val="20"/>
          <w:szCs w:val="20"/>
          <w:lang w:val="es-ES" w:eastAsia="en-US"/>
        </w:rPr>
        <w:tab/>
        <w:t>Algoritmos de criptografía de clave pública para firma electrónica avanzada.</w:t>
      </w:r>
    </w:p>
    <w:p w14:paraId="58822509" w14:textId="77777777" w:rsidR="00A34B9D" w:rsidRPr="001D57D4" w:rsidRDefault="00A34B9D" w:rsidP="001D57D4">
      <w:pPr>
        <w:ind w:left="567" w:right="539"/>
        <w:jc w:val="both"/>
        <w:rPr>
          <w:rFonts w:ascii="Palatino Linotype" w:eastAsia="Calibri" w:hAnsi="Palatino Linotype" w:cs="Tahoma"/>
          <w:bCs/>
          <w:i/>
          <w:sz w:val="20"/>
          <w:szCs w:val="20"/>
          <w:lang w:val="es-ES" w:eastAsia="en-US"/>
        </w:rPr>
      </w:pPr>
      <w:r w:rsidRPr="001D57D4">
        <w:rPr>
          <w:rFonts w:ascii="Palatino Linotype" w:eastAsia="Calibri" w:hAnsi="Palatino Linotype" w:cs="Tahoma"/>
          <w:bCs/>
          <w:i/>
          <w:sz w:val="20"/>
          <w:szCs w:val="20"/>
          <w:lang w:val="es-ES" w:eastAsia="en-US"/>
        </w:rPr>
        <w:t>•</w:t>
      </w:r>
      <w:r w:rsidRPr="001D57D4">
        <w:rPr>
          <w:rFonts w:ascii="Palatino Linotype" w:eastAsia="Calibri" w:hAnsi="Palatino Linotype" w:cs="Tahoma"/>
          <w:bCs/>
          <w:i/>
          <w:sz w:val="20"/>
          <w:szCs w:val="20"/>
          <w:lang w:val="es-ES" w:eastAsia="en-US"/>
        </w:rPr>
        <w:tab/>
        <w:t>Especificaciones de conversión de la firma electrónica avanzada a Base 64.</w:t>
      </w:r>
    </w:p>
    <w:p w14:paraId="13D3AF80" w14:textId="77777777" w:rsidR="00A34B9D" w:rsidRPr="001D57D4" w:rsidRDefault="00A34B9D" w:rsidP="001D57D4">
      <w:pPr>
        <w:ind w:left="567" w:right="539"/>
        <w:jc w:val="both"/>
        <w:rPr>
          <w:rFonts w:ascii="Palatino Linotype" w:eastAsia="Calibri" w:hAnsi="Palatino Linotype" w:cs="Tahoma"/>
          <w:bCs/>
          <w:i/>
          <w:sz w:val="20"/>
          <w:szCs w:val="20"/>
          <w:lang w:val="es-ES" w:eastAsia="en-US"/>
        </w:rPr>
      </w:pPr>
      <w:r w:rsidRPr="001D57D4">
        <w:rPr>
          <w:rFonts w:ascii="Palatino Linotype" w:eastAsia="Calibri" w:hAnsi="Palatino Linotype" w:cs="Tahoma"/>
          <w:bCs/>
          <w:i/>
          <w:sz w:val="20"/>
          <w:szCs w:val="20"/>
          <w:lang w:val="es-ES" w:eastAsia="en-US"/>
        </w:rPr>
        <w:t>Para la generación de sellos digitales se utiliza criptografía de clave pública aplicada a una cadena original.</w:t>
      </w:r>
    </w:p>
    <w:p w14:paraId="3B008430" w14:textId="77777777" w:rsidR="00A34B9D" w:rsidRPr="001D57D4" w:rsidRDefault="00A34B9D" w:rsidP="001D57D4">
      <w:pPr>
        <w:ind w:left="567" w:right="539"/>
        <w:jc w:val="both"/>
        <w:rPr>
          <w:rFonts w:ascii="Palatino Linotype" w:eastAsia="Calibri" w:hAnsi="Palatino Linotype" w:cs="Tahoma"/>
          <w:bCs/>
          <w:i/>
          <w:sz w:val="20"/>
          <w:szCs w:val="20"/>
          <w:lang w:val="es-ES" w:eastAsia="en-US"/>
        </w:rPr>
      </w:pPr>
      <w:r w:rsidRPr="001D57D4">
        <w:rPr>
          <w:rFonts w:ascii="Palatino Linotype" w:eastAsia="Calibri" w:hAnsi="Palatino Linotype" w:cs="Tahoma"/>
          <w:bCs/>
          <w:i/>
          <w:sz w:val="20"/>
          <w:szCs w:val="20"/>
          <w:lang w:val="es-ES" w:eastAsia="en-US"/>
        </w:rPr>
        <w:t>Criptografía de la Clave Pública</w:t>
      </w:r>
    </w:p>
    <w:p w14:paraId="1DDBF23E" w14:textId="77777777" w:rsidR="00A34B9D" w:rsidRPr="001D57D4" w:rsidRDefault="00A34B9D" w:rsidP="001D57D4">
      <w:pPr>
        <w:ind w:left="567" w:right="539"/>
        <w:jc w:val="both"/>
        <w:rPr>
          <w:rFonts w:ascii="Palatino Linotype" w:eastAsia="Calibri" w:hAnsi="Palatino Linotype" w:cs="Tahoma"/>
          <w:bCs/>
          <w:i/>
          <w:sz w:val="20"/>
          <w:szCs w:val="20"/>
          <w:lang w:val="es-ES" w:eastAsia="en-US"/>
        </w:rPr>
      </w:pPr>
      <w:r w:rsidRPr="001D57D4">
        <w:rPr>
          <w:rFonts w:ascii="Palatino Linotype" w:eastAsia="Calibri" w:hAnsi="Palatino Linotype" w:cs="Tahoma"/>
          <w:bCs/>
          <w:i/>
          <w:sz w:val="20"/>
          <w:szCs w:val="20"/>
          <w:lang w:val="es-ES" w:eastAsia="en-US"/>
        </w:rPr>
        <w:t xml:space="preserve">La criptografía de Clave Pública se basa en la generación de una pareja de números muy grandes relacionados íntimamente entre sí, de tal manera que una operación de </w:t>
      </w:r>
      <w:proofErr w:type="spellStart"/>
      <w:r w:rsidRPr="001D57D4">
        <w:rPr>
          <w:rFonts w:ascii="Palatino Linotype" w:eastAsia="Calibri" w:hAnsi="Palatino Linotype" w:cs="Tahoma"/>
          <w:bCs/>
          <w:i/>
          <w:sz w:val="20"/>
          <w:szCs w:val="20"/>
          <w:lang w:val="es-ES" w:eastAsia="en-US"/>
        </w:rPr>
        <w:t>encripción</w:t>
      </w:r>
      <w:proofErr w:type="spellEnd"/>
      <w:r w:rsidRPr="001D57D4">
        <w:rPr>
          <w:rFonts w:ascii="Palatino Linotype" w:eastAsia="Calibri" w:hAnsi="Palatino Linotype" w:cs="Tahoma"/>
          <w:bCs/>
          <w:i/>
          <w:sz w:val="20"/>
          <w:szCs w:val="20"/>
          <w:lang w:val="es-ES" w:eastAsia="en-US"/>
        </w:rPr>
        <w:t xml:space="preserve"> sobre un mensaje tomando como clave de </w:t>
      </w:r>
      <w:proofErr w:type="spellStart"/>
      <w:r w:rsidRPr="001D57D4">
        <w:rPr>
          <w:rFonts w:ascii="Palatino Linotype" w:eastAsia="Calibri" w:hAnsi="Palatino Linotype" w:cs="Tahoma"/>
          <w:bCs/>
          <w:i/>
          <w:sz w:val="20"/>
          <w:szCs w:val="20"/>
          <w:lang w:val="es-ES" w:eastAsia="en-US"/>
        </w:rPr>
        <w:t>encripción</w:t>
      </w:r>
      <w:proofErr w:type="spellEnd"/>
      <w:r w:rsidRPr="001D57D4">
        <w:rPr>
          <w:rFonts w:ascii="Palatino Linotype" w:eastAsia="Calibri" w:hAnsi="Palatino Linotype" w:cs="Tahoma"/>
          <w:bCs/>
          <w:i/>
          <w:sz w:val="20"/>
          <w:szCs w:val="20"/>
          <w:lang w:val="es-ES" w:eastAsia="en-US"/>
        </w:rPr>
        <w:t xml:space="preserve"> a uno de los dos números, produce un mensaje alterado en su significado que solo puede ser devuelto a su estado original mediante la operación de </w:t>
      </w:r>
      <w:proofErr w:type="spellStart"/>
      <w:r w:rsidRPr="001D57D4">
        <w:rPr>
          <w:rFonts w:ascii="Palatino Linotype" w:eastAsia="Calibri" w:hAnsi="Palatino Linotype" w:cs="Tahoma"/>
          <w:bCs/>
          <w:i/>
          <w:sz w:val="20"/>
          <w:szCs w:val="20"/>
          <w:lang w:val="es-ES" w:eastAsia="en-US"/>
        </w:rPr>
        <w:t>desencripción</w:t>
      </w:r>
      <w:proofErr w:type="spellEnd"/>
      <w:r w:rsidRPr="001D57D4">
        <w:rPr>
          <w:rFonts w:ascii="Palatino Linotype" w:eastAsia="Calibri" w:hAnsi="Palatino Linotype" w:cs="Tahoma"/>
          <w:bCs/>
          <w:i/>
          <w:sz w:val="20"/>
          <w:szCs w:val="20"/>
          <w:lang w:val="es-ES" w:eastAsia="en-US"/>
        </w:rPr>
        <w:t xml:space="preserve"> correspondiente tomando como clave de </w:t>
      </w:r>
      <w:proofErr w:type="spellStart"/>
      <w:r w:rsidRPr="001D57D4">
        <w:rPr>
          <w:rFonts w:ascii="Palatino Linotype" w:eastAsia="Calibri" w:hAnsi="Palatino Linotype" w:cs="Tahoma"/>
          <w:bCs/>
          <w:i/>
          <w:sz w:val="20"/>
          <w:szCs w:val="20"/>
          <w:lang w:val="es-ES" w:eastAsia="en-US"/>
        </w:rPr>
        <w:t>desencripción</w:t>
      </w:r>
      <w:proofErr w:type="spellEnd"/>
      <w:r w:rsidRPr="001D57D4">
        <w:rPr>
          <w:rFonts w:ascii="Palatino Linotype" w:eastAsia="Calibri" w:hAnsi="Palatino Linotype" w:cs="Tahoma"/>
          <w:bCs/>
          <w:i/>
          <w:sz w:val="20"/>
          <w:szCs w:val="20"/>
          <w:lang w:val="es-ES" w:eastAsia="en-US"/>
        </w:rPr>
        <w:t xml:space="preserve"> al otro número de la pareja.</w:t>
      </w:r>
    </w:p>
    <w:p w14:paraId="19E8EEF8" w14:textId="77777777" w:rsidR="00A34B9D" w:rsidRPr="001D57D4" w:rsidRDefault="00A34B9D" w:rsidP="001D57D4">
      <w:pPr>
        <w:ind w:left="567" w:right="539"/>
        <w:jc w:val="both"/>
        <w:rPr>
          <w:rFonts w:ascii="Palatino Linotype" w:eastAsia="Calibri" w:hAnsi="Palatino Linotype" w:cs="Tahoma"/>
          <w:bCs/>
          <w:i/>
          <w:sz w:val="20"/>
          <w:szCs w:val="20"/>
          <w:lang w:val="es-ES" w:eastAsia="en-US"/>
        </w:rPr>
      </w:pPr>
      <w:r w:rsidRPr="001D57D4">
        <w:rPr>
          <w:rFonts w:ascii="Palatino Linotype" w:eastAsia="Calibri" w:hAnsi="Palatino Linotype" w:cs="Tahoma"/>
          <w:bCs/>
          <w:i/>
          <w:sz w:val="20"/>
          <w:szCs w:val="20"/>
          <w:lang w:val="es-ES" w:eastAsia="en-US"/>
        </w:rPr>
        <w:t>…”</w:t>
      </w:r>
    </w:p>
    <w:p w14:paraId="18246DA6" w14:textId="77777777" w:rsidR="00A34B9D" w:rsidRPr="001D57D4" w:rsidRDefault="00A34B9D" w:rsidP="001D57D4">
      <w:pPr>
        <w:spacing w:line="360" w:lineRule="auto"/>
        <w:contextualSpacing/>
        <w:jc w:val="both"/>
        <w:rPr>
          <w:rFonts w:ascii="Palatino Linotype" w:hAnsi="Palatino Linotype" w:cs="Tahoma"/>
          <w:bCs/>
          <w:lang w:val="es-ES"/>
        </w:rPr>
      </w:pPr>
      <w:r w:rsidRPr="001D57D4">
        <w:rPr>
          <w:rFonts w:ascii="Palatino Linotype" w:hAnsi="Palatino Linotype" w:cs="Tahoma"/>
          <w:bCs/>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local y, por el contrario, son información que permite corroborar la legitimidad de la factura, de ser el caso, por lo que guardan el carácter de público.</w:t>
      </w:r>
    </w:p>
    <w:p w14:paraId="488F2CB5" w14:textId="77777777" w:rsidR="00A34B9D" w:rsidRPr="001D57D4" w:rsidRDefault="00A34B9D" w:rsidP="001D57D4">
      <w:pPr>
        <w:spacing w:line="360" w:lineRule="auto"/>
        <w:contextualSpacing/>
        <w:jc w:val="both"/>
        <w:rPr>
          <w:rFonts w:ascii="Palatino Linotype" w:hAnsi="Palatino Linotype" w:cs="Tahoma"/>
          <w:bCs/>
          <w:lang w:val="es-ES"/>
        </w:rPr>
      </w:pPr>
    </w:p>
    <w:p w14:paraId="37B2E675" w14:textId="77777777" w:rsidR="00A34B9D" w:rsidRPr="001D57D4" w:rsidRDefault="00A34B9D" w:rsidP="001D57D4">
      <w:pPr>
        <w:spacing w:line="360" w:lineRule="auto"/>
        <w:contextualSpacing/>
        <w:jc w:val="both"/>
        <w:rPr>
          <w:rFonts w:ascii="Palatino Linotype" w:hAnsi="Palatino Linotype" w:cs="Tahoma"/>
          <w:bCs/>
          <w:lang w:val="es-ES"/>
        </w:rPr>
      </w:pPr>
      <w:r w:rsidRPr="001D57D4">
        <w:rPr>
          <w:rFonts w:ascii="Palatino Linotype" w:hAnsi="Palatino Linotype" w:cs="Tahoma"/>
          <w:bCs/>
          <w:lang w:val="es-ES"/>
        </w:rPr>
        <w:lastRenderedPageBreak/>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quince de agosto del presente año, a las once horas con diez minutos, en la página electrónica </w:t>
      </w:r>
      <w:hyperlink r:id="rId11" w:history="1">
        <w:r w:rsidRPr="001D57D4">
          <w:rPr>
            <w:rFonts w:ascii="Palatino Linotype" w:eastAsia="Yu Gothic Light" w:hAnsi="Palatino Linotype" w:cs="Tahoma"/>
            <w:bCs/>
            <w:u w:val="single"/>
          </w:rPr>
          <w:t>https://portalanterior.ine.mx/archivos2/tutoriales/sistemas/ApoyoInstitucional/SIF/docs/candidatos/folioFiscalFactura.pdf</w:t>
        </w:r>
      </w:hyperlink>
      <w:r w:rsidRPr="001D57D4">
        <w:rPr>
          <w:rFonts w:ascii="Palatino Linotype" w:hAnsi="Palatino Linotype" w:cs="Tahoma"/>
          <w:bCs/>
          <w:lang w:val="es-ES"/>
        </w:rPr>
        <w:t>), en la cual se advierte que únicamente se encuentra conformado por números, se muestra a continuación:</w:t>
      </w:r>
    </w:p>
    <w:p w14:paraId="653FF403" w14:textId="77777777" w:rsidR="00A34B9D" w:rsidRPr="001D57D4" w:rsidRDefault="00A34B9D" w:rsidP="001D57D4">
      <w:pPr>
        <w:spacing w:line="360" w:lineRule="auto"/>
        <w:contextualSpacing/>
        <w:jc w:val="both"/>
        <w:rPr>
          <w:rFonts w:ascii="Palatino Linotype" w:hAnsi="Palatino Linotype" w:cs="Tahoma"/>
          <w:bCs/>
        </w:rPr>
      </w:pPr>
    </w:p>
    <w:p w14:paraId="61810B4D" w14:textId="77777777" w:rsidR="00A34B9D" w:rsidRPr="001D57D4" w:rsidRDefault="00A34B9D" w:rsidP="001D57D4">
      <w:pPr>
        <w:spacing w:line="360" w:lineRule="auto"/>
        <w:contextualSpacing/>
        <w:jc w:val="center"/>
        <w:rPr>
          <w:rFonts w:ascii="Palatino Linotype" w:hAnsi="Palatino Linotype" w:cs="Tahoma"/>
          <w:bCs/>
        </w:rPr>
      </w:pPr>
      <w:r w:rsidRPr="001D57D4">
        <w:rPr>
          <w:rFonts w:ascii="Palatino Linotype" w:eastAsia="Calibri" w:hAnsi="Palatino Linotype"/>
          <w:noProof/>
          <w:lang w:eastAsia="es-MX"/>
        </w:rPr>
        <mc:AlternateContent>
          <mc:Choice Requires="wps">
            <w:drawing>
              <wp:anchor distT="0" distB="0" distL="114300" distR="114300" simplePos="0" relativeHeight="251659264" behindDoc="0" locked="0" layoutInCell="1" allowOverlap="1" wp14:anchorId="473E3E36" wp14:editId="39E5718A">
                <wp:simplePos x="0" y="0"/>
                <wp:positionH relativeFrom="column">
                  <wp:posOffset>163195</wp:posOffset>
                </wp:positionH>
                <wp:positionV relativeFrom="paragraph">
                  <wp:posOffset>859155</wp:posOffset>
                </wp:positionV>
                <wp:extent cx="3648075" cy="228600"/>
                <wp:effectExtent l="19050" t="19050" r="28575" b="19050"/>
                <wp:wrapNone/>
                <wp:docPr id="24"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06DBB1" id="Rectángulo 20" o:spid="_x0000_s1026" style="position:absolute;margin-left:12.85pt;margin-top:67.65pt;width:28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" filled="f" strokecolor="windowText" strokeweight="2.25pt"/>
            </w:pict>
          </mc:Fallback>
        </mc:AlternateContent>
      </w:r>
      <w:r w:rsidRPr="001D57D4">
        <w:rPr>
          <w:rFonts w:ascii="Palatino Linotype" w:hAnsi="Palatino Linotype" w:cs="Tahoma"/>
          <w:noProof/>
          <w:lang w:eastAsia="es-MX"/>
        </w:rPr>
        <w:drawing>
          <wp:inline distT="0" distB="0" distL="0" distR="0" wp14:anchorId="32417F65" wp14:editId="15C10B61">
            <wp:extent cx="5753100" cy="1114425"/>
            <wp:effectExtent l="0" t="0" r="0" b="9525"/>
            <wp:docPr id="1257177318" name="Imagen 125717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1114425"/>
                    </a:xfrm>
                    <a:prstGeom prst="rect">
                      <a:avLst/>
                    </a:prstGeom>
                    <a:noFill/>
                    <a:ln>
                      <a:noFill/>
                    </a:ln>
                  </pic:spPr>
                </pic:pic>
              </a:graphicData>
            </a:graphic>
          </wp:inline>
        </w:drawing>
      </w:r>
    </w:p>
    <w:p w14:paraId="2E9B7E9D" w14:textId="77777777" w:rsidR="00A34B9D" w:rsidRPr="001D57D4" w:rsidRDefault="00A34B9D" w:rsidP="001D57D4">
      <w:pPr>
        <w:spacing w:line="360" w:lineRule="auto"/>
        <w:contextualSpacing/>
        <w:jc w:val="both"/>
        <w:rPr>
          <w:rFonts w:ascii="Palatino Linotype" w:hAnsi="Palatino Linotype" w:cs="Tahoma"/>
          <w:bCs/>
          <w:lang w:val="es-ES"/>
        </w:rPr>
      </w:pPr>
    </w:p>
    <w:p w14:paraId="1E550742" w14:textId="77777777" w:rsidR="00A34B9D" w:rsidRPr="001D57D4" w:rsidRDefault="00A34B9D" w:rsidP="001D57D4">
      <w:pPr>
        <w:spacing w:line="360" w:lineRule="auto"/>
        <w:contextualSpacing/>
        <w:jc w:val="both"/>
        <w:rPr>
          <w:rFonts w:ascii="Palatino Linotype" w:hAnsi="Palatino Linotype" w:cs="Tahoma"/>
          <w:lang w:val="es-ES"/>
        </w:rPr>
      </w:pPr>
      <w:r w:rsidRPr="001D57D4">
        <w:rPr>
          <w:rFonts w:ascii="Palatino Linotype" w:hAnsi="Palatino Linotype" w:cs="Tahoma"/>
          <w:bCs/>
          <w:lang w:val="es-ES"/>
        </w:rPr>
        <w:t>Como se logra observar, los números de serie del certificado de sello digital no contiene datos personales y con dichos dígitos tampoco se puede obtener información de carácter confidencial,</w:t>
      </w:r>
      <w:r w:rsidRPr="001D57D4">
        <w:rPr>
          <w:rFonts w:ascii="Palatino Linotype" w:hAnsi="Palatino Linotype" w:cs="Tahoma"/>
          <w:b/>
          <w:bCs/>
          <w:lang w:val="es-ES"/>
        </w:rPr>
        <w:t xml:space="preserve"> </w:t>
      </w:r>
      <w:r w:rsidRPr="001D57D4">
        <w:rPr>
          <w:rFonts w:ascii="Palatino Linotype" w:hAnsi="Palatino Linotype" w:cs="Tahoma"/>
          <w:lang w:val="es-ES"/>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3F04279F" w14:textId="77777777" w:rsidR="00A34B9D" w:rsidRPr="001D57D4" w:rsidRDefault="00A34B9D" w:rsidP="001D57D4">
      <w:pPr>
        <w:spacing w:line="360" w:lineRule="auto"/>
        <w:contextualSpacing/>
        <w:jc w:val="both"/>
        <w:rPr>
          <w:rFonts w:ascii="Palatino Linotype" w:hAnsi="Palatino Linotype" w:cs="Tahoma"/>
          <w:bCs/>
          <w:lang w:val="es-ES"/>
        </w:rPr>
      </w:pPr>
    </w:p>
    <w:p w14:paraId="1D70E4E4" w14:textId="77777777" w:rsidR="00A34B9D" w:rsidRPr="001D57D4" w:rsidRDefault="00A34B9D" w:rsidP="001D57D4">
      <w:pPr>
        <w:spacing w:line="360" w:lineRule="auto"/>
        <w:contextualSpacing/>
        <w:jc w:val="both"/>
        <w:rPr>
          <w:rFonts w:ascii="Palatino Linotype" w:hAnsi="Palatino Linotype" w:cs="Tahoma"/>
          <w:bCs/>
          <w:lang w:val="es-ES"/>
        </w:rPr>
      </w:pPr>
      <w:r w:rsidRPr="001D57D4">
        <w:rPr>
          <w:rFonts w:ascii="Palatino Linotype" w:hAnsi="Palatino Linotype" w:cs="Tahoma"/>
          <w:bCs/>
          <w:lang w:val="es-ES"/>
        </w:rPr>
        <w:t xml:space="preserve">Ahora bien, respecto al </w:t>
      </w:r>
      <w:r w:rsidRPr="001D57D4">
        <w:rPr>
          <w:rFonts w:ascii="Palatino Linotype" w:hAnsi="Palatino Linotype" w:cs="Tahoma"/>
          <w:b/>
          <w:bCs/>
          <w:lang w:val="es-ES"/>
        </w:rPr>
        <w:t>Folio Fiscal</w:t>
      </w:r>
      <w:r w:rsidRPr="001D57D4">
        <w:rPr>
          <w:rFonts w:ascii="Palatino Linotype" w:hAnsi="Palatino Linotype" w:cs="Tahoma"/>
          <w:bCs/>
          <w:lang w:val="es-ES"/>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F09C869" w14:textId="77777777" w:rsidR="00A34B9D" w:rsidRPr="001D57D4" w:rsidRDefault="00A34B9D" w:rsidP="001D57D4">
      <w:pPr>
        <w:spacing w:line="360" w:lineRule="auto"/>
        <w:contextualSpacing/>
        <w:jc w:val="both"/>
        <w:rPr>
          <w:rFonts w:ascii="Palatino Linotype" w:hAnsi="Palatino Linotype" w:cs="Tahoma"/>
          <w:bCs/>
          <w:lang w:val="es-ES"/>
        </w:rPr>
      </w:pPr>
    </w:p>
    <w:p w14:paraId="055A25DC" w14:textId="77777777" w:rsidR="00A34B9D" w:rsidRPr="001D57D4" w:rsidRDefault="00A34B9D" w:rsidP="001D57D4">
      <w:pPr>
        <w:spacing w:line="360" w:lineRule="auto"/>
        <w:contextualSpacing/>
        <w:jc w:val="center"/>
        <w:rPr>
          <w:rFonts w:ascii="Palatino Linotype" w:hAnsi="Palatino Linotype" w:cs="Tahoma"/>
          <w:bCs/>
        </w:rPr>
      </w:pPr>
      <w:r w:rsidRPr="001D57D4">
        <w:rPr>
          <w:rFonts w:ascii="Palatino Linotype" w:hAnsi="Palatino Linotype" w:cs="Tahoma"/>
          <w:noProof/>
          <w:lang w:eastAsia="es-MX"/>
        </w:rPr>
        <w:drawing>
          <wp:inline distT="0" distB="0" distL="0" distR="0" wp14:anchorId="29DE38DE" wp14:editId="4D387211">
            <wp:extent cx="5467350" cy="1228725"/>
            <wp:effectExtent l="0" t="0" r="0" b="9525"/>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b="47096"/>
                    <a:stretch>
                      <a:fillRect/>
                    </a:stretch>
                  </pic:blipFill>
                  <pic:spPr bwMode="auto">
                    <a:xfrm>
                      <a:off x="0" y="0"/>
                      <a:ext cx="5467350" cy="1228725"/>
                    </a:xfrm>
                    <a:prstGeom prst="rect">
                      <a:avLst/>
                    </a:prstGeom>
                    <a:noFill/>
                    <a:ln>
                      <a:noFill/>
                    </a:ln>
                  </pic:spPr>
                </pic:pic>
              </a:graphicData>
            </a:graphic>
          </wp:inline>
        </w:drawing>
      </w:r>
    </w:p>
    <w:p w14:paraId="6E6B27DC" w14:textId="77777777" w:rsidR="00A34B9D" w:rsidRPr="001D57D4" w:rsidRDefault="00A34B9D" w:rsidP="001D57D4">
      <w:pPr>
        <w:spacing w:line="360" w:lineRule="auto"/>
        <w:contextualSpacing/>
        <w:jc w:val="center"/>
        <w:rPr>
          <w:rFonts w:ascii="Palatino Linotype" w:hAnsi="Palatino Linotype" w:cs="Tahoma"/>
          <w:bCs/>
        </w:rPr>
      </w:pPr>
    </w:p>
    <w:p w14:paraId="1FE512F1"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hAnsi="Palatino Linotype" w:cs="Tahoma"/>
          <w:bCs/>
          <w:lang w:val="es-ES"/>
        </w:rPr>
        <w:t xml:space="preserve">En ese contexto, de la misma manera que en los casos previamente analizados, </w:t>
      </w:r>
      <w:r w:rsidRPr="001D57D4">
        <w:rPr>
          <w:rFonts w:ascii="Palatino Linotype" w:hAnsi="Palatino Linotype" w:cs="Tahoma"/>
          <w:lang w:val="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214704F" w14:textId="77777777" w:rsidR="00A34B9D" w:rsidRPr="001D57D4" w:rsidRDefault="00A34B9D" w:rsidP="001D57D4">
      <w:pPr>
        <w:spacing w:line="360" w:lineRule="auto"/>
        <w:jc w:val="both"/>
        <w:rPr>
          <w:rFonts w:ascii="Palatino Linotype" w:hAnsi="Palatino Linotype" w:cs="Arial"/>
          <w:lang w:val="es-ES"/>
        </w:rPr>
      </w:pPr>
    </w:p>
    <w:p w14:paraId="5525487C" w14:textId="77777777" w:rsidR="00A34B9D" w:rsidRPr="001D57D4" w:rsidRDefault="00A34B9D" w:rsidP="001D57D4">
      <w:pPr>
        <w:spacing w:line="360" w:lineRule="auto"/>
        <w:jc w:val="both"/>
        <w:rPr>
          <w:rFonts w:ascii="Palatino Linotype" w:hAnsi="Palatino Linotype" w:cs="Arial"/>
          <w:lang w:val="es-ES"/>
        </w:rPr>
      </w:pPr>
      <w:r w:rsidRPr="001D57D4">
        <w:rPr>
          <w:rFonts w:ascii="Palatino Linotype" w:eastAsia="Calibri" w:hAnsi="Palatino Linotype" w:cs="Tahoma"/>
          <w:bCs/>
          <w:iCs/>
          <w:lang w:eastAsia="en-US"/>
        </w:rPr>
        <w:lastRenderedPageBreak/>
        <w:t>Ahora bien, cabe señalar que, en algunos casos, las</w:t>
      </w:r>
      <w:r w:rsidRPr="001D57D4">
        <w:rPr>
          <w:rFonts w:ascii="Palatino Linotype" w:hAnsi="Palatino Linotype" w:cs="Tahoma"/>
          <w:lang w:val="es-ES"/>
        </w:rPr>
        <w:t xml:space="preserve"> cadenas originales y sellos digitales, el folio fiscal o </w:t>
      </w:r>
      <w:r w:rsidRPr="001D57D4">
        <w:rPr>
          <w:rFonts w:ascii="Palatino Linotype" w:hAnsi="Palatino Linotype" w:cs="Tahoma"/>
          <w:bCs/>
          <w:lang w:val="es-ES"/>
        </w:rPr>
        <w:t>el número de serie de los certificados digitales, se pueden conformar de datos confidenciales, tales como el Registro Federal de Contribuyentes o la Clave Única de Registro de Población; por lo que, únicamente podrá clasificar estos, si contienen dicha información, de lo contrario serán públicos.</w:t>
      </w:r>
    </w:p>
    <w:p w14:paraId="125AA952" w14:textId="77777777" w:rsidR="00A34B9D" w:rsidRPr="001D57D4" w:rsidRDefault="00A34B9D" w:rsidP="001D57D4">
      <w:pPr>
        <w:spacing w:line="360" w:lineRule="auto"/>
        <w:jc w:val="both"/>
        <w:rPr>
          <w:rFonts w:ascii="Palatino Linotype" w:hAnsi="Palatino Linotype" w:cs="Arial"/>
          <w:lang w:val="es-ES"/>
        </w:rPr>
      </w:pPr>
    </w:p>
    <w:p w14:paraId="3B1E7453" w14:textId="77777777" w:rsidR="00A34B9D" w:rsidRPr="001D57D4" w:rsidRDefault="00A34B9D" w:rsidP="001D57D4">
      <w:pPr>
        <w:spacing w:line="360" w:lineRule="auto"/>
        <w:jc w:val="both"/>
        <w:rPr>
          <w:rFonts w:ascii="Palatino Linotype" w:eastAsia="Calibri" w:hAnsi="Palatino Linotype"/>
          <w:bCs/>
          <w:szCs w:val="22"/>
          <w:lang w:eastAsia="en-US"/>
        </w:rPr>
      </w:pPr>
      <w:r w:rsidRPr="001D57D4">
        <w:rPr>
          <w:rFonts w:ascii="Palatino Linotype" w:eastAsia="Calibri" w:hAnsi="Palatino Linotype"/>
          <w:bCs/>
          <w:szCs w:val="22"/>
          <w:lang w:val="es-ES" w:eastAsia="en-US"/>
        </w:rPr>
        <w:t>Ahora bien, no pasa desapercibido que en recibos de nómina se deben clasificar como confidenciales de manera enunciativa más no limitativa los siguientes datos</w:t>
      </w:r>
      <w:r w:rsidRPr="001D57D4">
        <w:rPr>
          <w:rFonts w:ascii="Palatino Linotype" w:eastAsia="Calibri" w:hAnsi="Palatino Linotype"/>
          <w:bCs/>
          <w:szCs w:val="22"/>
          <w:lang w:eastAsia="en-US"/>
        </w:rPr>
        <w:t xml:space="preserve">: </w:t>
      </w:r>
    </w:p>
    <w:p w14:paraId="1A615D36" w14:textId="77777777" w:rsidR="00A34B9D" w:rsidRPr="001D57D4" w:rsidRDefault="00A34B9D" w:rsidP="001D57D4">
      <w:pPr>
        <w:spacing w:line="360" w:lineRule="auto"/>
        <w:jc w:val="both"/>
        <w:rPr>
          <w:rFonts w:ascii="Palatino Linotype" w:eastAsia="Calibri" w:hAnsi="Palatino Linotype"/>
          <w:bCs/>
          <w:szCs w:val="22"/>
          <w:lang w:val="es-ES" w:eastAsia="en-US"/>
        </w:rPr>
      </w:pPr>
    </w:p>
    <w:p w14:paraId="244197EB" w14:textId="77777777" w:rsidR="00A34B9D" w:rsidRPr="001D57D4" w:rsidRDefault="00A34B9D" w:rsidP="001D57D4">
      <w:pPr>
        <w:numPr>
          <w:ilvl w:val="0"/>
          <w:numId w:val="19"/>
        </w:numPr>
        <w:tabs>
          <w:tab w:val="left" w:pos="4962"/>
        </w:tabs>
        <w:spacing w:after="160" w:line="360" w:lineRule="auto"/>
        <w:contextualSpacing/>
        <w:jc w:val="both"/>
        <w:rPr>
          <w:rFonts w:ascii="Palatino Linotype" w:hAnsi="Palatino Linotype" w:cs="Tahoma"/>
          <w:bCs/>
          <w:iCs/>
          <w:kern w:val="2"/>
          <w14:ligatures w14:val="standardContextual"/>
        </w:rPr>
      </w:pPr>
      <w:r w:rsidRPr="001D57D4">
        <w:rPr>
          <w:rFonts w:ascii="Palatino Linotype" w:hAnsi="Palatino Linotype" w:cs="Tahoma"/>
          <w:bCs/>
          <w:iCs/>
          <w:kern w:val="2"/>
          <w14:ligatures w14:val="standardContextual"/>
        </w:rPr>
        <w:t>Clave Única de Registro de Población;</w:t>
      </w:r>
    </w:p>
    <w:p w14:paraId="036DC7CD" w14:textId="77777777" w:rsidR="00A34B9D" w:rsidRPr="001D57D4" w:rsidRDefault="00A34B9D" w:rsidP="001D57D4">
      <w:pPr>
        <w:numPr>
          <w:ilvl w:val="0"/>
          <w:numId w:val="19"/>
        </w:numPr>
        <w:tabs>
          <w:tab w:val="left" w:pos="4962"/>
        </w:tabs>
        <w:spacing w:after="160" w:line="360" w:lineRule="auto"/>
        <w:contextualSpacing/>
        <w:jc w:val="both"/>
        <w:rPr>
          <w:rFonts w:ascii="Palatino Linotype" w:hAnsi="Palatino Linotype" w:cs="Tahoma"/>
          <w:bCs/>
          <w:iCs/>
          <w:kern w:val="2"/>
          <w14:ligatures w14:val="standardContextual"/>
        </w:rPr>
      </w:pPr>
      <w:r w:rsidRPr="001D57D4">
        <w:rPr>
          <w:rFonts w:ascii="Palatino Linotype" w:hAnsi="Palatino Linotype" w:cs="Tahoma"/>
          <w:bCs/>
          <w:iCs/>
          <w:kern w:val="2"/>
          <w14:ligatures w14:val="standardContextual"/>
        </w:rPr>
        <w:t>Registro Federal de Contribuyentes del servidor público;</w:t>
      </w:r>
    </w:p>
    <w:p w14:paraId="2596A425" w14:textId="77777777" w:rsidR="00A34B9D" w:rsidRPr="001D57D4" w:rsidRDefault="00A34B9D" w:rsidP="001D57D4">
      <w:pPr>
        <w:numPr>
          <w:ilvl w:val="0"/>
          <w:numId w:val="19"/>
        </w:numPr>
        <w:spacing w:after="160" w:line="360" w:lineRule="auto"/>
        <w:contextualSpacing/>
        <w:jc w:val="both"/>
        <w:rPr>
          <w:rFonts w:ascii="Palatino Linotype" w:hAnsi="Palatino Linotype" w:cs="Tahoma"/>
          <w:bCs/>
          <w:iCs/>
          <w:szCs w:val="22"/>
        </w:rPr>
      </w:pPr>
      <w:r w:rsidRPr="001D57D4">
        <w:rPr>
          <w:rFonts w:ascii="Palatino Linotype" w:hAnsi="Palatino Linotype" w:cs="Tahoma"/>
          <w:bCs/>
          <w:iCs/>
          <w:szCs w:val="22"/>
          <w:lang w:val="es-ES"/>
        </w:rPr>
        <w:t>Código bidimensional o QR</w:t>
      </w:r>
      <w:r w:rsidRPr="001D57D4">
        <w:rPr>
          <w:rFonts w:ascii="Palatino Linotype" w:hAnsi="Palatino Linotype" w:cs="Tahoma"/>
          <w:bCs/>
          <w:iCs/>
          <w:szCs w:val="22"/>
        </w:rPr>
        <w:t>;</w:t>
      </w:r>
    </w:p>
    <w:p w14:paraId="1F23DA6A" w14:textId="77777777" w:rsidR="00A34B9D" w:rsidRPr="001D57D4" w:rsidRDefault="00A34B9D" w:rsidP="001D57D4">
      <w:pPr>
        <w:numPr>
          <w:ilvl w:val="0"/>
          <w:numId w:val="19"/>
        </w:numPr>
        <w:spacing w:after="160" w:line="360" w:lineRule="auto"/>
        <w:contextualSpacing/>
        <w:jc w:val="both"/>
        <w:rPr>
          <w:rFonts w:ascii="Palatino Linotype" w:hAnsi="Palatino Linotype" w:cs="Tahoma"/>
          <w:bCs/>
          <w:iCs/>
          <w:szCs w:val="22"/>
        </w:rPr>
      </w:pPr>
      <w:r w:rsidRPr="001D57D4">
        <w:rPr>
          <w:rFonts w:ascii="Palatino Linotype" w:hAnsi="Palatino Linotype" w:cs="Tahoma"/>
          <w:bCs/>
          <w:iCs/>
          <w:szCs w:val="22"/>
        </w:rPr>
        <w:t>Número de seguridad social del Instituto de Seguridad Social del Estado de México y Municipios;</w:t>
      </w:r>
    </w:p>
    <w:p w14:paraId="3D7EC61C" w14:textId="77777777" w:rsidR="00A34B9D" w:rsidRPr="001D57D4" w:rsidRDefault="00A34B9D" w:rsidP="001D57D4">
      <w:pPr>
        <w:numPr>
          <w:ilvl w:val="0"/>
          <w:numId w:val="19"/>
        </w:numPr>
        <w:spacing w:after="160" w:line="360" w:lineRule="auto"/>
        <w:contextualSpacing/>
        <w:jc w:val="both"/>
        <w:rPr>
          <w:rFonts w:ascii="Palatino Linotype" w:hAnsi="Palatino Linotype" w:cs="Tahoma"/>
          <w:bCs/>
          <w:iCs/>
          <w:szCs w:val="22"/>
        </w:rPr>
      </w:pPr>
      <w:r w:rsidRPr="001D57D4">
        <w:rPr>
          <w:rFonts w:ascii="Palatino Linotype" w:hAnsi="Palatino Linotype" w:cs="Tahoma"/>
          <w:bCs/>
          <w:iCs/>
          <w:szCs w:val="22"/>
          <w:lang w:val="es-ES"/>
        </w:rPr>
        <w:t>Deducciones personales; y,</w:t>
      </w:r>
    </w:p>
    <w:p w14:paraId="43830374" w14:textId="77777777" w:rsidR="00A34B9D" w:rsidRPr="001D57D4" w:rsidRDefault="00A34B9D" w:rsidP="001D57D4">
      <w:pPr>
        <w:numPr>
          <w:ilvl w:val="0"/>
          <w:numId w:val="19"/>
        </w:numPr>
        <w:spacing w:after="160" w:line="360" w:lineRule="auto"/>
        <w:contextualSpacing/>
        <w:jc w:val="both"/>
        <w:rPr>
          <w:rFonts w:ascii="Palatino Linotype" w:hAnsi="Palatino Linotype" w:cs="Tahoma"/>
          <w:bCs/>
          <w:iCs/>
          <w:szCs w:val="22"/>
        </w:rPr>
      </w:pPr>
      <w:r w:rsidRPr="001D57D4">
        <w:rPr>
          <w:rFonts w:ascii="Palatino Linotype" w:hAnsi="Palatino Linotype" w:cs="Tahoma"/>
          <w:bCs/>
          <w:iCs/>
          <w:szCs w:val="22"/>
          <w:lang w:val="es-ES"/>
        </w:rPr>
        <w:t>Cuenta Bancaria</w:t>
      </w:r>
    </w:p>
    <w:p w14:paraId="14284678" w14:textId="77777777" w:rsidR="00A34B9D" w:rsidRPr="001D57D4" w:rsidRDefault="00A34B9D" w:rsidP="001D57D4">
      <w:pPr>
        <w:spacing w:line="360" w:lineRule="auto"/>
        <w:jc w:val="both"/>
        <w:rPr>
          <w:rFonts w:ascii="Palatino Linotype" w:hAnsi="Palatino Linotype"/>
          <w:iCs/>
          <w:kern w:val="2"/>
          <w:szCs w:val="40"/>
          <w:lang w:val="es-ES"/>
          <w14:ligatures w14:val="standardContextual"/>
        </w:rPr>
      </w:pPr>
    </w:p>
    <w:p w14:paraId="68242E73"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w:t>
      </w:r>
      <w:r w:rsidRPr="001D57D4">
        <w:rPr>
          <w:rFonts w:ascii="Palatino Linotype" w:eastAsia="Calibri" w:hAnsi="Palatino Linotype"/>
          <w:bCs/>
          <w:lang w:eastAsia="en-US"/>
        </w:rPr>
        <w:lastRenderedPageBreak/>
        <w:t>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F16EF35" w14:textId="77777777" w:rsidR="00A34B9D" w:rsidRPr="001D57D4" w:rsidRDefault="00A34B9D" w:rsidP="001D57D4">
      <w:pPr>
        <w:spacing w:line="360" w:lineRule="auto"/>
        <w:jc w:val="both"/>
        <w:rPr>
          <w:rFonts w:ascii="Palatino Linotype" w:eastAsia="Calibri" w:hAnsi="Palatino Linotype"/>
          <w:bCs/>
          <w:lang w:eastAsia="en-US"/>
        </w:rPr>
      </w:pPr>
    </w:p>
    <w:p w14:paraId="3DE3A0A4"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0968BFE" w14:textId="77777777" w:rsidR="00A34B9D" w:rsidRPr="001D57D4" w:rsidRDefault="00A34B9D" w:rsidP="001D57D4">
      <w:pPr>
        <w:spacing w:line="360" w:lineRule="auto"/>
        <w:jc w:val="both"/>
        <w:rPr>
          <w:rFonts w:ascii="Palatino Linotype" w:eastAsia="Calibri" w:hAnsi="Palatino Linotype"/>
          <w:bCs/>
          <w:lang w:eastAsia="en-US"/>
        </w:rPr>
      </w:pPr>
    </w:p>
    <w:p w14:paraId="0A857601"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D0CB8F7" w14:textId="77777777" w:rsidR="00A34B9D" w:rsidRPr="001D57D4" w:rsidRDefault="00A34B9D" w:rsidP="001D57D4">
      <w:pPr>
        <w:spacing w:line="360" w:lineRule="auto"/>
        <w:jc w:val="both"/>
        <w:rPr>
          <w:rFonts w:ascii="Palatino Linotype" w:eastAsia="Calibri" w:hAnsi="Palatino Linotype"/>
          <w:bCs/>
          <w:lang w:eastAsia="en-US"/>
        </w:rPr>
      </w:pPr>
    </w:p>
    <w:p w14:paraId="2C20A2D7"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B13D40A" w14:textId="77777777" w:rsidR="00A34B9D" w:rsidRPr="001D57D4" w:rsidRDefault="00A34B9D" w:rsidP="001D57D4">
      <w:pPr>
        <w:spacing w:line="360" w:lineRule="auto"/>
        <w:jc w:val="both"/>
        <w:rPr>
          <w:rFonts w:ascii="Palatino Linotype" w:eastAsia="Calibri" w:hAnsi="Palatino Linotype"/>
          <w:bCs/>
          <w:lang w:eastAsia="en-US"/>
        </w:rPr>
      </w:pPr>
    </w:p>
    <w:p w14:paraId="42BA7DD7"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77A84D7" w14:textId="77777777" w:rsidR="00A34B9D" w:rsidRPr="001D57D4" w:rsidRDefault="00A34B9D" w:rsidP="001D57D4">
      <w:pPr>
        <w:spacing w:line="360" w:lineRule="auto"/>
        <w:jc w:val="both"/>
        <w:rPr>
          <w:rFonts w:ascii="Palatino Linotype" w:eastAsia="Calibri" w:hAnsi="Palatino Linotype"/>
          <w:bCs/>
          <w:lang w:eastAsia="en-US"/>
        </w:rPr>
      </w:pPr>
    </w:p>
    <w:p w14:paraId="0246D685"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lastRenderedPageBreak/>
        <w:t>Asimismo, el artículo 145 de la Ley de Transparencia local,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2A05872" w14:textId="77777777" w:rsidR="00A34B9D" w:rsidRPr="001D57D4" w:rsidRDefault="00A34B9D" w:rsidP="001D57D4">
      <w:pPr>
        <w:spacing w:line="360" w:lineRule="auto"/>
        <w:jc w:val="both"/>
        <w:rPr>
          <w:rFonts w:ascii="Palatino Linotype" w:eastAsia="Calibri" w:hAnsi="Palatino Linotype"/>
          <w:bCs/>
          <w:lang w:eastAsia="en-US"/>
        </w:rPr>
      </w:pPr>
    </w:p>
    <w:p w14:paraId="0C6E0D19"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En términos de lo expuesto, la documentación y aquellos datos que se consideren confidenciales, serán una limitante del derecho de acceso a la información, siempre y cuando:</w:t>
      </w:r>
    </w:p>
    <w:p w14:paraId="74F9300D" w14:textId="77777777" w:rsidR="00A34B9D" w:rsidRPr="001D57D4" w:rsidRDefault="00A34B9D" w:rsidP="001D57D4">
      <w:pPr>
        <w:spacing w:line="360" w:lineRule="auto"/>
        <w:jc w:val="both"/>
        <w:rPr>
          <w:rFonts w:ascii="Palatino Linotype" w:eastAsia="Calibri" w:hAnsi="Palatino Linotype"/>
          <w:bCs/>
          <w:sz w:val="12"/>
          <w:lang w:eastAsia="en-US"/>
        </w:rPr>
      </w:pPr>
    </w:p>
    <w:p w14:paraId="16B556DD" w14:textId="77777777" w:rsidR="00A34B9D" w:rsidRPr="001D57D4" w:rsidRDefault="00A34B9D" w:rsidP="001D57D4">
      <w:pPr>
        <w:numPr>
          <w:ilvl w:val="0"/>
          <w:numId w:val="18"/>
        </w:numPr>
        <w:spacing w:after="160"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 xml:space="preserve">Se trate de datos personales o información privada; esto es, información concerniente a una persona física o jurídico colectiva y que esta sea identificada o identificable. </w:t>
      </w:r>
    </w:p>
    <w:p w14:paraId="45D224BE" w14:textId="77777777" w:rsidR="00A34B9D" w:rsidRPr="001D57D4" w:rsidRDefault="00A34B9D" w:rsidP="001D57D4">
      <w:pPr>
        <w:numPr>
          <w:ilvl w:val="0"/>
          <w:numId w:val="18"/>
        </w:numPr>
        <w:spacing w:after="160"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 xml:space="preserve">Para la difusión de los datos, se requiera el consentimiento del titular. </w:t>
      </w:r>
    </w:p>
    <w:p w14:paraId="29D8594D"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 xml:space="preserve">En ese orden de ideas, de conformidad con el artículo 3°, fracción IX, de la Ley de Transparencia local,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BE6B55D" w14:textId="77777777" w:rsidR="00A34B9D" w:rsidRPr="001D57D4" w:rsidRDefault="00A34B9D" w:rsidP="001D57D4">
      <w:pPr>
        <w:spacing w:line="360" w:lineRule="auto"/>
        <w:jc w:val="both"/>
        <w:rPr>
          <w:rFonts w:ascii="Palatino Linotype" w:eastAsia="Calibri" w:hAnsi="Palatino Linotype"/>
          <w:bCs/>
          <w:sz w:val="18"/>
          <w:lang w:eastAsia="en-US"/>
        </w:rPr>
      </w:pPr>
    </w:p>
    <w:p w14:paraId="0CC89B30"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Además, en el artículo 5° de dicho ordenamiento jurídico, establece que es la Ley aplicable para todo tratamiento de datos personales.</w:t>
      </w:r>
    </w:p>
    <w:p w14:paraId="06F63138" w14:textId="77777777" w:rsidR="00A34B9D" w:rsidRPr="001D57D4" w:rsidRDefault="00A34B9D" w:rsidP="001D57D4">
      <w:pPr>
        <w:spacing w:line="360" w:lineRule="auto"/>
        <w:jc w:val="both"/>
        <w:rPr>
          <w:rFonts w:ascii="Palatino Linotype" w:eastAsia="Calibri" w:hAnsi="Palatino Linotype"/>
          <w:bCs/>
          <w:sz w:val="18"/>
          <w:lang w:eastAsia="en-US"/>
        </w:rPr>
      </w:pPr>
    </w:p>
    <w:p w14:paraId="2DCAEE56"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D262D89" w14:textId="77777777" w:rsidR="00A34B9D" w:rsidRPr="001D57D4" w:rsidRDefault="00A34B9D" w:rsidP="001D57D4">
      <w:pPr>
        <w:spacing w:line="360" w:lineRule="auto"/>
        <w:jc w:val="both"/>
        <w:rPr>
          <w:rFonts w:ascii="Palatino Linotype" w:eastAsia="Calibri" w:hAnsi="Palatino Linotype"/>
          <w:bCs/>
          <w:sz w:val="18"/>
          <w:lang w:eastAsia="en-US"/>
        </w:rPr>
      </w:pPr>
    </w:p>
    <w:p w14:paraId="1CADC7E0"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1D98D74" w14:textId="77777777" w:rsidR="00A34B9D" w:rsidRPr="001D57D4" w:rsidRDefault="00A34B9D" w:rsidP="001D57D4">
      <w:pPr>
        <w:spacing w:line="360" w:lineRule="auto"/>
        <w:jc w:val="both"/>
        <w:rPr>
          <w:rFonts w:ascii="Palatino Linotype" w:eastAsia="Calibri" w:hAnsi="Palatino Linotype"/>
          <w:bCs/>
          <w:lang w:eastAsia="en-US"/>
        </w:rPr>
      </w:pPr>
    </w:p>
    <w:p w14:paraId="22147402"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w:t>
      </w:r>
      <w:r w:rsidRPr="001D57D4">
        <w:rPr>
          <w:rFonts w:ascii="Palatino Linotype" w:eastAsia="Calibri" w:hAnsi="Palatino Linotype"/>
          <w:bCs/>
          <w:lang w:eastAsia="en-US"/>
        </w:rPr>
        <w:lastRenderedPageBreak/>
        <w:t>recursos públicos de las instituciones y es a partir de ahí, en donde las instituciones públicas deben determinar la publicidad de su información.</w:t>
      </w:r>
    </w:p>
    <w:p w14:paraId="05B3348A" w14:textId="77777777" w:rsidR="00A34B9D" w:rsidRPr="001D57D4" w:rsidRDefault="00A34B9D" w:rsidP="001D57D4">
      <w:pPr>
        <w:spacing w:line="360" w:lineRule="auto"/>
        <w:jc w:val="both"/>
        <w:rPr>
          <w:rFonts w:ascii="Palatino Linotype" w:eastAsia="Calibri" w:hAnsi="Palatino Linotype"/>
          <w:bCs/>
          <w:sz w:val="20"/>
          <w:lang w:eastAsia="en-US"/>
        </w:rPr>
      </w:pPr>
    </w:p>
    <w:p w14:paraId="46F3545F"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De tal suerte, las instituciones públicas tienen la doble responsabilidad, por un lado, de proteger los datos personales y por otro, darles publicidad cuando la relevancia de esos datos sea de interés público.</w:t>
      </w:r>
    </w:p>
    <w:p w14:paraId="7FF889DD" w14:textId="77777777" w:rsidR="00A34B9D" w:rsidRPr="001D57D4" w:rsidRDefault="00A34B9D" w:rsidP="001D57D4">
      <w:pPr>
        <w:spacing w:line="360" w:lineRule="auto"/>
        <w:jc w:val="both"/>
        <w:rPr>
          <w:rFonts w:ascii="Palatino Linotype" w:eastAsia="Calibri" w:hAnsi="Palatino Linotype"/>
          <w:bCs/>
          <w:sz w:val="18"/>
          <w:lang w:eastAsia="en-US"/>
        </w:rPr>
      </w:pPr>
    </w:p>
    <w:p w14:paraId="7CCDDCD1"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009D2FBF" w14:textId="77777777" w:rsidR="00A34B9D" w:rsidRPr="001D57D4" w:rsidRDefault="00A34B9D" w:rsidP="001D57D4">
      <w:pPr>
        <w:spacing w:line="360" w:lineRule="auto"/>
        <w:jc w:val="both"/>
        <w:rPr>
          <w:rFonts w:ascii="Palatino Linotype" w:eastAsia="Calibri" w:hAnsi="Palatino Linotype"/>
          <w:bCs/>
          <w:sz w:val="18"/>
          <w:lang w:eastAsia="en-US"/>
        </w:rPr>
      </w:pPr>
    </w:p>
    <w:p w14:paraId="293D6291"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w:t>
      </w:r>
      <w:r w:rsidRPr="001D57D4">
        <w:rPr>
          <w:rFonts w:ascii="Palatino Linotype" w:eastAsia="Calibri" w:hAnsi="Palatino Linotype"/>
          <w:bCs/>
          <w:lang w:eastAsia="en-US"/>
        </w:rPr>
        <w:lastRenderedPageBreak/>
        <w:t>el beneficio de su publicidad es mayor que el beneficio de su clasificación, aun tratándose de información personal.</w:t>
      </w:r>
    </w:p>
    <w:p w14:paraId="32FB26A6" w14:textId="77777777" w:rsidR="00A34B9D" w:rsidRPr="001D57D4" w:rsidRDefault="00A34B9D" w:rsidP="001D57D4">
      <w:pPr>
        <w:spacing w:line="360" w:lineRule="auto"/>
        <w:jc w:val="both"/>
        <w:rPr>
          <w:rFonts w:ascii="Palatino Linotype" w:eastAsia="Calibri" w:hAnsi="Palatino Linotype"/>
          <w:bCs/>
          <w:sz w:val="18"/>
          <w:lang w:eastAsia="en-US"/>
        </w:rPr>
      </w:pPr>
    </w:p>
    <w:p w14:paraId="680688B4" w14:textId="77777777" w:rsidR="00A34B9D" w:rsidRPr="001D57D4" w:rsidRDefault="00A34B9D" w:rsidP="001D57D4">
      <w:pPr>
        <w:spacing w:line="360" w:lineRule="auto"/>
        <w:jc w:val="both"/>
        <w:rPr>
          <w:rFonts w:ascii="Palatino Linotype" w:eastAsia="Calibri" w:hAnsi="Palatino Linotype"/>
          <w:bCs/>
          <w:lang w:eastAsia="en-US"/>
        </w:rPr>
      </w:pPr>
      <w:r w:rsidRPr="001D57D4">
        <w:rPr>
          <w:rFonts w:ascii="Palatino Linotype" w:eastAsia="Calibri" w:hAnsi="Palatino Linotype"/>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deben ser considerados confidenciales, en términos del artículo 143, fracción I, de la Ley de Transparencia local, o públicos.</w:t>
      </w:r>
    </w:p>
    <w:p w14:paraId="43E4B5E9" w14:textId="07E3500C" w:rsidR="00A34B9D" w:rsidRPr="001D57D4" w:rsidRDefault="00A34B9D" w:rsidP="001D57D4">
      <w:pPr>
        <w:tabs>
          <w:tab w:val="left" w:pos="4962"/>
        </w:tabs>
        <w:spacing w:line="360" w:lineRule="auto"/>
        <w:ind w:right="-28"/>
        <w:jc w:val="both"/>
        <w:rPr>
          <w:rFonts w:ascii="Palatino Linotype" w:eastAsia="Calibri" w:hAnsi="Palatino Linotype"/>
          <w:b/>
          <w:bCs/>
          <w:iCs/>
          <w:szCs w:val="40"/>
          <w:lang w:eastAsia="en-US"/>
        </w:rPr>
      </w:pPr>
    </w:p>
    <w:p w14:paraId="3823723A" w14:textId="77777777" w:rsidR="00A34B9D" w:rsidRPr="001D57D4" w:rsidRDefault="00A34B9D" w:rsidP="001D57D4">
      <w:pPr>
        <w:numPr>
          <w:ilvl w:val="0"/>
          <w:numId w:val="16"/>
        </w:numPr>
        <w:spacing w:after="160" w:line="360" w:lineRule="auto"/>
        <w:contextualSpacing/>
        <w:jc w:val="both"/>
        <w:rPr>
          <w:rFonts w:ascii="Palatino Linotype" w:hAnsi="Palatino Linotype" w:cs="Tahoma"/>
          <w:b/>
          <w:bCs/>
          <w:iCs/>
          <w:lang w:val="es-ES_tradnl" w:eastAsia="es-MX"/>
        </w:rPr>
      </w:pPr>
      <w:r w:rsidRPr="001D57D4">
        <w:rPr>
          <w:rFonts w:ascii="Palatino Linotype" w:hAnsi="Palatino Linotype" w:cs="Tahoma"/>
          <w:b/>
          <w:bCs/>
          <w:iCs/>
          <w:lang w:eastAsia="es-MX"/>
        </w:rPr>
        <w:t>C</w:t>
      </w:r>
      <w:r w:rsidRPr="001D57D4">
        <w:rPr>
          <w:rFonts w:ascii="Palatino Linotype" w:hAnsi="Palatino Linotype" w:cs="Tahoma"/>
          <w:b/>
          <w:bCs/>
          <w:iCs/>
          <w:lang w:val="es-ES_tradnl" w:eastAsia="es-MX"/>
        </w:rPr>
        <w:t>lave Única de Registro de Población (CURP).</w:t>
      </w:r>
    </w:p>
    <w:p w14:paraId="42E1F8F5"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2189954"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4BF32E9" w14:textId="77777777" w:rsidR="00A34B9D" w:rsidRPr="001D57D4" w:rsidRDefault="00A34B9D" w:rsidP="001D57D4">
      <w:pPr>
        <w:spacing w:line="360" w:lineRule="auto"/>
        <w:contextualSpacing/>
        <w:jc w:val="both"/>
        <w:rPr>
          <w:rFonts w:ascii="Palatino Linotype" w:hAnsi="Palatino Linotype" w:cs="Tahoma"/>
          <w:bCs/>
          <w:iCs/>
          <w:lang w:eastAsia="es-MX"/>
        </w:rPr>
      </w:pPr>
    </w:p>
    <w:p w14:paraId="2610F72D"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 xml:space="preserve">En ese orden de ideas, la Secretaría de Gobernación en las direcciones </w:t>
      </w:r>
      <w:hyperlink r:id="rId14" w:history="1">
        <w:r w:rsidRPr="001D57D4">
          <w:rPr>
            <w:rFonts w:ascii="Palatino Linotype" w:hAnsi="Palatino Linotype" w:cs="Tahoma"/>
            <w:bCs/>
            <w:iCs/>
            <w:u w:val="single"/>
            <w:lang w:eastAsia="es-MX"/>
          </w:rPr>
          <w:t>https://consultas.curp.gob.mx/CurpSP/html/informacionecurpPS.html</w:t>
        </w:r>
      </w:hyperlink>
      <w:r w:rsidRPr="001D57D4">
        <w:rPr>
          <w:rFonts w:ascii="Palatino Linotype" w:hAnsi="Palatino Linotype" w:cs="Tahoma"/>
          <w:bCs/>
          <w:iCs/>
          <w:lang w:eastAsia="es-MX"/>
        </w:rPr>
        <w:t xml:space="preserve"> y </w:t>
      </w:r>
      <w:hyperlink r:id="rId15" w:history="1">
        <w:r w:rsidRPr="001D57D4">
          <w:rPr>
            <w:rFonts w:ascii="Palatino Linotype" w:hAnsi="Palatino Linotype" w:cs="Tahoma"/>
            <w:bCs/>
            <w:iCs/>
            <w:u w:val="single"/>
            <w:lang w:eastAsia="es-MX"/>
          </w:rPr>
          <w:t>https://www.gob.mx/segob/renapo/acciones-y-programas/clave-unica-de-registro-de-poblacion-curp-142226</w:t>
        </w:r>
      </w:hyperlink>
      <w:r w:rsidRPr="001D57D4">
        <w:rPr>
          <w:rFonts w:ascii="Palatino Linotype" w:hAnsi="Palatino Linotype" w:cs="Tahoma"/>
          <w:bCs/>
          <w:iCs/>
          <w:lang w:eastAsia="es-MX"/>
        </w:rPr>
        <w:t xml:space="preserve"> (consultadas el veintidós de noviembre),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D57D4">
        <w:rPr>
          <w:rFonts w:ascii="Palatino Linotype" w:hAnsi="Palatino Linotype" w:cs="Tahoma"/>
          <w:b/>
          <w:bCs/>
          <w:iCs/>
          <w:lang w:eastAsia="es-MX"/>
        </w:rPr>
        <w:t>se generan a partir de los datos contenidos en el documento probatorio de la identidad</w:t>
      </w:r>
      <w:r w:rsidRPr="001D57D4">
        <w:rPr>
          <w:rFonts w:ascii="Palatino Linotype" w:hAnsi="Palatino Linotype" w:cs="Tahoma"/>
          <w:bCs/>
          <w:iCs/>
          <w:lang w:eastAsia="es-MX"/>
        </w:rPr>
        <w:t xml:space="preserve"> </w:t>
      </w:r>
      <w:r w:rsidRPr="001D57D4">
        <w:rPr>
          <w:rFonts w:ascii="Palatino Linotype" w:hAnsi="Palatino Linotype" w:cs="Tahoma"/>
          <w:b/>
          <w:bCs/>
          <w:iCs/>
          <w:lang w:eastAsia="es-MX"/>
        </w:rPr>
        <w:t xml:space="preserve">del interesado </w:t>
      </w:r>
      <w:r w:rsidRPr="001D57D4">
        <w:rPr>
          <w:rFonts w:ascii="Palatino Linotype" w:hAnsi="Palatino Linotype" w:cs="Tahoma"/>
          <w:bCs/>
          <w:iCs/>
          <w:lang w:eastAsia="es-MX"/>
        </w:rPr>
        <w:t>(acta de nacimiento, carta de naturalización o documento migratorio) de la siguiente forma:</w:t>
      </w:r>
    </w:p>
    <w:p w14:paraId="0B9D538E" w14:textId="5FD45B23" w:rsidR="00A34B9D" w:rsidRPr="001D57D4" w:rsidRDefault="00A34B9D" w:rsidP="001D57D4">
      <w:pPr>
        <w:spacing w:line="360" w:lineRule="auto"/>
        <w:contextualSpacing/>
        <w:jc w:val="both"/>
        <w:rPr>
          <w:rFonts w:ascii="Palatino Linotype" w:hAnsi="Palatino Linotype" w:cs="Tahoma"/>
          <w:bCs/>
          <w:iCs/>
          <w:szCs w:val="40"/>
          <w:lang w:eastAsia="es-MX"/>
        </w:rPr>
      </w:pPr>
    </w:p>
    <w:p w14:paraId="2D9B1B9F" w14:textId="77777777" w:rsidR="00A34B9D" w:rsidRPr="001D57D4" w:rsidRDefault="00A34B9D" w:rsidP="001D57D4">
      <w:pPr>
        <w:numPr>
          <w:ilvl w:val="0"/>
          <w:numId w:val="17"/>
        </w:numPr>
        <w:spacing w:after="160"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El primero y segundo apellidos, así como al nombre de pila;</w:t>
      </w:r>
    </w:p>
    <w:p w14:paraId="327F5C9C" w14:textId="77777777" w:rsidR="00A34B9D" w:rsidRPr="001D57D4" w:rsidRDefault="00A34B9D" w:rsidP="001D57D4">
      <w:pPr>
        <w:numPr>
          <w:ilvl w:val="0"/>
          <w:numId w:val="17"/>
        </w:numPr>
        <w:spacing w:after="160"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La fecha de nacimiento;</w:t>
      </w:r>
    </w:p>
    <w:p w14:paraId="5B1088D7" w14:textId="77777777" w:rsidR="00A34B9D" w:rsidRPr="001D57D4" w:rsidRDefault="00A34B9D" w:rsidP="001D57D4">
      <w:pPr>
        <w:numPr>
          <w:ilvl w:val="0"/>
          <w:numId w:val="17"/>
        </w:numPr>
        <w:spacing w:after="160"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El sexo, y</w:t>
      </w:r>
    </w:p>
    <w:p w14:paraId="245E747A" w14:textId="77777777" w:rsidR="00A34B9D" w:rsidRPr="001D57D4" w:rsidRDefault="00A34B9D" w:rsidP="001D57D4">
      <w:pPr>
        <w:numPr>
          <w:ilvl w:val="0"/>
          <w:numId w:val="17"/>
        </w:numPr>
        <w:spacing w:after="160"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La entidad federativa de nacimiento.</w:t>
      </w:r>
    </w:p>
    <w:p w14:paraId="56A73407"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Los dos últimos elementos de la Clave Única de Registro de Población evitan la duplicidad de la Clave y garantizan su correcta integración.</w:t>
      </w:r>
    </w:p>
    <w:p w14:paraId="6783C3DC" w14:textId="77777777" w:rsidR="00A34B9D" w:rsidRPr="001D57D4" w:rsidRDefault="00A34B9D" w:rsidP="001D57D4">
      <w:pPr>
        <w:spacing w:line="360" w:lineRule="auto"/>
        <w:contextualSpacing/>
        <w:jc w:val="both"/>
        <w:rPr>
          <w:rFonts w:ascii="Palatino Linotype" w:hAnsi="Palatino Linotype" w:cs="Tahoma"/>
          <w:bCs/>
          <w:iCs/>
          <w:lang w:eastAsia="es-MX"/>
        </w:rPr>
      </w:pPr>
    </w:p>
    <w:p w14:paraId="44FDCE86"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w:t>
      </w:r>
      <w:r w:rsidRPr="001D57D4">
        <w:rPr>
          <w:rFonts w:ascii="Palatino Linotype" w:hAnsi="Palatino Linotype" w:cs="Tahoma"/>
          <w:bCs/>
          <w:iCs/>
          <w:lang w:eastAsia="es-MX"/>
        </w:rPr>
        <w:lastRenderedPageBreak/>
        <w:t>individuo, simplemente se trata de un trámite administrativo requerido por la autoridad federal para hacer identificables a las personas.</w:t>
      </w:r>
    </w:p>
    <w:p w14:paraId="57E8D155" w14:textId="77777777" w:rsidR="00A34B9D" w:rsidRPr="001D57D4" w:rsidRDefault="00A34B9D" w:rsidP="001D57D4">
      <w:pPr>
        <w:spacing w:line="360" w:lineRule="auto"/>
        <w:contextualSpacing/>
        <w:jc w:val="both"/>
        <w:rPr>
          <w:rFonts w:ascii="Palatino Linotype" w:hAnsi="Palatino Linotype" w:cs="Tahoma"/>
          <w:bCs/>
          <w:iCs/>
          <w:lang w:eastAsia="es-MX"/>
        </w:rPr>
      </w:pPr>
    </w:p>
    <w:p w14:paraId="19B37DE0"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 xml:space="preserve">Situación que se robustece, con el </w:t>
      </w:r>
      <w:r w:rsidRPr="001D57D4">
        <w:rPr>
          <w:rFonts w:ascii="Palatino Linotype" w:eastAsia="Calibri" w:hAnsi="Palatino Linotype" w:cs="Tahoma"/>
          <w:bCs/>
          <w:iCs/>
          <w:lang w:val="es-ES" w:eastAsia="en-US"/>
        </w:rPr>
        <w:t xml:space="preserve">Criterio de Interpretación, de la Segunda Época, con número de registro </w:t>
      </w:r>
      <w:r w:rsidRPr="001D57D4">
        <w:rPr>
          <w:rFonts w:ascii="Palatino Linotype" w:eastAsia="Calibri" w:hAnsi="Palatino Linotype" w:cs="Tahoma"/>
          <w:bCs/>
          <w:iCs/>
          <w:lang w:eastAsia="en-US"/>
        </w:rPr>
        <w:t>SO/018/2017</w:t>
      </w:r>
      <w:r w:rsidRPr="001D57D4">
        <w:rPr>
          <w:rFonts w:ascii="Palatino Linotype" w:hAnsi="Palatino Linotype" w:cs="Tahoma"/>
          <w:bCs/>
          <w:iCs/>
          <w:lang w:eastAsia="es-MX"/>
        </w:rPr>
        <w:t>, emitido por el Instituto Nacional de Transparencia, Acceso a la Información y Protección de Datos Personales, que establece lo siguiente:</w:t>
      </w:r>
    </w:p>
    <w:p w14:paraId="15F0C59B" w14:textId="77777777" w:rsidR="00A34B9D" w:rsidRPr="001D57D4" w:rsidRDefault="00A34B9D" w:rsidP="001D57D4">
      <w:pPr>
        <w:spacing w:line="360" w:lineRule="auto"/>
        <w:contextualSpacing/>
        <w:jc w:val="both"/>
        <w:rPr>
          <w:rFonts w:ascii="Palatino Linotype" w:hAnsi="Palatino Linotype" w:cs="Tahoma"/>
          <w:bCs/>
          <w:iCs/>
          <w:szCs w:val="40"/>
          <w:lang w:eastAsia="es-MX"/>
        </w:rPr>
      </w:pPr>
    </w:p>
    <w:p w14:paraId="50D98CDF" w14:textId="77777777" w:rsidR="00A34B9D" w:rsidRPr="001D57D4" w:rsidRDefault="00A34B9D" w:rsidP="001D57D4">
      <w:pPr>
        <w:ind w:left="851" w:right="899"/>
        <w:jc w:val="both"/>
        <w:rPr>
          <w:rFonts w:ascii="Palatino Linotype" w:hAnsi="Palatino Linotype" w:cs="Tahoma"/>
          <w:bCs/>
          <w:i/>
          <w:iCs/>
          <w:lang w:eastAsia="es-MX"/>
        </w:rPr>
      </w:pPr>
      <w:r w:rsidRPr="001D57D4">
        <w:rPr>
          <w:rFonts w:ascii="Palatino Linotype" w:hAnsi="Palatino Linotype" w:cs="Tahoma"/>
          <w:b/>
          <w:bCs/>
          <w:i/>
          <w:iCs/>
          <w:lang w:eastAsia="es-MX"/>
        </w:rPr>
        <w:t xml:space="preserve">“Clave Única de Registro de Población (CURP). </w:t>
      </w:r>
      <w:r w:rsidRPr="001D57D4">
        <w:rPr>
          <w:rFonts w:ascii="Palatino Linotype" w:hAnsi="Palatino Linotype" w:cs="Tahoma"/>
          <w:bCs/>
          <w:i/>
          <w:iCs/>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4FE1E61" w14:textId="77777777" w:rsidR="00A34B9D" w:rsidRPr="001D57D4" w:rsidRDefault="00A34B9D" w:rsidP="001D57D4">
      <w:pPr>
        <w:spacing w:line="360" w:lineRule="auto"/>
        <w:contextualSpacing/>
        <w:jc w:val="both"/>
        <w:rPr>
          <w:rFonts w:ascii="Palatino Linotype" w:hAnsi="Palatino Linotype" w:cs="Tahoma"/>
          <w:bCs/>
          <w:i/>
          <w:iCs/>
          <w:szCs w:val="40"/>
          <w:lang w:eastAsia="es-MX"/>
        </w:rPr>
      </w:pPr>
    </w:p>
    <w:p w14:paraId="63E04122"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 xml:space="preserve">De acuerdo con lo anterior, resulta procedente la clasificación de </w:t>
      </w:r>
      <w:r w:rsidRPr="001D57D4">
        <w:rPr>
          <w:rFonts w:ascii="Palatino Linotype" w:hAnsi="Palatino Linotype" w:cs="Tahoma"/>
          <w:b/>
          <w:bCs/>
          <w:iCs/>
          <w:lang w:eastAsia="es-MX"/>
        </w:rPr>
        <w:t>la Clave Única de Registro de Población</w:t>
      </w:r>
      <w:r w:rsidRPr="001D57D4">
        <w:rPr>
          <w:rFonts w:ascii="Palatino Linotype" w:hAnsi="Palatino Linotype" w:cs="Tahoma"/>
          <w:bCs/>
          <w:iCs/>
          <w:lang w:eastAsia="es-MX"/>
        </w:rPr>
        <w:t xml:space="preserve">, por tratarse de un dato personal confidencial, en términos del artículo 143, fracción I, de la Ley de Transparencia local. </w:t>
      </w:r>
    </w:p>
    <w:p w14:paraId="2D2FA3A6" w14:textId="77777777" w:rsidR="00A34B9D" w:rsidRPr="001D57D4" w:rsidRDefault="00A34B9D" w:rsidP="001D57D4">
      <w:pPr>
        <w:spacing w:line="360" w:lineRule="auto"/>
        <w:contextualSpacing/>
        <w:jc w:val="both"/>
        <w:rPr>
          <w:rFonts w:ascii="Palatino Linotype" w:hAnsi="Palatino Linotype" w:cs="Tahoma"/>
          <w:bCs/>
          <w:iCs/>
          <w:lang w:val="es-ES" w:eastAsia="es-MX"/>
        </w:rPr>
      </w:pPr>
    </w:p>
    <w:p w14:paraId="17A5D92B" w14:textId="77777777" w:rsidR="00A34B9D" w:rsidRPr="001D57D4" w:rsidRDefault="00A34B9D" w:rsidP="001D57D4">
      <w:pPr>
        <w:numPr>
          <w:ilvl w:val="0"/>
          <w:numId w:val="16"/>
        </w:numPr>
        <w:spacing w:after="160" w:line="360" w:lineRule="auto"/>
        <w:contextualSpacing/>
        <w:jc w:val="both"/>
        <w:rPr>
          <w:rFonts w:ascii="Palatino Linotype" w:hAnsi="Palatino Linotype" w:cs="Tahoma"/>
          <w:b/>
          <w:bCs/>
          <w:iCs/>
          <w:lang w:val="es-ES_tradnl" w:eastAsia="es-MX"/>
        </w:rPr>
      </w:pPr>
      <w:r w:rsidRPr="001D57D4">
        <w:rPr>
          <w:rFonts w:ascii="Palatino Linotype" w:hAnsi="Palatino Linotype" w:cs="Tahoma"/>
          <w:b/>
          <w:bCs/>
          <w:iCs/>
          <w:lang w:val="es-ES_tradnl" w:eastAsia="es-MX"/>
        </w:rPr>
        <w:t>Registro Federal de Contribuyentes (RFC).</w:t>
      </w:r>
    </w:p>
    <w:p w14:paraId="5089137F"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w:t>
      </w:r>
      <w:r w:rsidRPr="001D57D4">
        <w:rPr>
          <w:rFonts w:ascii="Palatino Linotype" w:hAnsi="Palatino Linotype" w:cs="Tahoma"/>
          <w:bCs/>
          <w:iCs/>
          <w:lang w:eastAsia="es-MX"/>
        </w:rPr>
        <w:lastRenderedPageBreak/>
        <w:t>la Secretaría de Hacienda y Crédito Público, de acuerdo al artículo 27 del Código Fiscal de la Federación.</w:t>
      </w:r>
    </w:p>
    <w:p w14:paraId="35BDD6EA" w14:textId="77777777" w:rsidR="00A34B9D" w:rsidRPr="001D57D4" w:rsidRDefault="00A34B9D" w:rsidP="001D57D4">
      <w:pPr>
        <w:spacing w:line="360" w:lineRule="auto"/>
        <w:contextualSpacing/>
        <w:jc w:val="both"/>
        <w:rPr>
          <w:rFonts w:ascii="Palatino Linotype" w:hAnsi="Palatino Linotype" w:cs="Tahoma"/>
          <w:bCs/>
          <w:iCs/>
          <w:szCs w:val="40"/>
          <w:lang w:eastAsia="es-MX"/>
        </w:rPr>
      </w:pPr>
    </w:p>
    <w:p w14:paraId="4EEA9870"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1D57D4">
        <w:rPr>
          <w:rFonts w:ascii="Palatino Linotype" w:hAnsi="Palatino Linotype" w:cs="Tahoma"/>
          <w:bCs/>
          <w:iCs/>
          <w:lang w:eastAsia="es-MX"/>
        </w:rPr>
        <w:t>homoclave</w:t>
      </w:r>
      <w:proofErr w:type="spellEnd"/>
      <w:r w:rsidRPr="001D57D4">
        <w:rPr>
          <w:rFonts w:ascii="Palatino Linotype" w:hAnsi="Palatino Linotype" w:cs="Tahoma"/>
          <w:bCs/>
          <w:iCs/>
          <w:lang w:eastAsia="es-MX"/>
        </w:rPr>
        <w:t xml:space="preserve"> que establece el sistema automático del Servicio de Administración Tributaria.</w:t>
      </w:r>
    </w:p>
    <w:p w14:paraId="18E6DAD4" w14:textId="77777777" w:rsidR="00A34B9D" w:rsidRPr="001D57D4" w:rsidRDefault="00A34B9D" w:rsidP="001D57D4">
      <w:pPr>
        <w:spacing w:line="360" w:lineRule="auto"/>
        <w:contextualSpacing/>
        <w:jc w:val="both"/>
        <w:rPr>
          <w:rFonts w:ascii="Palatino Linotype" w:hAnsi="Palatino Linotype" w:cs="Tahoma"/>
          <w:bCs/>
          <w:iCs/>
          <w:szCs w:val="40"/>
          <w:lang w:eastAsia="es-MX"/>
        </w:rPr>
      </w:pPr>
    </w:p>
    <w:p w14:paraId="6B65BE32" w14:textId="31516786"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AFD545A" w14:textId="77777777" w:rsidR="004948F4" w:rsidRPr="001D57D4" w:rsidRDefault="004948F4" w:rsidP="001D57D4">
      <w:pPr>
        <w:spacing w:line="360" w:lineRule="auto"/>
        <w:contextualSpacing/>
        <w:jc w:val="both"/>
        <w:rPr>
          <w:rFonts w:ascii="Palatino Linotype" w:hAnsi="Palatino Linotype" w:cs="Tahoma"/>
          <w:bCs/>
          <w:iCs/>
          <w:lang w:eastAsia="es-MX"/>
        </w:rPr>
      </w:pPr>
    </w:p>
    <w:p w14:paraId="393E736F"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2E4C0B8" w14:textId="77777777" w:rsidR="004948F4" w:rsidRPr="001D57D4" w:rsidRDefault="004948F4" w:rsidP="001D57D4">
      <w:pPr>
        <w:spacing w:line="360" w:lineRule="auto"/>
        <w:contextualSpacing/>
        <w:jc w:val="both"/>
        <w:rPr>
          <w:rFonts w:ascii="Palatino Linotype" w:hAnsi="Palatino Linotype" w:cs="Tahoma"/>
          <w:bCs/>
          <w:iCs/>
          <w:lang w:eastAsia="es-MX"/>
        </w:rPr>
      </w:pPr>
    </w:p>
    <w:p w14:paraId="2BDF3920" w14:textId="7FE4AD99"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 xml:space="preserve">Lo anterior, resulta congruente con el </w:t>
      </w:r>
      <w:r w:rsidRPr="001D57D4">
        <w:rPr>
          <w:rFonts w:ascii="Palatino Linotype" w:eastAsia="Calibri" w:hAnsi="Palatino Linotype" w:cs="Tahoma"/>
          <w:bCs/>
          <w:iCs/>
          <w:lang w:val="es-ES" w:eastAsia="en-US"/>
        </w:rPr>
        <w:t xml:space="preserve">Criterio de Interpretación, de la Segunda Época, con número de registro </w:t>
      </w:r>
      <w:r w:rsidRPr="001D57D4">
        <w:rPr>
          <w:rFonts w:ascii="Palatino Linotype" w:eastAsia="Calibri" w:hAnsi="Palatino Linotype" w:cs="Tahoma"/>
          <w:bCs/>
          <w:iCs/>
          <w:lang w:eastAsia="en-US"/>
        </w:rPr>
        <w:t xml:space="preserve">SO/019/2017, </w:t>
      </w:r>
      <w:r w:rsidRPr="001D57D4">
        <w:rPr>
          <w:rFonts w:ascii="Palatino Linotype" w:hAnsi="Palatino Linotype" w:cs="Tahoma"/>
          <w:bCs/>
          <w:iCs/>
          <w:lang w:eastAsia="es-MX"/>
        </w:rPr>
        <w:t xml:space="preserve">emitido por el Instituto Nacional de </w:t>
      </w:r>
      <w:r w:rsidRPr="001D57D4">
        <w:rPr>
          <w:rFonts w:ascii="Palatino Linotype" w:hAnsi="Palatino Linotype" w:cs="Tahoma"/>
          <w:bCs/>
          <w:iCs/>
          <w:lang w:eastAsia="es-MX"/>
        </w:rPr>
        <w:lastRenderedPageBreak/>
        <w:t>Transparencia, Acceso a la Información y Protección de Datos Personales, en el cual se señala lo siguiente:</w:t>
      </w:r>
    </w:p>
    <w:p w14:paraId="2D9F4543" w14:textId="77777777" w:rsidR="00A34B9D" w:rsidRPr="001D57D4" w:rsidRDefault="00A34B9D" w:rsidP="001D57D4">
      <w:pPr>
        <w:spacing w:line="360" w:lineRule="auto"/>
        <w:contextualSpacing/>
        <w:jc w:val="both"/>
        <w:rPr>
          <w:rFonts w:ascii="Palatino Linotype" w:hAnsi="Palatino Linotype" w:cs="Tahoma"/>
          <w:bCs/>
          <w:iCs/>
          <w:lang w:eastAsia="es-MX"/>
        </w:rPr>
      </w:pPr>
    </w:p>
    <w:p w14:paraId="5230DD80" w14:textId="77777777" w:rsidR="00A34B9D" w:rsidRPr="001D57D4" w:rsidRDefault="00A34B9D" w:rsidP="001D57D4">
      <w:pPr>
        <w:ind w:left="851" w:right="899"/>
        <w:jc w:val="both"/>
        <w:rPr>
          <w:rFonts w:ascii="Palatino Linotype" w:hAnsi="Palatino Linotype" w:cs="Tahoma"/>
          <w:bCs/>
          <w:i/>
          <w:iCs/>
          <w:lang w:eastAsia="es-MX"/>
        </w:rPr>
      </w:pPr>
      <w:r w:rsidRPr="001D57D4">
        <w:rPr>
          <w:rFonts w:ascii="Palatino Linotype" w:hAnsi="Palatino Linotype" w:cs="Tahoma"/>
          <w:b/>
          <w:bCs/>
          <w:i/>
          <w:iCs/>
          <w:lang w:eastAsia="es-MX"/>
        </w:rPr>
        <w:t>“Registro Federal de Contribuyentes (RFC) de personas físicas.</w:t>
      </w:r>
      <w:r w:rsidRPr="001D57D4">
        <w:rPr>
          <w:rFonts w:ascii="Palatino Linotype" w:hAnsi="Palatino Linotype" w:cs="Tahoma"/>
          <w:bCs/>
          <w:i/>
          <w:iCs/>
          <w:lang w:eastAsia="es-MX"/>
        </w:rPr>
        <w:t xml:space="preserve"> El RFC es una clave de carácter fiscal, única e irrepetible, que permite identificar al titular, su edad y fecha de nacimiento, por lo que es un dato personal de carácter confidencial.”</w:t>
      </w:r>
    </w:p>
    <w:p w14:paraId="37AE6040" w14:textId="77777777" w:rsidR="00A34B9D" w:rsidRPr="001D57D4" w:rsidRDefault="00A34B9D" w:rsidP="001D57D4">
      <w:pPr>
        <w:spacing w:line="360" w:lineRule="auto"/>
        <w:contextualSpacing/>
        <w:jc w:val="both"/>
        <w:rPr>
          <w:rFonts w:ascii="Palatino Linotype" w:hAnsi="Palatino Linotype" w:cs="Tahoma"/>
          <w:bCs/>
          <w:iCs/>
          <w:lang w:eastAsia="es-MX"/>
        </w:rPr>
      </w:pPr>
    </w:p>
    <w:p w14:paraId="37AF4E8B"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local.</w:t>
      </w:r>
    </w:p>
    <w:p w14:paraId="5B64F56C" w14:textId="77777777" w:rsidR="00A34B9D" w:rsidRPr="001D57D4" w:rsidRDefault="00A34B9D" w:rsidP="001D57D4">
      <w:pPr>
        <w:spacing w:line="360" w:lineRule="auto"/>
        <w:contextualSpacing/>
        <w:jc w:val="both"/>
        <w:rPr>
          <w:rFonts w:ascii="Palatino Linotype" w:hAnsi="Palatino Linotype" w:cs="Tahoma"/>
          <w:bCs/>
          <w:iCs/>
          <w:lang w:eastAsia="es-MX"/>
        </w:rPr>
      </w:pPr>
    </w:p>
    <w:p w14:paraId="4B2822A6" w14:textId="77777777" w:rsidR="00A34B9D" w:rsidRPr="001D57D4" w:rsidRDefault="00A34B9D" w:rsidP="001D57D4">
      <w:pPr>
        <w:numPr>
          <w:ilvl w:val="0"/>
          <w:numId w:val="16"/>
        </w:numPr>
        <w:spacing w:after="160" w:line="360" w:lineRule="auto"/>
        <w:contextualSpacing/>
        <w:jc w:val="both"/>
        <w:rPr>
          <w:rFonts w:ascii="Palatino Linotype" w:eastAsia="Calibri" w:hAnsi="Palatino Linotype" w:cs="Tahoma"/>
          <w:b/>
          <w:bCs/>
          <w:iCs/>
          <w:lang w:eastAsia="en-US"/>
        </w:rPr>
      </w:pPr>
      <w:r w:rsidRPr="001D57D4">
        <w:rPr>
          <w:rFonts w:ascii="Palatino Linotype" w:eastAsia="Calibri" w:hAnsi="Palatino Linotype" w:cs="Tahoma"/>
          <w:b/>
          <w:bCs/>
          <w:iCs/>
          <w:lang w:eastAsia="en-US"/>
        </w:rPr>
        <w:t xml:space="preserve">Código bidimensional o </w:t>
      </w:r>
      <w:proofErr w:type="spellStart"/>
      <w:r w:rsidRPr="001D57D4">
        <w:rPr>
          <w:rFonts w:ascii="Palatino Linotype" w:eastAsia="Calibri" w:hAnsi="Palatino Linotype" w:cs="Tahoma"/>
          <w:b/>
          <w:bCs/>
          <w:iCs/>
          <w:lang w:eastAsia="en-US"/>
        </w:rPr>
        <w:t>Qr</w:t>
      </w:r>
      <w:proofErr w:type="spellEnd"/>
      <w:r w:rsidRPr="001D57D4">
        <w:rPr>
          <w:rFonts w:ascii="Palatino Linotype" w:eastAsia="Calibri" w:hAnsi="Palatino Linotype" w:cs="Tahoma"/>
          <w:b/>
          <w:bCs/>
          <w:iCs/>
          <w:lang w:eastAsia="en-US"/>
        </w:rPr>
        <w:t>.</w:t>
      </w:r>
    </w:p>
    <w:p w14:paraId="5DC62227" w14:textId="77777777" w:rsidR="00A34B9D" w:rsidRPr="001D57D4" w:rsidRDefault="00A34B9D" w:rsidP="001D57D4">
      <w:pPr>
        <w:spacing w:line="360" w:lineRule="auto"/>
        <w:contextualSpacing/>
        <w:jc w:val="both"/>
        <w:rPr>
          <w:rFonts w:ascii="Palatino Linotype" w:eastAsia="Calibri" w:hAnsi="Palatino Linotype" w:cs="Tahoma"/>
          <w:bCs/>
          <w:lang w:eastAsia="en-US"/>
        </w:rPr>
      </w:pPr>
      <w:r w:rsidRPr="001D57D4">
        <w:rPr>
          <w:rFonts w:ascii="Palatino Linotype" w:eastAsia="Calibri" w:hAnsi="Palatino Linotype" w:cs="Tahoma"/>
          <w:bCs/>
          <w:lang w:eastAsia="en-US"/>
        </w:rPr>
        <w:t xml:space="preserve">En principio, resulta necesario señalar que los comprobantes fiscales digitales por Internet, deben de incluir un código bidimensional conforme al formato </w:t>
      </w:r>
      <w:r w:rsidRPr="001D57D4">
        <w:rPr>
          <w:rFonts w:ascii="Palatino Linotype" w:eastAsia="Calibri" w:hAnsi="Palatino Linotype" w:cs="Tahoma"/>
          <w:bCs/>
          <w:i/>
          <w:lang w:eastAsia="en-US"/>
        </w:rPr>
        <w:t xml:space="preserve">QR </w:t>
      </w:r>
      <w:proofErr w:type="spellStart"/>
      <w:r w:rsidRPr="001D57D4">
        <w:rPr>
          <w:rFonts w:ascii="Palatino Linotype" w:eastAsia="Calibri" w:hAnsi="Palatino Linotype" w:cs="Tahoma"/>
          <w:bCs/>
          <w:i/>
          <w:lang w:eastAsia="en-US"/>
        </w:rPr>
        <w:t>Code</w:t>
      </w:r>
      <w:proofErr w:type="spellEnd"/>
      <w:r w:rsidRPr="001D57D4">
        <w:rPr>
          <w:rFonts w:ascii="Palatino Linotype" w:eastAsia="Calibri" w:hAnsi="Palatino Linotype" w:cs="Tahoma"/>
          <w:bCs/>
          <w:i/>
          <w:lang w:eastAsia="en-US"/>
        </w:rPr>
        <w:t xml:space="preserve"> (Quick Response </w:t>
      </w:r>
      <w:proofErr w:type="spellStart"/>
      <w:r w:rsidRPr="001D57D4">
        <w:rPr>
          <w:rFonts w:ascii="Palatino Linotype" w:eastAsia="Calibri" w:hAnsi="Palatino Linotype" w:cs="Tahoma"/>
          <w:bCs/>
          <w:i/>
          <w:lang w:eastAsia="en-US"/>
        </w:rPr>
        <w:t>Code</w:t>
      </w:r>
      <w:proofErr w:type="spellEnd"/>
      <w:r w:rsidRPr="001D57D4">
        <w:rPr>
          <w:rFonts w:ascii="Palatino Linotype" w:eastAsia="Calibri" w:hAnsi="Palatino Linotype" w:cs="Tahoma"/>
          <w:bCs/>
          <w:i/>
          <w:lang w:eastAsia="en-US"/>
        </w:rPr>
        <w:t>)</w:t>
      </w:r>
      <w:r w:rsidRPr="001D57D4">
        <w:rPr>
          <w:rFonts w:ascii="Palatino Linotype" w:eastAsia="Calibri" w:hAnsi="Palatino Linotype" w:cs="Tahoma"/>
          <w:bCs/>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6" w:history="1">
        <w:r w:rsidRPr="001D57D4">
          <w:rPr>
            <w:rFonts w:ascii="Palatino Linotype" w:eastAsia="Calibri" w:hAnsi="Palatino Linotype" w:cs="Tahoma"/>
            <w:bCs/>
            <w:u w:val="single"/>
            <w:lang w:eastAsia="en-US"/>
          </w:rPr>
          <w:t>http://dof.gob.mx/nota_detalle.php?codigo=5492254&amp;fecha=28/07/2017</w:t>
        </w:r>
      </w:hyperlink>
      <w:r w:rsidRPr="001D57D4">
        <w:rPr>
          <w:rFonts w:ascii="Palatino Linotype" w:eastAsia="Calibri" w:hAnsi="Palatino Linotype" w:cs="Tahoma"/>
          <w:bCs/>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151928EF" w14:textId="77777777" w:rsidR="00A34B9D" w:rsidRPr="001D57D4" w:rsidRDefault="00A34B9D" w:rsidP="001D57D4">
      <w:pPr>
        <w:spacing w:line="360" w:lineRule="auto"/>
        <w:contextualSpacing/>
        <w:jc w:val="both"/>
        <w:rPr>
          <w:rFonts w:ascii="Palatino Linotype" w:eastAsia="Calibri" w:hAnsi="Palatino Linotype" w:cs="Tahoma"/>
          <w:bCs/>
          <w:lang w:eastAsia="en-US"/>
        </w:rPr>
      </w:pPr>
    </w:p>
    <w:p w14:paraId="0144087C" w14:textId="77777777" w:rsidR="00A34B9D" w:rsidRPr="001D57D4" w:rsidRDefault="00A34B9D" w:rsidP="001D57D4">
      <w:pPr>
        <w:spacing w:line="360" w:lineRule="auto"/>
        <w:contextualSpacing/>
        <w:jc w:val="both"/>
        <w:rPr>
          <w:rFonts w:ascii="Palatino Linotype" w:eastAsia="Calibri" w:hAnsi="Palatino Linotype" w:cs="Tahoma"/>
          <w:bCs/>
          <w:lang w:eastAsia="en-US"/>
        </w:rPr>
      </w:pPr>
      <w:r w:rsidRPr="001D57D4">
        <w:rPr>
          <w:rFonts w:ascii="Palatino Linotype" w:eastAsia="Calibri" w:hAnsi="Palatino Linotype" w:cs="Tahoma"/>
          <w:bCs/>
          <w:lang w:eastAsia="en-US"/>
        </w:rPr>
        <w:lastRenderedPageBreak/>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A061E3E" w14:textId="77777777" w:rsidR="00A34B9D" w:rsidRPr="001D57D4" w:rsidRDefault="00A34B9D" w:rsidP="001D57D4">
      <w:pPr>
        <w:spacing w:line="360" w:lineRule="auto"/>
        <w:contextualSpacing/>
        <w:jc w:val="both"/>
        <w:rPr>
          <w:rFonts w:ascii="Palatino Linotype" w:eastAsia="Calibri" w:hAnsi="Palatino Linotype" w:cs="Tahoma"/>
          <w:bCs/>
          <w:lang w:eastAsia="en-US"/>
        </w:rPr>
      </w:pPr>
    </w:p>
    <w:p w14:paraId="47C2F5E8" w14:textId="77777777" w:rsidR="00A34B9D" w:rsidRPr="001D57D4" w:rsidRDefault="00A34B9D" w:rsidP="001D57D4">
      <w:pPr>
        <w:numPr>
          <w:ilvl w:val="0"/>
          <w:numId w:val="16"/>
        </w:numPr>
        <w:spacing w:after="160" w:line="360" w:lineRule="auto"/>
        <w:contextualSpacing/>
        <w:jc w:val="both"/>
        <w:rPr>
          <w:rFonts w:ascii="Palatino Linotype" w:hAnsi="Palatino Linotype" w:cs="Tahoma"/>
          <w:b/>
          <w:bCs/>
          <w:iCs/>
          <w:lang w:eastAsia="es-MX"/>
        </w:rPr>
      </w:pPr>
      <w:r w:rsidRPr="001D57D4">
        <w:rPr>
          <w:rFonts w:ascii="Palatino Linotype" w:hAnsi="Palatino Linotype" w:cs="Tahoma"/>
          <w:b/>
          <w:bCs/>
          <w:iCs/>
          <w:lang w:eastAsia="es-MX"/>
        </w:rPr>
        <w:t>Número de seguridad social del Instituto de Seguridad Social del Estado de México y Municipios.</w:t>
      </w:r>
    </w:p>
    <w:p w14:paraId="1D60B244"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1A3A8EE" w14:textId="77777777" w:rsidR="00A34B9D" w:rsidRPr="001D57D4" w:rsidRDefault="00A34B9D" w:rsidP="001D57D4">
      <w:pPr>
        <w:spacing w:line="360" w:lineRule="auto"/>
        <w:contextualSpacing/>
        <w:jc w:val="both"/>
        <w:rPr>
          <w:rFonts w:ascii="Palatino Linotype" w:hAnsi="Palatino Linotype" w:cs="Tahoma"/>
          <w:bCs/>
          <w:iCs/>
          <w:lang w:eastAsia="es-MX"/>
        </w:rPr>
      </w:pPr>
    </w:p>
    <w:p w14:paraId="1E947E37"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1D57D4">
        <w:rPr>
          <w:rFonts w:ascii="Palatino Linotype" w:hAnsi="Palatino Linotype" w:cs="Tahoma"/>
          <w:b/>
          <w:bCs/>
          <w:iCs/>
          <w:lang w:eastAsia="es-MX"/>
        </w:rPr>
        <w:t>y se le asigna una clave para hacer identificable al trabajador con el objetivo de poder proporcionar los servicios que brinda el Instituto de Seguridad Social del Estado de México y Municipios.</w:t>
      </w:r>
    </w:p>
    <w:p w14:paraId="41BACFF5" w14:textId="77777777" w:rsidR="00A34B9D" w:rsidRPr="001D57D4" w:rsidRDefault="00A34B9D" w:rsidP="001D57D4">
      <w:pPr>
        <w:spacing w:line="360" w:lineRule="auto"/>
        <w:contextualSpacing/>
        <w:jc w:val="both"/>
        <w:rPr>
          <w:rFonts w:ascii="Palatino Linotype" w:hAnsi="Palatino Linotype" w:cs="Tahoma"/>
          <w:bCs/>
          <w:iCs/>
          <w:lang w:eastAsia="es-MX"/>
        </w:rPr>
      </w:pPr>
    </w:p>
    <w:p w14:paraId="36C8CAE3"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01C3AFC" w14:textId="77777777" w:rsidR="00A34B9D" w:rsidRPr="001D57D4" w:rsidRDefault="00A34B9D" w:rsidP="001D57D4">
      <w:pPr>
        <w:spacing w:line="360" w:lineRule="auto"/>
        <w:contextualSpacing/>
        <w:jc w:val="both"/>
        <w:rPr>
          <w:rFonts w:ascii="Palatino Linotype" w:hAnsi="Palatino Linotype" w:cs="Tahoma"/>
          <w:bCs/>
          <w:iCs/>
          <w:lang w:eastAsia="es-MX"/>
        </w:rPr>
      </w:pPr>
    </w:p>
    <w:p w14:paraId="660FAB30" w14:textId="77777777" w:rsidR="00A34B9D" w:rsidRPr="001D57D4" w:rsidRDefault="00A34B9D" w:rsidP="001D57D4">
      <w:pPr>
        <w:spacing w:line="360" w:lineRule="auto"/>
        <w:contextualSpacing/>
        <w:jc w:val="both"/>
        <w:rPr>
          <w:rFonts w:ascii="Palatino Linotype" w:hAnsi="Palatino Linotype" w:cs="Tahoma"/>
          <w:bCs/>
          <w:iCs/>
          <w:lang w:eastAsia="es-MX"/>
        </w:rPr>
      </w:pPr>
      <w:r w:rsidRPr="001D57D4">
        <w:rPr>
          <w:rFonts w:ascii="Palatino Linotype" w:hAnsi="Palatino Linotype" w:cs="Tahoma"/>
          <w:bCs/>
          <w:iCs/>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local.</w:t>
      </w:r>
    </w:p>
    <w:p w14:paraId="022741E2" w14:textId="77777777" w:rsidR="00A34B9D" w:rsidRPr="001D57D4" w:rsidRDefault="00A34B9D" w:rsidP="001D57D4">
      <w:pPr>
        <w:spacing w:line="360" w:lineRule="auto"/>
        <w:contextualSpacing/>
        <w:jc w:val="both"/>
        <w:rPr>
          <w:rFonts w:ascii="Palatino Linotype" w:eastAsia="Calibri" w:hAnsi="Palatino Linotype"/>
        </w:rPr>
      </w:pPr>
    </w:p>
    <w:p w14:paraId="37172EBA" w14:textId="77777777" w:rsidR="00A34B9D" w:rsidRPr="001D57D4" w:rsidRDefault="00A34B9D" w:rsidP="001D57D4">
      <w:pPr>
        <w:numPr>
          <w:ilvl w:val="0"/>
          <w:numId w:val="16"/>
        </w:numPr>
        <w:spacing w:after="160" w:line="360" w:lineRule="auto"/>
        <w:contextualSpacing/>
        <w:jc w:val="both"/>
        <w:rPr>
          <w:rFonts w:ascii="Palatino Linotype" w:eastAsia="Calibri" w:hAnsi="Palatino Linotype" w:cs="Tahoma"/>
          <w:b/>
          <w:lang w:eastAsia="en-US"/>
        </w:rPr>
      </w:pPr>
      <w:r w:rsidRPr="001D57D4">
        <w:rPr>
          <w:rFonts w:ascii="Palatino Linotype" w:eastAsia="Calibri" w:hAnsi="Palatino Linotype" w:cs="Tahoma"/>
          <w:b/>
          <w:lang w:eastAsia="en-US"/>
        </w:rPr>
        <w:t>Descuentos personales.</w:t>
      </w:r>
    </w:p>
    <w:p w14:paraId="0F68752F" w14:textId="77777777" w:rsidR="00A34B9D" w:rsidRPr="001D57D4" w:rsidRDefault="00A34B9D" w:rsidP="001D57D4">
      <w:pPr>
        <w:spacing w:line="360" w:lineRule="auto"/>
        <w:contextualSpacing/>
        <w:jc w:val="both"/>
        <w:rPr>
          <w:rFonts w:ascii="Palatino Linotype" w:eastAsia="Calibri" w:hAnsi="Palatino Linotype" w:cs="Tahoma"/>
          <w:bCs/>
          <w:lang w:eastAsia="en-US"/>
        </w:rPr>
      </w:pPr>
      <w:r w:rsidRPr="001D57D4">
        <w:rPr>
          <w:rFonts w:ascii="Palatino Linotype" w:eastAsia="Calibri" w:hAnsi="Palatino Linotype" w:cs="Tahoma"/>
          <w:bCs/>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35644DDD" w14:textId="77777777" w:rsidR="00A34B9D" w:rsidRPr="001D57D4" w:rsidRDefault="00A34B9D" w:rsidP="001D57D4">
      <w:pPr>
        <w:spacing w:line="360" w:lineRule="auto"/>
        <w:contextualSpacing/>
        <w:jc w:val="both"/>
        <w:rPr>
          <w:rFonts w:ascii="Palatino Linotype" w:eastAsia="Calibri" w:hAnsi="Palatino Linotype" w:cs="Tahoma"/>
          <w:bCs/>
          <w:lang w:eastAsia="en-US"/>
        </w:rPr>
      </w:pPr>
    </w:p>
    <w:p w14:paraId="640BDD31" w14:textId="77777777" w:rsidR="00A34B9D" w:rsidRPr="001D57D4" w:rsidRDefault="00A34B9D" w:rsidP="001D57D4">
      <w:pPr>
        <w:spacing w:line="360" w:lineRule="auto"/>
        <w:contextualSpacing/>
        <w:jc w:val="both"/>
        <w:rPr>
          <w:rFonts w:ascii="Palatino Linotype" w:eastAsia="Calibri" w:hAnsi="Palatino Linotype" w:cs="Tahoma"/>
          <w:bCs/>
          <w:lang w:eastAsia="en-US"/>
        </w:rPr>
      </w:pPr>
      <w:r w:rsidRPr="001D57D4">
        <w:rPr>
          <w:rFonts w:ascii="Palatino Linotype" w:eastAsia="Calibri" w:hAnsi="Palatino Linotype" w:cs="Tahoma"/>
          <w:bCs/>
          <w:lang w:eastAsia="en-US"/>
        </w:rPr>
        <w:lastRenderedPageBreak/>
        <w:t xml:space="preserve">Asimismo, hay otras que se generan con motivo de una sentencia judicial, como es la pensión alimenticia que periódicamente se retira de la cuenta de un empleado, a efecto de que sea entregado a un tercero.  </w:t>
      </w:r>
    </w:p>
    <w:p w14:paraId="36318CB3" w14:textId="77777777" w:rsidR="00A34B9D" w:rsidRPr="001D57D4" w:rsidRDefault="00A34B9D" w:rsidP="001D57D4">
      <w:pPr>
        <w:spacing w:line="360" w:lineRule="auto"/>
        <w:contextualSpacing/>
        <w:jc w:val="both"/>
        <w:rPr>
          <w:rFonts w:ascii="Palatino Linotype" w:eastAsia="Calibri" w:hAnsi="Palatino Linotype" w:cs="Tahoma"/>
          <w:bCs/>
          <w:lang w:eastAsia="en-US"/>
        </w:rPr>
      </w:pPr>
    </w:p>
    <w:p w14:paraId="25EF7816" w14:textId="77777777" w:rsidR="00A34B9D" w:rsidRPr="001D57D4" w:rsidRDefault="00A34B9D" w:rsidP="001D57D4">
      <w:pPr>
        <w:spacing w:line="360" w:lineRule="auto"/>
        <w:contextualSpacing/>
        <w:jc w:val="both"/>
        <w:rPr>
          <w:rFonts w:ascii="Palatino Linotype" w:eastAsia="Calibri" w:hAnsi="Palatino Linotype" w:cs="Tahoma"/>
          <w:bCs/>
          <w:lang w:eastAsia="en-US"/>
        </w:rPr>
      </w:pPr>
      <w:r w:rsidRPr="001D57D4">
        <w:rPr>
          <w:rFonts w:ascii="Palatino Linotype" w:eastAsia="Calibri" w:hAnsi="Palatino Linotype" w:cs="Tahoma"/>
          <w:bCs/>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EDE9B49" w14:textId="77777777" w:rsidR="00A34B9D" w:rsidRPr="001D57D4" w:rsidRDefault="00A34B9D" w:rsidP="001D57D4">
      <w:pPr>
        <w:spacing w:line="360" w:lineRule="auto"/>
        <w:contextualSpacing/>
        <w:jc w:val="both"/>
        <w:rPr>
          <w:rFonts w:ascii="Palatino Linotype" w:eastAsia="Calibri" w:hAnsi="Palatino Linotype" w:cs="Tahoma"/>
          <w:bCs/>
          <w:lang w:eastAsia="en-US"/>
        </w:rPr>
      </w:pPr>
    </w:p>
    <w:p w14:paraId="6CF841AB" w14:textId="77777777" w:rsidR="00A34B9D" w:rsidRPr="001D57D4" w:rsidRDefault="00A34B9D" w:rsidP="001D57D4">
      <w:pPr>
        <w:spacing w:line="360" w:lineRule="auto"/>
        <w:contextualSpacing/>
        <w:jc w:val="both"/>
        <w:rPr>
          <w:rFonts w:ascii="Palatino Linotype" w:eastAsia="Calibri" w:hAnsi="Palatino Linotype" w:cs="Tahoma"/>
          <w:bCs/>
          <w:lang w:eastAsia="en-US"/>
        </w:rPr>
      </w:pPr>
      <w:r w:rsidRPr="001D57D4">
        <w:rPr>
          <w:rFonts w:ascii="Palatino Linotype" w:eastAsia="Calibri" w:hAnsi="Palatino Linotype" w:cs="Tahoma"/>
          <w:bCs/>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local. </w:t>
      </w:r>
    </w:p>
    <w:p w14:paraId="06FACB3C" w14:textId="41725D19" w:rsidR="00A34B9D" w:rsidRPr="001D57D4" w:rsidRDefault="00A34B9D" w:rsidP="001D57D4">
      <w:pPr>
        <w:spacing w:line="360" w:lineRule="auto"/>
        <w:contextualSpacing/>
        <w:jc w:val="both"/>
        <w:rPr>
          <w:rFonts w:ascii="Palatino Linotype" w:eastAsia="Calibri" w:hAnsi="Palatino Linotype" w:cs="Tahoma"/>
          <w:bCs/>
          <w:lang w:eastAsia="en-US"/>
        </w:rPr>
      </w:pPr>
    </w:p>
    <w:p w14:paraId="5E53713F" w14:textId="77777777" w:rsidR="00A34B9D" w:rsidRPr="001D57D4" w:rsidRDefault="00A34B9D" w:rsidP="001D57D4">
      <w:pPr>
        <w:pStyle w:val="Prrafodelista"/>
        <w:numPr>
          <w:ilvl w:val="0"/>
          <w:numId w:val="16"/>
        </w:numPr>
        <w:spacing w:line="360" w:lineRule="auto"/>
        <w:contextualSpacing/>
        <w:jc w:val="both"/>
        <w:rPr>
          <w:rFonts w:ascii="Palatino Linotype" w:eastAsia="Palatino Linotype" w:hAnsi="Palatino Linotype" w:cs="Palatino Linotype"/>
          <w:b/>
        </w:rPr>
      </w:pPr>
      <w:r w:rsidRPr="001D57D4">
        <w:rPr>
          <w:rFonts w:ascii="Palatino Linotype" w:eastAsia="Palatino Linotype" w:hAnsi="Palatino Linotype" w:cs="Palatino Linotype"/>
          <w:b/>
        </w:rPr>
        <w:t>Cuenta Bancaria:</w:t>
      </w:r>
    </w:p>
    <w:p w14:paraId="422C5D6C" w14:textId="77777777" w:rsidR="00A34B9D" w:rsidRPr="001D57D4" w:rsidRDefault="00A34B9D" w:rsidP="001D57D4">
      <w:pPr>
        <w:spacing w:line="360" w:lineRule="auto"/>
        <w:contextualSpacing/>
        <w:jc w:val="both"/>
        <w:rPr>
          <w:rFonts w:ascii="Palatino Linotype" w:eastAsia="Palatino Linotype" w:hAnsi="Palatino Linotype" w:cs="Palatino Linotype"/>
        </w:rPr>
      </w:pPr>
      <w:r w:rsidRPr="001D57D4">
        <w:rPr>
          <w:rFonts w:ascii="Palatino Linotype" w:eastAsia="Palatino Linotype" w:hAnsi="Palatino Linotype" w:cs="Palatino Linotype"/>
        </w:rPr>
        <w:t>Es así, que por cuanto hace al número de cuenta bancaria de los particulares debe ser clasificado como confidencial con fundamento en las fracciones I y II del artículo 143 de la Ley de la Materia de la entidad; debido a que, con su difusión se estaría poniendo en riesgo la seguridad de su titular.</w:t>
      </w:r>
    </w:p>
    <w:p w14:paraId="3B08C26A" w14:textId="77777777" w:rsidR="00A34B9D" w:rsidRPr="001D57D4" w:rsidRDefault="00A34B9D" w:rsidP="001D57D4">
      <w:pPr>
        <w:spacing w:line="360" w:lineRule="auto"/>
        <w:ind w:right="51"/>
        <w:jc w:val="both"/>
        <w:rPr>
          <w:rFonts w:ascii="Palatino Linotype" w:eastAsia="Palatino Linotype" w:hAnsi="Palatino Linotype" w:cs="Palatino Linotype"/>
        </w:rPr>
      </w:pPr>
      <w:r w:rsidRPr="001D57D4">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w:t>
      </w:r>
      <w:r w:rsidRPr="001D57D4">
        <w:rPr>
          <w:rFonts w:ascii="Palatino Linotype" w:eastAsia="Palatino Linotype" w:hAnsi="Palatino Linotype" w:cs="Palatino Linotype"/>
        </w:rPr>
        <w:lastRenderedPageBreak/>
        <w:t xml:space="preserve">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A172F9A" w14:textId="77777777" w:rsidR="00A34B9D" w:rsidRPr="001D57D4" w:rsidRDefault="00A34B9D" w:rsidP="001D57D4">
      <w:pPr>
        <w:spacing w:line="360" w:lineRule="auto"/>
        <w:ind w:right="51"/>
        <w:jc w:val="both"/>
        <w:rPr>
          <w:rFonts w:ascii="Palatino Linotype" w:eastAsia="Palatino Linotype" w:hAnsi="Palatino Linotype" w:cs="Palatino Linotype"/>
        </w:rPr>
      </w:pPr>
    </w:p>
    <w:p w14:paraId="468A11A5" w14:textId="77777777" w:rsidR="00A34B9D" w:rsidRPr="001D57D4" w:rsidRDefault="00A34B9D" w:rsidP="001D57D4">
      <w:pPr>
        <w:spacing w:line="360" w:lineRule="auto"/>
        <w:ind w:right="50"/>
        <w:jc w:val="both"/>
        <w:rPr>
          <w:rFonts w:ascii="Palatino Linotype" w:eastAsia="Palatino Linotype" w:hAnsi="Palatino Linotype" w:cs="Palatino Linotype"/>
        </w:rPr>
      </w:pPr>
      <w:r w:rsidRPr="001D57D4">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14:paraId="39D3B398" w14:textId="77777777" w:rsidR="00A34B9D" w:rsidRPr="001D57D4" w:rsidRDefault="00A34B9D" w:rsidP="001D57D4">
      <w:pPr>
        <w:ind w:right="50"/>
        <w:jc w:val="both"/>
        <w:rPr>
          <w:rFonts w:ascii="Palatino Linotype" w:eastAsia="Palatino Linotype" w:hAnsi="Palatino Linotype" w:cs="Palatino Linotype"/>
        </w:rPr>
      </w:pPr>
    </w:p>
    <w:p w14:paraId="099DA118" w14:textId="77777777" w:rsidR="00A34B9D" w:rsidRPr="001D57D4" w:rsidRDefault="00A34B9D" w:rsidP="001D57D4">
      <w:pPr>
        <w:ind w:left="851" w:right="899"/>
        <w:jc w:val="both"/>
        <w:rPr>
          <w:rFonts w:ascii="Palatino Linotype" w:hAnsi="Palatino Linotype" w:cs="Arial"/>
          <w:lang w:val="es-ES"/>
        </w:rPr>
      </w:pPr>
      <w:r w:rsidRPr="001D57D4">
        <w:rPr>
          <w:rFonts w:ascii="Palatino Linotype" w:eastAsia="Palatino Linotype" w:hAnsi="Palatino Linotype" w:cs="Palatino Linotype"/>
          <w:b/>
          <w:i/>
          <w:sz w:val="22"/>
          <w:szCs w:val="22"/>
        </w:rPr>
        <w:t>“Cuentas bancarias y/o CLABE interbancaria de personas físicas y morales privadas.</w:t>
      </w:r>
      <w:r w:rsidRPr="001D57D4">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F39C525" w14:textId="77777777" w:rsidR="00A34B9D" w:rsidRPr="001D57D4" w:rsidRDefault="00A34B9D" w:rsidP="001D57D4">
      <w:pPr>
        <w:spacing w:before="100" w:beforeAutospacing="1" w:after="100" w:afterAutospacing="1" w:line="360" w:lineRule="auto"/>
        <w:jc w:val="both"/>
        <w:rPr>
          <w:rFonts w:ascii="Palatino Linotype" w:hAnsi="Palatino Linotype" w:cs="Arial"/>
          <w:lang w:eastAsia="es-CO"/>
        </w:rPr>
      </w:pPr>
      <w:r w:rsidRPr="001D57D4">
        <w:rPr>
          <w:rFonts w:ascii="Palatino Linotype" w:hAnsi="Palatino Linotype" w:cs="Arial"/>
          <w:lang w:eastAsia="es-CO"/>
        </w:rPr>
        <w:t xml:space="preserve">Derivado de lo anterior, este Órgano Garante determina ordenar en versión pública el recibo de nómina entregado en respuesta; debiendo notificar al </w:t>
      </w:r>
      <w:r w:rsidRPr="001D57D4">
        <w:rPr>
          <w:rFonts w:ascii="Palatino Linotype" w:hAnsi="Palatino Linotype" w:cs="Arial"/>
          <w:b/>
          <w:lang w:eastAsia="es-CO"/>
        </w:rPr>
        <w:t>RECURRENTE</w:t>
      </w:r>
      <w:r w:rsidRPr="001D57D4">
        <w:rPr>
          <w:rFonts w:ascii="Palatino Linotype" w:hAnsi="Palatino Linotype" w:cs="Arial"/>
          <w:lang w:eastAsia="es-CO"/>
        </w:rPr>
        <w:t xml:space="preserve"> el Acuerdo de Clasificación de la información que emita el Comité de Transparencia con motivo de la versión pública.</w:t>
      </w:r>
    </w:p>
    <w:p w14:paraId="664D1BD1" w14:textId="77777777" w:rsidR="00A34B9D" w:rsidRPr="001D57D4" w:rsidRDefault="00A34B9D" w:rsidP="001D57D4">
      <w:pPr>
        <w:spacing w:line="360" w:lineRule="auto"/>
        <w:jc w:val="both"/>
        <w:rPr>
          <w:rFonts w:ascii="Palatino Linotype" w:eastAsiaTheme="minorEastAsia" w:hAnsi="Palatino Linotype" w:cstheme="minorBidi"/>
          <w:lang w:val="es-ES_tradnl"/>
        </w:rPr>
      </w:pPr>
      <w:r w:rsidRPr="001D57D4">
        <w:rPr>
          <w:rFonts w:ascii="Palatino Linotype" w:hAnsi="Palatino Linotype" w:cs="Arial"/>
        </w:rPr>
        <w:t>Por otro lado</w:t>
      </w:r>
      <w:r w:rsidRPr="001D57D4">
        <w:rPr>
          <w:rFonts w:ascii="Palatino Linotype" w:hAnsi="Palatino Linotype" w:cs="Arial"/>
          <w:bCs/>
        </w:rPr>
        <w:t xml:space="preserve">, no se omite comentar que este Órgano Garante no </w:t>
      </w:r>
      <w:r w:rsidRPr="001D57D4">
        <w:rPr>
          <w:rFonts w:ascii="Palatino Linotype" w:eastAsiaTheme="minorEastAsia" w:hAnsi="Palatino Linotype" w:cstheme="minorBidi"/>
          <w:lang w:val="es-ES_tradnl"/>
        </w:rPr>
        <w:t xml:space="preserve">está facultado para manifestarse sobre la veracidad de la información proporcionada. </w:t>
      </w:r>
    </w:p>
    <w:p w14:paraId="37311909" w14:textId="77777777" w:rsidR="00A34B9D" w:rsidRPr="001D57D4" w:rsidRDefault="00A34B9D" w:rsidP="001D57D4">
      <w:pPr>
        <w:spacing w:line="360" w:lineRule="auto"/>
        <w:jc w:val="both"/>
        <w:rPr>
          <w:rFonts w:ascii="Palatino Linotype" w:eastAsiaTheme="minorEastAsia" w:hAnsi="Palatino Linotype" w:cstheme="minorBidi"/>
          <w:lang w:val="es-ES_tradnl"/>
        </w:rPr>
      </w:pPr>
    </w:p>
    <w:p w14:paraId="719A4EA0" w14:textId="77777777" w:rsidR="00A34B9D" w:rsidRPr="001D57D4" w:rsidRDefault="00A34B9D" w:rsidP="001D57D4">
      <w:pPr>
        <w:spacing w:line="360" w:lineRule="auto"/>
        <w:jc w:val="both"/>
        <w:rPr>
          <w:rFonts w:ascii="Palatino Linotype" w:eastAsiaTheme="minorEastAsia" w:hAnsi="Palatino Linotype" w:cs="Arial"/>
          <w:lang w:val="es-ES_tradnl"/>
        </w:rPr>
      </w:pPr>
      <w:r w:rsidRPr="001D57D4">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47C74098" w14:textId="77777777" w:rsidR="00A34B9D" w:rsidRPr="001D57D4" w:rsidRDefault="00A34B9D" w:rsidP="001D57D4">
      <w:pPr>
        <w:jc w:val="both"/>
        <w:rPr>
          <w:rFonts w:ascii="Palatino Linotype" w:eastAsiaTheme="minorEastAsia" w:hAnsi="Palatino Linotype" w:cs="Arial"/>
          <w:sz w:val="20"/>
          <w:szCs w:val="20"/>
          <w:lang w:val="es-ES_tradnl"/>
        </w:rPr>
      </w:pPr>
    </w:p>
    <w:p w14:paraId="4205D36C" w14:textId="77777777" w:rsidR="00A34B9D" w:rsidRPr="001D57D4" w:rsidRDefault="00A34B9D" w:rsidP="001D57D4">
      <w:pPr>
        <w:ind w:left="709" w:right="899"/>
        <w:jc w:val="both"/>
        <w:rPr>
          <w:rFonts w:ascii="Palatino Linotype" w:eastAsiaTheme="minorEastAsia" w:hAnsi="Palatino Linotype" w:cs="Arial"/>
          <w:b/>
          <w:i/>
          <w:sz w:val="22"/>
          <w:szCs w:val="20"/>
          <w:lang w:val="es-ES_tradnl"/>
        </w:rPr>
      </w:pPr>
      <w:r w:rsidRPr="001D57D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D57D4">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D57D4">
        <w:rPr>
          <w:rFonts w:ascii="Palatino Linotype" w:eastAsiaTheme="minorEastAsia" w:hAnsi="Palatino Linotype" w:cs="Arial"/>
          <w:b/>
          <w:i/>
          <w:sz w:val="22"/>
          <w:szCs w:val="20"/>
          <w:lang w:val="es-ES_tradnl"/>
        </w:rPr>
        <w:t>”</w:t>
      </w:r>
      <w:r w:rsidRPr="001D57D4">
        <w:rPr>
          <w:rFonts w:ascii="Palatino Linotype" w:eastAsiaTheme="minorEastAsia" w:hAnsi="Palatino Linotype" w:cs="Arial"/>
          <w:i/>
          <w:sz w:val="22"/>
          <w:szCs w:val="20"/>
          <w:lang w:val="es-ES_tradnl"/>
        </w:rPr>
        <w:t xml:space="preserve"> (</w:t>
      </w:r>
      <w:proofErr w:type="gramStart"/>
      <w:r w:rsidRPr="001D57D4">
        <w:rPr>
          <w:rFonts w:ascii="Palatino Linotype" w:eastAsiaTheme="minorEastAsia" w:hAnsi="Palatino Linotype" w:cs="Arial"/>
          <w:i/>
          <w:sz w:val="22"/>
          <w:szCs w:val="20"/>
          <w:lang w:val="es-ES_tradnl"/>
        </w:rPr>
        <w:t>sic</w:t>
      </w:r>
      <w:proofErr w:type="gramEnd"/>
      <w:r w:rsidRPr="001D57D4">
        <w:rPr>
          <w:rFonts w:ascii="Palatino Linotype" w:eastAsiaTheme="minorEastAsia" w:hAnsi="Palatino Linotype" w:cs="Arial"/>
          <w:i/>
          <w:sz w:val="22"/>
          <w:szCs w:val="20"/>
          <w:lang w:val="es-ES_tradnl"/>
        </w:rPr>
        <w:t>)</w:t>
      </w:r>
    </w:p>
    <w:p w14:paraId="133A5411" w14:textId="1B90AAE1" w:rsidR="00A34B9D" w:rsidRPr="001D57D4" w:rsidRDefault="00A34B9D" w:rsidP="001D57D4">
      <w:pPr>
        <w:spacing w:before="100" w:beforeAutospacing="1" w:after="100" w:afterAutospacing="1" w:line="360" w:lineRule="auto"/>
        <w:jc w:val="both"/>
        <w:rPr>
          <w:rFonts w:ascii="Palatino Linotype" w:hAnsi="Palatino Linotype" w:cs="Arial"/>
        </w:rPr>
      </w:pPr>
      <w:r w:rsidRPr="001D57D4">
        <w:rPr>
          <w:rFonts w:ascii="Palatino Linotype" w:hAnsi="Palatino Linotype" w:cs="Arial"/>
        </w:rPr>
        <w:t xml:space="preserve">Debido a lo </w:t>
      </w:r>
      <w:r w:rsidRPr="001D57D4">
        <w:rPr>
          <w:rFonts w:ascii="Palatino Linotype" w:hAnsi="Palatino Linotype" w:cs="Arial"/>
          <w:lang w:eastAsia="es-CO"/>
        </w:rPr>
        <w:t>anteriormente</w:t>
      </w:r>
      <w:r w:rsidRPr="001D57D4">
        <w:rPr>
          <w:rFonts w:ascii="Palatino Linotype" w:hAnsi="Palatino Linotype" w:cs="Arial"/>
        </w:rPr>
        <w:t xml:space="preserve"> expuesto, este Instituto estima que las razones o motivos de inconformidad hechos valer por </w:t>
      </w:r>
      <w:r w:rsidRPr="001D57D4">
        <w:rPr>
          <w:rFonts w:ascii="Palatino Linotype" w:hAnsi="Palatino Linotype" w:cs="Arial"/>
          <w:b/>
        </w:rPr>
        <w:t>EL RECURRENTE</w:t>
      </w:r>
      <w:r w:rsidRPr="001D57D4">
        <w:rPr>
          <w:rFonts w:ascii="Palatino Linotype" w:hAnsi="Palatino Linotype" w:cs="Arial"/>
        </w:rPr>
        <w:t xml:space="preserve"> devienen </w:t>
      </w:r>
      <w:r w:rsidRPr="001D57D4">
        <w:rPr>
          <w:rFonts w:ascii="Palatino Linotype" w:hAnsi="Palatino Linotype" w:cs="Arial"/>
          <w:b/>
        </w:rPr>
        <w:t>fundadas</w:t>
      </w:r>
      <w:r w:rsidRPr="001D57D4">
        <w:rPr>
          <w:rFonts w:ascii="Palatino Linotype" w:hAnsi="Palatino Linotype" w:cs="Arial"/>
        </w:rPr>
        <w:t xml:space="preserve"> y suficientes para</w:t>
      </w:r>
      <w:r w:rsidRPr="001D57D4">
        <w:rPr>
          <w:rFonts w:ascii="Palatino Linotype" w:hAnsi="Palatino Linotype" w:cs="Arial"/>
          <w:b/>
        </w:rPr>
        <w:t xml:space="preserve"> MODIFICAR</w:t>
      </w:r>
      <w:r w:rsidRPr="001D57D4">
        <w:rPr>
          <w:rFonts w:ascii="Palatino Linotype" w:hAnsi="Palatino Linotype" w:cs="Arial"/>
        </w:rPr>
        <w:t xml:space="preserve"> la respuesta del </w:t>
      </w:r>
      <w:r w:rsidRPr="001D57D4">
        <w:rPr>
          <w:rFonts w:ascii="Palatino Linotype" w:hAnsi="Palatino Linotype" w:cs="Arial"/>
          <w:b/>
        </w:rPr>
        <w:t>SUJETO OBLIGADO</w:t>
      </w:r>
      <w:r w:rsidRPr="001D57D4">
        <w:rPr>
          <w:rFonts w:ascii="Palatino Linotype" w:hAnsi="Palatino Linotype" w:cs="Arial"/>
        </w:rPr>
        <w:t xml:space="preserve"> y ordenarle haga entrega de la información descrita en el presente Considerando.</w:t>
      </w:r>
    </w:p>
    <w:p w14:paraId="3FB7D7A8" w14:textId="77777777" w:rsidR="00A34B9D" w:rsidRPr="001D57D4" w:rsidRDefault="00A34B9D" w:rsidP="001D57D4">
      <w:pPr>
        <w:spacing w:line="360" w:lineRule="auto"/>
        <w:jc w:val="both"/>
        <w:rPr>
          <w:rFonts w:ascii="Palatino Linotype" w:eastAsia="Calibri" w:hAnsi="Palatino Linotype" w:cs="Arial"/>
        </w:rPr>
      </w:pPr>
      <w:r w:rsidRPr="001D57D4">
        <w:rPr>
          <w:rFonts w:ascii="Palatino Linotype" w:eastAsia="Calibri" w:hAnsi="Palatino Linotype" w:cs="Arial"/>
        </w:rPr>
        <w:t xml:space="preserve">Así, con fundamento en lo previsto en los artículos </w:t>
      </w:r>
      <w:r w:rsidRPr="001D57D4">
        <w:rPr>
          <w:rFonts w:ascii="Palatino Linotype" w:hAnsi="Palatino Linotype" w:cs="Arial"/>
        </w:rPr>
        <w:t>5, párrafo trigésimo segundo, trigésimo tercero y trigésimo cuarto, fracciones IV y V, de la Constitución Política del Estado Libre y Soberano de México;</w:t>
      </w:r>
      <w:r w:rsidRPr="001D57D4">
        <w:rPr>
          <w:rFonts w:ascii="Palatino Linotype" w:eastAsia="Calibri" w:hAnsi="Palatino Linotype" w:cs="Arial"/>
        </w:rPr>
        <w:t xml:space="preserve"> </w:t>
      </w:r>
      <w:r w:rsidRPr="001D57D4">
        <w:rPr>
          <w:rFonts w:ascii="Palatino Linotype" w:hAnsi="Palatino Linotype" w:cs="Arial"/>
        </w:rPr>
        <w:t>2, fracción II, 29, 36, fracciones I y II, 176, 178, 179, 181, 185 fracción I, 186 y 188</w:t>
      </w:r>
      <w:r w:rsidRPr="001D57D4">
        <w:rPr>
          <w:rFonts w:ascii="Palatino Linotype" w:eastAsia="Calibri" w:hAnsi="Palatino Linotype" w:cs="Arial"/>
        </w:rPr>
        <w:t xml:space="preserve"> de la Ley de Transparencia local, este Pleno:</w:t>
      </w:r>
    </w:p>
    <w:p w14:paraId="1F848E2A" w14:textId="77777777" w:rsidR="0099644E" w:rsidRPr="001D57D4" w:rsidRDefault="0099644E" w:rsidP="001D57D4">
      <w:pPr>
        <w:spacing w:line="360" w:lineRule="auto"/>
        <w:jc w:val="both"/>
        <w:rPr>
          <w:rFonts w:ascii="Palatino Linotype" w:eastAsia="Calibri" w:hAnsi="Palatino Linotype" w:cs="Arial"/>
        </w:rPr>
      </w:pPr>
    </w:p>
    <w:p w14:paraId="525ECE71" w14:textId="77777777" w:rsidR="0099644E" w:rsidRPr="001D57D4" w:rsidRDefault="0099644E" w:rsidP="001D57D4">
      <w:pPr>
        <w:spacing w:line="360" w:lineRule="auto"/>
        <w:jc w:val="both"/>
        <w:rPr>
          <w:rFonts w:ascii="Palatino Linotype" w:eastAsia="Calibri" w:hAnsi="Palatino Linotype" w:cs="Arial"/>
        </w:rPr>
      </w:pPr>
    </w:p>
    <w:p w14:paraId="70F90271" w14:textId="6BE853BC" w:rsidR="001D57D4" w:rsidRPr="005A5BBA" w:rsidRDefault="00A34B9D" w:rsidP="005A5BBA">
      <w:pPr>
        <w:spacing w:before="100" w:beforeAutospacing="1" w:after="100" w:afterAutospacing="1" w:line="360" w:lineRule="auto"/>
        <w:jc w:val="center"/>
        <w:rPr>
          <w:rFonts w:ascii="Palatino Linotype" w:eastAsia="Calibri" w:hAnsi="Palatino Linotype" w:cs="Arial"/>
          <w:b/>
          <w:sz w:val="28"/>
          <w:lang w:val="pt-BR"/>
        </w:rPr>
      </w:pPr>
      <w:r w:rsidRPr="001D57D4">
        <w:rPr>
          <w:rFonts w:ascii="Palatino Linotype" w:eastAsia="Calibri" w:hAnsi="Palatino Linotype" w:cs="Arial"/>
          <w:b/>
          <w:sz w:val="28"/>
          <w:lang w:val="pt-BR"/>
        </w:rPr>
        <w:lastRenderedPageBreak/>
        <w:t>R E S U E L V E</w:t>
      </w:r>
    </w:p>
    <w:p w14:paraId="4898E6CD" w14:textId="77777777" w:rsidR="00A34B9D" w:rsidRPr="001D57D4" w:rsidRDefault="00A34B9D" w:rsidP="001D57D4">
      <w:pPr>
        <w:spacing w:line="360" w:lineRule="auto"/>
        <w:jc w:val="both"/>
        <w:rPr>
          <w:rFonts w:ascii="Palatino Linotype" w:hAnsi="Palatino Linotype" w:cs="Arial"/>
        </w:rPr>
      </w:pPr>
      <w:r w:rsidRPr="001D57D4">
        <w:rPr>
          <w:rFonts w:ascii="Palatino Linotype" w:hAnsi="Palatino Linotype" w:cs="Arial"/>
          <w:b/>
          <w:bCs/>
          <w:sz w:val="28"/>
          <w:lang w:eastAsia="es-MX"/>
        </w:rPr>
        <w:t>PRIMERO</w:t>
      </w:r>
      <w:r w:rsidRPr="001D57D4">
        <w:rPr>
          <w:rFonts w:ascii="Palatino Linotype" w:hAnsi="Palatino Linotype" w:cs="Arial"/>
        </w:rPr>
        <w:t xml:space="preserve">. </w:t>
      </w:r>
      <w:r w:rsidRPr="001D57D4">
        <w:rPr>
          <w:rFonts w:ascii="Palatino Linotype" w:hAnsi="Palatino Linotype" w:cs="Arial"/>
          <w:lang w:val="es-ES" w:eastAsia="es-MX"/>
        </w:rPr>
        <w:t xml:space="preserve">Resultan </w:t>
      </w:r>
      <w:r w:rsidRPr="001D57D4">
        <w:rPr>
          <w:rFonts w:ascii="Palatino Linotype" w:hAnsi="Palatino Linotype" w:cs="Arial"/>
          <w:b/>
          <w:lang w:val="es-ES" w:eastAsia="es-MX"/>
        </w:rPr>
        <w:t>fundadas</w:t>
      </w:r>
      <w:r w:rsidRPr="001D57D4">
        <w:rPr>
          <w:rFonts w:ascii="Palatino Linotype" w:hAnsi="Palatino Linotype" w:cs="Arial"/>
          <w:lang w:val="es-ES" w:eastAsia="es-MX"/>
        </w:rPr>
        <w:t xml:space="preserve"> las razones o motivos de inconformidad planteadas por </w:t>
      </w:r>
      <w:r w:rsidRPr="001D57D4">
        <w:rPr>
          <w:rFonts w:ascii="Palatino Linotype" w:hAnsi="Palatino Linotype" w:cs="Arial"/>
          <w:b/>
          <w:lang w:val="es-ES" w:eastAsia="es-MX"/>
        </w:rPr>
        <w:t>EL RECURRENTE</w:t>
      </w:r>
      <w:r w:rsidRPr="001D57D4">
        <w:rPr>
          <w:rFonts w:ascii="Palatino Linotype" w:hAnsi="Palatino Linotype" w:cs="Arial"/>
          <w:lang w:val="es-ES" w:eastAsia="es-MX"/>
        </w:rPr>
        <w:t xml:space="preserve">, en términos del Considerando </w:t>
      </w:r>
      <w:r w:rsidRPr="001D57D4">
        <w:rPr>
          <w:rFonts w:ascii="Palatino Linotype" w:hAnsi="Palatino Linotype" w:cs="Arial"/>
          <w:b/>
          <w:lang w:val="es-ES" w:eastAsia="es-MX"/>
        </w:rPr>
        <w:t>QUINTO</w:t>
      </w:r>
      <w:r w:rsidRPr="001D57D4">
        <w:rPr>
          <w:rFonts w:ascii="Palatino Linotype" w:hAnsi="Palatino Linotype" w:cs="Arial"/>
          <w:lang w:val="es-ES" w:eastAsia="es-MX"/>
        </w:rPr>
        <w:t xml:space="preserve"> de la presente resolución.</w:t>
      </w:r>
    </w:p>
    <w:p w14:paraId="2CDB2C01" w14:textId="77777777" w:rsidR="00A34B9D" w:rsidRPr="001D57D4" w:rsidRDefault="00A34B9D" w:rsidP="001D57D4">
      <w:pPr>
        <w:widowControl w:val="0"/>
        <w:tabs>
          <w:tab w:val="left" w:pos="1701"/>
        </w:tabs>
        <w:autoSpaceDE w:val="0"/>
        <w:autoSpaceDN w:val="0"/>
        <w:adjustRightInd w:val="0"/>
        <w:spacing w:line="360" w:lineRule="auto"/>
        <w:jc w:val="both"/>
        <w:rPr>
          <w:rFonts w:ascii="Palatino Linotype" w:hAnsi="Palatino Linotype" w:cs="Arial"/>
          <w:b/>
          <w:bCs/>
          <w:sz w:val="16"/>
          <w:lang w:eastAsia="es-MX"/>
        </w:rPr>
      </w:pPr>
    </w:p>
    <w:p w14:paraId="6F33DA8F" w14:textId="713E12F4" w:rsidR="00A34B9D" w:rsidRPr="001D57D4" w:rsidRDefault="00A34B9D" w:rsidP="001D57D4">
      <w:pPr>
        <w:widowControl w:val="0"/>
        <w:tabs>
          <w:tab w:val="left" w:pos="1701"/>
        </w:tabs>
        <w:autoSpaceDE w:val="0"/>
        <w:autoSpaceDN w:val="0"/>
        <w:adjustRightInd w:val="0"/>
        <w:spacing w:line="360" w:lineRule="auto"/>
        <w:jc w:val="both"/>
        <w:rPr>
          <w:rFonts w:ascii="Palatino Linotype" w:hAnsi="Palatino Linotype"/>
          <w:lang w:eastAsia="es-MX"/>
        </w:rPr>
      </w:pPr>
      <w:r w:rsidRPr="001D57D4">
        <w:rPr>
          <w:rFonts w:ascii="Palatino Linotype" w:hAnsi="Palatino Linotype" w:cs="Arial"/>
          <w:b/>
          <w:bCs/>
          <w:sz w:val="28"/>
          <w:lang w:eastAsia="es-MX"/>
        </w:rPr>
        <w:t>SEGUNDO.</w:t>
      </w:r>
      <w:r w:rsidRPr="001D57D4">
        <w:rPr>
          <w:rFonts w:ascii="Palatino Linotype" w:hAnsi="Palatino Linotype"/>
          <w:b/>
          <w:lang w:eastAsia="es-MX"/>
        </w:rPr>
        <w:t xml:space="preserve"> </w:t>
      </w:r>
      <w:r w:rsidRPr="001D57D4">
        <w:rPr>
          <w:rFonts w:ascii="Palatino Linotype" w:hAnsi="Palatino Linotype" w:cs="Arial"/>
        </w:rPr>
        <w:t>Se</w:t>
      </w:r>
      <w:r w:rsidRPr="001D57D4">
        <w:rPr>
          <w:rFonts w:ascii="Palatino Linotype" w:hAnsi="Palatino Linotype" w:cs="Arial"/>
          <w:b/>
        </w:rPr>
        <w:t xml:space="preserve"> MODIFICA </w:t>
      </w:r>
      <w:r w:rsidRPr="001D57D4">
        <w:rPr>
          <w:rFonts w:ascii="Palatino Linotype" w:hAnsi="Palatino Linotype" w:cs="Arial"/>
        </w:rPr>
        <w:t xml:space="preserve">la respuesta otorgada por </w:t>
      </w:r>
      <w:r w:rsidRPr="001D57D4">
        <w:rPr>
          <w:rFonts w:ascii="Palatino Linotype" w:hAnsi="Palatino Linotype" w:cs="Arial"/>
          <w:b/>
        </w:rPr>
        <w:t>EL</w:t>
      </w:r>
      <w:r w:rsidRPr="001D57D4">
        <w:rPr>
          <w:rFonts w:ascii="Palatino Linotype" w:hAnsi="Palatino Linotype" w:cs="Arial"/>
        </w:rPr>
        <w:t xml:space="preserve"> </w:t>
      </w:r>
      <w:r w:rsidRPr="001D57D4">
        <w:rPr>
          <w:rFonts w:ascii="Palatino Linotype" w:hAnsi="Palatino Linotype" w:cs="Arial"/>
          <w:b/>
        </w:rPr>
        <w:t xml:space="preserve">SUJETO OBLIGADO </w:t>
      </w:r>
      <w:r w:rsidRPr="001D57D4">
        <w:rPr>
          <w:rFonts w:ascii="Palatino Linotype" w:hAnsi="Palatino Linotype" w:cs="Arial"/>
        </w:rPr>
        <w:t xml:space="preserve">a la solicitud de acceso a la información que dio origen al Recurso de Revisión número </w:t>
      </w:r>
      <w:r w:rsidR="004948F4" w:rsidRPr="001D57D4">
        <w:rPr>
          <w:rFonts w:ascii="Palatino Linotype" w:hAnsi="Palatino Linotype"/>
          <w:b/>
          <w:lang w:val="es-ES_tradnl"/>
        </w:rPr>
        <w:t>0547</w:t>
      </w:r>
      <w:r w:rsidRPr="001D57D4">
        <w:rPr>
          <w:rFonts w:ascii="Palatino Linotype" w:hAnsi="Palatino Linotype"/>
          <w:b/>
          <w:lang w:val="es-ES_tradnl"/>
        </w:rPr>
        <w:t>7/INFOEM/IP/RR/2023</w:t>
      </w:r>
      <w:r w:rsidRPr="001D57D4">
        <w:rPr>
          <w:rFonts w:ascii="Palatino Linotype" w:hAnsi="Palatino Linotype"/>
          <w:b/>
        </w:rPr>
        <w:t>,</w:t>
      </w:r>
      <w:r w:rsidRPr="001D57D4">
        <w:rPr>
          <w:rFonts w:ascii="Palatino Linotype" w:hAnsi="Palatino Linotype"/>
          <w:b/>
          <w:bCs/>
          <w:lang w:eastAsia="es-MX"/>
        </w:rPr>
        <w:t xml:space="preserve"> </w:t>
      </w:r>
      <w:r w:rsidRPr="001D57D4">
        <w:rPr>
          <w:rFonts w:ascii="Palatino Linotype" w:hAnsi="Palatino Linotype" w:cs="Arial"/>
        </w:rPr>
        <w:t xml:space="preserve">y se </w:t>
      </w:r>
      <w:r w:rsidRPr="001D57D4">
        <w:rPr>
          <w:rFonts w:ascii="Palatino Linotype" w:hAnsi="Palatino Linotype" w:cs="Arial"/>
          <w:b/>
        </w:rPr>
        <w:t xml:space="preserve">ORDENA </w:t>
      </w:r>
      <w:r w:rsidRPr="001D57D4">
        <w:rPr>
          <w:rFonts w:ascii="Palatino Linotype" w:hAnsi="Palatino Linotype" w:cs="Arial"/>
        </w:rPr>
        <w:t xml:space="preserve">en términos del Considerando </w:t>
      </w:r>
      <w:r w:rsidRPr="001D57D4">
        <w:rPr>
          <w:rFonts w:ascii="Palatino Linotype" w:hAnsi="Palatino Linotype" w:cs="Arial"/>
          <w:b/>
        </w:rPr>
        <w:t xml:space="preserve">QUINTO </w:t>
      </w:r>
      <w:r w:rsidRPr="001D57D4">
        <w:rPr>
          <w:rFonts w:ascii="Palatino Linotype" w:hAnsi="Palatino Linotype" w:cs="Arial"/>
        </w:rPr>
        <w:t xml:space="preserve">de la presente Resolución, proporcione al </w:t>
      </w:r>
      <w:r w:rsidRPr="001D57D4">
        <w:rPr>
          <w:rFonts w:ascii="Palatino Linotype" w:hAnsi="Palatino Linotype" w:cs="Arial"/>
          <w:b/>
        </w:rPr>
        <w:t xml:space="preserve">RECURRENTE </w:t>
      </w:r>
      <w:r w:rsidRPr="001D57D4">
        <w:rPr>
          <w:rFonts w:ascii="Palatino Linotype" w:hAnsi="Palatino Linotype" w:cs="Arial"/>
        </w:rPr>
        <w:t xml:space="preserve">vía </w:t>
      </w:r>
      <w:r w:rsidRPr="001D57D4">
        <w:rPr>
          <w:rFonts w:ascii="Palatino Linotype" w:hAnsi="Palatino Linotype" w:cs="Arial"/>
          <w:b/>
        </w:rPr>
        <w:t xml:space="preserve">SAIMEX, </w:t>
      </w:r>
      <w:r w:rsidRPr="001D57D4">
        <w:rPr>
          <w:rFonts w:ascii="Palatino Linotype" w:hAnsi="Palatino Linotype" w:cs="Arial"/>
        </w:rPr>
        <w:t xml:space="preserve">en </w:t>
      </w:r>
      <w:r w:rsidRPr="001D57D4">
        <w:rPr>
          <w:rFonts w:ascii="Palatino Linotype" w:hAnsi="Palatino Linotype" w:cs="Arial"/>
          <w:b/>
        </w:rPr>
        <w:t xml:space="preserve">versión pública </w:t>
      </w:r>
      <w:r w:rsidRPr="001D57D4">
        <w:rPr>
          <w:rFonts w:ascii="Palatino Linotype" w:hAnsi="Palatino Linotype" w:cs="Arial"/>
        </w:rPr>
        <w:t>lo siguiente</w:t>
      </w:r>
      <w:r w:rsidRPr="001D57D4">
        <w:rPr>
          <w:rFonts w:ascii="Palatino Linotype" w:hAnsi="Palatino Linotype"/>
          <w:lang w:eastAsia="es-MX"/>
        </w:rPr>
        <w:t>:</w:t>
      </w:r>
    </w:p>
    <w:p w14:paraId="335482A2" w14:textId="77777777" w:rsidR="00A34B9D" w:rsidRPr="001D57D4" w:rsidRDefault="00A34B9D" w:rsidP="001D57D4">
      <w:pPr>
        <w:widowControl w:val="0"/>
        <w:tabs>
          <w:tab w:val="left" w:pos="1701"/>
        </w:tabs>
        <w:autoSpaceDE w:val="0"/>
        <w:autoSpaceDN w:val="0"/>
        <w:adjustRightInd w:val="0"/>
        <w:spacing w:line="276" w:lineRule="auto"/>
        <w:jc w:val="both"/>
        <w:rPr>
          <w:sz w:val="16"/>
          <w:szCs w:val="22"/>
        </w:rPr>
      </w:pPr>
    </w:p>
    <w:p w14:paraId="7ECE21A8" w14:textId="5C4874C7" w:rsidR="004948F4" w:rsidRPr="001D57D4" w:rsidRDefault="00A34B9D" w:rsidP="001D57D4">
      <w:pPr>
        <w:widowControl w:val="0"/>
        <w:tabs>
          <w:tab w:val="left" w:pos="1701"/>
        </w:tabs>
        <w:autoSpaceDE w:val="0"/>
        <w:autoSpaceDN w:val="0"/>
        <w:adjustRightInd w:val="0"/>
        <w:spacing w:line="360" w:lineRule="auto"/>
        <w:ind w:left="851" w:right="899"/>
        <w:jc w:val="both"/>
        <w:rPr>
          <w:rFonts w:ascii="Palatino Linotype" w:hAnsi="Palatino Linotype"/>
          <w:i/>
          <w:iCs/>
          <w:sz w:val="22"/>
          <w:szCs w:val="22"/>
        </w:rPr>
      </w:pPr>
      <w:r w:rsidRPr="001D57D4">
        <w:rPr>
          <w:rFonts w:ascii="Palatino Linotype" w:hAnsi="Palatino Linotype"/>
          <w:b/>
          <w:i/>
          <w:iCs/>
          <w:sz w:val="22"/>
          <w:szCs w:val="22"/>
        </w:rPr>
        <w:t>a)</w:t>
      </w:r>
      <w:r w:rsidRPr="001D57D4">
        <w:rPr>
          <w:rFonts w:ascii="Palatino Linotype" w:hAnsi="Palatino Linotype"/>
          <w:i/>
          <w:iCs/>
          <w:sz w:val="22"/>
          <w:szCs w:val="22"/>
        </w:rPr>
        <w:t xml:space="preserve"> El Acta d</w:t>
      </w:r>
      <w:r w:rsidR="004948F4" w:rsidRPr="001D57D4">
        <w:rPr>
          <w:rFonts w:ascii="Palatino Linotype" w:hAnsi="Palatino Linotype"/>
          <w:i/>
          <w:iCs/>
          <w:sz w:val="22"/>
          <w:szCs w:val="22"/>
        </w:rPr>
        <w:t xml:space="preserve">e entrega recepción de la Tesorera Municipal realizada el tres de agosto de dos mil veintitrés. </w:t>
      </w:r>
    </w:p>
    <w:p w14:paraId="253FFD72" w14:textId="01ADACE3" w:rsidR="00A34B9D" w:rsidRPr="001D57D4" w:rsidRDefault="00A34B9D" w:rsidP="001D57D4">
      <w:pPr>
        <w:widowControl w:val="0"/>
        <w:tabs>
          <w:tab w:val="left" w:pos="1701"/>
        </w:tabs>
        <w:autoSpaceDE w:val="0"/>
        <w:autoSpaceDN w:val="0"/>
        <w:adjustRightInd w:val="0"/>
        <w:spacing w:line="360" w:lineRule="auto"/>
        <w:ind w:left="851" w:right="899"/>
        <w:jc w:val="both"/>
        <w:rPr>
          <w:rFonts w:ascii="Palatino Linotype" w:hAnsi="Palatino Linotype"/>
          <w:sz w:val="22"/>
          <w:szCs w:val="22"/>
        </w:rPr>
      </w:pPr>
      <w:r w:rsidRPr="001D57D4">
        <w:rPr>
          <w:rFonts w:ascii="Palatino Linotype" w:hAnsi="Palatino Linotype"/>
          <w:b/>
          <w:i/>
          <w:iCs/>
          <w:sz w:val="22"/>
          <w:szCs w:val="22"/>
        </w:rPr>
        <w:t>b)</w:t>
      </w:r>
      <w:r w:rsidRPr="001D57D4">
        <w:rPr>
          <w:rFonts w:ascii="Palatino Linotype" w:hAnsi="Palatino Linotype"/>
          <w:i/>
          <w:iCs/>
          <w:sz w:val="22"/>
          <w:szCs w:val="22"/>
        </w:rPr>
        <w:t xml:space="preserve"> El recibo de nómina entregado en respuesta</w:t>
      </w:r>
      <w:r w:rsidRPr="001D57D4">
        <w:rPr>
          <w:rFonts w:ascii="Palatino Linotype" w:hAnsi="Palatino Linotype"/>
          <w:sz w:val="22"/>
          <w:szCs w:val="22"/>
        </w:rPr>
        <w:t>.</w:t>
      </w:r>
    </w:p>
    <w:p w14:paraId="22EACE5D" w14:textId="77777777" w:rsidR="00A34B9D" w:rsidRPr="001D57D4" w:rsidRDefault="00A34B9D" w:rsidP="001D57D4">
      <w:pPr>
        <w:widowControl w:val="0"/>
        <w:tabs>
          <w:tab w:val="left" w:pos="1701"/>
        </w:tabs>
        <w:autoSpaceDE w:val="0"/>
        <w:autoSpaceDN w:val="0"/>
        <w:adjustRightInd w:val="0"/>
        <w:spacing w:line="360" w:lineRule="auto"/>
        <w:ind w:left="851" w:right="899"/>
        <w:jc w:val="both"/>
        <w:rPr>
          <w:rFonts w:ascii="Palatino Linotype" w:hAnsi="Palatino Linotype"/>
          <w:i/>
          <w:iCs/>
          <w:sz w:val="22"/>
          <w:szCs w:val="22"/>
          <w:lang w:eastAsia="es-MX"/>
        </w:rPr>
      </w:pPr>
    </w:p>
    <w:p w14:paraId="24FB985C" w14:textId="77777777" w:rsidR="00A34B9D" w:rsidRPr="001D57D4" w:rsidRDefault="00A34B9D" w:rsidP="001D57D4">
      <w:pPr>
        <w:spacing w:line="360" w:lineRule="auto"/>
        <w:ind w:left="851" w:right="899"/>
        <w:jc w:val="both"/>
        <w:rPr>
          <w:rFonts w:ascii="Palatino Linotype" w:hAnsi="Palatino Linotype"/>
          <w:i/>
          <w:sz w:val="22"/>
          <w:szCs w:val="22"/>
        </w:rPr>
      </w:pPr>
      <w:r w:rsidRPr="001D57D4">
        <w:rPr>
          <w:rFonts w:ascii="Palatino Linotype" w:hAnsi="Palatino Linotype"/>
          <w:i/>
          <w:sz w:val="22"/>
          <w:szCs w:val="22"/>
        </w:rPr>
        <w:t xml:space="preserve">Debiendo notificar al </w:t>
      </w:r>
      <w:r w:rsidRPr="001D57D4">
        <w:rPr>
          <w:rFonts w:ascii="Palatino Linotype" w:hAnsi="Palatino Linotype"/>
          <w:b/>
          <w:i/>
          <w:sz w:val="22"/>
          <w:szCs w:val="22"/>
        </w:rPr>
        <w:t>RECURRENTE</w:t>
      </w:r>
      <w:r w:rsidRPr="001D57D4">
        <w:rPr>
          <w:rFonts w:ascii="Palatino Linotype" w:hAnsi="Palatino Linotype"/>
          <w:i/>
          <w:sz w:val="22"/>
          <w:szCs w:val="22"/>
        </w:rPr>
        <w:t xml:space="preserve"> el Acuerdo de Clasificación de la información que emita el Comité de Transparencia con motivo de la versión pública.</w:t>
      </w:r>
    </w:p>
    <w:p w14:paraId="6310BB57" w14:textId="77777777" w:rsidR="00A34B9D" w:rsidRPr="001D57D4" w:rsidRDefault="00A34B9D" w:rsidP="001D57D4">
      <w:pPr>
        <w:widowControl w:val="0"/>
        <w:tabs>
          <w:tab w:val="left" w:pos="1701"/>
        </w:tabs>
        <w:autoSpaceDE w:val="0"/>
        <w:autoSpaceDN w:val="0"/>
        <w:adjustRightInd w:val="0"/>
        <w:spacing w:line="276" w:lineRule="auto"/>
        <w:ind w:right="899"/>
        <w:jc w:val="both"/>
        <w:rPr>
          <w:rFonts w:ascii="Palatino Linotype" w:hAnsi="Palatino Linotype"/>
          <w:i/>
          <w:iCs/>
          <w:sz w:val="16"/>
          <w:szCs w:val="22"/>
          <w:lang w:eastAsia="es-MX"/>
        </w:rPr>
      </w:pPr>
    </w:p>
    <w:p w14:paraId="13EFE21C" w14:textId="77777777" w:rsidR="00A34B9D" w:rsidRPr="001D57D4" w:rsidRDefault="00A34B9D" w:rsidP="001D57D4">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1D57D4">
        <w:rPr>
          <w:rFonts w:ascii="Palatino Linotype" w:hAnsi="Palatino Linotype" w:cs="Arial"/>
          <w:b/>
          <w:bCs/>
          <w:sz w:val="28"/>
          <w:lang w:eastAsia="es-MX"/>
        </w:rPr>
        <w:t>TERCERO</w:t>
      </w:r>
      <w:r w:rsidRPr="001D57D4">
        <w:rPr>
          <w:rFonts w:ascii="Palatino Linotype" w:eastAsia="Calibri" w:hAnsi="Palatino Linotype" w:cs="Arial"/>
          <w:b/>
          <w:bCs/>
        </w:rPr>
        <w:t xml:space="preserve">. </w:t>
      </w:r>
      <w:r w:rsidRPr="001D57D4">
        <w:rPr>
          <w:rFonts w:ascii="Palatino Linotype" w:hAnsi="Palatino Linotype"/>
          <w:b/>
          <w:szCs w:val="17"/>
          <w:lang w:eastAsia="es-ES_tradnl"/>
        </w:rPr>
        <w:t xml:space="preserve">Notifíquese </w:t>
      </w:r>
      <w:r w:rsidRPr="001D57D4">
        <w:rPr>
          <w:rFonts w:ascii="Palatino Linotype" w:hAnsi="Palatino Linotype"/>
          <w:szCs w:val="17"/>
          <w:lang w:eastAsia="es-ES_tradnl"/>
        </w:rPr>
        <w:t>la presente resolución al Titular de la Unidad de Transparencia del</w:t>
      </w:r>
      <w:r w:rsidRPr="001D57D4">
        <w:rPr>
          <w:rFonts w:ascii="Palatino Linotype" w:hAnsi="Palatino Linotype"/>
          <w:b/>
          <w:szCs w:val="17"/>
          <w:lang w:eastAsia="es-ES_tradnl"/>
        </w:rPr>
        <w:t xml:space="preserve"> SUJETO OBLIGADO</w:t>
      </w:r>
      <w:r w:rsidRPr="001D57D4">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1D57D4">
        <w:rPr>
          <w:rFonts w:ascii="Palatino Linotype" w:hAnsi="Palatino Linotype"/>
          <w:b/>
          <w:szCs w:val="17"/>
          <w:lang w:eastAsia="es-ES_tradnl"/>
        </w:rPr>
        <w:t xml:space="preserve"> y, se le apercibe que en caso de negarse a cumplir la presente resolución o hacerlo de manera </w:t>
      </w:r>
      <w:r w:rsidRPr="001D57D4">
        <w:rPr>
          <w:rFonts w:ascii="Palatino Linotype" w:hAnsi="Palatino Linotype"/>
          <w:b/>
          <w:szCs w:val="17"/>
          <w:lang w:eastAsia="es-ES_tradnl"/>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74C1F60E" w14:textId="77777777" w:rsidR="00A34B9D" w:rsidRPr="001D57D4" w:rsidRDefault="00A34B9D" w:rsidP="001D57D4">
      <w:pPr>
        <w:widowControl w:val="0"/>
        <w:tabs>
          <w:tab w:val="left" w:pos="1701"/>
        </w:tabs>
        <w:autoSpaceDE w:val="0"/>
        <w:autoSpaceDN w:val="0"/>
        <w:adjustRightInd w:val="0"/>
        <w:spacing w:line="360" w:lineRule="auto"/>
        <w:jc w:val="both"/>
        <w:rPr>
          <w:rFonts w:ascii="Palatino Linotype" w:hAnsi="Palatino Linotype"/>
          <w:b/>
          <w:sz w:val="18"/>
          <w:szCs w:val="17"/>
          <w:u w:val="single"/>
          <w:lang w:eastAsia="es-ES_tradnl"/>
        </w:rPr>
      </w:pPr>
    </w:p>
    <w:p w14:paraId="50096588" w14:textId="77777777" w:rsidR="00A34B9D" w:rsidRPr="001D57D4" w:rsidRDefault="00A34B9D" w:rsidP="001D57D4">
      <w:pPr>
        <w:spacing w:line="360" w:lineRule="auto"/>
        <w:ind w:right="49"/>
        <w:jc w:val="both"/>
        <w:rPr>
          <w:rFonts w:ascii="Palatino Linotype" w:hAnsi="Palatino Linotype" w:cs="Arial"/>
          <w:b/>
          <w:bCs/>
        </w:rPr>
      </w:pPr>
      <w:r w:rsidRPr="001D57D4">
        <w:rPr>
          <w:rFonts w:ascii="Palatino Linotype" w:hAnsi="Palatino Linotype" w:cs="Arial"/>
          <w:b/>
          <w:bCs/>
          <w:sz w:val="28"/>
          <w:lang w:eastAsia="es-MX"/>
        </w:rPr>
        <w:t xml:space="preserve">CUARTO. </w:t>
      </w:r>
      <w:r w:rsidRPr="001D57D4">
        <w:rPr>
          <w:rFonts w:ascii="Palatino Linotype" w:hAnsi="Palatino Linotype"/>
          <w:b/>
          <w:szCs w:val="17"/>
          <w:lang w:eastAsia="es-ES_tradnl"/>
        </w:rPr>
        <w:t>Notifíquese</w:t>
      </w:r>
      <w:r w:rsidRPr="001D57D4">
        <w:rPr>
          <w:rFonts w:ascii="Palatino Linotype" w:hAnsi="Palatino Linotype"/>
          <w:szCs w:val="17"/>
          <w:lang w:eastAsia="es-ES_tradnl"/>
        </w:rPr>
        <w:t xml:space="preserve"> al </w:t>
      </w:r>
      <w:r w:rsidRPr="001D57D4">
        <w:rPr>
          <w:rFonts w:ascii="Palatino Linotype" w:hAnsi="Palatino Linotype"/>
          <w:b/>
          <w:szCs w:val="17"/>
          <w:lang w:eastAsia="es-ES_tradnl"/>
        </w:rPr>
        <w:t xml:space="preserve">RECURRENTE </w:t>
      </w:r>
      <w:r w:rsidRPr="001D57D4">
        <w:rPr>
          <w:rFonts w:ascii="Palatino Linotype" w:hAnsi="Palatino Linotype"/>
          <w:szCs w:val="17"/>
          <w:lang w:eastAsia="es-ES_tradnl"/>
        </w:rPr>
        <w:t>la presente resolución</w:t>
      </w:r>
      <w:r w:rsidRPr="001D57D4">
        <w:rPr>
          <w:rFonts w:ascii="Palatino Linotype" w:hAnsi="Palatino Linotype" w:cs="Arial"/>
        </w:rPr>
        <w:t xml:space="preserve"> vía </w:t>
      </w:r>
      <w:bookmarkStart w:id="8" w:name="_Hlk94784009"/>
      <w:r w:rsidRPr="001D57D4">
        <w:rPr>
          <w:rFonts w:ascii="Palatino Linotype" w:hAnsi="Palatino Linotype" w:cs="Arial"/>
          <w:b/>
          <w:bCs/>
        </w:rPr>
        <w:t>SAIMEX</w:t>
      </w:r>
      <w:bookmarkEnd w:id="8"/>
      <w:r w:rsidRPr="001D57D4">
        <w:rPr>
          <w:rFonts w:ascii="Palatino Linotype" w:hAnsi="Palatino Linotype" w:cs="Arial"/>
          <w:b/>
          <w:bCs/>
        </w:rPr>
        <w:t>.</w:t>
      </w:r>
    </w:p>
    <w:p w14:paraId="1388E25C" w14:textId="77777777" w:rsidR="00A34B9D" w:rsidRPr="001D57D4" w:rsidRDefault="00A34B9D" w:rsidP="001D57D4">
      <w:pPr>
        <w:spacing w:before="100" w:beforeAutospacing="1" w:after="100" w:afterAutospacing="1" w:line="360" w:lineRule="auto"/>
        <w:ind w:right="51"/>
        <w:jc w:val="both"/>
        <w:rPr>
          <w:rFonts w:ascii="Palatino Linotype" w:eastAsia="Palatino Linotype" w:hAnsi="Palatino Linotype" w:cs="Palatino Linotype"/>
        </w:rPr>
      </w:pPr>
      <w:r w:rsidRPr="001D57D4">
        <w:rPr>
          <w:rFonts w:ascii="Palatino Linotype" w:hAnsi="Palatino Linotype" w:cs="Arial"/>
          <w:b/>
          <w:bCs/>
          <w:sz w:val="28"/>
          <w:lang w:eastAsia="es-MX"/>
        </w:rPr>
        <w:t>QUINTO.</w:t>
      </w:r>
      <w:r w:rsidRPr="001D57D4">
        <w:rPr>
          <w:rFonts w:ascii="Palatino Linotype" w:hAnsi="Palatino Linotype"/>
          <w:szCs w:val="17"/>
          <w:lang w:eastAsia="es-ES_tradnl"/>
        </w:rPr>
        <w:t xml:space="preserve"> </w:t>
      </w:r>
      <w:r w:rsidRPr="001D57D4">
        <w:rPr>
          <w:rFonts w:ascii="Palatino Linotype" w:hAnsi="Palatino Linotype"/>
          <w:b/>
          <w:szCs w:val="17"/>
          <w:lang w:eastAsia="es-ES_tradnl"/>
        </w:rPr>
        <w:t>Hágase del conocimiento</w:t>
      </w:r>
      <w:r w:rsidRPr="001D57D4">
        <w:rPr>
          <w:rFonts w:ascii="Palatino Linotype" w:hAnsi="Palatino Linotype"/>
          <w:szCs w:val="17"/>
          <w:lang w:eastAsia="es-ES_tradnl"/>
        </w:rPr>
        <w:t xml:space="preserve"> al </w:t>
      </w:r>
      <w:r w:rsidRPr="001D57D4">
        <w:rPr>
          <w:rFonts w:ascii="Palatino Linotype" w:hAnsi="Palatino Linotype"/>
          <w:b/>
          <w:szCs w:val="17"/>
          <w:lang w:eastAsia="es-ES_tradnl"/>
        </w:rPr>
        <w:t>RECURRENTE</w:t>
      </w:r>
      <w:r w:rsidRPr="001D57D4">
        <w:rPr>
          <w:rFonts w:ascii="Palatino Linotype" w:hAnsi="Palatino Linotype"/>
          <w:szCs w:val="17"/>
          <w:lang w:eastAsia="es-ES_tradnl"/>
        </w:rPr>
        <w:t xml:space="preserve"> </w:t>
      </w:r>
      <w:r w:rsidRPr="001D57D4">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05608FA2" w14:textId="77777777" w:rsidR="00A34B9D" w:rsidRPr="001D57D4" w:rsidRDefault="00A34B9D" w:rsidP="001D57D4">
      <w:pPr>
        <w:spacing w:line="360" w:lineRule="auto"/>
        <w:jc w:val="both"/>
        <w:rPr>
          <w:rFonts w:ascii="Palatino Linotype" w:hAnsi="Palatino Linotype"/>
          <w:szCs w:val="17"/>
          <w:lang w:eastAsia="es-ES_tradnl"/>
        </w:rPr>
      </w:pPr>
      <w:r w:rsidRPr="001D57D4">
        <w:rPr>
          <w:rFonts w:ascii="Palatino Linotype" w:hAnsi="Palatino Linotype"/>
          <w:b/>
          <w:sz w:val="28"/>
          <w:szCs w:val="28"/>
          <w:lang w:eastAsia="es-ES_tradnl"/>
        </w:rPr>
        <w:t>SEXTO</w:t>
      </w:r>
      <w:r w:rsidRPr="001D57D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1D57D4">
        <w:rPr>
          <w:rFonts w:ascii="Palatino Linotype" w:hAnsi="Palatino Linotype"/>
          <w:b/>
          <w:szCs w:val="17"/>
          <w:lang w:eastAsia="es-ES_tradnl"/>
        </w:rPr>
        <w:t>EL SUJETO OBLIGADO</w:t>
      </w:r>
      <w:r w:rsidRPr="001D57D4">
        <w:rPr>
          <w:rFonts w:ascii="Palatino Linotype" w:hAnsi="Palatino Linotype"/>
          <w:szCs w:val="17"/>
          <w:lang w:eastAsia="es-ES_tradnl"/>
        </w:rPr>
        <w:t xml:space="preserve"> de manera fundada y motivada, podrá solicitar una ampliación de plazo para el cumplimiento de la presente resolución.</w:t>
      </w:r>
    </w:p>
    <w:p w14:paraId="6472F3C5" w14:textId="77777777" w:rsidR="00A34B9D" w:rsidRDefault="00A34B9D" w:rsidP="00B9669C">
      <w:pPr>
        <w:jc w:val="both"/>
        <w:rPr>
          <w:rFonts w:ascii="Palatino Linotype" w:hAnsi="Palatino Linotype"/>
          <w:sz w:val="16"/>
          <w:szCs w:val="17"/>
          <w:lang w:eastAsia="es-ES_tradnl"/>
        </w:rPr>
      </w:pPr>
    </w:p>
    <w:p w14:paraId="1A7C2137" w14:textId="77777777" w:rsidR="001D57D4" w:rsidRPr="001D57D4" w:rsidRDefault="001D57D4" w:rsidP="001D57D4">
      <w:pPr>
        <w:spacing w:line="360" w:lineRule="auto"/>
        <w:jc w:val="both"/>
        <w:rPr>
          <w:rFonts w:ascii="Palatino Linotype" w:hAnsi="Palatino Linotype"/>
          <w:sz w:val="16"/>
          <w:szCs w:val="17"/>
          <w:lang w:eastAsia="es-ES_tradnl"/>
        </w:rPr>
      </w:pPr>
    </w:p>
    <w:p w14:paraId="6B04381D" w14:textId="51D0ADBF" w:rsidR="00036EEA" w:rsidRPr="001D57D4" w:rsidRDefault="00036EEA" w:rsidP="00B9669C">
      <w:pPr>
        <w:widowControl w:val="0"/>
        <w:autoSpaceDE w:val="0"/>
        <w:autoSpaceDN w:val="0"/>
        <w:adjustRightInd w:val="0"/>
        <w:spacing w:line="276" w:lineRule="auto"/>
        <w:jc w:val="both"/>
        <w:rPr>
          <w:rFonts w:ascii="Palatino Linotype" w:hAnsi="Palatino Linotype" w:cs="Arial"/>
          <w:sz w:val="6"/>
        </w:rPr>
      </w:pPr>
      <w:r w:rsidRPr="001D57D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w:t>
      </w:r>
      <w:r w:rsidR="001D57D4">
        <w:rPr>
          <w:rFonts w:ascii="Palatino Linotype" w:hAnsi="Palatino Linotype" w:cs="Arial"/>
        </w:rPr>
        <w:t>VEINTICUATRO</w:t>
      </w:r>
      <w:r w:rsidRPr="001D57D4">
        <w:rPr>
          <w:rFonts w:ascii="Palatino Linotype" w:hAnsi="Palatino Linotype" w:cs="Arial"/>
        </w:rPr>
        <w:t>, ANTE EL SECRETARIO TÉCNICO DEL PLENO, ALEXIS TAPIA RAMÍREZ.</w:t>
      </w:r>
    </w:p>
    <w:p w14:paraId="4E2D3602" w14:textId="69C1A193" w:rsidR="001D57D4" w:rsidRDefault="00A34B9D" w:rsidP="00B9669C">
      <w:pPr>
        <w:spacing w:line="276" w:lineRule="auto"/>
        <w:jc w:val="both"/>
        <w:rPr>
          <w:rFonts w:ascii="Palatino Linotype" w:eastAsiaTheme="minorEastAsia" w:hAnsi="Palatino Linotype"/>
          <w:sz w:val="20"/>
          <w:lang w:val="es-419"/>
        </w:rPr>
      </w:pPr>
      <w:r w:rsidRPr="001D57D4">
        <w:rPr>
          <w:rFonts w:ascii="Palatino Linotype" w:eastAsiaTheme="minorEastAsia" w:hAnsi="Palatino Linotype"/>
          <w:sz w:val="20"/>
          <w:lang w:val="es-ES_tradnl"/>
        </w:rPr>
        <w:t>SCMM/AGZ/DEMF/</w:t>
      </w:r>
      <w:r w:rsidRPr="001D57D4">
        <w:rPr>
          <w:rFonts w:ascii="Palatino Linotype" w:eastAsiaTheme="minorEastAsia" w:hAnsi="Palatino Linotype"/>
          <w:sz w:val="20"/>
          <w:lang w:val="es-419"/>
        </w:rPr>
        <w:t>MRC</w:t>
      </w:r>
    </w:p>
    <w:p w14:paraId="446065F6" w14:textId="77777777" w:rsidR="001D57D4" w:rsidRDefault="001D57D4">
      <w:pPr>
        <w:rPr>
          <w:rFonts w:ascii="Palatino Linotype" w:eastAsiaTheme="minorEastAsia" w:hAnsi="Palatino Linotype"/>
          <w:sz w:val="20"/>
          <w:lang w:val="es-419"/>
        </w:rPr>
      </w:pPr>
      <w:r>
        <w:rPr>
          <w:rFonts w:ascii="Palatino Linotype" w:eastAsiaTheme="minorEastAsia" w:hAnsi="Palatino Linotype"/>
          <w:sz w:val="20"/>
          <w:lang w:val="es-419"/>
        </w:rPr>
        <w:br w:type="page"/>
      </w:r>
    </w:p>
    <w:p w14:paraId="0267F8D4" w14:textId="77777777" w:rsidR="00A34B9D" w:rsidRPr="001D57D4" w:rsidRDefault="00A34B9D" w:rsidP="001D57D4">
      <w:pPr>
        <w:spacing w:line="360" w:lineRule="auto"/>
        <w:jc w:val="both"/>
        <w:rPr>
          <w:rFonts w:ascii="Palatino Linotype" w:eastAsiaTheme="minorEastAsia" w:hAnsi="Palatino Linotype"/>
          <w:sz w:val="20"/>
          <w:lang w:val="es-419"/>
        </w:rPr>
      </w:pPr>
      <w:bookmarkStart w:id="9" w:name="_GoBack"/>
      <w:bookmarkEnd w:id="9"/>
    </w:p>
    <w:p w14:paraId="377DD5BA" w14:textId="77777777" w:rsidR="00A34B9D" w:rsidRPr="001D57D4" w:rsidRDefault="00A34B9D" w:rsidP="001D57D4">
      <w:pPr>
        <w:spacing w:line="360" w:lineRule="auto"/>
        <w:jc w:val="both"/>
        <w:rPr>
          <w:rFonts w:ascii="Palatino Linotype" w:eastAsiaTheme="minorEastAsia" w:hAnsi="Palatino Linotype"/>
          <w:sz w:val="20"/>
          <w:lang w:val="es-419"/>
        </w:rPr>
      </w:pPr>
    </w:p>
    <w:p w14:paraId="717D02BB" w14:textId="77777777" w:rsidR="00A34B9D" w:rsidRPr="001D57D4" w:rsidRDefault="00A34B9D" w:rsidP="001D57D4">
      <w:pPr>
        <w:spacing w:line="360" w:lineRule="auto"/>
        <w:jc w:val="both"/>
        <w:rPr>
          <w:rFonts w:ascii="Palatino Linotype" w:eastAsiaTheme="minorEastAsia" w:hAnsi="Palatino Linotype"/>
          <w:sz w:val="20"/>
          <w:lang w:val="es-419"/>
        </w:rPr>
      </w:pPr>
    </w:p>
    <w:p w14:paraId="63DEA8AE" w14:textId="77777777" w:rsidR="00A34B9D" w:rsidRPr="001D57D4" w:rsidRDefault="00A34B9D" w:rsidP="001D57D4">
      <w:pPr>
        <w:spacing w:line="360" w:lineRule="auto"/>
        <w:jc w:val="both"/>
        <w:rPr>
          <w:rFonts w:ascii="Palatino Linotype" w:eastAsiaTheme="minorEastAsia" w:hAnsi="Palatino Linotype"/>
          <w:sz w:val="20"/>
          <w:lang w:val="es-419"/>
        </w:rPr>
      </w:pPr>
    </w:p>
    <w:p w14:paraId="53BD886D" w14:textId="77777777" w:rsidR="00A34B9D" w:rsidRPr="001D57D4" w:rsidRDefault="00A34B9D" w:rsidP="001D57D4">
      <w:pPr>
        <w:spacing w:line="360" w:lineRule="auto"/>
        <w:jc w:val="both"/>
        <w:rPr>
          <w:rFonts w:ascii="Palatino Linotype" w:hAnsi="Palatino Linotype" w:cs="Arial"/>
          <w:lang w:val="es-ES"/>
        </w:rPr>
      </w:pPr>
    </w:p>
    <w:sectPr w:rsidR="00A34B9D" w:rsidRPr="001D57D4"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A50EE" w14:textId="77777777" w:rsidR="00053128" w:rsidRDefault="00053128" w:rsidP="00C80F8C">
      <w:r>
        <w:separator/>
      </w:r>
    </w:p>
  </w:endnote>
  <w:endnote w:type="continuationSeparator" w:id="0">
    <w:p w14:paraId="303A8621" w14:textId="77777777" w:rsidR="00053128" w:rsidRDefault="000531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391F0EA" w:rsidR="00D41C60" w:rsidRPr="0010196A" w:rsidRDefault="00D41C6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669C">
      <w:rPr>
        <w:rFonts w:ascii="Palatino Linotype" w:hAnsi="Palatino Linotype" w:cs="Arial"/>
        <w:bCs/>
        <w:noProof/>
        <w:sz w:val="22"/>
        <w:szCs w:val="22"/>
      </w:rPr>
      <w:t>65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669C">
      <w:rPr>
        <w:rFonts w:ascii="Palatino Linotype" w:hAnsi="Palatino Linotype" w:cs="Arial"/>
        <w:bCs/>
        <w:noProof/>
        <w:sz w:val="22"/>
        <w:szCs w:val="22"/>
      </w:rPr>
      <w:t>65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28E22FC" w:rsidR="00D41C60" w:rsidRPr="0010196A" w:rsidRDefault="00D41C6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669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669C">
      <w:rPr>
        <w:rFonts w:ascii="Palatino Linotype" w:hAnsi="Palatino Linotype" w:cs="Arial"/>
        <w:bCs/>
        <w:noProof/>
        <w:sz w:val="22"/>
        <w:szCs w:val="22"/>
      </w:rPr>
      <w:t>65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5C335" w14:textId="77777777" w:rsidR="00053128" w:rsidRDefault="00053128" w:rsidP="00C80F8C">
      <w:r>
        <w:separator/>
      </w:r>
    </w:p>
  </w:footnote>
  <w:footnote w:type="continuationSeparator" w:id="0">
    <w:p w14:paraId="13C9107E" w14:textId="77777777" w:rsidR="00053128" w:rsidRDefault="0005312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41C60" w:rsidRDefault="00B9669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41C60" w:rsidRPr="0010196A" w:rsidRDefault="00B9669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41C60" w:rsidRPr="008F2CCC" w14:paraId="1F097D8A" w14:textId="77777777" w:rsidTr="00DA50F6">
      <w:tc>
        <w:tcPr>
          <w:tcW w:w="3261" w:type="dxa"/>
          <w:vMerge w:val="restart"/>
        </w:tcPr>
        <w:p w14:paraId="1F780A0C" w14:textId="1EFF25F4" w:rsidR="00D41C60" w:rsidRPr="008F2CCC" w:rsidRDefault="00D41C6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D41C60" w:rsidRPr="00664658" w:rsidRDefault="00D41C6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D4970D8" w:rsidR="00D41C60" w:rsidRPr="00664658" w:rsidRDefault="00D41C60" w:rsidP="002C6D7E">
          <w:pPr>
            <w:jc w:val="both"/>
            <w:rPr>
              <w:rFonts w:ascii="Palatino Linotype" w:hAnsi="Palatino Linotype"/>
              <w:b/>
              <w:sz w:val="22"/>
              <w:szCs w:val="22"/>
              <w:lang w:val="es-ES_tradnl"/>
            </w:rPr>
          </w:pPr>
          <w:r>
            <w:rPr>
              <w:rFonts w:ascii="Palatino Linotype" w:hAnsi="Palatino Linotype"/>
              <w:b/>
              <w:sz w:val="22"/>
              <w:szCs w:val="22"/>
              <w:lang w:val="es-ES_tradnl"/>
            </w:rPr>
            <w:t>0547</w:t>
          </w:r>
          <w:r w:rsidRPr="00830CEA">
            <w:rPr>
              <w:rFonts w:ascii="Palatino Linotype" w:hAnsi="Palatino Linotype"/>
              <w:b/>
              <w:sz w:val="22"/>
              <w:szCs w:val="22"/>
              <w:lang w:val="es-ES_tradnl"/>
            </w:rPr>
            <w:t>7/INFOEM/IP/RR/2023</w:t>
          </w:r>
        </w:p>
      </w:tc>
    </w:tr>
    <w:tr w:rsidR="00D41C60" w:rsidRPr="008F2CCC" w14:paraId="049677A3" w14:textId="77777777" w:rsidTr="00DA50F6">
      <w:tc>
        <w:tcPr>
          <w:tcW w:w="3261" w:type="dxa"/>
          <w:vMerge/>
        </w:tcPr>
        <w:p w14:paraId="4A21EAC1" w14:textId="5C1F145E" w:rsidR="00D41C60" w:rsidRPr="008F2CCC" w:rsidRDefault="00D41C60" w:rsidP="00D41D47">
          <w:pPr>
            <w:rPr>
              <w:rFonts w:ascii="Palatino Linotype" w:hAnsi="Palatino Linotype"/>
              <w:b/>
              <w:sz w:val="22"/>
              <w:szCs w:val="22"/>
              <w:lang w:val="es-ES_tradnl"/>
            </w:rPr>
          </w:pPr>
        </w:p>
      </w:tc>
      <w:tc>
        <w:tcPr>
          <w:tcW w:w="2551" w:type="dxa"/>
          <w:shd w:val="clear" w:color="auto" w:fill="auto"/>
        </w:tcPr>
        <w:p w14:paraId="1237BCDE" w14:textId="77777777" w:rsidR="00D41C60" w:rsidRPr="00664658" w:rsidRDefault="00D41C6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D55B45" w:rsidR="00D41C60" w:rsidRPr="00C77536" w:rsidRDefault="00D41C60" w:rsidP="00C77536">
          <w:pPr>
            <w:jc w:val="both"/>
            <w:rPr>
              <w:lang w:val="es-419"/>
            </w:rPr>
          </w:pPr>
          <w:r w:rsidRPr="001C3B29">
            <w:rPr>
              <w:rFonts w:ascii="Palatino Linotype" w:hAnsi="Palatino Linotype"/>
              <w:b/>
              <w:sz w:val="22"/>
              <w:szCs w:val="22"/>
              <w:lang w:val="es-ES_tradnl"/>
            </w:rPr>
            <w:t>Ayuntamiento de Zinacantepec</w:t>
          </w:r>
        </w:p>
      </w:tc>
    </w:tr>
    <w:tr w:rsidR="00D41C60" w:rsidRPr="008F2CCC" w14:paraId="72CD087D" w14:textId="77777777" w:rsidTr="00DA50F6">
      <w:trPr>
        <w:trHeight w:val="228"/>
      </w:trPr>
      <w:tc>
        <w:tcPr>
          <w:tcW w:w="3261" w:type="dxa"/>
          <w:vMerge/>
        </w:tcPr>
        <w:p w14:paraId="1B78656F" w14:textId="01E6F6F6" w:rsidR="00D41C60" w:rsidRPr="008F2CCC" w:rsidRDefault="00D41C60" w:rsidP="00070856">
          <w:pPr>
            <w:rPr>
              <w:rFonts w:ascii="Palatino Linotype" w:hAnsi="Palatino Linotype"/>
              <w:b/>
              <w:sz w:val="22"/>
              <w:szCs w:val="22"/>
              <w:lang w:val="es-ES_tradnl"/>
            </w:rPr>
          </w:pPr>
        </w:p>
      </w:tc>
      <w:tc>
        <w:tcPr>
          <w:tcW w:w="2551" w:type="dxa"/>
          <w:shd w:val="clear" w:color="auto" w:fill="auto"/>
        </w:tcPr>
        <w:p w14:paraId="74D81628" w14:textId="3839B3E6" w:rsidR="00D41C60" w:rsidRPr="00664658" w:rsidRDefault="00D41C6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D41C60" w:rsidRPr="00664658" w:rsidRDefault="00D41C6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41C60" w:rsidRPr="005E421B" w:rsidRDefault="00D41C60"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D41C60" w:rsidRPr="0010196A" w:rsidRDefault="00B9669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41C60" w:rsidRPr="008F2CCC" w14:paraId="6ABABA57" w14:textId="77777777" w:rsidTr="005B5501">
      <w:tc>
        <w:tcPr>
          <w:tcW w:w="4253" w:type="dxa"/>
          <w:vMerge w:val="restart"/>
          <w:shd w:val="clear" w:color="auto" w:fill="auto"/>
        </w:tcPr>
        <w:p w14:paraId="6AA376CC" w14:textId="1E62217E" w:rsidR="00D41C60" w:rsidRPr="008F2CCC" w:rsidRDefault="00D41C6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D41C60" w:rsidRPr="008F2CCC" w:rsidRDefault="00D41C6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0430681" w:rsidR="00D41C60" w:rsidRPr="008F2CCC" w:rsidRDefault="00D41C60" w:rsidP="00700361">
          <w:pPr>
            <w:jc w:val="both"/>
            <w:rPr>
              <w:rFonts w:ascii="Palatino Linotype" w:hAnsi="Palatino Linotype"/>
              <w:b/>
              <w:sz w:val="22"/>
              <w:szCs w:val="22"/>
              <w:lang w:val="es-ES_tradnl"/>
            </w:rPr>
          </w:pPr>
          <w:r>
            <w:rPr>
              <w:rFonts w:ascii="Palatino Linotype" w:hAnsi="Palatino Linotype"/>
              <w:b/>
              <w:sz w:val="22"/>
              <w:szCs w:val="22"/>
              <w:lang w:val="es-ES_tradnl"/>
            </w:rPr>
            <w:t>0547</w:t>
          </w:r>
          <w:r w:rsidRPr="00830CEA">
            <w:rPr>
              <w:rFonts w:ascii="Palatino Linotype" w:hAnsi="Palatino Linotype"/>
              <w:b/>
              <w:sz w:val="22"/>
              <w:szCs w:val="22"/>
              <w:lang w:val="es-ES_tradnl"/>
            </w:rPr>
            <w:t>7/INFOEM/IP/RR/2023</w:t>
          </w:r>
        </w:p>
      </w:tc>
    </w:tr>
    <w:tr w:rsidR="00D41C60" w:rsidRPr="008F2CCC" w14:paraId="3B45FB53" w14:textId="77777777" w:rsidTr="005B5501">
      <w:tc>
        <w:tcPr>
          <w:tcW w:w="4253" w:type="dxa"/>
          <w:vMerge/>
          <w:shd w:val="clear" w:color="auto" w:fill="auto"/>
        </w:tcPr>
        <w:p w14:paraId="188B82EF" w14:textId="77777777" w:rsidR="00D41C60" w:rsidRPr="008F2CCC" w:rsidRDefault="00D41C60" w:rsidP="00A2780F">
          <w:pPr>
            <w:rPr>
              <w:rFonts w:ascii="Palatino Linotype" w:hAnsi="Palatino Linotype"/>
              <w:b/>
              <w:sz w:val="22"/>
              <w:szCs w:val="22"/>
              <w:lang w:val="es-ES_tradnl"/>
            </w:rPr>
          </w:pPr>
        </w:p>
      </w:tc>
      <w:tc>
        <w:tcPr>
          <w:tcW w:w="2552" w:type="dxa"/>
          <w:shd w:val="clear" w:color="auto" w:fill="auto"/>
        </w:tcPr>
        <w:p w14:paraId="3B2AD0CF" w14:textId="77777777" w:rsidR="00D41C60" w:rsidRPr="008F2CCC" w:rsidRDefault="00D41C6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F84E6D" w:rsidR="00D41C60" w:rsidRPr="003305CB" w:rsidRDefault="00D41C60" w:rsidP="00495809">
          <w:pPr>
            <w:jc w:val="both"/>
            <w:rPr>
              <w:rFonts w:ascii="Palatino Linotype" w:hAnsi="Palatino Linotype"/>
              <w:b/>
              <w:sz w:val="22"/>
              <w:szCs w:val="22"/>
              <w:lang w:val="es-419"/>
            </w:rPr>
          </w:pPr>
        </w:p>
      </w:tc>
    </w:tr>
    <w:tr w:rsidR="00D41C60" w:rsidRPr="008F2CCC" w14:paraId="28A493EB" w14:textId="77777777" w:rsidTr="005B5501">
      <w:trPr>
        <w:trHeight w:val="228"/>
      </w:trPr>
      <w:tc>
        <w:tcPr>
          <w:tcW w:w="4253" w:type="dxa"/>
          <w:vMerge/>
          <w:shd w:val="clear" w:color="auto" w:fill="auto"/>
        </w:tcPr>
        <w:p w14:paraId="06C77D31" w14:textId="77777777" w:rsidR="00D41C60" w:rsidRPr="008F2CCC" w:rsidRDefault="00D41C60" w:rsidP="00E37C88">
          <w:pPr>
            <w:rPr>
              <w:rFonts w:ascii="Palatino Linotype" w:hAnsi="Palatino Linotype"/>
              <w:b/>
              <w:sz w:val="22"/>
              <w:szCs w:val="22"/>
              <w:lang w:val="es-ES_tradnl"/>
            </w:rPr>
          </w:pPr>
        </w:p>
      </w:tc>
      <w:tc>
        <w:tcPr>
          <w:tcW w:w="2552" w:type="dxa"/>
          <w:shd w:val="clear" w:color="auto" w:fill="auto"/>
        </w:tcPr>
        <w:p w14:paraId="2E1A72B4" w14:textId="77777777" w:rsidR="00D41C60" w:rsidRPr="008F2CCC" w:rsidRDefault="00D41C6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FF136A0" w:rsidR="00D41C60" w:rsidRPr="00F67B0E" w:rsidRDefault="00D41C60" w:rsidP="001F140A">
          <w:pPr>
            <w:jc w:val="both"/>
            <w:rPr>
              <w:lang w:val="es-419"/>
            </w:rPr>
          </w:pPr>
          <w:r w:rsidRPr="001C3B29">
            <w:rPr>
              <w:rFonts w:ascii="Palatino Linotype" w:hAnsi="Palatino Linotype"/>
              <w:b/>
              <w:sz w:val="22"/>
              <w:szCs w:val="22"/>
              <w:lang w:val="es-ES_tradnl"/>
            </w:rPr>
            <w:t>Ayuntamiento de Zinacantepec</w:t>
          </w:r>
        </w:p>
      </w:tc>
    </w:tr>
    <w:tr w:rsidR="00D41C60" w:rsidRPr="008F2CCC" w14:paraId="0F114FF0" w14:textId="77777777" w:rsidTr="005B5501">
      <w:tc>
        <w:tcPr>
          <w:tcW w:w="4253" w:type="dxa"/>
          <w:vMerge/>
          <w:shd w:val="clear" w:color="auto" w:fill="auto"/>
        </w:tcPr>
        <w:p w14:paraId="4CCB64BA" w14:textId="77777777" w:rsidR="00D41C60" w:rsidRPr="008F2CCC" w:rsidRDefault="00D41C60" w:rsidP="00A2780F">
          <w:pPr>
            <w:rPr>
              <w:rFonts w:ascii="Palatino Linotype" w:hAnsi="Palatino Linotype"/>
              <w:b/>
              <w:sz w:val="22"/>
              <w:szCs w:val="22"/>
              <w:lang w:val="es-ES_tradnl"/>
            </w:rPr>
          </w:pPr>
        </w:p>
      </w:tc>
      <w:tc>
        <w:tcPr>
          <w:tcW w:w="2552" w:type="dxa"/>
          <w:shd w:val="clear" w:color="auto" w:fill="auto"/>
        </w:tcPr>
        <w:p w14:paraId="31E422EA" w14:textId="63649A07" w:rsidR="00D41C60" w:rsidRPr="008F2CCC" w:rsidRDefault="00D41C6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D41C60" w:rsidRPr="008F2CCC" w:rsidRDefault="00D41C6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41C60" w:rsidRPr="0010196A" w:rsidRDefault="00D41C6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053627D"/>
    <w:multiLevelType w:val="hybridMultilevel"/>
    <w:tmpl w:val="88489B26"/>
    <w:numStyleLink w:val="Estiloimportado1"/>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670F52"/>
    <w:multiLevelType w:val="hybridMultilevel"/>
    <w:tmpl w:val="921E1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75F46A4"/>
    <w:multiLevelType w:val="hybridMultilevel"/>
    <w:tmpl w:val="69F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B6B1974"/>
    <w:multiLevelType w:val="hybridMultilevel"/>
    <w:tmpl w:val="FDD20E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8B542D2"/>
    <w:multiLevelType w:val="hybridMultilevel"/>
    <w:tmpl w:val="A198E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A981B14"/>
    <w:multiLevelType w:val="hybridMultilevel"/>
    <w:tmpl w:val="7040D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9"/>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6"/>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 w:numId="16">
    <w:abstractNumId w:val="4"/>
  </w:num>
  <w:num w:numId="17">
    <w:abstractNumId w:val="0"/>
  </w:num>
  <w:num w:numId="18">
    <w:abstractNumId w:val="7"/>
  </w:num>
  <w:num w:numId="19">
    <w:abstractNumId w:val="12"/>
  </w:num>
  <w:num w:numId="20">
    <w:abstractNumId w:val="16"/>
  </w:num>
  <w:num w:numId="21">
    <w:abstractNumId w:val="2"/>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4CA"/>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6D5"/>
    <w:rsid w:val="000109C6"/>
    <w:rsid w:val="000109F4"/>
    <w:rsid w:val="00010DED"/>
    <w:rsid w:val="00011EDE"/>
    <w:rsid w:val="000123CB"/>
    <w:rsid w:val="00012A00"/>
    <w:rsid w:val="00012E09"/>
    <w:rsid w:val="00013023"/>
    <w:rsid w:val="00013986"/>
    <w:rsid w:val="00013EBF"/>
    <w:rsid w:val="000142C0"/>
    <w:rsid w:val="00014E91"/>
    <w:rsid w:val="00015403"/>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170"/>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6EEA"/>
    <w:rsid w:val="00037DDE"/>
    <w:rsid w:val="00037FDC"/>
    <w:rsid w:val="000409F5"/>
    <w:rsid w:val="0004120D"/>
    <w:rsid w:val="000415DD"/>
    <w:rsid w:val="00041959"/>
    <w:rsid w:val="00041A07"/>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128"/>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0B00"/>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A6"/>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10"/>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17E8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938"/>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40D"/>
    <w:rsid w:val="001A4549"/>
    <w:rsid w:val="001A474B"/>
    <w:rsid w:val="001A4806"/>
    <w:rsid w:val="001A5211"/>
    <w:rsid w:val="001A5816"/>
    <w:rsid w:val="001A5882"/>
    <w:rsid w:val="001A59B8"/>
    <w:rsid w:val="001A78D9"/>
    <w:rsid w:val="001A7F2F"/>
    <w:rsid w:val="001B0393"/>
    <w:rsid w:val="001B0793"/>
    <w:rsid w:val="001B1253"/>
    <w:rsid w:val="001B125C"/>
    <w:rsid w:val="001B12D9"/>
    <w:rsid w:val="001B15F4"/>
    <w:rsid w:val="001B183E"/>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57D4"/>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6D9E"/>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693"/>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0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29A"/>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2F2"/>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06F8C"/>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338"/>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58C"/>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2A75"/>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0E0"/>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B8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3FA7"/>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17"/>
    <w:rsid w:val="003D63D4"/>
    <w:rsid w:val="003D63E5"/>
    <w:rsid w:val="003D6B0A"/>
    <w:rsid w:val="003D74A1"/>
    <w:rsid w:val="003D7948"/>
    <w:rsid w:val="003E0020"/>
    <w:rsid w:val="003E05C7"/>
    <w:rsid w:val="003E0D20"/>
    <w:rsid w:val="003E0F14"/>
    <w:rsid w:val="003E1926"/>
    <w:rsid w:val="003E194C"/>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476"/>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ACA"/>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4BAC"/>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CDE"/>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905"/>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25E"/>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8F4"/>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8AA"/>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69E"/>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BCC"/>
    <w:rsid w:val="00535DF7"/>
    <w:rsid w:val="005363B1"/>
    <w:rsid w:val="00536915"/>
    <w:rsid w:val="00536B5A"/>
    <w:rsid w:val="00537422"/>
    <w:rsid w:val="005377CF"/>
    <w:rsid w:val="00537A55"/>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3584"/>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0F40"/>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BBA"/>
    <w:rsid w:val="005A5D7B"/>
    <w:rsid w:val="005A7195"/>
    <w:rsid w:val="005A7E33"/>
    <w:rsid w:val="005B0786"/>
    <w:rsid w:val="005B12C5"/>
    <w:rsid w:val="005B1384"/>
    <w:rsid w:val="005B1571"/>
    <w:rsid w:val="005B1A71"/>
    <w:rsid w:val="005B1BAB"/>
    <w:rsid w:val="005B1DCF"/>
    <w:rsid w:val="005B23C8"/>
    <w:rsid w:val="005B30E2"/>
    <w:rsid w:val="005B331F"/>
    <w:rsid w:val="005B442E"/>
    <w:rsid w:val="005B5043"/>
    <w:rsid w:val="005B5501"/>
    <w:rsid w:val="005B62FE"/>
    <w:rsid w:val="005B6571"/>
    <w:rsid w:val="005B690A"/>
    <w:rsid w:val="005B6AFF"/>
    <w:rsid w:val="005B6C71"/>
    <w:rsid w:val="005B70A2"/>
    <w:rsid w:val="005B77A0"/>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2D1"/>
    <w:rsid w:val="005D0341"/>
    <w:rsid w:val="005D041E"/>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3C3"/>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ED1"/>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1D66"/>
    <w:rsid w:val="006332BB"/>
    <w:rsid w:val="006332F2"/>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3A"/>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8E"/>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3E2"/>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426"/>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2C65"/>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2E5"/>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CC0"/>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0F9"/>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A4F"/>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98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0A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2FC"/>
    <w:rsid w:val="007E341D"/>
    <w:rsid w:val="007E36A0"/>
    <w:rsid w:val="007E3E3F"/>
    <w:rsid w:val="007E3ED1"/>
    <w:rsid w:val="007E4B5E"/>
    <w:rsid w:val="007E4B86"/>
    <w:rsid w:val="007E4CB2"/>
    <w:rsid w:val="007E4CE9"/>
    <w:rsid w:val="007E4D42"/>
    <w:rsid w:val="007E4FC7"/>
    <w:rsid w:val="007E5076"/>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CEA"/>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6E"/>
    <w:rsid w:val="00866DBF"/>
    <w:rsid w:val="008671B8"/>
    <w:rsid w:val="008677B6"/>
    <w:rsid w:val="00867A8D"/>
    <w:rsid w:val="00867BA9"/>
    <w:rsid w:val="00867C07"/>
    <w:rsid w:val="00867D3D"/>
    <w:rsid w:val="008700FE"/>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5073"/>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0D26"/>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249"/>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3C8"/>
    <w:rsid w:val="00913850"/>
    <w:rsid w:val="009139EA"/>
    <w:rsid w:val="00913B12"/>
    <w:rsid w:val="00913C85"/>
    <w:rsid w:val="00913E2D"/>
    <w:rsid w:val="0091420B"/>
    <w:rsid w:val="00914863"/>
    <w:rsid w:val="00914B51"/>
    <w:rsid w:val="00914C1D"/>
    <w:rsid w:val="00914EEA"/>
    <w:rsid w:val="009157EA"/>
    <w:rsid w:val="00915A5E"/>
    <w:rsid w:val="00915BDB"/>
    <w:rsid w:val="00915CC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7A0"/>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3A01"/>
    <w:rsid w:val="009941A8"/>
    <w:rsid w:val="00994FE8"/>
    <w:rsid w:val="00995B06"/>
    <w:rsid w:val="0099621E"/>
    <w:rsid w:val="009963B4"/>
    <w:rsid w:val="0099644E"/>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5FFB"/>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B9D"/>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D7F52"/>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14DA"/>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133"/>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D0C"/>
    <w:rsid w:val="00B74E84"/>
    <w:rsid w:val="00B75029"/>
    <w:rsid w:val="00B7511A"/>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9C"/>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3F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690"/>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67E"/>
    <w:rsid w:val="00C20432"/>
    <w:rsid w:val="00C2054E"/>
    <w:rsid w:val="00C2059F"/>
    <w:rsid w:val="00C20FE9"/>
    <w:rsid w:val="00C22151"/>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5A"/>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80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221"/>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60"/>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5CCE"/>
    <w:rsid w:val="00D4624B"/>
    <w:rsid w:val="00D46933"/>
    <w:rsid w:val="00D46B42"/>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735"/>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5F9"/>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5C62"/>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DB"/>
    <w:rsid w:val="00DB38FF"/>
    <w:rsid w:val="00DB3DDC"/>
    <w:rsid w:val="00DB4197"/>
    <w:rsid w:val="00DB4868"/>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79A"/>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6AB6"/>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3FAA"/>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D49"/>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AA3"/>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B61"/>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1E4"/>
    <w:rsid w:val="00F212DD"/>
    <w:rsid w:val="00F2169D"/>
    <w:rsid w:val="00F218FF"/>
    <w:rsid w:val="00F222B5"/>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1F56"/>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5E3E"/>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5EC0"/>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503"/>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24679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f.gob.mx/nota_detalle.php?codigo=5492254&amp;fecha=28/07/2017"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hyperlink" Target="https://www.gob.mx/segob/renapo/acciones-y-programas/clave-unica-de-registro-de-poblacion-curp-142226"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sultas.curp.gob.mx/CurpSP/html/informacionecurpP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9C32-DAC9-4643-8ABB-116F8E54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65</Pages>
  <Words>15985</Words>
  <Characters>87919</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8</cp:revision>
  <cp:lastPrinted>2024-01-19T15:41:00Z</cp:lastPrinted>
  <dcterms:created xsi:type="dcterms:W3CDTF">2024-01-16T03:20:00Z</dcterms:created>
  <dcterms:modified xsi:type="dcterms:W3CDTF">2024-01-19T15:41:00Z</dcterms:modified>
</cp:coreProperties>
</file>