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DD0A3" w14:textId="77777777" w:rsidR="0062580E" w:rsidRPr="00862ADF" w:rsidRDefault="00BA5138">
      <w:pPr>
        <w:spacing w:before="240" w:after="240" w:line="360" w:lineRule="auto"/>
        <w:jc w:val="both"/>
      </w:pPr>
      <w:r w:rsidRPr="00862AD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862ADF">
        <w:rPr>
          <w:rFonts w:ascii="Palatino Linotype" w:eastAsia="Palatino Linotype" w:hAnsi="Palatino Linotype" w:cs="Palatino Linotype"/>
        </w:rPr>
        <w:t xml:space="preserve">fecha </w:t>
      </w:r>
      <w:r w:rsidRPr="00862ADF">
        <w:rPr>
          <w:rFonts w:ascii="Palatino Linotype" w:eastAsia="Palatino Linotype" w:hAnsi="Palatino Linotype" w:cs="Palatino Linotype"/>
        </w:rPr>
        <w:t xml:space="preserve">veintiuno </w:t>
      </w:r>
      <w:r w:rsidR="00862ADF">
        <w:rPr>
          <w:rFonts w:ascii="Palatino Linotype" w:eastAsia="Palatino Linotype" w:hAnsi="Palatino Linotype" w:cs="Palatino Linotype"/>
        </w:rPr>
        <w:t xml:space="preserve">(21) </w:t>
      </w:r>
      <w:r w:rsidRPr="00862ADF">
        <w:rPr>
          <w:rFonts w:ascii="Palatino Linotype" w:eastAsia="Palatino Linotype" w:hAnsi="Palatino Linotype" w:cs="Palatino Linotype"/>
        </w:rPr>
        <w:t>de agosto de dos mil veinticuatro.</w:t>
      </w:r>
    </w:p>
    <w:p w14:paraId="3A9DD0A4" w14:textId="77777777" w:rsidR="0062580E" w:rsidRPr="00862ADF" w:rsidRDefault="00BA5138">
      <w:pPr>
        <w:spacing w:before="240" w:after="360" w:line="360" w:lineRule="auto"/>
        <w:jc w:val="both"/>
        <w:rPr>
          <w:rFonts w:ascii="Palatino Linotype" w:eastAsia="Palatino Linotype" w:hAnsi="Palatino Linotype" w:cs="Palatino Linotype"/>
          <w:b/>
        </w:rPr>
      </w:pPr>
      <w:r w:rsidRPr="00862ADF">
        <w:rPr>
          <w:rFonts w:ascii="Palatino Linotype" w:eastAsia="Palatino Linotype" w:hAnsi="Palatino Linotype" w:cs="Palatino Linotype"/>
          <w:b/>
        </w:rPr>
        <w:t>VISTO</w:t>
      </w:r>
      <w:r w:rsidRPr="00862ADF">
        <w:rPr>
          <w:rFonts w:ascii="Palatino Linotype" w:eastAsia="Palatino Linotype" w:hAnsi="Palatino Linotype" w:cs="Palatino Linotype"/>
        </w:rPr>
        <w:t xml:space="preserve"> el expediente electrónico formado con motivo del recurso de revisión </w:t>
      </w:r>
      <w:r w:rsidRPr="00862ADF">
        <w:rPr>
          <w:rFonts w:ascii="Palatino Linotype" w:eastAsia="Palatino Linotype" w:hAnsi="Palatino Linotype" w:cs="Palatino Linotype"/>
          <w:b/>
        </w:rPr>
        <w:t xml:space="preserve">04103/INFOEM/IP/RR/2024, </w:t>
      </w:r>
      <w:r w:rsidRPr="00862ADF">
        <w:rPr>
          <w:rFonts w:ascii="Palatino Linotype" w:eastAsia="Palatino Linotype" w:hAnsi="Palatino Linotype" w:cs="Palatino Linotype"/>
        </w:rPr>
        <w:t>promovido por</w:t>
      </w:r>
      <w:r w:rsidRPr="00862ADF">
        <w:rPr>
          <w:rFonts w:ascii="Palatino Linotype" w:eastAsia="Palatino Linotype" w:hAnsi="Palatino Linotype" w:cs="Palatino Linotype"/>
          <w:b/>
        </w:rPr>
        <w:t xml:space="preserve"> una persona que no proporcionó nombre o datos de identificación, </w:t>
      </w:r>
      <w:r w:rsidRPr="00862ADF">
        <w:rPr>
          <w:rFonts w:ascii="Palatino Linotype" w:eastAsia="Palatino Linotype" w:hAnsi="Palatino Linotype" w:cs="Palatino Linotype"/>
        </w:rPr>
        <w:t xml:space="preserve">en su calidad de </w:t>
      </w:r>
      <w:r w:rsidRPr="00862ADF">
        <w:rPr>
          <w:rFonts w:ascii="Palatino Linotype" w:eastAsia="Palatino Linotype" w:hAnsi="Palatino Linotype" w:cs="Palatino Linotype"/>
          <w:b/>
        </w:rPr>
        <w:t>RECURRENTE</w:t>
      </w:r>
      <w:r w:rsidRPr="00862ADF">
        <w:rPr>
          <w:rFonts w:ascii="Palatino Linotype" w:eastAsia="Palatino Linotype" w:hAnsi="Palatino Linotype" w:cs="Palatino Linotype"/>
        </w:rPr>
        <w:t xml:space="preserve">, en contra de la respuesta de la </w:t>
      </w:r>
      <w:r w:rsidRPr="00862ADF">
        <w:rPr>
          <w:rFonts w:ascii="Palatino Linotype" w:eastAsia="Palatino Linotype" w:hAnsi="Palatino Linotype" w:cs="Palatino Linotype"/>
          <w:b/>
        </w:rPr>
        <w:t xml:space="preserve">Secretaría de Movilidad, </w:t>
      </w:r>
      <w:r w:rsidRPr="00862ADF">
        <w:rPr>
          <w:rFonts w:ascii="Palatino Linotype" w:eastAsia="Palatino Linotype" w:hAnsi="Palatino Linotype" w:cs="Palatino Linotype"/>
        </w:rPr>
        <w:t>en lo sucesivo el</w:t>
      </w:r>
      <w:r w:rsidRPr="00862ADF">
        <w:rPr>
          <w:rFonts w:ascii="Palatino Linotype" w:eastAsia="Palatino Linotype" w:hAnsi="Palatino Linotype" w:cs="Palatino Linotype"/>
          <w:b/>
        </w:rPr>
        <w:t xml:space="preserve"> SUJETO OBLIGADO, </w:t>
      </w:r>
      <w:r w:rsidRPr="00862ADF">
        <w:rPr>
          <w:rFonts w:ascii="Palatino Linotype" w:eastAsia="Palatino Linotype" w:hAnsi="Palatino Linotype" w:cs="Palatino Linotype"/>
        </w:rPr>
        <w:t>se procede a dictar la presente resolución, con base en los siguientes:</w:t>
      </w:r>
    </w:p>
    <w:p w14:paraId="3A9DD0A5" w14:textId="77777777" w:rsidR="0062580E" w:rsidRPr="00862ADF" w:rsidRDefault="00BA5138">
      <w:pPr>
        <w:pStyle w:val="Ttulo1"/>
        <w:spacing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862ADF">
        <w:rPr>
          <w:rFonts w:ascii="Palatino Linotype" w:eastAsia="Palatino Linotype" w:hAnsi="Palatino Linotype" w:cs="Palatino Linotype"/>
          <w:b/>
          <w:color w:val="000000"/>
          <w:sz w:val="24"/>
          <w:szCs w:val="24"/>
        </w:rPr>
        <w:t>A</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N</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T</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E</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C</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E</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D</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E</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N</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T</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E</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S</w:t>
      </w:r>
    </w:p>
    <w:p w14:paraId="3A9DD0A6" w14:textId="77777777" w:rsidR="0062580E" w:rsidRPr="00862ADF" w:rsidRDefault="00BA5138">
      <w:pPr>
        <w:numPr>
          <w:ilvl w:val="0"/>
          <w:numId w:val="2"/>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El doce de junio de dos mil veinticuatro</w:t>
      </w:r>
      <w:r w:rsidRPr="00862ADF">
        <w:rPr>
          <w:rFonts w:ascii="Palatino Linotype" w:eastAsia="Palatino Linotype" w:hAnsi="Palatino Linotype" w:cs="Palatino Linotype"/>
          <w:b/>
          <w:color w:val="000000"/>
        </w:rPr>
        <w:t xml:space="preserve">, </w:t>
      </w:r>
      <w:r w:rsidRPr="00862ADF">
        <w:rPr>
          <w:rFonts w:ascii="Palatino Linotype" w:eastAsia="Palatino Linotype" w:hAnsi="Palatino Linotype" w:cs="Palatino Linotype"/>
          <w:color w:val="000000"/>
        </w:rPr>
        <w:t xml:space="preserve">se presentó ante el </w:t>
      </w:r>
      <w:r w:rsidRPr="00862ADF">
        <w:rPr>
          <w:rFonts w:ascii="Palatino Linotype" w:eastAsia="Palatino Linotype" w:hAnsi="Palatino Linotype" w:cs="Palatino Linotype"/>
          <w:b/>
          <w:color w:val="000000"/>
        </w:rPr>
        <w:t>SUJETO OBLIGADO,</w:t>
      </w:r>
      <w:r w:rsidRPr="00862ADF">
        <w:rPr>
          <w:rFonts w:ascii="Palatino Linotype" w:eastAsia="Palatino Linotype" w:hAnsi="Palatino Linotype" w:cs="Palatino Linotype"/>
          <w:color w:val="000000"/>
        </w:rPr>
        <w:t xml:space="preserve"> vía Sistema de Acceso a la Información Mexiquense </w:t>
      </w:r>
      <w:r w:rsidRPr="00862ADF">
        <w:rPr>
          <w:rFonts w:ascii="Palatino Linotype" w:eastAsia="Palatino Linotype" w:hAnsi="Palatino Linotype" w:cs="Palatino Linotype"/>
          <w:b/>
          <w:i/>
          <w:color w:val="000000"/>
        </w:rPr>
        <w:t>SAIMEX</w:t>
      </w:r>
      <w:r w:rsidRPr="00862ADF">
        <w:rPr>
          <w:rFonts w:ascii="Palatino Linotype" w:eastAsia="Palatino Linotype" w:hAnsi="Palatino Linotype" w:cs="Palatino Linotype"/>
          <w:color w:val="000000"/>
        </w:rPr>
        <w:t xml:space="preserve">, la solicitud de información pública registrada con el número </w:t>
      </w:r>
      <w:r w:rsidRPr="00862ADF">
        <w:rPr>
          <w:rFonts w:ascii="Palatino Linotype" w:eastAsia="Palatino Linotype" w:hAnsi="Palatino Linotype" w:cs="Palatino Linotype"/>
          <w:b/>
          <w:color w:val="000000"/>
        </w:rPr>
        <w:t xml:space="preserve">00421/SMOV/IP/2024, </w:t>
      </w:r>
      <w:r w:rsidRPr="00862ADF">
        <w:rPr>
          <w:rFonts w:ascii="Palatino Linotype" w:eastAsia="Palatino Linotype" w:hAnsi="Palatino Linotype" w:cs="Palatino Linotype"/>
          <w:color w:val="000000"/>
        </w:rPr>
        <w:t>en la que solicitó:</w:t>
      </w:r>
    </w:p>
    <w:p w14:paraId="3A9DD0A7" w14:textId="77777777" w:rsidR="0062580E" w:rsidRPr="00862ADF" w:rsidRDefault="00BA5138">
      <w:pPr>
        <w:jc w:val="both"/>
        <w:rPr>
          <w:rFonts w:ascii="Palatino Linotype" w:eastAsia="Palatino Linotype" w:hAnsi="Palatino Linotype" w:cs="Palatino Linotype"/>
          <w:i/>
        </w:rPr>
      </w:pPr>
      <w:r w:rsidRPr="00862ADF">
        <w:rPr>
          <w:rFonts w:ascii="Palatino Linotype" w:eastAsia="Palatino Linotype" w:hAnsi="Palatino Linotype" w:cs="Palatino Linotype"/>
          <w:i/>
        </w:rPr>
        <w:t>“Solicito a través del Saimex, la versión publica de los informes de presunta administrativa emitidos por el Órgano Interno de Control en la Secretaría de Movilidad y sus unidades administrativas, derivado del incumplimiento de lo dispuesto por el artículo 50, fracción IV de la Ley de Responsabilidades Administrativas del Estado de México</w:t>
      </w:r>
      <w:proofErr w:type="gramStart"/>
      <w:r w:rsidRPr="00862ADF">
        <w:rPr>
          <w:rFonts w:ascii="Palatino Linotype" w:eastAsia="Palatino Linotype" w:hAnsi="Palatino Linotype" w:cs="Palatino Linotype"/>
          <w:i/>
        </w:rPr>
        <w:t>..”</w:t>
      </w:r>
      <w:proofErr w:type="gramEnd"/>
      <w:r w:rsidRPr="00862ADF">
        <w:rPr>
          <w:rFonts w:ascii="Palatino Linotype" w:eastAsia="Palatino Linotype" w:hAnsi="Palatino Linotype" w:cs="Palatino Linotype"/>
          <w:i/>
        </w:rPr>
        <w:t xml:space="preserve"> (Sic)</w:t>
      </w:r>
    </w:p>
    <w:p w14:paraId="3A9DD0A8" w14:textId="77777777" w:rsidR="0062580E" w:rsidRPr="00862ADF" w:rsidRDefault="0062580E">
      <w:pPr>
        <w:jc w:val="both"/>
        <w:rPr>
          <w:rFonts w:ascii="Palatino Linotype" w:eastAsia="Palatino Linotype" w:hAnsi="Palatino Linotype" w:cs="Palatino Linotype"/>
          <w:b/>
          <w:i/>
        </w:rPr>
      </w:pPr>
    </w:p>
    <w:p w14:paraId="3A9DD0A9" w14:textId="77777777" w:rsidR="0062580E" w:rsidRPr="00862ADF" w:rsidRDefault="00BA5138">
      <w:pPr>
        <w:numPr>
          <w:ilvl w:val="0"/>
          <w:numId w:val="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Se señaló como modalidad de entrega a través de SAIMEX.</w:t>
      </w:r>
    </w:p>
    <w:p w14:paraId="3A9DD0AA" w14:textId="77777777" w:rsidR="0062580E" w:rsidRPr="00862ADF" w:rsidRDefault="0062580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A9DD0AB" w14:textId="77777777" w:rsidR="0062580E" w:rsidRPr="00862ADF" w:rsidRDefault="00BA5138">
      <w:pPr>
        <w:numPr>
          <w:ilvl w:val="0"/>
          <w:numId w:val="2"/>
        </w:numPr>
        <w:pBdr>
          <w:top w:val="nil"/>
          <w:left w:val="nil"/>
          <w:bottom w:val="nil"/>
          <w:right w:val="nil"/>
          <w:between w:val="nil"/>
        </w:pBdr>
        <w:tabs>
          <w:tab w:val="left" w:pos="284"/>
        </w:tabs>
        <w:spacing w:line="360" w:lineRule="auto"/>
        <w:ind w:left="0" w:right="34"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De las constancias que obran en el expediente electrónico SAIMEX, se advierte que el Sujeto Obligado emitió respuesta en fecha tres de julio de dos mil veinticuatro en los términos siguientes:</w:t>
      </w:r>
    </w:p>
    <w:tbl>
      <w:tblPr>
        <w:tblStyle w:val="a"/>
        <w:tblW w:w="10500" w:type="dxa"/>
        <w:jc w:val="center"/>
        <w:tblInd w:w="0" w:type="dxa"/>
        <w:tblLayout w:type="fixed"/>
        <w:tblLook w:val="0400" w:firstRow="0" w:lastRow="0" w:firstColumn="0" w:lastColumn="0" w:noHBand="0" w:noVBand="1"/>
      </w:tblPr>
      <w:tblGrid>
        <w:gridCol w:w="10500"/>
      </w:tblGrid>
      <w:tr w:rsidR="0062580E" w:rsidRPr="00862ADF" w14:paraId="3A9DD0AD" w14:textId="77777777">
        <w:trPr>
          <w:trHeight w:val="300"/>
          <w:jc w:val="center"/>
        </w:trPr>
        <w:tc>
          <w:tcPr>
            <w:tcW w:w="10500" w:type="dxa"/>
            <w:vAlign w:val="center"/>
          </w:tcPr>
          <w:p w14:paraId="3A9DD0AC" w14:textId="77777777" w:rsidR="0062580E" w:rsidRPr="00862ADF" w:rsidRDefault="00BA5138">
            <w:pPr>
              <w:ind w:left="1418" w:right="1569"/>
              <w:jc w:val="right"/>
              <w:rPr>
                <w:rFonts w:ascii="Palatino Linotype" w:eastAsia="Palatino Linotype" w:hAnsi="Palatino Linotype" w:cs="Palatino Linotype"/>
                <w:i/>
                <w:sz w:val="22"/>
              </w:rPr>
            </w:pPr>
            <w:r w:rsidRPr="00862ADF">
              <w:rPr>
                <w:rFonts w:ascii="Palatino Linotype" w:eastAsia="Palatino Linotype" w:hAnsi="Palatino Linotype" w:cs="Palatino Linotype"/>
                <w:i/>
                <w:sz w:val="22"/>
              </w:rPr>
              <w:lastRenderedPageBreak/>
              <w:t>“Metepec, México a 03 de Julio de 2024</w:t>
            </w:r>
          </w:p>
        </w:tc>
      </w:tr>
      <w:tr w:rsidR="0062580E" w:rsidRPr="00862ADF" w14:paraId="3A9DD0AF" w14:textId="77777777">
        <w:trPr>
          <w:trHeight w:val="300"/>
          <w:jc w:val="center"/>
        </w:trPr>
        <w:tc>
          <w:tcPr>
            <w:tcW w:w="10500" w:type="dxa"/>
            <w:vAlign w:val="center"/>
          </w:tcPr>
          <w:p w14:paraId="3A9DD0AE" w14:textId="77777777" w:rsidR="0062580E" w:rsidRPr="00862ADF" w:rsidRDefault="00BA5138">
            <w:pPr>
              <w:ind w:left="1418" w:right="1569"/>
              <w:jc w:val="right"/>
              <w:rPr>
                <w:rFonts w:ascii="Palatino Linotype" w:eastAsia="Palatino Linotype" w:hAnsi="Palatino Linotype" w:cs="Palatino Linotype"/>
                <w:i/>
                <w:sz w:val="22"/>
              </w:rPr>
            </w:pPr>
            <w:r w:rsidRPr="00862ADF">
              <w:rPr>
                <w:rFonts w:ascii="Palatino Linotype" w:eastAsia="Palatino Linotype" w:hAnsi="Palatino Linotype" w:cs="Palatino Linotype"/>
                <w:i/>
                <w:sz w:val="22"/>
              </w:rPr>
              <w:t>Nombre del solicitante: C. Solicitante</w:t>
            </w:r>
          </w:p>
        </w:tc>
      </w:tr>
      <w:tr w:rsidR="0062580E" w:rsidRPr="00862ADF" w14:paraId="3A9DD0B1" w14:textId="77777777">
        <w:trPr>
          <w:trHeight w:val="300"/>
          <w:jc w:val="center"/>
        </w:trPr>
        <w:tc>
          <w:tcPr>
            <w:tcW w:w="10500" w:type="dxa"/>
            <w:vAlign w:val="center"/>
          </w:tcPr>
          <w:p w14:paraId="3A9DD0B0" w14:textId="77777777" w:rsidR="0062580E" w:rsidRPr="00862ADF" w:rsidRDefault="00BA5138">
            <w:pPr>
              <w:ind w:left="1418" w:right="1569"/>
              <w:jc w:val="right"/>
              <w:rPr>
                <w:rFonts w:ascii="Palatino Linotype" w:eastAsia="Palatino Linotype" w:hAnsi="Palatino Linotype" w:cs="Palatino Linotype"/>
                <w:i/>
                <w:sz w:val="22"/>
              </w:rPr>
            </w:pPr>
            <w:r w:rsidRPr="00862ADF">
              <w:rPr>
                <w:rFonts w:ascii="Palatino Linotype" w:eastAsia="Palatino Linotype" w:hAnsi="Palatino Linotype" w:cs="Palatino Linotype"/>
                <w:i/>
                <w:sz w:val="22"/>
              </w:rPr>
              <w:t>Folio de la solicitud: 00421/SMOV/IP/2024</w:t>
            </w:r>
          </w:p>
        </w:tc>
      </w:tr>
      <w:tr w:rsidR="0062580E" w:rsidRPr="00862ADF" w14:paraId="3A9DD0B3" w14:textId="77777777">
        <w:trPr>
          <w:trHeight w:val="450"/>
          <w:jc w:val="center"/>
        </w:trPr>
        <w:tc>
          <w:tcPr>
            <w:tcW w:w="10500" w:type="dxa"/>
            <w:vAlign w:val="center"/>
          </w:tcPr>
          <w:p w14:paraId="3A9DD0B2" w14:textId="77777777" w:rsidR="0062580E" w:rsidRPr="00862ADF" w:rsidRDefault="0062580E">
            <w:pPr>
              <w:ind w:left="1418" w:right="1569"/>
              <w:jc w:val="right"/>
              <w:rPr>
                <w:rFonts w:ascii="Palatino Linotype" w:eastAsia="Palatino Linotype" w:hAnsi="Palatino Linotype" w:cs="Palatino Linotype"/>
                <w:i/>
                <w:sz w:val="22"/>
              </w:rPr>
            </w:pPr>
          </w:p>
        </w:tc>
      </w:tr>
      <w:tr w:rsidR="0062580E" w:rsidRPr="00862ADF" w14:paraId="3A9DD0B5" w14:textId="77777777">
        <w:trPr>
          <w:trHeight w:val="150"/>
          <w:jc w:val="center"/>
        </w:trPr>
        <w:tc>
          <w:tcPr>
            <w:tcW w:w="10500" w:type="dxa"/>
            <w:vAlign w:val="center"/>
          </w:tcPr>
          <w:p w14:paraId="3A9DD0B4" w14:textId="77777777" w:rsidR="0062580E" w:rsidRPr="00862ADF" w:rsidRDefault="00BA5138">
            <w:pPr>
              <w:ind w:left="1418" w:right="1569"/>
              <w:rPr>
                <w:rFonts w:ascii="Palatino Linotype" w:eastAsia="Palatino Linotype" w:hAnsi="Palatino Linotype" w:cs="Palatino Linotype"/>
                <w:i/>
                <w:sz w:val="22"/>
              </w:rPr>
            </w:pPr>
            <w:r w:rsidRPr="00862ADF">
              <w:rPr>
                <w:rFonts w:ascii="Palatino Linotype" w:eastAsia="Palatino Linotype" w:hAnsi="Palatino Linotype" w:cs="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2580E" w:rsidRPr="00862ADF" w14:paraId="3A9DD0B7" w14:textId="77777777">
        <w:trPr>
          <w:trHeight w:val="375"/>
          <w:jc w:val="center"/>
        </w:trPr>
        <w:tc>
          <w:tcPr>
            <w:tcW w:w="10500" w:type="dxa"/>
            <w:vAlign w:val="center"/>
          </w:tcPr>
          <w:p w14:paraId="3A9DD0B6" w14:textId="77777777" w:rsidR="0062580E" w:rsidRPr="00862ADF" w:rsidRDefault="0062580E">
            <w:pPr>
              <w:ind w:left="1418" w:right="1569"/>
              <w:rPr>
                <w:rFonts w:ascii="Palatino Linotype" w:eastAsia="Palatino Linotype" w:hAnsi="Palatino Linotype" w:cs="Palatino Linotype"/>
                <w:i/>
                <w:sz w:val="22"/>
              </w:rPr>
            </w:pPr>
          </w:p>
        </w:tc>
      </w:tr>
      <w:tr w:rsidR="0062580E" w:rsidRPr="00862ADF" w14:paraId="3A9DD0B9" w14:textId="77777777">
        <w:trPr>
          <w:trHeight w:val="150"/>
          <w:jc w:val="center"/>
        </w:trPr>
        <w:tc>
          <w:tcPr>
            <w:tcW w:w="10500" w:type="dxa"/>
            <w:vAlign w:val="center"/>
          </w:tcPr>
          <w:p w14:paraId="3A9DD0B8" w14:textId="77777777" w:rsidR="0062580E" w:rsidRPr="00862ADF" w:rsidRDefault="00BA5138">
            <w:pPr>
              <w:ind w:left="1418" w:right="1569"/>
              <w:jc w:val="both"/>
              <w:rPr>
                <w:rFonts w:ascii="Palatino Linotype" w:eastAsia="Palatino Linotype" w:hAnsi="Palatino Linotype" w:cs="Palatino Linotype"/>
                <w:i/>
                <w:sz w:val="22"/>
              </w:rPr>
            </w:pPr>
            <w:r w:rsidRPr="00862ADF">
              <w:rPr>
                <w:rFonts w:ascii="Palatino Linotype" w:eastAsia="Palatino Linotype" w:hAnsi="Palatino Linotype" w:cs="Palatino Linotype"/>
                <w:i/>
                <w:sz w:val="22"/>
              </w:rPr>
              <w:t>En relación con la solicitud de información, me permito señalar que los expedientes que se encuentran bajo resguardo de esta área, integrados por datos e información sensible, son protegidos en términos de lo dispuesto con los artículos 3, fracciones XX, XXII, XXIII y XIV y 25 de la Ley de Transparencia y Acceso a la Información Pública del Estado de México y Municipio; y 4 fracción XLVIII y 27 de la Ley de Protección de Datos Personales en Posesión de Sujetos Obligados del Estado de México. Con objeto de no violentar derecho humano alguno. Lo anterior en correlación al Artículo 232 del Código de Procedimientos Administrativos del Estado de México, señala que: “En el proceso administrativo no procederá la gestión oficiosa. El particular que promueva a nombre de otro deberá acreditar su personalidad, mediante poder notarial o carta poder firmada ante dos testigos. La representación de las autoridades corresponderá a los servidores públicos que señalen, en su caso, las disposiciones legales aplicables. Cuando las partes tengan reconocida la personalidad ante la autoridad administrativa, ésta será admitida en el proceso administrativo, siempre que se compruebe esa circunstancia con las constancias respectivas. Por lo tanto, el solicitante deberá acreditar su personalidad e interés jurídicos en la solicitud que presenta, ya que se debe de acreditar que la divulgación de la información solicitada deberá beneficiar y ser útil a la sociedad y no solo tener un interés individual.</w:t>
            </w:r>
          </w:p>
        </w:tc>
      </w:tr>
      <w:tr w:rsidR="0062580E" w:rsidRPr="00862ADF" w14:paraId="3A9DD0BB" w14:textId="77777777">
        <w:trPr>
          <w:trHeight w:val="375"/>
          <w:jc w:val="center"/>
        </w:trPr>
        <w:tc>
          <w:tcPr>
            <w:tcW w:w="10500" w:type="dxa"/>
            <w:vAlign w:val="center"/>
          </w:tcPr>
          <w:p w14:paraId="3A9DD0BA" w14:textId="77777777" w:rsidR="0062580E" w:rsidRPr="00862ADF" w:rsidRDefault="0062580E">
            <w:pPr>
              <w:ind w:left="1418" w:right="1569"/>
              <w:rPr>
                <w:rFonts w:ascii="Palatino Linotype" w:eastAsia="Palatino Linotype" w:hAnsi="Palatino Linotype" w:cs="Palatino Linotype"/>
                <w:i/>
                <w:sz w:val="22"/>
              </w:rPr>
            </w:pPr>
          </w:p>
        </w:tc>
      </w:tr>
      <w:tr w:rsidR="0062580E" w:rsidRPr="00862ADF" w14:paraId="3A9DD0BD" w14:textId="77777777">
        <w:trPr>
          <w:trHeight w:val="150"/>
          <w:jc w:val="center"/>
        </w:trPr>
        <w:tc>
          <w:tcPr>
            <w:tcW w:w="10500" w:type="dxa"/>
            <w:vAlign w:val="center"/>
          </w:tcPr>
          <w:p w14:paraId="3A9DD0BC" w14:textId="77777777" w:rsidR="0062580E" w:rsidRPr="00862ADF" w:rsidRDefault="0062580E">
            <w:pPr>
              <w:ind w:left="1418" w:right="1569"/>
              <w:jc w:val="center"/>
              <w:rPr>
                <w:rFonts w:ascii="Palatino Linotype" w:eastAsia="Palatino Linotype" w:hAnsi="Palatino Linotype" w:cs="Palatino Linotype"/>
                <w:i/>
                <w:sz w:val="22"/>
              </w:rPr>
            </w:pPr>
          </w:p>
        </w:tc>
      </w:tr>
      <w:tr w:rsidR="0062580E" w:rsidRPr="00862ADF" w14:paraId="3A9DD0BF" w14:textId="77777777">
        <w:trPr>
          <w:trHeight w:val="150"/>
          <w:jc w:val="center"/>
        </w:trPr>
        <w:tc>
          <w:tcPr>
            <w:tcW w:w="10500" w:type="dxa"/>
            <w:vAlign w:val="center"/>
          </w:tcPr>
          <w:p w14:paraId="3A9DD0BE" w14:textId="77777777" w:rsidR="0062580E" w:rsidRPr="00862ADF" w:rsidRDefault="0062580E">
            <w:pPr>
              <w:ind w:left="1418" w:right="1569"/>
              <w:rPr>
                <w:rFonts w:ascii="Palatino Linotype" w:eastAsia="Palatino Linotype" w:hAnsi="Palatino Linotype" w:cs="Palatino Linotype"/>
                <w:i/>
                <w:sz w:val="22"/>
              </w:rPr>
            </w:pPr>
          </w:p>
        </w:tc>
      </w:tr>
      <w:tr w:rsidR="0062580E" w:rsidRPr="00862ADF" w14:paraId="3A9DD0C1" w14:textId="77777777">
        <w:trPr>
          <w:trHeight w:val="150"/>
          <w:jc w:val="center"/>
        </w:trPr>
        <w:tc>
          <w:tcPr>
            <w:tcW w:w="10500" w:type="dxa"/>
            <w:vAlign w:val="center"/>
          </w:tcPr>
          <w:p w14:paraId="3A9DD0C0" w14:textId="77777777" w:rsidR="0062580E" w:rsidRPr="00862ADF" w:rsidRDefault="00BA5138">
            <w:pPr>
              <w:ind w:left="1418" w:right="1569"/>
              <w:rPr>
                <w:rFonts w:ascii="Palatino Linotype" w:eastAsia="Palatino Linotype" w:hAnsi="Palatino Linotype" w:cs="Palatino Linotype"/>
                <w:i/>
                <w:sz w:val="22"/>
              </w:rPr>
            </w:pPr>
            <w:r w:rsidRPr="00862ADF">
              <w:rPr>
                <w:rFonts w:ascii="Palatino Linotype" w:eastAsia="Palatino Linotype" w:hAnsi="Palatino Linotype" w:cs="Palatino Linotype"/>
                <w:i/>
                <w:sz w:val="22"/>
              </w:rPr>
              <w:t>ATENTAMENTE</w:t>
            </w:r>
          </w:p>
        </w:tc>
      </w:tr>
      <w:tr w:rsidR="0062580E" w:rsidRPr="00862ADF" w14:paraId="3A9DD0C3" w14:textId="77777777">
        <w:trPr>
          <w:trHeight w:val="225"/>
          <w:jc w:val="center"/>
        </w:trPr>
        <w:tc>
          <w:tcPr>
            <w:tcW w:w="10500" w:type="dxa"/>
            <w:vAlign w:val="center"/>
          </w:tcPr>
          <w:p w14:paraId="3A9DD0C2" w14:textId="77777777" w:rsidR="0062580E" w:rsidRPr="00862ADF" w:rsidRDefault="0062580E">
            <w:pPr>
              <w:ind w:left="1418" w:right="1569"/>
              <w:rPr>
                <w:rFonts w:ascii="Palatino Linotype" w:eastAsia="Palatino Linotype" w:hAnsi="Palatino Linotype" w:cs="Palatino Linotype"/>
                <w:i/>
                <w:sz w:val="22"/>
              </w:rPr>
            </w:pPr>
          </w:p>
        </w:tc>
      </w:tr>
      <w:tr w:rsidR="0062580E" w:rsidRPr="00862ADF" w14:paraId="3A9DD0C5" w14:textId="77777777">
        <w:trPr>
          <w:trHeight w:val="150"/>
          <w:jc w:val="center"/>
        </w:trPr>
        <w:tc>
          <w:tcPr>
            <w:tcW w:w="10500" w:type="dxa"/>
            <w:vAlign w:val="center"/>
          </w:tcPr>
          <w:p w14:paraId="3A9DD0C4" w14:textId="77777777" w:rsidR="0062580E" w:rsidRPr="00862ADF" w:rsidRDefault="00BA5138">
            <w:pPr>
              <w:ind w:left="1418" w:right="1569"/>
              <w:rPr>
                <w:rFonts w:ascii="Palatino Linotype" w:eastAsia="Palatino Linotype" w:hAnsi="Palatino Linotype" w:cs="Palatino Linotype"/>
                <w:i/>
                <w:sz w:val="22"/>
              </w:rPr>
            </w:pPr>
            <w:r w:rsidRPr="00862ADF">
              <w:rPr>
                <w:rFonts w:ascii="Palatino Linotype" w:eastAsia="Palatino Linotype" w:hAnsi="Palatino Linotype" w:cs="Palatino Linotype"/>
                <w:i/>
                <w:sz w:val="22"/>
              </w:rPr>
              <w:t>Lic. Alejandro Hernández Aguilar”</w:t>
            </w:r>
          </w:p>
        </w:tc>
      </w:tr>
    </w:tbl>
    <w:p w14:paraId="3A9DD0C6" w14:textId="77777777" w:rsidR="0062580E" w:rsidRPr="00862ADF" w:rsidRDefault="0062580E">
      <w:pPr>
        <w:pBdr>
          <w:top w:val="nil"/>
          <w:left w:val="nil"/>
          <w:bottom w:val="nil"/>
          <w:right w:val="nil"/>
          <w:between w:val="nil"/>
        </w:pBdr>
        <w:tabs>
          <w:tab w:val="left" w:pos="284"/>
        </w:tabs>
        <w:spacing w:line="360" w:lineRule="auto"/>
        <w:ind w:left="708" w:right="34"/>
        <w:jc w:val="both"/>
        <w:rPr>
          <w:rFonts w:ascii="Palatino Linotype" w:eastAsia="Palatino Linotype" w:hAnsi="Palatino Linotype" w:cs="Palatino Linotype"/>
          <w:color w:val="000000"/>
        </w:rPr>
      </w:pPr>
    </w:p>
    <w:p w14:paraId="3A9DD0C7" w14:textId="77777777" w:rsidR="0062580E" w:rsidRPr="00862ADF" w:rsidRDefault="00BA5138">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i/>
          <w:color w:val="000000"/>
        </w:rPr>
      </w:pPr>
      <w:r w:rsidRPr="00862ADF">
        <w:rPr>
          <w:rFonts w:ascii="Palatino Linotype" w:eastAsia="Palatino Linotype" w:hAnsi="Palatino Linotype" w:cs="Palatino Linotype"/>
          <w:color w:val="000000"/>
        </w:rPr>
        <w:t>Derivado de la respuesta, el tres de julio de dos mil veinticuatro, el particular interpuso  recurso de revisión señalando:</w:t>
      </w:r>
    </w:p>
    <w:p w14:paraId="3A9DD0C8" w14:textId="77777777" w:rsidR="0062580E" w:rsidRPr="00862ADF" w:rsidRDefault="0062580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i/>
          <w:color w:val="000000"/>
        </w:rPr>
      </w:pPr>
    </w:p>
    <w:p w14:paraId="3A9DD0C9" w14:textId="77777777" w:rsidR="0062580E" w:rsidRPr="00862ADF" w:rsidRDefault="00BA5138">
      <w:pPr>
        <w:numPr>
          <w:ilvl w:val="0"/>
          <w:numId w:val="1"/>
        </w:numPr>
        <w:pBdr>
          <w:top w:val="nil"/>
          <w:left w:val="nil"/>
          <w:bottom w:val="nil"/>
          <w:right w:val="nil"/>
          <w:between w:val="nil"/>
        </w:pBdr>
        <w:tabs>
          <w:tab w:val="left" w:pos="426"/>
          <w:tab w:val="left" w:pos="993"/>
        </w:tabs>
        <w:spacing w:line="360" w:lineRule="auto"/>
        <w:rPr>
          <w:rFonts w:ascii="Palatino Linotype" w:eastAsia="Palatino Linotype" w:hAnsi="Palatino Linotype" w:cs="Palatino Linotype"/>
          <w:color w:val="000000"/>
          <w:sz w:val="22"/>
        </w:rPr>
      </w:pPr>
      <w:r w:rsidRPr="00862ADF">
        <w:rPr>
          <w:rFonts w:ascii="Palatino Linotype" w:eastAsia="Palatino Linotype" w:hAnsi="Palatino Linotype" w:cs="Palatino Linotype"/>
          <w:b/>
          <w:color w:val="000000"/>
          <w:sz w:val="22"/>
        </w:rPr>
        <w:lastRenderedPageBreak/>
        <w:t>Acto impugnado</w:t>
      </w:r>
      <w:r w:rsidRPr="00862ADF">
        <w:rPr>
          <w:rFonts w:ascii="Palatino Linotype" w:eastAsia="Palatino Linotype" w:hAnsi="Palatino Linotype" w:cs="Palatino Linotype"/>
          <w:i/>
          <w:color w:val="000000"/>
          <w:sz w:val="22"/>
        </w:rPr>
        <w:t>: “LA RESPUESTA OTORGADA” (Sic).</w:t>
      </w:r>
    </w:p>
    <w:p w14:paraId="3A9DD0CA" w14:textId="77777777" w:rsidR="0062580E" w:rsidRPr="00862ADF" w:rsidRDefault="00BA5138">
      <w:pPr>
        <w:numPr>
          <w:ilvl w:val="0"/>
          <w:numId w:val="1"/>
        </w:numPr>
        <w:pBdr>
          <w:top w:val="nil"/>
          <w:left w:val="nil"/>
          <w:bottom w:val="nil"/>
          <w:right w:val="nil"/>
          <w:between w:val="nil"/>
        </w:pBdr>
        <w:tabs>
          <w:tab w:val="left" w:pos="426"/>
          <w:tab w:val="left" w:pos="993"/>
        </w:tabs>
        <w:spacing w:line="360" w:lineRule="auto"/>
        <w:jc w:val="both"/>
        <w:rPr>
          <w:rFonts w:ascii="Palatino Linotype" w:eastAsia="Palatino Linotype" w:hAnsi="Palatino Linotype" w:cs="Palatino Linotype"/>
          <w:color w:val="000000"/>
          <w:sz w:val="22"/>
        </w:rPr>
      </w:pPr>
      <w:r w:rsidRPr="00862ADF">
        <w:rPr>
          <w:rFonts w:ascii="Palatino Linotype" w:eastAsia="Palatino Linotype" w:hAnsi="Palatino Linotype" w:cs="Palatino Linotype"/>
          <w:b/>
          <w:color w:val="000000"/>
          <w:sz w:val="22"/>
        </w:rPr>
        <w:t>Razones o motivos de inconformidad:</w:t>
      </w:r>
      <w:r w:rsidRPr="00862ADF">
        <w:rPr>
          <w:rFonts w:ascii="Palatino Linotype" w:eastAsia="Palatino Linotype" w:hAnsi="Palatino Linotype" w:cs="Palatino Linotype"/>
          <w:color w:val="000000"/>
          <w:sz w:val="22"/>
        </w:rPr>
        <w:t xml:space="preserve"> </w:t>
      </w:r>
      <w:r w:rsidRPr="00862ADF">
        <w:rPr>
          <w:rFonts w:ascii="Palatino Linotype" w:eastAsia="Palatino Linotype" w:hAnsi="Palatino Linotype" w:cs="Palatino Linotype"/>
          <w:i/>
          <w:color w:val="000000"/>
          <w:sz w:val="22"/>
        </w:rPr>
        <w:t>“La unidad de transparencia no señala o adjuntar el oficio de la persona servidora pública que emitió la respuesta. Asimismo, si bien es cierto los expedientes motivo de la solicitud, a decir de la unidad de transparencia, contienen "información sensible", la entrega debe realizarse en versión pública, previa clasificación como reservada o confidencial para permitir su acceso. Además, deben de conocer el contenido del artículo 4 de la ley en la materia, el cual establece "Artículo 4. El derecho humano de acceso a la información pública es la prerrogativa de las personas para buscar, difundir, investigar, recabar, recibir y solicitar información pública, sin necesidad de acreditar personalidad ni interés jurídico" y refieren supuestos del Código de Procedimientos Administrativos evidentemente no aplicables al procedimiento de acceso a la información pública, como es el "acreditar la personalidad""” (Sic).</w:t>
      </w:r>
      <w:r w:rsidRPr="00862ADF">
        <w:rPr>
          <w:rFonts w:ascii="Palatino Linotype" w:eastAsia="Palatino Linotype" w:hAnsi="Palatino Linotype" w:cs="Palatino Linotype"/>
          <w:i/>
          <w:color w:val="000000"/>
          <w:sz w:val="22"/>
        </w:rPr>
        <w:tab/>
      </w:r>
    </w:p>
    <w:p w14:paraId="3A9DD0CB" w14:textId="77777777" w:rsidR="0062580E" w:rsidRPr="00862ADF" w:rsidRDefault="0062580E">
      <w:pPr>
        <w:spacing w:line="276" w:lineRule="auto"/>
        <w:ind w:right="34"/>
        <w:jc w:val="both"/>
        <w:rPr>
          <w:rFonts w:ascii="Palatino Linotype" w:eastAsia="Palatino Linotype" w:hAnsi="Palatino Linotype" w:cs="Palatino Linotype"/>
          <w:b/>
          <w:color w:val="000000"/>
        </w:rPr>
      </w:pPr>
    </w:p>
    <w:p w14:paraId="3A9DD0CC" w14:textId="77777777" w:rsidR="0062580E" w:rsidRPr="00862ADF" w:rsidRDefault="00BA5138">
      <w:pPr>
        <w:numPr>
          <w:ilvl w:val="0"/>
          <w:numId w:val="2"/>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862ADF">
        <w:rPr>
          <w:rFonts w:ascii="Palatino Linotype" w:eastAsia="Palatino Linotype" w:hAnsi="Palatino Linotype" w:cs="Palatino Linotype"/>
          <w:b/>
          <w:color w:val="000000"/>
        </w:rPr>
        <w:t>Ley de Transparencia y Acceso a la Información Pública del Estado de México y Municipios</w:t>
      </w:r>
      <w:r w:rsidRPr="00862ADF">
        <w:rPr>
          <w:rFonts w:ascii="Palatino Linotype" w:eastAsia="Palatino Linotype" w:hAnsi="Palatino Linotype" w:cs="Palatino Linotype"/>
          <w:color w:val="000000"/>
        </w:rPr>
        <w:t xml:space="preserve">, se turnó a la </w:t>
      </w:r>
      <w:r w:rsidRPr="00862ADF">
        <w:rPr>
          <w:rFonts w:ascii="Palatino Linotype" w:eastAsia="Palatino Linotype" w:hAnsi="Palatino Linotype" w:cs="Palatino Linotype"/>
          <w:b/>
          <w:color w:val="000000"/>
        </w:rPr>
        <w:t>Comisionada María del Rosario Mejía Ayala</w:t>
      </w:r>
      <w:r w:rsidRPr="00862ADF">
        <w:rPr>
          <w:rFonts w:ascii="Palatino Linotype" w:eastAsia="Palatino Linotype" w:hAnsi="Palatino Linotype" w:cs="Palatino Linotype"/>
          <w:color w:val="000000"/>
        </w:rPr>
        <w:t xml:space="preserve">, </w:t>
      </w:r>
      <w:r w:rsidR="00862ADF">
        <w:rPr>
          <w:rFonts w:ascii="Palatino Linotype" w:eastAsia="Palatino Linotype" w:hAnsi="Palatino Linotype" w:cs="Palatino Linotype"/>
          <w:color w:val="000000"/>
        </w:rPr>
        <w:t>para</w:t>
      </w:r>
      <w:r w:rsidRPr="00862ADF">
        <w:rPr>
          <w:rFonts w:ascii="Palatino Linotype" w:eastAsia="Palatino Linotype" w:hAnsi="Palatino Linotype" w:cs="Palatino Linotype"/>
          <w:color w:val="000000"/>
        </w:rPr>
        <w:t xml:space="preserve"> su análisis.</w:t>
      </w:r>
    </w:p>
    <w:p w14:paraId="3A9DD0CD" w14:textId="77777777" w:rsidR="0062580E" w:rsidRPr="00862ADF" w:rsidRDefault="0062580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3A9DD0CE" w14:textId="77777777" w:rsidR="0062580E" w:rsidRPr="00862ADF" w:rsidRDefault="00BA5138">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cuatro de julio de dos mil veinticuatro, puso a disposición de las partes el expediente electrónico vía Sistema de Acceso a la Información Mexiquense </w:t>
      </w:r>
      <w:r w:rsidRPr="00862ADF">
        <w:rPr>
          <w:rFonts w:ascii="Palatino Linotype" w:eastAsia="Palatino Linotype" w:hAnsi="Palatino Linotype" w:cs="Palatino Linotype"/>
          <w:b/>
          <w:color w:val="000000"/>
        </w:rPr>
        <w:t xml:space="preserve">SAIMEX </w:t>
      </w:r>
      <w:r w:rsidRPr="00862ADF">
        <w:rPr>
          <w:rFonts w:ascii="Palatino Linotype" w:eastAsia="Palatino Linotype" w:hAnsi="Palatino Linotype" w:cs="Palatino Linotype"/>
          <w:color w:val="000000"/>
        </w:rPr>
        <w:t xml:space="preserve">a efecto de que en un plazo máximo de siete días </w:t>
      </w:r>
      <w:r w:rsidRPr="00862ADF">
        <w:rPr>
          <w:rFonts w:ascii="Palatino Linotype" w:eastAsia="Palatino Linotype" w:hAnsi="Palatino Linotype" w:cs="Palatino Linotype"/>
        </w:rPr>
        <w:t>manifestara</w:t>
      </w:r>
      <w:r w:rsidRPr="00862ADF">
        <w:rPr>
          <w:rFonts w:ascii="Palatino Linotype" w:eastAsia="Palatino Linotype" w:hAnsi="Palatino Linotype" w:cs="Palatino Linotype"/>
          <w:color w:val="000000"/>
        </w:rPr>
        <w:t xml:space="preserve"> lo que a su derecho conviniera, ofrecieran pruebas </w:t>
      </w:r>
      <w:r w:rsidRPr="00862ADF">
        <w:rPr>
          <w:rFonts w:ascii="Palatino Linotype" w:eastAsia="Palatino Linotype" w:hAnsi="Palatino Linotype" w:cs="Palatino Linotype"/>
          <w:color w:val="000000"/>
        </w:rPr>
        <w:lastRenderedPageBreak/>
        <w:t xml:space="preserve">y alegatos según correspondiera a los casos concretos, de esta forma para que el </w:t>
      </w:r>
      <w:r w:rsidRPr="00862ADF">
        <w:rPr>
          <w:rFonts w:ascii="Palatino Linotype" w:eastAsia="Palatino Linotype" w:hAnsi="Palatino Linotype" w:cs="Palatino Linotype"/>
          <w:b/>
          <w:color w:val="000000"/>
        </w:rPr>
        <w:t>SUJETO OBLIGADO</w:t>
      </w:r>
      <w:r w:rsidRPr="00862ADF">
        <w:rPr>
          <w:rFonts w:ascii="Palatino Linotype" w:eastAsia="Palatino Linotype" w:hAnsi="Palatino Linotype" w:cs="Palatino Linotype"/>
          <w:color w:val="000000"/>
        </w:rPr>
        <w:t xml:space="preserve"> presentara el Informe Justificado procedente. </w:t>
      </w:r>
    </w:p>
    <w:p w14:paraId="3A9DD0CF" w14:textId="77777777" w:rsidR="0062580E" w:rsidRPr="00862ADF" w:rsidRDefault="0062580E">
      <w:pPr>
        <w:pBdr>
          <w:top w:val="nil"/>
          <w:left w:val="nil"/>
          <w:bottom w:val="nil"/>
          <w:right w:val="nil"/>
          <w:between w:val="nil"/>
        </w:pBdr>
        <w:tabs>
          <w:tab w:val="left" w:pos="284"/>
        </w:tabs>
        <w:spacing w:after="240" w:line="360" w:lineRule="auto"/>
        <w:jc w:val="both"/>
        <w:rPr>
          <w:rFonts w:ascii="Palatino Linotype" w:eastAsia="Palatino Linotype" w:hAnsi="Palatino Linotype" w:cs="Palatino Linotype"/>
          <w:color w:val="000000"/>
        </w:rPr>
      </w:pPr>
    </w:p>
    <w:p w14:paraId="3A9DD0D0" w14:textId="77777777" w:rsidR="0062580E" w:rsidRPr="00862ADF" w:rsidRDefault="00BA5138">
      <w:pPr>
        <w:numPr>
          <w:ilvl w:val="0"/>
          <w:numId w:val="2"/>
        </w:numPr>
        <w:spacing w:line="360" w:lineRule="auto"/>
        <w:ind w:left="0" w:firstLine="0"/>
        <w:jc w:val="both"/>
        <w:rPr>
          <w:rFonts w:ascii="Palatino Linotype" w:eastAsia="Palatino Linotype" w:hAnsi="Palatino Linotype" w:cs="Palatino Linotype"/>
        </w:rPr>
      </w:pPr>
      <w:r w:rsidRPr="00862ADF">
        <w:rPr>
          <w:rFonts w:ascii="Palatino Linotype" w:eastAsia="Palatino Linotype" w:hAnsi="Palatino Linotype" w:cs="Palatino Linotype"/>
        </w:rPr>
        <w:t xml:space="preserve">De lo anterior,  el </w:t>
      </w:r>
      <w:r w:rsidRPr="00862ADF">
        <w:rPr>
          <w:rFonts w:ascii="Palatino Linotype" w:eastAsia="Palatino Linotype" w:hAnsi="Palatino Linotype" w:cs="Palatino Linotype"/>
          <w:b/>
        </w:rPr>
        <w:t xml:space="preserve">SUJETO OBLIGADO </w:t>
      </w:r>
      <w:r w:rsidRPr="00862ADF">
        <w:rPr>
          <w:rFonts w:ascii="Palatino Linotype" w:eastAsia="Palatino Linotype" w:hAnsi="Palatino Linotype" w:cs="Palatino Linotype"/>
        </w:rPr>
        <w:t xml:space="preserve">realizó su respectivo informe justificado, mediante los siguientes archivos. </w:t>
      </w:r>
    </w:p>
    <w:p w14:paraId="3A9DD0D1" w14:textId="77777777" w:rsidR="0062580E" w:rsidRPr="00862ADF" w:rsidRDefault="00BA5138" w:rsidP="00862ADF">
      <w:pPr>
        <w:pBdr>
          <w:top w:val="nil"/>
          <w:left w:val="nil"/>
          <w:bottom w:val="nil"/>
          <w:right w:val="nil"/>
          <w:between w:val="nil"/>
        </w:pBdr>
        <w:tabs>
          <w:tab w:val="left" w:pos="1127"/>
        </w:tabs>
        <w:spacing w:before="240" w:line="360" w:lineRule="auto"/>
        <w:ind w:left="1133" w:right="255"/>
        <w:jc w:val="both"/>
        <w:rPr>
          <w:rFonts w:ascii="Palatino Linotype" w:eastAsia="Palatino Linotype" w:hAnsi="Palatino Linotype" w:cs="Palatino Linotype"/>
          <w:color w:val="000000"/>
          <w:sz w:val="22"/>
        </w:rPr>
      </w:pPr>
      <w:r w:rsidRPr="00862ADF">
        <w:rPr>
          <w:rFonts w:ascii="Palatino Linotype" w:eastAsia="Palatino Linotype" w:hAnsi="Palatino Linotype" w:cs="Palatino Linotype"/>
          <w:b/>
          <w:color w:val="000000"/>
          <w:sz w:val="22"/>
        </w:rPr>
        <w:t xml:space="preserve">Informe Justificado 4103.pdf: </w:t>
      </w:r>
      <w:r w:rsidRPr="00862ADF">
        <w:rPr>
          <w:rFonts w:ascii="Palatino Linotype" w:eastAsia="Palatino Linotype" w:hAnsi="Palatino Linotype" w:cs="Palatino Linotype"/>
          <w:color w:val="000000"/>
          <w:sz w:val="22"/>
        </w:rPr>
        <w:t>Oficio suscrito por el Titular De La Unidad De Transparencia Y Coordinador de Control Técnico de la Secretaría de Movilidad, por medio del cual ratifica su respuesta primigenia.</w:t>
      </w:r>
    </w:p>
    <w:p w14:paraId="3A9DD0D2" w14:textId="77777777" w:rsidR="0062580E" w:rsidRPr="00862ADF" w:rsidRDefault="0062580E" w:rsidP="00862ADF">
      <w:pPr>
        <w:pBdr>
          <w:top w:val="nil"/>
          <w:left w:val="nil"/>
          <w:bottom w:val="nil"/>
          <w:right w:val="nil"/>
          <w:between w:val="nil"/>
        </w:pBdr>
        <w:tabs>
          <w:tab w:val="left" w:pos="1127"/>
        </w:tabs>
        <w:spacing w:line="360" w:lineRule="auto"/>
        <w:ind w:left="1133" w:right="255"/>
        <w:jc w:val="both"/>
        <w:rPr>
          <w:rFonts w:ascii="Palatino Linotype" w:eastAsia="Palatino Linotype" w:hAnsi="Palatino Linotype" w:cs="Palatino Linotype"/>
          <w:b/>
          <w:color w:val="000000"/>
          <w:sz w:val="22"/>
        </w:rPr>
      </w:pPr>
    </w:p>
    <w:p w14:paraId="3A9DD0D3" w14:textId="77777777" w:rsidR="0062580E" w:rsidRPr="00862ADF" w:rsidRDefault="00BA5138" w:rsidP="00862ADF">
      <w:pPr>
        <w:pBdr>
          <w:top w:val="nil"/>
          <w:left w:val="nil"/>
          <w:bottom w:val="nil"/>
          <w:right w:val="nil"/>
          <w:between w:val="nil"/>
        </w:pBdr>
        <w:tabs>
          <w:tab w:val="left" w:pos="1127"/>
        </w:tabs>
        <w:spacing w:line="360" w:lineRule="auto"/>
        <w:ind w:left="1133" w:right="255"/>
        <w:jc w:val="both"/>
        <w:rPr>
          <w:rFonts w:ascii="Palatino Linotype" w:eastAsia="Palatino Linotype" w:hAnsi="Palatino Linotype" w:cs="Palatino Linotype"/>
          <w:color w:val="000000"/>
          <w:sz w:val="22"/>
        </w:rPr>
      </w:pPr>
      <w:r w:rsidRPr="00862ADF">
        <w:rPr>
          <w:rFonts w:ascii="Palatino Linotype" w:eastAsia="Palatino Linotype" w:hAnsi="Palatino Linotype" w:cs="Palatino Linotype"/>
          <w:b/>
          <w:color w:val="000000"/>
          <w:sz w:val="22"/>
        </w:rPr>
        <w:t>Acta Cent</w:t>
      </w:r>
      <w:r w:rsidRPr="00862ADF">
        <w:rPr>
          <w:rFonts w:ascii="Palatino Linotype" w:eastAsia="Palatino Linotype" w:hAnsi="Palatino Linotype" w:cs="Palatino Linotype"/>
          <w:b/>
          <w:sz w:val="22"/>
        </w:rPr>
        <w:t>é</w:t>
      </w:r>
      <w:r w:rsidRPr="00862ADF">
        <w:rPr>
          <w:rFonts w:ascii="Palatino Linotype" w:eastAsia="Palatino Linotype" w:hAnsi="Palatino Linotype" w:cs="Palatino Linotype"/>
          <w:b/>
          <w:color w:val="000000"/>
          <w:sz w:val="22"/>
        </w:rPr>
        <w:t xml:space="preserve">sima </w:t>
      </w:r>
      <w:r w:rsidRPr="00862ADF">
        <w:rPr>
          <w:rFonts w:ascii="Palatino Linotype" w:eastAsia="Palatino Linotype" w:hAnsi="Palatino Linotype" w:cs="Palatino Linotype"/>
          <w:b/>
          <w:sz w:val="22"/>
        </w:rPr>
        <w:t>Vigésima</w:t>
      </w:r>
      <w:r w:rsidRPr="00862ADF">
        <w:rPr>
          <w:rFonts w:ascii="Palatino Linotype" w:eastAsia="Palatino Linotype" w:hAnsi="Palatino Linotype" w:cs="Palatino Linotype"/>
          <w:b/>
          <w:color w:val="000000"/>
          <w:sz w:val="22"/>
        </w:rPr>
        <w:t xml:space="preserve"> Octava </w:t>
      </w:r>
      <w:r w:rsidRPr="00862ADF">
        <w:rPr>
          <w:rFonts w:ascii="Palatino Linotype" w:eastAsia="Palatino Linotype" w:hAnsi="Palatino Linotype" w:cs="Palatino Linotype"/>
          <w:b/>
          <w:sz w:val="22"/>
        </w:rPr>
        <w:t>Sesión</w:t>
      </w:r>
      <w:r w:rsidRPr="00862ADF">
        <w:rPr>
          <w:rFonts w:ascii="Palatino Linotype" w:eastAsia="Palatino Linotype" w:hAnsi="Palatino Linotype" w:cs="Palatino Linotype"/>
          <w:b/>
          <w:color w:val="000000"/>
          <w:sz w:val="22"/>
        </w:rPr>
        <w:t xml:space="preserve"> </w:t>
      </w:r>
      <w:r w:rsidRPr="00862ADF">
        <w:rPr>
          <w:rFonts w:ascii="Palatino Linotype" w:eastAsia="Palatino Linotype" w:hAnsi="Palatino Linotype" w:cs="Palatino Linotype"/>
          <w:b/>
          <w:sz w:val="22"/>
        </w:rPr>
        <w:t>Extraordinaria</w:t>
      </w:r>
      <w:r w:rsidRPr="00862ADF">
        <w:rPr>
          <w:rFonts w:ascii="Palatino Linotype" w:eastAsia="Palatino Linotype" w:hAnsi="Palatino Linotype" w:cs="Palatino Linotype"/>
          <w:b/>
          <w:color w:val="000000"/>
          <w:sz w:val="22"/>
        </w:rPr>
        <w:t xml:space="preserve"> Transparencia (1).pdf, </w:t>
      </w:r>
      <w:r w:rsidRPr="00862ADF">
        <w:rPr>
          <w:rFonts w:ascii="Palatino Linotype" w:eastAsia="Palatino Linotype" w:hAnsi="Palatino Linotype" w:cs="Palatino Linotype"/>
          <w:color w:val="000000"/>
          <w:sz w:val="22"/>
        </w:rPr>
        <w:t xml:space="preserve">en la presente se puede presenciar el orden del día y el desahogo de la sesión del dieciséis de julio de dos mil veinticuatro, en la que se aprueba por unanimidad la clasificación para dar respuesta a la resolución 04103/INFOEM/IP/RR/2024. </w:t>
      </w:r>
    </w:p>
    <w:p w14:paraId="3A9DD0D4" w14:textId="77777777" w:rsidR="0062580E" w:rsidRPr="00862ADF" w:rsidRDefault="0062580E">
      <w:pPr>
        <w:pBdr>
          <w:top w:val="nil"/>
          <w:left w:val="nil"/>
          <w:bottom w:val="nil"/>
          <w:right w:val="nil"/>
          <w:between w:val="nil"/>
        </w:pBdr>
        <w:tabs>
          <w:tab w:val="left" w:pos="284"/>
        </w:tabs>
        <w:spacing w:line="360" w:lineRule="auto"/>
        <w:ind w:left="284"/>
        <w:jc w:val="both"/>
        <w:rPr>
          <w:rFonts w:ascii="Palatino Linotype" w:eastAsia="Palatino Linotype" w:hAnsi="Palatino Linotype" w:cs="Palatino Linotype"/>
          <w:color w:val="000000"/>
        </w:rPr>
      </w:pPr>
    </w:p>
    <w:p w14:paraId="3A9DD0D5" w14:textId="77777777" w:rsidR="0062580E" w:rsidRPr="00862ADF" w:rsidRDefault="00BA5138" w:rsidP="00862ADF">
      <w:pPr>
        <w:pBdr>
          <w:top w:val="nil"/>
          <w:left w:val="nil"/>
          <w:bottom w:val="nil"/>
          <w:right w:val="nil"/>
          <w:between w:val="nil"/>
        </w:pBdr>
        <w:spacing w:line="360" w:lineRule="auto"/>
        <w:ind w:left="1134"/>
        <w:jc w:val="both"/>
        <w:rPr>
          <w:rFonts w:ascii="Palatino Linotype" w:eastAsia="Palatino Linotype" w:hAnsi="Palatino Linotype" w:cs="Palatino Linotype"/>
          <w:sz w:val="22"/>
        </w:rPr>
      </w:pPr>
      <w:r w:rsidRPr="00862ADF">
        <w:rPr>
          <w:rFonts w:ascii="Palatino Linotype" w:eastAsia="Palatino Linotype" w:hAnsi="Palatino Linotype" w:cs="Palatino Linotype"/>
          <w:b/>
          <w:color w:val="000000"/>
          <w:sz w:val="22"/>
        </w:rPr>
        <w:t xml:space="preserve">OFICIO OIC.pdf </w:t>
      </w:r>
      <w:r w:rsidRPr="00862ADF">
        <w:rPr>
          <w:rFonts w:ascii="Palatino Linotype" w:eastAsia="Palatino Linotype" w:hAnsi="Palatino Linotype" w:cs="Palatino Linotype"/>
          <w:color w:val="000000"/>
          <w:sz w:val="22"/>
        </w:rPr>
        <w:t>Oficio suscrito por la Titular del Órgano Interno de Control de la Secretaría de Movilidad del Estado de México</w:t>
      </w:r>
      <w:r w:rsidRPr="00862ADF">
        <w:rPr>
          <w:rFonts w:ascii="Palatino Linotype" w:eastAsia="Palatino Linotype" w:hAnsi="Palatino Linotype" w:cs="Palatino Linotype"/>
          <w:b/>
          <w:color w:val="000000"/>
          <w:sz w:val="22"/>
        </w:rPr>
        <w:t xml:space="preserve">, </w:t>
      </w:r>
      <w:r w:rsidRPr="00862ADF">
        <w:rPr>
          <w:rFonts w:ascii="Palatino Linotype" w:eastAsia="Palatino Linotype" w:hAnsi="Palatino Linotype" w:cs="Palatino Linotype"/>
          <w:color w:val="000000"/>
          <w:sz w:val="22"/>
        </w:rPr>
        <w:t>por medio del cual formula una solicitud para los expedientes formados en el periodo comprendido del año 2019 al 2023 a los que se les determinaron faltas administrativas</w:t>
      </w:r>
      <w:r w:rsidRPr="00862ADF">
        <w:rPr>
          <w:rFonts w:ascii="Palatino Linotype" w:eastAsia="Palatino Linotype" w:hAnsi="Palatino Linotype" w:cs="Palatino Linotype"/>
          <w:b/>
          <w:color w:val="000000"/>
          <w:sz w:val="22"/>
        </w:rPr>
        <w:t xml:space="preserve"> </w:t>
      </w:r>
      <w:r w:rsidRPr="00862ADF">
        <w:rPr>
          <w:rFonts w:ascii="Palatino Linotype" w:eastAsia="Palatino Linotype" w:hAnsi="Palatino Linotype" w:cs="Palatino Linotype"/>
          <w:color w:val="000000"/>
          <w:sz w:val="22"/>
        </w:rPr>
        <w:t xml:space="preserve">por el área de responsabilidades del órgano interno de control de la </w:t>
      </w:r>
      <w:r w:rsidRPr="00862ADF">
        <w:rPr>
          <w:rFonts w:ascii="Palatino Linotype" w:eastAsia="Palatino Linotype" w:hAnsi="Palatino Linotype" w:cs="Palatino Linotype"/>
          <w:sz w:val="22"/>
        </w:rPr>
        <w:t>S</w:t>
      </w:r>
      <w:r w:rsidRPr="00862ADF">
        <w:rPr>
          <w:rFonts w:ascii="Palatino Linotype" w:eastAsia="Palatino Linotype" w:hAnsi="Palatino Linotype" w:cs="Palatino Linotype"/>
          <w:color w:val="000000"/>
          <w:sz w:val="22"/>
        </w:rPr>
        <w:t xml:space="preserve">ecretaria de </w:t>
      </w:r>
      <w:r w:rsidRPr="00862ADF">
        <w:rPr>
          <w:rFonts w:ascii="Palatino Linotype" w:eastAsia="Palatino Linotype" w:hAnsi="Palatino Linotype" w:cs="Palatino Linotype"/>
          <w:sz w:val="22"/>
        </w:rPr>
        <w:t>M</w:t>
      </w:r>
      <w:r w:rsidRPr="00862ADF">
        <w:rPr>
          <w:rFonts w:ascii="Palatino Linotype" w:eastAsia="Palatino Linotype" w:hAnsi="Palatino Linotype" w:cs="Palatino Linotype"/>
          <w:color w:val="000000"/>
          <w:sz w:val="22"/>
        </w:rPr>
        <w:t xml:space="preserve">ovilidad y </w:t>
      </w:r>
      <w:r w:rsidRPr="00862ADF">
        <w:rPr>
          <w:rFonts w:ascii="Palatino Linotype" w:eastAsia="Palatino Linotype" w:hAnsi="Palatino Linotype" w:cs="Palatino Linotype"/>
          <w:sz w:val="22"/>
        </w:rPr>
        <w:t>ésta</w:t>
      </w:r>
      <w:r w:rsidRPr="00862ADF">
        <w:rPr>
          <w:rFonts w:ascii="Palatino Linotype" w:eastAsia="Palatino Linotype" w:hAnsi="Palatino Linotype" w:cs="Palatino Linotype"/>
          <w:color w:val="000000"/>
          <w:sz w:val="22"/>
        </w:rPr>
        <w:t xml:space="preserve"> se clasifique como información confidencial. </w:t>
      </w:r>
    </w:p>
    <w:p w14:paraId="3A9DD0D6" w14:textId="77777777" w:rsidR="0062580E" w:rsidRPr="00862ADF" w:rsidRDefault="0062580E">
      <w:pPr>
        <w:pBdr>
          <w:top w:val="nil"/>
          <w:left w:val="nil"/>
          <w:bottom w:val="nil"/>
          <w:right w:val="nil"/>
          <w:between w:val="nil"/>
        </w:pBdr>
        <w:tabs>
          <w:tab w:val="left" w:pos="284"/>
        </w:tabs>
        <w:spacing w:line="360" w:lineRule="auto"/>
        <w:ind w:left="284"/>
        <w:jc w:val="both"/>
        <w:rPr>
          <w:rFonts w:ascii="Palatino Linotype" w:eastAsia="Palatino Linotype" w:hAnsi="Palatino Linotype" w:cs="Palatino Linotype"/>
        </w:rPr>
      </w:pPr>
    </w:p>
    <w:p w14:paraId="3A9DD0D7" w14:textId="77777777" w:rsidR="0062580E" w:rsidRPr="00862ADF" w:rsidRDefault="00BA5138">
      <w:pPr>
        <w:numPr>
          <w:ilvl w:val="0"/>
          <w:numId w:val="2"/>
        </w:numPr>
        <w:tabs>
          <w:tab w:val="left" w:pos="284"/>
        </w:tabs>
        <w:spacing w:line="360" w:lineRule="auto"/>
        <w:jc w:val="both"/>
      </w:pPr>
      <w:r w:rsidRPr="00862ADF">
        <w:rPr>
          <w:rFonts w:ascii="Palatino Linotype" w:eastAsia="Palatino Linotype" w:hAnsi="Palatino Linotype" w:cs="Palatino Linotype"/>
        </w:rPr>
        <w:t xml:space="preserve">El diecinueve de julio de dos mil veinticuatro, el Recurrente se desistió del recurso de revisión. </w:t>
      </w:r>
    </w:p>
    <w:p w14:paraId="3A9DD0D8" w14:textId="77777777" w:rsidR="0062580E" w:rsidRPr="00862ADF" w:rsidRDefault="0062580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p>
    <w:p w14:paraId="3A9DD0D9" w14:textId="77777777" w:rsidR="0062580E" w:rsidRPr="00862ADF" w:rsidRDefault="00BA5138">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lastRenderedPageBreak/>
        <w:t xml:space="preserve">La Comisionada Ponente, notificó el acuerdo de cierre de instrucción en fecha </w:t>
      </w:r>
      <w:r w:rsidRPr="00862ADF">
        <w:rPr>
          <w:rFonts w:ascii="Palatino Linotype" w:eastAsia="Palatino Linotype" w:hAnsi="Palatino Linotype" w:cs="Palatino Linotype"/>
        </w:rPr>
        <w:t xml:space="preserve">catorce </w:t>
      </w:r>
      <w:r w:rsidRPr="00862ADF">
        <w:rPr>
          <w:rFonts w:ascii="Palatino Linotype" w:eastAsia="Palatino Linotype" w:hAnsi="Palatino Linotype" w:cs="Palatino Linotype"/>
          <w:color w:val="000000"/>
        </w:rPr>
        <w:t xml:space="preserve">de agosto de dos mil veinticuatro. </w:t>
      </w:r>
    </w:p>
    <w:p w14:paraId="3A9DD0DA" w14:textId="77777777" w:rsidR="0062580E" w:rsidRPr="00862ADF" w:rsidRDefault="0062580E">
      <w:pPr>
        <w:tabs>
          <w:tab w:val="left" w:pos="284"/>
        </w:tabs>
        <w:spacing w:line="360" w:lineRule="auto"/>
        <w:ind w:left="360"/>
        <w:jc w:val="both"/>
        <w:rPr>
          <w:rFonts w:ascii="Palatino Linotype" w:eastAsia="Palatino Linotype" w:hAnsi="Palatino Linotype" w:cs="Palatino Linotype"/>
        </w:rPr>
      </w:pPr>
    </w:p>
    <w:p w14:paraId="3A9DD0DB" w14:textId="77777777" w:rsidR="0062580E" w:rsidRPr="00862ADF" w:rsidRDefault="00BA5138">
      <w:pPr>
        <w:pStyle w:val="Ttulo2"/>
        <w:jc w:val="center"/>
        <w:rPr>
          <w:rFonts w:ascii="Palatino Linotype" w:eastAsia="Palatino Linotype" w:hAnsi="Palatino Linotype" w:cs="Palatino Linotype"/>
          <w:b/>
          <w:color w:val="000000"/>
          <w:sz w:val="24"/>
          <w:szCs w:val="24"/>
        </w:rPr>
      </w:pPr>
      <w:bookmarkStart w:id="2" w:name="_heading=h.1fob9te" w:colFirst="0" w:colLast="0"/>
      <w:bookmarkEnd w:id="2"/>
      <w:r w:rsidRPr="00862ADF">
        <w:rPr>
          <w:rFonts w:ascii="Palatino Linotype" w:eastAsia="Palatino Linotype" w:hAnsi="Palatino Linotype" w:cs="Palatino Linotype"/>
          <w:b/>
          <w:color w:val="000000"/>
          <w:sz w:val="24"/>
          <w:szCs w:val="24"/>
        </w:rPr>
        <w:t>C</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O</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N</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S</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I</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D</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E</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R</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A</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N</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D</w:t>
      </w:r>
      <w:r w:rsidR="00862ADF">
        <w:rPr>
          <w:rFonts w:ascii="Palatino Linotype" w:eastAsia="Palatino Linotype" w:hAnsi="Palatino Linotype" w:cs="Palatino Linotype"/>
          <w:b/>
          <w:color w:val="000000"/>
          <w:sz w:val="24"/>
          <w:szCs w:val="24"/>
        </w:rPr>
        <w:t xml:space="preserve"> </w:t>
      </w:r>
      <w:r w:rsidRPr="00862ADF">
        <w:rPr>
          <w:rFonts w:ascii="Palatino Linotype" w:eastAsia="Palatino Linotype" w:hAnsi="Palatino Linotype" w:cs="Palatino Linotype"/>
          <w:b/>
          <w:color w:val="000000"/>
          <w:sz w:val="24"/>
          <w:szCs w:val="24"/>
        </w:rPr>
        <w:t>O</w:t>
      </w:r>
    </w:p>
    <w:p w14:paraId="3A9DD0DC" w14:textId="77777777" w:rsidR="0062580E" w:rsidRPr="00862ADF" w:rsidRDefault="0062580E"/>
    <w:p w14:paraId="3A9DD0DD" w14:textId="77777777" w:rsidR="0062580E" w:rsidRPr="00862ADF" w:rsidRDefault="00BA5138">
      <w:pPr>
        <w:pStyle w:val="Ttulo2"/>
        <w:spacing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862ADF">
        <w:rPr>
          <w:rFonts w:ascii="Palatino Linotype" w:eastAsia="Palatino Linotype" w:hAnsi="Palatino Linotype" w:cs="Palatino Linotype"/>
          <w:b/>
          <w:color w:val="000000"/>
          <w:sz w:val="24"/>
          <w:szCs w:val="24"/>
        </w:rPr>
        <w:t>PRIMERO. De la competencia</w:t>
      </w:r>
    </w:p>
    <w:p w14:paraId="3A9DD0DE" w14:textId="77777777" w:rsidR="0062580E" w:rsidRPr="00862ADF" w:rsidRDefault="00BA5138">
      <w:pPr>
        <w:numPr>
          <w:ilvl w:val="0"/>
          <w:numId w:val="2"/>
        </w:numPr>
        <w:spacing w:line="360" w:lineRule="auto"/>
        <w:ind w:left="0" w:firstLine="0"/>
        <w:jc w:val="both"/>
        <w:rPr>
          <w:rFonts w:ascii="Palatino Linotype" w:eastAsia="Palatino Linotype" w:hAnsi="Palatino Linotype" w:cs="Palatino Linotype"/>
        </w:rPr>
      </w:pPr>
      <w:r w:rsidRPr="00862AD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A9DD0DF" w14:textId="77777777" w:rsidR="0062580E" w:rsidRPr="00862ADF" w:rsidRDefault="0062580E">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b/>
          <w:color w:val="000000"/>
        </w:rPr>
      </w:pPr>
    </w:p>
    <w:p w14:paraId="3A9DD0E0" w14:textId="77777777" w:rsidR="0062580E" w:rsidRPr="00862ADF" w:rsidRDefault="00BA5138">
      <w:pPr>
        <w:pStyle w:val="Ttulo2"/>
        <w:tabs>
          <w:tab w:val="left" w:pos="284"/>
          <w:tab w:val="left" w:pos="426"/>
        </w:tabs>
        <w:spacing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862ADF">
        <w:rPr>
          <w:rFonts w:ascii="Palatino Linotype" w:eastAsia="Palatino Linotype" w:hAnsi="Palatino Linotype" w:cs="Palatino Linotype"/>
          <w:b/>
          <w:color w:val="000000"/>
          <w:sz w:val="24"/>
          <w:szCs w:val="24"/>
        </w:rPr>
        <w:t>SEGUNDO. De la oportunidad y procedencia.</w:t>
      </w:r>
    </w:p>
    <w:p w14:paraId="3A9DD0E1" w14:textId="77777777" w:rsidR="0062580E" w:rsidRPr="00862ADF" w:rsidRDefault="00BA5138">
      <w:pPr>
        <w:numPr>
          <w:ilvl w:val="0"/>
          <w:numId w:val="2"/>
        </w:numPr>
        <w:spacing w:line="360" w:lineRule="auto"/>
        <w:ind w:left="0" w:firstLine="0"/>
        <w:jc w:val="both"/>
        <w:rPr>
          <w:rFonts w:ascii="Palatino Linotype" w:eastAsia="Palatino Linotype" w:hAnsi="Palatino Linotype" w:cs="Palatino Linotype"/>
        </w:rPr>
      </w:pPr>
      <w:bookmarkStart w:id="5" w:name="_heading=h.tyjcwt" w:colFirst="0" w:colLast="0"/>
      <w:bookmarkEnd w:id="5"/>
      <w:r w:rsidRPr="00862ADF">
        <w:rPr>
          <w:rFonts w:ascii="Palatino Linotype" w:eastAsia="Palatino Linotype" w:hAnsi="Palatino Linotype" w:cs="Palatino Linotype"/>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w:t>
      </w:r>
      <w:r w:rsidRPr="00862ADF">
        <w:rPr>
          <w:rFonts w:ascii="Palatino Linotype" w:eastAsia="Palatino Linotype" w:hAnsi="Palatino Linotype" w:cs="Palatino Linotype"/>
        </w:rPr>
        <w:lastRenderedPageBreak/>
        <w:t>desechado cualquier Recurso de Revisión que actualice alguno de los supuestos establecidos en el artículo 191 de la Ley de Transparencia y Acceso a la Información Pública del Estado de México y Municipios, por ser improcedente.</w:t>
      </w:r>
    </w:p>
    <w:p w14:paraId="3A9DD0E2" w14:textId="77777777" w:rsidR="0062580E" w:rsidRPr="00862ADF" w:rsidRDefault="0062580E">
      <w:pPr>
        <w:spacing w:line="360" w:lineRule="auto"/>
        <w:jc w:val="both"/>
        <w:rPr>
          <w:rFonts w:ascii="Palatino Linotype" w:eastAsia="Palatino Linotype" w:hAnsi="Palatino Linotype" w:cs="Palatino Linotype"/>
        </w:rPr>
      </w:pPr>
    </w:p>
    <w:p w14:paraId="3A9DD0E3" w14:textId="77777777" w:rsidR="0062580E" w:rsidRPr="00862ADF" w:rsidRDefault="00BA5138">
      <w:pPr>
        <w:numPr>
          <w:ilvl w:val="0"/>
          <w:numId w:val="2"/>
        </w:numPr>
        <w:spacing w:line="360" w:lineRule="auto"/>
        <w:ind w:left="0" w:firstLine="0"/>
        <w:jc w:val="both"/>
        <w:rPr>
          <w:rFonts w:ascii="Palatino Linotype" w:eastAsia="Palatino Linotype" w:hAnsi="Palatino Linotype" w:cs="Palatino Linotype"/>
        </w:rPr>
      </w:pPr>
      <w:r w:rsidRPr="00862ADF">
        <w:rPr>
          <w:rFonts w:ascii="Palatino Linotype" w:eastAsia="Palatino Linotype" w:hAnsi="Palatino Linotype" w:cs="Palatino Linotype"/>
        </w:rPr>
        <w:t>En el presente caso, no se actualiza ninguna de las causales de improcedencia establecidas en el ordenamiento jurídico previamente señalado, en sus fracciones I, II, de la 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14:paraId="3A9DD0E4" w14:textId="77777777" w:rsidR="0062580E" w:rsidRPr="00862ADF" w:rsidRDefault="0062580E">
      <w:pPr>
        <w:spacing w:line="360" w:lineRule="auto"/>
        <w:jc w:val="both"/>
        <w:rPr>
          <w:rFonts w:ascii="Palatino Linotype" w:eastAsia="Palatino Linotype" w:hAnsi="Palatino Linotype" w:cs="Palatino Linotype"/>
        </w:rPr>
      </w:pPr>
    </w:p>
    <w:p w14:paraId="3A9DD0E5" w14:textId="77777777" w:rsidR="0062580E" w:rsidRPr="00862ADF" w:rsidRDefault="00BA5138">
      <w:pPr>
        <w:numPr>
          <w:ilvl w:val="0"/>
          <w:numId w:val="2"/>
        </w:numPr>
        <w:spacing w:line="360" w:lineRule="auto"/>
        <w:ind w:left="0" w:firstLine="0"/>
        <w:jc w:val="both"/>
        <w:rPr>
          <w:rFonts w:ascii="Palatino Linotype" w:eastAsia="Palatino Linotype" w:hAnsi="Palatino Linotype" w:cs="Palatino Linotype"/>
        </w:rPr>
      </w:pPr>
      <w:r w:rsidRPr="00862ADF">
        <w:rPr>
          <w:rFonts w:ascii="Palatino Linotype" w:eastAsia="Palatino Linotype" w:hAnsi="Palatino Linotype" w:cs="Palatino Linotype"/>
        </w:rPr>
        <w:t>Asimismo, se considera por lo que hace a la fracción III, del artículo 191, de la Ley de la materia, toda vez, que ya ha sido admitido el Recurso de Revisión, se realizará el análisis correspondiente en el Considerando Tercero.</w:t>
      </w:r>
    </w:p>
    <w:p w14:paraId="3A9DD0E6" w14:textId="77777777" w:rsidR="0062580E" w:rsidRPr="00862ADF" w:rsidRDefault="00BA5138">
      <w:pPr>
        <w:pStyle w:val="Ttulo1"/>
        <w:tabs>
          <w:tab w:val="left" w:pos="284"/>
          <w:tab w:val="left" w:pos="426"/>
        </w:tabs>
        <w:spacing w:line="360" w:lineRule="auto"/>
        <w:rPr>
          <w:rFonts w:ascii="Palatino Linotype" w:eastAsia="Palatino Linotype" w:hAnsi="Palatino Linotype" w:cs="Palatino Linotype"/>
          <w:b/>
          <w:color w:val="000000"/>
          <w:sz w:val="24"/>
          <w:szCs w:val="24"/>
        </w:rPr>
      </w:pPr>
      <w:r w:rsidRPr="00862ADF">
        <w:rPr>
          <w:rFonts w:ascii="Palatino Linotype" w:eastAsia="Palatino Linotype" w:hAnsi="Palatino Linotype" w:cs="Palatino Linotype"/>
          <w:b/>
          <w:color w:val="000000"/>
          <w:sz w:val="24"/>
          <w:szCs w:val="24"/>
        </w:rPr>
        <w:t>TERCERO. De las causales del sobreseimiento.</w:t>
      </w:r>
    </w:p>
    <w:p w14:paraId="3A9DD0E7" w14:textId="77777777" w:rsidR="0062580E" w:rsidRPr="00862ADF" w:rsidRDefault="00BA5138">
      <w:pPr>
        <w:numPr>
          <w:ilvl w:val="0"/>
          <w:numId w:val="2"/>
        </w:numPr>
        <w:pBdr>
          <w:top w:val="nil"/>
          <w:left w:val="nil"/>
          <w:bottom w:val="nil"/>
          <w:right w:val="nil"/>
          <w:between w:val="nil"/>
        </w:pBdr>
        <w:tabs>
          <w:tab w:val="left" w:pos="284"/>
          <w:tab w:val="left" w:pos="426"/>
        </w:tabs>
        <w:spacing w:before="240" w:line="360" w:lineRule="auto"/>
        <w:ind w:left="0" w:right="49" w:firstLine="0"/>
        <w:jc w:val="both"/>
        <w:rPr>
          <w:rFonts w:ascii="Palatino Linotype" w:eastAsia="Palatino Linotype" w:hAnsi="Palatino Linotype" w:cs="Palatino Linotype"/>
          <w:color w:val="000000"/>
        </w:rPr>
      </w:pPr>
      <w:bookmarkStart w:id="6" w:name="_heading=h.3dy6vkm" w:colFirst="0" w:colLast="0"/>
      <w:bookmarkEnd w:id="6"/>
      <w:r w:rsidRPr="00862ADF">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862ADF">
        <w:rPr>
          <w:rFonts w:ascii="Palatino Linotype" w:eastAsia="Palatino Linotype" w:hAnsi="Palatino Linotype" w:cs="Palatino Linotype"/>
          <w:b/>
          <w:color w:val="000000"/>
          <w:u w:val="single"/>
        </w:rPr>
        <w:t>sobreseimiento</w:t>
      </w:r>
      <w:r w:rsidRPr="00862ADF">
        <w:rPr>
          <w:rFonts w:ascii="Palatino Linotype" w:eastAsia="Palatino Linotype" w:hAnsi="Palatino Linotype" w:cs="Palatino Linotype"/>
          <w:color w:val="000000"/>
        </w:rPr>
        <w:t xml:space="preserve">; y, en su caso, ordenar la entrega de la información respecto a la falta de respuesta por parte del </w:t>
      </w:r>
      <w:r w:rsidRPr="00862ADF">
        <w:rPr>
          <w:rFonts w:ascii="Palatino Linotype" w:eastAsia="Palatino Linotype" w:hAnsi="Palatino Linotype" w:cs="Palatino Linotype"/>
          <w:b/>
          <w:color w:val="000000"/>
        </w:rPr>
        <w:t>SUJETO</w:t>
      </w:r>
      <w:r w:rsidRPr="00862ADF">
        <w:rPr>
          <w:rFonts w:ascii="Palatino Linotype" w:eastAsia="Palatino Linotype" w:hAnsi="Palatino Linotype" w:cs="Palatino Linotype"/>
          <w:color w:val="000000"/>
        </w:rPr>
        <w:t xml:space="preserve"> </w:t>
      </w:r>
      <w:r w:rsidRPr="00862ADF">
        <w:rPr>
          <w:rFonts w:ascii="Palatino Linotype" w:eastAsia="Palatino Linotype" w:hAnsi="Palatino Linotype" w:cs="Palatino Linotype"/>
          <w:b/>
          <w:color w:val="000000"/>
        </w:rPr>
        <w:t>OBLIGADO</w:t>
      </w:r>
      <w:r w:rsidRPr="00862ADF">
        <w:rPr>
          <w:rFonts w:ascii="Palatino Linotype" w:eastAsia="Palatino Linotype" w:hAnsi="Palatino Linotype" w:cs="Palatino Linotype"/>
          <w:color w:val="000000"/>
        </w:rPr>
        <w:t>.</w:t>
      </w:r>
    </w:p>
    <w:p w14:paraId="3A9DD0E8" w14:textId="77777777" w:rsidR="0062580E" w:rsidRPr="00862ADF" w:rsidRDefault="0062580E">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3A9DD0E9" w14:textId="77777777" w:rsidR="0062580E" w:rsidRPr="00862ADF" w:rsidRDefault="00BA5138">
      <w:pPr>
        <w:numPr>
          <w:ilvl w:val="0"/>
          <w:numId w:val="2"/>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lastRenderedPageBreak/>
        <w:t xml:space="preserve">Asimismo, es de señalar que para actualizar el sobreseimiento de un recurso de revisión, el </w:t>
      </w:r>
      <w:r w:rsidRPr="00862ADF">
        <w:rPr>
          <w:rFonts w:ascii="Palatino Linotype" w:eastAsia="Palatino Linotype" w:hAnsi="Palatino Linotype" w:cs="Palatino Linotype"/>
          <w:b/>
          <w:color w:val="000000"/>
        </w:rPr>
        <w:t>SUJETO OBLIGADO</w:t>
      </w:r>
      <w:r w:rsidRPr="00862ADF">
        <w:rPr>
          <w:rFonts w:ascii="Palatino Linotype" w:eastAsia="Palatino Linotype" w:hAnsi="Palatino Linotype" w:cs="Palatino Linotype"/>
          <w:color w:val="000000"/>
        </w:rPr>
        <w:t xml:space="preserve"> puede entregar o completar la información al momento de rendir su informe justificado o, dentro de los siete días previstos para manifestar lo que a su derecho convenga, ofrecer pruebas y alegatos; como se refiriera en párrafos anteriores.</w:t>
      </w:r>
    </w:p>
    <w:p w14:paraId="3A9DD0EA" w14:textId="77777777" w:rsidR="0062580E" w:rsidRPr="00862ADF" w:rsidRDefault="0062580E">
      <w:pPr>
        <w:pBdr>
          <w:top w:val="nil"/>
          <w:left w:val="nil"/>
          <w:bottom w:val="nil"/>
          <w:right w:val="nil"/>
          <w:between w:val="nil"/>
        </w:pBdr>
        <w:rPr>
          <w:rFonts w:ascii="Palatino Linotype" w:eastAsia="Palatino Linotype" w:hAnsi="Palatino Linotype" w:cs="Palatino Linotype"/>
          <w:color w:val="000000"/>
        </w:rPr>
      </w:pPr>
    </w:p>
    <w:p w14:paraId="3A9DD0EB" w14:textId="77777777" w:rsidR="0062580E" w:rsidRPr="00862ADF" w:rsidRDefault="00BA5138">
      <w:pPr>
        <w:numPr>
          <w:ilvl w:val="0"/>
          <w:numId w:val="2"/>
        </w:numPr>
        <w:pBdr>
          <w:top w:val="nil"/>
          <w:left w:val="nil"/>
          <w:bottom w:val="nil"/>
          <w:right w:val="nil"/>
          <w:between w:val="nil"/>
        </w:pBdr>
        <w:tabs>
          <w:tab w:val="left" w:pos="0"/>
          <w:tab w:val="left" w:pos="284"/>
        </w:tabs>
        <w:spacing w:after="240" w:line="360" w:lineRule="auto"/>
        <w:ind w:left="0" w:right="49" w:firstLine="0"/>
        <w:jc w:val="both"/>
        <w:rPr>
          <w:rFonts w:ascii="Palatino Linotype" w:eastAsia="Palatino Linotype" w:hAnsi="Palatino Linotype" w:cs="Palatino Linotype"/>
          <w:color w:val="000000"/>
        </w:rPr>
      </w:pPr>
      <w:bookmarkStart w:id="7" w:name="_heading=h.1t3h5sf" w:colFirst="0" w:colLast="0"/>
      <w:bookmarkEnd w:id="7"/>
      <w:r w:rsidRPr="00862ADF">
        <w:rPr>
          <w:rFonts w:ascii="Palatino Linotype" w:eastAsia="Palatino Linotype" w:hAnsi="Palatino Linotype" w:cs="Palatino Linotype"/>
          <w:color w:val="000000"/>
        </w:rPr>
        <w:t xml:space="preserve">Cabe destacar que el motivo de inconformidad del RECURRENTE sobre la negativa de la entrega de la información, actualiza la causal e improcedencia contenida en la fracción I del artículo 179 de la Ley de Transparencia y Acceso a la Información Pública del Estado de México y Municipios, por lo que este Órgano Garante estaría en la posibilidad de analizar  el presente asunto; sin embargo, será inminentemente excusado el ingreso al estudio y análisis de la controversia en consecuencia de que, como quedara establecido, el particular, por propio derecho, </w:t>
      </w:r>
      <w:r w:rsidRPr="00862ADF">
        <w:rPr>
          <w:rFonts w:ascii="Palatino Linotype" w:eastAsia="Palatino Linotype" w:hAnsi="Palatino Linotype" w:cs="Palatino Linotype"/>
          <w:b/>
          <w:color w:val="000000"/>
        </w:rPr>
        <w:t>se desistió del recurso de revisión</w:t>
      </w:r>
      <w:r w:rsidRPr="00862ADF">
        <w:rPr>
          <w:rFonts w:ascii="Palatino Linotype" w:eastAsia="Palatino Linotype" w:hAnsi="Palatino Linotype" w:cs="Palatino Linotype"/>
          <w:color w:val="000000"/>
        </w:rPr>
        <w:t xml:space="preserve"> que nos ocupa, vía SAIMEX, el diecinueve de julio</w:t>
      </w:r>
      <w:r w:rsidRPr="00862ADF">
        <w:rPr>
          <w:rFonts w:ascii="Century Gothic" w:eastAsia="Century Gothic" w:hAnsi="Century Gothic" w:cs="Century Gothic"/>
          <w:color w:val="000000"/>
        </w:rPr>
        <w:t xml:space="preserve"> </w:t>
      </w:r>
      <w:r w:rsidRPr="00862ADF">
        <w:rPr>
          <w:rFonts w:ascii="Palatino Linotype" w:eastAsia="Palatino Linotype" w:hAnsi="Palatino Linotype" w:cs="Palatino Linotype"/>
          <w:color w:val="000000"/>
        </w:rPr>
        <w:t>de dos mil veinticuatro, como se ilustra a continuación:</w:t>
      </w:r>
    </w:p>
    <w:p w14:paraId="3A9DD0EC" w14:textId="77777777" w:rsidR="0062580E" w:rsidRPr="00862ADF" w:rsidRDefault="00BA5138">
      <w:pPr>
        <w:tabs>
          <w:tab w:val="left" w:pos="0"/>
          <w:tab w:val="left" w:pos="284"/>
        </w:tabs>
        <w:spacing w:before="240" w:after="240" w:line="360" w:lineRule="auto"/>
        <w:ind w:right="49"/>
        <w:jc w:val="both"/>
        <w:rPr>
          <w:rFonts w:ascii="Palatino Linotype" w:eastAsia="Palatino Linotype" w:hAnsi="Palatino Linotype" w:cs="Palatino Linotype"/>
        </w:rPr>
      </w:pPr>
      <w:r w:rsidRPr="00862ADF">
        <w:rPr>
          <w:rFonts w:ascii="Palatino Linotype" w:eastAsia="Palatino Linotype" w:hAnsi="Palatino Linotype" w:cs="Palatino Linotype"/>
          <w:noProof/>
        </w:rPr>
        <w:drawing>
          <wp:inline distT="0" distB="0" distL="0" distR="0" wp14:anchorId="3A9DD10D" wp14:editId="3A9DD10E">
            <wp:extent cx="5989879" cy="269963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7146" t="33724" r="27699" b="30092"/>
                    <a:stretch>
                      <a:fillRect/>
                    </a:stretch>
                  </pic:blipFill>
                  <pic:spPr>
                    <a:xfrm>
                      <a:off x="0" y="0"/>
                      <a:ext cx="5989879" cy="2699634"/>
                    </a:xfrm>
                    <a:prstGeom prst="rect">
                      <a:avLst/>
                    </a:prstGeom>
                    <a:ln/>
                  </pic:spPr>
                </pic:pic>
              </a:graphicData>
            </a:graphic>
          </wp:inline>
        </w:drawing>
      </w:r>
      <w:r w:rsidRPr="00862ADF">
        <w:rPr>
          <w:noProof/>
        </w:rPr>
        <mc:AlternateContent>
          <mc:Choice Requires="wpg">
            <w:drawing>
              <wp:anchor distT="0" distB="0" distL="114300" distR="114300" simplePos="0" relativeHeight="251658240" behindDoc="0" locked="0" layoutInCell="1" hidden="0" allowOverlap="1" wp14:anchorId="3A9DD10F" wp14:editId="3A9DD110">
                <wp:simplePos x="0" y="0"/>
                <wp:positionH relativeFrom="column">
                  <wp:posOffset>177800</wp:posOffset>
                </wp:positionH>
                <wp:positionV relativeFrom="paragraph">
                  <wp:posOffset>2324100</wp:posOffset>
                </wp:positionV>
                <wp:extent cx="5658126" cy="279400"/>
                <wp:effectExtent l="0" t="0" r="0" b="0"/>
                <wp:wrapNone/>
                <wp:docPr id="7" name="Rectángulo redondeado 7"/>
                <wp:cNvGraphicFramePr/>
                <a:graphic xmlns:a="http://schemas.openxmlformats.org/drawingml/2006/main">
                  <a:graphicData uri="http://schemas.microsoft.com/office/word/2010/wordprocessingShape">
                    <wps:wsp>
                      <wps:cNvSpPr/>
                      <wps:spPr>
                        <a:xfrm>
                          <a:off x="2523287" y="3646650"/>
                          <a:ext cx="5645426" cy="266700"/>
                        </a:xfrm>
                        <a:prstGeom prst="roundRect">
                          <a:avLst>
                            <a:gd name="adj" fmla="val 16667"/>
                          </a:avLst>
                        </a:prstGeom>
                        <a:noFill/>
                        <a:ln w="12700" cap="flat" cmpd="sng">
                          <a:solidFill>
                            <a:srgbClr val="FF0000"/>
                          </a:solidFill>
                          <a:prstDash val="solid"/>
                          <a:miter lim="800000"/>
                          <a:headEnd type="none" w="sm" len="sm"/>
                          <a:tailEnd type="none" w="sm" len="sm"/>
                        </a:ln>
                      </wps:spPr>
                      <wps:txbx>
                        <w:txbxContent>
                          <w:p w14:paraId="3A9DD13C" w14:textId="77777777" w:rsidR="0062580E" w:rsidRDefault="0062580E">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177800</wp:posOffset>
                </wp:positionH>
                <wp:positionV relativeFrom="paragraph">
                  <wp:posOffset>2324100</wp:posOffset>
                </wp:positionV>
                <wp:extent cx="5658126" cy="2794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58126" cy="279400"/>
                        </a:xfrm>
                        <a:prstGeom prst="rect"/>
                        <a:ln/>
                      </pic:spPr>
                    </pic:pic>
                  </a:graphicData>
                </a:graphic>
              </wp:anchor>
            </w:drawing>
          </mc:Fallback>
        </mc:AlternateContent>
      </w:r>
    </w:p>
    <w:p w14:paraId="3A9DD0ED" w14:textId="77777777" w:rsidR="0062580E" w:rsidRPr="00862ADF" w:rsidRDefault="00BA5138" w:rsidP="00862ADF">
      <w:pPr>
        <w:pStyle w:val="Prrafodelista"/>
        <w:numPr>
          <w:ilvl w:val="0"/>
          <w:numId w:val="2"/>
        </w:numPr>
        <w:spacing w:before="240" w:after="240" w:line="360" w:lineRule="auto"/>
        <w:ind w:left="0" w:right="49" w:firstLine="0"/>
        <w:rPr>
          <w:rFonts w:ascii="Palatino Linotype" w:eastAsia="Palatino Linotype" w:hAnsi="Palatino Linotype" w:cs="Palatino Linotype"/>
          <w:color w:val="000000"/>
          <w:sz w:val="24"/>
        </w:rPr>
      </w:pPr>
      <w:r w:rsidRPr="00862ADF">
        <w:rPr>
          <w:rFonts w:ascii="Palatino Linotype" w:eastAsia="Palatino Linotype" w:hAnsi="Palatino Linotype" w:cs="Palatino Linotype"/>
          <w:color w:val="000000"/>
          <w:sz w:val="24"/>
        </w:rPr>
        <w:lastRenderedPageBreak/>
        <w:t xml:space="preserve">De las imágenes, se advierte que efectivamente el particular hizo uso de la opción </w:t>
      </w:r>
      <w:r w:rsidRPr="00862ADF">
        <w:rPr>
          <w:rFonts w:ascii="Palatino Linotype" w:eastAsia="Palatino Linotype" w:hAnsi="Palatino Linotype" w:cs="Palatino Linotype"/>
          <w:b/>
          <w:i/>
          <w:color w:val="000000"/>
          <w:sz w:val="24"/>
        </w:rPr>
        <w:t>“Desistir”</w:t>
      </w:r>
      <w:r w:rsidRPr="00862ADF">
        <w:rPr>
          <w:rFonts w:ascii="Palatino Linotype" w:eastAsia="Palatino Linotype" w:hAnsi="Palatino Linotype" w:cs="Palatino Linotype"/>
          <w:color w:val="000000"/>
          <w:sz w:val="24"/>
        </w:rPr>
        <w:t xml:space="preserve"> al recurso de revisión en el propio </w:t>
      </w:r>
      <w:r w:rsidRPr="00862ADF">
        <w:rPr>
          <w:rFonts w:ascii="Palatino Linotype" w:eastAsia="Palatino Linotype" w:hAnsi="Palatino Linotype" w:cs="Palatino Linotype"/>
          <w:i/>
          <w:color w:val="000000"/>
          <w:sz w:val="24"/>
        </w:rPr>
        <w:t>SAIMEX</w:t>
      </w:r>
      <w:r w:rsidRPr="00862ADF">
        <w:rPr>
          <w:rFonts w:ascii="Palatino Linotype" w:eastAsia="Palatino Linotype" w:hAnsi="Palatino Linotype" w:cs="Palatino Linotype"/>
          <w:color w:val="000000"/>
          <w:sz w:val="24"/>
        </w:rPr>
        <w:t xml:space="preserve">, opción que </w:t>
      </w:r>
      <w:r w:rsidRPr="00862ADF">
        <w:rPr>
          <w:rFonts w:ascii="Palatino Linotype" w:eastAsia="Palatino Linotype" w:hAnsi="Palatino Linotype" w:cs="Palatino Linotype"/>
          <w:b/>
          <w:color w:val="000000"/>
          <w:sz w:val="24"/>
          <w:u w:val="single"/>
        </w:rPr>
        <w:t>ÚNICAMENTE</w:t>
      </w:r>
      <w:r w:rsidRPr="00862ADF">
        <w:rPr>
          <w:rFonts w:ascii="Palatino Linotype" w:eastAsia="Palatino Linotype" w:hAnsi="Palatino Linotype" w:cs="Palatino Linotype"/>
          <w:color w:val="000000"/>
          <w:sz w:val="24"/>
        </w:rPr>
        <w:t xml:space="preserve"> puede hacer uso el usuario dueño de la cuenta, previo ingreso de su nombre de usuario y contraseña; así las cosas, cabe resaltar de igual manera que, al seleccionar la opción de </w:t>
      </w:r>
      <w:r w:rsidRPr="00862ADF">
        <w:rPr>
          <w:rFonts w:ascii="Palatino Linotype" w:eastAsia="Palatino Linotype" w:hAnsi="Palatino Linotype" w:cs="Palatino Linotype"/>
          <w:b/>
          <w:color w:val="000000"/>
          <w:sz w:val="24"/>
        </w:rPr>
        <w:t>desistimiento</w:t>
      </w:r>
      <w:r w:rsidRPr="00862ADF">
        <w:rPr>
          <w:rFonts w:ascii="Palatino Linotype" w:eastAsia="Palatino Linotype" w:hAnsi="Palatino Linotype" w:cs="Palatino Linotype"/>
          <w:color w:val="000000"/>
          <w:sz w:val="24"/>
        </w:rPr>
        <w:t xml:space="preserve">, aparece al usuario una ventana de alerta con el objeto de que confirme que efectivamente es su deseo </w:t>
      </w:r>
      <w:r w:rsidRPr="00862ADF">
        <w:rPr>
          <w:rFonts w:ascii="Palatino Linotype" w:eastAsia="Palatino Linotype" w:hAnsi="Palatino Linotype" w:cs="Palatino Linotype"/>
          <w:b/>
          <w:color w:val="000000"/>
          <w:sz w:val="24"/>
        </w:rPr>
        <w:t>desistirse</w:t>
      </w:r>
      <w:r w:rsidRPr="00862ADF">
        <w:rPr>
          <w:rFonts w:ascii="Palatino Linotype" w:eastAsia="Palatino Linotype" w:hAnsi="Palatino Linotype" w:cs="Palatino Linotype"/>
          <w:color w:val="000000"/>
          <w:sz w:val="24"/>
        </w:rPr>
        <w:t xml:space="preserve"> del recurso; </w:t>
      </w:r>
      <w:r w:rsidRPr="00862ADF">
        <w:rPr>
          <w:rFonts w:ascii="Palatino Linotype" w:eastAsia="Palatino Linotype" w:hAnsi="Palatino Linotype" w:cs="Palatino Linotype"/>
          <w:b/>
          <w:color w:val="000000"/>
          <w:sz w:val="24"/>
        </w:rPr>
        <w:t>luego entonces no es hacedero suponer que fue por error involuntario, lo que se constituye como un desistimiento expreso</w:t>
      </w:r>
      <w:r w:rsidRPr="00862ADF">
        <w:rPr>
          <w:rFonts w:ascii="Palatino Linotype" w:eastAsia="Palatino Linotype" w:hAnsi="Palatino Linotype" w:cs="Palatino Linotype"/>
          <w:color w:val="000000"/>
          <w:sz w:val="24"/>
        </w:rPr>
        <w:t>.</w:t>
      </w:r>
    </w:p>
    <w:p w14:paraId="3A9DD0EE" w14:textId="77777777" w:rsidR="0062580E" w:rsidRPr="00862ADF" w:rsidRDefault="0062580E">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A9DD0EF" w14:textId="77777777" w:rsidR="0062580E" w:rsidRPr="00862ADF" w:rsidRDefault="00BA5138">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En ese orden de ideas el articulo 192</w:t>
      </w:r>
      <w:r w:rsidRPr="00862ADF">
        <w:rPr>
          <w:rFonts w:ascii="Century Gothic" w:eastAsia="Century Gothic" w:hAnsi="Century Gothic" w:cs="Century Gothic"/>
          <w:color w:val="000000"/>
        </w:rPr>
        <w:t xml:space="preserve"> </w:t>
      </w:r>
      <w:r w:rsidRPr="00862ADF">
        <w:rPr>
          <w:rFonts w:ascii="Palatino Linotype" w:eastAsia="Palatino Linotype" w:hAnsi="Palatino Linotype" w:cs="Palatino Linotype"/>
          <w:color w:val="000000"/>
        </w:rPr>
        <w:t>Ley de Transparencia y Acceso a la Información Pública del Estado de México y Municipios, establece lo siguiente:</w:t>
      </w:r>
    </w:p>
    <w:p w14:paraId="3A9DD0F0" w14:textId="77777777" w:rsidR="0062580E" w:rsidRPr="00862ADF" w:rsidRDefault="00BA5138">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sidRPr="00862ADF">
        <w:rPr>
          <w:rFonts w:ascii="Palatino Linotype" w:eastAsia="Palatino Linotype" w:hAnsi="Palatino Linotype" w:cs="Palatino Linotype"/>
          <w:i/>
          <w:color w:val="000000"/>
          <w:sz w:val="22"/>
        </w:rPr>
        <w:t>“</w:t>
      </w:r>
      <w:r w:rsidRPr="00862ADF">
        <w:rPr>
          <w:rFonts w:ascii="Palatino Linotype" w:eastAsia="Palatino Linotype" w:hAnsi="Palatino Linotype" w:cs="Palatino Linotype"/>
          <w:b/>
          <w:i/>
          <w:color w:val="000000"/>
          <w:sz w:val="22"/>
        </w:rPr>
        <w:t>Artículo 192.</w:t>
      </w:r>
      <w:r w:rsidRPr="00862ADF">
        <w:rPr>
          <w:rFonts w:ascii="Palatino Linotype" w:eastAsia="Palatino Linotype" w:hAnsi="Palatino Linotype" w:cs="Palatino Linotype"/>
          <w:i/>
          <w:color w:val="000000"/>
          <w:sz w:val="22"/>
        </w:rPr>
        <w:t xml:space="preserve"> El recurso será sobreseído, en todo o en parte, cuando una vez admitido, se actualicen alguno de los siguientes supuestos:</w:t>
      </w:r>
    </w:p>
    <w:p w14:paraId="3A9DD0F1" w14:textId="77777777" w:rsidR="0062580E" w:rsidRPr="00862ADF" w:rsidRDefault="00BA5138">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sidRPr="00862ADF">
        <w:rPr>
          <w:rFonts w:ascii="Palatino Linotype" w:eastAsia="Palatino Linotype" w:hAnsi="Palatino Linotype" w:cs="Palatino Linotype"/>
          <w:b/>
          <w:i/>
          <w:color w:val="000000"/>
          <w:sz w:val="22"/>
        </w:rPr>
        <w:t>I.</w:t>
      </w:r>
      <w:r w:rsidRPr="00862ADF">
        <w:rPr>
          <w:rFonts w:ascii="Palatino Linotype" w:eastAsia="Palatino Linotype" w:hAnsi="Palatino Linotype" w:cs="Palatino Linotype"/>
          <w:i/>
          <w:color w:val="000000"/>
          <w:sz w:val="22"/>
        </w:rPr>
        <w:t xml:space="preserve"> El recurrente se desista expresamente del recurso;</w:t>
      </w:r>
    </w:p>
    <w:p w14:paraId="3A9DD0F2" w14:textId="77777777" w:rsidR="0062580E" w:rsidRPr="00862ADF" w:rsidRDefault="00BA5138">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sidRPr="00862ADF">
        <w:rPr>
          <w:rFonts w:ascii="Palatino Linotype" w:eastAsia="Palatino Linotype" w:hAnsi="Palatino Linotype" w:cs="Palatino Linotype"/>
          <w:i/>
          <w:color w:val="000000"/>
          <w:sz w:val="22"/>
        </w:rPr>
        <w:t>(…)”</w:t>
      </w:r>
    </w:p>
    <w:p w14:paraId="3A9DD0F3" w14:textId="77777777" w:rsidR="0062580E" w:rsidRPr="00862ADF" w:rsidRDefault="0062580E">
      <w:pPr>
        <w:pBdr>
          <w:top w:val="nil"/>
          <w:left w:val="nil"/>
          <w:bottom w:val="nil"/>
          <w:right w:val="nil"/>
          <w:between w:val="nil"/>
        </w:pBdr>
        <w:spacing w:line="360" w:lineRule="auto"/>
        <w:ind w:left="426" w:right="49"/>
        <w:jc w:val="both"/>
        <w:rPr>
          <w:rFonts w:ascii="Palatino Linotype" w:eastAsia="Palatino Linotype" w:hAnsi="Palatino Linotype" w:cs="Palatino Linotype"/>
          <w:color w:val="000000"/>
        </w:rPr>
      </w:pPr>
    </w:p>
    <w:p w14:paraId="3A9DD0F4" w14:textId="77777777" w:rsidR="0062580E" w:rsidRPr="00862ADF" w:rsidRDefault="00BA5138">
      <w:pPr>
        <w:numPr>
          <w:ilvl w:val="0"/>
          <w:numId w:val="2"/>
        </w:numPr>
        <w:pBdr>
          <w:top w:val="nil"/>
          <w:left w:val="nil"/>
          <w:bottom w:val="nil"/>
          <w:right w:val="nil"/>
          <w:between w:val="nil"/>
        </w:pBdr>
        <w:tabs>
          <w:tab w:val="left" w:pos="426"/>
        </w:tabs>
        <w:spacing w:after="240" w:line="360" w:lineRule="auto"/>
        <w:ind w:left="0" w:right="49"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Robustece lo anterior la tesis aislada I.15o.T.2 K (10a.), del Décimo Quinto Tribunal Colegiado en Materia de Trabajo del Primer Circuito, misma que se anexa a continuación:</w:t>
      </w:r>
    </w:p>
    <w:p w14:paraId="3A9DD0F5" w14:textId="77777777" w:rsidR="0062580E" w:rsidRPr="00862ADF" w:rsidRDefault="00BA5138">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rPr>
      </w:pPr>
      <w:r w:rsidRPr="00862ADF">
        <w:rPr>
          <w:rFonts w:ascii="Palatino Linotype" w:eastAsia="Palatino Linotype" w:hAnsi="Palatino Linotype" w:cs="Palatino Linotype"/>
          <w:b/>
          <w:i/>
          <w:color w:val="000000"/>
          <w:sz w:val="22"/>
        </w:rPr>
        <w:t>DESISTIMIENTO DEL RECURSO DE REVISIÓN EN AMPARO INDIRECTO. ES INNECESARIO QUE SE RATIFIQUE EL ESCRITO CORRESPONDIENTE, CUANDO SU REQUERIMIENTO SE NOTIFICÓ PERSONALMENTE.</w:t>
      </w:r>
      <w:r w:rsidRPr="00862ADF">
        <w:rPr>
          <w:rFonts w:ascii="Palatino Linotype" w:eastAsia="Palatino Linotype" w:hAnsi="Palatino Linotype" w:cs="Palatino Linotype"/>
          <w:i/>
          <w:color w:val="000000"/>
          <w:sz w:val="22"/>
        </w:rPr>
        <w:t xml:space="preserve"> “Si el quejoso en un juicio de amparo indirecto interpone recurso de revisión contra la sentencia dictada por el Juez de Distrito y una vez que el asunto se encuentra radicado ante el </w:t>
      </w:r>
      <w:r w:rsidRPr="00862ADF">
        <w:rPr>
          <w:rFonts w:ascii="Palatino Linotype" w:eastAsia="Palatino Linotype" w:hAnsi="Palatino Linotype" w:cs="Palatino Linotype"/>
          <w:i/>
          <w:color w:val="000000"/>
          <w:sz w:val="22"/>
        </w:rPr>
        <w:lastRenderedPageBreak/>
        <w:t>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 a decretar el sobreseimiento.”</w:t>
      </w:r>
    </w:p>
    <w:p w14:paraId="3A9DD0F6" w14:textId="77777777" w:rsidR="0062580E" w:rsidRPr="00862ADF" w:rsidRDefault="0062580E">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p>
    <w:p w14:paraId="3A9DD0F7" w14:textId="77777777" w:rsidR="0062580E" w:rsidRPr="00862ADF" w:rsidRDefault="00BA5138">
      <w:pPr>
        <w:numPr>
          <w:ilvl w:val="0"/>
          <w:numId w:val="2"/>
        </w:numPr>
        <w:pBdr>
          <w:top w:val="nil"/>
          <w:left w:val="nil"/>
          <w:bottom w:val="nil"/>
          <w:right w:val="nil"/>
          <w:between w:val="nil"/>
        </w:pBdr>
        <w:tabs>
          <w:tab w:val="left" w:pos="426"/>
        </w:tabs>
        <w:spacing w:before="240" w:line="360" w:lineRule="auto"/>
        <w:ind w:left="0" w:right="49"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 xml:space="preserve">Por consiguiente, al existir un desistimiento expreso por parte del </w:t>
      </w:r>
      <w:r w:rsidRPr="00862ADF">
        <w:rPr>
          <w:rFonts w:ascii="Palatino Linotype" w:eastAsia="Palatino Linotype" w:hAnsi="Palatino Linotype" w:cs="Palatino Linotype"/>
          <w:b/>
          <w:color w:val="000000"/>
        </w:rPr>
        <w:t>RECURRENTE</w:t>
      </w:r>
      <w:r w:rsidRPr="00862ADF">
        <w:rPr>
          <w:rFonts w:ascii="Palatino Linotype" w:eastAsia="Palatino Linotype" w:hAnsi="Palatino Linotype" w:cs="Palatino Linotype"/>
          <w:color w:val="000000"/>
        </w:rPr>
        <w:t xml:space="preserve">, este Pleno determina el </w:t>
      </w:r>
      <w:r w:rsidRPr="00862ADF">
        <w:rPr>
          <w:rFonts w:ascii="Palatino Linotype" w:eastAsia="Palatino Linotype" w:hAnsi="Palatino Linotype" w:cs="Palatino Linotype"/>
          <w:b/>
          <w:color w:val="000000"/>
        </w:rPr>
        <w:t>SOBRESEIMIENTO</w:t>
      </w:r>
      <w:r w:rsidRPr="00862ADF">
        <w:rPr>
          <w:rFonts w:ascii="Palatino Linotype" w:eastAsia="Palatino Linotype" w:hAnsi="Palatino Linotype" w:cs="Palatino Linotype"/>
          <w:color w:val="000000"/>
        </w:rPr>
        <w:t xml:space="preserve"> de los recursos de revisión.</w:t>
      </w:r>
    </w:p>
    <w:p w14:paraId="3A9DD0F8" w14:textId="77777777" w:rsidR="0062580E" w:rsidRPr="00862ADF" w:rsidRDefault="0062580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A9DD0F9" w14:textId="77777777" w:rsidR="0062580E" w:rsidRPr="00862ADF" w:rsidRDefault="00BA5138">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 xml:space="preserve">Bajo ese tenor y, en términos del artículo 186, fracción I, de la Ley de Transparencia y Acceso a la Información Pública del Estado de México y Municipios, este Pleno determina el </w:t>
      </w:r>
      <w:r w:rsidRPr="00862ADF">
        <w:rPr>
          <w:rFonts w:ascii="Palatino Linotype" w:eastAsia="Palatino Linotype" w:hAnsi="Palatino Linotype" w:cs="Palatino Linotype"/>
          <w:b/>
          <w:color w:val="000000"/>
        </w:rPr>
        <w:t xml:space="preserve">SOBRESEIMIENTO </w:t>
      </w:r>
      <w:r w:rsidRPr="00862ADF">
        <w:rPr>
          <w:rFonts w:ascii="Palatino Linotype" w:eastAsia="Palatino Linotype" w:hAnsi="Palatino Linotype" w:cs="Palatino Linotype"/>
          <w:color w:val="000000"/>
        </w:rPr>
        <w:t>del presente recurso de revisión, por resultar improcedente, en términos de la fracción I, del artículo 192, de la Ley de Transparencia y Acceso a la Información Pública Estatal.</w:t>
      </w:r>
    </w:p>
    <w:p w14:paraId="3A9DD0FA" w14:textId="77777777" w:rsidR="0062580E" w:rsidRPr="00862ADF" w:rsidRDefault="0062580E">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A9DD0FB" w14:textId="77777777" w:rsidR="0062580E" w:rsidRDefault="00BA5138">
      <w:pPr>
        <w:numPr>
          <w:ilvl w:val="0"/>
          <w:numId w:val="2"/>
        </w:numPr>
        <w:pBdr>
          <w:top w:val="nil"/>
          <w:left w:val="nil"/>
          <w:bottom w:val="nil"/>
          <w:right w:val="nil"/>
          <w:between w:val="nil"/>
        </w:pBdr>
        <w:tabs>
          <w:tab w:val="left" w:pos="426"/>
        </w:tabs>
        <w:spacing w:after="240" w:line="360" w:lineRule="auto"/>
        <w:ind w:left="0" w:right="49" w:firstLine="0"/>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color w:val="000000"/>
        </w:rPr>
        <w:t>Por lo anteriormente expuesto, este Órgano Garante emite los siguientes: ----------</w:t>
      </w:r>
    </w:p>
    <w:p w14:paraId="3A9DD0FC" w14:textId="77777777" w:rsidR="00862ADF" w:rsidRDefault="00862ADF" w:rsidP="00862ADF">
      <w:pPr>
        <w:pStyle w:val="Prrafodelista"/>
        <w:rPr>
          <w:rFonts w:ascii="Palatino Linotype" w:eastAsia="Palatino Linotype" w:hAnsi="Palatino Linotype" w:cs="Palatino Linotype"/>
          <w:color w:val="000000"/>
        </w:rPr>
      </w:pPr>
    </w:p>
    <w:p w14:paraId="3A9DD0FD" w14:textId="77777777" w:rsidR="00862ADF" w:rsidRPr="00862ADF" w:rsidRDefault="00862ADF" w:rsidP="00862ADF">
      <w:pPr>
        <w:pBdr>
          <w:top w:val="nil"/>
          <w:left w:val="nil"/>
          <w:bottom w:val="nil"/>
          <w:right w:val="nil"/>
          <w:between w:val="nil"/>
        </w:pBdr>
        <w:tabs>
          <w:tab w:val="left" w:pos="426"/>
        </w:tabs>
        <w:spacing w:after="240" w:line="360" w:lineRule="auto"/>
        <w:ind w:right="49"/>
        <w:jc w:val="both"/>
        <w:rPr>
          <w:rFonts w:ascii="Palatino Linotype" w:eastAsia="Palatino Linotype" w:hAnsi="Palatino Linotype" w:cs="Palatino Linotype"/>
          <w:color w:val="000000"/>
        </w:rPr>
      </w:pPr>
    </w:p>
    <w:p w14:paraId="3A9DD0FE" w14:textId="77777777" w:rsidR="0062580E" w:rsidRPr="00862ADF" w:rsidRDefault="00BA5138">
      <w:pPr>
        <w:pStyle w:val="Ttulo1"/>
        <w:spacing w:line="360" w:lineRule="auto"/>
        <w:jc w:val="center"/>
        <w:rPr>
          <w:rFonts w:ascii="Palatino Linotype" w:eastAsia="Palatino Linotype" w:hAnsi="Palatino Linotype" w:cs="Palatino Linotype"/>
          <w:b/>
          <w:color w:val="000000"/>
          <w:sz w:val="24"/>
          <w:szCs w:val="24"/>
        </w:rPr>
      </w:pPr>
      <w:bookmarkStart w:id="8" w:name="_heading=h.4d34og8" w:colFirst="0" w:colLast="0"/>
      <w:bookmarkEnd w:id="8"/>
      <w:r w:rsidRPr="00862ADF">
        <w:rPr>
          <w:rFonts w:ascii="Palatino Linotype" w:eastAsia="Palatino Linotype" w:hAnsi="Palatino Linotype" w:cs="Palatino Linotype"/>
          <w:b/>
          <w:color w:val="000000"/>
          <w:sz w:val="24"/>
          <w:szCs w:val="24"/>
        </w:rPr>
        <w:lastRenderedPageBreak/>
        <w:t>R E S O L U T I V O S</w:t>
      </w:r>
    </w:p>
    <w:p w14:paraId="3A9DD0FF" w14:textId="77777777" w:rsidR="0062580E" w:rsidRPr="00862ADF" w:rsidRDefault="0062580E"/>
    <w:p w14:paraId="3A9DD100" w14:textId="77777777" w:rsidR="0062580E" w:rsidRPr="00862ADF" w:rsidRDefault="00BA5138">
      <w:pPr>
        <w:spacing w:after="240" w:line="360" w:lineRule="auto"/>
        <w:jc w:val="both"/>
        <w:rPr>
          <w:rFonts w:ascii="Palatino Linotype" w:eastAsia="Palatino Linotype" w:hAnsi="Palatino Linotype" w:cs="Palatino Linotype"/>
        </w:rPr>
      </w:pPr>
      <w:r w:rsidRPr="00862ADF">
        <w:rPr>
          <w:rFonts w:ascii="Palatino Linotype" w:eastAsia="Palatino Linotype" w:hAnsi="Palatino Linotype" w:cs="Palatino Linotype"/>
          <w:b/>
        </w:rPr>
        <w:t>PRIMERO.</w:t>
      </w:r>
      <w:r w:rsidRPr="00862ADF">
        <w:rPr>
          <w:rFonts w:ascii="Palatino Linotype" w:eastAsia="Palatino Linotype" w:hAnsi="Palatino Linotype" w:cs="Palatino Linotype"/>
        </w:rPr>
        <w:t xml:space="preserve"> Se </w:t>
      </w:r>
      <w:r w:rsidRPr="00862ADF">
        <w:rPr>
          <w:rFonts w:ascii="Palatino Linotype" w:eastAsia="Palatino Linotype" w:hAnsi="Palatino Linotype" w:cs="Palatino Linotype"/>
          <w:b/>
        </w:rPr>
        <w:t>SOBRESEE</w:t>
      </w:r>
      <w:r w:rsidRPr="00862ADF">
        <w:rPr>
          <w:rFonts w:ascii="Palatino Linotype" w:eastAsia="Palatino Linotype" w:hAnsi="Palatino Linotype" w:cs="Palatino Linotype"/>
        </w:rPr>
        <w:t xml:space="preserve"> el recurso de revisión número</w:t>
      </w:r>
      <w:r w:rsidRPr="00862ADF">
        <w:rPr>
          <w:rFonts w:ascii="Verdana" w:eastAsia="Verdana" w:hAnsi="Verdana" w:cs="Verdana"/>
          <w:b/>
          <w:color w:val="FF0000"/>
        </w:rPr>
        <w:t xml:space="preserve"> </w:t>
      </w:r>
      <w:r w:rsidRPr="00862ADF">
        <w:rPr>
          <w:rFonts w:ascii="Palatino Linotype" w:eastAsia="Palatino Linotype" w:hAnsi="Palatino Linotype" w:cs="Palatino Linotype"/>
          <w:b/>
        </w:rPr>
        <w:t xml:space="preserve">04103/INFOEM/IP/RR/2024, </w:t>
      </w:r>
      <w:r w:rsidRPr="00862ADF">
        <w:rPr>
          <w:rFonts w:ascii="Palatino Linotype" w:eastAsia="Palatino Linotype" w:hAnsi="Palatino Linotype" w:cs="Palatino Linotype"/>
        </w:rPr>
        <w:t>en términos de lo establecido en el artículo 192 fracción I de la Ley de Transparencia y Acceso a la Información Pública del Estado de México y Municipios, por haberse desistido expresamente</w:t>
      </w:r>
      <w:r w:rsidRPr="00862ADF">
        <w:rPr>
          <w:rFonts w:ascii="Palatino Linotype" w:eastAsia="Palatino Linotype" w:hAnsi="Palatino Linotype" w:cs="Palatino Linotype"/>
          <w:b/>
        </w:rPr>
        <w:t xml:space="preserve"> el</w:t>
      </w:r>
      <w:r w:rsidRPr="00862ADF">
        <w:rPr>
          <w:rFonts w:ascii="Palatino Linotype" w:eastAsia="Palatino Linotype" w:hAnsi="Palatino Linotype" w:cs="Palatino Linotype"/>
        </w:rPr>
        <w:t xml:space="preserve"> </w:t>
      </w:r>
      <w:r w:rsidRPr="00862ADF">
        <w:rPr>
          <w:rFonts w:ascii="Palatino Linotype" w:eastAsia="Palatino Linotype" w:hAnsi="Palatino Linotype" w:cs="Palatino Linotype"/>
          <w:b/>
        </w:rPr>
        <w:t>RECURRENTE</w:t>
      </w:r>
      <w:r w:rsidRPr="00862ADF">
        <w:rPr>
          <w:rFonts w:ascii="Palatino Linotype" w:eastAsia="Palatino Linotype" w:hAnsi="Palatino Linotype" w:cs="Palatino Linotype"/>
        </w:rPr>
        <w:t xml:space="preserve">, en términos del </w:t>
      </w:r>
      <w:r w:rsidRPr="00862ADF">
        <w:rPr>
          <w:rFonts w:ascii="Palatino Linotype" w:eastAsia="Palatino Linotype" w:hAnsi="Palatino Linotype" w:cs="Palatino Linotype"/>
          <w:b/>
        </w:rPr>
        <w:t>considerando TERCERO</w:t>
      </w:r>
      <w:r w:rsidRPr="00862ADF">
        <w:rPr>
          <w:rFonts w:ascii="Palatino Linotype" w:eastAsia="Palatino Linotype" w:hAnsi="Palatino Linotype" w:cs="Palatino Linotype"/>
        </w:rPr>
        <w:t xml:space="preserve"> de la presente resolución.</w:t>
      </w:r>
    </w:p>
    <w:p w14:paraId="3A9DD101" w14:textId="77777777" w:rsidR="0062580E" w:rsidRPr="00862ADF" w:rsidRDefault="00BA5138">
      <w:pPr>
        <w:pBdr>
          <w:top w:val="nil"/>
          <w:left w:val="nil"/>
          <w:bottom w:val="nil"/>
          <w:right w:val="nil"/>
          <w:between w:val="nil"/>
        </w:pBdr>
        <w:spacing w:after="240" w:line="360" w:lineRule="auto"/>
        <w:jc w:val="both"/>
        <w:rPr>
          <w:rFonts w:ascii="Palatino Linotype" w:eastAsia="Palatino Linotype" w:hAnsi="Palatino Linotype" w:cs="Palatino Linotype"/>
          <w:b/>
          <w:color w:val="000000"/>
        </w:rPr>
      </w:pPr>
      <w:r w:rsidRPr="00862ADF">
        <w:rPr>
          <w:rFonts w:ascii="Palatino Linotype" w:eastAsia="Palatino Linotype" w:hAnsi="Palatino Linotype" w:cs="Palatino Linotype"/>
          <w:b/>
          <w:color w:val="000000"/>
        </w:rPr>
        <w:t xml:space="preserve">SEGUNDO. REMÍTASE </w:t>
      </w:r>
      <w:r w:rsidRPr="00862ADF">
        <w:rPr>
          <w:rFonts w:ascii="Palatino Linotype" w:eastAsia="Palatino Linotype" w:hAnsi="Palatino Linotype" w:cs="Palatino Linotype"/>
          <w:color w:val="000000"/>
        </w:rPr>
        <w:t xml:space="preserve">a través del Sistema de Acceso a la Información Mexiquense </w:t>
      </w:r>
      <w:r w:rsidRPr="00862ADF">
        <w:rPr>
          <w:rFonts w:ascii="Palatino Linotype" w:eastAsia="Palatino Linotype" w:hAnsi="Palatino Linotype" w:cs="Palatino Linotype"/>
          <w:b/>
          <w:color w:val="000000"/>
        </w:rPr>
        <w:t xml:space="preserve">(SAIMEX), </w:t>
      </w:r>
      <w:r w:rsidRPr="00862ADF">
        <w:rPr>
          <w:rFonts w:ascii="Palatino Linotype" w:eastAsia="Palatino Linotype" w:hAnsi="Palatino Linotype" w:cs="Palatino Linotype"/>
          <w:color w:val="000000"/>
        </w:rPr>
        <w:t>la presente resolución al Titular de la Unidad de Transparencia del</w:t>
      </w:r>
      <w:r w:rsidRPr="00862ADF">
        <w:rPr>
          <w:rFonts w:ascii="Palatino Linotype" w:eastAsia="Palatino Linotype" w:hAnsi="Palatino Linotype" w:cs="Palatino Linotype"/>
          <w:b/>
          <w:color w:val="000000"/>
        </w:rPr>
        <w:t xml:space="preserve"> SUJETO OBLIGADO. </w:t>
      </w:r>
    </w:p>
    <w:p w14:paraId="3A9DD102" w14:textId="77777777" w:rsidR="0062580E" w:rsidRPr="00862ADF" w:rsidRDefault="00BA5138">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b/>
          <w:color w:val="000000"/>
        </w:rPr>
        <w:t xml:space="preserve">TERCERO. Notifíquese al RECURRENTE </w:t>
      </w:r>
      <w:r w:rsidRPr="00862ADF">
        <w:rPr>
          <w:rFonts w:ascii="Palatino Linotype" w:eastAsia="Palatino Linotype" w:hAnsi="Palatino Linotype" w:cs="Palatino Linotype"/>
          <w:color w:val="000000"/>
        </w:rPr>
        <w:t>la presente resolución vía SAIMEX.</w:t>
      </w:r>
    </w:p>
    <w:p w14:paraId="3A9DD103" w14:textId="77777777" w:rsidR="0062580E" w:rsidRPr="00862ADF" w:rsidRDefault="00BA513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62ADF">
        <w:rPr>
          <w:rFonts w:ascii="Palatino Linotype" w:eastAsia="Palatino Linotype" w:hAnsi="Palatino Linotype" w:cs="Palatino Linotype"/>
          <w:b/>
          <w:color w:val="000000"/>
        </w:rPr>
        <w:t>CUARTO.</w:t>
      </w:r>
      <w:r w:rsidRPr="00862ADF">
        <w:rPr>
          <w:rFonts w:ascii="Palatino Linotype" w:eastAsia="Palatino Linotype" w:hAnsi="Palatino Linotype" w:cs="Palatino Linotype"/>
          <w:color w:val="000000"/>
        </w:rPr>
        <w:t xml:space="preserve"> Se hace del conocimiento del </w:t>
      </w:r>
      <w:r w:rsidRPr="00862ADF">
        <w:rPr>
          <w:rFonts w:ascii="Palatino Linotype" w:eastAsia="Palatino Linotype" w:hAnsi="Palatino Linotype" w:cs="Palatino Linotype"/>
          <w:b/>
          <w:color w:val="000000"/>
        </w:rPr>
        <w:t xml:space="preserve">RECURRENTE </w:t>
      </w:r>
      <w:r w:rsidRPr="00862ADF">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3A9DD104" w14:textId="77777777" w:rsidR="0062580E" w:rsidRPr="00AB31E7" w:rsidRDefault="0062580E" w:rsidP="00AB31E7">
      <w:pPr>
        <w:pBdr>
          <w:top w:val="nil"/>
          <w:left w:val="nil"/>
          <w:bottom w:val="nil"/>
          <w:right w:val="nil"/>
          <w:between w:val="nil"/>
        </w:pBdr>
        <w:spacing w:line="360" w:lineRule="auto"/>
        <w:ind w:firstLine="720"/>
        <w:jc w:val="both"/>
        <w:rPr>
          <w:rFonts w:ascii="Palatino Linotype" w:eastAsia="Palatino Linotype" w:hAnsi="Palatino Linotype" w:cs="Palatino Linotype"/>
          <w:color w:val="000000"/>
          <w:sz w:val="14"/>
        </w:rPr>
      </w:pPr>
    </w:p>
    <w:p w14:paraId="504397CC" w14:textId="77777777" w:rsidR="00C977A3" w:rsidRPr="00E37AF3" w:rsidRDefault="00C977A3" w:rsidP="00AB31E7">
      <w:pPr>
        <w:spacing w:line="276" w:lineRule="auto"/>
        <w:ind w:firstLine="1"/>
        <w:jc w:val="both"/>
        <w:rPr>
          <w:rFonts w:ascii="Palatino Linotype" w:hAnsi="Palatino Linotype"/>
        </w:rPr>
      </w:pPr>
      <w:bookmarkStart w:id="9" w:name="_heading=h.17dp8vu" w:colFirst="0" w:colLast="0"/>
      <w:bookmarkEnd w:id="9"/>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3A9DD10C" w14:textId="393A92AE" w:rsidR="0062580E" w:rsidRPr="00AB31E7" w:rsidRDefault="0062580E">
      <w:pPr>
        <w:rPr>
          <w:rFonts w:ascii="Palatino Linotype" w:eastAsia="Palatino Linotype" w:hAnsi="Palatino Linotype" w:cs="Palatino Linotype"/>
        </w:rPr>
      </w:pPr>
      <w:bookmarkStart w:id="10" w:name="_GoBack"/>
      <w:bookmarkEnd w:id="10"/>
    </w:p>
    <w:sectPr w:rsidR="0062580E" w:rsidRPr="00AB31E7">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F1314" w14:textId="77777777" w:rsidR="0036328E" w:rsidRDefault="0036328E">
      <w:r>
        <w:separator/>
      </w:r>
    </w:p>
  </w:endnote>
  <w:endnote w:type="continuationSeparator" w:id="0">
    <w:p w14:paraId="4A8C6CAF" w14:textId="77777777" w:rsidR="0036328E" w:rsidRDefault="0036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DD124" w14:textId="77777777" w:rsidR="0062580E" w:rsidRDefault="00BA513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B31E7">
      <w:rPr>
        <w:b/>
        <w:noProof/>
        <w:color w:val="000000"/>
      </w:rPr>
      <w:t>11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B31E7">
      <w:rPr>
        <w:b/>
        <w:noProof/>
        <w:color w:val="000000"/>
      </w:rPr>
      <w:t>11</w:t>
    </w:r>
    <w:r>
      <w:rPr>
        <w:b/>
        <w:color w:val="000000"/>
      </w:rPr>
      <w:fldChar w:fldCharType="end"/>
    </w:r>
  </w:p>
  <w:p w14:paraId="3A9DD125" w14:textId="77777777" w:rsidR="0062580E" w:rsidRDefault="0062580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DD137" w14:textId="77777777" w:rsidR="0062580E" w:rsidRDefault="00BA513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B31E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B31E7">
      <w:rPr>
        <w:b/>
        <w:noProof/>
        <w:color w:val="000000"/>
      </w:rPr>
      <w:t>11</w:t>
    </w:r>
    <w:r>
      <w:rPr>
        <w:b/>
        <w:color w:val="000000"/>
      </w:rPr>
      <w:fldChar w:fldCharType="end"/>
    </w:r>
  </w:p>
  <w:p w14:paraId="3A9DD138" w14:textId="77777777" w:rsidR="0062580E" w:rsidRDefault="0062580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A1D06" w14:textId="77777777" w:rsidR="0036328E" w:rsidRDefault="0036328E">
      <w:r>
        <w:separator/>
      </w:r>
    </w:p>
  </w:footnote>
  <w:footnote w:type="continuationSeparator" w:id="0">
    <w:p w14:paraId="63BF5396" w14:textId="77777777" w:rsidR="0036328E" w:rsidRDefault="0036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DD115" w14:textId="77777777" w:rsidR="0062580E" w:rsidRDefault="0036328E">
    <w:pPr>
      <w:pBdr>
        <w:top w:val="nil"/>
        <w:left w:val="nil"/>
        <w:bottom w:val="nil"/>
        <w:right w:val="nil"/>
        <w:between w:val="nil"/>
      </w:pBdr>
      <w:tabs>
        <w:tab w:val="center" w:pos="4419"/>
        <w:tab w:val="right" w:pos="8838"/>
      </w:tabs>
      <w:rPr>
        <w:color w:val="000000"/>
      </w:rPr>
    </w:pPr>
    <w:r>
      <w:rPr>
        <w:color w:val="000000"/>
      </w:rPr>
      <w:pict w14:anchorId="3A9DD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9214" w:type="dxa"/>
      <w:tblInd w:w="0" w:type="dxa"/>
      <w:tblLayout w:type="fixed"/>
      <w:tblLook w:val="0400" w:firstRow="0" w:lastRow="0" w:firstColumn="0" w:lastColumn="0" w:noHBand="0" w:noVBand="1"/>
    </w:tblPr>
    <w:tblGrid>
      <w:gridCol w:w="2268"/>
      <w:gridCol w:w="6946"/>
    </w:tblGrid>
    <w:tr w:rsidR="0062580E" w14:paraId="3A9DD122" w14:textId="77777777">
      <w:trPr>
        <w:trHeight w:val="1435"/>
      </w:trPr>
      <w:tc>
        <w:tcPr>
          <w:tcW w:w="2268" w:type="dxa"/>
          <w:shd w:val="clear" w:color="auto" w:fill="auto"/>
        </w:tcPr>
        <w:p w14:paraId="3A9DD116" w14:textId="77777777" w:rsidR="0062580E" w:rsidRDefault="0062580E">
          <w:pPr>
            <w:tabs>
              <w:tab w:val="right" w:pos="4273"/>
            </w:tabs>
            <w:rPr>
              <w:rFonts w:ascii="Garamond" w:eastAsia="Garamond" w:hAnsi="Garamond" w:cs="Garamond"/>
              <w:sz w:val="16"/>
              <w:szCs w:val="16"/>
            </w:rPr>
          </w:pPr>
        </w:p>
      </w:tc>
      <w:tc>
        <w:tcPr>
          <w:tcW w:w="6946" w:type="dxa"/>
          <w:shd w:val="clear" w:color="auto" w:fill="auto"/>
        </w:tcPr>
        <w:tbl>
          <w:tblPr>
            <w:tblStyle w:val="a1"/>
            <w:tblW w:w="6662" w:type="dxa"/>
            <w:tblInd w:w="1019" w:type="dxa"/>
            <w:tblLayout w:type="fixed"/>
            <w:tblLook w:val="0400" w:firstRow="0" w:lastRow="0" w:firstColumn="0" w:lastColumn="0" w:noHBand="0" w:noVBand="1"/>
          </w:tblPr>
          <w:tblGrid>
            <w:gridCol w:w="2551"/>
            <w:gridCol w:w="4111"/>
          </w:tblGrid>
          <w:tr w:rsidR="0062580E" w14:paraId="3A9DD119" w14:textId="77777777" w:rsidTr="00862ADF">
            <w:trPr>
              <w:trHeight w:val="150"/>
            </w:trPr>
            <w:tc>
              <w:tcPr>
                <w:tcW w:w="2551" w:type="dxa"/>
                <w:shd w:val="clear" w:color="auto" w:fill="auto"/>
              </w:tcPr>
              <w:p w14:paraId="3A9DD117" w14:textId="77777777" w:rsidR="0062580E" w:rsidRDefault="00BA513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3A9DD118" w14:textId="77777777" w:rsidR="0062580E" w:rsidRDefault="00BA5138">
                <w:pPr>
                  <w:tabs>
                    <w:tab w:val="right" w:pos="8838"/>
                  </w:tabs>
                  <w:ind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04103/INFOEM/IP/RR/2024</w:t>
                </w:r>
              </w:p>
            </w:tc>
          </w:tr>
          <w:tr w:rsidR="0062580E" w14:paraId="3A9DD11C" w14:textId="77777777" w:rsidTr="00862ADF">
            <w:trPr>
              <w:trHeight w:val="295"/>
            </w:trPr>
            <w:tc>
              <w:tcPr>
                <w:tcW w:w="2551" w:type="dxa"/>
                <w:shd w:val="clear" w:color="auto" w:fill="auto"/>
              </w:tcPr>
              <w:p w14:paraId="3A9DD11A" w14:textId="77777777" w:rsidR="0062580E" w:rsidRDefault="00BA513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3A9DD11B" w14:textId="77777777" w:rsidR="0062580E" w:rsidRDefault="00BA5138">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Movilidad</w:t>
                </w:r>
              </w:p>
            </w:tc>
          </w:tr>
          <w:tr w:rsidR="0062580E" w14:paraId="3A9DD120" w14:textId="77777777" w:rsidTr="00862ADF">
            <w:trPr>
              <w:trHeight w:val="295"/>
            </w:trPr>
            <w:tc>
              <w:tcPr>
                <w:tcW w:w="2551" w:type="dxa"/>
                <w:shd w:val="clear" w:color="auto" w:fill="auto"/>
              </w:tcPr>
              <w:p w14:paraId="3A9DD11D" w14:textId="77777777" w:rsidR="0062580E" w:rsidRDefault="00BA513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14:paraId="3A9DD11E" w14:textId="77777777" w:rsidR="0062580E" w:rsidRDefault="00BA5138">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A9DD11F" w14:textId="77777777" w:rsidR="0062580E" w:rsidRDefault="0062580E">
                <w:pPr>
                  <w:tabs>
                    <w:tab w:val="right" w:pos="8838"/>
                  </w:tabs>
                  <w:ind w:left="-108" w:right="171"/>
                  <w:jc w:val="both"/>
                  <w:rPr>
                    <w:rFonts w:ascii="Palatino Linotype" w:eastAsia="Palatino Linotype" w:hAnsi="Palatino Linotype" w:cs="Palatino Linotype"/>
                    <w:b/>
                    <w:sz w:val="22"/>
                    <w:szCs w:val="22"/>
                  </w:rPr>
                </w:pPr>
              </w:p>
            </w:tc>
          </w:tr>
        </w:tbl>
        <w:p w14:paraId="3A9DD121" w14:textId="77777777" w:rsidR="0062580E" w:rsidRDefault="0062580E">
          <w:pPr>
            <w:tabs>
              <w:tab w:val="right" w:pos="8838"/>
            </w:tabs>
            <w:ind w:left="-28"/>
            <w:jc w:val="both"/>
            <w:rPr>
              <w:rFonts w:ascii="Arial" w:eastAsia="Arial" w:hAnsi="Arial" w:cs="Arial"/>
              <w:b/>
              <w:sz w:val="22"/>
              <w:szCs w:val="22"/>
            </w:rPr>
          </w:pPr>
        </w:p>
      </w:tc>
    </w:tr>
  </w:tbl>
  <w:p w14:paraId="3A9DD123" w14:textId="77777777" w:rsidR="0062580E" w:rsidRDefault="0036328E">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A9DD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9072" w:type="dxa"/>
      <w:tblInd w:w="0" w:type="dxa"/>
      <w:tblLayout w:type="fixed"/>
      <w:tblLook w:val="0400" w:firstRow="0" w:lastRow="0" w:firstColumn="0" w:lastColumn="0" w:noHBand="0" w:noVBand="1"/>
    </w:tblPr>
    <w:tblGrid>
      <w:gridCol w:w="2268"/>
      <w:gridCol w:w="6804"/>
    </w:tblGrid>
    <w:tr w:rsidR="0062580E" w14:paraId="3A9DD135" w14:textId="77777777">
      <w:trPr>
        <w:trHeight w:val="1435"/>
      </w:trPr>
      <w:tc>
        <w:tcPr>
          <w:tcW w:w="2268" w:type="dxa"/>
          <w:shd w:val="clear" w:color="auto" w:fill="auto"/>
        </w:tcPr>
        <w:p w14:paraId="3A9DD126" w14:textId="77777777" w:rsidR="0062580E" w:rsidRDefault="0062580E">
          <w:pPr>
            <w:tabs>
              <w:tab w:val="right" w:pos="4273"/>
            </w:tabs>
            <w:rPr>
              <w:rFonts w:ascii="Garamond" w:eastAsia="Garamond" w:hAnsi="Garamond" w:cs="Garamond"/>
              <w:sz w:val="22"/>
              <w:szCs w:val="22"/>
            </w:rPr>
          </w:pPr>
        </w:p>
      </w:tc>
      <w:tc>
        <w:tcPr>
          <w:tcW w:w="6804" w:type="dxa"/>
          <w:shd w:val="clear" w:color="auto" w:fill="auto"/>
        </w:tcPr>
        <w:tbl>
          <w:tblPr>
            <w:tblStyle w:val="a3"/>
            <w:tblW w:w="6662" w:type="dxa"/>
            <w:tblInd w:w="878" w:type="dxa"/>
            <w:tblLayout w:type="fixed"/>
            <w:tblLook w:val="0400" w:firstRow="0" w:lastRow="0" w:firstColumn="0" w:lastColumn="0" w:noHBand="0" w:noVBand="1"/>
          </w:tblPr>
          <w:tblGrid>
            <w:gridCol w:w="2444"/>
            <w:gridCol w:w="4218"/>
          </w:tblGrid>
          <w:tr w:rsidR="0062580E" w14:paraId="3A9DD129" w14:textId="77777777" w:rsidTr="00862ADF">
            <w:trPr>
              <w:trHeight w:val="144"/>
            </w:trPr>
            <w:tc>
              <w:tcPr>
                <w:tcW w:w="2444" w:type="dxa"/>
                <w:shd w:val="clear" w:color="auto" w:fill="auto"/>
              </w:tcPr>
              <w:p w14:paraId="3A9DD127" w14:textId="77777777" w:rsidR="0062580E" w:rsidRDefault="00BA5138">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3A9DD128" w14:textId="77777777" w:rsidR="0062580E" w:rsidRDefault="00BA513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04103/INFOEM/IP/RR/2024</w:t>
                </w:r>
              </w:p>
            </w:tc>
          </w:tr>
          <w:tr w:rsidR="0062580E" w14:paraId="3A9DD12C" w14:textId="77777777" w:rsidTr="00862ADF">
            <w:trPr>
              <w:trHeight w:val="144"/>
            </w:trPr>
            <w:tc>
              <w:tcPr>
                <w:tcW w:w="2444" w:type="dxa"/>
                <w:shd w:val="clear" w:color="auto" w:fill="auto"/>
              </w:tcPr>
              <w:p w14:paraId="3A9DD12A" w14:textId="77777777" w:rsidR="0062580E" w:rsidRDefault="00BA513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3A9DD12B" w14:textId="77777777" w:rsidR="0062580E" w:rsidRDefault="0062580E">
                <w:pPr>
                  <w:tabs>
                    <w:tab w:val="left" w:pos="3122"/>
                    <w:tab w:val="right" w:pos="8838"/>
                  </w:tabs>
                  <w:ind w:left="-74" w:right="-105"/>
                  <w:jc w:val="both"/>
                  <w:rPr>
                    <w:rFonts w:ascii="Palatino Linotype" w:eastAsia="Palatino Linotype" w:hAnsi="Palatino Linotype" w:cs="Palatino Linotype"/>
                    <w:sz w:val="22"/>
                    <w:szCs w:val="22"/>
                  </w:rPr>
                </w:pPr>
              </w:p>
            </w:tc>
          </w:tr>
          <w:tr w:rsidR="0062580E" w14:paraId="3A9DD12F" w14:textId="77777777" w:rsidTr="00862ADF">
            <w:trPr>
              <w:trHeight w:val="283"/>
            </w:trPr>
            <w:tc>
              <w:tcPr>
                <w:tcW w:w="2444" w:type="dxa"/>
                <w:shd w:val="clear" w:color="auto" w:fill="auto"/>
              </w:tcPr>
              <w:p w14:paraId="3A9DD12D" w14:textId="77777777" w:rsidR="0062580E" w:rsidRDefault="00BA513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3A9DD12E" w14:textId="77777777" w:rsidR="0062580E" w:rsidRDefault="00BA5138">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Secretaría de Movilidad </w:t>
                </w:r>
              </w:p>
            </w:tc>
          </w:tr>
          <w:tr w:rsidR="0062580E" w14:paraId="3A9DD133" w14:textId="77777777" w:rsidTr="00862ADF">
            <w:trPr>
              <w:trHeight w:val="283"/>
            </w:trPr>
            <w:tc>
              <w:tcPr>
                <w:tcW w:w="2444" w:type="dxa"/>
                <w:shd w:val="clear" w:color="auto" w:fill="auto"/>
              </w:tcPr>
              <w:p w14:paraId="3A9DD130" w14:textId="77777777" w:rsidR="0062580E" w:rsidRDefault="00BA513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14:paraId="3A9DD131" w14:textId="77777777" w:rsidR="0062580E" w:rsidRDefault="00BA513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A9DD132" w14:textId="77777777" w:rsidR="0062580E" w:rsidRDefault="0062580E">
                <w:pPr>
                  <w:tabs>
                    <w:tab w:val="right" w:pos="8838"/>
                  </w:tabs>
                  <w:ind w:left="-74" w:right="-105"/>
                  <w:jc w:val="both"/>
                  <w:rPr>
                    <w:rFonts w:ascii="Palatino Linotype" w:eastAsia="Palatino Linotype" w:hAnsi="Palatino Linotype" w:cs="Palatino Linotype"/>
                    <w:b/>
                    <w:sz w:val="22"/>
                    <w:szCs w:val="22"/>
                  </w:rPr>
                </w:pPr>
              </w:p>
            </w:tc>
          </w:tr>
        </w:tbl>
        <w:p w14:paraId="3A9DD134" w14:textId="77777777" w:rsidR="0062580E" w:rsidRDefault="0062580E">
          <w:pPr>
            <w:tabs>
              <w:tab w:val="right" w:pos="8838"/>
            </w:tabs>
            <w:ind w:left="-28"/>
            <w:jc w:val="both"/>
            <w:rPr>
              <w:rFonts w:ascii="Arial" w:eastAsia="Arial" w:hAnsi="Arial" w:cs="Arial"/>
              <w:b/>
              <w:sz w:val="22"/>
              <w:szCs w:val="22"/>
            </w:rPr>
          </w:pPr>
        </w:p>
      </w:tc>
    </w:tr>
  </w:tbl>
  <w:p w14:paraId="3A9DD136" w14:textId="77777777" w:rsidR="0062580E" w:rsidRDefault="0036328E">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A9DD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0917"/>
    <w:multiLevelType w:val="multilevel"/>
    <w:tmpl w:val="CC205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A039BE"/>
    <w:multiLevelType w:val="multilevel"/>
    <w:tmpl w:val="E1E21F5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0E"/>
    <w:rsid w:val="0002038B"/>
    <w:rsid w:val="0036328E"/>
    <w:rsid w:val="0062580E"/>
    <w:rsid w:val="006D1A0A"/>
    <w:rsid w:val="00862ADF"/>
    <w:rsid w:val="00AB31E7"/>
    <w:rsid w:val="00BA5138"/>
    <w:rsid w:val="00C97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9DD0A3"/>
  <w15:docId w15:val="{2B6217D2-C173-473D-B512-82A432C2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1E"/>
  </w:style>
  <w:style w:type="paragraph" w:styleId="Ttulo1">
    <w:name w:val="heading 1"/>
    <w:basedOn w:val="Normal"/>
    <w:next w:val="Normal"/>
    <w:link w:val="Ttulo1Car"/>
    <w:uiPriority w:val="9"/>
    <w:qFormat/>
    <w:rsid w:val="00E02D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02D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E02D1E"/>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E02D1E"/>
    <w:rPr>
      <w:rFonts w:asciiTheme="majorHAnsi" w:eastAsiaTheme="majorEastAsia" w:hAnsiTheme="majorHAnsi" w:cstheme="majorBidi"/>
      <w:color w:val="2E74B5" w:themeColor="accent1" w:themeShade="BF"/>
      <w:sz w:val="26"/>
      <w:szCs w:val="26"/>
      <w:lang w:val="es-MX" w:eastAsia="es-MX"/>
    </w:rPr>
  </w:style>
  <w:style w:type="paragraph" w:styleId="Encabezado">
    <w:name w:val="header"/>
    <w:basedOn w:val="Normal"/>
    <w:link w:val="EncabezadoCar"/>
    <w:uiPriority w:val="99"/>
    <w:unhideWhenUsed/>
    <w:rsid w:val="00E02D1E"/>
    <w:pPr>
      <w:tabs>
        <w:tab w:val="center" w:pos="4419"/>
        <w:tab w:val="right" w:pos="8838"/>
      </w:tabs>
    </w:pPr>
  </w:style>
  <w:style w:type="character" w:customStyle="1" w:styleId="EncabezadoCar">
    <w:name w:val="Encabezado Car"/>
    <w:basedOn w:val="Fuentedeprrafopredeter"/>
    <w:link w:val="Encabezado"/>
    <w:uiPriority w:val="99"/>
    <w:rsid w:val="00E02D1E"/>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02D1E"/>
    <w:pPr>
      <w:tabs>
        <w:tab w:val="center" w:pos="4419"/>
        <w:tab w:val="right" w:pos="8838"/>
      </w:tabs>
    </w:pPr>
  </w:style>
  <w:style w:type="character" w:customStyle="1" w:styleId="PiedepginaCar">
    <w:name w:val="Pie de página Car"/>
    <w:basedOn w:val="Fuentedeprrafopredeter"/>
    <w:link w:val="Piedepgina"/>
    <w:uiPriority w:val="99"/>
    <w:rsid w:val="00E02D1E"/>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02D1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02D1E"/>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02D1E"/>
    <w:rPr>
      <w:color w:val="0563C1"/>
      <w:u w:val="single"/>
    </w:rPr>
  </w:style>
  <w:style w:type="paragraph" w:styleId="Sinespaciado">
    <w:name w:val="No Spacing"/>
    <w:aliases w:val="Francesa"/>
    <w:link w:val="SinespaciadoCar"/>
    <w:uiPriority w:val="1"/>
    <w:qFormat/>
    <w:rsid w:val="00E02D1E"/>
    <w:rPr>
      <w:rFonts w:eastAsiaTheme="minorEastAsia"/>
      <w:lang w:val="es-ES_tradnl" w:eastAsia="es-ES"/>
    </w:rPr>
  </w:style>
  <w:style w:type="character" w:customStyle="1" w:styleId="SinespaciadoCar">
    <w:name w:val="Sin espaciado Car"/>
    <w:aliases w:val="Francesa Car"/>
    <w:link w:val="Sinespaciado"/>
    <w:uiPriority w:val="1"/>
    <w:locked/>
    <w:rsid w:val="00E02D1E"/>
    <w:rPr>
      <w:rFonts w:eastAsiaTheme="minorEastAsia"/>
      <w:sz w:val="24"/>
      <w:szCs w:val="24"/>
      <w:lang w:val="es-ES_tradnl" w:eastAsia="es-ES"/>
    </w:rPr>
  </w:style>
  <w:style w:type="character" w:styleId="Referenciasutil">
    <w:name w:val="Subtle Reference"/>
    <w:basedOn w:val="Fuentedeprrafopredeter"/>
    <w:uiPriority w:val="31"/>
    <w:qFormat/>
    <w:rsid w:val="00146A3B"/>
    <w:rPr>
      <w:rFonts w:cs="Times New Roman"/>
      <w:smallCaps/>
      <w:color w:val="5A5A5A" w:themeColor="text1" w:themeTint="A5"/>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2wL9DMMbstp5PdFWNVCt/Qekow==">CgMxLjAyCGguZ2pkZ3hzMgloLjMwajB6bGwyCWguMWZvYjl0ZTIJaC4zem55c2g3MgloLjJldDkycDAyCGgudHlqY3d0MgloLjNkeTZ2a20yCWguMXQzaDVzZjIJaC40ZDM0b2c4MgloLjE3ZHA4dnU4AHIhMUZJTWpZUWhsVmFzWkxwb0swdDA3ejFzZ2FoNENJcGNi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2364</Words>
  <Characters>13003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2024-08-23T00:24:00Z</cp:lastPrinted>
  <dcterms:created xsi:type="dcterms:W3CDTF">2024-08-08T18:59:00Z</dcterms:created>
  <dcterms:modified xsi:type="dcterms:W3CDTF">2024-08-23T00:24:00Z</dcterms:modified>
</cp:coreProperties>
</file>