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E0ED"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1D0D6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D0D6F">
        <w:rPr>
          <w:rFonts w:ascii="Palatino Linotype" w:eastAsia="Palatino Linotype" w:hAnsi="Palatino Linotype" w:cs="Palatino Linotype"/>
          <w:b/>
          <w:sz w:val="22"/>
          <w:szCs w:val="22"/>
        </w:rPr>
        <w:t>once de diciembre de dos mil veinticuatro</w:t>
      </w:r>
      <w:r w:rsidRPr="001D0D6F">
        <w:rPr>
          <w:rFonts w:ascii="Palatino Linotype" w:eastAsia="Palatino Linotype" w:hAnsi="Palatino Linotype" w:cs="Palatino Linotype"/>
          <w:sz w:val="22"/>
          <w:szCs w:val="22"/>
        </w:rPr>
        <w:t xml:space="preserve">. </w:t>
      </w:r>
    </w:p>
    <w:p w14:paraId="45DF9D31" w14:textId="15A02B92" w:rsidR="0051643A" w:rsidRPr="001D0D6F" w:rsidRDefault="00C95719">
      <w:pPr>
        <w:spacing w:before="240" w:after="240" w:line="360" w:lineRule="auto"/>
        <w:jc w:val="both"/>
        <w:rPr>
          <w:rFonts w:ascii="Palatino Linotype" w:eastAsia="Palatino Linotype" w:hAnsi="Palatino Linotype" w:cs="Palatino Linotype"/>
          <w:sz w:val="20"/>
          <w:szCs w:val="20"/>
        </w:rPr>
      </w:pPr>
      <w:bookmarkStart w:id="1" w:name="_heading=h.4d34og8" w:colFirst="0" w:colLast="0"/>
      <w:bookmarkEnd w:id="1"/>
      <w:r w:rsidRPr="001D0D6F">
        <w:rPr>
          <w:rFonts w:ascii="Palatino Linotype" w:eastAsia="Palatino Linotype" w:hAnsi="Palatino Linotype" w:cs="Palatino Linotype"/>
          <w:b/>
          <w:sz w:val="22"/>
          <w:szCs w:val="22"/>
        </w:rPr>
        <w:t>Visto</w:t>
      </w:r>
      <w:r w:rsidRPr="001D0D6F">
        <w:rPr>
          <w:rFonts w:ascii="Palatino Linotype" w:eastAsia="Palatino Linotype" w:hAnsi="Palatino Linotype" w:cs="Palatino Linotype"/>
          <w:sz w:val="22"/>
          <w:szCs w:val="22"/>
        </w:rPr>
        <w:t xml:space="preserve"> el expediente formado con motivo del recurso de revisión </w:t>
      </w:r>
      <w:r w:rsidRPr="001D0D6F">
        <w:rPr>
          <w:rFonts w:ascii="Palatino Linotype" w:eastAsia="Palatino Linotype" w:hAnsi="Palatino Linotype" w:cs="Palatino Linotype"/>
          <w:b/>
          <w:sz w:val="22"/>
          <w:szCs w:val="22"/>
        </w:rPr>
        <w:t>07209/INFOEM/IP/RR/2024</w:t>
      </w:r>
      <w:r w:rsidRPr="001D0D6F">
        <w:rPr>
          <w:rFonts w:ascii="Palatino Linotype" w:eastAsia="Palatino Linotype" w:hAnsi="Palatino Linotype" w:cs="Palatino Linotype"/>
          <w:sz w:val="22"/>
          <w:szCs w:val="22"/>
        </w:rPr>
        <w:t>, interpuesto por</w:t>
      </w:r>
      <w:r w:rsidRPr="001D0D6F">
        <w:rPr>
          <w:rFonts w:ascii="Palatino Linotype" w:eastAsia="Palatino Linotype" w:hAnsi="Palatino Linotype" w:cs="Palatino Linotype"/>
          <w:b/>
          <w:sz w:val="22"/>
          <w:szCs w:val="22"/>
        </w:rPr>
        <w:t xml:space="preserve"> </w:t>
      </w:r>
      <w:r w:rsidR="00EC5848">
        <w:rPr>
          <w:rFonts w:ascii="Palatino Linotype" w:eastAsia="Palatino Linotype" w:hAnsi="Palatino Linotype" w:cs="Palatino Linotype"/>
          <w:b/>
          <w:sz w:val="22"/>
          <w:szCs w:val="22"/>
        </w:rPr>
        <w:t>XXXXXXX XXXXXX XXXXXXXX</w:t>
      </w:r>
      <w:r w:rsidRPr="001D0D6F">
        <w:rPr>
          <w:rFonts w:ascii="Palatino Linotype" w:eastAsia="Palatino Linotype" w:hAnsi="Palatino Linotype" w:cs="Palatino Linotype"/>
          <w:b/>
          <w:sz w:val="22"/>
          <w:szCs w:val="22"/>
        </w:rPr>
        <w:t>,</w:t>
      </w:r>
      <w:r w:rsidRPr="001D0D6F">
        <w:rPr>
          <w:rFonts w:ascii="Palatino Linotype" w:eastAsia="Palatino Linotype" w:hAnsi="Palatino Linotype" w:cs="Palatino Linotype"/>
          <w:sz w:val="22"/>
          <w:szCs w:val="22"/>
        </w:rPr>
        <w:t xml:space="preserve"> en lo sucesivo</w:t>
      </w:r>
      <w:r w:rsidRPr="001D0D6F">
        <w:rPr>
          <w:rFonts w:ascii="Palatino Linotype" w:eastAsia="Palatino Linotype" w:hAnsi="Palatino Linotype" w:cs="Palatino Linotype"/>
          <w:b/>
          <w:sz w:val="22"/>
          <w:szCs w:val="22"/>
        </w:rPr>
        <w:t xml:space="preserve"> 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Recurrente,</w:t>
      </w:r>
      <w:r w:rsidRPr="001D0D6F">
        <w:rPr>
          <w:rFonts w:ascii="Palatino Linotype" w:eastAsia="Palatino Linotype" w:hAnsi="Palatino Linotype" w:cs="Palatino Linotype"/>
          <w:sz w:val="22"/>
          <w:szCs w:val="22"/>
        </w:rPr>
        <w:t xml:space="preserve"> en contra de la respuesta a su solicitud por parte de la </w:t>
      </w:r>
      <w:r w:rsidRPr="001D0D6F">
        <w:rPr>
          <w:rFonts w:ascii="Palatino Linotype" w:eastAsia="Palatino Linotype" w:hAnsi="Palatino Linotype" w:cs="Palatino Linotype"/>
          <w:b/>
          <w:sz w:val="22"/>
          <w:szCs w:val="22"/>
        </w:rPr>
        <w:t xml:space="preserve">Secretaría de Movilidad, </w:t>
      </w:r>
      <w:r w:rsidRPr="001D0D6F">
        <w:rPr>
          <w:rFonts w:ascii="Palatino Linotype" w:eastAsia="Palatino Linotype" w:hAnsi="Palatino Linotype" w:cs="Palatino Linotype"/>
          <w:sz w:val="22"/>
          <w:szCs w:val="22"/>
        </w:rPr>
        <w:t xml:space="preserve">en lo sucesivo el </w:t>
      </w:r>
      <w:r w:rsidRPr="001D0D6F">
        <w:rPr>
          <w:rFonts w:ascii="Palatino Linotype" w:eastAsia="Palatino Linotype" w:hAnsi="Palatino Linotype" w:cs="Palatino Linotype"/>
          <w:b/>
          <w:sz w:val="22"/>
          <w:szCs w:val="22"/>
        </w:rPr>
        <w:t xml:space="preserve">Sujeto Obligado, </w:t>
      </w:r>
      <w:r w:rsidRPr="001D0D6F">
        <w:rPr>
          <w:rFonts w:ascii="Palatino Linotype" w:eastAsia="Palatino Linotype" w:hAnsi="Palatino Linotype" w:cs="Palatino Linotype"/>
          <w:sz w:val="22"/>
          <w:szCs w:val="22"/>
        </w:rPr>
        <w:t xml:space="preserve">se procede a dictar la presente resolución con base en los siguientes: </w:t>
      </w:r>
    </w:p>
    <w:p w14:paraId="2E9E4A60" w14:textId="77777777" w:rsidR="0051643A" w:rsidRPr="001D0D6F" w:rsidRDefault="00C95719">
      <w:pPr>
        <w:spacing w:before="240" w:after="240" w:line="360" w:lineRule="auto"/>
        <w:jc w:val="center"/>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I. A N T E C E D E N T E S</w:t>
      </w:r>
    </w:p>
    <w:p w14:paraId="09981C18"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b/>
          <w:sz w:val="22"/>
          <w:szCs w:val="22"/>
        </w:rPr>
        <w:t>1. Solicitud de acceso a la información.</w:t>
      </w:r>
      <w:r w:rsidRPr="001D0D6F">
        <w:rPr>
          <w:rFonts w:ascii="Palatino Linotype" w:eastAsia="Palatino Linotype" w:hAnsi="Palatino Linotype" w:cs="Palatino Linotype"/>
          <w:sz w:val="22"/>
          <w:szCs w:val="22"/>
        </w:rPr>
        <w:t xml:space="preserve"> El </w:t>
      </w:r>
      <w:r w:rsidRPr="001D0D6F">
        <w:rPr>
          <w:rFonts w:ascii="Palatino Linotype" w:eastAsia="Palatino Linotype" w:hAnsi="Palatino Linotype" w:cs="Palatino Linotype"/>
          <w:b/>
          <w:sz w:val="22"/>
          <w:szCs w:val="22"/>
        </w:rPr>
        <w:t>siete de octubre de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dos mil veinticuatro,</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 xml:space="preserve">Recurrente </w:t>
      </w:r>
      <w:r w:rsidRPr="001D0D6F">
        <w:rPr>
          <w:rFonts w:ascii="Palatino Linotype" w:eastAsia="Palatino Linotype" w:hAnsi="Palatino Linotype" w:cs="Palatino Linotype"/>
          <w:sz w:val="22"/>
          <w:szCs w:val="22"/>
        </w:rPr>
        <w:t xml:space="preserve">presentó, a través del Sistema de Acceso a la Información Mexiquense, en lo subsecuente el </w:t>
      </w:r>
      <w:r w:rsidRPr="001D0D6F">
        <w:rPr>
          <w:rFonts w:ascii="Palatino Linotype" w:eastAsia="Palatino Linotype" w:hAnsi="Palatino Linotype" w:cs="Palatino Linotype"/>
          <w:b/>
          <w:sz w:val="22"/>
          <w:szCs w:val="22"/>
        </w:rPr>
        <w:t>SAIMEX,</w:t>
      </w:r>
      <w:r w:rsidRPr="001D0D6F">
        <w:rPr>
          <w:rFonts w:ascii="Palatino Linotype" w:eastAsia="Palatino Linotype" w:hAnsi="Palatino Linotype" w:cs="Palatino Linotype"/>
          <w:sz w:val="22"/>
          <w:szCs w:val="22"/>
        </w:rPr>
        <w:t xml:space="preserve"> ante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la solicitud de acceso a la información pública, a la que se le asignó el número</w:t>
      </w:r>
      <w:r w:rsidRPr="001D0D6F">
        <w:rPr>
          <w:rFonts w:ascii="Palatino Linotype" w:eastAsia="Palatino Linotype" w:hAnsi="Palatino Linotype" w:cs="Palatino Linotype"/>
          <w:b/>
          <w:sz w:val="22"/>
          <w:szCs w:val="22"/>
        </w:rPr>
        <w:t xml:space="preserve"> 00710/SMOV/IP/2024, </w:t>
      </w:r>
      <w:r w:rsidRPr="001D0D6F">
        <w:rPr>
          <w:rFonts w:ascii="Palatino Linotype" w:eastAsia="Palatino Linotype" w:hAnsi="Palatino Linotype" w:cs="Palatino Linotype"/>
          <w:sz w:val="22"/>
          <w:szCs w:val="22"/>
        </w:rPr>
        <w:t xml:space="preserve">mediante la cual requirió la información siguiente: </w:t>
      </w:r>
    </w:p>
    <w:p w14:paraId="2B7A88AE" w14:textId="36F466A8" w:rsidR="0051643A" w:rsidRPr="001D0D6F" w:rsidRDefault="00C95719">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1D0D6F">
        <w:rPr>
          <w:rFonts w:ascii="Palatino Linotype" w:eastAsia="Palatino Linotype" w:hAnsi="Palatino Linotype" w:cs="Palatino Linotype"/>
          <w:i/>
          <w:sz w:val="22"/>
          <w:szCs w:val="22"/>
        </w:rPr>
        <w:t xml:space="preserve">“Solicito de la Secretaría de Movilidad del Estado de México, la siguiente información: </w:t>
      </w:r>
      <w:r w:rsidRPr="001D0D6F">
        <w:rPr>
          <w:rFonts w:ascii="Palatino Linotype" w:eastAsia="Palatino Linotype" w:hAnsi="Palatino Linotype" w:cs="Palatino Linotype"/>
          <w:b/>
          <w:i/>
          <w:sz w:val="22"/>
          <w:szCs w:val="22"/>
          <w:u w:val="single"/>
        </w:rPr>
        <w:t xml:space="preserve">a) Que informe si el 5 de mayo de 2024, la empresa </w:t>
      </w:r>
      <w:bookmarkStart w:id="3" w:name="_Hlk187839898"/>
      <w:r w:rsidR="00EC5848">
        <w:rPr>
          <w:rFonts w:ascii="Palatino Linotype" w:eastAsia="Palatino Linotype" w:hAnsi="Palatino Linotype" w:cs="Palatino Linotype"/>
          <w:b/>
          <w:i/>
          <w:sz w:val="22"/>
          <w:szCs w:val="22"/>
          <w:u w:val="single"/>
        </w:rPr>
        <w:t>XXXXXXXX XXXXXXX</w:t>
      </w:r>
      <w:r w:rsidRPr="001D0D6F">
        <w:rPr>
          <w:rFonts w:ascii="Palatino Linotype" w:eastAsia="Palatino Linotype" w:hAnsi="Palatino Linotype" w:cs="Palatino Linotype"/>
          <w:b/>
          <w:i/>
          <w:sz w:val="22"/>
          <w:szCs w:val="22"/>
          <w:u w:val="single"/>
        </w:rPr>
        <w:t xml:space="preserve">, </w:t>
      </w:r>
      <w:r w:rsidR="00EC5848">
        <w:rPr>
          <w:rFonts w:ascii="Palatino Linotype" w:eastAsia="Palatino Linotype" w:hAnsi="Palatino Linotype" w:cs="Palatino Linotype"/>
          <w:b/>
          <w:i/>
          <w:sz w:val="22"/>
          <w:szCs w:val="22"/>
          <w:u w:val="single"/>
        </w:rPr>
        <w:t>X</w:t>
      </w:r>
      <w:r w:rsidRPr="001D0D6F">
        <w:rPr>
          <w:rFonts w:ascii="Palatino Linotype" w:eastAsia="Palatino Linotype" w:hAnsi="Palatino Linotype" w:cs="Palatino Linotype"/>
          <w:b/>
          <w:i/>
          <w:sz w:val="22"/>
          <w:szCs w:val="22"/>
          <w:u w:val="single"/>
        </w:rPr>
        <w:t>.</w:t>
      </w:r>
      <w:r w:rsidR="00EC5848">
        <w:rPr>
          <w:rFonts w:ascii="Palatino Linotype" w:eastAsia="Palatino Linotype" w:hAnsi="Palatino Linotype" w:cs="Palatino Linotype"/>
          <w:b/>
          <w:i/>
          <w:sz w:val="22"/>
          <w:szCs w:val="22"/>
          <w:u w:val="single"/>
        </w:rPr>
        <w:t>X</w:t>
      </w:r>
      <w:r w:rsidRPr="001D0D6F">
        <w:rPr>
          <w:rFonts w:ascii="Palatino Linotype" w:eastAsia="Palatino Linotype" w:hAnsi="Palatino Linotype" w:cs="Palatino Linotype"/>
          <w:b/>
          <w:i/>
          <w:sz w:val="22"/>
          <w:szCs w:val="22"/>
          <w:u w:val="single"/>
        </w:rPr>
        <w:t xml:space="preserve">. de </w:t>
      </w:r>
      <w:r w:rsidR="00EC5848">
        <w:rPr>
          <w:rFonts w:ascii="Palatino Linotype" w:eastAsia="Palatino Linotype" w:hAnsi="Palatino Linotype" w:cs="Palatino Linotype"/>
          <w:b/>
          <w:i/>
          <w:sz w:val="22"/>
          <w:szCs w:val="22"/>
          <w:u w:val="single"/>
        </w:rPr>
        <w:t>X</w:t>
      </w:r>
      <w:r w:rsidRPr="001D0D6F">
        <w:rPr>
          <w:rFonts w:ascii="Palatino Linotype" w:eastAsia="Palatino Linotype" w:hAnsi="Palatino Linotype" w:cs="Palatino Linotype"/>
          <w:b/>
          <w:i/>
          <w:sz w:val="22"/>
          <w:szCs w:val="22"/>
          <w:u w:val="single"/>
        </w:rPr>
        <w:t>.</w:t>
      </w:r>
      <w:r w:rsidR="00EC5848">
        <w:rPr>
          <w:rFonts w:ascii="Palatino Linotype" w:eastAsia="Palatino Linotype" w:hAnsi="Palatino Linotype" w:cs="Palatino Linotype"/>
          <w:b/>
          <w:i/>
          <w:sz w:val="22"/>
          <w:szCs w:val="22"/>
          <w:u w:val="single"/>
        </w:rPr>
        <w:t>X</w:t>
      </w:r>
      <w:r w:rsidRPr="001D0D6F">
        <w:rPr>
          <w:rFonts w:ascii="Palatino Linotype" w:eastAsia="Palatino Linotype" w:hAnsi="Palatino Linotype" w:cs="Palatino Linotype"/>
          <w:b/>
          <w:i/>
          <w:sz w:val="22"/>
          <w:szCs w:val="22"/>
          <w:u w:val="single"/>
        </w:rPr>
        <w:t>.</w:t>
      </w:r>
      <w:bookmarkEnd w:id="3"/>
      <w:r w:rsidRPr="001D0D6F">
        <w:rPr>
          <w:rFonts w:ascii="Palatino Linotype" w:eastAsia="Palatino Linotype" w:hAnsi="Palatino Linotype" w:cs="Palatino Linotype"/>
          <w:b/>
          <w:i/>
          <w:sz w:val="22"/>
          <w:szCs w:val="22"/>
          <w:u w:val="single"/>
        </w:rPr>
        <w:t xml:space="preserve"> era propietaria del vehículo marca </w:t>
      </w:r>
      <w:proofErr w:type="spellStart"/>
      <w:r w:rsidRPr="001D0D6F">
        <w:rPr>
          <w:rFonts w:ascii="Palatino Linotype" w:eastAsia="Palatino Linotype" w:hAnsi="Palatino Linotype" w:cs="Palatino Linotype"/>
          <w:b/>
          <w:i/>
          <w:sz w:val="22"/>
          <w:szCs w:val="22"/>
          <w:u w:val="single"/>
        </w:rPr>
        <w:t>chevrolet</w:t>
      </w:r>
      <w:proofErr w:type="spellEnd"/>
      <w:r w:rsidRPr="001D0D6F">
        <w:rPr>
          <w:rFonts w:ascii="Palatino Linotype" w:eastAsia="Palatino Linotype" w:hAnsi="Palatino Linotype" w:cs="Palatino Linotype"/>
          <w:b/>
          <w:i/>
          <w:sz w:val="22"/>
          <w:szCs w:val="22"/>
          <w:u w:val="single"/>
        </w:rPr>
        <w:t xml:space="preserve">, tipo </w:t>
      </w:r>
      <w:proofErr w:type="spellStart"/>
      <w:r w:rsidRPr="001D0D6F">
        <w:rPr>
          <w:rFonts w:ascii="Palatino Linotype" w:eastAsia="Palatino Linotype" w:hAnsi="Palatino Linotype" w:cs="Palatino Linotype"/>
          <w:b/>
          <w:i/>
          <w:sz w:val="22"/>
          <w:szCs w:val="22"/>
          <w:u w:val="single"/>
        </w:rPr>
        <w:t>aveo</w:t>
      </w:r>
      <w:proofErr w:type="spellEnd"/>
      <w:r w:rsidRPr="001D0D6F">
        <w:rPr>
          <w:rFonts w:ascii="Palatino Linotype" w:eastAsia="Palatino Linotype" w:hAnsi="Palatino Linotype" w:cs="Palatino Linotype"/>
          <w:b/>
          <w:i/>
          <w:sz w:val="22"/>
          <w:szCs w:val="22"/>
          <w:u w:val="single"/>
        </w:rPr>
        <w:t xml:space="preserve">, año/modelo 2023, con número de serie </w:t>
      </w:r>
      <w:r w:rsidR="00EC5848">
        <w:rPr>
          <w:rFonts w:ascii="Palatino Linotype" w:eastAsia="Palatino Linotype" w:hAnsi="Palatino Linotype" w:cs="Palatino Linotype"/>
          <w:b/>
          <w:i/>
          <w:sz w:val="22"/>
          <w:szCs w:val="22"/>
          <w:u w:val="single"/>
        </w:rPr>
        <w:t>XXXXXXXXXXXXXXXXX</w:t>
      </w:r>
      <w:r w:rsidRPr="001D0D6F">
        <w:rPr>
          <w:rFonts w:ascii="Palatino Linotype" w:eastAsia="Palatino Linotype" w:hAnsi="Palatino Linotype" w:cs="Palatino Linotype"/>
          <w:b/>
          <w:i/>
          <w:sz w:val="22"/>
          <w:szCs w:val="22"/>
          <w:u w:val="single"/>
        </w:rPr>
        <w:t xml:space="preserve">, con placas de circulación </w:t>
      </w:r>
      <w:r w:rsidR="00EC5848">
        <w:rPr>
          <w:rFonts w:ascii="Palatino Linotype" w:eastAsia="Palatino Linotype" w:hAnsi="Palatino Linotype" w:cs="Palatino Linotype"/>
          <w:b/>
          <w:i/>
          <w:sz w:val="22"/>
          <w:szCs w:val="22"/>
          <w:u w:val="single"/>
        </w:rPr>
        <w:t>XXXXXXX</w:t>
      </w:r>
      <w:r w:rsidRPr="001D0D6F">
        <w:rPr>
          <w:rFonts w:ascii="Palatino Linotype" w:eastAsia="Palatino Linotype" w:hAnsi="Palatino Linotype" w:cs="Palatino Linotype"/>
          <w:b/>
          <w:i/>
          <w:sz w:val="22"/>
          <w:szCs w:val="22"/>
          <w:u w:val="single"/>
        </w:rPr>
        <w:t xml:space="preserve"> del Estado de México. b) Que remita una copia certificada de la tarjeta de circulación del vehículo descrito en el inciso “a)”. c) Que informe si además de la Unidad Motriz antes descrita, la empresa </w:t>
      </w:r>
      <w:r w:rsidR="00EC5848" w:rsidRPr="00EC5848">
        <w:rPr>
          <w:rFonts w:ascii="Palatino Linotype" w:eastAsia="Palatino Linotype" w:hAnsi="Palatino Linotype" w:cs="Palatino Linotype"/>
          <w:b/>
          <w:i/>
          <w:sz w:val="22"/>
          <w:szCs w:val="22"/>
          <w:u w:val="single"/>
        </w:rPr>
        <w:t>XXXXXXXX XXXXXXX, X.X. de X.X.</w:t>
      </w:r>
      <w:r w:rsidR="00EC5848">
        <w:rPr>
          <w:rFonts w:ascii="Palatino Linotype" w:eastAsia="Palatino Linotype" w:hAnsi="Palatino Linotype" w:cs="Palatino Linotype"/>
          <w:b/>
          <w:i/>
          <w:sz w:val="22"/>
          <w:szCs w:val="22"/>
          <w:u w:val="single"/>
        </w:rPr>
        <w:t xml:space="preserve"> </w:t>
      </w:r>
      <w:r w:rsidRPr="001D0D6F">
        <w:rPr>
          <w:rFonts w:ascii="Palatino Linotype" w:eastAsia="Palatino Linotype" w:hAnsi="Palatino Linotype" w:cs="Palatino Linotype"/>
          <w:b/>
          <w:i/>
          <w:sz w:val="22"/>
          <w:szCs w:val="22"/>
          <w:u w:val="single"/>
        </w:rPr>
        <w:t>cuenta con otros vehículos registrados a su nombre. En caso afirmativo proporcionar una relación donde se describan</w:t>
      </w:r>
      <w:r w:rsidRPr="001D0D6F">
        <w:rPr>
          <w:rFonts w:ascii="Palatino Linotype" w:eastAsia="Palatino Linotype" w:hAnsi="Palatino Linotype" w:cs="Palatino Linotype"/>
          <w:i/>
          <w:sz w:val="22"/>
          <w:szCs w:val="22"/>
        </w:rPr>
        <w:t xml:space="preserve">. Para mayor información del demandado, a </w:t>
      </w:r>
      <w:proofErr w:type="gramStart"/>
      <w:r w:rsidRPr="001D0D6F">
        <w:rPr>
          <w:rFonts w:ascii="Palatino Linotype" w:eastAsia="Palatino Linotype" w:hAnsi="Palatino Linotype" w:cs="Palatino Linotype"/>
          <w:i/>
          <w:sz w:val="22"/>
          <w:szCs w:val="22"/>
        </w:rPr>
        <w:t>continuación</w:t>
      </w:r>
      <w:proofErr w:type="gramEnd"/>
      <w:r w:rsidRPr="001D0D6F">
        <w:rPr>
          <w:rFonts w:ascii="Palatino Linotype" w:eastAsia="Palatino Linotype" w:hAnsi="Palatino Linotype" w:cs="Palatino Linotype"/>
          <w:i/>
          <w:sz w:val="22"/>
          <w:szCs w:val="22"/>
        </w:rPr>
        <w:t xml:space="preserve"> se detalla su nombre y su Registro Federal de Contribuyente (RFC): Nombre: </w:t>
      </w:r>
      <w:r w:rsidR="00EC5848" w:rsidRPr="00EC5848">
        <w:rPr>
          <w:rFonts w:ascii="Palatino Linotype" w:eastAsia="Palatino Linotype" w:hAnsi="Palatino Linotype" w:cs="Palatino Linotype"/>
          <w:i/>
          <w:sz w:val="22"/>
          <w:szCs w:val="22"/>
        </w:rPr>
        <w:t>XXXXXXXX XXXXXXX, X.X. de X.X</w:t>
      </w:r>
      <w:r w:rsidRPr="001D0D6F">
        <w:rPr>
          <w:rFonts w:ascii="Palatino Linotype" w:eastAsia="Palatino Linotype" w:hAnsi="Palatino Linotype" w:cs="Palatino Linotype"/>
          <w:i/>
          <w:sz w:val="22"/>
          <w:szCs w:val="22"/>
        </w:rPr>
        <w:t xml:space="preserve">. RFC: </w:t>
      </w:r>
      <w:r w:rsidR="00EC5848">
        <w:rPr>
          <w:rFonts w:ascii="Palatino Linotype" w:eastAsia="Palatino Linotype" w:hAnsi="Palatino Linotype" w:cs="Palatino Linotype"/>
          <w:i/>
          <w:sz w:val="22"/>
          <w:szCs w:val="22"/>
        </w:rPr>
        <w:t>XXXXXXXXXXXX</w:t>
      </w:r>
      <w:r w:rsidRPr="001D0D6F">
        <w:rPr>
          <w:rFonts w:ascii="Palatino Linotype" w:eastAsia="Palatino Linotype" w:hAnsi="Palatino Linotype" w:cs="Palatino Linotype"/>
          <w:i/>
          <w:sz w:val="22"/>
          <w:szCs w:val="22"/>
        </w:rPr>
        <w:t xml:space="preserve">.” (Sic) </w:t>
      </w:r>
    </w:p>
    <w:p w14:paraId="16DA4B63" w14:textId="77777777" w:rsidR="0051643A" w:rsidRPr="001D0D6F" w:rsidRDefault="00C95719">
      <w:pPr>
        <w:spacing w:before="240" w:after="240" w:line="360" w:lineRule="auto"/>
        <w:ind w:right="49"/>
        <w:rPr>
          <w:rFonts w:ascii="Palatino Linotype" w:eastAsia="Palatino Linotype" w:hAnsi="Palatino Linotype" w:cs="Palatino Linotype"/>
          <w:sz w:val="22"/>
          <w:szCs w:val="22"/>
        </w:rPr>
      </w:pPr>
      <w:r w:rsidRPr="001D0D6F">
        <w:rPr>
          <w:rFonts w:ascii="Palatino Linotype" w:eastAsia="Palatino Linotype" w:hAnsi="Palatino Linotype" w:cs="Palatino Linotype"/>
          <w:b/>
          <w:sz w:val="22"/>
          <w:szCs w:val="22"/>
        </w:rPr>
        <w:lastRenderedPageBreak/>
        <w:t>Modalidad de Entrega:</w:t>
      </w:r>
      <w:r w:rsidRPr="001D0D6F">
        <w:rPr>
          <w:rFonts w:ascii="Palatino Linotype" w:eastAsia="Palatino Linotype" w:hAnsi="Palatino Linotype" w:cs="Palatino Linotype"/>
          <w:sz w:val="22"/>
          <w:szCs w:val="22"/>
        </w:rPr>
        <w:t xml:space="preserve"> a través </w:t>
      </w:r>
      <w:r w:rsidRPr="001D0D6F">
        <w:rPr>
          <w:rFonts w:ascii="Palatino Linotype" w:eastAsia="Palatino Linotype" w:hAnsi="Palatino Linotype" w:cs="Palatino Linotype"/>
          <w:b/>
          <w:sz w:val="22"/>
          <w:szCs w:val="22"/>
        </w:rPr>
        <w:t>de Copias certificadas (con costo)</w:t>
      </w:r>
    </w:p>
    <w:p w14:paraId="4F8AD614" w14:textId="77777777" w:rsidR="0051643A" w:rsidRPr="001D0D6F" w:rsidRDefault="00C95719">
      <w:pPr>
        <w:spacing w:before="240" w:after="240" w:line="360" w:lineRule="auto"/>
        <w:jc w:val="both"/>
        <w:rPr>
          <w:rFonts w:ascii="Palatino Linotype" w:eastAsia="Palatino Linotype" w:hAnsi="Palatino Linotype" w:cs="Palatino Linotype"/>
          <w:b/>
          <w:sz w:val="22"/>
          <w:szCs w:val="22"/>
        </w:rPr>
      </w:pPr>
      <w:bookmarkStart w:id="4" w:name="_heading=h.3dy6vkm" w:colFirst="0" w:colLast="0"/>
      <w:bookmarkEnd w:id="4"/>
      <w:r w:rsidRPr="001D0D6F">
        <w:rPr>
          <w:rFonts w:ascii="Palatino Linotype" w:eastAsia="Palatino Linotype" w:hAnsi="Palatino Linotype" w:cs="Palatino Linotype"/>
          <w:b/>
          <w:sz w:val="22"/>
          <w:szCs w:val="22"/>
        </w:rPr>
        <w:t xml:space="preserve">2. Respuesta. </w:t>
      </w:r>
      <w:r w:rsidRPr="001D0D6F">
        <w:rPr>
          <w:rFonts w:ascii="Palatino Linotype" w:eastAsia="Palatino Linotype" w:hAnsi="Palatino Linotype" w:cs="Palatino Linotype"/>
          <w:sz w:val="22"/>
          <w:szCs w:val="22"/>
        </w:rPr>
        <w:t xml:space="preserve">El </w:t>
      </w:r>
      <w:r w:rsidRPr="001D0D6F">
        <w:rPr>
          <w:rFonts w:ascii="Palatino Linotype" w:eastAsia="Palatino Linotype" w:hAnsi="Palatino Linotype" w:cs="Palatino Linotype"/>
          <w:b/>
          <w:sz w:val="22"/>
          <w:szCs w:val="22"/>
        </w:rPr>
        <w:t>veinticuatro de octubre de dos mil veinticuatro</w:t>
      </w:r>
      <w:r w:rsidRPr="001D0D6F">
        <w:rPr>
          <w:rFonts w:ascii="Palatino Linotype" w:eastAsia="Palatino Linotype" w:hAnsi="Palatino Linotype" w:cs="Palatino Linotype"/>
          <w:sz w:val="22"/>
          <w:szCs w:val="22"/>
        </w:rPr>
        <w:t xml:space="preserve">, el </w:t>
      </w:r>
      <w:r w:rsidRPr="001D0D6F">
        <w:rPr>
          <w:rFonts w:ascii="Palatino Linotype" w:eastAsia="Palatino Linotype" w:hAnsi="Palatino Linotype" w:cs="Palatino Linotype"/>
          <w:b/>
          <w:sz w:val="22"/>
          <w:szCs w:val="22"/>
        </w:rPr>
        <w:t xml:space="preserve">Sujeto Obligado, </w:t>
      </w:r>
      <w:r w:rsidRPr="001D0D6F">
        <w:rPr>
          <w:rFonts w:ascii="Palatino Linotype" w:eastAsia="Palatino Linotype" w:hAnsi="Palatino Linotype" w:cs="Palatino Linotype"/>
          <w:sz w:val="22"/>
          <w:szCs w:val="22"/>
        </w:rPr>
        <w:t>notificó la respuesta a</w:t>
      </w:r>
      <w:r w:rsidRPr="001D0D6F">
        <w:rPr>
          <w:rFonts w:ascii="Palatino Linotype" w:eastAsia="Palatino Linotype" w:hAnsi="Palatino Linotype" w:cs="Palatino Linotype"/>
          <w:b/>
          <w:sz w:val="22"/>
          <w:szCs w:val="22"/>
        </w:rPr>
        <w:t xml:space="preserve"> </w:t>
      </w:r>
      <w:r w:rsidRPr="001D0D6F">
        <w:rPr>
          <w:rFonts w:ascii="Palatino Linotype" w:eastAsia="Palatino Linotype" w:hAnsi="Palatino Linotype" w:cs="Palatino Linotype"/>
          <w:sz w:val="22"/>
          <w:szCs w:val="22"/>
        </w:rPr>
        <w:t xml:space="preserve">la solicitud de acceso a la información a través de SAIMEX, sustancialmente en los términos siguientes:   </w:t>
      </w:r>
    </w:p>
    <w:p w14:paraId="1C439130" w14:textId="77777777" w:rsidR="0051643A" w:rsidRPr="001D0D6F" w:rsidRDefault="00C95719">
      <w:pPr>
        <w:spacing w:before="240" w:after="240"/>
        <w:ind w:left="567" w:right="902"/>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25A2B2" w14:textId="0AF1C807" w:rsidR="0051643A" w:rsidRPr="001D0D6F" w:rsidRDefault="00C95719">
      <w:pPr>
        <w:spacing w:before="240" w:after="240"/>
        <w:ind w:left="567" w:right="902"/>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 xml:space="preserve">Con fundamento en los artículos 6 de la Constitución Política de los Estados Unidos Mexicanos, 78 y 143 de la Constitución Política del Estado Libre y Soberano de México; 1, 4, 23 fracción XVI y 54 y 55 de la Ley Orgánica de la Administración Pública, 1.1 fracción VI del Código Administrativo, ambos del Estado de México; 1, 4, 7, 8, 11, 12, 17, 21, 59, 92, 150, 160 y 161 de la Ley de Transparencia y Acceso a la Información Pública del Estado de México y Municipios; 1, 2, 3 fracciones VII y XI; 14 del Reglamento Interior de la Secretaría de Movilidad y en aras de un libre acceso a la información pública gubernamental, doy respuesta a su solicitud con número de folio 00710/SMOV/IP/2024, presentada ante el Instituto de Transparencia, Acceso a la Información Pública y Protección de Datos Personales del Estado de México y Municipios, mediante el cual se señala: “Solicito de la Secretaría de Movilidad del Estado de México, la siguiente información: a) Que informe si el 5 de mayo de 2024, la empresa </w:t>
      </w:r>
      <w:r w:rsidR="00EC5848" w:rsidRPr="00EC5848">
        <w:rPr>
          <w:rFonts w:ascii="Palatino Linotype" w:eastAsia="Palatino Linotype" w:hAnsi="Palatino Linotype" w:cs="Palatino Linotype"/>
          <w:i/>
          <w:sz w:val="22"/>
          <w:szCs w:val="22"/>
        </w:rPr>
        <w:t xml:space="preserve">XXXXXXXX XXXXXXX, X.X. de </w:t>
      </w:r>
      <w:proofErr w:type="spellStart"/>
      <w:r w:rsidR="00EC5848" w:rsidRPr="00EC5848">
        <w:rPr>
          <w:rFonts w:ascii="Palatino Linotype" w:eastAsia="Palatino Linotype" w:hAnsi="Palatino Linotype" w:cs="Palatino Linotype"/>
          <w:i/>
          <w:sz w:val="22"/>
          <w:szCs w:val="22"/>
        </w:rPr>
        <w:t>X.X.</w:t>
      </w:r>
      <w:r w:rsidRPr="001D0D6F">
        <w:rPr>
          <w:rFonts w:ascii="Palatino Linotype" w:eastAsia="Palatino Linotype" w:hAnsi="Palatino Linotype" w:cs="Palatino Linotype"/>
          <w:i/>
          <w:sz w:val="22"/>
          <w:szCs w:val="22"/>
        </w:rPr>
        <w:t>era</w:t>
      </w:r>
      <w:proofErr w:type="spellEnd"/>
      <w:r w:rsidRPr="001D0D6F">
        <w:rPr>
          <w:rFonts w:ascii="Palatino Linotype" w:eastAsia="Palatino Linotype" w:hAnsi="Palatino Linotype" w:cs="Palatino Linotype"/>
          <w:i/>
          <w:sz w:val="22"/>
          <w:szCs w:val="22"/>
        </w:rPr>
        <w:t xml:space="preserve"> propietaria del vehículo marca </w:t>
      </w:r>
      <w:proofErr w:type="spellStart"/>
      <w:r w:rsidRPr="001D0D6F">
        <w:rPr>
          <w:rFonts w:ascii="Palatino Linotype" w:eastAsia="Palatino Linotype" w:hAnsi="Palatino Linotype" w:cs="Palatino Linotype"/>
          <w:i/>
          <w:sz w:val="22"/>
          <w:szCs w:val="22"/>
        </w:rPr>
        <w:t>chevrolet</w:t>
      </w:r>
      <w:proofErr w:type="spellEnd"/>
      <w:r w:rsidRPr="001D0D6F">
        <w:rPr>
          <w:rFonts w:ascii="Palatino Linotype" w:eastAsia="Palatino Linotype" w:hAnsi="Palatino Linotype" w:cs="Palatino Linotype"/>
          <w:i/>
          <w:sz w:val="22"/>
          <w:szCs w:val="22"/>
        </w:rPr>
        <w:t xml:space="preserve">, tipo </w:t>
      </w:r>
      <w:proofErr w:type="spellStart"/>
      <w:r w:rsidRPr="001D0D6F">
        <w:rPr>
          <w:rFonts w:ascii="Palatino Linotype" w:eastAsia="Palatino Linotype" w:hAnsi="Palatino Linotype" w:cs="Palatino Linotype"/>
          <w:i/>
          <w:sz w:val="22"/>
          <w:szCs w:val="22"/>
        </w:rPr>
        <w:t>aveo</w:t>
      </w:r>
      <w:proofErr w:type="spellEnd"/>
      <w:r w:rsidRPr="001D0D6F">
        <w:rPr>
          <w:rFonts w:ascii="Palatino Linotype" w:eastAsia="Palatino Linotype" w:hAnsi="Palatino Linotype" w:cs="Palatino Linotype"/>
          <w:i/>
          <w:sz w:val="22"/>
          <w:szCs w:val="22"/>
        </w:rPr>
        <w:t xml:space="preserve">, año/modelo 2023, con número de serie </w:t>
      </w:r>
      <w:r w:rsidR="00EC5848">
        <w:rPr>
          <w:rFonts w:ascii="Palatino Linotype" w:eastAsia="Palatino Linotype" w:hAnsi="Palatino Linotype" w:cs="Palatino Linotype"/>
          <w:i/>
          <w:sz w:val="22"/>
          <w:szCs w:val="22"/>
        </w:rPr>
        <w:t>XXXXXXXXXXXXXXXXX</w:t>
      </w:r>
      <w:r w:rsidRPr="001D0D6F">
        <w:rPr>
          <w:rFonts w:ascii="Palatino Linotype" w:eastAsia="Palatino Linotype" w:hAnsi="Palatino Linotype" w:cs="Palatino Linotype"/>
          <w:i/>
          <w:sz w:val="22"/>
          <w:szCs w:val="22"/>
        </w:rPr>
        <w:t xml:space="preserve">, con placas de circulación </w:t>
      </w:r>
      <w:r w:rsidR="00EC5848">
        <w:rPr>
          <w:rFonts w:ascii="Palatino Linotype" w:eastAsia="Palatino Linotype" w:hAnsi="Palatino Linotype" w:cs="Palatino Linotype"/>
          <w:i/>
          <w:sz w:val="22"/>
          <w:szCs w:val="22"/>
        </w:rPr>
        <w:t>XXXXXXX</w:t>
      </w:r>
      <w:r w:rsidRPr="001D0D6F">
        <w:rPr>
          <w:rFonts w:ascii="Palatino Linotype" w:eastAsia="Palatino Linotype" w:hAnsi="Palatino Linotype" w:cs="Palatino Linotype"/>
          <w:i/>
          <w:sz w:val="22"/>
          <w:szCs w:val="22"/>
        </w:rPr>
        <w:t xml:space="preserve"> del Estado de México. b) Que remita una copia certificada de la tarjeta de circulación del vehículo descrito en el inciso “a)”. c) Que informe si además de la Unidad Motriz antes descrita, la empresa </w:t>
      </w:r>
      <w:r w:rsidR="00EC5848" w:rsidRPr="00EC5848">
        <w:rPr>
          <w:rFonts w:ascii="Palatino Linotype" w:eastAsia="Palatino Linotype" w:hAnsi="Palatino Linotype" w:cs="Palatino Linotype"/>
          <w:i/>
          <w:sz w:val="22"/>
          <w:szCs w:val="22"/>
        </w:rPr>
        <w:t>XXXXXXXX XXXXXXX, X.X. de X.X.</w:t>
      </w:r>
      <w:r w:rsidRPr="001D0D6F">
        <w:rPr>
          <w:rFonts w:ascii="Palatino Linotype" w:eastAsia="Palatino Linotype" w:hAnsi="Palatino Linotype" w:cs="Palatino Linotype"/>
          <w:i/>
          <w:sz w:val="22"/>
          <w:szCs w:val="22"/>
        </w:rPr>
        <w:t xml:space="preserve"> cuenta con otros vehículos registrados a su nombre. En caso afirmativo proporcionar una relación donde se describan. Para mayor información del demandado, a </w:t>
      </w:r>
      <w:proofErr w:type="gramStart"/>
      <w:r w:rsidRPr="001D0D6F">
        <w:rPr>
          <w:rFonts w:ascii="Palatino Linotype" w:eastAsia="Palatino Linotype" w:hAnsi="Palatino Linotype" w:cs="Palatino Linotype"/>
          <w:i/>
          <w:sz w:val="22"/>
          <w:szCs w:val="22"/>
        </w:rPr>
        <w:t>continuación</w:t>
      </w:r>
      <w:proofErr w:type="gramEnd"/>
      <w:r w:rsidRPr="001D0D6F">
        <w:rPr>
          <w:rFonts w:ascii="Palatino Linotype" w:eastAsia="Palatino Linotype" w:hAnsi="Palatino Linotype" w:cs="Palatino Linotype"/>
          <w:i/>
          <w:sz w:val="22"/>
          <w:szCs w:val="22"/>
        </w:rPr>
        <w:t xml:space="preserve"> se detalla su nombre y su Registro Federal de Contribuyente (RFC): Nombre: </w:t>
      </w:r>
      <w:r w:rsidR="00EC5848" w:rsidRPr="00EC5848">
        <w:rPr>
          <w:rFonts w:ascii="Palatino Linotype" w:eastAsia="Palatino Linotype" w:hAnsi="Palatino Linotype" w:cs="Palatino Linotype"/>
          <w:i/>
          <w:sz w:val="22"/>
          <w:szCs w:val="22"/>
        </w:rPr>
        <w:t>XXXXXXXX XXXXXXX, X.X. de X.X.</w:t>
      </w:r>
      <w:r w:rsidR="00EC5848">
        <w:rPr>
          <w:rFonts w:ascii="Palatino Linotype" w:eastAsia="Palatino Linotype" w:hAnsi="Palatino Linotype" w:cs="Palatino Linotype"/>
          <w:i/>
          <w:sz w:val="22"/>
          <w:szCs w:val="22"/>
        </w:rPr>
        <w:t xml:space="preserve"> </w:t>
      </w:r>
      <w:r w:rsidRPr="001D0D6F">
        <w:rPr>
          <w:rFonts w:ascii="Palatino Linotype" w:eastAsia="Palatino Linotype" w:hAnsi="Palatino Linotype" w:cs="Palatino Linotype"/>
          <w:i/>
          <w:sz w:val="22"/>
          <w:szCs w:val="22"/>
        </w:rPr>
        <w:t xml:space="preserve">RFC: </w:t>
      </w:r>
      <w:r w:rsidR="00EC5848">
        <w:rPr>
          <w:rFonts w:ascii="Palatino Linotype" w:eastAsia="Palatino Linotype" w:hAnsi="Palatino Linotype" w:cs="Palatino Linotype"/>
          <w:i/>
          <w:sz w:val="22"/>
          <w:szCs w:val="22"/>
        </w:rPr>
        <w:t>XXXXXXXXXXXX</w:t>
      </w:r>
      <w:r w:rsidRPr="001D0D6F">
        <w:rPr>
          <w:rFonts w:ascii="Palatino Linotype" w:eastAsia="Palatino Linotype" w:hAnsi="Palatino Linotype" w:cs="Palatino Linotype"/>
          <w:i/>
          <w:sz w:val="22"/>
          <w:szCs w:val="22"/>
        </w:rPr>
        <w:t xml:space="preserve">.” [Sic]. Al respecto, es importante invocar el artículo 143 de la Constitución Política del Estado Libre y Soberano de México, que indica, las autoridades administrativas únicamente pueden hacer lo que la ley expresamente les confiere, por lo que </w:t>
      </w:r>
      <w:r w:rsidRPr="001D0D6F">
        <w:rPr>
          <w:rFonts w:ascii="Palatino Linotype" w:eastAsia="Palatino Linotype" w:hAnsi="Palatino Linotype" w:cs="Palatino Linotype"/>
          <w:b/>
          <w:i/>
          <w:sz w:val="22"/>
          <w:szCs w:val="22"/>
          <w:u w:val="single"/>
        </w:rPr>
        <w:t xml:space="preserve">es puntual mencionar que la Secretaría de Movilidad del Estado de México, le corresponde lo relativo al servicio público de transporte de jurisdicción </w:t>
      </w:r>
      <w:r w:rsidRPr="001D0D6F">
        <w:rPr>
          <w:rFonts w:ascii="Palatino Linotype" w:eastAsia="Palatino Linotype" w:hAnsi="Palatino Linotype" w:cs="Palatino Linotype"/>
          <w:b/>
          <w:i/>
          <w:sz w:val="22"/>
          <w:szCs w:val="22"/>
          <w:u w:val="single"/>
        </w:rPr>
        <w:lastRenderedPageBreak/>
        <w:t xml:space="preserve">estatal y sus servicios conexos, ergo, de conformidad con el Reglamento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 </w:t>
      </w:r>
      <w:r w:rsidRPr="001D0D6F">
        <w:rPr>
          <w:rFonts w:ascii="Palatino Linotype" w:eastAsia="Palatino Linotype" w:hAnsi="Palatino Linotype" w:cs="Palatino Linotype"/>
          <w:i/>
          <w:sz w:val="22"/>
          <w:szCs w:val="22"/>
        </w:rPr>
        <w:t xml:space="preserve">En contexto de las atribuciones conferidas, en carácter de Sujeto Habilitado y en concordancia de los dispuesto en el párrafo segundo del artículo 12 de la Ley de Transparencia y Acceso a la Información Pública del Estado de México y Municipios, que indica: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1D0D6F">
        <w:rPr>
          <w:rFonts w:ascii="Palatino Linotype" w:eastAsia="Palatino Linotype" w:hAnsi="Palatino Linotype" w:cs="Palatino Linotype"/>
          <w:b/>
          <w:i/>
          <w:sz w:val="22"/>
          <w:szCs w:val="22"/>
          <w:u w:val="single"/>
        </w:rPr>
        <w:t xml:space="preserve">se comunica que se realizó una búsqueda en los archivos digitales del Registro Estatal de Transporte Publico, del número de serie vehicular </w:t>
      </w:r>
      <w:r w:rsidR="00EC5848">
        <w:rPr>
          <w:rFonts w:ascii="Palatino Linotype" w:eastAsia="Palatino Linotype" w:hAnsi="Palatino Linotype" w:cs="Palatino Linotype"/>
          <w:b/>
          <w:i/>
          <w:sz w:val="22"/>
          <w:szCs w:val="22"/>
          <w:u w:val="single"/>
        </w:rPr>
        <w:t>XXXXXXXXXXXXXXXXX</w:t>
      </w:r>
      <w:r w:rsidRPr="001D0D6F">
        <w:rPr>
          <w:rFonts w:ascii="Palatino Linotype" w:eastAsia="Palatino Linotype" w:hAnsi="Palatino Linotype" w:cs="Palatino Linotype"/>
          <w:b/>
          <w:i/>
          <w:sz w:val="22"/>
          <w:szCs w:val="22"/>
          <w:u w:val="single"/>
        </w:rPr>
        <w:t xml:space="preserve"> referida, en concordancia de los parámetros de rastreo que se tienen actualmente, sin embargo, no se encontró registro de la misma en dichos archivos, por lo que no es posible proporcionar y/u ostentarse sobre los datos requeridos</w:t>
      </w:r>
      <w:r w:rsidRPr="001D0D6F">
        <w:rPr>
          <w:rFonts w:ascii="Palatino Linotype" w:eastAsia="Palatino Linotype" w:hAnsi="Palatino Linotype" w:cs="Palatino Linotype"/>
          <w:i/>
          <w:sz w:val="22"/>
          <w:szCs w:val="22"/>
        </w:rPr>
        <w:t>. Sin más por el momento envío un cordial saludo. .</w:t>
      </w:r>
    </w:p>
    <w:p w14:paraId="29DF72B6" w14:textId="77777777" w:rsidR="0051643A" w:rsidRPr="001D0D6F" w:rsidRDefault="00C95719">
      <w:pPr>
        <w:spacing w:before="240" w:after="240"/>
        <w:ind w:left="567" w:right="902"/>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ATENTAMENTE</w:t>
      </w:r>
    </w:p>
    <w:p w14:paraId="7C40871B" w14:textId="77777777" w:rsidR="0051643A" w:rsidRPr="001D0D6F" w:rsidRDefault="00C95719">
      <w:pPr>
        <w:spacing w:before="240" w:after="240"/>
        <w:ind w:left="567" w:right="902"/>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Lic. Alejandro Hernández Aguilar” (Sic)</w:t>
      </w:r>
    </w:p>
    <w:p w14:paraId="528C1297" w14:textId="77777777" w:rsidR="0051643A" w:rsidRPr="001D0D6F" w:rsidRDefault="00C95719">
      <w:pPr>
        <w:spacing w:before="240" w:after="240" w:line="360" w:lineRule="auto"/>
        <w:ind w:right="49"/>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3. Interposición del recurso de revisión. </w:t>
      </w:r>
      <w:r w:rsidRPr="001D0D6F">
        <w:rPr>
          <w:rFonts w:ascii="Palatino Linotype" w:eastAsia="Palatino Linotype" w:hAnsi="Palatino Linotype" w:cs="Palatino Linotype"/>
          <w:sz w:val="22"/>
          <w:szCs w:val="22"/>
        </w:rPr>
        <w:t xml:space="preserve">Inconforme con los términos de la respuesta emitida por parte del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el</w:t>
      </w:r>
      <w:r w:rsidRPr="001D0D6F">
        <w:rPr>
          <w:rFonts w:ascii="Palatino Linotype" w:eastAsia="Palatino Linotype" w:hAnsi="Palatino Linotype" w:cs="Palatino Linotype"/>
          <w:b/>
          <w:sz w:val="22"/>
          <w:szCs w:val="22"/>
        </w:rPr>
        <w:t xml:space="preserve"> catorce de noviembre de dos mil veinticuatro,</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Recurrente</w:t>
      </w:r>
      <w:r w:rsidRPr="001D0D6F">
        <w:rPr>
          <w:rFonts w:ascii="Palatino Linotype" w:eastAsia="Palatino Linotype" w:hAnsi="Palatino Linotype" w:cs="Palatino Linotype"/>
          <w:sz w:val="22"/>
          <w:szCs w:val="22"/>
        </w:rPr>
        <w:t xml:space="preserve"> interpuso el recurso de revisión a través de </w:t>
      </w:r>
      <w:r w:rsidRPr="001D0D6F">
        <w:rPr>
          <w:rFonts w:ascii="Palatino Linotype" w:eastAsia="Palatino Linotype" w:hAnsi="Palatino Linotype" w:cs="Palatino Linotype"/>
          <w:b/>
          <w:sz w:val="22"/>
          <w:szCs w:val="22"/>
        </w:rPr>
        <w:t xml:space="preserve">SAIMEX, </w:t>
      </w:r>
      <w:r w:rsidRPr="001D0D6F">
        <w:rPr>
          <w:rFonts w:ascii="Palatino Linotype" w:eastAsia="Palatino Linotype" w:hAnsi="Palatino Linotype" w:cs="Palatino Linotype"/>
          <w:sz w:val="22"/>
          <w:szCs w:val="22"/>
        </w:rPr>
        <w:t>en donde se manifestó de la siguiente manera:</w:t>
      </w:r>
    </w:p>
    <w:p w14:paraId="62B20764" w14:textId="77777777" w:rsidR="0051643A" w:rsidRPr="001D0D6F" w:rsidRDefault="00C95719">
      <w:pPr>
        <w:tabs>
          <w:tab w:val="left" w:pos="2745"/>
        </w:tabs>
        <w:spacing w:before="240" w:after="240"/>
        <w:ind w:left="567" w:right="900"/>
        <w:jc w:val="both"/>
        <w:rPr>
          <w:rFonts w:ascii="Palatino Linotype" w:eastAsia="Palatino Linotype" w:hAnsi="Palatino Linotype" w:cs="Palatino Linotype"/>
          <w:b/>
        </w:rPr>
      </w:pPr>
      <w:r w:rsidRPr="001D0D6F">
        <w:rPr>
          <w:rFonts w:ascii="Palatino Linotype" w:eastAsia="Palatino Linotype" w:hAnsi="Palatino Linotype" w:cs="Palatino Linotype"/>
          <w:b/>
          <w:sz w:val="22"/>
          <w:szCs w:val="22"/>
        </w:rPr>
        <w:t xml:space="preserve">a) Acto impugnado: </w:t>
      </w:r>
      <w:r w:rsidRPr="001D0D6F">
        <w:rPr>
          <w:rFonts w:ascii="Palatino Linotype" w:eastAsia="Palatino Linotype" w:hAnsi="Palatino Linotype" w:cs="Palatino Linotype"/>
          <w:i/>
          <w:sz w:val="22"/>
          <w:szCs w:val="22"/>
        </w:rPr>
        <w:t>“Respuesta a la solicitud de información con folio 00710/SMOV/IP/2024; emitida el 24 de octubre de 2024 por la Secretaría de Movilidad del Estado de México.” (Sic)</w:t>
      </w:r>
    </w:p>
    <w:p w14:paraId="62D26DAE" w14:textId="77777777" w:rsidR="0051643A" w:rsidRPr="001D0D6F" w:rsidRDefault="00C95719">
      <w:pPr>
        <w:spacing w:line="276" w:lineRule="auto"/>
        <w:ind w:left="567" w:right="900"/>
        <w:jc w:val="both"/>
        <w:rPr>
          <w:rFonts w:ascii="Palatino Linotype" w:eastAsia="Palatino Linotype" w:hAnsi="Palatino Linotype" w:cs="Palatino Linotype"/>
          <w:i/>
          <w:sz w:val="22"/>
          <w:szCs w:val="22"/>
        </w:rPr>
      </w:pPr>
      <w:bookmarkStart w:id="5" w:name="_heading=h.30j0zll" w:colFirst="0" w:colLast="0"/>
      <w:bookmarkEnd w:id="5"/>
      <w:r w:rsidRPr="001D0D6F">
        <w:rPr>
          <w:rFonts w:ascii="Palatino Linotype" w:eastAsia="Palatino Linotype" w:hAnsi="Palatino Linotype" w:cs="Palatino Linotype"/>
          <w:b/>
          <w:sz w:val="22"/>
          <w:szCs w:val="22"/>
        </w:rPr>
        <w:t>b) Razones o motivos de inconformidad</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i/>
          <w:sz w:val="22"/>
          <w:szCs w:val="22"/>
        </w:rPr>
        <w:t xml:space="preserve">“En la respuesta a la solicitud de información se señaló que "no se encontró registro de la misma en dichos archivos, por lo que no es posible proporcionar y/u ostentarse sobre los datos requeridos". Pues la secretaría hace mención de que la obligación de proporcionar información no </w:t>
      </w:r>
      <w:r w:rsidRPr="001D0D6F">
        <w:rPr>
          <w:rFonts w:ascii="Palatino Linotype" w:eastAsia="Palatino Linotype" w:hAnsi="Palatino Linotype" w:cs="Palatino Linotype"/>
          <w:i/>
          <w:sz w:val="22"/>
          <w:szCs w:val="22"/>
        </w:rPr>
        <w:lastRenderedPageBreak/>
        <w:t xml:space="preserve">comprende el procesamiento de la misma, ni el presentarla conforme al interés del solicitante. No obstante, de acuerdo con el artículo 160 de la Ley de Transparencia y Acceso a la Información,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Así mismo, el artículo 162 de la citada Ley de Transparencia establece que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Por lo anterior, respetuosamente </w:t>
      </w:r>
      <w:r w:rsidRPr="001D0D6F">
        <w:rPr>
          <w:rFonts w:ascii="Palatino Linotype" w:eastAsia="Palatino Linotype" w:hAnsi="Palatino Linotype" w:cs="Palatino Linotype"/>
          <w:b/>
          <w:i/>
          <w:sz w:val="22"/>
          <w:szCs w:val="22"/>
          <w:u w:val="single"/>
        </w:rPr>
        <w:t>considero que la respuesta a mi solicitud no fue derivada de una búsqueda exhaustiva y razonable</w:t>
      </w:r>
      <w:r w:rsidRPr="001D0D6F">
        <w:rPr>
          <w:rFonts w:ascii="Palatino Linotype" w:eastAsia="Palatino Linotype" w:hAnsi="Palatino Linotype" w:cs="Palatino Linotype"/>
          <w:i/>
          <w:sz w:val="22"/>
          <w:szCs w:val="22"/>
        </w:rPr>
        <w:t>, por lo que no se logró garantizar mi derecho humano de acceso a la información, reconocido en el artículo 6 de la Constitución Política de los Estados Unidos Mexicanos. Por lo cual, solicito se repare la afectación señalada y se me proporcione la información solicitada.” (Sic)</w:t>
      </w:r>
    </w:p>
    <w:p w14:paraId="3DC68AB2" w14:textId="77777777" w:rsidR="0051643A" w:rsidRPr="001D0D6F" w:rsidRDefault="0051643A">
      <w:pPr>
        <w:spacing w:line="276" w:lineRule="auto"/>
        <w:ind w:left="567" w:right="900"/>
        <w:jc w:val="both"/>
        <w:rPr>
          <w:rFonts w:ascii="Palatino Linotype" w:eastAsia="Palatino Linotype" w:hAnsi="Palatino Linotype" w:cs="Palatino Linotype"/>
          <w:i/>
          <w:sz w:val="22"/>
          <w:szCs w:val="22"/>
        </w:rPr>
      </w:pPr>
    </w:p>
    <w:p w14:paraId="04C3AA61" w14:textId="77777777" w:rsidR="0051643A" w:rsidRPr="001D0D6F" w:rsidRDefault="00C95719">
      <w:pPr>
        <w:spacing w:before="240" w:after="240" w:line="360" w:lineRule="auto"/>
        <w:ind w:right="51"/>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b/>
          <w:sz w:val="22"/>
          <w:szCs w:val="22"/>
        </w:rPr>
        <w:t xml:space="preserve">4. Turno. </w:t>
      </w:r>
      <w:r w:rsidRPr="001D0D6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D0D6F">
        <w:rPr>
          <w:rFonts w:ascii="Palatino Linotype" w:eastAsia="Palatino Linotype" w:hAnsi="Palatino Linotype" w:cs="Palatino Linotype"/>
          <w:b/>
          <w:sz w:val="22"/>
          <w:szCs w:val="22"/>
        </w:rPr>
        <w:t xml:space="preserve">Guadalupe Ramírez Peña, </w:t>
      </w:r>
      <w:r w:rsidRPr="001D0D6F">
        <w:rPr>
          <w:rFonts w:ascii="Palatino Linotype" w:eastAsia="Palatino Linotype" w:hAnsi="Palatino Linotype" w:cs="Palatino Linotype"/>
          <w:sz w:val="22"/>
          <w:szCs w:val="22"/>
        </w:rPr>
        <w:t xml:space="preserve">a efecto de que analizara sobre su admisión o su </w:t>
      </w:r>
      <w:proofErr w:type="spellStart"/>
      <w:r w:rsidRPr="001D0D6F">
        <w:rPr>
          <w:rFonts w:ascii="Palatino Linotype" w:eastAsia="Palatino Linotype" w:hAnsi="Palatino Linotype" w:cs="Palatino Linotype"/>
          <w:sz w:val="22"/>
          <w:szCs w:val="22"/>
        </w:rPr>
        <w:t>desechamiento</w:t>
      </w:r>
      <w:proofErr w:type="spellEnd"/>
      <w:r w:rsidRPr="001D0D6F">
        <w:rPr>
          <w:rFonts w:ascii="Palatino Linotype" w:eastAsia="Palatino Linotype" w:hAnsi="Palatino Linotype" w:cs="Palatino Linotype"/>
          <w:sz w:val="22"/>
          <w:szCs w:val="22"/>
        </w:rPr>
        <w:t>.</w:t>
      </w:r>
    </w:p>
    <w:p w14:paraId="616C0B4D"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b/>
          <w:sz w:val="22"/>
          <w:szCs w:val="22"/>
        </w:rPr>
        <w:t>5. Admisión del Recurso de revisión.</w:t>
      </w:r>
      <w:r w:rsidRPr="001D0D6F">
        <w:rPr>
          <w:rFonts w:ascii="Palatino Linotype" w:eastAsia="Palatino Linotype" w:hAnsi="Palatino Linotype" w:cs="Palatino Linotype"/>
          <w:sz w:val="22"/>
          <w:szCs w:val="22"/>
        </w:rPr>
        <w:t xml:space="preserve"> El </w:t>
      </w:r>
      <w:r w:rsidRPr="001D0D6F">
        <w:rPr>
          <w:rFonts w:ascii="Palatino Linotype" w:eastAsia="Palatino Linotype" w:hAnsi="Palatino Linotype" w:cs="Palatino Linotype"/>
          <w:b/>
          <w:sz w:val="22"/>
          <w:szCs w:val="22"/>
        </w:rPr>
        <w:t xml:space="preserve">veinte de noviembre de dos mil veinticuatro, </w:t>
      </w:r>
      <w:r w:rsidRPr="001D0D6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D0D6F">
        <w:rPr>
          <w:rFonts w:ascii="Palatino Linotype" w:eastAsia="Palatino Linotype" w:hAnsi="Palatino Linotype" w:cs="Palatino Linotype"/>
          <w:b/>
          <w:sz w:val="22"/>
          <w:szCs w:val="22"/>
        </w:rPr>
        <w:t xml:space="preserve">Sujeto Obligado </w:t>
      </w:r>
      <w:r w:rsidRPr="001D0D6F">
        <w:rPr>
          <w:rFonts w:ascii="Palatino Linotype" w:eastAsia="Palatino Linotype" w:hAnsi="Palatino Linotype" w:cs="Palatino Linotype"/>
          <w:sz w:val="22"/>
          <w:szCs w:val="22"/>
        </w:rPr>
        <w:t>presentara su informe justificado.</w:t>
      </w:r>
    </w:p>
    <w:p w14:paraId="08FA6E6E" w14:textId="77777777" w:rsidR="0051643A" w:rsidRPr="001D0D6F" w:rsidRDefault="00C9571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6" w:name="_heading=h.2s8eyo1" w:colFirst="0" w:colLast="0"/>
      <w:bookmarkEnd w:id="6"/>
      <w:r w:rsidRPr="001D0D6F">
        <w:rPr>
          <w:rFonts w:ascii="Palatino Linotype" w:eastAsia="Palatino Linotype" w:hAnsi="Palatino Linotype" w:cs="Palatino Linotype"/>
          <w:b/>
          <w:sz w:val="22"/>
          <w:szCs w:val="22"/>
        </w:rPr>
        <w:lastRenderedPageBreak/>
        <w:t>6. Manifestaciones e Informe Justificado</w:t>
      </w:r>
      <w:r w:rsidRPr="001D0D6F">
        <w:rPr>
          <w:rFonts w:ascii="Palatino Linotype" w:eastAsia="Palatino Linotype" w:hAnsi="Palatino Linotype" w:cs="Palatino Linotype"/>
          <w:sz w:val="22"/>
          <w:szCs w:val="22"/>
        </w:rPr>
        <w:t>. De las constancias que integran el expediente en que se actúa se advierte que durante el periodo de manifestaciones, las partes fueron omisas en adjuntar sus alegatos, informe justificado o manifestaciones, por lo que se tiene por precluido su derecho para tal efecto.</w:t>
      </w:r>
      <w:r w:rsidRPr="001D0D6F">
        <w:rPr>
          <w:rFonts w:ascii="Palatino Linotype" w:eastAsia="Palatino Linotype" w:hAnsi="Palatino Linotype" w:cs="Palatino Linotype"/>
          <w:b/>
          <w:sz w:val="22"/>
          <w:szCs w:val="22"/>
        </w:rPr>
        <w:t xml:space="preserve"> </w:t>
      </w:r>
    </w:p>
    <w:p w14:paraId="0A6B2331" w14:textId="77777777" w:rsidR="0051643A" w:rsidRPr="001D0D6F" w:rsidRDefault="00C95719">
      <w:pPr>
        <w:spacing w:after="240" w:line="360" w:lineRule="auto"/>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noProof/>
          <w:sz w:val="22"/>
          <w:szCs w:val="22"/>
        </w:rPr>
        <w:drawing>
          <wp:inline distT="0" distB="0" distL="0" distR="0" wp14:anchorId="4C1F7B6B" wp14:editId="6ECE856B">
            <wp:extent cx="5612130" cy="1262380"/>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262380"/>
                    </a:xfrm>
                    <a:prstGeom prst="rect">
                      <a:avLst/>
                    </a:prstGeom>
                    <a:ln/>
                  </pic:spPr>
                </pic:pic>
              </a:graphicData>
            </a:graphic>
          </wp:inline>
        </w:drawing>
      </w:r>
    </w:p>
    <w:p w14:paraId="4B31CF3D" w14:textId="77777777" w:rsidR="0051643A" w:rsidRPr="001D0D6F" w:rsidRDefault="00C95719">
      <w:pPr>
        <w:spacing w:after="240" w:line="360" w:lineRule="auto"/>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7. Cierre de instrucción. </w:t>
      </w:r>
      <w:r w:rsidRPr="001D0D6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D0D6F">
        <w:rPr>
          <w:rFonts w:ascii="Palatino Linotype" w:eastAsia="Palatino Linotype" w:hAnsi="Palatino Linotype" w:cs="Palatino Linotype"/>
          <w:b/>
          <w:sz w:val="22"/>
          <w:szCs w:val="22"/>
        </w:rPr>
        <w:t>dos de diciembre de dos mil veinticuatro,</w:t>
      </w:r>
      <w:r w:rsidRPr="001D0D6F">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0E83917" w14:textId="77777777" w:rsidR="0051643A" w:rsidRPr="001D0D6F" w:rsidRDefault="00C95719">
      <w:pPr>
        <w:spacing w:before="240" w:after="240" w:line="360" w:lineRule="auto"/>
        <w:jc w:val="both"/>
        <w:rPr>
          <w:rFonts w:ascii="Palatino Linotype" w:eastAsia="Palatino Linotype" w:hAnsi="Palatino Linotype" w:cs="Palatino Linotype"/>
          <w:sz w:val="20"/>
          <w:szCs w:val="20"/>
        </w:rPr>
      </w:pPr>
      <w:r w:rsidRPr="001D0D6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7E310B4" w14:textId="77777777" w:rsidR="0051643A" w:rsidRPr="001D0D6F" w:rsidRDefault="00C95719">
      <w:pPr>
        <w:widowControl w:val="0"/>
        <w:spacing w:before="240" w:after="240" w:line="360" w:lineRule="auto"/>
        <w:jc w:val="center"/>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II. C O N S I D E R A N D O S</w:t>
      </w:r>
    </w:p>
    <w:p w14:paraId="5D04B210"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b/>
          <w:sz w:val="22"/>
          <w:szCs w:val="22"/>
        </w:rPr>
        <w:t>Primero. Competencia.</w:t>
      </w:r>
      <w:r w:rsidRPr="001D0D6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w:t>
      </w:r>
      <w:r w:rsidRPr="001D0D6F">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8300694"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bookmarkStart w:id="7" w:name="_heading=h.tyjcwt" w:colFirst="0" w:colLast="0"/>
      <w:bookmarkEnd w:id="7"/>
      <w:r w:rsidRPr="001D0D6F">
        <w:rPr>
          <w:rFonts w:ascii="Palatino Linotype" w:eastAsia="Palatino Linotype" w:hAnsi="Palatino Linotype" w:cs="Palatino Linotype"/>
          <w:b/>
          <w:sz w:val="22"/>
          <w:szCs w:val="22"/>
        </w:rPr>
        <w:t>Segundo. Oportunidad y Procedibilidad del Recurso de Revisión</w:t>
      </w:r>
      <w:r w:rsidRPr="001D0D6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5790B6D"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1D0D6F">
        <w:rPr>
          <w:rFonts w:ascii="Palatino Linotype" w:eastAsia="Palatino Linotype" w:hAnsi="Palatino Linotype" w:cs="Palatino Linotype"/>
          <w:b/>
          <w:sz w:val="22"/>
          <w:szCs w:val="22"/>
        </w:rPr>
        <w:t xml:space="preserve">Sujeto Obligado </w:t>
      </w:r>
      <w:r w:rsidRPr="001D0D6F">
        <w:rPr>
          <w:rFonts w:ascii="Palatino Linotype" w:eastAsia="Palatino Linotype" w:hAnsi="Palatino Linotype" w:cs="Palatino Linotype"/>
          <w:sz w:val="22"/>
          <w:szCs w:val="22"/>
        </w:rPr>
        <w:t xml:space="preserve">declaró su incompetencia para atender la solicitud de información el </w:t>
      </w:r>
      <w:r w:rsidRPr="001D0D6F">
        <w:rPr>
          <w:rFonts w:ascii="Palatino Linotype" w:eastAsia="Palatino Linotype" w:hAnsi="Palatino Linotype" w:cs="Palatino Linotype"/>
          <w:b/>
          <w:sz w:val="22"/>
          <w:szCs w:val="22"/>
        </w:rPr>
        <w:t>veinticuatro de octubre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 xml:space="preserve">de dos mil veinticuatro, </w:t>
      </w:r>
      <w:r w:rsidRPr="001D0D6F">
        <w:rPr>
          <w:rFonts w:ascii="Palatino Linotype" w:eastAsia="Palatino Linotype" w:hAnsi="Palatino Linotype" w:cs="Palatino Linotype"/>
          <w:sz w:val="22"/>
          <w:szCs w:val="22"/>
        </w:rPr>
        <w:t xml:space="preserve">mientras que el recurso de revisión interpuesto por </w:t>
      </w:r>
      <w:r w:rsidRPr="001D0D6F">
        <w:rPr>
          <w:rFonts w:ascii="Palatino Linotype" w:eastAsia="Palatino Linotype" w:hAnsi="Palatino Linotype" w:cs="Palatino Linotype"/>
          <w:b/>
          <w:sz w:val="22"/>
          <w:szCs w:val="22"/>
        </w:rPr>
        <w:t>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Recurrente</w:t>
      </w:r>
      <w:r w:rsidRPr="001D0D6F">
        <w:rPr>
          <w:rFonts w:ascii="Palatino Linotype" w:eastAsia="Palatino Linotype" w:hAnsi="Palatino Linotype" w:cs="Palatino Linotype"/>
          <w:sz w:val="22"/>
          <w:szCs w:val="22"/>
        </w:rPr>
        <w:t xml:space="preserve">, se tuvo por presentado el día </w:t>
      </w:r>
      <w:r w:rsidRPr="001D0D6F">
        <w:rPr>
          <w:rFonts w:ascii="Palatino Linotype" w:eastAsia="Palatino Linotype" w:hAnsi="Palatino Linotype" w:cs="Palatino Linotype"/>
          <w:b/>
          <w:sz w:val="22"/>
          <w:szCs w:val="22"/>
        </w:rPr>
        <w:t>catorce de noviembre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 xml:space="preserve">de dos mil veinticuatro, </w:t>
      </w:r>
      <w:r w:rsidRPr="001D0D6F">
        <w:rPr>
          <w:rFonts w:ascii="Palatino Linotype" w:eastAsia="Palatino Linotype" w:hAnsi="Palatino Linotype" w:cs="Palatino Linotype"/>
          <w:sz w:val="22"/>
          <w:szCs w:val="22"/>
        </w:rPr>
        <w:t xml:space="preserve">esto es, el </w:t>
      </w:r>
      <w:r w:rsidRPr="001D0D6F">
        <w:rPr>
          <w:rFonts w:ascii="Palatino Linotype" w:eastAsia="Palatino Linotype" w:hAnsi="Palatino Linotype" w:cs="Palatino Linotype"/>
          <w:b/>
          <w:sz w:val="22"/>
          <w:szCs w:val="22"/>
        </w:rPr>
        <w:t>décimo cuarto</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día hábil en el que tuvo conocimiento de la respuesta impugnada.</w:t>
      </w:r>
      <w:r w:rsidRPr="001D0D6F">
        <w:rPr>
          <w:rFonts w:ascii="Palatino Linotype" w:eastAsia="Palatino Linotype" w:hAnsi="Palatino Linotype" w:cs="Palatino Linotype"/>
          <w:sz w:val="22"/>
          <w:szCs w:val="22"/>
        </w:rPr>
        <w:t xml:space="preserve"> </w:t>
      </w:r>
    </w:p>
    <w:p w14:paraId="0FB7F5CB" w14:textId="77777777" w:rsidR="0051643A" w:rsidRPr="001D0D6F" w:rsidRDefault="00C95719">
      <w:pPr>
        <w:tabs>
          <w:tab w:val="left" w:pos="7938"/>
        </w:tabs>
        <w:spacing w:before="240" w:after="240" w:line="360" w:lineRule="auto"/>
        <w:jc w:val="both"/>
        <w:rPr>
          <w:rFonts w:ascii="Palatino Linotype" w:eastAsia="Palatino Linotype" w:hAnsi="Palatino Linotype" w:cs="Palatino Linotype"/>
          <w:sz w:val="22"/>
          <w:szCs w:val="22"/>
        </w:rPr>
      </w:pPr>
      <w:bookmarkStart w:id="8" w:name="_heading=h.3znysh7" w:colFirst="0" w:colLast="0"/>
      <w:bookmarkEnd w:id="8"/>
      <w:r w:rsidRPr="001D0D6F">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F5D3222"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Finalmente, se advierte que resulta procedente la interposición del recurso, según lo manifestado por </w:t>
      </w:r>
      <w:r w:rsidRPr="001D0D6F">
        <w:rPr>
          <w:rFonts w:ascii="Palatino Linotype" w:eastAsia="Palatino Linotype" w:hAnsi="Palatino Linotype" w:cs="Palatino Linotype"/>
          <w:b/>
          <w:sz w:val="22"/>
          <w:szCs w:val="22"/>
        </w:rPr>
        <w:t>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Recurrente</w:t>
      </w:r>
      <w:r w:rsidRPr="001D0D6F">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5558FD78" w14:textId="77777777" w:rsidR="0051643A" w:rsidRPr="001D0D6F" w:rsidRDefault="00C95719">
      <w:pPr>
        <w:spacing w:before="120" w:after="120"/>
        <w:ind w:left="567" w:right="902"/>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rPr>
        <w:t>Artículo 179.</w:t>
      </w:r>
      <w:r w:rsidRPr="001D0D6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200CA7F" w14:textId="77777777" w:rsidR="0051643A" w:rsidRPr="001D0D6F" w:rsidRDefault="00C95719">
      <w:pPr>
        <w:spacing w:before="120" w:after="120"/>
        <w:ind w:left="567"/>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b/>
          <w:i/>
          <w:sz w:val="22"/>
          <w:szCs w:val="22"/>
        </w:rPr>
        <w:lastRenderedPageBreak/>
        <w:t xml:space="preserve">I. La negativa a la información solicitada;” </w:t>
      </w:r>
      <w:r w:rsidRPr="001D0D6F">
        <w:rPr>
          <w:rFonts w:ascii="Palatino Linotype" w:eastAsia="Palatino Linotype" w:hAnsi="Palatino Linotype" w:cs="Palatino Linotype"/>
          <w:i/>
          <w:sz w:val="22"/>
          <w:szCs w:val="22"/>
        </w:rPr>
        <w:t>(Énfasis añadido)</w:t>
      </w:r>
    </w:p>
    <w:p w14:paraId="0365452E" w14:textId="77777777" w:rsidR="0051643A" w:rsidRPr="001D0D6F" w:rsidRDefault="00C95719">
      <w:pPr>
        <w:spacing w:before="240" w:after="240" w:line="360" w:lineRule="auto"/>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Tercero. Materia de la revisión. </w:t>
      </w:r>
      <w:r w:rsidRPr="001D0D6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D0D6F">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1D0D6F">
        <w:rPr>
          <w:rFonts w:ascii="Palatino Linotype" w:eastAsia="Palatino Linotype" w:hAnsi="Palatino Linotype" w:cs="Palatino Linotype"/>
          <w:sz w:val="22"/>
          <w:szCs w:val="22"/>
        </w:rPr>
        <w:t xml:space="preserve">de </w:t>
      </w:r>
      <w:r w:rsidRPr="001D0D6F">
        <w:rPr>
          <w:rFonts w:ascii="Palatino Linotype" w:eastAsia="Palatino Linotype" w:hAnsi="Palatino Linotype" w:cs="Palatino Linotype"/>
          <w:b/>
          <w:sz w:val="22"/>
          <w:szCs w:val="22"/>
        </w:rPr>
        <w:t>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Recurrente</w:t>
      </w:r>
      <w:r w:rsidRPr="001D0D6F">
        <w:rPr>
          <w:rFonts w:ascii="Palatino Linotype" w:eastAsia="Palatino Linotype" w:hAnsi="Palatino Linotype" w:cs="Palatino Linotype"/>
          <w:sz w:val="22"/>
          <w:szCs w:val="22"/>
        </w:rPr>
        <w:t>, o en su defecto, en caso de ser procedente, ordenar la entrega de información.</w:t>
      </w:r>
    </w:p>
    <w:p w14:paraId="5F1B9D6C" w14:textId="77777777" w:rsidR="0051643A" w:rsidRPr="001D0D6F" w:rsidRDefault="00C95719">
      <w:pPr>
        <w:pBdr>
          <w:top w:val="nil"/>
          <w:left w:val="nil"/>
          <w:bottom w:val="nil"/>
          <w:right w:val="nil"/>
          <w:between w:val="nil"/>
        </w:pBdr>
        <w:spacing w:before="240" w:after="240" w:line="360" w:lineRule="auto"/>
        <w:jc w:val="both"/>
        <w:rPr>
          <w:sz w:val="22"/>
          <w:szCs w:val="22"/>
        </w:rPr>
      </w:pPr>
      <w:bookmarkStart w:id="9" w:name="_heading=h.2et92p0" w:colFirst="0" w:colLast="0"/>
      <w:bookmarkEnd w:id="9"/>
      <w:r w:rsidRPr="001D0D6F">
        <w:rPr>
          <w:rFonts w:ascii="Palatino Linotype" w:eastAsia="Palatino Linotype" w:hAnsi="Palatino Linotype" w:cs="Palatino Linotype"/>
          <w:b/>
          <w:sz w:val="22"/>
          <w:szCs w:val="22"/>
        </w:rPr>
        <w:t xml:space="preserve">Cuarto. Estudio del asunto </w:t>
      </w:r>
      <w:r w:rsidRPr="001D0D6F">
        <w:rPr>
          <w:rFonts w:ascii="Palatino Linotype" w:eastAsia="Palatino Linotype" w:hAnsi="Palatino Linotype" w:cs="Palatino Linotype"/>
          <w:sz w:val="22"/>
          <w:szCs w:val="22"/>
        </w:rPr>
        <w:t xml:space="preserve">Antes de entrar al análisis de los pronunciamientos del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1731C6A" w14:textId="77777777" w:rsidR="0051643A" w:rsidRPr="001D0D6F" w:rsidRDefault="00C95719">
      <w:pPr>
        <w:pBdr>
          <w:top w:val="nil"/>
          <w:left w:val="nil"/>
          <w:bottom w:val="nil"/>
          <w:right w:val="nil"/>
          <w:between w:val="nil"/>
        </w:pBdr>
        <w:spacing w:before="240" w:after="240"/>
        <w:ind w:left="851" w:right="850"/>
        <w:jc w:val="both"/>
      </w:pPr>
      <w:r w:rsidRPr="001D0D6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1D0D6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815E2B9" w14:textId="77777777" w:rsidR="0051643A" w:rsidRPr="001D0D6F" w:rsidRDefault="00C95719">
      <w:pPr>
        <w:pBdr>
          <w:top w:val="nil"/>
          <w:left w:val="nil"/>
          <w:bottom w:val="nil"/>
          <w:right w:val="nil"/>
          <w:between w:val="nil"/>
        </w:pBdr>
        <w:spacing w:before="240" w:after="240"/>
        <w:ind w:left="851" w:right="850"/>
        <w:jc w:val="both"/>
      </w:pPr>
      <w:r w:rsidRPr="001D0D6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AA7D9B3" w14:textId="77777777" w:rsidR="0051643A" w:rsidRPr="001D0D6F" w:rsidRDefault="00C95719">
      <w:pPr>
        <w:pBdr>
          <w:top w:val="nil"/>
          <w:left w:val="nil"/>
          <w:bottom w:val="nil"/>
          <w:right w:val="nil"/>
          <w:between w:val="nil"/>
        </w:pBdr>
        <w:spacing w:before="240" w:after="240"/>
        <w:ind w:left="851" w:right="850"/>
        <w:jc w:val="both"/>
      </w:pPr>
      <w:r w:rsidRPr="001D0D6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D0D6F">
        <w:rPr>
          <w:rFonts w:ascii="Palatino Linotype" w:eastAsia="Palatino Linotype" w:hAnsi="Palatino Linotype" w:cs="Palatino Linotype"/>
          <w:i/>
          <w:sz w:val="22"/>
          <w:szCs w:val="22"/>
        </w:rPr>
        <w:t xml:space="preserve"> En consecuencia, el </w:t>
      </w:r>
      <w:r w:rsidRPr="001D0D6F">
        <w:rPr>
          <w:rFonts w:ascii="Palatino Linotype" w:eastAsia="Palatino Linotype" w:hAnsi="Palatino Linotype" w:cs="Palatino Linotype"/>
          <w:i/>
          <w:sz w:val="22"/>
          <w:szCs w:val="22"/>
        </w:rPr>
        <w:lastRenderedPageBreak/>
        <w:t>Estado deberá prevenir, investigar, sancionar y reparar las violaciones a los derechos humanos, en los términos que establezca la ley</w:t>
      </w:r>
    </w:p>
    <w:p w14:paraId="1457AA08" w14:textId="77777777" w:rsidR="0051643A" w:rsidRPr="001D0D6F" w:rsidRDefault="00C95719">
      <w:pPr>
        <w:pBdr>
          <w:top w:val="nil"/>
          <w:left w:val="nil"/>
          <w:bottom w:val="nil"/>
          <w:right w:val="nil"/>
          <w:between w:val="nil"/>
        </w:pBdr>
        <w:spacing w:before="240" w:after="240"/>
        <w:ind w:left="851" w:right="850"/>
        <w:jc w:val="both"/>
      </w:pPr>
      <w:r w:rsidRPr="001D0D6F">
        <w:rPr>
          <w:rFonts w:ascii="Palatino Linotype" w:eastAsia="Palatino Linotype" w:hAnsi="Palatino Linotype" w:cs="Palatino Linotype"/>
          <w:i/>
          <w:sz w:val="22"/>
          <w:szCs w:val="22"/>
        </w:rPr>
        <w:t>[…]</w:t>
      </w:r>
    </w:p>
    <w:p w14:paraId="0222AE15" w14:textId="77777777" w:rsidR="0051643A" w:rsidRPr="001D0D6F" w:rsidRDefault="00C95719">
      <w:pPr>
        <w:pBdr>
          <w:top w:val="nil"/>
          <w:left w:val="nil"/>
          <w:bottom w:val="nil"/>
          <w:right w:val="nil"/>
          <w:between w:val="nil"/>
        </w:pBdr>
        <w:spacing w:before="240" w:after="240"/>
        <w:ind w:left="851" w:right="901"/>
        <w:jc w:val="both"/>
      </w:pPr>
      <w:r w:rsidRPr="001D0D6F">
        <w:rPr>
          <w:rFonts w:ascii="Palatino Linotype" w:eastAsia="Palatino Linotype" w:hAnsi="Palatino Linotype" w:cs="Palatino Linotype"/>
          <w:b/>
          <w:i/>
          <w:sz w:val="22"/>
          <w:szCs w:val="22"/>
        </w:rPr>
        <w:t>“Artículo 6o.</w:t>
      </w:r>
    </w:p>
    <w:p w14:paraId="077CFF73" w14:textId="77777777" w:rsidR="0051643A" w:rsidRPr="001D0D6F" w:rsidRDefault="00C95719">
      <w:pPr>
        <w:pBdr>
          <w:top w:val="nil"/>
          <w:left w:val="nil"/>
          <w:bottom w:val="nil"/>
          <w:right w:val="nil"/>
          <w:between w:val="nil"/>
        </w:pBdr>
        <w:spacing w:before="240" w:after="240"/>
        <w:ind w:left="851" w:right="901"/>
        <w:jc w:val="both"/>
      </w:pPr>
      <w:r w:rsidRPr="001D0D6F">
        <w:rPr>
          <w:rFonts w:ascii="Palatino Linotype" w:eastAsia="Palatino Linotype" w:hAnsi="Palatino Linotype" w:cs="Palatino Linotype"/>
          <w:i/>
          <w:sz w:val="22"/>
          <w:szCs w:val="22"/>
        </w:rPr>
        <w:t>[...]</w:t>
      </w:r>
    </w:p>
    <w:p w14:paraId="61608B83"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b/>
          <w:i/>
          <w:sz w:val="22"/>
          <w:szCs w:val="22"/>
        </w:rPr>
        <w:t xml:space="preserve">A. Para el ejercicio del derecho de acceso a la información, la Federación y </w:t>
      </w:r>
      <w:r w:rsidRPr="001D0D6F">
        <w:rPr>
          <w:rFonts w:ascii="Palatino Linotype" w:eastAsia="Palatino Linotype" w:hAnsi="Palatino Linotype" w:cs="Palatino Linotype"/>
          <w:b/>
          <w:i/>
          <w:sz w:val="22"/>
          <w:szCs w:val="22"/>
          <w:u w:val="single"/>
        </w:rPr>
        <w:t>las entidades federativas</w:t>
      </w:r>
      <w:r w:rsidRPr="001D0D6F">
        <w:rPr>
          <w:rFonts w:ascii="Palatino Linotype" w:eastAsia="Palatino Linotype" w:hAnsi="Palatino Linotype" w:cs="Palatino Linotype"/>
          <w:b/>
          <w:i/>
          <w:sz w:val="22"/>
          <w:szCs w:val="22"/>
        </w:rPr>
        <w:t>,</w:t>
      </w:r>
      <w:r w:rsidRPr="001D0D6F">
        <w:rPr>
          <w:rFonts w:ascii="Palatino Linotype" w:eastAsia="Palatino Linotype" w:hAnsi="Palatino Linotype" w:cs="Palatino Linotype"/>
          <w:i/>
          <w:sz w:val="22"/>
          <w:szCs w:val="22"/>
        </w:rPr>
        <w:t xml:space="preserve"> en el ámbito de sus respectivas competencias, se regirán por los siguientes principios y bases:</w:t>
      </w:r>
    </w:p>
    <w:p w14:paraId="4FD4FBEB"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i/>
          <w:sz w:val="22"/>
          <w:szCs w:val="22"/>
        </w:rPr>
        <w:t> </w:t>
      </w:r>
      <w:r w:rsidRPr="001D0D6F">
        <w:rPr>
          <w:rFonts w:ascii="Palatino Linotype" w:eastAsia="Palatino Linotype" w:hAnsi="Palatino Linotype" w:cs="Palatino Linotype"/>
          <w:b/>
          <w:i/>
          <w:sz w:val="22"/>
          <w:szCs w:val="22"/>
        </w:rPr>
        <w:t xml:space="preserve">I. </w:t>
      </w:r>
      <w:r w:rsidRPr="001D0D6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D0D6F">
        <w:rPr>
          <w:rFonts w:ascii="Palatino Linotype" w:eastAsia="Palatino Linotype" w:hAnsi="Palatino Linotype" w:cs="Palatino Linotype"/>
          <w:i/>
          <w:sz w:val="22"/>
          <w:szCs w:val="22"/>
        </w:rPr>
        <w:t xml:space="preserve"> Ejecutivo, Legislativo </w:t>
      </w:r>
      <w:r w:rsidRPr="001D0D6F">
        <w:rPr>
          <w:rFonts w:ascii="Palatino Linotype" w:eastAsia="Palatino Linotype" w:hAnsi="Palatino Linotype" w:cs="Palatino Linotype"/>
          <w:b/>
          <w:i/>
          <w:sz w:val="22"/>
          <w:szCs w:val="22"/>
          <w:u w:val="single"/>
        </w:rPr>
        <w:t>y Judicial</w:t>
      </w:r>
      <w:r w:rsidRPr="001D0D6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D0D6F">
        <w:rPr>
          <w:rFonts w:ascii="Palatino Linotype" w:eastAsia="Palatino Linotype" w:hAnsi="Palatino Linotype" w:cs="Palatino Linotype"/>
          <w:b/>
          <w:i/>
          <w:sz w:val="22"/>
          <w:szCs w:val="22"/>
        </w:rPr>
        <w:t>es pública y sólo podrá ser reservada temporalmente por razones de interés público y seguridad nacional,</w:t>
      </w:r>
      <w:r w:rsidRPr="001D0D6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8D14109"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i/>
          <w:sz w:val="22"/>
          <w:szCs w:val="22"/>
        </w:rPr>
        <w:t> </w:t>
      </w:r>
      <w:r w:rsidRPr="001D0D6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EB8C7DE"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i/>
          <w:sz w:val="22"/>
          <w:szCs w:val="22"/>
        </w:rPr>
        <w:t> </w:t>
      </w:r>
      <w:r w:rsidRPr="001D0D6F">
        <w:rPr>
          <w:rFonts w:ascii="Palatino Linotype" w:eastAsia="Palatino Linotype" w:hAnsi="Palatino Linotype" w:cs="Palatino Linotype"/>
          <w:b/>
          <w:i/>
          <w:sz w:val="22"/>
          <w:szCs w:val="22"/>
        </w:rPr>
        <w:t xml:space="preserve">III. </w:t>
      </w:r>
      <w:r w:rsidRPr="001D0D6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D0D6F">
        <w:rPr>
          <w:rFonts w:ascii="Palatino Linotype" w:eastAsia="Palatino Linotype" w:hAnsi="Palatino Linotype" w:cs="Palatino Linotype"/>
          <w:i/>
          <w:sz w:val="22"/>
          <w:szCs w:val="22"/>
        </w:rPr>
        <w:t xml:space="preserve"> a sus datos personales o a la rectificación de éstos.</w:t>
      </w:r>
    </w:p>
    <w:p w14:paraId="21D86212"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i/>
          <w:sz w:val="22"/>
          <w:szCs w:val="22"/>
        </w:rPr>
        <w:t> </w:t>
      </w:r>
      <w:r w:rsidRPr="001D0D6F">
        <w:rPr>
          <w:rFonts w:ascii="Palatino Linotype" w:eastAsia="Palatino Linotype" w:hAnsi="Palatino Linotype" w:cs="Palatino Linotype"/>
          <w:b/>
          <w:i/>
          <w:sz w:val="22"/>
          <w:szCs w:val="22"/>
        </w:rPr>
        <w:t xml:space="preserve">IV. </w:t>
      </w:r>
      <w:r w:rsidRPr="001D0D6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5371EE4"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b/>
          <w:i/>
          <w:sz w:val="22"/>
          <w:szCs w:val="22"/>
        </w:rPr>
        <w:t xml:space="preserve">V. </w:t>
      </w:r>
      <w:r w:rsidRPr="001D0D6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EA8B5D8"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i/>
          <w:sz w:val="22"/>
          <w:szCs w:val="22"/>
        </w:rPr>
        <w:lastRenderedPageBreak/>
        <w:t> </w:t>
      </w:r>
      <w:r w:rsidRPr="001D0D6F">
        <w:rPr>
          <w:rFonts w:ascii="Palatino Linotype" w:eastAsia="Palatino Linotype" w:hAnsi="Palatino Linotype" w:cs="Palatino Linotype"/>
          <w:b/>
          <w:i/>
          <w:sz w:val="22"/>
          <w:szCs w:val="22"/>
        </w:rPr>
        <w:t xml:space="preserve">VI. </w:t>
      </w:r>
      <w:r w:rsidRPr="001D0D6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954EEF8" w14:textId="77777777" w:rsidR="0051643A" w:rsidRPr="001D0D6F" w:rsidRDefault="00C95719">
      <w:pPr>
        <w:pBdr>
          <w:top w:val="nil"/>
          <w:left w:val="nil"/>
          <w:bottom w:val="nil"/>
          <w:right w:val="nil"/>
          <w:between w:val="nil"/>
        </w:pBdr>
        <w:spacing w:before="240" w:after="240"/>
        <w:ind w:left="851" w:right="851"/>
        <w:jc w:val="both"/>
      </w:pPr>
      <w:r w:rsidRPr="001D0D6F">
        <w:rPr>
          <w:rFonts w:ascii="Palatino Linotype" w:eastAsia="Palatino Linotype" w:hAnsi="Palatino Linotype" w:cs="Palatino Linotype"/>
          <w:i/>
          <w:sz w:val="22"/>
          <w:szCs w:val="22"/>
        </w:rPr>
        <w:t> </w:t>
      </w:r>
      <w:r w:rsidRPr="001D0D6F">
        <w:rPr>
          <w:rFonts w:ascii="Palatino Linotype" w:eastAsia="Palatino Linotype" w:hAnsi="Palatino Linotype" w:cs="Palatino Linotype"/>
          <w:b/>
          <w:i/>
          <w:sz w:val="22"/>
          <w:szCs w:val="22"/>
        </w:rPr>
        <w:t xml:space="preserve">VII. </w:t>
      </w:r>
      <w:r w:rsidRPr="001D0D6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A606F37" w14:textId="77777777" w:rsidR="0051643A" w:rsidRPr="001D0D6F" w:rsidRDefault="00C95719">
      <w:pPr>
        <w:pBdr>
          <w:top w:val="nil"/>
          <w:left w:val="nil"/>
          <w:bottom w:val="nil"/>
          <w:right w:val="nil"/>
          <w:between w:val="nil"/>
        </w:pBdr>
        <w:spacing w:before="240" w:after="240" w:line="360" w:lineRule="auto"/>
        <w:jc w:val="both"/>
        <w:rPr>
          <w:sz w:val="22"/>
          <w:szCs w:val="22"/>
        </w:rPr>
      </w:pPr>
      <w:r w:rsidRPr="001D0D6F">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09789FE" w14:textId="77777777" w:rsidR="0051643A" w:rsidRPr="001D0D6F" w:rsidRDefault="00C95719">
      <w:pPr>
        <w:pBdr>
          <w:top w:val="nil"/>
          <w:left w:val="nil"/>
          <w:bottom w:val="nil"/>
          <w:right w:val="nil"/>
          <w:between w:val="nil"/>
        </w:pBdr>
        <w:spacing w:before="240" w:after="240"/>
        <w:ind w:left="709" w:right="760"/>
        <w:jc w:val="both"/>
      </w:pP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rPr>
        <w:t>Artículo 4</w:t>
      </w:r>
      <w:r w:rsidRPr="001D0D6F">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2095962A" w14:textId="77777777" w:rsidR="0051643A" w:rsidRPr="001D0D6F" w:rsidRDefault="00C95719">
      <w:pPr>
        <w:pBdr>
          <w:top w:val="nil"/>
          <w:left w:val="nil"/>
          <w:bottom w:val="nil"/>
          <w:right w:val="nil"/>
          <w:between w:val="nil"/>
        </w:pBdr>
        <w:spacing w:before="240" w:after="240"/>
        <w:ind w:left="709" w:right="760"/>
        <w:jc w:val="both"/>
      </w:pPr>
      <w:r w:rsidRPr="001D0D6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AE8846" w14:textId="77777777" w:rsidR="0051643A" w:rsidRPr="001D0D6F" w:rsidRDefault="00C95719">
      <w:pPr>
        <w:pBdr>
          <w:top w:val="nil"/>
          <w:left w:val="nil"/>
          <w:bottom w:val="nil"/>
          <w:right w:val="nil"/>
          <w:between w:val="nil"/>
        </w:pBdr>
        <w:spacing w:before="240" w:after="240"/>
        <w:ind w:left="709" w:right="760"/>
        <w:jc w:val="both"/>
      </w:pPr>
      <w:r w:rsidRPr="001D0D6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33AEB60E" w14:textId="77777777" w:rsidR="0051643A" w:rsidRPr="001D0D6F" w:rsidRDefault="00C95719">
      <w:pPr>
        <w:pBdr>
          <w:top w:val="nil"/>
          <w:left w:val="nil"/>
          <w:bottom w:val="nil"/>
          <w:right w:val="nil"/>
          <w:between w:val="nil"/>
        </w:pBdr>
        <w:spacing w:before="240" w:after="240" w:line="360" w:lineRule="auto"/>
        <w:jc w:val="both"/>
        <w:rPr>
          <w:sz w:val="22"/>
          <w:szCs w:val="22"/>
        </w:rPr>
      </w:pPr>
      <w:r w:rsidRPr="001D0D6F">
        <w:rPr>
          <w:rFonts w:ascii="Palatino Linotype" w:eastAsia="Palatino Linotype" w:hAnsi="Palatino Linotype" w:cs="Palatino Linotype"/>
          <w:sz w:val="22"/>
          <w:szCs w:val="22"/>
        </w:rPr>
        <w:lastRenderedPageBreak/>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08AFBA5" w14:textId="77777777" w:rsidR="0051643A" w:rsidRPr="001D0D6F" w:rsidRDefault="00C95719">
      <w:pPr>
        <w:pBdr>
          <w:top w:val="nil"/>
          <w:left w:val="nil"/>
          <w:bottom w:val="nil"/>
          <w:right w:val="nil"/>
          <w:between w:val="nil"/>
        </w:pBdr>
        <w:spacing w:before="240" w:after="240"/>
        <w:ind w:left="567" w:right="758"/>
        <w:jc w:val="both"/>
      </w:pP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rPr>
        <w:t>Artículo 12</w:t>
      </w:r>
      <w:r w:rsidRPr="001D0D6F">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7EE4CA7F" w14:textId="77777777" w:rsidR="0051643A" w:rsidRPr="001D0D6F" w:rsidRDefault="00C95719">
      <w:pPr>
        <w:pBdr>
          <w:top w:val="nil"/>
          <w:left w:val="nil"/>
          <w:bottom w:val="nil"/>
          <w:right w:val="nil"/>
          <w:between w:val="nil"/>
        </w:pBdr>
        <w:spacing w:before="240" w:after="240"/>
        <w:ind w:left="567" w:right="758"/>
        <w:jc w:val="both"/>
      </w:pPr>
      <w:r w:rsidRPr="001D0D6F">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A395702" w14:textId="77777777" w:rsidR="0051643A" w:rsidRPr="001D0D6F" w:rsidRDefault="00C95719">
      <w:pPr>
        <w:pBdr>
          <w:top w:val="nil"/>
          <w:left w:val="nil"/>
          <w:bottom w:val="nil"/>
          <w:right w:val="nil"/>
          <w:between w:val="nil"/>
        </w:pBdr>
        <w:spacing w:before="240" w:after="240" w:line="360" w:lineRule="auto"/>
        <w:jc w:val="both"/>
        <w:rPr>
          <w:sz w:val="22"/>
          <w:szCs w:val="22"/>
        </w:rPr>
      </w:pPr>
      <w:r w:rsidRPr="001D0D6F">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1D0D6F">
        <w:rPr>
          <w:rFonts w:ascii="Palatino Linotype" w:eastAsia="Palatino Linotype" w:hAnsi="Palatino Linotype" w:cs="Palatino Linotype"/>
          <w:b/>
          <w:sz w:val="22"/>
          <w:szCs w:val="22"/>
        </w:rPr>
        <w:t xml:space="preserve"> </w:t>
      </w:r>
      <w:r w:rsidRPr="001D0D6F">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1D0D6F">
        <w:rPr>
          <w:rFonts w:ascii="Palatino Linotype" w:eastAsia="Palatino Linotype" w:hAnsi="Palatino Linotype" w:cs="Palatino Linotype"/>
          <w:i/>
          <w:sz w:val="22"/>
          <w:szCs w:val="22"/>
        </w:rPr>
        <w:t>ad hoc</w:t>
      </w:r>
      <w:r w:rsidRPr="001D0D6F">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74CBBEB7" w14:textId="77777777" w:rsidR="0051643A" w:rsidRPr="001D0D6F" w:rsidRDefault="00C95719">
      <w:pPr>
        <w:pBdr>
          <w:top w:val="nil"/>
          <w:left w:val="nil"/>
          <w:bottom w:val="nil"/>
          <w:right w:val="nil"/>
          <w:between w:val="nil"/>
        </w:pBdr>
        <w:spacing w:before="240" w:after="240"/>
        <w:ind w:left="567" w:right="900"/>
        <w:jc w:val="both"/>
      </w:pPr>
      <w:r w:rsidRPr="001D0D6F">
        <w:rPr>
          <w:rFonts w:ascii="Palatino Linotype" w:eastAsia="Palatino Linotype" w:hAnsi="Palatino Linotype" w:cs="Palatino Linotype"/>
          <w:b/>
          <w:i/>
          <w:sz w:val="22"/>
          <w:szCs w:val="22"/>
        </w:rPr>
        <w:t>03/17</w:t>
      </w:r>
    </w:p>
    <w:p w14:paraId="47606E43" w14:textId="77777777" w:rsidR="0051643A" w:rsidRPr="001D0D6F" w:rsidRDefault="00C95719">
      <w:pPr>
        <w:pBdr>
          <w:top w:val="nil"/>
          <w:left w:val="nil"/>
          <w:bottom w:val="nil"/>
          <w:right w:val="nil"/>
          <w:between w:val="nil"/>
        </w:pBdr>
        <w:spacing w:before="240" w:after="240"/>
        <w:ind w:left="567" w:right="900"/>
        <w:jc w:val="both"/>
      </w:pPr>
      <w:r w:rsidRPr="001D0D6F">
        <w:rPr>
          <w:rFonts w:ascii="Palatino Linotype" w:eastAsia="Palatino Linotype" w:hAnsi="Palatino Linotype" w:cs="Palatino Linotype"/>
          <w:b/>
          <w:i/>
          <w:sz w:val="22"/>
          <w:szCs w:val="22"/>
        </w:rPr>
        <w:t>“NO EXISTE OBLIGACIÓN DE ELABORAR DOCUMENTOS AD HOC PARA ATENDER LAS SOLICITUDES DE ACCESO A LA INFORMACIÓN.</w:t>
      </w:r>
    </w:p>
    <w:p w14:paraId="5972DCE0" w14:textId="77777777" w:rsidR="0051643A" w:rsidRPr="001D0D6F" w:rsidRDefault="00C95719">
      <w:pPr>
        <w:pBdr>
          <w:top w:val="nil"/>
          <w:left w:val="nil"/>
          <w:bottom w:val="nil"/>
          <w:right w:val="nil"/>
          <w:between w:val="nil"/>
        </w:pBdr>
        <w:spacing w:before="240" w:after="240"/>
        <w:ind w:left="567" w:right="900"/>
        <w:jc w:val="both"/>
      </w:pPr>
      <w:r w:rsidRPr="001D0D6F">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w:t>
      </w:r>
      <w:r w:rsidRPr="001D0D6F">
        <w:rPr>
          <w:rFonts w:ascii="Palatino Linotype" w:eastAsia="Palatino Linotype" w:hAnsi="Palatino Linotype" w:cs="Palatino Linotype"/>
          <w:i/>
          <w:sz w:val="22"/>
          <w:szCs w:val="22"/>
        </w:rPr>
        <w:lastRenderedPageBreak/>
        <w:t>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69063BB" w14:textId="77777777" w:rsidR="0051643A" w:rsidRPr="001D0D6F" w:rsidRDefault="00C95719">
      <w:pPr>
        <w:pBdr>
          <w:top w:val="nil"/>
          <w:left w:val="nil"/>
          <w:bottom w:val="nil"/>
          <w:right w:val="nil"/>
          <w:between w:val="nil"/>
        </w:pBdr>
        <w:spacing w:before="240" w:after="240" w:line="360" w:lineRule="auto"/>
        <w:jc w:val="both"/>
        <w:rPr>
          <w:sz w:val="22"/>
          <w:szCs w:val="22"/>
        </w:rPr>
      </w:pPr>
      <w:r w:rsidRPr="001D0D6F">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C4EB50F" w14:textId="77777777" w:rsidR="0051643A" w:rsidRPr="001D0D6F" w:rsidRDefault="00C95719">
      <w:pPr>
        <w:pBdr>
          <w:top w:val="nil"/>
          <w:left w:val="nil"/>
          <w:bottom w:val="nil"/>
          <w:right w:val="nil"/>
          <w:between w:val="nil"/>
        </w:pBdr>
        <w:spacing w:before="240" w:after="240" w:line="360" w:lineRule="auto"/>
        <w:ind w:right="49"/>
        <w:jc w:val="both"/>
        <w:rPr>
          <w:sz w:val="22"/>
          <w:szCs w:val="22"/>
        </w:rPr>
      </w:pPr>
      <w:r w:rsidRPr="001D0D6F">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284B5CC" w14:textId="77777777" w:rsidR="0051643A" w:rsidRPr="001D0D6F" w:rsidRDefault="00C9571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3F3989" w14:textId="77777777" w:rsidR="0051643A" w:rsidRPr="001D0D6F" w:rsidRDefault="00C95719">
      <w:pPr>
        <w:pBdr>
          <w:top w:val="nil"/>
          <w:left w:val="nil"/>
          <w:bottom w:val="nil"/>
          <w:right w:val="nil"/>
          <w:between w:val="nil"/>
        </w:pBdr>
        <w:spacing w:before="240" w:after="240"/>
        <w:ind w:left="567" w:right="567"/>
        <w:jc w:val="both"/>
      </w:pP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rPr>
        <w:t xml:space="preserve">Artículo 3. </w:t>
      </w:r>
      <w:r w:rsidRPr="001D0D6F">
        <w:rPr>
          <w:rFonts w:ascii="Palatino Linotype" w:eastAsia="Palatino Linotype" w:hAnsi="Palatino Linotype" w:cs="Palatino Linotype"/>
          <w:i/>
          <w:sz w:val="22"/>
          <w:szCs w:val="22"/>
        </w:rPr>
        <w:t>Para los efectos de la presente Ley se entenderá por:</w:t>
      </w:r>
    </w:p>
    <w:p w14:paraId="2C8F2239" w14:textId="77777777" w:rsidR="0051643A" w:rsidRPr="001D0D6F" w:rsidRDefault="00C95719">
      <w:pPr>
        <w:pBdr>
          <w:top w:val="nil"/>
          <w:left w:val="nil"/>
          <w:bottom w:val="nil"/>
          <w:right w:val="nil"/>
          <w:between w:val="nil"/>
        </w:pBdr>
        <w:spacing w:before="240" w:after="240"/>
        <w:ind w:left="567" w:right="567"/>
        <w:jc w:val="both"/>
      </w:pPr>
      <w:r w:rsidRPr="001D0D6F">
        <w:rPr>
          <w:rFonts w:ascii="Palatino Linotype" w:eastAsia="Palatino Linotype" w:hAnsi="Palatino Linotype" w:cs="Palatino Linotype"/>
          <w:i/>
          <w:sz w:val="22"/>
          <w:szCs w:val="22"/>
        </w:rPr>
        <w:t>…</w:t>
      </w:r>
    </w:p>
    <w:p w14:paraId="0A20BC74" w14:textId="77777777" w:rsidR="0051643A" w:rsidRPr="001D0D6F" w:rsidRDefault="00C95719">
      <w:pPr>
        <w:pBdr>
          <w:top w:val="nil"/>
          <w:left w:val="nil"/>
          <w:bottom w:val="nil"/>
          <w:right w:val="nil"/>
          <w:between w:val="nil"/>
        </w:pBdr>
        <w:spacing w:before="240" w:after="240"/>
        <w:ind w:left="567" w:right="567"/>
        <w:jc w:val="both"/>
      </w:pPr>
      <w:r w:rsidRPr="001D0D6F">
        <w:rPr>
          <w:rFonts w:ascii="Palatino Linotype" w:eastAsia="Palatino Linotype" w:hAnsi="Palatino Linotype" w:cs="Palatino Linotype"/>
          <w:b/>
          <w:i/>
          <w:sz w:val="22"/>
          <w:szCs w:val="22"/>
        </w:rPr>
        <w:lastRenderedPageBreak/>
        <w:t>XI. Documento:</w:t>
      </w:r>
      <w:r w:rsidRPr="001D0D6F">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D0D6F">
        <w:rPr>
          <w:rFonts w:ascii="Palatino Linotype" w:eastAsia="Palatino Linotype" w:hAnsi="Palatino Linotype" w:cs="Palatino Linotype"/>
          <w:b/>
          <w:i/>
          <w:sz w:val="22"/>
          <w:szCs w:val="22"/>
        </w:rPr>
        <w:t>…</w:t>
      </w:r>
      <w:r w:rsidRPr="001D0D6F">
        <w:rPr>
          <w:rFonts w:ascii="Palatino Linotype" w:eastAsia="Palatino Linotype" w:hAnsi="Palatino Linotype" w:cs="Palatino Linotype"/>
          <w:i/>
          <w:sz w:val="22"/>
          <w:szCs w:val="22"/>
        </w:rPr>
        <w:t>”</w:t>
      </w:r>
    </w:p>
    <w:p w14:paraId="24EA5628" w14:textId="77777777" w:rsidR="0051643A" w:rsidRPr="001D0D6F" w:rsidRDefault="00C95719">
      <w:pPr>
        <w:pBdr>
          <w:top w:val="nil"/>
          <w:left w:val="nil"/>
          <w:bottom w:val="nil"/>
          <w:right w:val="nil"/>
          <w:between w:val="nil"/>
        </w:pBdr>
        <w:spacing w:before="240" w:after="240" w:line="360" w:lineRule="auto"/>
        <w:jc w:val="both"/>
        <w:rPr>
          <w:sz w:val="22"/>
          <w:szCs w:val="22"/>
        </w:rPr>
      </w:pPr>
      <w:r w:rsidRPr="001D0D6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CF7EFDB" w14:textId="77777777" w:rsidR="0051643A" w:rsidRPr="001D0D6F" w:rsidRDefault="00C95719">
      <w:pPr>
        <w:pBdr>
          <w:top w:val="nil"/>
          <w:left w:val="nil"/>
          <w:bottom w:val="nil"/>
          <w:right w:val="nil"/>
          <w:between w:val="nil"/>
        </w:pBdr>
        <w:spacing w:before="240" w:after="240"/>
        <w:ind w:left="567" w:right="567"/>
        <w:jc w:val="both"/>
      </w:pPr>
      <w:r w:rsidRPr="001D0D6F">
        <w:rPr>
          <w:rFonts w:ascii="Palatino Linotype" w:eastAsia="Palatino Linotype" w:hAnsi="Palatino Linotype" w:cs="Palatino Linotype"/>
          <w:b/>
          <w:sz w:val="22"/>
          <w:szCs w:val="22"/>
        </w:rPr>
        <w:t>“</w:t>
      </w:r>
      <w:r w:rsidRPr="001D0D6F">
        <w:rPr>
          <w:rFonts w:ascii="Palatino Linotype" w:eastAsia="Palatino Linotype" w:hAnsi="Palatino Linotype" w:cs="Palatino Linotype"/>
          <w:b/>
          <w:i/>
          <w:sz w:val="22"/>
          <w:szCs w:val="22"/>
        </w:rPr>
        <w:t>CRITERIO 0002-11</w:t>
      </w:r>
    </w:p>
    <w:p w14:paraId="5EB98EA8" w14:textId="77777777" w:rsidR="0051643A" w:rsidRPr="001D0D6F" w:rsidRDefault="00C95719">
      <w:pPr>
        <w:pBdr>
          <w:top w:val="nil"/>
          <w:left w:val="nil"/>
          <w:bottom w:val="nil"/>
          <w:right w:val="nil"/>
          <w:between w:val="nil"/>
        </w:pBdr>
        <w:spacing w:before="240" w:after="240"/>
        <w:ind w:left="567" w:right="567"/>
        <w:jc w:val="both"/>
      </w:pPr>
      <w:r w:rsidRPr="001D0D6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D0D6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FA2A4AB" w14:textId="77777777" w:rsidR="0051643A" w:rsidRPr="001D0D6F" w:rsidRDefault="00C95719">
      <w:pPr>
        <w:pBdr>
          <w:top w:val="nil"/>
          <w:left w:val="nil"/>
          <w:bottom w:val="nil"/>
          <w:right w:val="nil"/>
          <w:between w:val="nil"/>
        </w:pBdr>
        <w:spacing w:before="240" w:after="240"/>
        <w:ind w:left="567" w:right="567"/>
        <w:jc w:val="both"/>
      </w:pPr>
      <w:r w:rsidRPr="001D0D6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D93DB3B" w14:textId="77777777" w:rsidR="0051643A" w:rsidRPr="001D0D6F" w:rsidRDefault="00C9571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5C4E5F97" w14:textId="77777777" w:rsidR="0051643A" w:rsidRPr="001D0D6F" w:rsidRDefault="00C9571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5B6191E" w14:textId="77777777" w:rsidR="0051643A" w:rsidRPr="001D0D6F" w:rsidRDefault="00C95719">
      <w:pPr>
        <w:pBdr>
          <w:top w:val="nil"/>
          <w:left w:val="nil"/>
          <w:bottom w:val="nil"/>
          <w:right w:val="nil"/>
          <w:between w:val="nil"/>
        </w:pBdr>
        <w:spacing w:before="240" w:after="240"/>
        <w:ind w:left="567" w:right="567" w:hanging="284"/>
        <w:jc w:val="both"/>
      </w:pPr>
      <w:r w:rsidRPr="001D0D6F">
        <w:rPr>
          <w:rFonts w:ascii="Palatino Linotype" w:eastAsia="Palatino Linotype" w:hAnsi="Palatino Linotype" w:cs="Palatino Linotype"/>
          <w:i/>
          <w:sz w:val="22"/>
          <w:szCs w:val="22"/>
        </w:rPr>
        <w:t xml:space="preserve">3. </w:t>
      </w:r>
      <w:r w:rsidRPr="001D0D6F">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1D0D6F">
        <w:rPr>
          <w:rFonts w:ascii="Palatino Linotype" w:eastAsia="Palatino Linotype" w:hAnsi="Palatino Linotype" w:cs="Palatino Linotype"/>
          <w:i/>
          <w:sz w:val="22"/>
          <w:szCs w:val="22"/>
        </w:rPr>
        <w:t>(Énfasis añadido)</w:t>
      </w:r>
    </w:p>
    <w:p w14:paraId="75EE7800" w14:textId="77777777" w:rsidR="0051643A" w:rsidRPr="001D0D6F" w:rsidRDefault="00C9571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lastRenderedPageBreak/>
        <w:t xml:space="preserve">De ahí que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87E8B9D" w14:textId="77777777" w:rsidR="0051643A" w:rsidRPr="001D0D6F" w:rsidRDefault="00C9571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le proporcionara lo siguiente:</w:t>
      </w:r>
    </w:p>
    <w:p w14:paraId="09BEEA5E" w14:textId="7ABDF14D" w:rsidR="0051643A" w:rsidRPr="001D0D6F" w:rsidRDefault="00C95719">
      <w:pPr>
        <w:numPr>
          <w:ilvl w:val="0"/>
          <w:numId w:val="2"/>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Informe si el 5 de mayo de 2024, la empresa </w:t>
      </w:r>
      <w:r w:rsidR="00EC5848" w:rsidRPr="00EC5848">
        <w:rPr>
          <w:rFonts w:ascii="Palatino Linotype" w:eastAsia="Palatino Linotype" w:hAnsi="Palatino Linotype" w:cs="Palatino Linotype"/>
          <w:b/>
          <w:sz w:val="22"/>
          <w:szCs w:val="22"/>
        </w:rPr>
        <w:t>XXXXXXXX XXXXXXX, X.X. de X.X</w:t>
      </w:r>
      <w:r w:rsidRPr="001D0D6F">
        <w:rPr>
          <w:rFonts w:ascii="Palatino Linotype" w:eastAsia="Palatino Linotype" w:hAnsi="Palatino Linotype" w:cs="Palatino Linotype"/>
          <w:b/>
          <w:sz w:val="22"/>
          <w:szCs w:val="22"/>
        </w:rPr>
        <w:t xml:space="preserve">. </w:t>
      </w:r>
      <w:r w:rsidRPr="001D0D6F">
        <w:rPr>
          <w:rFonts w:ascii="Palatino Linotype" w:eastAsia="Palatino Linotype" w:hAnsi="Palatino Linotype" w:cs="Palatino Linotype"/>
          <w:b/>
          <w:sz w:val="22"/>
          <w:szCs w:val="22"/>
          <w:u w:val="single"/>
        </w:rPr>
        <w:t xml:space="preserve">era propietaria del vehículo </w:t>
      </w:r>
      <w:r w:rsidRPr="001D0D6F">
        <w:rPr>
          <w:rFonts w:ascii="Palatino Linotype" w:eastAsia="Palatino Linotype" w:hAnsi="Palatino Linotype" w:cs="Palatino Linotype"/>
          <w:b/>
          <w:sz w:val="22"/>
          <w:szCs w:val="22"/>
        </w:rPr>
        <w:t xml:space="preserve">marca Chevrolet, tipo Aveo, año/modelo 2023, con número de serie </w:t>
      </w:r>
      <w:r w:rsidR="00EC5848">
        <w:rPr>
          <w:rFonts w:ascii="Palatino Linotype" w:eastAsia="Palatino Linotype" w:hAnsi="Palatino Linotype" w:cs="Palatino Linotype"/>
          <w:b/>
          <w:sz w:val="22"/>
          <w:szCs w:val="22"/>
        </w:rPr>
        <w:t>XXXXXXXXXXXXXXXXX</w:t>
      </w:r>
      <w:r w:rsidRPr="001D0D6F">
        <w:rPr>
          <w:rFonts w:ascii="Palatino Linotype" w:eastAsia="Palatino Linotype" w:hAnsi="Palatino Linotype" w:cs="Palatino Linotype"/>
          <w:b/>
          <w:sz w:val="22"/>
          <w:szCs w:val="22"/>
        </w:rPr>
        <w:t xml:space="preserve">, con placas de circulación </w:t>
      </w:r>
      <w:r w:rsidR="00EC5848">
        <w:rPr>
          <w:rFonts w:ascii="Palatino Linotype" w:eastAsia="Palatino Linotype" w:hAnsi="Palatino Linotype" w:cs="Palatino Linotype"/>
          <w:b/>
          <w:sz w:val="22"/>
          <w:szCs w:val="22"/>
        </w:rPr>
        <w:t>XXXXXXX</w:t>
      </w:r>
      <w:r w:rsidRPr="001D0D6F">
        <w:rPr>
          <w:rFonts w:ascii="Palatino Linotype" w:eastAsia="Palatino Linotype" w:hAnsi="Palatino Linotype" w:cs="Palatino Linotype"/>
          <w:b/>
          <w:sz w:val="22"/>
          <w:szCs w:val="22"/>
        </w:rPr>
        <w:t xml:space="preserve"> del Estado de México. </w:t>
      </w:r>
    </w:p>
    <w:p w14:paraId="7C31D3F0" w14:textId="77777777" w:rsidR="0051643A" w:rsidRPr="001D0D6F" w:rsidRDefault="00C95719">
      <w:pPr>
        <w:numPr>
          <w:ilvl w:val="0"/>
          <w:numId w:val="2"/>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Que remita una </w:t>
      </w:r>
      <w:r w:rsidRPr="001D0D6F">
        <w:rPr>
          <w:rFonts w:ascii="Palatino Linotype" w:eastAsia="Palatino Linotype" w:hAnsi="Palatino Linotype" w:cs="Palatino Linotype"/>
          <w:b/>
          <w:sz w:val="22"/>
          <w:szCs w:val="22"/>
          <w:u w:val="single"/>
        </w:rPr>
        <w:t>copia certificada de la tarjeta de circulación</w:t>
      </w:r>
      <w:r w:rsidRPr="001D0D6F">
        <w:rPr>
          <w:rFonts w:ascii="Palatino Linotype" w:eastAsia="Palatino Linotype" w:hAnsi="Palatino Linotype" w:cs="Palatino Linotype"/>
          <w:b/>
          <w:sz w:val="22"/>
          <w:szCs w:val="22"/>
        </w:rPr>
        <w:t xml:space="preserve"> del vehículo descrito en el inciso “a)”. </w:t>
      </w:r>
    </w:p>
    <w:p w14:paraId="1E9C9C72" w14:textId="55F24612" w:rsidR="0051643A" w:rsidRPr="001D0D6F" w:rsidRDefault="00C95719">
      <w:pPr>
        <w:numPr>
          <w:ilvl w:val="0"/>
          <w:numId w:val="2"/>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Que informe si además de la Unidad Motriz antes descrita, la empresa </w:t>
      </w:r>
      <w:r w:rsidR="00EC5848" w:rsidRPr="00EC5848">
        <w:rPr>
          <w:rFonts w:ascii="Palatino Linotype" w:eastAsia="Palatino Linotype" w:hAnsi="Palatino Linotype" w:cs="Palatino Linotype"/>
          <w:b/>
          <w:sz w:val="22"/>
          <w:szCs w:val="22"/>
        </w:rPr>
        <w:t>XXXXXXXX XXXXXXX, X.X. de X.X.</w:t>
      </w:r>
      <w:r w:rsidR="00EC5848">
        <w:rPr>
          <w:rFonts w:ascii="Palatino Linotype" w:eastAsia="Palatino Linotype" w:hAnsi="Palatino Linotype" w:cs="Palatino Linotype"/>
          <w:b/>
          <w:sz w:val="22"/>
          <w:szCs w:val="22"/>
        </w:rPr>
        <w:t xml:space="preserve"> </w:t>
      </w:r>
      <w:r w:rsidRPr="001D0D6F">
        <w:rPr>
          <w:rFonts w:ascii="Palatino Linotype" w:eastAsia="Palatino Linotype" w:hAnsi="Palatino Linotype" w:cs="Palatino Linotype"/>
          <w:b/>
          <w:sz w:val="22"/>
          <w:szCs w:val="22"/>
          <w:u w:val="single"/>
        </w:rPr>
        <w:t>cuenta con otros vehículos registrados a su nombre</w:t>
      </w:r>
      <w:r w:rsidRPr="001D0D6F">
        <w:rPr>
          <w:rFonts w:ascii="Palatino Linotype" w:eastAsia="Palatino Linotype" w:hAnsi="Palatino Linotype" w:cs="Palatino Linotype"/>
          <w:b/>
          <w:sz w:val="22"/>
          <w:szCs w:val="22"/>
        </w:rPr>
        <w:t>, en caso afirmativo proporcionar una relación donde se describan.</w:t>
      </w:r>
    </w:p>
    <w:p w14:paraId="792A776F" w14:textId="3F5E44EB"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En tal tesitura, el </w:t>
      </w:r>
      <w:r w:rsidRPr="001D0D6F">
        <w:rPr>
          <w:rFonts w:ascii="Palatino Linotype" w:eastAsia="Palatino Linotype" w:hAnsi="Palatino Linotype" w:cs="Palatino Linotype"/>
          <w:b/>
          <w:sz w:val="22"/>
          <w:szCs w:val="22"/>
        </w:rPr>
        <w:t xml:space="preserve">Sujeto Obligado </w:t>
      </w:r>
      <w:r w:rsidRPr="001D0D6F">
        <w:rPr>
          <w:rFonts w:ascii="Palatino Linotype" w:eastAsia="Palatino Linotype" w:hAnsi="Palatino Linotype" w:cs="Palatino Linotype"/>
          <w:sz w:val="22"/>
          <w:szCs w:val="22"/>
        </w:rPr>
        <w:t xml:space="preserve">procedió a turnar la presente solicitud a la persona servidora pública habilitada de la Dirección del Registro Estatal del Transporte Público, la cual señaló que </w:t>
      </w:r>
      <w:r w:rsidRPr="001D0D6F">
        <w:rPr>
          <w:rFonts w:ascii="Palatino Linotype" w:eastAsia="Palatino Linotype" w:hAnsi="Palatino Linotype" w:cs="Palatino Linotype"/>
          <w:b/>
          <w:sz w:val="22"/>
          <w:szCs w:val="22"/>
        </w:rPr>
        <w:t>la Secretaría de Movilidad del Estado de México, le corresponde lo relativo al servicio público de transporte de jurisdicción estatal y sus servicios conexos</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sz w:val="22"/>
          <w:szCs w:val="22"/>
        </w:rPr>
        <w:lastRenderedPageBreak/>
        <w:t xml:space="preserve">ergo, de conformidad con el Reglamento Interior de la Secretaría de Movilidad, </w:t>
      </w:r>
      <w:r w:rsidRPr="001D0D6F">
        <w:rPr>
          <w:rFonts w:ascii="Palatino Linotype" w:eastAsia="Palatino Linotype" w:hAnsi="Palatino Linotype" w:cs="Palatino Linotype"/>
          <w:b/>
          <w:sz w:val="22"/>
          <w:szCs w:val="22"/>
        </w:rPr>
        <w:t>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w:t>
      </w:r>
      <w:r w:rsidRPr="001D0D6F">
        <w:rPr>
          <w:rFonts w:ascii="Palatino Linotype" w:eastAsia="Palatino Linotype" w:hAnsi="Palatino Linotype" w:cs="Palatino Linotype"/>
          <w:sz w:val="22"/>
          <w:szCs w:val="22"/>
        </w:rPr>
        <w:t xml:space="preserve">, se comunica que </w:t>
      </w:r>
      <w:r w:rsidRPr="001D0D6F">
        <w:rPr>
          <w:rFonts w:ascii="Palatino Linotype" w:eastAsia="Palatino Linotype" w:hAnsi="Palatino Linotype" w:cs="Palatino Linotype"/>
          <w:b/>
          <w:sz w:val="22"/>
          <w:szCs w:val="22"/>
          <w:u w:val="single"/>
        </w:rPr>
        <w:t xml:space="preserve">se realizó una búsqueda en los archivos digitales del Registro Estatal de Transporte Publico, del número de serie vehicular </w:t>
      </w:r>
      <w:r w:rsidR="00EC5848">
        <w:rPr>
          <w:rFonts w:ascii="Palatino Linotype" w:eastAsia="Palatino Linotype" w:hAnsi="Palatino Linotype" w:cs="Palatino Linotype"/>
          <w:b/>
          <w:sz w:val="22"/>
          <w:szCs w:val="22"/>
          <w:u w:val="single"/>
        </w:rPr>
        <w:t>XXXXXXXXXXXXXXXXX</w:t>
      </w:r>
      <w:r w:rsidRPr="001D0D6F">
        <w:rPr>
          <w:rFonts w:ascii="Palatino Linotype" w:eastAsia="Palatino Linotype" w:hAnsi="Palatino Linotype" w:cs="Palatino Linotype"/>
          <w:b/>
          <w:sz w:val="22"/>
          <w:szCs w:val="22"/>
          <w:u w:val="single"/>
        </w:rPr>
        <w:t xml:space="preserve"> referida, en concordancia de los parámetros de rastreo que se tienen actualmente, sin embargo, no se encontró registro de la misma en dichos archivos</w:t>
      </w:r>
      <w:r w:rsidRPr="001D0D6F">
        <w:rPr>
          <w:rFonts w:ascii="Palatino Linotype" w:eastAsia="Palatino Linotype" w:hAnsi="Palatino Linotype" w:cs="Palatino Linotype"/>
          <w:b/>
          <w:sz w:val="22"/>
          <w:szCs w:val="22"/>
        </w:rPr>
        <w:t>, por lo que no es posible proporcionar y/u ostentarse sobre los datos requeridos</w:t>
      </w:r>
      <w:r w:rsidRPr="001D0D6F">
        <w:rPr>
          <w:rFonts w:ascii="Palatino Linotype" w:eastAsia="Palatino Linotype" w:hAnsi="Palatino Linotype" w:cs="Palatino Linotype"/>
          <w:sz w:val="22"/>
          <w:szCs w:val="22"/>
        </w:rPr>
        <w:t>.</w:t>
      </w:r>
    </w:p>
    <w:p w14:paraId="6D34DC1A"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Una vez conocida esta respuesta, debemos recordar que </w:t>
      </w:r>
      <w:r w:rsidRPr="001D0D6F">
        <w:rPr>
          <w:rFonts w:ascii="Palatino Linotype" w:eastAsia="Palatino Linotype" w:hAnsi="Palatino Linotype" w:cs="Palatino Linotype"/>
          <w:b/>
          <w:sz w:val="22"/>
          <w:szCs w:val="22"/>
        </w:rPr>
        <w:t>la parte Recurrente</w:t>
      </w:r>
      <w:r w:rsidRPr="001D0D6F">
        <w:rPr>
          <w:rFonts w:ascii="Palatino Linotype" w:eastAsia="Palatino Linotype" w:hAnsi="Palatino Linotype" w:cs="Palatino Linotype"/>
          <w:sz w:val="22"/>
          <w:szCs w:val="22"/>
        </w:rPr>
        <w:t xml:space="preserve"> interpuso el recurso de revisión que en este acto se resuelve, expresando como razones o motivos de inconformidad que la respuesta a la solicitud no fue derivada de una búsqueda exhaustiva y razonable.</w:t>
      </w:r>
    </w:p>
    <w:p w14:paraId="1FECB82D"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Posteriormente, este Instituto determinó la admisión del recurso de revisión que nos ocupa, otorgándole a las partes un plazo de siete días hábiles para efecto de que presentaran sus alegatos, manifestaciones e informe justificado que a su derecho conviniera, teniendo así que ambas partes fueron omisas en adjuntar documento alguno en esta etapa, por lo que se tiene por precluido su derecho para tal efecto y se procede a la emisión de la presente resolución.</w:t>
      </w:r>
    </w:p>
    <w:p w14:paraId="57624B05"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Acotado lo anterior, resulta pertinente delimitar la estructura sobre la que se ceñirá el presente estudio, la cual versa en dos apartados:</w:t>
      </w:r>
    </w:p>
    <w:p w14:paraId="70E4F341" w14:textId="56B5B65C" w:rsidR="0051643A" w:rsidRPr="001D0D6F" w:rsidRDefault="00C95719">
      <w:pPr>
        <w:numPr>
          <w:ilvl w:val="0"/>
          <w:numId w:val="3"/>
        </w:numPr>
        <w:pBdr>
          <w:top w:val="nil"/>
          <w:left w:val="nil"/>
          <w:bottom w:val="nil"/>
          <w:right w:val="nil"/>
          <w:between w:val="nil"/>
        </w:pBdr>
        <w:spacing w:before="240" w:line="360" w:lineRule="auto"/>
        <w:ind w:left="567" w:right="49" w:hanging="141"/>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Naturaleza de la empresa </w:t>
      </w:r>
      <w:r w:rsidR="00EC5848" w:rsidRPr="00EC5848">
        <w:rPr>
          <w:rFonts w:ascii="Palatino Linotype" w:eastAsia="Palatino Linotype" w:hAnsi="Palatino Linotype" w:cs="Palatino Linotype"/>
          <w:b/>
          <w:sz w:val="22"/>
          <w:szCs w:val="22"/>
        </w:rPr>
        <w:t>XXXXXXXX XXXXXXX, X.X. de X.X.</w:t>
      </w:r>
    </w:p>
    <w:p w14:paraId="1A54E8CC" w14:textId="77777777" w:rsidR="0051643A" w:rsidRPr="001D0D6F" w:rsidRDefault="00C95719">
      <w:pPr>
        <w:numPr>
          <w:ilvl w:val="0"/>
          <w:numId w:val="3"/>
        </w:numPr>
        <w:pBdr>
          <w:top w:val="nil"/>
          <w:left w:val="nil"/>
          <w:bottom w:val="nil"/>
          <w:right w:val="nil"/>
          <w:between w:val="nil"/>
        </w:pBdr>
        <w:spacing w:after="240" w:line="360" w:lineRule="auto"/>
        <w:ind w:left="567" w:right="900" w:hanging="141"/>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Del ámbito competencial del Sujeto Obligado para contar con la información solicitada.</w:t>
      </w:r>
    </w:p>
    <w:p w14:paraId="4673880A" w14:textId="77777777" w:rsidR="0051643A" w:rsidRPr="001D0D6F" w:rsidRDefault="0051643A">
      <w:pPr>
        <w:spacing w:before="240" w:after="240" w:line="360" w:lineRule="auto"/>
        <w:ind w:right="49"/>
        <w:jc w:val="both"/>
        <w:rPr>
          <w:rFonts w:ascii="Palatino Linotype" w:eastAsia="Palatino Linotype" w:hAnsi="Palatino Linotype" w:cs="Palatino Linotype"/>
          <w:sz w:val="22"/>
          <w:szCs w:val="22"/>
        </w:rPr>
      </w:pPr>
    </w:p>
    <w:p w14:paraId="5936CEBC" w14:textId="28B79FF6" w:rsidR="0051643A" w:rsidRPr="001D0D6F" w:rsidRDefault="00C95719">
      <w:pPr>
        <w:numPr>
          <w:ilvl w:val="0"/>
          <w:numId w:val="4"/>
        </w:numPr>
        <w:pBdr>
          <w:top w:val="nil"/>
          <w:left w:val="nil"/>
          <w:bottom w:val="nil"/>
          <w:right w:val="nil"/>
          <w:between w:val="nil"/>
        </w:pBdr>
        <w:spacing w:before="240" w:line="360" w:lineRule="auto"/>
        <w:ind w:left="0" w:right="49" w:hanging="284"/>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 xml:space="preserve">Naturaleza de la empresa </w:t>
      </w:r>
      <w:r w:rsidR="00EC5848" w:rsidRPr="00EC5848">
        <w:rPr>
          <w:rFonts w:ascii="Palatino Linotype" w:eastAsia="Palatino Linotype" w:hAnsi="Palatino Linotype" w:cs="Palatino Linotype"/>
          <w:b/>
          <w:sz w:val="22"/>
          <w:szCs w:val="22"/>
        </w:rPr>
        <w:t>XXXXXXXX XXXXXXX, X.X. de X.X.</w:t>
      </w:r>
    </w:p>
    <w:p w14:paraId="26A5D9BD" w14:textId="77777777" w:rsidR="0051643A" w:rsidRPr="001D0D6F" w:rsidRDefault="0051643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439F0086" w14:textId="3A273007" w:rsidR="0051643A" w:rsidRPr="001D0D6F" w:rsidRDefault="00C95719">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Derivado de una consulta realizada por este Instituto, se localizó en el contrato CJEF-DGAF-004/13, suscrito por la Consejería Jurídica del Ejecutivo Federal y la empresa </w:t>
      </w:r>
      <w:r w:rsidR="00EC5848" w:rsidRPr="00EC5848">
        <w:rPr>
          <w:rFonts w:ascii="Palatino Linotype" w:eastAsia="Palatino Linotype" w:hAnsi="Palatino Linotype" w:cs="Palatino Linotype"/>
          <w:sz w:val="22"/>
          <w:szCs w:val="22"/>
        </w:rPr>
        <w:t>XXXXXXXX XXXXXXX, X.X. de X.X.</w:t>
      </w:r>
      <w:r w:rsidRPr="001D0D6F">
        <w:rPr>
          <w:rFonts w:ascii="Palatino Linotype" w:eastAsia="Palatino Linotype" w:hAnsi="Palatino Linotype" w:cs="Palatino Linotype"/>
          <w:sz w:val="22"/>
          <w:szCs w:val="22"/>
        </w:rPr>
        <w:t xml:space="preserve">, que dicha persona moral cuenta con el </w:t>
      </w:r>
      <w:r w:rsidRPr="001D0D6F">
        <w:rPr>
          <w:rFonts w:ascii="Palatino Linotype" w:eastAsia="Palatino Linotype" w:hAnsi="Palatino Linotype" w:cs="Palatino Linotype"/>
          <w:b/>
          <w:sz w:val="22"/>
          <w:szCs w:val="22"/>
        </w:rPr>
        <w:t>objeto social de alquiler, compraventa y comercio en general de toda clase de automóviles y camiones en sus diversos tipos</w:t>
      </w:r>
      <w:r w:rsidRPr="001D0D6F">
        <w:rPr>
          <w:rFonts w:ascii="Palatino Linotype" w:eastAsia="Palatino Linotype" w:hAnsi="Palatino Linotype" w:cs="Palatino Linotype"/>
          <w:sz w:val="22"/>
          <w:szCs w:val="22"/>
        </w:rPr>
        <w:t>, marcas y tamaños, sean nuevos o usados; su mantenimiento y adaptación en todas sus formas como mecánica, pintura, hojalatería y lubricación.</w:t>
      </w:r>
    </w:p>
    <w:p w14:paraId="45E3FEDA"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Asimismo, de una revisión al portal electrónico de dicha empresa, se tiene que esta cuenta con la siguiente misión y visión:</w:t>
      </w:r>
    </w:p>
    <w:p w14:paraId="56B4D9CB"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“MISIÓN</w:t>
      </w:r>
    </w:p>
    <w:p w14:paraId="73143076"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 xml:space="preserve">Cubrir las necesidades de movilidad y equipos productivos de trabajo a través de </w:t>
      </w:r>
      <w:r w:rsidRPr="001D0D6F">
        <w:rPr>
          <w:rFonts w:ascii="Palatino Linotype" w:eastAsia="Palatino Linotype" w:hAnsi="Palatino Linotype" w:cs="Palatino Linotype"/>
          <w:b/>
          <w:i/>
          <w:sz w:val="22"/>
          <w:szCs w:val="22"/>
        </w:rPr>
        <w:t>esquemas de arrendamiento</w:t>
      </w:r>
      <w:r w:rsidRPr="001D0D6F">
        <w:rPr>
          <w:rFonts w:ascii="Palatino Linotype" w:eastAsia="Palatino Linotype" w:hAnsi="Palatino Linotype" w:cs="Palatino Linotype"/>
          <w:i/>
          <w:sz w:val="22"/>
          <w:szCs w:val="22"/>
        </w:rPr>
        <w:t xml:space="preserve"> sencillos y personalizados.</w:t>
      </w:r>
    </w:p>
    <w:p w14:paraId="68941866"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VISIÓN</w:t>
      </w:r>
    </w:p>
    <w:p w14:paraId="1478F2E0"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b/>
          <w:i/>
          <w:sz w:val="22"/>
          <w:szCs w:val="22"/>
        </w:rPr>
        <w:t>Ser la mejor arrendadora de México</w:t>
      </w:r>
      <w:r w:rsidRPr="001D0D6F">
        <w:rPr>
          <w:rFonts w:ascii="Palatino Linotype" w:eastAsia="Palatino Linotype" w:hAnsi="Palatino Linotype" w:cs="Palatino Linotype"/>
          <w:i/>
          <w:sz w:val="22"/>
          <w:szCs w:val="22"/>
        </w:rPr>
        <w:t xml:space="preserve"> reconocida por su gente, flexibilidad y generación de valor.”</w:t>
      </w:r>
    </w:p>
    <w:p w14:paraId="7F0A2B7A" w14:textId="4C803EC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De tal suerte que con lo anteriormente citado, se deduce que </w:t>
      </w:r>
      <w:r w:rsidRPr="001D0D6F">
        <w:rPr>
          <w:rFonts w:ascii="Palatino Linotype" w:eastAsia="Palatino Linotype" w:hAnsi="Palatino Linotype" w:cs="Palatino Linotype"/>
          <w:b/>
          <w:sz w:val="22"/>
          <w:szCs w:val="22"/>
        </w:rPr>
        <w:t xml:space="preserve">la naturaleza jurídica de la persona moral denominada </w:t>
      </w:r>
      <w:r w:rsidR="00EC5848" w:rsidRPr="00EC5848">
        <w:rPr>
          <w:rFonts w:ascii="Palatino Linotype" w:eastAsia="Palatino Linotype" w:hAnsi="Palatino Linotype" w:cs="Palatino Linotype"/>
          <w:b/>
          <w:sz w:val="22"/>
          <w:szCs w:val="22"/>
        </w:rPr>
        <w:t>XXXXXXXX XXXXXXX, X.X. de X.X.</w:t>
      </w:r>
      <w:r w:rsidR="00EC5848">
        <w:rPr>
          <w:rFonts w:ascii="Palatino Linotype" w:eastAsia="Palatino Linotype" w:hAnsi="Palatino Linotype" w:cs="Palatino Linotype"/>
          <w:b/>
          <w:sz w:val="22"/>
          <w:szCs w:val="22"/>
        </w:rPr>
        <w:t xml:space="preserve"> </w:t>
      </w:r>
      <w:r w:rsidRPr="001D0D6F">
        <w:rPr>
          <w:rFonts w:ascii="Palatino Linotype" w:eastAsia="Palatino Linotype" w:hAnsi="Palatino Linotype" w:cs="Palatino Linotype"/>
          <w:b/>
          <w:sz w:val="22"/>
          <w:szCs w:val="22"/>
        </w:rPr>
        <w:t>es meramente de carácter particular y cuenta con el objetivo del alquiler, compraventa y comercio en general de toda clase de automóviles y camiones, por consiguiente, es dable afirmar que esta persona moral no se encuentra relacionada con la prestación de servicios de transporte público</w:t>
      </w:r>
      <w:r w:rsidRPr="001D0D6F">
        <w:rPr>
          <w:rFonts w:ascii="Palatino Linotype" w:eastAsia="Palatino Linotype" w:hAnsi="Palatino Linotype" w:cs="Palatino Linotype"/>
          <w:sz w:val="22"/>
          <w:szCs w:val="22"/>
        </w:rPr>
        <w:t xml:space="preserve"> y por ende, la información relativa a esta empresa no obra en los archivos del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tal como se acreditará en líneas subsecuentes.</w:t>
      </w:r>
    </w:p>
    <w:p w14:paraId="4432D8B0" w14:textId="77777777" w:rsidR="0051643A" w:rsidRPr="001D0D6F" w:rsidRDefault="00C95719">
      <w:pPr>
        <w:spacing w:before="240" w:after="240" w:line="360" w:lineRule="auto"/>
        <w:ind w:right="49"/>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lastRenderedPageBreak/>
        <w:t>B) Del ámbito competencial del Sujeto Obligado para contar con la información solicitada.</w:t>
      </w:r>
    </w:p>
    <w:p w14:paraId="6DAFAB08"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Una vez establecida la naturaleza de la persona moral de la cual, la persona solicitante requiere la información, resulta pertinente traer a colación lo dispuesto por la Ley Orgánica de la Administración Pública del Estado de México, la cual delega a la Secretaría de Movilidad, las siguientes atribuciones:</w:t>
      </w:r>
    </w:p>
    <w:p w14:paraId="07413C9C"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 xml:space="preserve">“Artículo 54. </w:t>
      </w:r>
      <w:r w:rsidRPr="001D0D6F">
        <w:rPr>
          <w:rFonts w:ascii="Palatino Linotype" w:eastAsia="Palatino Linotype" w:hAnsi="Palatino Linotype" w:cs="Palatino Linotype"/>
          <w:b/>
          <w:i/>
          <w:sz w:val="22"/>
          <w:szCs w:val="22"/>
        </w:rPr>
        <w:t>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w:t>
      </w:r>
      <w:r w:rsidRPr="001D0D6F">
        <w:rPr>
          <w:rFonts w:ascii="Palatino Linotype" w:eastAsia="Palatino Linotype" w:hAnsi="Palatino Linotype" w:cs="Palatino Linotype"/>
          <w:i/>
          <w:sz w:val="22"/>
          <w:szCs w:val="22"/>
        </w:rPr>
        <w:t>, así como el desarrollo y administración de la infraestructura vial primaria y de la regulación de las comunicaciones de jurisdicción local.” (Énfasis añadido)</w:t>
      </w:r>
    </w:p>
    <w:p w14:paraId="6CBED2F5" w14:textId="2C2F36E2"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De manera que las funciones de </w:t>
      </w:r>
      <w:r w:rsidRPr="001D0D6F">
        <w:rPr>
          <w:rFonts w:ascii="Palatino Linotype" w:eastAsia="Palatino Linotype" w:hAnsi="Palatino Linotype" w:cs="Palatino Linotype"/>
          <w:b/>
          <w:sz w:val="22"/>
          <w:szCs w:val="22"/>
        </w:rPr>
        <w:t xml:space="preserve">la Secretaría de Movilidad, se encuentran enfocadas a la prestación del servicio público de transporte de jurisdicción estatal, no así respecto al monitoreo de empresas que llevan a cabo el arrendamiento de vehículos que es el objeto social de la empresa social </w:t>
      </w:r>
      <w:r w:rsidR="00EC5848" w:rsidRPr="00EC5848">
        <w:rPr>
          <w:rFonts w:ascii="Palatino Linotype" w:eastAsia="Palatino Linotype" w:hAnsi="Palatino Linotype" w:cs="Palatino Linotype"/>
          <w:b/>
          <w:sz w:val="22"/>
          <w:szCs w:val="22"/>
        </w:rPr>
        <w:t>XXXXXXXX XXXXXXX, X.X. de X.X.</w:t>
      </w:r>
      <w:r w:rsidRPr="001D0D6F">
        <w:rPr>
          <w:rFonts w:ascii="Palatino Linotype" w:eastAsia="Palatino Linotype" w:hAnsi="Palatino Linotype" w:cs="Palatino Linotype"/>
          <w:b/>
          <w:sz w:val="22"/>
          <w:szCs w:val="22"/>
        </w:rPr>
        <w:t>, consecuentemente, no se justifica que el Sujeto Obligado deba contar con información de esta persona moral</w:t>
      </w:r>
      <w:r w:rsidRPr="001D0D6F">
        <w:rPr>
          <w:rFonts w:ascii="Palatino Linotype" w:eastAsia="Palatino Linotype" w:hAnsi="Palatino Linotype" w:cs="Palatino Linotype"/>
          <w:sz w:val="22"/>
          <w:szCs w:val="22"/>
        </w:rPr>
        <w:t>.</w:t>
      </w:r>
    </w:p>
    <w:p w14:paraId="6FAFFA3C"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Aunado a lo anterior, resulta necesario recordar que el </w:t>
      </w:r>
      <w:r w:rsidRPr="001D0D6F">
        <w:rPr>
          <w:rFonts w:ascii="Palatino Linotype" w:eastAsia="Palatino Linotype" w:hAnsi="Palatino Linotype" w:cs="Palatino Linotype"/>
          <w:b/>
          <w:sz w:val="22"/>
          <w:szCs w:val="22"/>
        </w:rPr>
        <w:t xml:space="preserve">Sujeto Obligado </w:t>
      </w:r>
      <w:r w:rsidRPr="001D0D6F">
        <w:rPr>
          <w:rFonts w:ascii="Palatino Linotype" w:eastAsia="Palatino Linotype" w:hAnsi="Palatino Linotype" w:cs="Palatino Linotype"/>
          <w:sz w:val="22"/>
          <w:szCs w:val="22"/>
        </w:rPr>
        <w:t xml:space="preserve">turnó la presente solicitud a la persona servidora pública habilitada de la </w:t>
      </w:r>
      <w:r w:rsidRPr="001D0D6F">
        <w:rPr>
          <w:rFonts w:ascii="Palatino Linotype" w:eastAsia="Palatino Linotype" w:hAnsi="Palatino Linotype" w:cs="Palatino Linotype"/>
          <w:b/>
          <w:sz w:val="22"/>
          <w:szCs w:val="22"/>
        </w:rPr>
        <w:t>Dirección del Registro Estatal del Transporte Público</w:t>
      </w:r>
      <w:r w:rsidRPr="001D0D6F">
        <w:rPr>
          <w:rFonts w:ascii="Palatino Linotype" w:eastAsia="Palatino Linotype" w:hAnsi="Palatino Linotype" w:cs="Palatino Linotype"/>
          <w:sz w:val="22"/>
          <w:szCs w:val="22"/>
        </w:rPr>
        <w:t>, tal como se desprende de las siguientes ilustraciones:</w:t>
      </w:r>
    </w:p>
    <w:p w14:paraId="4D1FCC1A" w14:textId="77777777" w:rsidR="0051643A" w:rsidRPr="001D0D6F" w:rsidRDefault="00C95719">
      <w:pPr>
        <w:spacing w:before="240" w:after="240" w:line="360" w:lineRule="auto"/>
        <w:ind w:right="49"/>
        <w:jc w:val="center"/>
        <w:rPr>
          <w:rFonts w:ascii="Palatino Linotype" w:eastAsia="Palatino Linotype" w:hAnsi="Palatino Linotype" w:cs="Palatino Linotype"/>
          <w:sz w:val="22"/>
          <w:szCs w:val="22"/>
        </w:rPr>
      </w:pPr>
      <w:r w:rsidRPr="001D0D6F">
        <w:rPr>
          <w:rFonts w:ascii="Palatino Linotype" w:eastAsia="Palatino Linotype" w:hAnsi="Palatino Linotype" w:cs="Palatino Linotype"/>
          <w:noProof/>
          <w:sz w:val="22"/>
          <w:szCs w:val="22"/>
        </w:rPr>
        <w:drawing>
          <wp:inline distT="0" distB="0" distL="0" distR="0" wp14:anchorId="03E15A01" wp14:editId="77467CDA">
            <wp:extent cx="5664830" cy="614257"/>
            <wp:effectExtent l="0" t="0" r="0" b="0"/>
            <wp:docPr id="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r="29565" b="5594"/>
                    <a:stretch>
                      <a:fillRect/>
                    </a:stretch>
                  </pic:blipFill>
                  <pic:spPr>
                    <a:xfrm>
                      <a:off x="0" y="0"/>
                      <a:ext cx="5664830" cy="614257"/>
                    </a:xfrm>
                    <a:prstGeom prst="rect">
                      <a:avLst/>
                    </a:prstGeom>
                    <a:ln/>
                  </pic:spPr>
                </pic:pic>
              </a:graphicData>
            </a:graphic>
          </wp:inline>
        </w:drawing>
      </w:r>
    </w:p>
    <w:p w14:paraId="57E5E878" w14:textId="77777777" w:rsidR="0051643A" w:rsidRPr="001D0D6F" w:rsidRDefault="00C95719">
      <w:pPr>
        <w:spacing w:before="240" w:after="240" w:line="360" w:lineRule="auto"/>
        <w:ind w:right="49"/>
        <w:jc w:val="center"/>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noProof/>
          <w:sz w:val="22"/>
          <w:szCs w:val="22"/>
        </w:rPr>
        <w:lastRenderedPageBreak/>
        <w:drawing>
          <wp:inline distT="0" distB="0" distL="0" distR="0" wp14:anchorId="6630A2A4" wp14:editId="72DC59B2">
            <wp:extent cx="4820323" cy="1781424"/>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20323" cy="1781424"/>
                    </a:xfrm>
                    <a:prstGeom prst="rect">
                      <a:avLst/>
                    </a:prstGeom>
                    <a:ln/>
                  </pic:spPr>
                </pic:pic>
              </a:graphicData>
            </a:graphic>
          </wp:inline>
        </w:drawing>
      </w:r>
    </w:p>
    <w:p w14:paraId="2A143A6F"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Teniendo esto en cuenta, resulta pertinente señalar que de conformidad con el Manual General de Organización de la Secretaría de Movilidad, dicha Dirección cuenta con las siguientes atribuciones:</w:t>
      </w:r>
    </w:p>
    <w:p w14:paraId="65126AF2"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“22000007000000L DIRECCIÓN GENERAL DEL REGISTRO ESTATAL DE TRANSPORTE PÚBLICO</w:t>
      </w:r>
    </w:p>
    <w:p w14:paraId="0E9DAFB7"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OBJETIVO:</w:t>
      </w:r>
    </w:p>
    <w:p w14:paraId="526AC53D"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b/>
          <w:i/>
          <w:sz w:val="22"/>
          <w:szCs w:val="22"/>
          <w:u w:val="single"/>
        </w:rPr>
        <w:t>Coordinar los trámites relacionados con el diseño, expedición y suministro de la documentación relativa al control vehicular del servicio público de transporte, los inherentes a vehículos automotores destinados para prestar un servicio a la población, por parte de organismos y dependencias estatales o municipales</w:t>
      </w:r>
      <w:r w:rsidRPr="001D0D6F">
        <w:rPr>
          <w:rFonts w:ascii="Palatino Linotype" w:eastAsia="Palatino Linotype" w:hAnsi="Palatino Linotype" w:cs="Palatino Linotype"/>
          <w:b/>
          <w:i/>
          <w:sz w:val="22"/>
          <w:szCs w:val="22"/>
        </w:rPr>
        <w:t>, así como los relativos a la</w:t>
      </w:r>
      <w:r w:rsidRPr="001D0D6F">
        <w:rPr>
          <w:rFonts w:ascii="Palatino Linotype" w:eastAsia="Palatino Linotype" w:hAnsi="Palatino Linotype" w:cs="Palatino Linotype"/>
          <w:i/>
          <w:sz w:val="22"/>
          <w:szCs w:val="22"/>
        </w:rPr>
        <w:t xml:space="preserve"> </w:t>
      </w:r>
      <w:r w:rsidRPr="001D0D6F">
        <w:rPr>
          <w:rFonts w:ascii="Palatino Linotype" w:eastAsia="Palatino Linotype" w:hAnsi="Palatino Linotype" w:cs="Palatino Linotype"/>
          <w:b/>
          <w:i/>
          <w:sz w:val="22"/>
          <w:szCs w:val="22"/>
        </w:rPr>
        <w:t>emisión de licencias de conducir de servicio particular</w:t>
      </w:r>
      <w:r w:rsidRPr="001D0D6F">
        <w:rPr>
          <w:rFonts w:ascii="Palatino Linotype" w:eastAsia="Palatino Linotype" w:hAnsi="Palatino Linotype" w:cs="Palatino Linotype"/>
          <w:i/>
          <w:sz w:val="22"/>
          <w:szCs w:val="22"/>
        </w:rPr>
        <w:t xml:space="preserve"> y de servicio público en sus diferentes modalidades.</w:t>
      </w:r>
    </w:p>
    <w:p w14:paraId="651D931E"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FUNCIONES:</w:t>
      </w:r>
    </w:p>
    <w:p w14:paraId="3AA1DD8F"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w:t>
      </w:r>
    </w:p>
    <w:p w14:paraId="6EBD93DC" w14:textId="77777777" w:rsidR="0051643A" w:rsidRPr="001D0D6F" w:rsidRDefault="00C95719">
      <w:pPr>
        <w:spacing w:before="240" w:after="240" w:line="276" w:lineRule="auto"/>
        <w:ind w:left="567" w:right="900"/>
        <w:jc w:val="both"/>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rPr>
        <w:t>Coordinar el suministro de documentación oficial referente a los diferentes trámites de control vehicular del servicio público, licencias de servicio particular, permisos y de servicio público en sus diversas modalidades.</w:t>
      </w:r>
    </w:p>
    <w:p w14:paraId="79DE41C0" w14:textId="77777777" w:rsidR="0051643A" w:rsidRPr="001D0D6F" w:rsidRDefault="00C95719">
      <w:pP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w:t>
      </w:r>
    </w:p>
    <w:p w14:paraId="5E8D5311" w14:textId="77777777" w:rsidR="0051643A" w:rsidRPr="001D0D6F" w:rsidRDefault="00C95719">
      <w:pPr>
        <w:spacing w:before="240" w:after="240" w:line="276" w:lineRule="auto"/>
        <w:ind w:left="567" w:right="900"/>
        <w:jc w:val="both"/>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b/>
          <w:i/>
          <w:sz w:val="22"/>
          <w:szCs w:val="22"/>
        </w:rPr>
        <w:lastRenderedPageBreak/>
        <w:t>-Aprobar, expedir e implementar los formatos y documentación relacionada con licencias de servicio público y particular, al control vehicular, placas de matriculación, tarjetas de circulación de los vehículos de servicio público de transporte, así como de los vehículos automotores destinados para prestar un servicio público a la población por parte de organismos y dependencias federales, estatales o municipales.</w:t>
      </w:r>
    </w:p>
    <w:p w14:paraId="6EB897CD" w14:textId="77777777" w:rsidR="0051643A" w:rsidRPr="001D0D6F" w:rsidRDefault="00C95719">
      <w:pPr>
        <w:spacing w:before="240" w:after="240" w:line="276" w:lineRule="auto"/>
        <w:ind w:left="567" w:right="900"/>
        <w:jc w:val="both"/>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b/>
          <w:i/>
          <w:sz w:val="22"/>
          <w:szCs w:val="22"/>
        </w:rPr>
        <w:t>…</w:t>
      </w:r>
    </w:p>
    <w:p w14:paraId="3AA49181" w14:textId="77777777" w:rsidR="0051643A" w:rsidRPr="001D0D6F" w:rsidRDefault="00C95719">
      <w:pPr>
        <w:spacing w:before="240" w:after="240" w:line="276" w:lineRule="auto"/>
        <w:ind w:left="567" w:right="900"/>
        <w:jc w:val="both"/>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b/>
          <w:i/>
          <w:sz w:val="22"/>
          <w:szCs w:val="22"/>
        </w:rPr>
        <w:t>-</w:t>
      </w:r>
      <w:r w:rsidRPr="001D0D6F">
        <w:t xml:space="preserve"> </w:t>
      </w:r>
      <w:r w:rsidRPr="001D0D6F">
        <w:rPr>
          <w:rFonts w:ascii="Palatino Linotype" w:eastAsia="Palatino Linotype" w:hAnsi="Palatino Linotype" w:cs="Palatino Linotype"/>
          <w:b/>
          <w:i/>
          <w:sz w:val="22"/>
          <w:szCs w:val="22"/>
        </w:rPr>
        <w:t xml:space="preserve">Coordinar las oficinas estatales de emisión de licencias y control vehicular de transporte publico tengan en existencia las formas valoradas, placas de matriculación, tarjetas de circulación, licencias y demás documentación oficial referente a los trámites y servicios que prestan.” </w:t>
      </w:r>
      <w:r w:rsidRPr="001D0D6F">
        <w:rPr>
          <w:rFonts w:ascii="Palatino Linotype" w:eastAsia="Palatino Linotype" w:hAnsi="Palatino Linotype" w:cs="Palatino Linotype"/>
          <w:i/>
          <w:sz w:val="22"/>
          <w:szCs w:val="22"/>
        </w:rPr>
        <w:t>(Énfasis añadido)</w:t>
      </w:r>
    </w:p>
    <w:p w14:paraId="566EC96B" w14:textId="64E20A45" w:rsidR="0051643A" w:rsidRPr="001D0D6F" w:rsidRDefault="00C95719">
      <w:pPr>
        <w:spacing w:line="360" w:lineRule="auto"/>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sz w:val="22"/>
          <w:szCs w:val="22"/>
        </w:rPr>
        <w:t xml:space="preserve">De lo anteriormente insertado, se aprecia que la Dirección General del Registro Estatal del Transporte Público únicamente contará con información únicamente de vehículos automotores destinados a la prestación del servicio de transporte público, así como de aquellos destinados a prestar un servicio a la población por parte de organismos y dependencias estatales o municipales, así como la emisión de licencias de conducir de servicio particular, por lo tanto, </w:t>
      </w:r>
      <w:r w:rsidRPr="001D0D6F">
        <w:rPr>
          <w:rFonts w:ascii="Palatino Linotype" w:eastAsia="Palatino Linotype" w:hAnsi="Palatino Linotype" w:cs="Palatino Linotype"/>
          <w:b/>
          <w:sz w:val="22"/>
          <w:szCs w:val="22"/>
        </w:rPr>
        <w:t>si tenemos en cuenta las funciones de esta Dirección, así como que la persona moral de la que se requiere información no ejerce funciones de servicio de transporte público, indudablemente abordamos a la conclusión de que el Sujeto Obligado no es susceptible de contar con la información solicitada</w:t>
      </w:r>
      <w:r w:rsidRPr="001D0D6F">
        <w:rPr>
          <w:rFonts w:ascii="Palatino Linotype" w:eastAsia="Palatino Linotype" w:hAnsi="Palatino Linotype" w:cs="Palatino Linotype"/>
          <w:sz w:val="22"/>
          <w:szCs w:val="22"/>
        </w:rPr>
        <w:t xml:space="preserve">, circunstancia que se refuerza al observar el pronunciamiento emitido en respuesta, el cual versa de la siguiente manera: </w:t>
      </w: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u w:val="single"/>
        </w:rPr>
        <w:t xml:space="preserve">se realizó una búsqueda en los archivos digitales del Registro Estatal de Transporte Publico, del número de serie vehicular </w:t>
      </w:r>
      <w:r w:rsidR="00EC5848">
        <w:rPr>
          <w:rFonts w:ascii="Palatino Linotype" w:eastAsia="Palatino Linotype" w:hAnsi="Palatino Linotype" w:cs="Palatino Linotype"/>
          <w:b/>
          <w:i/>
          <w:sz w:val="22"/>
          <w:szCs w:val="22"/>
          <w:u w:val="single"/>
        </w:rPr>
        <w:t>XXXXXXXXXXXXXXXX</w:t>
      </w:r>
      <w:r w:rsidRPr="001D0D6F">
        <w:rPr>
          <w:rFonts w:ascii="Palatino Linotype" w:eastAsia="Palatino Linotype" w:hAnsi="Palatino Linotype" w:cs="Palatino Linotype"/>
          <w:b/>
          <w:i/>
          <w:sz w:val="22"/>
          <w:szCs w:val="22"/>
          <w:u w:val="single"/>
        </w:rPr>
        <w:t xml:space="preserve"> referida, en concordancia de los parámetros de rastreo que se tienen actualmente, sin embargo, no se encontró registro de la misma en dichos archivos</w:t>
      </w:r>
      <w:r w:rsidRPr="001D0D6F">
        <w:rPr>
          <w:rFonts w:ascii="Palatino Linotype" w:eastAsia="Palatino Linotype" w:hAnsi="Palatino Linotype" w:cs="Palatino Linotype"/>
          <w:i/>
          <w:sz w:val="22"/>
          <w:szCs w:val="22"/>
        </w:rPr>
        <w:t>, por lo que no es posible proporcionar y/u ostentarse sobre los datos requeridos.”</w:t>
      </w:r>
    </w:p>
    <w:p w14:paraId="7331F99D" w14:textId="77777777" w:rsidR="0051643A" w:rsidRPr="001D0D6F" w:rsidRDefault="00C95719">
      <w:pPr>
        <w:pBdr>
          <w:top w:val="nil"/>
          <w:left w:val="nil"/>
          <w:bottom w:val="nil"/>
          <w:right w:val="nil"/>
          <w:between w:val="nil"/>
        </w:pBdr>
        <w:spacing w:before="240" w:after="240" w:line="360" w:lineRule="auto"/>
        <w:jc w:val="both"/>
      </w:pPr>
      <w:r w:rsidRPr="001D0D6F">
        <w:rPr>
          <w:rFonts w:ascii="Palatino Linotype" w:eastAsia="Palatino Linotype" w:hAnsi="Palatino Linotype" w:cs="Palatino Linotype"/>
          <w:sz w:val="22"/>
          <w:szCs w:val="22"/>
        </w:rPr>
        <w:lastRenderedPageBreak/>
        <w:t xml:space="preserve">Por consiguiente toda vez que no posee, administra ni genera la información requerida por el particular, constituye un hecho negativo; entonces, si se considera el hecho negativo, es obvio que éste no puede fácticamente obrar en los archivos del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ya que no puede probarse por ser lógica y materialmente imposible.</w:t>
      </w:r>
    </w:p>
    <w:p w14:paraId="5F4203E1" w14:textId="77777777" w:rsidR="0051643A" w:rsidRPr="001D0D6F" w:rsidRDefault="00C95719">
      <w:pPr>
        <w:pBdr>
          <w:top w:val="nil"/>
          <w:left w:val="nil"/>
          <w:bottom w:val="nil"/>
          <w:right w:val="nil"/>
          <w:between w:val="nil"/>
        </w:pBdr>
        <w:spacing w:before="240" w:after="240" w:line="360" w:lineRule="auto"/>
        <w:jc w:val="both"/>
      </w:pPr>
      <w:r w:rsidRPr="001D0D6F">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029BB4B8" w14:textId="77777777" w:rsidR="0051643A" w:rsidRPr="001D0D6F" w:rsidRDefault="00C95719">
      <w:pPr>
        <w:pBdr>
          <w:top w:val="nil"/>
          <w:left w:val="nil"/>
          <w:bottom w:val="nil"/>
          <w:right w:val="nil"/>
          <w:between w:val="nil"/>
        </w:pBdr>
        <w:spacing w:before="240" w:after="240" w:line="360" w:lineRule="auto"/>
        <w:jc w:val="both"/>
      </w:pPr>
      <w:r w:rsidRPr="001D0D6F">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2A70B27D" w14:textId="77777777" w:rsidR="0051643A" w:rsidRPr="001D0D6F" w:rsidRDefault="00C95719">
      <w:pPr>
        <w:pBdr>
          <w:top w:val="nil"/>
          <w:left w:val="nil"/>
          <w:bottom w:val="nil"/>
          <w:right w:val="nil"/>
          <w:between w:val="nil"/>
        </w:pBdr>
        <w:spacing w:line="276" w:lineRule="auto"/>
        <w:ind w:left="567" w:right="900"/>
        <w:jc w:val="both"/>
      </w:pPr>
      <w:r w:rsidRPr="001D0D6F">
        <w:rPr>
          <w:rFonts w:ascii="Palatino Linotype" w:eastAsia="Palatino Linotype" w:hAnsi="Palatino Linotype" w:cs="Palatino Linotype"/>
          <w:b/>
          <w:i/>
          <w:sz w:val="22"/>
          <w:szCs w:val="22"/>
        </w:rPr>
        <w:t>“HECHOS NEGATIVOS, NO SON SUSCEPTIBLES DE DEMOSTRACIÓN.</w:t>
      </w:r>
    </w:p>
    <w:p w14:paraId="407C2F5E" w14:textId="77777777" w:rsidR="0051643A" w:rsidRPr="001D0D6F" w:rsidRDefault="00C95719">
      <w:pPr>
        <w:pBdr>
          <w:top w:val="nil"/>
          <w:left w:val="nil"/>
          <w:bottom w:val="nil"/>
          <w:right w:val="nil"/>
          <w:between w:val="nil"/>
        </w:pBdr>
        <w:spacing w:line="276" w:lineRule="auto"/>
        <w:ind w:left="567" w:right="900"/>
        <w:jc w:val="both"/>
      </w:pPr>
      <w:r w:rsidRPr="001D0D6F">
        <w:rPr>
          <w:rFonts w:ascii="Palatino Linotype" w:eastAsia="Palatino Linotype" w:hAnsi="Palatino Linotype" w:cs="Palatino Linotype"/>
          <w:i/>
          <w:sz w:val="22"/>
          <w:szCs w:val="22"/>
        </w:rPr>
        <w:t xml:space="preserve">Tratándose de un hecho negativo, el Juez no tiene </w:t>
      </w:r>
      <w:proofErr w:type="spellStart"/>
      <w:r w:rsidRPr="001D0D6F">
        <w:rPr>
          <w:rFonts w:ascii="Palatino Linotype" w:eastAsia="Palatino Linotype" w:hAnsi="Palatino Linotype" w:cs="Palatino Linotype"/>
          <w:i/>
          <w:sz w:val="22"/>
          <w:szCs w:val="22"/>
        </w:rPr>
        <w:t>por que</w:t>
      </w:r>
      <w:proofErr w:type="spellEnd"/>
      <w:r w:rsidRPr="001D0D6F">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7731FE57" w14:textId="77777777" w:rsidR="0051643A" w:rsidRPr="001D0D6F" w:rsidRDefault="00C95719">
      <w:pPr>
        <w:pBdr>
          <w:top w:val="nil"/>
          <w:left w:val="nil"/>
          <w:bottom w:val="nil"/>
          <w:right w:val="nil"/>
          <w:between w:val="nil"/>
        </w:pBdr>
        <w:spacing w:line="276" w:lineRule="auto"/>
        <w:ind w:left="567" w:right="900"/>
        <w:jc w:val="both"/>
      </w:pPr>
      <w:r w:rsidRPr="001D0D6F">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53F73D99" w14:textId="77777777" w:rsidR="0051643A" w:rsidRPr="001D0D6F" w:rsidRDefault="00C9571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sólo proporcionará la información que obra en sus archivos, lo que a</w:t>
      </w:r>
      <w:r w:rsidRPr="001D0D6F">
        <w:rPr>
          <w:rFonts w:ascii="Palatino Linotype" w:eastAsia="Palatino Linotype" w:hAnsi="Palatino Linotype" w:cs="Palatino Linotype"/>
          <w:i/>
          <w:sz w:val="22"/>
          <w:szCs w:val="22"/>
        </w:rPr>
        <w:t xml:space="preserve"> contrario sensu</w:t>
      </w:r>
      <w:r w:rsidRPr="001D0D6F">
        <w:rPr>
          <w:rFonts w:ascii="Palatino Linotype" w:eastAsia="Palatino Linotype" w:hAnsi="Palatino Linotype" w:cs="Palatino Linotype"/>
          <w:sz w:val="22"/>
          <w:szCs w:val="22"/>
        </w:rPr>
        <w:t xml:space="preserve"> significa que no se está obligado a proporcionar lo que no obre en sus archivos.</w:t>
      </w:r>
    </w:p>
    <w:p w14:paraId="4F03094C" w14:textId="77777777" w:rsidR="0051643A" w:rsidRPr="001D0D6F" w:rsidRDefault="00C9571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Por otro lado, resulta importante destacar que los requerimientos de información del particular se encuentran enfocados a obtener </w:t>
      </w:r>
      <w:r w:rsidRPr="001D0D6F">
        <w:rPr>
          <w:rFonts w:ascii="Palatino Linotype" w:eastAsia="Palatino Linotype" w:hAnsi="Palatino Linotype" w:cs="Palatino Linotype"/>
          <w:b/>
          <w:sz w:val="22"/>
          <w:szCs w:val="22"/>
        </w:rPr>
        <w:t xml:space="preserve">la tarjeta de circulación y un </w:t>
      </w:r>
      <w:r w:rsidRPr="001D0D6F">
        <w:rPr>
          <w:rFonts w:ascii="Palatino Linotype" w:eastAsia="Palatino Linotype" w:hAnsi="Palatino Linotype" w:cs="Palatino Linotype"/>
          <w:b/>
          <w:sz w:val="22"/>
          <w:szCs w:val="22"/>
        </w:rPr>
        <w:lastRenderedPageBreak/>
        <w:t>pronunciamiento respecto a si la persona moral referida en la solicitud de información es propietaria de un vehículo en específico y si cuenta con otros vehículos registrados a su nombre</w:t>
      </w:r>
      <w:r w:rsidRPr="001D0D6F">
        <w:rPr>
          <w:rFonts w:ascii="Palatino Linotype" w:eastAsia="Palatino Linotype" w:hAnsi="Palatino Linotype" w:cs="Palatino Linotype"/>
          <w:sz w:val="22"/>
          <w:szCs w:val="22"/>
        </w:rPr>
        <w:t xml:space="preserve">, en los cuales la persona servidora pública habilitada de la Dirección del Registro Estatal del Transporte Público, declaró su incompetencia al manifestar lo siguiente: </w:t>
      </w: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rPr>
        <w:t>la Secretaría de Movilidad del Estado de México, le corresponde lo relativo al servicio público de transporte de jurisdicción estatal y sus servicios conexos</w:t>
      </w:r>
      <w:r w:rsidRPr="001D0D6F">
        <w:rPr>
          <w:rFonts w:ascii="Palatino Linotype" w:eastAsia="Palatino Linotype" w:hAnsi="Palatino Linotype" w:cs="Palatino Linotype"/>
          <w:i/>
          <w:sz w:val="22"/>
          <w:szCs w:val="22"/>
        </w:rPr>
        <w:t xml:space="preserve">, ergo, de conformidad con el Reglamento Interior de la Secretaría de Movilidad, esta Dirección del Registro Estatal de Transporte Público de forma general </w:t>
      </w:r>
      <w:r w:rsidRPr="001D0D6F">
        <w:rPr>
          <w:rFonts w:ascii="Palatino Linotype" w:eastAsia="Palatino Linotype" w:hAnsi="Palatino Linotype" w:cs="Palatino Linotype"/>
          <w:b/>
          <w:i/>
          <w:sz w:val="22"/>
          <w:szCs w:val="22"/>
        </w:rPr>
        <w:t>únicamente tiene atribuciones para integrar y custodiar la información que con motivo del otorgamiento de concesiones y/o permisos</w:t>
      </w:r>
      <w:r w:rsidRPr="001D0D6F">
        <w:rPr>
          <w:rFonts w:ascii="Palatino Linotype" w:eastAsia="Palatino Linotype" w:hAnsi="Palatino Linotype" w:cs="Palatino Linotype"/>
          <w:i/>
          <w:sz w:val="22"/>
          <w:szCs w:val="22"/>
        </w:rPr>
        <w:t xml:space="preserve"> se genere para la prestación del servicio de transporte público y sus movimientos adicionales” </w:t>
      </w:r>
    </w:p>
    <w:p w14:paraId="428885F8" w14:textId="77777777" w:rsidR="0051643A" w:rsidRPr="001D0D6F" w:rsidRDefault="00C9571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Por lo anterior, se advierte que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está declinando la competencia para atender la solicitud de información, circunstancia que como se observará a continuación, es correcta, pues realmente es competencia de la Secretaría de Finanzas, lo anterior se afirma así en razón de que la Ley Orgánica de la Administración Pública del Estado de México, en su artículo 29, delega las siguientes atribuciones a dicha dependencia:</w:t>
      </w:r>
    </w:p>
    <w:p w14:paraId="0A886160" w14:textId="77777777" w:rsidR="0051643A" w:rsidRPr="001D0D6F" w:rsidRDefault="00C9571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 xml:space="preserve">“Artículo 29. La </w:t>
      </w:r>
      <w:r w:rsidRPr="001D0D6F">
        <w:rPr>
          <w:rFonts w:ascii="Palatino Linotype" w:eastAsia="Palatino Linotype" w:hAnsi="Palatino Linotype" w:cs="Palatino Linotype"/>
          <w:b/>
          <w:i/>
          <w:sz w:val="22"/>
          <w:szCs w:val="22"/>
        </w:rPr>
        <w:t>Secretaría de Finanzas</w:t>
      </w:r>
      <w:r w:rsidRPr="001D0D6F">
        <w:rPr>
          <w:rFonts w:ascii="Palatino Linotype" w:eastAsia="Palatino Linotype" w:hAnsi="Palatino Linotype" w:cs="Palatino Linotype"/>
          <w:i/>
          <w:sz w:val="22"/>
          <w:szCs w:val="22"/>
        </w:rPr>
        <w:t xml:space="preserve"> contará con las siguientes atribuciones:</w:t>
      </w:r>
    </w:p>
    <w:p w14:paraId="2D0C5108" w14:textId="77777777" w:rsidR="0051643A" w:rsidRPr="001D0D6F" w:rsidRDefault="00C95719">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w:t>
      </w:r>
    </w:p>
    <w:p w14:paraId="4C8D5960" w14:textId="77777777" w:rsidR="0051643A" w:rsidRPr="001D0D6F" w:rsidRDefault="00C95719">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b/>
          <w:i/>
          <w:sz w:val="22"/>
          <w:szCs w:val="22"/>
        </w:rPr>
        <w:t>XXXIX. Expedir</w:t>
      </w:r>
      <w:r w:rsidRPr="001D0D6F">
        <w:rPr>
          <w:rFonts w:ascii="Palatino Linotype" w:eastAsia="Palatino Linotype" w:hAnsi="Palatino Linotype" w:cs="Palatino Linotype"/>
          <w:i/>
          <w:sz w:val="22"/>
          <w:szCs w:val="22"/>
        </w:rPr>
        <w:t xml:space="preserve"> las placas de matriculación, calcomanías, </w:t>
      </w:r>
      <w:r w:rsidRPr="001D0D6F">
        <w:rPr>
          <w:rFonts w:ascii="Palatino Linotype" w:eastAsia="Palatino Linotype" w:hAnsi="Palatino Linotype" w:cs="Palatino Linotype"/>
          <w:b/>
          <w:i/>
          <w:sz w:val="22"/>
          <w:szCs w:val="22"/>
        </w:rPr>
        <w:t>tarjetas de circulación</w:t>
      </w:r>
      <w:r w:rsidRPr="001D0D6F">
        <w:rPr>
          <w:rFonts w:ascii="Palatino Linotype" w:eastAsia="Palatino Linotype" w:hAnsi="Palatino Linotype" w:cs="Palatino Linotype"/>
          <w:i/>
          <w:sz w:val="22"/>
          <w:szCs w:val="22"/>
        </w:rPr>
        <w:t xml:space="preserve"> y demás elementos de identificación </w:t>
      </w:r>
      <w:r w:rsidRPr="001D0D6F">
        <w:rPr>
          <w:rFonts w:ascii="Palatino Linotype" w:eastAsia="Palatino Linotype" w:hAnsi="Palatino Linotype" w:cs="Palatino Linotype"/>
          <w:b/>
          <w:i/>
          <w:sz w:val="22"/>
          <w:szCs w:val="22"/>
        </w:rPr>
        <w:t>de los vehículos automotores destinados a</w:t>
      </w:r>
      <w:r w:rsidRPr="001D0D6F">
        <w:rPr>
          <w:rFonts w:ascii="Palatino Linotype" w:eastAsia="Palatino Linotype" w:hAnsi="Palatino Linotype" w:cs="Palatino Linotype"/>
          <w:i/>
          <w:sz w:val="22"/>
          <w:szCs w:val="22"/>
        </w:rPr>
        <w:t xml:space="preserve"> transporte de carga, de </w:t>
      </w:r>
      <w:r w:rsidRPr="001D0D6F">
        <w:rPr>
          <w:rFonts w:ascii="Palatino Linotype" w:eastAsia="Palatino Linotype" w:hAnsi="Palatino Linotype" w:cs="Palatino Linotype"/>
          <w:b/>
          <w:i/>
          <w:sz w:val="22"/>
          <w:szCs w:val="22"/>
        </w:rPr>
        <w:t>uso particular y comercial</w:t>
      </w:r>
      <w:r w:rsidRPr="001D0D6F">
        <w:rPr>
          <w:rFonts w:ascii="Palatino Linotype" w:eastAsia="Palatino Linotype" w:hAnsi="Palatino Linotype" w:cs="Palatino Linotype"/>
          <w:i/>
          <w:sz w:val="22"/>
          <w:szCs w:val="22"/>
        </w:rPr>
        <w:t>, que no sean competencia de otras autoridades;”</w:t>
      </w:r>
    </w:p>
    <w:p w14:paraId="65AA9DED"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Es de precisar que de conformidad con el Aviso de Privacidad del Padrón del Registro Estatal de Vehículos, el cual es administrado por la Secretaría de Finanzas, uno de los datos que se recaban para tratamiento es precisamente la denominación de la persona física o </w:t>
      </w:r>
      <w:r w:rsidRPr="001D0D6F">
        <w:rPr>
          <w:rFonts w:ascii="Palatino Linotype" w:eastAsia="Palatino Linotype" w:hAnsi="Palatino Linotype" w:cs="Palatino Linotype"/>
          <w:sz w:val="22"/>
          <w:szCs w:val="22"/>
        </w:rPr>
        <w:lastRenderedPageBreak/>
        <w:t>moral propietaria del vehículo, entre otros datos, sirve de mayor referencia la siguiente impresión de pantalla:</w:t>
      </w:r>
      <w:r w:rsidRPr="001D0D6F">
        <w:rPr>
          <w:noProof/>
        </w:rPr>
        <w:drawing>
          <wp:anchor distT="0" distB="0" distL="114300" distR="114300" simplePos="0" relativeHeight="251658240" behindDoc="0" locked="0" layoutInCell="1" hidden="0" allowOverlap="1" wp14:anchorId="0A6A05FE" wp14:editId="20748C5C">
            <wp:simplePos x="0" y="0"/>
            <wp:positionH relativeFrom="column">
              <wp:posOffset>1</wp:posOffset>
            </wp:positionH>
            <wp:positionV relativeFrom="paragraph">
              <wp:posOffset>1466215</wp:posOffset>
            </wp:positionV>
            <wp:extent cx="6238356" cy="828675"/>
            <wp:effectExtent l="0" t="0" r="0" b="0"/>
            <wp:wrapTopAndBottom distT="0" dist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238356" cy="828675"/>
                    </a:xfrm>
                    <a:prstGeom prst="rect">
                      <a:avLst/>
                    </a:prstGeom>
                    <a:ln/>
                  </pic:spPr>
                </pic:pic>
              </a:graphicData>
            </a:graphic>
          </wp:anchor>
        </w:drawing>
      </w:r>
      <w:r w:rsidRPr="001D0D6F">
        <w:rPr>
          <w:noProof/>
        </w:rPr>
        <mc:AlternateContent>
          <mc:Choice Requires="wps">
            <w:drawing>
              <wp:anchor distT="0" distB="0" distL="114300" distR="114300" simplePos="0" relativeHeight="251659264" behindDoc="0" locked="0" layoutInCell="1" hidden="0" allowOverlap="1" wp14:anchorId="323969E8" wp14:editId="5FA0C3DE">
                <wp:simplePos x="0" y="0"/>
                <wp:positionH relativeFrom="column">
                  <wp:posOffset>1143000</wp:posOffset>
                </wp:positionH>
                <wp:positionV relativeFrom="paragraph">
                  <wp:posOffset>2070100</wp:posOffset>
                </wp:positionV>
                <wp:extent cx="0" cy="25400"/>
                <wp:effectExtent l="0" t="0" r="0" b="0"/>
                <wp:wrapNone/>
                <wp:docPr id="37" name="Conector recto de flecha 37"/>
                <wp:cNvGraphicFramePr/>
                <a:graphic xmlns:a="http://schemas.openxmlformats.org/drawingml/2006/main">
                  <a:graphicData uri="http://schemas.microsoft.com/office/word/2010/wordprocessingShape">
                    <wps:wsp>
                      <wps:cNvCnPr/>
                      <wps:spPr>
                        <a:xfrm>
                          <a:off x="4288725" y="3780000"/>
                          <a:ext cx="2114550"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1143000</wp:posOffset>
                </wp:positionH>
                <wp:positionV relativeFrom="paragraph">
                  <wp:posOffset>2070100</wp:posOffset>
                </wp:positionV>
                <wp:extent cx="0" cy="25400"/>
                <wp:effectExtent b="0" l="0" r="0" t="0"/>
                <wp:wrapNone/>
                <wp:docPr id="3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0" cy="25400"/>
                        </a:xfrm>
                        <a:prstGeom prst="rect"/>
                        <a:ln/>
                      </pic:spPr>
                    </pic:pic>
                  </a:graphicData>
                </a:graphic>
              </wp:anchor>
            </w:drawing>
          </mc:Fallback>
        </mc:AlternateContent>
      </w:r>
      <w:r w:rsidRPr="001D0D6F">
        <w:rPr>
          <w:noProof/>
        </w:rPr>
        <mc:AlternateContent>
          <mc:Choice Requires="wps">
            <w:drawing>
              <wp:anchor distT="0" distB="0" distL="114300" distR="114300" simplePos="0" relativeHeight="251660288" behindDoc="0" locked="0" layoutInCell="1" hidden="0" allowOverlap="1" wp14:anchorId="35870CA4" wp14:editId="18FCC61F">
                <wp:simplePos x="0" y="0"/>
                <wp:positionH relativeFrom="column">
                  <wp:posOffset>1308100</wp:posOffset>
                </wp:positionH>
                <wp:positionV relativeFrom="paragraph">
                  <wp:posOffset>1778000</wp:posOffset>
                </wp:positionV>
                <wp:extent cx="0" cy="25400"/>
                <wp:effectExtent l="0" t="0" r="0" b="0"/>
                <wp:wrapNone/>
                <wp:docPr id="38" name="Conector recto de flecha 38"/>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1308100</wp:posOffset>
                </wp:positionH>
                <wp:positionV relativeFrom="paragraph">
                  <wp:posOffset>1778000</wp:posOffset>
                </wp:positionV>
                <wp:extent cx="0" cy="25400"/>
                <wp:effectExtent b="0" l="0" r="0" t="0"/>
                <wp:wrapNone/>
                <wp:docPr id="3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0" cy="25400"/>
                        </a:xfrm>
                        <a:prstGeom prst="rect"/>
                        <a:ln/>
                      </pic:spPr>
                    </pic:pic>
                  </a:graphicData>
                </a:graphic>
              </wp:anchor>
            </w:drawing>
          </mc:Fallback>
        </mc:AlternateContent>
      </w:r>
    </w:p>
    <w:p w14:paraId="5D797612" w14:textId="77777777" w:rsidR="0051643A" w:rsidRPr="001D0D6F" w:rsidRDefault="0051643A">
      <w:pPr>
        <w:spacing w:before="240" w:after="240" w:line="360" w:lineRule="auto"/>
        <w:ind w:right="49"/>
        <w:jc w:val="both"/>
        <w:rPr>
          <w:rFonts w:ascii="Palatino Linotype" w:eastAsia="Palatino Linotype" w:hAnsi="Palatino Linotype" w:cs="Palatino Linotype"/>
          <w:sz w:val="22"/>
          <w:szCs w:val="22"/>
        </w:rPr>
      </w:pPr>
    </w:p>
    <w:p w14:paraId="17B37CBD"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Por lo anterior queda de manifiesto que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no cuenta con la información solicitada y que además nos encontramos ante un supuesto de incompetencia pues del análisis realizado, se advierte que la Secretaría de Finanzas es la unidad competente para contar con la información solicitada.</w:t>
      </w:r>
    </w:p>
    <w:p w14:paraId="5BC51D39"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En este orden de ideas, se tiene acreditado que estamos ante una serie de facultades por parte de la Secretaría de Movilidad, por lo tanto, a juicio de este Organismo Garante se tiene por acreditada la falta de atribuciones para atender el requerimiento de información. </w:t>
      </w:r>
    </w:p>
    <w:p w14:paraId="33FF073F" w14:textId="77777777" w:rsidR="0051643A" w:rsidRPr="001D0D6F" w:rsidRDefault="00C95719">
      <w:pPr>
        <w:pBdr>
          <w:top w:val="nil"/>
          <w:left w:val="nil"/>
          <w:bottom w:val="nil"/>
          <w:right w:val="nil"/>
          <w:between w:val="nil"/>
        </w:pBdr>
        <w:spacing w:line="360" w:lineRule="auto"/>
        <w:ind w:right="-28"/>
        <w:jc w:val="both"/>
        <w:rPr>
          <w:sz w:val="22"/>
          <w:szCs w:val="22"/>
        </w:rPr>
      </w:pPr>
      <w:r w:rsidRPr="001D0D6F">
        <w:rPr>
          <w:rFonts w:ascii="Palatino Linotype" w:eastAsia="Palatino Linotype" w:hAnsi="Palatino Linotype" w:cs="Palatino Linotype"/>
          <w:sz w:val="22"/>
          <w:szCs w:val="22"/>
        </w:rPr>
        <w:t xml:space="preserve">Asimismo, se advierte que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no orientó en ningún momento al particular para obtener la información solicitada, sin embargo, es de vital importancia señalar que la facultad de orientación al particular para que formule su solicitud ante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competente es potestativa.</w:t>
      </w:r>
    </w:p>
    <w:p w14:paraId="59C5D92C"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Atentos a las consideraciones expuestas, no es procedente la entrega de información alguna para atender la solicitud de información, 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1D0D6F">
        <w:rPr>
          <w:rFonts w:ascii="Palatino Linotype" w:eastAsia="Palatino Linotype" w:hAnsi="Palatino Linotype" w:cs="Palatino Linotype"/>
          <w:i/>
          <w:sz w:val="22"/>
          <w:szCs w:val="22"/>
        </w:rPr>
        <w:t xml:space="preserve"> contrario sensu</w:t>
      </w:r>
      <w:r w:rsidRPr="001D0D6F">
        <w:rPr>
          <w:rFonts w:ascii="Palatino Linotype" w:eastAsia="Palatino Linotype" w:hAnsi="Palatino Linotype" w:cs="Palatino Linotype"/>
          <w:sz w:val="22"/>
          <w:szCs w:val="22"/>
        </w:rPr>
        <w:t xml:space="preserve"> significa que no se está obligado a proporcionar lo que </w:t>
      </w:r>
      <w:r w:rsidRPr="001D0D6F">
        <w:rPr>
          <w:rFonts w:ascii="Palatino Linotype" w:eastAsia="Palatino Linotype" w:hAnsi="Palatino Linotype" w:cs="Palatino Linotype"/>
          <w:sz w:val="22"/>
          <w:szCs w:val="22"/>
        </w:rPr>
        <w:lastRenderedPageBreak/>
        <w:t xml:space="preserve">no obre en sus archivos, en consecuencia, el pronunciamiento vertido por la Unidad de Transparencia, es suficiente para tener por atendidos los requerimientos de información. </w:t>
      </w:r>
    </w:p>
    <w:p w14:paraId="16294C4C" w14:textId="77777777" w:rsidR="0051643A" w:rsidRPr="001D0D6F" w:rsidRDefault="00C95719">
      <w:pPr>
        <w:spacing w:line="360" w:lineRule="auto"/>
        <w:ind w:right="13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De tal forma que, respecto a la Declaración de Incompetencia la Ley de Transparencia y Acceso a la Información Pública del Estado de México y Municipios, establece, en los artículos 49, fracción II y 167, lo siguiente: </w:t>
      </w:r>
    </w:p>
    <w:p w14:paraId="4960B4E2" w14:textId="77777777" w:rsidR="0051643A" w:rsidRPr="001D0D6F" w:rsidRDefault="0051643A">
      <w:pPr>
        <w:spacing w:line="360" w:lineRule="auto"/>
        <w:ind w:right="139"/>
        <w:jc w:val="both"/>
        <w:rPr>
          <w:rFonts w:ascii="Palatino Linotype" w:eastAsia="Palatino Linotype" w:hAnsi="Palatino Linotype" w:cs="Palatino Linotype"/>
          <w:sz w:val="22"/>
          <w:szCs w:val="22"/>
        </w:rPr>
      </w:pPr>
    </w:p>
    <w:p w14:paraId="1E082190" w14:textId="77777777" w:rsidR="0051643A" w:rsidRPr="001D0D6F" w:rsidRDefault="00C95719">
      <w:pPr>
        <w:tabs>
          <w:tab w:val="left" w:pos="851"/>
        </w:tabs>
        <w:ind w:left="851" w:right="902"/>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i/>
          <w:sz w:val="22"/>
          <w:szCs w:val="22"/>
        </w:rPr>
        <w:t>“</w:t>
      </w:r>
      <w:r w:rsidRPr="001D0D6F">
        <w:rPr>
          <w:rFonts w:ascii="Palatino Linotype" w:eastAsia="Palatino Linotype" w:hAnsi="Palatino Linotype" w:cs="Palatino Linotype"/>
          <w:b/>
          <w:i/>
          <w:sz w:val="22"/>
          <w:szCs w:val="22"/>
        </w:rPr>
        <w:t>Artículo 49.</w:t>
      </w:r>
      <w:r w:rsidRPr="001D0D6F">
        <w:rPr>
          <w:rFonts w:ascii="Palatino Linotype" w:eastAsia="Palatino Linotype" w:hAnsi="Palatino Linotype" w:cs="Palatino Linotype"/>
          <w:i/>
          <w:sz w:val="22"/>
          <w:szCs w:val="22"/>
        </w:rPr>
        <w:t xml:space="preserve"> </w:t>
      </w:r>
      <w:r w:rsidRPr="001D0D6F">
        <w:rPr>
          <w:rFonts w:ascii="Palatino Linotype" w:eastAsia="Palatino Linotype" w:hAnsi="Palatino Linotype" w:cs="Palatino Linotype"/>
          <w:b/>
          <w:i/>
          <w:sz w:val="22"/>
          <w:szCs w:val="22"/>
        </w:rPr>
        <w:t>Los Comités de Transparencia</w:t>
      </w:r>
      <w:r w:rsidRPr="001D0D6F">
        <w:rPr>
          <w:rFonts w:ascii="Palatino Linotype" w:eastAsia="Palatino Linotype" w:hAnsi="Palatino Linotype" w:cs="Palatino Linotype"/>
          <w:i/>
          <w:sz w:val="22"/>
          <w:szCs w:val="22"/>
        </w:rPr>
        <w:t xml:space="preserve"> tendrán las siguientes atribuciones:</w:t>
      </w:r>
    </w:p>
    <w:p w14:paraId="38FC5486" w14:textId="77777777" w:rsidR="0051643A" w:rsidRPr="001D0D6F" w:rsidRDefault="00C95719">
      <w:pPr>
        <w:tabs>
          <w:tab w:val="left" w:pos="851"/>
        </w:tabs>
        <w:ind w:left="851" w:right="902"/>
        <w:jc w:val="both"/>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b/>
          <w:i/>
          <w:sz w:val="22"/>
          <w:szCs w:val="22"/>
        </w:rPr>
        <w:t>...</w:t>
      </w:r>
    </w:p>
    <w:p w14:paraId="43436FE5" w14:textId="77777777" w:rsidR="0051643A" w:rsidRPr="001D0D6F" w:rsidRDefault="00C95719">
      <w:pPr>
        <w:tabs>
          <w:tab w:val="left" w:pos="851"/>
        </w:tabs>
        <w:ind w:left="851" w:right="902"/>
        <w:jc w:val="both"/>
        <w:rPr>
          <w:rFonts w:ascii="Palatino Linotype" w:eastAsia="Palatino Linotype" w:hAnsi="Palatino Linotype" w:cs="Palatino Linotype"/>
          <w:b/>
          <w:i/>
          <w:sz w:val="22"/>
          <w:szCs w:val="22"/>
          <w:u w:val="single"/>
        </w:rPr>
      </w:pPr>
      <w:r w:rsidRPr="001D0D6F">
        <w:rPr>
          <w:rFonts w:ascii="Palatino Linotype" w:eastAsia="Palatino Linotype" w:hAnsi="Palatino Linotype" w:cs="Palatino Linotype"/>
          <w:b/>
          <w:i/>
          <w:sz w:val="22"/>
          <w:szCs w:val="22"/>
        </w:rPr>
        <w:t>II.</w:t>
      </w:r>
      <w:r w:rsidRPr="001D0D6F">
        <w:rPr>
          <w:sz w:val="22"/>
          <w:szCs w:val="22"/>
        </w:rPr>
        <w:t xml:space="preserve"> </w:t>
      </w:r>
      <w:r w:rsidRPr="001D0D6F">
        <w:rPr>
          <w:rFonts w:ascii="Palatino Linotype" w:eastAsia="Palatino Linotype" w:hAnsi="Palatino Linotype" w:cs="Palatino Linotype"/>
          <w:b/>
          <w:i/>
          <w:sz w:val="22"/>
          <w:szCs w:val="22"/>
        </w:rPr>
        <w:t>Confirmar, modificar o revocar</w:t>
      </w:r>
      <w:r w:rsidRPr="001D0D6F">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1D0D6F">
        <w:rPr>
          <w:rFonts w:ascii="Palatino Linotype" w:eastAsia="Palatino Linotype" w:hAnsi="Palatino Linotype" w:cs="Palatino Linotype"/>
          <w:b/>
          <w:i/>
          <w:sz w:val="22"/>
          <w:szCs w:val="22"/>
        </w:rPr>
        <w:t>y declaración</w:t>
      </w:r>
      <w:r w:rsidRPr="001D0D6F">
        <w:rPr>
          <w:rFonts w:ascii="Palatino Linotype" w:eastAsia="Palatino Linotype" w:hAnsi="Palatino Linotype" w:cs="Palatino Linotype"/>
          <w:i/>
          <w:sz w:val="22"/>
          <w:szCs w:val="22"/>
        </w:rPr>
        <w:t xml:space="preserve"> de inexistencia o </w:t>
      </w:r>
      <w:r w:rsidRPr="001D0D6F">
        <w:rPr>
          <w:rFonts w:ascii="Palatino Linotype" w:eastAsia="Palatino Linotype" w:hAnsi="Palatino Linotype" w:cs="Palatino Linotype"/>
          <w:b/>
          <w:i/>
          <w:sz w:val="22"/>
          <w:szCs w:val="22"/>
        </w:rPr>
        <w:t>de incompetencia realicen los titulares de las áreas de los sujetos obligados;</w:t>
      </w:r>
    </w:p>
    <w:p w14:paraId="0D288E85" w14:textId="77777777" w:rsidR="0051643A" w:rsidRPr="001D0D6F" w:rsidRDefault="00C95719">
      <w:pPr>
        <w:tabs>
          <w:tab w:val="left" w:pos="851"/>
        </w:tabs>
        <w:ind w:left="851" w:right="902"/>
        <w:jc w:val="both"/>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b/>
          <w:i/>
          <w:sz w:val="22"/>
          <w:szCs w:val="22"/>
        </w:rPr>
        <w:t>...</w:t>
      </w:r>
    </w:p>
    <w:p w14:paraId="67F02E20" w14:textId="77777777" w:rsidR="0051643A" w:rsidRPr="001D0D6F" w:rsidRDefault="00C95719">
      <w:pPr>
        <w:tabs>
          <w:tab w:val="left" w:pos="851"/>
        </w:tabs>
        <w:ind w:left="851" w:right="902"/>
        <w:jc w:val="both"/>
        <w:rPr>
          <w:rFonts w:ascii="Palatino Linotype" w:eastAsia="Palatino Linotype" w:hAnsi="Palatino Linotype" w:cs="Palatino Linotype"/>
          <w:b/>
          <w:i/>
          <w:sz w:val="22"/>
          <w:szCs w:val="22"/>
        </w:rPr>
      </w:pPr>
      <w:r w:rsidRPr="001D0D6F">
        <w:rPr>
          <w:rFonts w:ascii="Palatino Linotype" w:eastAsia="Palatino Linotype" w:hAnsi="Palatino Linotype" w:cs="Palatino Linotype"/>
          <w:b/>
          <w:i/>
          <w:sz w:val="22"/>
          <w:szCs w:val="22"/>
        </w:rPr>
        <w:t>Artículo 167</w:t>
      </w:r>
      <w:r w:rsidRPr="001D0D6F">
        <w:rPr>
          <w:rFonts w:ascii="Palatino Linotype" w:eastAsia="Palatino Linotype" w:hAnsi="Palatino Linotype" w:cs="Palatino Linotype"/>
          <w:i/>
          <w:sz w:val="22"/>
          <w:szCs w:val="22"/>
        </w:rPr>
        <w:t xml:space="preserve">. </w:t>
      </w:r>
      <w:r w:rsidRPr="001D0D6F">
        <w:rPr>
          <w:rFonts w:ascii="Palatino Linotype" w:eastAsia="Palatino Linotype" w:hAnsi="Palatino Linotype" w:cs="Palatino Linotype"/>
          <w:b/>
          <w:i/>
          <w:sz w:val="22"/>
          <w:szCs w:val="22"/>
        </w:rPr>
        <w:t>Cuando las unidades de transparencia determinen la notoria incompetencia</w:t>
      </w:r>
      <w:r w:rsidRPr="001D0D6F">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1D0D6F">
        <w:rPr>
          <w:rFonts w:ascii="Palatino Linotype" w:eastAsia="Palatino Linotype" w:hAnsi="Palatino Linotype" w:cs="Palatino Linotype"/>
          <w:b/>
          <w:i/>
          <w:sz w:val="22"/>
          <w:szCs w:val="22"/>
        </w:rPr>
        <w:t>deberán comunicarlo al solicitante, dentro de los tres días hábiles posteriores a la recepción de la solicitud</w:t>
      </w:r>
      <w:r w:rsidRPr="001D0D6F">
        <w:rPr>
          <w:rFonts w:ascii="Palatino Linotype" w:eastAsia="Palatino Linotype" w:hAnsi="Palatino Linotype" w:cs="Palatino Linotype"/>
          <w:i/>
          <w:sz w:val="22"/>
          <w:szCs w:val="22"/>
        </w:rPr>
        <w:t xml:space="preserve"> y, </w:t>
      </w:r>
      <w:r w:rsidRPr="001D0D6F">
        <w:rPr>
          <w:rFonts w:ascii="Palatino Linotype" w:eastAsia="Palatino Linotype" w:hAnsi="Palatino Linotype" w:cs="Palatino Linotype"/>
          <w:b/>
          <w:i/>
          <w:sz w:val="22"/>
          <w:szCs w:val="22"/>
        </w:rPr>
        <w:t xml:space="preserve">en su caso orientar al solicitante, el o los sujetos obligados competentes.” </w:t>
      </w:r>
    </w:p>
    <w:p w14:paraId="0426691B" w14:textId="77777777" w:rsidR="0051643A" w:rsidRPr="001D0D6F" w:rsidRDefault="0051643A">
      <w:pPr>
        <w:tabs>
          <w:tab w:val="left" w:pos="142"/>
          <w:tab w:val="left" w:pos="284"/>
        </w:tabs>
        <w:spacing w:line="360" w:lineRule="auto"/>
        <w:jc w:val="both"/>
        <w:rPr>
          <w:rFonts w:ascii="Palatino Linotype" w:eastAsia="Palatino Linotype" w:hAnsi="Palatino Linotype" w:cs="Palatino Linotype"/>
          <w:sz w:val="22"/>
          <w:szCs w:val="22"/>
        </w:rPr>
      </w:pPr>
    </w:p>
    <w:p w14:paraId="509ADE5D" w14:textId="77777777" w:rsidR="0051643A" w:rsidRPr="001D0D6F" w:rsidRDefault="00C95719">
      <w:pPr>
        <w:tabs>
          <w:tab w:val="left" w:pos="142"/>
          <w:tab w:val="left" w:pos="284"/>
        </w:tabs>
        <w:spacing w:line="360" w:lineRule="auto"/>
        <w:jc w:val="both"/>
        <w:rPr>
          <w:rFonts w:ascii="Palatino Linotype" w:eastAsia="Palatino Linotype" w:hAnsi="Palatino Linotype" w:cs="Palatino Linotype"/>
          <w:b/>
          <w:sz w:val="22"/>
          <w:szCs w:val="22"/>
        </w:rPr>
      </w:pPr>
      <w:r w:rsidRPr="001D0D6F">
        <w:rPr>
          <w:rFonts w:ascii="Palatino Linotype" w:eastAsia="Palatino Linotype" w:hAnsi="Palatino Linotype" w:cs="Palatino Linotype"/>
          <w:sz w:val="22"/>
          <w:szCs w:val="22"/>
        </w:rPr>
        <w:t>De los preceptos citados se desprende que es atribución del Comité de Transparencia confirmar, modificar o revocar, en su caso, la declaración de incompetencia,</w:t>
      </w:r>
      <w:r w:rsidRPr="001D0D6F">
        <w:rPr>
          <w:rFonts w:ascii="Palatino Linotype" w:eastAsia="Palatino Linotype" w:hAnsi="Palatino Linotype" w:cs="Palatino Linotype"/>
          <w:b/>
          <w:sz w:val="22"/>
          <w:szCs w:val="22"/>
        </w:rPr>
        <w:t xml:space="preserve"> en aquellos casos en los que no se trate de una notoria incompetencia. </w:t>
      </w:r>
    </w:p>
    <w:p w14:paraId="60518068" w14:textId="77777777" w:rsidR="0051643A" w:rsidRPr="001D0D6F" w:rsidRDefault="0051643A">
      <w:pPr>
        <w:tabs>
          <w:tab w:val="left" w:pos="142"/>
          <w:tab w:val="left" w:pos="284"/>
        </w:tabs>
        <w:spacing w:line="360" w:lineRule="auto"/>
        <w:jc w:val="both"/>
        <w:rPr>
          <w:rFonts w:ascii="Palatino Linotype" w:eastAsia="Palatino Linotype" w:hAnsi="Palatino Linotype" w:cs="Palatino Linotype"/>
          <w:sz w:val="22"/>
          <w:szCs w:val="22"/>
        </w:rPr>
      </w:pPr>
    </w:p>
    <w:p w14:paraId="31B801D4" w14:textId="77777777" w:rsidR="0051643A" w:rsidRPr="001D0D6F" w:rsidRDefault="00C95719">
      <w:pPr>
        <w:tabs>
          <w:tab w:val="left" w:pos="142"/>
          <w:tab w:val="left" w:pos="284"/>
        </w:tabs>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Puesto que la Ley también prevé que dicho acuerdo no es necesario cuando la Unidad de Transparencia determine que la incompetencia es notoria dando un plazo de tres días hábiles para hacerlo del conocimiento del particular, por lo que si bien, en el caso particular, no fue respetado dicho plazo, ello no cambia la circunstancia de que la incompetencia del sujeto obligado para dar atención a la solicitud de información siga siendo notoria. </w:t>
      </w:r>
    </w:p>
    <w:p w14:paraId="7B2AF901" w14:textId="77777777" w:rsidR="0051643A" w:rsidRPr="001D0D6F" w:rsidRDefault="0051643A">
      <w:pPr>
        <w:tabs>
          <w:tab w:val="left" w:pos="142"/>
          <w:tab w:val="left" w:pos="284"/>
        </w:tabs>
        <w:spacing w:line="360" w:lineRule="auto"/>
        <w:jc w:val="both"/>
        <w:rPr>
          <w:rFonts w:ascii="Palatino Linotype" w:eastAsia="Palatino Linotype" w:hAnsi="Palatino Linotype" w:cs="Palatino Linotype"/>
          <w:sz w:val="22"/>
          <w:szCs w:val="22"/>
        </w:rPr>
      </w:pPr>
    </w:p>
    <w:p w14:paraId="3A9F9725" w14:textId="77777777" w:rsidR="0051643A" w:rsidRPr="001D0D6F" w:rsidRDefault="00C95719">
      <w:pPr>
        <w:tabs>
          <w:tab w:val="left" w:pos="142"/>
          <w:tab w:val="left" w:pos="284"/>
        </w:tabs>
        <w:spacing w:line="360" w:lineRule="auto"/>
        <w:jc w:val="both"/>
        <w:rPr>
          <w:rFonts w:ascii="Palatino Linotype" w:eastAsia="Palatino Linotype" w:hAnsi="Palatino Linotype" w:cs="Palatino Linotype"/>
          <w:sz w:val="22"/>
          <w:szCs w:val="22"/>
          <w:u w:val="single"/>
        </w:rPr>
      </w:pPr>
      <w:r w:rsidRPr="001D0D6F">
        <w:rPr>
          <w:rFonts w:ascii="Palatino Linotype" w:eastAsia="Palatino Linotype" w:hAnsi="Palatino Linotype" w:cs="Palatino Linotype"/>
          <w:sz w:val="22"/>
          <w:szCs w:val="22"/>
        </w:rPr>
        <w:lastRenderedPageBreak/>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1D0D6F">
        <w:rPr>
          <w:rFonts w:ascii="Palatino Linotype" w:eastAsia="Palatino Linotype" w:hAnsi="Palatino Linotype" w:cs="Palatino Linotype"/>
          <w:sz w:val="22"/>
          <w:szCs w:val="22"/>
          <w:u w:val="single"/>
        </w:rPr>
        <w:t xml:space="preserve">para su aprobación. </w:t>
      </w:r>
    </w:p>
    <w:p w14:paraId="177642FB" w14:textId="77777777" w:rsidR="0051643A" w:rsidRPr="001D0D6F" w:rsidRDefault="0051643A">
      <w:pPr>
        <w:spacing w:line="360" w:lineRule="auto"/>
        <w:ind w:right="18"/>
        <w:jc w:val="both"/>
        <w:rPr>
          <w:rFonts w:ascii="Palatino Linotype" w:eastAsia="Palatino Linotype" w:hAnsi="Palatino Linotype" w:cs="Palatino Linotype"/>
          <w:sz w:val="22"/>
          <w:szCs w:val="22"/>
        </w:rPr>
      </w:pPr>
    </w:p>
    <w:p w14:paraId="2EF4572C" w14:textId="77777777" w:rsidR="0051643A" w:rsidRPr="001D0D6F" w:rsidRDefault="00C95719">
      <w:pPr>
        <w:spacing w:line="360" w:lineRule="auto"/>
        <w:ind w:right="18"/>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Como sustento de lo anterior, resulta aplicable el Criterio 20/20, emitido por el Instituto Nacional de Transparencia, Acceso a la Información, y Protección de Datos Personales, INAI, que lleva por rubro y texto los siguientes:  </w:t>
      </w:r>
    </w:p>
    <w:p w14:paraId="6EC11177" w14:textId="77777777" w:rsidR="0051643A" w:rsidRPr="001D0D6F" w:rsidRDefault="0051643A">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7FC8044D" w14:textId="77777777" w:rsidR="0051643A" w:rsidRPr="001D0D6F" w:rsidRDefault="00C9571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b/>
          <w:i/>
          <w:sz w:val="22"/>
          <w:szCs w:val="22"/>
        </w:rPr>
        <w:t>“Declaración de incompetencia por parte del Comité, cuando no sea notoria o manifiesta.</w:t>
      </w:r>
      <w:r w:rsidRPr="001D0D6F">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375A0AC4" w14:textId="77777777" w:rsidR="0051643A" w:rsidRPr="001D0D6F" w:rsidRDefault="0051643A">
      <w:pPr>
        <w:tabs>
          <w:tab w:val="left" w:pos="142"/>
          <w:tab w:val="left" w:pos="284"/>
        </w:tabs>
        <w:spacing w:line="360" w:lineRule="auto"/>
        <w:jc w:val="both"/>
        <w:rPr>
          <w:rFonts w:ascii="Palatino Linotype" w:eastAsia="Palatino Linotype" w:hAnsi="Palatino Linotype" w:cs="Palatino Linotype"/>
          <w:sz w:val="22"/>
          <w:szCs w:val="22"/>
        </w:rPr>
      </w:pPr>
    </w:p>
    <w:p w14:paraId="145BC05F" w14:textId="77777777" w:rsidR="0051643A" w:rsidRPr="001D0D6F" w:rsidRDefault="00C95719">
      <w:pPr>
        <w:tabs>
          <w:tab w:val="left" w:pos="142"/>
          <w:tab w:val="left" w:pos="284"/>
        </w:tabs>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1D0D6F">
        <w:rPr>
          <w:rFonts w:ascii="Palatino Linotype" w:eastAsia="Palatino Linotype" w:hAnsi="Palatino Linotype" w:cs="Palatino Linotype"/>
          <w:b/>
          <w:sz w:val="22"/>
          <w:szCs w:val="22"/>
        </w:rPr>
        <w:t xml:space="preserve"> </w:t>
      </w:r>
      <w:r w:rsidRPr="001D0D6F">
        <w:rPr>
          <w:rFonts w:ascii="Palatino Linotype" w:eastAsia="Palatino Linotype" w:hAnsi="Palatino Linotype" w:cs="Palatino Linotype"/>
          <w:b/>
          <w:sz w:val="22"/>
          <w:szCs w:val="22"/>
          <w:u w:val="single"/>
        </w:rPr>
        <w:t>duda razonable sobre la administración del documento materia de la solicitud de información</w:t>
      </w:r>
      <w:r w:rsidRPr="001D0D6F">
        <w:rPr>
          <w:rFonts w:ascii="Palatino Linotype" w:eastAsia="Palatino Linotype" w:hAnsi="Palatino Linotype" w:cs="Palatino Linotype"/>
          <w:sz w:val="22"/>
          <w:szCs w:val="22"/>
        </w:rPr>
        <w:t>, como se lee enseguida:</w:t>
      </w:r>
    </w:p>
    <w:p w14:paraId="1EEFB4B6" w14:textId="77777777" w:rsidR="0051643A" w:rsidRPr="001D0D6F" w:rsidRDefault="0051643A">
      <w:pPr>
        <w:spacing w:line="276" w:lineRule="auto"/>
        <w:ind w:left="851" w:right="900"/>
        <w:jc w:val="both"/>
        <w:rPr>
          <w:rFonts w:ascii="Palatino Linotype" w:eastAsia="Palatino Linotype" w:hAnsi="Palatino Linotype" w:cs="Palatino Linotype"/>
          <w:b/>
          <w:i/>
          <w:sz w:val="22"/>
          <w:szCs w:val="22"/>
        </w:rPr>
      </w:pPr>
    </w:p>
    <w:p w14:paraId="6CF4666F" w14:textId="77777777" w:rsidR="0051643A" w:rsidRPr="001D0D6F" w:rsidRDefault="00C95719">
      <w:pPr>
        <w:spacing w:line="276" w:lineRule="auto"/>
        <w:ind w:left="851" w:right="900"/>
        <w:jc w:val="both"/>
        <w:rPr>
          <w:rFonts w:ascii="Palatino Linotype" w:eastAsia="Palatino Linotype" w:hAnsi="Palatino Linotype" w:cs="Palatino Linotype"/>
          <w:i/>
          <w:sz w:val="22"/>
          <w:szCs w:val="22"/>
        </w:rPr>
      </w:pPr>
      <w:r w:rsidRPr="001D0D6F">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1D0D6F">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w:t>
      </w:r>
      <w:r w:rsidRPr="001D0D6F">
        <w:rPr>
          <w:rFonts w:ascii="Palatino Linotype" w:eastAsia="Palatino Linotype" w:hAnsi="Palatino Linotype" w:cs="Palatino Linotype"/>
          <w:i/>
          <w:sz w:val="22"/>
          <w:szCs w:val="22"/>
        </w:rPr>
        <w:lastRenderedPageBreak/>
        <w:t xml:space="preserve">importante resaltar que </w:t>
      </w:r>
      <w:r w:rsidRPr="001D0D6F">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1D0D6F">
        <w:rPr>
          <w:rFonts w:ascii="Palatino Linotype" w:eastAsia="Palatino Linotype" w:hAnsi="Palatino Linotype" w:cs="Palatino Linotype"/>
          <w:b/>
          <w:i/>
          <w:sz w:val="22"/>
          <w:szCs w:val="22"/>
          <w:u w:val="single"/>
        </w:rPr>
        <w:t>impiden determinar dentro del término legal de tres días hábiles</w:t>
      </w:r>
      <w:r w:rsidRPr="001D0D6F">
        <w:rPr>
          <w:rFonts w:ascii="Palatino Linotype" w:eastAsia="Palatino Linotype" w:hAnsi="Palatino Linotype" w:cs="Palatino Linotype"/>
          <w:b/>
          <w:i/>
          <w:sz w:val="22"/>
          <w:szCs w:val="22"/>
        </w:rPr>
        <w:t>, si se posee o no la información por el Sujeto Obligado requerid</w:t>
      </w:r>
      <w:r w:rsidRPr="001D0D6F">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70A92A1" w14:textId="77777777" w:rsidR="0051643A" w:rsidRPr="001D0D6F" w:rsidRDefault="0051643A">
      <w:pPr>
        <w:spacing w:line="360" w:lineRule="auto"/>
        <w:jc w:val="both"/>
        <w:rPr>
          <w:rFonts w:ascii="Palatino Linotype" w:eastAsia="Palatino Linotype" w:hAnsi="Palatino Linotype" w:cs="Palatino Linotype"/>
          <w:i/>
          <w:sz w:val="22"/>
          <w:szCs w:val="22"/>
        </w:rPr>
      </w:pPr>
    </w:p>
    <w:p w14:paraId="6BA81050" w14:textId="77777777" w:rsidR="0051643A" w:rsidRPr="001D0D6F" w:rsidRDefault="00C95719">
      <w:pPr>
        <w:spacing w:line="360" w:lineRule="auto"/>
        <w:jc w:val="both"/>
        <w:rPr>
          <w:rFonts w:ascii="Palatino Linotype" w:eastAsia="Palatino Linotype" w:hAnsi="Palatino Linotype" w:cs="Palatino Linotype"/>
          <w:b/>
          <w:sz w:val="22"/>
          <w:szCs w:val="22"/>
          <w:u w:val="single"/>
        </w:rPr>
      </w:pPr>
      <w:r w:rsidRPr="001D0D6F">
        <w:rPr>
          <w:rFonts w:ascii="Palatino Linotype" w:eastAsia="Palatino Linotype" w:hAnsi="Palatino Linotype" w:cs="Palatino Linotype"/>
          <w:sz w:val="22"/>
          <w:szCs w:val="22"/>
        </w:rPr>
        <w:t xml:space="preserve">Es así que, ordenar al Comité de Transparencia del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que sesione para que emita un acuerdo en el que confirme la declaratoria de incompetencia para garantizar el derecho de la parte Recurrente, dilata los plazos del procedimiento, genera una carga adicional al Sujeto Obligado, y </w:t>
      </w:r>
      <w:r w:rsidRPr="001D0D6F">
        <w:rPr>
          <w:rFonts w:ascii="Palatino Linotype" w:eastAsia="Palatino Linotype" w:hAnsi="Palatino Linotype" w:cs="Palatino Linotype"/>
          <w:b/>
          <w:sz w:val="22"/>
          <w:szCs w:val="22"/>
          <w:u w:val="single"/>
        </w:rPr>
        <w:t xml:space="preserve">ello no modifica el hecho de que la parte Recurrente no obtendrá la información que es de su interés por esta vía. </w:t>
      </w:r>
    </w:p>
    <w:p w14:paraId="2986C792" w14:textId="77777777" w:rsidR="0051643A" w:rsidRPr="001D0D6F" w:rsidRDefault="0051643A">
      <w:pPr>
        <w:spacing w:line="360" w:lineRule="auto"/>
        <w:jc w:val="both"/>
        <w:rPr>
          <w:rFonts w:ascii="Palatino Linotype" w:eastAsia="Palatino Linotype" w:hAnsi="Palatino Linotype" w:cs="Palatino Linotype"/>
          <w:sz w:val="22"/>
          <w:szCs w:val="22"/>
        </w:rPr>
      </w:pPr>
    </w:p>
    <w:p w14:paraId="32A30548" w14:textId="77777777" w:rsidR="0051643A" w:rsidRPr="001D0D6F" w:rsidRDefault="00C95719">
      <w:pPr>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por el Sujeto Obligado y analizada por este Organismo Garante, se aparta de los principios de sencillez y rapidez establecidos por la Ley de Transparencia y Acceso a la Información Pública del Estado de México y Municipios, en sus artículos 2, fracciones II y III, 21 y 150. </w:t>
      </w:r>
    </w:p>
    <w:p w14:paraId="330E5B72" w14:textId="77777777" w:rsidR="0051643A" w:rsidRPr="001D0D6F" w:rsidRDefault="0051643A">
      <w:pPr>
        <w:spacing w:line="360" w:lineRule="auto"/>
        <w:jc w:val="both"/>
        <w:rPr>
          <w:rFonts w:ascii="Palatino Linotype" w:eastAsia="Palatino Linotype" w:hAnsi="Palatino Linotype" w:cs="Palatino Linotype"/>
          <w:sz w:val="22"/>
          <w:szCs w:val="22"/>
        </w:rPr>
      </w:pPr>
    </w:p>
    <w:p w14:paraId="48D6F869" w14:textId="77777777" w:rsidR="0051643A" w:rsidRPr="001D0D6F" w:rsidRDefault="00C95719">
      <w:pPr>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Es por lo que, pese a que la Secretaria de Movilidad declinó su competencia respecto a la información requerida,</w:t>
      </w:r>
      <w:r w:rsidRPr="001D0D6F">
        <w:rPr>
          <w:rFonts w:ascii="Palatino Linotype" w:eastAsia="Palatino Linotype" w:hAnsi="Palatino Linotype" w:cs="Palatino Linotype"/>
          <w:sz w:val="36"/>
          <w:szCs w:val="36"/>
        </w:rPr>
        <w:t xml:space="preserve"> </w:t>
      </w:r>
      <w:r w:rsidRPr="001D0D6F">
        <w:rPr>
          <w:rFonts w:ascii="Palatino Linotype" w:eastAsia="Palatino Linotype" w:hAnsi="Palatino Linotype" w:cs="Palatino Linotype"/>
          <w:sz w:val="22"/>
          <w:szCs w:val="22"/>
        </w:rPr>
        <w:t xml:space="preserve">fuera del parámetro temporal que establece la Ley en la materia, también lo es que, en el caso particular no resulta dable ordenar el acuerdo que declare formalmente la incompetencia del </w:t>
      </w:r>
      <w:r w:rsidRPr="001D0D6F">
        <w:rPr>
          <w:rFonts w:ascii="Palatino Linotype" w:eastAsia="Palatino Linotype" w:hAnsi="Palatino Linotype" w:cs="Palatino Linotype"/>
          <w:b/>
          <w:sz w:val="22"/>
          <w:szCs w:val="22"/>
        </w:rPr>
        <w:t xml:space="preserve">Sujeto Obligado </w:t>
      </w:r>
      <w:r w:rsidRPr="001D0D6F">
        <w:rPr>
          <w:rFonts w:ascii="Palatino Linotype" w:eastAsia="Palatino Linotype" w:hAnsi="Palatino Linotype" w:cs="Palatino Linotype"/>
          <w:sz w:val="22"/>
          <w:szCs w:val="22"/>
        </w:rPr>
        <w:t>pues como se advirtió del estudio la incompetencia resulta notaria.</w:t>
      </w:r>
    </w:p>
    <w:p w14:paraId="7A049F5F" w14:textId="77777777" w:rsidR="0051643A" w:rsidRPr="001D0D6F" w:rsidRDefault="0051643A">
      <w:pPr>
        <w:spacing w:line="360" w:lineRule="auto"/>
        <w:jc w:val="both"/>
        <w:rPr>
          <w:rFonts w:ascii="Palatino Linotype" w:eastAsia="Palatino Linotype" w:hAnsi="Palatino Linotype" w:cs="Palatino Linotype"/>
          <w:sz w:val="22"/>
          <w:szCs w:val="22"/>
        </w:rPr>
      </w:pPr>
    </w:p>
    <w:p w14:paraId="1E62E771" w14:textId="77777777" w:rsidR="0051643A" w:rsidRPr="001D0D6F" w:rsidRDefault="00C95719">
      <w:pPr>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Ahora bien, resulta necesario precisar al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que, el hecho de notificar a las personas solicitantes sobre la incompetencia cuando esta sea notoria, dentro del plazo de tres días siguientes a partir de la recepción de las solicitudes, permite que estas puedan presentar sin mayor dilación sus requerimientos de información ante los Sujetos Obligados competentes con la finalidad de obtener la información que es de su interés.</w:t>
      </w:r>
    </w:p>
    <w:p w14:paraId="53558B21" w14:textId="77777777" w:rsidR="0051643A" w:rsidRPr="001D0D6F" w:rsidRDefault="0051643A">
      <w:pPr>
        <w:spacing w:line="360" w:lineRule="auto"/>
        <w:jc w:val="both"/>
        <w:rPr>
          <w:sz w:val="22"/>
          <w:szCs w:val="22"/>
        </w:rPr>
      </w:pPr>
    </w:p>
    <w:p w14:paraId="13C749DB" w14:textId="77777777" w:rsidR="0051643A" w:rsidRPr="001D0D6F" w:rsidRDefault="00C95719">
      <w:pPr>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Es por ello que resulta de suma importancia que las Unidades de Transparencia, cuando adviertan que dicho supuesto se actualiza, se ciñan al plazo que la normativa establece, a fin de ajustarse al principio de </w:t>
      </w:r>
      <w:proofErr w:type="spellStart"/>
      <w:r w:rsidRPr="001D0D6F">
        <w:rPr>
          <w:rFonts w:ascii="Palatino Linotype" w:eastAsia="Palatino Linotype" w:hAnsi="Palatino Linotype" w:cs="Palatino Linotype"/>
          <w:sz w:val="22"/>
          <w:szCs w:val="22"/>
        </w:rPr>
        <w:t>expeditez</w:t>
      </w:r>
      <w:proofErr w:type="spellEnd"/>
      <w:r w:rsidRPr="001D0D6F">
        <w:rPr>
          <w:rFonts w:ascii="Palatino Linotype" w:eastAsia="Palatino Linotype" w:hAnsi="Palatino Linotype" w:cs="Palatino Linotype"/>
          <w:sz w:val="22"/>
          <w:szCs w:val="22"/>
        </w:rPr>
        <w:t xml:space="preserve"> que en todo procedimiento en materia de transparencia se debe observar.</w:t>
      </w:r>
    </w:p>
    <w:p w14:paraId="5F691A5E" w14:textId="77777777" w:rsidR="0051643A" w:rsidRPr="001D0D6F" w:rsidRDefault="0051643A">
      <w:pPr>
        <w:spacing w:line="360" w:lineRule="auto"/>
        <w:jc w:val="both"/>
        <w:rPr>
          <w:sz w:val="22"/>
          <w:szCs w:val="22"/>
        </w:rPr>
      </w:pPr>
    </w:p>
    <w:p w14:paraId="5E2570BF" w14:textId="77777777" w:rsidR="0051643A" w:rsidRPr="001D0D6F" w:rsidRDefault="00C95719">
      <w:pPr>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 xml:space="preserve">En conclusión, cuando se advierta una notoria incompetencia respecto de la información solicitada por un particular,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 xml:space="preserve">debe atender los plazos establecidos por la norma para declarar la incompetencia </w:t>
      </w:r>
      <w:r w:rsidRPr="001D0D6F">
        <w:rPr>
          <w:rFonts w:ascii="Palatino Linotype" w:eastAsia="Palatino Linotype" w:hAnsi="Palatino Linotype" w:cs="Palatino Linotype"/>
          <w:sz w:val="22"/>
          <w:szCs w:val="22"/>
        </w:rPr>
        <w:t>para entregar información, con el propósito de que los particulares puedan acudir ante las instancias correspondientes para formular las solicitudes que estimen pertinentes.</w:t>
      </w:r>
    </w:p>
    <w:p w14:paraId="5D633F1A" w14:textId="77777777" w:rsidR="0051643A" w:rsidRPr="001D0D6F" w:rsidRDefault="00C95719">
      <w:pPr>
        <w:spacing w:before="24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Finalmente, resulta dable dejar a salvo los derechos del particular para que formule el requerimiento en análisis ante la Secretaría de Finanzas</w:t>
      </w:r>
      <w:r w:rsidRPr="001D0D6F">
        <w:rPr>
          <w:rFonts w:ascii="Palatino Linotype" w:eastAsia="Palatino Linotype" w:hAnsi="Palatino Linotype" w:cs="Palatino Linotype"/>
          <w:b/>
          <w:sz w:val="22"/>
          <w:szCs w:val="22"/>
        </w:rPr>
        <w:t xml:space="preserve">, </w:t>
      </w:r>
      <w:r w:rsidRPr="001D0D6F">
        <w:rPr>
          <w:rFonts w:ascii="Palatino Linotype" w:eastAsia="Palatino Linotype" w:hAnsi="Palatino Linotype" w:cs="Palatino Linotype"/>
          <w:sz w:val="22"/>
          <w:szCs w:val="22"/>
        </w:rPr>
        <w:t>pues es información que genera, posee y/o administra</w:t>
      </w:r>
      <w:r w:rsidRPr="001D0D6F">
        <w:rPr>
          <w:rFonts w:ascii="Palatino Linotype" w:eastAsia="Palatino Linotype" w:hAnsi="Palatino Linotype" w:cs="Palatino Linotype"/>
          <w:b/>
          <w:sz w:val="22"/>
          <w:szCs w:val="22"/>
        </w:rPr>
        <w:t>.</w:t>
      </w:r>
    </w:p>
    <w:p w14:paraId="4378C1FB" w14:textId="77777777" w:rsidR="0051643A" w:rsidRPr="001D0D6F" w:rsidRDefault="00C95719">
      <w:pPr>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lastRenderedPageBreak/>
        <w:t xml:space="preserve">En ese entendido, se determina que toda vez que 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xml:space="preserve"> declaró su incompetencia y de este estudio se concluyó que la incompetencia resulta notoria los agravios hechos valer por este devienen </w:t>
      </w:r>
      <w:r w:rsidRPr="001D0D6F">
        <w:rPr>
          <w:rFonts w:ascii="Palatino Linotype" w:eastAsia="Palatino Linotype" w:hAnsi="Palatino Linotype" w:cs="Palatino Linotype"/>
          <w:b/>
          <w:sz w:val="22"/>
          <w:szCs w:val="22"/>
        </w:rPr>
        <w:t xml:space="preserve">INFUNDADOS </w:t>
      </w:r>
      <w:r w:rsidRPr="001D0D6F">
        <w:rPr>
          <w:rFonts w:ascii="Palatino Linotype" w:eastAsia="Palatino Linotype" w:hAnsi="Palatino Linotype" w:cs="Palatino Linotype"/>
          <w:sz w:val="22"/>
          <w:szCs w:val="22"/>
        </w:rPr>
        <w:t xml:space="preserve">y, por lo tanto, resulta procedente </w:t>
      </w:r>
      <w:r w:rsidRPr="001D0D6F">
        <w:rPr>
          <w:rFonts w:ascii="Palatino Linotype" w:eastAsia="Palatino Linotype" w:hAnsi="Palatino Linotype" w:cs="Palatino Linotype"/>
          <w:b/>
          <w:sz w:val="22"/>
          <w:szCs w:val="22"/>
        </w:rPr>
        <w:t xml:space="preserve">CONFIRMAR </w:t>
      </w:r>
      <w:r w:rsidRPr="001D0D6F">
        <w:rPr>
          <w:rFonts w:ascii="Palatino Linotype" w:eastAsia="Palatino Linotype" w:hAnsi="Palatino Linotype" w:cs="Palatino Linotype"/>
          <w:sz w:val="22"/>
          <w:szCs w:val="22"/>
        </w:rPr>
        <w:t xml:space="preserve">la respuesta emitida por el Sujeto Obligado, en términos de la fracción II del artículo 186 de la Ley de Transparencia y Acceso a la Información Pública del Estado de México y Municipios. </w:t>
      </w:r>
    </w:p>
    <w:p w14:paraId="0AB6857D" w14:textId="77777777" w:rsidR="0051643A" w:rsidRPr="001D0D6F" w:rsidRDefault="0051643A">
      <w:pPr>
        <w:spacing w:line="360" w:lineRule="auto"/>
        <w:jc w:val="both"/>
        <w:rPr>
          <w:rFonts w:ascii="Palatino Linotype" w:eastAsia="Palatino Linotype" w:hAnsi="Palatino Linotype" w:cs="Palatino Linotype"/>
          <w:sz w:val="22"/>
          <w:szCs w:val="22"/>
        </w:rPr>
      </w:pPr>
    </w:p>
    <w:p w14:paraId="172BD4F2" w14:textId="77777777" w:rsidR="0051643A" w:rsidRPr="001D0D6F" w:rsidRDefault="00C95719">
      <w:pPr>
        <w:spacing w:before="80" w:after="240"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sz w:val="22"/>
          <w:szCs w:val="22"/>
        </w:rPr>
        <w:t>Así, con fundamento en lo prescrito en los</w:t>
      </w:r>
      <w:r w:rsidRPr="001D0D6F">
        <w:rPr>
          <w:sz w:val="22"/>
          <w:szCs w:val="22"/>
        </w:rPr>
        <w:t xml:space="preserve"> </w:t>
      </w:r>
      <w:r w:rsidRPr="001D0D6F">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794F4CD" w14:textId="77777777" w:rsidR="0051643A" w:rsidRPr="001D0D6F" w:rsidRDefault="00C95719">
      <w:pPr>
        <w:spacing w:line="259" w:lineRule="auto"/>
        <w:ind w:left="-142" w:right="49"/>
        <w:jc w:val="center"/>
        <w:rPr>
          <w:rFonts w:ascii="Palatino Linotype" w:eastAsia="Palatino Linotype" w:hAnsi="Palatino Linotype" w:cs="Palatino Linotype"/>
          <w:b/>
          <w:sz w:val="22"/>
          <w:szCs w:val="22"/>
        </w:rPr>
      </w:pPr>
      <w:r w:rsidRPr="001D0D6F">
        <w:rPr>
          <w:rFonts w:ascii="Palatino Linotype" w:eastAsia="Palatino Linotype" w:hAnsi="Palatino Linotype" w:cs="Palatino Linotype"/>
          <w:b/>
          <w:sz w:val="22"/>
          <w:szCs w:val="22"/>
        </w:rPr>
        <w:t>R E S U E L V E:</w:t>
      </w:r>
    </w:p>
    <w:p w14:paraId="78800861" w14:textId="77777777" w:rsidR="0051643A" w:rsidRPr="001D0D6F" w:rsidRDefault="0051643A">
      <w:pPr>
        <w:spacing w:line="259" w:lineRule="auto"/>
        <w:ind w:left="-142" w:right="49"/>
        <w:jc w:val="center"/>
        <w:rPr>
          <w:rFonts w:ascii="Palatino Linotype" w:eastAsia="Palatino Linotype" w:hAnsi="Palatino Linotype" w:cs="Palatino Linotype"/>
          <w:b/>
          <w:sz w:val="22"/>
          <w:szCs w:val="22"/>
        </w:rPr>
      </w:pPr>
    </w:p>
    <w:p w14:paraId="62CE5C02" w14:textId="77777777" w:rsidR="0051643A" w:rsidRPr="001D0D6F" w:rsidRDefault="00C95719">
      <w:pPr>
        <w:spacing w:line="360" w:lineRule="auto"/>
        <w:jc w:val="both"/>
        <w:rPr>
          <w:sz w:val="22"/>
          <w:szCs w:val="22"/>
        </w:rPr>
      </w:pPr>
      <w:r w:rsidRPr="001D0D6F">
        <w:rPr>
          <w:rFonts w:ascii="Palatino Linotype" w:eastAsia="Palatino Linotype" w:hAnsi="Palatino Linotype" w:cs="Palatino Linotype"/>
          <w:b/>
          <w:sz w:val="22"/>
          <w:szCs w:val="22"/>
        </w:rPr>
        <w:t>Primero.</w:t>
      </w:r>
      <w:r w:rsidRPr="001D0D6F">
        <w:rPr>
          <w:rFonts w:ascii="Palatino Linotype" w:eastAsia="Palatino Linotype" w:hAnsi="Palatino Linotype" w:cs="Palatino Linotype"/>
          <w:sz w:val="22"/>
          <w:szCs w:val="22"/>
        </w:rPr>
        <w:t xml:space="preserve"> Resultan </w:t>
      </w:r>
      <w:r w:rsidRPr="001D0D6F">
        <w:rPr>
          <w:rFonts w:ascii="Palatino Linotype" w:eastAsia="Palatino Linotype" w:hAnsi="Palatino Linotype" w:cs="Palatino Linotype"/>
          <w:b/>
          <w:sz w:val="22"/>
          <w:szCs w:val="22"/>
        </w:rPr>
        <w:t>infundados</w:t>
      </w:r>
      <w:r w:rsidRPr="001D0D6F">
        <w:rPr>
          <w:rFonts w:ascii="Palatino Linotype" w:eastAsia="Palatino Linotype" w:hAnsi="Palatino Linotype" w:cs="Palatino Linotype"/>
          <w:sz w:val="22"/>
          <w:szCs w:val="22"/>
        </w:rPr>
        <w:t xml:space="preserve"> los motivos de inconformidad aducidos por </w:t>
      </w:r>
      <w:r w:rsidRPr="001D0D6F">
        <w:rPr>
          <w:rFonts w:ascii="Palatino Linotype" w:eastAsia="Palatino Linotype" w:hAnsi="Palatino Linotype" w:cs="Palatino Linotype"/>
          <w:b/>
          <w:sz w:val="22"/>
          <w:szCs w:val="22"/>
        </w:rPr>
        <w:t>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Recurrente</w:t>
      </w:r>
      <w:r w:rsidRPr="001D0D6F">
        <w:rPr>
          <w:rFonts w:ascii="Palatino Linotype" w:eastAsia="Palatino Linotype" w:hAnsi="Palatino Linotype" w:cs="Palatino Linotype"/>
          <w:sz w:val="22"/>
          <w:szCs w:val="22"/>
        </w:rPr>
        <w:t xml:space="preserve"> en el recurso de revisión </w:t>
      </w:r>
      <w:r w:rsidRPr="001D0D6F">
        <w:rPr>
          <w:rFonts w:ascii="Palatino Linotype" w:eastAsia="Palatino Linotype" w:hAnsi="Palatino Linotype" w:cs="Palatino Linotype"/>
          <w:b/>
          <w:sz w:val="22"/>
          <w:szCs w:val="22"/>
        </w:rPr>
        <w:t>07209/INFOEM/IP/RR/2024</w:t>
      </w:r>
      <w:r w:rsidRPr="001D0D6F">
        <w:rPr>
          <w:rFonts w:ascii="Palatino Linotype" w:eastAsia="Palatino Linotype" w:hAnsi="Palatino Linotype" w:cs="Palatino Linotype"/>
          <w:sz w:val="22"/>
          <w:szCs w:val="22"/>
        </w:rPr>
        <w:t xml:space="preserve">; por lo que, en términos de los argumentos señalados en el </w:t>
      </w:r>
      <w:r w:rsidRPr="001D0D6F">
        <w:rPr>
          <w:rFonts w:ascii="Palatino Linotype" w:eastAsia="Palatino Linotype" w:hAnsi="Palatino Linotype" w:cs="Palatino Linotype"/>
          <w:b/>
          <w:sz w:val="22"/>
          <w:szCs w:val="22"/>
        </w:rPr>
        <w:t>Considerando Cuarto</w:t>
      </w:r>
      <w:r w:rsidRPr="001D0D6F">
        <w:rPr>
          <w:rFonts w:ascii="Palatino Linotype" w:eastAsia="Palatino Linotype" w:hAnsi="Palatino Linotype" w:cs="Palatino Linotype"/>
          <w:sz w:val="22"/>
          <w:szCs w:val="22"/>
        </w:rPr>
        <w:t xml:space="preserve">, se </w:t>
      </w:r>
      <w:r w:rsidRPr="001D0D6F">
        <w:rPr>
          <w:rFonts w:ascii="Palatino Linotype" w:eastAsia="Palatino Linotype" w:hAnsi="Palatino Linotype" w:cs="Palatino Linotype"/>
          <w:b/>
          <w:sz w:val="22"/>
          <w:szCs w:val="22"/>
        </w:rPr>
        <w:t>CONFIRMA</w:t>
      </w:r>
      <w:r w:rsidRPr="001D0D6F">
        <w:rPr>
          <w:rFonts w:ascii="Palatino Linotype" w:eastAsia="Palatino Linotype" w:hAnsi="Palatino Linotype" w:cs="Palatino Linotype"/>
          <w:sz w:val="22"/>
          <w:szCs w:val="22"/>
        </w:rPr>
        <w:t xml:space="preserve"> la respuesta emitida por el </w:t>
      </w:r>
      <w:r w:rsidRPr="001D0D6F">
        <w:rPr>
          <w:rFonts w:ascii="Palatino Linotype" w:eastAsia="Palatino Linotype" w:hAnsi="Palatino Linotype" w:cs="Palatino Linotype"/>
          <w:b/>
          <w:sz w:val="22"/>
          <w:szCs w:val="22"/>
        </w:rPr>
        <w:t>Sujeto Obligado.</w:t>
      </w:r>
    </w:p>
    <w:p w14:paraId="21ACB2C9" w14:textId="77777777" w:rsidR="0051643A" w:rsidRPr="001D0D6F" w:rsidRDefault="0051643A">
      <w:pPr>
        <w:spacing w:line="360" w:lineRule="auto"/>
        <w:rPr>
          <w:sz w:val="22"/>
          <w:szCs w:val="22"/>
        </w:rPr>
      </w:pPr>
    </w:p>
    <w:p w14:paraId="79539EBC" w14:textId="2C1076D8" w:rsidR="0051643A" w:rsidRPr="001D0D6F" w:rsidRDefault="00C95719">
      <w:pPr>
        <w:spacing w:line="360" w:lineRule="auto"/>
        <w:jc w:val="both"/>
        <w:rPr>
          <w:sz w:val="22"/>
          <w:szCs w:val="22"/>
        </w:rPr>
      </w:pPr>
      <w:r w:rsidRPr="001D0D6F">
        <w:rPr>
          <w:rFonts w:ascii="Palatino Linotype" w:eastAsia="Palatino Linotype" w:hAnsi="Palatino Linotype" w:cs="Palatino Linotype"/>
          <w:b/>
          <w:sz w:val="22"/>
          <w:szCs w:val="22"/>
        </w:rPr>
        <w:t>Segundo</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Notifíquese</w:t>
      </w:r>
      <w:r w:rsidRPr="001D0D6F">
        <w:rPr>
          <w:rFonts w:ascii="Palatino Linotype" w:eastAsia="Palatino Linotype" w:hAnsi="Palatino Linotype" w:cs="Palatino Linotype"/>
          <w:sz w:val="22"/>
          <w:szCs w:val="22"/>
        </w:rPr>
        <w:t xml:space="preserve">, vía </w:t>
      </w:r>
      <w:r w:rsidRPr="001D0D6F">
        <w:rPr>
          <w:rFonts w:ascii="Palatino Linotype" w:eastAsia="Palatino Linotype" w:hAnsi="Palatino Linotype" w:cs="Palatino Linotype"/>
          <w:b/>
          <w:sz w:val="22"/>
          <w:szCs w:val="22"/>
        </w:rPr>
        <w:t>SAIMEX</w:t>
      </w:r>
      <w:r w:rsidRPr="001D0D6F">
        <w:rPr>
          <w:rFonts w:ascii="Palatino Linotype" w:eastAsia="Palatino Linotype" w:hAnsi="Palatino Linotype" w:cs="Palatino Linotype"/>
          <w:sz w:val="22"/>
          <w:szCs w:val="22"/>
        </w:rPr>
        <w:t xml:space="preserve">, al Titular de la Unidad de Transparencia del </w:t>
      </w:r>
      <w:r w:rsidRPr="001D0D6F">
        <w:rPr>
          <w:rFonts w:ascii="Palatino Linotype" w:eastAsia="Palatino Linotype" w:hAnsi="Palatino Linotype" w:cs="Palatino Linotype"/>
          <w:b/>
          <w:sz w:val="22"/>
          <w:szCs w:val="22"/>
        </w:rPr>
        <w:t>Sujeto Obligado</w:t>
      </w:r>
      <w:r w:rsidRPr="001D0D6F">
        <w:rPr>
          <w:rFonts w:ascii="Palatino Linotype" w:eastAsia="Palatino Linotype" w:hAnsi="Palatino Linotype" w:cs="Palatino Linotype"/>
          <w:sz w:val="22"/>
          <w:szCs w:val="22"/>
        </w:rPr>
        <w:t>, la presente resolución para su conocimiento.</w:t>
      </w:r>
    </w:p>
    <w:p w14:paraId="17FD8AB6" w14:textId="77777777" w:rsidR="0051643A" w:rsidRPr="001D0D6F" w:rsidRDefault="0051643A">
      <w:pPr>
        <w:spacing w:line="360" w:lineRule="auto"/>
        <w:rPr>
          <w:sz w:val="22"/>
          <w:szCs w:val="22"/>
        </w:rPr>
      </w:pPr>
    </w:p>
    <w:p w14:paraId="74BF17B2" w14:textId="77777777" w:rsidR="0051643A" w:rsidRPr="001D0D6F" w:rsidRDefault="00C95719">
      <w:pPr>
        <w:spacing w:line="360" w:lineRule="auto"/>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b/>
          <w:sz w:val="22"/>
          <w:szCs w:val="22"/>
        </w:rPr>
        <w:t xml:space="preserve">Tercero.  Notifíquese, </w:t>
      </w:r>
      <w:r w:rsidRPr="001D0D6F">
        <w:rPr>
          <w:rFonts w:ascii="Palatino Linotype" w:eastAsia="Palatino Linotype" w:hAnsi="Palatino Linotype" w:cs="Palatino Linotype"/>
          <w:sz w:val="22"/>
          <w:szCs w:val="22"/>
        </w:rPr>
        <w:t xml:space="preserve">a </w:t>
      </w:r>
      <w:r w:rsidRPr="001D0D6F">
        <w:rPr>
          <w:rFonts w:ascii="Palatino Linotype" w:eastAsia="Palatino Linotype" w:hAnsi="Palatino Linotype" w:cs="Palatino Linotype"/>
          <w:b/>
          <w:sz w:val="22"/>
          <w:szCs w:val="22"/>
        </w:rPr>
        <w:t>la parte</w:t>
      </w:r>
      <w:r w:rsidRPr="001D0D6F">
        <w:rPr>
          <w:rFonts w:ascii="Palatino Linotype" w:eastAsia="Palatino Linotype" w:hAnsi="Palatino Linotype" w:cs="Palatino Linotype"/>
          <w:sz w:val="22"/>
          <w:szCs w:val="22"/>
        </w:rPr>
        <w:t xml:space="preserve"> </w:t>
      </w:r>
      <w:r w:rsidRPr="001D0D6F">
        <w:rPr>
          <w:rFonts w:ascii="Palatino Linotype" w:eastAsia="Palatino Linotype" w:hAnsi="Palatino Linotype" w:cs="Palatino Linotype"/>
          <w:b/>
          <w:sz w:val="22"/>
          <w:szCs w:val="22"/>
        </w:rPr>
        <w:t>Recurrente</w:t>
      </w:r>
      <w:r w:rsidRPr="001D0D6F">
        <w:rPr>
          <w:rFonts w:ascii="Palatino Linotype" w:eastAsia="Palatino Linotype" w:hAnsi="Palatino Linotype" w:cs="Palatino Linotype"/>
          <w:sz w:val="22"/>
          <w:szCs w:val="22"/>
        </w:rPr>
        <w:t xml:space="preserve"> la presente resolución vía </w:t>
      </w:r>
      <w:r w:rsidRPr="001D0D6F">
        <w:rPr>
          <w:rFonts w:ascii="Palatino Linotype" w:eastAsia="Palatino Linotype" w:hAnsi="Palatino Linotype" w:cs="Palatino Linotype"/>
          <w:b/>
          <w:sz w:val="22"/>
          <w:szCs w:val="22"/>
        </w:rPr>
        <w:t>SAIMEX</w:t>
      </w:r>
      <w:r w:rsidRPr="001D0D6F">
        <w:rPr>
          <w:rFonts w:ascii="Palatino Linotype" w:eastAsia="Palatino Linotype" w:hAnsi="Palatino Linotype" w:cs="Palatino Linotype"/>
          <w:sz w:val="22"/>
          <w:szCs w:val="22"/>
        </w:rPr>
        <w:t>, así como que de conformidad con lo establecido en el artículo 196 de la Ley de Transparencia y Acceso a la Información Pública del Estado de México y Municipios podrá impugnarla vía Juicio de Amparo en los términos de las leyes aplicables.</w:t>
      </w:r>
    </w:p>
    <w:p w14:paraId="61FCEE9D" w14:textId="77777777" w:rsidR="0051643A" w:rsidRPr="001D0D6F" w:rsidRDefault="00C95719">
      <w:pPr>
        <w:spacing w:before="240" w:after="240" w:line="360" w:lineRule="auto"/>
        <w:ind w:right="49"/>
        <w:jc w:val="both"/>
        <w:rPr>
          <w:rFonts w:ascii="Palatino Linotype" w:eastAsia="Palatino Linotype" w:hAnsi="Palatino Linotype" w:cs="Palatino Linotype"/>
          <w:sz w:val="22"/>
          <w:szCs w:val="22"/>
        </w:rPr>
      </w:pPr>
      <w:r w:rsidRPr="001D0D6F">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 </w:t>
      </w:r>
    </w:p>
    <w:p w14:paraId="3F5AED0E" w14:textId="77777777" w:rsidR="0051643A" w:rsidRPr="001D0D6F" w:rsidRDefault="0051643A">
      <w:pPr>
        <w:rPr>
          <w:rFonts w:ascii="Palatino Linotype" w:eastAsia="Palatino Linotype" w:hAnsi="Palatino Linotype" w:cs="Palatino Linotype"/>
        </w:rPr>
      </w:pPr>
    </w:p>
    <w:p w14:paraId="1E44FAC5" w14:textId="77777777" w:rsidR="0051643A" w:rsidRPr="001D0D6F" w:rsidRDefault="0051643A">
      <w:pPr>
        <w:rPr>
          <w:rFonts w:ascii="Palatino Linotype" w:eastAsia="Palatino Linotype" w:hAnsi="Palatino Linotype" w:cs="Palatino Linotype"/>
        </w:rPr>
      </w:pPr>
    </w:p>
    <w:p w14:paraId="57551262" w14:textId="77777777" w:rsidR="0051643A" w:rsidRPr="001D0D6F" w:rsidRDefault="0051643A">
      <w:pPr>
        <w:spacing w:line="360" w:lineRule="auto"/>
        <w:jc w:val="both"/>
        <w:rPr>
          <w:rFonts w:ascii="Palatino Linotype" w:eastAsia="Palatino Linotype" w:hAnsi="Palatino Linotype" w:cs="Palatino Linotype"/>
        </w:rPr>
      </w:pPr>
      <w:bookmarkStart w:id="10" w:name="_heading=h.3rdcrjn" w:colFirst="0" w:colLast="0"/>
      <w:bookmarkEnd w:id="10"/>
    </w:p>
    <w:p w14:paraId="75AF29FE" w14:textId="77777777" w:rsidR="0051643A" w:rsidRPr="001D0D6F" w:rsidRDefault="0051643A">
      <w:pPr>
        <w:spacing w:line="360" w:lineRule="auto"/>
        <w:jc w:val="both"/>
        <w:rPr>
          <w:rFonts w:ascii="Palatino Linotype" w:eastAsia="Palatino Linotype" w:hAnsi="Palatino Linotype" w:cs="Palatino Linotype"/>
        </w:rPr>
      </w:pPr>
    </w:p>
    <w:p w14:paraId="5BEAE0CB" w14:textId="77777777" w:rsidR="0051643A" w:rsidRPr="001D0D6F" w:rsidRDefault="0051643A">
      <w:pPr>
        <w:spacing w:line="360" w:lineRule="auto"/>
        <w:jc w:val="both"/>
        <w:rPr>
          <w:rFonts w:ascii="Palatino Linotype" w:eastAsia="Palatino Linotype" w:hAnsi="Palatino Linotype" w:cs="Palatino Linotype"/>
        </w:rPr>
      </w:pPr>
    </w:p>
    <w:p w14:paraId="5CBEBEC2" w14:textId="77777777" w:rsidR="0051643A" w:rsidRPr="001D0D6F" w:rsidRDefault="0051643A">
      <w:pPr>
        <w:spacing w:line="360" w:lineRule="auto"/>
        <w:jc w:val="both"/>
        <w:rPr>
          <w:rFonts w:ascii="Palatino Linotype" w:eastAsia="Palatino Linotype" w:hAnsi="Palatino Linotype" w:cs="Palatino Linotype"/>
        </w:rPr>
      </w:pPr>
      <w:bookmarkStart w:id="11" w:name="_heading=h.1t3h5sf" w:colFirst="0" w:colLast="0"/>
      <w:bookmarkEnd w:id="11"/>
    </w:p>
    <w:p w14:paraId="1CA911B7" w14:textId="77777777" w:rsidR="0051643A" w:rsidRPr="001D0D6F" w:rsidRDefault="0051643A">
      <w:pPr>
        <w:spacing w:line="360" w:lineRule="auto"/>
        <w:jc w:val="both"/>
        <w:rPr>
          <w:rFonts w:ascii="Palatino Linotype" w:eastAsia="Palatino Linotype" w:hAnsi="Palatino Linotype" w:cs="Palatino Linotype"/>
        </w:rPr>
      </w:pPr>
    </w:p>
    <w:p w14:paraId="1D1948EA" w14:textId="77777777" w:rsidR="0051643A" w:rsidRPr="001D0D6F" w:rsidRDefault="0051643A">
      <w:pPr>
        <w:spacing w:line="360" w:lineRule="auto"/>
        <w:jc w:val="both"/>
        <w:rPr>
          <w:rFonts w:ascii="Palatino Linotype" w:eastAsia="Palatino Linotype" w:hAnsi="Palatino Linotype" w:cs="Palatino Linotype"/>
        </w:rPr>
      </w:pPr>
    </w:p>
    <w:p w14:paraId="6E0EEBA8" w14:textId="77777777" w:rsidR="0051643A" w:rsidRPr="001D0D6F" w:rsidRDefault="0051643A">
      <w:pPr>
        <w:spacing w:line="360" w:lineRule="auto"/>
        <w:jc w:val="both"/>
        <w:rPr>
          <w:rFonts w:ascii="Palatino Linotype" w:eastAsia="Palatino Linotype" w:hAnsi="Palatino Linotype" w:cs="Palatino Linotype"/>
        </w:rPr>
      </w:pPr>
    </w:p>
    <w:p w14:paraId="4D738424" w14:textId="77777777" w:rsidR="0051643A" w:rsidRPr="001D0D6F" w:rsidRDefault="0051643A">
      <w:pPr>
        <w:spacing w:line="360" w:lineRule="auto"/>
        <w:jc w:val="both"/>
        <w:rPr>
          <w:rFonts w:ascii="Palatino Linotype" w:eastAsia="Palatino Linotype" w:hAnsi="Palatino Linotype" w:cs="Palatino Linotype"/>
        </w:rPr>
      </w:pPr>
    </w:p>
    <w:p w14:paraId="63A13982" w14:textId="77777777" w:rsidR="0051643A" w:rsidRPr="001D0D6F" w:rsidRDefault="0051643A">
      <w:pPr>
        <w:spacing w:line="360" w:lineRule="auto"/>
        <w:jc w:val="both"/>
        <w:rPr>
          <w:rFonts w:ascii="Palatino Linotype" w:eastAsia="Palatino Linotype" w:hAnsi="Palatino Linotype" w:cs="Palatino Linotype"/>
        </w:rPr>
      </w:pPr>
    </w:p>
    <w:p w14:paraId="3B2827AA" w14:textId="77777777" w:rsidR="0051643A" w:rsidRPr="001D0D6F" w:rsidRDefault="0051643A">
      <w:pPr>
        <w:spacing w:line="360" w:lineRule="auto"/>
        <w:jc w:val="both"/>
        <w:rPr>
          <w:rFonts w:ascii="Palatino Linotype" w:eastAsia="Palatino Linotype" w:hAnsi="Palatino Linotype" w:cs="Palatino Linotype"/>
        </w:rPr>
      </w:pPr>
    </w:p>
    <w:p w14:paraId="0E866CC4" w14:textId="77777777" w:rsidR="0051643A" w:rsidRPr="001D0D6F" w:rsidRDefault="0051643A">
      <w:pPr>
        <w:spacing w:line="360" w:lineRule="auto"/>
        <w:jc w:val="both"/>
        <w:rPr>
          <w:rFonts w:ascii="Palatino Linotype" w:eastAsia="Palatino Linotype" w:hAnsi="Palatino Linotype" w:cs="Palatino Linotype"/>
        </w:rPr>
      </w:pPr>
    </w:p>
    <w:p w14:paraId="56076408" w14:textId="77777777" w:rsidR="0051643A" w:rsidRPr="001D0D6F" w:rsidRDefault="0051643A">
      <w:pPr>
        <w:spacing w:line="360" w:lineRule="auto"/>
        <w:jc w:val="both"/>
        <w:rPr>
          <w:rFonts w:ascii="Palatino Linotype" w:eastAsia="Palatino Linotype" w:hAnsi="Palatino Linotype" w:cs="Palatino Linotype"/>
        </w:rPr>
      </w:pPr>
    </w:p>
    <w:p w14:paraId="74957606" w14:textId="77777777" w:rsidR="0051643A" w:rsidRPr="001D0D6F" w:rsidRDefault="0051643A">
      <w:pPr>
        <w:spacing w:line="360" w:lineRule="auto"/>
        <w:jc w:val="both"/>
        <w:rPr>
          <w:rFonts w:ascii="Palatino Linotype" w:eastAsia="Palatino Linotype" w:hAnsi="Palatino Linotype" w:cs="Palatino Linotype"/>
        </w:rPr>
      </w:pPr>
    </w:p>
    <w:p w14:paraId="24DDAC55" w14:textId="77777777" w:rsidR="0051643A" w:rsidRPr="001D0D6F" w:rsidRDefault="0051643A">
      <w:pPr>
        <w:spacing w:line="360" w:lineRule="auto"/>
        <w:jc w:val="both"/>
        <w:rPr>
          <w:rFonts w:ascii="Palatino Linotype" w:eastAsia="Palatino Linotype" w:hAnsi="Palatino Linotype" w:cs="Palatino Linotype"/>
        </w:rPr>
      </w:pPr>
    </w:p>
    <w:p w14:paraId="6728FEEF" w14:textId="77777777" w:rsidR="0051643A" w:rsidRPr="001D0D6F" w:rsidRDefault="0051643A">
      <w:pPr>
        <w:spacing w:line="360" w:lineRule="auto"/>
        <w:jc w:val="both"/>
        <w:rPr>
          <w:rFonts w:ascii="Palatino Linotype" w:eastAsia="Palatino Linotype" w:hAnsi="Palatino Linotype" w:cs="Palatino Linotype"/>
        </w:rPr>
      </w:pPr>
    </w:p>
    <w:p w14:paraId="2AC910A9" w14:textId="77777777" w:rsidR="0051643A" w:rsidRPr="001D0D6F" w:rsidRDefault="0051643A">
      <w:pPr>
        <w:spacing w:line="360" w:lineRule="auto"/>
        <w:jc w:val="both"/>
        <w:rPr>
          <w:rFonts w:ascii="Palatino Linotype" w:eastAsia="Palatino Linotype" w:hAnsi="Palatino Linotype" w:cs="Palatino Linotype"/>
        </w:rPr>
      </w:pPr>
    </w:p>
    <w:p w14:paraId="7E90E434" w14:textId="77777777" w:rsidR="0051643A" w:rsidRPr="001D0D6F" w:rsidRDefault="0051643A">
      <w:pPr>
        <w:spacing w:line="360" w:lineRule="auto"/>
        <w:jc w:val="both"/>
        <w:rPr>
          <w:rFonts w:ascii="Palatino Linotype" w:eastAsia="Palatino Linotype" w:hAnsi="Palatino Linotype" w:cs="Palatino Linotype"/>
        </w:rPr>
      </w:pPr>
    </w:p>
    <w:p w14:paraId="178FA3AB" w14:textId="77777777" w:rsidR="0051643A" w:rsidRPr="001D0D6F" w:rsidRDefault="0051643A">
      <w:pPr>
        <w:spacing w:line="360" w:lineRule="auto"/>
        <w:jc w:val="both"/>
        <w:rPr>
          <w:rFonts w:ascii="Palatino Linotype" w:eastAsia="Palatino Linotype" w:hAnsi="Palatino Linotype" w:cs="Palatino Linotype"/>
        </w:rPr>
      </w:pPr>
    </w:p>
    <w:p w14:paraId="7C868580" w14:textId="77777777" w:rsidR="0051643A" w:rsidRPr="001D0D6F" w:rsidRDefault="0051643A">
      <w:pPr>
        <w:spacing w:line="360" w:lineRule="auto"/>
        <w:jc w:val="both"/>
        <w:rPr>
          <w:rFonts w:ascii="Palatino Linotype" w:eastAsia="Palatino Linotype" w:hAnsi="Palatino Linotype" w:cs="Palatino Linotype"/>
        </w:rPr>
      </w:pPr>
    </w:p>
    <w:p w14:paraId="4FBC6A0C" w14:textId="77777777" w:rsidR="0051643A" w:rsidRPr="001D0D6F" w:rsidRDefault="0051643A">
      <w:pPr>
        <w:spacing w:line="360" w:lineRule="auto"/>
        <w:jc w:val="both"/>
        <w:rPr>
          <w:rFonts w:ascii="Palatino Linotype" w:eastAsia="Palatino Linotype" w:hAnsi="Palatino Linotype" w:cs="Palatino Linotype"/>
        </w:rPr>
      </w:pPr>
    </w:p>
    <w:p w14:paraId="0A3D3397" w14:textId="77777777" w:rsidR="0051643A" w:rsidRPr="001D0D6F" w:rsidRDefault="0051643A">
      <w:pPr>
        <w:spacing w:line="360" w:lineRule="auto"/>
        <w:jc w:val="both"/>
        <w:rPr>
          <w:rFonts w:ascii="Palatino Linotype" w:eastAsia="Palatino Linotype" w:hAnsi="Palatino Linotype" w:cs="Palatino Linotype"/>
        </w:rPr>
      </w:pPr>
    </w:p>
    <w:p w14:paraId="68F0EA8A" w14:textId="77777777" w:rsidR="0051643A" w:rsidRPr="001D0D6F" w:rsidRDefault="0051643A">
      <w:pPr>
        <w:spacing w:line="360" w:lineRule="auto"/>
        <w:jc w:val="both"/>
        <w:rPr>
          <w:rFonts w:ascii="Palatino Linotype" w:eastAsia="Palatino Linotype" w:hAnsi="Palatino Linotype" w:cs="Palatino Linotype"/>
        </w:rPr>
      </w:pPr>
    </w:p>
    <w:p w14:paraId="7D62A34B" w14:textId="77777777" w:rsidR="0051643A" w:rsidRPr="001D0D6F" w:rsidRDefault="0051643A">
      <w:pPr>
        <w:spacing w:line="360" w:lineRule="auto"/>
        <w:jc w:val="both"/>
        <w:rPr>
          <w:rFonts w:ascii="Palatino Linotype" w:eastAsia="Palatino Linotype" w:hAnsi="Palatino Linotype" w:cs="Palatino Linotype"/>
        </w:rPr>
      </w:pPr>
    </w:p>
    <w:sectPr w:rsidR="0051643A" w:rsidRPr="001D0D6F">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5097" w14:textId="77777777" w:rsidR="005768DE" w:rsidRDefault="005768DE">
      <w:r>
        <w:separator/>
      </w:r>
    </w:p>
  </w:endnote>
  <w:endnote w:type="continuationSeparator" w:id="0">
    <w:p w14:paraId="459D815B" w14:textId="77777777" w:rsidR="005768DE" w:rsidRDefault="0057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A748" w14:textId="77777777" w:rsidR="0051643A" w:rsidRDefault="00C9571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1F5D">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1F5D">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2FE37C5" w14:textId="77777777" w:rsidR="0051643A" w:rsidRDefault="0051643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1339" w14:textId="77777777" w:rsidR="0051643A" w:rsidRDefault="00C9571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1F5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1F5D">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43B42C61" w14:textId="77777777" w:rsidR="0051643A" w:rsidRDefault="0051643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DB34" w14:textId="77777777" w:rsidR="005768DE" w:rsidRDefault="005768DE">
      <w:r>
        <w:separator/>
      </w:r>
    </w:p>
  </w:footnote>
  <w:footnote w:type="continuationSeparator" w:id="0">
    <w:p w14:paraId="2D0AF803" w14:textId="77777777" w:rsidR="005768DE" w:rsidRDefault="0057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0D71" w14:textId="77777777" w:rsidR="0051643A" w:rsidRDefault="00C95719">
    <w:pPr>
      <w:rPr>
        <w:rFonts w:ascii="Cambria" w:eastAsia="Cambria" w:hAnsi="Cambria" w:cs="Cambria"/>
        <w:color w:val="000000"/>
      </w:rPr>
    </w:pPr>
    <w:r>
      <w:rPr>
        <w:noProof/>
      </w:rPr>
      <w:drawing>
        <wp:anchor distT="0" distB="0" distL="0" distR="0" simplePos="0" relativeHeight="251658240" behindDoc="1" locked="0" layoutInCell="1" hidden="0" allowOverlap="1" wp14:anchorId="3A8ABD6B" wp14:editId="779184BD">
          <wp:simplePos x="0" y="0"/>
          <wp:positionH relativeFrom="column">
            <wp:posOffset>-1080111</wp:posOffset>
          </wp:positionH>
          <wp:positionV relativeFrom="paragraph">
            <wp:posOffset>-488286</wp:posOffset>
          </wp:positionV>
          <wp:extent cx="7809865" cy="10165715"/>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7087" w:type="dxa"/>
      <w:tblInd w:w="3261" w:type="dxa"/>
      <w:tblLayout w:type="fixed"/>
      <w:tblLook w:val="0400" w:firstRow="0" w:lastRow="0" w:firstColumn="0" w:lastColumn="0" w:noHBand="0" w:noVBand="1"/>
    </w:tblPr>
    <w:tblGrid>
      <w:gridCol w:w="2489"/>
      <w:gridCol w:w="4598"/>
    </w:tblGrid>
    <w:tr w:rsidR="0051643A" w14:paraId="5E348812" w14:textId="77777777">
      <w:tc>
        <w:tcPr>
          <w:tcW w:w="2489" w:type="dxa"/>
          <w:shd w:val="clear" w:color="auto" w:fill="auto"/>
        </w:tcPr>
        <w:p w14:paraId="5BBB5AB3" w14:textId="77777777" w:rsidR="0051643A" w:rsidRDefault="00C9571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D937D23" w14:textId="77777777" w:rsidR="0051643A" w:rsidRDefault="00C9571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07209/INFOEM/IP/RR/2024</w:t>
          </w:r>
        </w:p>
      </w:tc>
    </w:tr>
    <w:tr w:rsidR="0051643A" w14:paraId="4163F504" w14:textId="77777777">
      <w:trPr>
        <w:trHeight w:val="228"/>
      </w:trPr>
      <w:tc>
        <w:tcPr>
          <w:tcW w:w="2489" w:type="dxa"/>
          <w:shd w:val="clear" w:color="auto" w:fill="auto"/>
          <w:vAlign w:val="center"/>
        </w:tcPr>
        <w:p w14:paraId="20550B02" w14:textId="77777777" w:rsidR="0051643A" w:rsidRDefault="00C9571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99417DA" w14:textId="77777777" w:rsidR="0051643A" w:rsidRDefault="00C9571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Movilidad</w:t>
          </w:r>
        </w:p>
      </w:tc>
    </w:tr>
    <w:tr w:rsidR="0051643A" w14:paraId="4150C671" w14:textId="77777777">
      <w:tc>
        <w:tcPr>
          <w:tcW w:w="2489" w:type="dxa"/>
          <w:shd w:val="clear" w:color="auto" w:fill="auto"/>
          <w:vAlign w:val="center"/>
        </w:tcPr>
        <w:p w14:paraId="32BB66CE" w14:textId="77777777" w:rsidR="0051643A" w:rsidRDefault="00C9571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A63CA32" w14:textId="77777777" w:rsidR="0051643A" w:rsidRDefault="00C9571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2D9B491" w14:textId="77777777" w:rsidR="0051643A" w:rsidRDefault="00C9571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9BFB" w14:textId="77777777" w:rsidR="0051643A" w:rsidRDefault="00C9571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49E42D1" wp14:editId="66762503">
          <wp:simplePos x="0" y="0"/>
          <wp:positionH relativeFrom="column">
            <wp:posOffset>-1079489</wp:posOffset>
          </wp:positionH>
          <wp:positionV relativeFrom="paragraph">
            <wp:posOffset>-328919</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6945" w:type="dxa"/>
      <w:tblInd w:w="3261" w:type="dxa"/>
      <w:tblLayout w:type="fixed"/>
      <w:tblLook w:val="0400" w:firstRow="0" w:lastRow="0" w:firstColumn="0" w:lastColumn="0" w:noHBand="0" w:noVBand="1"/>
    </w:tblPr>
    <w:tblGrid>
      <w:gridCol w:w="2551"/>
      <w:gridCol w:w="4394"/>
    </w:tblGrid>
    <w:tr w:rsidR="0051643A" w14:paraId="794B5627" w14:textId="77777777">
      <w:tc>
        <w:tcPr>
          <w:tcW w:w="2551" w:type="dxa"/>
          <w:shd w:val="clear" w:color="auto" w:fill="auto"/>
          <w:vAlign w:val="center"/>
        </w:tcPr>
        <w:p w14:paraId="749FDFB8" w14:textId="77777777" w:rsidR="0051643A" w:rsidRDefault="00C9571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456997E" w14:textId="77777777" w:rsidR="0051643A" w:rsidRDefault="00C9571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07209/INFOEM/IP/RR/2024</w:t>
          </w:r>
        </w:p>
      </w:tc>
    </w:tr>
    <w:tr w:rsidR="0051643A" w14:paraId="4D16A5AC" w14:textId="77777777">
      <w:trPr>
        <w:trHeight w:val="130"/>
      </w:trPr>
      <w:tc>
        <w:tcPr>
          <w:tcW w:w="2551" w:type="dxa"/>
          <w:shd w:val="clear" w:color="auto" w:fill="auto"/>
          <w:vAlign w:val="center"/>
        </w:tcPr>
        <w:p w14:paraId="5A351F23" w14:textId="77777777" w:rsidR="0051643A" w:rsidRDefault="00C9571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2F85D0D" w14:textId="39EA9FED" w:rsidR="0051643A" w:rsidRDefault="00EC584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XXXXXXXX </w:t>
          </w:r>
        </w:p>
      </w:tc>
    </w:tr>
    <w:tr w:rsidR="0051643A" w14:paraId="473E0302" w14:textId="77777777">
      <w:trPr>
        <w:trHeight w:val="228"/>
      </w:trPr>
      <w:tc>
        <w:tcPr>
          <w:tcW w:w="2551" w:type="dxa"/>
          <w:shd w:val="clear" w:color="auto" w:fill="auto"/>
          <w:vAlign w:val="center"/>
        </w:tcPr>
        <w:p w14:paraId="78DE8B2D" w14:textId="77777777" w:rsidR="0051643A" w:rsidRDefault="00C9571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C8E396F" w14:textId="77777777" w:rsidR="0051643A" w:rsidRDefault="00C95719">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Movilidad</w:t>
          </w:r>
        </w:p>
      </w:tc>
    </w:tr>
    <w:tr w:rsidR="0051643A" w14:paraId="5ECA0484" w14:textId="77777777">
      <w:tc>
        <w:tcPr>
          <w:tcW w:w="2551" w:type="dxa"/>
          <w:shd w:val="clear" w:color="auto" w:fill="auto"/>
          <w:vAlign w:val="center"/>
        </w:tcPr>
        <w:p w14:paraId="31063998" w14:textId="77777777" w:rsidR="0051643A" w:rsidRDefault="00C9571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6DC5C33" w14:textId="77777777" w:rsidR="0051643A" w:rsidRDefault="00C9571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1C1CB0" w14:textId="77777777" w:rsidR="0051643A" w:rsidRDefault="0051643A">
    <w:pPr>
      <w:pBdr>
        <w:top w:val="nil"/>
        <w:left w:val="nil"/>
        <w:bottom w:val="nil"/>
        <w:right w:val="nil"/>
        <w:between w:val="nil"/>
      </w:pBdr>
      <w:tabs>
        <w:tab w:val="center" w:pos="4252"/>
        <w:tab w:val="right" w:pos="8504"/>
      </w:tabs>
      <w:rPr>
        <w:rFonts w:ascii="Cambria" w:eastAsia="Cambria" w:hAnsi="Cambria" w:cs="Cambria"/>
        <w:color w:val="000000"/>
      </w:rPr>
    </w:pPr>
  </w:p>
  <w:p w14:paraId="5C855285" w14:textId="77777777" w:rsidR="0051643A" w:rsidRDefault="005164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0CDA"/>
    <w:multiLevelType w:val="multilevel"/>
    <w:tmpl w:val="61CAF7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354B5"/>
    <w:multiLevelType w:val="multilevel"/>
    <w:tmpl w:val="F26847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F141C65"/>
    <w:multiLevelType w:val="multilevel"/>
    <w:tmpl w:val="028E6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AF5AE2"/>
    <w:multiLevelType w:val="multilevel"/>
    <w:tmpl w:val="9D82FE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3A"/>
    <w:rsid w:val="001D0D6F"/>
    <w:rsid w:val="00501741"/>
    <w:rsid w:val="0051643A"/>
    <w:rsid w:val="005768DE"/>
    <w:rsid w:val="00931F5D"/>
    <w:rsid w:val="00B82B97"/>
    <w:rsid w:val="00C95719"/>
    <w:rsid w:val="00EC5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C4DC"/>
  <w15:docId w15:val="{60A34599-4C29-494B-9A56-97F63BA9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4F"/>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9C2C49"/>
    <w:rPr>
      <w:color w:val="0000FF"/>
      <w:u w:val="single"/>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1psIQVu7BRSjhLGVvB4mc/e6bQ==">CgMxLjAyCWguMWZvYjl0ZTIJaC40ZDM0b2c4MghoLmdqZGd4czIJaC4zZHk2dmttMgloLjMwajB6bGwyCWguMnM4ZXlvMTIIaC50eWpjd3QyCWguM3pueXNoNzIJaC4yZXQ5MnAwMgloLjNyZGNyam4yCWguMXQzaDVzZjgAciExVlN0Z3lVdndrVlRtNFZwWklCMElkV0x2MFF4aVNMeTE=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7778</Words>
  <Characters>42779</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2024-12-13T16:09:00Z</cp:lastPrinted>
  <dcterms:created xsi:type="dcterms:W3CDTF">2025-01-15T19:30:00Z</dcterms:created>
  <dcterms:modified xsi:type="dcterms:W3CDTF">2025-01-15T19:30:00Z</dcterms:modified>
</cp:coreProperties>
</file>