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5366A" w14:textId="77777777" w:rsidR="006D4739" w:rsidRDefault="006D4739">
      <w:pPr>
        <w:widowControl w:val="0"/>
        <w:pBdr>
          <w:top w:val="nil"/>
          <w:left w:val="nil"/>
          <w:bottom w:val="nil"/>
          <w:right w:val="nil"/>
          <w:between w:val="nil"/>
        </w:pBdr>
        <w:spacing w:line="276" w:lineRule="auto"/>
      </w:pPr>
    </w:p>
    <w:p w14:paraId="29E55DB8" w14:textId="77777777" w:rsidR="006D4739" w:rsidRDefault="006D4739">
      <w:pPr>
        <w:spacing w:line="360" w:lineRule="auto"/>
        <w:jc w:val="both"/>
        <w:rPr>
          <w:rFonts w:ascii="Palatino Linotype" w:eastAsia="Palatino Linotype" w:hAnsi="Palatino Linotype" w:cs="Palatino Linotype"/>
          <w:sz w:val="22"/>
          <w:szCs w:val="22"/>
        </w:rPr>
      </w:pPr>
    </w:p>
    <w:p w14:paraId="5F49342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trece de noviembre de dos mil veinticuatro.</w:t>
      </w:r>
    </w:p>
    <w:p w14:paraId="1663CED6" w14:textId="77777777" w:rsidR="006D4739" w:rsidRDefault="006D4739">
      <w:pPr>
        <w:spacing w:line="360" w:lineRule="auto"/>
        <w:rPr>
          <w:rFonts w:ascii="Palatino Linotype" w:eastAsia="Palatino Linotype" w:hAnsi="Palatino Linotype" w:cs="Palatino Linotype"/>
          <w:sz w:val="22"/>
          <w:szCs w:val="22"/>
        </w:rPr>
      </w:pPr>
    </w:p>
    <w:p w14:paraId="0E02A077" w14:textId="77777777" w:rsidR="006D4739" w:rsidRDefault="00ED6CB7">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 los Recursos de Revisión </w:t>
      </w:r>
      <w:r w:rsidRPr="0002774A">
        <w:rPr>
          <w:rFonts w:ascii="Palatino Linotype" w:eastAsia="Palatino Linotype" w:hAnsi="Palatino Linotype" w:cs="Palatino Linotype"/>
          <w:b/>
          <w:bCs/>
          <w:sz w:val="22"/>
          <w:szCs w:val="22"/>
        </w:rPr>
        <w:t>05616/INFOEM/IP/RR/2024, y 05617/INFOEM/IP/RR/2024</w:t>
      </w:r>
      <w:r>
        <w:rPr>
          <w:rFonts w:ascii="Palatino Linotype" w:eastAsia="Palatino Linotype" w:hAnsi="Palatino Linotype" w:cs="Palatino Linotype"/>
          <w:sz w:val="22"/>
          <w:szCs w:val="22"/>
        </w:rPr>
        <w:t>,</w:t>
      </w:r>
      <w:r>
        <w:rPr>
          <w:rFonts w:ascii="Palatino Linotype" w:eastAsia="Palatino Linotype" w:hAnsi="Palatino Linotype" w:cs="Palatino Linotype"/>
          <w:color w:val="0D0D0D"/>
          <w:sz w:val="22"/>
          <w:szCs w:val="22"/>
        </w:rPr>
        <w:t xml:space="preserve"> interpuestos por el Recurrente o Particular, en contra de las respuestas del Sujeto Obligado, </w:t>
      </w:r>
      <w:r w:rsidRPr="0002774A">
        <w:rPr>
          <w:rFonts w:ascii="Palatino Linotype" w:eastAsia="Palatino Linotype" w:hAnsi="Palatino Linotype" w:cs="Palatino Linotype"/>
          <w:b/>
          <w:bCs/>
          <w:color w:val="0D0D0D"/>
          <w:sz w:val="22"/>
          <w:szCs w:val="22"/>
        </w:rPr>
        <w:t xml:space="preserve">Ayuntamiento de Temamatla, </w:t>
      </w:r>
      <w:r>
        <w:rPr>
          <w:rFonts w:ascii="Palatino Linotype" w:eastAsia="Palatino Linotype" w:hAnsi="Palatino Linotype" w:cs="Palatino Linotype"/>
          <w:color w:val="0D0D0D"/>
          <w:sz w:val="22"/>
          <w:szCs w:val="22"/>
        </w:rPr>
        <w:t>a las solicitudes de acceso a la información pública</w:t>
      </w:r>
      <w:r>
        <w:rPr>
          <w:rFonts w:ascii="Palatino Linotype" w:eastAsia="Palatino Linotype" w:hAnsi="Palatino Linotype" w:cs="Palatino Linotype"/>
          <w:sz w:val="22"/>
          <w:szCs w:val="22"/>
        </w:rPr>
        <w:t xml:space="preserve"> 00203/TEMAMATL/IP/2024</w:t>
      </w:r>
      <w:r>
        <w:rPr>
          <w:rFonts w:ascii="Palatino Linotype" w:eastAsia="Palatino Linotype" w:hAnsi="Palatino Linotype" w:cs="Palatino Linotype"/>
          <w:color w:val="0D0D0D"/>
          <w:sz w:val="22"/>
          <w:szCs w:val="22"/>
        </w:rPr>
        <w:t xml:space="preserve">, y </w:t>
      </w:r>
      <w:r>
        <w:rPr>
          <w:rFonts w:ascii="Palatino Linotype" w:eastAsia="Palatino Linotype" w:hAnsi="Palatino Linotype" w:cs="Palatino Linotype"/>
          <w:sz w:val="22"/>
          <w:szCs w:val="22"/>
        </w:rPr>
        <w:t>00204/TEMAMATL/IP/2024</w:t>
      </w:r>
      <w:r>
        <w:rPr>
          <w:rFonts w:ascii="Palatino Linotype" w:eastAsia="Palatino Linotype" w:hAnsi="Palatino Linotype" w:cs="Palatino Linotype"/>
          <w:color w:val="0D0D0D"/>
          <w:sz w:val="22"/>
          <w:szCs w:val="22"/>
        </w:rPr>
        <w:t xml:space="preserve"> se emite la presente Resolución, con base en los Antecedentes y C</w:t>
      </w:r>
      <w:r>
        <w:rPr>
          <w:rFonts w:ascii="Palatino Linotype" w:eastAsia="Palatino Linotype" w:hAnsi="Palatino Linotype" w:cs="Palatino Linotype"/>
          <w:sz w:val="22"/>
          <w:szCs w:val="22"/>
        </w:rPr>
        <w:t>onsiderandos que a continuación se exponen:</w:t>
      </w:r>
    </w:p>
    <w:p w14:paraId="15D2BBF7" w14:textId="77777777" w:rsidR="006D4739" w:rsidRDefault="006D4739">
      <w:pPr>
        <w:tabs>
          <w:tab w:val="center" w:pos="4522"/>
          <w:tab w:val="left" w:pos="7245"/>
        </w:tabs>
        <w:spacing w:line="360" w:lineRule="auto"/>
        <w:jc w:val="center"/>
        <w:rPr>
          <w:rFonts w:ascii="Palatino Linotype" w:eastAsia="Palatino Linotype" w:hAnsi="Palatino Linotype" w:cs="Palatino Linotype"/>
          <w:b/>
          <w:sz w:val="22"/>
          <w:szCs w:val="22"/>
        </w:rPr>
      </w:pPr>
    </w:p>
    <w:p w14:paraId="5081B830" w14:textId="77777777" w:rsidR="006D4739" w:rsidRDefault="00ED6CB7">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1B83F1E4" w14:textId="77777777" w:rsidR="006D4739" w:rsidRDefault="006D4739">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14:paraId="2FE3733F" w14:textId="77777777" w:rsidR="006D4739" w:rsidRDefault="00ED6CB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 xml:space="preserve">I. Presentación de las solicitudes de información. </w:t>
      </w:r>
    </w:p>
    <w:p w14:paraId="43C9134D" w14:textId="77777777" w:rsidR="006D4739" w:rsidRDefault="006D473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13F63B88" w14:textId="77777777" w:rsidR="006D4739" w:rsidRDefault="00ED6CB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fecha dos de septiembre de dos mil veinticuatro, el Particular presentó dos solicitudes de acceso a la información pública, a través del Sistema de Acceso a la Información Mexiquense (SAIMEX), ante el Ayuntamiento de Temamatla, en los siguientes términos:</w:t>
      </w:r>
    </w:p>
    <w:p w14:paraId="6856799D" w14:textId="77777777" w:rsidR="006D4739" w:rsidRDefault="006D473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884787D" w14:textId="77777777" w:rsidR="006D4739" w:rsidRDefault="00ED6CB7">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00203/TEMAMATL/IP/2024</w:t>
      </w:r>
    </w:p>
    <w:p w14:paraId="6D0F484C" w14:textId="77777777" w:rsidR="006D4739" w:rsidRDefault="00ED6CB7">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7E55733B"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Pólizas de egreso de los años 2022, 2023 y 2024 de las nóminas pagadas con sus recibos firmados cotejados con su Inés de los empleados o sus tarjetas de empleados del ayuntamiento de Temamatla.”(Sic)</w:t>
      </w:r>
    </w:p>
    <w:p w14:paraId="2F32A6BB" w14:textId="77777777" w:rsidR="006D4739" w:rsidRDefault="006D4739">
      <w:pPr>
        <w:tabs>
          <w:tab w:val="left" w:pos="4667"/>
        </w:tabs>
        <w:spacing w:line="360" w:lineRule="auto"/>
        <w:ind w:left="567" w:right="567"/>
        <w:jc w:val="both"/>
        <w:rPr>
          <w:rFonts w:ascii="Palatino Linotype" w:eastAsia="Palatino Linotype" w:hAnsi="Palatino Linotype" w:cs="Palatino Linotype"/>
          <w:b/>
          <w:i/>
        </w:rPr>
      </w:pPr>
    </w:p>
    <w:p w14:paraId="453316FF" w14:textId="77777777" w:rsidR="006D4739" w:rsidRDefault="006D4739">
      <w:pPr>
        <w:tabs>
          <w:tab w:val="left" w:pos="4667"/>
        </w:tabs>
        <w:spacing w:line="360" w:lineRule="auto"/>
        <w:ind w:left="567" w:right="567"/>
        <w:jc w:val="both"/>
        <w:rPr>
          <w:rFonts w:ascii="Palatino Linotype" w:eastAsia="Palatino Linotype" w:hAnsi="Palatino Linotype" w:cs="Palatino Linotype"/>
          <w:b/>
          <w:i/>
        </w:rPr>
      </w:pPr>
    </w:p>
    <w:p w14:paraId="5405FDEA" w14:textId="77777777" w:rsidR="006D4739" w:rsidRDefault="00ED6CB7">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00204/TEMAMATL/IP/2024</w:t>
      </w:r>
    </w:p>
    <w:p w14:paraId="04EAEC94" w14:textId="77777777" w:rsidR="006D4739" w:rsidRDefault="00ED6CB7">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438292D4"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Pólizas de egresos de los años 2022,2023 y 2024 de las obras pagadas con cualquier programa o recurso ejercido por el ayuntamiento de Temamatla y sus procesos de licitaciones y como se publicaron las licitaciones públicas</w:t>
      </w:r>
      <w:r>
        <w:rPr>
          <w:rFonts w:ascii="Palatino Linotype" w:eastAsia="Palatino Linotype" w:hAnsi="Palatino Linotype" w:cs="Palatino Linotype"/>
          <w:i/>
        </w:rPr>
        <w:t>.”(Sic)</w:t>
      </w:r>
    </w:p>
    <w:p w14:paraId="0347972D" w14:textId="77777777" w:rsidR="006D4739" w:rsidRDefault="00ED6CB7">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14:paraId="6C7F49C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las dos solicitudes el Particular eligió como modalidad de entrega </w:t>
      </w:r>
      <w:r>
        <w:rPr>
          <w:rFonts w:ascii="Palatino Linotype" w:eastAsia="Palatino Linotype" w:hAnsi="Palatino Linotype" w:cs="Palatino Linotype"/>
          <w:i/>
          <w:sz w:val="22"/>
          <w:szCs w:val="22"/>
        </w:rPr>
        <w:t>“a través de SAIMEX”</w:t>
      </w:r>
    </w:p>
    <w:p w14:paraId="6A3D31A0" w14:textId="77777777" w:rsidR="006D4739" w:rsidRDefault="006D4739">
      <w:pPr>
        <w:tabs>
          <w:tab w:val="left" w:pos="4667"/>
        </w:tabs>
        <w:spacing w:line="360" w:lineRule="auto"/>
        <w:ind w:right="567"/>
        <w:jc w:val="both"/>
        <w:rPr>
          <w:rFonts w:ascii="Palatino Linotype" w:eastAsia="Palatino Linotype" w:hAnsi="Palatino Linotype" w:cs="Palatino Linotype"/>
          <w:sz w:val="22"/>
          <w:szCs w:val="22"/>
        </w:rPr>
      </w:pPr>
    </w:p>
    <w:p w14:paraId="48A5C707" w14:textId="77777777" w:rsidR="006D4739" w:rsidRDefault="00ED6CB7">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Respuestas del Sujeto Obligado.</w:t>
      </w:r>
    </w:p>
    <w:p w14:paraId="1AD133B5" w14:textId="77777777" w:rsidR="006D4739" w:rsidRDefault="006D4739">
      <w:pPr>
        <w:tabs>
          <w:tab w:val="left" w:pos="4667"/>
        </w:tabs>
        <w:spacing w:line="360" w:lineRule="auto"/>
        <w:ind w:right="567"/>
        <w:jc w:val="both"/>
        <w:rPr>
          <w:rFonts w:ascii="Palatino Linotype" w:eastAsia="Palatino Linotype" w:hAnsi="Palatino Linotype" w:cs="Palatino Linotype"/>
          <w:b/>
          <w:sz w:val="22"/>
          <w:szCs w:val="22"/>
        </w:rPr>
      </w:pPr>
    </w:p>
    <w:p w14:paraId="66B96A4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diez de septiembre,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las solicitudes de acceso a la información a través del Sistema de Acceso a la Información Mexiquense (SAIMEX), conforme a lo siguiente:</w:t>
      </w:r>
    </w:p>
    <w:p w14:paraId="722E7F6D" w14:textId="77777777" w:rsidR="006D4739" w:rsidRDefault="006D4739">
      <w:pPr>
        <w:spacing w:line="360" w:lineRule="auto"/>
        <w:jc w:val="both"/>
        <w:rPr>
          <w:rFonts w:ascii="Palatino Linotype" w:eastAsia="Palatino Linotype" w:hAnsi="Palatino Linotype" w:cs="Palatino Linotype"/>
          <w:sz w:val="22"/>
          <w:szCs w:val="22"/>
        </w:rPr>
      </w:pPr>
    </w:p>
    <w:p w14:paraId="7CDB78CC" w14:textId="77777777" w:rsidR="006D4739" w:rsidRDefault="00ED6CB7">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00203/TEMAMATL/IP/2024</w:t>
      </w:r>
    </w:p>
    <w:p w14:paraId="0AB62239" w14:textId="77777777" w:rsidR="006D4739" w:rsidRDefault="006D4739">
      <w:pPr>
        <w:tabs>
          <w:tab w:val="left" w:pos="4667"/>
        </w:tabs>
        <w:spacing w:line="360" w:lineRule="auto"/>
        <w:ind w:right="567"/>
        <w:jc w:val="both"/>
        <w:rPr>
          <w:rFonts w:ascii="Palatino Linotype" w:eastAsia="Palatino Linotype" w:hAnsi="Palatino Linotype" w:cs="Palatino Linotype"/>
          <w:b/>
          <w:sz w:val="22"/>
          <w:szCs w:val="22"/>
        </w:rPr>
      </w:pPr>
    </w:p>
    <w:p w14:paraId="084B9EC8"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MT/TESORERIAMPAL/OI/367/2024, del seis de septiembre de dos mil veinticuatro, suscrito por la Tesorera Municipal, dirigido a la Titular de la Unidad de Transparencia y Acceso a la Información Pública, a través del cual manifiesta y expone esencialmente lo siguiente:</w:t>
      </w:r>
    </w:p>
    <w:p w14:paraId="5817095D" w14:textId="77777777" w:rsidR="006D4739" w:rsidRDefault="006D4739">
      <w:pPr>
        <w:spacing w:line="360" w:lineRule="auto"/>
      </w:pPr>
    </w:p>
    <w:p w14:paraId="06CF2329"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Esta dirección propone la consulta directa derivado de la cantidad, volumen, los recursos materiales y humanos con que cuenta esta dirección son limitados por tal motivo, se invoca el numeral </w:t>
      </w:r>
      <w:r>
        <w:rPr>
          <w:rFonts w:ascii="Palatino Linotype" w:eastAsia="Palatino Linotype" w:hAnsi="Palatino Linotype" w:cs="Palatino Linotype"/>
          <w:i/>
        </w:rPr>
        <w:t xml:space="preserve">12 segundo párrafo  donde se indica… Lo anterior derivado a </w:t>
      </w:r>
      <w:r>
        <w:rPr>
          <w:rFonts w:ascii="Palatino Linotype" w:eastAsia="Palatino Linotype" w:hAnsi="Palatino Linotype" w:cs="Palatino Linotype"/>
          <w:i/>
        </w:rPr>
        <w:lastRenderedPageBreak/>
        <w:t>que se estima que la información solicitada referente a 72 quincenas de las cuales resultan un volumen de aproximadamente 36, 000 hojas.</w:t>
      </w:r>
    </w:p>
    <w:p w14:paraId="53847E5C" w14:textId="77777777" w:rsidR="006D4739" w:rsidRDefault="006D4739">
      <w:pPr>
        <w:spacing w:line="360" w:lineRule="auto"/>
        <w:ind w:left="567" w:right="567"/>
        <w:jc w:val="both"/>
        <w:rPr>
          <w:rFonts w:ascii="Palatino Linotype" w:eastAsia="Palatino Linotype" w:hAnsi="Palatino Linotype" w:cs="Palatino Linotype"/>
          <w:i/>
        </w:rPr>
      </w:pPr>
    </w:p>
    <w:p w14:paraId="1CF07E8B"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este sentido y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la Información, así como para la elaboración de Versiones Públicas.</w:t>
      </w:r>
    </w:p>
    <w:p w14:paraId="51335C48"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A68226E" w14:textId="77777777" w:rsidR="006D4739" w:rsidRDefault="006D4739">
      <w:pPr>
        <w:spacing w:line="360" w:lineRule="auto"/>
        <w:jc w:val="both"/>
        <w:rPr>
          <w:rFonts w:ascii="Palatino Linotype" w:eastAsia="Palatino Linotype" w:hAnsi="Palatino Linotype" w:cs="Palatino Linotype"/>
          <w:b/>
          <w:sz w:val="22"/>
          <w:szCs w:val="22"/>
        </w:rPr>
      </w:pPr>
    </w:p>
    <w:p w14:paraId="47FD9B7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Acta de la Septuagésima Séptima Sesión Ordinaria del Comité de Transparencia del Ayuntamiento de Temamatla 2022-2024, por la que se aprueba la consulta directa de la información solicitada.</w:t>
      </w:r>
    </w:p>
    <w:p w14:paraId="67432031" w14:textId="77777777" w:rsidR="006D4739" w:rsidRDefault="006D4739">
      <w:pPr>
        <w:spacing w:line="360" w:lineRule="auto"/>
        <w:jc w:val="both"/>
        <w:rPr>
          <w:rFonts w:ascii="Palatino Linotype" w:eastAsia="Palatino Linotype" w:hAnsi="Palatino Linotype" w:cs="Palatino Linotype"/>
          <w:b/>
          <w:sz w:val="22"/>
          <w:szCs w:val="22"/>
        </w:rPr>
      </w:pPr>
    </w:p>
    <w:p w14:paraId="1536D577" w14:textId="77777777" w:rsidR="006D4739" w:rsidRDefault="00ED6CB7">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00204/TEMAMATL/IP/2024</w:t>
      </w:r>
    </w:p>
    <w:p w14:paraId="73A7EBA7" w14:textId="77777777" w:rsidR="006D4739" w:rsidRDefault="006D4739">
      <w:pPr>
        <w:tabs>
          <w:tab w:val="left" w:pos="4667"/>
        </w:tabs>
        <w:spacing w:line="360" w:lineRule="auto"/>
        <w:ind w:right="567"/>
        <w:jc w:val="both"/>
        <w:rPr>
          <w:rFonts w:ascii="Palatino Linotype" w:eastAsia="Palatino Linotype" w:hAnsi="Palatino Linotype" w:cs="Palatino Linotype"/>
          <w:b/>
          <w:sz w:val="22"/>
          <w:szCs w:val="22"/>
        </w:rPr>
      </w:pPr>
    </w:p>
    <w:p w14:paraId="0C085311"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MT/TESORERIAMPAL/OI/372/2024, del seis de septiembre de dos mil veinticuatro, suscrito por la Tesorera Municipal, dirigido a la Titular de la Unidad de Transparencia y Acceso a la Información Pública, a través del cual manifiesta y expone esencialmente lo siguiente:</w:t>
      </w:r>
    </w:p>
    <w:p w14:paraId="36676E25" w14:textId="77777777" w:rsidR="006D4739" w:rsidRDefault="006D4739">
      <w:pPr>
        <w:spacing w:line="360" w:lineRule="auto"/>
      </w:pPr>
    </w:p>
    <w:p w14:paraId="38F95968"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Esta dirección propone la consulta directa derivado de la cantidad, volumen, los recursos materiales y humanos con que cuenta esta dirección son limitados por tal motivo, se invoca el numeral </w:t>
      </w:r>
      <w:r>
        <w:rPr>
          <w:rFonts w:ascii="Palatino Linotype" w:eastAsia="Palatino Linotype" w:hAnsi="Palatino Linotype" w:cs="Palatino Linotype"/>
          <w:i/>
        </w:rPr>
        <w:t>12 segundo párrafo donde se indica…</w:t>
      </w:r>
      <w:r>
        <w:rPr>
          <w:rFonts w:ascii="Palatino Linotype" w:eastAsia="Palatino Linotype" w:hAnsi="Palatino Linotype" w:cs="Palatino Linotype"/>
          <w:b/>
          <w:i/>
        </w:rPr>
        <w:t xml:space="preserve"> Lo anterior derivado a que se estima que la información solicitada referente a un promedio de 30 carpetas con 500 páginas cada una lo que da un total de 15,000 hojas.</w:t>
      </w:r>
    </w:p>
    <w:p w14:paraId="50E7CE0F" w14:textId="77777777" w:rsidR="006D4739" w:rsidRDefault="006D4739">
      <w:pPr>
        <w:spacing w:line="360" w:lineRule="auto"/>
        <w:ind w:left="567" w:right="567"/>
        <w:jc w:val="both"/>
        <w:rPr>
          <w:rFonts w:ascii="Palatino Linotype" w:eastAsia="Palatino Linotype" w:hAnsi="Palatino Linotype" w:cs="Palatino Linotype"/>
          <w:i/>
        </w:rPr>
      </w:pPr>
    </w:p>
    <w:p w14:paraId="67D90923"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este sentido y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la Información, así como para la elaboración de Versiones Públicas…”</w:t>
      </w:r>
    </w:p>
    <w:p w14:paraId="0C406EF1" w14:textId="77777777" w:rsidR="006D4739" w:rsidRDefault="006D4739">
      <w:pPr>
        <w:spacing w:line="360" w:lineRule="auto"/>
        <w:jc w:val="both"/>
        <w:rPr>
          <w:rFonts w:ascii="Palatino Linotype" w:eastAsia="Palatino Linotype" w:hAnsi="Palatino Linotype" w:cs="Palatino Linotype"/>
          <w:b/>
          <w:sz w:val="22"/>
          <w:szCs w:val="22"/>
        </w:rPr>
      </w:pPr>
    </w:p>
    <w:p w14:paraId="1EECC442"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Acta de la Septuagésima Séptima Sesión Ordinaria del Comité de Transparencia del Ayuntamiento de Temamatla 2022-2024, por la que se aprueba la consulta directa de la información solicitada.</w:t>
      </w:r>
    </w:p>
    <w:p w14:paraId="7C31CDFF" w14:textId="77777777" w:rsidR="006D4739" w:rsidRDefault="006D4739">
      <w:pPr>
        <w:spacing w:line="360" w:lineRule="auto"/>
        <w:jc w:val="both"/>
        <w:rPr>
          <w:rFonts w:ascii="Palatino Linotype" w:eastAsia="Palatino Linotype" w:hAnsi="Palatino Linotype" w:cs="Palatino Linotype"/>
          <w:sz w:val="22"/>
          <w:szCs w:val="22"/>
        </w:rPr>
      </w:pPr>
    </w:p>
    <w:p w14:paraId="1DB8AE6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iii) Oficio número DOP/255/2024, del tres de septiembre de dos mil veinticuatro, suscrito por el Director de Obras Públicas, dirigido a la Titular de la Unidad de Transparencia y Acceso a la Información Pública, a través del cual manifiesta y expone esencialmente lo siguiente:</w:t>
      </w:r>
    </w:p>
    <w:p w14:paraId="5107FF3C" w14:textId="77777777" w:rsidR="006D4739" w:rsidRDefault="006D4739">
      <w:pPr>
        <w:spacing w:line="360" w:lineRule="auto"/>
        <w:jc w:val="both"/>
        <w:rPr>
          <w:rFonts w:ascii="Palatino Linotype" w:eastAsia="Palatino Linotype" w:hAnsi="Palatino Linotype" w:cs="Palatino Linotype"/>
          <w:sz w:val="22"/>
          <w:szCs w:val="22"/>
        </w:rPr>
      </w:pPr>
    </w:p>
    <w:p w14:paraId="3AD77BC3" w14:textId="77777777" w:rsidR="006D4739" w:rsidRDefault="00ED6CB7">
      <w:pPr>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i/>
        </w:rPr>
        <w:t>Conforme a lo establecido en el artículo 12 de la Ley de Transparencia y acceso a la información pública del estado de México y Municipios, le informo que ésta Unidad Administrativa no cuenta con facultades Relacionadas con los egresos generados por el municipio de Temamatla, siendo una facultad exclusiva de la tesorería municipal, lo anterior en concordancia con lo establecido por el artículo 93 de la Ley Orgánica Municipal del Estado de México…</w:t>
      </w:r>
    </w:p>
    <w:p w14:paraId="77B3AEF2" w14:textId="77777777" w:rsidR="006D4739" w:rsidRDefault="006D4739">
      <w:pPr>
        <w:spacing w:line="360" w:lineRule="auto"/>
        <w:ind w:left="567" w:right="567"/>
        <w:jc w:val="both"/>
        <w:rPr>
          <w:rFonts w:ascii="Palatino Linotype" w:eastAsia="Palatino Linotype" w:hAnsi="Palatino Linotype" w:cs="Palatino Linotype"/>
          <w:i/>
        </w:rPr>
      </w:pPr>
    </w:p>
    <w:p w14:paraId="434B6237"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continuación a su solicitud por lo que hace a “…procesos de licitaciones y como se publicaron las licitaciones públicas… (sic) le informo que dichos procesos se realizan conforme a lo dispuesto en el artículo 12.26 del Código Administrativo del Estado de México, relacionado con el artículo 30 del Reglamento del Libro décimo segundo del Código Administrativo del Estado de México, numerales que a la letra dicen:</w:t>
      </w:r>
    </w:p>
    <w:p w14:paraId="3E03ABD3"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2DE3A14F" w14:textId="77777777" w:rsidR="006D4739" w:rsidRDefault="006D4739">
      <w:pPr>
        <w:spacing w:line="360" w:lineRule="auto"/>
        <w:ind w:left="567" w:right="567"/>
        <w:jc w:val="both"/>
        <w:rPr>
          <w:rFonts w:ascii="Palatino Linotype" w:eastAsia="Palatino Linotype" w:hAnsi="Palatino Linotype" w:cs="Palatino Linotype"/>
          <w:i/>
        </w:rPr>
      </w:pPr>
    </w:p>
    <w:p w14:paraId="10B01D8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Cabe hacer mención que de la búsqueda exhaustiva y razonada en los archivos con los que cuenta esta Dirección de Obras Públicas que a mi digno cargo represento, se desprende que no se realizaron procedimientos de licitación durante los años 2022, 2023 y 2024 conforme a lo dispuesto por la Sección tercera del artículo 43 de la Ley de contratación pública del Estado de México y municipios, en relación con el artículo 12.33 del Código Administrativo del Estado de México…”</w:t>
      </w:r>
    </w:p>
    <w:p w14:paraId="4F68B47B" w14:textId="77777777" w:rsidR="006D4739" w:rsidRDefault="006D4739">
      <w:pPr>
        <w:spacing w:line="360" w:lineRule="auto"/>
        <w:jc w:val="both"/>
        <w:rPr>
          <w:rFonts w:ascii="Palatino Linotype" w:eastAsia="Palatino Linotype" w:hAnsi="Palatino Linotype" w:cs="Palatino Linotype"/>
          <w:b/>
          <w:sz w:val="22"/>
          <w:szCs w:val="22"/>
        </w:rPr>
      </w:pPr>
    </w:p>
    <w:p w14:paraId="7EE0AB9F"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 los Recursos de Revisión.</w:t>
      </w:r>
    </w:p>
    <w:p w14:paraId="0C24E3E8" w14:textId="77777777" w:rsidR="006D4739" w:rsidRDefault="006D4739">
      <w:pPr>
        <w:spacing w:line="360" w:lineRule="auto"/>
        <w:jc w:val="both"/>
        <w:rPr>
          <w:rFonts w:ascii="Palatino Linotype" w:eastAsia="Palatino Linotype" w:hAnsi="Palatino Linotype" w:cs="Palatino Linotype"/>
          <w:sz w:val="22"/>
          <w:szCs w:val="22"/>
        </w:rPr>
      </w:pPr>
    </w:p>
    <w:p w14:paraId="7E47F98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doce de septiembre de dos mil veinticuatro, se recibió en este Instituto, a través del Sistema de Acceso a la Información Mexiquense (SAIMEX), los Recursos de Revisión interpuestos por la parte Recurrente, en contra de las respuestas del Ayuntamiento de Temamatla, en los siguientes términos:</w:t>
      </w:r>
    </w:p>
    <w:p w14:paraId="2A3D4787" w14:textId="77777777" w:rsidR="006D4739" w:rsidRDefault="006D4739">
      <w:pPr>
        <w:spacing w:line="360" w:lineRule="auto"/>
        <w:jc w:val="both"/>
        <w:rPr>
          <w:rFonts w:ascii="Palatino Linotype" w:eastAsia="Palatino Linotype" w:hAnsi="Palatino Linotype" w:cs="Palatino Linotype"/>
          <w:sz w:val="22"/>
          <w:szCs w:val="22"/>
        </w:rPr>
      </w:pPr>
    </w:p>
    <w:p w14:paraId="0BEDCD9A" w14:textId="77777777" w:rsidR="006D4739" w:rsidRDefault="00ED6CB7">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05616/INFOEM/IP/RR/2024</w:t>
      </w:r>
    </w:p>
    <w:p w14:paraId="3CF55254"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14:paraId="2A644200"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Pólizas de egreso de los años 2022, 2023 y 2024 de las nóminas pagadas con sus recibos firmados cotejados con su Inés de los empleados o sus tarjetas de empleados del ayuntamiento de Temamatla.</w:t>
      </w:r>
      <w:r>
        <w:rPr>
          <w:rFonts w:ascii="Palatino Linotype" w:eastAsia="Palatino Linotype" w:hAnsi="Palatino Linotype" w:cs="Palatino Linotype"/>
          <w:i/>
        </w:rPr>
        <w:t>” (Sic.)</w:t>
      </w:r>
    </w:p>
    <w:p w14:paraId="6344B98A" w14:textId="77777777" w:rsidR="006D4739" w:rsidRDefault="006D4739">
      <w:pPr>
        <w:spacing w:line="360" w:lineRule="auto"/>
        <w:ind w:left="567" w:right="567"/>
        <w:jc w:val="both"/>
        <w:rPr>
          <w:rFonts w:ascii="Palatino Linotype" w:eastAsia="Palatino Linotype" w:hAnsi="Palatino Linotype" w:cs="Palatino Linotype"/>
          <w:i/>
        </w:rPr>
      </w:pPr>
    </w:p>
    <w:p w14:paraId="5E8EBE2B" w14:textId="77777777" w:rsidR="006D4739" w:rsidRDefault="00ED6CB7">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25226C10"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entrega la información solicitada</w:t>
      </w:r>
      <w:r>
        <w:rPr>
          <w:rFonts w:ascii="Palatino Linotype" w:eastAsia="Palatino Linotype" w:hAnsi="Palatino Linotype" w:cs="Palatino Linotype"/>
          <w:i/>
        </w:rPr>
        <w:t xml:space="preserve">.” (Sic) </w:t>
      </w:r>
    </w:p>
    <w:p w14:paraId="34985FA1" w14:textId="77777777" w:rsidR="006D4739" w:rsidRDefault="006D4739">
      <w:pPr>
        <w:spacing w:line="360" w:lineRule="auto"/>
        <w:ind w:left="567" w:right="567"/>
        <w:jc w:val="both"/>
        <w:rPr>
          <w:rFonts w:ascii="Palatino Linotype" w:eastAsia="Palatino Linotype" w:hAnsi="Palatino Linotype" w:cs="Palatino Linotype"/>
          <w:i/>
        </w:rPr>
      </w:pPr>
    </w:p>
    <w:p w14:paraId="549977B5" w14:textId="77777777" w:rsidR="006D4739" w:rsidRDefault="00ED6CB7">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05617/INFOEM/IP/RR/2024</w:t>
      </w:r>
    </w:p>
    <w:p w14:paraId="1E923AE4" w14:textId="77777777" w:rsidR="006D4739" w:rsidRDefault="00ED6CB7">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6AE9F206"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lastRenderedPageBreak/>
        <w:t>Pólizas de egresos de los años 2022,2023 y 2024 de las obras pagadas con cualquier programa o recurso ejercido por el ayuntamiento de Temamatla y sus procesos de licitaciones y como se publicaron las licitaciones públicas.</w:t>
      </w:r>
      <w:r>
        <w:rPr>
          <w:rFonts w:ascii="Palatino Linotype" w:eastAsia="Palatino Linotype" w:hAnsi="Palatino Linotype" w:cs="Palatino Linotype"/>
          <w:i/>
        </w:rPr>
        <w:t>”  (Sic.)</w:t>
      </w:r>
    </w:p>
    <w:p w14:paraId="2BF6CF09" w14:textId="77777777" w:rsidR="006D4739" w:rsidRDefault="006D4739">
      <w:pPr>
        <w:spacing w:line="360" w:lineRule="auto"/>
        <w:ind w:left="567" w:right="567"/>
        <w:jc w:val="both"/>
        <w:rPr>
          <w:rFonts w:ascii="Palatino Linotype" w:eastAsia="Palatino Linotype" w:hAnsi="Palatino Linotype" w:cs="Palatino Linotype"/>
          <w:i/>
        </w:rPr>
      </w:pPr>
    </w:p>
    <w:p w14:paraId="367153AD" w14:textId="77777777" w:rsidR="006D4739" w:rsidRDefault="006D4739">
      <w:pPr>
        <w:spacing w:line="360" w:lineRule="auto"/>
        <w:ind w:left="567" w:right="567"/>
        <w:jc w:val="both"/>
        <w:rPr>
          <w:rFonts w:ascii="Palatino Linotype" w:eastAsia="Palatino Linotype" w:hAnsi="Palatino Linotype" w:cs="Palatino Linotype"/>
          <w:i/>
        </w:rPr>
      </w:pPr>
    </w:p>
    <w:p w14:paraId="34A3F1A9" w14:textId="77777777" w:rsidR="006D4739" w:rsidRDefault="00ED6CB7">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107AA3C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No entrega la información solicitada.” (Sic)</w:t>
      </w:r>
    </w:p>
    <w:p w14:paraId="4BE90844"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b/>
      </w:r>
    </w:p>
    <w:p w14:paraId="45EEFAC9"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 los Recursos de Revisión ante este Instituto.</w:t>
      </w:r>
    </w:p>
    <w:p w14:paraId="7C17C1F0" w14:textId="77777777" w:rsidR="006D4739" w:rsidRDefault="006D4739">
      <w:pPr>
        <w:spacing w:line="360" w:lineRule="auto"/>
        <w:jc w:val="both"/>
        <w:rPr>
          <w:rFonts w:ascii="Palatino Linotype" w:eastAsia="Palatino Linotype" w:hAnsi="Palatino Linotype" w:cs="Palatino Linotype"/>
          <w:b/>
          <w:sz w:val="22"/>
          <w:szCs w:val="22"/>
        </w:rPr>
      </w:pPr>
    </w:p>
    <w:p w14:paraId="36781AF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doce de septiembre de dos mil veinticuatro, el Sistema de Acceso a la Información Mexiquense (SAIMEX), asignó los números de expediente 05616/INFOEM/IP/RR/2024, y 05617/INFOEM/IP/RR/2024 a los medios de impugnación que nos ocupa, con base en el sistema aprobado por el Pleno de este Organismo Garante y lo turnó a los Comisionados </w:t>
      </w:r>
      <w:r>
        <w:rPr>
          <w:rFonts w:ascii="Palatino Linotype" w:eastAsia="Palatino Linotype" w:hAnsi="Palatino Linotype" w:cs="Palatino Linotype"/>
          <w:b/>
          <w:sz w:val="22"/>
          <w:szCs w:val="22"/>
        </w:rPr>
        <w:t>Luis Gustavo Parra Noriega y Sharon Cristina Morales Martínez,</w:t>
      </w:r>
      <w:r>
        <w:rPr>
          <w:rFonts w:ascii="Palatino Linotype" w:eastAsia="Palatino Linotype" w:hAnsi="Palatino Linotype" w:cs="Palatino Linotype"/>
          <w:sz w:val="22"/>
          <w:szCs w:val="22"/>
        </w:rPr>
        <w:t xml:space="preserve"> para los efectos del artículo 185, fracción I de la Ley de Transparencia y Acceso a la Información Pública del Estado de México y Municipios.</w:t>
      </w:r>
    </w:p>
    <w:p w14:paraId="38B006B2" w14:textId="77777777" w:rsidR="006D4739" w:rsidRDefault="006D4739">
      <w:pPr>
        <w:spacing w:line="360" w:lineRule="auto"/>
        <w:jc w:val="both"/>
        <w:rPr>
          <w:rFonts w:ascii="Palatino Linotype" w:eastAsia="Palatino Linotype" w:hAnsi="Palatino Linotype" w:cs="Palatino Linotype"/>
          <w:b/>
          <w:sz w:val="22"/>
          <w:szCs w:val="22"/>
        </w:rPr>
      </w:pPr>
    </w:p>
    <w:p w14:paraId="53FDA9A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 los Recursos de Revisión. </w:t>
      </w:r>
      <w:r>
        <w:rPr>
          <w:rFonts w:ascii="Palatino Linotype" w:eastAsia="Palatino Linotype" w:hAnsi="Palatino Linotype" w:cs="Palatino Linotype"/>
          <w:sz w:val="22"/>
          <w:szCs w:val="22"/>
        </w:rPr>
        <w:t>El dieciséis y diecisiete de septiembre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Información Mexiquense (SAIMEX), en el que se les otorgó un plazo de siete días hábiles posteriores a la misma, para que manifestaran lo que a su derecho conviniera y formularan alegatos.</w:t>
      </w:r>
    </w:p>
    <w:p w14:paraId="4561BD4A" w14:textId="77777777" w:rsidR="006D4739" w:rsidRDefault="006D4739">
      <w:pPr>
        <w:spacing w:line="360" w:lineRule="auto"/>
        <w:jc w:val="both"/>
        <w:rPr>
          <w:rFonts w:ascii="Palatino Linotype" w:eastAsia="Palatino Linotype" w:hAnsi="Palatino Linotype" w:cs="Palatino Linotype"/>
          <w:sz w:val="22"/>
          <w:szCs w:val="22"/>
        </w:rPr>
      </w:pPr>
    </w:p>
    <w:p w14:paraId="51A78903"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Acumulación de los asuntos. </w:t>
      </w:r>
      <w:r>
        <w:rPr>
          <w:rFonts w:ascii="Palatino Linotype" w:eastAsia="Palatino Linotype" w:hAnsi="Palatino Linotype" w:cs="Palatino Linotype"/>
          <w:sz w:val="22"/>
          <w:szCs w:val="22"/>
        </w:rPr>
        <w:t xml:space="preserve">El veinticinco de septiembre de dos mil veinticuatro, el Pleno del Instituto de Transparencia, Acceso a la Información Pública y Protección de Datos Personales del Estado de México y Municipios, durante su Trigésima Cuarta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Pr>
          <w:rFonts w:ascii="Palatino Linotype" w:eastAsia="Palatino Linotype" w:hAnsi="Palatino Linotype" w:cs="Palatino Linotype"/>
          <w:b/>
          <w:sz w:val="22"/>
          <w:szCs w:val="22"/>
        </w:rPr>
        <w:t>05617INFOEM/IP/RR/2024</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 xml:space="preserve">05616/INFOEM/IP/RR/2024, </w:t>
      </w:r>
      <w:r>
        <w:rPr>
          <w:rFonts w:ascii="Palatino Linotype" w:eastAsia="Palatino Linotype" w:hAnsi="Palatino Linotype" w:cs="Palatino Linotype"/>
          <w:sz w:val="22"/>
          <w:szCs w:val="22"/>
        </w:rPr>
        <w:t>por ser este último el más antiguo, sustanciado bajo el índice de esta Ponencia, al advertir conexidad entre estos, ya que fueron promovidos por la misma persona, en los que señaló como Sujeto Obligado al</w:t>
      </w:r>
      <w:r>
        <w:rPr>
          <w:rFonts w:ascii="Palatino Linotype" w:eastAsia="Palatino Linotype" w:hAnsi="Palatino Linotype" w:cs="Palatino Linotype"/>
          <w:b/>
          <w:sz w:val="22"/>
          <w:szCs w:val="22"/>
        </w:rPr>
        <w:t xml:space="preserve"> Ayuntamiento de Temamatla. </w:t>
      </w:r>
    </w:p>
    <w:p w14:paraId="23401CB8" w14:textId="77777777" w:rsidR="006D4739" w:rsidRDefault="006D4739">
      <w:pPr>
        <w:spacing w:line="360" w:lineRule="auto"/>
        <w:jc w:val="both"/>
        <w:rPr>
          <w:rFonts w:ascii="Palatino Linotype" w:eastAsia="Palatino Linotype" w:hAnsi="Palatino Linotype" w:cs="Palatino Linotype"/>
          <w:b/>
          <w:sz w:val="22"/>
          <w:szCs w:val="22"/>
        </w:rPr>
      </w:pPr>
    </w:p>
    <w:p w14:paraId="6D9A9682"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Informe Justificado. </w:t>
      </w:r>
      <w:r>
        <w:rPr>
          <w:rFonts w:ascii="Palatino Linotype" w:eastAsia="Palatino Linotype" w:hAnsi="Palatino Linotype" w:cs="Palatino Linotype"/>
          <w:sz w:val="22"/>
          <w:szCs w:val="22"/>
        </w:rPr>
        <w:t>El nueve de octubre de dos mil veinticuatro, se recibió, a través del Sistema de Acceso a la Información Mexiquense (SAIMEX), el Informe Justificado, a los recursos de revisión en términos idénticos conforme oficio sin número, suscrito por la Titular de la Unidad de Transparencia, y dirigido al Comisionado Ponente, por medio del cual manifiesta que los sujetos solo estaban obligados a proporcionar la información pública que se les requiera y que obrara en sus archivos y en el estado que se encuentre, la cual no comprendía el procesamiento de la misma, ni presentarla conforme al interés del solicitante, no estarán obligados a generarla, resumirla, efectuar cálculos o practicar investigaciones, por lo que con dichas manifestaciones ratifica su respuesta inicial.</w:t>
      </w:r>
    </w:p>
    <w:p w14:paraId="5E8CE6FF" w14:textId="77777777" w:rsidR="006D4739" w:rsidRDefault="006D4739">
      <w:pPr>
        <w:spacing w:line="360" w:lineRule="auto"/>
        <w:jc w:val="both"/>
        <w:rPr>
          <w:rFonts w:ascii="Palatino Linotype" w:eastAsia="Palatino Linotype" w:hAnsi="Palatino Linotype" w:cs="Palatino Linotype"/>
          <w:sz w:val="22"/>
          <w:szCs w:val="22"/>
        </w:rPr>
      </w:pPr>
    </w:p>
    <w:p w14:paraId="5E86A285"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Requerimiento de Información Adicional.</w:t>
      </w:r>
      <w:r>
        <w:rPr>
          <w:rFonts w:ascii="Palatino Linotype" w:eastAsia="Palatino Linotype" w:hAnsi="Palatino Linotype" w:cs="Palatino Linotype"/>
          <w:sz w:val="22"/>
          <w:szCs w:val="22"/>
        </w:rPr>
        <w:t xml:space="preserve"> El treinta de octubre de dos mil veinticuatro, se emitió requerimiento de información adicional, suscrito por el Comisionado Ponente, dirigido al Titular de la Unidad de Transparencia del Ente Recurrido, de conformidad con </w:t>
      </w:r>
      <w:r>
        <w:rPr>
          <w:rFonts w:ascii="Palatino Linotype" w:eastAsia="Palatino Linotype" w:hAnsi="Palatino Linotype" w:cs="Palatino Linotype"/>
          <w:sz w:val="22"/>
          <w:szCs w:val="22"/>
        </w:rPr>
        <w:lastRenderedPageBreak/>
        <w:t>los artículos 14, fracciones I, II, V y XVI, del Reglamento Interior del Instituto de Transparencia Acceso a la Información Pública y Protección de Datos Personales del Estado de México y Municipios, mismo que fue notificado al Ente Recurrido, el veinticuatro de dicho mes y año, a través de correo electrónico y el Sistema de Acceso a la Información Mexiquense (SAIMEX), conforme a lo siguiente:</w:t>
      </w:r>
    </w:p>
    <w:p w14:paraId="6E15B902" w14:textId="77777777" w:rsidR="006D4739" w:rsidRDefault="006D4739">
      <w:pPr>
        <w:spacing w:line="360" w:lineRule="auto"/>
        <w:ind w:left="567" w:right="567"/>
        <w:jc w:val="both"/>
        <w:rPr>
          <w:rFonts w:ascii="Palatino Linotype" w:eastAsia="Palatino Linotype" w:hAnsi="Palatino Linotype" w:cs="Palatino Linotype"/>
          <w:i/>
          <w:sz w:val="22"/>
          <w:szCs w:val="22"/>
        </w:rPr>
      </w:pPr>
    </w:p>
    <w:p w14:paraId="526762C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“…Con el objeto de contar con los elementos necesarios para la elaboración del proyecto de resolución correspondiente, requiere al Sujeto Obligado, a que indique, lo siguiente:</w:t>
      </w:r>
    </w:p>
    <w:p w14:paraId="63448F01" w14:textId="77777777" w:rsidR="006D4739" w:rsidRDefault="006D4739">
      <w:pPr>
        <w:spacing w:line="360" w:lineRule="auto"/>
        <w:ind w:left="567" w:right="567"/>
        <w:jc w:val="both"/>
        <w:rPr>
          <w:rFonts w:ascii="Palatino Linotype" w:eastAsia="Palatino Linotype" w:hAnsi="Palatino Linotype" w:cs="Palatino Linotype"/>
          <w:i/>
        </w:rPr>
      </w:pPr>
    </w:p>
    <w:p w14:paraId="582F1418"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1. Si realiza el cotejo de los recibos de nómina entregados, con la credencial de elector o credencial institucional de los servidores públicos; </w:t>
      </w:r>
    </w:p>
    <w:p w14:paraId="2122CACA"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2. Si cuenta con los recibos de nómina firmados de todos los servidores públicos; </w:t>
      </w:r>
    </w:p>
    <w:p w14:paraId="4ECA7AB4"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3. Número total de hojas que integran las pólizas de egresos que contengan los recibos de nómina; </w:t>
      </w:r>
    </w:p>
    <w:p w14:paraId="48D224A1"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4. Número total de hojas que integran las pólizas de egresos y los expedientes de procedimientos de adjudicación de las obras públicas realizadas, y </w:t>
      </w:r>
    </w:p>
    <w:p w14:paraId="40D41B24"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4220813" w14:textId="77777777" w:rsidR="006D4739" w:rsidRDefault="006D4739">
      <w:pPr>
        <w:spacing w:line="360" w:lineRule="auto"/>
        <w:jc w:val="both"/>
        <w:rPr>
          <w:rFonts w:ascii="Palatino Linotype" w:eastAsia="Palatino Linotype" w:hAnsi="Palatino Linotype" w:cs="Palatino Linotype"/>
          <w:b/>
          <w:sz w:val="22"/>
          <w:szCs w:val="22"/>
        </w:rPr>
      </w:pPr>
    </w:p>
    <w:p w14:paraId="489C8C21"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 Desahogo del requerimiento de información adicional.</w:t>
      </w:r>
      <w:r>
        <w:rPr>
          <w:rFonts w:ascii="Palatino Linotype" w:eastAsia="Palatino Linotype" w:hAnsi="Palatino Linotype" w:cs="Palatino Linotype"/>
          <w:sz w:val="22"/>
          <w:szCs w:val="22"/>
        </w:rPr>
        <w:t xml:space="preserve"> El seis de noviembre de dos mil veinticuatro, se recibió a través del Sistema de Acceso a la Información Mexiquense (SAIMEX), el desahogo del requerimiento de información adicional, conforme a lo siguiente:</w:t>
      </w:r>
    </w:p>
    <w:p w14:paraId="38B8B5EA" w14:textId="77777777" w:rsidR="006D4739" w:rsidRDefault="006D4739">
      <w:pPr>
        <w:spacing w:line="360" w:lineRule="auto"/>
        <w:jc w:val="both"/>
        <w:rPr>
          <w:rFonts w:ascii="Palatino Linotype" w:eastAsia="Palatino Linotype" w:hAnsi="Palatino Linotype" w:cs="Palatino Linotype"/>
          <w:b/>
          <w:sz w:val="22"/>
          <w:szCs w:val="22"/>
        </w:rPr>
      </w:pPr>
    </w:p>
    <w:p w14:paraId="2127A960" w14:textId="77777777" w:rsidR="006D4739" w:rsidRDefault="00ED6CB7">
      <w:pPr>
        <w:spacing w:line="360" w:lineRule="auto"/>
        <w:jc w:val="both"/>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Recurso de Revisión 05616/INFOEM/IP/RR/2024</w:t>
      </w:r>
    </w:p>
    <w:p w14:paraId="099999C6" w14:textId="77777777" w:rsidR="006D4739" w:rsidRDefault="006D4739">
      <w:pPr>
        <w:spacing w:line="360" w:lineRule="auto"/>
        <w:jc w:val="both"/>
        <w:rPr>
          <w:rFonts w:ascii="Palatino Linotype" w:eastAsia="Palatino Linotype" w:hAnsi="Palatino Linotype" w:cs="Palatino Linotype"/>
          <w:b/>
          <w:sz w:val="22"/>
          <w:szCs w:val="22"/>
        </w:rPr>
      </w:pPr>
    </w:p>
    <w:p w14:paraId="64AD08D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MT/TESORERIAMPAL/OI/222/2024, del primero de noviembre de dos mil veinticuatro, suscrito por la Tesorera Municipal, dirigido a la Titular de la Unidad de Transparencia y Acceso a la Información Pública, a través del cual manifiesta y expone lo siguiente:</w:t>
      </w:r>
    </w:p>
    <w:p w14:paraId="5D39C825" w14:textId="77777777" w:rsidR="006D4739" w:rsidRDefault="006D4739">
      <w:pPr>
        <w:spacing w:line="360" w:lineRule="auto"/>
        <w:jc w:val="both"/>
        <w:rPr>
          <w:rFonts w:ascii="Palatino Linotype" w:eastAsia="Palatino Linotype" w:hAnsi="Palatino Linotype" w:cs="Palatino Linotype"/>
          <w:sz w:val="22"/>
          <w:szCs w:val="22"/>
        </w:rPr>
      </w:pPr>
    </w:p>
    <w:p w14:paraId="0CC026AF"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“…Se da contestación a lo solicitado:</w:t>
      </w:r>
    </w:p>
    <w:p w14:paraId="4298C8FD"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1. Si realiza el cotejo de los recibos de nómina entregados, con la credencial de elector o credencial institucional de los servidores públicos; </w:t>
      </w:r>
      <w:r>
        <w:rPr>
          <w:rFonts w:ascii="Palatino Linotype" w:eastAsia="Palatino Linotype" w:hAnsi="Palatino Linotype" w:cs="Palatino Linotype"/>
          <w:b/>
          <w:i/>
        </w:rPr>
        <w:t>NO</w:t>
      </w:r>
    </w:p>
    <w:p w14:paraId="7A635B56"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2. Si cuenta con los recibos de nómina firmados de todos los servidores públicos; </w:t>
      </w:r>
      <w:r>
        <w:rPr>
          <w:rFonts w:ascii="Palatino Linotype" w:eastAsia="Palatino Linotype" w:hAnsi="Palatino Linotype" w:cs="Palatino Linotype"/>
          <w:b/>
          <w:i/>
        </w:rPr>
        <w:t>SI</w:t>
      </w:r>
    </w:p>
    <w:p w14:paraId="50B3F2BE"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3. Número total de hojas que integran las pólizas de egresos que contengan los recibos de nómina; </w:t>
      </w:r>
    </w:p>
    <w:p w14:paraId="227450A5" w14:textId="77777777" w:rsidR="006D4739" w:rsidRDefault="00ED6CB7">
      <w:pPr>
        <w:spacing w:line="360" w:lineRule="auto"/>
        <w:ind w:left="567" w:right="567"/>
        <w:jc w:val="center"/>
        <w:rPr>
          <w:rFonts w:ascii="Palatino Linotype" w:eastAsia="Palatino Linotype" w:hAnsi="Palatino Linotype" w:cs="Palatino Linotype"/>
          <w:i/>
        </w:rPr>
      </w:pPr>
      <w:r>
        <w:rPr>
          <w:rFonts w:ascii="Palatino Linotype" w:eastAsia="Palatino Linotype" w:hAnsi="Palatino Linotype" w:cs="Palatino Linotype"/>
          <w:i/>
          <w:noProof/>
          <w:lang w:eastAsia="es-MX"/>
        </w:rPr>
        <w:drawing>
          <wp:inline distT="0" distB="0" distL="0" distR="0" wp14:anchorId="6EC275AB" wp14:editId="3529254C">
            <wp:extent cx="3001184" cy="2252072"/>
            <wp:effectExtent l="0" t="0" r="0" b="0"/>
            <wp:docPr id="4552298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1184" cy="2252072"/>
                    </a:xfrm>
                    <a:prstGeom prst="rect">
                      <a:avLst/>
                    </a:prstGeom>
                    <a:ln/>
                  </pic:spPr>
                </pic:pic>
              </a:graphicData>
            </a:graphic>
          </wp:inline>
        </w:drawing>
      </w:r>
    </w:p>
    <w:p w14:paraId="634699D0" w14:textId="77777777" w:rsidR="006D4739" w:rsidRDefault="006D4739">
      <w:pPr>
        <w:spacing w:line="360" w:lineRule="auto"/>
        <w:ind w:left="567" w:right="567"/>
        <w:jc w:val="center"/>
        <w:rPr>
          <w:rFonts w:ascii="Palatino Linotype" w:eastAsia="Palatino Linotype" w:hAnsi="Palatino Linotype" w:cs="Palatino Linotype"/>
          <w:i/>
        </w:rPr>
      </w:pPr>
    </w:p>
    <w:p w14:paraId="2687B288"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4. Número total de hojas que integran las pólizas de egresos y los expedientes de procedimientos de adjudicación de las obras públicas realizadas, y </w:t>
      </w:r>
    </w:p>
    <w:p w14:paraId="3ED8C973" w14:textId="77777777" w:rsidR="006D4739" w:rsidRDefault="006D4739">
      <w:pPr>
        <w:spacing w:line="360" w:lineRule="auto"/>
        <w:ind w:left="567" w:right="567"/>
        <w:jc w:val="both"/>
        <w:rPr>
          <w:rFonts w:ascii="Palatino Linotype" w:eastAsia="Palatino Linotype" w:hAnsi="Palatino Linotype" w:cs="Palatino Linotype"/>
          <w:i/>
        </w:rPr>
      </w:pPr>
    </w:p>
    <w:p w14:paraId="1DB5038A" w14:textId="77777777" w:rsidR="006D4739" w:rsidRDefault="00ED6CB7">
      <w:pPr>
        <w:spacing w:line="360" w:lineRule="auto"/>
        <w:ind w:left="567" w:right="567"/>
        <w:jc w:val="center"/>
        <w:rPr>
          <w:rFonts w:ascii="Palatino Linotype" w:eastAsia="Palatino Linotype" w:hAnsi="Palatino Linotype" w:cs="Palatino Linotype"/>
          <w:i/>
        </w:rPr>
      </w:pPr>
      <w:r>
        <w:rPr>
          <w:rFonts w:ascii="Palatino Linotype" w:eastAsia="Palatino Linotype" w:hAnsi="Palatino Linotype" w:cs="Palatino Linotype"/>
          <w:i/>
          <w:noProof/>
          <w:lang w:eastAsia="es-MX"/>
        </w:rPr>
        <w:lastRenderedPageBreak/>
        <w:drawing>
          <wp:inline distT="0" distB="0" distL="0" distR="0" wp14:anchorId="068897F9" wp14:editId="413AEA3F">
            <wp:extent cx="3155208" cy="2434163"/>
            <wp:effectExtent l="0" t="0" r="0" b="0"/>
            <wp:docPr id="4552298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155208" cy="2434163"/>
                    </a:xfrm>
                    <a:prstGeom prst="rect">
                      <a:avLst/>
                    </a:prstGeom>
                    <a:ln/>
                  </pic:spPr>
                </pic:pic>
              </a:graphicData>
            </a:graphic>
          </wp:inline>
        </w:drawing>
      </w:r>
    </w:p>
    <w:p w14:paraId="445598E7"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2D7B29B" w14:textId="77777777" w:rsidR="006D4739" w:rsidRDefault="006D4739">
      <w:pPr>
        <w:spacing w:line="360" w:lineRule="auto"/>
        <w:jc w:val="both"/>
        <w:rPr>
          <w:rFonts w:ascii="Palatino Linotype" w:eastAsia="Palatino Linotype" w:hAnsi="Palatino Linotype" w:cs="Palatino Linotype"/>
          <w:b/>
          <w:sz w:val="22"/>
          <w:szCs w:val="22"/>
        </w:rPr>
      </w:pPr>
    </w:p>
    <w:p w14:paraId="47EBB23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g) Vista del informe justificado. </w:t>
      </w:r>
      <w:r>
        <w:rPr>
          <w:rFonts w:ascii="Palatino Linotype" w:eastAsia="Palatino Linotype" w:hAnsi="Palatino Linotype" w:cs="Palatino Linotype"/>
          <w:sz w:val="22"/>
          <w:szCs w:val="22"/>
        </w:rPr>
        <w:t xml:space="preserve">El seis de noviembre de dos mil veinticuatro, se dictó acuerdo mediante el cual se puso a la vista del Particular los Informes Justificados entregados por el Sujeto Obligado, los cuales fueron notificados, a través del Sistema de Acceso a la Información Mexiquense (SAIMEX). </w:t>
      </w:r>
      <w:r>
        <w:rPr>
          <w:rFonts w:ascii="Palatino Linotype" w:eastAsia="Palatino Linotype" w:hAnsi="Palatino Linotype" w:cs="Palatino Linotype"/>
          <w:b/>
          <w:color w:val="000000"/>
          <w:sz w:val="22"/>
          <w:szCs w:val="22"/>
        </w:rPr>
        <w:t>Cabe señalar que la parte Recurrente fue omisa en emitir manifestaciones.</w:t>
      </w:r>
    </w:p>
    <w:p w14:paraId="38217E0A" w14:textId="77777777" w:rsidR="006D4739" w:rsidRDefault="006D4739">
      <w:pPr>
        <w:spacing w:line="360" w:lineRule="auto"/>
        <w:jc w:val="both"/>
        <w:rPr>
          <w:rFonts w:ascii="Palatino Linotype" w:eastAsia="Palatino Linotype" w:hAnsi="Palatino Linotype" w:cs="Palatino Linotype"/>
          <w:b/>
          <w:sz w:val="22"/>
          <w:szCs w:val="22"/>
        </w:rPr>
      </w:pPr>
    </w:p>
    <w:p w14:paraId="77ED2217"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h) Ampliación de plazo para resolver. </w:t>
      </w:r>
      <w:r>
        <w:rPr>
          <w:rFonts w:ascii="Palatino Linotype" w:eastAsia="Palatino Linotype" w:hAnsi="Palatino Linotype" w:cs="Palatino Linotype"/>
          <w:sz w:val="22"/>
          <w:szCs w:val="22"/>
        </w:rPr>
        <w:t>El siete de noviembre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Sistema de Acceso a la Información Mexiquense (SAIMEX).</w:t>
      </w:r>
    </w:p>
    <w:p w14:paraId="5F41D21A" w14:textId="77777777" w:rsidR="006D4739" w:rsidRDefault="006D4739">
      <w:pPr>
        <w:spacing w:line="360" w:lineRule="auto"/>
        <w:jc w:val="both"/>
        <w:rPr>
          <w:rFonts w:ascii="Palatino Linotype" w:eastAsia="Palatino Linotype" w:hAnsi="Palatino Linotype" w:cs="Palatino Linotype"/>
          <w:sz w:val="22"/>
          <w:szCs w:val="22"/>
        </w:rPr>
      </w:pPr>
    </w:p>
    <w:p w14:paraId="7B26121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organismo garante no pasa por alto justificar, que el plazo para emitir resolución en el presente asunto encuentra justificación en el alto número de recursos de revisión recibidos, </w:t>
      </w:r>
      <w:r>
        <w:rPr>
          <w:rFonts w:ascii="Palatino Linotype" w:eastAsia="Palatino Linotype" w:hAnsi="Palatino Linotype" w:cs="Palatino Linotype"/>
          <w:sz w:val="22"/>
          <w:szCs w:val="22"/>
        </w:rPr>
        <w:lastRenderedPageBreak/>
        <w:t>que ha rebasado las capacidades técnicas y humanas del personal encargado de la proyección de las resoluciones a dichos medios de impugnación.</w:t>
      </w:r>
    </w:p>
    <w:p w14:paraId="7E9237ED" w14:textId="77777777" w:rsidR="006D4739" w:rsidRDefault="006D4739">
      <w:pPr>
        <w:spacing w:line="360" w:lineRule="auto"/>
        <w:jc w:val="both"/>
        <w:rPr>
          <w:rFonts w:ascii="Palatino Linotype" w:eastAsia="Palatino Linotype" w:hAnsi="Palatino Linotype" w:cs="Palatino Linotype"/>
          <w:sz w:val="22"/>
          <w:szCs w:val="22"/>
        </w:rPr>
      </w:pPr>
    </w:p>
    <w:p w14:paraId="4A788B4A"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Organismos jurisdiccionales federales, aplicables también en procedimientos análogos, como el que nos ocupa.</w:t>
      </w:r>
    </w:p>
    <w:p w14:paraId="0D846A08" w14:textId="77777777" w:rsidR="006D4739" w:rsidRDefault="006D4739">
      <w:pPr>
        <w:spacing w:line="360" w:lineRule="auto"/>
        <w:jc w:val="both"/>
        <w:rPr>
          <w:rFonts w:ascii="Palatino Linotype" w:eastAsia="Palatino Linotype" w:hAnsi="Palatino Linotype" w:cs="Palatino Linotype"/>
          <w:sz w:val="22"/>
          <w:szCs w:val="22"/>
        </w:rPr>
      </w:pPr>
    </w:p>
    <w:p w14:paraId="2BE467B6"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Organismos jurisdiccionales o cuasi jurisdiccionales, tanto por la complejidad de los hechos, como por el número de casos que conocen.</w:t>
      </w:r>
    </w:p>
    <w:p w14:paraId="746B6A6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7DF22CD"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264703B1"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D656263" w14:textId="77777777" w:rsidR="006D4739" w:rsidRDefault="00ED6CB7">
      <w:pPr>
        <w:numPr>
          <w:ilvl w:val="0"/>
          <w:numId w:val="5"/>
        </w:num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Complejidad del asunto:</w:t>
      </w:r>
      <w:r>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057C3594" w14:textId="77777777" w:rsidR="006D4739" w:rsidRDefault="006D4739">
      <w:pPr>
        <w:spacing w:line="360" w:lineRule="auto"/>
        <w:ind w:left="851"/>
        <w:jc w:val="both"/>
        <w:rPr>
          <w:rFonts w:ascii="Palatino Linotype" w:eastAsia="Palatino Linotype" w:hAnsi="Palatino Linotype" w:cs="Palatino Linotype"/>
          <w:sz w:val="22"/>
          <w:szCs w:val="22"/>
        </w:rPr>
      </w:pPr>
    </w:p>
    <w:p w14:paraId="0920186E" w14:textId="77777777" w:rsidR="006D4739" w:rsidRDefault="00ED6CB7">
      <w:pPr>
        <w:numPr>
          <w:ilvl w:val="0"/>
          <w:numId w:val="5"/>
        </w:num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Actividad Procesal del interesado:</w:t>
      </w:r>
      <w:r>
        <w:rPr>
          <w:rFonts w:ascii="Palatino Linotype" w:eastAsia="Palatino Linotype" w:hAnsi="Palatino Linotype" w:cs="Palatino Linotype"/>
          <w:sz w:val="22"/>
          <w:szCs w:val="22"/>
        </w:rPr>
        <w:t xml:space="preserve"> Acciones u omisiones del interesado.</w:t>
      </w:r>
    </w:p>
    <w:p w14:paraId="2F55E723" w14:textId="77777777" w:rsidR="006D4739" w:rsidRDefault="006D4739">
      <w:pPr>
        <w:spacing w:line="360" w:lineRule="auto"/>
        <w:ind w:left="851"/>
        <w:jc w:val="both"/>
        <w:rPr>
          <w:rFonts w:ascii="Palatino Linotype" w:eastAsia="Palatino Linotype" w:hAnsi="Palatino Linotype" w:cs="Palatino Linotype"/>
          <w:sz w:val="22"/>
          <w:szCs w:val="22"/>
        </w:rPr>
      </w:pPr>
    </w:p>
    <w:p w14:paraId="0D9105E1" w14:textId="77777777" w:rsidR="006D4739" w:rsidRDefault="00ED6CB7">
      <w:pPr>
        <w:numPr>
          <w:ilvl w:val="0"/>
          <w:numId w:val="5"/>
        </w:num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Conducta de la Autoridad:</w:t>
      </w:r>
      <w:r>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0F9B4C41" w14:textId="77777777" w:rsidR="006D4739" w:rsidRDefault="006D4739">
      <w:pPr>
        <w:spacing w:line="360" w:lineRule="auto"/>
        <w:ind w:left="851"/>
        <w:jc w:val="both"/>
        <w:rPr>
          <w:rFonts w:ascii="Palatino Linotype" w:eastAsia="Palatino Linotype" w:hAnsi="Palatino Linotype" w:cs="Palatino Linotype"/>
          <w:sz w:val="22"/>
          <w:szCs w:val="22"/>
        </w:rPr>
      </w:pPr>
    </w:p>
    <w:p w14:paraId="53C8FFFA" w14:textId="77777777" w:rsidR="006D4739" w:rsidRDefault="00ED6CB7">
      <w:pPr>
        <w:numPr>
          <w:ilvl w:val="0"/>
          <w:numId w:val="5"/>
        </w:num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La afectación generada en la situación jurídica de la persona involucrada en el proceso: </w:t>
      </w:r>
      <w:r>
        <w:rPr>
          <w:rFonts w:ascii="Palatino Linotype" w:eastAsia="Palatino Linotype" w:hAnsi="Palatino Linotype" w:cs="Palatino Linotype"/>
          <w:sz w:val="22"/>
          <w:szCs w:val="22"/>
        </w:rPr>
        <w:t>Violación a sus derechos humanos.</w:t>
      </w:r>
    </w:p>
    <w:p w14:paraId="6110F3A8" w14:textId="77777777" w:rsidR="006D4739" w:rsidRDefault="006D4739">
      <w:pPr>
        <w:spacing w:line="360" w:lineRule="auto"/>
        <w:jc w:val="both"/>
        <w:rPr>
          <w:rFonts w:ascii="Palatino Linotype" w:eastAsia="Palatino Linotype" w:hAnsi="Palatino Linotype" w:cs="Palatino Linotype"/>
          <w:sz w:val="22"/>
          <w:szCs w:val="22"/>
        </w:rPr>
      </w:pPr>
    </w:p>
    <w:p w14:paraId="62606C11"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Organismo jurisdiccional o cuasi jurisdiccional respectivo supere notoriamente al que podría considerarse normal, debe concluirse que es una excluyente de responsabilidad en relación con la actuación del funcionario, como ha acontecido en el caso que nos ocupa.</w:t>
      </w:r>
    </w:p>
    <w:p w14:paraId="281EA191"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A2905E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2"/>
          <w:szCs w:val="22"/>
        </w:rPr>
        <w:t>, visible en la Gaceta del Seminario Judicial de la Federación con el registro digital 205635.</w:t>
      </w:r>
    </w:p>
    <w:p w14:paraId="52D43AA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2DBA476"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w:t>
      </w:r>
      <w:r>
        <w:rPr>
          <w:rFonts w:ascii="Palatino Linotype" w:eastAsia="Palatino Linotype" w:hAnsi="Palatino Linotype" w:cs="Palatino Linotype"/>
          <w:sz w:val="22"/>
          <w:szCs w:val="22"/>
        </w:rPr>
        <w:lastRenderedPageBreak/>
        <w:t>recursos dentro de los términos legales previamente establecidos por la Ley, por tratarse de causas de fuerza mayor.</w:t>
      </w:r>
    </w:p>
    <w:p w14:paraId="2F4123C0" w14:textId="77777777" w:rsidR="006D4739" w:rsidRDefault="006D4739">
      <w:pPr>
        <w:spacing w:line="360" w:lineRule="auto"/>
        <w:jc w:val="both"/>
        <w:rPr>
          <w:rFonts w:ascii="Palatino Linotype" w:eastAsia="Palatino Linotype" w:hAnsi="Palatino Linotype" w:cs="Palatino Linotype"/>
          <w:sz w:val="22"/>
          <w:szCs w:val="22"/>
        </w:rPr>
      </w:pPr>
    </w:p>
    <w:p w14:paraId="71055144"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40B99B5"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C14A644"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3F3B861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9944F9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79BF0E67" w14:textId="77777777" w:rsidR="006D4739" w:rsidRDefault="006D4739">
      <w:pPr>
        <w:spacing w:line="360" w:lineRule="auto"/>
        <w:jc w:val="both"/>
        <w:rPr>
          <w:rFonts w:ascii="Palatino Linotype" w:eastAsia="Palatino Linotype" w:hAnsi="Palatino Linotype" w:cs="Palatino Linotype"/>
          <w:sz w:val="22"/>
          <w:szCs w:val="22"/>
        </w:rPr>
      </w:pPr>
    </w:p>
    <w:p w14:paraId="3198737D"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09355CE" w14:textId="77777777" w:rsidR="006D4739" w:rsidRDefault="006D4739">
      <w:pPr>
        <w:spacing w:line="360" w:lineRule="auto"/>
        <w:jc w:val="both"/>
        <w:rPr>
          <w:rFonts w:ascii="Palatino Linotype" w:eastAsia="Palatino Linotype" w:hAnsi="Palatino Linotype" w:cs="Palatino Linotype"/>
          <w:b/>
          <w:sz w:val="22"/>
          <w:szCs w:val="22"/>
        </w:rPr>
      </w:pPr>
    </w:p>
    <w:p w14:paraId="6F4FA00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 Cierre de instrucción.</w:t>
      </w:r>
      <w:r>
        <w:rPr>
          <w:rFonts w:ascii="Palatino Linotype" w:eastAsia="Palatino Linotype" w:hAnsi="Palatino Linotype" w:cs="Palatino Linotype"/>
          <w:sz w:val="22"/>
          <w:szCs w:val="22"/>
        </w:rPr>
        <w:t xml:space="preserve"> El doce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mismo día.</w:t>
      </w:r>
    </w:p>
    <w:p w14:paraId="5CBBA886" w14:textId="77777777" w:rsidR="006D4739" w:rsidRDefault="006D4739">
      <w:pPr>
        <w:spacing w:line="360" w:lineRule="auto"/>
        <w:jc w:val="both"/>
        <w:rPr>
          <w:rFonts w:ascii="Palatino Linotype" w:eastAsia="Palatino Linotype" w:hAnsi="Palatino Linotype" w:cs="Palatino Linotype"/>
          <w:b/>
          <w:sz w:val="22"/>
          <w:szCs w:val="22"/>
        </w:rPr>
      </w:pPr>
    </w:p>
    <w:p w14:paraId="263D177D"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10BAE517" w14:textId="77777777" w:rsidR="006D4739" w:rsidRDefault="006D4739">
      <w:pPr>
        <w:spacing w:line="360" w:lineRule="auto"/>
        <w:jc w:val="center"/>
        <w:rPr>
          <w:rFonts w:ascii="Palatino Linotype" w:eastAsia="Palatino Linotype" w:hAnsi="Palatino Linotype" w:cs="Palatino Linotype"/>
          <w:b/>
          <w:sz w:val="22"/>
          <w:szCs w:val="22"/>
        </w:rPr>
      </w:pPr>
    </w:p>
    <w:p w14:paraId="6CF34C30" w14:textId="77777777" w:rsidR="006D4739" w:rsidRDefault="00ED6CB7">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4CBECD6A" w14:textId="77777777" w:rsidR="006D4739" w:rsidRDefault="006D4739">
      <w:pPr>
        <w:spacing w:line="360" w:lineRule="auto"/>
        <w:rPr>
          <w:rFonts w:ascii="Palatino Linotype" w:eastAsia="Palatino Linotype" w:hAnsi="Palatino Linotype" w:cs="Palatino Linotype"/>
          <w:b/>
          <w:sz w:val="22"/>
          <w:szCs w:val="22"/>
        </w:rPr>
      </w:pPr>
    </w:p>
    <w:p w14:paraId="4EDB3EA3"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 Competencia</w:t>
      </w:r>
    </w:p>
    <w:p w14:paraId="4BFED8F8" w14:textId="77777777" w:rsidR="006D4739" w:rsidRDefault="006D4739">
      <w:pPr>
        <w:spacing w:line="360" w:lineRule="auto"/>
        <w:jc w:val="both"/>
        <w:rPr>
          <w:rFonts w:ascii="Palatino Linotype" w:eastAsia="Palatino Linotype" w:hAnsi="Palatino Linotype" w:cs="Palatino Linotype"/>
          <w:b/>
          <w:sz w:val="22"/>
          <w:szCs w:val="22"/>
        </w:rPr>
      </w:pPr>
    </w:p>
    <w:p w14:paraId="0AD66F33" w14:textId="77777777" w:rsidR="006D4739" w:rsidRDefault="00ED6CB7">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F74A77B"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1949FD1E"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Causales de improcedencia y sobreseimiento</w:t>
      </w:r>
    </w:p>
    <w:p w14:paraId="46801CCC" w14:textId="77777777" w:rsidR="006D4739" w:rsidRDefault="006D4739">
      <w:pPr>
        <w:spacing w:line="360" w:lineRule="auto"/>
        <w:jc w:val="both"/>
        <w:rPr>
          <w:rFonts w:ascii="Palatino Linotype" w:eastAsia="Palatino Linotype" w:hAnsi="Palatino Linotype" w:cs="Palatino Linotype"/>
          <w:b/>
          <w:sz w:val="22"/>
          <w:szCs w:val="22"/>
        </w:rPr>
      </w:pPr>
    </w:p>
    <w:p w14:paraId="3BDDA11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4079C72C" w14:textId="77777777" w:rsidR="006D4739" w:rsidRDefault="006D4739">
      <w:pPr>
        <w:spacing w:line="360" w:lineRule="auto"/>
        <w:jc w:val="both"/>
        <w:rPr>
          <w:rFonts w:ascii="Palatino Linotype" w:eastAsia="Palatino Linotype" w:hAnsi="Palatino Linotype" w:cs="Palatino Linotype"/>
          <w:b/>
          <w:sz w:val="22"/>
          <w:szCs w:val="22"/>
        </w:rPr>
      </w:pPr>
    </w:p>
    <w:p w14:paraId="1ADAB855" w14:textId="77777777" w:rsidR="006D4739" w:rsidRDefault="00ED6CB7">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53DE4415"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10E6C41B" w14:textId="77777777" w:rsidR="006D4739" w:rsidRDefault="00ED6CB7">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FFDF78D" w14:textId="77777777" w:rsidR="006D4739" w:rsidRDefault="006D4739">
      <w:pPr>
        <w:spacing w:line="360" w:lineRule="auto"/>
        <w:ind w:right="-28"/>
        <w:jc w:val="both"/>
        <w:rPr>
          <w:rFonts w:ascii="Palatino Linotype" w:eastAsia="Palatino Linotype" w:hAnsi="Palatino Linotype" w:cs="Palatino Linotype"/>
          <w:color w:val="000000"/>
          <w:sz w:val="22"/>
          <w:szCs w:val="22"/>
        </w:rPr>
      </w:pPr>
    </w:p>
    <w:p w14:paraId="4D0EE1D2"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4EFA0A08"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695FBF74" w14:textId="77777777" w:rsidR="006D4739" w:rsidRDefault="00ED6CB7">
      <w:pPr>
        <w:widowControl w:val="0"/>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VIII,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 xml:space="preserve">la entrega </w:t>
      </w:r>
      <w:r>
        <w:rPr>
          <w:rFonts w:ascii="Palatino Linotype" w:eastAsia="Palatino Linotype" w:hAnsi="Palatino Linotype" w:cs="Palatino Linotype"/>
          <w:sz w:val="22"/>
          <w:szCs w:val="22"/>
        </w:rPr>
        <w:lastRenderedPageBreak/>
        <w:t>o puesta a disposición de la información en un formato distinto a lo solicitado.</w:t>
      </w:r>
    </w:p>
    <w:p w14:paraId="1940AA39" w14:textId="77777777" w:rsidR="006D4739" w:rsidRDefault="006D4739">
      <w:pPr>
        <w:spacing w:line="360" w:lineRule="auto"/>
        <w:jc w:val="both"/>
        <w:rPr>
          <w:rFonts w:ascii="Palatino Linotype" w:eastAsia="Palatino Linotype" w:hAnsi="Palatino Linotype" w:cs="Palatino Linotype"/>
          <w:b/>
          <w:color w:val="0D0D0D"/>
          <w:sz w:val="22"/>
          <w:szCs w:val="22"/>
        </w:rPr>
      </w:pPr>
    </w:p>
    <w:p w14:paraId="60CF0174" w14:textId="77777777" w:rsidR="006D4739" w:rsidRDefault="00ED6CB7">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0077BA8D" w14:textId="77777777" w:rsidR="006D4739" w:rsidRDefault="006D4739">
      <w:pPr>
        <w:spacing w:line="360" w:lineRule="auto"/>
        <w:jc w:val="both"/>
        <w:rPr>
          <w:rFonts w:ascii="Palatino Linotype" w:eastAsia="Palatino Linotype" w:hAnsi="Palatino Linotype" w:cs="Palatino Linotype"/>
          <w:color w:val="0D0D0D"/>
          <w:sz w:val="22"/>
          <w:szCs w:val="22"/>
        </w:rPr>
      </w:pPr>
    </w:p>
    <w:p w14:paraId="0C3C6CE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052B47F8" w14:textId="77777777" w:rsidR="006D4739" w:rsidRDefault="006D4739">
      <w:pPr>
        <w:spacing w:line="360" w:lineRule="auto"/>
        <w:jc w:val="both"/>
        <w:rPr>
          <w:rFonts w:ascii="Palatino Linotype" w:eastAsia="Palatino Linotype" w:hAnsi="Palatino Linotype" w:cs="Palatino Linotype"/>
          <w:sz w:val="22"/>
          <w:szCs w:val="22"/>
        </w:rPr>
      </w:pPr>
    </w:p>
    <w:p w14:paraId="6874B6D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0975213" w14:textId="77777777" w:rsidR="006D4739" w:rsidRDefault="00ED6CB7">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28347DB8" w14:textId="77777777" w:rsidR="006D4739" w:rsidRDefault="006D4739">
      <w:pPr>
        <w:tabs>
          <w:tab w:val="left" w:pos="4962"/>
        </w:tabs>
        <w:spacing w:line="360" w:lineRule="auto"/>
        <w:ind w:right="-28"/>
        <w:jc w:val="both"/>
        <w:rPr>
          <w:rFonts w:ascii="Palatino Linotype" w:eastAsia="Palatino Linotype" w:hAnsi="Palatino Linotype" w:cs="Palatino Linotype"/>
          <w:b/>
          <w:sz w:val="22"/>
          <w:szCs w:val="22"/>
        </w:rPr>
      </w:pPr>
    </w:p>
    <w:p w14:paraId="00C7B505" w14:textId="77777777" w:rsidR="006D4739" w:rsidRDefault="00ED6CB7">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087824A3"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04222DF4" w14:textId="77777777" w:rsidR="006D4739" w:rsidRDefault="00ED6CB7">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el objeto de ilustrar la controversia planteada, resulta conveniente realizar un cuadro con la solicitud, la respuesta, la inconformidad planteada, y el Informe Justificado conforme a lo siguiente:</w:t>
      </w:r>
    </w:p>
    <w:p w14:paraId="2E49931D" w14:textId="77777777" w:rsidR="006D4739" w:rsidRDefault="006D4739">
      <w:pPr>
        <w:widowControl w:val="0"/>
        <w:spacing w:line="360" w:lineRule="auto"/>
        <w:jc w:val="both"/>
        <w:rPr>
          <w:rFonts w:ascii="Palatino Linotype" w:eastAsia="Palatino Linotype" w:hAnsi="Palatino Linotype" w:cs="Palatino Linotype"/>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6D4739" w14:paraId="36D158D3" w14:textId="77777777">
        <w:tc>
          <w:tcPr>
            <w:tcW w:w="2207" w:type="dxa"/>
            <w:shd w:val="clear" w:color="auto" w:fill="A5A5A5"/>
          </w:tcPr>
          <w:p w14:paraId="579D9AD6" w14:textId="77777777" w:rsidR="006D4739" w:rsidRDefault="00ED6CB7">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w:t>
            </w:r>
          </w:p>
        </w:tc>
        <w:tc>
          <w:tcPr>
            <w:tcW w:w="2207" w:type="dxa"/>
            <w:shd w:val="clear" w:color="auto" w:fill="A5A5A5"/>
          </w:tcPr>
          <w:p w14:paraId="5449D706" w14:textId="77777777" w:rsidR="006D4739" w:rsidRDefault="00ED6CB7">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c>
          <w:tcPr>
            <w:tcW w:w="2207" w:type="dxa"/>
            <w:shd w:val="clear" w:color="auto" w:fill="A5A5A5"/>
          </w:tcPr>
          <w:p w14:paraId="2FCAEA15" w14:textId="77777777" w:rsidR="006D4739" w:rsidRDefault="00ED6CB7">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Agravio</w:t>
            </w:r>
          </w:p>
        </w:tc>
        <w:tc>
          <w:tcPr>
            <w:tcW w:w="2207" w:type="dxa"/>
            <w:shd w:val="clear" w:color="auto" w:fill="A5A5A5"/>
          </w:tcPr>
          <w:p w14:paraId="1682E67F" w14:textId="77777777" w:rsidR="006D4739" w:rsidRDefault="00ED6CB7">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Informe Justificado</w:t>
            </w:r>
          </w:p>
        </w:tc>
      </w:tr>
      <w:tr w:rsidR="006D4739" w14:paraId="280CA7BD" w14:textId="77777777">
        <w:tc>
          <w:tcPr>
            <w:tcW w:w="2207" w:type="dxa"/>
          </w:tcPr>
          <w:p w14:paraId="18496375"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de los </w:t>
            </w:r>
            <w:r>
              <w:rPr>
                <w:rFonts w:ascii="Palatino Linotype" w:eastAsia="Palatino Linotype" w:hAnsi="Palatino Linotype" w:cs="Palatino Linotype"/>
                <w:sz w:val="22"/>
                <w:szCs w:val="22"/>
              </w:rPr>
              <w:lastRenderedPageBreak/>
              <w:t>ejercicios fiscales dos mil veintidós, dos mil veintitrés y dos mil veinticuatro.</w:t>
            </w:r>
          </w:p>
          <w:p w14:paraId="527939F2"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0FB0ECD5"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Pólizas de egreso de las nóminas pagadas;</w:t>
            </w:r>
          </w:p>
          <w:p w14:paraId="117A5AC8"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1DF9755D"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Recibos firmados cotejados con INES o tarjetas de empleados;</w:t>
            </w:r>
          </w:p>
          <w:p w14:paraId="061827F0"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67C0C9AC"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iii) Pólizas de egresos de obras pagadas;</w:t>
            </w:r>
          </w:p>
          <w:p w14:paraId="6A05C11F"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79CEA2D7"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iv) Procesos de licitación; y método utilizado para su publicación.</w:t>
            </w:r>
          </w:p>
          <w:p w14:paraId="074A177B" w14:textId="77777777" w:rsidR="006D4739" w:rsidRDefault="006D4739">
            <w:pPr>
              <w:widowControl w:val="0"/>
              <w:spacing w:line="360" w:lineRule="auto"/>
              <w:jc w:val="both"/>
              <w:rPr>
                <w:rFonts w:ascii="Palatino Linotype" w:eastAsia="Palatino Linotype" w:hAnsi="Palatino Linotype" w:cs="Palatino Linotype"/>
                <w:sz w:val="22"/>
                <w:szCs w:val="22"/>
              </w:rPr>
            </w:pPr>
          </w:p>
        </w:tc>
        <w:tc>
          <w:tcPr>
            <w:tcW w:w="2207" w:type="dxa"/>
          </w:tcPr>
          <w:p w14:paraId="40738973"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La Tesorera </w:t>
            </w:r>
            <w:r>
              <w:rPr>
                <w:rFonts w:ascii="Palatino Linotype" w:eastAsia="Palatino Linotype" w:hAnsi="Palatino Linotype" w:cs="Palatino Linotype"/>
                <w:sz w:val="22"/>
                <w:szCs w:val="22"/>
              </w:rPr>
              <w:lastRenderedPageBreak/>
              <w:t>Municipal puso a disposición del solicitante la información mediante la consulta directa por las siguientes consideraciones:</w:t>
            </w:r>
          </w:p>
          <w:p w14:paraId="2B6CCA5C"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079BED23"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03E516A9"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Respecto de las setenta y dos quincenas solicitadas asciende a un total de 36,000 hojas de información.</w:t>
            </w:r>
          </w:p>
          <w:p w14:paraId="06A2F4B1"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3491CC9E"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Respecto de las licitaciones ascendía a un total de 15,000 hojas de información.</w:t>
            </w:r>
          </w:p>
        </w:tc>
        <w:tc>
          <w:tcPr>
            <w:tcW w:w="2207" w:type="dxa"/>
          </w:tcPr>
          <w:p w14:paraId="5863AA94"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Se agravió de la </w:t>
            </w:r>
            <w:r>
              <w:rPr>
                <w:rFonts w:ascii="Palatino Linotype" w:eastAsia="Palatino Linotype" w:hAnsi="Palatino Linotype" w:cs="Palatino Linotype"/>
                <w:sz w:val="22"/>
                <w:szCs w:val="22"/>
              </w:rPr>
              <w:lastRenderedPageBreak/>
              <w:t>entrega o puesta a disposición de la información en un formato distinto al solicitado, lo cual actualiza la causal de procedencia establecida en el artículo 179, fracción VIII de la Ley de la materia.</w:t>
            </w:r>
          </w:p>
        </w:tc>
        <w:tc>
          <w:tcPr>
            <w:tcW w:w="2207" w:type="dxa"/>
          </w:tcPr>
          <w:p w14:paraId="0293E02A"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La Tesorera </w:t>
            </w:r>
            <w:r>
              <w:rPr>
                <w:rFonts w:ascii="Palatino Linotype" w:eastAsia="Palatino Linotype" w:hAnsi="Palatino Linotype" w:cs="Palatino Linotype"/>
                <w:sz w:val="22"/>
                <w:szCs w:val="22"/>
              </w:rPr>
              <w:lastRenderedPageBreak/>
              <w:t>Municipal entregó la cantidad de hojas que integraban las pólizas de egresos de los recibos de nómina haciendo un total de tres mil setecientos cinco.</w:t>
            </w:r>
          </w:p>
          <w:p w14:paraId="7E0B4A0D"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1224C7AB"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Entregó la cantidad de hojas que daban cuenta de las pólizas de obra, y expedientes de adjudicación, dando un total de once mil novecientos treinta y ocho.</w:t>
            </w:r>
          </w:p>
        </w:tc>
      </w:tr>
    </w:tbl>
    <w:p w14:paraId="088BD57B"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77897EA9" w14:textId="77777777" w:rsidR="006D4739" w:rsidRDefault="00ED6CB7">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las solicitudes de acceso a la información, </w:t>
      </w:r>
      <w:r>
        <w:rPr>
          <w:rFonts w:ascii="Palatino Linotype" w:eastAsia="Palatino Linotype" w:hAnsi="Palatino Linotype" w:cs="Palatino Linotype"/>
          <w:sz w:val="22"/>
          <w:szCs w:val="22"/>
        </w:rPr>
        <w:lastRenderedPageBreak/>
        <w:t xml:space="preserve">los documentos remitidos en respuesta, los escritos </w:t>
      </w:r>
      <w:proofErr w:type="spellStart"/>
      <w:r>
        <w:rPr>
          <w:rFonts w:ascii="Palatino Linotype" w:eastAsia="Palatino Linotype" w:hAnsi="Palatino Linotype" w:cs="Palatino Linotype"/>
          <w:sz w:val="22"/>
          <w:szCs w:val="22"/>
        </w:rPr>
        <w:t>recursales</w:t>
      </w:r>
      <w:proofErr w:type="spellEnd"/>
      <w:r>
        <w:rPr>
          <w:rFonts w:ascii="Palatino Linotype" w:eastAsia="Palatino Linotype" w:hAnsi="Palatino Linotype" w:cs="Palatino Linotype"/>
          <w:sz w:val="22"/>
          <w:szCs w:val="22"/>
        </w:rPr>
        <w:t xml:space="preserve"> y los informes justificados; instrumentales que se toman en cuenta a efecto de resolver el presente medio de impugnación, conforme a lo dispuesto por el artículo 185, fracción IV, de la Ley de Transparencia y Acceso a la Información Pública del Estado de México y Municipios. </w:t>
      </w:r>
      <w:r>
        <w:rPr>
          <w:rFonts w:ascii="Palatino Linotype" w:eastAsia="Palatino Linotype" w:hAnsi="Palatino Linotype" w:cs="Palatino Linotype"/>
          <w:b/>
          <w:sz w:val="22"/>
          <w:szCs w:val="22"/>
        </w:rPr>
        <w:t>Cabe señalar que el ahora Recurrente fue omiso en realizar manifestación alguna.</w:t>
      </w:r>
    </w:p>
    <w:p w14:paraId="70CD1553"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06B7FBC7"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5B42C70D" w14:textId="77777777" w:rsidR="006D4739" w:rsidRDefault="006D4739">
      <w:pPr>
        <w:spacing w:line="360" w:lineRule="auto"/>
        <w:jc w:val="both"/>
        <w:rPr>
          <w:rFonts w:ascii="Palatino Linotype" w:eastAsia="Palatino Linotype" w:hAnsi="Palatino Linotype" w:cs="Palatino Linotype"/>
          <w:b/>
          <w:sz w:val="22"/>
          <w:szCs w:val="22"/>
        </w:rPr>
      </w:pPr>
    </w:p>
    <w:p w14:paraId="2BDB1BAF"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C1D9E0"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1AD01CED"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CF26C91"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3B3BC08E"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E56E52B"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66A29DCD"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la Ley de Transparencia y Acceso a la Información Pública del Estado de México y Municipios (Reglamentaria del artículo 5° de la Constitución Local), establece lo </w:t>
      </w:r>
      <w:r>
        <w:rPr>
          <w:rFonts w:ascii="Palatino Linotype" w:eastAsia="Palatino Linotype" w:hAnsi="Palatino Linotype" w:cs="Palatino Linotype"/>
          <w:sz w:val="22"/>
          <w:szCs w:val="22"/>
        </w:rPr>
        <w:lastRenderedPageBreak/>
        <w:t>siguiente:</w:t>
      </w:r>
    </w:p>
    <w:p w14:paraId="078CB2FE"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3BBB74DE"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217F4423"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2A65C43D"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D26239E" w14:textId="77777777" w:rsidR="006D4739" w:rsidRDefault="006D4739">
      <w:pPr>
        <w:widowControl w:val="0"/>
        <w:spacing w:line="360" w:lineRule="auto"/>
        <w:jc w:val="both"/>
        <w:rPr>
          <w:rFonts w:ascii="Palatino Linotype" w:eastAsia="Palatino Linotype" w:hAnsi="Palatino Linotype" w:cs="Palatino Linotype"/>
          <w:sz w:val="22"/>
          <w:szCs w:val="22"/>
        </w:rPr>
      </w:pPr>
    </w:p>
    <w:p w14:paraId="5B31148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4EC63DF"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7BC00EAA"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11FF99DB" w14:textId="77777777" w:rsidR="006D4739" w:rsidRDefault="006D4739">
      <w:pPr>
        <w:spacing w:line="360" w:lineRule="auto"/>
        <w:jc w:val="both"/>
        <w:rPr>
          <w:rFonts w:ascii="Palatino Linotype" w:eastAsia="Palatino Linotype" w:hAnsi="Palatino Linotype" w:cs="Palatino Linotype"/>
          <w:b/>
          <w:sz w:val="22"/>
          <w:szCs w:val="22"/>
        </w:rPr>
      </w:pPr>
    </w:p>
    <w:p w14:paraId="15BE110C" w14:textId="77777777" w:rsidR="006D4739" w:rsidRDefault="00ED6CB7">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del agravio hecho valer por el ahora Recurrente, concerniente a la entrega o puesta a disposición de la información en un formato distinto al solicitado, para lo cual resulta necesario contextualizar la solicitud de información.</w:t>
      </w:r>
    </w:p>
    <w:p w14:paraId="37A0AC76" w14:textId="77777777" w:rsidR="006D4739" w:rsidRDefault="006D4739">
      <w:pPr>
        <w:tabs>
          <w:tab w:val="left" w:pos="4962"/>
        </w:tabs>
        <w:spacing w:line="360" w:lineRule="auto"/>
        <w:jc w:val="both"/>
        <w:rPr>
          <w:rFonts w:ascii="Palatino Linotype" w:eastAsia="Palatino Linotype" w:hAnsi="Palatino Linotype" w:cs="Palatino Linotype"/>
          <w:b/>
          <w:sz w:val="22"/>
          <w:szCs w:val="22"/>
        </w:rPr>
      </w:pPr>
    </w:p>
    <w:p w14:paraId="2A050010" w14:textId="77777777" w:rsidR="006D4739" w:rsidRDefault="00ED6CB7">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es necesario traer a colación 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1CE02D72"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5F3C3AC4"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4A74E91" w14:textId="77777777" w:rsidR="006D4739" w:rsidRDefault="006D4739">
      <w:pPr>
        <w:spacing w:line="360" w:lineRule="auto"/>
        <w:jc w:val="both"/>
        <w:rPr>
          <w:rFonts w:ascii="Palatino Linotype" w:eastAsia="Palatino Linotype" w:hAnsi="Palatino Linotype" w:cs="Palatino Linotype"/>
          <w:sz w:val="22"/>
          <w:szCs w:val="22"/>
        </w:rPr>
      </w:pPr>
    </w:p>
    <w:p w14:paraId="417DD09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12B80860" w14:textId="77777777" w:rsidR="006D4739" w:rsidRDefault="006D4739">
      <w:pPr>
        <w:spacing w:line="360" w:lineRule="auto"/>
        <w:jc w:val="both"/>
        <w:rPr>
          <w:rFonts w:ascii="Palatino Linotype" w:eastAsia="Palatino Linotype" w:hAnsi="Palatino Linotype" w:cs="Palatino Linotype"/>
          <w:sz w:val="22"/>
          <w:szCs w:val="22"/>
        </w:rPr>
      </w:pPr>
    </w:p>
    <w:p w14:paraId="3926045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2818A06" w14:textId="77777777" w:rsidR="006D4739" w:rsidRDefault="006D4739">
      <w:pPr>
        <w:spacing w:line="360" w:lineRule="auto"/>
        <w:jc w:val="both"/>
        <w:rPr>
          <w:rFonts w:ascii="Palatino Linotype" w:eastAsia="Palatino Linotype" w:hAnsi="Palatino Linotype" w:cs="Palatino Linotype"/>
          <w:sz w:val="22"/>
          <w:szCs w:val="22"/>
        </w:rPr>
      </w:pPr>
    </w:p>
    <w:p w14:paraId="3E98CACB"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Pr>
          <w:rFonts w:ascii="Palatino Linotype" w:eastAsia="Palatino Linotype" w:hAnsi="Palatino Linotype" w:cs="Palatino Linotype"/>
          <w:b/>
          <w:sz w:val="22"/>
          <w:szCs w:val="22"/>
        </w:rPr>
        <w:t>1000 Servicios Personales</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que agrupa las remuneraciones del personal al servicio de los entes públicos, tales como el sueldo, salarios, dietas, honorarios, prestaciones, obligaciones laborales, entre otras.</w:t>
      </w:r>
    </w:p>
    <w:p w14:paraId="06A89396" w14:textId="77777777" w:rsidR="006D4739" w:rsidRDefault="006D4739">
      <w:pPr>
        <w:spacing w:line="360" w:lineRule="auto"/>
        <w:jc w:val="both"/>
        <w:rPr>
          <w:rFonts w:ascii="Palatino Linotype" w:eastAsia="Palatino Linotype" w:hAnsi="Palatino Linotype" w:cs="Palatino Linotype"/>
          <w:sz w:val="22"/>
          <w:szCs w:val="22"/>
        </w:rPr>
      </w:pPr>
    </w:p>
    <w:p w14:paraId="0C3290B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Pr>
          <w:rFonts w:ascii="Palatino Linotype" w:eastAsia="Palatino Linotype" w:hAnsi="Palatino Linotype" w:cs="Palatino Linotype"/>
          <w:b/>
          <w:sz w:val="22"/>
          <w:szCs w:val="22"/>
        </w:rPr>
        <w:t>recibos de pago de salarios o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constancias documentales del pago de sueldos, </w:t>
      </w:r>
      <w:r>
        <w:rPr>
          <w:rFonts w:ascii="Palatino Linotype" w:eastAsia="Palatino Linotype" w:hAnsi="Palatino Linotype" w:cs="Palatino Linotype"/>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AE5E724" w14:textId="77777777" w:rsidR="006D4739" w:rsidRDefault="006D4739">
      <w:pPr>
        <w:spacing w:line="360" w:lineRule="auto"/>
        <w:jc w:val="both"/>
        <w:rPr>
          <w:rFonts w:ascii="Palatino Linotype" w:eastAsia="Palatino Linotype" w:hAnsi="Palatino Linotype" w:cs="Palatino Linotype"/>
          <w:sz w:val="22"/>
          <w:szCs w:val="22"/>
        </w:rPr>
      </w:pPr>
    </w:p>
    <w:p w14:paraId="30E107D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3F608E3" w14:textId="77777777" w:rsidR="006D4739" w:rsidRDefault="006D4739">
      <w:pPr>
        <w:spacing w:line="360" w:lineRule="auto"/>
        <w:jc w:val="both"/>
        <w:rPr>
          <w:rFonts w:ascii="Palatino Linotype" w:eastAsia="Palatino Linotype" w:hAnsi="Palatino Linotype" w:cs="Palatino Linotype"/>
          <w:sz w:val="22"/>
          <w:szCs w:val="22"/>
        </w:rPr>
      </w:pPr>
    </w:p>
    <w:p w14:paraId="50BFC12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“RECIBOS DE PAGO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Pr>
          <w:rFonts w:ascii="Palatino Linotype" w:eastAsia="Palatino Linotype" w:hAnsi="Palatino Linotype" w:cs="Palatino Linotype"/>
          <w:i/>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w:t>
      </w:r>
      <w:r>
        <w:rPr>
          <w:rFonts w:ascii="Palatino Linotype" w:eastAsia="Palatino Linotype" w:hAnsi="Palatino Linotype" w:cs="Palatino Linotype"/>
          <w:i/>
        </w:rPr>
        <w:lastRenderedPageBreak/>
        <w:t>contrario, implicaría desatender el artículo 137 de la referida Ley Federal de los Trabajadores al Servicio del Estado.”</w:t>
      </w:r>
    </w:p>
    <w:p w14:paraId="676118EE" w14:textId="77777777" w:rsidR="006D4739" w:rsidRDefault="006D4739">
      <w:pPr>
        <w:spacing w:line="360" w:lineRule="auto"/>
        <w:jc w:val="both"/>
        <w:rPr>
          <w:rFonts w:ascii="Palatino Linotype" w:eastAsia="Palatino Linotype" w:hAnsi="Palatino Linotype" w:cs="Palatino Linotype"/>
          <w:b/>
          <w:i/>
          <w:sz w:val="22"/>
          <w:szCs w:val="22"/>
        </w:rPr>
      </w:pPr>
    </w:p>
    <w:p w14:paraId="13064BAA"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tesis transcrita, se desprende que </w:t>
      </w:r>
      <w:r>
        <w:rPr>
          <w:rFonts w:ascii="Palatino Linotype" w:eastAsia="Palatino Linotype" w:hAnsi="Palatino Linotype" w:cs="Palatino Linotype"/>
          <w:b/>
          <w:sz w:val="22"/>
          <w:szCs w:val="22"/>
        </w:rPr>
        <w:t>en materia burocrática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los recibos de pago acreditan los conceptos y montos que en ellos se insertan</w:t>
      </w:r>
      <w:r>
        <w:rPr>
          <w:rFonts w:ascii="Palatino Linotype" w:eastAsia="Palatino Linotype" w:hAnsi="Palatino Linotype" w:cs="Palatino Linotype"/>
          <w:sz w:val="22"/>
          <w:szCs w:val="22"/>
        </w:rPr>
        <w:t xml:space="preserve">, y constituyen prueba para demostrar las percepciones y montos que reciben los servidores públicos. </w:t>
      </w:r>
    </w:p>
    <w:p w14:paraId="73916D21" w14:textId="77777777" w:rsidR="006D4739" w:rsidRDefault="006D4739">
      <w:pPr>
        <w:spacing w:line="360" w:lineRule="auto"/>
        <w:jc w:val="both"/>
        <w:rPr>
          <w:rFonts w:ascii="Palatino Linotype" w:eastAsia="Palatino Linotype" w:hAnsi="Palatino Linotype" w:cs="Palatino Linotype"/>
          <w:sz w:val="22"/>
          <w:szCs w:val="22"/>
        </w:rPr>
      </w:pPr>
    </w:p>
    <w:p w14:paraId="2D1489EB" w14:textId="77777777" w:rsidR="006D4739" w:rsidRDefault="00ED6CB7">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Ahora bien, López Olvera, Miguel Alejandro </w:t>
      </w:r>
      <w:proofErr w:type="spellStart"/>
      <w:r>
        <w:rPr>
          <w:rFonts w:ascii="Palatino Linotype" w:eastAsia="Palatino Linotype" w:hAnsi="Palatino Linotype" w:cs="Palatino Linotype"/>
          <w:sz w:val="22"/>
          <w:szCs w:val="22"/>
        </w:rPr>
        <w:t>Cancino</w:t>
      </w:r>
      <w:proofErr w:type="spellEnd"/>
      <w:r>
        <w:rPr>
          <w:rFonts w:ascii="Palatino Linotype" w:eastAsia="Palatino Linotype" w:hAnsi="Palatino Linotype" w:cs="Palatino Linotype"/>
          <w:sz w:val="22"/>
          <w:szCs w:val="22"/>
        </w:rPr>
        <w:t xml:space="preserve"> Gómez, Rodolfo. (2020). “La Contratación Pública y el Sistema Nacional Anticorrupción”. (p. 4) la </w:t>
      </w:r>
      <w:r>
        <w:rPr>
          <w:rFonts w:ascii="Palatino Linotype" w:eastAsia="Palatino Linotype" w:hAnsi="Palatino Linotype" w:cs="Palatino Linotype"/>
          <w:b/>
          <w:sz w:val="22"/>
          <w:szCs w:val="22"/>
        </w:rPr>
        <w:t>contratación pública</w:t>
      </w:r>
      <w:r>
        <w:rPr>
          <w:rFonts w:ascii="Palatino Linotype" w:eastAsia="Palatino Linotype" w:hAnsi="Palatino Linotype" w:cs="Palatino Linotype"/>
          <w:sz w:val="22"/>
          <w:szCs w:val="22"/>
        </w:rPr>
        <w:t>, es el procedimiento de carácter administrativo, por medio del cual, un ente público selecciona y posteriormente, celebra un acuerdo de voluntades, con una persona física o jurídica colectiva, para que ésta, entregue un bien, preste algún servicio público o lleve a cabo la ejecución de una obra pública, con recursos públicos del Estado y en beneficio de la colectividad.</w:t>
      </w:r>
    </w:p>
    <w:p w14:paraId="07FBCAD3" w14:textId="77777777" w:rsidR="006D4739" w:rsidRDefault="006D4739">
      <w:pPr>
        <w:spacing w:line="360" w:lineRule="auto"/>
        <w:jc w:val="both"/>
        <w:rPr>
          <w:rFonts w:ascii="Palatino Linotype" w:eastAsia="Palatino Linotype" w:hAnsi="Palatino Linotype" w:cs="Palatino Linotype"/>
          <w:sz w:val="22"/>
          <w:szCs w:val="22"/>
        </w:rPr>
      </w:pPr>
    </w:p>
    <w:p w14:paraId="61A0BAF2"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relación a las obras públicas, el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w:t>
      </w:r>
    </w:p>
    <w:p w14:paraId="6E30BBE4" w14:textId="77777777" w:rsidR="006D4739" w:rsidRDefault="006D4739">
      <w:pPr>
        <w:spacing w:line="360" w:lineRule="auto"/>
        <w:jc w:val="both"/>
        <w:rPr>
          <w:rFonts w:ascii="Palatino Linotype" w:eastAsia="Palatino Linotype" w:hAnsi="Palatino Linotype" w:cs="Palatino Linotype"/>
          <w:sz w:val="22"/>
          <w:szCs w:val="22"/>
        </w:rPr>
      </w:pPr>
    </w:p>
    <w:p w14:paraId="5EA4FBD5"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misma consecución de ideas, el artículo antes citado en su fracción II, establece </w:t>
      </w:r>
      <w:r>
        <w:rPr>
          <w:rFonts w:ascii="Palatino Linotype" w:eastAsia="Palatino Linotype" w:hAnsi="Palatino Linotype" w:cs="Palatino Linotype"/>
          <w:b/>
          <w:sz w:val="22"/>
          <w:szCs w:val="22"/>
        </w:rPr>
        <w:t>dentro de las obras públicas quedan comprendidos proyectos</w:t>
      </w:r>
      <w:r>
        <w:rPr>
          <w:rFonts w:ascii="Palatino Linotype" w:eastAsia="Palatino Linotype" w:hAnsi="Palatino Linotype" w:cs="Palatino Linotype"/>
          <w:sz w:val="22"/>
          <w:szCs w:val="22"/>
        </w:rPr>
        <w:t xml:space="preserve"> integrales o comúnmente denominados llave en mano, en los cuales el contratista se obliga desde el diseño de la obra hasta su terminación total, incluyéndose, cuando se requiera, la transferencia de tecnología.</w:t>
      </w:r>
    </w:p>
    <w:p w14:paraId="7A5E0AB1" w14:textId="77777777" w:rsidR="006D4739" w:rsidRDefault="006D4739">
      <w:pPr>
        <w:spacing w:line="360" w:lineRule="auto"/>
        <w:jc w:val="both"/>
        <w:rPr>
          <w:rFonts w:ascii="Palatino Linotype" w:eastAsia="Palatino Linotype" w:hAnsi="Palatino Linotype" w:cs="Palatino Linotype"/>
          <w:sz w:val="22"/>
          <w:szCs w:val="22"/>
        </w:rPr>
      </w:pPr>
    </w:p>
    <w:p w14:paraId="04CD333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conforme al artículo 12.6 de dicho ordenamiento jurídico, uno de los entes que pueden llevar a cabo contratos de obra pública o servicios relacionados con la misma, son los Municipios, a través de los Ayuntamientos.</w:t>
      </w:r>
    </w:p>
    <w:p w14:paraId="4F32BC31" w14:textId="77777777" w:rsidR="006D4739" w:rsidRDefault="006D4739">
      <w:pPr>
        <w:spacing w:line="360" w:lineRule="auto"/>
        <w:jc w:val="both"/>
        <w:rPr>
          <w:rFonts w:ascii="Palatino Linotype" w:eastAsia="Palatino Linotype" w:hAnsi="Palatino Linotype" w:cs="Palatino Linotype"/>
          <w:sz w:val="22"/>
          <w:szCs w:val="22"/>
        </w:rPr>
      </w:pPr>
    </w:p>
    <w:p w14:paraId="686A7D4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58546EE5" w14:textId="77777777" w:rsidR="006D4739" w:rsidRDefault="006D4739">
      <w:pPr>
        <w:spacing w:line="360" w:lineRule="auto"/>
        <w:jc w:val="both"/>
        <w:rPr>
          <w:rFonts w:ascii="Palatino Linotype" w:eastAsia="Palatino Linotype" w:hAnsi="Palatino Linotype" w:cs="Palatino Linotype"/>
          <w:sz w:val="22"/>
          <w:szCs w:val="22"/>
        </w:rPr>
      </w:pPr>
    </w:p>
    <w:p w14:paraId="3A2F353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el artículo 12.38 del Código Administrativo del Estado de México, establece que la adjudicación de un procedimiento de </w:t>
      </w:r>
      <w:r>
        <w:rPr>
          <w:rFonts w:ascii="Palatino Linotype" w:eastAsia="Palatino Linotype" w:hAnsi="Palatino Linotype" w:cs="Palatino Linotype"/>
          <w:b/>
          <w:sz w:val="22"/>
          <w:szCs w:val="22"/>
        </w:rPr>
        <w:t>ejecución de obra,</w:t>
      </w:r>
      <w:r>
        <w:rPr>
          <w:rFonts w:ascii="Palatino Linotype" w:eastAsia="Palatino Linotype" w:hAnsi="Palatino Linotype" w:cs="Palatino Linotype"/>
          <w:sz w:val="22"/>
          <w:szCs w:val="22"/>
        </w:rPr>
        <w:t xml:space="preserve"> se realizará mediante la suscripción de un contrato, entre el Ayuntamiento y la persona a la cual haya ganado el procedimiento respectivo, dentro de los diez días hábiles siguientes a la notificación del fallo.</w:t>
      </w:r>
    </w:p>
    <w:p w14:paraId="40183EC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D2DA8BD"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Pr>
          <w:rFonts w:ascii="Palatino Linotype" w:eastAsia="Palatino Linotype" w:hAnsi="Palatino Linotype" w:cs="Palatino Linotype"/>
          <w:b/>
          <w:sz w:val="22"/>
          <w:szCs w:val="22"/>
        </w:rPr>
        <w:t>contratación de servicios</w:t>
      </w:r>
      <w:r>
        <w:rPr>
          <w:rFonts w:ascii="Palatino Linotype" w:eastAsia="Palatino Linotype" w:hAnsi="Palatino Linotype" w:cs="Palatino Linotype"/>
          <w:sz w:val="22"/>
          <w:szCs w:val="22"/>
        </w:rPr>
        <w:t xml:space="preserve"> de cualquier naturaleza. </w:t>
      </w:r>
    </w:p>
    <w:p w14:paraId="5BAF674D" w14:textId="77777777" w:rsidR="006D4739" w:rsidRDefault="006D4739">
      <w:pPr>
        <w:spacing w:line="360" w:lineRule="auto"/>
        <w:jc w:val="both"/>
        <w:rPr>
          <w:rFonts w:ascii="Palatino Linotype" w:eastAsia="Palatino Linotype" w:hAnsi="Palatino Linotype" w:cs="Palatino Linotype"/>
          <w:sz w:val="22"/>
          <w:szCs w:val="22"/>
          <w:highlight w:val="magenta"/>
        </w:rPr>
      </w:pPr>
    </w:p>
    <w:p w14:paraId="731ACC9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conforme a los artículos 26 y 27 de dicho ordenamiento jurídico, las adquisiciones, arrendamientos y </w:t>
      </w:r>
      <w:r>
        <w:rPr>
          <w:rFonts w:ascii="Palatino Linotype" w:eastAsia="Palatino Linotype" w:hAnsi="Palatino Linotype" w:cs="Palatino Linotype"/>
          <w:b/>
          <w:sz w:val="22"/>
          <w:szCs w:val="22"/>
        </w:rPr>
        <w:t>servicios</w:t>
      </w:r>
      <w:r>
        <w:rPr>
          <w:rFonts w:ascii="Palatino Linotype" w:eastAsia="Palatino Linotype" w:hAnsi="Palatino Linotype" w:cs="Palatino Linotype"/>
          <w:sz w:val="22"/>
          <w:szCs w:val="22"/>
        </w:rPr>
        <w:t>, se adjudicarán a través de procedimientos de licitación pública, invitación restringida y adjudicación directa.</w:t>
      </w:r>
    </w:p>
    <w:p w14:paraId="6626971D" w14:textId="77777777" w:rsidR="006D4739" w:rsidRDefault="006D4739">
      <w:pPr>
        <w:spacing w:line="360" w:lineRule="auto"/>
        <w:jc w:val="both"/>
        <w:rPr>
          <w:rFonts w:ascii="Palatino Linotype" w:eastAsia="Palatino Linotype" w:hAnsi="Palatino Linotype" w:cs="Palatino Linotype"/>
          <w:sz w:val="22"/>
          <w:szCs w:val="22"/>
          <w:highlight w:val="magenta"/>
        </w:rPr>
      </w:pPr>
    </w:p>
    <w:p w14:paraId="7180157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ese orden de ideas, conforme al artículo 65 de la Ley de Contratación Pública del Estado de México y Municipios, la adjudicación de un procedimiento de adquisición y arrendamiento de bienes y </w:t>
      </w:r>
      <w:r>
        <w:rPr>
          <w:rFonts w:ascii="Palatino Linotype" w:eastAsia="Palatino Linotype" w:hAnsi="Palatino Linotype" w:cs="Palatino Linotype"/>
          <w:b/>
          <w:sz w:val="22"/>
          <w:szCs w:val="22"/>
        </w:rPr>
        <w:t>contratación de servicios</w:t>
      </w:r>
      <w:r>
        <w:rPr>
          <w:rFonts w:ascii="Palatino Linotype" w:eastAsia="Palatino Linotype" w:hAnsi="Palatino Linotype" w:cs="Palatino Linotype"/>
          <w:sz w:val="22"/>
          <w:szCs w:val="22"/>
        </w:rPr>
        <w:t xml:space="preserve"> se realizará mediante la suscripción de un contrato, entre el Ayuntamiento y la persona a la cual haya ganado el procedimiento respectivo, dentro de los diez días hábiles siguientes a la notificación del fallo.</w:t>
      </w:r>
    </w:p>
    <w:p w14:paraId="59C45F94" w14:textId="77777777" w:rsidR="006D4739" w:rsidRDefault="006D4739">
      <w:pPr>
        <w:spacing w:line="360" w:lineRule="auto"/>
        <w:jc w:val="both"/>
        <w:rPr>
          <w:rFonts w:ascii="Palatino Linotype" w:eastAsia="Palatino Linotype" w:hAnsi="Palatino Linotype" w:cs="Palatino Linotype"/>
          <w:sz w:val="22"/>
          <w:szCs w:val="22"/>
          <w:highlight w:val="magenta"/>
        </w:rPr>
      </w:pPr>
    </w:p>
    <w:p w14:paraId="5D939997"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Pr>
          <w:rFonts w:ascii="Palatino Linotype" w:eastAsia="Palatino Linotype" w:hAnsi="Palatino Linotype" w:cs="Palatino Linotype"/>
          <w:b/>
          <w:sz w:val="22"/>
          <w:szCs w:val="22"/>
        </w:rPr>
        <w:t>así como el importe total.</w:t>
      </w:r>
    </w:p>
    <w:p w14:paraId="0278141F" w14:textId="77777777" w:rsidR="006D4739" w:rsidRDefault="006D4739">
      <w:pPr>
        <w:spacing w:line="360" w:lineRule="auto"/>
        <w:jc w:val="both"/>
        <w:rPr>
          <w:rFonts w:ascii="Palatino Linotype" w:eastAsia="Palatino Linotype" w:hAnsi="Palatino Linotype" w:cs="Palatino Linotype"/>
          <w:b/>
          <w:sz w:val="22"/>
          <w:szCs w:val="22"/>
          <w:highlight w:val="magenta"/>
        </w:rPr>
      </w:pPr>
    </w:p>
    <w:p w14:paraId="53A889B4" w14:textId="77777777" w:rsidR="006D4739" w:rsidRDefault="00ED6CB7">
      <w:p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color w:val="000000"/>
          <w:sz w:val="22"/>
          <w:szCs w:val="22"/>
          <w:highlight w:val="white"/>
        </w:rPr>
        <w:t xml:space="preserve">Así mismo, el artículo 70 fracción XXVIII, de la Ley General  de Transparencia y Acceso a la Información Pública y 92 fracción XXIX, de la Ley de Transparencia y Acceso a la Información Pública del Estado de México y Municipios, precisa que es </w:t>
      </w:r>
      <w:r>
        <w:rPr>
          <w:rFonts w:ascii="Palatino Linotype" w:eastAsia="Palatino Linotype" w:hAnsi="Palatino Linotype" w:cs="Palatino Linotype"/>
          <w:b/>
          <w:color w:val="000000"/>
          <w:sz w:val="22"/>
          <w:szCs w:val="22"/>
          <w:highlight w:val="white"/>
        </w:rPr>
        <w:t xml:space="preserve">información que es pública de oficio, </w:t>
      </w:r>
      <w:r>
        <w:rPr>
          <w:rFonts w:ascii="Palatino Linotype" w:eastAsia="Palatino Linotype" w:hAnsi="Palatino Linotype" w:cs="Palatino Linotype"/>
          <w:color w:val="000000"/>
          <w:sz w:val="22"/>
          <w:szCs w:val="22"/>
          <w:highlight w:val="white"/>
        </w:rPr>
        <w:t>la</w:t>
      </w:r>
      <w:r>
        <w:rPr>
          <w:rFonts w:ascii="Palatino Linotype" w:eastAsia="Palatino Linotype" w:hAnsi="Palatino Linotype" w:cs="Palatino Linotype"/>
          <w:b/>
          <w:color w:val="000000"/>
          <w:sz w:val="22"/>
          <w:szCs w:val="22"/>
          <w:highlight w:val="white"/>
        </w:rPr>
        <w:t xml:space="preserve"> </w:t>
      </w:r>
      <w:r>
        <w:rPr>
          <w:rFonts w:ascii="Palatino Linotype" w:eastAsia="Palatino Linotype" w:hAnsi="Palatino Linotype" w:cs="Palatino Linotype"/>
          <w:color w:val="000000"/>
          <w:sz w:val="22"/>
          <w:szCs w:val="22"/>
          <w:highlight w:val="white"/>
        </w:rPr>
        <w:t xml:space="preserve">información sobre los procesos y resultados sobre procedimientos de adjudicación directa, invitación restringida y licitación de cualquier naturaleza, </w:t>
      </w:r>
      <w:r>
        <w:rPr>
          <w:rFonts w:ascii="Palatino Linotype" w:eastAsia="Palatino Linotype" w:hAnsi="Palatino Linotype" w:cs="Palatino Linotype"/>
          <w:b/>
          <w:color w:val="000000"/>
          <w:sz w:val="22"/>
          <w:szCs w:val="22"/>
          <w:highlight w:val="white"/>
        </w:rPr>
        <w:t>que incluye la versión pública del expediente respectivo y de los contratos celebrados.</w:t>
      </w:r>
    </w:p>
    <w:p w14:paraId="03B7B130" w14:textId="77777777" w:rsidR="006D4739" w:rsidRDefault="00ED6CB7">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t xml:space="preserve">Sobre las pólizas, el artículo 4°, fracción XVIII, de la Ley General de Contabilidad Gubernamental, establece que </w:t>
      </w:r>
      <w:r>
        <w:rPr>
          <w:rFonts w:ascii="Palatino Linotype" w:eastAsia="Palatino Linotype" w:hAnsi="Palatino Linotype" w:cs="Palatino Linotype"/>
          <w:b/>
          <w:color w:val="000000"/>
          <w:sz w:val="22"/>
          <w:szCs w:val="22"/>
          <w:highlight w:val="white"/>
        </w:rPr>
        <w:t>la información financiera consiste en información presupuestaria y contable que se expresa en unidades monetarias las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b/>
          <w:color w:val="000000"/>
          <w:sz w:val="22"/>
          <w:szCs w:val="22"/>
          <w:highlight w:val="white"/>
        </w:rPr>
        <w:t>transacciones que realiza un ente público y los eventos económicos identificables y cuantificable</w:t>
      </w:r>
      <w:r>
        <w:rPr>
          <w:rFonts w:ascii="Palatino Linotype" w:eastAsia="Palatino Linotype" w:hAnsi="Palatino Linotype" w:cs="Palatino Linotype"/>
          <w:color w:val="000000"/>
          <w:sz w:val="22"/>
          <w:szCs w:val="22"/>
          <w:highlight w:val="white"/>
        </w:rPr>
        <w:t xml:space="preserve"> la cual puede representarse por reportes, informes, estados y notas que expresan su situación financiera, los resultados de su operación y los cambios en su patrimonio. </w:t>
      </w:r>
    </w:p>
    <w:p w14:paraId="39152D0B" w14:textId="77777777" w:rsidR="006D4739" w:rsidRDefault="00ED6CB7">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t xml:space="preserve"> </w:t>
      </w:r>
    </w:p>
    <w:p w14:paraId="7C6DD815" w14:textId="77777777" w:rsidR="006D4739" w:rsidRDefault="00ED6CB7">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lastRenderedPageBreak/>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14:paraId="1D079CB6" w14:textId="77777777" w:rsidR="006D4739" w:rsidRDefault="00ED6CB7">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t xml:space="preserve"> </w:t>
      </w:r>
    </w:p>
    <w:p w14:paraId="4813A7FE" w14:textId="77777777" w:rsidR="006D4739" w:rsidRDefault="00ED6CB7">
      <w:pPr>
        <w:numPr>
          <w:ilvl w:val="0"/>
          <w:numId w:val="1"/>
        </w:num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Póliza de Ingresos: </w:t>
      </w:r>
      <w:r>
        <w:rPr>
          <w:rFonts w:ascii="Palatino Linotype" w:eastAsia="Palatino Linotype" w:hAnsi="Palatino Linotype" w:cs="Palatino Linotype"/>
          <w:color w:val="000000"/>
          <w:sz w:val="22"/>
          <w:szCs w:val="22"/>
          <w:highlight w:val="white"/>
        </w:rPr>
        <w:t>Es aquella donde se anotan las operaciones que representan ingresos, esto es, entradas de dinero para el municipio.</w:t>
      </w:r>
    </w:p>
    <w:p w14:paraId="352085C1" w14:textId="77777777" w:rsidR="006D4739" w:rsidRDefault="00ED6CB7">
      <w:p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 </w:t>
      </w:r>
    </w:p>
    <w:p w14:paraId="3BB805B8" w14:textId="77777777" w:rsidR="006D4739" w:rsidRDefault="00ED6CB7">
      <w:pPr>
        <w:numPr>
          <w:ilvl w:val="0"/>
          <w:numId w:val="1"/>
        </w:num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Póliza de Diario: </w:t>
      </w:r>
      <w:r>
        <w:rPr>
          <w:rFonts w:ascii="Palatino Linotype" w:eastAsia="Palatino Linotype" w:hAnsi="Palatino Linotype" w:cs="Palatino Linotype"/>
          <w:color w:val="000000"/>
          <w:sz w:val="22"/>
          <w:szCs w:val="22"/>
          <w:highlight w:val="white"/>
        </w:rPr>
        <w:t>Es la que se elabora cuando la operación que se está registrando no implica una entrada o una salida (ingreso o egreso) de dinero para el municipio.</w:t>
      </w:r>
    </w:p>
    <w:p w14:paraId="1DC03E0F" w14:textId="77777777" w:rsidR="006D4739" w:rsidRDefault="00ED6CB7">
      <w:p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 </w:t>
      </w:r>
    </w:p>
    <w:p w14:paraId="73199399" w14:textId="77777777" w:rsidR="006D4739" w:rsidRDefault="00ED6CB7">
      <w:pPr>
        <w:numPr>
          <w:ilvl w:val="0"/>
          <w:numId w:val="1"/>
        </w:num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Póliza de Egresos: </w:t>
      </w:r>
      <w:r>
        <w:rPr>
          <w:rFonts w:ascii="Palatino Linotype" w:eastAsia="Palatino Linotype" w:hAnsi="Palatino Linotype" w:cs="Palatino Linotype"/>
          <w:color w:val="000000"/>
          <w:sz w:val="22"/>
          <w:szCs w:val="22"/>
          <w:highlight w:val="white"/>
        </w:rPr>
        <w:t>Corresponde a aquella donde se anotan las operaciones que implique egresos, es decir, la salida de dinero, en efectivo o transferencia, para el municipio.</w:t>
      </w:r>
    </w:p>
    <w:p w14:paraId="37403FBB" w14:textId="77777777" w:rsidR="006D4739" w:rsidRDefault="00ED6CB7">
      <w:p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 </w:t>
      </w:r>
    </w:p>
    <w:p w14:paraId="36D9B92F" w14:textId="77777777" w:rsidR="006D4739" w:rsidRDefault="00ED6CB7">
      <w:pPr>
        <w:numPr>
          <w:ilvl w:val="0"/>
          <w:numId w:val="1"/>
        </w:numPr>
        <w:spacing w:line="360" w:lineRule="auto"/>
        <w:jc w:val="both"/>
        <w:rPr>
          <w:rFonts w:ascii="Palatino Linotype" w:eastAsia="Palatino Linotype" w:hAnsi="Palatino Linotype" w:cs="Palatino Linotype"/>
          <w:b/>
          <w:color w:val="000000"/>
          <w:sz w:val="22"/>
          <w:szCs w:val="22"/>
          <w:highlight w:val="white"/>
        </w:rPr>
      </w:pPr>
      <w:r>
        <w:rPr>
          <w:rFonts w:ascii="Palatino Linotype" w:eastAsia="Palatino Linotype" w:hAnsi="Palatino Linotype" w:cs="Palatino Linotype"/>
          <w:b/>
          <w:color w:val="000000"/>
          <w:sz w:val="22"/>
          <w:szCs w:val="22"/>
          <w:highlight w:val="white"/>
        </w:rPr>
        <w:t xml:space="preserve">Póliza Cheque: </w:t>
      </w:r>
      <w:r>
        <w:rPr>
          <w:rFonts w:ascii="Palatino Linotype" w:eastAsia="Palatino Linotype" w:hAnsi="Palatino Linotype" w:cs="Palatino Linotype"/>
          <w:color w:val="000000"/>
          <w:sz w:val="22"/>
          <w:szCs w:val="22"/>
          <w:highlight w:val="white"/>
        </w:rPr>
        <w:t>Es la que se elabora cuando la operación implique una salida de dinero del municipio, a través de un cheque.</w:t>
      </w:r>
    </w:p>
    <w:p w14:paraId="59A20827" w14:textId="77777777" w:rsidR="006D4739" w:rsidRDefault="00ED6CB7">
      <w:pPr>
        <w:spacing w:line="360" w:lineRule="auto"/>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sz w:val="22"/>
          <w:szCs w:val="22"/>
          <w:highlight w:val="white"/>
        </w:rPr>
        <w:t xml:space="preserve"> </w:t>
      </w:r>
    </w:p>
    <w:p w14:paraId="381FB655" w14:textId="33817CB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este </w:t>
      </w:r>
      <w:r w:rsidR="0028068C">
        <w:rPr>
          <w:rFonts w:ascii="Palatino Linotype" w:eastAsia="Palatino Linotype" w:hAnsi="Palatino Linotype" w:cs="Palatino Linotype"/>
          <w:sz w:val="22"/>
          <w:szCs w:val="22"/>
        </w:rPr>
        <w:t>Instituto</w:t>
      </w:r>
      <w:r>
        <w:rPr>
          <w:rFonts w:ascii="Palatino Linotype" w:eastAsia="Palatino Linotype" w:hAnsi="Palatino Linotype" w:cs="Palatino Linotype"/>
          <w:sz w:val="22"/>
          <w:szCs w:val="22"/>
        </w:rPr>
        <w:t xml:space="preserve">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14:paraId="33A29F84" w14:textId="77777777" w:rsidR="006D4739" w:rsidRDefault="006D4739">
      <w:pPr>
        <w:spacing w:line="360" w:lineRule="auto"/>
        <w:jc w:val="both"/>
        <w:rPr>
          <w:rFonts w:ascii="Palatino Linotype" w:eastAsia="Palatino Linotype" w:hAnsi="Palatino Linotype" w:cs="Palatino Linotype"/>
          <w:sz w:val="22"/>
          <w:szCs w:val="22"/>
        </w:rPr>
      </w:pPr>
    </w:p>
    <w:p w14:paraId="00CE4D1E"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precisa que dichos documentos deberán contener las imágenes de la documentación comprobatoria y justificativa de los egresos y de las respectivas pólizas, los cuales incluyen los Comprobantes Fiscales Digitales por Internet, facturas o recibos. </w:t>
      </w:r>
    </w:p>
    <w:p w14:paraId="05713A4A" w14:textId="77777777" w:rsidR="006D4739" w:rsidRDefault="00ED6CB7">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highlight w:val="white"/>
        </w:rPr>
        <w:t xml:space="preserve"> </w:t>
      </w:r>
    </w:p>
    <w:p w14:paraId="63D5D9C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el Sujeto Obligado cuenta con competencia para proporcionar lo peticionado, y que la pretensión del ahora Recurrente es obtener del primero de enero de dos mil veintidós al dos de septiembre de dos mil veinticuatro, lo siguiente:</w:t>
      </w:r>
    </w:p>
    <w:p w14:paraId="1E11D6FD" w14:textId="77777777" w:rsidR="006D4739" w:rsidRDefault="006D4739">
      <w:pPr>
        <w:spacing w:line="360" w:lineRule="auto"/>
        <w:jc w:val="both"/>
        <w:rPr>
          <w:rFonts w:ascii="Palatino Linotype" w:eastAsia="Palatino Linotype" w:hAnsi="Palatino Linotype" w:cs="Palatino Linotype"/>
          <w:sz w:val="22"/>
          <w:szCs w:val="22"/>
        </w:rPr>
      </w:pPr>
    </w:p>
    <w:p w14:paraId="2D717B02" w14:textId="77777777" w:rsidR="006D4739" w:rsidRDefault="00ED6CB7">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Pólizas de egreso de las nóminas pagadas;</w:t>
      </w:r>
    </w:p>
    <w:p w14:paraId="7588C00F" w14:textId="77777777" w:rsidR="006D4739" w:rsidRDefault="00ED6CB7">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Recibos de nómina firmados cotejados con INES o tarjetas de empleados;</w:t>
      </w:r>
    </w:p>
    <w:p w14:paraId="1A3CF277" w14:textId="77777777" w:rsidR="006D4739" w:rsidRDefault="00ED6CB7">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Pólizas de egresos y los expedientes de los procedimientos de adjudicación de obras públicas.</w:t>
      </w:r>
    </w:p>
    <w:p w14:paraId="2F2E922D" w14:textId="77777777" w:rsidR="006D4739" w:rsidRDefault="006D4739">
      <w:pPr>
        <w:spacing w:line="360" w:lineRule="auto"/>
        <w:jc w:val="both"/>
        <w:rPr>
          <w:rFonts w:ascii="Palatino Linotype" w:eastAsia="Palatino Linotype" w:hAnsi="Palatino Linotype" w:cs="Palatino Linotype"/>
          <w:sz w:val="22"/>
          <w:szCs w:val="22"/>
        </w:rPr>
      </w:pPr>
    </w:p>
    <w:p w14:paraId="28AAA51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se procede analizar la respuesta entregada, para de manera previa es necesario precisar que mediante el desahogo de requerimiento de información adicional, el Sujeto Obligado señaló que si contaba con los recibos de nómina firmados, sin embargo, que no eran cotejados con ningún tipo de identificación.</w:t>
      </w:r>
    </w:p>
    <w:p w14:paraId="358CF811" w14:textId="773A3C60"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dicha </w:t>
      </w:r>
      <w:r w:rsidR="0028068C">
        <w:rPr>
          <w:rFonts w:ascii="Palatino Linotype" w:eastAsia="Palatino Linotype" w:hAnsi="Palatino Linotype" w:cs="Palatino Linotype"/>
          <w:sz w:val="22"/>
          <w:szCs w:val="22"/>
        </w:rPr>
        <w:t>circunstancia</w:t>
      </w:r>
      <w:r>
        <w:rPr>
          <w:rFonts w:ascii="Palatino Linotype" w:eastAsia="Palatino Linotype" w:hAnsi="Palatino Linotype" w:cs="Palatino Linotype"/>
          <w:sz w:val="22"/>
          <w:szCs w:val="22"/>
        </w:rPr>
        <w:t xml:space="preserve">, es necesario precisar en atención a los artículos 12 y 160 de la Ley de la materia, los Sujetos Obligados no </w:t>
      </w:r>
      <w:r w:rsidR="0028068C">
        <w:rPr>
          <w:rFonts w:ascii="Palatino Linotype" w:eastAsia="Palatino Linotype" w:hAnsi="Palatino Linotype" w:cs="Palatino Linotype"/>
          <w:sz w:val="22"/>
          <w:szCs w:val="22"/>
        </w:rPr>
        <w:t>están</w:t>
      </w:r>
      <w:r>
        <w:rPr>
          <w:rFonts w:ascii="Palatino Linotype" w:eastAsia="Palatino Linotype" w:hAnsi="Palatino Linotype" w:cs="Palatino Linotype"/>
          <w:sz w:val="22"/>
          <w:szCs w:val="22"/>
        </w:rPr>
        <w:t xml:space="preserve"> constreñidos a procesar documentos para dar atención a las solicitudes de información, pues únicamente se encuentran obligados a proporcionar aquellos tal y como obren en sus archivos.</w:t>
      </w:r>
    </w:p>
    <w:p w14:paraId="7C15764B" w14:textId="77777777" w:rsidR="006D4739" w:rsidRDefault="006D4739">
      <w:pPr>
        <w:spacing w:line="360" w:lineRule="auto"/>
        <w:jc w:val="both"/>
        <w:rPr>
          <w:rFonts w:ascii="Palatino Linotype" w:eastAsia="Palatino Linotype" w:hAnsi="Palatino Linotype" w:cs="Palatino Linotype"/>
          <w:sz w:val="22"/>
          <w:szCs w:val="22"/>
        </w:rPr>
      </w:pPr>
    </w:p>
    <w:p w14:paraId="5E681E72"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en el presente caso, el Ente Recurrido en cumplimiento al artículo 19, párrafo segundo de la Ley de Transparencia Local, al señalar que no contaba con recibos de nómina </w:t>
      </w:r>
      <w:r>
        <w:rPr>
          <w:rFonts w:ascii="Palatino Linotype" w:eastAsia="Palatino Linotype" w:hAnsi="Palatino Linotype" w:cs="Palatino Linotype"/>
          <w:sz w:val="22"/>
          <w:szCs w:val="22"/>
        </w:rPr>
        <w:lastRenderedPageBreak/>
        <w:t>cotejados; por lo que, en el presente caso, únicamente procede analizar los recibos de nómina firmados.</w:t>
      </w:r>
    </w:p>
    <w:p w14:paraId="5B64D75A" w14:textId="77777777" w:rsidR="006D4739" w:rsidRDefault="006D4739">
      <w:pPr>
        <w:spacing w:line="360" w:lineRule="auto"/>
        <w:jc w:val="both"/>
        <w:rPr>
          <w:rFonts w:ascii="Palatino Linotype" w:eastAsia="Palatino Linotype" w:hAnsi="Palatino Linotype" w:cs="Palatino Linotype"/>
          <w:sz w:val="22"/>
          <w:szCs w:val="22"/>
        </w:rPr>
      </w:pPr>
    </w:p>
    <w:p w14:paraId="46A66CAA"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respuesta, la Tesorera Municipal propuso el cambio de modalidad de entrega de la información a consulta directa en virtud de que, los documentos solicitados por el periodo requerido ascendían de manera conjunta a un total de 51,000 hojas, lo cual sobrepasaba las capacidades técnicas del Sistema de Acceso a la Información Mexiquense (SAIMEX), situación que fue sustentada mediante acuerdo de comité de transparencia.</w:t>
      </w:r>
    </w:p>
    <w:p w14:paraId="79A38ED8" w14:textId="77777777" w:rsidR="006D4739" w:rsidRDefault="006D4739">
      <w:pPr>
        <w:tabs>
          <w:tab w:val="left" w:pos="4667"/>
        </w:tabs>
        <w:spacing w:line="360" w:lineRule="auto"/>
        <w:jc w:val="both"/>
        <w:rPr>
          <w:rFonts w:ascii="Palatino Linotype" w:eastAsia="Palatino Linotype" w:hAnsi="Palatino Linotype" w:cs="Palatino Linotype"/>
          <w:sz w:val="22"/>
          <w:szCs w:val="22"/>
        </w:rPr>
      </w:pPr>
    </w:p>
    <w:p w14:paraId="12ABF38D" w14:textId="77777777" w:rsidR="006D4739" w:rsidRDefault="00ED6CB7">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mediante informe justificado, el área competente precisó la cantidad de pólizas de egresos de los recibos de nómina siento un total de tres mil setecientos cinco, y once mil novecientos treinta y ocho pólizas de egresos y expedientes de procedimientos de adjudicación de las obras, lo cual impedía la entrega de la información, por lo que proponía la consulta directa de la información, remitiendo el proceso para proporcionarla.</w:t>
      </w:r>
    </w:p>
    <w:p w14:paraId="69AB1E18" w14:textId="77777777" w:rsidR="006D4739" w:rsidRDefault="006D4739">
      <w:pPr>
        <w:spacing w:line="360" w:lineRule="auto"/>
        <w:jc w:val="both"/>
        <w:rPr>
          <w:rFonts w:ascii="Palatino Linotype" w:eastAsia="Palatino Linotype" w:hAnsi="Palatino Linotype" w:cs="Palatino Linotype"/>
          <w:sz w:val="22"/>
          <w:szCs w:val="22"/>
        </w:rPr>
      </w:pPr>
    </w:p>
    <w:p w14:paraId="64AE6F8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el área requerida proporcionó la cantidad de hojas que daban cuenta de la información, situación por la que dicha área consideró poner a disposición mediante consulta directa la información peticionada, por lo que se procede a analizar dicha circunstancia.</w:t>
      </w:r>
    </w:p>
    <w:p w14:paraId="12FAAFE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En ese sentido,</w:t>
      </w:r>
      <w:r>
        <w:rPr>
          <w:rFonts w:ascii="Palatino Linotype" w:eastAsia="Palatino Linotype" w:hAnsi="Palatino Linotype" w:cs="Palatino Linotype"/>
          <w:sz w:val="22"/>
          <w:szCs w:val="22"/>
        </w:rPr>
        <w:t xml:space="preserve"> el artículo 155, fracción V, de la Ley de Transparencia y Acceso a la Información Pública del Estado de México y Municipios, precisa que para presentar una solicitud, la particular podrá señalar </w:t>
      </w:r>
      <w:r>
        <w:rPr>
          <w:rFonts w:ascii="Palatino Linotype" w:eastAsia="Palatino Linotype" w:hAnsi="Palatino Linotype" w:cs="Palatino Linotype"/>
          <w:b/>
          <w:sz w:val="22"/>
          <w:szCs w:val="22"/>
        </w:rPr>
        <w:t>la modalidad en la que prefiere se otorgue el acceso a la información</w:t>
      </w:r>
      <w:r>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363BA496" w14:textId="77777777" w:rsidR="006D4739" w:rsidRDefault="006D4739">
      <w:pPr>
        <w:spacing w:line="360" w:lineRule="auto"/>
        <w:jc w:val="both"/>
        <w:rPr>
          <w:rFonts w:ascii="Palatino Linotype" w:eastAsia="Palatino Linotype" w:hAnsi="Palatino Linotype" w:cs="Palatino Linotype"/>
          <w:sz w:val="22"/>
          <w:szCs w:val="22"/>
        </w:rPr>
      </w:pPr>
    </w:p>
    <w:p w14:paraId="2925DCA5"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El artículo 158, dispone que, de manera excepcional, cuando de manera fundada y motivada lo determine el Sujeto Obligado, </w:t>
      </w:r>
      <w:r>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C8E6ABA" w14:textId="77777777" w:rsidR="006D4739" w:rsidRDefault="006D4739">
      <w:pPr>
        <w:spacing w:line="360" w:lineRule="auto"/>
        <w:jc w:val="both"/>
        <w:rPr>
          <w:rFonts w:ascii="Palatino Linotype" w:eastAsia="Palatino Linotype" w:hAnsi="Palatino Linotype" w:cs="Palatino Linotype"/>
          <w:b/>
          <w:sz w:val="22"/>
          <w:szCs w:val="22"/>
        </w:rPr>
      </w:pPr>
    </w:p>
    <w:p w14:paraId="6EA131A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al solicitante. </w:t>
      </w:r>
      <w:r>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Pr>
          <w:rFonts w:ascii="Palatino Linotype" w:eastAsia="Palatino Linotype" w:hAnsi="Palatino Linotype" w:cs="Palatino Linotype"/>
          <w:sz w:val="22"/>
          <w:szCs w:val="22"/>
        </w:rPr>
        <w:t xml:space="preserve"> En cualquier caso, </w:t>
      </w:r>
      <w:r>
        <w:rPr>
          <w:rFonts w:ascii="Palatino Linotype" w:eastAsia="Palatino Linotype" w:hAnsi="Palatino Linotype" w:cs="Palatino Linotype"/>
          <w:b/>
          <w:sz w:val="22"/>
          <w:szCs w:val="22"/>
        </w:rPr>
        <w:t>se deberá fundar y motivar</w:t>
      </w:r>
      <w:r>
        <w:rPr>
          <w:rFonts w:ascii="Palatino Linotype" w:eastAsia="Palatino Linotype" w:hAnsi="Palatino Linotype" w:cs="Palatino Linotype"/>
          <w:sz w:val="22"/>
          <w:szCs w:val="22"/>
        </w:rPr>
        <w:t xml:space="preserve"> la necesidad de ofrecer otras modalidades.</w:t>
      </w:r>
    </w:p>
    <w:p w14:paraId="38FB4DA1" w14:textId="77777777" w:rsidR="006D4739" w:rsidRDefault="006D4739">
      <w:pPr>
        <w:spacing w:line="360" w:lineRule="auto"/>
        <w:jc w:val="both"/>
        <w:rPr>
          <w:rFonts w:ascii="Palatino Linotype" w:eastAsia="Palatino Linotype" w:hAnsi="Palatino Linotype" w:cs="Palatino Linotype"/>
          <w:sz w:val="22"/>
          <w:szCs w:val="22"/>
        </w:rPr>
      </w:pPr>
    </w:p>
    <w:p w14:paraId="1BDDF188"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Pr>
          <w:rFonts w:ascii="Palatino Linotype" w:eastAsia="Palatino Linotype" w:hAnsi="Palatino Linotype" w:cs="Palatino Linotype"/>
          <w:b/>
          <w:sz w:val="22"/>
          <w:szCs w:val="22"/>
        </w:rPr>
        <w:t>sólo procede, en caso de que se acredite la imposibilidad de atenderla.</w:t>
      </w:r>
      <w:r>
        <w:rPr>
          <w:rFonts w:ascii="Palatino Linotype" w:eastAsia="Palatino Linotype" w:hAnsi="Palatino Linotype" w:cs="Palatino Linotype"/>
          <w:sz w:val="22"/>
          <w:szCs w:val="22"/>
        </w:rPr>
        <w:t xml:space="preserve"> </w:t>
      </w:r>
    </w:p>
    <w:p w14:paraId="2C87B24B" w14:textId="77777777" w:rsidR="006D4739" w:rsidRDefault="006D4739">
      <w:pPr>
        <w:spacing w:line="360" w:lineRule="auto"/>
        <w:jc w:val="both"/>
        <w:rPr>
          <w:rFonts w:ascii="Palatino Linotype" w:eastAsia="Palatino Linotype" w:hAnsi="Palatino Linotype" w:cs="Palatino Linotype"/>
          <w:sz w:val="22"/>
          <w:szCs w:val="22"/>
        </w:rPr>
      </w:pPr>
    </w:p>
    <w:p w14:paraId="6CCFB073"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color w:val="000000"/>
          <w:sz w:val="22"/>
          <w:szCs w:val="22"/>
        </w:rPr>
        <w:t xml:space="preserve">Así, cuando se justifique el impedimento, los </w:t>
      </w:r>
      <w:r>
        <w:rPr>
          <w:rFonts w:ascii="Palatino Linotype" w:eastAsia="Palatino Linotype" w:hAnsi="Palatino Linotype" w:cs="Palatino Linotype"/>
          <w:b/>
          <w:color w:val="000000"/>
          <w:sz w:val="22"/>
          <w:szCs w:val="22"/>
        </w:rPr>
        <w:t>Sujetos Obligados deberán ofrecer al particular otras modalidades de entrega que permita la información</w:t>
      </w:r>
      <w:r>
        <w:rPr>
          <w:rFonts w:ascii="Palatino Linotype" w:eastAsia="Palatino Linotype" w:hAnsi="Palatino Linotype" w:cs="Palatino Linotype"/>
          <w:color w:val="000000"/>
          <w:sz w:val="22"/>
          <w:szCs w:val="22"/>
        </w:rPr>
        <w:t xml:space="preserve">, como consulta directa en las oficinas de la Unidad de Transparencia; lo anterior, es robustecido con el Criterio de interpretación, con clave de control </w:t>
      </w:r>
      <w:r>
        <w:rPr>
          <w:rFonts w:ascii="Palatino Linotype" w:eastAsia="Palatino Linotype" w:hAnsi="Palatino Linotype" w:cs="Palatino Linotype"/>
          <w:sz w:val="22"/>
          <w:szCs w:val="22"/>
        </w:rPr>
        <w:t>SO/008/2017</w:t>
      </w:r>
      <w:r>
        <w:rPr>
          <w:rFonts w:ascii="Palatino Linotype" w:eastAsia="Palatino Linotype" w:hAnsi="Palatino Linotype" w:cs="Palatino Linotype"/>
          <w:color w:val="000000"/>
          <w:sz w:val="22"/>
          <w:szCs w:val="22"/>
        </w:rPr>
        <w:t xml:space="preserve">, emitido por el Pleno del </w:t>
      </w:r>
      <w:r>
        <w:rPr>
          <w:rFonts w:ascii="Palatino Linotype" w:eastAsia="Palatino Linotype" w:hAnsi="Palatino Linotype" w:cs="Palatino Linotype"/>
          <w:color w:val="000000"/>
          <w:sz w:val="22"/>
          <w:szCs w:val="22"/>
        </w:rPr>
        <w:lastRenderedPageBreak/>
        <w:t xml:space="preserve">Instituto Nacional de Transparencia, Acceso a la Información y Protección de Datos Personales, el cual establece </w:t>
      </w:r>
      <w:r>
        <w:rPr>
          <w:rFonts w:ascii="Palatino Linotype" w:eastAsia="Palatino Linotype" w:hAnsi="Palatino Linotype" w:cs="Palatino Linotype"/>
          <w:sz w:val="22"/>
          <w:szCs w:val="22"/>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rFonts w:ascii="Palatino Linotype" w:eastAsia="Palatino Linotype" w:hAnsi="Palatino Linotype" w:cs="Palatino Linotype"/>
          <w:b/>
          <w:sz w:val="22"/>
          <w:szCs w:val="22"/>
        </w:rPr>
        <w:t>información en todas las modalidades que lo permitan, procurando reducir los costos de entrega.</w:t>
      </w:r>
    </w:p>
    <w:p w14:paraId="76B1175F" w14:textId="77777777" w:rsidR="006D4739" w:rsidRDefault="006D4739">
      <w:pPr>
        <w:spacing w:line="360" w:lineRule="auto"/>
        <w:jc w:val="both"/>
        <w:rPr>
          <w:rFonts w:ascii="Palatino Linotype" w:eastAsia="Palatino Linotype" w:hAnsi="Palatino Linotype" w:cs="Palatino Linotype"/>
          <w:b/>
          <w:sz w:val="22"/>
          <w:szCs w:val="22"/>
        </w:rPr>
      </w:pPr>
    </w:p>
    <w:p w14:paraId="02DA916D" w14:textId="77777777" w:rsidR="006D4739" w:rsidRDefault="00ED6CB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609A418" w14:textId="77777777" w:rsidR="006D4739" w:rsidRDefault="006D4739">
      <w:pPr>
        <w:spacing w:line="360" w:lineRule="auto"/>
        <w:jc w:val="both"/>
        <w:rPr>
          <w:rFonts w:ascii="Palatino Linotype" w:eastAsia="Palatino Linotype" w:hAnsi="Palatino Linotype" w:cs="Palatino Linotype"/>
          <w:sz w:val="22"/>
          <w:szCs w:val="22"/>
        </w:rPr>
      </w:pPr>
    </w:p>
    <w:p w14:paraId="0AE8E79E" w14:textId="77777777" w:rsidR="006D4739" w:rsidRDefault="00ED6CB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razones por las cuales la información implicaba un análisis, estudio o procesamiento de datos;</w:t>
      </w:r>
    </w:p>
    <w:p w14:paraId="240A5A0A" w14:textId="77777777" w:rsidR="006D4739" w:rsidRDefault="006D4739">
      <w:pPr>
        <w:spacing w:line="360" w:lineRule="auto"/>
        <w:ind w:left="720"/>
        <w:jc w:val="both"/>
        <w:rPr>
          <w:rFonts w:ascii="Palatino Linotype" w:eastAsia="Palatino Linotype" w:hAnsi="Palatino Linotype" w:cs="Palatino Linotype"/>
          <w:sz w:val="22"/>
          <w:szCs w:val="22"/>
        </w:rPr>
      </w:pPr>
    </w:p>
    <w:p w14:paraId="3C2CE99B" w14:textId="77777777" w:rsidR="006D4739" w:rsidRDefault="00ED6CB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qué motivo el tiempo, que se le otorga al Sujeto Obligado para dar respuesta, en la modalidad elegida a la solicitud de información, no le es suficiente, y</w:t>
      </w:r>
    </w:p>
    <w:p w14:paraId="220AAD16" w14:textId="77777777" w:rsidR="006D4739" w:rsidRDefault="006D4739">
      <w:pPr>
        <w:spacing w:line="360" w:lineRule="auto"/>
        <w:ind w:left="720"/>
        <w:jc w:val="both"/>
        <w:rPr>
          <w:rFonts w:ascii="Palatino Linotype" w:eastAsia="Palatino Linotype" w:hAnsi="Palatino Linotype" w:cs="Palatino Linotype"/>
          <w:sz w:val="22"/>
          <w:szCs w:val="22"/>
        </w:rPr>
      </w:pPr>
    </w:p>
    <w:p w14:paraId="0E9EED4D" w14:textId="77777777" w:rsidR="006D4739" w:rsidRDefault="00ED6CB7">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cantidad de recursos humanos y materiales con los que cuenta el Sujeto Obligado son insuficientes.</w:t>
      </w:r>
    </w:p>
    <w:p w14:paraId="02026151" w14:textId="77777777" w:rsidR="006D4739" w:rsidRDefault="006D4739">
      <w:pPr>
        <w:tabs>
          <w:tab w:val="left" w:pos="4667"/>
        </w:tabs>
        <w:spacing w:line="360" w:lineRule="auto"/>
        <w:jc w:val="both"/>
        <w:rPr>
          <w:rFonts w:ascii="Palatino Linotype" w:eastAsia="Palatino Linotype" w:hAnsi="Palatino Linotype" w:cs="Palatino Linotype"/>
          <w:sz w:val="22"/>
          <w:szCs w:val="22"/>
        </w:rPr>
      </w:pPr>
    </w:p>
    <w:p w14:paraId="305C18B3" w14:textId="77777777" w:rsidR="006D4739" w:rsidRDefault="00ED6CB7">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Pr>
          <w:rFonts w:ascii="Palatino Linotype" w:eastAsia="Palatino Linotype" w:hAnsi="Palatino Linotype" w:cs="Palatino Linotype"/>
          <w:color w:val="000000"/>
          <w:sz w:val="22"/>
          <w:szCs w:val="22"/>
        </w:rPr>
        <w:t xml:space="preserve">Ahora bien, el Ente Recurrido precisó que la información sobrepasaba las capacidades del Sistema de Acceso a la Información Mexiquense, sumado a que no contaban con capacidades administrativas y humanas, dado que la información ascendía  a la cantidad de </w:t>
      </w:r>
      <w:r>
        <w:rPr>
          <w:rFonts w:ascii="Palatino Linotype" w:eastAsia="Palatino Linotype" w:hAnsi="Palatino Linotype" w:cs="Palatino Linotype"/>
          <w:sz w:val="22"/>
          <w:szCs w:val="22"/>
        </w:rPr>
        <w:t>cincuenta y un mil hojas</w:t>
      </w:r>
      <w:r>
        <w:rPr>
          <w:rFonts w:ascii="Palatino Linotype" w:eastAsia="Palatino Linotype" w:hAnsi="Palatino Linotype" w:cs="Palatino Linotype"/>
          <w:color w:val="000000"/>
          <w:sz w:val="22"/>
          <w:szCs w:val="22"/>
        </w:rPr>
        <w:t xml:space="preserve">, situación que fue sustentada mediante el </w:t>
      </w:r>
      <w:r>
        <w:rPr>
          <w:rFonts w:ascii="Palatino Linotype" w:eastAsia="Palatino Linotype" w:hAnsi="Palatino Linotype" w:cs="Palatino Linotype"/>
          <w:sz w:val="22"/>
          <w:szCs w:val="22"/>
        </w:rPr>
        <w:t xml:space="preserve">Acta de la Septuagésima </w:t>
      </w:r>
      <w:r>
        <w:rPr>
          <w:rFonts w:ascii="Palatino Linotype" w:eastAsia="Palatino Linotype" w:hAnsi="Palatino Linotype" w:cs="Palatino Linotype"/>
          <w:sz w:val="22"/>
          <w:szCs w:val="22"/>
        </w:rPr>
        <w:lastRenderedPageBreak/>
        <w:t>Séptima Sesión Ordinaria del Comité de Transparencia del Ayuntamiento de Temamatla, cabe precisar que mediante informe justificado precisó la cantidad de pólizas egresos de los recibos de nómina y ocho pólizas de egresos y expedientes de procedimientos de adjudicación de las obras, los cuales ascienden a quince mil seiscientos cuarenta y tres.</w:t>
      </w:r>
    </w:p>
    <w:p w14:paraId="582C4E50" w14:textId="77777777" w:rsidR="006D4739" w:rsidRDefault="006D4739">
      <w:pPr>
        <w:spacing w:line="360" w:lineRule="auto"/>
        <w:jc w:val="both"/>
        <w:rPr>
          <w:rFonts w:ascii="Palatino Linotype" w:eastAsia="Palatino Linotype" w:hAnsi="Palatino Linotype" w:cs="Palatino Linotype"/>
          <w:sz w:val="22"/>
          <w:szCs w:val="22"/>
        </w:rPr>
      </w:pPr>
    </w:p>
    <w:p w14:paraId="36C54840"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 por lo que, se logra vislumbrar que el agravio resulta </w:t>
      </w:r>
      <w:r>
        <w:rPr>
          <w:rFonts w:ascii="Palatino Linotype" w:eastAsia="Palatino Linotype" w:hAnsi="Palatino Linotype" w:cs="Palatino Linotype"/>
          <w:b/>
          <w:color w:val="000000"/>
          <w:sz w:val="22"/>
          <w:szCs w:val="22"/>
        </w:rPr>
        <w:t>PARCIALMENTE FUNDADO</w:t>
      </w:r>
      <w:r>
        <w:rPr>
          <w:rFonts w:ascii="Palatino Linotype" w:eastAsia="Palatino Linotype" w:hAnsi="Palatino Linotype" w:cs="Palatino Linotype"/>
          <w:color w:val="000000"/>
          <w:sz w:val="22"/>
          <w:szCs w:val="22"/>
        </w:rPr>
        <w:t>.</w:t>
      </w:r>
    </w:p>
    <w:p w14:paraId="49719C63"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26895357"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se logra vislumbrar que la información solicitada, sobrepasaba las capacidades técnicas del Sistema de Acceso a la Información Mexiquense (SAIMEX), pues la información consta de más de </w:t>
      </w:r>
      <w:r>
        <w:rPr>
          <w:rFonts w:ascii="Palatino Linotype" w:eastAsia="Palatino Linotype" w:hAnsi="Palatino Linotype" w:cs="Palatino Linotype"/>
          <w:sz w:val="22"/>
          <w:szCs w:val="22"/>
        </w:rPr>
        <w:t>quince mil seiscientos cuarenta y tres hojas</w:t>
      </w:r>
      <w:r>
        <w:rPr>
          <w:rFonts w:ascii="Palatino Linotype" w:eastAsia="Palatino Linotype" w:hAnsi="Palatino Linotype" w:cs="Palatino Linotype"/>
          <w:color w:val="000000"/>
          <w:sz w:val="22"/>
          <w:szCs w:val="22"/>
        </w:rPr>
        <w:t>; lo cual se traduce al hecho de que acreditó el impedimento para proporcionar la información, en la modalidad elegida, lo cual da como resultado, que sea procedente el cambio de modalidad, sin embargo, omitió ponerla a disposición en todas las modalidades posibles.</w:t>
      </w:r>
    </w:p>
    <w:p w14:paraId="7D4EEE1E" w14:textId="77777777" w:rsidR="006D4739" w:rsidRDefault="00ED6CB7">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resulta procedente ordenar al Sujeto Obligado a poner a disposición los documentos solicitados, 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Cabe señalar, que el Particular podrá presentar el medio de almacenamiento (USB, disco o disco externo), en las oficinas del Sujeto Obligado, a efecto de que se le proporcione la información de manera gratuita.</w:t>
      </w:r>
    </w:p>
    <w:p w14:paraId="5811F9F8" w14:textId="77777777" w:rsidR="006D4739" w:rsidRDefault="006D4739">
      <w:pPr>
        <w:spacing w:line="360" w:lineRule="auto"/>
        <w:ind w:right="-28"/>
        <w:jc w:val="both"/>
        <w:rPr>
          <w:rFonts w:ascii="Palatino Linotype" w:eastAsia="Palatino Linotype" w:hAnsi="Palatino Linotype" w:cs="Palatino Linotype"/>
          <w:sz w:val="22"/>
          <w:szCs w:val="22"/>
        </w:rPr>
      </w:pPr>
    </w:p>
    <w:p w14:paraId="44AF8FB6" w14:textId="77777777" w:rsidR="006D4739" w:rsidRDefault="00ED6CB7">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1E29132F" w14:textId="77777777" w:rsidR="006D4739" w:rsidRDefault="006D4739">
      <w:pPr>
        <w:spacing w:line="360" w:lineRule="auto"/>
        <w:jc w:val="both"/>
        <w:rPr>
          <w:rFonts w:ascii="Palatino Linotype" w:eastAsia="Palatino Linotype" w:hAnsi="Palatino Linotype" w:cs="Palatino Linotype"/>
          <w:sz w:val="22"/>
          <w:szCs w:val="22"/>
        </w:rPr>
      </w:pPr>
    </w:p>
    <w:p w14:paraId="28D1B24A"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Conforme a lo anterior, se considera que el Sujeto Obligado deberá poner a disposición de la persona Recurrente, en todas las modalidades que permita la documentación; además, el Sujeto Obligado deberá hacer del conocimiento al Particular que la información estará disponible, por un plazo mínimo de sesenta días naturales, a partir de la fecha en que ponga a disposición de la persona Recurrente la información, en términos del segundo párrafo del artículo 166 de la Ley de Transparencia y Acceso a la Información Pública del Estado de México y Municipios.</w:t>
      </w:r>
    </w:p>
    <w:p w14:paraId="0FB18DE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299DF2FF"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Si dentro del transcurso del término señalado en el párrafo anterior, </w:t>
      </w:r>
      <w:r>
        <w:rPr>
          <w:rFonts w:ascii="Palatino Linotype" w:eastAsia="Palatino Linotype" w:hAnsi="Palatino Linotype" w:cs="Palatino Linotype"/>
          <w:b/>
          <w:color w:val="000000"/>
          <w:sz w:val="22"/>
          <w:szCs w:val="22"/>
        </w:rPr>
        <w:t>el Particular acude por la información,</w:t>
      </w:r>
      <w:r>
        <w:rPr>
          <w:rFonts w:ascii="Palatino Linotype" w:eastAsia="Palatino Linotype" w:hAnsi="Palatino Linotype" w:cs="Palatino Linotype"/>
          <w:color w:val="000000"/>
          <w:sz w:val="22"/>
          <w:szCs w:val="22"/>
        </w:rPr>
        <w:t xml:space="preserve"> el Sujeto Obligado levantará un acta de hechos misma que debe ser remitida 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2B7FE1D3" w14:textId="77777777" w:rsidR="006D4739" w:rsidRDefault="006D4739">
      <w:pPr>
        <w:spacing w:line="360" w:lineRule="auto"/>
        <w:jc w:val="both"/>
        <w:rPr>
          <w:rFonts w:ascii="Palatino Linotype" w:eastAsia="Palatino Linotype" w:hAnsi="Palatino Linotype" w:cs="Palatino Linotype"/>
          <w:sz w:val="22"/>
          <w:szCs w:val="22"/>
        </w:rPr>
      </w:pPr>
    </w:p>
    <w:p w14:paraId="6407368A" w14:textId="77777777" w:rsidR="006D4739" w:rsidRDefault="00ED6CB7">
      <w:pP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no pasa desapercibido, que conforme a los artículos 44, fracción VII, 178 y179 del Bando de Policía y Gobierno de Temamatla, dos mil veinticuatro, el Sujeto Obligado cuenta con una Dirección de Seguridad Pública Municipal, encargada de garantizar el orden público y la paz social, a través de los mecanismos respectivos para la prevención de la comisión de </w:t>
      </w:r>
      <w:r>
        <w:rPr>
          <w:rFonts w:ascii="Palatino Linotype" w:eastAsia="Palatino Linotype" w:hAnsi="Palatino Linotype" w:cs="Palatino Linotype"/>
          <w:color w:val="000000"/>
          <w:sz w:val="22"/>
          <w:szCs w:val="22"/>
        </w:rPr>
        <w:lastRenderedPageBreak/>
        <w:t xml:space="preserve">cualquier delito, inhibir la manifestación de conductas antisociales, siempre con estricto respeto de los derecho humanos y del marco legal vigente. </w:t>
      </w:r>
    </w:p>
    <w:p w14:paraId="03C432A4" w14:textId="77777777" w:rsidR="006D4739" w:rsidRDefault="006D4739">
      <w:pPr>
        <w:spacing w:line="360" w:lineRule="auto"/>
        <w:ind w:right="-93"/>
        <w:jc w:val="both"/>
        <w:rPr>
          <w:rFonts w:ascii="Palatino Linotype" w:eastAsia="Palatino Linotype" w:hAnsi="Palatino Linotype" w:cs="Palatino Linotype"/>
          <w:color w:val="000000"/>
          <w:sz w:val="22"/>
          <w:szCs w:val="22"/>
        </w:rPr>
      </w:pPr>
    </w:p>
    <w:p w14:paraId="18D75D47"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192219E7" w14:textId="77777777" w:rsidR="006D4739" w:rsidRDefault="006D4739">
      <w:pPr>
        <w:tabs>
          <w:tab w:val="left" w:pos="4962"/>
        </w:tabs>
        <w:spacing w:line="360" w:lineRule="auto"/>
        <w:ind w:left="567" w:right="567"/>
        <w:jc w:val="both"/>
        <w:rPr>
          <w:rFonts w:ascii="Palatino Linotype" w:eastAsia="Palatino Linotype" w:hAnsi="Palatino Linotype" w:cs="Palatino Linotype"/>
          <w:i/>
        </w:rPr>
      </w:pPr>
    </w:p>
    <w:p w14:paraId="4C4873BB" w14:textId="77777777" w:rsidR="006D4739" w:rsidRDefault="00ED6CB7">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128CAB59" w14:textId="77777777" w:rsidR="006D4739" w:rsidRDefault="00ED6CB7">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9623B7" w14:textId="77777777" w:rsidR="006D4739" w:rsidRDefault="00ED6CB7">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Ponga en riesgo la vida, la seguridad o la salud de una persona física;</w:t>
      </w:r>
    </w:p>
    <w:p w14:paraId="4FE4E7AA" w14:textId="77777777" w:rsidR="006D4739" w:rsidRDefault="00ED6CB7">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1B9849D7" w14:textId="77777777" w:rsidR="006D4739" w:rsidRDefault="006D4739">
      <w:pPr>
        <w:spacing w:line="360" w:lineRule="auto"/>
        <w:jc w:val="both"/>
        <w:rPr>
          <w:rFonts w:ascii="Palatino Linotype" w:eastAsia="Palatino Linotype" w:hAnsi="Palatino Linotype" w:cs="Palatino Linotype"/>
          <w:sz w:val="22"/>
          <w:szCs w:val="22"/>
        </w:rPr>
      </w:pPr>
    </w:p>
    <w:p w14:paraId="3C5571D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34FDB39A" w14:textId="77777777" w:rsidR="006D4739" w:rsidRDefault="006D4739">
      <w:pPr>
        <w:spacing w:line="360" w:lineRule="auto"/>
        <w:jc w:val="both"/>
        <w:rPr>
          <w:rFonts w:ascii="Palatino Linotype" w:eastAsia="Palatino Linotype" w:hAnsi="Palatino Linotype" w:cs="Palatino Linotype"/>
          <w:sz w:val="22"/>
          <w:szCs w:val="22"/>
        </w:rPr>
      </w:pPr>
    </w:p>
    <w:p w14:paraId="03DFFB0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“Vigésimo tercero. </w:t>
      </w:r>
      <w:r>
        <w:rPr>
          <w:rFonts w:ascii="Palatino Linotype" w:eastAsia="Palatino Linotype" w:hAnsi="Palatino Linotype" w:cs="Palatino Linotype"/>
          <w:i/>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42AD29F5" w14:textId="77777777" w:rsidR="006D4739" w:rsidRDefault="006D4739">
      <w:pPr>
        <w:spacing w:line="360" w:lineRule="auto"/>
        <w:ind w:left="567" w:right="567"/>
        <w:jc w:val="both"/>
        <w:rPr>
          <w:rFonts w:ascii="Palatino Linotype" w:eastAsia="Palatino Linotype" w:hAnsi="Palatino Linotype" w:cs="Palatino Linotype"/>
          <w:i/>
        </w:rPr>
      </w:pPr>
    </w:p>
    <w:p w14:paraId="082F789E"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20330C5C" w14:textId="77777777" w:rsidR="006D4739" w:rsidRDefault="006D4739">
      <w:pPr>
        <w:spacing w:line="360" w:lineRule="auto"/>
        <w:jc w:val="both"/>
        <w:rPr>
          <w:rFonts w:ascii="Palatino Linotype" w:eastAsia="Palatino Linotype" w:hAnsi="Palatino Linotype" w:cs="Palatino Linotype"/>
          <w:sz w:val="22"/>
          <w:szCs w:val="22"/>
        </w:rPr>
      </w:pPr>
    </w:p>
    <w:p w14:paraId="616DD96C"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81, fracción III, de la Ley de Seguridad del Estado de México, establece lo siguiente:</w:t>
      </w:r>
    </w:p>
    <w:p w14:paraId="4E3AE052" w14:textId="77777777" w:rsidR="006D4739" w:rsidRDefault="006D4739">
      <w:pPr>
        <w:spacing w:line="360" w:lineRule="auto"/>
        <w:jc w:val="both"/>
        <w:rPr>
          <w:rFonts w:ascii="Palatino Linotype" w:eastAsia="Palatino Linotype" w:hAnsi="Palatino Linotype" w:cs="Palatino Linotype"/>
          <w:sz w:val="22"/>
          <w:szCs w:val="22"/>
        </w:rPr>
      </w:pPr>
    </w:p>
    <w:p w14:paraId="43BC8CB2"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336E5983"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B6CD00E"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III. La relativa a los servidores públicos integrantes de las instituciones de seguridad pública, cuya revelación pueda poner en riesgo su vida e integridad física con motivo de sus funciones;</w:t>
      </w:r>
    </w:p>
    <w:p w14:paraId="08767E48" w14:textId="77777777" w:rsidR="006D4739" w:rsidRDefault="00ED6CB7">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4D757CA" w14:textId="77777777" w:rsidR="006D4739" w:rsidRDefault="006D4739">
      <w:pPr>
        <w:spacing w:line="360" w:lineRule="auto"/>
        <w:jc w:val="both"/>
        <w:rPr>
          <w:rFonts w:ascii="Palatino Linotype" w:eastAsia="Palatino Linotype" w:hAnsi="Palatino Linotype" w:cs="Palatino Linotype"/>
        </w:rPr>
      </w:pPr>
    </w:p>
    <w:p w14:paraId="144FACBD"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4FA285A8"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28EE644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C8B0237" w14:textId="77777777" w:rsidR="006D4739" w:rsidRDefault="006D4739">
      <w:pPr>
        <w:spacing w:line="360" w:lineRule="auto"/>
        <w:jc w:val="both"/>
        <w:rPr>
          <w:rFonts w:ascii="Palatino Linotype" w:eastAsia="Palatino Linotype" w:hAnsi="Palatino Linotype" w:cs="Palatino Linotype"/>
          <w:sz w:val="22"/>
          <w:szCs w:val="22"/>
        </w:rPr>
      </w:pPr>
    </w:p>
    <w:p w14:paraId="5BE0D7D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resulta necesario traer a colación por analogía, el </w:t>
      </w:r>
      <w:r>
        <w:rPr>
          <w:rFonts w:ascii="Palatino Linotype" w:eastAsia="Palatino Linotype" w:hAnsi="Palatino Linotype" w:cs="Palatino Linotype"/>
          <w:color w:val="000000"/>
          <w:sz w:val="22"/>
          <w:szCs w:val="22"/>
        </w:rPr>
        <w:t xml:space="preserve">Criterio de interpretación, con número de registro SO/006/2009, de la Primera Época, </w:t>
      </w:r>
      <w:r>
        <w:rPr>
          <w:rFonts w:ascii="Palatino Linotype" w:eastAsia="Palatino Linotype" w:hAnsi="Palatino Linotype" w:cs="Palatino Linotype"/>
          <w:sz w:val="22"/>
          <w:szCs w:val="22"/>
        </w:rPr>
        <w:t>emitido por el entonces Instituto Federal de Acceso a la Información y Protección de Datos ahora Instituto Nacional de Transparencia, Acceso a la Información y Protección de Datos Personales, que establece lo siguiente:</w:t>
      </w:r>
    </w:p>
    <w:p w14:paraId="5BC42C9D" w14:textId="77777777" w:rsidR="006D4739" w:rsidRDefault="006D4739">
      <w:pPr>
        <w:spacing w:line="360" w:lineRule="auto"/>
        <w:jc w:val="both"/>
        <w:rPr>
          <w:rFonts w:ascii="Palatino Linotype" w:eastAsia="Palatino Linotype" w:hAnsi="Palatino Linotype" w:cs="Palatino Linotype"/>
          <w:i/>
          <w:sz w:val="22"/>
          <w:szCs w:val="22"/>
        </w:rPr>
      </w:pPr>
    </w:p>
    <w:p w14:paraId="0FF06C03" w14:textId="77777777" w:rsidR="006D4739" w:rsidRDefault="00ED6CB7">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“Nombres de servidores públicos dedicados a actividades en materia de seguridad, por excepción pueden considerarse información reservada.</w:t>
      </w:r>
      <w:r>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56C74ED" w14:textId="77777777" w:rsidR="006D4739" w:rsidRDefault="006D4739">
      <w:pPr>
        <w:spacing w:line="360" w:lineRule="auto"/>
        <w:jc w:val="both"/>
        <w:rPr>
          <w:rFonts w:ascii="Palatino Linotype" w:eastAsia="Palatino Linotype" w:hAnsi="Palatino Linotype" w:cs="Palatino Linotype"/>
          <w:sz w:val="22"/>
          <w:szCs w:val="22"/>
        </w:rPr>
      </w:pPr>
    </w:p>
    <w:p w14:paraId="7CCE66A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154554F0" w14:textId="77777777" w:rsidR="006D4739" w:rsidRDefault="006D4739">
      <w:pPr>
        <w:spacing w:line="360" w:lineRule="auto"/>
        <w:jc w:val="both"/>
        <w:rPr>
          <w:rFonts w:ascii="Palatino Linotype" w:eastAsia="Palatino Linotype" w:hAnsi="Palatino Linotype" w:cs="Palatino Linotype"/>
          <w:sz w:val="22"/>
          <w:szCs w:val="22"/>
        </w:rPr>
      </w:pPr>
    </w:p>
    <w:p w14:paraId="1FD8324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si bien por regla general los nombres de los trabajadores gubernamentales son información pública de oficio, existe una excepción relativa a </w:t>
      </w:r>
      <w:r>
        <w:rPr>
          <w:rFonts w:ascii="Palatino Linotype" w:eastAsia="Palatino Linotype" w:hAnsi="Palatino Linotype" w:cs="Palatino Linotype"/>
          <w:b/>
          <w:sz w:val="22"/>
          <w:szCs w:val="22"/>
        </w:rPr>
        <w:t>aquellos que realicen actividades operativas en materia de seguridad,</w:t>
      </w:r>
      <w:r>
        <w:rPr>
          <w:rFonts w:ascii="Palatino Linotype" w:eastAsia="Palatino Linotype" w:hAnsi="Palatino Linotype" w:cs="Palatino Linotype"/>
          <w:sz w:val="22"/>
          <w:szCs w:val="22"/>
        </w:rPr>
        <w:t xml:space="preserve"> como es el caso de los elementos operativos y la policía municipal.</w:t>
      </w:r>
    </w:p>
    <w:p w14:paraId="440CFB39" w14:textId="77777777" w:rsidR="006D4739" w:rsidRDefault="006D4739">
      <w:pPr>
        <w:spacing w:line="360" w:lineRule="auto"/>
        <w:jc w:val="both"/>
        <w:rPr>
          <w:rFonts w:ascii="Palatino Linotype" w:eastAsia="Palatino Linotype" w:hAnsi="Palatino Linotype" w:cs="Palatino Linotype"/>
          <w:sz w:val="22"/>
          <w:szCs w:val="22"/>
        </w:rPr>
      </w:pPr>
    </w:p>
    <w:p w14:paraId="410E8D1A"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6647FEA7" w14:textId="77777777" w:rsidR="006D4739" w:rsidRDefault="006D4739">
      <w:pPr>
        <w:spacing w:line="360" w:lineRule="auto"/>
        <w:jc w:val="both"/>
        <w:rPr>
          <w:rFonts w:ascii="Palatino Linotype" w:eastAsia="Palatino Linotype" w:hAnsi="Palatino Linotype" w:cs="Palatino Linotype"/>
          <w:sz w:val="22"/>
          <w:szCs w:val="22"/>
        </w:rPr>
      </w:pPr>
    </w:p>
    <w:p w14:paraId="73012F32"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6°, fracciones XI y XII de dicho ordenamiento jurídico, establece los siguientes conceptos:</w:t>
      </w:r>
    </w:p>
    <w:p w14:paraId="0F7C8BE6" w14:textId="77777777" w:rsidR="006D4739" w:rsidRDefault="006D4739">
      <w:pPr>
        <w:spacing w:line="360" w:lineRule="auto"/>
        <w:jc w:val="both"/>
        <w:rPr>
          <w:rFonts w:ascii="Palatino Linotype" w:eastAsia="Palatino Linotype" w:hAnsi="Palatino Linotype" w:cs="Palatino Linotype"/>
          <w:sz w:val="22"/>
          <w:szCs w:val="22"/>
        </w:rPr>
      </w:pPr>
    </w:p>
    <w:p w14:paraId="380FBE69" w14:textId="77777777" w:rsidR="006D4739" w:rsidRDefault="00ED6CB7">
      <w:pPr>
        <w:numPr>
          <w:ilvl w:val="0"/>
          <w:numId w:val="6"/>
        </w:numPr>
        <w:spacing w:after="16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Instituciones Policiales: </w:t>
      </w:r>
      <w:r>
        <w:rPr>
          <w:rFonts w:ascii="Palatino Linotype" w:eastAsia="Palatino Linotype" w:hAnsi="Palatino Linotype" w:cs="Palatino Linotype"/>
          <w:sz w:val="22"/>
          <w:szCs w:val="22"/>
        </w:rPr>
        <w:t xml:space="preserve">Son los cuerpos de policía, de vigilancia y custodia de los establecimientos penitenciarios, detención preventiva, centros de arraigo y en </w:t>
      </w:r>
      <w:r>
        <w:rPr>
          <w:rFonts w:ascii="Palatino Linotype" w:eastAsia="Palatino Linotype" w:hAnsi="Palatino Linotype" w:cs="Palatino Linotype"/>
          <w:sz w:val="22"/>
          <w:szCs w:val="22"/>
        </w:rPr>
        <w:lastRenderedPageBreak/>
        <w:t xml:space="preserve">general, </w:t>
      </w:r>
      <w:r>
        <w:rPr>
          <w:rFonts w:ascii="Palatino Linotype" w:eastAsia="Palatino Linotype" w:hAnsi="Palatino Linotype" w:cs="Palatino Linotype"/>
          <w:b/>
          <w:sz w:val="22"/>
          <w:szCs w:val="22"/>
        </w:rPr>
        <w:t>todas las dependencias encargadas de la seguridad pública a nivel</w:t>
      </w:r>
      <w:r>
        <w:rPr>
          <w:rFonts w:ascii="Palatino Linotype" w:eastAsia="Palatino Linotype" w:hAnsi="Palatino Linotype" w:cs="Palatino Linotype"/>
          <w:sz w:val="22"/>
          <w:szCs w:val="22"/>
        </w:rPr>
        <w:t xml:space="preserve"> estatal y </w:t>
      </w:r>
      <w:r>
        <w:rPr>
          <w:rFonts w:ascii="Palatino Linotype" w:eastAsia="Palatino Linotype" w:hAnsi="Palatino Linotype" w:cs="Palatino Linotype"/>
          <w:b/>
          <w:sz w:val="22"/>
          <w:szCs w:val="22"/>
        </w:rPr>
        <w:t>municipal.</w:t>
      </w:r>
    </w:p>
    <w:p w14:paraId="4F08A367" w14:textId="77777777" w:rsidR="006D4739" w:rsidRDefault="006D4739">
      <w:pPr>
        <w:spacing w:line="360" w:lineRule="auto"/>
        <w:ind w:left="720"/>
        <w:jc w:val="both"/>
        <w:rPr>
          <w:rFonts w:ascii="Palatino Linotype" w:eastAsia="Palatino Linotype" w:hAnsi="Palatino Linotype" w:cs="Palatino Linotype"/>
          <w:sz w:val="22"/>
          <w:szCs w:val="22"/>
        </w:rPr>
      </w:pPr>
    </w:p>
    <w:p w14:paraId="1971776B" w14:textId="77777777" w:rsidR="006D4739" w:rsidRDefault="00ED6CB7">
      <w:pPr>
        <w:numPr>
          <w:ilvl w:val="0"/>
          <w:numId w:val="6"/>
        </w:numPr>
        <w:spacing w:after="16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Instituciones de Seguridad Pública: </w:t>
      </w:r>
      <w:r>
        <w:rPr>
          <w:rFonts w:ascii="Palatino Linotype" w:eastAsia="Palatino Linotype" w:hAnsi="Palatino Linotype" w:cs="Palatino Linotype"/>
          <w:sz w:val="22"/>
          <w:szCs w:val="22"/>
        </w:rPr>
        <w:t xml:space="preserve">Instituciones Policiales, Procuración de Justicia, Sistema Penitenciario y </w:t>
      </w:r>
      <w:r>
        <w:rPr>
          <w:rFonts w:ascii="Palatino Linotype" w:eastAsia="Palatino Linotype" w:hAnsi="Palatino Linotype" w:cs="Palatino Linotype"/>
          <w:b/>
          <w:sz w:val="22"/>
          <w:szCs w:val="22"/>
        </w:rPr>
        <w:t xml:space="preserve">dependencias encargadas de la seguridad pública a nivel </w:t>
      </w:r>
      <w:r>
        <w:rPr>
          <w:rFonts w:ascii="Palatino Linotype" w:eastAsia="Palatino Linotype" w:hAnsi="Palatino Linotype" w:cs="Palatino Linotype"/>
          <w:sz w:val="22"/>
          <w:szCs w:val="22"/>
        </w:rPr>
        <w:t xml:space="preserve">estatal y </w:t>
      </w:r>
      <w:r>
        <w:rPr>
          <w:rFonts w:ascii="Palatino Linotype" w:eastAsia="Palatino Linotype" w:hAnsi="Palatino Linotype" w:cs="Palatino Linotype"/>
          <w:b/>
          <w:sz w:val="22"/>
          <w:szCs w:val="22"/>
        </w:rPr>
        <w:t>municipal.</w:t>
      </w:r>
    </w:p>
    <w:p w14:paraId="30FF04E9" w14:textId="77777777" w:rsidR="006D4739" w:rsidRDefault="006D4739">
      <w:pPr>
        <w:spacing w:line="360" w:lineRule="auto"/>
        <w:jc w:val="both"/>
        <w:rPr>
          <w:rFonts w:ascii="Palatino Linotype" w:eastAsia="Palatino Linotype" w:hAnsi="Palatino Linotype" w:cs="Palatino Linotype"/>
          <w:b/>
          <w:sz w:val="22"/>
          <w:szCs w:val="22"/>
        </w:rPr>
      </w:pPr>
    </w:p>
    <w:p w14:paraId="426C2B9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puede deducir que la</w:t>
      </w:r>
      <w:r>
        <w:rPr>
          <w:rFonts w:ascii="Palatino Linotype" w:eastAsia="Palatino Linotype" w:hAnsi="Palatino Linotype" w:cs="Palatino Linotype"/>
          <w:color w:val="000000"/>
          <w:sz w:val="22"/>
          <w:szCs w:val="22"/>
        </w:rPr>
        <w:t xml:space="preserve"> Comisaría General de Seguridad Pública y Tránsito Municipal</w:t>
      </w:r>
      <w:r>
        <w:rPr>
          <w:rFonts w:ascii="Palatino Linotype" w:eastAsia="Palatino Linotype" w:hAnsi="Palatino Linotype" w:cs="Palatino Linotype"/>
          <w:sz w:val="22"/>
          <w:szCs w:val="22"/>
        </w:rPr>
        <w:t>, es una institución de seguridad pública, pues tiene como atribución principal, la prevención de delitos y proteger a las personas, sus propiedades, posesiones y derechos.</w:t>
      </w:r>
    </w:p>
    <w:p w14:paraId="4AD154F6" w14:textId="77777777" w:rsidR="006D4739" w:rsidRDefault="006D4739">
      <w:pPr>
        <w:spacing w:line="360" w:lineRule="auto"/>
        <w:jc w:val="both"/>
        <w:rPr>
          <w:rFonts w:ascii="Palatino Linotype" w:eastAsia="Palatino Linotype" w:hAnsi="Palatino Linotype" w:cs="Palatino Linotype"/>
          <w:sz w:val="22"/>
          <w:szCs w:val="22"/>
        </w:rPr>
      </w:pPr>
    </w:p>
    <w:p w14:paraId="5BB54D0A" w14:textId="77777777" w:rsidR="006D4739" w:rsidRDefault="00ED6CB7">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el Instructivo de llenado del Formato “Personal de Seguridad Pública”, del Secretariado Ejecutivo del Sistema Nacional de Seguridad Pública (consultado el quince de junio de dos mil veintitrés, en la liga electrónica </w:t>
      </w:r>
      <w:hyperlink r:id="rId10">
        <w:r>
          <w:rPr>
            <w:rFonts w:ascii="Palatino Linotype" w:eastAsia="Palatino Linotype" w:hAnsi="Palatino Linotype" w:cs="Palatino Linotype"/>
            <w:color w:val="0563C1"/>
            <w:sz w:val="22"/>
            <w:szCs w:val="22"/>
            <w:u w:val="single"/>
          </w:rPr>
          <w:t>http://secretariadoejecutivo.gob.mx/work/models/SecretariadoEjecutivo/Resource/328/1/images/instructivo_final_edo_fuerza(1).pdf</w:t>
        </w:r>
      </w:hyperlink>
      <w:r>
        <w:rPr>
          <w:rFonts w:ascii="Palatino Linotype" w:eastAsia="Palatino Linotype" w:hAnsi="Palatino Linotype" w:cs="Palatino Linotype"/>
          <w:sz w:val="22"/>
          <w:szCs w:val="22"/>
        </w:rPr>
        <w:t xml:space="preserve">), establece que los elementos operativos de seguridad pública, son aquellos que desempeñan funciones de campo (policiacas, especializadas o equivalentes y que no </w:t>
      </w:r>
      <w:r>
        <w:rPr>
          <w:rFonts w:ascii="Palatino Linotype" w:eastAsia="Palatino Linotype" w:hAnsi="Palatino Linotype" w:cs="Palatino Linotype"/>
          <w:b/>
          <w:sz w:val="22"/>
          <w:szCs w:val="22"/>
        </w:rPr>
        <w:t>desempeña funciones de mando</w:t>
      </w:r>
      <w:r>
        <w:rPr>
          <w:rFonts w:ascii="Palatino Linotype" w:eastAsia="Palatino Linotype" w:hAnsi="Palatino Linotype" w:cs="Palatino Linotype"/>
          <w:sz w:val="22"/>
          <w:szCs w:val="22"/>
        </w:rPr>
        <w:t xml:space="preserve">), entre los cuales, se encuentra </w:t>
      </w:r>
      <w:r>
        <w:rPr>
          <w:rFonts w:ascii="Palatino Linotype" w:eastAsia="Palatino Linotype" w:hAnsi="Palatino Linotype" w:cs="Palatino Linotype"/>
          <w:b/>
          <w:sz w:val="22"/>
          <w:szCs w:val="22"/>
        </w:rPr>
        <w:t>la Policía Municipal</w:t>
      </w:r>
      <w:r>
        <w:rPr>
          <w:rFonts w:ascii="Palatino Linotype" w:eastAsia="Palatino Linotype" w:hAnsi="Palatino Linotype" w:cs="Palatino Linotype"/>
          <w:sz w:val="22"/>
          <w:szCs w:val="22"/>
        </w:rPr>
        <w:t>.</w:t>
      </w:r>
    </w:p>
    <w:p w14:paraId="55595325" w14:textId="77777777" w:rsidR="006D4739" w:rsidRDefault="006D4739">
      <w:pPr>
        <w:tabs>
          <w:tab w:val="left" w:pos="4962"/>
        </w:tabs>
        <w:spacing w:line="360" w:lineRule="auto"/>
        <w:ind w:right="-28"/>
        <w:jc w:val="both"/>
        <w:rPr>
          <w:rFonts w:ascii="Palatino Linotype" w:eastAsia="Palatino Linotype" w:hAnsi="Palatino Linotype" w:cs="Palatino Linotype"/>
          <w:sz w:val="22"/>
          <w:szCs w:val="22"/>
        </w:rPr>
      </w:pPr>
    </w:p>
    <w:p w14:paraId="5ED79C77" w14:textId="77777777" w:rsidR="006D4739" w:rsidRDefault="00ED6CB7">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advierte que las Instituciones Policiales, se conforman del personal administrativo, que son los trabajadores de apoyo (chofer, personal de mantenimiento, servicios generales y área secretaria); así como, el personal de mando (alto, medio y </w:t>
      </w:r>
      <w:r>
        <w:rPr>
          <w:rFonts w:ascii="Palatino Linotype" w:eastAsia="Palatino Linotype" w:hAnsi="Palatino Linotype" w:cs="Palatino Linotype"/>
          <w:sz w:val="22"/>
          <w:szCs w:val="22"/>
        </w:rPr>
        <w:lastRenderedPageBreak/>
        <w:t>superior), que es aquel que realiza funciones de dirección, coordinación y supervisión, por lo cual, corresponde a aquel que tenga trabajadores a su cargo.</w:t>
      </w:r>
    </w:p>
    <w:p w14:paraId="109A5BE6" w14:textId="77777777" w:rsidR="006D4739" w:rsidRDefault="006D4739">
      <w:pPr>
        <w:spacing w:line="360" w:lineRule="auto"/>
        <w:jc w:val="both"/>
        <w:rPr>
          <w:rFonts w:ascii="Palatino Linotype" w:eastAsia="Palatino Linotype" w:hAnsi="Palatino Linotype" w:cs="Palatino Linotype"/>
          <w:sz w:val="22"/>
          <w:szCs w:val="22"/>
        </w:rPr>
      </w:pPr>
    </w:p>
    <w:p w14:paraId="0CC431C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DB6E4CD" w14:textId="77777777" w:rsidR="006D4739" w:rsidRDefault="006D4739">
      <w:pPr>
        <w:spacing w:line="360" w:lineRule="auto"/>
        <w:jc w:val="both"/>
        <w:rPr>
          <w:rFonts w:ascii="Palatino Linotype" w:eastAsia="Palatino Linotype" w:hAnsi="Palatino Linotype" w:cs="Palatino Linotype"/>
          <w:sz w:val="22"/>
          <w:szCs w:val="22"/>
        </w:rPr>
      </w:pPr>
    </w:p>
    <w:p w14:paraId="4C74852F"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D262774" w14:textId="77777777" w:rsidR="006D4739" w:rsidRDefault="006D4739">
      <w:pPr>
        <w:spacing w:line="360" w:lineRule="auto"/>
        <w:jc w:val="both"/>
        <w:rPr>
          <w:rFonts w:ascii="Palatino Linotype" w:eastAsia="Palatino Linotype" w:hAnsi="Palatino Linotype" w:cs="Palatino Linotype"/>
          <w:sz w:val="22"/>
          <w:szCs w:val="22"/>
        </w:rPr>
      </w:pPr>
    </w:p>
    <w:p w14:paraId="2BC45CA4"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w:t>
      </w:r>
      <w:r>
        <w:rPr>
          <w:rFonts w:ascii="Palatino Linotype" w:eastAsia="Palatino Linotype" w:hAnsi="Palatino Linotype" w:cs="Palatino Linotype"/>
          <w:sz w:val="22"/>
          <w:szCs w:val="22"/>
        </w:rPr>
        <w:lastRenderedPageBreak/>
        <w:t>con el fin de entorpecer o disminuir la seguridad pública y aumentar la comisión de actos ilícitos.</w:t>
      </w:r>
    </w:p>
    <w:p w14:paraId="2722CEB4" w14:textId="77777777" w:rsidR="006D4739" w:rsidRDefault="006D4739">
      <w:pPr>
        <w:spacing w:line="360" w:lineRule="auto"/>
        <w:jc w:val="both"/>
        <w:rPr>
          <w:rFonts w:ascii="Palatino Linotype" w:eastAsia="Palatino Linotype" w:hAnsi="Palatino Linotype" w:cs="Palatino Linotype"/>
          <w:sz w:val="22"/>
          <w:szCs w:val="22"/>
        </w:rPr>
      </w:pPr>
    </w:p>
    <w:p w14:paraId="7D60A208"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7F351A84" w14:textId="77777777" w:rsidR="006D4739" w:rsidRDefault="006D4739">
      <w:pPr>
        <w:spacing w:line="360" w:lineRule="auto"/>
        <w:jc w:val="both"/>
        <w:rPr>
          <w:rFonts w:ascii="Palatino Linotype" w:eastAsia="Palatino Linotype" w:hAnsi="Palatino Linotype" w:cs="Palatino Linotype"/>
          <w:sz w:val="22"/>
          <w:szCs w:val="22"/>
        </w:rPr>
      </w:pPr>
    </w:p>
    <w:p w14:paraId="334745D8"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tales consideraciones, </w:t>
      </w:r>
      <w:r>
        <w:rPr>
          <w:rFonts w:ascii="Palatino Linotype" w:eastAsia="Palatino Linotype" w:hAnsi="Palatino Linotype" w:cs="Palatino Linotype"/>
          <w:b/>
          <w:sz w:val="22"/>
          <w:szCs w:val="22"/>
        </w:rPr>
        <w:t xml:space="preserve">resulta procedente la reserva del nombre de los elementos operativos adscritos a la </w:t>
      </w:r>
      <w:r>
        <w:rPr>
          <w:rFonts w:ascii="Palatino Linotype" w:eastAsia="Palatino Linotype" w:hAnsi="Palatino Linotype" w:cs="Palatino Linotype"/>
          <w:b/>
          <w:color w:val="000000"/>
          <w:sz w:val="22"/>
          <w:szCs w:val="22"/>
        </w:rPr>
        <w:t>Comisaría General de Seguridad Pública y Tránsito Municipal</w:t>
      </w:r>
      <w:r>
        <w:rPr>
          <w:rFonts w:ascii="Palatino Linotype" w:eastAsia="Palatino Linotype" w:hAnsi="Palatino Linotype" w:cs="Palatino Linotype"/>
          <w:b/>
          <w:sz w:val="22"/>
          <w:szCs w:val="22"/>
        </w:rPr>
        <w:t xml:space="preserve">, en términos del artículo 140, fracción IV, de </w:t>
      </w:r>
      <w:proofErr w:type="spellStart"/>
      <w:r>
        <w:rPr>
          <w:rFonts w:ascii="Palatino Linotype" w:eastAsia="Palatino Linotype" w:hAnsi="Palatino Linotype" w:cs="Palatino Linotype"/>
          <w:b/>
          <w:sz w:val="22"/>
          <w:szCs w:val="22"/>
        </w:rPr>
        <w:t>de</w:t>
      </w:r>
      <w:proofErr w:type="spellEnd"/>
      <w:r>
        <w:rPr>
          <w:rFonts w:ascii="Palatino Linotype" w:eastAsia="Palatino Linotype" w:hAnsi="Palatino Linotype" w:cs="Palatino Linotype"/>
          <w:b/>
          <w:sz w:val="22"/>
          <w:szCs w:val="22"/>
        </w:rPr>
        <w:t xml:space="preserve"> la Ley de Transparencia y Acceso a la Información Pública del Estado de México y Municipios.</w:t>
      </w:r>
    </w:p>
    <w:p w14:paraId="504F4E1A" w14:textId="77777777" w:rsidR="006D4739" w:rsidRDefault="006D4739">
      <w:pPr>
        <w:spacing w:line="360" w:lineRule="auto"/>
        <w:jc w:val="both"/>
        <w:rPr>
          <w:rFonts w:ascii="Palatino Linotype" w:eastAsia="Palatino Linotype" w:hAnsi="Palatino Linotype" w:cs="Palatino Linotype"/>
          <w:b/>
          <w:sz w:val="22"/>
          <w:szCs w:val="22"/>
        </w:rPr>
      </w:pPr>
    </w:p>
    <w:p w14:paraId="0D742519" w14:textId="77777777" w:rsidR="006D4739" w:rsidRDefault="00ED6CB7">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3BBFE7E7" w14:textId="77777777" w:rsidR="006D4739" w:rsidRDefault="006D4739">
      <w:pPr>
        <w:tabs>
          <w:tab w:val="left" w:pos="4962"/>
        </w:tabs>
        <w:spacing w:line="360" w:lineRule="auto"/>
        <w:jc w:val="both"/>
        <w:rPr>
          <w:rFonts w:ascii="Palatino Linotype" w:eastAsia="Palatino Linotype" w:hAnsi="Palatino Linotype" w:cs="Palatino Linotype"/>
          <w:sz w:val="22"/>
          <w:szCs w:val="22"/>
        </w:rPr>
      </w:pPr>
    </w:p>
    <w:p w14:paraId="4C306F1F" w14:textId="77777777" w:rsidR="006D4739" w:rsidRDefault="00ED6CB7">
      <w:pPr>
        <w:numPr>
          <w:ilvl w:val="0"/>
          <w:numId w:val="7"/>
        </w:numPr>
        <w:tabs>
          <w:tab w:val="left" w:pos="4962"/>
        </w:tabs>
        <w:spacing w:after="160" w:line="360" w:lineRule="auto"/>
        <w:ind w:left="709" w:hanging="43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7923C8CE" w14:textId="77777777" w:rsidR="006D4739" w:rsidRDefault="006D4739">
      <w:pPr>
        <w:tabs>
          <w:tab w:val="left" w:pos="4962"/>
        </w:tabs>
        <w:spacing w:line="360" w:lineRule="auto"/>
        <w:ind w:left="709"/>
        <w:jc w:val="both"/>
        <w:rPr>
          <w:rFonts w:ascii="Palatino Linotype" w:eastAsia="Palatino Linotype" w:hAnsi="Palatino Linotype" w:cs="Palatino Linotype"/>
          <w:sz w:val="22"/>
          <w:szCs w:val="22"/>
        </w:rPr>
      </w:pPr>
    </w:p>
    <w:p w14:paraId="6CDB9127" w14:textId="77777777" w:rsidR="006D4739" w:rsidRDefault="00ED6CB7">
      <w:pPr>
        <w:numPr>
          <w:ilvl w:val="0"/>
          <w:numId w:val="7"/>
        </w:numPr>
        <w:tabs>
          <w:tab w:val="left" w:pos="4962"/>
        </w:tabs>
        <w:spacing w:after="160" w:line="360" w:lineRule="auto"/>
        <w:ind w:left="709" w:hanging="43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supera el interés público general de que se difunda.</w:t>
      </w:r>
    </w:p>
    <w:p w14:paraId="3E5C6AFF" w14:textId="77777777" w:rsidR="006D4739" w:rsidRDefault="006D4739">
      <w:pPr>
        <w:spacing w:line="360" w:lineRule="auto"/>
        <w:ind w:left="720"/>
        <w:rPr>
          <w:rFonts w:ascii="Century Gothic" w:eastAsia="Century Gothic" w:hAnsi="Century Gothic" w:cs="Century Gothic"/>
          <w:sz w:val="22"/>
          <w:szCs w:val="22"/>
        </w:rPr>
      </w:pPr>
    </w:p>
    <w:p w14:paraId="7A818CC7" w14:textId="77777777" w:rsidR="006D4739" w:rsidRDefault="00ED6CB7">
      <w:pPr>
        <w:numPr>
          <w:ilvl w:val="0"/>
          <w:numId w:val="7"/>
        </w:numPr>
        <w:tabs>
          <w:tab w:val="left" w:pos="4962"/>
        </w:tabs>
        <w:spacing w:after="160" w:line="360" w:lineRule="auto"/>
        <w:ind w:left="709" w:hanging="43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5702ADD2" w14:textId="77777777" w:rsidR="006D4739" w:rsidRDefault="006D4739">
      <w:pPr>
        <w:spacing w:line="360" w:lineRule="auto"/>
        <w:rPr>
          <w:rFonts w:ascii="Palatino Linotype" w:eastAsia="Palatino Linotype" w:hAnsi="Palatino Linotype" w:cs="Palatino Linotype"/>
          <w:sz w:val="22"/>
          <w:szCs w:val="22"/>
        </w:rPr>
      </w:pPr>
    </w:p>
    <w:p w14:paraId="1CD3312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w:t>
      </w:r>
      <w:r>
        <w:rPr>
          <w:rFonts w:ascii="Palatino Linotype" w:eastAsia="Palatino Linotype" w:hAnsi="Palatino Linotype" w:cs="Palatino Linotype"/>
          <w:color w:val="000000"/>
          <w:sz w:val="22"/>
          <w:szCs w:val="22"/>
        </w:rPr>
        <w:t xml:space="preserve"> Comisaría General de Seguridad Pública y Tránsito Municipal,</w:t>
      </w:r>
      <w:r>
        <w:rPr>
          <w:rFonts w:ascii="Palatino Linotype" w:eastAsia="Palatino Linotype" w:hAnsi="Palatino Linotype" w:cs="Palatino Linotype"/>
          <w:sz w:val="22"/>
          <w:szCs w:val="22"/>
        </w:rPr>
        <w:t xml:space="preserve"> de manera fundada y motivada, mediante la respectiva prueba de daño.</w:t>
      </w:r>
    </w:p>
    <w:p w14:paraId="6D105850" w14:textId="77777777" w:rsidR="006D4739" w:rsidRDefault="006D4739">
      <w:pPr>
        <w:spacing w:line="360" w:lineRule="auto"/>
        <w:jc w:val="both"/>
        <w:rPr>
          <w:rFonts w:ascii="Palatino Linotype" w:eastAsia="Palatino Linotype" w:hAnsi="Palatino Linotype" w:cs="Palatino Linotype"/>
          <w:sz w:val="22"/>
          <w:szCs w:val="22"/>
        </w:rPr>
      </w:pPr>
    </w:p>
    <w:p w14:paraId="2718DE0A" w14:textId="77777777" w:rsidR="006D4739" w:rsidRDefault="00ED6CB7">
      <w:pPr>
        <w:spacing w:line="360" w:lineRule="auto"/>
        <w:ind w:right="-3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2"/>
          <w:szCs w:val="22"/>
        </w:rPr>
        <w:t>Ahora bien, no pasa desapercibido que la información solicitada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pudieran contener datos o información clasificada</w:t>
      </w:r>
      <w:r>
        <w:rPr>
          <w:rFonts w:ascii="Palatino Linotype" w:eastAsia="Palatino Linotype" w:hAnsi="Palatino Linotype" w:cs="Palatino Linotype"/>
          <w:sz w:val="22"/>
          <w:szCs w:val="22"/>
        </w:rPr>
        <w:t xml:space="preserve"> conforme a lo siguiente:</w:t>
      </w:r>
    </w:p>
    <w:p w14:paraId="000AEB8C" w14:textId="77777777" w:rsidR="006D4739" w:rsidRDefault="006D4739">
      <w:pPr>
        <w:widowControl w:val="0"/>
        <w:tabs>
          <w:tab w:val="center" w:pos="4522"/>
        </w:tabs>
        <w:spacing w:line="360" w:lineRule="auto"/>
        <w:jc w:val="both"/>
        <w:rPr>
          <w:rFonts w:ascii="Palatino Linotype" w:eastAsia="Palatino Linotype" w:hAnsi="Palatino Linotype" w:cs="Palatino Linotype"/>
          <w:color w:val="000000"/>
          <w:sz w:val="22"/>
          <w:szCs w:val="22"/>
        </w:rPr>
      </w:pPr>
    </w:p>
    <w:p w14:paraId="3DFAF908"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Clave Única de Registro de Población;</w:t>
      </w:r>
    </w:p>
    <w:p w14:paraId="603070F6"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Registro Federal de Contribuyentes;</w:t>
      </w:r>
    </w:p>
    <w:p w14:paraId="3D6A78AA"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Código bidimensional o QR;</w:t>
      </w:r>
    </w:p>
    <w:p w14:paraId="38A3EFCB"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seguridad social del Instituto de Seguridad Social del Estado de México y Municipios;</w:t>
      </w:r>
    </w:p>
    <w:p w14:paraId="04331704"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Deducciones personales;</w:t>
      </w:r>
    </w:p>
    <w:p w14:paraId="3706A6E1" w14:textId="77777777" w:rsidR="006D4739" w:rsidRDefault="00ED6CB7">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Sellos digitales del emisor y del Servicio de Administración Tributaria y cadena original del complemento de certificación digital del órgano previamente señalado;</w:t>
      </w:r>
    </w:p>
    <w:p w14:paraId="153CE8F2"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5CC15245"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resulta procedente analizar si dichos datos son públicos o privados; para lo cual, el artículo 143, fracción I, de la Ley de la materia, establece que la información privada y los datos personales, concernientes a una persona física o jurídica colectiva identificada o identificable son confidenciales.</w:t>
      </w:r>
    </w:p>
    <w:p w14:paraId="7F7E1068"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224862D7"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E048BB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1F712C33"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términos de lo expuesto, la documentación y aquellos datos que se consideren confidenciales, serán una limitante del derecho de acceso a la información, siempre y cuando:</w:t>
      </w:r>
    </w:p>
    <w:p w14:paraId="53B95AE5"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08E0F024" w14:textId="77777777" w:rsidR="006D4739" w:rsidRDefault="00ED6CB7">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trate de datos personales o información privada; esto es, información concerniente a una persona física o jurídico colectiva y que esta sea identificada o identificable. </w:t>
      </w:r>
    </w:p>
    <w:p w14:paraId="38694C9A" w14:textId="77777777" w:rsidR="006D4739" w:rsidRDefault="006D4739">
      <w:pPr>
        <w:spacing w:line="360" w:lineRule="auto"/>
        <w:ind w:left="720"/>
        <w:jc w:val="both"/>
        <w:rPr>
          <w:rFonts w:ascii="Palatino Linotype" w:eastAsia="Palatino Linotype" w:hAnsi="Palatino Linotype" w:cs="Palatino Linotype"/>
          <w:color w:val="000000"/>
          <w:sz w:val="22"/>
          <w:szCs w:val="22"/>
        </w:rPr>
      </w:pPr>
    </w:p>
    <w:p w14:paraId="3AAC7A46" w14:textId="77777777" w:rsidR="006D4739" w:rsidRDefault="00ED6CB7">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la difusión de los datos, se requiera el consentimiento del titular. </w:t>
      </w:r>
    </w:p>
    <w:p w14:paraId="05DBB077"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580D8152"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19271A8E"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0C32856B" w14:textId="77777777" w:rsidR="006D4739" w:rsidRDefault="00ED6CB7">
      <w:pPr>
        <w:numPr>
          <w:ilvl w:val="0"/>
          <w:numId w:val="11"/>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Clave Única de Registro de Población (CURP)</w:t>
      </w:r>
    </w:p>
    <w:p w14:paraId="09350675"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52456CE7"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C6FAED0"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739233AE"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AD59D69"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0004A116"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 ese orden de ideas, la Secretaría de Gobernación en las direcciones https://consultas.curp.gob.mx/CurpSP/html/informacionecurpPS.html y https://www.gob.mx/segob/renapo/acciones-y-programas/clave-unica-de-registro-de-</w:t>
      </w:r>
    </w:p>
    <w:p w14:paraId="4CA47799"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00000"/>
          <w:sz w:val="22"/>
          <w:szCs w:val="22"/>
        </w:rPr>
        <w:t>se generan a partir de los datos contenidos en el documento probatorio de la identidad del interesado</w:t>
      </w:r>
      <w:r>
        <w:rPr>
          <w:rFonts w:ascii="Palatino Linotype" w:eastAsia="Palatino Linotype" w:hAnsi="Palatino Linotype" w:cs="Palatino Linotype"/>
          <w:color w:val="000000"/>
          <w:sz w:val="22"/>
          <w:szCs w:val="22"/>
        </w:rPr>
        <w:t xml:space="preserve"> (acta de nacimiento, carta de naturalización o documento migratorio) de la siguiente forma:</w:t>
      </w:r>
    </w:p>
    <w:p w14:paraId="5C8D01AC"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28860A10" w14:textId="77777777" w:rsidR="006D4739" w:rsidRDefault="00ED6CB7">
      <w:pPr>
        <w:numPr>
          <w:ilvl w:val="0"/>
          <w:numId w:val="12"/>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primero y segundo apellidos, así como al nombre de pila;</w:t>
      </w:r>
    </w:p>
    <w:p w14:paraId="393CD4D7" w14:textId="77777777" w:rsidR="006D4739" w:rsidRDefault="00ED6CB7">
      <w:pPr>
        <w:numPr>
          <w:ilvl w:val="0"/>
          <w:numId w:val="12"/>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fecha de nacimiento;</w:t>
      </w:r>
    </w:p>
    <w:p w14:paraId="6DBE0B74" w14:textId="77777777" w:rsidR="006D4739" w:rsidRDefault="00ED6CB7">
      <w:pPr>
        <w:numPr>
          <w:ilvl w:val="0"/>
          <w:numId w:val="12"/>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sexo, y</w:t>
      </w:r>
    </w:p>
    <w:p w14:paraId="2ECA48B1" w14:textId="77777777" w:rsidR="006D4739" w:rsidRDefault="00ED6CB7">
      <w:pPr>
        <w:numPr>
          <w:ilvl w:val="0"/>
          <w:numId w:val="12"/>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entidad federativa de nacimiento.</w:t>
      </w:r>
    </w:p>
    <w:p w14:paraId="21538957"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1CC89CAF"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dos últimos elementos de la Clave Única de Registro de Población evitan la duplicidad de la Clave y garantizan su correcta integración.</w:t>
      </w:r>
    </w:p>
    <w:p w14:paraId="572FA364"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599C078C"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1DA65FE"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42879CD6"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Situación que se robustece, con el Criterio de Interpretación, de la Segunda Época, con número de registro SO/018/2017, emitido por el Instituto Nacional de Transparencia, Acceso a la Información y Protección de Datos Personales, que establece lo siguiente:</w:t>
      </w:r>
    </w:p>
    <w:p w14:paraId="6798963B"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63C84320" w14:textId="77777777" w:rsidR="006D4739" w:rsidRDefault="00ED6CB7">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“Clave Única de Registro de Población (CURP). </w:t>
      </w:r>
      <w:r>
        <w:rPr>
          <w:rFonts w:ascii="Palatino Linotype" w:eastAsia="Palatino Linotype" w:hAnsi="Palatino Linotype" w:cs="Palatino Linotype"/>
          <w:i/>
          <w:color w:val="00000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4C41FD5" w14:textId="77777777" w:rsidR="006D4739" w:rsidRDefault="006D4739">
      <w:pPr>
        <w:spacing w:line="360" w:lineRule="auto"/>
        <w:jc w:val="both"/>
        <w:rPr>
          <w:rFonts w:ascii="Palatino Linotype" w:eastAsia="Palatino Linotype" w:hAnsi="Palatino Linotype" w:cs="Palatino Linotype"/>
          <w:i/>
          <w:color w:val="000000"/>
          <w:sz w:val="22"/>
          <w:szCs w:val="22"/>
        </w:rPr>
      </w:pPr>
    </w:p>
    <w:p w14:paraId="4305F5DC"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con lo anterior, resulta procedente la clasificación de </w:t>
      </w:r>
      <w:r>
        <w:rPr>
          <w:rFonts w:ascii="Palatino Linotype" w:eastAsia="Palatino Linotype" w:hAnsi="Palatino Linotype" w:cs="Palatino Linotype"/>
          <w:b/>
          <w:color w:val="000000"/>
          <w:sz w:val="22"/>
          <w:szCs w:val="22"/>
        </w:rPr>
        <w:t>la Clave Única de Registro de Población</w:t>
      </w:r>
      <w:r>
        <w:rPr>
          <w:rFonts w:ascii="Palatino Linotype" w:eastAsia="Palatino Linotype" w:hAnsi="Palatino Linotype" w:cs="Palatino Linotype"/>
          <w:color w:val="000000"/>
          <w:sz w:val="22"/>
          <w:szCs w:val="22"/>
        </w:rPr>
        <w:t xml:space="preserve">, por tratarse de un dato personal confidencial, en términos del artículo 143, fracción I, de la Ley de Transparencia y Acceso a la Información Pública del Estado de México y Municipios. </w:t>
      </w:r>
    </w:p>
    <w:p w14:paraId="56B5DDB3"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1A0701A2" w14:textId="77777777" w:rsidR="006D4739" w:rsidRDefault="00ED6CB7">
      <w:pPr>
        <w:numPr>
          <w:ilvl w:val="0"/>
          <w:numId w:val="11"/>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Registro Federal de Contribuyentes (RFC)</w:t>
      </w:r>
    </w:p>
    <w:p w14:paraId="19D66305"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50A16F03"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C2CA8C5"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38536FE0"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nombre(s), fecha de </w:t>
      </w:r>
      <w:r>
        <w:rPr>
          <w:rFonts w:ascii="Palatino Linotype" w:eastAsia="Palatino Linotype" w:hAnsi="Palatino Linotype" w:cs="Palatino Linotype"/>
          <w:color w:val="000000"/>
          <w:sz w:val="22"/>
          <w:szCs w:val="22"/>
        </w:rPr>
        <w:lastRenderedPageBreak/>
        <w:t xml:space="preserve">nacimiento del titular, más una </w:t>
      </w:r>
      <w:proofErr w:type="spellStart"/>
      <w:r>
        <w:rPr>
          <w:rFonts w:ascii="Palatino Linotype" w:eastAsia="Palatino Linotype" w:hAnsi="Palatino Linotype" w:cs="Palatino Linotype"/>
          <w:color w:val="000000"/>
          <w:sz w:val="22"/>
          <w:szCs w:val="22"/>
        </w:rPr>
        <w:t>homoclave</w:t>
      </w:r>
      <w:proofErr w:type="spellEnd"/>
      <w:r>
        <w:rPr>
          <w:rFonts w:ascii="Palatino Linotype" w:eastAsia="Palatino Linotype" w:hAnsi="Palatino Linotype" w:cs="Palatino Linotype"/>
          <w:color w:val="000000"/>
          <w:sz w:val="22"/>
          <w:szCs w:val="22"/>
        </w:rPr>
        <w:t xml:space="preserve"> que establece el sistema automático del Servicio de Administración Tributaria.</w:t>
      </w:r>
    </w:p>
    <w:p w14:paraId="73F7A3D6"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E55432C"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7FEE7B2"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90B631D"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4E64C5E"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520C7D4D"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442FD3EE"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9E22CF2" w14:textId="77777777" w:rsidR="006D4739" w:rsidRDefault="00ED6CB7">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“Registro Federal de Contribuyentes (RFC) de personas físicas.</w:t>
      </w:r>
      <w:r>
        <w:rPr>
          <w:rFonts w:ascii="Palatino Linotype" w:eastAsia="Palatino Linotype" w:hAnsi="Palatino Linotype" w:cs="Palatino Linotype"/>
          <w:i/>
          <w:color w:val="000000"/>
        </w:rPr>
        <w:t xml:space="preserve"> El RFC es una clave de carácter fiscal, única e irrepetible, que permite identificar al titular, su edad y fecha de nacimiento, por lo que es un dato personal de carácter confidencial.”</w:t>
      </w:r>
    </w:p>
    <w:p w14:paraId="74E337CC"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4BE07EED"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tal suerte, el Registro Federal de Contribuyentes de los servidores públicos no guarda relación con la transparencia de los recursos públicos, así como tampoco con el desempeño </w:t>
      </w:r>
      <w:r>
        <w:rPr>
          <w:rFonts w:ascii="Palatino Linotype" w:eastAsia="Palatino Linotype" w:hAnsi="Palatino Linotype" w:cs="Palatino Linotype"/>
          <w:color w:val="000000"/>
          <w:sz w:val="22"/>
          <w:szCs w:val="22"/>
        </w:rPr>
        <w:lastRenderedPageBreak/>
        <w:t>laboral que pueda tener una persona, por lo que constituye un dato personal confidencial al actualizar el supuesto normativo del artículo 143, fracción I, de la Ley de Transparencia y Acceso a la Información Pública del Estado de México y Municipios.</w:t>
      </w:r>
      <w:r>
        <w:rPr>
          <w:rFonts w:ascii="Palatino Linotype" w:eastAsia="Palatino Linotype" w:hAnsi="Palatino Linotype" w:cs="Palatino Linotype"/>
          <w:b/>
          <w:color w:val="000000"/>
          <w:sz w:val="22"/>
          <w:szCs w:val="22"/>
        </w:rPr>
        <w:t xml:space="preserve"> </w:t>
      </w:r>
    </w:p>
    <w:p w14:paraId="7E7220A3"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B5B058C" w14:textId="3EE51A38" w:rsidR="006D4739" w:rsidRDefault="0028068C">
      <w:pPr>
        <w:numPr>
          <w:ilvl w:val="0"/>
          <w:numId w:val="8"/>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Código bidimensional o </w:t>
      </w:r>
      <w:proofErr w:type="spellStart"/>
      <w:r>
        <w:rPr>
          <w:rFonts w:ascii="Palatino Linotype" w:eastAsia="Palatino Linotype" w:hAnsi="Palatino Linotype" w:cs="Palatino Linotype"/>
          <w:b/>
          <w:color w:val="000000"/>
          <w:sz w:val="22"/>
          <w:szCs w:val="22"/>
        </w:rPr>
        <w:t>Qr</w:t>
      </w:r>
      <w:proofErr w:type="spellEnd"/>
    </w:p>
    <w:p w14:paraId="6DF0C145"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4833662F"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Pr>
          <w:rFonts w:ascii="Palatino Linotype" w:eastAsia="Palatino Linotype" w:hAnsi="Palatino Linotype" w:cs="Palatino Linotype"/>
          <w:i/>
          <w:color w:val="000000"/>
          <w:sz w:val="22"/>
          <w:szCs w:val="22"/>
        </w:rPr>
        <w:t xml:space="preserve">QR </w:t>
      </w:r>
      <w:proofErr w:type="spellStart"/>
      <w:r>
        <w:rPr>
          <w:rFonts w:ascii="Palatino Linotype" w:eastAsia="Palatino Linotype" w:hAnsi="Palatino Linotype" w:cs="Palatino Linotype"/>
          <w:i/>
          <w:color w:val="000000"/>
          <w:sz w:val="22"/>
          <w:szCs w:val="22"/>
        </w:rPr>
        <w:t>Code</w:t>
      </w:r>
      <w:proofErr w:type="spellEnd"/>
      <w:r>
        <w:rPr>
          <w:rFonts w:ascii="Palatino Linotype" w:eastAsia="Palatino Linotype" w:hAnsi="Palatino Linotype" w:cs="Palatino Linotype"/>
          <w:i/>
          <w:color w:val="000000"/>
          <w:sz w:val="22"/>
          <w:szCs w:val="22"/>
        </w:rPr>
        <w:t xml:space="preserve"> (Quick Response </w:t>
      </w:r>
      <w:proofErr w:type="spellStart"/>
      <w:r>
        <w:rPr>
          <w:rFonts w:ascii="Palatino Linotype" w:eastAsia="Palatino Linotype" w:hAnsi="Palatino Linotype" w:cs="Palatino Linotype"/>
          <w:i/>
          <w:color w:val="000000"/>
          <w:sz w:val="22"/>
          <w:szCs w:val="22"/>
        </w:rPr>
        <w:t>Code</w:t>
      </w:r>
      <w:proofErr w:type="spellEnd"/>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Pr>
            <w:rFonts w:ascii="Palatino Linotype" w:eastAsia="Palatino Linotype" w:hAnsi="Palatino Linotype" w:cs="Palatino Linotype"/>
            <w:color w:val="0563C1"/>
            <w:sz w:val="22"/>
            <w:szCs w:val="22"/>
            <w:u w:val="single"/>
          </w:rPr>
          <w:t>http://dof.gob.mx/nota_detalle.php?codigo=5492254&amp;fecha=28/07/2017</w:t>
        </w:r>
      </w:hyperlink>
      <w:r>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76E3E520"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1FD9E47A"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051EECDF"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0E71E49B" w14:textId="77777777" w:rsidR="006D4739" w:rsidRDefault="00ED6CB7">
      <w:pPr>
        <w:numPr>
          <w:ilvl w:val="0"/>
          <w:numId w:val="8"/>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seguridad social del Instituto de Seguridad Social del Estado de México y Municipios.</w:t>
      </w:r>
    </w:p>
    <w:p w14:paraId="425BCDA0"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56EC3942"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Instituto de Seguridad Social del Estado de México y Municipios (ISSEMYM) es el organismo público encargado de proporcionar los servicios de seguridad social a los </w:t>
      </w:r>
      <w:r>
        <w:rPr>
          <w:rFonts w:ascii="Palatino Linotype" w:eastAsia="Palatino Linotype" w:hAnsi="Palatino Linotype" w:cs="Palatino Linotype"/>
          <w:color w:val="000000"/>
          <w:sz w:val="22"/>
          <w:szCs w:val="22"/>
        </w:rPr>
        <w:lastRenderedPageBreak/>
        <w:t>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F5D736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F218C8F"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Pr>
          <w:rFonts w:ascii="Palatino Linotype" w:eastAsia="Palatino Linotype" w:hAnsi="Palatino Linotype" w:cs="Palatino Linotype"/>
          <w:b/>
          <w:color w:val="000000"/>
          <w:sz w:val="22"/>
          <w:szCs w:val="22"/>
        </w:rPr>
        <w:t>y se le asigna una clave para hacer identificable al trabajador con el objetivo de poder proporcionar los servicios que brinda el Instituto de Seguridad Social del Estado de México y Municipios.</w:t>
      </w:r>
    </w:p>
    <w:p w14:paraId="451A4F19"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1D594362"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47ABD27"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3B73DA2" w14:textId="77777777" w:rsidR="006D4739" w:rsidRDefault="00ED6CB7">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Pr>
          <w:rFonts w:ascii="Palatino Linotype" w:eastAsia="Palatino Linotype" w:hAnsi="Palatino Linotype" w:cs="Palatino Linotype"/>
          <w:color w:val="000000"/>
          <w:sz w:val="22"/>
          <w:szCs w:val="22"/>
        </w:rPr>
        <w:lastRenderedPageBreak/>
        <w:t>confidencialidad, establecido en el artículo 143, fracción I, de la Ley de Transparencia y Acceso a la Información Pública del Estado de México y Municipios.</w:t>
      </w:r>
    </w:p>
    <w:p w14:paraId="57C46018"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23A75675" w14:textId="77777777" w:rsidR="006D4739" w:rsidRDefault="00ED6CB7">
      <w:pPr>
        <w:numPr>
          <w:ilvl w:val="0"/>
          <w:numId w:val="13"/>
        </w:numPr>
        <w:spacing w:after="160"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Descuentos personales</w:t>
      </w:r>
    </w:p>
    <w:p w14:paraId="65AC82E5"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26267478"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2C4EDAF0"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6831FDA1"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hay otras que se generan con motivo de una sentencia judicial, como es la pensión alimenticia que periódicamente se retira de la cuenta de un empleado, a efecto de que sea entregado a un tercero.  </w:t>
      </w:r>
    </w:p>
    <w:p w14:paraId="60DBFE86"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2C0503D"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6D33423"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F8405D7" w14:textId="77777777" w:rsidR="006D4739" w:rsidRDefault="00ED6CB7">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w:t>
      </w:r>
      <w:r>
        <w:rPr>
          <w:rFonts w:ascii="Palatino Linotype" w:eastAsia="Palatino Linotype" w:hAnsi="Palatino Linotype" w:cs="Palatino Linotype"/>
          <w:color w:val="000000"/>
          <w:sz w:val="22"/>
          <w:szCs w:val="22"/>
        </w:rPr>
        <w:lastRenderedPageBreak/>
        <w:t>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14:paraId="06E1153A"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03F7F8F6" w14:textId="77777777" w:rsidR="006D4739" w:rsidRDefault="00ED6CB7">
      <w:pPr>
        <w:numPr>
          <w:ilvl w:val="0"/>
          <w:numId w:val="8"/>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w:t>
      </w:r>
    </w:p>
    <w:p w14:paraId="5B16B342" w14:textId="77777777" w:rsidR="006D4739" w:rsidRDefault="006D4739">
      <w:pPr>
        <w:spacing w:line="360" w:lineRule="auto"/>
        <w:ind w:left="720"/>
        <w:jc w:val="both"/>
        <w:rPr>
          <w:rFonts w:ascii="Palatino Linotype" w:eastAsia="Palatino Linotype" w:hAnsi="Palatino Linotype" w:cs="Palatino Linotype"/>
          <w:color w:val="000000"/>
          <w:sz w:val="22"/>
          <w:szCs w:val="22"/>
        </w:rPr>
      </w:pPr>
    </w:p>
    <w:p w14:paraId="10E7C62B"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26AA1546"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65FED400"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cadenas originales y sellos que se agregan a las facturas</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w:t>
      </w:r>
      <w:r>
        <w:rPr>
          <w:rFonts w:ascii="Palatino Linotype" w:eastAsia="Palatino Linotype" w:hAnsi="Palatino Linotype" w:cs="Palatino Linotype"/>
          <w:color w:val="000000"/>
          <w:sz w:val="22"/>
          <w:szCs w:val="22"/>
        </w:rPr>
        <w:lastRenderedPageBreak/>
        <w:t>datos de los que se componen los elementos de seguridad y se puntualiza que dicha información está encriptada.</w:t>
      </w:r>
    </w:p>
    <w:p w14:paraId="7C17FF54"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3FAB38F8"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26B55AE3"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Elementos utilizados en la generación de Sellos Digitales:</w:t>
      </w:r>
    </w:p>
    <w:p w14:paraId="166C734F"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Cadena Original, el elemento a sellar, en este caso de un comprobante fiscal digital a través de Internet.</w:t>
      </w:r>
    </w:p>
    <w:p w14:paraId="5990640E"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Certificado de Sello Digital y su correspondiente clave privada.</w:t>
      </w:r>
    </w:p>
    <w:p w14:paraId="135B5C6F"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Algoritmos de criptografía de clave pública para firma electrónica avanzada.</w:t>
      </w:r>
    </w:p>
    <w:p w14:paraId="32F5BEA7"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Especificaciones de conversión de la firma electrónica avanzada a Base 64.</w:t>
      </w:r>
    </w:p>
    <w:p w14:paraId="189FEC94"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generación de sellos digitales se utiliza criptografía de clave pública aplicada a una cadena original.</w:t>
      </w:r>
    </w:p>
    <w:p w14:paraId="4A43B06C"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Criptografía de la Clave Pública</w:t>
      </w:r>
    </w:p>
    <w:p w14:paraId="21D40417"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color w:val="000000"/>
        </w:rPr>
        <w:t>encripción</w:t>
      </w:r>
      <w:proofErr w:type="spellEnd"/>
      <w:r>
        <w:rPr>
          <w:rFonts w:ascii="Palatino Linotype" w:eastAsia="Palatino Linotype" w:hAnsi="Palatino Linotype" w:cs="Palatino Linotype"/>
          <w:i/>
          <w:color w:val="000000"/>
        </w:rPr>
        <w:t xml:space="preserve"> sobre un mensaje tomando como clave de </w:t>
      </w:r>
      <w:proofErr w:type="spellStart"/>
      <w:r>
        <w:rPr>
          <w:rFonts w:ascii="Palatino Linotype" w:eastAsia="Palatino Linotype" w:hAnsi="Palatino Linotype" w:cs="Palatino Linotype"/>
          <w:i/>
          <w:color w:val="000000"/>
        </w:rPr>
        <w:t>encripción</w:t>
      </w:r>
      <w:proofErr w:type="spellEnd"/>
      <w:r>
        <w:rPr>
          <w:rFonts w:ascii="Palatino Linotype" w:eastAsia="Palatino Linotype" w:hAnsi="Palatino Linotype" w:cs="Palatino Linotype"/>
          <w:i/>
          <w:color w:val="000000"/>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color w:val="000000"/>
        </w:rPr>
        <w:t>desencripción</w:t>
      </w:r>
      <w:proofErr w:type="spellEnd"/>
      <w:r>
        <w:rPr>
          <w:rFonts w:ascii="Palatino Linotype" w:eastAsia="Palatino Linotype" w:hAnsi="Palatino Linotype" w:cs="Palatino Linotype"/>
          <w:i/>
          <w:color w:val="000000"/>
        </w:rPr>
        <w:t xml:space="preserve"> correspondiente tomando como clave de </w:t>
      </w:r>
      <w:proofErr w:type="spellStart"/>
      <w:r>
        <w:rPr>
          <w:rFonts w:ascii="Palatino Linotype" w:eastAsia="Palatino Linotype" w:hAnsi="Palatino Linotype" w:cs="Palatino Linotype"/>
          <w:i/>
          <w:color w:val="000000"/>
        </w:rPr>
        <w:t>desencripción</w:t>
      </w:r>
      <w:proofErr w:type="spellEnd"/>
      <w:r>
        <w:rPr>
          <w:rFonts w:ascii="Palatino Linotype" w:eastAsia="Palatino Linotype" w:hAnsi="Palatino Linotype" w:cs="Palatino Linotype"/>
          <w:i/>
          <w:color w:val="000000"/>
        </w:rPr>
        <w:t xml:space="preserve"> al otro número de la pareja.</w:t>
      </w:r>
    </w:p>
    <w:p w14:paraId="5DADAC90" w14:textId="77777777" w:rsidR="006D4739" w:rsidRDefault="00ED6CB7">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6AC1F1B8"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2D62FEC8"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49D4F774"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0A25EAD8"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Cabe señalar que, en algunos casos, las cadenas originales y sellos digitales, se pueden conformar de datos confidenciales, tales como el Registro Federal de Contribuyentes o la Clave Única de Registro de Población; por lo que, en su caso actualizarían actualiza la clasificación, en términos del artículo 143, fracción I, de la Ley de la materia.</w:t>
      </w:r>
    </w:p>
    <w:p w14:paraId="6BAF21CE"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38B0C4A9"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este Instituto considera que el Sujeto Obligado deberá proporcionar los documentos solicitados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07565B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62CC84B5"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B0C0292" w14:textId="77777777" w:rsidR="006D4739" w:rsidRDefault="006D4739">
      <w:pPr>
        <w:spacing w:line="360" w:lineRule="auto"/>
        <w:jc w:val="both"/>
        <w:rPr>
          <w:rFonts w:ascii="Palatino Linotype" w:eastAsia="Palatino Linotype" w:hAnsi="Palatino Linotype" w:cs="Palatino Linotype"/>
          <w:sz w:val="22"/>
          <w:szCs w:val="22"/>
        </w:rPr>
      </w:pPr>
    </w:p>
    <w:p w14:paraId="76CB8DAD" w14:textId="77777777" w:rsidR="006D4739" w:rsidRDefault="00ED6CB7">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Decisión. </w:t>
      </w:r>
    </w:p>
    <w:p w14:paraId="7A07229A" w14:textId="77777777" w:rsidR="006D4739" w:rsidRDefault="006D4739">
      <w:pPr>
        <w:spacing w:line="360" w:lineRule="auto"/>
        <w:rPr>
          <w:b/>
        </w:rPr>
      </w:pPr>
    </w:p>
    <w:p w14:paraId="7EC7586A" w14:textId="77777777" w:rsidR="006D4739" w:rsidRDefault="00ED6CB7">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D0D0D"/>
          <w:sz w:val="22"/>
          <w:szCs w:val="22"/>
        </w:rPr>
        <w:t xml:space="preserve">Con fundamento en el artículo 186, fracción I y III, de la Ley de Transparencia y Acceso a la Información Pública del Estado de México y Municipios, este Instituto considera procedente </w:t>
      </w:r>
      <w:r>
        <w:rPr>
          <w:rFonts w:ascii="Palatino Linotype" w:eastAsia="Palatino Linotype" w:hAnsi="Palatino Linotype" w:cs="Palatino Linotype"/>
          <w:b/>
          <w:color w:val="0D0D0D"/>
          <w:sz w:val="22"/>
          <w:szCs w:val="22"/>
        </w:rPr>
        <w:t xml:space="preserve">MODIFICAR </w:t>
      </w:r>
      <w:r>
        <w:rPr>
          <w:rFonts w:ascii="Palatino Linotype" w:eastAsia="Palatino Linotype" w:hAnsi="Palatino Linotype" w:cs="Palatino Linotype"/>
          <w:color w:val="0D0D0D"/>
          <w:sz w:val="22"/>
          <w:szCs w:val="22"/>
        </w:rPr>
        <w:t xml:space="preserve">la respuesta otorgada por el Sujeto Obligado </w:t>
      </w:r>
      <w:r>
        <w:rPr>
          <w:rFonts w:ascii="Palatino Linotype" w:eastAsia="Palatino Linotype" w:hAnsi="Palatino Linotype" w:cs="Palatino Linotype"/>
          <w:color w:val="000000"/>
          <w:sz w:val="22"/>
          <w:szCs w:val="22"/>
        </w:rPr>
        <w:t xml:space="preserve">a efecto de que, ponga a disposición, en todas las modalidades que permita la documentación, tales como, disco compacto, dispositivo de almacenamiento, consulta directa, copias simples o certificadas, </w:t>
      </w:r>
      <w:r>
        <w:rPr>
          <w:rFonts w:ascii="Palatino Linotype" w:eastAsia="Palatino Linotype" w:hAnsi="Palatino Linotype" w:cs="Palatino Linotype"/>
          <w:color w:val="000000"/>
          <w:sz w:val="22"/>
          <w:szCs w:val="22"/>
        </w:rPr>
        <w:lastRenderedPageBreak/>
        <w:t>con posibilidad de entrega en la Unidad de Transparencia o a domicilio por correo certificado, previo pago de los derechos correspondientes, en su caso, en versión pública, la información solicitada.</w:t>
      </w:r>
    </w:p>
    <w:p w14:paraId="4097DF0E" w14:textId="77777777" w:rsidR="006D4739" w:rsidRDefault="006D4739">
      <w:pPr>
        <w:tabs>
          <w:tab w:val="left" w:pos="4962"/>
        </w:tabs>
        <w:spacing w:line="360" w:lineRule="auto"/>
        <w:jc w:val="both"/>
        <w:rPr>
          <w:rFonts w:ascii="Palatino Linotype" w:eastAsia="Palatino Linotype" w:hAnsi="Palatino Linotype" w:cs="Palatino Linotype"/>
          <w:color w:val="000000"/>
          <w:sz w:val="22"/>
          <w:szCs w:val="22"/>
        </w:rPr>
      </w:pPr>
    </w:p>
    <w:p w14:paraId="1D55025E"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w:t>
      </w:r>
    </w:p>
    <w:p w14:paraId="6148814D" w14:textId="77777777" w:rsidR="006D4739" w:rsidRDefault="006D4739">
      <w:pPr>
        <w:spacing w:line="360" w:lineRule="auto"/>
        <w:jc w:val="both"/>
        <w:rPr>
          <w:rFonts w:ascii="Palatino Linotype" w:eastAsia="Palatino Linotype" w:hAnsi="Palatino Linotype" w:cs="Palatino Linotype"/>
          <w:color w:val="0D0D0D"/>
          <w:sz w:val="22"/>
          <w:szCs w:val="22"/>
        </w:rPr>
      </w:pPr>
    </w:p>
    <w:p w14:paraId="359546CF"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3ACA32E4" w14:textId="77777777" w:rsidR="006D4739" w:rsidRDefault="006D4739">
      <w:pPr>
        <w:spacing w:line="360" w:lineRule="auto"/>
        <w:jc w:val="both"/>
        <w:rPr>
          <w:rFonts w:ascii="Palatino Linotype" w:eastAsia="Palatino Linotype" w:hAnsi="Palatino Linotype" w:cs="Palatino Linotype"/>
          <w:sz w:val="22"/>
          <w:szCs w:val="22"/>
        </w:rPr>
      </w:pPr>
    </w:p>
    <w:p w14:paraId="7A0F1770"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le hace del conocimiento al ahora Recurrente que, en el presente asunto, se le concede parcialmente la razón, pues si bien el Sujeto Obligado desde respuesta justificó el cambio de modalidad propuesto para la entrega de los oficios peticionados, por lo que deberá poner a disposición, en todas las modalidades que permita la entrega toda la información que se ordena. 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0030FE3" w14:textId="77777777" w:rsidR="006D4739" w:rsidRDefault="006D4739">
      <w:pPr>
        <w:spacing w:line="360" w:lineRule="auto"/>
        <w:jc w:val="both"/>
        <w:rPr>
          <w:rFonts w:ascii="Palatino Linotype" w:eastAsia="Palatino Linotype" w:hAnsi="Palatino Linotype" w:cs="Palatino Linotype"/>
          <w:sz w:val="22"/>
          <w:szCs w:val="22"/>
        </w:rPr>
      </w:pPr>
    </w:p>
    <w:p w14:paraId="00853609"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11769E16" w14:textId="77777777" w:rsidR="006D4739" w:rsidRDefault="006D4739">
      <w:pPr>
        <w:spacing w:line="360" w:lineRule="auto"/>
        <w:jc w:val="both"/>
        <w:rPr>
          <w:rFonts w:ascii="Palatino Linotype" w:eastAsia="Palatino Linotype" w:hAnsi="Palatino Linotype" w:cs="Palatino Linotype"/>
          <w:b/>
          <w:color w:val="000000"/>
          <w:sz w:val="22"/>
          <w:szCs w:val="22"/>
        </w:rPr>
      </w:pPr>
    </w:p>
    <w:p w14:paraId="0E9B68EB" w14:textId="77777777" w:rsidR="006D4739" w:rsidRDefault="00ED6CB7">
      <w:pPr>
        <w:spacing w:line="360" w:lineRule="auto"/>
        <w:ind w:right="-28"/>
        <w:jc w:val="center"/>
        <w:rPr>
          <w:b/>
        </w:rPr>
      </w:pPr>
      <w:r>
        <w:rPr>
          <w:b/>
        </w:rPr>
        <w:t>R E S U E L V E:</w:t>
      </w:r>
    </w:p>
    <w:p w14:paraId="7B14C3D1" w14:textId="77777777" w:rsidR="006D4739" w:rsidRDefault="006D4739">
      <w:pPr>
        <w:spacing w:line="360" w:lineRule="auto"/>
        <w:jc w:val="center"/>
        <w:rPr>
          <w:rFonts w:ascii="Palatino Linotype" w:eastAsia="Palatino Linotype" w:hAnsi="Palatino Linotype" w:cs="Palatino Linotype"/>
          <w:b/>
          <w:color w:val="000000"/>
          <w:sz w:val="22"/>
          <w:szCs w:val="22"/>
        </w:rPr>
      </w:pPr>
    </w:p>
    <w:p w14:paraId="66A91336" w14:textId="77777777" w:rsidR="006D4739" w:rsidRDefault="00ED6CB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MODIFICA </w:t>
      </w:r>
      <w:r>
        <w:rPr>
          <w:rFonts w:ascii="Palatino Linotype" w:eastAsia="Palatino Linotype" w:hAnsi="Palatino Linotype" w:cs="Palatino Linotype"/>
          <w:sz w:val="22"/>
          <w:szCs w:val="22"/>
        </w:rPr>
        <w:t>las respuestas entregadas por el Ayuntamiento de Temamatla a las solicitudes de información 00203/TEMAMATL/IP/2024</w:t>
      </w:r>
      <w:r>
        <w:rPr>
          <w:rFonts w:ascii="Palatino Linotype" w:eastAsia="Palatino Linotype" w:hAnsi="Palatino Linotype" w:cs="Palatino Linotype"/>
          <w:color w:val="0D0D0D"/>
          <w:sz w:val="22"/>
          <w:szCs w:val="22"/>
        </w:rPr>
        <w:t xml:space="preserve"> y </w:t>
      </w:r>
      <w:r>
        <w:rPr>
          <w:rFonts w:ascii="Palatino Linotype" w:eastAsia="Palatino Linotype" w:hAnsi="Palatino Linotype" w:cs="Palatino Linotype"/>
          <w:sz w:val="22"/>
          <w:szCs w:val="22"/>
        </w:rPr>
        <w:t xml:space="preserve">00204/TEMAMATL/IP/2024, por resultar </w:t>
      </w:r>
      <w:r>
        <w:rPr>
          <w:rFonts w:ascii="Palatino Linotype" w:eastAsia="Palatino Linotype" w:hAnsi="Palatino Linotype" w:cs="Palatino Linotype"/>
          <w:b/>
          <w:sz w:val="22"/>
          <w:szCs w:val="22"/>
        </w:rPr>
        <w:t>PARCIALMENTE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el Particular, en términos de los considerandos </w:t>
      </w:r>
      <w:r>
        <w:rPr>
          <w:rFonts w:ascii="Palatino Linotype" w:eastAsia="Palatino Linotype" w:hAnsi="Palatino Linotype" w:cs="Palatino Linotype"/>
          <w:b/>
          <w:sz w:val="22"/>
          <w:szCs w:val="22"/>
        </w:rPr>
        <w:t>QUINTO y SEXTO</w:t>
      </w:r>
      <w:r>
        <w:rPr>
          <w:rFonts w:ascii="Palatino Linotype" w:eastAsia="Palatino Linotype" w:hAnsi="Palatino Linotype" w:cs="Palatino Linotype"/>
          <w:sz w:val="22"/>
          <w:szCs w:val="22"/>
        </w:rPr>
        <w:t xml:space="preserve"> de la presente Resolución.</w:t>
      </w:r>
    </w:p>
    <w:p w14:paraId="7F52DE99" w14:textId="77777777" w:rsidR="006D4739" w:rsidRDefault="006D4739">
      <w:pPr>
        <w:spacing w:line="360" w:lineRule="auto"/>
        <w:jc w:val="both"/>
        <w:rPr>
          <w:rFonts w:ascii="Palatino Linotype" w:eastAsia="Palatino Linotype" w:hAnsi="Palatino Linotype" w:cs="Palatino Linotype"/>
          <w:b/>
          <w:sz w:val="22"/>
          <w:szCs w:val="22"/>
        </w:rPr>
      </w:pPr>
    </w:p>
    <w:p w14:paraId="29328793"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SEGUNDO.</w:t>
      </w:r>
      <w:r>
        <w:t xml:space="preserve">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Ente Recurrido, 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su caso, en versión pública, </w:t>
      </w:r>
      <w:r>
        <w:rPr>
          <w:rFonts w:ascii="Palatino Linotype" w:eastAsia="Palatino Linotype" w:hAnsi="Palatino Linotype" w:cs="Palatino Linotype"/>
          <w:color w:val="000000"/>
          <w:sz w:val="22"/>
          <w:szCs w:val="22"/>
        </w:rPr>
        <w:t>lo siguiente:</w:t>
      </w:r>
    </w:p>
    <w:p w14:paraId="1287CCC6"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7EC78E82" w14:textId="227436E4" w:rsidR="006D4739" w:rsidRDefault="00ED6CB7">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recibos de nómina firmados, con sus respectivas pólizas de egresos, de la primera quincena de enero de dos mil veintidós a la segunda </w:t>
      </w:r>
      <w:r w:rsidR="0002774A">
        <w:rPr>
          <w:rFonts w:ascii="Palatino Linotype" w:eastAsia="Palatino Linotype" w:hAnsi="Palatino Linotype" w:cs="Palatino Linotype"/>
          <w:color w:val="000000"/>
          <w:sz w:val="22"/>
          <w:szCs w:val="22"/>
        </w:rPr>
        <w:t xml:space="preserve">de </w:t>
      </w:r>
      <w:r>
        <w:rPr>
          <w:rFonts w:ascii="Palatino Linotype" w:eastAsia="Palatino Linotype" w:hAnsi="Palatino Linotype" w:cs="Palatino Linotype"/>
          <w:color w:val="000000"/>
          <w:sz w:val="22"/>
          <w:szCs w:val="22"/>
        </w:rPr>
        <w:t>agosto de dos mil veinticuatro, y</w:t>
      </w:r>
    </w:p>
    <w:p w14:paraId="48B3157A" w14:textId="77777777" w:rsidR="006D4739" w:rsidRDefault="00ED6CB7">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que conformaban los expedientes de los procedimientos de obra pública realizados del primero de enero de dos mil veintidós al dos de septiembre de dos mil veinticuatro, con sus respectivas pólizas de egresos.</w:t>
      </w:r>
    </w:p>
    <w:p w14:paraId="194BB3BA" w14:textId="77777777" w:rsidR="006D4739" w:rsidRDefault="006D4739">
      <w:pPr>
        <w:spacing w:line="360" w:lineRule="auto"/>
        <w:jc w:val="both"/>
        <w:rPr>
          <w:rFonts w:ascii="Palatino Linotype" w:eastAsia="Palatino Linotype" w:hAnsi="Palatino Linotype" w:cs="Palatino Linotype"/>
          <w:color w:val="000000"/>
          <w:sz w:val="22"/>
          <w:szCs w:val="22"/>
        </w:rPr>
      </w:pPr>
    </w:p>
    <w:p w14:paraId="083AA836" w14:textId="77777777" w:rsidR="006D4739" w:rsidRDefault="00ED6CB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tal situación, el Sujeto Obligado, 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Vigésimo Sexto de los Lineamientos para la operación del Sistema de Acceso a la Información Mexiquense (SAIMEX) y del Sistema de Acceso, Rectificación, Cancelación y </w:t>
      </w:r>
      <w:r>
        <w:rPr>
          <w:rFonts w:ascii="Palatino Linotype" w:eastAsia="Palatino Linotype" w:hAnsi="Palatino Linotype" w:cs="Palatino Linotype"/>
          <w:color w:val="000000"/>
          <w:sz w:val="22"/>
          <w:szCs w:val="22"/>
        </w:rPr>
        <w:lastRenderedPageBreak/>
        <w:t>Oposición de Datos Personales del Estado de México (SARCOEM). Además, deberá señalarle que podrá acceder de manera gratuita a la información en las oficinas del Sujeto Obligado, si proporciona el medio de almacenamiento.</w:t>
      </w:r>
    </w:p>
    <w:p w14:paraId="4D53D797" w14:textId="77777777" w:rsidR="006D4739" w:rsidRDefault="00ED6CB7">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Además, de ser necesario, deberá proporcionar el Acuerdo de Clasificación donde el Comité de Transparencia, confirme la eliminación de los datos o información, en la versión pública</w:t>
      </w:r>
      <w:r>
        <w:rPr>
          <w:rFonts w:ascii="Palatino Linotype" w:eastAsia="Palatino Linotype" w:hAnsi="Palatino Linotype" w:cs="Palatino Linotype"/>
          <w:sz w:val="22"/>
          <w:szCs w:val="22"/>
        </w:rPr>
        <w:t>, de conformidad con los artículos 49, fracciones II y VIII y 132, fracción II, de la Ley de Transparencia y Acceso a la Información Pública del Estado de México y Municipios.</w:t>
      </w:r>
    </w:p>
    <w:p w14:paraId="248289A2" w14:textId="77777777" w:rsidR="006D4739" w:rsidRDefault="006D4739">
      <w:pPr>
        <w:spacing w:line="360" w:lineRule="auto"/>
        <w:jc w:val="both"/>
        <w:rPr>
          <w:rFonts w:ascii="Palatino Linotype" w:eastAsia="Palatino Linotype" w:hAnsi="Palatino Linotype" w:cs="Palatino Linotype"/>
          <w:sz w:val="22"/>
          <w:szCs w:val="22"/>
        </w:rPr>
      </w:pPr>
    </w:p>
    <w:p w14:paraId="3EE6D428"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865E73C" w14:textId="77777777" w:rsidR="006D4739" w:rsidRDefault="006D4739">
      <w:pPr>
        <w:spacing w:line="360" w:lineRule="auto"/>
        <w:jc w:val="both"/>
        <w:rPr>
          <w:rFonts w:ascii="Palatino Linotype" w:eastAsia="Palatino Linotype" w:hAnsi="Palatino Linotype" w:cs="Palatino Linotype"/>
          <w:sz w:val="22"/>
          <w:szCs w:val="22"/>
        </w:rPr>
      </w:pPr>
    </w:p>
    <w:p w14:paraId="3864C76F" w14:textId="77777777" w:rsidR="006D4739" w:rsidRDefault="00ED6CB7">
      <w:pPr>
        <w:spacing w:line="360" w:lineRule="auto"/>
        <w:jc w:val="both"/>
        <w:rPr>
          <w:rFonts w:ascii="Palatino Linotype" w:eastAsia="Palatino Linotype" w:hAnsi="Palatino Linotype" w:cs="Palatino Linotype"/>
          <w:sz w:val="22"/>
          <w:szCs w:val="22"/>
        </w:rPr>
      </w:pPr>
      <w:bookmarkStart w:id="4" w:name="_heading=h.2et92p0" w:colFirst="0" w:colLast="0"/>
      <w:bookmarkEnd w:id="4"/>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43B09D" w14:textId="77777777" w:rsidR="006D4739" w:rsidRDefault="006D4739">
      <w:pPr>
        <w:spacing w:line="360" w:lineRule="auto"/>
        <w:jc w:val="both"/>
        <w:rPr>
          <w:rFonts w:ascii="Palatino Linotype" w:eastAsia="Palatino Linotype" w:hAnsi="Palatino Linotype" w:cs="Palatino Linotype"/>
          <w:sz w:val="22"/>
          <w:szCs w:val="22"/>
        </w:rPr>
      </w:pPr>
    </w:p>
    <w:p w14:paraId="78DB2EDB"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w:t>
      </w:r>
      <w:r>
        <w:rPr>
          <w:rFonts w:ascii="Palatino Linotype" w:eastAsia="Palatino Linotype" w:hAnsi="Palatino Linotype" w:cs="Palatino Linotype"/>
          <w:sz w:val="22"/>
          <w:szCs w:val="22"/>
        </w:rPr>
        <w:lastRenderedPageBreak/>
        <w:t>Ley de Transparencia y Acceso a la Información Pública del Estado de México y Municipios podrá promover el Juicio de Amparo en los términos de las leyes aplicables.</w:t>
      </w:r>
    </w:p>
    <w:p w14:paraId="0BA16DC4" w14:textId="77777777" w:rsidR="006D4739" w:rsidRDefault="006D4739">
      <w:pPr>
        <w:spacing w:line="360" w:lineRule="auto"/>
        <w:jc w:val="both"/>
        <w:rPr>
          <w:rFonts w:ascii="Palatino Linotype" w:eastAsia="Palatino Linotype" w:hAnsi="Palatino Linotype" w:cs="Palatino Linotype"/>
          <w:sz w:val="22"/>
          <w:szCs w:val="22"/>
        </w:rPr>
      </w:pPr>
    </w:p>
    <w:p w14:paraId="4AFCA263" w14:textId="77777777" w:rsidR="006D4739" w:rsidRDefault="00ED6CB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C7D92">
        <w:rPr>
          <w:rFonts w:ascii="Palatino Linotype" w:eastAsia="Palatino Linotype" w:hAnsi="Palatino Linotype" w:cs="Palatino Linotype"/>
          <w:sz w:val="22"/>
          <w:szCs w:val="22"/>
        </w:rPr>
        <w:t xml:space="preserve">CON VOTO PARTICULAR </w:t>
      </w:r>
      <w:r>
        <w:rPr>
          <w:rFonts w:ascii="Palatino Linotype" w:eastAsia="Palatino Linotype" w:hAnsi="Palatino Linotype" w:cs="Palatino Linotype"/>
          <w:sz w:val="22"/>
          <w:szCs w:val="22"/>
        </w:rPr>
        <w:t>Y GUADALUPE RAMÍREZ PEÑA</w:t>
      </w:r>
      <w:r w:rsidR="00EC7D92">
        <w:rPr>
          <w:rFonts w:ascii="Palatino Linotype" w:eastAsia="Palatino Linotype" w:hAnsi="Palatino Linotype" w:cs="Palatino Linotype"/>
          <w:sz w:val="22"/>
          <w:szCs w:val="22"/>
        </w:rPr>
        <w:t xml:space="preserve"> CON VOTO PARTICULAR</w:t>
      </w:r>
      <w:r>
        <w:rPr>
          <w:rFonts w:ascii="Palatino Linotype" w:eastAsia="Palatino Linotype" w:hAnsi="Palatino Linotype" w:cs="Palatino Linotype"/>
          <w:sz w:val="22"/>
          <w:szCs w:val="22"/>
        </w:rPr>
        <w:t>, EN LA TRIGÉSIMA NOVENA SESIÓN ORDINARIA, CELEBRADA EL TRECE DE NOVIEMBRE DE DOS MIL VEINTICUATRO, ANTE EL SECRETARIO TÉCNICO DEL PLENO, ALEXIS TAPIA RAMÍREZ.</w:t>
      </w:r>
    </w:p>
    <w:p w14:paraId="58EE93EB" w14:textId="77777777" w:rsidR="006D4739" w:rsidRDefault="006D4739">
      <w:pPr>
        <w:spacing w:line="360" w:lineRule="auto"/>
        <w:rPr>
          <w:rFonts w:ascii="Palatino Linotype" w:eastAsia="Palatino Linotype" w:hAnsi="Palatino Linotype" w:cs="Palatino Linotype"/>
          <w:sz w:val="22"/>
          <w:szCs w:val="22"/>
        </w:rPr>
      </w:pPr>
    </w:p>
    <w:p w14:paraId="53AD840C" w14:textId="77777777" w:rsidR="006D4739" w:rsidRDefault="006D4739">
      <w:pPr>
        <w:spacing w:line="360" w:lineRule="auto"/>
      </w:pPr>
    </w:p>
    <w:p w14:paraId="42AFACDB" w14:textId="77777777" w:rsidR="006D4739" w:rsidRDefault="006D4739">
      <w:pPr>
        <w:spacing w:line="360" w:lineRule="auto"/>
      </w:pPr>
    </w:p>
    <w:p w14:paraId="688727FF" w14:textId="77777777" w:rsidR="006D4739" w:rsidRDefault="006D4739">
      <w:pPr>
        <w:spacing w:line="360" w:lineRule="auto"/>
      </w:pPr>
    </w:p>
    <w:p w14:paraId="241644B2" w14:textId="77777777" w:rsidR="006D4739" w:rsidRDefault="006D4739">
      <w:pPr>
        <w:spacing w:line="360" w:lineRule="auto"/>
      </w:pPr>
    </w:p>
    <w:p w14:paraId="05561917" w14:textId="77777777" w:rsidR="006D4739" w:rsidRDefault="006D4739">
      <w:pPr>
        <w:spacing w:line="360" w:lineRule="auto"/>
      </w:pPr>
    </w:p>
    <w:p w14:paraId="530D3237" w14:textId="77777777" w:rsidR="006D4739" w:rsidRDefault="006D4739">
      <w:pPr>
        <w:spacing w:line="360" w:lineRule="auto"/>
      </w:pPr>
    </w:p>
    <w:p w14:paraId="3C4C3DEC" w14:textId="77777777" w:rsidR="006D4739" w:rsidRDefault="006D4739">
      <w:pPr>
        <w:spacing w:line="360" w:lineRule="auto"/>
      </w:pPr>
    </w:p>
    <w:p w14:paraId="53F06DAF" w14:textId="77777777" w:rsidR="006D4739" w:rsidRDefault="006D4739">
      <w:pPr>
        <w:spacing w:line="360" w:lineRule="auto"/>
      </w:pPr>
    </w:p>
    <w:p w14:paraId="49ACC271" w14:textId="77777777" w:rsidR="006D4739" w:rsidRDefault="006D4739">
      <w:pPr>
        <w:spacing w:line="360" w:lineRule="auto"/>
      </w:pPr>
    </w:p>
    <w:p w14:paraId="03AC4A29" w14:textId="77777777" w:rsidR="006D4739" w:rsidRDefault="006D4739">
      <w:pPr>
        <w:spacing w:line="360" w:lineRule="auto"/>
      </w:pPr>
    </w:p>
    <w:p w14:paraId="03A5C9F6" w14:textId="77777777" w:rsidR="006D4739" w:rsidRDefault="006D4739">
      <w:pPr>
        <w:spacing w:line="360" w:lineRule="auto"/>
      </w:pPr>
    </w:p>
    <w:p w14:paraId="0A41854A" w14:textId="77777777" w:rsidR="006D4739" w:rsidRDefault="006D4739">
      <w:pPr>
        <w:spacing w:line="360" w:lineRule="auto"/>
      </w:pPr>
    </w:p>
    <w:p w14:paraId="0EA30DBA" w14:textId="77777777" w:rsidR="006D4739" w:rsidRDefault="006D4739">
      <w:pPr>
        <w:spacing w:line="360" w:lineRule="auto"/>
      </w:pPr>
    </w:p>
    <w:p w14:paraId="205241A2" w14:textId="77777777" w:rsidR="006D4739" w:rsidRDefault="006D4739">
      <w:pPr>
        <w:spacing w:line="360" w:lineRule="auto"/>
      </w:pPr>
    </w:p>
    <w:p w14:paraId="0EACAC03" w14:textId="77777777" w:rsidR="006D4739" w:rsidRDefault="006D4739">
      <w:pPr>
        <w:spacing w:line="360" w:lineRule="auto"/>
      </w:pPr>
    </w:p>
    <w:p w14:paraId="114F9F7F" w14:textId="77777777" w:rsidR="006D4739" w:rsidRDefault="006D4739">
      <w:pPr>
        <w:spacing w:line="360" w:lineRule="auto"/>
      </w:pPr>
    </w:p>
    <w:p w14:paraId="2A147B14" w14:textId="77777777" w:rsidR="006D4739" w:rsidRDefault="006D4739">
      <w:pPr>
        <w:spacing w:line="360" w:lineRule="auto"/>
      </w:pPr>
      <w:bookmarkStart w:id="5" w:name="_GoBack"/>
      <w:bookmarkEnd w:id="5"/>
    </w:p>
    <w:sectPr w:rsidR="006D473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CDF4" w14:textId="77777777" w:rsidR="00FB5274" w:rsidRDefault="00FB5274">
      <w:r>
        <w:separator/>
      </w:r>
    </w:p>
  </w:endnote>
  <w:endnote w:type="continuationSeparator" w:id="0">
    <w:p w14:paraId="6AAEC3E2" w14:textId="77777777" w:rsidR="00FB5274" w:rsidRDefault="00F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5A6B" w14:textId="3CFFF78D" w:rsidR="006D4739" w:rsidRDefault="00ED6CB7">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A65ED">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p>
  <w:p w14:paraId="4F9A7551" w14:textId="77777777" w:rsidR="006D4739" w:rsidRDefault="006D473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5D95" w14:textId="77777777" w:rsidR="006D4739" w:rsidRDefault="00ED6CB7">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28068C">
      <w:rPr>
        <w:rFonts w:ascii="Palatino Linotype" w:eastAsia="Palatino Linotype" w:hAnsi="Palatino Linotype" w:cs="Palatino Linotype"/>
        <w:b/>
        <w:noProof/>
        <w:color w:val="000000"/>
        <w:sz w:val="22"/>
        <w:szCs w:val="22"/>
      </w:rPr>
      <w:t>53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28068C">
      <w:rPr>
        <w:rFonts w:ascii="Palatino Linotype" w:eastAsia="Palatino Linotype" w:hAnsi="Palatino Linotype" w:cs="Palatino Linotype"/>
        <w:b/>
        <w:noProof/>
        <w:color w:val="000000"/>
        <w:sz w:val="22"/>
        <w:szCs w:val="22"/>
      </w:rPr>
      <w:t>54</w:t>
    </w:r>
    <w:r>
      <w:rPr>
        <w:rFonts w:ascii="Palatino Linotype" w:eastAsia="Palatino Linotype" w:hAnsi="Palatino Linotype" w:cs="Palatino Linotype"/>
        <w:b/>
        <w:color w:val="000000"/>
        <w:sz w:val="22"/>
        <w:szCs w:val="22"/>
      </w:rPr>
      <w:fldChar w:fldCharType="end"/>
    </w:r>
  </w:p>
  <w:p w14:paraId="5C7B0E58" w14:textId="77777777" w:rsidR="006D4739" w:rsidRDefault="006D473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83F0" w14:textId="77777777" w:rsidR="006D4739" w:rsidRDefault="00ED6CB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28068C">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28068C">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p>
  <w:p w14:paraId="05CF48A3" w14:textId="77777777" w:rsidR="006D4739" w:rsidRDefault="006D473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E0362" w14:textId="77777777" w:rsidR="00FB5274" w:rsidRDefault="00FB5274">
      <w:r>
        <w:separator/>
      </w:r>
    </w:p>
  </w:footnote>
  <w:footnote w:type="continuationSeparator" w:id="0">
    <w:p w14:paraId="727E4877" w14:textId="77777777" w:rsidR="00FB5274" w:rsidRDefault="00FB5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9DAD" w14:textId="77777777" w:rsidR="006D4739" w:rsidRDefault="006D4739">
    <w:pPr>
      <w:widowControl w:val="0"/>
      <w:pBdr>
        <w:top w:val="nil"/>
        <w:left w:val="nil"/>
        <w:bottom w:val="nil"/>
        <w:right w:val="nil"/>
        <w:between w:val="nil"/>
      </w:pBdr>
      <w:spacing w:line="276" w:lineRule="auto"/>
    </w:pPr>
  </w:p>
  <w:tbl>
    <w:tblPr>
      <w:tblStyle w:val="a0"/>
      <w:tblW w:w="9705" w:type="dxa"/>
      <w:tblInd w:w="0" w:type="dxa"/>
      <w:tblLayout w:type="fixed"/>
      <w:tblLook w:val="0400" w:firstRow="0" w:lastRow="0" w:firstColumn="0" w:lastColumn="0" w:noHBand="0" w:noVBand="1"/>
    </w:tblPr>
    <w:tblGrid>
      <w:gridCol w:w="2972"/>
      <w:gridCol w:w="6733"/>
    </w:tblGrid>
    <w:tr w:rsidR="006D4739" w14:paraId="7C124E26" w14:textId="77777777">
      <w:trPr>
        <w:trHeight w:val="1435"/>
      </w:trPr>
      <w:tc>
        <w:tcPr>
          <w:tcW w:w="2972" w:type="dxa"/>
        </w:tcPr>
        <w:p w14:paraId="16A4EFFC" w14:textId="77777777" w:rsidR="006D4739" w:rsidRDefault="006D4739">
          <w:pPr>
            <w:tabs>
              <w:tab w:val="right" w:pos="4273"/>
            </w:tabs>
            <w:spacing w:line="256" w:lineRule="auto"/>
            <w:rPr>
              <w:rFonts w:ascii="Garamond" w:eastAsia="Garamond" w:hAnsi="Garamond" w:cs="Garamond"/>
              <w:sz w:val="22"/>
              <w:szCs w:val="22"/>
            </w:rPr>
          </w:pPr>
        </w:p>
      </w:tc>
      <w:tc>
        <w:tcPr>
          <w:tcW w:w="6733" w:type="dxa"/>
        </w:tcPr>
        <w:p w14:paraId="50974CDF" w14:textId="77777777" w:rsidR="006D4739" w:rsidRDefault="006D473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1"/>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103"/>
            <w:gridCol w:w="3432"/>
          </w:tblGrid>
          <w:tr w:rsidR="006D4739" w14:paraId="633C456C" w14:textId="77777777">
            <w:trPr>
              <w:trHeight w:val="144"/>
            </w:trPr>
            <w:tc>
              <w:tcPr>
                <w:tcW w:w="0" w:type="auto"/>
              </w:tcPr>
              <w:p w14:paraId="576CD4F0" w14:textId="77777777" w:rsidR="006D4739" w:rsidRDefault="00ED6CB7">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14:paraId="0531D16F" w14:textId="77777777" w:rsidR="006D4739" w:rsidRDefault="00ED6CB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6D4739" w14:paraId="78F0A8B3" w14:textId="77777777">
            <w:trPr>
              <w:trHeight w:val="283"/>
            </w:trPr>
            <w:tc>
              <w:tcPr>
                <w:tcW w:w="0" w:type="auto"/>
              </w:tcPr>
              <w:p w14:paraId="1A401F9F" w14:textId="77777777" w:rsidR="006D4739" w:rsidRDefault="00ED6CB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14:paraId="2909D301" w14:textId="77777777" w:rsidR="006D4739" w:rsidRDefault="00ED6CB7">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6D4739" w14:paraId="71B0634F" w14:textId="77777777">
            <w:trPr>
              <w:trHeight w:val="283"/>
            </w:trPr>
            <w:tc>
              <w:tcPr>
                <w:tcW w:w="0" w:type="auto"/>
              </w:tcPr>
              <w:p w14:paraId="4384C4FA" w14:textId="77777777" w:rsidR="006D4739" w:rsidRDefault="00ED6CB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14:paraId="57857EAA" w14:textId="77777777" w:rsidR="006D4739" w:rsidRDefault="00ED6CB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3759236A" w14:textId="77777777" w:rsidR="006D4739" w:rsidRDefault="006D4739">
                <w:pPr>
                  <w:tabs>
                    <w:tab w:val="right" w:pos="8838"/>
                  </w:tabs>
                  <w:ind w:left="-74" w:right="-105"/>
                  <w:jc w:val="both"/>
                  <w:rPr>
                    <w:rFonts w:ascii="Palatino Linotype" w:eastAsia="Palatino Linotype" w:hAnsi="Palatino Linotype" w:cs="Palatino Linotype"/>
                    <w:b/>
                    <w:sz w:val="22"/>
                    <w:szCs w:val="22"/>
                  </w:rPr>
                </w:pPr>
              </w:p>
            </w:tc>
          </w:tr>
        </w:tbl>
        <w:p w14:paraId="16DECAAF" w14:textId="77777777" w:rsidR="006D4739" w:rsidRDefault="006D4739">
          <w:pPr>
            <w:tabs>
              <w:tab w:val="right" w:pos="8838"/>
            </w:tabs>
            <w:spacing w:line="256" w:lineRule="auto"/>
            <w:ind w:left="-28"/>
            <w:jc w:val="both"/>
            <w:rPr>
              <w:rFonts w:ascii="Arial" w:eastAsia="Arial" w:hAnsi="Arial" w:cs="Arial"/>
              <w:b/>
              <w:sz w:val="22"/>
              <w:szCs w:val="22"/>
            </w:rPr>
          </w:pPr>
        </w:p>
      </w:tc>
    </w:tr>
  </w:tbl>
  <w:p w14:paraId="654CF8F2" w14:textId="77777777" w:rsidR="006D4739" w:rsidRDefault="00ED6CB7">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14:anchorId="285D76EE" wp14:editId="24A84D8C">
          <wp:simplePos x="0" y="0"/>
          <wp:positionH relativeFrom="margin">
            <wp:posOffset>-1381124</wp:posOffset>
          </wp:positionH>
          <wp:positionV relativeFrom="margin">
            <wp:posOffset>-1611629</wp:posOffset>
          </wp:positionV>
          <wp:extent cx="5612130" cy="7308215"/>
          <wp:effectExtent l="0" t="0" r="0" b="0"/>
          <wp:wrapNone/>
          <wp:docPr id="4552298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EC2A" w14:textId="77777777" w:rsidR="006D4739" w:rsidRDefault="006D4739">
    <w:pPr>
      <w:widowControl w:val="0"/>
      <w:pBdr>
        <w:top w:val="nil"/>
        <w:left w:val="nil"/>
        <w:bottom w:val="nil"/>
        <w:right w:val="nil"/>
        <w:between w:val="nil"/>
      </w:pBdr>
      <w:spacing w:line="276" w:lineRule="auto"/>
      <w:rPr>
        <w:color w:val="000000"/>
      </w:rPr>
    </w:pPr>
  </w:p>
  <w:tbl>
    <w:tblPr>
      <w:tblStyle w:val="a2"/>
      <w:tblW w:w="9356" w:type="dxa"/>
      <w:tblInd w:w="0" w:type="dxa"/>
      <w:tblLayout w:type="fixed"/>
      <w:tblLook w:val="0400" w:firstRow="0" w:lastRow="0" w:firstColumn="0" w:lastColumn="0" w:noHBand="0" w:noVBand="1"/>
    </w:tblPr>
    <w:tblGrid>
      <w:gridCol w:w="1985"/>
      <w:gridCol w:w="7371"/>
    </w:tblGrid>
    <w:tr w:rsidR="006D4739" w14:paraId="1EA6779D" w14:textId="77777777">
      <w:trPr>
        <w:trHeight w:val="1435"/>
      </w:trPr>
      <w:tc>
        <w:tcPr>
          <w:tcW w:w="1985" w:type="dxa"/>
        </w:tcPr>
        <w:p w14:paraId="7637CEA9" w14:textId="77777777" w:rsidR="006D4739" w:rsidRDefault="006D4739">
          <w:pPr>
            <w:tabs>
              <w:tab w:val="right" w:pos="4273"/>
            </w:tabs>
            <w:spacing w:line="256" w:lineRule="auto"/>
            <w:rPr>
              <w:rFonts w:ascii="Garamond" w:eastAsia="Garamond" w:hAnsi="Garamond" w:cs="Garamond"/>
              <w:sz w:val="22"/>
              <w:szCs w:val="22"/>
            </w:rPr>
          </w:pPr>
        </w:p>
      </w:tc>
      <w:tc>
        <w:tcPr>
          <w:tcW w:w="7371" w:type="dxa"/>
        </w:tcPr>
        <w:p w14:paraId="56002D91" w14:textId="77777777" w:rsidR="006D4739" w:rsidRDefault="006D4739">
          <w:pPr>
            <w:rPr>
              <w:sz w:val="28"/>
              <w:szCs w:val="28"/>
            </w:rPr>
          </w:pPr>
        </w:p>
        <w:tbl>
          <w:tblPr>
            <w:tblStyle w:val="a3"/>
            <w:tblW w:w="7924" w:type="dxa"/>
            <w:tblInd w:w="535" w:type="dxa"/>
            <w:tblBorders>
              <w:top w:val="nil"/>
              <w:left w:val="nil"/>
              <w:bottom w:val="nil"/>
              <w:right w:val="nil"/>
              <w:insideH w:val="nil"/>
              <w:insideV w:val="nil"/>
            </w:tblBorders>
            <w:tblLayout w:type="fixed"/>
            <w:tblLook w:val="0400" w:firstRow="0" w:lastRow="0" w:firstColumn="0" w:lastColumn="0" w:noHBand="0" w:noVBand="1"/>
          </w:tblPr>
          <w:tblGrid>
            <w:gridCol w:w="3319"/>
            <w:gridCol w:w="3118"/>
            <w:gridCol w:w="1487"/>
          </w:tblGrid>
          <w:tr w:rsidR="006D4739" w14:paraId="1E1F6A2B" w14:textId="77777777">
            <w:trPr>
              <w:trHeight w:val="219"/>
            </w:trPr>
            <w:tc>
              <w:tcPr>
                <w:tcW w:w="3319" w:type="dxa"/>
              </w:tcPr>
              <w:p w14:paraId="5FE0FD66" w14:textId="77777777" w:rsidR="006D4739" w:rsidRDefault="00ED6CB7">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55661735" w14:textId="77777777" w:rsidR="006D4739" w:rsidRDefault="00ED6CB7">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05616/INFOEM/IP/RR/2024 y acumulado</w:t>
                </w:r>
              </w:p>
            </w:tc>
            <w:tc>
              <w:tcPr>
                <w:tcW w:w="1487" w:type="dxa"/>
              </w:tcPr>
              <w:p w14:paraId="48952E56" w14:textId="77777777" w:rsidR="006D4739" w:rsidRDefault="006D4739">
                <w:pPr>
                  <w:tabs>
                    <w:tab w:val="right" w:pos="8838"/>
                  </w:tabs>
                  <w:ind w:left="-114" w:right="-105"/>
                  <w:jc w:val="both"/>
                  <w:rPr>
                    <w:rFonts w:ascii="Palatino Linotype" w:eastAsia="Palatino Linotype" w:hAnsi="Palatino Linotype" w:cs="Palatino Linotype"/>
                    <w:sz w:val="22"/>
                    <w:szCs w:val="22"/>
                  </w:rPr>
                </w:pPr>
              </w:p>
            </w:tc>
          </w:tr>
          <w:tr w:rsidR="006D4739" w14:paraId="2FAA98EF" w14:textId="77777777">
            <w:trPr>
              <w:trHeight w:val="99"/>
            </w:trPr>
            <w:tc>
              <w:tcPr>
                <w:tcW w:w="3319" w:type="dxa"/>
              </w:tcPr>
              <w:p w14:paraId="3638ADB1" w14:textId="77777777" w:rsidR="006D4739" w:rsidRDefault="00ED6CB7">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376C3060" w14:textId="77777777" w:rsidR="006D4739" w:rsidRDefault="00ED6CB7">
                <w:pPr>
                  <w:tabs>
                    <w:tab w:val="left" w:pos="2834"/>
                    <w:tab w:val="right" w:pos="8838"/>
                  </w:tabs>
                  <w:ind w:left="-11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Temamatla</w:t>
                </w:r>
              </w:p>
            </w:tc>
            <w:tc>
              <w:tcPr>
                <w:tcW w:w="1487" w:type="dxa"/>
              </w:tcPr>
              <w:p w14:paraId="4C889AE1" w14:textId="77777777" w:rsidR="006D4739" w:rsidRDefault="006D4739">
                <w:pPr>
                  <w:tabs>
                    <w:tab w:val="left" w:pos="2834"/>
                    <w:tab w:val="right" w:pos="8838"/>
                  </w:tabs>
                  <w:ind w:left="-114"/>
                  <w:jc w:val="both"/>
                  <w:rPr>
                    <w:rFonts w:ascii="Palatino Linotype" w:eastAsia="Palatino Linotype" w:hAnsi="Palatino Linotype" w:cs="Palatino Linotype"/>
                    <w:sz w:val="22"/>
                    <w:szCs w:val="22"/>
                  </w:rPr>
                </w:pPr>
              </w:p>
            </w:tc>
          </w:tr>
          <w:tr w:rsidR="006D4739" w14:paraId="230A0AC4" w14:textId="77777777">
            <w:trPr>
              <w:trHeight w:val="432"/>
            </w:trPr>
            <w:tc>
              <w:tcPr>
                <w:tcW w:w="3319" w:type="dxa"/>
              </w:tcPr>
              <w:p w14:paraId="3EB9D194" w14:textId="77777777" w:rsidR="006D4739" w:rsidRDefault="00ED6CB7">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79AA02EA" w14:textId="77777777" w:rsidR="006D4739" w:rsidRDefault="00ED6CB7">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1487" w:type="dxa"/>
              </w:tcPr>
              <w:p w14:paraId="0A3EB748" w14:textId="77777777" w:rsidR="006D4739" w:rsidRDefault="006D4739">
                <w:pPr>
                  <w:tabs>
                    <w:tab w:val="right" w:pos="8838"/>
                  </w:tabs>
                  <w:ind w:left="-114" w:right="-105"/>
                  <w:jc w:val="both"/>
                  <w:rPr>
                    <w:rFonts w:ascii="Palatino Linotype" w:eastAsia="Palatino Linotype" w:hAnsi="Palatino Linotype" w:cs="Palatino Linotype"/>
                    <w:sz w:val="22"/>
                    <w:szCs w:val="22"/>
                  </w:rPr>
                </w:pPr>
              </w:p>
            </w:tc>
          </w:tr>
        </w:tbl>
        <w:p w14:paraId="534BD13A" w14:textId="77777777" w:rsidR="006D4739" w:rsidRDefault="006D4739">
          <w:pPr>
            <w:tabs>
              <w:tab w:val="right" w:pos="8838"/>
            </w:tabs>
            <w:spacing w:line="256" w:lineRule="auto"/>
            <w:ind w:left="-28"/>
            <w:jc w:val="both"/>
            <w:rPr>
              <w:rFonts w:ascii="Arial" w:eastAsia="Arial" w:hAnsi="Arial" w:cs="Arial"/>
              <w:b/>
              <w:sz w:val="22"/>
              <w:szCs w:val="22"/>
            </w:rPr>
          </w:pPr>
        </w:p>
      </w:tc>
    </w:tr>
  </w:tbl>
  <w:p w14:paraId="734777D5" w14:textId="77777777" w:rsidR="006D4739" w:rsidRDefault="00ED6CB7">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14:anchorId="67B3B977" wp14:editId="74DF009D">
          <wp:simplePos x="0" y="0"/>
          <wp:positionH relativeFrom="margin">
            <wp:posOffset>-1153159</wp:posOffset>
          </wp:positionH>
          <wp:positionV relativeFrom="margin">
            <wp:posOffset>-1539239</wp:posOffset>
          </wp:positionV>
          <wp:extent cx="7835900" cy="10203815"/>
          <wp:effectExtent l="0" t="0" r="0" b="0"/>
          <wp:wrapNone/>
          <wp:docPr id="4552298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r>
      <w:rPr>
        <w:rFonts w:ascii="Garamond" w:eastAsia="Garamond" w:hAnsi="Garamond" w:cs="Garamond"/>
        <w:color w:val="000000"/>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7B5A" w14:textId="77777777" w:rsidR="006D4739" w:rsidRDefault="006D4739">
    <w:pPr>
      <w:widowControl w:val="0"/>
      <w:pBdr>
        <w:top w:val="nil"/>
        <w:left w:val="nil"/>
        <w:bottom w:val="nil"/>
        <w:right w:val="nil"/>
        <w:between w:val="nil"/>
      </w:pBdr>
      <w:spacing w:line="276" w:lineRule="auto"/>
      <w:rPr>
        <w:color w:val="000000"/>
      </w:rPr>
    </w:pPr>
  </w:p>
  <w:tbl>
    <w:tblPr>
      <w:tblStyle w:val="a4"/>
      <w:tblW w:w="10206" w:type="dxa"/>
      <w:tblInd w:w="0" w:type="dxa"/>
      <w:tblLayout w:type="fixed"/>
      <w:tblLook w:val="0400" w:firstRow="0" w:lastRow="0" w:firstColumn="0" w:lastColumn="0" w:noHBand="0" w:noVBand="1"/>
    </w:tblPr>
    <w:tblGrid>
      <w:gridCol w:w="2268"/>
      <w:gridCol w:w="7938"/>
    </w:tblGrid>
    <w:tr w:rsidR="006D4739" w14:paraId="18F61894" w14:textId="77777777">
      <w:trPr>
        <w:trHeight w:val="1435"/>
      </w:trPr>
      <w:tc>
        <w:tcPr>
          <w:tcW w:w="2268" w:type="dxa"/>
        </w:tcPr>
        <w:p w14:paraId="5735F7BF" w14:textId="77777777" w:rsidR="006D4739" w:rsidRDefault="006D4739">
          <w:pPr>
            <w:tabs>
              <w:tab w:val="right" w:pos="4273"/>
            </w:tabs>
            <w:spacing w:line="256" w:lineRule="auto"/>
            <w:rPr>
              <w:rFonts w:ascii="Garamond" w:eastAsia="Garamond" w:hAnsi="Garamond" w:cs="Garamond"/>
              <w:sz w:val="22"/>
              <w:szCs w:val="22"/>
            </w:rPr>
          </w:pPr>
        </w:p>
      </w:tc>
      <w:tc>
        <w:tcPr>
          <w:tcW w:w="7938" w:type="dxa"/>
        </w:tcPr>
        <w:p w14:paraId="4C6E423D" w14:textId="77777777" w:rsidR="006D4739" w:rsidRDefault="006D473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7038" w:type="dxa"/>
            <w:tblInd w:w="653" w:type="dxa"/>
            <w:tblBorders>
              <w:top w:val="nil"/>
              <w:left w:val="nil"/>
              <w:bottom w:val="nil"/>
              <w:right w:val="nil"/>
              <w:insideH w:val="nil"/>
              <w:insideV w:val="nil"/>
            </w:tblBorders>
            <w:tblLayout w:type="fixed"/>
            <w:tblLook w:val="0400" w:firstRow="0" w:lastRow="0" w:firstColumn="0" w:lastColumn="0" w:noHBand="0" w:noVBand="1"/>
          </w:tblPr>
          <w:tblGrid>
            <w:gridCol w:w="2785"/>
            <w:gridCol w:w="3119"/>
            <w:gridCol w:w="1134"/>
          </w:tblGrid>
          <w:tr w:rsidR="006D4739" w14:paraId="19AE26A7" w14:textId="77777777">
            <w:trPr>
              <w:gridAfter w:val="1"/>
              <w:wAfter w:w="1134" w:type="dxa"/>
              <w:trHeight w:val="132"/>
            </w:trPr>
            <w:tc>
              <w:tcPr>
                <w:tcW w:w="2785" w:type="dxa"/>
              </w:tcPr>
              <w:p w14:paraId="3CEFEE8F" w14:textId="77777777" w:rsidR="006D4739" w:rsidRDefault="00ED6CB7">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9" w:type="dxa"/>
              </w:tcPr>
              <w:p w14:paraId="5B9FB9F7" w14:textId="77777777" w:rsidR="006D4739" w:rsidRDefault="00ED6CB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05616/INFOEM/IP/RR/2024 y acumulado</w:t>
                </w:r>
              </w:p>
            </w:tc>
          </w:tr>
          <w:tr w:rsidR="006D4739" w14:paraId="6F4F9ECA" w14:textId="77777777">
            <w:trPr>
              <w:gridAfter w:val="1"/>
              <w:wAfter w:w="1134" w:type="dxa"/>
              <w:trHeight w:val="132"/>
            </w:trPr>
            <w:tc>
              <w:tcPr>
                <w:tcW w:w="2785" w:type="dxa"/>
              </w:tcPr>
              <w:p w14:paraId="490D9A0D" w14:textId="77777777" w:rsidR="006D4739" w:rsidRDefault="00ED6CB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9" w:type="dxa"/>
              </w:tcPr>
              <w:p w14:paraId="29DBC635" w14:textId="77777777" w:rsidR="006D4739" w:rsidRDefault="006D4739">
                <w:pPr>
                  <w:tabs>
                    <w:tab w:val="left" w:pos="3122"/>
                    <w:tab w:val="right" w:pos="8838"/>
                  </w:tabs>
                  <w:ind w:left="-74" w:right="-105"/>
                  <w:jc w:val="both"/>
                  <w:rPr>
                    <w:rFonts w:ascii="Palatino Linotype" w:eastAsia="Palatino Linotype" w:hAnsi="Palatino Linotype" w:cs="Palatino Linotype"/>
                    <w:sz w:val="22"/>
                    <w:szCs w:val="22"/>
                  </w:rPr>
                </w:pPr>
              </w:p>
            </w:tc>
          </w:tr>
          <w:tr w:rsidR="006D4739" w14:paraId="747F81C4" w14:textId="77777777">
            <w:trPr>
              <w:gridAfter w:val="1"/>
              <w:wAfter w:w="1134" w:type="dxa"/>
              <w:trHeight w:val="261"/>
            </w:trPr>
            <w:tc>
              <w:tcPr>
                <w:tcW w:w="2785" w:type="dxa"/>
              </w:tcPr>
              <w:p w14:paraId="5C8BACC8" w14:textId="77777777" w:rsidR="006D4739" w:rsidRDefault="00ED6CB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9" w:type="dxa"/>
              </w:tcPr>
              <w:p w14:paraId="7570692B" w14:textId="77777777" w:rsidR="006D4739" w:rsidRDefault="00ED6CB7">
                <w:pPr>
                  <w:tabs>
                    <w:tab w:val="left" w:pos="2834"/>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Temamatla </w:t>
                </w:r>
              </w:p>
            </w:tc>
          </w:tr>
          <w:tr w:rsidR="006D4739" w14:paraId="3C34B065" w14:textId="77777777">
            <w:trPr>
              <w:trHeight w:val="261"/>
            </w:trPr>
            <w:tc>
              <w:tcPr>
                <w:tcW w:w="2785" w:type="dxa"/>
              </w:tcPr>
              <w:p w14:paraId="5AA232D0" w14:textId="77777777" w:rsidR="006D4739" w:rsidRDefault="00ED6CB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53" w:type="dxa"/>
                <w:gridSpan w:val="2"/>
              </w:tcPr>
              <w:p w14:paraId="1B844416" w14:textId="77777777" w:rsidR="006D4739" w:rsidRDefault="00ED6CB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4C5FF991" w14:textId="77777777" w:rsidR="006D4739" w:rsidRDefault="006D4739">
          <w:pPr>
            <w:tabs>
              <w:tab w:val="right" w:pos="8838"/>
            </w:tabs>
            <w:spacing w:line="256" w:lineRule="auto"/>
            <w:ind w:left="-28"/>
            <w:jc w:val="both"/>
            <w:rPr>
              <w:rFonts w:ascii="Arial" w:eastAsia="Arial" w:hAnsi="Arial" w:cs="Arial"/>
              <w:b/>
              <w:sz w:val="22"/>
              <w:szCs w:val="22"/>
            </w:rPr>
          </w:pPr>
        </w:p>
      </w:tc>
    </w:tr>
  </w:tbl>
  <w:p w14:paraId="3419A4A2" w14:textId="77777777" w:rsidR="006D4739" w:rsidRDefault="00FB5274">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w14:anchorId="2A27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57.75pt;margin-top:-133.35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5BC"/>
    <w:multiLevelType w:val="multilevel"/>
    <w:tmpl w:val="ED7A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26181"/>
    <w:multiLevelType w:val="multilevel"/>
    <w:tmpl w:val="BD8E74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12BEF"/>
    <w:multiLevelType w:val="multilevel"/>
    <w:tmpl w:val="54327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E75546"/>
    <w:multiLevelType w:val="multilevel"/>
    <w:tmpl w:val="4E20B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B97646"/>
    <w:multiLevelType w:val="multilevel"/>
    <w:tmpl w:val="64B858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74C79"/>
    <w:multiLevelType w:val="multilevel"/>
    <w:tmpl w:val="E18A0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B336F5"/>
    <w:multiLevelType w:val="multilevel"/>
    <w:tmpl w:val="3EF48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3E93D3F"/>
    <w:multiLevelType w:val="multilevel"/>
    <w:tmpl w:val="C218C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C80050"/>
    <w:multiLevelType w:val="multilevel"/>
    <w:tmpl w:val="4A0C1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162E42"/>
    <w:multiLevelType w:val="multilevel"/>
    <w:tmpl w:val="B5E0F8B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5D38D9"/>
    <w:multiLevelType w:val="multilevel"/>
    <w:tmpl w:val="139460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402571"/>
    <w:multiLevelType w:val="multilevel"/>
    <w:tmpl w:val="401249E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F84871"/>
    <w:multiLevelType w:val="multilevel"/>
    <w:tmpl w:val="91D2B18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10"/>
  </w:num>
  <w:num w:numId="8">
    <w:abstractNumId w:val="9"/>
  </w:num>
  <w:num w:numId="9">
    <w:abstractNumId w:val="12"/>
  </w:num>
  <w:num w:numId="10">
    <w:abstractNumId w:val="1"/>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39"/>
    <w:rsid w:val="0002774A"/>
    <w:rsid w:val="0028068C"/>
    <w:rsid w:val="003D300B"/>
    <w:rsid w:val="005C3BFF"/>
    <w:rsid w:val="006449FB"/>
    <w:rsid w:val="006D4739"/>
    <w:rsid w:val="00701BE2"/>
    <w:rsid w:val="007B3F89"/>
    <w:rsid w:val="0085328D"/>
    <w:rsid w:val="00EA65ED"/>
    <w:rsid w:val="00EC7D92"/>
    <w:rsid w:val="00ED6CB7"/>
    <w:rsid w:val="00FB5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21FD13"/>
  <w15:docId w15:val="{97EF74DB-9E62-4A31-8BD2-99AEC15E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00"/>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B0E00"/>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B0E00"/>
    <w:pPr>
      <w:ind w:left="720"/>
      <w:contextualSpacing/>
    </w:pPr>
    <w:rPr>
      <w:rFonts w:ascii="Century Gothic" w:hAnsi="Century Gothic"/>
      <w:kern w:val="2"/>
      <w:sz w:val="22"/>
      <w:szCs w:val="24"/>
    </w:rPr>
  </w:style>
  <w:style w:type="table" w:styleId="Tablaconcuadrcula">
    <w:name w:val="Table Grid"/>
    <w:basedOn w:val="Tablanormal"/>
    <w:uiPriority w:val="39"/>
    <w:rsid w:val="004B0E0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0E00"/>
    <w:pPr>
      <w:tabs>
        <w:tab w:val="center" w:pos="4419"/>
        <w:tab w:val="right" w:pos="8838"/>
      </w:tabs>
    </w:pPr>
  </w:style>
  <w:style w:type="character" w:customStyle="1" w:styleId="EncabezadoCar">
    <w:name w:val="Encabezado Car"/>
    <w:basedOn w:val="Fuentedeprrafopredeter"/>
    <w:link w:val="Encabezado"/>
    <w:uiPriority w:val="99"/>
    <w:rsid w:val="004B0E0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4B0E00"/>
    <w:pPr>
      <w:tabs>
        <w:tab w:val="center" w:pos="4419"/>
        <w:tab w:val="right" w:pos="8838"/>
      </w:tabs>
    </w:pPr>
  </w:style>
  <w:style w:type="character" w:customStyle="1" w:styleId="PiedepginaCar">
    <w:name w:val="Pie de página Car"/>
    <w:basedOn w:val="Fuentedeprrafopredeter"/>
    <w:link w:val="Piedepgina"/>
    <w:uiPriority w:val="99"/>
    <w:rsid w:val="004B0E00"/>
    <w:rPr>
      <w:rFonts w:ascii="Times New Roman" w:eastAsia="Times New Roman" w:hAnsi="Times New Roman" w:cs="Times New Roman"/>
      <w:kern w:val="0"/>
      <w:sz w:val="20"/>
      <w:szCs w:val="20"/>
      <w:lang w:eastAsia="es-ES"/>
    </w:rPr>
  </w:style>
  <w:style w:type="character" w:styleId="Hipervnculo">
    <w:name w:val="Hyperlink"/>
    <w:basedOn w:val="Fuentedeprrafopredeter"/>
    <w:uiPriority w:val="99"/>
    <w:unhideWhenUsed/>
    <w:rsid w:val="007B1A6E"/>
    <w:rPr>
      <w:color w:val="0563C1" w:themeColor="hyperlink"/>
      <w:u w:val="single"/>
    </w:rPr>
  </w:style>
  <w:style w:type="character" w:customStyle="1" w:styleId="Mencinsinresolver1">
    <w:name w:val="Mención sin resolver1"/>
    <w:basedOn w:val="Fuentedeprrafopredeter"/>
    <w:uiPriority w:val="99"/>
    <w:semiHidden/>
    <w:unhideWhenUsed/>
    <w:rsid w:val="007B1A6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retariadoejecutivo.gob.mx/work/models/SecretariadoEjecutivo/Resource/328/1/images/instructivo_final_edo_fuerza(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7ktrWxAs1BB6eovfD7qEyuM/iQ==">CgMxLjAyCGguZ2pkZ3hzMgloLjMwajB6bGwyCWguMWZvYjl0ZTIJaC4zem55c2g3MgloLjJldDkycDA4AHIhMXBrX1doaWNRNm93OXJSWVF4bjBfWWxVaFRqSi1DWlBY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13413</Words>
  <Characters>73772</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3</cp:revision>
  <cp:lastPrinted>2024-11-15T04:14:00Z</cp:lastPrinted>
  <dcterms:created xsi:type="dcterms:W3CDTF">2024-11-28T16:54:00Z</dcterms:created>
  <dcterms:modified xsi:type="dcterms:W3CDTF">2025-02-05T20:51:00Z</dcterms:modified>
</cp:coreProperties>
</file>