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697E" w14:textId="6E20B5BB" w:rsidR="00F8557D" w:rsidRPr="00591DC7" w:rsidRDefault="00646B44" w:rsidP="009916B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494569" w:rsidRPr="00591DC7">
        <w:rPr>
          <w:rFonts w:ascii="Palatino Linotype" w:eastAsia="Palatino Linotype" w:hAnsi="Palatino Linotype" w:cs="Palatino Linotype"/>
          <w:sz w:val="24"/>
          <w:szCs w:val="24"/>
        </w:rPr>
        <w:t>tres de abril</w:t>
      </w:r>
      <w:r w:rsidR="009916B4" w:rsidRPr="00591DC7">
        <w:rPr>
          <w:rFonts w:ascii="Palatino Linotype" w:eastAsia="Palatino Linotype" w:hAnsi="Palatino Linotype" w:cs="Palatino Linotype"/>
          <w:sz w:val="24"/>
          <w:szCs w:val="24"/>
        </w:rPr>
        <w:t xml:space="preserve"> </w:t>
      </w:r>
      <w:r w:rsidR="00285082" w:rsidRPr="00591DC7">
        <w:rPr>
          <w:rFonts w:ascii="Palatino Linotype" w:eastAsia="Palatino Linotype" w:hAnsi="Palatino Linotype" w:cs="Palatino Linotype"/>
          <w:sz w:val="24"/>
          <w:szCs w:val="24"/>
        </w:rPr>
        <w:t xml:space="preserve">de dos mil veinticuatro. </w:t>
      </w:r>
    </w:p>
    <w:p w14:paraId="48B10D89" w14:textId="77777777" w:rsidR="00285082" w:rsidRPr="00591DC7" w:rsidRDefault="00285082" w:rsidP="009916B4">
      <w:pPr>
        <w:spacing w:after="0" w:line="360" w:lineRule="auto"/>
        <w:ind w:right="49"/>
        <w:jc w:val="both"/>
        <w:rPr>
          <w:rFonts w:ascii="Palatino Linotype" w:eastAsia="Palatino Linotype" w:hAnsi="Palatino Linotype" w:cs="Palatino Linotype"/>
          <w:sz w:val="24"/>
          <w:szCs w:val="24"/>
        </w:rPr>
      </w:pPr>
    </w:p>
    <w:p w14:paraId="52F4F0DF" w14:textId="1422E978"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Visto el expediente relativo al recurso de revisión </w:t>
      </w:r>
      <w:r w:rsidR="00494569" w:rsidRPr="00591DC7">
        <w:rPr>
          <w:rFonts w:ascii="Palatino Linotype" w:eastAsia="Palatino Linotype" w:hAnsi="Palatino Linotype" w:cs="Palatino Linotype"/>
          <w:b/>
          <w:sz w:val="24"/>
          <w:szCs w:val="24"/>
        </w:rPr>
        <w:t>06974</w:t>
      </w:r>
      <w:r w:rsidR="00432093" w:rsidRPr="00591DC7">
        <w:rPr>
          <w:rFonts w:ascii="Palatino Linotype" w:eastAsia="Palatino Linotype" w:hAnsi="Palatino Linotype" w:cs="Palatino Linotype"/>
          <w:b/>
          <w:sz w:val="24"/>
          <w:szCs w:val="24"/>
        </w:rPr>
        <w:t>/INFOEM/IP/RR/2023</w:t>
      </w:r>
      <w:r w:rsidRPr="00591DC7">
        <w:rPr>
          <w:rFonts w:ascii="Palatino Linotype" w:eastAsia="Palatino Linotype" w:hAnsi="Palatino Linotype" w:cs="Palatino Linotype"/>
          <w:sz w:val="24"/>
          <w:szCs w:val="24"/>
        </w:rPr>
        <w:t xml:space="preserve">, interpuesto por </w:t>
      </w:r>
      <w:r w:rsidR="00494569" w:rsidRPr="00591DC7">
        <w:rPr>
          <w:rFonts w:ascii="Palatino Linotype" w:eastAsia="Palatino Linotype" w:hAnsi="Palatino Linotype" w:cs="Palatino Linotype"/>
          <w:b/>
          <w:sz w:val="24"/>
          <w:szCs w:val="24"/>
        </w:rPr>
        <w:t>una persona usuaria del Sistema de Acceso a la Información Mexiquense</w:t>
      </w:r>
      <w:r w:rsidRPr="00591DC7">
        <w:rPr>
          <w:rFonts w:ascii="Palatino Linotype" w:eastAsia="Palatino Linotype" w:hAnsi="Palatino Linotype" w:cs="Palatino Linotype"/>
          <w:sz w:val="24"/>
          <w:szCs w:val="24"/>
        </w:rPr>
        <w:t>, al cual en lo sucesivo se le denominará</w:t>
      </w:r>
      <w:r w:rsidR="00484D1B" w:rsidRPr="00591DC7">
        <w:rPr>
          <w:rFonts w:ascii="Palatino Linotype" w:eastAsia="Palatino Linotype" w:hAnsi="Palatino Linotype" w:cs="Palatino Linotype"/>
          <w:sz w:val="24"/>
          <w:szCs w:val="24"/>
        </w:rPr>
        <w:t xml:space="preserve"> la parte</w:t>
      </w:r>
      <w:r w:rsidRPr="00591DC7">
        <w:rPr>
          <w:rFonts w:ascii="Palatino Linotype" w:eastAsia="Palatino Linotype" w:hAnsi="Palatino Linotype" w:cs="Palatino Linotype"/>
          <w:sz w:val="24"/>
          <w:szCs w:val="24"/>
        </w:rPr>
        <w:t xml:space="preserve"> </w:t>
      </w:r>
      <w:r w:rsidRPr="00591DC7">
        <w:rPr>
          <w:rFonts w:ascii="Palatino Linotype" w:eastAsia="Palatino Linotype" w:hAnsi="Palatino Linotype" w:cs="Palatino Linotype"/>
          <w:b/>
          <w:sz w:val="24"/>
          <w:szCs w:val="24"/>
        </w:rPr>
        <w:t>RECURRENTE</w:t>
      </w:r>
      <w:r w:rsidRPr="00591DC7">
        <w:rPr>
          <w:rFonts w:ascii="Palatino Linotype" w:eastAsia="Palatino Linotype" w:hAnsi="Palatino Linotype" w:cs="Palatino Linotype"/>
          <w:sz w:val="24"/>
          <w:szCs w:val="24"/>
        </w:rPr>
        <w:t xml:space="preserve">, en contra de la respuesta a su solicitud de información identificada con número de folio </w:t>
      </w:r>
      <w:r w:rsidR="00B30C44" w:rsidRPr="00591DC7">
        <w:rPr>
          <w:rFonts w:ascii="Palatino Linotype" w:eastAsia="Palatino Linotype" w:hAnsi="Palatino Linotype" w:cs="Palatino Linotype"/>
          <w:b/>
          <w:sz w:val="24"/>
          <w:szCs w:val="24"/>
        </w:rPr>
        <w:t>00</w:t>
      </w:r>
      <w:r w:rsidR="00494569" w:rsidRPr="00591DC7">
        <w:rPr>
          <w:rFonts w:ascii="Palatino Linotype" w:eastAsia="Palatino Linotype" w:hAnsi="Palatino Linotype" w:cs="Palatino Linotype"/>
          <w:b/>
          <w:sz w:val="24"/>
          <w:szCs w:val="24"/>
        </w:rPr>
        <w:t>443</w:t>
      </w:r>
      <w:r w:rsidRPr="00591DC7">
        <w:rPr>
          <w:rFonts w:ascii="Palatino Linotype" w:eastAsia="Palatino Linotype" w:hAnsi="Palatino Linotype" w:cs="Palatino Linotype"/>
          <w:b/>
          <w:sz w:val="24"/>
          <w:szCs w:val="24"/>
        </w:rPr>
        <w:t>/</w:t>
      </w:r>
      <w:r w:rsidR="00494569" w:rsidRPr="00591DC7">
        <w:rPr>
          <w:rFonts w:ascii="Palatino Linotype" w:eastAsia="Palatino Linotype" w:hAnsi="Palatino Linotype" w:cs="Palatino Linotype"/>
          <w:b/>
          <w:sz w:val="24"/>
          <w:szCs w:val="24"/>
        </w:rPr>
        <w:t>SMOV</w:t>
      </w:r>
      <w:r w:rsidR="00432093" w:rsidRPr="00591DC7">
        <w:rPr>
          <w:rFonts w:ascii="Palatino Linotype" w:eastAsia="Palatino Linotype" w:hAnsi="Palatino Linotype" w:cs="Palatino Linotype"/>
          <w:b/>
          <w:sz w:val="24"/>
          <w:szCs w:val="24"/>
        </w:rPr>
        <w:t>/IP/2023</w:t>
      </w:r>
      <w:r w:rsidR="00494569" w:rsidRPr="00591DC7">
        <w:rPr>
          <w:rFonts w:ascii="Palatino Linotype" w:eastAsia="Palatino Linotype" w:hAnsi="Palatino Linotype" w:cs="Palatino Linotype"/>
          <w:sz w:val="24"/>
          <w:szCs w:val="24"/>
        </w:rPr>
        <w:t xml:space="preserve"> proporcionada por parte de la</w:t>
      </w:r>
      <w:r w:rsidRPr="00591DC7">
        <w:rPr>
          <w:rFonts w:ascii="Palatino Linotype" w:eastAsia="Palatino Linotype" w:hAnsi="Palatino Linotype" w:cs="Palatino Linotype"/>
          <w:sz w:val="24"/>
          <w:szCs w:val="24"/>
        </w:rPr>
        <w:t xml:space="preserve"> </w:t>
      </w:r>
      <w:r w:rsidR="00494569" w:rsidRPr="00591DC7">
        <w:rPr>
          <w:rFonts w:ascii="Palatino Linotype" w:eastAsia="Palatino Linotype" w:hAnsi="Palatino Linotype" w:cs="Palatino Linotype"/>
          <w:b/>
          <w:sz w:val="24"/>
          <w:szCs w:val="24"/>
        </w:rPr>
        <w:t>Secretaría de Movilidad</w:t>
      </w:r>
      <w:r w:rsidRPr="00591DC7">
        <w:rPr>
          <w:rFonts w:ascii="Palatino Linotype" w:eastAsia="Palatino Linotype" w:hAnsi="Palatino Linotype" w:cs="Palatino Linotype"/>
          <w:sz w:val="24"/>
          <w:szCs w:val="24"/>
        </w:rPr>
        <w:t xml:space="preserve">, en lo sucesivo el </w:t>
      </w:r>
      <w:r w:rsidRPr="00591DC7">
        <w:rPr>
          <w:rFonts w:ascii="Palatino Linotype" w:eastAsia="Palatino Linotype" w:hAnsi="Palatino Linotype" w:cs="Palatino Linotype"/>
          <w:b/>
          <w:sz w:val="24"/>
          <w:szCs w:val="24"/>
        </w:rPr>
        <w:t>SUJETO OBLIGADO</w:t>
      </w:r>
      <w:r w:rsidRPr="00591DC7">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591DC7" w:rsidRDefault="00646B44">
      <w:pPr>
        <w:spacing w:after="0" w:line="360" w:lineRule="auto"/>
        <w:ind w:right="49"/>
        <w:jc w:val="center"/>
        <w:rPr>
          <w:rFonts w:ascii="Palatino Linotype" w:eastAsia="Palatino Linotype" w:hAnsi="Palatino Linotype" w:cs="Palatino Linotype"/>
          <w:b/>
          <w:sz w:val="24"/>
          <w:szCs w:val="24"/>
        </w:rPr>
      </w:pPr>
      <w:r w:rsidRPr="00591DC7">
        <w:rPr>
          <w:rFonts w:ascii="Palatino Linotype" w:eastAsia="Palatino Linotype" w:hAnsi="Palatino Linotype" w:cs="Palatino Linotype"/>
          <w:b/>
          <w:sz w:val="24"/>
          <w:szCs w:val="24"/>
        </w:rPr>
        <w:t>I.</w:t>
      </w:r>
      <w:r w:rsidRPr="00591DC7">
        <w:rPr>
          <w:rFonts w:ascii="Palatino Linotype" w:eastAsia="Palatino Linotype" w:hAnsi="Palatino Linotype" w:cs="Palatino Linotype"/>
          <w:b/>
          <w:sz w:val="24"/>
          <w:szCs w:val="24"/>
        </w:rPr>
        <w:tab/>
        <w:t>A N T E C E D E N T E S</w:t>
      </w:r>
    </w:p>
    <w:p w14:paraId="0D8742AC"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6567E90C" w14:textId="4A876DE4" w:rsidR="00F8557D" w:rsidRPr="00591DC7" w:rsidRDefault="00646B44" w:rsidP="001F6AC1">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b/>
          <w:color w:val="000000"/>
          <w:sz w:val="24"/>
          <w:szCs w:val="24"/>
        </w:rPr>
        <w:t>Solicitud de acceso a la información.</w:t>
      </w:r>
      <w:r w:rsidRPr="00591DC7">
        <w:rPr>
          <w:rFonts w:ascii="Palatino Linotype" w:eastAsia="Palatino Linotype" w:hAnsi="Palatino Linotype" w:cs="Palatino Linotype"/>
          <w:color w:val="000000"/>
          <w:sz w:val="24"/>
          <w:szCs w:val="24"/>
        </w:rPr>
        <w:t xml:space="preserve"> Con fecha </w:t>
      </w:r>
      <w:r w:rsidR="00494569" w:rsidRPr="00591DC7">
        <w:rPr>
          <w:rFonts w:ascii="Palatino Linotype" w:eastAsia="Palatino Linotype" w:hAnsi="Palatino Linotype" w:cs="Palatino Linotype"/>
          <w:b/>
          <w:color w:val="000000"/>
          <w:sz w:val="24"/>
          <w:szCs w:val="24"/>
        </w:rPr>
        <w:t>veintitrés de agosto</w:t>
      </w:r>
      <w:r w:rsidR="006E0D4C" w:rsidRPr="00591DC7">
        <w:rPr>
          <w:rFonts w:ascii="Palatino Linotype" w:eastAsia="Palatino Linotype" w:hAnsi="Palatino Linotype" w:cs="Palatino Linotype"/>
          <w:b/>
          <w:color w:val="000000"/>
          <w:sz w:val="24"/>
          <w:szCs w:val="24"/>
        </w:rPr>
        <w:t xml:space="preserve"> </w:t>
      </w:r>
      <w:r w:rsidR="00432093" w:rsidRPr="00591DC7">
        <w:rPr>
          <w:rFonts w:ascii="Palatino Linotype" w:eastAsia="Palatino Linotype" w:hAnsi="Palatino Linotype" w:cs="Palatino Linotype"/>
          <w:b/>
          <w:color w:val="000000"/>
          <w:sz w:val="24"/>
          <w:szCs w:val="24"/>
        </w:rPr>
        <w:t>de dos mil veintitrés</w:t>
      </w:r>
      <w:r w:rsidRPr="00591DC7">
        <w:rPr>
          <w:rFonts w:ascii="Palatino Linotype" w:eastAsia="Palatino Linotype" w:hAnsi="Palatino Linotype" w:cs="Palatino Linotype"/>
          <w:color w:val="000000"/>
          <w:sz w:val="24"/>
          <w:szCs w:val="24"/>
        </w:rPr>
        <w:t xml:space="preserve">, la parte </w:t>
      </w:r>
      <w:r w:rsidRPr="00591DC7">
        <w:rPr>
          <w:rFonts w:ascii="Palatino Linotype" w:eastAsia="Palatino Linotype" w:hAnsi="Palatino Linotype" w:cs="Palatino Linotype"/>
          <w:b/>
          <w:color w:val="000000"/>
          <w:sz w:val="24"/>
          <w:szCs w:val="24"/>
        </w:rPr>
        <w:t>RECURRENTE</w:t>
      </w:r>
      <w:r w:rsidRPr="00591DC7">
        <w:rPr>
          <w:rFonts w:ascii="Palatino Linotype" w:eastAsia="Palatino Linotype" w:hAnsi="Palatino Linotype" w:cs="Palatino Linotype"/>
          <w:color w:val="000000"/>
          <w:sz w:val="24"/>
          <w:szCs w:val="24"/>
        </w:rPr>
        <w:t xml:space="preserve"> formuló solicitud de acceso a información pública al</w:t>
      </w:r>
      <w:r w:rsidRPr="00591DC7">
        <w:rPr>
          <w:rFonts w:ascii="Palatino Linotype" w:eastAsia="Palatino Linotype" w:hAnsi="Palatino Linotype" w:cs="Palatino Linotype"/>
          <w:b/>
          <w:color w:val="000000"/>
          <w:sz w:val="24"/>
          <w:szCs w:val="24"/>
        </w:rPr>
        <w:t xml:space="preserve"> SUJETO OBLIGADO</w:t>
      </w:r>
      <w:r w:rsidRPr="00591DC7">
        <w:rPr>
          <w:rFonts w:ascii="Palatino Linotype" w:eastAsia="Palatino Linotype" w:hAnsi="Palatino Linotype" w:cs="Palatino Linotype"/>
          <w:color w:val="000000"/>
          <w:sz w:val="24"/>
          <w:szCs w:val="24"/>
        </w:rPr>
        <w:t xml:space="preserve"> a través del Sistema de Acceso a la Información Mexiquense, en adelante SAIMEX, en la que requirió lo siguiente: </w:t>
      </w:r>
    </w:p>
    <w:p w14:paraId="203217E3" w14:textId="77777777" w:rsidR="001F6AC1" w:rsidRPr="00591DC7" w:rsidRDefault="001F6AC1" w:rsidP="001F6AC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E646918" w14:textId="432C3120" w:rsidR="00F8557D" w:rsidRPr="00591DC7" w:rsidRDefault="00432093">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591DC7">
        <w:rPr>
          <w:rFonts w:ascii="Palatino Linotype" w:eastAsia="Palatino Linotype" w:hAnsi="Palatino Linotype" w:cs="Palatino Linotype"/>
          <w:i/>
        </w:rPr>
        <w:t>“</w:t>
      </w:r>
      <w:r w:rsidR="00494569" w:rsidRPr="00591DC7">
        <w:rPr>
          <w:rFonts w:ascii="Palatino Linotype" w:eastAsia="Palatino Linotype" w:hAnsi="Palatino Linotype" w:cs="Palatino Linotype"/>
          <w:i/>
        </w:rPr>
        <w:t xml:space="preserve">Buenas tardes solicito los </w:t>
      </w:r>
      <w:proofErr w:type="spellStart"/>
      <w:r w:rsidR="00494569" w:rsidRPr="00591DC7">
        <w:rPr>
          <w:rFonts w:ascii="Palatino Linotype" w:eastAsia="Palatino Linotype" w:hAnsi="Palatino Linotype" w:cs="Palatino Linotype"/>
          <w:i/>
        </w:rPr>
        <w:t>dictamenes</w:t>
      </w:r>
      <w:proofErr w:type="spellEnd"/>
      <w:r w:rsidR="00494569" w:rsidRPr="00591DC7">
        <w:rPr>
          <w:rFonts w:ascii="Palatino Linotype" w:eastAsia="Palatino Linotype" w:hAnsi="Palatino Linotype" w:cs="Palatino Linotype"/>
          <w:i/>
        </w:rPr>
        <w:t xml:space="preserve"> de vialidad emitidos en los </w:t>
      </w:r>
      <w:proofErr w:type="spellStart"/>
      <w:r w:rsidR="00494569" w:rsidRPr="00591DC7">
        <w:rPr>
          <w:rFonts w:ascii="Palatino Linotype" w:eastAsia="Palatino Linotype" w:hAnsi="Palatino Linotype" w:cs="Palatino Linotype"/>
          <w:i/>
        </w:rPr>
        <w:t>ultimos</w:t>
      </w:r>
      <w:proofErr w:type="spellEnd"/>
      <w:r w:rsidR="00494569" w:rsidRPr="00591DC7">
        <w:rPr>
          <w:rFonts w:ascii="Palatino Linotype" w:eastAsia="Palatino Linotype" w:hAnsi="Palatino Linotype" w:cs="Palatino Linotype"/>
          <w:i/>
        </w:rPr>
        <w:t xml:space="preserve"> 6 meses</w:t>
      </w:r>
      <w:r w:rsidRPr="00591DC7">
        <w:rPr>
          <w:rFonts w:ascii="Palatino Linotype" w:eastAsia="Palatino Linotype" w:hAnsi="Palatino Linotype" w:cs="Palatino Linotype"/>
          <w:i/>
        </w:rPr>
        <w:t xml:space="preserve">”. </w:t>
      </w:r>
    </w:p>
    <w:p w14:paraId="4D20A199" w14:textId="77777777" w:rsidR="00F8557D" w:rsidRPr="00591DC7" w:rsidRDefault="00F8557D">
      <w:pPr>
        <w:spacing w:after="0" w:line="360" w:lineRule="auto"/>
        <w:ind w:left="567" w:right="560"/>
        <w:jc w:val="both"/>
        <w:rPr>
          <w:rFonts w:ascii="Palatino Linotype" w:eastAsia="Palatino Linotype" w:hAnsi="Palatino Linotype" w:cs="Palatino Linotype"/>
          <w:i/>
        </w:rPr>
      </w:pPr>
    </w:p>
    <w:p w14:paraId="77E4494A" w14:textId="3CCB2E84"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b/>
          <w:sz w:val="24"/>
          <w:szCs w:val="24"/>
        </w:rPr>
        <w:t>Modalidad elegida para la entrega de la información:</w:t>
      </w:r>
      <w:r w:rsidRPr="00591DC7">
        <w:rPr>
          <w:rFonts w:ascii="Palatino Linotype" w:eastAsia="Palatino Linotype" w:hAnsi="Palatino Linotype" w:cs="Palatino Linotype"/>
          <w:sz w:val="24"/>
          <w:szCs w:val="24"/>
        </w:rPr>
        <w:t xml:space="preserve"> a través del Sistema de Acceso a la Información Mexiquense (SAIMEX). </w:t>
      </w:r>
    </w:p>
    <w:p w14:paraId="59C449A1" w14:textId="77777777" w:rsidR="001F6AC1" w:rsidRPr="00591DC7" w:rsidRDefault="001F6AC1">
      <w:pPr>
        <w:spacing w:after="0" w:line="360" w:lineRule="auto"/>
        <w:ind w:right="49"/>
        <w:jc w:val="both"/>
        <w:rPr>
          <w:rFonts w:ascii="Palatino Linotype" w:eastAsia="Palatino Linotype" w:hAnsi="Palatino Linotype" w:cs="Palatino Linotype"/>
          <w:sz w:val="24"/>
          <w:szCs w:val="24"/>
        </w:rPr>
      </w:pPr>
    </w:p>
    <w:p w14:paraId="18CD2180" w14:textId="1B753ACF" w:rsidR="00C575F9" w:rsidRPr="00591DC7" w:rsidRDefault="00494569" w:rsidP="00494569">
      <w:pPr>
        <w:numPr>
          <w:ilvl w:val="0"/>
          <w:numId w:val="1"/>
        </w:numPr>
        <w:pBdr>
          <w:top w:val="nil"/>
          <w:left w:val="nil"/>
          <w:bottom w:val="nil"/>
          <w:right w:val="nil"/>
          <w:between w:val="nil"/>
        </w:pBdr>
        <w:spacing w:after="0" w:line="360" w:lineRule="auto"/>
        <w:ind w:left="0" w:right="-7" w:firstLine="0"/>
        <w:jc w:val="both"/>
        <w:rPr>
          <w:rFonts w:ascii="Palatino Linotype" w:eastAsia="Palatino Linotype" w:hAnsi="Palatino Linotype" w:cs="Palatino Linotype"/>
          <w:i/>
          <w:color w:val="000000"/>
          <w:szCs w:val="24"/>
        </w:rPr>
      </w:pPr>
      <w:r w:rsidRPr="00591DC7">
        <w:rPr>
          <w:rFonts w:ascii="Palatino Linotype" w:eastAsia="Palatino Linotype" w:hAnsi="Palatino Linotype" w:cs="Palatino Linotype"/>
          <w:b/>
          <w:color w:val="000000"/>
          <w:sz w:val="24"/>
          <w:szCs w:val="24"/>
        </w:rPr>
        <w:lastRenderedPageBreak/>
        <w:t>Ampliación de plazo para emitir respuesta</w:t>
      </w:r>
      <w:r w:rsidR="00C575F9" w:rsidRPr="00591DC7">
        <w:rPr>
          <w:rFonts w:ascii="Palatino Linotype" w:eastAsia="Palatino Linotype" w:hAnsi="Palatino Linotype" w:cs="Palatino Linotype"/>
          <w:b/>
          <w:color w:val="000000"/>
          <w:sz w:val="24"/>
          <w:szCs w:val="24"/>
        </w:rPr>
        <w:t xml:space="preserve">. </w:t>
      </w:r>
      <w:r w:rsidR="00C575F9" w:rsidRPr="00591DC7">
        <w:rPr>
          <w:rFonts w:ascii="Palatino Linotype" w:eastAsia="Palatino Linotype" w:hAnsi="Palatino Linotype" w:cs="Palatino Linotype"/>
          <w:color w:val="000000"/>
          <w:sz w:val="24"/>
          <w:szCs w:val="24"/>
        </w:rPr>
        <w:t>En fecha</w:t>
      </w:r>
      <w:r w:rsidR="00C575F9" w:rsidRPr="00591DC7">
        <w:rPr>
          <w:rFonts w:ascii="Palatino Linotype" w:eastAsia="Palatino Linotype" w:hAnsi="Palatino Linotype" w:cs="Palatino Linotype"/>
          <w:b/>
          <w:color w:val="000000"/>
          <w:sz w:val="24"/>
          <w:szCs w:val="24"/>
        </w:rPr>
        <w:t xml:space="preserve"> </w:t>
      </w:r>
      <w:r w:rsidRPr="00591DC7">
        <w:rPr>
          <w:rFonts w:ascii="Palatino Linotype" w:eastAsia="Palatino Linotype" w:hAnsi="Palatino Linotype" w:cs="Palatino Linotype"/>
          <w:b/>
          <w:color w:val="000000"/>
          <w:sz w:val="24"/>
          <w:szCs w:val="24"/>
        </w:rPr>
        <w:t>doce de septiembre</w:t>
      </w:r>
      <w:r w:rsidR="00C575F9" w:rsidRPr="00591DC7">
        <w:rPr>
          <w:rFonts w:ascii="Palatino Linotype" w:eastAsia="Palatino Linotype" w:hAnsi="Palatino Linotype" w:cs="Palatino Linotype"/>
          <w:b/>
          <w:color w:val="000000"/>
          <w:sz w:val="24"/>
          <w:szCs w:val="24"/>
        </w:rPr>
        <w:t xml:space="preserve"> de dos mil veintitrés</w:t>
      </w:r>
      <w:r w:rsidR="00C575F9" w:rsidRPr="00591DC7">
        <w:rPr>
          <w:rFonts w:ascii="Palatino Linotype" w:eastAsia="Palatino Linotype" w:hAnsi="Palatino Linotype" w:cs="Palatino Linotype"/>
          <w:color w:val="000000"/>
          <w:sz w:val="24"/>
          <w:szCs w:val="24"/>
        </w:rPr>
        <w:t xml:space="preserve">, el </w:t>
      </w:r>
      <w:r w:rsidR="00C575F9" w:rsidRPr="00591DC7">
        <w:rPr>
          <w:rFonts w:ascii="Palatino Linotype" w:eastAsia="Palatino Linotype" w:hAnsi="Palatino Linotype" w:cs="Palatino Linotype"/>
          <w:b/>
          <w:color w:val="000000"/>
          <w:sz w:val="24"/>
          <w:szCs w:val="24"/>
        </w:rPr>
        <w:t xml:space="preserve">SUJETO OBLIGADO </w:t>
      </w:r>
      <w:r w:rsidRPr="00591DC7">
        <w:rPr>
          <w:rFonts w:ascii="Palatino Linotype" w:eastAsia="Palatino Linotype" w:hAnsi="Palatino Linotype" w:cs="Palatino Linotype"/>
          <w:color w:val="000000"/>
          <w:sz w:val="24"/>
          <w:szCs w:val="24"/>
        </w:rPr>
        <w:t xml:space="preserve">solicitó una ampliación de plazo para emitir respuesta por siete días, al tenor de lo siguiente: </w:t>
      </w:r>
    </w:p>
    <w:p w14:paraId="791A68BA" w14:textId="77777777" w:rsidR="00494569" w:rsidRPr="00591DC7" w:rsidRDefault="00494569" w:rsidP="00494569">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color w:val="000000"/>
          <w:szCs w:val="24"/>
        </w:rPr>
      </w:pPr>
    </w:p>
    <w:p w14:paraId="56885967" w14:textId="77777777" w:rsidR="00494569" w:rsidRPr="00591DC7" w:rsidRDefault="00494569" w:rsidP="0079579B">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color w:val="000000"/>
          <w:szCs w:val="24"/>
        </w:rPr>
      </w:pPr>
      <w:r w:rsidRPr="00591DC7">
        <w:rPr>
          <w:rFonts w:ascii="Palatino Linotype" w:eastAsia="Palatino Linotype" w:hAnsi="Palatino Linotype" w:cs="Palatino Linotype"/>
          <w:i/>
          <w:color w:val="000000"/>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5A05D99" w14:textId="47DAB0D7" w:rsidR="006E0D4C" w:rsidRPr="00591DC7" w:rsidRDefault="00494569" w:rsidP="0079579B">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color w:val="000000"/>
          <w:szCs w:val="24"/>
        </w:rPr>
      </w:pPr>
      <w:r w:rsidRPr="00591DC7">
        <w:rPr>
          <w:rFonts w:ascii="Palatino Linotype" w:eastAsia="Palatino Linotype" w:hAnsi="Palatino Linotype" w:cs="Palatino Linotype"/>
          <w:i/>
          <w:color w:val="000000"/>
          <w:szCs w:val="24"/>
        </w:rPr>
        <w:t>se anexa respuesta</w:t>
      </w:r>
    </w:p>
    <w:p w14:paraId="2BBEFB94" w14:textId="77777777" w:rsidR="00494569" w:rsidRPr="00591DC7" w:rsidRDefault="00494569" w:rsidP="00494569">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8C61D94" w14:textId="3E773FA6" w:rsidR="00494569" w:rsidRPr="00591DC7" w:rsidRDefault="00494569" w:rsidP="00494569">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color w:val="000000"/>
          <w:sz w:val="24"/>
          <w:szCs w:val="24"/>
        </w:rPr>
        <w:t xml:space="preserve">Asimismo, adjuntó los archivos que se describen a continuación: </w:t>
      </w:r>
    </w:p>
    <w:p w14:paraId="7875136D" w14:textId="77777777" w:rsidR="00494569" w:rsidRPr="00591DC7" w:rsidRDefault="00494569" w:rsidP="00494569">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Cs w:val="24"/>
        </w:rPr>
      </w:pPr>
    </w:p>
    <w:p w14:paraId="7FD1914D" w14:textId="68A1D4F9" w:rsidR="00494569" w:rsidRPr="00591DC7" w:rsidRDefault="00494569" w:rsidP="0079579B">
      <w:pPr>
        <w:pStyle w:val="Prrafodelista"/>
        <w:numPr>
          <w:ilvl w:val="0"/>
          <w:numId w:val="18"/>
        </w:numPr>
        <w:pBdr>
          <w:top w:val="nil"/>
          <w:left w:val="nil"/>
          <w:bottom w:val="nil"/>
          <w:right w:val="nil"/>
          <w:between w:val="nil"/>
        </w:pBdr>
        <w:spacing w:after="0" w:line="360" w:lineRule="auto"/>
        <w:ind w:right="843"/>
        <w:jc w:val="both"/>
        <w:rPr>
          <w:rFonts w:ascii="Palatino Linotype" w:eastAsia="Palatino Linotype" w:hAnsi="Palatino Linotype" w:cs="Palatino Linotype"/>
          <w:color w:val="000000"/>
          <w:szCs w:val="24"/>
        </w:rPr>
      </w:pPr>
      <w:r w:rsidRPr="00591DC7">
        <w:rPr>
          <w:rFonts w:ascii="Palatino Linotype" w:eastAsia="Palatino Linotype" w:hAnsi="Palatino Linotype" w:cs="Palatino Linotype"/>
          <w:color w:val="000000"/>
          <w:szCs w:val="24"/>
        </w:rPr>
        <w:t xml:space="preserve">Acta de la Centésima </w:t>
      </w:r>
      <w:r w:rsidR="0079579B" w:rsidRPr="00591DC7">
        <w:rPr>
          <w:rFonts w:ascii="Palatino Linotype" w:eastAsia="Palatino Linotype" w:hAnsi="Palatino Linotype" w:cs="Palatino Linotype"/>
          <w:color w:val="000000"/>
          <w:szCs w:val="24"/>
        </w:rPr>
        <w:t xml:space="preserve">Quincuagésima Tercera Sesión Extraordinaria del año dos mil veintitrés, mediante el cual se aprobó la ampliación de plazo para emitir respuesta. </w:t>
      </w:r>
    </w:p>
    <w:p w14:paraId="724F55F7" w14:textId="257C55B3" w:rsidR="0079579B" w:rsidRPr="00591DC7" w:rsidRDefault="0079579B" w:rsidP="0079579B">
      <w:pPr>
        <w:pStyle w:val="Prrafodelista"/>
        <w:numPr>
          <w:ilvl w:val="0"/>
          <w:numId w:val="18"/>
        </w:numPr>
        <w:pBdr>
          <w:top w:val="nil"/>
          <w:left w:val="nil"/>
          <w:bottom w:val="nil"/>
          <w:right w:val="nil"/>
          <w:between w:val="nil"/>
        </w:pBdr>
        <w:spacing w:after="0" w:line="360" w:lineRule="auto"/>
        <w:ind w:right="843"/>
        <w:jc w:val="both"/>
        <w:rPr>
          <w:rFonts w:ascii="Palatino Linotype" w:eastAsia="Palatino Linotype" w:hAnsi="Palatino Linotype" w:cs="Palatino Linotype"/>
          <w:color w:val="000000"/>
          <w:szCs w:val="24"/>
        </w:rPr>
      </w:pPr>
      <w:r w:rsidRPr="00591DC7">
        <w:rPr>
          <w:rFonts w:ascii="Palatino Linotype" w:eastAsia="Palatino Linotype" w:hAnsi="Palatino Linotype" w:cs="Palatino Linotype"/>
          <w:color w:val="000000"/>
          <w:szCs w:val="24"/>
        </w:rPr>
        <w:t xml:space="preserve">Oficio de fecha ocho de septiembre de dos mil veintitrés, a través del cual se informa la aprobación de la ampliación de plazo para emitir respuesta. </w:t>
      </w:r>
    </w:p>
    <w:p w14:paraId="1F03BB5B" w14:textId="77777777" w:rsidR="00617912" w:rsidRPr="00591DC7" w:rsidRDefault="00617912" w:rsidP="0061791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68C055B" w14:textId="3DF59E96" w:rsidR="00F8557D" w:rsidRPr="00591DC7"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b/>
          <w:color w:val="000000"/>
          <w:sz w:val="24"/>
          <w:szCs w:val="24"/>
        </w:rPr>
        <w:t>Respuesta.</w:t>
      </w:r>
      <w:r w:rsidRPr="00591DC7">
        <w:rPr>
          <w:rFonts w:ascii="Palatino Linotype" w:eastAsia="Palatino Linotype" w:hAnsi="Palatino Linotype" w:cs="Palatino Linotype"/>
          <w:color w:val="000000"/>
          <w:sz w:val="24"/>
          <w:szCs w:val="24"/>
        </w:rPr>
        <w:t xml:space="preserve"> Con fecha </w:t>
      </w:r>
      <w:r w:rsidR="0079579B" w:rsidRPr="00591DC7">
        <w:rPr>
          <w:rFonts w:ascii="Palatino Linotype" w:eastAsia="Palatino Linotype" w:hAnsi="Palatino Linotype" w:cs="Palatino Linotype"/>
          <w:b/>
          <w:color w:val="000000"/>
          <w:sz w:val="24"/>
          <w:szCs w:val="24"/>
        </w:rPr>
        <w:t>veintidós de septiembre</w:t>
      </w:r>
      <w:r w:rsidR="00432093" w:rsidRPr="00591DC7">
        <w:rPr>
          <w:rFonts w:ascii="Palatino Linotype" w:eastAsia="Palatino Linotype" w:hAnsi="Palatino Linotype" w:cs="Palatino Linotype"/>
          <w:b/>
          <w:color w:val="000000"/>
          <w:sz w:val="24"/>
          <w:szCs w:val="24"/>
        </w:rPr>
        <w:t xml:space="preserve"> </w:t>
      </w:r>
      <w:r w:rsidR="001F6AC1" w:rsidRPr="00591DC7">
        <w:rPr>
          <w:rFonts w:ascii="Palatino Linotype" w:eastAsia="Palatino Linotype" w:hAnsi="Palatino Linotype" w:cs="Palatino Linotype"/>
          <w:b/>
          <w:color w:val="000000"/>
          <w:sz w:val="24"/>
          <w:szCs w:val="24"/>
        </w:rPr>
        <w:t>de</w:t>
      </w:r>
      <w:r w:rsidR="00432093" w:rsidRPr="00591DC7">
        <w:rPr>
          <w:rFonts w:ascii="Palatino Linotype" w:eastAsia="Palatino Linotype" w:hAnsi="Palatino Linotype" w:cs="Palatino Linotype"/>
          <w:b/>
          <w:color w:val="000000"/>
          <w:sz w:val="24"/>
          <w:szCs w:val="24"/>
        </w:rPr>
        <w:t xml:space="preserve"> dos mil veintitrés</w:t>
      </w:r>
      <w:r w:rsidRPr="00591DC7">
        <w:rPr>
          <w:rFonts w:ascii="Palatino Linotype" w:eastAsia="Palatino Linotype" w:hAnsi="Palatino Linotype" w:cs="Palatino Linotype"/>
          <w:color w:val="000000"/>
          <w:sz w:val="24"/>
          <w:szCs w:val="24"/>
        </w:rPr>
        <w:t xml:space="preserve">, el </w:t>
      </w:r>
      <w:r w:rsidRPr="00591DC7">
        <w:rPr>
          <w:rFonts w:ascii="Palatino Linotype" w:eastAsia="Palatino Linotype" w:hAnsi="Palatino Linotype" w:cs="Palatino Linotype"/>
          <w:b/>
          <w:color w:val="000000"/>
          <w:sz w:val="24"/>
          <w:szCs w:val="24"/>
        </w:rPr>
        <w:t>SUJETO OBLIGADO</w:t>
      </w:r>
      <w:r w:rsidRPr="00591DC7">
        <w:rPr>
          <w:rFonts w:ascii="Palatino Linotype" w:eastAsia="Palatino Linotype" w:hAnsi="Palatino Linotype" w:cs="Palatino Linotype"/>
          <w:color w:val="000000"/>
          <w:sz w:val="24"/>
          <w:szCs w:val="24"/>
        </w:rPr>
        <w:t xml:space="preserve"> envió su respuesta a la solicitud de acceso a la información a través del SAIMEX, la cual versa como sigue:</w:t>
      </w:r>
    </w:p>
    <w:p w14:paraId="74B6754F" w14:textId="77777777" w:rsidR="00F8557D" w:rsidRPr="00591DC7" w:rsidRDefault="00F8557D" w:rsidP="00617912">
      <w:pPr>
        <w:spacing w:after="0" w:line="276" w:lineRule="auto"/>
        <w:ind w:right="49"/>
        <w:jc w:val="both"/>
        <w:rPr>
          <w:rFonts w:ascii="Palatino Linotype" w:eastAsia="Palatino Linotype" w:hAnsi="Palatino Linotype" w:cs="Palatino Linotype"/>
          <w:sz w:val="24"/>
          <w:szCs w:val="24"/>
        </w:rPr>
      </w:pPr>
    </w:p>
    <w:p w14:paraId="07DC2137" w14:textId="77777777" w:rsidR="0079579B" w:rsidRPr="00591DC7" w:rsidRDefault="0079579B" w:rsidP="0079579B">
      <w:pPr>
        <w:spacing w:after="0" w:line="360" w:lineRule="auto"/>
        <w:ind w:left="567" w:right="560"/>
        <w:jc w:val="both"/>
        <w:rPr>
          <w:rFonts w:ascii="Palatino Linotype" w:eastAsia="Palatino Linotype" w:hAnsi="Palatino Linotype" w:cs="Palatino Linotype"/>
          <w:i/>
        </w:rPr>
      </w:pPr>
      <w:r w:rsidRPr="00591DC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9F915EA" w14:textId="22F2F9B3" w:rsidR="006E0D4C" w:rsidRPr="00591DC7" w:rsidRDefault="0079579B" w:rsidP="0079579B">
      <w:pPr>
        <w:spacing w:after="0" w:line="360" w:lineRule="auto"/>
        <w:ind w:left="567" w:right="560"/>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i/>
        </w:rPr>
        <w:t>SE ANEXA RESPUESTA</w:t>
      </w:r>
    </w:p>
    <w:p w14:paraId="3C408582" w14:textId="77777777" w:rsidR="00F8557D" w:rsidRPr="00591DC7" w:rsidRDefault="00646B44" w:rsidP="00B30C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lastRenderedPageBreak/>
        <w:t xml:space="preserve">El Sujeto Obligado a su respuesta adjuntó </w:t>
      </w:r>
      <w:r w:rsidR="00B30C44" w:rsidRPr="00591DC7">
        <w:rPr>
          <w:rFonts w:ascii="Palatino Linotype" w:eastAsia="Palatino Linotype" w:hAnsi="Palatino Linotype" w:cs="Palatino Linotype"/>
          <w:sz w:val="24"/>
          <w:szCs w:val="24"/>
        </w:rPr>
        <w:t xml:space="preserve">el documento que se describe a continuación: </w:t>
      </w:r>
      <w:r w:rsidRPr="00591DC7">
        <w:rPr>
          <w:rFonts w:ascii="Palatino Linotype" w:eastAsia="Palatino Linotype" w:hAnsi="Palatino Linotype" w:cs="Palatino Linotype"/>
          <w:sz w:val="24"/>
          <w:szCs w:val="24"/>
        </w:rPr>
        <w:t xml:space="preserve"> </w:t>
      </w:r>
    </w:p>
    <w:p w14:paraId="124EAFA9" w14:textId="77777777" w:rsidR="00B30C44" w:rsidRPr="00591DC7" w:rsidRDefault="00B30C44" w:rsidP="00B30C44">
      <w:pPr>
        <w:spacing w:after="0" w:line="360" w:lineRule="auto"/>
        <w:ind w:right="49"/>
        <w:jc w:val="both"/>
        <w:rPr>
          <w:rFonts w:ascii="Palatino Linotype" w:eastAsia="Palatino Linotype" w:hAnsi="Palatino Linotype" w:cs="Palatino Linotype"/>
          <w:sz w:val="24"/>
          <w:szCs w:val="24"/>
        </w:rPr>
      </w:pPr>
    </w:p>
    <w:p w14:paraId="25136F3A" w14:textId="152245E2" w:rsidR="00B30C44" w:rsidRPr="00591DC7" w:rsidRDefault="0079579B" w:rsidP="0079579B">
      <w:pPr>
        <w:pStyle w:val="Prrafodelista"/>
        <w:numPr>
          <w:ilvl w:val="0"/>
          <w:numId w:val="8"/>
        </w:numPr>
        <w:spacing w:after="0" w:line="360" w:lineRule="auto"/>
        <w:ind w:right="49"/>
        <w:jc w:val="both"/>
        <w:rPr>
          <w:rFonts w:ascii="Palatino Linotype" w:eastAsia="Palatino Linotype" w:hAnsi="Palatino Linotype" w:cs="Palatino Linotype"/>
          <w:color w:val="000000"/>
        </w:rPr>
      </w:pPr>
      <w:r w:rsidRPr="00591DC7">
        <w:rPr>
          <w:rFonts w:ascii="Palatino Linotype" w:eastAsia="Palatino Linotype" w:hAnsi="Palatino Linotype" w:cs="Palatino Linotype"/>
        </w:rPr>
        <w:t xml:space="preserve">Acta de la Centésima Sexagésima Cuarta Sesión Extraordinaria del 2023, mediante el cual, se aprueba la versión pública de la información solicitada. </w:t>
      </w:r>
    </w:p>
    <w:p w14:paraId="5EDFAECA" w14:textId="7C09E205" w:rsidR="0079579B" w:rsidRPr="00591DC7" w:rsidRDefault="0079579B" w:rsidP="0079579B">
      <w:pPr>
        <w:pStyle w:val="Prrafodelista"/>
        <w:numPr>
          <w:ilvl w:val="0"/>
          <w:numId w:val="8"/>
        </w:numPr>
        <w:spacing w:after="0" w:line="360" w:lineRule="auto"/>
        <w:ind w:right="49"/>
        <w:jc w:val="both"/>
        <w:rPr>
          <w:rFonts w:ascii="Palatino Linotype" w:eastAsia="Palatino Linotype" w:hAnsi="Palatino Linotype" w:cs="Palatino Linotype"/>
          <w:color w:val="000000"/>
        </w:rPr>
      </w:pPr>
      <w:r w:rsidRPr="00591DC7">
        <w:rPr>
          <w:rFonts w:ascii="Palatino Linotype" w:eastAsia="Palatino Linotype" w:hAnsi="Palatino Linotype" w:cs="Palatino Linotype"/>
        </w:rPr>
        <w:t xml:space="preserve">Oficio de fecha veintidós de septiembre de dos mil veintitrés, el cual refiere que el Director General de Vialidad remite la información solicitada en versión pública. </w:t>
      </w:r>
    </w:p>
    <w:p w14:paraId="2230D454" w14:textId="5C7432C6" w:rsidR="0079579B" w:rsidRPr="00591DC7" w:rsidRDefault="0079579B" w:rsidP="0079579B">
      <w:pPr>
        <w:pStyle w:val="Prrafodelista"/>
        <w:numPr>
          <w:ilvl w:val="0"/>
          <w:numId w:val="8"/>
        </w:numPr>
        <w:spacing w:after="0" w:line="360" w:lineRule="auto"/>
        <w:ind w:right="49"/>
        <w:jc w:val="both"/>
        <w:rPr>
          <w:rFonts w:ascii="Palatino Linotype" w:eastAsia="Palatino Linotype" w:hAnsi="Palatino Linotype" w:cs="Palatino Linotype"/>
          <w:color w:val="000000"/>
        </w:rPr>
      </w:pPr>
      <w:r w:rsidRPr="00591DC7">
        <w:rPr>
          <w:rFonts w:ascii="Palatino Linotype" w:eastAsia="Palatino Linotype" w:hAnsi="Palatino Linotype" w:cs="Palatino Linotype"/>
        </w:rPr>
        <w:t xml:space="preserve">Archivo rar, que contiene setenta y cuatro evaluaciones técnicas de impacto en materia vial, en versión pública. </w:t>
      </w:r>
    </w:p>
    <w:p w14:paraId="702B3355" w14:textId="77777777" w:rsidR="0079579B" w:rsidRPr="00591DC7" w:rsidRDefault="0079579B" w:rsidP="0079579B">
      <w:pPr>
        <w:pStyle w:val="Prrafodelista"/>
        <w:spacing w:after="0" w:line="360" w:lineRule="auto"/>
        <w:ind w:right="49"/>
        <w:jc w:val="both"/>
        <w:rPr>
          <w:rFonts w:ascii="Palatino Linotype" w:eastAsia="Palatino Linotype" w:hAnsi="Palatino Linotype" w:cs="Palatino Linotype"/>
          <w:color w:val="000000"/>
        </w:rPr>
      </w:pPr>
    </w:p>
    <w:p w14:paraId="759EDBF5" w14:textId="6C4303D0" w:rsidR="00F8557D" w:rsidRPr="00591DC7" w:rsidRDefault="004D0E52"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b/>
          <w:color w:val="000000"/>
          <w:sz w:val="24"/>
          <w:szCs w:val="24"/>
        </w:rPr>
        <w:t xml:space="preserve">Recurso de Revisión. </w:t>
      </w:r>
      <w:r w:rsidRPr="00591DC7">
        <w:rPr>
          <w:rFonts w:ascii="Palatino Linotype" w:eastAsia="Palatino Linotype" w:hAnsi="Palatino Linotype" w:cs="Palatino Linotype"/>
          <w:color w:val="000000"/>
          <w:sz w:val="24"/>
          <w:szCs w:val="24"/>
        </w:rPr>
        <w:t xml:space="preserve">En fecha </w:t>
      </w:r>
      <w:r w:rsidR="0079579B" w:rsidRPr="00591DC7">
        <w:rPr>
          <w:rFonts w:ascii="Palatino Linotype" w:eastAsia="Palatino Linotype" w:hAnsi="Palatino Linotype" w:cs="Palatino Linotype"/>
          <w:b/>
          <w:color w:val="000000"/>
          <w:sz w:val="24"/>
          <w:szCs w:val="24"/>
        </w:rPr>
        <w:t>once de octubre</w:t>
      </w:r>
      <w:r w:rsidRPr="00591DC7">
        <w:rPr>
          <w:rFonts w:ascii="Palatino Linotype" w:eastAsia="Palatino Linotype" w:hAnsi="Palatino Linotype" w:cs="Palatino Linotype"/>
          <w:b/>
          <w:color w:val="000000"/>
          <w:sz w:val="24"/>
          <w:szCs w:val="24"/>
        </w:rPr>
        <w:t xml:space="preserve"> de dos mil veintitrés</w:t>
      </w:r>
      <w:r w:rsidRPr="00591DC7">
        <w:rPr>
          <w:rFonts w:ascii="Palatino Linotype" w:eastAsia="Palatino Linotype" w:hAnsi="Palatino Linotype" w:cs="Palatino Linotype"/>
          <w:color w:val="000000"/>
          <w:sz w:val="24"/>
          <w:szCs w:val="24"/>
        </w:rPr>
        <w:t xml:space="preserve">, la parte Solicitante se inconformó de la respuesta otorgada por el </w:t>
      </w:r>
      <w:r w:rsidRPr="00591DC7">
        <w:rPr>
          <w:rFonts w:ascii="Palatino Linotype" w:eastAsia="Palatino Linotype" w:hAnsi="Palatino Linotype" w:cs="Palatino Linotype"/>
          <w:b/>
          <w:color w:val="000000"/>
          <w:sz w:val="24"/>
          <w:szCs w:val="24"/>
        </w:rPr>
        <w:t xml:space="preserve">SUJETO BOLIGADO </w:t>
      </w:r>
      <w:r w:rsidRPr="00591DC7">
        <w:rPr>
          <w:rFonts w:ascii="Palatino Linotype" w:eastAsia="Palatino Linotype" w:hAnsi="Palatino Linotype" w:cs="Palatino Linotype"/>
          <w:color w:val="000000"/>
          <w:sz w:val="24"/>
          <w:szCs w:val="24"/>
        </w:rPr>
        <w:t xml:space="preserve">y, expresó lo siguiente: </w:t>
      </w:r>
    </w:p>
    <w:p w14:paraId="6A6948AD" w14:textId="77777777" w:rsidR="00F8557D" w:rsidRPr="00591DC7" w:rsidRDefault="00F8557D" w:rsidP="00B30C4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4160CA8" w14:textId="4A0709FE" w:rsidR="00F8557D" w:rsidRPr="00591DC7" w:rsidRDefault="00646B44" w:rsidP="00B30C44">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color w:val="000000"/>
          <w:sz w:val="24"/>
          <w:szCs w:val="24"/>
        </w:rPr>
      </w:pPr>
      <w:r w:rsidRPr="00591DC7">
        <w:rPr>
          <w:rFonts w:ascii="Palatino Linotype" w:eastAsia="Palatino Linotype" w:hAnsi="Palatino Linotype" w:cs="Palatino Linotype"/>
          <w:b/>
          <w:color w:val="000000"/>
          <w:sz w:val="24"/>
          <w:szCs w:val="24"/>
        </w:rPr>
        <w:t xml:space="preserve">Acto impugnado. </w:t>
      </w:r>
      <w:r w:rsidRPr="00591DC7">
        <w:rPr>
          <w:rFonts w:ascii="Palatino Linotype" w:eastAsia="Palatino Linotype" w:hAnsi="Palatino Linotype" w:cs="Palatino Linotype"/>
          <w:color w:val="000000"/>
        </w:rPr>
        <w:t>“</w:t>
      </w:r>
      <w:r w:rsidR="0079579B" w:rsidRPr="00591DC7">
        <w:rPr>
          <w:rFonts w:ascii="Palatino Linotype" w:eastAsia="Palatino Linotype" w:hAnsi="Palatino Linotype" w:cs="Palatino Linotype"/>
          <w:i/>
          <w:color w:val="000000"/>
        </w:rPr>
        <w:t>No entrega la información solicitada</w:t>
      </w:r>
      <w:r w:rsidRPr="00591DC7">
        <w:rPr>
          <w:rFonts w:ascii="Palatino Linotype" w:eastAsia="Palatino Linotype" w:hAnsi="Palatino Linotype" w:cs="Palatino Linotype"/>
          <w:i/>
          <w:color w:val="000000"/>
        </w:rPr>
        <w:t>”.</w:t>
      </w:r>
    </w:p>
    <w:p w14:paraId="3CF073E1" w14:textId="77777777" w:rsidR="00F8557D" w:rsidRPr="00591DC7" w:rsidRDefault="00F8557D" w:rsidP="00B30C44">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color w:val="000000"/>
          <w:sz w:val="24"/>
          <w:szCs w:val="24"/>
        </w:rPr>
      </w:pPr>
    </w:p>
    <w:p w14:paraId="6F9A5953" w14:textId="6B9A2215" w:rsidR="00F8557D" w:rsidRPr="00591DC7" w:rsidRDefault="00646B44" w:rsidP="004D0E52">
      <w:pPr>
        <w:spacing w:after="0" w:line="360" w:lineRule="auto"/>
        <w:ind w:left="567"/>
        <w:jc w:val="both"/>
        <w:rPr>
          <w:rFonts w:ascii="Palatino Linotype" w:eastAsia="Times New Roman" w:hAnsi="Palatino Linotype" w:cs="Times New Roman"/>
        </w:rPr>
      </w:pPr>
      <w:r w:rsidRPr="00591DC7">
        <w:rPr>
          <w:rFonts w:ascii="Palatino Linotype" w:eastAsia="Palatino Linotype" w:hAnsi="Palatino Linotype" w:cs="Palatino Linotype"/>
          <w:b/>
          <w:color w:val="000000"/>
        </w:rPr>
        <w:t>Razones o motivos de la inconformidad:</w:t>
      </w:r>
      <w:r w:rsidRPr="00591DC7">
        <w:rPr>
          <w:rFonts w:ascii="Palatino Linotype" w:eastAsia="Palatino Linotype" w:hAnsi="Palatino Linotype" w:cs="Palatino Linotype"/>
          <w:b/>
          <w:i/>
          <w:color w:val="000000"/>
        </w:rPr>
        <w:t xml:space="preserve"> </w:t>
      </w:r>
      <w:r w:rsidRPr="00591DC7">
        <w:rPr>
          <w:rFonts w:ascii="Palatino Linotype" w:eastAsia="Palatino Linotype" w:hAnsi="Palatino Linotype" w:cs="Palatino Linotype"/>
          <w:i/>
          <w:color w:val="000000"/>
        </w:rPr>
        <w:t>“</w:t>
      </w:r>
      <w:r w:rsidR="0079579B" w:rsidRPr="00591DC7">
        <w:rPr>
          <w:rFonts w:ascii="Palatino Linotype" w:eastAsia="Times New Roman" w:hAnsi="Palatino Linotype" w:cs="Times New Roman"/>
          <w:i/>
        </w:rPr>
        <w:t>negativa de la información</w:t>
      </w:r>
      <w:r w:rsidRPr="00591DC7">
        <w:rPr>
          <w:rFonts w:ascii="Palatino Linotype" w:eastAsia="Palatino Linotype" w:hAnsi="Palatino Linotype" w:cs="Palatino Linotype"/>
          <w:i/>
          <w:color w:val="000000"/>
        </w:rPr>
        <w:t>”.</w:t>
      </w:r>
    </w:p>
    <w:p w14:paraId="23BD7E68" w14:textId="77777777" w:rsidR="00B46DDA" w:rsidRPr="00591DC7" w:rsidRDefault="00B46DDA">
      <w:pPr>
        <w:spacing w:after="0" w:line="360" w:lineRule="auto"/>
        <w:ind w:right="49"/>
        <w:jc w:val="both"/>
        <w:rPr>
          <w:rFonts w:ascii="Palatino Linotype" w:eastAsia="Palatino Linotype" w:hAnsi="Palatino Linotype" w:cs="Palatino Linotype"/>
          <w:sz w:val="24"/>
          <w:szCs w:val="24"/>
        </w:rPr>
      </w:pPr>
    </w:p>
    <w:p w14:paraId="2C5BB885" w14:textId="357C1031" w:rsidR="00F8557D" w:rsidRPr="00591DC7" w:rsidRDefault="00646B44" w:rsidP="0079579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b/>
          <w:color w:val="000000"/>
          <w:sz w:val="24"/>
          <w:szCs w:val="24"/>
        </w:rPr>
        <w:t>Turno.</w:t>
      </w:r>
      <w:r w:rsidRPr="00591DC7">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sidR="0079579B" w:rsidRPr="00591DC7">
        <w:rPr>
          <w:rFonts w:ascii="Palatino Linotype" w:eastAsia="Palatino Linotype" w:hAnsi="Palatino Linotype" w:cs="Palatino Linotype"/>
          <w:b/>
          <w:color w:val="000000"/>
          <w:sz w:val="24"/>
          <w:szCs w:val="24"/>
        </w:rPr>
        <w:t>06974</w:t>
      </w:r>
      <w:r w:rsidR="00432093" w:rsidRPr="00591DC7">
        <w:rPr>
          <w:rFonts w:ascii="Palatino Linotype" w:eastAsia="Palatino Linotype" w:hAnsi="Palatino Linotype" w:cs="Palatino Linotype"/>
          <w:b/>
          <w:color w:val="000000"/>
          <w:sz w:val="24"/>
          <w:szCs w:val="24"/>
        </w:rPr>
        <w:t>/INFOEM/IP/RR/2023</w:t>
      </w:r>
      <w:r w:rsidRPr="00591DC7">
        <w:rPr>
          <w:rFonts w:ascii="Palatino Linotype" w:eastAsia="Palatino Linotype" w:hAnsi="Palatino Linotype" w:cs="Palatino Linotype"/>
          <w:color w:val="000000"/>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5C29537" w14:textId="054D1965" w:rsidR="00F8557D" w:rsidRPr="00591DC7"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b/>
          <w:color w:val="000000"/>
          <w:sz w:val="24"/>
          <w:szCs w:val="24"/>
        </w:rPr>
        <w:lastRenderedPageBreak/>
        <w:t>Admisión del recurso de revisión</w:t>
      </w:r>
      <w:r w:rsidRPr="00591DC7">
        <w:rPr>
          <w:rFonts w:ascii="Palatino Linotype" w:eastAsia="Palatino Linotype" w:hAnsi="Palatino Linotype" w:cs="Palatino Linotype"/>
          <w:color w:val="000000"/>
          <w:sz w:val="24"/>
          <w:szCs w:val="24"/>
        </w:rPr>
        <w:t xml:space="preserve">: En fecha </w:t>
      </w:r>
      <w:r w:rsidR="00BE63ED" w:rsidRPr="00591DC7">
        <w:rPr>
          <w:rFonts w:ascii="Palatino Linotype" w:eastAsia="Palatino Linotype" w:hAnsi="Palatino Linotype" w:cs="Palatino Linotype"/>
          <w:b/>
          <w:color w:val="000000"/>
          <w:sz w:val="24"/>
          <w:szCs w:val="24"/>
        </w:rPr>
        <w:t xml:space="preserve">dieciséis </w:t>
      </w:r>
      <w:r w:rsidR="0079579B" w:rsidRPr="00591DC7">
        <w:rPr>
          <w:rFonts w:ascii="Palatino Linotype" w:eastAsia="Palatino Linotype" w:hAnsi="Palatino Linotype" w:cs="Palatino Linotype"/>
          <w:b/>
          <w:color w:val="000000"/>
          <w:sz w:val="24"/>
          <w:szCs w:val="24"/>
        </w:rPr>
        <w:t>de octubre</w:t>
      </w:r>
      <w:r w:rsidR="00474AC6" w:rsidRPr="00591DC7">
        <w:rPr>
          <w:rFonts w:ascii="Palatino Linotype" w:eastAsia="Palatino Linotype" w:hAnsi="Palatino Linotype" w:cs="Palatino Linotype"/>
          <w:b/>
          <w:color w:val="000000"/>
          <w:sz w:val="24"/>
          <w:szCs w:val="24"/>
        </w:rPr>
        <w:t xml:space="preserve"> de dos mil veintitré</w:t>
      </w:r>
      <w:r w:rsidRPr="00591DC7">
        <w:rPr>
          <w:rFonts w:ascii="Palatino Linotype" w:eastAsia="Palatino Linotype" w:hAnsi="Palatino Linotype" w:cs="Palatino Linotype"/>
          <w:b/>
          <w:color w:val="000000"/>
          <w:sz w:val="24"/>
          <w:szCs w:val="24"/>
        </w:rPr>
        <w:t>s</w:t>
      </w:r>
      <w:r w:rsidRPr="00591DC7">
        <w:rPr>
          <w:rFonts w:ascii="Palatino Linotype" w:eastAsia="Palatino Linotype" w:hAnsi="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591DC7" w:rsidRDefault="00F8557D">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5DCE1917" w14:textId="18654789" w:rsidR="00F748AF" w:rsidRPr="00591DC7"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b/>
          <w:color w:val="000000"/>
          <w:sz w:val="24"/>
          <w:szCs w:val="24"/>
        </w:rPr>
        <w:t xml:space="preserve">Informe Justificado. </w:t>
      </w:r>
      <w:r w:rsidR="00F748AF" w:rsidRPr="00591DC7">
        <w:rPr>
          <w:rFonts w:ascii="Palatino Linotype" w:eastAsia="Palatino Linotype" w:hAnsi="Palatino Linotype" w:cs="Palatino Linotype"/>
          <w:color w:val="000000"/>
          <w:sz w:val="24"/>
          <w:szCs w:val="24"/>
        </w:rPr>
        <w:t xml:space="preserve">En fecha </w:t>
      </w:r>
      <w:r w:rsidR="00BE63ED" w:rsidRPr="00591DC7">
        <w:rPr>
          <w:rFonts w:ascii="Palatino Linotype" w:eastAsia="Palatino Linotype" w:hAnsi="Palatino Linotype" w:cs="Palatino Linotype"/>
          <w:b/>
          <w:color w:val="000000"/>
          <w:sz w:val="24"/>
          <w:szCs w:val="24"/>
        </w:rPr>
        <w:t>veinticuatro de octubre</w:t>
      </w:r>
      <w:r w:rsidR="00F94730" w:rsidRPr="00591DC7">
        <w:rPr>
          <w:rFonts w:ascii="Palatino Linotype" w:eastAsia="Palatino Linotype" w:hAnsi="Palatino Linotype" w:cs="Palatino Linotype"/>
          <w:b/>
          <w:color w:val="000000"/>
          <w:sz w:val="24"/>
          <w:szCs w:val="24"/>
        </w:rPr>
        <w:t xml:space="preserve"> de dos mil veintitrés</w:t>
      </w:r>
      <w:r w:rsidR="00F94730" w:rsidRPr="00591DC7">
        <w:rPr>
          <w:rFonts w:ascii="Palatino Linotype" w:eastAsia="Palatino Linotype" w:hAnsi="Palatino Linotype" w:cs="Palatino Linotype"/>
          <w:color w:val="000000"/>
          <w:sz w:val="24"/>
          <w:szCs w:val="24"/>
        </w:rPr>
        <w:t>,</w:t>
      </w:r>
      <w:r w:rsidR="00F748AF" w:rsidRPr="00591DC7">
        <w:rPr>
          <w:rFonts w:ascii="Palatino Linotype" w:eastAsia="Palatino Linotype" w:hAnsi="Palatino Linotype" w:cs="Palatino Linotype"/>
          <w:color w:val="000000"/>
          <w:sz w:val="24"/>
          <w:szCs w:val="24"/>
        </w:rPr>
        <w:t xml:space="preserve"> el </w:t>
      </w:r>
      <w:r w:rsidR="004D0E52" w:rsidRPr="00591DC7">
        <w:rPr>
          <w:rFonts w:ascii="Palatino Linotype" w:eastAsia="Palatino Linotype" w:hAnsi="Palatino Linotype" w:cs="Palatino Linotype"/>
          <w:b/>
          <w:color w:val="000000"/>
          <w:sz w:val="24"/>
          <w:szCs w:val="24"/>
        </w:rPr>
        <w:t>SUJETO OBLIGADO</w:t>
      </w:r>
      <w:r w:rsidR="004D0E52" w:rsidRPr="00591DC7">
        <w:rPr>
          <w:rFonts w:ascii="Palatino Linotype" w:eastAsia="Palatino Linotype" w:hAnsi="Palatino Linotype" w:cs="Palatino Linotype"/>
          <w:color w:val="000000"/>
          <w:sz w:val="24"/>
          <w:szCs w:val="24"/>
        </w:rPr>
        <w:t xml:space="preserve"> </w:t>
      </w:r>
      <w:r w:rsidR="00F748AF" w:rsidRPr="00591DC7">
        <w:rPr>
          <w:rFonts w:ascii="Palatino Linotype" w:eastAsia="Palatino Linotype" w:hAnsi="Palatino Linotype" w:cs="Palatino Linotype"/>
          <w:color w:val="000000"/>
          <w:sz w:val="24"/>
          <w:szCs w:val="24"/>
        </w:rPr>
        <w:t xml:space="preserve">rindió su informe </w:t>
      </w:r>
      <w:r w:rsidR="004D0E52" w:rsidRPr="00591DC7">
        <w:rPr>
          <w:rFonts w:ascii="Palatino Linotype" w:eastAsia="Palatino Linotype" w:hAnsi="Palatino Linotype" w:cs="Palatino Linotype"/>
          <w:color w:val="000000"/>
          <w:sz w:val="24"/>
          <w:szCs w:val="24"/>
        </w:rPr>
        <w:t xml:space="preserve">justificado a través de los oficios </w:t>
      </w:r>
      <w:r w:rsidR="00F748AF" w:rsidRPr="00591DC7">
        <w:rPr>
          <w:rFonts w:ascii="Palatino Linotype" w:eastAsia="Palatino Linotype" w:hAnsi="Palatino Linotype" w:cs="Palatino Linotype"/>
          <w:color w:val="000000"/>
          <w:sz w:val="24"/>
          <w:szCs w:val="24"/>
        </w:rPr>
        <w:t>que se describe</w:t>
      </w:r>
      <w:r w:rsidR="004D0E52" w:rsidRPr="00591DC7">
        <w:rPr>
          <w:rFonts w:ascii="Palatino Linotype" w:eastAsia="Palatino Linotype" w:hAnsi="Palatino Linotype" w:cs="Palatino Linotype"/>
          <w:color w:val="000000"/>
          <w:sz w:val="24"/>
          <w:szCs w:val="24"/>
        </w:rPr>
        <w:t>n</w:t>
      </w:r>
      <w:r w:rsidR="00F748AF" w:rsidRPr="00591DC7">
        <w:rPr>
          <w:rFonts w:ascii="Palatino Linotype" w:eastAsia="Palatino Linotype" w:hAnsi="Palatino Linotype" w:cs="Palatino Linotype"/>
          <w:color w:val="000000"/>
          <w:sz w:val="24"/>
          <w:szCs w:val="24"/>
        </w:rPr>
        <w:t xml:space="preserve"> a continuación: </w:t>
      </w:r>
    </w:p>
    <w:p w14:paraId="54714B99" w14:textId="77777777" w:rsidR="00F748AF" w:rsidRPr="00591DC7" w:rsidRDefault="00F748AF" w:rsidP="00320092">
      <w:pPr>
        <w:pBdr>
          <w:top w:val="nil"/>
          <w:left w:val="nil"/>
          <w:bottom w:val="nil"/>
          <w:right w:val="nil"/>
          <w:between w:val="nil"/>
        </w:pBdr>
        <w:spacing w:after="0" w:line="360" w:lineRule="auto"/>
        <w:ind w:left="567" w:right="49"/>
        <w:jc w:val="both"/>
        <w:rPr>
          <w:rFonts w:ascii="Palatino Linotype" w:eastAsia="Palatino Linotype" w:hAnsi="Palatino Linotype" w:cs="Palatino Linotype"/>
          <w:color w:val="000000"/>
          <w:sz w:val="24"/>
          <w:szCs w:val="24"/>
        </w:rPr>
      </w:pPr>
    </w:p>
    <w:p w14:paraId="1B218FB5" w14:textId="25D13ACF" w:rsidR="000D7EF5" w:rsidRPr="00591DC7" w:rsidRDefault="00BE63ED" w:rsidP="00320092">
      <w:pPr>
        <w:pStyle w:val="Prrafodelista"/>
        <w:numPr>
          <w:ilvl w:val="0"/>
          <w:numId w:val="22"/>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color w:val="000000"/>
          <w:szCs w:val="24"/>
        </w:rPr>
      </w:pPr>
      <w:r w:rsidRPr="00591DC7">
        <w:rPr>
          <w:rFonts w:ascii="Palatino Linotype" w:eastAsia="Palatino Linotype" w:hAnsi="Palatino Linotype" w:cs="Palatino Linotype"/>
          <w:color w:val="000000"/>
          <w:szCs w:val="24"/>
        </w:rPr>
        <w:t xml:space="preserve">Oficio de fecha veinticuatro de octubre de dos mil veintitrés, signado por titular de la Unidad de Transparencia y Coordinador de Control Técnico, mediante el cual ratificó su respuesta inicial. </w:t>
      </w:r>
    </w:p>
    <w:p w14:paraId="7D7FAB08" w14:textId="24469888" w:rsidR="00BE63ED" w:rsidRPr="00591DC7" w:rsidRDefault="00BE63ED" w:rsidP="00320092">
      <w:pPr>
        <w:pStyle w:val="Prrafodelista"/>
        <w:numPr>
          <w:ilvl w:val="0"/>
          <w:numId w:val="22"/>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color w:val="000000"/>
          <w:szCs w:val="24"/>
        </w:rPr>
      </w:pPr>
      <w:r w:rsidRPr="00591DC7">
        <w:rPr>
          <w:rFonts w:ascii="Palatino Linotype" w:eastAsia="Palatino Linotype" w:hAnsi="Palatino Linotype" w:cs="Palatino Linotype"/>
          <w:color w:val="000000"/>
          <w:szCs w:val="24"/>
        </w:rPr>
        <w:t xml:space="preserve">Acta de la Centésima Sexagésima Cuarta Sesión Extraordinaria mediante el cual se aprueba la versión pública de la información solicitada. </w:t>
      </w:r>
    </w:p>
    <w:p w14:paraId="32F2B641" w14:textId="7A98C5B8" w:rsidR="00BE63ED" w:rsidRPr="00591DC7" w:rsidRDefault="00BE63ED" w:rsidP="00320092">
      <w:pPr>
        <w:pStyle w:val="Prrafodelista"/>
        <w:numPr>
          <w:ilvl w:val="0"/>
          <w:numId w:val="22"/>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color w:val="000000"/>
          <w:szCs w:val="24"/>
        </w:rPr>
      </w:pPr>
      <w:r w:rsidRPr="00591DC7">
        <w:rPr>
          <w:rFonts w:ascii="Palatino Linotype" w:eastAsia="Palatino Linotype" w:hAnsi="Palatino Linotype" w:cs="Palatino Linotype"/>
          <w:color w:val="000000"/>
          <w:szCs w:val="24"/>
        </w:rPr>
        <w:t>Oficio de fecha dieciocho de octubre de dos mil veintitrés, signado por el Director General de Vialidad mediante el cual refiere que se adjunta nuevamente lo relacionado con las Evaluaciones Técnicas de Impacto en Materia V</w:t>
      </w:r>
      <w:r w:rsidR="000263F7" w:rsidRPr="00591DC7">
        <w:rPr>
          <w:rFonts w:ascii="Palatino Linotype" w:eastAsia="Palatino Linotype" w:hAnsi="Palatino Linotype" w:cs="Palatino Linotype"/>
          <w:color w:val="000000"/>
          <w:szCs w:val="24"/>
        </w:rPr>
        <w:t xml:space="preserve">ial, las cuales corresponden a los últimos seis meses. </w:t>
      </w:r>
    </w:p>
    <w:p w14:paraId="79D3EF5C" w14:textId="79BBF080" w:rsidR="00BE63ED" w:rsidRPr="00591DC7" w:rsidRDefault="00BE63ED" w:rsidP="00320092">
      <w:pPr>
        <w:pStyle w:val="Prrafodelista"/>
        <w:numPr>
          <w:ilvl w:val="0"/>
          <w:numId w:val="22"/>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color w:val="000000"/>
          <w:szCs w:val="24"/>
        </w:rPr>
      </w:pPr>
      <w:r w:rsidRPr="00591DC7">
        <w:rPr>
          <w:rFonts w:ascii="Palatino Linotype" w:eastAsia="Palatino Linotype" w:hAnsi="Palatino Linotype" w:cs="Palatino Linotype"/>
          <w:color w:val="000000"/>
          <w:szCs w:val="24"/>
        </w:rPr>
        <w:t>Arc</w:t>
      </w:r>
      <w:r w:rsidR="000263F7" w:rsidRPr="00591DC7">
        <w:rPr>
          <w:rFonts w:ascii="Palatino Linotype" w:eastAsia="Palatino Linotype" w:hAnsi="Palatino Linotype" w:cs="Palatino Linotype"/>
          <w:color w:val="000000"/>
          <w:szCs w:val="24"/>
        </w:rPr>
        <w:t xml:space="preserve">hivo rar, enviado en respuesta. </w:t>
      </w:r>
    </w:p>
    <w:p w14:paraId="5D531AA9" w14:textId="77777777" w:rsidR="00BE63ED" w:rsidRPr="00591DC7" w:rsidRDefault="00BE63ED" w:rsidP="00BE63ED">
      <w:pPr>
        <w:pStyle w:val="Prrafodelista"/>
        <w:pBdr>
          <w:top w:val="nil"/>
          <w:left w:val="nil"/>
          <w:bottom w:val="nil"/>
          <w:right w:val="nil"/>
          <w:between w:val="nil"/>
        </w:pBdr>
        <w:spacing w:after="0" w:line="360" w:lineRule="auto"/>
        <w:ind w:left="780" w:right="49"/>
        <w:jc w:val="both"/>
        <w:rPr>
          <w:rFonts w:ascii="Palatino Linotype" w:eastAsia="Palatino Linotype" w:hAnsi="Palatino Linotype" w:cs="Palatino Linotype"/>
          <w:color w:val="000000"/>
          <w:szCs w:val="24"/>
        </w:rPr>
      </w:pPr>
    </w:p>
    <w:p w14:paraId="79C265B8" w14:textId="77187847" w:rsidR="00744146" w:rsidRPr="00591DC7" w:rsidRDefault="00320092">
      <w:pPr>
        <w:spacing w:after="0" w:line="360" w:lineRule="auto"/>
        <w:ind w:right="49"/>
        <w:jc w:val="both"/>
        <w:rPr>
          <w:rFonts w:ascii="Palatino Linotype" w:eastAsia="Palatino Linotype" w:hAnsi="Palatino Linotype" w:cs="Palatino Linotype"/>
          <w:b/>
          <w:color w:val="000000"/>
          <w:szCs w:val="24"/>
        </w:rPr>
      </w:pPr>
      <w:r w:rsidRPr="00591DC7">
        <w:rPr>
          <w:rFonts w:ascii="Palatino Linotype" w:eastAsia="Palatino Linotype" w:hAnsi="Palatino Linotype" w:cs="Palatino Linotype"/>
          <w:color w:val="000000"/>
          <w:szCs w:val="24"/>
        </w:rPr>
        <w:t>Los documentos relacionados con los incisos a) al c)</w:t>
      </w:r>
      <w:r w:rsidR="000D7EF5" w:rsidRPr="00591DC7">
        <w:rPr>
          <w:rFonts w:ascii="Palatino Linotype" w:eastAsia="Palatino Linotype" w:hAnsi="Palatino Linotype" w:cs="Palatino Linotype"/>
          <w:color w:val="000000"/>
          <w:szCs w:val="24"/>
        </w:rPr>
        <w:t xml:space="preserve"> se pusieron a disposición de la parte Recurrente e</w:t>
      </w:r>
      <w:r w:rsidR="00744146" w:rsidRPr="00591DC7">
        <w:rPr>
          <w:rFonts w:ascii="Palatino Linotype" w:eastAsia="Palatino Linotype" w:hAnsi="Palatino Linotype" w:cs="Palatino Linotype"/>
          <w:color w:val="000000"/>
          <w:szCs w:val="24"/>
        </w:rPr>
        <w:t xml:space="preserve">n fecha </w:t>
      </w:r>
      <w:r w:rsidR="00BE63ED" w:rsidRPr="00591DC7">
        <w:rPr>
          <w:rFonts w:ascii="Palatino Linotype" w:eastAsia="Palatino Linotype" w:hAnsi="Palatino Linotype" w:cs="Palatino Linotype"/>
          <w:b/>
          <w:color w:val="000000"/>
          <w:szCs w:val="24"/>
        </w:rPr>
        <w:t>veinte</w:t>
      </w:r>
      <w:r w:rsidR="00F94730" w:rsidRPr="00591DC7">
        <w:rPr>
          <w:rFonts w:ascii="Palatino Linotype" w:eastAsia="Palatino Linotype" w:hAnsi="Palatino Linotype" w:cs="Palatino Linotype"/>
          <w:b/>
          <w:color w:val="000000"/>
          <w:szCs w:val="24"/>
        </w:rPr>
        <w:t xml:space="preserve"> de </w:t>
      </w:r>
      <w:r w:rsidRPr="00591DC7">
        <w:rPr>
          <w:rFonts w:ascii="Palatino Linotype" w:eastAsia="Palatino Linotype" w:hAnsi="Palatino Linotype" w:cs="Palatino Linotype"/>
          <w:b/>
          <w:color w:val="000000"/>
          <w:szCs w:val="24"/>
        </w:rPr>
        <w:t xml:space="preserve">marzo de dos mil veinticuatro. </w:t>
      </w:r>
    </w:p>
    <w:p w14:paraId="00CB28F8" w14:textId="77777777" w:rsidR="00320092" w:rsidRPr="00591DC7" w:rsidRDefault="00320092">
      <w:pPr>
        <w:spacing w:after="0" w:line="360" w:lineRule="auto"/>
        <w:ind w:right="49"/>
        <w:jc w:val="both"/>
        <w:rPr>
          <w:rFonts w:ascii="Palatino Linotype" w:eastAsia="Palatino Linotype" w:hAnsi="Palatino Linotype" w:cs="Palatino Linotype"/>
          <w:b/>
          <w:color w:val="000000"/>
          <w:szCs w:val="24"/>
        </w:rPr>
      </w:pPr>
    </w:p>
    <w:p w14:paraId="0CEF583C" w14:textId="041A8681" w:rsidR="00320092" w:rsidRPr="00591DC7" w:rsidRDefault="00320092">
      <w:pPr>
        <w:spacing w:after="0" w:line="360" w:lineRule="auto"/>
        <w:ind w:right="49"/>
        <w:jc w:val="both"/>
        <w:rPr>
          <w:rFonts w:ascii="Palatino Linotype" w:eastAsia="Palatino Linotype" w:hAnsi="Palatino Linotype" w:cs="Palatino Linotype"/>
          <w:color w:val="000000"/>
          <w:szCs w:val="24"/>
        </w:rPr>
      </w:pPr>
      <w:r w:rsidRPr="00591DC7">
        <w:rPr>
          <w:rFonts w:ascii="Palatino Linotype" w:eastAsia="Palatino Linotype" w:hAnsi="Palatino Linotype" w:cs="Palatino Linotype"/>
          <w:color w:val="000000"/>
          <w:szCs w:val="24"/>
        </w:rPr>
        <w:t xml:space="preserve">El documento relacionado con el inciso d) no se hizo del conocimiento de la parte Recurrente, debido a que se dejó a la vista datos personales susceptibles de ser clasificados, en términos </w:t>
      </w:r>
      <w:r w:rsidRPr="00591DC7">
        <w:rPr>
          <w:rFonts w:ascii="Palatino Linotype" w:eastAsia="Palatino Linotype" w:hAnsi="Palatino Linotype" w:cs="Palatino Linotype"/>
          <w:color w:val="000000"/>
          <w:szCs w:val="24"/>
        </w:rPr>
        <w:lastRenderedPageBreak/>
        <w:t xml:space="preserve">del artículo 143 de la Ley de Transparencia y Acceso a la Información Pública del Estado de México y Municipios. </w:t>
      </w:r>
    </w:p>
    <w:p w14:paraId="26821107" w14:textId="66D40E6F" w:rsidR="00744146" w:rsidRPr="00591DC7" w:rsidRDefault="00744146">
      <w:pPr>
        <w:spacing w:after="0" w:line="360" w:lineRule="auto"/>
        <w:ind w:right="49"/>
        <w:jc w:val="both"/>
        <w:rPr>
          <w:rFonts w:ascii="Palatino Linotype" w:eastAsia="Palatino Linotype" w:hAnsi="Palatino Linotype" w:cs="Palatino Linotype"/>
          <w:color w:val="000000"/>
          <w:sz w:val="24"/>
          <w:szCs w:val="24"/>
        </w:rPr>
      </w:pPr>
    </w:p>
    <w:p w14:paraId="6119F3F9" w14:textId="72E363FF" w:rsidR="00A67115" w:rsidRPr="00591DC7" w:rsidRDefault="004A222E" w:rsidP="00A67115">
      <w:pPr>
        <w:spacing w:after="0" w:line="360" w:lineRule="auto"/>
        <w:ind w:right="49"/>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color w:val="000000"/>
          <w:sz w:val="24"/>
          <w:szCs w:val="24"/>
        </w:rPr>
        <w:t xml:space="preserve">La parte recurrente </w:t>
      </w:r>
      <w:r w:rsidR="00744146" w:rsidRPr="00591DC7">
        <w:rPr>
          <w:rFonts w:ascii="Palatino Linotype" w:eastAsia="Palatino Linotype" w:hAnsi="Palatino Linotype" w:cs="Palatino Linotype"/>
          <w:color w:val="000000"/>
          <w:sz w:val="24"/>
          <w:szCs w:val="24"/>
        </w:rPr>
        <w:t xml:space="preserve">no realizó manifestaciones al respecto. </w:t>
      </w:r>
    </w:p>
    <w:p w14:paraId="66A7C2A0" w14:textId="77777777" w:rsidR="00474AC6" w:rsidRPr="00591DC7" w:rsidRDefault="00474AC6" w:rsidP="00A67115">
      <w:pPr>
        <w:spacing w:after="0" w:line="360" w:lineRule="auto"/>
        <w:ind w:right="49"/>
        <w:jc w:val="both"/>
        <w:rPr>
          <w:rFonts w:ascii="Palatino Linotype" w:eastAsia="Palatino Linotype" w:hAnsi="Palatino Linotype" w:cs="Palatino Linotype"/>
          <w:color w:val="000000"/>
          <w:sz w:val="24"/>
          <w:szCs w:val="24"/>
        </w:rPr>
      </w:pPr>
    </w:p>
    <w:p w14:paraId="35802F19" w14:textId="329F1671" w:rsidR="00F8557D" w:rsidRPr="00591DC7" w:rsidRDefault="00646B44">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b/>
          <w:color w:val="000000"/>
          <w:sz w:val="24"/>
          <w:szCs w:val="24"/>
        </w:rPr>
        <w:t>Ampliación de plazo:</w:t>
      </w:r>
      <w:r w:rsidRPr="00591DC7">
        <w:rPr>
          <w:rFonts w:ascii="Palatino Linotype" w:eastAsia="Palatino Linotype" w:hAnsi="Palatino Linotype" w:cs="Palatino Linotype"/>
          <w:color w:val="000000"/>
          <w:sz w:val="24"/>
          <w:szCs w:val="24"/>
        </w:rPr>
        <w:t xml:space="preserve"> El </w:t>
      </w:r>
      <w:r w:rsidR="00BE63ED" w:rsidRPr="00591DC7">
        <w:rPr>
          <w:rFonts w:ascii="Palatino Linotype" w:eastAsia="Palatino Linotype" w:hAnsi="Palatino Linotype" w:cs="Palatino Linotype"/>
          <w:b/>
          <w:color w:val="000000"/>
          <w:sz w:val="24"/>
          <w:szCs w:val="24"/>
        </w:rPr>
        <w:t>veinte de marzo</w:t>
      </w:r>
      <w:r w:rsidR="00474AC6" w:rsidRPr="00591DC7">
        <w:rPr>
          <w:rFonts w:ascii="Palatino Linotype" w:eastAsia="Palatino Linotype" w:hAnsi="Palatino Linotype" w:cs="Palatino Linotype"/>
          <w:b/>
          <w:color w:val="000000"/>
          <w:sz w:val="24"/>
          <w:szCs w:val="24"/>
        </w:rPr>
        <w:t xml:space="preserve"> de</w:t>
      </w:r>
      <w:r w:rsidR="00F94730" w:rsidRPr="00591DC7">
        <w:rPr>
          <w:rFonts w:ascii="Palatino Linotype" w:eastAsia="Palatino Linotype" w:hAnsi="Palatino Linotype" w:cs="Palatino Linotype"/>
          <w:b/>
          <w:color w:val="000000"/>
          <w:sz w:val="24"/>
          <w:szCs w:val="24"/>
        </w:rPr>
        <w:t xml:space="preserve"> dos mil veinticuatro</w:t>
      </w:r>
      <w:r w:rsidRPr="00591DC7">
        <w:rPr>
          <w:rFonts w:ascii="Palatino Linotype" w:eastAsia="Palatino Linotype" w:hAnsi="Palatino Linotype" w:cs="Palatino Linotype"/>
          <w:color w:val="000000"/>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119BAACD"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461673C5" w14:textId="77777777" w:rsidR="0012412C" w:rsidRPr="00591DC7" w:rsidRDefault="0012412C" w:rsidP="0012412C">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4421177" w14:textId="77777777" w:rsidR="008755B0" w:rsidRPr="00591DC7" w:rsidRDefault="008755B0">
      <w:pPr>
        <w:spacing w:after="0" w:line="360" w:lineRule="auto"/>
        <w:ind w:right="49"/>
        <w:jc w:val="both"/>
        <w:rPr>
          <w:rFonts w:ascii="Palatino Linotype" w:eastAsia="Palatino Linotype" w:hAnsi="Palatino Linotype" w:cs="Palatino Linotype"/>
          <w:sz w:val="24"/>
          <w:szCs w:val="24"/>
        </w:rPr>
      </w:pPr>
    </w:p>
    <w:p w14:paraId="01EF90D1"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E93442B"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 </w:t>
      </w:r>
    </w:p>
    <w:p w14:paraId="52AAFFD6"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2599E6"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0E8DC847"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048F65A"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3A1FBB21"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E5AB222"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2870B7B1" w14:textId="77777777" w:rsidR="00F8557D" w:rsidRPr="00591DC7" w:rsidRDefault="00646B44">
      <w:pPr>
        <w:tabs>
          <w:tab w:val="left" w:pos="709"/>
        </w:tabs>
        <w:spacing w:after="0" w:line="360" w:lineRule="auto"/>
        <w:ind w:left="567" w:right="560"/>
        <w:jc w:val="both"/>
        <w:rPr>
          <w:rFonts w:ascii="Palatino Linotype" w:eastAsia="Palatino Linotype" w:hAnsi="Palatino Linotype" w:cs="Palatino Linotype"/>
        </w:rPr>
      </w:pPr>
      <w:r w:rsidRPr="00591DC7">
        <w:rPr>
          <w:rFonts w:ascii="Palatino Linotype" w:eastAsia="Palatino Linotype" w:hAnsi="Palatino Linotype" w:cs="Palatino Linotype"/>
          <w:b/>
          <w:sz w:val="24"/>
          <w:szCs w:val="24"/>
        </w:rPr>
        <w:t>a</w:t>
      </w:r>
      <w:r w:rsidRPr="00591DC7">
        <w:rPr>
          <w:rFonts w:ascii="Palatino Linotype" w:eastAsia="Palatino Linotype" w:hAnsi="Palatino Linotype" w:cs="Palatino Linotype"/>
          <w:b/>
        </w:rPr>
        <w:t>)    Complejidad del asunto:</w:t>
      </w:r>
      <w:r w:rsidRPr="00591DC7">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0743C62A" w14:textId="77777777" w:rsidR="00F8557D" w:rsidRPr="00591DC7" w:rsidRDefault="00646B44">
      <w:pPr>
        <w:tabs>
          <w:tab w:val="left" w:pos="709"/>
        </w:tabs>
        <w:spacing w:after="0" w:line="360" w:lineRule="auto"/>
        <w:ind w:left="567" w:right="560"/>
        <w:jc w:val="both"/>
        <w:rPr>
          <w:rFonts w:ascii="Palatino Linotype" w:eastAsia="Palatino Linotype" w:hAnsi="Palatino Linotype" w:cs="Palatino Linotype"/>
        </w:rPr>
      </w:pPr>
      <w:r w:rsidRPr="00591DC7">
        <w:rPr>
          <w:rFonts w:ascii="Palatino Linotype" w:eastAsia="Palatino Linotype" w:hAnsi="Palatino Linotype" w:cs="Palatino Linotype"/>
          <w:b/>
        </w:rPr>
        <w:t>b)   Actividad Procesal del interesado</w:t>
      </w:r>
      <w:r w:rsidRPr="00591DC7">
        <w:rPr>
          <w:rFonts w:ascii="Palatino Linotype" w:eastAsia="Palatino Linotype" w:hAnsi="Palatino Linotype" w:cs="Palatino Linotype"/>
        </w:rPr>
        <w:t>: Acciones u omisiones del interesado.</w:t>
      </w:r>
    </w:p>
    <w:p w14:paraId="4E15E9F6" w14:textId="77777777" w:rsidR="00F8557D" w:rsidRPr="00591DC7" w:rsidRDefault="00646B44">
      <w:pPr>
        <w:tabs>
          <w:tab w:val="left" w:pos="851"/>
        </w:tabs>
        <w:spacing w:after="0" w:line="360" w:lineRule="auto"/>
        <w:ind w:left="567" w:right="560"/>
        <w:jc w:val="both"/>
        <w:rPr>
          <w:rFonts w:ascii="Palatino Linotype" w:eastAsia="Palatino Linotype" w:hAnsi="Palatino Linotype" w:cs="Palatino Linotype"/>
        </w:rPr>
      </w:pPr>
      <w:r w:rsidRPr="00591DC7">
        <w:rPr>
          <w:rFonts w:ascii="Palatino Linotype" w:eastAsia="Palatino Linotype" w:hAnsi="Palatino Linotype" w:cs="Palatino Linotype"/>
          <w:b/>
        </w:rPr>
        <w:t>c)  Conducta de la Autoridad:</w:t>
      </w:r>
      <w:r w:rsidRPr="00591DC7">
        <w:rPr>
          <w:rFonts w:ascii="Palatino Linotype" w:eastAsia="Palatino Linotype" w:hAnsi="Palatino Linotype" w:cs="Palatino Linotype"/>
        </w:rPr>
        <w:t xml:space="preserve"> Las Acciones u omisiones realizadas en el procedimiento. Así como si la autoridad actuó con la debida diligencia.</w:t>
      </w:r>
    </w:p>
    <w:p w14:paraId="39BD5EC1" w14:textId="77777777" w:rsidR="00F8557D" w:rsidRPr="00591DC7" w:rsidRDefault="00646B44">
      <w:pPr>
        <w:tabs>
          <w:tab w:val="left" w:pos="851"/>
        </w:tabs>
        <w:spacing w:after="0" w:line="360" w:lineRule="auto"/>
        <w:ind w:left="567" w:right="560"/>
        <w:jc w:val="both"/>
        <w:rPr>
          <w:rFonts w:ascii="Palatino Linotype" w:eastAsia="Palatino Linotype" w:hAnsi="Palatino Linotype" w:cs="Palatino Linotype"/>
        </w:rPr>
      </w:pPr>
      <w:r w:rsidRPr="00591DC7">
        <w:rPr>
          <w:rFonts w:ascii="Palatino Linotype" w:eastAsia="Palatino Linotype" w:hAnsi="Palatino Linotype" w:cs="Palatino Linotype"/>
          <w:b/>
        </w:rPr>
        <w:t>d) La afectación generada en la situación jurídica de la persona involucrada en el proceso:</w:t>
      </w:r>
      <w:r w:rsidRPr="00591DC7">
        <w:rPr>
          <w:rFonts w:ascii="Palatino Linotype" w:eastAsia="Palatino Linotype" w:hAnsi="Palatino Linotype" w:cs="Palatino Linotype"/>
        </w:rPr>
        <w:t xml:space="preserve"> Violación a sus derechos humanos.</w:t>
      </w:r>
    </w:p>
    <w:p w14:paraId="30E8EA88"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727A23C4"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591DC7">
        <w:rPr>
          <w:rFonts w:ascii="Palatino Linotype" w:eastAsia="Palatino Linotype" w:hAnsi="Palatino Linotype" w:cs="Palatino Linotype"/>
          <w:sz w:val="24"/>
          <w:szCs w:val="24"/>
        </w:rPr>
        <w:lastRenderedPageBreak/>
        <w:t>considerarse normal, debe concluirse que es una excluyente de responsabilidad en relación con la actuación del funcionario, como ha acontecido en el caso que nos ocupa.</w:t>
      </w:r>
    </w:p>
    <w:p w14:paraId="52BB1787"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 </w:t>
      </w:r>
    </w:p>
    <w:p w14:paraId="6E8283A9"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591DC7">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591DC7">
        <w:rPr>
          <w:rFonts w:ascii="Palatino Linotype" w:eastAsia="Palatino Linotype" w:hAnsi="Palatino Linotype" w:cs="Palatino Linotype"/>
          <w:sz w:val="24"/>
          <w:szCs w:val="24"/>
        </w:rPr>
        <w:t>, visible en la Gaceta del Seminario Judicial de la Federación con el registro digital 205635.</w:t>
      </w:r>
    </w:p>
    <w:p w14:paraId="2001E0A2"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 </w:t>
      </w:r>
    </w:p>
    <w:p w14:paraId="0313729C"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C20704A"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23808168"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13F137F1" w14:textId="77777777" w:rsidR="00F8557D" w:rsidRPr="00591DC7" w:rsidRDefault="00646B44">
      <w:pPr>
        <w:spacing w:after="0" w:line="360" w:lineRule="auto"/>
        <w:ind w:right="49"/>
        <w:jc w:val="both"/>
        <w:rPr>
          <w:rFonts w:ascii="Palatino Linotype" w:eastAsia="Palatino Linotype" w:hAnsi="Palatino Linotype" w:cs="Palatino Linotype"/>
          <w:szCs w:val="24"/>
        </w:rPr>
      </w:pPr>
      <w:r w:rsidRPr="00591DC7">
        <w:rPr>
          <w:rFonts w:ascii="Palatino Linotype" w:eastAsia="Palatino Linotype" w:hAnsi="Palatino Linotype" w:cs="Palatino Linotype"/>
          <w:sz w:val="24"/>
          <w:szCs w:val="24"/>
        </w:rPr>
        <w:t xml:space="preserve"> </w:t>
      </w:r>
    </w:p>
    <w:p w14:paraId="27FBE521" w14:textId="77777777" w:rsidR="00F8557D" w:rsidRPr="00591DC7" w:rsidRDefault="00646B44">
      <w:pPr>
        <w:spacing w:after="0" w:line="360" w:lineRule="auto"/>
        <w:ind w:left="567" w:right="560"/>
        <w:jc w:val="both"/>
        <w:rPr>
          <w:rFonts w:ascii="Palatino Linotype" w:eastAsia="Palatino Linotype" w:hAnsi="Palatino Linotype" w:cs="Palatino Linotype"/>
          <w:szCs w:val="24"/>
        </w:rPr>
      </w:pPr>
      <w:r w:rsidRPr="00591DC7">
        <w:rPr>
          <w:rFonts w:ascii="Palatino Linotype" w:eastAsia="Palatino Linotype" w:hAnsi="Palatino Linotype" w:cs="Palatino Linotype"/>
          <w:b/>
          <w:szCs w:val="24"/>
        </w:rPr>
        <w:t xml:space="preserve"> “PLAZO RAZONABLE PARA RESOLVER. DIMENSIÓN Y EFECTOS DE ESTE CONCEPTO CUANDO SE ADUCE EXCESIVA CARGA DE TRABAJO.”</w:t>
      </w:r>
      <w:r w:rsidRPr="00591DC7">
        <w:rPr>
          <w:rFonts w:ascii="Palatino Linotype" w:eastAsia="Palatino Linotype" w:hAnsi="Palatino Linotype" w:cs="Palatino Linotype"/>
          <w:szCs w:val="24"/>
        </w:rPr>
        <w:t xml:space="preserve"> consultable en el Seminario Judicial de la Federación y su gaceta, con el registro digital 2002351.</w:t>
      </w:r>
    </w:p>
    <w:p w14:paraId="0591EEE5" w14:textId="77777777" w:rsidR="00F8557D" w:rsidRPr="00591DC7" w:rsidRDefault="00646B44">
      <w:pPr>
        <w:spacing w:after="0" w:line="360" w:lineRule="auto"/>
        <w:ind w:left="567" w:right="560"/>
        <w:jc w:val="both"/>
        <w:rPr>
          <w:rFonts w:ascii="Palatino Linotype" w:eastAsia="Palatino Linotype" w:hAnsi="Palatino Linotype" w:cs="Palatino Linotype"/>
          <w:szCs w:val="24"/>
        </w:rPr>
      </w:pPr>
      <w:r w:rsidRPr="00591DC7">
        <w:rPr>
          <w:rFonts w:ascii="Palatino Linotype" w:eastAsia="Palatino Linotype" w:hAnsi="Palatino Linotype" w:cs="Palatino Linotype"/>
          <w:szCs w:val="24"/>
        </w:rPr>
        <w:t xml:space="preserve"> </w:t>
      </w:r>
    </w:p>
    <w:p w14:paraId="4A867ABE" w14:textId="77777777" w:rsidR="00F8557D" w:rsidRPr="00591DC7" w:rsidRDefault="00646B44">
      <w:pPr>
        <w:spacing w:after="0" w:line="360" w:lineRule="auto"/>
        <w:ind w:left="567" w:right="560"/>
        <w:jc w:val="both"/>
        <w:rPr>
          <w:rFonts w:ascii="Palatino Linotype" w:eastAsia="Palatino Linotype" w:hAnsi="Palatino Linotype" w:cs="Palatino Linotype"/>
          <w:szCs w:val="24"/>
        </w:rPr>
      </w:pPr>
      <w:r w:rsidRPr="00591DC7">
        <w:rPr>
          <w:rFonts w:ascii="Palatino Linotype" w:eastAsia="Palatino Linotype" w:hAnsi="Palatino Linotype" w:cs="Palatino Linotype"/>
          <w:b/>
          <w:szCs w:val="24"/>
        </w:rPr>
        <w:t>“PLAZO RAZONABLE PARA RESOLVER. CONCEPTO Y ELEMENTOS QUE LO INTEGRAN A LA LUZ DEL DERECHO INTERNACIONAL DE LOS DERECHOS HUMANOS.”,</w:t>
      </w:r>
      <w:r w:rsidRPr="00591DC7">
        <w:rPr>
          <w:rFonts w:ascii="Palatino Linotype" w:eastAsia="Palatino Linotype" w:hAnsi="Palatino Linotype" w:cs="Palatino Linotype"/>
          <w:szCs w:val="24"/>
        </w:rPr>
        <w:t xml:space="preserve"> visible en el Seminario Judicial de la Federación y su gaceta, con el registro digital 2002350.</w:t>
      </w:r>
    </w:p>
    <w:p w14:paraId="241FA3AA" w14:textId="77777777" w:rsidR="00F8557D" w:rsidRPr="00591DC7" w:rsidRDefault="00F8557D">
      <w:pPr>
        <w:spacing w:after="0" w:line="360" w:lineRule="auto"/>
        <w:ind w:left="567" w:right="560"/>
        <w:jc w:val="both"/>
        <w:rPr>
          <w:rFonts w:ascii="Palatino Linotype" w:eastAsia="Palatino Linotype" w:hAnsi="Palatino Linotype" w:cs="Palatino Linotype"/>
          <w:sz w:val="24"/>
          <w:szCs w:val="24"/>
        </w:rPr>
      </w:pPr>
    </w:p>
    <w:p w14:paraId="6CD68606" w14:textId="38F042AA" w:rsidR="00F8557D" w:rsidRPr="00591DC7" w:rsidRDefault="00646B4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48C2D7F2" w14:textId="77777777" w:rsidR="000D7EF5" w:rsidRPr="00591DC7" w:rsidRDefault="000D7EF5" w:rsidP="000D7EF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880FDA0" w14:textId="066A6348" w:rsidR="00744146" w:rsidRPr="00591DC7" w:rsidRDefault="00744146" w:rsidP="0074414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591DC7">
        <w:rPr>
          <w:rFonts w:ascii="Palatino Linotype" w:eastAsia="Palatino Linotype" w:hAnsi="Palatino Linotype" w:cs="Palatino Linotype"/>
          <w:b/>
          <w:color w:val="000000"/>
          <w:sz w:val="24"/>
          <w:szCs w:val="24"/>
        </w:rPr>
        <w:t>Cierre de instrucción</w:t>
      </w:r>
      <w:r w:rsidRPr="00591DC7">
        <w:rPr>
          <w:rFonts w:ascii="Palatino Linotype" w:eastAsia="Palatino Linotype" w:hAnsi="Palatino Linotype" w:cs="Palatino Linotype"/>
          <w:color w:val="000000"/>
          <w:sz w:val="24"/>
          <w:szCs w:val="24"/>
        </w:rPr>
        <w:t xml:space="preserve">. En fecha </w:t>
      </w:r>
      <w:r w:rsidR="00BE63ED" w:rsidRPr="00591DC7">
        <w:rPr>
          <w:rFonts w:ascii="Palatino Linotype" w:eastAsia="Palatino Linotype" w:hAnsi="Palatino Linotype" w:cs="Palatino Linotype"/>
          <w:b/>
          <w:color w:val="000000"/>
          <w:sz w:val="24"/>
          <w:szCs w:val="24"/>
        </w:rPr>
        <w:t>dos de abril</w:t>
      </w:r>
      <w:r w:rsidR="000D7EF5" w:rsidRPr="00591DC7">
        <w:rPr>
          <w:rFonts w:ascii="Palatino Linotype" w:eastAsia="Palatino Linotype" w:hAnsi="Palatino Linotype" w:cs="Palatino Linotype"/>
          <w:b/>
          <w:color w:val="000000"/>
          <w:sz w:val="24"/>
          <w:szCs w:val="24"/>
        </w:rPr>
        <w:t xml:space="preserve"> de dos mil veinticuatro</w:t>
      </w:r>
      <w:r w:rsidRPr="00591DC7">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50AE455F" w14:textId="77777777" w:rsidR="00E2699F" w:rsidRPr="00591DC7" w:rsidRDefault="00E2699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7F30D1B" w14:textId="1D827DF2" w:rsidR="00744146"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5F534E1C" w14:textId="77777777" w:rsidR="00BE63ED" w:rsidRPr="00591DC7" w:rsidRDefault="00BE63ED">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591DC7" w:rsidRDefault="00646B44">
      <w:pPr>
        <w:spacing w:after="0" w:line="360" w:lineRule="auto"/>
        <w:ind w:right="49"/>
        <w:jc w:val="center"/>
        <w:rPr>
          <w:rFonts w:ascii="Palatino Linotype" w:eastAsia="Palatino Linotype" w:hAnsi="Palatino Linotype" w:cs="Palatino Linotype"/>
          <w:b/>
          <w:sz w:val="24"/>
          <w:szCs w:val="24"/>
        </w:rPr>
      </w:pPr>
      <w:r w:rsidRPr="00591DC7">
        <w:rPr>
          <w:rFonts w:ascii="Palatino Linotype" w:eastAsia="Palatino Linotype" w:hAnsi="Palatino Linotype" w:cs="Palatino Linotype"/>
          <w:b/>
          <w:sz w:val="24"/>
          <w:szCs w:val="24"/>
        </w:rPr>
        <w:t>II.</w:t>
      </w:r>
      <w:r w:rsidRPr="00591DC7">
        <w:rPr>
          <w:rFonts w:ascii="Palatino Linotype" w:eastAsia="Palatino Linotype" w:hAnsi="Palatino Linotype" w:cs="Palatino Linotype"/>
          <w:b/>
          <w:sz w:val="24"/>
          <w:szCs w:val="24"/>
        </w:rPr>
        <w:tab/>
        <w:t>C O N S I D E R A N D O:</w:t>
      </w:r>
    </w:p>
    <w:p w14:paraId="3619A913"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30E58CAA" w14:textId="252BE94C" w:rsidR="0012412C" w:rsidRPr="00591DC7" w:rsidRDefault="00646B44" w:rsidP="0012412C">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b/>
          <w:sz w:val="24"/>
          <w:szCs w:val="24"/>
        </w:rPr>
        <w:t>Primero. Competencia.</w:t>
      </w:r>
      <w:r w:rsidR="0012412C" w:rsidRPr="00591DC7">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3B2D671F" w14:textId="10C317D2"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b/>
          <w:sz w:val="24"/>
          <w:szCs w:val="24"/>
        </w:rPr>
        <w:t>Segundo. Oportunidad y Procedibilidad del Recurso de Revisión.</w:t>
      </w:r>
      <w:r w:rsidRPr="00591DC7">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6F62FE5E" w14:textId="77777777" w:rsidR="004E2E9F" w:rsidRPr="00591DC7" w:rsidRDefault="004E2E9F">
      <w:pPr>
        <w:spacing w:after="0" w:line="360" w:lineRule="auto"/>
        <w:ind w:right="49"/>
        <w:jc w:val="both"/>
        <w:rPr>
          <w:rFonts w:ascii="Palatino Linotype" w:eastAsia="Palatino Linotype" w:hAnsi="Palatino Linotype" w:cs="Palatino Linotype"/>
          <w:sz w:val="24"/>
          <w:szCs w:val="24"/>
        </w:rPr>
      </w:pPr>
    </w:p>
    <w:p w14:paraId="57D9F138" w14:textId="7D2CAB60"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Pr="00591DC7">
        <w:rPr>
          <w:rFonts w:ascii="Palatino Linotype" w:eastAsia="Palatino Linotype" w:hAnsi="Palatino Linotype" w:cs="Palatino Linotype"/>
          <w:b/>
          <w:sz w:val="24"/>
          <w:szCs w:val="24"/>
        </w:rPr>
        <w:t>SUJETO OBLIGADO</w:t>
      </w:r>
      <w:r w:rsidRPr="00591DC7">
        <w:rPr>
          <w:rFonts w:ascii="Palatino Linotype" w:eastAsia="Palatino Linotype" w:hAnsi="Palatino Linotype" w:cs="Palatino Linotype"/>
          <w:sz w:val="24"/>
          <w:szCs w:val="24"/>
        </w:rPr>
        <w:t xml:space="preserve"> remitió la respuesta a la solicitud de información el </w:t>
      </w:r>
      <w:r w:rsidR="00BE63ED" w:rsidRPr="00591DC7">
        <w:rPr>
          <w:rFonts w:ascii="Palatino Linotype" w:eastAsia="Palatino Linotype" w:hAnsi="Palatino Linotype" w:cs="Palatino Linotype"/>
          <w:b/>
          <w:sz w:val="24"/>
          <w:szCs w:val="24"/>
        </w:rPr>
        <w:t>veintidós de septiembre</w:t>
      </w:r>
      <w:r w:rsidR="00474AC6" w:rsidRPr="00591DC7">
        <w:rPr>
          <w:rFonts w:ascii="Palatino Linotype" w:eastAsia="Palatino Linotype" w:hAnsi="Palatino Linotype" w:cs="Palatino Linotype"/>
          <w:b/>
          <w:sz w:val="24"/>
          <w:szCs w:val="24"/>
        </w:rPr>
        <w:t xml:space="preserve"> de dos mil veintitrés</w:t>
      </w:r>
      <w:r w:rsidRPr="00591DC7">
        <w:rPr>
          <w:rFonts w:ascii="Palatino Linotype" w:eastAsia="Palatino Linotype" w:hAnsi="Palatino Linotype" w:cs="Palatino Linotype"/>
          <w:sz w:val="24"/>
          <w:szCs w:val="24"/>
        </w:rPr>
        <w:t xml:space="preserve">, mientras que el recurso de revisión interpuesto por la parte </w:t>
      </w:r>
      <w:r w:rsidRPr="00591DC7">
        <w:rPr>
          <w:rFonts w:ascii="Palatino Linotype" w:eastAsia="Palatino Linotype" w:hAnsi="Palatino Linotype" w:cs="Palatino Linotype"/>
          <w:b/>
          <w:sz w:val="24"/>
          <w:szCs w:val="24"/>
        </w:rPr>
        <w:t xml:space="preserve">RECURRENTE </w:t>
      </w:r>
      <w:r w:rsidRPr="00591DC7">
        <w:rPr>
          <w:rFonts w:ascii="Palatino Linotype" w:eastAsia="Palatino Linotype" w:hAnsi="Palatino Linotype" w:cs="Palatino Linotype"/>
          <w:sz w:val="24"/>
          <w:szCs w:val="24"/>
        </w:rPr>
        <w:t xml:space="preserve">se tuvo por presentado el </w:t>
      </w:r>
      <w:r w:rsidR="00BE63ED" w:rsidRPr="00591DC7">
        <w:rPr>
          <w:rFonts w:ascii="Palatino Linotype" w:eastAsia="Palatino Linotype" w:hAnsi="Palatino Linotype" w:cs="Palatino Linotype"/>
          <w:b/>
          <w:sz w:val="24"/>
          <w:szCs w:val="24"/>
        </w:rPr>
        <w:t>once de octubre</w:t>
      </w:r>
      <w:r w:rsidR="00474AC6" w:rsidRPr="00591DC7">
        <w:rPr>
          <w:rFonts w:ascii="Palatino Linotype" w:eastAsia="Palatino Linotype" w:hAnsi="Palatino Linotype" w:cs="Palatino Linotype"/>
          <w:b/>
          <w:sz w:val="24"/>
          <w:szCs w:val="24"/>
        </w:rPr>
        <w:t xml:space="preserve"> de dos mil veintitrés</w:t>
      </w:r>
      <w:r w:rsidR="00DB71F7" w:rsidRPr="00591DC7">
        <w:rPr>
          <w:rFonts w:ascii="Palatino Linotype" w:eastAsia="Palatino Linotype" w:hAnsi="Palatino Linotype" w:cs="Palatino Linotype"/>
          <w:sz w:val="24"/>
          <w:szCs w:val="24"/>
        </w:rPr>
        <w:t xml:space="preserve">, esto es al </w:t>
      </w:r>
      <w:r w:rsidR="00BE63ED" w:rsidRPr="00591DC7">
        <w:rPr>
          <w:rFonts w:ascii="Palatino Linotype" w:eastAsia="Palatino Linotype" w:hAnsi="Palatino Linotype" w:cs="Palatino Linotype"/>
          <w:sz w:val="24"/>
          <w:szCs w:val="24"/>
        </w:rPr>
        <w:t>décimo tercer día hábil</w:t>
      </w:r>
      <w:r w:rsidRPr="00591DC7">
        <w:rPr>
          <w:rFonts w:ascii="Palatino Linotype" w:eastAsia="Palatino Linotype" w:hAnsi="Palatino Linotype" w:cs="Palatino Linotype"/>
          <w:sz w:val="24"/>
          <w:szCs w:val="24"/>
        </w:rPr>
        <w:t xml:space="preserve"> en que se tuvo conocimiento de la respuesta. </w:t>
      </w:r>
    </w:p>
    <w:p w14:paraId="5F07CCD4"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4949D8E7" w14:textId="7777777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En este sentido, al considerar la fecha en que se formuló la solicitud y la fecha en que respondió a esta el </w:t>
      </w:r>
      <w:r w:rsidRPr="00591DC7">
        <w:rPr>
          <w:rFonts w:ascii="Palatino Linotype" w:eastAsia="Palatino Linotype" w:hAnsi="Palatino Linotype" w:cs="Palatino Linotype"/>
          <w:b/>
          <w:sz w:val="24"/>
          <w:szCs w:val="24"/>
        </w:rPr>
        <w:t>SUJETO OBLIGADO</w:t>
      </w:r>
      <w:r w:rsidRPr="00591DC7">
        <w:rPr>
          <w:rFonts w:ascii="Palatino Linotype" w:eastAsia="Palatino Linotype" w:hAnsi="Palatino Linotype" w:cs="Palatino Linotype"/>
          <w:sz w:val="24"/>
          <w:szCs w:val="24"/>
        </w:rPr>
        <w:t xml:space="preserve">; así como la fecha en que se interpuso el recurso de revisión, se concluye que el presente recurso de revisión se encuentra dentro de los márgenes temporales previstos en las disposiciones legales referidas. </w:t>
      </w:r>
    </w:p>
    <w:p w14:paraId="082A5C1B" w14:textId="77777777" w:rsidR="00BE63ED" w:rsidRPr="00591DC7" w:rsidRDefault="00BE63ED">
      <w:pPr>
        <w:spacing w:after="0" w:line="360" w:lineRule="auto"/>
        <w:ind w:right="49"/>
        <w:jc w:val="both"/>
        <w:rPr>
          <w:rFonts w:ascii="Palatino Linotype" w:eastAsia="Palatino Linotype" w:hAnsi="Palatino Linotype" w:cs="Palatino Linotype"/>
          <w:sz w:val="24"/>
          <w:szCs w:val="24"/>
        </w:rPr>
      </w:pPr>
    </w:p>
    <w:p w14:paraId="404ADA77" w14:textId="77777777" w:rsidR="00BE63ED" w:rsidRPr="00591DC7" w:rsidRDefault="00BE63ED" w:rsidP="00BE63ED">
      <w:pPr>
        <w:spacing w:after="0" w:line="360" w:lineRule="auto"/>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Es de suma importancia mencionar que, si bien la parte no proporcionó algún nombre 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2ABF082" w14:textId="77777777" w:rsidR="00BE63ED" w:rsidRPr="00591DC7" w:rsidRDefault="00BE63ED" w:rsidP="00BE63ED">
      <w:pPr>
        <w:spacing w:after="0" w:line="360" w:lineRule="auto"/>
        <w:jc w:val="both"/>
        <w:rPr>
          <w:rFonts w:ascii="Palatino Linotype" w:eastAsia="Palatino Linotype" w:hAnsi="Palatino Linotype" w:cs="Palatino Linotype"/>
          <w:sz w:val="24"/>
          <w:szCs w:val="24"/>
        </w:rPr>
      </w:pPr>
    </w:p>
    <w:p w14:paraId="5C1C2F2E" w14:textId="6709C37B" w:rsidR="00BE63ED" w:rsidRPr="00591DC7" w:rsidRDefault="00BE63ED" w:rsidP="00BE63ED">
      <w:pPr>
        <w:spacing w:after="0" w:line="276" w:lineRule="auto"/>
        <w:ind w:left="567" w:right="843"/>
        <w:jc w:val="both"/>
        <w:rPr>
          <w:rFonts w:ascii="Palatino Linotype" w:eastAsia="Palatino Linotype" w:hAnsi="Palatino Linotype" w:cs="Palatino Linotype"/>
          <w:i/>
          <w:szCs w:val="24"/>
        </w:rPr>
      </w:pPr>
      <w:r w:rsidRPr="00591DC7">
        <w:rPr>
          <w:rFonts w:ascii="Palatino Linotype" w:eastAsia="Palatino Linotype" w:hAnsi="Palatino Linotype" w:cs="Palatino Linotype"/>
          <w:i/>
          <w:szCs w:val="24"/>
        </w:rPr>
        <w:t xml:space="preserve">"Las solicitudes </w:t>
      </w:r>
      <w:r w:rsidRPr="00591DC7">
        <w:rPr>
          <w:rFonts w:ascii="Palatino Linotype" w:eastAsia="Palatino Linotype" w:hAnsi="Palatino Linotype" w:cs="Palatino Linotype"/>
          <w:b/>
          <w:bCs/>
          <w:i/>
          <w:szCs w:val="24"/>
          <w:u w:val="single"/>
        </w:rPr>
        <w:t>anónimas</w:t>
      </w:r>
      <w:r w:rsidRPr="00591DC7">
        <w:rPr>
          <w:rFonts w:ascii="Palatino Linotype" w:eastAsia="Palatino Linotype" w:hAnsi="Palatino Linotype" w:cs="Palatino Linotype"/>
          <w:i/>
          <w:szCs w:val="24"/>
        </w:rPr>
        <w:t xml:space="preserve">, con nombre incompleto o </w:t>
      </w:r>
      <w:r w:rsidRPr="00591DC7">
        <w:rPr>
          <w:rFonts w:ascii="Palatino Linotype" w:eastAsia="Palatino Linotype" w:hAnsi="Palatino Linotype" w:cs="Palatino Linotype"/>
          <w:bCs/>
          <w:i/>
          <w:szCs w:val="24"/>
        </w:rPr>
        <w:t>seudónimo</w:t>
      </w:r>
      <w:r w:rsidRPr="00591DC7">
        <w:rPr>
          <w:rFonts w:ascii="Palatino Linotype" w:eastAsia="Palatino Linotype" w:hAnsi="Palatino Linotype" w:cs="Palatino Linotype"/>
          <w:i/>
          <w:szCs w:val="24"/>
        </w:rPr>
        <w:t xml:space="preserve"> serán procedentes para su trámite por parte del sujeto obligado ante quien se presente. No podrá requerirse información adicional con motivo del nombre proporcionado por el solicitante."</w:t>
      </w:r>
    </w:p>
    <w:p w14:paraId="3112E15F"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6956E821" w14:textId="2055AFD4" w:rsidR="00474AC6"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591DC7">
        <w:rPr>
          <w:rFonts w:ascii="Palatino Linotype" w:eastAsia="Palatino Linotype" w:hAnsi="Palatino Linotype" w:cs="Palatino Linotype"/>
          <w:b/>
          <w:sz w:val="24"/>
          <w:szCs w:val="24"/>
        </w:rPr>
        <w:t>SAIMEX</w:t>
      </w:r>
      <w:r w:rsidRPr="00591DC7">
        <w:rPr>
          <w:rFonts w:ascii="Palatino Linotype" w:eastAsia="Palatino Linotype" w:hAnsi="Palatino Linotype" w:cs="Palatino Linotype"/>
          <w:sz w:val="24"/>
          <w:szCs w:val="24"/>
        </w:rPr>
        <w:t xml:space="preserve">.  </w:t>
      </w:r>
    </w:p>
    <w:p w14:paraId="12472A5D" w14:textId="77777777" w:rsidR="00320092" w:rsidRPr="00591DC7" w:rsidRDefault="00320092">
      <w:pPr>
        <w:spacing w:after="0" w:line="360" w:lineRule="auto"/>
        <w:ind w:right="49"/>
        <w:jc w:val="both"/>
        <w:rPr>
          <w:rFonts w:ascii="Palatino Linotype" w:eastAsia="Palatino Linotype" w:hAnsi="Palatino Linotype" w:cs="Palatino Linotype"/>
          <w:sz w:val="24"/>
          <w:szCs w:val="24"/>
        </w:rPr>
      </w:pPr>
    </w:p>
    <w:p w14:paraId="5FB90515" w14:textId="2E4A6179"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Finalmente, resulta procedente la interposición del recurso de revisión al rubro ano</w:t>
      </w:r>
      <w:r w:rsidR="00DB71F7" w:rsidRPr="00591DC7">
        <w:rPr>
          <w:rFonts w:ascii="Palatino Linotype" w:eastAsia="Palatino Linotype" w:hAnsi="Palatino Linotype" w:cs="Palatino Linotype"/>
          <w:sz w:val="24"/>
          <w:szCs w:val="24"/>
        </w:rPr>
        <w:t>tado, toda vez que se actualiza</w:t>
      </w:r>
      <w:r w:rsidRPr="00591DC7">
        <w:rPr>
          <w:rFonts w:ascii="Palatino Linotype" w:eastAsia="Palatino Linotype" w:hAnsi="Palatino Linotype" w:cs="Palatino Linotype"/>
          <w:sz w:val="24"/>
          <w:szCs w:val="24"/>
        </w:rPr>
        <w:t xml:space="preserve"> la h</w:t>
      </w:r>
      <w:r w:rsidR="00DB71F7" w:rsidRPr="00591DC7">
        <w:rPr>
          <w:rFonts w:ascii="Palatino Linotype" w:eastAsia="Palatino Linotype" w:hAnsi="Palatino Linotype" w:cs="Palatino Linotype"/>
          <w:sz w:val="24"/>
          <w:szCs w:val="24"/>
        </w:rPr>
        <w:t>ipótesis de procedencia prevista</w:t>
      </w:r>
      <w:r w:rsidRPr="00591DC7">
        <w:rPr>
          <w:rFonts w:ascii="Palatino Linotype" w:eastAsia="Palatino Linotype" w:hAnsi="Palatino Linotype" w:cs="Palatino Linotype"/>
          <w:sz w:val="24"/>
          <w:szCs w:val="24"/>
        </w:rPr>
        <w:t xml:space="preserve"> en e</w:t>
      </w:r>
      <w:r w:rsidR="00DB71F7" w:rsidRPr="00591DC7">
        <w:rPr>
          <w:rFonts w:ascii="Palatino Linotype" w:eastAsia="Palatino Linotype" w:hAnsi="Palatino Linotype" w:cs="Palatino Linotype"/>
          <w:sz w:val="24"/>
          <w:szCs w:val="24"/>
        </w:rPr>
        <w:t xml:space="preserve">l artículo 179, fracción </w:t>
      </w:r>
      <w:r w:rsidR="00BE63ED" w:rsidRPr="00591DC7">
        <w:rPr>
          <w:rFonts w:ascii="Palatino Linotype" w:eastAsia="Palatino Linotype" w:hAnsi="Palatino Linotype" w:cs="Palatino Linotype"/>
          <w:sz w:val="24"/>
          <w:szCs w:val="24"/>
        </w:rPr>
        <w:t>I</w:t>
      </w:r>
      <w:r w:rsidR="00F94730" w:rsidRPr="00591DC7">
        <w:rPr>
          <w:rFonts w:ascii="Palatino Linotype" w:eastAsia="Palatino Linotype" w:hAnsi="Palatino Linotype" w:cs="Palatino Linotype"/>
          <w:sz w:val="24"/>
          <w:szCs w:val="24"/>
        </w:rPr>
        <w:t xml:space="preserve"> </w:t>
      </w:r>
      <w:r w:rsidRPr="00591DC7">
        <w:rPr>
          <w:rFonts w:ascii="Palatino Linotype" w:eastAsia="Palatino Linotype" w:hAnsi="Palatino Linotype" w:cs="Palatino Linotype"/>
          <w:sz w:val="24"/>
          <w:szCs w:val="24"/>
        </w:rPr>
        <w:t>de la Ley de la materia, que a la letra dice:</w:t>
      </w:r>
    </w:p>
    <w:p w14:paraId="5804E43F"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Pr="00591DC7" w:rsidRDefault="00646B44">
      <w:pPr>
        <w:spacing w:after="0" w:line="276" w:lineRule="auto"/>
        <w:ind w:left="567" w:right="560"/>
        <w:jc w:val="both"/>
        <w:rPr>
          <w:rFonts w:ascii="Palatino Linotype" w:eastAsia="Palatino Linotype" w:hAnsi="Palatino Linotype" w:cs="Palatino Linotype"/>
          <w:i/>
        </w:rPr>
      </w:pPr>
      <w:r w:rsidRPr="00591DC7">
        <w:rPr>
          <w:rFonts w:ascii="Palatino Linotype" w:eastAsia="Palatino Linotype" w:hAnsi="Palatino Linotype" w:cs="Palatino Linotype"/>
          <w:i/>
        </w:rPr>
        <w:t>“</w:t>
      </w:r>
      <w:r w:rsidRPr="00591DC7">
        <w:rPr>
          <w:rFonts w:ascii="Palatino Linotype" w:eastAsia="Palatino Linotype" w:hAnsi="Palatino Linotype" w:cs="Palatino Linotype"/>
          <w:b/>
          <w:i/>
        </w:rPr>
        <w:t>Artículo 179.</w:t>
      </w:r>
      <w:r w:rsidRPr="00591DC7">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591DC7" w:rsidRDefault="00646B44">
      <w:pPr>
        <w:spacing w:after="0" w:line="276" w:lineRule="auto"/>
        <w:ind w:left="567" w:right="560"/>
        <w:jc w:val="both"/>
        <w:rPr>
          <w:rFonts w:ascii="Palatino Linotype" w:eastAsia="Palatino Linotype" w:hAnsi="Palatino Linotype" w:cs="Palatino Linotype"/>
          <w:i/>
        </w:rPr>
      </w:pPr>
      <w:r w:rsidRPr="00591DC7">
        <w:rPr>
          <w:rFonts w:ascii="Palatino Linotype" w:eastAsia="Palatino Linotype" w:hAnsi="Palatino Linotype" w:cs="Palatino Linotype"/>
          <w:i/>
        </w:rPr>
        <w:t>…</w:t>
      </w:r>
    </w:p>
    <w:p w14:paraId="75D88E83" w14:textId="77777777" w:rsidR="00BE63ED" w:rsidRPr="00591DC7" w:rsidRDefault="00BE63ED" w:rsidP="00B46DDA">
      <w:pPr>
        <w:spacing w:after="0" w:line="276" w:lineRule="auto"/>
        <w:ind w:left="567" w:right="560"/>
        <w:jc w:val="both"/>
        <w:rPr>
          <w:rFonts w:ascii="Palatino Linotype" w:eastAsia="Palatino Linotype" w:hAnsi="Palatino Linotype" w:cs="Palatino Linotype"/>
          <w:i/>
        </w:rPr>
      </w:pPr>
      <w:r w:rsidRPr="00591DC7">
        <w:rPr>
          <w:rFonts w:ascii="Palatino Linotype" w:eastAsia="Palatino Linotype" w:hAnsi="Palatino Linotype" w:cs="Palatino Linotype"/>
          <w:i/>
        </w:rPr>
        <w:t>I. La negativa de entrega de la información;</w:t>
      </w:r>
    </w:p>
    <w:p w14:paraId="2ABDC37A" w14:textId="73876CFF" w:rsidR="00F8557D" w:rsidRPr="00591DC7" w:rsidRDefault="00BE63ED" w:rsidP="00B46DDA">
      <w:pPr>
        <w:spacing w:after="0" w:line="276" w:lineRule="auto"/>
        <w:ind w:left="567" w:right="560"/>
        <w:jc w:val="both"/>
        <w:rPr>
          <w:rFonts w:ascii="Palatino Linotype" w:eastAsia="Palatino Linotype" w:hAnsi="Palatino Linotype" w:cs="Palatino Linotype"/>
          <w:i/>
        </w:rPr>
      </w:pPr>
      <w:r w:rsidRPr="00591DC7">
        <w:rPr>
          <w:rFonts w:ascii="Palatino Linotype" w:eastAsia="Palatino Linotype" w:hAnsi="Palatino Linotype" w:cs="Palatino Linotype"/>
          <w:i/>
        </w:rPr>
        <w:t>…</w:t>
      </w:r>
    </w:p>
    <w:p w14:paraId="4D00E215"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35EE1366" w14:textId="1A6E1473"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b/>
          <w:sz w:val="24"/>
          <w:szCs w:val="24"/>
        </w:rPr>
        <w:t>Tercero. Materia de la revisión</w:t>
      </w:r>
      <w:r w:rsidRPr="00591DC7">
        <w:rPr>
          <w:rFonts w:ascii="Palatino Linotype" w:eastAsia="Palatino Linotype" w:hAnsi="Palatino Linotype" w:cs="Palatino Linotype"/>
          <w:sz w:val="24"/>
          <w:szCs w:val="24"/>
        </w:rPr>
        <w:t>. De la revisión a las constancias y documentos que obran en el expediente electrónico se advierte, que el tema sobre el que este Organismo Garante de Transparencia y Acceso a la Información se pronunciará será</w:t>
      </w:r>
      <w:r w:rsidR="00DB71F7" w:rsidRPr="00591DC7">
        <w:rPr>
          <w:rFonts w:ascii="Palatino Linotype" w:eastAsia="Palatino Linotype" w:hAnsi="Palatino Linotype" w:cs="Palatino Linotype"/>
          <w:sz w:val="24"/>
          <w:szCs w:val="24"/>
        </w:rPr>
        <w:t xml:space="preserve"> en determinar, si se actualiza la hipótesis prevista en la fracción</w:t>
      </w:r>
      <w:r w:rsidR="00BE63ED" w:rsidRPr="00591DC7">
        <w:rPr>
          <w:rFonts w:ascii="Palatino Linotype" w:eastAsia="Palatino Linotype" w:hAnsi="Palatino Linotype" w:cs="Palatino Linotype"/>
          <w:sz w:val="24"/>
          <w:szCs w:val="24"/>
        </w:rPr>
        <w:t xml:space="preserve"> I</w:t>
      </w:r>
      <w:r w:rsidR="0067569B" w:rsidRPr="00591DC7">
        <w:rPr>
          <w:rFonts w:ascii="Palatino Linotype" w:eastAsia="Palatino Linotype" w:hAnsi="Palatino Linotype" w:cs="Palatino Linotype"/>
          <w:sz w:val="24"/>
          <w:szCs w:val="24"/>
        </w:rPr>
        <w:t xml:space="preserve"> </w:t>
      </w:r>
      <w:r w:rsidRPr="00591DC7">
        <w:rPr>
          <w:rFonts w:ascii="Palatino Linotype" w:eastAsia="Palatino Linotype" w:hAnsi="Palatino Linotype" w:cs="Palatino Linotype"/>
          <w:sz w:val="24"/>
          <w:szCs w:val="24"/>
        </w:rPr>
        <w:t xml:space="preserve">del artículo 179 de la Ley en la materia. </w:t>
      </w:r>
    </w:p>
    <w:p w14:paraId="096B0CBF"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7A7C1A84" w14:textId="41C53EAC" w:rsidR="00F8557D" w:rsidRPr="00591DC7" w:rsidRDefault="00646B44" w:rsidP="00EC1E2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b/>
          <w:sz w:val="24"/>
          <w:szCs w:val="24"/>
        </w:rPr>
        <w:t>Cuarto.</w:t>
      </w:r>
      <w:r w:rsidRPr="00591DC7">
        <w:rPr>
          <w:rFonts w:ascii="Palatino Linotype" w:eastAsia="Palatino Linotype" w:hAnsi="Palatino Linotype" w:cs="Palatino Linotype"/>
          <w:sz w:val="24"/>
          <w:szCs w:val="24"/>
        </w:rPr>
        <w:t xml:space="preserve"> </w:t>
      </w:r>
      <w:r w:rsidRPr="00591DC7">
        <w:rPr>
          <w:rFonts w:ascii="Palatino Linotype" w:eastAsia="Palatino Linotype" w:hAnsi="Palatino Linotype" w:cs="Palatino Linotype"/>
          <w:b/>
          <w:sz w:val="24"/>
          <w:szCs w:val="24"/>
        </w:rPr>
        <w:t>Estudio de fondo del asunto.</w:t>
      </w:r>
      <w:r w:rsidRPr="00591DC7">
        <w:rPr>
          <w:rFonts w:ascii="Palatino Linotype" w:eastAsia="Palatino Linotype" w:hAnsi="Palatino Linotype" w:cs="Palatino Linotype"/>
          <w:sz w:val="24"/>
          <w:szCs w:val="24"/>
        </w:rPr>
        <w:t xml:space="preserve">  </w:t>
      </w:r>
      <w:r w:rsidR="00C139F0" w:rsidRPr="00591DC7">
        <w:rPr>
          <w:rFonts w:ascii="Palatino Linotype" w:eastAsia="Palatino Linotype" w:hAnsi="Palatino Linotype" w:cs="Palatino Linotype"/>
          <w:sz w:val="24"/>
          <w:szCs w:val="24"/>
        </w:rPr>
        <w:t xml:space="preserve">En principio, </w:t>
      </w:r>
      <w:r w:rsidRPr="00591DC7">
        <w:rPr>
          <w:rFonts w:ascii="Palatino Linotype" w:eastAsia="Palatino Linotype" w:hAnsi="Palatino Linotype" w:cs="Palatino Linotype"/>
          <w:sz w:val="24"/>
          <w:szCs w:val="24"/>
        </w:rPr>
        <w:t xml:space="preserve">es necesario mencionar que el derecho de acceso a la información está consagrado en instrumentos internacionales de los cuales el Estado Mexicano se ha adherido, sin oponer reserva alguna sobre lo </w:t>
      </w:r>
      <w:r w:rsidRPr="00591DC7">
        <w:rPr>
          <w:rFonts w:ascii="Palatino Linotype" w:eastAsia="Palatino Linotype" w:hAnsi="Palatino Linotype" w:cs="Palatino Linotype"/>
          <w:sz w:val="24"/>
          <w:szCs w:val="24"/>
        </w:rPr>
        <w:lastRenderedPageBreak/>
        <w:t>que nos interesa, adoptando dichas disposiciones al Derecho Interno, específicamente a nivel Constitucional, tal y como lo prevén los arábigos 1 párrafos primero, segundo y tercero y 6 apartado A fracciones I, II, III, IV, V, VI y VII que a la letra señalan:</w:t>
      </w:r>
    </w:p>
    <w:p w14:paraId="0A5F595C" w14:textId="77777777" w:rsidR="00474AC6" w:rsidRPr="00591DC7" w:rsidRDefault="00474AC6" w:rsidP="004A222E">
      <w:pPr>
        <w:spacing w:after="0" w:line="360" w:lineRule="auto"/>
        <w:ind w:right="843"/>
        <w:jc w:val="both"/>
        <w:rPr>
          <w:rFonts w:ascii="Palatino Linotype" w:eastAsia="Palatino Linotype" w:hAnsi="Palatino Linotype" w:cs="Palatino Linotype"/>
          <w:sz w:val="24"/>
          <w:szCs w:val="24"/>
        </w:rPr>
      </w:pPr>
    </w:p>
    <w:p w14:paraId="06123CDB"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b/>
          <w:i/>
        </w:rPr>
        <w:t>Artículo 1o.</w:t>
      </w:r>
      <w:r w:rsidRPr="00591DC7">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F14F92"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w:t>
      </w:r>
    </w:p>
    <w:p w14:paraId="75867AD6"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b/>
          <w:i/>
        </w:rPr>
      </w:pPr>
      <w:r w:rsidRPr="00591DC7">
        <w:rPr>
          <w:rFonts w:ascii="Palatino Linotype" w:eastAsia="Palatino Linotype" w:hAnsi="Palatino Linotype" w:cs="Palatino Linotype"/>
          <w:b/>
          <w:i/>
        </w:rPr>
        <w:t>“Artículo 6o.</w:t>
      </w:r>
    </w:p>
    <w:p w14:paraId="43236C09"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w:t>
      </w:r>
    </w:p>
    <w:p w14:paraId="40F47EB2"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EAD3BF1"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lastRenderedPageBreak/>
        <w:t xml:space="preserve"> II. La información que se refiere a la vida privada y los datos personales será protegida en los términos y con las excepciones que fijen las leyes.</w:t>
      </w:r>
    </w:p>
    <w:p w14:paraId="23D67166"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29A725F3" w14:textId="77777777" w:rsidR="00F8557D" w:rsidRPr="00591DC7" w:rsidRDefault="00646B44" w:rsidP="004A222E">
      <w:pPr>
        <w:spacing w:after="0" w:line="276" w:lineRule="auto"/>
        <w:ind w:left="567" w:right="843"/>
        <w:jc w:val="both"/>
        <w:rPr>
          <w:rFonts w:ascii="Palatino Linotype" w:eastAsia="Palatino Linotype" w:hAnsi="Palatino Linotype" w:cs="Palatino Linotype"/>
          <w:i/>
        </w:rPr>
      </w:pPr>
      <w:r w:rsidRPr="00591DC7">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0C67A7C8"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7F9C6896" w14:textId="698F5BA8"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w:t>
      </w:r>
      <w:r w:rsidR="00C139F0" w:rsidRPr="00591DC7">
        <w:rPr>
          <w:rFonts w:ascii="Palatino Linotype" w:eastAsia="Palatino Linotype" w:hAnsi="Palatino Linotype" w:cs="Palatino Linotype"/>
          <w:sz w:val="24"/>
          <w:szCs w:val="24"/>
        </w:rPr>
        <w:t xml:space="preserve">licidad. </w:t>
      </w:r>
    </w:p>
    <w:p w14:paraId="2E6546E4"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249CAC61" w14:textId="1EC1139D" w:rsidR="00C139F0" w:rsidRPr="00591DC7" w:rsidRDefault="00C139F0" w:rsidP="00C139F0">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Del mismo modo, es de mencionar que,</w:t>
      </w:r>
      <w:r w:rsidR="00646B44" w:rsidRPr="00591DC7">
        <w:rPr>
          <w:rFonts w:ascii="Palatino Linotype" w:eastAsia="Palatino Linotype" w:hAnsi="Palatino Linotype" w:cs="Palatino Linotype"/>
          <w:sz w:val="24"/>
          <w:szCs w:val="24"/>
        </w:rPr>
        <w:t xml:space="preserve"> los Sujetos Obligados tienen la obligación o deber de atender las solicitudes de acceso a la información pública que se les hagan </w:t>
      </w:r>
      <w:r w:rsidR="00646B44" w:rsidRPr="00591DC7">
        <w:rPr>
          <w:rFonts w:ascii="Palatino Linotype" w:eastAsia="Palatino Linotype" w:hAnsi="Palatino Linotype" w:cs="Palatino Linotype"/>
          <w:sz w:val="24"/>
          <w:szCs w:val="24"/>
        </w:rPr>
        <w:lastRenderedPageBreak/>
        <w:t>de su conocimiento y proporcionar la información pública que obren en su poder como así lo establece el artículo 12 de la Ley de Transparencia y Acceso a la Información Pública del</w:t>
      </w:r>
      <w:r w:rsidRPr="00591DC7">
        <w:rPr>
          <w:rFonts w:ascii="Palatino Linotype" w:eastAsia="Palatino Linotype" w:hAnsi="Palatino Linotype" w:cs="Palatino Linotype"/>
          <w:sz w:val="24"/>
          <w:szCs w:val="24"/>
        </w:rPr>
        <w:t xml:space="preserve"> Estado de México y Municipios. </w:t>
      </w:r>
    </w:p>
    <w:p w14:paraId="0C133368" w14:textId="77777777" w:rsidR="00BE63ED" w:rsidRPr="00591DC7" w:rsidRDefault="00BE63ED" w:rsidP="00C139F0">
      <w:pPr>
        <w:spacing w:after="0" w:line="360" w:lineRule="auto"/>
        <w:ind w:right="49"/>
        <w:jc w:val="both"/>
        <w:rPr>
          <w:rFonts w:ascii="Palatino Linotype" w:eastAsia="Palatino Linotype" w:hAnsi="Palatino Linotype" w:cs="Palatino Linotype"/>
          <w:sz w:val="24"/>
          <w:szCs w:val="24"/>
        </w:rPr>
      </w:pPr>
    </w:p>
    <w:p w14:paraId="0406D8B0" w14:textId="7F52F6F2" w:rsidR="00F8557D" w:rsidRPr="00591DC7" w:rsidRDefault="00646B44" w:rsidP="0012412C">
      <w:pPr>
        <w:spacing w:after="0" w:line="360" w:lineRule="auto"/>
        <w:ind w:right="49"/>
        <w:jc w:val="both"/>
        <w:rPr>
          <w:rFonts w:ascii="Palatino Linotype" w:eastAsia="Palatino Linotype" w:hAnsi="Palatino Linotype" w:cs="Palatino Linotype"/>
          <w:b/>
          <w:i/>
        </w:rPr>
      </w:pPr>
      <w:r w:rsidRPr="00591DC7">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w:t>
      </w:r>
      <w:r w:rsidR="0012412C" w:rsidRPr="00591DC7">
        <w:rPr>
          <w:rFonts w:ascii="Palatino Linotype" w:eastAsia="Palatino Linotype" w:hAnsi="Palatino Linotype" w:cs="Palatino Linotype"/>
          <w:sz w:val="24"/>
          <w:szCs w:val="24"/>
        </w:rPr>
        <w:t>tección de Datos Personales.</w:t>
      </w:r>
    </w:p>
    <w:p w14:paraId="15B39575" w14:textId="77777777" w:rsidR="00F8557D" w:rsidRPr="00591DC7" w:rsidRDefault="00F8557D">
      <w:pPr>
        <w:spacing w:after="0" w:line="360" w:lineRule="auto"/>
        <w:ind w:left="567" w:right="560"/>
        <w:jc w:val="both"/>
        <w:rPr>
          <w:rFonts w:ascii="Palatino Linotype" w:eastAsia="Palatino Linotype" w:hAnsi="Palatino Linotype" w:cs="Palatino Linotype"/>
          <w:b/>
          <w:i/>
          <w:sz w:val="24"/>
          <w:szCs w:val="24"/>
        </w:rPr>
      </w:pPr>
    </w:p>
    <w:p w14:paraId="1F7181AF" w14:textId="470222A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F83629" w14:textId="77777777" w:rsidR="00C139F0" w:rsidRPr="00591DC7" w:rsidRDefault="00C139F0">
      <w:pPr>
        <w:spacing w:after="0" w:line="360" w:lineRule="auto"/>
        <w:ind w:right="49"/>
        <w:jc w:val="both"/>
        <w:rPr>
          <w:rFonts w:ascii="Palatino Linotype" w:eastAsia="Palatino Linotype" w:hAnsi="Palatino Linotype" w:cs="Palatino Linotype"/>
          <w:sz w:val="24"/>
          <w:szCs w:val="24"/>
        </w:rPr>
      </w:pPr>
    </w:p>
    <w:p w14:paraId="047AA59F" w14:textId="701A2554" w:rsidR="004E2E9F" w:rsidRPr="00591DC7" w:rsidRDefault="00646B44" w:rsidP="00F94730">
      <w:pPr>
        <w:spacing w:after="0" w:line="360" w:lineRule="auto"/>
        <w:ind w:right="49"/>
        <w:jc w:val="both"/>
        <w:rPr>
          <w:rFonts w:ascii="Palatino Linotype" w:eastAsia="Palatino Linotype" w:hAnsi="Palatino Linotype" w:cs="Palatino Linotype"/>
          <w:i/>
        </w:rPr>
      </w:pPr>
      <w:r w:rsidRPr="00591DC7">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w:t>
      </w:r>
      <w:r w:rsidRPr="00591DC7">
        <w:rPr>
          <w:rFonts w:ascii="Palatino Linotype" w:eastAsia="Palatino Linotype" w:hAnsi="Palatino Linotype" w:cs="Palatino Linotype"/>
          <w:sz w:val="24"/>
          <w:szCs w:val="24"/>
        </w:rPr>
        <w:lastRenderedPageBreak/>
        <w:t>las facultades, funciones y competencias de los Sujetos Obligados; los que, podrán estar en cualquier medio, sea escrito, impreso, sonoro, visual, electrónico, informático u holográfico de conformidad con el artículo 3, fracción XI de la Ley de la materia</w:t>
      </w:r>
      <w:r w:rsidR="00C139F0" w:rsidRPr="00591DC7">
        <w:rPr>
          <w:rFonts w:ascii="Palatino Linotype" w:eastAsia="Palatino Linotype" w:hAnsi="Palatino Linotype" w:cs="Palatino Linotype"/>
          <w:sz w:val="24"/>
          <w:szCs w:val="24"/>
        </w:rPr>
        <w:t>.</w:t>
      </w:r>
      <w:r w:rsidR="004E2E9F" w:rsidRPr="00591DC7">
        <w:rPr>
          <w:rFonts w:ascii="Palatino Linotype" w:eastAsia="Palatino Linotype" w:hAnsi="Palatino Linotype" w:cs="Palatino Linotype"/>
          <w:i/>
        </w:rPr>
        <w:t xml:space="preserve"> </w:t>
      </w:r>
    </w:p>
    <w:p w14:paraId="5E96C56C" w14:textId="2CD8A43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61709AB" w14:textId="77777777" w:rsidR="00F94730" w:rsidRPr="00591DC7" w:rsidRDefault="00F94730">
      <w:pPr>
        <w:spacing w:after="0" w:line="360" w:lineRule="auto"/>
        <w:ind w:right="49"/>
        <w:jc w:val="both"/>
        <w:rPr>
          <w:rFonts w:ascii="Palatino Linotype" w:eastAsia="Palatino Linotype" w:hAnsi="Palatino Linotype" w:cs="Palatino Linotype"/>
          <w:sz w:val="24"/>
          <w:szCs w:val="24"/>
        </w:rPr>
      </w:pPr>
    </w:p>
    <w:p w14:paraId="5302D9BA" w14:textId="7DEF9273" w:rsidR="00F8557D" w:rsidRPr="00591DC7" w:rsidRDefault="00646B44" w:rsidP="00474AC6">
      <w:pPr>
        <w:spacing w:after="0" w:line="276" w:lineRule="auto"/>
        <w:ind w:left="567" w:right="560"/>
        <w:jc w:val="both"/>
        <w:rPr>
          <w:rFonts w:ascii="Palatino Linotype" w:eastAsia="Palatino Linotype" w:hAnsi="Palatino Linotype" w:cs="Palatino Linotype"/>
          <w:b/>
          <w:i/>
        </w:rPr>
      </w:pPr>
      <w:r w:rsidRPr="00591DC7">
        <w:rPr>
          <w:rFonts w:ascii="Palatino Linotype" w:eastAsia="Palatino Linotype" w:hAnsi="Palatino Linotype" w:cs="Palatino Linotype"/>
          <w:i/>
        </w:rPr>
        <w:t>“</w:t>
      </w:r>
      <w:r w:rsidRPr="00591DC7">
        <w:rPr>
          <w:rFonts w:ascii="Palatino Linotype" w:eastAsia="Palatino Linotype" w:hAnsi="Palatino Linotype" w:cs="Palatino Linotype"/>
          <w:b/>
          <w:i/>
        </w:rPr>
        <w:t>CRITERIO 0002-11</w:t>
      </w:r>
      <w:r w:rsidR="00474AC6" w:rsidRPr="00591DC7">
        <w:rPr>
          <w:rFonts w:ascii="Palatino Linotype" w:eastAsia="Palatino Linotype" w:hAnsi="Palatino Linotype" w:cs="Palatino Linotype"/>
          <w:b/>
          <w:i/>
        </w:rPr>
        <w:t xml:space="preserve">. </w:t>
      </w:r>
      <w:r w:rsidRPr="00591DC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591DC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67A663" w14:textId="77777777" w:rsidR="00F8557D" w:rsidRPr="00591DC7" w:rsidRDefault="00646B44">
      <w:pPr>
        <w:spacing w:after="0" w:line="276" w:lineRule="auto"/>
        <w:ind w:left="567" w:right="560"/>
        <w:jc w:val="both"/>
        <w:rPr>
          <w:rFonts w:ascii="Palatino Linotype" w:eastAsia="Palatino Linotype" w:hAnsi="Palatino Linotype" w:cs="Palatino Linotype"/>
          <w:i/>
        </w:rPr>
      </w:pPr>
      <w:r w:rsidRPr="00591DC7">
        <w:rPr>
          <w:rFonts w:ascii="Palatino Linotype" w:eastAsia="Palatino Linotype" w:hAnsi="Palatino Linotype" w:cs="Palatino Linotype"/>
          <w:i/>
        </w:rPr>
        <w:t>En consecuencia el acceso a la información se refiere a que se cumplan cualquiera de los siguientes tres supuestos:</w:t>
      </w:r>
    </w:p>
    <w:p w14:paraId="3666FA6F" w14:textId="77777777" w:rsidR="00F8557D" w:rsidRPr="00591DC7" w:rsidRDefault="00646B44">
      <w:pPr>
        <w:spacing w:after="0" w:line="276" w:lineRule="auto"/>
        <w:ind w:left="567" w:right="560"/>
        <w:jc w:val="both"/>
        <w:rPr>
          <w:rFonts w:ascii="Palatino Linotype" w:eastAsia="Palatino Linotype" w:hAnsi="Palatino Linotype" w:cs="Palatino Linotype"/>
          <w:i/>
        </w:rPr>
      </w:pPr>
      <w:r w:rsidRPr="00591DC7">
        <w:rPr>
          <w:rFonts w:ascii="Palatino Linotype" w:eastAsia="Palatino Linotype" w:hAnsi="Palatino Linotype" w:cs="Palatino Linotype"/>
          <w:i/>
        </w:rPr>
        <w:t>1)</w:t>
      </w:r>
      <w:r w:rsidRPr="00591DC7">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7A23F54" w14:textId="77777777" w:rsidR="00F8557D" w:rsidRPr="00591DC7" w:rsidRDefault="00646B44">
      <w:pPr>
        <w:spacing w:after="0" w:line="276" w:lineRule="auto"/>
        <w:ind w:left="567" w:right="560"/>
        <w:jc w:val="both"/>
        <w:rPr>
          <w:rFonts w:ascii="Palatino Linotype" w:eastAsia="Palatino Linotype" w:hAnsi="Palatino Linotype" w:cs="Palatino Linotype"/>
          <w:i/>
        </w:rPr>
      </w:pPr>
      <w:r w:rsidRPr="00591DC7">
        <w:rPr>
          <w:rFonts w:ascii="Palatino Linotype" w:eastAsia="Palatino Linotype" w:hAnsi="Palatino Linotype" w:cs="Palatino Linotype"/>
          <w:i/>
        </w:rPr>
        <w:t>2)</w:t>
      </w:r>
      <w:r w:rsidRPr="00591DC7">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6644C8A" w14:textId="77777777" w:rsidR="00F8557D" w:rsidRPr="00591DC7" w:rsidRDefault="00646B44">
      <w:pPr>
        <w:spacing w:after="0" w:line="276" w:lineRule="auto"/>
        <w:ind w:left="567" w:right="560"/>
        <w:jc w:val="both"/>
        <w:rPr>
          <w:rFonts w:ascii="Palatino Linotype" w:eastAsia="Palatino Linotype" w:hAnsi="Palatino Linotype" w:cs="Palatino Linotype"/>
          <w:i/>
        </w:rPr>
      </w:pPr>
      <w:r w:rsidRPr="00591DC7">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0D90780"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732271EC" w14:textId="0F52AF57" w:rsidR="00F8557D" w:rsidRPr="00591DC7" w:rsidRDefault="00646B44">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De ahí que el Sujeto Obligado cuenta con el deber de satisfacer las solicitudes de acceso a la información que le sean formuladas y entregar la información pública que obre en sus archivos; más aún si la misma se trata de información pública de oficio la </w:t>
      </w:r>
      <w:r w:rsidRPr="00591DC7">
        <w:rPr>
          <w:rFonts w:ascii="Palatino Linotype" w:eastAsia="Palatino Linotype" w:hAnsi="Palatino Linotype" w:cs="Palatino Linotype"/>
          <w:sz w:val="24"/>
          <w:szCs w:val="24"/>
        </w:rPr>
        <w:lastRenderedPageBreak/>
        <w:t>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6D97C460" w14:textId="77777777" w:rsidR="00C139F0" w:rsidRPr="00591DC7" w:rsidRDefault="00C139F0">
      <w:pPr>
        <w:spacing w:after="0" w:line="360" w:lineRule="auto"/>
        <w:ind w:right="49"/>
        <w:jc w:val="both"/>
        <w:rPr>
          <w:rFonts w:ascii="Palatino Linotype" w:eastAsia="Palatino Linotype" w:hAnsi="Palatino Linotype" w:cs="Palatino Linotype"/>
          <w:sz w:val="24"/>
          <w:szCs w:val="24"/>
        </w:rPr>
      </w:pPr>
    </w:p>
    <w:p w14:paraId="549179CB" w14:textId="0CC0A9FF" w:rsidR="00F94730" w:rsidRPr="00591DC7" w:rsidRDefault="00646B44" w:rsidP="00F94730">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D</w:t>
      </w:r>
      <w:r w:rsidR="00C139F0" w:rsidRPr="00591DC7">
        <w:rPr>
          <w:rFonts w:ascii="Palatino Linotype" w:eastAsia="Palatino Linotype" w:hAnsi="Palatino Linotype" w:cs="Palatino Linotype"/>
          <w:sz w:val="24"/>
          <w:szCs w:val="24"/>
        </w:rPr>
        <w:t>icho lo anterior, d</w:t>
      </w:r>
      <w:r w:rsidRPr="00591DC7">
        <w:rPr>
          <w:rFonts w:ascii="Palatino Linotype" w:eastAsia="Palatino Linotype" w:hAnsi="Palatino Linotype" w:cs="Palatino Linotype"/>
          <w:sz w:val="24"/>
          <w:szCs w:val="24"/>
        </w:rPr>
        <w:t>e las actuaciones que integran el expediente electrónico, se procede al análisis de los agravios hechos valer por</w:t>
      </w:r>
      <w:r w:rsidR="000B0378" w:rsidRPr="00591DC7">
        <w:rPr>
          <w:rFonts w:ascii="Palatino Linotype" w:eastAsia="Palatino Linotype" w:hAnsi="Palatino Linotype" w:cs="Palatino Linotype"/>
          <w:sz w:val="24"/>
          <w:szCs w:val="24"/>
        </w:rPr>
        <w:t xml:space="preserve"> la parte</w:t>
      </w:r>
      <w:r w:rsidRPr="00591DC7">
        <w:rPr>
          <w:rFonts w:ascii="Palatino Linotype" w:eastAsia="Palatino Linotype" w:hAnsi="Palatino Linotype" w:cs="Palatino Linotype"/>
          <w:sz w:val="24"/>
          <w:szCs w:val="24"/>
        </w:rPr>
        <w:t xml:space="preserve"> R</w:t>
      </w:r>
      <w:r w:rsidR="00DB71F7" w:rsidRPr="00591DC7">
        <w:rPr>
          <w:rFonts w:ascii="Palatino Linotype" w:eastAsia="Palatino Linotype" w:hAnsi="Palatino Linotype" w:cs="Palatino Linotype"/>
          <w:sz w:val="24"/>
          <w:szCs w:val="24"/>
        </w:rPr>
        <w:t xml:space="preserve">ecurrente, </w:t>
      </w:r>
      <w:r w:rsidR="00DB71F7" w:rsidRPr="00591DC7">
        <w:rPr>
          <w:rFonts w:ascii="Palatino Linotype" w:eastAsia="Palatino Linotype" w:hAnsi="Palatino Linotype" w:cs="Palatino Linotype"/>
          <w:b/>
          <w:sz w:val="24"/>
          <w:szCs w:val="24"/>
        </w:rPr>
        <w:t xml:space="preserve">relativos a </w:t>
      </w:r>
      <w:r w:rsidR="00BE63ED" w:rsidRPr="00591DC7">
        <w:rPr>
          <w:rFonts w:ascii="Palatino Linotype" w:eastAsia="Palatino Linotype" w:hAnsi="Palatino Linotype" w:cs="Palatino Linotype"/>
          <w:b/>
          <w:sz w:val="24"/>
          <w:szCs w:val="24"/>
        </w:rPr>
        <w:t>la negativa de entrega de la información</w:t>
      </w:r>
      <w:r w:rsidR="00DB71F7" w:rsidRPr="00591DC7">
        <w:rPr>
          <w:rFonts w:ascii="Palatino Linotype" w:eastAsia="Palatino Linotype" w:hAnsi="Palatino Linotype" w:cs="Palatino Linotype"/>
          <w:b/>
          <w:sz w:val="24"/>
          <w:szCs w:val="24"/>
        </w:rPr>
        <w:t xml:space="preserve">, lo que actualiza la causal de procedencia prevista en la fracción </w:t>
      </w:r>
      <w:r w:rsidR="00BE63ED" w:rsidRPr="00591DC7">
        <w:rPr>
          <w:rFonts w:ascii="Palatino Linotype" w:eastAsia="Palatino Linotype" w:hAnsi="Palatino Linotype" w:cs="Palatino Linotype"/>
          <w:b/>
          <w:sz w:val="24"/>
          <w:szCs w:val="24"/>
        </w:rPr>
        <w:t xml:space="preserve">I </w:t>
      </w:r>
      <w:r w:rsidRPr="00591DC7">
        <w:rPr>
          <w:rFonts w:ascii="Palatino Linotype" w:eastAsia="Palatino Linotype" w:hAnsi="Palatino Linotype" w:cs="Palatino Linotype"/>
          <w:b/>
          <w:sz w:val="24"/>
          <w:szCs w:val="24"/>
        </w:rPr>
        <w:t>del artículo 179 de la Ley de Transparencia y Acceso a la Información Pública del Estado de México y Municipios</w:t>
      </w:r>
      <w:r w:rsidR="005D36E1" w:rsidRPr="00591DC7">
        <w:rPr>
          <w:rFonts w:ascii="Palatino Linotype" w:eastAsia="Palatino Linotype" w:hAnsi="Palatino Linotype" w:cs="Palatino Linotype"/>
          <w:sz w:val="24"/>
          <w:szCs w:val="24"/>
        </w:rPr>
        <w:t>, por lo que, se pr</w:t>
      </w:r>
      <w:r w:rsidR="00F94730" w:rsidRPr="00591DC7">
        <w:rPr>
          <w:rFonts w:ascii="Palatino Linotype" w:eastAsia="Palatino Linotype" w:hAnsi="Palatino Linotype" w:cs="Palatino Linotype"/>
          <w:sz w:val="24"/>
          <w:szCs w:val="24"/>
        </w:rPr>
        <w:t>ocede a mencionar lo siguiente:</w:t>
      </w:r>
    </w:p>
    <w:p w14:paraId="360D3858" w14:textId="77777777" w:rsidR="00F94730" w:rsidRPr="00591DC7" w:rsidRDefault="00F94730" w:rsidP="00F94730">
      <w:pPr>
        <w:spacing w:after="0" w:line="360" w:lineRule="auto"/>
        <w:ind w:right="49"/>
        <w:jc w:val="both"/>
        <w:rPr>
          <w:rFonts w:ascii="Palatino Linotype" w:eastAsia="Palatino Linotype" w:hAnsi="Palatino Linotype" w:cs="Palatino Linotype"/>
          <w:sz w:val="24"/>
          <w:szCs w:val="24"/>
        </w:rPr>
      </w:pPr>
    </w:p>
    <w:p w14:paraId="49DA724A" w14:textId="3AC11EDB" w:rsidR="00BE63ED" w:rsidRPr="00591DC7" w:rsidRDefault="00BE63ED" w:rsidP="00F94730">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La parte Solicitante requirió del Sujeto Obligado los dictámenes de vialidad emitidos en los últimos seis meses. </w:t>
      </w:r>
    </w:p>
    <w:p w14:paraId="63803167" w14:textId="77777777" w:rsidR="00BE63ED" w:rsidRPr="00591DC7" w:rsidRDefault="00BE63ED" w:rsidP="00F94730">
      <w:pPr>
        <w:spacing w:after="0" w:line="360" w:lineRule="auto"/>
        <w:ind w:right="49"/>
        <w:jc w:val="both"/>
        <w:rPr>
          <w:rFonts w:ascii="Palatino Linotype" w:eastAsia="Palatino Linotype" w:hAnsi="Palatino Linotype" w:cs="Palatino Linotype"/>
          <w:sz w:val="24"/>
          <w:szCs w:val="24"/>
        </w:rPr>
      </w:pPr>
    </w:p>
    <w:p w14:paraId="5DFB3B42" w14:textId="264571D8" w:rsidR="00BE63ED" w:rsidRPr="00591DC7" w:rsidRDefault="00BE63ED" w:rsidP="00F94730">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En respuesta, el Sujeto Obligado, a través del Director General de Vialidad, remitió setenta y cuatro evaluaciones técnicas de impacto en materia vial en versión p</w:t>
      </w:r>
      <w:r w:rsidR="001D15BB" w:rsidRPr="00591DC7">
        <w:rPr>
          <w:rFonts w:ascii="Palatino Linotype" w:eastAsia="Palatino Linotype" w:hAnsi="Palatino Linotype" w:cs="Palatino Linotype"/>
          <w:sz w:val="24"/>
          <w:szCs w:val="24"/>
        </w:rPr>
        <w:t xml:space="preserve">ública y señaló </w:t>
      </w:r>
    </w:p>
    <w:p w14:paraId="1EFDC879" w14:textId="77777777" w:rsidR="00BE63ED" w:rsidRPr="00591DC7" w:rsidRDefault="00BE63ED" w:rsidP="00F94730">
      <w:pPr>
        <w:spacing w:after="0" w:line="360" w:lineRule="auto"/>
        <w:ind w:right="49"/>
        <w:jc w:val="both"/>
        <w:rPr>
          <w:rFonts w:ascii="Palatino Linotype" w:eastAsia="Palatino Linotype" w:hAnsi="Palatino Linotype" w:cs="Palatino Linotype"/>
          <w:sz w:val="24"/>
          <w:szCs w:val="24"/>
        </w:rPr>
      </w:pPr>
    </w:p>
    <w:p w14:paraId="72B09ECE" w14:textId="7021A998" w:rsidR="00BE63ED" w:rsidRPr="00591DC7" w:rsidRDefault="00BE63ED" w:rsidP="00F94730">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La parte Recurrente, se inconformó por la negativa de entrega de la información solicitada. </w:t>
      </w:r>
    </w:p>
    <w:p w14:paraId="1522B90B" w14:textId="77777777" w:rsidR="00BE63ED" w:rsidRPr="00591DC7" w:rsidRDefault="00BE63ED" w:rsidP="00F94730">
      <w:pPr>
        <w:spacing w:after="0" w:line="360" w:lineRule="auto"/>
        <w:ind w:right="49"/>
        <w:jc w:val="both"/>
        <w:rPr>
          <w:rFonts w:ascii="Palatino Linotype" w:eastAsia="Palatino Linotype" w:hAnsi="Palatino Linotype" w:cs="Palatino Linotype"/>
          <w:sz w:val="24"/>
          <w:szCs w:val="24"/>
        </w:rPr>
      </w:pPr>
    </w:p>
    <w:p w14:paraId="56741AD0" w14:textId="0101C60F" w:rsidR="00BE63ED" w:rsidRPr="00591DC7" w:rsidRDefault="00BE63ED" w:rsidP="00F94730">
      <w:pPr>
        <w:spacing w:after="0" w:line="360" w:lineRule="auto"/>
        <w:ind w:right="49"/>
        <w:jc w:val="both"/>
        <w:rPr>
          <w:rFonts w:ascii="Palatino Linotype" w:eastAsia="Palatino Linotype" w:hAnsi="Palatino Linotype" w:cs="Palatino Linotype"/>
          <w:b/>
          <w:sz w:val="24"/>
          <w:szCs w:val="24"/>
        </w:rPr>
      </w:pPr>
      <w:r w:rsidRPr="00591DC7">
        <w:rPr>
          <w:rFonts w:ascii="Palatino Linotype" w:eastAsia="Palatino Linotype" w:hAnsi="Palatino Linotype" w:cs="Palatino Linotype"/>
          <w:sz w:val="24"/>
          <w:szCs w:val="24"/>
        </w:rPr>
        <w:lastRenderedPageBreak/>
        <w:t>En atención a ello, mediante informe justificado, el Sujeto Obligado ratific</w:t>
      </w:r>
      <w:r w:rsidR="001D15BB" w:rsidRPr="00591DC7">
        <w:rPr>
          <w:rFonts w:ascii="Palatino Linotype" w:eastAsia="Palatino Linotype" w:hAnsi="Palatino Linotype" w:cs="Palatino Linotype"/>
          <w:sz w:val="24"/>
          <w:szCs w:val="24"/>
        </w:rPr>
        <w:t xml:space="preserve">ó su respuesta inicial y refirió que la información enviada </w:t>
      </w:r>
      <w:r w:rsidR="001D15BB" w:rsidRPr="00591DC7">
        <w:rPr>
          <w:rFonts w:ascii="Palatino Linotype" w:eastAsia="Palatino Linotype" w:hAnsi="Palatino Linotype" w:cs="Palatino Linotype"/>
          <w:b/>
          <w:sz w:val="24"/>
          <w:szCs w:val="24"/>
        </w:rPr>
        <w:t xml:space="preserve">correspondía a las Evaluaciones Técnicas de Impacto en Materia Vial de los últimos seis meses. </w:t>
      </w:r>
    </w:p>
    <w:p w14:paraId="4B79D1F3" w14:textId="77777777" w:rsidR="00BE63ED" w:rsidRPr="00591DC7" w:rsidRDefault="00BE63ED" w:rsidP="00F94730">
      <w:pPr>
        <w:spacing w:after="0" w:line="360" w:lineRule="auto"/>
        <w:ind w:right="49"/>
        <w:jc w:val="both"/>
        <w:rPr>
          <w:rFonts w:ascii="Palatino Linotype" w:eastAsia="Palatino Linotype" w:hAnsi="Palatino Linotype" w:cs="Palatino Linotype"/>
          <w:sz w:val="24"/>
          <w:szCs w:val="24"/>
        </w:rPr>
      </w:pPr>
    </w:p>
    <w:p w14:paraId="6C5D44F1" w14:textId="71529042" w:rsidR="00BE63ED" w:rsidRPr="00591DC7" w:rsidRDefault="00BE63ED" w:rsidP="00F94730">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La parte Recurrente fue omisa en rendir manifestaciones. </w:t>
      </w:r>
    </w:p>
    <w:p w14:paraId="44CC668A" w14:textId="77777777" w:rsidR="001D15BB" w:rsidRPr="00591DC7" w:rsidRDefault="001D15BB" w:rsidP="00F94730">
      <w:pPr>
        <w:spacing w:after="0" w:line="360" w:lineRule="auto"/>
        <w:ind w:right="49"/>
        <w:jc w:val="both"/>
        <w:rPr>
          <w:rFonts w:ascii="Palatino Linotype" w:eastAsia="Palatino Linotype" w:hAnsi="Palatino Linotype" w:cs="Palatino Linotype"/>
          <w:sz w:val="24"/>
          <w:szCs w:val="24"/>
        </w:rPr>
      </w:pPr>
    </w:p>
    <w:p w14:paraId="7086943F" w14:textId="65AC9EF7" w:rsidR="001D15BB" w:rsidRPr="00591DC7" w:rsidRDefault="001D15BB" w:rsidP="00F94730">
      <w:pPr>
        <w:spacing w:after="0" w:line="360" w:lineRule="auto"/>
        <w:ind w:right="49"/>
        <w:jc w:val="both"/>
        <w:rPr>
          <w:rFonts w:ascii="Palatino Linotype" w:eastAsia="Palatino Linotype" w:hAnsi="Palatino Linotype" w:cs="Palatino Linotype"/>
          <w:sz w:val="24"/>
        </w:rPr>
      </w:pPr>
      <w:r w:rsidRPr="00591DC7">
        <w:rPr>
          <w:rFonts w:ascii="Palatino Linotype" w:eastAsia="Palatino Linotype" w:hAnsi="Palatino Linotype" w:cs="Palatino Linotype"/>
          <w:sz w:val="24"/>
        </w:rPr>
        <w:t xml:space="preserve">Ahora bien, resulta oportuno señalar que la parte Recurrente, solicitó los dictámenes de vialidad, no obstante, debido a que, el derecho de acceso a la información pública, no exige que los particulares deban poseer conocimientos de la materia o de alguna otra materia de la que se relacione su solicitud de información y; en aplicación al artículo 13 de la Ley de Transparencia y Acceso a la Información Pública del Estado de México, se considera que la información que requiere obtener la parte Recurrente son las </w:t>
      </w:r>
      <w:r w:rsidRPr="00591DC7">
        <w:rPr>
          <w:rFonts w:ascii="Palatino Linotype" w:eastAsia="Palatino Linotype" w:hAnsi="Palatino Linotype" w:cs="Palatino Linotype"/>
          <w:b/>
          <w:sz w:val="24"/>
        </w:rPr>
        <w:t>Evaluaciones Técnicas de Impacto en Materia Vial.</w:t>
      </w:r>
      <w:r w:rsidRPr="00591DC7">
        <w:rPr>
          <w:rFonts w:ascii="Palatino Linotype" w:eastAsia="Palatino Linotype" w:hAnsi="Palatino Linotype" w:cs="Palatino Linotype"/>
          <w:sz w:val="24"/>
        </w:rPr>
        <w:t xml:space="preserve"> </w:t>
      </w:r>
    </w:p>
    <w:p w14:paraId="07752B31" w14:textId="77777777" w:rsidR="00BE63ED" w:rsidRPr="00591DC7" w:rsidRDefault="00BE63ED" w:rsidP="00F94730">
      <w:pPr>
        <w:spacing w:after="0" w:line="360" w:lineRule="auto"/>
        <w:ind w:right="49"/>
        <w:jc w:val="both"/>
        <w:rPr>
          <w:rFonts w:ascii="Palatino Linotype" w:eastAsia="Palatino Linotype" w:hAnsi="Palatino Linotype" w:cs="Palatino Linotype"/>
          <w:sz w:val="24"/>
          <w:szCs w:val="24"/>
        </w:rPr>
      </w:pPr>
    </w:p>
    <w:p w14:paraId="3506A9FA" w14:textId="78B85FC4" w:rsidR="00BE63ED" w:rsidRPr="00591DC7" w:rsidRDefault="001D15BB" w:rsidP="00F94730">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Por ello</w:t>
      </w:r>
      <w:r w:rsidR="00BE63ED" w:rsidRPr="00591DC7">
        <w:rPr>
          <w:rFonts w:ascii="Palatino Linotype" w:eastAsia="Palatino Linotype" w:hAnsi="Palatino Linotype" w:cs="Palatino Linotype"/>
          <w:sz w:val="24"/>
          <w:szCs w:val="24"/>
        </w:rPr>
        <w:t>, se procede a contex</w:t>
      </w:r>
      <w:r w:rsidRPr="00591DC7">
        <w:rPr>
          <w:rFonts w:ascii="Palatino Linotype" w:eastAsia="Palatino Linotype" w:hAnsi="Palatino Linotype" w:cs="Palatino Linotype"/>
          <w:sz w:val="24"/>
          <w:szCs w:val="24"/>
        </w:rPr>
        <w:t xml:space="preserve">tualizar la información solicitada, para ello, es menester precisar que, la Evaluación Técnica de Impacto en Materia Vial, es la resolución de la Secretaría de Movilidad que determina la factibilidad de incorporar a la infraestructura vial, el flujo vehicular y peatonal previsto, como consecuencia de la construcción, ampliación, modernización u operación de edificaciones o instalaciones de impacto regional, así como las obras y acciones que, en su caso, deban llevarse a cabo para mitigar su efecto. </w:t>
      </w:r>
    </w:p>
    <w:p w14:paraId="15A908AF" w14:textId="77777777" w:rsidR="001D15BB" w:rsidRPr="00591DC7" w:rsidRDefault="001D15BB" w:rsidP="00F94730">
      <w:pPr>
        <w:spacing w:after="0" w:line="360" w:lineRule="auto"/>
        <w:ind w:right="49"/>
        <w:jc w:val="both"/>
        <w:rPr>
          <w:rFonts w:ascii="Palatino Linotype" w:eastAsia="Palatino Linotype" w:hAnsi="Palatino Linotype" w:cs="Palatino Linotype"/>
          <w:sz w:val="24"/>
          <w:szCs w:val="24"/>
        </w:rPr>
      </w:pPr>
    </w:p>
    <w:p w14:paraId="10BEDC2C" w14:textId="43B70F76" w:rsidR="001D15BB" w:rsidRPr="00591DC7" w:rsidRDefault="001D15BB" w:rsidP="00F94730">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En ese sentido, de conformidad con el Registro Estatal de Trámites y Servicios del Gobierno del Estado de México (consultable en </w:t>
      </w:r>
      <w:hyperlink r:id="rId9" w:history="1">
        <w:r w:rsidRPr="00591DC7">
          <w:rPr>
            <w:rStyle w:val="Hipervnculo"/>
            <w:rFonts w:ascii="Palatino Linotype" w:eastAsia="Palatino Linotype" w:hAnsi="Palatino Linotype" w:cs="Palatino Linotype"/>
            <w:sz w:val="24"/>
            <w:szCs w:val="24"/>
          </w:rPr>
          <w:t>https://retys.edomex.gob.mx/cedulainfo/852#</w:t>
        </w:r>
      </w:hyperlink>
      <w:r w:rsidRPr="00591DC7">
        <w:rPr>
          <w:rFonts w:ascii="Palatino Linotype" w:eastAsia="Palatino Linotype" w:hAnsi="Palatino Linotype" w:cs="Palatino Linotype"/>
          <w:sz w:val="24"/>
          <w:szCs w:val="24"/>
        </w:rPr>
        <w:t xml:space="preserve">), la dependencia u organismo encargado de emitir este documento es la Secretaría de Movilidad, a través de la Dirección General de Vialidad, tal como se logra observar a continuación: </w:t>
      </w:r>
    </w:p>
    <w:p w14:paraId="4C2F0A9D" w14:textId="77777777" w:rsidR="001D15BB" w:rsidRPr="00591DC7" w:rsidRDefault="001D15BB" w:rsidP="00F94730">
      <w:pPr>
        <w:spacing w:after="0" w:line="360" w:lineRule="auto"/>
        <w:ind w:right="49"/>
        <w:jc w:val="both"/>
        <w:rPr>
          <w:rFonts w:ascii="Palatino Linotype" w:eastAsia="Palatino Linotype" w:hAnsi="Palatino Linotype" w:cs="Palatino Linotype"/>
          <w:sz w:val="24"/>
          <w:szCs w:val="24"/>
        </w:rPr>
      </w:pPr>
    </w:p>
    <w:p w14:paraId="560A4830" w14:textId="543EE195" w:rsidR="00BE63ED" w:rsidRPr="00591DC7" w:rsidRDefault="001D15BB" w:rsidP="00BE63ED">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noProof/>
          <w:sz w:val="24"/>
          <w:szCs w:val="24"/>
        </w:rPr>
        <w:drawing>
          <wp:inline distT="0" distB="0" distL="0" distR="0" wp14:anchorId="4A1714DA" wp14:editId="12FA95C1">
            <wp:extent cx="5756275" cy="18643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275" cy="1864360"/>
                    </a:xfrm>
                    <a:prstGeom prst="rect">
                      <a:avLst/>
                    </a:prstGeom>
                  </pic:spPr>
                </pic:pic>
              </a:graphicData>
            </a:graphic>
          </wp:inline>
        </w:drawing>
      </w:r>
    </w:p>
    <w:p w14:paraId="188C2DB6" w14:textId="77777777" w:rsidR="00BE63ED" w:rsidRPr="00591DC7" w:rsidRDefault="00BE63ED" w:rsidP="00BE63ED">
      <w:pPr>
        <w:pStyle w:val="Prrafodelista"/>
        <w:spacing w:after="0" w:line="360" w:lineRule="auto"/>
        <w:ind w:right="49"/>
        <w:jc w:val="both"/>
        <w:rPr>
          <w:rFonts w:ascii="Palatino Linotype" w:eastAsia="Palatino Linotype" w:hAnsi="Palatino Linotype" w:cs="Palatino Linotype"/>
          <w:color w:val="000000"/>
        </w:rPr>
      </w:pPr>
    </w:p>
    <w:p w14:paraId="3BFD3047" w14:textId="5677119D" w:rsidR="00DC3392" w:rsidRPr="00591DC7" w:rsidRDefault="001D15BB" w:rsidP="00DC3392">
      <w:pPr>
        <w:spacing w:after="0" w:line="360" w:lineRule="auto"/>
        <w:ind w:right="49"/>
        <w:jc w:val="both"/>
        <w:rPr>
          <w:rFonts w:ascii="Palatino Linotype" w:eastAsia="Palatino Linotype" w:hAnsi="Palatino Linotype" w:cs="Palatino Linotype"/>
          <w:sz w:val="24"/>
        </w:rPr>
      </w:pPr>
      <w:r w:rsidRPr="00591DC7">
        <w:rPr>
          <w:rFonts w:ascii="Palatino Linotype" w:eastAsia="Palatino Linotype" w:hAnsi="Palatino Linotype" w:cs="Palatino Linotype"/>
          <w:noProof/>
          <w:sz w:val="24"/>
        </w:rPr>
        <w:drawing>
          <wp:inline distT="0" distB="0" distL="0" distR="0" wp14:anchorId="30EB9033" wp14:editId="48CE4609">
            <wp:extent cx="5756275" cy="35712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275" cy="3571240"/>
                    </a:xfrm>
                    <a:prstGeom prst="rect">
                      <a:avLst/>
                    </a:prstGeom>
                  </pic:spPr>
                </pic:pic>
              </a:graphicData>
            </a:graphic>
          </wp:inline>
        </w:drawing>
      </w:r>
    </w:p>
    <w:p w14:paraId="2C619EF0" w14:textId="77777777" w:rsidR="001D15BB" w:rsidRPr="00591DC7" w:rsidRDefault="001D15BB" w:rsidP="00DC3392">
      <w:pPr>
        <w:spacing w:after="0" w:line="360" w:lineRule="auto"/>
        <w:ind w:right="49"/>
        <w:jc w:val="both"/>
        <w:rPr>
          <w:rFonts w:ascii="Palatino Linotype" w:eastAsia="Palatino Linotype" w:hAnsi="Palatino Linotype" w:cs="Palatino Linotype"/>
          <w:sz w:val="24"/>
        </w:rPr>
      </w:pPr>
    </w:p>
    <w:p w14:paraId="29A343E9" w14:textId="7566FA28" w:rsidR="001D15BB" w:rsidRPr="00591DC7" w:rsidRDefault="001D15BB" w:rsidP="00DC3392">
      <w:pPr>
        <w:spacing w:after="0" w:line="360" w:lineRule="auto"/>
        <w:ind w:right="49"/>
        <w:jc w:val="both"/>
        <w:rPr>
          <w:rFonts w:ascii="Palatino Linotype" w:eastAsia="Palatino Linotype" w:hAnsi="Palatino Linotype" w:cs="Palatino Linotype"/>
          <w:sz w:val="24"/>
        </w:rPr>
      </w:pPr>
      <w:r w:rsidRPr="00591DC7">
        <w:rPr>
          <w:rFonts w:ascii="Palatino Linotype" w:eastAsia="Palatino Linotype" w:hAnsi="Palatino Linotype" w:cs="Palatino Linotype"/>
          <w:sz w:val="24"/>
        </w:rPr>
        <w:lastRenderedPageBreak/>
        <w:t xml:space="preserve">Asimismo, el Reglamento Interior de la Secretaría de Movilidad, establece en su artículo 15 que, la Dirección General de Vialidad, tendrá las siguientes atribuciones: </w:t>
      </w:r>
    </w:p>
    <w:p w14:paraId="4028B9A6" w14:textId="77777777" w:rsidR="001D15BB" w:rsidRPr="00591DC7" w:rsidRDefault="001D15BB" w:rsidP="001D15BB">
      <w:pPr>
        <w:spacing w:after="0" w:line="276" w:lineRule="auto"/>
        <w:ind w:left="567" w:right="843"/>
        <w:jc w:val="both"/>
        <w:rPr>
          <w:rFonts w:ascii="Palatino Linotype" w:eastAsia="Palatino Linotype" w:hAnsi="Palatino Linotype" w:cs="Palatino Linotype"/>
          <w:i/>
          <w:sz w:val="24"/>
        </w:rPr>
      </w:pPr>
    </w:p>
    <w:p w14:paraId="0A97BD1B" w14:textId="34D81721" w:rsidR="001D15BB" w:rsidRPr="00591DC7" w:rsidRDefault="001D15BB" w:rsidP="001D15BB">
      <w:pPr>
        <w:spacing w:after="0" w:line="276" w:lineRule="auto"/>
        <w:ind w:left="567" w:right="843"/>
        <w:jc w:val="both"/>
        <w:rPr>
          <w:rFonts w:ascii="Palatino Linotype" w:hAnsi="Palatino Linotype"/>
          <w:i/>
        </w:rPr>
      </w:pPr>
      <w:r w:rsidRPr="00591DC7">
        <w:rPr>
          <w:rFonts w:ascii="Palatino Linotype" w:hAnsi="Palatino Linotype"/>
          <w:b/>
          <w:i/>
        </w:rPr>
        <w:t>Artículo 15.</w:t>
      </w:r>
      <w:r w:rsidRPr="00591DC7">
        <w:rPr>
          <w:rFonts w:ascii="Palatino Linotype" w:hAnsi="Palatino Linotype"/>
          <w:i/>
        </w:rPr>
        <w:t xml:space="preserve"> Corresponden a la Dirección General de Vialidad las siguientes atribuciones:</w:t>
      </w:r>
    </w:p>
    <w:p w14:paraId="60FC288D" w14:textId="7606D267" w:rsidR="001D15BB" w:rsidRPr="00591DC7" w:rsidRDefault="001D15BB" w:rsidP="001D15BB">
      <w:pPr>
        <w:spacing w:after="0" w:line="276" w:lineRule="auto"/>
        <w:ind w:left="567" w:right="843"/>
        <w:jc w:val="both"/>
        <w:rPr>
          <w:rFonts w:ascii="Palatino Linotype" w:hAnsi="Palatino Linotype"/>
          <w:i/>
        </w:rPr>
      </w:pPr>
      <w:r w:rsidRPr="00591DC7">
        <w:rPr>
          <w:rFonts w:ascii="Palatino Linotype" w:hAnsi="Palatino Linotype"/>
          <w:i/>
        </w:rPr>
        <w:t>…</w:t>
      </w:r>
    </w:p>
    <w:p w14:paraId="7EC2A742" w14:textId="0640BD82" w:rsidR="001D15BB" w:rsidRPr="00591DC7" w:rsidRDefault="001D15BB" w:rsidP="001D15BB">
      <w:pPr>
        <w:spacing w:after="0" w:line="276" w:lineRule="auto"/>
        <w:ind w:left="567" w:right="843"/>
        <w:jc w:val="both"/>
        <w:rPr>
          <w:rFonts w:ascii="Palatino Linotype" w:hAnsi="Palatino Linotype"/>
          <w:i/>
        </w:rPr>
      </w:pPr>
      <w:r w:rsidRPr="00591DC7">
        <w:rPr>
          <w:rFonts w:ascii="Palatino Linotype" w:hAnsi="Palatino Linotype"/>
          <w:i/>
        </w:rPr>
        <w:t>XXVI. Emitir la Evaluación Técnica de Impacto en materia Vial, tratándose de las autorizaciones relacionadas con la Evaluación de Impacto Estatal a que se refiere la Ley de la Comisión de Impacto Estatal, determinando las acciones, proyectos, obras de incorporación vial e infraestructura para la movilidad y el pago de la aportación por impacto vial que deba realizarse conforme a la normatividad aplicable;</w:t>
      </w:r>
    </w:p>
    <w:p w14:paraId="7CB2D6F3" w14:textId="1690F02A" w:rsidR="001D15BB" w:rsidRPr="00591DC7" w:rsidRDefault="001D15BB" w:rsidP="001D15BB">
      <w:pPr>
        <w:spacing w:after="0" w:line="276" w:lineRule="auto"/>
        <w:ind w:left="567" w:right="843"/>
        <w:jc w:val="both"/>
        <w:rPr>
          <w:rFonts w:ascii="Palatino Linotype" w:eastAsia="Palatino Linotype" w:hAnsi="Palatino Linotype" w:cs="Palatino Linotype"/>
          <w:i/>
          <w:sz w:val="24"/>
        </w:rPr>
      </w:pPr>
      <w:r w:rsidRPr="00591DC7">
        <w:rPr>
          <w:rFonts w:ascii="Palatino Linotype" w:hAnsi="Palatino Linotype"/>
          <w:i/>
        </w:rPr>
        <w:t>…</w:t>
      </w:r>
    </w:p>
    <w:p w14:paraId="7420BB98" w14:textId="77777777" w:rsidR="001D15BB" w:rsidRPr="00591DC7" w:rsidRDefault="001D15BB" w:rsidP="00DC3392">
      <w:pPr>
        <w:spacing w:after="0" w:line="360" w:lineRule="auto"/>
        <w:ind w:right="49"/>
        <w:jc w:val="both"/>
        <w:rPr>
          <w:rFonts w:ascii="Palatino Linotype" w:eastAsia="Palatino Linotype" w:hAnsi="Palatino Linotype" w:cs="Palatino Linotype"/>
          <w:sz w:val="24"/>
        </w:rPr>
      </w:pPr>
    </w:p>
    <w:p w14:paraId="4ECAC2EC" w14:textId="17BA2471" w:rsidR="001549F7" w:rsidRPr="00591DC7" w:rsidRDefault="001D15BB" w:rsidP="0012412C">
      <w:pPr>
        <w:spacing w:after="0" w:line="360" w:lineRule="auto"/>
        <w:ind w:right="49"/>
        <w:jc w:val="both"/>
        <w:rPr>
          <w:rFonts w:ascii="Palatino Linotype" w:eastAsia="Palatino Linotype" w:hAnsi="Palatino Linotype" w:cs="Palatino Linotype"/>
          <w:sz w:val="24"/>
        </w:rPr>
      </w:pPr>
      <w:r w:rsidRPr="00591DC7">
        <w:rPr>
          <w:rFonts w:ascii="Palatino Linotype" w:eastAsia="Palatino Linotype" w:hAnsi="Palatino Linotype" w:cs="Palatino Linotype"/>
          <w:sz w:val="24"/>
        </w:rPr>
        <w:t xml:space="preserve">En ese sentido, se determina que, el Sujeto Obligado cuenta con facultades, competencia y atribuciones para generar, administrar y poseer la información requerida por la parte Solicitante, debido a que la Dirección General de Vialidad, -dependencia de la Secretaría de Movilidad-, es la encargada de emitir las Evaluaciones Técnicas de Impacto en materia Vial. </w:t>
      </w:r>
    </w:p>
    <w:p w14:paraId="672A4575" w14:textId="77777777" w:rsidR="001D15BB" w:rsidRPr="00591DC7" w:rsidRDefault="001D15BB" w:rsidP="0012412C">
      <w:pPr>
        <w:spacing w:after="0" w:line="360" w:lineRule="auto"/>
        <w:ind w:right="49"/>
        <w:jc w:val="both"/>
        <w:rPr>
          <w:rFonts w:ascii="Palatino Linotype" w:eastAsia="Palatino Linotype" w:hAnsi="Palatino Linotype" w:cs="Palatino Linotype"/>
          <w:sz w:val="24"/>
          <w:szCs w:val="24"/>
        </w:rPr>
      </w:pPr>
    </w:p>
    <w:p w14:paraId="31F0E6C2" w14:textId="4F30FD2A" w:rsidR="000263F7" w:rsidRPr="00591DC7" w:rsidRDefault="000263F7" w:rsidP="000263F7">
      <w:pPr>
        <w:spacing w:after="0" w:line="360" w:lineRule="auto"/>
        <w:contextualSpacing/>
        <w:jc w:val="both"/>
        <w:rPr>
          <w:rFonts w:ascii="Palatino Linotype" w:eastAsiaTheme="minorHAnsi" w:hAnsi="Palatino Linotype" w:cstheme="minorBidi"/>
          <w:bCs/>
          <w:color w:val="000000" w:themeColor="text1"/>
          <w:sz w:val="24"/>
          <w:szCs w:val="24"/>
          <w:lang w:val="es-ES" w:eastAsia="en-US"/>
        </w:rPr>
      </w:pPr>
      <w:r w:rsidRPr="00591DC7">
        <w:rPr>
          <w:rFonts w:ascii="Palatino Linotype" w:hAnsi="Palatino Linotype" w:cs="Arial"/>
          <w:bCs/>
          <w:sz w:val="24"/>
        </w:rPr>
        <w:t xml:space="preserve">Dicho esto, es de recordar que, quien dio atención a la solicitud de información fue la Dirección General de Vialidad, situación por la que, de acuerdo con </w:t>
      </w:r>
      <w:r w:rsidRPr="00591DC7">
        <w:rPr>
          <w:rFonts w:ascii="Palatino Linotype" w:hAnsi="Palatino Linotype" w:cs="Tahoma"/>
          <w:bCs/>
          <w:iCs/>
          <w:color w:val="000000" w:themeColor="text1"/>
          <w:sz w:val="24"/>
          <w:szCs w:val="24"/>
          <w:lang w:eastAsia="en-US"/>
        </w:rPr>
        <w:t>el artículo</w:t>
      </w:r>
      <w:r w:rsidRPr="00591DC7">
        <w:rPr>
          <w:rFonts w:ascii="Palatino Linotype" w:hAnsi="Palatino Linotype" w:cs="Arial"/>
          <w:color w:val="000000" w:themeColor="text1"/>
          <w:sz w:val="24"/>
          <w:szCs w:val="24"/>
          <w:lang w:eastAsia="en-US"/>
        </w:rPr>
        <w:t xml:space="preserve"> 162 de la </w:t>
      </w:r>
      <w:r w:rsidRPr="00591DC7">
        <w:rPr>
          <w:rFonts w:ascii="Palatino Linotype" w:eastAsiaTheme="minorHAnsi" w:hAnsi="Palatino Linotype" w:cstheme="minorBidi"/>
          <w:bCs/>
          <w:color w:val="000000" w:themeColor="text1"/>
          <w:sz w:val="24"/>
          <w:szCs w:val="24"/>
          <w:lang w:eastAsia="en-US"/>
        </w:rPr>
        <w:t xml:space="preserve">Ley de Transparencia y Acceso a la Información Pública del Estado de México y Municipios, se establece que las </w:t>
      </w:r>
      <w:r w:rsidRPr="00591DC7">
        <w:rPr>
          <w:rFonts w:ascii="Palatino Linotype" w:eastAsiaTheme="minorHAnsi" w:hAnsi="Palatino Linotype" w:cstheme="minorBidi"/>
          <w:bCs/>
          <w:color w:val="000000" w:themeColor="text1"/>
          <w:sz w:val="24"/>
          <w:szCs w:val="24"/>
          <w:lang w:val="es-ES" w:eastAsia="en-US"/>
        </w:rPr>
        <w:t xml:space="preserve">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w:t>
      </w:r>
    </w:p>
    <w:p w14:paraId="7C6B9D6B" w14:textId="77777777" w:rsidR="000263F7" w:rsidRPr="00591DC7" w:rsidRDefault="000263F7" w:rsidP="000263F7">
      <w:pPr>
        <w:spacing w:after="0" w:line="360" w:lineRule="auto"/>
        <w:contextualSpacing/>
        <w:jc w:val="both"/>
        <w:rPr>
          <w:rFonts w:ascii="Palatino Linotype" w:hAnsi="Palatino Linotype" w:cs="Arial"/>
          <w:b/>
          <w:bCs/>
          <w:color w:val="000000" w:themeColor="text1"/>
          <w:sz w:val="24"/>
          <w:lang w:eastAsia="en-US"/>
        </w:rPr>
      </w:pPr>
      <w:r w:rsidRPr="00591DC7">
        <w:rPr>
          <w:rFonts w:ascii="Palatino Linotype" w:hAnsi="Palatino Linotype" w:cs="Arial"/>
          <w:bCs/>
          <w:color w:val="000000" w:themeColor="text1"/>
          <w:sz w:val="24"/>
          <w:lang w:eastAsia="en-US"/>
        </w:rPr>
        <w:lastRenderedPageBreak/>
        <w:t xml:space="preserve">En ese sentido, según Jarquín, Soledad (2019), en el “Diccionario de Transparencia y Acceso a la Información Pública” (p. 68), </w:t>
      </w:r>
      <w:r w:rsidRPr="00591DC7">
        <w:rPr>
          <w:rFonts w:ascii="Palatino Linotype" w:hAnsi="Palatino Linotype" w:cs="Arial"/>
          <w:b/>
          <w:bCs/>
          <w:color w:val="000000" w:themeColor="text1"/>
          <w:sz w:val="24"/>
          <w:lang w:eastAsia="en-US"/>
        </w:rPr>
        <w:t>la búsqueda exhaustiva</w:t>
      </w:r>
      <w:r w:rsidRPr="00591DC7">
        <w:rPr>
          <w:rFonts w:ascii="Palatino Linotype" w:hAnsi="Palatino Linotype" w:cs="Arial"/>
          <w:bCs/>
          <w:color w:val="000000" w:themeColor="text1"/>
          <w:sz w:val="24"/>
          <w:lang w:eastAsia="en-US"/>
        </w:rPr>
        <w:t xml:space="preserve"> es la obligación del área administrativa del Sujeto Obligado que cuenta o puede contar con la información requerida, la cual consiste en localizar toda aquella que atienda la solicitud, hasta agotar por completo las posibilidades de indagación.</w:t>
      </w:r>
    </w:p>
    <w:p w14:paraId="5BB797C2" w14:textId="77777777" w:rsidR="001D15BB" w:rsidRPr="00591DC7" w:rsidRDefault="001D15BB" w:rsidP="0012412C">
      <w:pPr>
        <w:spacing w:after="0" w:line="360" w:lineRule="auto"/>
        <w:ind w:right="49"/>
        <w:jc w:val="both"/>
        <w:rPr>
          <w:rFonts w:ascii="Palatino Linotype" w:eastAsia="Palatino Linotype" w:hAnsi="Palatino Linotype" w:cs="Palatino Linotype"/>
          <w:sz w:val="24"/>
          <w:szCs w:val="24"/>
        </w:rPr>
      </w:pPr>
    </w:p>
    <w:p w14:paraId="3A9ED89D" w14:textId="77777777" w:rsidR="000263F7" w:rsidRPr="00591DC7" w:rsidRDefault="000263F7" w:rsidP="000263F7">
      <w:pPr>
        <w:spacing w:after="0" w:line="360" w:lineRule="auto"/>
        <w:ind w:right="49"/>
        <w:jc w:val="both"/>
        <w:rPr>
          <w:rFonts w:ascii="Palatino Linotype" w:eastAsia="Palatino Linotype" w:hAnsi="Palatino Linotype" w:cs="Palatino Linotype"/>
          <w:sz w:val="24"/>
        </w:rPr>
      </w:pPr>
      <w:r w:rsidRPr="00591DC7">
        <w:rPr>
          <w:rFonts w:ascii="Palatino Linotype" w:hAnsi="Palatino Linotype" w:cs="Tahoma"/>
          <w:iCs/>
          <w:sz w:val="24"/>
          <w:lang w:val="es-ES" w:eastAsia="es-ES_tradnl"/>
        </w:rPr>
        <w:t xml:space="preserve">Por ello, es de referir que el Ente Recurrido turnó la solicitud de información a la unidad administrativa competente, a saber la Dirección General de Vialidad, la cual como se mencionó es la encargada de emitir </w:t>
      </w:r>
      <w:r w:rsidRPr="00591DC7">
        <w:rPr>
          <w:rFonts w:ascii="Palatino Linotype" w:hAnsi="Palatino Linotype" w:cs="Tahoma"/>
          <w:b/>
          <w:iCs/>
          <w:sz w:val="24"/>
          <w:lang w:val="es-ES" w:eastAsia="es-ES_tradnl"/>
        </w:rPr>
        <w:t xml:space="preserve"> </w:t>
      </w:r>
      <w:r w:rsidRPr="00591DC7">
        <w:rPr>
          <w:rFonts w:ascii="Palatino Linotype" w:eastAsia="Palatino Linotype" w:hAnsi="Palatino Linotype" w:cs="Palatino Linotype"/>
          <w:sz w:val="24"/>
        </w:rPr>
        <w:t xml:space="preserve">las Evaluaciones Técnicas de Impacto en materia Vial. </w:t>
      </w:r>
    </w:p>
    <w:p w14:paraId="537933E5" w14:textId="4C3D9233" w:rsidR="000263F7" w:rsidRPr="00591DC7" w:rsidRDefault="000263F7" w:rsidP="000263F7">
      <w:pPr>
        <w:spacing w:after="0" w:line="360" w:lineRule="auto"/>
        <w:ind w:right="-28"/>
        <w:contextualSpacing/>
        <w:jc w:val="both"/>
        <w:rPr>
          <w:rFonts w:ascii="Palatino Linotype" w:hAnsi="Palatino Linotype" w:cs="Tahoma"/>
          <w:b/>
          <w:iCs/>
          <w:sz w:val="24"/>
          <w:lang w:val="es-ES" w:eastAsia="es-ES_tradnl"/>
        </w:rPr>
      </w:pPr>
    </w:p>
    <w:p w14:paraId="63807E46" w14:textId="583F81F2" w:rsidR="000263F7" w:rsidRPr="00591DC7" w:rsidRDefault="000263F7" w:rsidP="0012412C">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Ahora bien, en atención a los agravios hechos valer por la parte Recurrente, relacionados con la negativa de entrega de la información solicitada, del análisis a los documentos enviados por el Sujeto Obligado, se advierte que: </w:t>
      </w:r>
    </w:p>
    <w:p w14:paraId="5DDF3D4C" w14:textId="77777777" w:rsidR="000263F7" w:rsidRPr="00591DC7" w:rsidRDefault="000263F7" w:rsidP="0012412C">
      <w:pPr>
        <w:spacing w:after="0" w:line="360" w:lineRule="auto"/>
        <w:ind w:right="49"/>
        <w:jc w:val="both"/>
        <w:rPr>
          <w:rFonts w:ascii="Palatino Linotype" w:eastAsia="Palatino Linotype" w:hAnsi="Palatino Linotype" w:cs="Palatino Linotype"/>
          <w:szCs w:val="24"/>
        </w:rPr>
      </w:pPr>
    </w:p>
    <w:p w14:paraId="17690BFD" w14:textId="5387995B" w:rsidR="000263F7" w:rsidRPr="00591DC7" w:rsidRDefault="000263F7" w:rsidP="00320092">
      <w:pPr>
        <w:pStyle w:val="Prrafodelista"/>
        <w:numPr>
          <w:ilvl w:val="0"/>
          <w:numId w:val="20"/>
        </w:numPr>
        <w:spacing w:after="0" w:line="360" w:lineRule="auto"/>
        <w:ind w:right="49"/>
        <w:jc w:val="both"/>
        <w:rPr>
          <w:rFonts w:ascii="Palatino Linotype" w:eastAsia="Palatino Linotype" w:hAnsi="Palatino Linotype" w:cs="Palatino Linotype"/>
          <w:szCs w:val="24"/>
        </w:rPr>
      </w:pPr>
      <w:r w:rsidRPr="00591DC7">
        <w:rPr>
          <w:rFonts w:ascii="Palatino Linotype" w:eastAsia="Palatino Linotype" w:hAnsi="Palatino Linotype" w:cs="Palatino Linotype"/>
          <w:szCs w:val="24"/>
        </w:rPr>
        <w:t>La unidad administrativa competente remitió setenta y cuatro Evaluaciones Técnicas de Impacto en Materia V</w:t>
      </w:r>
      <w:r w:rsidR="00320092" w:rsidRPr="00591DC7">
        <w:rPr>
          <w:rFonts w:ascii="Palatino Linotype" w:eastAsia="Palatino Linotype" w:hAnsi="Palatino Linotype" w:cs="Palatino Linotype"/>
          <w:szCs w:val="24"/>
        </w:rPr>
        <w:t xml:space="preserve">ial: </w:t>
      </w:r>
    </w:p>
    <w:p w14:paraId="6416A367" w14:textId="4DB22DD7" w:rsidR="00320092" w:rsidRPr="00591DC7" w:rsidRDefault="00320092" w:rsidP="00320092">
      <w:pPr>
        <w:spacing w:after="0" w:line="360" w:lineRule="auto"/>
        <w:ind w:right="49"/>
        <w:jc w:val="both"/>
        <w:rPr>
          <w:rFonts w:ascii="Palatino Linotype" w:eastAsia="Palatino Linotype" w:hAnsi="Palatino Linotype" w:cs="Palatino Linotype"/>
          <w:szCs w:val="24"/>
        </w:rPr>
      </w:pPr>
      <w:r w:rsidRPr="00591DC7">
        <w:rPr>
          <w:noProof/>
        </w:rPr>
        <w:drawing>
          <wp:inline distT="0" distB="0" distL="0" distR="0" wp14:anchorId="4795749C" wp14:editId="61420F9A">
            <wp:extent cx="5318125" cy="12966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8125" cy="1296670"/>
                    </a:xfrm>
                    <a:prstGeom prst="rect">
                      <a:avLst/>
                    </a:prstGeom>
                  </pic:spPr>
                </pic:pic>
              </a:graphicData>
            </a:graphic>
          </wp:inline>
        </w:drawing>
      </w:r>
    </w:p>
    <w:p w14:paraId="57A93749" w14:textId="2E57E6BF" w:rsidR="000263F7" w:rsidRPr="00591DC7" w:rsidRDefault="00320092" w:rsidP="00320092">
      <w:pPr>
        <w:pStyle w:val="Prrafodelista"/>
        <w:numPr>
          <w:ilvl w:val="0"/>
          <w:numId w:val="20"/>
        </w:numPr>
        <w:spacing w:after="0" w:line="360" w:lineRule="auto"/>
        <w:ind w:right="49"/>
        <w:jc w:val="both"/>
        <w:rPr>
          <w:rFonts w:ascii="Palatino Linotype" w:eastAsia="Palatino Linotype" w:hAnsi="Palatino Linotype" w:cs="Palatino Linotype"/>
          <w:szCs w:val="24"/>
        </w:rPr>
      </w:pPr>
      <w:r w:rsidRPr="00591DC7">
        <w:rPr>
          <w:rFonts w:ascii="Palatino Linotype" w:eastAsia="Palatino Linotype" w:hAnsi="Palatino Linotype" w:cs="Palatino Linotype"/>
          <w:szCs w:val="24"/>
        </w:rPr>
        <w:t>Las setenta y cuatro evaluaciones se encuentran en versión pública, se clasificó nombres</w:t>
      </w:r>
      <w:r w:rsidR="00614110" w:rsidRPr="00591DC7">
        <w:rPr>
          <w:rFonts w:ascii="Palatino Linotype" w:eastAsia="Palatino Linotype" w:hAnsi="Palatino Linotype" w:cs="Palatino Linotype"/>
          <w:szCs w:val="24"/>
        </w:rPr>
        <w:t xml:space="preserve"> y </w:t>
      </w:r>
      <w:r w:rsidR="007A513D" w:rsidRPr="00591DC7">
        <w:rPr>
          <w:rFonts w:ascii="Palatino Linotype" w:eastAsia="Palatino Linotype" w:hAnsi="Palatino Linotype" w:cs="Palatino Linotype"/>
          <w:szCs w:val="24"/>
        </w:rPr>
        <w:t>domicilios</w:t>
      </w:r>
      <w:r w:rsidRPr="00591DC7">
        <w:rPr>
          <w:rFonts w:ascii="Palatino Linotype" w:eastAsia="Palatino Linotype" w:hAnsi="Palatino Linotype" w:cs="Palatino Linotype"/>
          <w:szCs w:val="24"/>
        </w:rPr>
        <w:t xml:space="preserve"> de particulares y remitió el acuerdo por el que se aprueba la clasificación de la información. </w:t>
      </w:r>
    </w:p>
    <w:p w14:paraId="375D043F" w14:textId="7CC8A373" w:rsidR="000263F7" w:rsidRPr="00591DC7" w:rsidRDefault="000263F7" w:rsidP="00320092">
      <w:pPr>
        <w:pStyle w:val="Prrafodelista"/>
        <w:numPr>
          <w:ilvl w:val="0"/>
          <w:numId w:val="20"/>
        </w:numPr>
        <w:spacing w:after="0" w:line="360" w:lineRule="auto"/>
        <w:ind w:right="49"/>
        <w:jc w:val="both"/>
        <w:rPr>
          <w:rFonts w:ascii="Palatino Linotype" w:eastAsia="Palatino Linotype" w:hAnsi="Palatino Linotype" w:cs="Palatino Linotype"/>
          <w:szCs w:val="24"/>
        </w:rPr>
      </w:pPr>
      <w:r w:rsidRPr="00591DC7">
        <w:rPr>
          <w:rFonts w:ascii="Palatino Linotype" w:eastAsia="Palatino Linotype" w:hAnsi="Palatino Linotype" w:cs="Palatino Linotype"/>
          <w:szCs w:val="24"/>
        </w:rPr>
        <w:lastRenderedPageBreak/>
        <w:t>Los documentos remitidos corresponden con la informaci</w:t>
      </w:r>
      <w:r w:rsidR="00320092" w:rsidRPr="00591DC7">
        <w:rPr>
          <w:rFonts w:ascii="Palatino Linotype" w:eastAsia="Palatino Linotype" w:hAnsi="Palatino Linotype" w:cs="Palatino Linotype"/>
          <w:szCs w:val="24"/>
        </w:rPr>
        <w:t xml:space="preserve">ón solicitada y con la temporalidad. </w:t>
      </w:r>
    </w:p>
    <w:p w14:paraId="7D3BF11E" w14:textId="77777777" w:rsidR="007A513D" w:rsidRPr="00591DC7" w:rsidRDefault="007A513D" w:rsidP="007A513D">
      <w:pPr>
        <w:spacing w:after="0" w:line="360" w:lineRule="auto"/>
        <w:ind w:right="49"/>
        <w:jc w:val="both"/>
        <w:rPr>
          <w:rFonts w:ascii="Palatino Linotype" w:eastAsia="Palatino Linotype" w:hAnsi="Palatino Linotype" w:cs="Palatino Linotype"/>
          <w:szCs w:val="24"/>
        </w:rPr>
      </w:pPr>
    </w:p>
    <w:p w14:paraId="2EF9F563" w14:textId="2C60710E" w:rsidR="007A513D" w:rsidRPr="00591DC7" w:rsidRDefault="007A513D" w:rsidP="007A513D">
      <w:pPr>
        <w:spacing w:after="0" w:line="360" w:lineRule="auto"/>
        <w:ind w:right="49"/>
        <w:jc w:val="both"/>
        <w:rPr>
          <w:rFonts w:ascii="Palatino Linotype" w:eastAsia="Palatino Linotype" w:hAnsi="Palatino Linotype" w:cs="Palatino Linotype"/>
          <w:szCs w:val="24"/>
        </w:rPr>
      </w:pPr>
      <w:r w:rsidRPr="00591DC7">
        <w:rPr>
          <w:rFonts w:ascii="Palatino Linotype" w:eastAsia="Palatino Linotype" w:hAnsi="Palatino Linotype" w:cs="Palatino Linotype"/>
          <w:szCs w:val="24"/>
        </w:rPr>
        <w:t xml:space="preserve">Por lo antes dicho, </w:t>
      </w:r>
      <w:r w:rsidRPr="00591DC7">
        <w:rPr>
          <w:rFonts w:ascii="Palatino Linotype" w:eastAsia="Palatino Linotype" w:hAnsi="Palatino Linotype" w:cs="Palatino Linotype"/>
          <w:sz w:val="24"/>
          <w:szCs w:val="24"/>
        </w:rPr>
        <w:t xml:space="preserve">resulta necesario traer a colación lo que establece el Criterio 31/10 emitido por el Instituto Nacional de Transparencia, Acceso a la Información y Protección de Datos Personales que señala lo siguiente: </w:t>
      </w:r>
    </w:p>
    <w:p w14:paraId="46479408" w14:textId="77777777" w:rsidR="007A513D" w:rsidRPr="00591DC7" w:rsidRDefault="007A513D" w:rsidP="007A513D">
      <w:pPr>
        <w:spacing w:after="0" w:line="360" w:lineRule="auto"/>
        <w:ind w:right="49"/>
        <w:jc w:val="both"/>
        <w:rPr>
          <w:rFonts w:ascii="Palatino Linotype" w:eastAsia="Palatino Linotype" w:hAnsi="Palatino Linotype" w:cs="Palatino Linotype"/>
          <w:sz w:val="24"/>
          <w:szCs w:val="24"/>
        </w:rPr>
      </w:pPr>
    </w:p>
    <w:p w14:paraId="4306D22B" w14:textId="77777777" w:rsidR="007A513D" w:rsidRPr="00591DC7" w:rsidRDefault="007A513D" w:rsidP="007A513D">
      <w:pPr>
        <w:spacing w:after="0"/>
        <w:ind w:left="567" w:right="560"/>
        <w:jc w:val="both"/>
        <w:rPr>
          <w:rFonts w:ascii="Palatino Linotype" w:hAnsi="Palatino Linotype" w:cs="Arial"/>
          <w:i/>
          <w:color w:val="000000"/>
          <w:szCs w:val="24"/>
        </w:rPr>
      </w:pPr>
      <w:r w:rsidRPr="00591DC7">
        <w:rPr>
          <w:rFonts w:ascii="Palatino Linotype" w:hAnsi="Palatino Linotype" w:cs="Arial"/>
          <w:b/>
          <w:i/>
          <w:color w:val="000000"/>
          <w:szCs w:val="24"/>
        </w:rPr>
        <w:t xml:space="preserve">El Instituto Federal de Acceso a la Información y Protección de Datos no cuenta con facultades para pronunciarse respecto de la veracidad de los documentos proporcionados por los sujetos obligados. </w:t>
      </w:r>
      <w:r w:rsidRPr="00591DC7">
        <w:rPr>
          <w:rFonts w:ascii="Palatino Linotype" w:hAnsi="Palatino Linotype" w:cs="Arial"/>
          <w:i/>
          <w:color w:val="000000"/>
          <w:szCs w:val="24"/>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7B99E99" w14:textId="77777777" w:rsidR="007A513D" w:rsidRPr="00591DC7" w:rsidRDefault="007A513D" w:rsidP="007A513D">
      <w:pPr>
        <w:spacing w:after="0" w:line="360" w:lineRule="auto"/>
        <w:ind w:right="49"/>
        <w:jc w:val="both"/>
        <w:rPr>
          <w:rFonts w:ascii="Palatino Linotype" w:eastAsia="Palatino Linotype" w:hAnsi="Palatino Linotype" w:cs="Palatino Linotype"/>
          <w:sz w:val="24"/>
          <w:szCs w:val="24"/>
        </w:rPr>
      </w:pPr>
    </w:p>
    <w:p w14:paraId="270651C3" w14:textId="77777777" w:rsidR="007A513D" w:rsidRPr="00591DC7" w:rsidRDefault="007A513D" w:rsidP="007A513D">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73877755" w14:textId="77777777" w:rsidR="007A513D" w:rsidRPr="00591DC7" w:rsidRDefault="007A513D" w:rsidP="007A513D">
      <w:pPr>
        <w:spacing w:after="0" w:line="360" w:lineRule="auto"/>
        <w:ind w:right="49"/>
        <w:jc w:val="both"/>
        <w:rPr>
          <w:rFonts w:ascii="Palatino Linotype" w:eastAsia="Palatino Linotype" w:hAnsi="Palatino Linotype" w:cs="Palatino Linotype"/>
          <w:szCs w:val="24"/>
        </w:rPr>
      </w:pPr>
    </w:p>
    <w:p w14:paraId="6BC8CAAE" w14:textId="2F752740" w:rsidR="000263F7" w:rsidRPr="00591DC7" w:rsidRDefault="007A513D" w:rsidP="0012412C">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lastRenderedPageBreak/>
        <w:t>Por otro lado, como se mencionó</w:t>
      </w:r>
      <w:r w:rsidR="00320092" w:rsidRPr="00591DC7">
        <w:rPr>
          <w:rFonts w:ascii="Palatino Linotype" w:eastAsia="Palatino Linotype" w:hAnsi="Palatino Linotype" w:cs="Palatino Linotype"/>
          <w:sz w:val="24"/>
          <w:szCs w:val="24"/>
        </w:rPr>
        <w:t xml:space="preserve">, las Evaluaciones Técnicas de Impacto en Materia Vial, se remitieron en versión pública, en las que se clasificó nombres de particulares, situación por la que, es de mencionar lo siguiente: </w:t>
      </w:r>
    </w:p>
    <w:p w14:paraId="4CEA936A" w14:textId="77777777" w:rsidR="00320092" w:rsidRPr="00591DC7" w:rsidRDefault="00320092" w:rsidP="0012412C">
      <w:pPr>
        <w:spacing w:after="0" w:line="360" w:lineRule="auto"/>
        <w:ind w:right="49"/>
        <w:jc w:val="both"/>
        <w:rPr>
          <w:rFonts w:ascii="Palatino Linotype" w:eastAsia="Palatino Linotype" w:hAnsi="Palatino Linotype" w:cs="Palatino Linotype"/>
          <w:sz w:val="24"/>
          <w:szCs w:val="24"/>
        </w:rPr>
      </w:pPr>
    </w:p>
    <w:p w14:paraId="6622C576" w14:textId="77777777" w:rsidR="00614110" w:rsidRPr="00591DC7" w:rsidRDefault="00614110" w:rsidP="00614110">
      <w:pPr>
        <w:pStyle w:val="Prrafodelista"/>
        <w:numPr>
          <w:ilvl w:val="0"/>
          <w:numId w:val="23"/>
        </w:numPr>
        <w:spacing w:after="0" w:line="360" w:lineRule="auto"/>
        <w:ind w:right="49"/>
        <w:jc w:val="both"/>
        <w:rPr>
          <w:rFonts w:ascii="Palatino Linotype" w:eastAsia="Palatino Linotype" w:hAnsi="Palatino Linotype" w:cs="Palatino Linotype"/>
          <w:sz w:val="24"/>
          <w:szCs w:val="24"/>
        </w:rPr>
      </w:pPr>
      <w:r w:rsidRPr="00591DC7">
        <w:rPr>
          <w:rFonts w:ascii="Palatino Linotype" w:hAnsi="Palatino Linotype"/>
          <w:b/>
        </w:rPr>
        <w:t>Nombre de persona física y domicilio.</w:t>
      </w:r>
      <w:r w:rsidRPr="00591DC7">
        <w:rPr>
          <w:rFonts w:ascii="Palatino Linotype" w:hAnsi="Palatino Linotype"/>
        </w:rPr>
        <w:t xml:space="preserv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w:t>
      </w:r>
    </w:p>
    <w:p w14:paraId="7868FC07" w14:textId="04F0AC24" w:rsidR="00320092" w:rsidRPr="00591DC7" w:rsidRDefault="00614110" w:rsidP="00614110">
      <w:pPr>
        <w:pStyle w:val="Prrafodelista"/>
        <w:spacing w:after="0" w:line="360" w:lineRule="auto"/>
        <w:ind w:right="49"/>
        <w:jc w:val="both"/>
        <w:rPr>
          <w:rFonts w:ascii="Palatino Linotype" w:hAnsi="Palatino Linotype"/>
        </w:rPr>
      </w:pPr>
      <w:r w:rsidRPr="00591DC7">
        <w:rPr>
          <w:rFonts w:ascii="Palatino Linotype" w:hAnsi="Palatino Linotype"/>
        </w:rPr>
        <w:t>Ahora bien, 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el domicilio particular es confidencial, en términos del artículo 143, fracción I de la Ley de Transparencia y Acceso a la Información Pública del Estado de México y Municipios.</w:t>
      </w:r>
    </w:p>
    <w:p w14:paraId="564E5342" w14:textId="77777777" w:rsidR="000263F7" w:rsidRPr="00591DC7" w:rsidRDefault="000263F7" w:rsidP="0012412C">
      <w:pPr>
        <w:spacing w:after="0" w:line="360" w:lineRule="auto"/>
        <w:ind w:right="49"/>
        <w:jc w:val="both"/>
        <w:rPr>
          <w:rFonts w:ascii="Palatino Linotype" w:eastAsia="Palatino Linotype" w:hAnsi="Palatino Linotype" w:cs="Palatino Linotype"/>
          <w:sz w:val="24"/>
          <w:szCs w:val="24"/>
        </w:rPr>
      </w:pPr>
    </w:p>
    <w:p w14:paraId="5ABAB6AD" w14:textId="4EF31024" w:rsidR="00614110" w:rsidRPr="00591DC7" w:rsidRDefault="00614110" w:rsidP="00614110">
      <w:pPr>
        <w:spacing w:after="0" w:line="360" w:lineRule="auto"/>
        <w:jc w:val="both"/>
        <w:rPr>
          <w:rFonts w:ascii="Palatino Linotype" w:eastAsia="Palatino Linotype" w:hAnsi="Palatino Linotype" w:cs="Palatino Linotype"/>
          <w:color w:val="000000"/>
          <w:sz w:val="24"/>
        </w:rPr>
      </w:pPr>
      <w:r w:rsidRPr="00591DC7">
        <w:rPr>
          <w:rFonts w:ascii="Palatino Linotype" w:eastAsia="Palatino Linotype" w:hAnsi="Palatino Linotype" w:cs="Palatino Linotype"/>
          <w:color w:val="000000"/>
          <w:sz w:val="24"/>
        </w:rPr>
        <w:t xml:space="preserve">Por lo anterior, se colige que, la clasificación de los nombres y domicilios particulares es procedente, además de que se acompañó del acuerdo de clasificación correspondiente, el cual se estudiará al tenor de lo siguiente: </w:t>
      </w:r>
    </w:p>
    <w:p w14:paraId="47FEE224" w14:textId="77777777" w:rsidR="00614110" w:rsidRPr="00591DC7" w:rsidRDefault="00614110" w:rsidP="00614110">
      <w:pPr>
        <w:spacing w:after="0" w:line="360" w:lineRule="auto"/>
        <w:jc w:val="both"/>
        <w:rPr>
          <w:rFonts w:ascii="Palatino Linotype" w:eastAsia="Palatino Linotype" w:hAnsi="Palatino Linotype" w:cs="Palatino Linotype"/>
          <w:color w:val="000000"/>
          <w:sz w:val="24"/>
        </w:rPr>
      </w:pPr>
    </w:p>
    <w:tbl>
      <w:tblPr>
        <w:tblStyle w:val="Tablaconcuadrcula1"/>
        <w:tblW w:w="9067" w:type="dxa"/>
        <w:tblLayout w:type="fixed"/>
        <w:tblLook w:val="04A0" w:firstRow="1" w:lastRow="0" w:firstColumn="1" w:lastColumn="0" w:noHBand="0" w:noVBand="1"/>
      </w:tblPr>
      <w:tblGrid>
        <w:gridCol w:w="1548"/>
        <w:gridCol w:w="7"/>
        <w:gridCol w:w="6013"/>
        <w:gridCol w:w="1499"/>
      </w:tblGrid>
      <w:tr w:rsidR="00614110" w:rsidRPr="00591DC7" w14:paraId="021337FE" w14:textId="77777777" w:rsidTr="00614110">
        <w:trPr>
          <w:trHeight w:val="569"/>
        </w:trPr>
        <w:tc>
          <w:tcPr>
            <w:tcW w:w="1548" w:type="dxa"/>
            <w:shd w:val="clear" w:color="auto" w:fill="E7E6E6" w:themeFill="background2"/>
          </w:tcPr>
          <w:p w14:paraId="18364A02" w14:textId="77777777" w:rsidR="00614110" w:rsidRPr="00591DC7" w:rsidRDefault="00614110" w:rsidP="00614110">
            <w:pPr>
              <w:spacing w:before="100"/>
              <w:jc w:val="center"/>
              <w:rPr>
                <w:rFonts w:ascii="Palatino Linotype" w:hAnsi="Palatino Linotype"/>
                <w:b/>
                <w:sz w:val="18"/>
                <w:szCs w:val="18"/>
              </w:rPr>
            </w:pPr>
            <w:r w:rsidRPr="00591DC7">
              <w:rPr>
                <w:rFonts w:ascii="Palatino Linotype" w:hAnsi="Palatino Linotype"/>
                <w:b/>
                <w:sz w:val="18"/>
                <w:szCs w:val="18"/>
              </w:rPr>
              <w:lastRenderedPageBreak/>
              <w:t>Elementos del acuerdo de clasificación</w:t>
            </w:r>
          </w:p>
        </w:tc>
        <w:tc>
          <w:tcPr>
            <w:tcW w:w="6020" w:type="dxa"/>
            <w:gridSpan w:val="2"/>
            <w:shd w:val="clear" w:color="auto" w:fill="E7E6E6" w:themeFill="background2"/>
          </w:tcPr>
          <w:p w14:paraId="75C1FAC7" w14:textId="77777777" w:rsidR="00614110" w:rsidRPr="00591DC7" w:rsidRDefault="00614110" w:rsidP="00614110">
            <w:pPr>
              <w:spacing w:before="100"/>
              <w:jc w:val="center"/>
              <w:rPr>
                <w:rFonts w:ascii="Palatino Linotype" w:hAnsi="Palatino Linotype"/>
                <w:b/>
                <w:sz w:val="18"/>
                <w:szCs w:val="18"/>
              </w:rPr>
            </w:pPr>
            <w:r w:rsidRPr="00591DC7">
              <w:rPr>
                <w:rFonts w:ascii="Palatino Linotype" w:hAnsi="Palatino Linotype"/>
                <w:b/>
                <w:sz w:val="18"/>
                <w:szCs w:val="18"/>
              </w:rPr>
              <w:t>Contenido</w:t>
            </w:r>
          </w:p>
        </w:tc>
        <w:tc>
          <w:tcPr>
            <w:tcW w:w="1499" w:type="dxa"/>
            <w:shd w:val="clear" w:color="auto" w:fill="E7E6E6" w:themeFill="background2"/>
          </w:tcPr>
          <w:p w14:paraId="2DBE8C25" w14:textId="77777777" w:rsidR="00614110" w:rsidRPr="00591DC7" w:rsidRDefault="00614110" w:rsidP="00614110">
            <w:pPr>
              <w:spacing w:before="100"/>
              <w:jc w:val="center"/>
              <w:rPr>
                <w:rFonts w:ascii="Palatino Linotype" w:hAnsi="Palatino Linotype"/>
                <w:b/>
                <w:sz w:val="18"/>
                <w:szCs w:val="18"/>
              </w:rPr>
            </w:pPr>
            <w:r w:rsidRPr="00591DC7">
              <w:rPr>
                <w:rFonts w:ascii="Palatino Linotype" w:hAnsi="Palatino Linotype"/>
                <w:b/>
                <w:sz w:val="18"/>
                <w:szCs w:val="18"/>
              </w:rPr>
              <w:t>¿Cumple?</w:t>
            </w:r>
          </w:p>
        </w:tc>
      </w:tr>
      <w:tr w:rsidR="00614110" w:rsidRPr="00591DC7" w14:paraId="6BDAB905" w14:textId="77777777" w:rsidTr="00614110">
        <w:tc>
          <w:tcPr>
            <w:tcW w:w="1548" w:type="dxa"/>
          </w:tcPr>
          <w:p w14:paraId="3657C8DE" w14:textId="77777777" w:rsidR="00614110" w:rsidRPr="00591DC7" w:rsidRDefault="00614110" w:rsidP="00614110">
            <w:pPr>
              <w:spacing w:before="100"/>
              <w:jc w:val="center"/>
              <w:rPr>
                <w:rFonts w:ascii="Palatino Linotype" w:hAnsi="Palatino Linotype"/>
                <w:sz w:val="18"/>
                <w:szCs w:val="18"/>
              </w:rPr>
            </w:pPr>
            <w:r w:rsidRPr="00591DC7">
              <w:rPr>
                <w:rFonts w:ascii="Palatino Linotype" w:hAnsi="Palatino Linotype"/>
                <w:b/>
                <w:sz w:val="18"/>
                <w:szCs w:val="18"/>
              </w:rPr>
              <w:t>Número de folio de la solicitud</w:t>
            </w:r>
          </w:p>
        </w:tc>
        <w:tc>
          <w:tcPr>
            <w:tcW w:w="6020" w:type="dxa"/>
            <w:gridSpan w:val="2"/>
          </w:tcPr>
          <w:p w14:paraId="60C1ABF7" w14:textId="6CD36B59" w:rsidR="00614110" w:rsidRPr="00591DC7" w:rsidRDefault="00614110" w:rsidP="00614110">
            <w:pPr>
              <w:spacing w:before="100"/>
              <w:rPr>
                <w:rFonts w:ascii="Calibri" w:hAnsi="Calibri"/>
                <w:sz w:val="20"/>
                <w:szCs w:val="20"/>
              </w:rPr>
            </w:pPr>
            <w:r w:rsidRPr="00591DC7">
              <w:rPr>
                <w:noProof/>
                <w:sz w:val="20"/>
                <w:szCs w:val="20"/>
              </w:rPr>
              <w:drawing>
                <wp:inline distT="0" distB="0" distL="0" distR="0" wp14:anchorId="05CA2DD2" wp14:editId="384C87C3">
                  <wp:extent cx="3685540" cy="3867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85540" cy="386715"/>
                          </a:xfrm>
                          <a:prstGeom prst="rect">
                            <a:avLst/>
                          </a:prstGeom>
                        </pic:spPr>
                      </pic:pic>
                    </a:graphicData>
                  </a:graphic>
                </wp:inline>
              </w:drawing>
            </w:r>
          </w:p>
        </w:tc>
        <w:tc>
          <w:tcPr>
            <w:tcW w:w="1499" w:type="dxa"/>
          </w:tcPr>
          <w:p w14:paraId="00EEFFDF" w14:textId="77777777" w:rsidR="00614110" w:rsidRPr="00591DC7" w:rsidRDefault="00614110" w:rsidP="00614110">
            <w:pPr>
              <w:spacing w:before="100"/>
              <w:jc w:val="center"/>
              <w:rPr>
                <w:rFonts w:ascii="Palatino Linotype" w:hAnsi="Palatino Linotype"/>
                <w:b/>
                <w:sz w:val="22"/>
                <w:szCs w:val="22"/>
              </w:rPr>
            </w:pPr>
            <w:r w:rsidRPr="00591DC7">
              <w:rPr>
                <w:rFonts w:ascii="Palatino Linotype" w:hAnsi="Palatino Linotype"/>
                <w:b/>
                <w:sz w:val="22"/>
                <w:szCs w:val="22"/>
              </w:rPr>
              <w:t>Sí</w:t>
            </w:r>
          </w:p>
        </w:tc>
      </w:tr>
      <w:tr w:rsidR="00614110" w:rsidRPr="00591DC7" w14:paraId="2F889D1B" w14:textId="77777777" w:rsidTr="00614110">
        <w:tc>
          <w:tcPr>
            <w:tcW w:w="1548" w:type="dxa"/>
          </w:tcPr>
          <w:p w14:paraId="40F8D8B3" w14:textId="77777777" w:rsidR="00614110" w:rsidRPr="00591DC7" w:rsidRDefault="00614110" w:rsidP="00614110">
            <w:pPr>
              <w:spacing w:before="100"/>
              <w:jc w:val="center"/>
              <w:rPr>
                <w:rFonts w:ascii="Palatino Linotype" w:hAnsi="Palatino Linotype"/>
                <w:sz w:val="18"/>
                <w:szCs w:val="18"/>
              </w:rPr>
            </w:pPr>
            <w:r w:rsidRPr="00591DC7">
              <w:rPr>
                <w:rFonts w:ascii="Palatino Linotype" w:hAnsi="Palatino Linotype"/>
                <w:b/>
                <w:sz w:val="18"/>
                <w:szCs w:val="18"/>
              </w:rPr>
              <w:t>Referencia de la información solicitada</w:t>
            </w:r>
          </w:p>
        </w:tc>
        <w:tc>
          <w:tcPr>
            <w:tcW w:w="6020" w:type="dxa"/>
            <w:gridSpan w:val="2"/>
          </w:tcPr>
          <w:p w14:paraId="259E0EFD" w14:textId="781A00CC" w:rsidR="00614110" w:rsidRPr="00591DC7" w:rsidRDefault="00614110" w:rsidP="00614110">
            <w:pPr>
              <w:spacing w:before="100"/>
              <w:jc w:val="center"/>
              <w:rPr>
                <w:rFonts w:ascii="Palatino Linotype" w:hAnsi="Palatino Linotype"/>
              </w:rPr>
            </w:pPr>
            <w:r w:rsidRPr="00591DC7">
              <w:rPr>
                <w:rFonts w:ascii="Palatino Linotype" w:hAnsi="Palatino Linotype"/>
                <w:noProof/>
              </w:rPr>
              <w:drawing>
                <wp:inline distT="0" distB="0" distL="0" distR="0" wp14:anchorId="189D98E8" wp14:editId="70FFCD6D">
                  <wp:extent cx="3685540" cy="24003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540" cy="240030"/>
                          </a:xfrm>
                          <a:prstGeom prst="rect">
                            <a:avLst/>
                          </a:prstGeom>
                        </pic:spPr>
                      </pic:pic>
                    </a:graphicData>
                  </a:graphic>
                </wp:inline>
              </w:drawing>
            </w:r>
          </w:p>
        </w:tc>
        <w:tc>
          <w:tcPr>
            <w:tcW w:w="1499" w:type="dxa"/>
          </w:tcPr>
          <w:p w14:paraId="3BB1D016" w14:textId="77777777" w:rsidR="00614110" w:rsidRPr="00591DC7" w:rsidRDefault="00614110" w:rsidP="00614110">
            <w:pPr>
              <w:spacing w:before="100"/>
              <w:jc w:val="center"/>
              <w:rPr>
                <w:rFonts w:ascii="Palatino Linotype" w:hAnsi="Palatino Linotype"/>
                <w:b/>
                <w:sz w:val="22"/>
                <w:szCs w:val="22"/>
              </w:rPr>
            </w:pPr>
            <w:r w:rsidRPr="00591DC7">
              <w:rPr>
                <w:rFonts w:ascii="Palatino Linotype" w:hAnsi="Palatino Linotype"/>
                <w:b/>
                <w:sz w:val="22"/>
                <w:szCs w:val="22"/>
              </w:rPr>
              <w:t>Sí</w:t>
            </w:r>
          </w:p>
        </w:tc>
      </w:tr>
      <w:tr w:rsidR="00614110" w:rsidRPr="00591DC7" w14:paraId="01E3D4D4" w14:textId="77777777" w:rsidTr="00614110">
        <w:tc>
          <w:tcPr>
            <w:tcW w:w="1548" w:type="dxa"/>
          </w:tcPr>
          <w:p w14:paraId="26FFE8BB" w14:textId="77777777" w:rsidR="00614110" w:rsidRPr="00591DC7" w:rsidRDefault="00614110" w:rsidP="00614110">
            <w:pPr>
              <w:spacing w:before="100"/>
              <w:jc w:val="center"/>
              <w:rPr>
                <w:rFonts w:ascii="Palatino Linotype" w:hAnsi="Palatino Linotype"/>
                <w:b/>
                <w:sz w:val="18"/>
                <w:szCs w:val="18"/>
              </w:rPr>
            </w:pPr>
            <w:r w:rsidRPr="00591DC7">
              <w:rPr>
                <w:rFonts w:ascii="Palatino Linotype" w:hAnsi="Palatino Linotype"/>
                <w:b/>
                <w:sz w:val="18"/>
                <w:szCs w:val="18"/>
              </w:rPr>
              <w:t>Artículo, fracción, inciso, párrafo o numeral de la ley que le otorga el carácter de confidencial.</w:t>
            </w:r>
          </w:p>
        </w:tc>
        <w:tc>
          <w:tcPr>
            <w:tcW w:w="6020" w:type="dxa"/>
            <w:gridSpan w:val="2"/>
          </w:tcPr>
          <w:p w14:paraId="42901232" w14:textId="029217A9" w:rsidR="00614110" w:rsidRPr="00591DC7" w:rsidRDefault="00614110" w:rsidP="00614110">
            <w:pPr>
              <w:spacing w:before="100"/>
              <w:jc w:val="center"/>
              <w:rPr>
                <w:rFonts w:ascii="Calibri" w:hAnsi="Calibri"/>
                <w:sz w:val="20"/>
                <w:szCs w:val="20"/>
              </w:rPr>
            </w:pPr>
            <w:r w:rsidRPr="00591DC7">
              <w:rPr>
                <w:noProof/>
                <w:sz w:val="20"/>
                <w:szCs w:val="20"/>
              </w:rPr>
              <w:drawing>
                <wp:inline distT="0" distB="0" distL="0" distR="0" wp14:anchorId="39A26A6A" wp14:editId="2EA93049">
                  <wp:extent cx="3685540" cy="10953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5540" cy="1095375"/>
                          </a:xfrm>
                          <a:prstGeom prst="rect">
                            <a:avLst/>
                          </a:prstGeom>
                        </pic:spPr>
                      </pic:pic>
                    </a:graphicData>
                  </a:graphic>
                </wp:inline>
              </w:drawing>
            </w:r>
          </w:p>
        </w:tc>
        <w:tc>
          <w:tcPr>
            <w:tcW w:w="1499" w:type="dxa"/>
          </w:tcPr>
          <w:p w14:paraId="2C16CDD9" w14:textId="77777777" w:rsidR="00614110" w:rsidRPr="00591DC7" w:rsidRDefault="00614110" w:rsidP="00614110">
            <w:pPr>
              <w:spacing w:before="100"/>
              <w:jc w:val="center"/>
              <w:rPr>
                <w:rFonts w:ascii="Palatino Linotype" w:hAnsi="Palatino Linotype"/>
                <w:b/>
                <w:sz w:val="22"/>
                <w:szCs w:val="22"/>
              </w:rPr>
            </w:pPr>
            <w:r w:rsidRPr="00591DC7">
              <w:rPr>
                <w:rFonts w:ascii="Palatino Linotype" w:hAnsi="Palatino Linotype"/>
                <w:b/>
                <w:sz w:val="22"/>
                <w:szCs w:val="22"/>
              </w:rPr>
              <w:t>Sí</w:t>
            </w:r>
          </w:p>
        </w:tc>
      </w:tr>
      <w:tr w:rsidR="00614110" w:rsidRPr="00591DC7" w14:paraId="4A301678" w14:textId="77777777" w:rsidTr="00614110">
        <w:tc>
          <w:tcPr>
            <w:tcW w:w="1548" w:type="dxa"/>
          </w:tcPr>
          <w:p w14:paraId="1C687813" w14:textId="77777777" w:rsidR="00614110" w:rsidRPr="00591DC7" w:rsidRDefault="00614110" w:rsidP="00614110">
            <w:pPr>
              <w:spacing w:before="100"/>
              <w:jc w:val="center"/>
              <w:rPr>
                <w:rFonts w:ascii="Palatino Linotype" w:hAnsi="Palatino Linotype"/>
                <w:sz w:val="18"/>
                <w:szCs w:val="18"/>
              </w:rPr>
            </w:pPr>
            <w:r w:rsidRPr="00591DC7">
              <w:rPr>
                <w:rFonts w:ascii="Palatino Linotype" w:hAnsi="Palatino Linotype" w:cs="Palatino Linotype"/>
                <w:b/>
                <w:sz w:val="18"/>
                <w:szCs w:val="18"/>
              </w:rPr>
              <w:t>Motivación Legal</w:t>
            </w:r>
          </w:p>
        </w:tc>
        <w:tc>
          <w:tcPr>
            <w:tcW w:w="6020" w:type="dxa"/>
            <w:gridSpan w:val="2"/>
          </w:tcPr>
          <w:p w14:paraId="1FAB900B" w14:textId="77777777" w:rsidR="00614110" w:rsidRPr="00591DC7" w:rsidRDefault="00614110" w:rsidP="00614110">
            <w:pPr>
              <w:spacing w:before="100"/>
              <w:rPr>
                <w:rFonts w:ascii="Calibri" w:hAnsi="Calibri"/>
                <w:sz w:val="20"/>
                <w:szCs w:val="20"/>
              </w:rPr>
            </w:pPr>
            <w:r w:rsidRPr="00591DC7">
              <w:rPr>
                <w:noProof/>
                <w:sz w:val="20"/>
                <w:szCs w:val="20"/>
              </w:rPr>
              <w:drawing>
                <wp:inline distT="0" distB="0" distL="0" distR="0" wp14:anchorId="7ADD5DB1" wp14:editId="1960550D">
                  <wp:extent cx="3685540" cy="506730"/>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5540" cy="506730"/>
                          </a:xfrm>
                          <a:prstGeom prst="rect">
                            <a:avLst/>
                          </a:prstGeom>
                        </pic:spPr>
                      </pic:pic>
                    </a:graphicData>
                  </a:graphic>
                </wp:inline>
              </w:drawing>
            </w:r>
          </w:p>
          <w:p w14:paraId="54C679E0" w14:textId="77777777" w:rsidR="00614110" w:rsidRPr="00591DC7" w:rsidRDefault="00614110" w:rsidP="00614110">
            <w:pPr>
              <w:spacing w:before="100"/>
              <w:rPr>
                <w:rFonts w:ascii="Calibri" w:hAnsi="Calibri"/>
                <w:sz w:val="20"/>
                <w:szCs w:val="20"/>
              </w:rPr>
            </w:pPr>
            <w:r w:rsidRPr="00591DC7">
              <w:rPr>
                <w:rFonts w:ascii="Calibri" w:hAnsi="Calibri"/>
                <w:sz w:val="20"/>
                <w:szCs w:val="20"/>
              </w:rPr>
              <w:t>…</w:t>
            </w:r>
          </w:p>
          <w:p w14:paraId="6ED32713" w14:textId="2963E1D8" w:rsidR="00614110" w:rsidRPr="00591DC7" w:rsidRDefault="00614110" w:rsidP="00614110">
            <w:pPr>
              <w:spacing w:before="100"/>
              <w:rPr>
                <w:rFonts w:ascii="Calibri" w:hAnsi="Calibri"/>
                <w:sz w:val="20"/>
                <w:szCs w:val="20"/>
              </w:rPr>
            </w:pPr>
            <w:r w:rsidRPr="00591DC7">
              <w:rPr>
                <w:noProof/>
                <w:sz w:val="20"/>
                <w:szCs w:val="20"/>
              </w:rPr>
              <w:drawing>
                <wp:inline distT="0" distB="0" distL="0" distR="0" wp14:anchorId="77DBD1DD" wp14:editId="470F068B">
                  <wp:extent cx="3685540" cy="10318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85540" cy="1031875"/>
                          </a:xfrm>
                          <a:prstGeom prst="rect">
                            <a:avLst/>
                          </a:prstGeom>
                        </pic:spPr>
                      </pic:pic>
                    </a:graphicData>
                  </a:graphic>
                </wp:inline>
              </w:drawing>
            </w:r>
          </w:p>
        </w:tc>
        <w:tc>
          <w:tcPr>
            <w:tcW w:w="1499" w:type="dxa"/>
          </w:tcPr>
          <w:p w14:paraId="358F0142" w14:textId="77777777" w:rsidR="00614110" w:rsidRPr="00591DC7" w:rsidRDefault="00614110" w:rsidP="00614110">
            <w:pPr>
              <w:spacing w:before="100"/>
              <w:jc w:val="center"/>
              <w:rPr>
                <w:rFonts w:ascii="Palatino Linotype" w:hAnsi="Palatino Linotype"/>
                <w:b/>
                <w:sz w:val="20"/>
                <w:szCs w:val="20"/>
              </w:rPr>
            </w:pPr>
            <w:r w:rsidRPr="00591DC7">
              <w:rPr>
                <w:rFonts w:ascii="Palatino Linotype" w:hAnsi="Palatino Linotype"/>
                <w:b/>
                <w:sz w:val="20"/>
                <w:szCs w:val="20"/>
              </w:rPr>
              <w:t>Sí</w:t>
            </w:r>
          </w:p>
        </w:tc>
      </w:tr>
      <w:tr w:rsidR="00614110" w:rsidRPr="00591DC7" w14:paraId="66937EEC" w14:textId="77777777" w:rsidTr="00614110">
        <w:tc>
          <w:tcPr>
            <w:tcW w:w="1555" w:type="dxa"/>
            <w:gridSpan w:val="2"/>
            <w:shd w:val="clear" w:color="auto" w:fill="auto"/>
          </w:tcPr>
          <w:p w14:paraId="31DADD1A" w14:textId="77777777" w:rsidR="00614110" w:rsidRPr="00591DC7" w:rsidRDefault="00614110" w:rsidP="00614110">
            <w:pPr>
              <w:spacing w:before="100"/>
              <w:jc w:val="center"/>
              <w:rPr>
                <w:rFonts w:ascii="Palatino Linotype" w:hAnsi="Palatino Linotype"/>
                <w:b/>
                <w:sz w:val="22"/>
                <w:szCs w:val="20"/>
              </w:rPr>
            </w:pPr>
            <w:r w:rsidRPr="00591DC7">
              <w:rPr>
                <w:rFonts w:ascii="Palatino Linotype" w:hAnsi="Palatino Linotype" w:cs="Palatino Linotype"/>
                <w:b/>
                <w:sz w:val="18"/>
                <w:szCs w:val="16"/>
              </w:rPr>
              <w:t>Autoridades competentes.</w:t>
            </w:r>
          </w:p>
        </w:tc>
        <w:tc>
          <w:tcPr>
            <w:tcW w:w="6013" w:type="dxa"/>
            <w:shd w:val="clear" w:color="auto" w:fill="auto"/>
          </w:tcPr>
          <w:p w14:paraId="3460EA50" w14:textId="7619E56D" w:rsidR="00614110" w:rsidRPr="00591DC7" w:rsidRDefault="007A513D" w:rsidP="00614110">
            <w:pPr>
              <w:spacing w:before="100"/>
              <w:jc w:val="center"/>
            </w:pPr>
            <w:r w:rsidRPr="00591DC7">
              <w:rPr>
                <w:noProof/>
              </w:rPr>
              <w:drawing>
                <wp:inline distT="0" distB="0" distL="0" distR="0" wp14:anchorId="5A8372B8" wp14:editId="7FD4DAE0">
                  <wp:extent cx="3681095" cy="18180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81095" cy="1818005"/>
                          </a:xfrm>
                          <a:prstGeom prst="rect">
                            <a:avLst/>
                          </a:prstGeom>
                        </pic:spPr>
                      </pic:pic>
                    </a:graphicData>
                  </a:graphic>
                </wp:inline>
              </w:drawing>
            </w:r>
          </w:p>
        </w:tc>
        <w:tc>
          <w:tcPr>
            <w:tcW w:w="1499" w:type="dxa"/>
            <w:shd w:val="clear" w:color="auto" w:fill="auto"/>
          </w:tcPr>
          <w:p w14:paraId="0509DDED" w14:textId="7C02701C" w:rsidR="00614110" w:rsidRPr="00591DC7" w:rsidRDefault="007A513D" w:rsidP="00614110">
            <w:pPr>
              <w:spacing w:before="100"/>
              <w:jc w:val="center"/>
              <w:rPr>
                <w:rFonts w:ascii="Palatino Linotype" w:hAnsi="Palatino Linotype"/>
                <w:b/>
                <w:sz w:val="22"/>
                <w:szCs w:val="20"/>
              </w:rPr>
            </w:pPr>
            <w:r w:rsidRPr="00591DC7">
              <w:rPr>
                <w:rFonts w:ascii="Palatino Linotype" w:hAnsi="Palatino Linotype"/>
                <w:b/>
                <w:sz w:val="18"/>
                <w:szCs w:val="20"/>
              </w:rPr>
              <w:t xml:space="preserve">No </w:t>
            </w:r>
          </w:p>
        </w:tc>
      </w:tr>
    </w:tbl>
    <w:p w14:paraId="43791BEB" w14:textId="77777777" w:rsidR="00614110" w:rsidRPr="00591DC7" w:rsidRDefault="00614110" w:rsidP="00614110">
      <w:pPr>
        <w:spacing w:after="0" w:line="360" w:lineRule="auto"/>
        <w:jc w:val="both"/>
        <w:rPr>
          <w:rFonts w:ascii="Palatino Linotype" w:eastAsia="Palatino Linotype" w:hAnsi="Palatino Linotype" w:cs="Palatino Linotype"/>
          <w:color w:val="000000"/>
          <w:sz w:val="24"/>
        </w:rPr>
      </w:pPr>
    </w:p>
    <w:p w14:paraId="17280EBB" w14:textId="4D905C7A" w:rsidR="007A513D" w:rsidRPr="00591DC7" w:rsidRDefault="00614110" w:rsidP="00614110">
      <w:pPr>
        <w:spacing w:after="0" w:line="360" w:lineRule="auto"/>
        <w:jc w:val="both"/>
        <w:rPr>
          <w:rFonts w:ascii="Palatino Linotype" w:eastAsia="Palatino Linotype" w:hAnsi="Palatino Linotype" w:cs="Palatino Linotype"/>
          <w:b/>
          <w:color w:val="000000"/>
          <w:sz w:val="24"/>
        </w:rPr>
      </w:pPr>
      <w:r w:rsidRPr="00591DC7">
        <w:rPr>
          <w:rFonts w:ascii="Palatino Linotype" w:eastAsia="Palatino Linotype" w:hAnsi="Palatino Linotype" w:cs="Palatino Linotype"/>
          <w:b/>
          <w:color w:val="000000"/>
          <w:sz w:val="24"/>
        </w:rPr>
        <w:t>Es por lo anterior, que se concluye que el acuerdo de clasifi</w:t>
      </w:r>
      <w:r w:rsidR="007A513D" w:rsidRPr="00591DC7">
        <w:rPr>
          <w:rFonts w:ascii="Palatino Linotype" w:eastAsia="Palatino Linotype" w:hAnsi="Palatino Linotype" w:cs="Palatino Linotype"/>
          <w:b/>
          <w:color w:val="000000"/>
          <w:sz w:val="24"/>
        </w:rPr>
        <w:t xml:space="preserve">cación remitido en respuesta, no cumple con las formalidades previstas por la Ley en la materia. </w:t>
      </w:r>
    </w:p>
    <w:p w14:paraId="281BB203" w14:textId="3C341BFC" w:rsidR="00614110" w:rsidRPr="00591DC7" w:rsidRDefault="007A513D" w:rsidP="007A513D">
      <w:pPr>
        <w:spacing w:after="0" w:line="360" w:lineRule="auto"/>
        <w:jc w:val="both"/>
        <w:rPr>
          <w:rFonts w:ascii="Palatino Linotype" w:hAnsi="Palatino Linotype"/>
          <w:sz w:val="24"/>
        </w:rPr>
      </w:pPr>
      <w:r w:rsidRPr="00591DC7">
        <w:rPr>
          <w:rFonts w:ascii="Palatino Linotype" w:eastAsia="Palatino Linotype" w:hAnsi="Palatino Linotype" w:cs="Palatino Linotype"/>
          <w:color w:val="000000"/>
          <w:sz w:val="24"/>
        </w:rPr>
        <w:lastRenderedPageBreak/>
        <w:t xml:space="preserve">En atención a ello, no pasa desapercibido mencionar que, en respuesta el Sujeto Obligado precisó que a la fecha el Acta se encontraba en proceso de formalización, por lo que, una vez firmada, podría ser localizada en el siguiente vínculo electrónico: </w:t>
      </w:r>
      <w:hyperlink r:id="rId19" w:history="1">
        <w:r w:rsidRPr="00591DC7">
          <w:rPr>
            <w:rStyle w:val="Hipervnculo"/>
            <w:rFonts w:ascii="Palatino Linotype" w:hAnsi="Palatino Linotype"/>
          </w:rPr>
          <w:t>https://www.ipomex.org.mx/ipo3/lgt/indice/SMOV/art_92_xliii_b.web</w:t>
        </w:r>
      </w:hyperlink>
      <w:r w:rsidRPr="00591DC7">
        <w:t xml:space="preserve">, </w:t>
      </w:r>
      <w:r w:rsidRPr="00591DC7">
        <w:rPr>
          <w:rFonts w:ascii="Palatino Linotype" w:hAnsi="Palatino Linotype"/>
          <w:sz w:val="24"/>
        </w:rPr>
        <w:t xml:space="preserve">no obstante, de su acceso se  redirige al apartado </w:t>
      </w:r>
      <w:r w:rsidRPr="00591DC7">
        <w:rPr>
          <w:rFonts w:ascii="Palatino Linotype" w:hAnsi="Palatino Linotype"/>
          <w:i/>
          <w:sz w:val="24"/>
        </w:rPr>
        <w:t>“Informe de sesiones del comité de transparencia”</w:t>
      </w:r>
      <w:r w:rsidRPr="00591DC7">
        <w:rPr>
          <w:rFonts w:ascii="Palatino Linotype" w:hAnsi="Palatino Linotype"/>
          <w:sz w:val="24"/>
        </w:rPr>
        <w:t xml:space="preserve">, como se logra advertir: </w:t>
      </w:r>
    </w:p>
    <w:p w14:paraId="0D90C6AE" w14:textId="77777777" w:rsidR="007A513D" w:rsidRPr="00591DC7" w:rsidRDefault="007A513D" w:rsidP="007A513D">
      <w:pPr>
        <w:spacing w:after="0" w:line="360" w:lineRule="auto"/>
        <w:jc w:val="both"/>
        <w:rPr>
          <w:rFonts w:ascii="Palatino Linotype" w:hAnsi="Palatino Linotype"/>
          <w:sz w:val="24"/>
        </w:rPr>
      </w:pPr>
    </w:p>
    <w:p w14:paraId="00CEC993" w14:textId="06442C63" w:rsidR="007A513D" w:rsidRPr="00591DC7" w:rsidRDefault="007A513D" w:rsidP="007A513D">
      <w:pPr>
        <w:spacing w:after="0" w:line="360" w:lineRule="auto"/>
        <w:jc w:val="center"/>
        <w:rPr>
          <w:rFonts w:ascii="Palatino Linotype" w:hAnsi="Palatino Linotype"/>
          <w:sz w:val="24"/>
        </w:rPr>
      </w:pPr>
      <w:r w:rsidRPr="00591DC7">
        <w:rPr>
          <w:rFonts w:ascii="Palatino Linotype" w:hAnsi="Palatino Linotype"/>
          <w:noProof/>
          <w:sz w:val="24"/>
        </w:rPr>
        <w:drawing>
          <wp:inline distT="0" distB="0" distL="0" distR="0" wp14:anchorId="5F509320" wp14:editId="4F2D96F0">
            <wp:extent cx="3341752" cy="18764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82485" cy="1899297"/>
                    </a:xfrm>
                    <a:prstGeom prst="rect">
                      <a:avLst/>
                    </a:prstGeom>
                  </pic:spPr>
                </pic:pic>
              </a:graphicData>
            </a:graphic>
          </wp:inline>
        </w:drawing>
      </w:r>
    </w:p>
    <w:p w14:paraId="172286E5" w14:textId="77777777" w:rsidR="007A513D" w:rsidRPr="00591DC7" w:rsidRDefault="007A513D" w:rsidP="007A513D">
      <w:pPr>
        <w:spacing w:after="0" w:line="360" w:lineRule="auto"/>
        <w:jc w:val="both"/>
        <w:rPr>
          <w:rFonts w:ascii="Palatino Linotype" w:eastAsia="Palatino Linotype" w:hAnsi="Palatino Linotype" w:cs="Palatino Linotype"/>
          <w:color w:val="000000"/>
          <w:sz w:val="24"/>
        </w:rPr>
      </w:pPr>
    </w:p>
    <w:p w14:paraId="3E88196C" w14:textId="3C703762" w:rsidR="007A513D" w:rsidRPr="00591DC7" w:rsidRDefault="007A513D" w:rsidP="007A513D">
      <w:pPr>
        <w:pStyle w:val="Prrafodelista"/>
        <w:spacing w:after="0" w:line="360" w:lineRule="auto"/>
        <w:ind w:left="0"/>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En ese sentido, se tiene que, la liga electrónica implica que la parte Recurrente tenga que realizar una búsqueda en el contenido de la Plataforma de Información Pública de Oficio Mexiquense, lo cual no es compatible con lo dispuesto por el artículo 161 de la Ley de Transparencia y Acceso a la Información Pública del Estado de México y Municipios. </w:t>
      </w:r>
    </w:p>
    <w:p w14:paraId="15DCE857" w14:textId="77777777" w:rsidR="000263F7" w:rsidRPr="00591DC7" w:rsidRDefault="000263F7" w:rsidP="0012412C">
      <w:pPr>
        <w:spacing w:after="0" w:line="360" w:lineRule="auto"/>
        <w:ind w:right="49"/>
        <w:jc w:val="both"/>
        <w:rPr>
          <w:rFonts w:ascii="Palatino Linotype" w:eastAsia="Palatino Linotype" w:hAnsi="Palatino Linotype" w:cs="Palatino Linotype"/>
          <w:sz w:val="24"/>
          <w:szCs w:val="24"/>
        </w:rPr>
      </w:pPr>
    </w:p>
    <w:p w14:paraId="30A240A1" w14:textId="659A23E3" w:rsidR="007A513D" w:rsidRPr="00591DC7" w:rsidRDefault="0012412C">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Es así como, en mérito de lo expuesto en líneas anteriores, resultan </w:t>
      </w:r>
      <w:r w:rsidR="007A513D" w:rsidRPr="00591DC7">
        <w:rPr>
          <w:rFonts w:ascii="Palatino Linotype" w:eastAsia="Palatino Linotype" w:hAnsi="Palatino Linotype" w:cs="Palatino Linotype"/>
          <w:sz w:val="24"/>
          <w:szCs w:val="24"/>
        </w:rPr>
        <w:t>parcialmente fundadas</w:t>
      </w:r>
      <w:r w:rsidRPr="00591DC7">
        <w:rPr>
          <w:rFonts w:ascii="Palatino Linotype" w:eastAsia="Palatino Linotype" w:hAnsi="Palatino Linotype" w:cs="Palatino Linotype"/>
          <w:sz w:val="24"/>
          <w:szCs w:val="24"/>
        </w:rPr>
        <w:t xml:space="preserve"> las razones o motivos de inconformidad hechos valer por la parte </w:t>
      </w:r>
      <w:r w:rsidRPr="00591DC7">
        <w:rPr>
          <w:rFonts w:ascii="Palatino Linotype" w:eastAsia="Palatino Linotype" w:hAnsi="Palatino Linotype" w:cs="Palatino Linotype"/>
          <w:b/>
          <w:sz w:val="24"/>
          <w:szCs w:val="24"/>
        </w:rPr>
        <w:t>RECURRENTE</w:t>
      </w:r>
      <w:r w:rsidRPr="00591DC7">
        <w:rPr>
          <w:rFonts w:ascii="Palatino Linotype" w:eastAsia="Palatino Linotype" w:hAnsi="Palatino Linotype" w:cs="Palatino Linotype"/>
          <w:sz w:val="24"/>
          <w:szCs w:val="24"/>
        </w:rPr>
        <w:t xml:space="preserve"> dentro del recurso de revisión </w:t>
      </w:r>
      <w:r w:rsidR="007A513D" w:rsidRPr="00591DC7">
        <w:rPr>
          <w:rFonts w:ascii="Palatino Linotype" w:eastAsia="Palatino Linotype" w:hAnsi="Palatino Linotype" w:cs="Palatino Linotype"/>
          <w:b/>
          <w:sz w:val="24"/>
          <w:szCs w:val="24"/>
        </w:rPr>
        <w:t>06974</w:t>
      </w:r>
      <w:r w:rsidRPr="00591DC7">
        <w:rPr>
          <w:rFonts w:ascii="Palatino Linotype" w:eastAsia="Palatino Linotype" w:hAnsi="Palatino Linotype" w:cs="Palatino Linotype"/>
          <w:b/>
          <w:sz w:val="24"/>
          <w:szCs w:val="24"/>
        </w:rPr>
        <w:t>/INFOEM/IP/RR/2023</w:t>
      </w:r>
      <w:r w:rsidRPr="00591DC7">
        <w:rPr>
          <w:rFonts w:ascii="Palatino Linotype" w:eastAsia="Palatino Linotype" w:hAnsi="Palatino Linotype" w:cs="Palatino Linotype"/>
          <w:sz w:val="24"/>
          <w:szCs w:val="24"/>
        </w:rPr>
        <w:t xml:space="preserve">; </w:t>
      </w:r>
      <w:r w:rsidR="001549F7" w:rsidRPr="00591DC7">
        <w:rPr>
          <w:rFonts w:ascii="Palatino Linotype" w:eastAsia="Palatino Linotype" w:hAnsi="Palatino Linotype" w:cs="Palatino Linotype"/>
          <w:sz w:val="24"/>
          <w:szCs w:val="24"/>
        </w:rPr>
        <w:t xml:space="preserve">debido a que, </w:t>
      </w:r>
      <w:r w:rsidR="007A513D" w:rsidRPr="00591DC7">
        <w:rPr>
          <w:rFonts w:ascii="Palatino Linotype" w:eastAsia="Palatino Linotype" w:hAnsi="Palatino Linotype" w:cs="Palatino Linotype"/>
          <w:sz w:val="24"/>
          <w:szCs w:val="24"/>
        </w:rPr>
        <w:t xml:space="preserve">si bien, el Sujeto Obligado remitió las Evaluaciones Técnicas de Impacto Vial </w:t>
      </w:r>
      <w:r w:rsidR="007A513D" w:rsidRPr="00591DC7">
        <w:rPr>
          <w:rFonts w:ascii="Palatino Linotype" w:eastAsia="Palatino Linotype" w:hAnsi="Palatino Linotype" w:cs="Palatino Linotype"/>
          <w:sz w:val="24"/>
          <w:szCs w:val="24"/>
        </w:rPr>
        <w:lastRenderedPageBreak/>
        <w:t xml:space="preserve">emitidos en la temporalidad solicitada, en versión pública, también lo es que, el Acta que sustenta la clasificación de la información contenida en estos documentos, no cumple con las formalidades previstas por la Ley en la materia, por lo que, resulta procedente </w:t>
      </w:r>
      <w:r w:rsidR="007A513D" w:rsidRPr="00591DC7">
        <w:rPr>
          <w:rFonts w:ascii="Palatino Linotype" w:eastAsia="Palatino Linotype" w:hAnsi="Palatino Linotype" w:cs="Palatino Linotype"/>
          <w:b/>
          <w:sz w:val="24"/>
          <w:szCs w:val="24"/>
        </w:rPr>
        <w:t>MODIFICAR</w:t>
      </w:r>
      <w:r w:rsidR="007A513D" w:rsidRPr="00591DC7">
        <w:rPr>
          <w:rFonts w:ascii="Palatino Linotype" w:eastAsia="Palatino Linotype" w:hAnsi="Palatino Linotype" w:cs="Palatino Linotype"/>
          <w:sz w:val="24"/>
          <w:szCs w:val="24"/>
        </w:rPr>
        <w:t xml:space="preserve"> la respuesta del Sujeto Obligado y </w:t>
      </w:r>
      <w:r w:rsidR="007A513D" w:rsidRPr="00591DC7">
        <w:rPr>
          <w:rFonts w:ascii="Palatino Linotype" w:eastAsia="Palatino Linotype" w:hAnsi="Palatino Linotype" w:cs="Palatino Linotype"/>
          <w:b/>
          <w:sz w:val="24"/>
          <w:szCs w:val="24"/>
        </w:rPr>
        <w:t>ORDENAR</w:t>
      </w:r>
      <w:r w:rsidR="007A513D" w:rsidRPr="00591DC7">
        <w:rPr>
          <w:rFonts w:ascii="Palatino Linotype" w:eastAsia="Palatino Linotype" w:hAnsi="Palatino Linotype" w:cs="Palatino Linotype"/>
          <w:sz w:val="24"/>
          <w:szCs w:val="24"/>
        </w:rPr>
        <w:t xml:space="preserve"> la entrega, vía Sistema de Acceso a la Información Mexiquense, </w:t>
      </w:r>
      <w:r w:rsidR="006B225D" w:rsidRPr="00591DC7">
        <w:rPr>
          <w:rFonts w:ascii="Palatino Linotype" w:eastAsia="Palatino Linotype" w:hAnsi="Palatino Linotype" w:cs="Palatino Linotype"/>
          <w:b/>
          <w:sz w:val="24"/>
          <w:szCs w:val="24"/>
        </w:rPr>
        <w:t>en versión pública correcta</w:t>
      </w:r>
      <w:r w:rsidR="006B225D" w:rsidRPr="00591DC7">
        <w:rPr>
          <w:rFonts w:ascii="Palatino Linotype" w:eastAsia="Palatino Linotype" w:hAnsi="Palatino Linotype" w:cs="Palatino Linotype"/>
          <w:sz w:val="24"/>
          <w:szCs w:val="24"/>
        </w:rPr>
        <w:t xml:space="preserve">, </w:t>
      </w:r>
      <w:r w:rsidR="007A513D" w:rsidRPr="00591DC7">
        <w:rPr>
          <w:rFonts w:ascii="Palatino Linotype" w:eastAsia="Palatino Linotype" w:hAnsi="Palatino Linotype" w:cs="Palatino Linotype"/>
          <w:sz w:val="24"/>
          <w:szCs w:val="24"/>
        </w:rPr>
        <w:t>lo siguiente:</w:t>
      </w:r>
    </w:p>
    <w:p w14:paraId="19D482D0" w14:textId="77777777" w:rsidR="007A513D" w:rsidRPr="00591DC7" w:rsidRDefault="007A513D">
      <w:pPr>
        <w:spacing w:after="0" w:line="360" w:lineRule="auto"/>
        <w:ind w:right="49"/>
        <w:jc w:val="both"/>
        <w:rPr>
          <w:rFonts w:ascii="Palatino Linotype" w:eastAsia="Palatino Linotype" w:hAnsi="Palatino Linotype" w:cs="Palatino Linotype"/>
          <w:sz w:val="24"/>
          <w:szCs w:val="24"/>
        </w:rPr>
      </w:pPr>
    </w:p>
    <w:p w14:paraId="3F961B78" w14:textId="6043DC1C" w:rsidR="006B225D" w:rsidRPr="00591DC7" w:rsidRDefault="006B225D" w:rsidP="006B225D">
      <w:pPr>
        <w:pStyle w:val="Prrafodelista"/>
        <w:numPr>
          <w:ilvl w:val="0"/>
          <w:numId w:val="23"/>
        </w:num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sz w:val="24"/>
          <w:szCs w:val="24"/>
        </w:rPr>
        <w:t xml:space="preserve">Evaluaciones Técnicas de Impacto en Materia Vial, remitidas en respuesta. </w:t>
      </w:r>
    </w:p>
    <w:p w14:paraId="698445F3" w14:textId="77777777" w:rsidR="006B225D" w:rsidRPr="00591DC7" w:rsidRDefault="006B225D" w:rsidP="006B225D">
      <w:pPr>
        <w:spacing w:after="0" w:line="360" w:lineRule="auto"/>
        <w:ind w:right="49"/>
        <w:jc w:val="both"/>
        <w:rPr>
          <w:rFonts w:ascii="Palatino Linotype" w:eastAsia="Palatino Linotype" w:hAnsi="Palatino Linotype" w:cs="Palatino Linotype"/>
        </w:rPr>
      </w:pPr>
    </w:p>
    <w:p w14:paraId="10C7585A" w14:textId="7C9FA3ED" w:rsidR="007A513D" w:rsidRPr="00591DC7" w:rsidRDefault="007A513D" w:rsidP="006B225D">
      <w:pPr>
        <w:spacing w:after="0" w:line="276" w:lineRule="auto"/>
        <w:ind w:left="426" w:right="418"/>
        <w:jc w:val="both"/>
        <w:rPr>
          <w:rFonts w:ascii="Palatino Linotype" w:eastAsia="Palatino Linotype" w:hAnsi="Palatino Linotype" w:cs="Palatino Linotype"/>
          <w:i/>
        </w:rPr>
      </w:pPr>
      <w:r w:rsidRPr="00591DC7">
        <w:rPr>
          <w:rFonts w:ascii="Palatino Linotype" w:eastAsia="Palatino Linotype" w:hAnsi="Palatino Linotype" w:cs="Palatino Linotype"/>
          <w:i/>
        </w:rPr>
        <w:t xml:space="preserve">Acuerdo emitido por el Comité de </w:t>
      </w:r>
      <w:r w:rsidR="00B20C99" w:rsidRPr="00591DC7">
        <w:rPr>
          <w:rFonts w:ascii="Palatino Linotype" w:eastAsia="Palatino Linotype" w:hAnsi="Palatino Linotype" w:cs="Palatino Linotype"/>
          <w:i/>
        </w:rPr>
        <w:t xml:space="preserve">Transparencia, en donde de manera fundada y motivada, </w:t>
      </w:r>
      <w:r w:rsidRPr="00591DC7">
        <w:rPr>
          <w:rFonts w:ascii="Palatino Linotype" w:eastAsia="Palatino Linotype" w:hAnsi="Palatino Linotype" w:cs="Palatino Linotype"/>
          <w:i/>
        </w:rPr>
        <w:t xml:space="preserve">se confirme la </w:t>
      </w:r>
      <w:r w:rsidR="00B20C99" w:rsidRPr="00591DC7">
        <w:rPr>
          <w:rFonts w:ascii="Palatino Linotype" w:eastAsia="Palatino Linotype" w:hAnsi="Palatino Linotype" w:cs="Palatino Linotype"/>
          <w:i/>
        </w:rPr>
        <w:t xml:space="preserve">versión pública de las Evaluaciones Técnicas de Impacto en materia Vial, en términos de los artículos 49, fracción II, 132, fracción II, 143, fracción I, y 149 de la Ley de Transparencia y Acceso a la Información Pública del Estado de México y Municipios. </w:t>
      </w:r>
    </w:p>
    <w:p w14:paraId="68A10B05" w14:textId="77777777" w:rsidR="00801EA2" w:rsidRPr="00591DC7" w:rsidRDefault="00801EA2" w:rsidP="00801EA2">
      <w:pPr>
        <w:pStyle w:val="Prrafodelista"/>
        <w:spacing w:after="0" w:line="360" w:lineRule="auto"/>
        <w:ind w:right="49"/>
        <w:jc w:val="both"/>
        <w:rPr>
          <w:rFonts w:ascii="Palatino Linotype" w:eastAsia="Palatino Linotype" w:hAnsi="Palatino Linotype" w:cs="Palatino Linotype"/>
        </w:rPr>
      </w:pPr>
    </w:p>
    <w:p w14:paraId="4D124682" w14:textId="1F6942D1" w:rsidR="00801EA2" w:rsidRPr="00591DC7" w:rsidRDefault="00801EA2" w:rsidP="00801EA2">
      <w:pPr>
        <w:pStyle w:val="Prrafodelista"/>
        <w:numPr>
          <w:ilvl w:val="0"/>
          <w:numId w:val="23"/>
        </w:numPr>
        <w:spacing w:after="0" w:line="360" w:lineRule="auto"/>
        <w:ind w:left="426"/>
        <w:jc w:val="both"/>
        <w:rPr>
          <w:rFonts w:ascii="Palatino Linotype" w:hAnsi="Palatino Linotype" w:cs="Tahoma"/>
          <w:b/>
          <w:bCs/>
          <w:color w:val="000000"/>
          <w:lang w:eastAsia="es-ES"/>
        </w:rPr>
      </w:pPr>
      <w:r w:rsidRPr="00591DC7">
        <w:rPr>
          <w:rFonts w:ascii="Palatino Linotype" w:hAnsi="Palatino Linotype" w:cs="Tahoma"/>
          <w:b/>
          <w:bCs/>
          <w:color w:val="000000"/>
          <w:lang w:eastAsia="es-ES"/>
        </w:rPr>
        <w:t xml:space="preserve">De la  vista a la Dirección General de Protección de Datos Personales. </w:t>
      </w:r>
    </w:p>
    <w:p w14:paraId="3C4ADF67" w14:textId="77777777" w:rsidR="00801EA2" w:rsidRPr="00591DC7" w:rsidRDefault="00801EA2" w:rsidP="00801EA2">
      <w:pPr>
        <w:spacing w:after="0" w:line="360" w:lineRule="auto"/>
        <w:jc w:val="both"/>
        <w:rPr>
          <w:rFonts w:ascii="Palatino Linotype" w:hAnsi="Palatino Linotype" w:cs="Tahoma"/>
          <w:bCs/>
          <w:color w:val="000000"/>
          <w:sz w:val="24"/>
          <w:lang w:eastAsia="es-ES"/>
        </w:rPr>
      </w:pPr>
    </w:p>
    <w:p w14:paraId="0D67CEB1" w14:textId="31424C91" w:rsidR="00801EA2" w:rsidRPr="00591DC7" w:rsidRDefault="00801EA2" w:rsidP="00801EA2">
      <w:pPr>
        <w:spacing w:after="0" w:line="360" w:lineRule="auto"/>
        <w:jc w:val="both"/>
        <w:rPr>
          <w:rFonts w:ascii="Palatino Linotype" w:hAnsi="Palatino Linotype" w:cs="Tahoma"/>
          <w:bCs/>
          <w:color w:val="000000"/>
          <w:sz w:val="24"/>
          <w:lang w:eastAsia="es-ES"/>
        </w:rPr>
      </w:pPr>
      <w:r w:rsidRPr="00591DC7">
        <w:rPr>
          <w:rFonts w:ascii="Palatino Linotype" w:hAnsi="Palatino Linotype" w:cs="Tahoma"/>
          <w:bCs/>
          <w:color w:val="000000"/>
          <w:sz w:val="24"/>
          <w:lang w:eastAsia="es-ES"/>
        </w:rPr>
        <w:t>Ahora bien, de la información proporcionada en respuesta, se logra advertir que el Sujeto Obligado dejó visibles datos personales confidenciales</w:t>
      </w:r>
      <w:r w:rsidRPr="00591DC7">
        <w:rPr>
          <w:rFonts w:ascii="Palatino Linotype" w:hAnsi="Palatino Linotype" w:cs="Tahoma"/>
          <w:bCs/>
          <w:color w:val="000000"/>
          <w:sz w:val="24"/>
          <w:lang w:val="es-ES_tradnl" w:eastAsia="es-ES"/>
        </w:rPr>
        <w:t xml:space="preserve">, tal como lo es el número de Clave Catastral, </w:t>
      </w:r>
      <w:r w:rsidRPr="00591DC7">
        <w:rPr>
          <w:rFonts w:ascii="Palatino Linotype" w:hAnsi="Palatino Linotype" w:cs="Tahoma"/>
          <w:bCs/>
          <w:color w:val="000000"/>
          <w:sz w:val="24"/>
          <w:lang w:eastAsia="es-ES"/>
        </w:rPr>
        <w:t xml:space="preserve">circunstancia que vulnera lo previsto en el artículo 143, fracción I, de la Ley de Transparencia y Acceso a la Información Pública del Estado de México y Municipios, por las siguientes consideraciones: </w:t>
      </w:r>
    </w:p>
    <w:p w14:paraId="61706E3F" w14:textId="77777777" w:rsidR="00801EA2" w:rsidRPr="00591DC7" w:rsidRDefault="00801EA2" w:rsidP="00801EA2">
      <w:pPr>
        <w:tabs>
          <w:tab w:val="left" w:pos="851"/>
        </w:tabs>
        <w:spacing w:after="0" w:line="360" w:lineRule="auto"/>
        <w:ind w:left="567"/>
        <w:jc w:val="both"/>
        <w:rPr>
          <w:rFonts w:ascii="Palatino Linotype" w:hAnsi="Palatino Linotype" w:cs="Tahoma"/>
          <w:bCs/>
          <w:color w:val="000000"/>
          <w:sz w:val="24"/>
          <w:lang w:eastAsia="es-ES"/>
        </w:rPr>
      </w:pPr>
    </w:p>
    <w:p w14:paraId="68DE0BA3" w14:textId="77777777" w:rsidR="00801EA2" w:rsidRPr="00591DC7" w:rsidRDefault="00801EA2" w:rsidP="00801EA2">
      <w:pPr>
        <w:pStyle w:val="Prrafodelista"/>
        <w:numPr>
          <w:ilvl w:val="0"/>
          <w:numId w:val="24"/>
        </w:numPr>
        <w:tabs>
          <w:tab w:val="left" w:pos="851"/>
        </w:tabs>
        <w:spacing w:after="0" w:line="360" w:lineRule="auto"/>
        <w:ind w:left="567" w:firstLine="0"/>
        <w:jc w:val="both"/>
        <w:rPr>
          <w:rFonts w:ascii="Palatino Linotype" w:hAnsi="Palatino Linotype" w:cs="Tahoma"/>
          <w:b/>
          <w:bCs/>
          <w:lang w:val="es-ES"/>
        </w:rPr>
      </w:pPr>
      <w:r w:rsidRPr="00591DC7">
        <w:rPr>
          <w:rFonts w:ascii="Palatino Linotype" w:hAnsi="Palatino Linotype" w:cs="Tahoma"/>
          <w:b/>
          <w:bCs/>
          <w:lang w:val="es-ES"/>
        </w:rPr>
        <w:t>Clave catastral del predio.</w:t>
      </w:r>
    </w:p>
    <w:p w14:paraId="29714F46" w14:textId="77777777" w:rsidR="00801EA2" w:rsidRPr="00591DC7" w:rsidRDefault="00801EA2" w:rsidP="00801EA2">
      <w:pPr>
        <w:tabs>
          <w:tab w:val="left" w:pos="851"/>
        </w:tabs>
        <w:spacing w:after="0" w:line="360" w:lineRule="auto"/>
        <w:ind w:left="567" w:right="-93"/>
        <w:jc w:val="both"/>
        <w:rPr>
          <w:rFonts w:ascii="Palatino Linotype" w:hAnsi="Palatino Linotype" w:cs="Tahoma"/>
          <w:lang w:val="es-ES"/>
        </w:rPr>
      </w:pPr>
    </w:p>
    <w:p w14:paraId="7AFAE8D9" w14:textId="77777777" w:rsidR="00801EA2" w:rsidRPr="00591DC7" w:rsidRDefault="00801EA2" w:rsidP="00801EA2">
      <w:pPr>
        <w:tabs>
          <w:tab w:val="left" w:pos="851"/>
        </w:tabs>
        <w:spacing w:after="0" w:line="360" w:lineRule="auto"/>
        <w:ind w:left="567" w:right="-93"/>
        <w:jc w:val="both"/>
        <w:rPr>
          <w:rFonts w:ascii="Palatino Linotype" w:hAnsi="Palatino Linotype" w:cs="Tahoma"/>
          <w:bCs/>
          <w:lang w:val="es-ES" w:eastAsia="en-US"/>
        </w:rPr>
      </w:pPr>
      <w:r w:rsidRPr="00591DC7">
        <w:rPr>
          <w:rFonts w:ascii="Palatino Linotype" w:hAnsi="Palatino Linotype" w:cs="Tahoma"/>
          <w:lang w:val="es-ES"/>
        </w:rPr>
        <w:t>Sobre dicho dato,</w:t>
      </w:r>
      <w:r w:rsidRPr="00591DC7">
        <w:rPr>
          <w:rFonts w:ascii="Palatino Linotype" w:hAnsi="Palatino Linotype" w:cs="Tahoma"/>
          <w:bCs/>
          <w:lang w:val="es-ES" w:eastAsia="en-US"/>
        </w:rPr>
        <w:t xml:space="preserve"> el artículo 179, fracción I, del Código Financiero del Estado de México y Municipios, refiere que la clave catastral es un código alfanumérico único e irrepetible, </w:t>
      </w:r>
      <w:r w:rsidRPr="00591DC7">
        <w:rPr>
          <w:rFonts w:ascii="Palatino Linotype" w:hAnsi="Palatino Linotype" w:cs="Tahoma"/>
          <w:bCs/>
          <w:lang w:val="es-ES" w:eastAsia="en-US"/>
        </w:rPr>
        <w:lastRenderedPageBreak/>
        <w:t>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06C3C46C" w14:textId="77777777" w:rsidR="00801EA2" w:rsidRPr="00591DC7" w:rsidRDefault="00801EA2" w:rsidP="00801EA2">
      <w:pPr>
        <w:tabs>
          <w:tab w:val="left" w:pos="851"/>
        </w:tabs>
        <w:spacing w:after="0" w:line="360" w:lineRule="auto"/>
        <w:ind w:left="567" w:right="-93"/>
        <w:jc w:val="both"/>
        <w:rPr>
          <w:rFonts w:ascii="Palatino Linotype" w:hAnsi="Palatino Linotype" w:cs="Tahoma"/>
          <w:bCs/>
          <w:lang w:val="es-ES" w:eastAsia="en-US"/>
        </w:rPr>
      </w:pPr>
    </w:p>
    <w:p w14:paraId="1F5312D1" w14:textId="77777777" w:rsidR="00801EA2" w:rsidRPr="00591DC7" w:rsidRDefault="00801EA2" w:rsidP="00801EA2">
      <w:pPr>
        <w:tabs>
          <w:tab w:val="left" w:pos="851"/>
        </w:tabs>
        <w:spacing w:after="0" w:line="360" w:lineRule="auto"/>
        <w:ind w:left="567" w:right="-93"/>
        <w:jc w:val="both"/>
        <w:rPr>
          <w:rFonts w:ascii="Palatino Linotype" w:hAnsi="Palatino Linotype" w:cs="Tahoma"/>
          <w:bCs/>
          <w:lang w:val="es-ES" w:eastAsia="en-US"/>
        </w:rPr>
      </w:pPr>
      <w:r w:rsidRPr="00591DC7">
        <w:rPr>
          <w:rFonts w:ascii="Palatino Linotype" w:hAnsi="Palatino Linotype" w:cs="Tahoma"/>
          <w:bCs/>
          <w:lang w:val="es-ES" w:eastAsia="en-US"/>
        </w:rPr>
        <w:t>El diccionario de Datos catastrales Escala 1:1000 del Instituto Nacional de Estadística y Geografía (INEGI), contempla en su glosario la definición de clave catastral, la cual, es la siguiente:</w:t>
      </w:r>
    </w:p>
    <w:p w14:paraId="51059C83" w14:textId="77777777" w:rsidR="00801EA2" w:rsidRPr="00591DC7" w:rsidRDefault="00801EA2" w:rsidP="00801EA2">
      <w:pPr>
        <w:tabs>
          <w:tab w:val="left" w:pos="851"/>
        </w:tabs>
        <w:spacing w:after="0" w:line="360" w:lineRule="auto"/>
        <w:ind w:left="567" w:right="-93"/>
        <w:jc w:val="both"/>
        <w:rPr>
          <w:rFonts w:ascii="Palatino Linotype" w:hAnsi="Palatino Linotype" w:cs="Tahoma"/>
          <w:bCs/>
          <w:lang w:val="es-ES" w:eastAsia="en-US"/>
        </w:rPr>
      </w:pPr>
    </w:p>
    <w:p w14:paraId="5F523D75" w14:textId="77777777" w:rsidR="00801EA2" w:rsidRPr="00591DC7" w:rsidRDefault="00801EA2" w:rsidP="00801EA2">
      <w:pPr>
        <w:tabs>
          <w:tab w:val="left" w:pos="851"/>
        </w:tabs>
        <w:spacing w:after="0" w:line="276" w:lineRule="auto"/>
        <w:ind w:left="567" w:right="539"/>
        <w:jc w:val="both"/>
        <w:rPr>
          <w:rFonts w:ascii="Palatino Linotype" w:hAnsi="Palatino Linotype" w:cs="Tahoma"/>
          <w:bCs/>
          <w:i/>
          <w:lang w:val="es-ES" w:eastAsia="en-US"/>
        </w:rPr>
      </w:pPr>
      <w:r w:rsidRPr="00591DC7">
        <w:rPr>
          <w:rFonts w:ascii="Palatino Linotype" w:hAnsi="Palatino Linotype" w:cs="Tahoma"/>
          <w:bCs/>
          <w:i/>
          <w:lang w:val="es-ES" w:eastAsia="en-US"/>
        </w:rPr>
        <w:t>“</w:t>
      </w:r>
      <w:r w:rsidRPr="00591DC7">
        <w:rPr>
          <w:rFonts w:ascii="Palatino Linotype" w:hAnsi="Palatino Linotype" w:cs="Tahoma"/>
          <w:b/>
          <w:bCs/>
          <w:i/>
          <w:lang w:val="es-ES" w:eastAsia="en-US"/>
        </w:rPr>
        <w:t xml:space="preserve">Clave catastral: </w:t>
      </w:r>
      <w:r w:rsidRPr="00591DC7">
        <w:rPr>
          <w:rFonts w:ascii="Palatino Linotype" w:hAnsi="Palatino Linotype" w:cs="Tahoma"/>
          <w:bCs/>
          <w:i/>
          <w:lang w:val="es-ES" w:eastAsia="en-US"/>
        </w:rPr>
        <w:t>El código que identifica al predio de forma única para su localización geográfica, mismo que es asignado a cada uno de ellos en el momento de su inscripción en el padrón catastral por las Unidades del estado con atribuciones catastrales”</w:t>
      </w:r>
    </w:p>
    <w:p w14:paraId="710C929C" w14:textId="77777777" w:rsidR="00801EA2" w:rsidRPr="00591DC7" w:rsidRDefault="00801EA2" w:rsidP="00801EA2">
      <w:pPr>
        <w:tabs>
          <w:tab w:val="left" w:pos="851"/>
        </w:tabs>
        <w:spacing w:after="0" w:line="360" w:lineRule="auto"/>
        <w:ind w:left="567" w:right="-93"/>
        <w:jc w:val="both"/>
        <w:rPr>
          <w:rFonts w:ascii="Palatino Linotype" w:hAnsi="Palatino Linotype" w:cs="Tahoma"/>
          <w:bCs/>
          <w:lang w:val="es-ES" w:eastAsia="en-US"/>
        </w:rPr>
      </w:pPr>
    </w:p>
    <w:p w14:paraId="0A615419" w14:textId="77777777" w:rsidR="00801EA2" w:rsidRPr="00591DC7" w:rsidRDefault="00801EA2" w:rsidP="00801EA2">
      <w:pPr>
        <w:tabs>
          <w:tab w:val="left" w:pos="851"/>
        </w:tabs>
        <w:spacing w:after="0" w:line="360" w:lineRule="auto"/>
        <w:ind w:left="567" w:right="-93"/>
        <w:jc w:val="both"/>
        <w:rPr>
          <w:rFonts w:ascii="Palatino Linotype" w:hAnsi="Palatino Linotype" w:cs="Tahoma"/>
          <w:bCs/>
          <w:lang w:val="es-ES" w:eastAsia="en-US"/>
        </w:rPr>
      </w:pPr>
      <w:r w:rsidRPr="00591DC7">
        <w:rPr>
          <w:rFonts w:ascii="Palatino Linotype" w:hAnsi="Palatino Linotype" w:cs="Tahoma"/>
          <w:bCs/>
          <w:lang w:val="es-ES" w:eastAsia="en-US"/>
        </w:rPr>
        <w:t>Así mismo, dicho diccionario estipula dos tipos de Claves catastrales, siendo estas la Estándar y la Original, cuyo diccionario de datos catastrales Escala 1:1000 del INEGI, las define como</w:t>
      </w:r>
    </w:p>
    <w:p w14:paraId="52E40C70" w14:textId="77777777" w:rsidR="00801EA2" w:rsidRPr="00591DC7" w:rsidRDefault="00801EA2" w:rsidP="00801EA2">
      <w:pPr>
        <w:tabs>
          <w:tab w:val="left" w:pos="851"/>
        </w:tabs>
        <w:spacing w:after="0" w:line="360" w:lineRule="auto"/>
        <w:ind w:left="567" w:right="-93"/>
        <w:jc w:val="both"/>
        <w:rPr>
          <w:rFonts w:ascii="Palatino Linotype" w:hAnsi="Palatino Linotype" w:cs="Tahoma"/>
          <w:bCs/>
          <w:lang w:val="es-ES" w:eastAsia="en-US"/>
        </w:rPr>
      </w:pPr>
    </w:p>
    <w:p w14:paraId="11BDF7DC" w14:textId="77777777" w:rsidR="00801EA2" w:rsidRPr="00591DC7" w:rsidRDefault="00801EA2" w:rsidP="00801EA2">
      <w:pPr>
        <w:tabs>
          <w:tab w:val="left" w:pos="851"/>
        </w:tabs>
        <w:spacing w:after="0" w:line="276" w:lineRule="auto"/>
        <w:ind w:left="567" w:right="539"/>
        <w:jc w:val="both"/>
        <w:rPr>
          <w:rFonts w:ascii="Palatino Linotype" w:hAnsi="Palatino Linotype" w:cs="Tahoma"/>
          <w:bCs/>
          <w:i/>
          <w:lang w:val="es-ES" w:eastAsia="en-US"/>
        </w:rPr>
      </w:pPr>
      <w:r w:rsidRPr="00591DC7">
        <w:rPr>
          <w:rFonts w:ascii="Palatino Linotype" w:hAnsi="Palatino Linotype" w:cs="Tahoma"/>
          <w:bCs/>
          <w:i/>
          <w:lang w:val="es-ES" w:eastAsia="en-US"/>
        </w:rPr>
        <w:t>“</w:t>
      </w:r>
      <w:r w:rsidRPr="00591DC7">
        <w:rPr>
          <w:rFonts w:ascii="Palatino Linotype" w:hAnsi="Palatino Linotype" w:cs="Tahoma"/>
          <w:b/>
          <w:bCs/>
          <w:i/>
          <w:lang w:val="es-ES" w:eastAsia="en-US"/>
        </w:rPr>
        <w:t xml:space="preserve">CLAVE CATASTRAL ESTÁNDAR: </w:t>
      </w:r>
      <w:r w:rsidRPr="00591DC7">
        <w:rPr>
          <w:rFonts w:ascii="Palatino Linotype" w:hAnsi="Palatino Linotype" w:cs="Tahoma"/>
          <w:bCs/>
          <w:i/>
          <w:lang w:val="es-ES" w:eastAsia="en-US"/>
        </w:rPr>
        <w:t xml:space="preserve">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591DC7">
        <w:rPr>
          <w:rFonts w:ascii="Palatino Linotype" w:hAnsi="Palatino Linotype" w:cs="Tahoma"/>
          <w:bCs/>
          <w:i/>
          <w:lang w:val="es-ES" w:eastAsia="en-US"/>
        </w:rPr>
        <w:t>Manzana(</w:t>
      </w:r>
      <w:proofErr w:type="gramEnd"/>
      <w:r w:rsidRPr="00591DC7">
        <w:rPr>
          <w:rFonts w:ascii="Palatino Linotype" w:hAnsi="Palatino Linotype" w:cs="Tahoma"/>
          <w:bCs/>
          <w:i/>
          <w:lang w:val="es-ES" w:eastAsia="en-US"/>
        </w:rPr>
        <w:t>3) + Predio (5) +  Condominio: edificio (2) y unidad (4).</w:t>
      </w:r>
    </w:p>
    <w:p w14:paraId="3FDA7E3A" w14:textId="77777777" w:rsidR="00801EA2" w:rsidRPr="00591DC7" w:rsidRDefault="00801EA2" w:rsidP="00801EA2">
      <w:pPr>
        <w:tabs>
          <w:tab w:val="left" w:pos="851"/>
        </w:tabs>
        <w:spacing w:after="0" w:line="360" w:lineRule="auto"/>
        <w:ind w:left="567" w:right="539"/>
        <w:jc w:val="both"/>
        <w:rPr>
          <w:rFonts w:ascii="Palatino Linotype" w:hAnsi="Palatino Linotype" w:cs="Tahoma"/>
          <w:bCs/>
          <w:i/>
          <w:lang w:val="es-ES" w:eastAsia="en-US"/>
        </w:rPr>
      </w:pPr>
    </w:p>
    <w:p w14:paraId="3C293F9A" w14:textId="77777777" w:rsidR="00801EA2" w:rsidRPr="00591DC7" w:rsidRDefault="00801EA2" w:rsidP="00801EA2">
      <w:pPr>
        <w:tabs>
          <w:tab w:val="left" w:pos="851"/>
        </w:tabs>
        <w:spacing w:after="0" w:line="276" w:lineRule="auto"/>
        <w:ind w:left="567" w:right="539"/>
        <w:jc w:val="both"/>
        <w:rPr>
          <w:rFonts w:ascii="Palatino Linotype" w:hAnsi="Palatino Linotype" w:cs="Tahoma"/>
          <w:b/>
          <w:bCs/>
          <w:i/>
          <w:lang w:val="es-ES" w:eastAsia="en-US"/>
        </w:rPr>
      </w:pPr>
      <w:r w:rsidRPr="00591DC7">
        <w:rPr>
          <w:rFonts w:ascii="Palatino Linotype" w:hAnsi="Palatino Linotype" w:cs="Tahoma"/>
          <w:b/>
          <w:bCs/>
          <w:i/>
          <w:lang w:val="es-ES" w:eastAsia="en-US"/>
        </w:rPr>
        <w:t xml:space="preserve">CLAVE CATASTRAL ORIGINAL: </w:t>
      </w:r>
      <w:r w:rsidRPr="00591DC7">
        <w:rPr>
          <w:rFonts w:ascii="Palatino Linotype" w:hAnsi="Palatino Linotype" w:cs="Tahoma"/>
          <w:bCs/>
          <w:i/>
          <w:lang w:val="es-ES" w:eastAsia="en-US"/>
        </w:rPr>
        <w:t>Código que identifica al objeto espacial el cual es asignado, por el Catastro Estatal, Municipal o por el registro Agrario Nacional”</w:t>
      </w:r>
      <w:r w:rsidRPr="00591DC7">
        <w:rPr>
          <w:rFonts w:ascii="Palatino Linotype" w:hAnsi="Palatino Linotype" w:cs="Tahoma"/>
          <w:b/>
          <w:bCs/>
          <w:i/>
          <w:lang w:val="es-ES" w:eastAsia="en-US"/>
        </w:rPr>
        <w:t xml:space="preserve"> </w:t>
      </w:r>
    </w:p>
    <w:p w14:paraId="1579CA32" w14:textId="77777777" w:rsidR="00801EA2" w:rsidRPr="00591DC7" w:rsidRDefault="00801EA2" w:rsidP="00801EA2">
      <w:pPr>
        <w:tabs>
          <w:tab w:val="left" w:pos="851"/>
        </w:tabs>
        <w:spacing w:after="0" w:line="360" w:lineRule="auto"/>
        <w:ind w:left="567" w:right="-93"/>
        <w:jc w:val="both"/>
        <w:rPr>
          <w:rFonts w:ascii="Palatino Linotype" w:hAnsi="Palatino Linotype" w:cs="Tahoma"/>
          <w:bCs/>
          <w:lang w:val="es-ES" w:eastAsia="en-US"/>
        </w:rPr>
      </w:pPr>
    </w:p>
    <w:p w14:paraId="7C4E8C12" w14:textId="77777777" w:rsidR="00801EA2" w:rsidRPr="00591DC7" w:rsidRDefault="00801EA2" w:rsidP="00801EA2">
      <w:pPr>
        <w:tabs>
          <w:tab w:val="left" w:pos="851"/>
        </w:tabs>
        <w:spacing w:after="0" w:line="360" w:lineRule="auto"/>
        <w:ind w:left="567" w:right="-93"/>
        <w:jc w:val="both"/>
        <w:rPr>
          <w:rFonts w:ascii="Palatino Linotype" w:hAnsi="Palatino Linotype" w:cs="Tahoma"/>
          <w:b/>
          <w:bCs/>
          <w:lang w:val="es-ES" w:eastAsia="en-US"/>
        </w:rPr>
      </w:pPr>
      <w:r w:rsidRPr="00591DC7">
        <w:rPr>
          <w:rFonts w:ascii="Palatino Linotype" w:hAnsi="Palatino Linotype" w:cs="Tahoma"/>
          <w:bCs/>
          <w:lang w:val="es-ES" w:eastAsia="en-US"/>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w:t>
      </w:r>
      <w:r w:rsidRPr="00591DC7">
        <w:rPr>
          <w:rFonts w:ascii="Palatino Linotype" w:hAnsi="Palatino Linotype" w:cs="Tahoma"/>
          <w:bCs/>
          <w:lang w:val="es-ES" w:eastAsia="en-US"/>
        </w:rPr>
        <w:lastRenderedPageBreak/>
        <w:t xml:space="preserve">inherente al patrimonio del propietario de dicho predio o inmueble, por lo que de igual manera </w:t>
      </w:r>
      <w:r w:rsidRPr="00591DC7">
        <w:rPr>
          <w:rFonts w:ascii="Palatino Linotype" w:hAnsi="Palatino Linotype" w:cs="Tahoma"/>
          <w:b/>
          <w:bCs/>
          <w:lang w:val="es-ES" w:eastAsia="en-US"/>
        </w:rPr>
        <w:t>procede a clasificar dicho dato como confidencial.</w:t>
      </w:r>
    </w:p>
    <w:p w14:paraId="272F0EB1" w14:textId="77777777" w:rsidR="00801EA2" w:rsidRPr="00591DC7" w:rsidRDefault="00801EA2" w:rsidP="00801EA2">
      <w:pPr>
        <w:spacing w:after="0" w:line="360" w:lineRule="auto"/>
        <w:jc w:val="both"/>
        <w:rPr>
          <w:rFonts w:ascii="Palatino Linotype" w:hAnsi="Palatino Linotype" w:cs="Tahoma"/>
          <w:bCs/>
          <w:color w:val="000000"/>
          <w:sz w:val="24"/>
          <w:lang w:eastAsia="es-ES"/>
        </w:rPr>
      </w:pPr>
    </w:p>
    <w:p w14:paraId="5127BFB1" w14:textId="35CF93D9" w:rsidR="00801EA2" w:rsidRPr="00591DC7" w:rsidRDefault="00801EA2" w:rsidP="00801EA2">
      <w:pPr>
        <w:spacing w:after="0" w:line="360" w:lineRule="auto"/>
        <w:jc w:val="both"/>
        <w:rPr>
          <w:rFonts w:ascii="Palatino Linotype" w:hAnsi="Palatino Linotype" w:cs="Tahoma"/>
          <w:bCs/>
          <w:color w:val="000000"/>
          <w:sz w:val="24"/>
          <w:lang w:eastAsia="es-ES"/>
        </w:rPr>
      </w:pPr>
      <w:r w:rsidRPr="00591DC7">
        <w:rPr>
          <w:rFonts w:ascii="Palatino Linotype" w:hAnsi="Palatino Linotype" w:cs="Tahoma"/>
          <w:bCs/>
          <w:color w:val="000000"/>
          <w:sz w:val="24"/>
          <w:lang w:eastAsia="es-ES"/>
        </w:rPr>
        <w:t>Por lo tanto, el Ente Recurrido, no observó la Ley de Transparencia y Acceso a la Información Pública del Estado de México y Municipios y la Ley de Protección de Datos Personales en Posesión de Sujetos Obligados del Estado de México y Municipios.</w:t>
      </w:r>
    </w:p>
    <w:p w14:paraId="7CF1DAAA" w14:textId="77777777" w:rsidR="00801EA2" w:rsidRPr="00591DC7" w:rsidRDefault="00801EA2" w:rsidP="00801EA2">
      <w:pPr>
        <w:spacing w:after="0" w:line="360" w:lineRule="auto"/>
        <w:jc w:val="both"/>
        <w:rPr>
          <w:rFonts w:ascii="Palatino Linotype" w:hAnsi="Palatino Linotype" w:cs="Tahoma"/>
          <w:bCs/>
          <w:color w:val="000000"/>
          <w:sz w:val="24"/>
          <w:lang w:eastAsia="es-ES"/>
        </w:rPr>
      </w:pPr>
    </w:p>
    <w:p w14:paraId="655EA524" w14:textId="77777777" w:rsidR="00801EA2" w:rsidRPr="00591DC7" w:rsidRDefault="00801EA2" w:rsidP="00801EA2">
      <w:pPr>
        <w:spacing w:after="0" w:line="360" w:lineRule="auto"/>
        <w:jc w:val="both"/>
        <w:rPr>
          <w:rFonts w:ascii="Palatino Linotype" w:hAnsi="Palatino Linotype" w:cs="Tahoma"/>
          <w:bCs/>
          <w:color w:val="000000"/>
          <w:sz w:val="24"/>
          <w:lang w:eastAsia="es-ES"/>
        </w:rPr>
      </w:pPr>
      <w:r w:rsidRPr="00591DC7">
        <w:rPr>
          <w:rFonts w:ascii="Palatino Linotype" w:hAnsi="Palatino Linotype" w:cs="Tahoma"/>
          <w:bCs/>
          <w:color w:val="000000"/>
          <w:sz w:val="24"/>
          <w:lang w:eastAsia="es-ES"/>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0688DE61" w14:textId="77777777" w:rsidR="00801EA2" w:rsidRPr="00591DC7" w:rsidRDefault="00801EA2" w:rsidP="00801EA2">
      <w:pPr>
        <w:spacing w:after="0" w:line="360" w:lineRule="auto"/>
        <w:ind w:right="49"/>
        <w:jc w:val="both"/>
        <w:rPr>
          <w:rFonts w:ascii="Palatino Linotype" w:eastAsia="Palatino Linotype" w:hAnsi="Palatino Linotype" w:cs="Palatino Linotype"/>
        </w:rPr>
      </w:pPr>
    </w:p>
    <w:p w14:paraId="7314E404" w14:textId="4DA20D76" w:rsidR="00801EA2" w:rsidRPr="00591DC7" w:rsidRDefault="00801EA2" w:rsidP="00801EA2">
      <w:pPr>
        <w:spacing w:after="0" w:line="360" w:lineRule="auto"/>
        <w:ind w:right="49"/>
        <w:jc w:val="both"/>
        <w:rPr>
          <w:rFonts w:ascii="Palatino Linotype" w:eastAsia="Palatino Linotype" w:hAnsi="Palatino Linotype" w:cs="Palatino Linotype"/>
          <w:b/>
          <w:sz w:val="24"/>
        </w:rPr>
      </w:pPr>
      <w:r w:rsidRPr="00591DC7">
        <w:rPr>
          <w:rFonts w:ascii="Palatino Linotype" w:eastAsia="Palatino Linotype" w:hAnsi="Palatino Linotype" w:cs="Palatino Linotype"/>
          <w:sz w:val="24"/>
        </w:rPr>
        <w:t xml:space="preserve">Es así como, en mérito de lo expuesto en líneas anteriores, resultan parcialmente fundadas las razones o motivos de inconformidad hechos valer por la parte </w:t>
      </w:r>
      <w:r w:rsidRPr="00591DC7">
        <w:rPr>
          <w:rFonts w:ascii="Palatino Linotype" w:eastAsia="Palatino Linotype" w:hAnsi="Palatino Linotype" w:cs="Palatino Linotype"/>
          <w:b/>
          <w:sz w:val="24"/>
        </w:rPr>
        <w:t>RECURRENTE</w:t>
      </w:r>
      <w:r w:rsidRPr="00591DC7">
        <w:rPr>
          <w:rFonts w:ascii="Palatino Linotype" w:eastAsia="Palatino Linotype" w:hAnsi="Palatino Linotype" w:cs="Palatino Linotype"/>
          <w:sz w:val="24"/>
        </w:rPr>
        <w:t xml:space="preserve"> dentro del recurso de revisión </w:t>
      </w:r>
      <w:r w:rsidRPr="00591DC7">
        <w:rPr>
          <w:rFonts w:ascii="Palatino Linotype" w:eastAsia="Palatino Linotype" w:hAnsi="Palatino Linotype" w:cs="Palatino Linotype"/>
          <w:b/>
          <w:sz w:val="24"/>
        </w:rPr>
        <w:t>06974/INFOEM/IP/RR/2023</w:t>
      </w:r>
      <w:r w:rsidRPr="00591DC7">
        <w:rPr>
          <w:rFonts w:ascii="Palatino Linotype" w:eastAsia="Palatino Linotype" w:hAnsi="Palatino Linotype" w:cs="Palatino Linotype"/>
          <w:sz w:val="24"/>
        </w:rPr>
        <w:t xml:space="preserve">; por ello, y con fundamento en la fracción III del numeral 186 de la Ley de Transparencia y Acceso a la Información Pública del Estado de México y Municipios, por lo que se </w:t>
      </w:r>
      <w:r w:rsidRPr="00591DC7">
        <w:rPr>
          <w:rFonts w:ascii="Palatino Linotype" w:eastAsia="Palatino Linotype" w:hAnsi="Palatino Linotype" w:cs="Palatino Linotype"/>
          <w:b/>
          <w:sz w:val="24"/>
        </w:rPr>
        <w:t xml:space="preserve">MODIFICA </w:t>
      </w:r>
      <w:r w:rsidRPr="00591DC7">
        <w:rPr>
          <w:rFonts w:ascii="Palatino Linotype" w:eastAsia="Palatino Linotype" w:hAnsi="Palatino Linotype" w:cs="Palatino Linotype"/>
          <w:sz w:val="24"/>
        </w:rPr>
        <w:t xml:space="preserve">la respuesta del </w:t>
      </w:r>
      <w:r w:rsidRPr="00591DC7">
        <w:rPr>
          <w:rFonts w:ascii="Palatino Linotype" w:eastAsia="Palatino Linotype" w:hAnsi="Palatino Linotype" w:cs="Palatino Linotype"/>
          <w:b/>
          <w:sz w:val="24"/>
        </w:rPr>
        <w:t xml:space="preserve">SUJETO OBLIGADO </w:t>
      </w:r>
      <w:r w:rsidRPr="00591DC7">
        <w:rPr>
          <w:rFonts w:ascii="Palatino Linotype" w:eastAsia="Palatino Linotype" w:hAnsi="Palatino Linotype" w:cs="Palatino Linotype"/>
          <w:sz w:val="24"/>
        </w:rPr>
        <w:t xml:space="preserve">a la solicitud de información </w:t>
      </w:r>
      <w:r w:rsidRPr="00591DC7">
        <w:rPr>
          <w:rFonts w:ascii="Palatino Linotype" w:eastAsia="Palatino Linotype" w:hAnsi="Palatino Linotype" w:cs="Palatino Linotype"/>
          <w:b/>
          <w:sz w:val="24"/>
        </w:rPr>
        <w:t>00443/SMOV/IP/2023</w:t>
      </w:r>
      <w:r w:rsidRPr="00591DC7">
        <w:rPr>
          <w:rFonts w:ascii="Palatino Linotype" w:eastAsia="Palatino Linotype" w:hAnsi="Palatino Linotype" w:cs="Palatino Linotype"/>
          <w:sz w:val="24"/>
        </w:rPr>
        <w:t xml:space="preserve">.  </w:t>
      </w:r>
      <w:r w:rsidRPr="00591DC7">
        <w:rPr>
          <w:rFonts w:ascii="Palatino Linotype" w:eastAsia="Palatino Linotype" w:hAnsi="Palatino Linotype" w:cs="Palatino Linotype"/>
          <w:b/>
          <w:sz w:val="24"/>
        </w:rPr>
        <w:t xml:space="preserve"> </w:t>
      </w:r>
    </w:p>
    <w:p w14:paraId="346A74F0" w14:textId="77777777" w:rsidR="00801EA2" w:rsidRPr="00591DC7" w:rsidRDefault="00801EA2" w:rsidP="00801EA2">
      <w:pPr>
        <w:spacing w:after="0" w:line="360" w:lineRule="auto"/>
        <w:ind w:right="49"/>
        <w:jc w:val="both"/>
        <w:rPr>
          <w:rFonts w:ascii="Palatino Linotype" w:eastAsia="Palatino Linotype" w:hAnsi="Palatino Linotype" w:cs="Palatino Linotype"/>
        </w:rPr>
      </w:pPr>
    </w:p>
    <w:p w14:paraId="6DB23984" w14:textId="7767BB41" w:rsidR="0089546B" w:rsidRPr="00591DC7" w:rsidRDefault="0012412C">
      <w:pPr>
        <w:spacing w:after="0" w:line="360" w:lineRule="auto"/>
        <w:ind w:right="49"/>
        <w:jc w:val="both"/>
        <w:rPr>
          <w:rFonts w:ascii="Palatino Linotype" w:eastAsia="Palatino Linotype" w:hAnsi="Palatino Linotype" w:cs="Palatino Linotype"/>
          <w:bCs/>
          <w:sz w:val="24"/>
          <w:szCs w:val="24"/>
        </w:rPr>
      </w:pPr>
      <w:r w:rsidRPr="00591DC7">
        <w:rPr>
          <w:rFonts w:ascii="Palatino Linotype" w:eastAsia="Palatino Linotype" w:hAnsi="Palatino Linotype" w:cs="Palatino Linotype"/>
          <w:bCs/>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4379690" w14:textId="77777777" w:rsidR="00801EA2" w:rsidRPr="00591DC7" w:rsidRDefault="00801EA2">
      <w:pPr>
        <w:spacing w:after="0" w:line="360" w:lineRule="auto"/>
        <w:ind w:right="49"/>
        <w:jc w:val="both"/>
        <w:rPr>
          <w:rFonts w:ascii="Palatino Linotype" w:eastAsia="Palatino Linotype" w:hAnsi="Palatino Linotype" w:cs="Palatino Linotype"/>
          <w:bCs/>
          <w:sz w:val="24"/>
          <w:szCs w:val="24"/>
        </w:rPr>
      </w:pPr>
    </w:p>
    <w:p w14:paraId="0A838F4F" w14:textId="77777777" w:rsidR="00F8557D" w:rsidRPr="00591DC7" w:rsidRDefault="00646B44">
      <w:pPr>
        <w:spacing w:after="0" w:line="360" w:lineRule="auto"/>
        <w:ind w:right="49"/>
        <w:jc w:val="center"/>
        <w:rPr>
          <w:rFonts w:ascii="Palatino Linotype" w:eastAsia="Palatino Linotype" w:hAnsi="Palatino Linotype" w:cs="Palatino Linotype"/>
          <w:b/>
          <w:sz w:val="24"/>
          <w:szCs w:val="24"/>
        </w:rPr>
      </w:pPr>
      <w:r w:rsidRPr="00591DC7">
        <w:rPr>
          <w:rFonts w:ascii="Palatino Linotype" w:eastAsia="Palatino Linotype" w:hAnsi="Palatino Linotype" w:cs="Palatino Linotype"/>
          <w:b/>
          <w:sz w:val="24"/>
          <w:szCs w:val="24"/>
        </w:rPr>
        <w:t>III.</w:t>
      </w:r>
      <w:r w:rsidRPr="00591DC7">
        <w:rPr>
          <w:rFonts w:ascii="Palatino Linotype" w:eastAsia="Palatino Linotype" w:hAnsi="Palatino Linotype" w:cs="Palatino Linotype"/>
          <w:b/>
          <w:sz w:val="24"/>
          <w:szCs w:val="24"/>
        </w:rPr>
        <w:tab/>
        <w:t>R E S U E L V E:</w:t>
      </w:r>
    </w:p>
    <w:p w14:paraId="741D8D48" w14:textId="77777777" w:rsidR="00F8557D" w:rsidRPr="00591DC7" w:rsidRDefault="00F8557D">
      <w:pPr>
        <w:spacing w:after="0" w:line="360" w:lineRule="auto"/>
        <w:ind w:right="49"/>
        <w:jc w:val="both"/>
        <w:rPr>
          <w:rFonts w:ascii="Palatino Linotype" w:eastAsia="Palatino Linotype" w:hAnsi="Palatino Linotype" w:cs="Palatino Linotype"/>
          <w:sz w:val="24"/>
          <w:szCs w:val="24"/>
        </w:rPr>
      </w:pPr>
    </w:p>
    <w:p w14:paraId="6F0C2A61" w14:textId="51EB5ED6" w:rsidR="00801EA2" w:rsidRPr="00591DC7" w:rsidRDefault="00801EA2" w:rsidP="00801EA2">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b/>
          <w:sz w:val="24"/>
          <w:szCs w:val="24"/>
        </w:rPr>
        <w:t>Primero.</w:t>
      </w:r>
      <w:r w:rsidRPr="00591DC7">
        <w:rPr>
          <w:rFonts w:ascii="Palatino Linotype" w:eastAsia="Palatino Linotype" w:hAnsi="Palatino Linotype" w:cs="Palatino Linotype"/>
          <w:sz w:val="24"/>
          <w:szCs w:val="24"/>
        </w:rPr>
        <w:t xml:space="preserve"> Resultan</w:t>
      </w:r>
      <w:r w:rsidRPr="00591DC7">
        <w:rPr>
          <w:rFonts w:ascii="Palatino Linotype" w:eastAsia="Palatino Linotype" w:hAnsi="Palatino Linotype" w:cs="Palatino Linotype"/>
          <w:b/>
          <w:sz w:val="24"/>
          <w:szCs w:val="24"/>
        </w:rPr>
        <w:t xml:space="preserve"> PARCIALMENTE FUNDADOS</w:t>
      </w:r>
      <w:r w:rsidRPr="00591DC7">
        <w:rPr>
          <w:rFonts w:ascii="Palatino Linotype" w:eastAsia="Palatino Linotype" w:hAnsi="Palatino Linotype" w:cs="Palatino Linotype"/>
          <w:sz w:val="24"/>
          <w:szCs w:val="24"/>
        </w:rPr>
        <w:t xml:space="preserve"> los motivos de inconformidad hechos valer por la parte </w:t>
      </w:r>
      <w:r w:rsidRPr="00591DC7">
        <w:rPr>
          <w:rFonts w:ascii="Palatino Linotype" w:eastAsia="Palatino Linotype" w:hAnsi="Palatino Linotype" w:cs="Palatino Linotype"/>
          <w:b/>
          <w:sz w:val="24"/>
          <w:szCs w:val="24"/>
        </w:rPr>
        <w:t>RECURRENTE</w:t>
      </w:r>
      <w:r w:rsidRPr="00591DC7">
        <w:rPr>
          <w:rFonts w:ascii="Palatino Linotype" w:eastAsia="Palatino Linotype" w:hAnsi="Palatino Linotype" w:cs="Palatino Linotype"/>
          <w:sz w:val="24"/>
          <w:szCs w:val="24"/>
        </w:rPr>
        <w:t xml:space="preserve"> en el Recurso de Revisión </w:t>
      </w:r>
      <w:r w:rsidRPr="00591DC7">
        <w:rPr>
          <w:rFonts w:ascii="Palatino Linotype" w:eastAsia="Palatino Linotype" w:hAnsi="Palatino Linotype" w:cs="Palatino Linotype"/>
          <w:b/>
          <w:sz w:val="24"/>
          <w:szCs w:val="24"/>
        </w:rPr>
        <w:t>06974/INFOEM/IP/RR/2023</w:t>
      </w:r>
      <w:r w:rsidRPr="00591DC7">
        <w:rPr>
          <w:rFonts w:ascii="Palatino Linotype" w:eastAsia="Palatino Linotype" w:hAnsi="Palatino Linotype" w:cs="Palatino Linotype"/>
          <w:sz w:val="24"/>
          <w:szCs w:val="24"/>
        </w:rPr>
        <w:t xml:space="preserve">, por lo que, en términos del </w:t>
      </w:r>
      <w:r w:rsidRPr="00591DC7">
        <w:rPr>
          <w:rFonts w:ascii="Palatino Linotype" w:eastAsia="Palatino Linotype" w:hAnsi="Palatino Linotype" w:cs="Palatino Linotype"/>
          <w:b/>
          <w:sz w:val="24"/>
          <w:szCs w:val="24"/>
        </w:rPr>
        <w:t>Considerando Cuarto</w:t>
      </w:r>
      <w:r w:rsidRPr="00591DC7">
        <w:rPr>
          <w:rFonts w:ascii="Palatino Linotype" w:eastAsia="Palatino Linotype" w:hAnsi="Palatino Linotype" w:cs="Palatino Linotype"/>
          <w:sz w:val="24"/>
          <w:szCs w:val="24"/>
        </w:rPr>
        <w:t xml:space="preserve"> de esta resolución, se </w:t>
      </w:r>
      <w:r w:rsidRPr="00591DC7">
        <w:rPr>
          <w:rFonts w:ascii="Palatino Linotype" w:eastAsia="Palatino Linotype" w:hAnsi="Palatino Linotype" w:cs="Palatino Linotype"/>
          <w:b/>
          <w:sz w:val="24"/>
          <w:szCs w:val="24"/>
        </w:rPr>
        <w:t>MODIFICA</w:t>
      </w:r>
      <w:r w:rsidRPr="00591DC7">
        <w:rPr>
          <w:rFonts w:ascii="Palatino Linotype" w:eastAsia="Palatino Linotype" w:hAnsi="Palatino Linotype" w:cs="Palatino Linotype"/>
          <w:sz w:val="24"/>
          <w:szCs w:val="24"/>
        </w:rPr>
        <w:t xml:space="preserve"> la respuesta emitida por el </w:t>
      </w:r>
      <w:r w:rsidRPr="00591DC7">
        <w:rPr>
          <w:rFonts w:ascii="Palatino Linotype" w:eastAsia="Palatino Linotype" w:hAnsi="Palatino Linotype" w:cs="Palatino Linotype"/>
          <w:b/>
          <w:sz w:val="24"/>
          <w:szCs w:val="24"/>
        </w:rPr>
        <w:t>SUJETO OBLIGADO</w:t>
      </w:r>
      <w:r w:rsidRPr="00591DC7">
        <w:rPr>
          <w:rFonts w:ascii="Palatino Linotype" w:eastAsia="Palatino Linotype" w:hAnsi="Palatino Linotype" w:cs="Palatino Linotype"/>
          <w:sz w:val="24"/>
          <w:szCs w:val="24"/>
        </w:rPr>
        <w:t>.</w:t>
      </w:r>
    </w:p>
    <w:p w14:paraId="40C2B410" w14:textId="77777777" w:rsidR="00801EA2" w:rsidRPr="00591DC7" w:rsidRDefault="00801EA2" w:rsidP="00801EA2">
      <w:pPr>
        <w:spacing w:after="0" w:line="360" w:lineRule="auto"/>
        <w:ind w:right="49"/>
        <w:jc w:val="both"/>
        <w:rPr>
          <w:rFonts w:ascii="Palatino Linotype" w:eastAsia="Palatino Linotype" w:hAnsi="Palatino Linotype" w:cs="Palatino Linotype"/>
          <w:sz w:val="24"/>
          <w:szCs w:val="24"/>
        </w:rPr>
      </w:pPr>
    </w:p>
    <w:p w14:paraId="0882A827" w14:textId="4FD07B70" w:rsidR="00801EA2" w:rsidRPr="00591DC7" w:rsidRDefault="00801EA2" w:rsidP="00801EA2">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b/>
          <w:sz w:val="24"/>
          <w:szCs w:val="24"/>
        </w:rPr>
        <w:t>Segundo</w:t>
      </w:r>
      <w:r w:rsidRPr="00591DC7">
        <w:rPr>
          <w:rFonts w:ascii="Palatino Linotype" w:eastAsia="Palatino Linotype" w:hAnsi="Palatino Linotype" w:cs="Palatino Linotype"/>
          <w:sz w:val="24"/>
          <w:szCs w:val="24"/>
        </w:rPr>
        <w:t xml:space="preserve">. Se </w:t>
      </w:r>
      <w:r w:rsidRPr="00591DC7">
        <w:rPr>
          <w:rFonts w:ascii="Palatino Linotype" w:eastAsia="Palatino Linotype" w:hAnsi="Palatino Linotype" w:cs="Palatino Linotype"/>
          <w:b/>
          <w:sz w:val="24"/>
          <w:szCs w:val="24"/>
        </w:rPr>
        <w:t>ORDENA</w:t>
      </w:r>
      <w:r w:rsidRPr="00591DC7">
        <w:rPr>
          <w:rFonts w:ascii="Palatino Linotype" w:eastAsia="Palatino Linotype" w:hAnsi="Palatino Linotype" w:cs="Palatino Linotype"/>
          <w:sz w:val="24"/>
          <w:szCs w:val="24"/>
        </w:rPr>
        <w:t xml:space="preserve"> al </w:t>
      </w:r>
      <w:r w:rsidRPr="00591DC7">
        <w:rPr>
          <w:rFonts w:ascii="Palatino Linotype" w:eastAsia="Palatino Linotype" w:hAnsi="Palatino Linotype" w:cs="Palatino Linotype"/>
          <w:b/>
          <w:sz w:val="24"/>
          <w:szCs w:val="24"/>
        </w:rPr>
        <w:t>SUJETO OBLIGADO</w:t>
      </w:r>
      <w:r w:rsidRPr="00591DC7">
        <w:rPr>
          <w:rFonts w:ascii="Palatino Linotype" w:eastAsia="Palatino Linotype" w:hAnsi="Palatino Linotype" w:cs="Palatino Linotype"/>
          <w:sz w:val="24"/>
          <w:szCs w:val="24"/>
        </w:rPr>
        <w:t xml:space="preserve"> a que, en términos del Considerando Cuarto y Quinto, haga entrega, vía Sistema de Acceso a la Información Mexiquense,</w:t>
      </w:r>
      <w:r w:rsidR="006B225D" w:rsidRPr="00591DC7">
        <w:rPr>
          <w:rFonts w:ascii="Palatino Linotype" w:eastAsia="Palatino Linotype" w:hAnsi="Palatino Linotype" w:cs="Palatino Linotype"/>
          <w:sz w:val="24"/>
          <w:szCs w:val="24"/>
        </w:rPr>
        <w:t xml:space="preserve"> en </w:t>
      </w:r>
      <w:r w:rsidR="006B225D" w:rsidRPr="00591DC7">
        <w:rPr>
          <w:rFonts w:ascii="Palatino Linotype" w:eastAsia="Palatino Linotype" w:hAnsi="Palatino Linotype" w:cs="Palatino Linotype"/>
          <w:b/>
          <w:sz w:val="24"/>
          <w:szCs w:val="24"/>
        </w:rPr>
        <w:t>versión pública correcta</w:t>
      </w:r>
      <w:r w:rsidR="006B225D" w:rsidRPr="00591DC7">
        <w:rPr>
          <w:rFonts w:ascii="Palatino Linotype" w:eastAsia="Palatino Linotype" w:hAnsi="Palatino Linotype" w:cs="Palatino Linotype"/>
          <w:sz w:val="24"/>
          <w:szCs w:val="24"/>
        </w:rPr>
        <w:t>,</w:t>
      </w:r>
      <w:r w:rsidRPr="00591DC7">
        <w:rPr>
          <w:rFonts w:ascii="Palatino Linotype" w:eastAsia="Palatino Linotype" w:hAnsi="Palatino Linotype" w:cs="Palatino Linotype"/>
          <w:sz w:val="24"/>
          <w:szCs w:val="24"/>
        </w:rPr>
        <w:t xml:space="preserve"> </w:t>
      </w:r>
      <w:bookmarkStart w:id="1" w:name="_heading=h.1fob9te" w:colFirst="0" w:colLast="0"/>
      <w:bookmarkEnd w:id="1"/>
      <w:r w:rsidRPr="00591DC7">
        <w:rPr>
          <w:rFonts w:ascii="Palatino Linotype" w:eastAsia="Palatino Linotype" w:hAnsi="Palatino Linotype" w:cs="Palatino Linotype"/>
          <w:sz w:val="24"/>
          <w:szCs w:val="24"/>
        </w:rPr>
        <w:t>de lo siguiente:</w:t>
      </w:r>
    </w:p>
    <w:p w14:paraId="17798795" w14:textId="77777777" w:rsidR="00801EA2" w:rsidRPr="00591DC7" w:rsidRDefault="00801EA2" w:rsidP="00801EA2">
      <w:pPr>
        <w:spacing w:after="0" w:line="360" w:lineRule="auto"/>
        <w:ind w:right="49"/>
        <w:jc w:val="both"/>
        <w:rPr>
          <w:rFonts w:ascii="Palatino Linotype" w:eastAsia="Palatino Linotype" w:hAnsi="Palatino Linotype" w:cs="Palatino Linotype"/>
          <w:sz w:val="24"/>
          <w:szCs w:val="24"/>
        </w:rPr>
      </w:pPr>
    </w:p>
    <w:p w14:paraId="56ACB8CA" w14:textId="13E34D44" w:rsidR="006B225D" w:rsidRPr="00591DC7" w:rsidRDefault="006B225D" w:rsidP="00801EA2">
      <w:pPr>
        <w:pStyle w:val="Prrafodelista"/>
        <w:numPr>
          <w:ilvl w:val="0"/>
          <w:numId w:val="23"/>
        </w:numPr>
        <w:spacing w:after="0" w:line="360" w:lineRule="auto"/>
        <w:ind w:left="567" w:right="49"/>
        <w:jc w:val="both"/>
        <w:rPr>
          <w:rFonts w:ascii="Palatino Linotype" w:eastAsia="Palatino Linotype" w:hAnsi="Palatino Linotype" w:cs="Palatino Linotype"/>
        </w:rPr>
      </w:pPr>
      <w:r w:rsidRPr="00591DC7">
        <w:rPr>
          <w:rFonts w:ascii="Palatino Linotype" w:eastAsia="Palatino Linotype" w:hAnsi="Palatino Linotype" w:cs="Palatino Linotype"/>
          <w:sz w:val="24"/>
          <w:szCs w:val="24"/>
        </w:rPr>
        <w:t xml:space="preserve">Evaluaciones Técnicas de Impacto en Materia Vial, remitidas en respuesta. </w:t>
      </w:r>
    </w:p>
    <w:p w14:paraId="1D850A27" w14:textId="77777777" w:rsidR="006B225D" w:rsidRPr="00591DC7" w:rsidRDefault="006B225D" w:rsidP="006B225D">
      <w:pPr>
        <w:pStyle w:val="Prrafodelista"/>
        <w:spacing w:after="0" w:line="360" w:lineRule="auto"/>
        <w:ind w:left="567" w:right="49"/>
        <w:jc w:val="both"/>
        <w:rPr>
          <w:rFonts w:ascii="Palatino Linotype" w:eastAsia="Palatino Linotype" w:hAnsi="Palatino Linotype" w:cs="Palatino Linotype"/>
        </w:rPr>
      </w:pPr>
    </w:p>
    <w:p w14:paraId="182CBCD3" w14:textId="006E8C5E" w:rsidR="00801EA2" w:rsidRPr="00591DC7" w:rsidRDefault="00801EA2" w:rsidP="006B225D">
      <w:pPr>
        <w:spacing w:after="0" w:line="276" w:lineRule="auto"/>
        <w:ind w:left="567" w:right="701"/>
        <w:jc w:val="both"/>
        <w:rPr>
          <w:rFonts w:ascii="Palatino Linotype" w:eastAsia="Palatino Linotype" w:hAnsi="Palatino Linotype" w:cs="Palatino Linotype"/>
          <w:i/>
        </w:rPr>
      </w:pPr>
      <w:r w:rsidRPr="00591DC7">
        <w:rPr>
          <w:rFonts w:ascii="Palatino Linotype" w:eastAsia="Palatino Linotype" w:hAnsi="Palatino Linotype" w:cs="Palatino Linotype"/>
          <w:i/>
        </w:rPr>
        <w:t xml:space="preserve">Acuerdo emitido por el Comité de Transparencia, en donde de manera fundada y motivada, se confirme la versión pública de las Evaluaciones Técnicas de Impacto en materia Vial, en términos de los artículos 49, fracción II, 132, fracción II, 143, fracción I, y 149 de la Ley de Transparencia y Acceso a la Información Pública del Estado de México y Municipios. </w:t>
      </w:r>
    </w:p>
    <w:p w14:paraId="33C96006" w14:textId="77777777" w:rsidR="00620976" w:rsidRPr="00591DC7" w:rsidRDefault="00620976" w:rsidP="00620976">
      <w:pPr>
        <w:pStyle w:val="Prrafodelista"/>
        <w:spacing w:after="0" w:line="360" w:lineRule="auto"/>
        <w:ind w:left="567" w:right="49"/>
        <w:jc w:val="both"/>
        <w:rPr>
          <w:rFonts w:ascii="Palatino Linotype" w:eastAsia="Palatino Linotype" w:hAnsi="Palatino Linotype" w:cs="Palatino Linotype"/>
        </w:rPr>
      </w:pPr>
    </w:p>
    <w:p w14:paraId="0754AA7F" w14:textId="77777777" w:rsidR="00801EA2" w:rsidRPr="00591DC7" w:rsidRDefault="00801EA2" w:rsidP="00801EA2">
      <w:pPr>
        <w:spacing w:after="0" w:line="360" w:lineRule="auto"/>
        <w:ind w:right="49"/>
        <w:jc w:val="both"/>
        <w:rPr>
          <w:rFonts w:ascii="Palatino Linotype" w:eastAsia="Palatino Linotype" w:hAnsi="Palatino Linotype" w:cs="Palatino Linotype"/>
          <w:sz w:val="24"/>
        </w:rPr>
      </w:pPr>
      <w:r w:rsidRPr="00591DC7">
        <w:rPr>
          <w:rFonts w:ascii="Palatino Linotype" w:eastAsia="Palatino Linotype" w:hAnsi="Palatino Linotype" w:cs="Palatino Linotype"/>
          <w:b/>
          <w:sz w:val="24"/>
        </w:rPr>
        <w:lastRenderedPageBreak/>
        <w:t>Tercero.</w:t>
      </w:r>
      <w:r w:rsidRPr="00591DC7">
        <w:rPr>
          <w:rFonts w:ascii="Palatino Linotype" w:eastAsia="Palatino Linotype" w:hAnsi="Palatino Linotype" w:cs="Palatino Linotype"/>
          <w:sz w:val="24"/>
        </w:rPr>
        <w:t xml:space="preserve"> </w:t>
      </w:r>
      <w:r w:rsidRPr="00591DC7">
        <w:rPr>
          <w:rFonts w:ascii="Palatino Linotype" w:eastAsia="Palatino Linotype" w:hAnsi="Palatino Linotype" w:cs="Palatino Linotype"/>
          <w:b/>
          <w:sz w:val="24"/>
        </w:rPr>
        <w:t xml:space="preserve">Notifíquese </w:t>
      </w:r>
      <w:r w:rsidRPr="00591DC7">
        <w:rPr>
          <w:rFonts w:ascii="Palatino Linotype" w:eastAsia="Palatino Linotype" w:hAnsi="Palatino Linotype" w:cs="Palatino Linotype"/>
          <w:sz w:val="24"/>
        </w:rPr>
        <w:t>la presente resolución al T</w:t>
      </w:r>
      <w:r w:rsidRPr="00591DC7">
        <w:rPr>
          <w:rFonts w:ascii="Palatino Linotype" w:eastAsia="Palatino Linotype" w:hAnsi="Palatino Linotype" w:cs="Palatino Linotype"/>
          <w:b/>
          <w:sz w:val="24"/>
        </w:rPr>
        <w:t xml:space="preserve">itular de la Unidad de Transparencia </w:t>
      </w:r>
      <w:r w:rsidRPr="00591DC7">
        <w:rPr>
          <w:rFonts w:ascii="Palatino Linotype" w:eastAsia="Palatino Linotype" w:hAnsi="Palatino Linotype" w:cs="Palatino Linotype"/>
          <w:sz w:val="24"/>
        </w:rPr>
        <w:t xml:space="preserve">del </w:t>
      </w:r>
      <w:r w:rsidRPr="00591DC7">
        <w:rPr>
          <w:rFonts w:ascii="Palatino Linotype" w:eastAsia="Palatino Linotype" w:hAnsi="Palatino Linotype" w:cs="Palatino Linotype"/>
          <w:b/>
          <w:sz w:val="24"/>
        </w:rPr>
        <w:t>SUJETO OBLIGADO</w:t>
      </w:r>
      <w:r w:rsidRPr="00591DC7">
        <w:rPr>
          <w:rFonts w:ascii="Palatino Linotype" w:eastAsia="Palatino Linotype" w:hAnsi="Palatino Linotype" w:cs="Palatino Linotype"/>
          <w:sz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67617245" w14:textId="77777777" w:rsidR="00801EA2" w:rsidRPr="00591DC7" w:rsidRDefault="00801EA2" w:rsidP="00801EA2">
      <w:pPr>
        <w:spacing w:after="0" w:line="360" w:lineRule="auto"/>
        <w:ind w:right="49"/>
        <w:jc w:val="both"/>
        <w:rPr>
          <w:rFonts w:ascii="Palatino Linotype" w:eastAsia="Palatino Linotype" w:hAnsi="Palatino Linotype" w:cs="Palatino Linotype"/>
          <w:sz w:val="24"/>
        </w:rPr>
      </w:pPr>
    </w:p>
    <w:p w14:paraId="561D7452" w14:textId="77777777" w:rsidR="00801EA2" w:rsidRPr="00591DC7" w:rsidRDefault="00801EA2" w:rsidP="00801EA2">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b/>
          <w:sz w:val="24"/>
          <w:szCs w:val="24"/>
        </w:rPr>
        <w:t>Cuarto.</w:t>
      </w:r>
      <w:r w:rsidRPr="00591DC7">
        <w:rPr>
          <w:rFonts w:ascii="Palatino Linotype" w:eastAsia="Palatino Linotype" w:hAnsi="Palatino Linotype" w:cs="Palatino Linotype"/>
          <w:sz w:val="24"/>
          <w:szCs w:val="24"/>
        </w:rPr>
        <w:t xml:space="preserve"> </w:t>
      </w:r>
      <w:r w:rsidRPr="00591DC7">
        <w:rPr>
          <w:rFonts w:ascii="Palatino Linotype" w:eastAsia="Palatino Linotype" w:hAnsi="Palatino Linotype" w:cs="Palatino Linotype"/>
          <w:b/>
          <w:sz w:val="24"/>
          <w:szCs w:val="24"/>
        </w:rPr>
        <w:t>Notifíquese vía SAIMEX</w:t>
      </w:r>
      <w:r w:rsidRPr="00591DC7">
        <w:rPr>
          <w:rFonts w:ascii="Palatino Linotype" w:eastAsia="Palatino Linotype" w:hAnsi="Palatino Linotype" w:cs="Palatino Linotype"/>
          <w:sz w:val="24"/>
          <w:szCs w:val="24"/>
        </w:rPr>
        <w:t xml:space="preserve"> a la parte </w:t>
      </w:r>
      <w:r w:rsidRPr="00591DC7">
        <w:rPr>
          <w:rFonts w:ascii="Palatino Linotype" w:eastAsia="Palatino Linotype" w:hAnsi="Palatino Linotype" w:cs="Palatino Linotype"/>
          <w:b/>
          <w:sz w:val="24"/>
          <w:szCs w:val="24"/>
        </w:rPr>
        <w:t xml:space="preserve">RECURRENTE </w:t>
      </w:r>
      <w:r w:rsidRPr="00591DC7">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430451BE" w14:textId="77777777" w:rsidR="00801EA2" w:rsidRPr="00591DC7" w:rsidRDefault="00801EA2" w:rsidP="00801EA2">
      <w:pPr>
        <w:spacing w:after="0" w:line="360" w:lineRule="auto"/>
        <w:ind w:right="49"/>
        <w:jc w:val="both"/>
        <w:rPr>
          <w:rFonts w:ascii="Palatino Linotype" w:eastAsia="Palatino Linotype" w:hAnsi="Palatino Linotype" w:cs="Palatino Linotype"/>
          <w:sz w:val="24"/>
          <w:szCs w:val="24"/>
        </w:rPr>
      </w:pPr>
    </w:p>
    <w:p w14:paraId="17C0CBB4" w14:textId="77777777" w:rsidR="00801EA2" w:rsidRPr="00591DC7" w:rsidRDefault="00801EA2" w:rsidP="00801EA2">
      <w:pPr>
        <w:spacing w:after="0" w:line="360" w:lineRule="auto"/>
        <w:ind w:right="49"/>
        <w:jc w:val="both"/>
        <w:rPr>
          <w:rFonts w:ascii="Palatino Linotype" w:eastAsia="Palatino Linotype" w:hAnsi="Palatino Linotype" w:cs="Palatino Linotype"/>
          <w:sz w:val="24"/>
          <w:szCs w:val="24"/>
        </w:rPr>
      </w:pPr>
      <w:r w:rsidRPr="00591DC7">
        <w:rPr>
          <w:rFonts w:ascii="Palatino Linotype" w:eastAsia="Palatino Linotype" w:hAnsi="Palatino Linotype" w:cs="Palatino Linotype"/>
          <w:b/>
          <w:sz w:val="24"/>
          <w:szCs w:val="24"/>
        </w:rPr>
        <w:t>Quinto.</w:t>
      </w:r>
      <w:r w:rsidRPr="00591DC7">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591DC7">
        <w:rPr>
          <w:rFonts w:ascii="Palatino Linotype" w:eastAsia="Palatino Linotype" w:hAnsi="Palatino Linotype" w:cs="Palatino Linotype"/>
          <w:b/>
          <w:sz w:val="24"/>
          <w:szCs w:val="24"/>
        </w:rPr>
        <w:t>SUJETO OBLIGADO</w:t>
      </w:r>
      <w:r w:rsidRPr="00591DC7">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A537E86" w14:textId="77777777" w:rsidR="00801EA2" w:rsidRPr="00591DC7" w:rsidRDefault="00801EA2" w:rsidP="00801EA2">
      <w:pPr>
        <w:spacing w:after="0" w:line="360" w:lineRule="auto"/>
        <w:ind w:right="49"/>
        <w:jc w:val="both"/>
        <w:rPr>
          <w:rFonts w:ascii="Palatino Linotype" w:eastAsia="Palatino Linotype" w:hAnsi="Palatino Linotype" w:cs="Palatino Linotype"/>
          <w:sz w:val="24"/>
          <w:szCs w:val="24"/>
        </w:rPr>
      </w:pPr>
    </w:p>
    <w:p w14:paraId="0EA4E53E" w14:textId="4F758F75" w:rsidR="00801EA2" w:rsidRPr="00591DC7" w:rsidRDefault="00801EA2" w:rsidP="00620976">
      <w:pPr>
        <w:spacing w:after="0" w:line="360" w:lineRule="auto"/>
        <w:ind w:right="49"/>
        <w:jc w:val="both"/>
        <w:rPr>
          <w:rFonts w:ascii="Palatino Linotype" w:eastAsia="Palatino Linotype" w:hAnsi="Palatino Linotype" w:cs="Palatino Linotype"/>
          <w:sz w:val="24"/>
        </w:rPr>
      </w:pPr>
      <w:r w:rsidRPr="00591DC7">
        <w:rPr>
          <w:rFonts w:ascii="Palatino Linotype" w:eastAsia="Palatino Linotype" w:hAnsi="Palatino Linotype" w:cs="Palatino Linotype"/>
          <w:b/>
          <w:sz w:val="24"/>
        </w:rPr>
        <w:t>Sexto.</w:t>
      </w:r>
      <w:r w:rsidRPr="00591DC7">
        <w:rPr>
          <w:rFonts w:ascii="Palatino Linotype" w:eastAsia="Palatino Linotype" w:hAnsi="Palatino Linotype" w:cs="Palatino Linotype"/>
          <w:sz w:val="24"/>
        </w:rPr>
        <w:t xml:space="preserve"> </w:t>
      </w:r>
      <w:r w:rsidRPr="00591DC7">
        <w:rPr>
          <w:rFonts w:ascii="Palatino Linotype" w:eastAsia="Palatino Linotype" w:hAnsi="Palatino Linotype" w:cs="Palatino Linotype"/>
          <w:b/>
          <w:sz w:val="24"/>
        </w:rPr>
        <w:t xml:space="preserve">GÍRESE </w:t>
      </w:r>
      <w:r w:rsidRPr="00591DC7">
        <w:rPr>
          <w:rFonts w:ascii="Palatino Linotype" w:eastAsia="Palatino Linotype" w:hAnsi="Palatino Linotype" w:cs="Palatino Linotype"/>
          <w:sz w:val="24"/>
        </w:rPr>
        <w:t xml:space="preserve">oficio a la Dirección de Protección de Datos Personales de este Instituto para hacer de su conocimiento la presente resolución, a fin de que en ejercicio </w:t>
      </w:r>
      <w:r w:rsidRPr="00591DC7">
        <w:rPr>
          <w:rFonts w:ascii="Palatino Linotype" w:eastAsia="Palatino Linotype" w:hAnsi="Palatino Linotype" w:cs="Palatino Linotype"/>
          <w:sz w:val="24"/>
        </w:rPr>
        <w:lastRenderedPageBreak/>
        <w:t>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2DEF90D0" w14:textId="77777777" w:rsidR="00620976" w:rsidRPr="00591DC7" w:rsidRDefault="00620976" w:rsidP="00620976">
      <w:pPr>
        <w:spacing w:after="0" w:line="360" w:lineRule="auto"/>
        <w:ind w:right="49"/>
        <w:jc w:val="both"/>
        <w:rPr>
          <w:rFonts w:ascii="Palatino Linotype" w:eastAsia="Palatino Linotype" w:hAnsi="Palatino Linotype" w:cs="Palatino Linotype"/>
          <w:sz w:val="24"/>
        </w:rPr>
      </w:pPr>
    </w:p>
    <w:p w14:paraId="0026736C" w14:textId="54FC655B" w:rsidR="00F8557D" w:rsidRDefault="00646B44">
      <w:pPr>
        <w:spacing w:after="0" w:line="360" w:lineRule="auto"/>
        <w:ind w:right="49"/>
        <w:jc w:val="both"/>
        <w:rPr>
          <w:rFonts w:ascii="Palatino Linotype" w:eastAsia="Palatino Linotype" w:hAnsi="Palatino Linotype" w:cs="Palatino Linotype"/>
          <w:sz w:val="24"/>
        </w:rPr>
      </w:pPr>
      <w:r w:rsidRPr="00591DC7">
        <w:rPr>
          <w:rFonts w:ascii="Palatino Linotype" w:eastAsia="Palatino Linotype" w:hAnsi="Palatino Linotype" w:cs="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D2222" w:rsidRPr="00591DC7">
        <w:rPr>
          <w:rFonts w:ascii="Palatino Linotype" w:eastAsia="Palatino Linotype" w:hAnsi="Palatino Linotype" w:cs="Palatino Linotype"/>
          <w:sz w:val="24"/>
        </w:rPr>
        <w:t>,</w:t>
      </w:r>
      <w:r w:rsidR="007F1309" w:rsidRPr="00591DC7">
        <w:rPr>
          <w:rFonts w:ascii="Palatino Linotype" w:eastAsia="Palatino Linotype" w:hAnsi="Palatino Linotype" w:cs="Palatino Linotype"/>
          <w:sz w:val="24"/>
        </w:rPr>
        <w:t xml:space="preserve"> EMITIENDO VOTO PARTICULAR</w:t>
      </w:r>
      <w:r w:rsidRPr="00591DC7">
        <w:rPr>
          <w:rFonts w:ascii="Palatino Linotype" w:eastAsia="Palatino Linotype" w:hAnsi="Palatino Linotype" w:cs="Palatino Linotype"/>
          <w:sz w:val="24"/>
        </w:rPr>
        <w:t xml:space="preserve"> Y GUADALUPE RAMÍREZ PEÑA; EN LA </w:t>
      </w:r>
      <w:r w:rsidR="00620976" w:rsidRPr="00591DC7">
        <w:rPr>
          <w:rFonts w:ascii="Palatino Linotype" w:eastAsia="Palatino Linotype" w:hAnsi="Palatino Linotype" w:cs="Palatino Linotype"/>
          <w:sz w:val="24"/>
        </w:rPr>
        <w:t xml:space="preserve">DÉCIMA PRIMERA </w:t>
      </w:r>
      <w:r w:rsidR="00B16261" w:rsidRPr="00591DC7">
        <w:rPr>
          <w:rFonts w:ascii="Palatino Linotype" w:eastAsia="Palatino Linotype" w:hAnsi="Palatino Linotype" w:cs="Palatino Linotype"/>
          <w:sz w:val="24"/>
        </w:rPr>
        <w:t xml:space="preserve">SESIÓN ORDINARIA </w:t>
      </w:r>
      <w:r w:rsidR="008A2F73" w:rsidRPr="00591DC7">
        <w:rPr>
          <w:rFonts w:ascii="Palatino Linotype" w:eastAsia="Palatino Linotype" w:hAnsi="Palatino Linotype" w:cs="Palatino Linotype"/>
          <w:sz w:val="24"/>
        </w:rPr>
        <w:t xml:space="preserve">CELEBRADA </w:t>
      </w:r>
      <w:r w:rsidR="00620976" w:rsidRPr="00591DC7">
        <w:rPr>
          <w:rFonts w:ascii="Palatino Linotype" w:eastAsia="Palatino Linotype" w:hAnsi="Palatino Linotype" w:cs="Palatino Linotype"/>
          <w:sz w:val="24"/>
        </w:rPr>
        <w:t xml:space="preserve">EL TRES DE ABRIL </w:t>
      </w:r>
      <w:r w:rsidRPr="00591DC7">
        <w:rPr>
          <w:rFonts w:ascii="Palatino Linotype" w:eastAsia="Palatino Linotype" w:hAnsi="Palatino Linotype" w:cs="Palatino Linotype"/>
          <w:sz w:val="24"/>
        </w:rPr>
        <w:t>DE DOS MIL VEINTI</w:t>
      </w:r>
      <w:r w:rsidR="0012412C" w:rsidRPr="00591DC7">
        <w:rPr>
          <w:rFonts w:ascii="Palatino Linotype" w:eastAsia="Palatino Linotype" w:hAnsi="Palatino Linotype" w:cs="Palatino Linotype"/>
          <w:sz w:val="24"/>
        </w:rPr>
        <w:t>CUATRO</w:t>
      </w:r>
      <w:r w:rsidRPr="00591DC7">
        <w:rPr>
          <w:rFonts w:ascii="Palatino Linotype" w:eastAsia="Palatino Linotype" w:hAnsi="Palatino Linotype" w:cs="Palatino Linotype"/>
          <w:sz w:val="24"/>
        </w:rPr>
        <w:t>, ANTE EL SECRETARIO TÉCNICO DEL PLENO ALEXIS TAPIA RAMÍRE</w:t>
      </w:r>
      <w:r w:rsidR="008A2F73" w:rsidRPr="00591DC7">
        <w:rPr>
          <w:rFonts w:ascii="Palatino Linotype" w:eastAsia="Palatino Linotype" w:hAnsi="Palatino Linotype" w:cs="Palatino Linotype"/>
          <w:sz w:val="24"/>
        </w:rPr>
        <w:t>Z.</w:t>
      </w:r>
    </w:p>
    <w:p w14:paraId="79A9C453" w14:textId="00DDACFA" w:rsidR="006D2222" w:rsidRDefault="006D2222">
      <w:pPr>
        <w:spacing w:after="0" w:line="360" w:lineRule="auto"/>
        <w:ind w:right="49"/>
        <w:jc w:val="both"/>
        <w:rPr>
          <w:rFonts w:ascii="Palatino Linotype" w:eastAsia="Palatino Linotype" w:hAnsi="Palatino Linotype" w:cs="Palatino Linotype"/>
          <w:sz w:val="24"/>
        </w:rPr>
      </w:pPr>
    </w:p>
    <w:p w14:paraId="53419A02" w14:textId="16BE187F" w:rsidR="006D2222" w:rsidRDefault="006D2222">
      <w:pPr>
        <w:spacing w:after="0" w:line="360" w:lineRule="auto"/>
        <w:ind w:right="49"/>
        <w:jc w:val="both"/>
        <w:rPr>
          <w:rFonts w:ascii="Palatino Linotype" w:eastAsia="Palatino Linotype" w:hAnsi="Palatino Linotype" w:cs="Palatino Linotype"/>
          <w:sz w:val="24"/>
        </w:rPr>
      </w:pPr>
    </w:p>
    <w:p w14:paraId="15BE6FF2" w14:textId="45D9460B" w:rsidR="006D2222" w:rsidRDefault="006D2222">
      <w:pPr>
        <w:spacing w:after="0" w:line="360" w:lineRule="auto"/>
        <w:ind w:right="49"/>
        <w:jc w:val="both"/>
        <w:rPr>
          <w:rFonts w:ascii="Palatino Linotype" w:eastAsia="Palatino Linotype" w:hAnsi="Palatino Linotype" w:cs="Palatino Linotype"/>
          <w:sz w:val="24"/>
        </w:rPr>
      </w:pPr>
    </w:p>
    <w:p w14:paraId="3B60F780" w14:textId="1203CBBC" w:rsidR="006D2222" w:rsidRDefault="006D2222">
      <w:pPr>
        <w:spacing w:after="0" w:line="360" w:lineRule="auto"/>
        <w:ind w:right="49"/>
        <w:jc w:val="both"/>
        <w:rPr>
          <w:rFonts w:ascii="Palatino Linotype" w:eastAsia="Palatino Linotype" w:hAnsi="Palatino Linotype" w:cs="Palatino Linotype"/>
          <w:sz w:val="24"/>
        </w:rPr>
      </w:pPr>
    </w:p>
    <w:p w14:paraId="36ABA3CB" w14:textId="71B77AEF" w:rsidR="006D2222" w:rsidRDefault="006D2222">
      <w:pPr>
        <w:spacing w:after="0" w:line="360" w:lineRule="auto"/>
        <w:ind w:right="49"/>
        <w:jc w:val="both"/>
        <w:rPr>
          <w:rFonts w:ascii="Palatino Linotype" w:eastAsia="Palatino Linotype" w:hAnsi="Palatino Linotype" w:cs="Palatino Linotype"/>
          <w:sz w:val="24"/>
        </w:rPr>
      </w:pPr>
    </w:p>
    <w:p w14:paraId="26F41B03" w14:textId="7DBD030D" w:rsidR="006D2222" w:rsidRDefault="006D2222">
      <w:pPr>
        <w:spacing w:after="0" w:line="360" w:lineRule="auto"/>
        <w:ind w:right="49"/>
        <w:jc w:val="both"/>
        <w:rPr>
          <w:rFonts w:ascii="Palatino Linotype" w:eastAsia="Palatino Linotype" w:hAnsi="Palatino Linotype" w:cs="Palatino Linotype"/>
          <w:sz w:val="24"/>
        </w:rPr>
      </w:pPr>
    </w:p>
    <w:p w14:paraId="572AF611" w14:textId="262EDD31" w:rsidR="006D2222" w:rsidRDefault="006D2222">
      <w:pPr>
        <w:spacing w:after="0" w:line="360" w:lineRule="auto"/>
        <w:ind w:right="49"/>
        <w:jc w:val="both"/>
        <w:rPr>
          <w:rFonts w:ascii="Palatino Linotype" w:eastAsia="Palatino Linotype" w:hAnsi="Palatino Linotype" w:cs="Palatino Linotype"/>
          <w:sz w:val="24"/>
        </w:rPr>
      </w:pPr>
    </w:p>
    <w:p w14:paraId="6EE873AB" w14:textId="66AA6346" w:rsidR="006D2222" w:rsidRDefault="006D2222">
      <w:pPr>
        <w:spacing w:after="0" w:line="360" w:lineRule="auto"/>
        <w:ind w:right="49"/>
        <w:jc w:val="both"/>
        <w:rPr>
          <w:rFonts w:ascii="Palatino Linotype" w:eastAsia="Palatino Linotype" w:hAnsi="Palatino Linotype" w:cs="Palatino Linotype"/>
          <w:sz w:val="24"/>
        </w:rPr>
      </w:pPr>
    </w:p>
    <w:p w14:paraId="31AF73E2" w14:textId="32FD7DD1" w:rsidR="006D2222" w:rsidRDefault="006D2222">
      <w:pPr>
        <w:spacing w:after="0" w:line="360" w:lineRule="auto"/>
        <w:ind w:right="49"/>
        <w:jc w:val="both"/>
        <w:rPr>
          <w:rFonts w:ascii="Palatino Linotype" w:eastAsia="Palatino Linotype" w:hAnsi="Palatino Linotype" w:cs="Palatino Linotype"/>
          <w:sz w:val="24"/>
        </w:rPr>
      </w:pPr>
    </w:p>
    <w:p w14:paraId="41D0972A" w14:textId="7A43F0BC" w:rsidR="006D2222" w:rsidRDefault="006D2222">
      <w:pPr>
        <w:spacing w:after="0" w:line="360" w:lineRule="auto"/>
        <w:ind w:right="49"/>
        <w:jc w:val="both"/>
        <w:rPr>
          <w:rFonts w:ascii="Palatino Linotype" w:eastAsia="Palatino Linotype" w:hAnsi="Palatino Linotype" w:cs="Palatino Linotype"/>
          <w:sz w:val="24"/>
        </w:rPr>
      </w:pPr>
    </w:p>
    <w:p w14:paraId="1B774B45" w14:textId="4A8F49FE" w:rsidR="006D2222" w:rsidRDefault="006D2222">
      <w:pPr>
        <w:spacing w:after="0" w:line="360" w:lineRule="auto"/>
        <w:ind w:right="49"/>
        <w:jc w:val="both"/>
        <w:rPr>
          <w:rFonts w:ascii="Palatino Linotype" w:eastAsia="Palatino Linotype" w:hAnsi="Palatino Linotype" w:cs="Palatino Linotype"/>
          <w:sz w:val="24"/>
        </w:rPr>
      </w:pPr>
    </w:p>
    <w:p w14:paraId="76166A64" w14:textId="77777777" w:rsidR="006D2222" w:rsidRPr="00CF6D17" w:rsidRDefault="006D2222">
      <w:pPr>
        <w:spacing w:after="0" w:line="360" w:lineRule="auto"/>
        <w:ind w:right="49"/>
        <w:jc w:val="both"/>
        <w:rPr>
          <w:rFonts w:ascii="Palatino Linotype" w:eastAsia="Palatino Linotype" w:hAnsi="Palatino Linotype" w:cs="Palatino Linotype"/>
          <w:sz w:val="28"/>
          <w:szCs w:val="24"/>
        </w:rPr>
      </w:pPr>
    </w:p>
    <w:sectPr w:rsidR="006D2222" w:rsidRPr="00CF6D17">
      <w:headerReference w:type="default" r:id="rId21"/>
      <w:footerReference w:type="default" r:id="rId22"/>
      <w:headerReference w:type="first" r:id="rId23"/>
      <w:footerReference w:type="first" r:id="rId2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2B60" w14:textId="77777777" w:rsidR="007A201B" w:rsidRDefault="007A201B">
      <w:pPr>
        <w:spacing w:after="0" w:line="240" w:lineRule="auto"/>
      </w:pPr>
      <w:r>
        <w:separator/>
      </w:r>
    </w:p>
  </w:endnote>
  <w:endnote w:type="continuationSeparator" w:id="0">
    <w:p w14:paraId="7BD4CE21" w14:textId="77777777" w:rsidR="007A201B" w:rsidRDefault="007A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C3D" w14:textId="3E616CA6" w:rsidR="00614110" w:rsidRDefault="0061411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01EC3">
      <w:rPr>
        <w:b/>
        <w:noProof/>
        <w:color w:val="000000"/>
        <w:sz w:val="24"/>
        <w:szCs w:val="24"/>
      </w:rPr>
      <w:t>30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01EC3">
      <w:rPr>
        <w:b/>
        <w:noProof/>
        <w:color w:val="000000"/>
        <w:sz w:val="24"/>
        <w:szCs w:val="24"/>
      </w:rPr>
      <w:t>31</w:t>
    </w:r>
    <w:r>
      <w:rPr>
        <w:b/>
        <w:color w:val="000000"/>
        <w:sz w:val="24"/>
        <w:szCs w:val="24"/>
      </w:rPr>
      <w:fldChar w:fldCharType="end"/>
    </w:r>
  </w:p>
  <w:p w14:paraId="693219AA" w14:textId="77777777" w:rsidR="00614110" w:rsidRDefault="0061411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6C6E" w14:textId="3D27EFA9" w:rsidR="00614110" w:rsidRDefault="0061411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01EC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01EC3">
      <w:rPr>
        <w:b/>
        <w:noProof/>
        <w:color w:val="000000"/>
        <w:sz w:val="24"/>
        <w:szCs w:val="24"/>
      </w:rPr>
      <w:t>31</w:t>
    </w:r>
    <w:r>
      <w:rPr>
        <w:b/>
        <w:color w:val="000000"/>
        <w:sz w:val="24"/>
        <w:szCs w:val="24"/>
      </w:rPr>
      <w:fldChar w:fldCharType="end"/>
    </w:r>
  </w:p>
  <w:p w14:paraId="54B4B9F6" w14:textId="77777777" w:rsidR="00614110" w:rsidRDefault="0061411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9513" w14:textId="77777777" w:rsidR="007A201B" w:rsidRDefault="007A201B">
      <w:pPr>
        <w:spacing w:after="0" w:line="240" w:lineRule="auto"/>
      </w:pPr>
      <w:r>
        <w:separator/>
      </w:r>
    </w:p>
  </w:footnote>
  <w:footnote w:type="continuationSeparator" w:id="0">
    <w:p w14:paraId="26F4A851" w14:textId="77777777" w:rsidR="007A201B" w:rsidRDefault="007A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E2F0" w14:textId="77777777" w:rsidR="00614110" w:rsidRDefault="00614110">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3F5B294A" wp14:editId="274BBFD8">
          <wp:simplePos x="0" y="0"/>
          <wp:positionH relativeFrom="column">
            <wp:posOffset>-774700</wp:posOffset>
          </wp:positionH>
          <wp:positionV relativeFrom="paragraph">
            <wp:posOffset>-345440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614110" w14:paraId="3D10BF48" w14:textId="77777777" w:rsidTr="005D36E1">
      <w:tc>
        <w:tcPr>
          <w:tcW w:w="2551" w:type="dxa"/>
          <w:vAlign w:val="center"/>
        </w:tcPr>
        <w:p w14:paraId="3489D479" w14:textId="77777777"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45C724B8"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06974/INFOEM/IP/RR/2023</w:t>
          </w:r>
        </w:p>
      </w:tc>
    </w:tr>
    <w:tr w:rsidR="00614110" w14:paraId="537DBD70" w14:textId="77777777" w:rsidTr="005D36E1">
      <w:trPr>
        <w:trHeight w:val="55"/>
      </w:trPr>
      <w:tc>
        <w:tcPr>
          <w:tcW w:w="2551" w:type="dxa"/>
          <w:vAlign w:val="center"/>
        </w:tcPr>
        <w:p w14:paraId="43BFC658" w14:textId="5A7D2961"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F2903A6" w14:textId="4D01D60A" w:rsidR="00614110" w:rsidRDefault="00614110" w:rsidP="00B30C44">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Secretaría de Movilidad </w:t>
          </w:r>
        </w:p>
      </w:tc>
    </w:tr>
    <w:tr w:rsidR="00614110" w14:paraId="7D1FD3FE" w14:textId="77777777" w:rsidTr="005D36E1">
      <w:tc>
        <w:tcPr>
          <w:tcW w:w="2551" w:type="dxa"/>
          <w:vAlign w:val="center"/>
        </w:tcPr>
        <w:p w14:paraId="19D94C21" w14:textId="77777777"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614110" w:rsidRDefault="0061411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AB5" w14:textId="41683ED3" w:rsidR="00614110" w:rsidRDefault="00614110">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00B91A5" wp14:editId="55A59D4C">
          <wp:simplePos x="0" y="0"/>
          <wp:positionH relativeFrom="column">
            <wp:posOffset>-694690</wp:posOffset>
          </wp:positionH>
          <wp:positionV relativeFrom="paragraph">
            <wp:posOffset>-213995</wp:posOffset>
          </wp:positionV>
          <wp:extent cx="7809876" cy="10165823"/>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614110" w14:paraId="7C8FDD66" w14:textId="77777777" w:rsidTr="0012412C">
      <w:tc>
        <w:tcPr>
          <w:tcW w:w="2551" w:type="dxa"/>
          <w:vAlign w:val="center"/>
        </w:tcPr>
        <w:p w14:paraId="63FBC165" w14:textId="77777777"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68534008"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06974/INFOEM/IP/RR/2023</w:t>
          </w:r>
        </w:p>
      </w:tc>
    </w:tr>
    <w:tr w:rsidR="00614110" w14:paraId="44EE5E5E" w14:textId="77777777" w:rsidTr="0012412C">
      <w:tc>
        <w:tcPr>
          <w:tcW w:w="2551" w:type="dxa"/>
          <w:vAlign w:val="center"/>
        </w:tcPr>
        <w:p w14:paraId="362D8093" w14:textId="3B2964BD"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AAA5E3F" w14:textId="4FBF646B" w:rsidR="00614110" w:rsidRDefault="00614110" w:rsidP="00C26213">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614110" w14:paraId="62AB0F25" w14:textId="77777777" w:rsidTr="0012412C">
      <w:trPr>
        <w:trHeight w:val="55"/>
      </w:trPr>
      <w:tc>
        <w:tcPr>
          <w:tcW w:w="2551" w:type="dxa"/>
          <w:vAlign w:val="center"/>
        </w:tcPr>
        <w:p w14:paraId="31A709B4" w14:textId="451E02D0"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02BFD8D" w14:textId="08AF38AD" w:rsidR="00614110" w:rsidRDefault="00614110" w:rsidP="00494569">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Movilidad</w:t>
          </w:r>
        </w:p>
      </w:tc>
    </w:tr>
    <w:tr w:rsidR="00614110" w14:paraId="43D52849" w14:textId="77777777" w:rsidTr="0012412C">
      <w:tc>
        <w:tcPr>
          <w:tcW w:w="2551" w:type="dxa"/>
          <w:vAlign w:val="center"/>
        </w:tcPr>
        <w:p w14:paraId="5770E145" w14:textId="77777777"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614110" w:rsidRDefault="0061411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6C6D8A87" w:rsidR="00614110" w:rsidRDefault="00614110">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3E56"/>
    <w:multiLevelType w:val="hybridMultilevel"/>
    <w:tmpl w:val="3924A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2430E"/>
    <w:multiLevelType w:val="multilevel"/>
    <w:tmpl w:val="5816C52C"/>
    <w:lvl w:ilvl="0">
      <w:start w:val="1"/>
      <w:numFmt w:val="bullet"/>
      <w:lvlText w:val="●"/>
      <w:lvlJc w:val="left"/>
      <w:pPr>
        <w:ind w:left="780" w:hanging="360"/>
      </w:pPr>
      <w:rPr>
        <w:rFonts w:ascii="Palatino Linotype" w:eastAsia="Noto Sans Symbols" w:hAnsi="Palatino Linotype" w:cs="Noto Sans Symbols"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DD3254"/>
    <w:multiLevelType w:val="hybridMultilevel"/>
    <w:tmpl w:val="83D891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D306D82"/>
    <w:multiLevelType w:val="hybridMultilevel"/>
    <w:tmpl w:val="CEFE6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B05AF"/>
    <w:multiLevelType w:val="hybridMultilevel"/>
    <w:tmpl w:val="0A7EF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E1639F"/>
    <w:multiLevelType w:val="hybridMultilevel"/>
    <w:tmpl w:val="AA900AD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25BF5A92"/>
    <w:multiLevelType w:val="hybridMultilevel"/>
    <w:tmpl w:val="A0DED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656DE0"/>
    <w:multiLevelType w:val="multilevel"/>
    <w:tmpl w:val="43162E94"/>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FD26A3"/>
    <w:multiLevelType w:val="hybridMultilevel"/>
    <w:tmpl w:val="FD847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5B497E"/>
    <w:multiLevelType w:val="hybridMultilevel"/>
    <w:tmpl w:val="7B90A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32886"/>
    <w:multiLevelType w:val="multilevel"/>
    <w:tmpl w:val="CA000D12"/>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C40958"/>
    <w:multiLevelType w:val="multilevel"/>
    <w:tmpl w:val="49886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1B381B"/>
    <w:multiLevelType w:val="hybridMultilevel"/>
    <w:tmpl w:val="24F89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B95DB4"/>
    <w:multiLevelType w:val="hybridMultilevel"/>
    <w:tmpl w:val="E542CC1C"/>
    <w:lvl w:ilvl="0" w:tplc="E760F230">
      <w:start w:val="1"/>
      <w:numFmt w:val="bullet"/>
      <w:lvlText w:val=""/>
      <w:lvlJc w:val="left"/>
      <w:pPr>
        <w:ind w:left="720" w:hanging="360"/>
      </w:pPr>
      <w:rPr>
        <w:rFonts w:ascii="Symbol" w:hAnsi="Symbol" w:hint="default"/>
        <w:color w:val="auto"/>
      </w:rPr>
    </w:lvl>
    <w:lvl w:ilvl="1" w:tplc="A68AAD32">
      <w:numFmt w:val="bullet"/>
      <w:lvlText w:val="•"/>
      <w:lvlJc w:val="left"/>
      <w:pPr>
        <w:ind w:left="1440" w:hanging="360"/>
      </w:pPr>
      <w:rPr>
        <w:rFonts w:ascii="Palatino Linotype" w:eastAsia="Calibri" w:hAnsi="Palatino Linotype" w:cs="Calibri" w:hint="default"/>
      </w:rPr>
    </w:lvl>
    <w:lvl w:ilvl="2" w:tplc="E760F230">
      <w:start w:val="1"/>
      <w:numFmt w:val="bullet"/>
      <w:lvlText w:val=""/>
      <w:lvlJc w:val="left"/>
      <w:pPr>
        <w:ind w:left="2160" w:hanging="360"/>
      </w:pPr>
      <w:rPr>
        <w:rFonts w:ascii="Symbol" w:hAnsi="Symbol" w:hint="default"/>
        <w:color w:val="auto"/>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863717"/>
    <w:multiLevelType w:val="hybridMultilevel"/>
    <w:tmpl w:val="6E46D7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9833AA"/>
    <w:multiLevelType w:val="hybridMultilevel"/>
    <w:tmpl w:val="F2204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2B0E6F"/>
    <w:multiLevelType w:val="hybridMultilevel"/>
    <w:tmpl w:val="B06CA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650712"/>
    <w:multiLevelType w:val="hybridMultilevel"/>
    <w:tmpl w:val="81EEF3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4E4F7A"/>
    <w:multiLevelType w:val="multilevel"/>
    <w:tmpl w:val="951606CE"/>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9"/>
  </w:num>
  <w:num w:numId="3">
    <w:abstractNumId w:val="2"/>
  </w:num>
  <w:num w:numId="4">
    <w:abstractNumId w:val="22"/>
  </w:num>
  <w:num w:numId="5">
    <w:abstractNumId w:val="9"/>
  </w:num>
  <w:num w:numId="6">
    <w:abstractNumId w:val="18"/>
  </w:num>
  <w:num w:numId="7">
    <w:abstractNumId w:val="14"/>
  </w:num>
  <w:num w:numId="8">
    <w:abstractNumId w:val="16"/>
  </w:num>
  <w:num w:numId="9">
    <w:abstractNumId w:val="20"/>
  </w:num>
  <w:num w:numId="10">
    <w:abstractNumId w:val="7"/>
  </w:num>
  <w:num w:numId="11">
    <w:abstractNumId w:val="4"/>
  </w:num>
  <w:num w:numId="12">
    <w:abstractNumId w:val="13"/>
  </w:num>
  <w:num w:numId="13">
    <w:abstractNumId w:val="1"/>
  </w:num>
  <w:num w:numId="14">
    <w:abstractNumId w:val="5"/>
  </w:num>
  <w:num w:numId="15">
    <w:abstractNumId w:val="11"/>
  </w:num>
  <w:num w:numId="16">
    <w:abstractNumId w:val="0"/>
  </w:num>
  <w:num w:numId="17">
    <w:abstractNumId w:val="21"/>
  </w:num>
  <w:num w:numId="18">
    <w:abstractNumId w:val="8"/>
  </w:num>
  <w:num w:numId="19">
    <w:abstractNumId w:val="10"/>
  </w:num>
  <w:num w:numId="20">
    <w:abstractNumId w:val="17"/>
  </w:num>
  <w:num w:numId="21">
    <w:abstractNumId w:val="12"/>
  </w:num>
  <w:num w:numId="22">
    <w:abstractNumId w:val="24"/>
  </w:num>
  <w:num w:numId="23">
    <w:abstractNumId w:val="15"/>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7D"/>
    <w:rsid w:val="000158C1"/>
    <w:rsid w:val="000263F7"/>
    <w:rsid w:val="000B0378"/>
    <w:rsid w:val="000B3814"/>
    <w:rsid w:val="000D7EF5"/>
    <w:rsid w:val="000E2451"/>
    <w:rsid w:val="000E6F6E"/>
    <w:rsid w:val="00101EC3"/>
    <w:rsid w:val="0011723A"/>
    <w:rsid w:val="001178FE"/>
    <w:rsid w:val="001217EF"/>
    <w:rsid w:val="0012412C"/>
    <w:rsid w:val="001549F7"/>
    <w:rsid w:val="001A1D0D"/>
    <w:rsid w:val="001D15BB"/>
    <w:rsid w:val="001F2842"/>
    <w:rsid w:val="001F6AC1"/>
    <w:rsid w:val="001F6D1F"/>
    <w:rsid w:val="00203460"/>
    <w:rsid w:val="00285082"/>
    <w:rsid w:val="002B72A3"/>
    <w:rsid w:val="002F7FE6"/>
    <w:rsid w:val="00320092"/>
    <w:rsid w:val="0032615A"/>
    <w:rsid w:val="003355E2"/>
    <w:rsid w:val="00335687"/>
    <w:rsid w:val="003373DE"/>
    <w:rsid w:val="00337B2D"/>
    <w:rsid w:val="00347010"/>
    <w:rsid w:val="003932F1"/>
    <w:rsid w:val="004270DB"/>
    <w:rsid w:val="00432093"/>
    <w:rsid w:val="00440E52"/>
    <w:rsid w:val="00474AC6"/>
    <w:rsid w:val="00484D1B"/>
    <w:rsid w:val="00484D8B"/>
    <w:rsid w:val="00494569"/>
    <w:rsid w:val="004A222E"/>
    <w:rsid w:val="004D0E52"/>
    <w:rsid w:val="004E2E9F"/>
    <w:rsid w:val="00557138"/>
    <w:rsid w:val="00582034"/>
    <w:rsid w:val="00591DC7"/>
    <w:rsid w:val="005A6642"/>
    <w:rsid w:val="005D36E1"/>
    <w:rsid w:val="00614110"/>
    <w:rsid w:val="00617912"/>
    <w:rsid w:val="00620976"/>
    <w:rsid w:val="00634588"/>
    <w:rsid w:val="00646B44"/>
    <w:rsid w:val="0067569B"/>
    <w:rsid w:val="006B225D"/>
    <w:rsid w:val="006D2222"/>
    <w:rsid w:val="006E0D4C"/>
    <w:rsid w:val="0070149A"/>
    <w:rsid w:val="00710A08"/>
    <w:rsid w:val="00720498"/>
    <w:rsid w:val="00725848"/>
    <w:rsid w:val="007406BC"/>
    <w:rsid w:val="00744146"/>
    <w:rsid w:val="007466D1"/>
    <w:rsid w:val="007513A7"/>
    <w:rsid w:val="0078543E"/>
    <w:rsid w:val="0079579B"/>
    <w:rsid w:val="007A201B"/>
    <w:rsid w:val="007A513D"/>
    <w:rsid w:val="007F1309"/>
    <w:rsid w:val="00801EA2"/>
    <w:rsid w:val="00821D9E"/>
    <w:rsid w:val="008645E3"/>
    <w:rsid w:val="008701A3"/>
    <w:rsid w:val="008755B0"/>
    <w:rsid w:val="00886D95"/>
    <w:rsid w:val="0089546B"/>
    <w:rsid w:val="008A2F73"/>
    <w:rsid w:val="008C3A41"/>
    <w:rsid w:val="008C75BF"/>
    <w:rsid w:val="008C7B3C"/>
    <w:rsid w:val="008E6C40"/>
    <w:rsid w:val="0098482D"/>
    <w:rsid w:val="009916B4"/>
    <w:rsid w:val="009D4B61"/>
    <w:rsid w:val="009F5569"/>
    <w:rsid w:val="00A107AF"/>
    <w:rsid w:val="00A23CC3"/>
    <w:rsid w:val="00A27181"/>
    <w:rsid w:val="00A36275"/>
    <w:rsid w:val="00A53D3A"/>
    <w:rsid w:val="00A67115"/>
    <w:rsid w:val="00B02503"/>
    <w:rsid w:val="00B0437A"/>
    <w:rsid w:val="00B16261"/>
    <w:rsid w:val="00B20C99"/>
    <w:rsid w:val="00B30C44"/>
    <w:rsid w:val="00B46DDA"/>
    <w:rsid w:val="00B47BC2"/>
    <w:rsid w:val="00B540DB"/>
    <w:rsid w:val="00B63FC6"/>
    <w:rsid w:val="00BE63ED"/>
    <w:rsid w:val="00C139F0"/>
    <w:rsid w:val="00C166B9"/>
    <w:rsid w:val="00C26213"/>
    <w:rsid w:val="00C35E64"/>
    <w:rsid w:val="00C47567"/>
    <w:rsid w:val="00C575F9"/>
    <w:rsid w:val="00CA2CD1"/>
    <w:rsid w:val="00CF6D17"/>
    <w:rsid w:val="00D17EF1"/>
    <w:rsid w:val="00D36AD5"/>
    <w:rsid w:val="00D5603C"/>
    <w:rsid w:val="00D71106"/>
    <w:rsid w:val="00D80548"/>
    <w:rsid w:val="00DB71F7"/>
    <w:rsid w:val="00DC3392"/>
    <w:rsid w:val="00DE032B"/>
    <w:rsid w:val="00E2699F"/>
    <w:rsid w:val="00EC1E24"/>
    <w:rsid w:val="00EE0730"/>
    <w:rsid w:val="00F748AF"/>
    <w:rsid w:val="00F8557D"/>
    <w:rsid w:val="00F94730"/>
    <w:rsid w:val="00FB1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591FD"/>
  <w15:docId w15:val="{9F59D952-6ECE-4E76-B996-BC59277C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Tabladelista1clara-nfasis11">
    <w:name w:val="Tabla de lista 1 clara - Énfasis 11"/>
    <w:basedOn w:val="Tablanormal"/>
    <w:uiPriority w:val="46"/>
    <w:rsid w:val="005A6642"/>
    <w:pPr>
      <w:spacing w:after="0" w:line="240" w:lineRule="auto"/>
    </w:pPr>
    <w:rPr>
      <w:rFonts w:ascii="Times New Roman" w:eastAsia="MS Mincho" w:hAnsi="Times New Roman" w:cs="Times New Roman"/>
      <w:sz w:val="24"/>
      <w:szCs w:val="24"/>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inespaciado">
    <w:name w:val="No Spacing"/>
    <w:aliases w:val="Francesa,INAI"/>
    <w:link w:val="SinespaciadoCar"/>
    <w:uiPriority w:val="1"/>
    <w:qFormat/>
    <w:rsid w:val="00DC3392"/>
    <w:pPr>
      <w:spacing w:after="0" w:line="240" w:lineRule="auto"/>
    </w:pPr>
    <w:rPr>
      <w:rFonts w:ascii="Times New Roman" w:eastAsia="Times New Roman" w:hAnsi="Times New Roman" w:cs="Times New Roman"/>
      <w:sz w:val="24"/>
      <w:szCs w:val="24"/>
    </w:rPr>
  </w:style>
  <w:style w:type="character" w:customStyle="1" w:styleId="SinespaciadoCar">
    <w:name w:val="Sin espaciado Car"/>
    <w:aliases w:val="Francesa Car,INAI Car"/>
    <w:link w:val="Sinespaciado"/>
    <w:uiPriority w:val="1"/>
    <w:locked/>
    <w:rsid w:val="00DC3392"/>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614110"/>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072">
      <w:bodyDiv w:val="1"/>
      <w:marLeft w:val="0"/>
      <w:marRight w:val="0"/>
      <w:marTop w:val="0"/>
      <w:marBottom w:val="0"/>
      <w:divBdr>
        <w:top w:val="none" w:sz="0" w:space="0" w:color="auto"/>
        <w:left w:val="none" w:sz="0" w:space="0" w:color="auto"/>
        <w:bottom w:val="none" w:sz="0" w:space="0" w:color="auto"/>
        <w:right w:val="none" w:sz="0" w:space="0" w:color="auto"/>
      </w:divBdr>
    </w:div>
    <w:div w:id="193160392">
      <w:bodyDiv w:val="1"/>
      <w:marLeft w:val="0"/>
      <w:marRight w:val="0"/>
      <w:marTop w:val="0"/>
      <w:marBottom w:val="0"/>
      <w:divBdr>
        <w:top w:val="none" w:sz="0" w:space="0" w:color="auto"/>
        <w:left w:val="none" w:sz="0" w:space="0" w:color="auto"/>
        <w:bottom w:val="none" w:sz="0" w:space="0" w:color="auto"/>
        <w:right w:val="none" w:sz="0" w:space="0" w:color="auto"/>
      </w:divBdr>
    </w:div>
    <w:div w:id="213466655">
      <w:bodyDiv w:val="1"/>
      <w:marLeft w:val="0"/>
      <w:marRight w:val="0"/>
      <w:marTop w:val="0"/>
      <w:marBottom w:val="0"/>
      <w:divBdr>
        <w:top w:val="none" w:sz="0" w:space="0" w:color="auto"/>
        <w:left w:val="none" w:sz="0" w:space="0" w:color="auto"/>
        <w:bottom w:val="none" w:sz="0" w:space="0" w:color="auto"/>
        <w:right w:val="none" w:sz="0" w:space="0" w:color="auto"/>
      </w:divBdr>
    </w:div>
    <w:div w:id="254437538">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341400244">
      <w:bodyDiv w:val="1"/>
      <w:marLeft w:val="0"/>
      <w:marRight w:val="0"/>
      <w:marTop w:val="0"/>
      <w:marBottom w:val="0"/>
      <w:divBdr>
        <w:top w:val="none" w:sz="0" w:space="0" w:color="auto"/>
        <w:left w:val="none" w:sz="0" w:space="0" w:color="auto"/>
        <w:bottom w:val="none" w:sz="0" w:space="0" w:color="auto"/>
        <w:right w:val="none" w:sz="0" w:space="0" w:color="auto"/>
      </w:divBdr>
    </w:div>
    <w:div w:id="466163511">
      <w:bodyDiv w:val="1"/>
      <w:marLeft w:val="0"/>
      <w:marRight w:val="0"/>
      <w:marTop w:val="0"/>
      <w:marBottom w:val="0"/>
      <w:divBdr>
        <w:top w:val="none" w:sz="0" w:space="0" w:color="auto"/>
        <w:left w:val="none" w:sz="0" w:space="0" w:color="auto"/>
        <w:bottom w:val="none" w:sz="0" w:space="0" w:color="auto"/>
        <w:right w:val="none" w:sz="0" w:space="0" w:color="auto"/>
      </w:divBdr>
    </w:div>
    <w:div w:id="518004607">
      <w:bodyDiv w:val="1"/>
      <w:marLeft w:val="0"/>
      <w:marRight w:val="0"/>
      <w:marTop w:val="0"/>
      <w:marBottom w:val="0"/>
      <w:divBdr>
        <w:top w:val="none" w:sz="0" w:space="0" w:color="auto"/>
        <w:left w:val="none" w:sz="0" w:space="0" w:color="auto"/>
        <w:bottom w:val="none" w:sz="0" w:space="0" w:color="auto"/>
        <w:right w:val="none" w:sz="0" w:space="0" w:color="auto"/>
      </w:divBdr>
    </w:div>
    <w:div w:id="519784909">
      <w:bodyDiv w:val="1"/>
      <w:marLeft w:val="0"/>
      <w:marRight w:val="0"/>
      <w:marTop w:val="0"/>
      <w:marBottom w:val="0"/>
      <w:divBdr>
        <w:top w:val="none" w:sz="0" w:space="0" w:color="auto"/>
        <w:left w:val="none" w:sz="0" w:space="0" w:color="auto"/>
        <w:bottom w:val="none" w:sz="0" w:space="0" w:color="auto"/>
        <w:right w:val="none" w:sz="0" w:space="0" w:color="auto"/>
      </w:divBdr>
    </w:div>
    <w:div w:id="564489458">
      <w:bodyDiv w:val="1"/>
      <w:marLeft w:val="0"/>
      <w:marRight w:val="0"/>
      <w:marTop w:val="0"/>
      <w:marBottom w:val="0"/>
      <w:divBdr>
        <w:top w:val="none" w:sz="0" w:space="0" w:color="auto"/>
        <w:left w:val="none" w:sz="0" w:space="0" w:color="auto"/>
        <w:bottom w:val="none" w:sz="0" w:space="0" w:color="auto"/>
        <w:right w:val="none" w:sz="0" w:space="0" w:color="auto"/>
      </w:divBdr>
    </w:div>
    <w:div w:id="925579912">
      <w:bodyDiv w:val="1"/>
      <w:marLeft w:val="0"/>
      <w:marRight w:val="0"/>
      <w:marTop w:val="0"/>
      <w:marBottom w:val="0"/>
      <w:divBdr>
        <w:top w:val="none" w:sz="0" w:space="0" w:color="auto"/>
        <w:left w:val="none" w:sz="0" w:space="0" w:color="auto"/>
        <w:bottom w:val="none" w:sz="0" w:space="0" w:color="auto"/>
        <w:right w:val="none" w:sz="0" w:space="0" w:color="auto"/>
      </w:divBdr>
    </w:div>
    <w:div w:id="961038680">
      <w:bodyDiv w:val="1"/>
      <w:marLeft w:val="0"/>
      <w:marRight w:val="0"/>
      <w:marTop w:val="0"/>
      <w:marBottom w:val="0"/>
      <w:divBdr>
        <w:top w:val="none" w:sz="0" w:space="0" w:color="auto"/>
        <w:left w:val="none" w:sz="0" w:space="0" w:color="auto"/>
        <w:bottom w:val="none" w:sz="0" w:space="0" w:color="auto"/>
        <w:right w:val="none" w:sz="0" w:space="0" w:color="auto"/>
      </w:divBdr>
    </w:div>
    <w:div w:id="1048607734">
      <w:bodyDiv w:val="1"/>
      <w:marLeft w:val="0"/>
      <w:marRight w:val="0"/>
      <w:marTop w:val="0"/>
      <w:marBottom w:val="0"/>
      <w:divBdr>
        <w:top w:val="none" w:sz="0" w:space="0" w:color="auto"/>
        <w:left w:val="none" w:sz="0" w:space="0" w:color="auto"/>
        <w:bottom w:val="none" w:sz="0" w:space="0" w:color="auto"/>
        <w:right w:val="none" w:sz="0" w:space="0" w:color="auto"/>
      </w:divBdr>
    </w:div>
    <w:div w:id="1089497535">
      <w:bodyDiv w:val="1"/>
      <w:marLeft w:val="0"/>
      <w:marRight w:val="0"/>
      <w:marTop w:val="0"/>
      <w:marBottom w:val="0"/>
      <w:divBdr>
        <w:top w:val="none" w:sz="0" w:space="0" w:color="auto"/>
        <w:left w:val="none" w:sz="0" w:space="0" w:color="auto"/>
        <w:bottom w:val="none" w:sz="0" w:space="0" w:color="auto"/>
        <w:right w:val="none" w:sz="0" w:space="0" w:color="auto"/>
      </w:divBdr>
    </w:div>
    <w:div w:id="1112284987">
      <w:bodyDiv w:val="1"/>
      <w:marLeft w:val="0"/>
      <w:marRight w:val="0"/>
      <w:marTop w:val="0"/>
      <w:marBottom w:val="0"/>
      <w:divBdr>
        <w:top w:val="none" w:sz="0" w:space="0" w:color="auto"/>
        <w:left w:val="none" w:sz="0" w:space="0" w:color="auto"/>
        <w:bottom w:val="none" w:sz="0" w:space="0" w:color="auto"/>
        <w:right w:val="none" w:sz="0" w:space="0" w:color="auto"/>
      </w:divBdr>
    </w:div>
    <w:div w:id="1149902524">
      <w:bodyDiv w:val="1"/>
      <w:marLeft w:val="0"/>
      <w:marRight w:val="0"/>
      <w:marTop w:val="0"/>
      <w:marBottom w:val="0"/>
      <w:divBdr>
        <w:top w:val="none" w:sz="0" w:space="0" w:color="auto"/>
        <w:left w:val="none" w:sz="0" w:space="0" w:color="auto"/>
        <w:bottom w:val="none" w:sz="0" w:space="0" w:color="auto"/>
        <w:right w:val="none" w:sz="0" w:space="0" w:color="auto"/>
      </w:divBdr>
    </w:div>
    <w:div w:id="1165897072">
      <w:bodyDiv w:val="1"/>
      <w:marLeft w:val="0"/>
      <w:marRight w:val="0"/>
      <w:marTop w:val="0"/>
      <w:marBottom w:val="0"/>
      <w:divBdr>
        <w:top w:val="none" w:sz="0" w:space="0" w:color="auto"/>
        <w:left w:val="none" w:sz="0" w:space="0" w:color="auto"/>
        <w:bottom w:val="none" w:sz="0" w:space="0" w:color="auto"/>
        <w:right w:val="none" w:sz="0" w:space="0" w:color="auto"/>
      </w:divBdr>
    </w:div>
    <w:div w:id="1185483667">
      <w:bodyDiv w:val="1"/>
      <w:marLeft w:val="0"/>
      <w:marRight w:val="0"/>
      <w:marTop w:val="0"/>
      <w:marBottom w:val="0"/>
      <w:divBdr>
        <w:top w:val="none" w:sz="0" w:space="0" w:color="auto"/>
        <w:left w:val="none" w:sz="0" w:space="0" w:color="auto"/>
        <w:bottom w:val="none" w:sz="0" w:space="0" w:color="auto"/>
        <w:right w:val="none" w:sz="0" w:space="0" w:color="auto"/>
      </w:divBdr>
    </w:div>
    <w:div w:id="1248345440">
      <w:bodyDiv w:val="1"/>
      <w:marLeft w:val="0"/>
      <w:marRight w:val="0"/>
      <w:marTop w:val="0"/>
      <w:marBottom w:val="0"/>
      <w:divBdr>
        <w:top w:val="none" w:sz="0" w:space="0" w:color="auto"/>
        <w:left w:val="none" w:sz="0" w:space="0" w:color="auto"/>
        <w:bottom w:val="none" w:sz="0" w:space="0" w:color="auto"/>
        <w:right w:val="none" w:sz="0" w:space="0" w:color="auto"/>
      </w:divBdr>
    </w:div>
    <w:div w:id="1304966218">
      <w:bodyDiv w:val="1"/>
      <w:marLeft w:val="0"/>
      <w:marRight w:val="0"/>
      <w:marTop w:val="0"/>
      <w:marBottom w:val="0"/>
      <w:divBdr>
        <w:top w:val="none" w:sz="0" w:space="0" w:color="auto"/>
        <w:left w:val="none" w:sz="0" w:space="0" w:color="auto"/>
        <w:bottom w:val="none" w:sz="0" w:space="0" w:color="auto"/>
        <w:right w:val="none" w:sz="0" w:space="0" w:color="auto"/>
      </w:divBdr>
    </w:div>
    <w:div w:id="1328360065">
      <w:bodyDiv w:val="1"/>
      <w:marLeft w:val="0"/>
      <w:marRight w:val="0"/>
      <w:marTop w:val="0"/>
      <w:marBottom w:val="0"/>
      <w:divBdr>
        <w:top w:val="none" w:sz="0" w:space="0" w:color="auto"/>
        <w:left w:val="none" w:sz="0" w:space="0" w:color="auto"/>
        <w:bottom w:val="none" w:sz="0" w:space="0" w:color="auto"/>
        <w:right w:val="none" w:sz="0" w:space="0" w:color="auto"/>
      </w:divBdr>
    </w:div>
    <w:div w:id="1406607385">
      <w:bodyDiv w:val="1"/>
      <w:marLeft w:val="0"/>
      <w:marRight w:val="0"/>
      <w:marTop w:val="0"/>
      <w:marBottom w:val="0"/>
      <w:divBdr>
        <w:top w:val="none" w:sz="0" w:space="0" w:color="auto"/>
        <w:left w:val="none" w:sz="0" w:space="0" w:color="auto"/>
        <w:bottom w:val="none" w:sz="0" w:space="0" w:color="auto"/>
        <w:right w:val="none" w:sz="0" w:space="0" w:color="auto"/>
      </w:divBdr>
    </w:div>
    <w:div w:id="1454638662">
      <w:bodyDiv w:val="1"/>
      <w:marLeft w:val="0"/>
      <w:marRight w:val="0"/>
      <w:marTop w:val="0"/>
      <w:marBottom w:val="0"/>
      <w:divBdr>
        <w:top w:val="none" w:sz="0" w:space="0" w:color="auto"/>
        <w:left w:val="none" w:sz="0" w:space="0" w:color="auto"/>
        <w:bottom w:val="none" w:sz="0" w:space="0" w:color="auto"/>
        <w:right w:val="none" w:sz="0" w:space="0" w:color="auto"/>
      </w:divBdr>
    </w:div>
    <w:div w:id="1558735720">
      <w:bodyDiv w:val="1"/>
      <w:marLeft w:val="0"/>
      <w:marRight w:val="0"/>
      <w:marTop w:val="0"/>
      <w:marBottom w:val="0"/>
      <w:divBdr>
        <w:top w:val="none" w:sz="0" w:space="0" w:color="auto"/>
        <w:left w:val="none" w:sz="0" w:space="0" w:color="auto"/>
        <w:bottom w:val="none" w:sz="0" w:space="0" w:color="auto"/>
        <w:right w:val="none" w:sz="0" w:space="0" w:color="auto"/>
      </w:divBdr>
    </w:div>
    <w:div w:id="1582637162">
      <w:bodyDiv w:val="1"/>
      <w:marLeft w:val="0"/>
      <w:marRight w:val="0"/>
      <w:marTop w:val="0"/>
      <w:marBottom w:val="0"/>
      <w:divBdr>
        <w:top w:val="none" w:sz="0" w:space="0" w:color="auto"/>
        <w:left w:val="none" w:sz="0" w:space="0" w:color="auto"/>
        <w:bottom w:val="none" w:sz="0" w:space="0" w:color="auto"/>
        <w:right w:val="none" w:sz="0" w:space="0" w:color="auto"/>
      </w:divBdr>
    </w:div>
    <w:div w:id="1617953405">
      <w:bodyDiv w:val="1"/>
      <w:marLeft w:val="0"/>
      <w:marRight w:val="0"/>
      <w:marTop w:val="0"/>
      <w:marBottom w:val="0"/>
      <w:divBdr>
        <w:top w:val="none" w:sz="0" w:space="0" w:color="auto"/>
        <w:left w:val="none" w:sz="0" w:space="0" w:color="auto"/>
        <w:bottom w:val="none" w:sz="0" w:space="0" w:color="auto"/>
        <w:right w:val="none" w:sz="0" w:space="0" w:color="auto"/>
      </w:divBdr>
    </w:div>
    <w:div w:id="1645357640">
      <w:bodyDiv w:val="1"/>
      <w:marLeft w:val="0"/>
      <w:marRight w:val="0"/>
      <w:marTop w:val="0"/>
      <w:marBottom w:val="0"/>
      <w:divBdr>
        <w:top w:val="none" w:sz="0" w:space="0" w:color="auto"/>
        <w:left w:val="none" w:sz="0" w:space="0" w:color="auto"/>
        <w:bottom w:val="none" w:sz="0" w:space="0" w:color="auto"/>
        <w:right w:val="none" w:sz="0" w:space="0" w:color="auto"/>
      </w:divBdr>
    </w:div>
    <w:div w:id="1792823939">
      <w:bodyDiv w:val="1"/>
      <w:marLeft w:val="0"/>
      <w:marRight w:val="0"/>
      <w:marTop w:val="0"/>
      <w:marBottom w:val="0"/>
      <w:divBdr>
        <w:top w:val="none" w:sz="0" w:space="0" w:color="auto"/>
        <w:left w:val="none" w:sz="0" w:space="0" w:color="auto"/>
        <w:bottom w:val="none" w:sz="0" w:space="0" w:color="auto"/>
        <w:right w:val="none" w:sz="0" w:space="0" w:color="auto"/>
      </w:divBdr>
    </w:div>
    <w:div w:id="1793160855">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8282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ipomex.org.mx/ipo3/lgt/indice/SMOV/art_92_xliii_b.web" TargetMode="External"/><Relationship Id="rId4" Type="http://schemas.openxmlformats.org/officeDocument/2006/relationships/styles" Target="styles.xml"/><Relationship Id="rId9" Type="http://schemas.openxmlformats.org/officeDocument/2006/relationships/hyperlink" Target="https://retys.edomex.gob.mx/cedulainfo/852" TargetMode="Externa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4EB31F-9C8E-4FBF-972E-10C27D7D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6690</Words>
  <Characters>36800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2024-04-05T20:14:00Z</cp:lastPrinted>
  <dcterms:created xsi:type="dcterms:W3CDTF">2024-04-29T17:23:00Z</dcterms:created>
  <dcterms:modified xsi:type="dcterms:W3CDTF">2024-04-29T17:23:00Z</dcterms:modified>
</cp:coreProperties>
</file>