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0E9FF" w14:textId="77777777" w:rsidR="009B109B" w:rsidRPr="003144CE" w:rsidRDefault="0024362C">
      <w:pPr>
        <w:spacing w:before="240" w:after="240" w:line="360" w:lineRule="auto"/>
        <w:jc w:val="both"/>
        <w:rPr>
          <w:rFonts w:ascii="Palatino Linotype" w:eastAsia="Palatino Linotype" w:hAnsi="Palatino Linotype" w:cs="Palatino Linotype"/>
          <w:b/>
        </w:rPr>
      </w:pPr>
      <w:r w:rsidRPr="003144C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3144CE">
        <w:rPr>
          <w:rFonts w:ascii="Palatino Linotype" w:eastAsia="Palatino Linotype" w:hAnsi="Palatino Linotype" w:cs="Palatino Linotype"/>
          <w:b/>
        </w:rPr>
        <w:t>catorce de febrero de dos mil veinticuatro</w:t>
      </w:r>
      <w:r w:rsidRPr="003144CE">
        <w:rPr>
          <w:rFonts w:ascii="Palatino Linotype" w:eastAsia="Palatino Linotype" w:hAnsi="Palatino Linotype" w:cs="Palatino Linotype"/>
        </w:rPr>
        <w:t xml:space="preserve">. </w:t>
      </w:r>
    </w:p>
    <w:p w14:paraId="030D9E41"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Visto</w:t>
      </w:r>
      <w:r w:rsidRPr="003144CE">
        <w:rPr>
          <w:rFonts w:ascii="Palatino Linotype" w:eastAsia="Palatino Linotype" w:hAnsi="Palatino Linotype" w:cs="Palatino Linotype"/>
        </w:rPr>
        <w:t xml:space="preserve"> el expediente formado con motivo del recurso de revisión </w:t>
      </w:r>
      <w:r w:rsidRPr="003144CE">
        <w:rPr>
          <w:rFonts w:ascii="Palatino Linotype" w:eastAsia="Palatino Linotype" w:hAnsi="Palatino Linotype" w:cs="Palatino Linotype"/>
          <w:b/>
        </w:rPr>
        <w:t>08424/INFOEM/IP/RR/2023</w:t>
      </w:r>
      <w:r w:rsidRPr="003144CE">
        <w:rPr>
          <w:rFonts w:ascii="Palatino Linotype" w:eastAsia="Palatino Linotype" w:hAnsi="Palatino Linotype" w:cs="Palatino Linotype"/>
        </w:rPr>
        <w:t>, por interpuesto por</w:t>
      </w:r>
      <w:r w:rsidRPr="003144CE">
        <w:rPr>
          <w:rFonts w:ascii="Palatino Linotype" w:eastAsia="Palatino Linotype" w:hAnsi="Palatino Linotype" w:cs="Palatino Linotype"/>
          <w:b/>
        </w:rPr>
        <w:t xml:space="preserve"> un particular de manera anónima</w:t>
      </w:r>
      <w:r w:rsidRPr="003144CE">
        <w:rPr>
          <w:rFonts w:ascii="Palatino Linotype" w:eastAsia="Palatino Linotype" w:hAnsi="Palatino Linotype" w:cs="Palatino Linotype"/>
        </w:rPr>
        <w:t xml:space="preserve">, en lo sucesivo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en contra de la respuesta a su solicitud por parte del </w:t>
      </w:r>
      <w:r w:rsidRPr="003144CE">
        <w:rPr>
          <w:rFonts w:ascii="Palatino Linotype" w:eastAsia="Palatino Linotype" w:hAnsi="Palatino Linotype" w:cs="Palatino Linotype"/>
          <w:b/>
        </w:rPr>
        <w:t xml:space="preserve">Secretaría de Cultura y Turismo, </w:t>
      </w:r>
      <w:r w:rsidRPr="003144CE">
        <w:rPr>
          <w:rFonts w:ascii="Palatino Linotype" w:eastAsia="Palatino Linotype" w:hAnsi="Palatino Linotype" w:cs="Palatino Linotype"/>
        </w:rPr>
        <w:t xml:space="preserve">en lo sucesivo el </w:t>
      </w:r>
      <w:r w:rsidRPr="003144CE">
        <w:rPr>
          <w:rFonts w:ascii="Palatino Linotype" w:eastAsia="Palatino Linotype" w:hAnsi="Palatino Linotype" w:cs="Palatino Linotype"/>
          <w:b/>
        </w:rPr>
        <w:t xml:space="preserve">Sujeto Obligado, </w:t>
      </w:r>
      <w:r w:rsidRPr="003144CE">
        <w:rPr>
          <w:rFonts w:ascii="Palatino Linotype" w:eastAsia="Palatino Linotype" w:hAnsi="Palatino Linotype" w:cs="Palatino Linotype"/>
        </w:rPr>
        <w:t xml:space="preserve">se procede a dictar la presente resolución con base en los siguientes: </w:t>
      </w:r>
    </w:p>
    <w:p w14:paraId="3C7CC315" w14:textId="77777777" w:rsidR="009B109B" w:rsidRPr="003144CE" w:rsidRDefault="0024362C">
      <w:pPr>
        <w:spacing w:before="240" w:after="240" w:line="360" w:lineRule="auto"/>
        <w:jc w:val="center"/>
        <w:rPr>
          <w:rFonts w:ascii="Palatino Linotype" w:eastAsia="Palatino Linotype" w:hAnsi="Palatino Linotype" w:cs="Palatino Linotype"/>
          <w:b/>
        </w:rPr>
      </w:pPr>
      <w:r w:rsidRPr="003144CE">
        <w:rPr>
          <w:rFonts w:ascii="Palatino Linotype" w:eastAsia="Palatino Linotype" w:hAnsi="Palatino Linotype" w:cs="Palatino Linotype"/>
          <w:b/>
        </w:rPr>
        <w:t>I. A N T E C E D E N T E S</w:t>
      </w:r>
    </w:p>
    <w:p w14:paraId="1954E190"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1. Solicitud de acceso a la información.</w:t>
      </w:r>
      <w:r w:rsidRPr="003144CE">
        <w:rPr>
          <w:rFonts w:ascii="Palatino Linotype" w:eastAsia="Palatino Linotype" w:hAnsi="Palatino Linotype" w:cs="Palatino Linotype"/>
        </w:rPr>
        <w:t xml:space="preserve"> El </w:t>
      </w:r>
      <w:r w:rsidRPr="003144CE">
        <w:rPr>
          <w:rFonts w:ascii="Palatino Linotype" w:eastAsia="Palatino Linotype" w:hAnsi="Palatino Linotype" w:cs="Palatino Linotype"/>
          <w:b/>
        </w:rPr>
        <w:t>trece</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de noviembre del dos mil veintitrés,</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 xml:space="preserve">la parte Recurrente </w:t>
      </w:r>
      <w:r w:rsidRPr="003144CE">
        <w:rPr>
          <w:rFonts w:ascii="Palatino Linotype" w:eastAsia="Palatino Linotype" w:hAnsi="Palatino Linotype" w:cs="Palatino Linotype"/>
        </w:rPr>
        <w:t xml:space="preserve">presentó, a través del Sistema de Acceso a la Información Mexiquense, en lo subsecuente el </w:t>
      </w:r>
      <w:r w:rsidRPr="003144CE">
        <w:rPr>
          <w:rFonts w:ascii="Palatino Linotype" w:eastAsia="Palatino Linotype" w:hAnsi="Palatino Linotype" w:cs="Palatino Linotype"/>
          <w:b/>
        </w:rPr>
        <w:t>SAIMEX,</w:t>
      </w:r>
      <w:r w:rsidRPr="003144CE">
        <w:rPr>
          <w:rFonts w:ascii="Palatino Linotype" w:eastAsia="Palatino Linotype" w:hAnsi="Palatino Linotype" w:cs="Palatino Linotype"/>
        </w:rPr>
        <w:t xml:space="preserve"> ante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la solicitud de acceso a la información pública, a la que se le asignó el número</w:t>
      </w:r>
      <w:r w:rsidRPr="003144CE">
        <w:rPr>
          <w:rFonts w:ascii="Palatino Linotype" w:eastAsia="Palatino Linotype" w:hAnsi="Palatino Linotype" w:cs="Palatino Linotype"/>
          <w:b/>
        </w:rPr>
        <w:t xml:space="preserve"> 00724/SCTUR/IP/2023, </w:t>
      </w:r>
      <w:r w:rsidRPr="003144CE">
        <w:rPr>
          <w:rFonts w:ascii="Palatino Linotype" w:eastAsia="Palatino Linotype" w:hAnsi="Palatino Linotype" w:cs="Palatino Linotype"/>
        </w:rPr>
        <w:t xml:space="preserve">mediante la cual requirió la información siguiente: </w:t>
      </w:r>
    </w:p>
    <w:p w14:paraId="685E0F20" w14:textId="77777777" w:rsidR="009B109B" w:rsidRPr="003144CE" w:rsidRDefault="0024362C">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144CE">
        <w:rPr>
          <w:rFonts w:ascii="Palatino Linotype" w:eastAsia="Palatino Linotype" w:hAnsi="Palatino Linotype" w:cs="Palatino Linotype"/>
          <w:i/>
          <w:sz w:val="22"/>
          <w:szCs w:val="22"/>
        </w:rPr>
        <w:t>“</w:t>
      </w:r>
      <w:proofErr w:type="gramStart"/>
      <w:r w:rsidRPr="003144CE">
        <w:rPr>
          <w:rFonts w:ascii="Palatino Linotype" w:eastAsia="Palatino Linotype" w:hAnsi="Palatino Linotype" w:cs="Palatino Linotype"/>
          <w:i/>
          <w:sz w:val="22"/>
          <w:szCs w:val="22"/>
        </w:rPr>
        <w:t>Presupuesto(</w:t>
      </w:r>
      <w:proofErr w:type="gramEnd"/>
      <w:r w:rsidRPr="003144CE">
        <w:rPr>
          <w:rFonts w:ascii="Palatino Linotype" w:eastAsia="Palatino Linotype" w:hAnsi="Palatino Linotype" w:cs="Palatino Linotype"/>
          <w:i/>
          <w:sz w:val="22"/>
          <w:szCs w:val="22"/>
        </w:rPr>
        <w:t xml:space="preserve">dinero, recursos públicos para que entiendan y no salgan con la tontería al PUEBLO que tanto quiere nuestra Gobernadora, de que los recursos no están etiquetados o desagregados y demás </w:t>
      </w:r>
      <w:proofErr w:type="spellStart"/>
      <w:r w:rsidRPr="003144CE">
        <w:rPr>
          <w:rFonts w:ascii="Palatino Linotype" w:eastAsia="Palatino Linotype" w:hAnsi="Palatino Linotype" w:cs="Palatino Linotype"/>
          <w:i/>
          <w:sz w:val="22"/>
          <w:szCs w:val="22"/>
        </w:rPr>
        <w:t>tonterias</w:t>
      </w:r>
      <w:proofErr w:type="spellEnd"/>
      <w:r w:rsidRPr="003144CE">
        <w:rPr>
          <w:rFonts w:ascii="Palatino Linotype" w:eastAsia="Palatino Linotype" w:hAnsi="Palatino Linotype" w:cs="Palatino Linotype"/>
          <w:i/>
          <w:sz w:val="22"/>
          <w:szCs w:val="22"/>
        </w:rPr>
        <w:t xml:space="preserve">) asignados para la realización del festival de las almas 2023. Así como copia de los contratos de los procedimientos adquisitivos tales como Licitación Pública, Invitaciones </w:t>
      </w:r>
      <w:proofErr w:type="spellStart"/>
      <w:r w:rsidRPr="003144CE">
        <w:rPr>
          <w:rFonts w:ascii="Palatino Linotype" w:eastAsia="Palatino Linotype" w:hAnsi="Palatino Linotype" w:cs="Palatino Linotype"/>
          <w:i/>
          <w:sz w:val="22"/>
          <w:szCs w:val="22"/>
        </w:rPr>
        <w:t>Restringuidas</w:t>
      </w:r>
      <w:proofErr w:type="spellEnd"/>
      <w:r w:rsidRPr="003144CE">
        <w:rPr>
          <w:rFonts w:ascii="Palatino Linotype" w:eastAsia="Palatino Linotype" w:hAnsi="Palatino Linotype" w:cs="Palatino Linotype"/>
          <w:i/>
          <w:sz w:val="22"/>
          <w:szCs w:val="22"/>
        </w:rPr>
        <w:t xml:space="preserve">, Adjudicaciones directas y contratos pedido o cualquier gasto erogado por fondo fijo o </w:t>
      </w:r>
      <w:proofErr w:type="spellStart"/>
      <w:r w:rsidRPr="003144CE">
        <w:rPr>
          <w:rFonts w:ascii="Palatino Linotype" w:eastAsia="Palatino Linotype" w:hAnsi="Palatino Linotype" w:cs="Palatino Linotype"/>
          <w:i/>
          <w:sz w:val="22"/>
          <w:szCs w:val="22"/>
        </w:rPr>
        <w:t>revolvemte</w:t>
      </w:r>
      <w:proofErr w:type="spellEnd"/>
      <w:r w:rsidRPr="003144CE">
        <w:rPr>
          <w:rFonts w:ascii="Palatino Linotype" w:eastAsia="Palatino Linotype" w:hAnsi="Palatino Linotype" w:cs="Palatino Linotype"/>
          <w:i/>
          <w:sz w:val="22"/>
          <w:szCs w:val="22"/>
        </w:rPr>
        <w:t xml:space="preserve"> o por cualquier otro concepto destinado al festival de las almas 2023.” (Sic)</w:t>
      </w:r>
    </w:p>
    <w:p w14:paraId="7B773934" w14:textId="77777777" w:rsidR="009B109B" w:rsidRPr="003144CE" w:rsidRDefault="009B109B">
      <w:pPr>
        <w:spacing w:line="360" w:lineRule="auto"/>
        <w:ind w:right="900"/>
        <w:jc w:val="both"/>
        <w:rPr>
          <w:rFonts w:ascii="Palatino Linotype" w:eastAsia="Palatino Linotype" w:hAnsi="Palatino Linotype" w:cs="Palatino Linotype"/>
        </w:rPr>
      </w:pPr>
    </w:p>
    <w:p w14:paraId="27DA8664" w14:textId="77777777" w:rsidR="009B109B" w:rsidRPr="003144CE" w:rsidRDefault="0024362C">
      <w:pPr>
        <w:spacing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Modalidad de Entrega:</w:t>
      </w:r>
      <w:r w:rsidRPr="003144CE">
        <w:rPr>
          <w:rFonts w:ascii="Palatino Linotype" w:eastAsia="Palatino Linotype" w:hAnsi="Palatino Linotype" w:cs="Palatino Linotype"/>
        </w:rPr>
        <w:t xml:space="preserve"> A través de </w:t>
      </w:r>
      <w:r w:rsidRPr="003144CE">
        <w:rPr>
          <w:rFonts w:ascii="Palatino Linotype" w:eastAsia="Palatino Linotype" w:hAnsi="Palatino Linotype" w:cs="Palatino Linotype"/>
          <w:b/>
        </w:rPr>
        <w:t>SAIMEX</w:t>
      </w:r>
      <w:r w:rsidRPr="003144CE">
        <w:rPr>
          <w:rFonts w:ascii="Palatino Linotype" w:eastAsia="Palatino Linotype" w:hAnsi="Palatino Linotype" w:cs="Palatino Linotype"/>
        </w:rPr>
        <w:t>.</w:t>
      </w:r>
    </w:p>
    <w:p w14:paraId="05625F9B" w14:textId="77777777" w:rsidR="009B109B" w:rsidRPr="003144CE" w:rsidRDefault="009B109B">
      <w:pPr>
        <w:spacing w:line="360" w:lineRule="auto"/>
        <w:jc w:val="both"/>
        <w:rPr>
          <w:rFonts w:ascii="Palatino Linotype" w:eastAsia="Palatino Linotype" w:hAnsi="Palatino Linotype" w:cs="Palatino Linotype"/>
        </w:rPr>
      </w:pPr>
    </w:p>
    <w:p w14:paraId="29FA7668" w14:textId="77777777" w:rsidR="009B109B" w:rsidRPr="003144CE" w:rsidRDefault="0024362C">
      <w:pPr>
        <w:spacing w:after="240" w:line="360" w:lineRule="auto"/>
        <w:jc w:val="both"/>
        <w:rPr>
          <w:rFonts w:ascii="Palatino Linotype" w:eastAsia="Palatino Linotype" w:hAnsi="Palatino Linotype" w:cs="Palatino Linotype"/>
          <w:b/>
        </w:rPr>
      </w:pPr>
      <w:r w:rsidRPr="003144CE">
        <w:rPr>
          <w:rFonts w:ascii="Palatino Linotype" w:eastAsia="Palatino Linotype" w:hAnsi="Palatino Linotype" w:cs="Palatino Linotype"/>
          <w:b/>
        </w:rPr>
        <w:lastRenderedPageBreak/>
        <w:t xml:space="preserve">2. Respuesta. </w:t>
      </w:r>
      <w:r w:rsidRPr="003144CE">
        <w:rPr>
          <w:rFonts w:ascii="Palatino Linotype" w:eastAsia="Palatino Linotype" w:hAnsi="Palatino Linotype" w:cs="Palatino Linotype"/>
        </w:rPr>
        <w:t xml:space="preserve">El </w:t>
      </w:r>
      <w:r w:rsidRPr="003144CE">
        <w:rPr>
          <w:rFonts w:ascii="Palatino Linotype" w:eastAsia="Palatino Linotype" w:hAnsi="Palatino Linotype" w:cs="Palatino Linotype"/>
          <w:b/>
        </w:rPr>
        <w:t>cinco de diciembre de dos mil veintitrés</w:t>
      </w:r>
      <w:r w:rsidRPr="003144CE">
        <w:rPr>
          <w:rFonts w:ascii="Palatino Linotype" w:eastAsia="Palatino Linotype" w:hAnsi="Palatino Linotype" w:cs="Palatino Linotype"/>
        </w:rPr>
        <w:t xml:space="preserve">, el </w:t>
      </w:r>
      <w:r w:rsidRPr="003144CE">
        <w:rPr>
          <w:rFonts w:ascii="Palatino Linotype" w:eastAsia="Palatino Linotype" w:hAnsi="Palatino Linotype" w:cs="Palatino Linotype"/>
          <w:b/>
        </w:rPr>
        <w:t xml:space="preserve">Sujeto Obligado </w:t>
      </w:r>
      <w:r w:rsidRPr="003144CE">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089D36FF" w14:textId="77777777" w:rsidR="009B109B" w:rsidRPr="003144CE" w:rsidRDefault="0024362C">
      <w:pPr>
        <w:spacing w:before="240" w:after="24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53857E" w14:textId="77777777" w:rsidR="009B109B" w:rsidRPr="003144CE" w:rsidRDefault="0024362C">
      <w:pPr>
        <w:spacing w:before="240" w:after="24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En atención a su solicitud de información 00724/SCTUR/IP/2023, hago de su conocimiento que con fundamento en el artículo 12 y 59 Fracciones: I, II y VI de la Ley de Transparencia y Acceso a la Información Pública del Estado de México y Municipios, que establece: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“Presupuesto (dinero, recursos públicos para que entiendan y no salgan con la tontería al PUEBLO que tanto quiere nuestra Gobernadora, de que los recursos no están etiquetados o desagregados y demás tonterías) asignados para la realización del festival de las almas 2023, Así como copia de los contratos de los procedimientos adquisitivos tales como licitación pública, invitaciones restringidas, adjudicaciones directas y contratos pedido o cualquier gasto erogado por fondo fijo o revolvente o por cualquier otro concepto destinado al festival de las almas 2023” “</w:t>
      </w:r>
      <w:r w:rsidRPr="003144CE">
        <w:rPr>
          <w:rFonts w:ascii="Palatino Linotype" w:eastAsia="Palatino Linotype" w:hAnsi="Palatino Linotype" w:cs="Palatino Linotype"/>
          <w:b/>
          <w:i/>
          <w:sz w:val="22"/>
          <w:szCs w:val="22"/>
          <w:u w:val="single"/>
        </w:rPr>
        <w:t>Al respecto y para efectos del principio de Máxima Publicidad, comento lo siguiente: Esta Dirección General, no cuenta con esta información, toda vez que la Coordinación Administrativa de esta Secretaría a través de su Departamento de Recursos Materiales, es la responsable de llevar a cabo los procesos adquisitivos de las contrataciones de bienes y servicios a través de los contratos respectivos y de acuerdo a la modalidad que correspondiente.</w:t>
      </w:r>
    </w:p>
    <w:p w14:paraId="2934F6BC" w14:textId="77777777" w:rsidR="009B109B" w:rsidRPr="003144CE" w:rsidRDefault="0024362C">
      <w:pPr>
        <w:spacing w:before="240" w:after="24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ATENTAMENTE</w:t>
      </w:r>
    </w:p>
    <w:p w14:paraId="6FEA5A78" w14:textId="77777777" w:rsidR="009B109B" w:rsidRPr="003144CE" w:rsidRDefault="0024362C">
      <w:pPr>
        <w:spacing w:before="240" w:after="24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LIC. PALOMA RAMÍREZ SALAZAR” (Sic)</w:t>
      </w:r>
    </w:p>
    <w:p w14:paraId="0C9D9513" w14:textId="77777777" w:rsidR="009B109B" w:rsidRPr="003144CE" w:rsidRDefault="0024362C">
      <w:pPr>
        <w:spacing w:before="240" w:after="240" w:line="360" w:lineRule="auto"/>
        <w:ind w:right="49"/>
        <w:jc w:val="both"/>
        <w:rPr>
          <w:rFonts w:ascii="Palatino Linotype" w:eastAsia="Palatino Linotype" w:hAnsi="Palatino Linotype" w:cs="Palatino Linotype"/>
        </w:rPr>
      </w:pPr>
      <w:r w:rsidRPr="003144CE">
        <w:rPr>
          <w:rFonts w:ascii="Palatino Linotype" w:eastAsia="Palatino Linotype" w:hAnsi="Palatino Linotype" w:cs="Palatino Linotype"/>
          <w:b/>
        </w:rPr>
        <w:t xml:space="preserve">3. Interposición del recurso de revisión. </w:t>
      </w:r>
      <w:r w:rsidRPr="003144CE">
        <w:rPr>
          <w:rFonts w:ascii="Palatino Linotype" w:eastAsia="Palatino Linotype" w:hAnsi="Palatino Linotype" w:cs="Palatino Linotype"/>
        </w:rPr>
        <w:t xml:space="preserve">Inconforme con los términos de la respuesta emitida por parte del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el </w:t>
      </w:r>
      <w:r w:rsidRPr="003144CE">
        <w:rPr>
          <w:rFonts w:ascii="Palatino Linotype" w:eastAsia="Palatino Linotype" w:hAnsi="Palatino Linotype" w:cs="Palatino Linotype"/>
          <w:b/>
        </w:rPr>
        <w:t xml:space="preserve">siete de diciembre de dos mil </w:t>
      </w:r>
      <w:r w:rsidRPr="003144CE">
        <w:rPr>
          <w:rFonts w:ascii="Palatino Linotype" w:eastAsia="Palatino Linotype" w:hAnsi="Palatino Linotype" w:cs="Palatino Linotype"/>
          <w:b/>
        </w:rPr>
        <w:lastRenderedPageBreak/>
        <w:t>veintitrés,</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interpuso el recurso de revisión a través de </w:t>
      </w:r>
      <w:r w:rsidRPr="003144CE">
        <w:rPr>
          <w:rFonts w:ascii="Palatino Linotype" w:eastAsia="Palatino Linotype" w:hAnsi="Palatino Linotype" w:cs="Palatino Linotype"/>
          <w:b/>
        </w:rPr>
        <w:t xml:space="preserve">SAIMEX, </w:t>
      </w:r>
      <w:r w:rsidRPr="003144CE">
        <w:rPr>
          <w:rFonts w:ascii="Palatino Linotype" w:eastAsia="Palatino Linotype" w:hAnsi="Palatino Linotype" w:cs="Palatino Linotype"/>
        </w:rPr>
        <w:t>en donde se manifestó de la siguiente manera:</w:t>
      </w:r>
    </w:p>
    <w:p w14:paraId="146CA789" w14:textId="77777777" w:rsidR="009B109B" w:rsidRPr="003144CE" w:rsidRDefault="0024362C">
      <w:pPr>
        <w:tabs>
          <w:tab w:val="left" w:pos="2745"/>
        </w:tabs>
        <w:spacing w:before="240" w:after="240" w:line="360" w:lineRule="auto"/>
        <w:ind w:left="567"/>
        <w:jc w:val="both"/>
        <w:rPr>
          <w:rFonts w:ascii="Palatino Linotype" w:eastAsia="Palatino Linotype" w:hAnsi="Palatino Linotype" w:cs="Palatino Linotype"/>
          <w:b/>
        </w:rPr>
      </w:pPr>
      <w:r w:rsidRPr="003144CE">
        <w:rPr>
          <w:rFonts w:ascii="Palatino Linotype" w:eastAsia="Palatino Linotype" w:hAnsi="Palatino Linotype" w:cs="Palatino Linotype"/>
          <w:b/>
        </w:rPr>
        <w:t xml:space="preserve">a) Acto impugnado: </w:t>
      </w:r>
      <w:r w:rsidRPr="003144CE">
        <w:rPr>
          <w:rFonts w:ascii="Palatino Linotype" w:eastAsia="Palatino Linotype" w:hAnsi="Palatino Linotype" w:cs="Palatino Linotype"/>
          <w:b/>
        </w:rPr>
        <w:tab/>
      </w:r>
    </w:p>
    <w:p w14:paraId="2763FE00" w14:textId="77777777" w:rsidR="009B109B" w:rsidRPr="003144CE" w:rsidRDefault="0024362C">
      <w:pPr>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“No entrega información.” (Sic)</w:t>
      </w:r>
    </w:p>
    <w:p w14:paraId="42140790" w14:textId="77777777" w:rsidR="009B109B" w:rsidRPr="003144CE" w:rsidRDefault="009B109B">
      <w:pPr>
        <w:ind w:left="851" w:right="902"/>
        <w:jc w:val="both"/>
        <w:rPr>
          <w:rFonts w:ascii="Palatino Linotype" w:eastAsia="Palatino Linotype" w:hAnsi="Palatino Linotype" w:cs="Palatino Linotype"/>
          <w:i/>
          <w:sz w:val="22"/>
          <w:szCs w:val="22"/>
        </w:rPr>
      </w:pPr>
    </w:p>
    <w:p w14:paraId="1572F6AF" w14:textId="77777777" w:rsidR="009B109B" w:rsidRPr="003144CE" w:rsidRDefault="0024362C">
      <w:pPr>
        <w:spacing w:line="360" w:lineRule="auto"/>
        <w:ind w:left="567"/>
        <w:jc w:val="both"/>
        <w:rPr>
          <w:rFonts w:ascii="Palatino Linotype" w:eastAsia="Palatino Linotype" w:hAnsi="Palatino Linotype" w:cs="Palatino Linotype"/>
        </w:rPr>
      </w:pPr>
      <w:r w:rsidRPr="003144CE">
        <w:rPr>
          <w:rFonts w:ascii="Palatino Linotype" w:eastAsia="Palatino Linotype" w:hAnsi="Palatino Linotype" w:cs="Palatino Linotype"/>
          <w:b/>
        </w:rPr>
        <w:t>b) Razones o motivos de inconformidad</w:t>
      </w:r>
      <w:r w:rsidRPr="003144CE">
        <w:rPr>
          <w:rFonts w:ascii="Palatino Linotype" w:eastAsia="Palatino Linotype" w:hAnsi="Palatino Linotype" w:cs="Palatino Linotype"/>
        </w:rPr>
        <w:t>:</w:t>
      </w:r>
    </w:p>
    <w:p w14:paraId="766E431B" w14:textId="77777777" w:rsidR="009B109B" w:rsidRPr="003144CE" w:rsidRDefault="0024362C">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3144CE">
        <w:rPr>
          <w:rFonts w:ascii="Palatino Linotype" w:eastAsia="Palatino Linotype" w:hAnsi="Palatino Linotype" w:cs="Palatino Linotype"/>
          <w:i/>
          <w:sz w:val="22"/>
          <w:szCs w:val="22"/>
        </w:rPr>
        <w:t xml:space="preserve"> “Tuvimos que pedir asesoría al </w:t>
      </w:r>
      <w:proofErr w:type="spellStart"/>
      <w:r w:rsidRPr="003144CE">
        <w:rPr>
          <w:rFonts w:ascii="Palatino Linotype" w:eastAsia="Palatino Linotype" w:hAnsi="Palatino Linotype" w:cs="Palatino Linotype"/>
          <w:i/>
          <w:sz w:val="22"/>
          <w:szCs w:val="22"/>
        </w:rPr>
        <w:t>Infoem</w:t>
      </w:r>
      <w:proofErr w:type="spellEnd"/>
      <w:r w:rsidRPr="003144CE">
        <w:rPr>
          <w:rFonts w:ascii="Palatino Linotype" w:eastAsia="Palatino Linotype" w:hAnsi="Palatino Linotype" w:cs="Palatino Linotype"/>
          <w:i/>
          <w:sz w:val="22"/>
          <w:szCs w:val="22"/>
        </w:rPr>
        <w:t xml:space="preserve"> ya que en todas las solicitudes de las Almas 2023 nos han negado la información, en donde se nos señala que la respuesta de la Titular de la Unidad de Información LIC. PALOMA RAMÍREZ SALAZAR está mal fundamentada y razonada porque de la misma se desprende que NO HACE ENTREGA DE INFORMACIÓN ALGUNA, y que de la propia respuesta se desprende que la información si existe en su Coordinación Administrativa y no en la Dirección General a su cargo, por lo que es su obligación entregárnosla. Que en este caso si no entregaron nada no entienden porque ignorantemente ponen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Porque ni la procesaron, ni la presentaron, ni la generaron, resumieron, ni efectuaron cálculos ni investigaciones, simplemente no entregaron la información. Y que como mencionamos a la Gobernadora que </w:t>
      </w:r>
      <w:proofErr w:type="spellStart"/>
      <w:r w:rsidRPr="003144CE">
        <w:rPr>
          <w:rFonts w:ascii="Palatino Linotype" w:eastAsia="Palatino Linotype" w:hAnsi="Palatino Linotype" w:cs="Palatino Linotype"/>
          <w:i/>
          <w:sz w:val="22"/>
          <w:szCs w:val="22"/>
        </w:rPr>
        <w:t>fueramos</w:t>
      </w:r>
      <w:proofErr w:type="spellEnd"/>
      <w:r w:rsidRPr="003144CE">
        <w:rPr>
          <w:rFonts w:ascii="Palatino Linotype" w:eastAsia="Palatino Linotype" w:hAnsi="Palatino Linotype" w:cs="Palatino Linotype"/>
          <w:i/>
          <w:sz w:val="22"/>
          <w:szCs w:val="22"/>
        </w:rPr>
        <w:t xml:space="preserve"> a verla o a la </w:t>
      </w:r>
      <w:proofErr w:type="gramStart"/>
      <w:r w:rsidRPr="003144CE">
        <w:rPr>
          <w:rFonts w:ascii="Palatino Linotype" w:eastAsia="Palatino Linotype" w:hAnsi="Palatino Linotype" w:cs="Palatino Linotype"/>
          <w:i/>
          <w:sz w:val="22"/>
          <w:szCs w:val="22"/>
        </w:rPr>
        <w:t>Secretaria</w:t>
      </w:r>
      <w:proofErr w:type="gramEnd"/>
      <w:r w:rsidRPr="003144CE">
        <w:rPr>
          <w:rFonts w:ascii="Palatino Linotype" w:eastAsia="Palatino Linotype" w:hAnsi="Palatino Linotype" w:cs="Palatino Linotype"/>
          <w:i/>
          <w:sz w:val="22"/>
          <w:szCs w:val="22"/>
        </w:rPr>
        <w:t xml:space="preserve"> de ahí para que nos escuchen lo que queremos.” (Sic) </w:t>
      </w:r>
    </w:p>
    <w:p w14:paraId="7F115119" w14:textId="77777777" w:rsidR="009B109B" w:rsidRPr="003144CE" w:rsidRDefault="009B109B">
      <w:pPr>
        <w:ind w:right="902"/>
        <w:jc w:val="both"/>
        <w:rPr>
          <w:rFonts w:ascii="Palatino Linotype" w:eastAsia="Palatino Linotype" w:hAnsi="Palatino Linotype" w:cs="Palatino Linotype"/>
          <w:i/>
          <w:sz w:val="22"/>
          <w:szCs w:val="22"/>
        </w:rPr>
      </w:pPr>
    </w:p>
    <w:p w14:paraId="56613AAB" w14:textId="77777777" w:rsidR="009B109B" w:rsidRPr="003144CE" w:rsidRDefault="009B109B">
      <w:pPr>
        <w:ind w:right="902"/>
        <w:jc w:val="both"/>
        <w:rPr>
          <w:rFonts w:ascii="Palatino Linotype" w:eastAsia="Palatino Linotype" w:hAnsi="Palatino Linotype" w:cs="Palatino Linotype"/>
          <w:sz w:val="22"/>
          <w:szCs w:val="22"/>
        </w:rPr>
      </w:pPr>
    </w:p>
    <w:p w14:paraId="6B14A56F" w14:textId="77777777" w:rsidR="009B109B" w:rsidRPr="003144CE" w:rsidRDefault="0024362C">
      <w:pPr>
        <w:spacing w:line="360" w:lineRule="auto"/>
        <w:ind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 xml:space="preserve">4. Turno. </w:t>
      </w:r>
      <w:r w:rsidRPr="003144C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turbó por el sistema electrónico del Instituto de Transparencia, Acceso a la Información Pública y Protección de Datos Personales del Estado de México y Municipios, a la </w:t>
      </w:r>
      <w:r w:rsidRPr="003144CE">
        <w:rPr>
          <w:rFonts w:ascii="Palatino Linotype" w:eastAsia="Palatino Linotype" w:hAnsi="Palatino Linotype" w:cs="Palatino Linotype"/>
          <w:b/>
        </w:rPr>
        <w:t>Comisionada</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 xml:space="preserve">Guadalupe Ramírez Peña, </w:t>
      </w:r>
      <w:r w:rsidRPr="003144CE">
        <w:rPr>
          <w:rFonts w:ascii="Palatino Linotype" w:eastAsia="Palatino Linotype" w:hAnsi="Palatino Linotype" w:cs="Palatino Linotype"/>
        </w:rPr>
        <w:t xml:space="preserve">a efecto de que analizará sobre su admisión o su </w:t>
      </w:r>
      <w:proofErr w:type="spellStart"/>
      <w:r w:rsidRPr="003144CE">
        <w:rPr>
          <w:rFonts w:ascii="Palatino Linotype" w:eastAsia="Palatino Linotype" w:hAnsi="Palatino Linotype" w:cs="Palatino Linotype"/>
        </w:rPr>
        <w:t>desechamiento</w:t>
      </w:r>
      <w:proofErr w:type="spellEnd"/>
      <w:r w:rsidRPr="003144CE">
        <w:rPr>
          <w:rFonts w:ascii="Palatino Linotype" w:eastAsia="Palatino Linotype" w:hAnsi="Palatino Linotype" w:cs="Palatino Linotype"/>
        </w:rPr>
        <w:t>.</w:t>
      </w:r>
    </w:p>
    <w:p w14:paraId="121B8212" w14:textId="77777777" w:rsidR="009B109B" w:rsidRPr="003144CE" w:rsidRDefault="009B109B">
      <w:pPr>
        <w:spacing w:line="360" w:lineRule="auto"/>
        <w:ind w:right="51"/>
        <w:jc w:val="both"/>
        <w:rPr>
          <w:rFonts w:ascii="Palatino Linotype" w:eastAsia="Palatino Linotype" w:hAnsi="Palatino Linotype" w:cs="Palatino Linotype"/>
        </w:rPr>
      </w:pPr>
    </w:p>
    <w:p w14:paraId="4459B1FF" w14:textId="77777777" w:rsidR="009B109B" w:rsidRPr="003144CE" w:rsidRDefault="0024362C">
      <w:pPr>
        <w:spacing w:after="240" w:line="360" w:lineRule="auto"/>
        <w:jc w:val="both"/>
        <w:rPr>
          <w:rFonts w:ascii="Palatino Linotype" w:eastAsia="Palatino Linotype" w:hAnsi="Palatino Linotype" w:cs="Palatino Linotype"/>
          <w:b/>
        </w:rPr>
      </w:pPr>
      <w:r w:rsidRPr="003144CE">
        <w:rPr>
          <w:rFonts w:ascii="Palatino Linotype" w:eastAsia="Palatino Linotype" w:hAnsi="Palatino Linotype" w:cs="Palatino Linotype"/>
          <w:b/>
        </w:rPr>
        <w:lastRenderedPageBreak/>
        <w:t>5. Admisión del Recurso de Revisión.</w:t>
      </w:r>
      <w:r w:rsidRPr="003144CE">
        <w:rPr>
          <w:rFonts w:ascii="Palatino Linotype" w:eastAsia="Palatino Linotype" w:hAnsi="Palatino Linotype" w:cs="Palatino Linotype"/>
        </w:rPr>
        <w:t xml:space="preserve"> El </w:t>
      </w:r>
      <w:r w:rsidRPr="003144CE">
        <w:rPr>
          <w:rFonts w:ascii="Palatino Linotype" w:eastAsia="Palatino Linotype" w:hAnsi="Palatino Linotype" w:cs="Palatino Linotype"/>
          <w:b/>
        </w:rPr>
        <w:t xml:space="preserve">catorce de diciembre de dos mil veintitrés, </w:t>
      </w:r>
      <w:r w:rsidRPr="003144C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144CE">
        <w:rPr>
          <w:rFonts w:ascii="Palatino Linotype" w:eastAsia="Palatino Linotype" w:hAnsi="Palatino Linotype" w:cs="Palatino Linotype"/>
          <w:b/>
        </w:rPr>
        <w:t xml:space="preserve">Sujeto Obligado </w:t>
      </w:r>
      <w:r w:rsidRPr="003144CE">
        <w:rPr>
          <w:rFonts w:ascii="Palatino Linotype" w:eastAsia="Palatino Linotype" w:hAnsi="Palatino Linotype" w:cs="Palatino Linotype"/>
        </w:rPr>
        <w:t>presentará su informe justificado.</w:t>
      </w:r>
    </w:p>
    <w:p w14:paraId="400E6C16" w14:textId="77777777" w:rsidR="009B109B" w:rsidRPr="003144CE" w:rsidRDefault="0024362C">
      <w:pPr>
        <w:spacing w:after="240" w:line="360" w:lineRule="auto"/>
        <w:jc w:val="both"/>
        <w:rPr>
          <w:rFonts w:ascii="Palatino Linotype" w:eastAsia="Palatino Linotype" w:hAnsi="Palatino Linotype" w:cs="Palatino Linotype"/>
        </w:rPr>
      </w:pPr>
      <w:bookmarkStart w:id="2" w:name="_heading=h.2s8eyo1" w:colFirst="0" w:colLast="0"/>
      <w:bookmarkEnd w:id="2"/>
      <w:r w:rsidRPr="003144CE">
        <w:rPr>
          <w:rFonts w:ascii="Palatino Linotype" w:eastAsia="Palatino Linotype" w:hAnsi="Palatino Linotype" w:cs="Palatino Linotype"/>
          <w:b/>
        </w:rPr>
        <w:t>6. Manifestaciones</w:t>
      </w:r>
      <w:r w:rsidRPr="003144CE">
        <w:rPr>
          <w:rFonts w:ascii="Palatino Linotype" w:eastAsia="Palatino Linotype" w:hAnsi="Palatino Linotype" w:cs="Palatino Linotype"/>
        </w:rPr>
        <w:t>. De las constancias que obran en el expediente electrónico, se tiene que las partes fueron omisas en remitir sus manifestaciones, informes justificados o cualquier alegato que a su derecho corresponda.</w:t>
      </w:r>
    </w:p>
    <w:p w14:paraId="045569C7" w14:textId="77777777" w:rsidR="009B109B" w:rsidRPr="003144CE" w:rsidRDefault="0024362C">
      <w:pPr>
        <w:spacing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noProof/>
        </w:rPr>
        <w:drawing>
          <wp:inline distT="0" distB="0" distL="0" distR="0" wp14:anchorId="67851AE0" wp14:editId="7864F351">
            <wp:extent cx="5612130" cy="152590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1525905"/>
                    </a:xfrm>
                    <a:prstGeom prst="rect">
                      <a:avLst/>
                    </a:prstGeom>
                    <a:ln/>
                  </pic:spPr>
                </pic:pic>
              </a:graphicData>
            </a:graphic>
          </wp:inline>
        </w:drawing>
      </w:r>
    </w:p>
    <w:p w14:paraId="5BC7AC57" w14:textId="77777777" w:rsidR="009B109B" w:rsidRPr="003144CE" w:rsidRDefault="0024362C">
      <w:pPr>
        <w:widowControl w:val="0"/>
        <w:spacing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7.</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Ampliación del término para resolver</w:t>
      </w:r>
      <w:r w:rsidRPr="003144CE">
        <w:rPr>
          <w:rFonts w:ascii="Palatino Linotype" w:eastAsia="Palatino Linotype" w:hAnsi="Palatino Linotype" w:cs="Palatino Linotype"/>
        </w:rPr>
        <w:t xml:space="preserve">. El </w:t>
      </w:r>
      <w:r w:rsidRPr="003144CE">
        <w:rPr>
          <w:rFonts w:ascii="Palatino Linotype" w:eastAsia="Palatino Linotype" w:hAnsi="Palatino Linotype" w:cs="Palatino Linotype"/>
          <w:b/>
        </w:rPr>
        <w:t>ocho de febrero del año dos mil veinticuatro</w:t>
      </w:r>
      <w:r w:rsidRPr="003144C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62B7686" w14:textId="77777777" w:rsidR="009B109B" w:rsidRPr="003144CE" w:rsidRDefault="0024362C">
      <w:pPr>
        <w:spacing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8.</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 xml:space="preserve">Cierre de instrucción. </w:t>
      </w:r>
      <w:r w:rsidRPr="003144C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144CE">
        <w:rPr>
          <w:rFonts w:ascii="Palatino Linotype" w:eastAsia="Palatino Linotype" w:hAnsi="Palatino Linotype" w:cs="Palatino Linotype"/>
          <w:b/>
        </w:rPr>
        <w:t>ocho de febrero de dos mil veinticuatro</w:t>
      </w:r>
      <w:r w:rsidRPr="003144CE">
        <w:rPr>
          <w:rFonts w:ascii="Palatino Linotype" w:eastAsia="Palatino Linotype" w:hAnsi="Palatino Linotype" w:cs="Palatino Linotype"/>
        </w:rPr>
        <w:t xml:space="preserve">, la Comisionada Ponente </w:t>
      </w:r>
      <w:r w:rsidRPr="003144CE">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1C6EC242"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01F0DB4" w14:textId="77777777" w:rsidR="009B109B" w:rsidRPr="003144CE" w:rsidRDefault="0024362C">
      <w:pPr>
        <w:widowControl w:val="0"/>
        <w:spacing w:line="360" w:lineRule="auto"/>
        <w:jc w:val="center"/>
        <w:rPr>
          <w:rFonts w:ascii="Palatino Linotype" w:eastAsia="Palatino Linotype" w:hAnsi="Palatino Linotype" w:cs="Palatino Linotype"/>
          <w:b/>
        </w:rPr>
      </w:pPr>
      <w:r w:rsidRPr="003144CE">
        <w:rPr>
          <w:rFonts w:ascii="Palatino Linotype" w:eastAsia="Palatino Linotype" w:hAnsi="Palatino Linotype" w:cs="Palatino Linotype"/>
          <w:b/>
        </w:rPr>
        <w:t>II. C O N S I D E R A N D O S</w:t>
      </w:r>
    </w:p>
    <w:p w14:paraId="225DA748" w14:textId="77777777" w:rsidR="009B109B" w:rsidRPr="003144CE" w:rsidRDefault="0024362C">
      <w:pPr>
        <w:spacing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Primero. Competencia.</w:t>
      </w:r>
      <w:r w:rsidRPr="003144C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E7366A" w14:textId="77777777" w:rsidR="009B109B" w:rsidRPr="003144CE" w:rsidRDefault="0024362C">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3144CE">
        <w:rPr>
          <w:rFonts w:ascii="Palatino Linotype" w:eastAsia="Palatino Linotype" w:hAnsi="Palatino Linotype" w:cs="Palatino Linotype"/>
          <w:b/>
        </w:rPr>
        <w:t xml:space="preserve">Segundo. Oportunidad y Procedibilidad del Recurso de Revisión. </w:t>
      </w:r>
      <w:r w:rsidRPr="003144CE">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A1F88BB"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14:paraId="16CD2A1B" w14:textId="77777777" w:rsidR="009B109B" w:rsidRPr="003144CE" w:rsidRDefault="0024362C">
      <w:pPr>
        <w:ind w:left="851" w:right="900"/>
        <w:jc w:val="both"/>
        <w:rPr>
          <w:rFonts w:ascii="Palatino Linotype" w:eastAsia="Palatino Linotype" w:hAnsi="Palatino Linotype" w:cs="Palatino Linotype"/>
          <w:i/>
          <w:sz w:val="28"/>
          <w:szCs w:val="28"/>
        </w:rPr>
      </w:pPr>
      <w:r w:rsidRPr="003144CE">
        <w:rPr>
          <w:rFonts w:ascii="Palatino Linotype" w:eastAsia="Palatino Linotype" w:hAnsi="Palatino Linotype" w:cs="Palatino Linotype"/>
          <w:b/>
          <w:i/>
          <w:sz w:val="22"/>
          <w:szCs w:val="22"/>
        </w:rPr>
        <w:t xml:space="preserve">“Artículo 178. </w:t>
      </w:r>
      <w:r w:rsidRPr="003144C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7D4FBD0"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3144CE">
        <w:rPr>
          <w:rFonts w:ascii="Palatino Linotype" w:eastAsia="Palatino Linotype" w:hAnsi="Palatino Linotype" w:cs="Palatino Linotype"/>
          <w:b/>
        </w:rPr>
        <w:t xml:space="preserve">Sujeto Obligado </w:t>
      </w:r>
      <w:r w:rsidRPr="003144CE">
        <w:rPr>
          <w:rFonts w:ascii="Palatino Linotype" w:eastAsia="Palatino Linotype" w:hAnsi="Palatino Linotype" w:cs="Palatino Linotype"/>
        </w:rPr>
        <w:t xml:space="preserve">remitió la respuesta a la solicitud de información el día </w:t>
      </w:r>
      <w:r w:rsidRPr="003144CE">
        <w:rPr>
          <w:rFonts w:ascii="Palatino Linotype" w:eastAsia="Palatino Linotype" w:hAnsi="Palatino Linotype" w:cs="Palatino Linotype"/>
          <w:b/>
        </w:rPr>
        <w:t xml:space="preserve">cinco de diciembre de dos mil veintitrés, </w:t>
      </w:r>
      <w:r w:rsidRPr="003144CE">
        <w:rPr>
          <w:rFonts w:ascii="Palatino Linotype" w:eastAsia="Palatino Linotype" w:hAnsi="Palatino Linotype" w:cs="Palatino Linotype"/>
        </w:rPr>
        <w:t xml:space="preserve">mientras que el recurso de revisión interpuesto por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se tuvo por presentado el día </w:t>
      </w:r>
      <w:r w:rsidRPr="003144CE">
        <w:rPr>
          <w:rFonts w:ascii="Palatino Linotype" w:eastAsia="Palatino Linotype" w:hAnsi="Palatino Linotype" w:cs="Palatino Linotype"/>
          <w:b/>
        </w:rPr>
        <w:t>siete de diciembre de dos mil veintitrés</w:t>
      </w:r>
      <w:r w:rsidRPr="003144CE">
        <w:rPr>
          <w:rFonts w:ascii="Palatino Linotype" w:eastAsia="Palatino Linotype" w:hAnsi="Palatino Linotype" w:cs="Palatino Linotype"/>
        </w:rPr>
        <w:t xml:space="preserve">; esto es, al </w:t>
      </w:r>
      <w:r w:rsidRPr="003144CE">
        <w:rPr>
          <w:rFonts w:ascii="Palatino Linotype" w:eastAsia="Palatino Linotype" w:hAnsi="Palatino Linotype" w:cs="Palatino Linotype"/>
          <w:b/>
        </w:rPr>
        <w:t xml:space="preserve">segundo día hábil siguiente </w:t>
      </w:r>
      <w:r w:rsidRPr="003144CE">
        <w:rPr>
          <w:rFonts w:ascii="Palatino Linotype" w:eastAsia="Palatino Linotype" w:hAnsi="Palatino Linotype" w:cs="Palatino Linotype"/>
        </w:rPr>
        <w:t xml:space="preserve">en que tuvo conocimiento de la respuesta impugnada. </w:t>
      </w:r>
    </w:p>
    <w:p w14:paraId="20CD48A2"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 este sentido, al considerar la fecha en que se formuló la solicitud y la fecha en que respondió a esta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E68422B"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Asimismo, por cuanto hace a la procedibilidad del  recurso de revisión, es de suma importancia señalar que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no señaló nombre o seudónimo con el que pueda ser identificado, tal como se advierte en el detalle de seguimiento del </w:t>
      </w:r>
      <w:r w:rsidRPr="003144CE">
        <w:rPr>
          <w:rFonts w:ascii="Palatino Linotype" w:eastAsia="Palatino Linotype" w:hAnsi="Palatino Linotype" w:cs="Palatino Linotype"/>
        </w:rPr>
        <w:lastRenderedPageBreak/>
        <w:t>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0BF6B3A" w14:textId="77777777" w:rsidR="009B109B" w:rsidRPr="003144CE" w:rsidRDefault="0024362C">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Las solicitudes anónimas</w:t>
      </w:r>
      <w:r w:rsidRPr="003144CE">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4A81506F"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DF78D49" w14:textId="77777777" w:rsidR="009B109B" w:rsidRPr="003144CE" w:rsidRDefault="0024362C">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144CE">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7CF42273" w14:textId="77777777" w:rsidR="009B109B" w:rsidRPr="003144CE" w:rsidRDefault="0024362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“Artículo 179</w:t>
      </w: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rPr>
        <w:t>El recurso de revisión</w:t>
      </w:r>
      <w:r w:rsidRPr="003144CE">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3144CE">
        <w:rPr>
          <w:rFonts w:ascii="Palatino Linotype" w:eastAsia="Palatino Linotype" w:hAnsi="Palatino Linotype" w:cs="Palatino Linotype"/>
          <w:b/>
          <w:i/>
          <w:sz w:val="22"/>
          <w:szCs w:val="22"/>
        </w:rPr>
        <w:t>, y procederá en contra de las siguientes causas</w:t>
      </w:r>
      <w:r w:rsidRPr="003144CE">
        <w:rPr>
          <w:rFonts w:ascii="Palatino Linotype" w:eastAsia="Palatino Linotype" w:hAnsi="Palatino Linotype" w:cs="Palatino Linotype"/>
          <w:i/>
          <w:sz w:val="22"/>
          <w:szCs w:val="22"/>
        </w:rPr>
        <w:t>:</w:t>
      </w:r>
    </w:p>
    <w:p w14:paraId="3CDA9C6D" w14:textId="77777777" w:rsidR="009B109B" w:rsidRPr="003144CE" w:rsidRDefault="0024362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I. La negativa a la información solicitada</w:t>
      </w:r>
      <w:r w:rsidRPr="003144CE">
        <w:rPr>
          <w:rFonts w:ascii="Palatino Linotype" w:eastAsia="Palatino Linotype" w:hAnsi="Palatino Linotype" w:cs="Palatino Linotype"/>
          <w:i/>
          <w:sz w:val="22"/>
          <w:szCs w:val="22"/>
        </w:rPr>
        <w:t>;” (Énfasis añadido)</w:t>
      </w:r>
    </w:p>
    <w:p w14:paraId="29AFC4CF"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 xml:space="preserve">Tercero. Materia de la revisión. </w:t>
      </w:r>
      <w:r w:rsidRPr="003144CE">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3144CE">
        <w:rPr>
          <w:rFonts w:ascii="Palatino Linotype" w:eastAsia="Palatino Linotype" w:hAnsi="Palatino Linotype" w:cs="Palatino Linotype"/>
        </w:rPr>
        <w:lastRenderedPageBreak/>
        <w:t xml:space="preserve">Organismo Garante de Transparencia y Acceso a la Información se pronunciará será: </w:t>
      </w:r>
      <w:r w:rsidRPr="003144C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144CE">
        <w:rPr>
          <w:rFonts w:ascii="Palatino Linotype" w:eastAsia="Palatino Linotype" w:hAnsi="Palatino Linotype" w:cs="Palatino Linotype"/>
        </w:rPr>
        <w:t xml:space="preserve">de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o en su defecto, en caso de ser procedente, ordenar la entrega de información oportuna.</w:t>
      </w:r>
    </w:p>
    <w:p w14:paraId="571E106A"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b/>
        </w:rPr>
        <w:t xml:space="preserve">Cuarto. Estudio del asunto. </w:t>
      </w:r>
      <w:r w:rsidRPr="003144CE">
        <w:rPr>
          <w:rFonts w:ascii="Palatino Linotype" w:eastAsia="Palatino Linotype" w:hAnsi="Palatino Linotype" w:cs="Palatino Linotype"/>
        </w:rPr>
        <w:t xml:space="preserve">Antes de entrar al análisis de los pronunciamientos del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7689CD5" w14:textId="77777777" w:rsidR="009B109B" w:rsidRPr="003144CE" w:rsidRDefault="0024362C">
      <w:pPr>
        <w:pBdr>
          <w:top w:val="nil"/>
          <w:left w:val="nil"/>
          <w:bottom w:val="nil"/>
          <w:right w:val="nil"/>
          <w:between w:val="nil"/>
        </w:pBdr>
        <w:spacing w:before="240" w:after="240"/>
        <w:ind w:left="851" w:right="850"/>
        <w:jc w:val="both"/>
      </w:pPr>
      <w:r w:rsidRPr="003144C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144C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355678D" w14:textId="77777777" w:rsidR="009B109B" w:rsidRPr="003144CE" w:rsidRDefault="0024362C">
      <w:pPr>
        <w:pBdr>
          <w:top w:val="nil"/>
          <w:left w:val="nil"/>
          <w:bottom w:val="nil"/>
          <w:right w:val="nil"/>
          <w:between w:val="nil"/>
        </w:pBdr>
        <w:spacing w:before="240" w:after="240"/>
        <w:ind w:left="851" w:right="850"/>
        <w:jc w:val="both"/>
      </w:pPr>
      <w:r w:rsidRPr="003144C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E7273B3" w14:textId="77777777" w:rsidR="009B109B" w:rsidRPr="003144CE" w:rsidRDefault="0024362C">
      <w:pPr>
        <w:pBdr>
          <w:top w:val="nil"/>
          <w:left w:val="nil"/>
          <w:bottom w:val="nil"/>
          <w:right w:val="nil"/>
          <w:between w:val="nil"/>
        </w:pBdr>
        <w:spacing w:before="240" w:after="240"/>
        <w:ind w:left="851" w:right="850"/>
        <w:jc w:val="both"/>
      </w:pPr>
      <w:r w:rsidRPr="003144C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144CE">
        <w:rPr>
          <w:rFonts w:ascii="Palatino Linotype" w:eastAsia="Palatino Linotype" w:hAnsi="Palatino Linotype" w:cs="Palatino Linotype"/>
          <w:i/>
          <w:sz w:val="22"/>
          <w:szCs w:val="22"/>
        </w:rPr>
        <w:t xml:space="preserve"> En consecuencia, el </w:t>
      </w:r>
      <w:r w:rsidRPr="003144CE">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47CD6DF2" w14:textId="77777777" w:rsidR="009B109B" w:rsidRPr="003144CE" w:rsidRDefault="0024362C">
      <w:pPr>
        <w:pBdr>
          <w:top w:val="nil"/>
          <w:left w:val="nil"/>
          <w:bottom w:val="nil"/>
          <w:right w:val="nil"/>
          <w:between w:val="nil"/>
        </w:pBdr>
        <w:spacing w:before="240" w:after="240"/>
        <w:ind w:left="851" w:right="850"/>
        <w:jc w:val="both"/>
      </w:pPr>
      <w:r w:rsidRPr="003144CE">
        <w:rPr>
          <w:rFonts w:ascii="Palatino Linotype" w:eastAsia="Palatino Linotype" w:hAnsi="Palatino Linotype" w:cs="Palatino Linotype"/>
          <w:i/>
          <w:sz w:val="22"/>
          <w:szCs w:val="22"/>
        </w:rPr>
        <w:t>[…]</w:t>
      </w:r>
    </w:p>
    <w:p w14:paraId="2EFFC78A" w14:textId="77777777" w:rsidR="009B109B" w:rsidRPr="003144CE" w:rsidRDefault="0024362C">
      <w:pPr>
        <w:pBdr>
          <w:top w:val="nil"/>
          <w:left w:val="nil"/>
          <w:bottom w:val="nil"/>
          <w:right w:val="nil"/>
          <w:between w:val="nil"/>
        </w:pBdr>
        <w:spacing w:before="240" w:after="240"/>
        <w:ind w:left="851" w:right="901"/>
        <w:jc w:val="both"/>
      </w:pPr>
      <w:r w:rsidRPr="003144CE">
        <w:rPr>
          <w:rFonts w:ascii="Palatino Linotype" w:eastAsia="Palatino Linotype" w:hAnsi="Palatino Linotype" w:cs="Palatino Linotype"/>
          <w:b/>
          <w:i/>
          <w:sz w:val="22"/>
          <w:szCs w:val="22"/>
        </w:rPr>
        <w:t>“Artículo 6o.</w:t>
      </w:r>
    </w:p>
    <w:p w14:paraId="2596BED1" w14:textId="77777777" w:rsidR="009B109B" w:rsidRPr="003144CE" w:rsidRDefault="0024362C">
      <w:pPr>
        <w:pBdr>
          <w:top w:val="nil"/>
          <w:left w:val="nil"/>
          <w:bottom w:val="nil"/>
          <w:right w:val="nil"/>
          <w:between w:val="nil"/>
        </w:pBdr>
        <w:spacing w:before="240" w:after="240"/>
        <w:ind w:left="851" w:right="901"/>
        <w:jc w:val="both"/>
      </w:pPr>
      <w:r w:rsidRPr="003144CE">
        <w:rPr>
          <w:rFonts w:ascii="Palatino Linotype" w:eastAsia="Palatino Linotype" w:hAnsi="Palatino Linotype" w:cs="Palatino Linotype"/>
          <w:i/>
          <w:sz w:val="22"/>
          <w:szCs w:val="22"/>
        </w:rPr>
        <w:t>[...]</w:t>
      </w:r>
    </w:p>
    <w:p w14:paraId="23232EEB"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b/>
          <w:i/>
          <w:sz w:val="22"/>
          <w:szCs w:val="22"/>
        </w:rPr>
        <w:t xml:space="preserve">A. Para el ejercicio del derecho de acceso a la información, la Federación y </w:t>
      </w:r>
      <w:r w:rsidRPr="003144CE">
        <w:rPr>
          <w:rFonts w:ascii="Palatino Linotype" w:eastAsia="Palatino Linotype" w:hAnsi="Palatino Linotype" w:cs="Palatino Linotype"/>
          <w:b/>
          <w:i/>
          <w:sz w:val="22"/>
          <w:szCs w:val="22"/>
          <w:u w:val="single"/>
        </w:rPr>
        <w:t>las entidades federativas</w:t>
      </w:r>
      <w:r w:rsidRPr="003144CE">
        <w:rPr>
          <w:rFonts w:ascii="Palatino Linotype" w:eastAsia="Palatino Linotype" w:hAnsi="Palatino Linotype" w:cs="Palatino Linotype"/>
          <w:b/>
          <w:i/>
          <w:sz w:val="22"/>
          <w:szCs w:val="22"/>
        </w:rPr>
        <w:t>,</w:t>
      </w:r>
      <w:r w:rsidRPr="003144CE">
        <w:rPr>
          <w:rFonts w:ascii="Palatino Linotype" w:eastAsia="Palatino Linotype" w:hAnsi="Palatino Linotype" w:cs="Palatino Linotype"/>
          <w:i/>
          <w:sz w:val="22"/>
          <w:szCs w:val="22"/>
        </w:rPr>
        <w:t xml:space="preserve"> en el ámbito de sus respectivas competencias, se regirán por los siguientes principios y bases:</w:t>
      </w:r>
    </w:p>
    <w:p w14:paraId="17CBC2CB"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i/>
          <w:sz w:val="22"/>
          <w:szCs w:val="22"/>
        </w:rPr>
        <w:t> </w:t>
      </w:r>
      <w:r w:rsidRPr="003144CE">
        <w:rPr>
          <w:rFonts w:ascii="Palatino Linotype" w:eastAsia="Palatino Linotype" w:hAnsi="Palatino Linotype" w:cs="Palatino Linotype"/>
          <w:b/>
          <w:i/>
          <w:sz w:val="22"/>
          <w:szCs w:val="22"/>
        </w:rPr>
        <w:t xml:space="preserve">I. </w:t>
      </w:r>
      <w:r w:rsidRPr="003144C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144CE">
        <w:rPr>
          <w:rFonts w:ascii="Palatino Linotype" w:eastAsia="Palatino Linotype" w:hAnsi="Palatino Linotype" w:cs="Palatino Linotype"/>
          <w:i/>
          <w:sz w:val="22"/>
          <w:szCs w:val="22"/>
        </w:rPr>
        <w:t xml:space="preserve"> Ejecutivo, Legislativo </w:t>
      </w:r>
      <w:r w:rsidRPr="003144CE">
        <w:rPr>
          <w:rFonts w:ascii="Palatino Linotype" w:eastAsia="Palatino Linotype" w:hAnsi="Palatino Linotype" w:cs="Palatino Linotype"/>
          <w:b/>
          <w:i/>
          <w:sz w:val="22"/>
          <w:szCs w:val="22"/>
          <w:u w:val="single"/>
        </w:rPr>
        <w:t>y Judicial</w:t>
      </w:r>
      <w:r w:rsidRPr="003144C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144CE">
        <w:rPr>
          <w:rFonts w:ascii="Palatino Linotype" w:eastAsia="Palatino Linotype" w:hAnsi="Palatino Linotype" w:cs="Palatino Linotype"/>
          <w:b/>
          <w:i/>
          <w:sz w:val="22"/>
          <w:szCs w:val="22"/>
        </w:rPr>
        <w:t>es pública y sólo podrá ser reservada temporalmente por razones de interés público y seguridad nacional,</w:t>
      </w:r>
      <w:r w:rsidRPr="003144C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FC9BEA"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i/>
          <w:sz w:val="22"/>
          <w:szCs w:val="22"/>
        </w:rPr>
        <w:t> </w:t>
      </w:r>
      <w:r w:rsidRPr="003144C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BF66CB9"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i/>
          <w:sz w:val="22"/>
          <w:szCs w:val="22"/>
        </w:rPr>
        <w:t> </w:t>
      </w:r>
      <w:r w:rsidRPr="003144CE">
        <w:rPr>
          <w:rFonts w:ascii="Palatino Linotype" w:eastAsia="Palatino Linotype" w:hAnsi="Palatino Linotype" w:cs="Palatino Linotype"/>
          <w:b/>
          <w:i/>
          <w:sz w:val="22"/>
          <w:szCs w:val="22"/>
        </w:rPr>
        <w:t xml:space="preserve">III. </w:t>
      </w:r>
      <w:r w:rsidRPr="003144C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144CE">
        <w:rPr>
          <w:rFonts w:ascii="Palatino Linotype" w:eastAsia="Palatino Linotype" w:hAnsi="Palatino Linotype" w:cs="Palatino Linotype"/>
          <w:i/>
          <w:sz w:val="22"/>
          <w:szCs w:val="22"/>
        </w:rPr>
        <w:t xml:space="preserve"> a sus datos personales o a la rectificación de éstos.</w:t>
      </w:r>
    </w:p>
    <w:p w14:paraId="77B5D3D7"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i/>
          <w:sz w:val="22"/>
          <w:szCs w:val="22"/>
        </w:rPr>
        <w:t> </w:t>
      </w:r>
      <w:r w:rsidRPr="003144CE">
        <w:rPr>
          <w:rFonts w:ascii="Palatino Linotype" w:eastAsia="Palatino Linotype" w:hAnsi="Palatino Linotype" w:cs="Palatino Linotype"/>
          <w:b/>
          <w:i/>
          <w:sz w:val="22"/>
          <w:szCs w:val="22"/>
        </w:rPr>
        <w:t xml:space="preserve">IV. </w:t>
      </w:r>
      <w:r w:rsidRPr="003144C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58CC8C2"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b/>
          <w:i/>
          <w:sz w:val="22"/>
          <w:szCs w:val="22"/>
        </w:rPr>
        <w:t xml:space="preserve">V. </w:t>
      </w:r>
      <w:r w:rsidRPr="003144C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FE7272"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i/>
          <w:sz w:val="22"/>
          <w:szCs w:val="22"/>
        </w:rPr>
        <w:lastRenderedPageBreak/>
        <w:t> </w:t>
      </w:r>
      <w:r w:rsidRPr="003144CE">
        <w:rPr>
          <w:rFonts w:ascii="Palatino Linotype" w:eastAsia="Palatino Linotype" w:hAnsi="Palatino Linotype" w:cs="Palatino Linotype"/>
          <w:b/>
          <w:i/>
          <w:sz w:val="22"/>
          <w:szCs w:val="22"/>
        </w:rPr>
        <w:t xml:space="preserve">VI. </w:t>
      </w:r>
      <w:r w:rsidRPr="003144C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079738E" w14:textId="77777777" w:rsidR="009B109B" w:rsidRPr="003144CE" w:rsidRDefault="0024362C">
      <w:pPr>
        <w:pBdr>
          <w:top w:val="nil"/>
          <w:left w:val="nil"/>
          <w:bottom w:val="nil"/>
          <w:right w:val="nil"/>
          <w:between w:val="nil"/>
        </w:pBdr>
        <w:spacing w:before="240" w:after="240"/>
        <w:ind w:left="851" w:right="851"/>
        <w:jc w:val="both"/>
      </w:pPr>
      <w:r w:rsidRPr="003144CE">
        <w:rPr>
          <w:rFonts w:ascii="Palatino Linotype" w:eastAsia="Palatino Linotype" w:hAnsi="Palatino Linotype" w:cs="Palatino Linotype"/>
          <w:i/>
          <w:sz w:val="22"/>
          <w:szCs w:val="22"/>
        </w:rPr>
        <w:t> </w:t>
      </w:r>
      <w:r w:rsidRPr="003144CE">
        <w:rPr>
          <w:rFonts w:ascii="Palatino Linotype" w:eastAsia="Palatino Linotype" w:hAnsi="Palatino Linotype" w:cs="Palatino Linotype"/>
          <w:b/>
          <w:i/>
          <w:sz w:val="22"/>
          <w:szCs w:val="22"/>
        </w:rPr>
        <w:t xml:space="preserve">VII. </w:t>
      </w:r>
      <w:r w:rsidRPr="003144C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E52D6E5"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0ACD89" w14:textId="77777777" w:rsidR="009B109B" w:rsidRPr="003144CE" w:rsidRDefault="0024362C">
      <w:pPr>
        <w:pBdr>
          <w:top w:val="nil"/>
          <w:left w:val="nil"/>
          <w:bottom w:val="nil"/>
          <w:right w:val="nil"/>
          <w:between w:val="nil"/>
        </w:pBdr>
        <w:spacing w:before="240" w:after="240"/>
        <w:ind w:left="709" w:right="760"/>
        <w:jc w:val="both"/>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Artículo 4</w:t>
      </w:r>
      <w:r w:rsidRPr="003144C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87BB90B" w14:textId="77777777" w:rsidR="009B109B" w:rsidRPr="003144CE" w:rsidRDefault="0024362C">
      <w:pPr>
        <w:pBdr>
          <w:top w:val="nil"/>
          <w:left w:val="nil"/>
          <w:bottom w:val="nil"/>
          <w:right w:val="nil"/>
          <w:between w:val="nil"/>
        </w:pBdr>
        <w:spacing w:before="240" w:after="240"/>
        <w:ind w:left="709" w:right="760"/>
        <w:jc w:val="both"/>
      </w:pPr>
      <w:r w:rsidRPr="003144C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769E49" w14:textId="77777777" w:rsidR="009B109B" w:rsidRPr="003144CE" w:rsidRDefault="0024362C">
      <w:pPr>
        <w:pBdr>
          <w:top w:val="nil"/>
          <w:left w:val="nil"/>
          <w:bottom w:val="nil"/>
          <w:right w:val="nil"/>
          <w:between w:val="nil"/>
        </w:pBdr>
        <w:spacing w:before="240" w:after="240"/>
        <w:ind w:left="709" w:right="760"/>
        <w:jc w:val="both"/>
      </w:pPr>
      <w:r w:rsidRPr="003144CE">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3144CE">
        <w:rPr>
          <w:rFonts w:ascii="Palatino Linotype" w:eastAsia="Palatino Linotype" w:hAnsi="Palatino Linotype" w:cs="Palatino Linotype"/>
          <w:i/>
          <w:sz w:val="22"/>
          <w:szCs w:val="22"/>
        </w:rPr>
        <w:t>.”(</w:t>
      </w:r>
      <w:proofErr w:type="gramEnd"/>
      <w:r w:rsidRPr="003144CE">
        <w:rPr>
          <w:rFonts w:ascii="Palatino Linotype" w:eastAsia="Palatino Linotype" w:hAnsi="Palatino Linotype" w:cs="Palatino Linotype"/>
          <w:i/>
          <w:sz w:val="22"/>
          <w:szCs w:val="22"/>
        </w:rPr>
        <w:t>Sic)</w:t>
      </w:r>
    </w:p>
    <w:p w14:paraId="1AA30E58"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C6A05CE" w14:textId="77777777" w:rsidR="009B109B" w:rsidRPr="003144CE" w:rsidRDefault="0024362C">
      <w:pPr>
        <w:pBdr>
          <w:top w:val="nil"/>
          <w:left w:val="nil"/>
          <w:bottom w:val="nil"/>
          <w:right w:val="nil"/>
          <w:between w:val="nil"/>
        </w:pBdr>
        <w:spacing w:before="240" w:after="240"/>
        <w:ind w:left="567" w:right="758"/>
        <w:jc w:val="both"/>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Artículo 12</w:t>
      </w:r>
      <w:r w:rsidRPr="003144C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A6DA6C0" w14:textId="77777777" w:rsidR="009B109B" w:rsidRPr="003144CE" w:rsidRDefault="0024362C">
      <w:pPr>
        <w:pBdr>
          <w:top w:val="nil"/>
          <w:left w:val="nil"/>
          <w:bottom w:val="nil"/>
          <w:right w:val="nil"/>
          <w:between w:val="nil"/>
        </w:pBdr>
        <w:spacing w:before="240" w:after="240"/>
        <w:ind w:left="567" w:right="758"/>
        <w:jc w:val="both"/>
      </w:pPr>
      <w:r w:rsidRPr="003144C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BA2D16B"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144CE">
        <w:rPr>
          <w:rFonts w:ascii="Palatino Linotype" w:eastAsia="Palatino Linotype" w:hAnsi="Palatino Linotype" w:cs="Palatino Linotype"/>
          <w:b/>
        </w:rPr>
        <w:t xml:space="preserve"> </w:t>
      </w:r>
      <w:r w:rsidRPr="003144C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144CE">
        <w:rPr>
          <w:rFonts w:ascii="Palatino Linotype" w:eastAsia="Palatino Linotype" w:hAnsi="Palatino Linotype" w:cs="Palatino Linotype"/>
          <w:i/>
        </w:rPr>
        <w:t>ad hoc</w:t>
      </w:r>
      <w:r w:rsidRPr="003144C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048BC28"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b/>
          <w:i/>
          <w:sz w:val="22"/>
          <w:szCs w:val="22"/>
        </w:rPr>
        <w:t>03/17</w:t>
      </w:r>
    </w:p>
    <w:p w14:paraId="21670C8C"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b/>
          <w:i/>
          <w:sz w:val="22"/>
          <w:szCs w:val="22"/>
        </w:rPr>
        <w:t>“NO EXISTE OBLIGACIÓN DE ELABORAR DOCUMENTOS AD HOC PARA ATENDER LAS SOLICITUDES DE ACCESO A LA INFORMACIÓN.</w:t>
      </w:r>
    </w:p>
    <w:p w14:paraId="09590B50"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13B53C"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1C88F9" w14:textId="77777777" w:rsidR="009B109B" w:rsidRPr="003144CE" w:rsidRDefault="0024362C">
      <w:pPr>
        <w:pBdr>
          <w:top w:val="nil"/>
          <w:left w:val="nil"/>
          <w:bottom w:val="nil"/>
          <w:right w:val="nil"/>
          <w:between w:val="nil"/>
        </w:pBdr>
        <w:spacing w:before="240" w:after="240" w:line="360" w:lineRule="auto"/>
        <w:ind w:right="49"/>
        <w:jc w:val="both"/>
      </w:pPr>
      <w:r w:rsidRPr="003144C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CBFB1EA"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3144CE">
        <w:rPr>
          <w:rFonts w:ascii="Palatino Linotype" w:eastAsia="Palatino Linotype" w:hAnsi="Palatino Linotype" w:cs="Palatino Linotype"/>
        </w:rPr>
        <w:lastRenderedPageBreak/>
        <w:t>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1948B4"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 xml:space="preserve">Artículo 3. </w:t>
      </w:r>
      <w:r w:rsidRPr="003144CE">
        <w:rPr>
          <w:rFonts w:ascii="Palatino Linotype" w:eastAsia="Palatino Linotype" w:hAnsi="Palatino Linotype" w:cs="Palatino Linotype"/>
          <w:i/>
          <w:sz w:val="22"/>
          <w:szCs w:val="22"/>
        </w:rPr>
        <w:t>Para los efectos de la presente Ley se entenderá por:</w:t>
      </w:r>
    </w:p>
    <w:p w14:paraId="72071467"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i/>
          <w:sz w:val="22"/>
          <w:szCs w:val="22"/>
        </w:rPr>
        <w:t>…</w:t>
      </w:r>
    </w:p>
    <w:p w14:paraId="14A6ACBB"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b/>
          <w:i/>
          <w:sz w:val="22"/>
          <w:szCs w:val="22"/>
        </w:rPr>
        <w:t>XI. Documento:</w:t>
      </w:r>
      <w:r w:rsidRPr="003144C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144CE">
        <w:rPr>
          <w:rFonts w:ascii="Palatino Linotype" w:eastAsia="Palatino Linotype" w:hAnsi="Palatino Linotype" w:cs="Palatino Linotype"/>
          <w:b/>
          <w:i/>
          <w:sz w:val="22"/>
          <w:szCs w:val="22"/>
        </w:rPr>
        <w:t>…</w:t>
      </w:r>
      <w:r w:rsidRPr="003144CE">
        <w:rPr>
          <w:rFonts w:ascii="Palatino Linotype" w:eastAsia="Palatino Linotype" w:hAnsi="Palatino Linotype" w:cs="Palatino Linotype"/>
          <w:i/>
          <w:sz w:val="22"/>
          <w:szCs w:val="22"/>
        </w:rPr>
        <w:t>” (Sic)</w:t>
      </w:r>
    </w:p>
    <w:p w14:paraId="593D3868"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CA9C9A5"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b/>
          <w:sz w:val="22"/>
          <w:szCs w:val="22"/>
        </w:rPr>
        <w:t>“</w:t>
      </w:r>
      <w:r w:rsidRPr="003144CE">
        <w:rPr>
          <w:rFonts w:ascii="Palatino Linotype" w:eastAsia="Palatino Linotype" w:hAnsi="Palatino Linotype" w:cs="Palatino Linotype"/>
          <w:b/>
          <w:i/>
          <w:sz w:val="22"/>
          <w:szCs w:val="22"/>
        </w:rPr>
        <w:t>CRITERIO 0002-11</w:t>
      </w:r>
    </w:p>
    <w:p w14:paraId="38A98CF1"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144C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90D6C3" w14:textId="77777777" w:rsidR="009B109B" w:rsidRPr="003144CE" w:rsidRDefault="0024362C">
      <w:pPr>
        <w:pBdr>
          <w:top w:val="nil"/>
          <w:left w:val="nil"/>
          <w:bottom w:val="nil"/>
          <w:right w:val="nil"/>
          <w:between w:val="nil"/>
        </w:pBdr>
        <w:spacing w:before="240" w:after="240"/>
        <w:ind w:left="567" w:right="567"/>
        <w:jc w:val="both"/>
      </w:pPr>
      <w:r w:rsidRPr="003144CE">
        <w:rPr>
          <w:rFonts w:ascii="Palatino Linotype" w:eastAsia="Palatino Linotype" w:hAnsi="Palatino Linotype" w:cs="Palatino Linotype"/>
          <w:i/>
          <w:sz w:val="22"/>
          <w:szCs w:val="22"/>
        </w:rPr>
        <w:lastRenderedPageBreak/>
        <w:t xml:space="preserve">En </w:t>
      </w:r>
      <w:proofErr w:type="gramStart"/>
      <w:r w:rsidRPr="003144CE">
        <w:rPr>
          <w:rFonts w:ascii="Palatino Linotype" w:eastAsia="Palatino Linotype" w:hAnsi="Palatino Linotype" w:cs="Palatino Linotype"/>
          <w:i/>
          <w:sz w:val="22"/>
          <w:szCs w:val="22"/>
        </w:rPr>
        <w:t>consecuencia</w:t>
      </w:r>
      <w:proofErr w:type="gramEnd"/>
      <w:r w:rsidRPr="003144C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E8BCF2E" w14:textId="77777777" w:rsidR="009B109B" w:rsidRPr="003144CE" w:rsidRDefault="0024362C">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Que se trate de información registrada en cualquier soporte documental, </w:t>
      </w:r>
      <w:proofErr w:type="gramStart"/>
      <w:r w:rsidRPr="003144CE">
        <w:rPr>
          <w:rFonts w:ascii="Palatino Linotype" w:eastAsia="Palatino Linotype" w:hAnsi="Palatino Linotype" w:cs="Palatino Linotype"/>
          <w:i/>
          <w:sz w:val="22"/>
          <w:szCs w:val="22"/>
        </w:rPr>
        <w:t>que</w:t>
      </w:r>
      <w:proofErr w:type="gramEnd"/>
      <w:r w:rsidRPr="003144CE">
        <w:rPr>
          <w:rFonts w:ascii="Palatino Linotype" w:eastAsia="Palatino Linotype" w:hAnsi="Palatino Linotype" w:cs="Palatino Linotype"/>
          <w:i/>
          <w:sz w:val="22"/>
          <w:szCs w:val="22"/>
        </w:rPr>
        <w:t xml:space="preserve"> en ejercicio de las atribuciones conferidas, sea generada por los Sujetos Obligados;</w:t>
      </w:r>
    </w:p>
    <w:p w14:paraId="3497F778" w14:textId="77777777" w:rsidR="009B109B" w:rsidRPr="003144CE" w:rsidRDefault="0024362C">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Que se trate de información registrada en cualquier soporte documental, </w:t>
      </w:r>
      <w:proofErr w:type="gramStart"/>
      <w:r w:rsidRPr="003144CE">
        <w:rPr>
          <w:rFonts w:ascii="Palatino Linotype" w:eastAsia="Palatino Linotype" w:hAnsi="Palatino Linotype" w:cs="Palatino Linotype"/>
          <w:i/>
          <w:sz w:val="22"/>
          <w:szCs w:val="22"/>
        </w:rPr>
        <w:t>que</w:t>
      </w:r>
      <w:proofErr w:type="gramEnd"/>
      <w:r w:rsidRPr="003144CE">
        <w:rPr>
          <w:rFonts w:ascii="Palatino Linotype" w:eastAsia="Palatino Linotype" w:hAnsi="Palatino Linotype" w:cs="Palatino Linotype"/>
          <w:i/>
          <w:sz w:val="22"/>
          <w:szCs w:val="22"/>
        </w:rPr>
        <w:t xml:space="preserve"> en ejercicio de las atribuciones conferidas, sea administrada por los Sujetos Obligados, y</w:t>
      </w:r>
    </w:p>
    <w:p w14:paraId="44FD95AE" w14:textId="77777777" w:rsidR="009B109B" w:rsidRPr="003144CE" w:rsidRDefault="0024362C">
      <w:pPr>
        <w:pBdr>
          <w:top w:val="nil"/>
          <w:left w:val="nil"/>
          <w:bottom w:val="nil"/>
          <w:right w:val="nil"/>
          <w:between w:val="nil"/>
        </w:pBdr>
        <w:spacing w:before="240" w:after="240"/>
        <w:ind w:left="567" w:right="567" w:hanging="284"/>
        <w:jc w:val="both"/>
      </w:pPr>
      <w:r w:rsidRPr="003144CE">
        <w:rPr>
          <w:rFonts w:ascii="Palatino Linotype" w:eastAsia="Palatino Linotype" w:hAnsi="Palatino Linotype" w:cs="Palatino Linotype"/>
          <w:i/>
          <w:sz w:val="22"/>
          <w:szCs w:val="22"/>
        </w:rPr>
        <w:t xml:space="preserve">3. </w:t>
      </w:r>
      <w:r w:rsidRPr="003144CE">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144CE">
        <w:rPr>
          <w:rFonts w:ascii="Palatino Linotype" w:eastAsia="Palatino Linotype" w:hAnsi="Palatino Linotype" w:cs="Palatino Linotype"/>
          <w:b/>
          <w:i/>
          <w:sz w:val="22"/>
          <w:szCs w:val="22"/>
        </w:rPr>
        <w:t>que</w:t>
      </w:r>
      <w:proofErr w:type="gramEnd"/>
      <w:r w:rsidRPr="003144CE">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4F63FAF1" w14:textId="77777777" w:rsidR="009B109B" w:rsidRPr="003144CE" w:rsidRDefault="002436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De ahí que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99EDB5F" w14:textId="77777777" w:rsidR="009B109B" w:rsidRPr="003144CE" w:rsidRDefault="002436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Ahora bien, para profundizar en el estudio del presente asunto, es conveniente recordar que la parte solicitante requirió al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le proporcionara lo siguiente:</w:t>
      </w:r>
    </w:p>
    <w:p w14:paraId="6E52B3F6" w14:textId="77777777" w:rsidR="009B109B" w:rsidRPr="003144CE" w:rsidRDefault="0024362C">
      <w:pPr>
        <w:numPr>
          <w:ilvl w:val="0"/>
          <w:numId w:val="6"/>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rPr>
      </w:pPr>
      <w:r w:rsidRPr="003144CE">
        <w:rPr>
          <w:rFonts w:ascii="Palatino Linotype" w:eastAsia="Palatino Linotype" w:hAnsi="Palatino Linotype" w:cs="Palatino Linotype"/>
          <w:b/>
        </w:rPr>
        <w:t xml:space="preserve">Presupuesto asignado para la realización del festival de las almas 2023. </w:t>
      </w:r>
    </w:p>
    <w:p w14:paraId="75CEC625" w14:textId="77777777" w:rsidR="009B109B" w:rsidRPr="003144CE" w:rsidRDefault="0024362C">
      <w:pPr>
        <w:numPr>
          <w:ilvl w:val="0"/>
          <w:numId w:val="6"/>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rPr>
      </w:pPr>
      <w:r w:rsidRPr="003144CE">
        <w:rPr>
          <w:rFonts w:ascii="Palatino Linotype" w:eastAsia="Palatino Linotype" w:hAnsi="Palatino Linotype" w:cs="Palatino Linotype"/>
          <w:b/>
        </w:rPr>
        <w:t>Copia de los contratos de los procedimientos adquisitivos tales como Licitación Pública, Invitaciones Restringidas, Adjudicaciones directas y contratos pedido.</w:t>
      </w:r>
    </w:p>
    <w:p w14:paraId="18947B4B" w14:textId="77777777" w:rsidR="009B109B" w:rsidRPr="003144CE" w:rsidRDefault="0024362C">
      <w:pPr>
        <w:numPr>
          <w:ilvl w:val="0"/>
          <w:numId w:val="6"/>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b/>
        </w:rPr>
      </w:pPr>
      <w:r w:rsidRPr="003144CE">
        <w:rPr>
          <w:rFonts w:ascii="Palatino Linotype" w:eastAsia="Palatino Linotype" w:hAnsi="Palatino Linotype" w:cs="Palatino Linotype"/>
          <w:b/>
        </w:rPr>
        <w:lastRenderedPageBreak/>
        <w:t>Cualquier gasto erogado por fondo fijo o revolvente o por cualquier otro concepto destinado al festival de las almas 2023.</w:t>
      </w:r>
    </w:p>
    <w:p w14:paraId="134ABDD9"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 respuesta,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señaló que dicha la Dirección General de Patrimonio y Servicios Culturales del Valle de Toluca, no cuenta con esta información, toda vez que la Coordinación Administrativa de esa Secretaría a través de su Departamento de Recursos</w:t>
      </w:r>
    </w:p>
    <w:p w14:paraId="3561D9E4"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 Materiales, es la responsable de llevar a cabo los procesos adquisitivos de las contrataciones de bienes y servicios a través de los contratos respectivos y de acuerdo a la modalidad que correspondiente.</w:t>
      </w:r>
    </w:p>
    <w:p w14:paraId="05F0D22E"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Una vez notificada la respuesta, la persona solicitante interpuso el recurso de revisión que nos ocupa, en el cual expresó su inconformidad respecto de la negativa a entregar la información.</w:t>
      </w:r>
    </w:p>
    <w:p w14:paraId="02BBD3BB"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Posteriormente en la etapa de informe justificado, las partes fueron omisas en pronunciarse, por lo tanto, se procede a emitir la resolución que conforme a derecho corresponde.</w:t>
      </w:r>
    </w:p>
    <w:p w14:paraId="7AB65611" w14:textId="77777777" w:rsidR="009B109B" w:rsidRPr="003144CE" w:rsidRDefault="0024362C">
      <w:pPr>
        <w:spacing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Bajo este orden de ideas, este Instituto procedió a consultar si el evento referido por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se llevó a cabo, obteniendo así un indicio al respecto:</w:t>
      </w:r>
    </w:p>
    <w:p w14:paraId="4010BFAA" w14:textId="77777777" w:rsidR="009B109B" w:rsidRPr="003144CE" w:rsidRDefault="009B109B">
      <w:pPr>
        <w:spacing w:line="360" w:lineRule="auto"/>
        <w:jc w:val="both"/>
        <w:rPr>
          <w:rFonts w:ascii="Palatino Linotype" w:eastAsia="Palatino Linotype" w:hAnsi="Palatino Linotype" w:cs="Palatino Linotype"/>
        </w:rPr>
      </w:pPr>
    </w:p>
    <w:p w14:paraId="5D95C67B" w14:textId="77777777" w:rsidR="009B109B" w:rsidRPr="003144CE" w:rsidRDefault="0024362C">
      <w:pPr>
        <w:spacing w:line="360" w:lineRule="auto"/>
        <w:jc w:val="center"/>
        <w:rPr>
          <w:rFonts w:ascii="Palatino Linotype" w:eastAsia="Palatino Linotype" w:hAnsi="Palatino Linotype" w:cs="Palatino Linotype"/>
        </w:rPr>
      </w:pPr>
      <w:r w:rsidRPr="003144CE">
        <w:rPr>
          <w:rFonts w:ascii="Palatino Linotype" w:eastAsia="Palatino Linotype" w:hAnsi="Palatino Linotype" w:cs="Palatino Linotype"/>
          <w:noProof/>
        </w:rPr>
        <w:lastRenderedPageBreak/>
        <w:drawing>
          <wp:inline distT="0" distB="0" distL="0" distR="0" wp14:anchorId="53D75280" wp14:editId="0684DDE2">
            <wp:extent cx="4709763" cy="3884302"/>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709763" cy="3884302"/>
                    </a:xfrm>
                    <a:prstGeom prst="rect">
                      <a:avLst/>
                    </a:prstGeom>
                    <a:ln/>
                  </pic:spPr>
                </pic:pic>
              </a:graphicData>
            </a:graphic>
          </wp:inline>
        </w:drawing>
      </w:r>
    </w:p>
    <w:p w14:paraId="55EC41D6" w14:textId="77777777" w:rsidR="009B109B" w:rsidRPr="003144CE" w:rsidRDefault="0024362C">
      <w:pPr>
        <w:spacing w:before="240" w:after="240" w:line="360" w:lineRule="auto"/>
        <w:ind w:right="49"/>
        <w:rPr>
          <w:rFonts w:ascii="Palatino Linotype" w:eastAsia="Palatino Linotype" w:hAnsi="Palatino Linotype" w:cs="Palatino Linotype"/>
        </w:rPr>
      </w:pPr>
      <w:r w:rsidRPr="003144CE">
        <w:rPr>
          <w:rFonts w:ascii="Palatino Linotype" w:eastAsia="Palatino Linotype" w:hAnsi="Palatino Linotype" w:cs="Palatino Linotype"/>
        </w:rPr>
        <w:t xml:space="preserve">Consultable en: </w:t>
      </w:r>
      <w:hyperlink r:id="rId10">
        <w:r w:rsidRPr="003144CE">
          <w:rPr>
            <w:rFonts w:ascii="Palatino Linotype" w:eastAsia="Palatino Linotype" w:hAnsi="Palatino Linotype" w:cs="Palatino Linotype"/>
            <w:u w:val="single"/>
          </w:rPr>
          <w:t>https://festivaldelasalmas.com/es/programa-del-festival-de-las-almas-2023/</w:t>
        </w:r>
      </w:hyperlink>
      <w:r w:rsidRPr="003144CE">
        <w:rPr>
          <w:rFonts w:ascii="Palatino Linotype" w:eastAsia="Palatino Linotype" w:hAnsi="Palatino Linotype" w:cs="Palatino Linotype"/>
        </w:rPr>
        <w:t xml:space="preserve"> </w:t>
      </w:r>
    </w:p>
    <w:p w14:paraId="63A690D2" w14:textId="77777777" w:rsidR="009B109B" w:rsidRPr="003144CE" w:rsidRDefault="0024362C">
      <w:pPr>
        <w:spacing w:before="240" w:after="240" w:line="360" w:lineRule="auto"/>
        <w:ind w:right="49"/>
        <w:jc w:val="both"/>
        <w:rPr>
          <w:rFonts w:ascii="Palatino Linotype" w:eastAsia="Palatino Linotype" w:hAnsi="Palatino Linotype" w:cs="Palatino Linotype"/>
        </w:rPr>
      </w:pPr>
      <w:r w:rsidRPr="003144CE">
        <w:rPr>
          <w:rFonts w:ascii="Palatino Linotype" w:eastAsia="Palatino Linotype" w:hAnsi="Palatino Linotype" w:cs="Palatino Linotype"/>
        </w:rPr>
        <w:t>En este orden de ideas, sobre el valor probatorio de las notas periodísticas citadas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3144CE">
        <w:rPr>
          <w:rFonts w:ascii="Palatino Linotype" w:eastAsia="Palatino Linotype" w:hAnsi="Palatino Linotype" w:cs="Palatino Linotype"/>
          <w:b/>
          <w:i/>
        </w:rPr>
        <w:t>NOTAS PERIODISTICAS, EL CONOCIMIENTO QUE DE ELLAS SE OBTIENE NO CONSTITUYE ‘UN HECHO PUBLICO Y NOTORIO”</w:t>
      </w:r>
      <w:r w:rsidRPr="003144CE">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w:t>
      </w:r>
      <w:r w:rsidRPr="003144CE">
        <w:rPr>
          <w:rFonts w:ascii="Palatino Linotype" w:eastAsia="Palatino Linotype" w:hAnsi="Palatino Linotype" w:cs="Palatino Linotype"/>
        </w:rPr>
        <w:lastRenderedPageBreak/>
        <w:t xml:space="preserve">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3144CE">
        <w:rPr>
          <w:rFonts w:ascii="Palatino Linotype" w:eastAsia="Palatino Linotype" w:hAnsi="Palatino Linotype" w:cs="Palatino Linotype"/>
          <w:b/>
        </w:rPr>
        <w:t>indicios</w:t>
      </w:r>
      <w:r w:rsidRPr="003144CE">
        <w:rPr>
          <w:rFonts w:ascii="Palatino Linotype" w:eastAsia="Palatino Linotype" w:hAnsi="Palatino Linotype" w:cs="Palatino Linotype"/>
        </w:rPr>
        <w:t>.</w:t>
      </w:r>
    </w:p>
    <w:p w14:paraId="080EBF94"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Establecido lo anterior, este Instituto procedió a consultar el apartado de requerimientos del Sistema de Acceso a la Información Mexiquense (SAIMEX), teniendo así que a quien se le turnó el requerimiento de información y otorgó respuesta a este planteamiento es la Dirección General de Patrimonio y Servicios Culturales del Valle de Toluca, sirve de mayor referencia la siguiente ilustración:</w:t>
      </w:r>
    </w:p>
    <w:p w14:paraId="38D84AD6"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noProof/>
        </w:rPr>
        <w:drawing>
          <wp:inline distT="0" distB="0" distL="0" distR="0" wp14:anchorId="3240D15D" wp14:editId="7BACA157">
            <wp:extent cx="6340218" cy="1186306"/>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340218" cy="1186306"/>
                    </a:xfrm>
                    <a:prstGeom prst="rect">
                      <a:avLst/>
                    </a:prstGeom>
                    <a:ln/>
                  </pic:spPr>
                </pic:pic>
              </a:graphicData>
            </a:graphic>
          </wp:inline>
        </w:drawing>
      </w:r>
      <w:r w:rsidRPr="003144CE">
        <w:rPr>
          <w:noProof/>
        </w:rPr>
        <mc:AlternateContent>
          <mc:Choice Requires="wpg">
            <w:drawing>
              <wp:anchor distT="0" distB="0" distL="114300" distR="114300" simplePos="0" relativeHeight="251658240" behindDoc="0" locked="0" layoutInCell="1" hidden="0" allowOverlap="1" wp14:anchorId="28B68E87" wp14:editId="7E8697B2">
                <wp:simplePos x="0" y="0"/>
                <wp:positionH relativeFrom="column">
                  <wp:posOffset>1308100</wp:posOffset>
                </wp:positionH>
                <wp:positionV relativeFrom="paragraph">
                  <wp:posOffset>152400</wp:posOffset>
                </wp:positionV>
                <wp:extent cx="528907" cy="830831"/>
                <wp:effectExtent l="0" t="0" r="0" b="0"/>
                <wp:wrapNone/>
                <wp:docPr id="55" name="Rectángulo 55"/>
                <wp:cNvGraphicFramePr/>
                <a:graphic xmlns:a="http://schemas.openxmlformats.org/drawingml/2006/main">
                  <a:graphicData uri="http://schemas.microsoft.com/office/word/2010/wordprocessingShape">
                    <wps:wsp>
                      <wps:cNvSpPr/>
                      <wps:spPr>
                        <a:xfrm>
                          <a:off x="5095834" y="3378872"/>
                          <a:ext cx="500332" cy="802256"/>
                        </a:xfrm>
                        <a:prstGeom prst="rect">
                          <a:avLst/>
                        </a:prstGeom>
                        <a:noFill/>
                        <a:ln w="28575" cap="flat" cmpd="sng">
                          <a:solidFill>
                            <a:srgbClr val="FF0000"/>
                          </a:solidFill>
                          <a:prstDash val="solid"/>
                          <a:round/>
                          <a:headEnd type="none" w="sm" len="sm"/>
                          <a:tailEnd type="none" w="sm" len="sm"/>
                        </a:ln>
                      </wps:spPr>
                      <wps:txbx>
                        <w:txbxContent>
                          <w:p w14:paraId="16DCF9A9" w14:textId="77777777" w:rsidR="009B109B" w:rsidRDefault="009B109B">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152400</wp:posOffset>
                </wp:positionV>
                <wp:extent cx="528907" cy="830831"/>
                <wp:effectExtent b="0" l="0" r="0" t="0"/>
                <wp:wrapNone/>
                <wp:docPr id="5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28907" cy="830831"/>
                        </a:xfrm>
                        <a:prstGeom prst="rect"/>
                        <a:ln/>
                      </pic:spPr>
                    </pic:pic>
                  </a:graphicData>
                </a:graphic>
              </wp:anchor>
            </w:drawing>
          </mc:Fallback>
        </mc:AlternateContent>
      </w:r>
    </w:p>
    <w:p w14:paraId="5CBBC4D0" w14:textId="77777777" w:rsidR="009B109B" w:rsidRPr="003144CE" w:rsidRDefault="0024362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 este contexto, es importante traer a colación las facultades de la Dirección General de Patrimonio y Servicios Culturales del Valle de Toluca, las </w:t>
      </w:r>
      <w:proofErr w:type="gramStart"/>
      <w:r w:rsidRPr="003144CE">
        <w:rPr>
          <w:rFonts w:ascii="Palatino Linotype" w:eastAsia="Palatino Linotype" w:hAnsi="Palatino Linotype" w:cs="Palatino Linotype"/>
        </w:rPr>
        <w:t>cuales</w:t>
      </w:r>
      <w:proofErr w:type="gramEnd"/>
      <w:r w:rsidRPr="003144CE">
        <w:rPr>
          <w:rFonts w:ascii="Palatino Linotype" w:eastAsia="Palatino Linotype" w:hAnsi="Palatino Linotype" w:cs="Palatino Linotype"/>
        </w:rPr>
        <w:t xml:space="preserve"> de conformidad con el Manual General de Organización de la Secretaría de Cultura y Turismo, cuenta con las siguientes atribuciones:</w:t>
      </w:r>
    </w:p>
    <w:p w14:paraId="2A7A4DEF"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“22600002000000L DIRECCIÓN GENERAL DE PATRIMONIO Y SERVICIOS CULTURALES DEL VALLE DE TOLUCA</w:t>
      </w:r>
    </w:p>
    <w:p w14:paraId="310C92A8"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OBJETIVO:</w:t>
      </w:r>
    </w:p>
    <w:p w14:paraId="4A62FFC9"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Dirigir, coordinar, promover y fomentar el desarrollo cultural y artístico del Estado de México en el Valle de Toluca, mediante actividades de rescate y preservación del patrimonio cultural; el resguardo, la exposición y la divulgación del acervo cultural de los museos, bibliotecas, hemerotecas, cineteca y archivos; la operación de los Centros Regionales de Cultura, y la realización de actividades artísticas, literarias y de fomento a la lectura.</w:t>
      </w:r>
    </w:p>
    <w:p w14:paraId="52FBAA2B"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FUNCIONES:</w:t>
      </w:r>
    </w:p>
    <w:p w14:paraId="1BBC1FE5"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Formular, diseñar y asegurar el cumplimiento de objetivos y metas del Programa Anual de Operación (POA).</w:t>
      </w:r>
    </w:p>
    <w:p w14:paraId="1B2059BA"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Trabajar en coordinación con las unidades administrativas que integran la Secretaría de Cultura y Turismo para consolidar al Estado de México como un referente cultural, artístico, turístico y deportivo.</w:t>
      </w:r>
    </w:p>
    <w:p w14:paraId="431EFDA0"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Presidir la Secretaría Técnica del Comité para la asignación de becas, apoyos y estímulos de la Dirección General de Servicios Culturales del Valle de Toluca de la Secretaría de Cultura y Turismo y asegurar el cumplimiento de los acuerdos tomados en el mismo.</w:t>
      </w:r>
    </w:p>
    <w:p w14:paraId="16F4C0CA"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Promover lo necesario para que las bibliotecas, hemerotecas, cineteca y museos establecidos sean administrados eficazmente, a fin de cumplir con los objetivos para las cuales fueron creados.</w:t>
      </w:r>
    </w:p>
    <w:p w14:paraId="4694BACE"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Coordinar los trabajos de conservación del patrimonio artístico, cultural e histórico que sean administrados por la Secretaría, observando en todo momento la normatividad en la materia.</w:t>
      </w:r>
    </w:p>
    <w:p w14:paraId="52CF5E3B"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Vigilar la operación y administración de los Centros Regionales en apego a los lineamientos de operación correspondiente.</w:t>
      </w:r>
    </w:p>
    <w:p w14:paraId="785EDEC3"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Coordinar y ejecutar programas, proyectos y acciones que fomenten el desarrollo cultural en la Zona del Valle de Toluca.</w:t>
      </w:r>
    </w:p>
    <w:p w14:paraId="6A94DD2B"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 Fomentar el rescate y promoción de los valores culturales, articulando canales de comunicación y trabajo entre los distintos sectores de la sociedad mexiquense.</w:t>
      </w:r>
    </w:p>
    <w:p w14:paraId="6BF59E0C"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Suscribir convenios de colaboración, coordinación, concertación o asociación con autoridades federales, estales o municipales, así como con los sectores social y privado, para planear, organizar, coordinar, promover, ejecutar y evaluar las políticas, programas y acciones necesarias para la preservación del patrimonio cultural y el desarrollo de la cultura en el Estado de México.</w:t>
      </w:r>
    </w:p>
    <w:p w14:paraId="48BD33FC"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Atender los requerimientos de información de los entes auditores e informar en todo momento a la persona superior jerárquica.</w:t>
      </w:r>
    </w:p>
    <w:p w14:paraId="1D802DAE"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Realizar las gestiones necesarias, ante las autoridades federales competentes, para el rescate y protección de los bienes patrimoniales y artísticos de la entidad.</w:t>
      </w:r>
    </w:p>
    <w:p w14:paraId="59652B99"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Solicitar a la o al representante legal de la Secretaría la suscripción de convenios con dependencias del ámbito federal, estatal o municipal.</w:t>
      </w:r>
    </w:p>
    <w:p w14:paraId="1946800D"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Asistir al representante legal de la Secretaría en la suscripción de los convenios solicitados para su firma; así como dar seguimiento a los mismos hasta su total cumplimiento, informando a la o el titular de la Secretaría.</w:t>
      </w:r>
    </w:p>
    <w:p w14:paraId="40AB22AD"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Controlar y administrar las bibliotecas a su cargo, hemerotecas, cineteca, museos y el Archivo Histórico del Estado, así como someter a la consideración de la o el titular de la Secretaría los lineamientos y políticas para su funcionamiento.</w:t>
      </w:r>
    </w:p>
    <w:p w14:paraId="005E2A48"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Dirigir las acciones relacionadas con asesoraría a los ayuntamientos, en materia de operación y gestión de las casas de cultura municipal.</w:t>
      </w:r>
    </w:p>
    <w:p w14:paraId="3788C10E"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Promover las gestiones conducentes para la adquisición de bienes artísticos y valores culturales de propiedad particular, ya sea por compraventa o mediante cualquier otra figura jurídica.</w:t>
      </w:r>
    </w:p>
    <w:p w14:paraId="14631912"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Impulsar, de manera coordinada con los ayuntamientos, acciones para la protección y resguardo de archivos históricos municipales.</w:t>
      </w:r>
    </w:p>
    <w:p w14:paraId="38C58761"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 Someter a consideración de la o del titular de la Secretaría los programas operativos y de enseñanza artística y cultural y de preservación, y en su caso ejecutarlos.</w:t>
      </w:r>
    </w:p>
    <w:p w14:paraId="0CE764CA"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Promover las obras literarias de autoras y autores, tanto mexiquenses como nacionales, así como estimular y fomentar el interés por la literatura entre la población del Estado.</w:t>
      </w:r>
    </w:p>
    <w:p w14:paraId="241256FA"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Dar seguimiento al cumplimiento de los convenios o instrumentos jurídicos en los que asista al representante legal de la Secretaría e informar a la o al titular de la dependencia la conclusión de éstos.</w:t>
      </w:r>
    </w:p>
    <w:p w14:paraId="6E9F7422"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Desarrollar las demás funciones inherentes al área de su competencia”</w:t>
      </w:r>
    </w:p>
    <w:p w14:paraId="763728D8" w14:textId="77777777" w:rsidR="009B109B" w:rsidRPr="003144CE" w:rsidRDefault="0024362C">
      <w:pPr>
        <w:pBdr>
          <w:top w:val="nil"/>
          <w:left w:val="nil"/>
          <w:bottom w:val="nil"/>
          <w:right w:val="nil"/>
          <w:between w:val="nil"/>
        </w:pBdr>
        <w:spacing w:after="240" w:line="360" w:lineRule="auto"/>
        <w:ind w:right="49"/>
        <w:jc w:val="both"/>
        <w:rPr>
          <w:rFonts w:ascii="Palatino Linotype" w:eastAsia="Palatino Linotype" w:hAnsi="Palatino Linotype" w:cs="Palatino Linotype"/>
          <w:strike/>
        </w:rPr>
      </w:pPr>
      <w:r w:rsidRPr="003144CE">
        <w:rPr>
          <w:rFonts w:ascii="Palatino Linotype" w:eastAsia="Palatino Linotype" w:hAnsi="Palatino Linotype" w:cs="Palatino Linotype"/>
        </w:rPr>
        <w:t xml:space="preserve">Como se puede apreciar de la cita previamente realizada, efectivamente la Dirección General de Patrimonio y Servicios Culturales del Valle de Toluca no cuenta con las atribuciones para atender la solicitud de información, por lo tanto, es evidente que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no turnó la solicitud a las unidades administrativas competentes y únicamente se limitó a turnarse y pronunciarse la </w:t>
      </w:r>
      <w:r w:rsidRPr="003144CE">
        <w:rPr>
          <w:rFonts w:ascii="Palatino Linotype" w:eastAsia="Palatino Linotype" w:hAnsi="Palatino Linotype" w:cs="Palatino Linotype"/>
          <w:b/>
        </w:rPr>
        <w:t>Dirección General de Patrimonio y Servicios Culturales del Valle de Toluca</w:t>
      </w:r>
      <w:r w:rsidRPr="003144CE">
        <w:rPr>
          <w:rFonts w:ascii="Palatino Linotype" w:eastAsia="Palatino Linotype" w:hAnsi="Palatino Linotype" w:cs="Palatino Linotype"/>
        </w:rPr>
        <w:t xml:space="preserve">, por lo que consecuentemente, no se satisfizo en su totalidad el derecho de acceso el derecho de acceso a la información pública de </w:t>
      </w:r>
      <w:r w:rsidRPr="003144CE">
        <w:rPr>
          <w:rFonts w:ascii="Palatino Linotype" w:eastAsia="Palatino Linotype" w:hAnsi="Palatino Linotype" w:cs="Palatino Linotype"/>
          <w:b/>
        </w:rPr>
        <w:t>la parte</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Recurrente</w:t>
      </w:r>
      <w:r w:rsidRPr="003144CE">
        <w:rPr>
          <w:rFonts w:ascii="Palatino Linotype" w:eastAsia="Palatino Linotype" w:hAnsi="Palatino Linotype" w:cs="Palatino Linotype"/>
        </w:rPr>
        <w:t xml:space="preserve">,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 requerimiento debió turnarse a la </w:t>
      </w:r>
      <w:r w:rsidRPr="003144CE">
        <w:rPr>
          <w:rFonts w:ascii="Palatino Linotype" w:eastAsia="Palatino Linotype" w:hAnsi="Palatino Linotype" w:cs="Palatino Linotype"/>
          <w:b/>
        </w:rPr>
        <w:t>Coordinación Administrativa</w:t>
      </w:r>
      <w:r w:rsidRPr="003144CE">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w:t>
      </w:r>
      <w:r w:rsidRPr="003144CE">
        <w:rPr>
          <w:rFonts w:ascii="Palatino Linotype" w:eastAsia="Palatino Linotype" w:hAnsi="Palatino Linotype" w:cs="Palatino Linotype"/>
        </w:rPr>
        <w:lastRenderedPageBreak/>
        <w:t>Transparencia y Acceso a la Información Pública del Estado de México y Municipios, el cual es el siguiente: </w:t>
      </w:r>
    </w:p>
    <w:p w14:paraId="3D26E745" w14:textId="77777777" w:rsidR="009B109B" w:rsidRPr="003144CE" w:rsidRDefault="0024362C">
      <w:pPr>
        <w:pBdr>
          <w:top w:val="nil"/>
          <w:left w:val="nil"/>
          <w:bottom w:val="nil"/>
          <w:right w:val="nil"/>
          <w:between w:val="nil"/>
        </w:pBdr>
        <w:spacing w:after="240" w:line="360" w:lineRule="auto"/>
        <w:jc w:val="both"/>
      </w:pPr>
      <w:r w:rsidRPr="003144CE">
        <w:rPr>
          <w:rFonts w:ascii="Palatino Linotype" w:eastAsia="Palatino Linotype" w:hAnsi="Palatino Linotype" w:cs="Palatino Linotype"/>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8832533" w14:textId="77777777" w:rsidR="009B109B" w:rsidRPr="003144CE" w:rsidRDefault="0024362C">
      <w:pPr>
        <w:pBdr>
          <w:top w:val="nil"/>
          <w:left w:val="nil"/>
          <w:bottom w:val="nil"/>
          <w:right w:val="nil"/>
          <w:between w:val="nil"/>
        </w:pBdr>
        <w:spacing w:after="240" w:line="360" w:lineRule="auto"/>
        <w:jc w:val="both"/>
      </w:pPr>
      <w:r w:rsidRPr="003144CE">
        <w:rPr>
          <w:rFonts w:ascii="Palatino Linotype" w:eastAsia="Palatino Linotype" w:hAnsi="Palatino Linotype" w:cs="Palatino Linotype"/>
        </w:rPr>
        <w:t>• La respuesta a los requerimientos informativos, deberá notificarse al interesado en el menor tiempo posible, que no podrá exceder de quince días hábiles, contados a partir del día siguiente a la presentación de esta. </w:t>
      </w:r>
    </w:p>
    <w:p w14:paraId="7A36D4EA" w14:textId="77777777" w:rsidR="009B109B" w:rsidRPr="003144CE" w:rsidRDefault="0024362C">
      <w:pPr>
        <w:pBdr>
          <w:top w:val="nil"/>
          <w:left w:val="nil"/>
          <w:bottom w:val="nil"/>
          <w:right w:val="nil"/>
          <w:between w:val="nil"/>
        </w:pBdr>
        <w:spacing w:after="240" w:line="360" w:lineRule="auto"/>
        <w:jc w:val="both"/>
      </w:pPr>
      <w:r w:rsidRPr="003144CE">
        <w:rPr>
          <w:rFonts w:ascii="Palatino Linotype" w:eastAsia="Palatino Linotype" w:hAnsi="Palatino Linotype" w:cs="Palatino Linotype"/>
        </w:rPr>
        <w:t>Excepcionalmente, el plazo referido podrá ampliarse por siete días hábiles más, cuando existan razones fundadas y motivadas, a través del Comité de Transparencia; </w:t>
      </w:r>
    </w:p>
    <w:p w14:paraId="24930879" w14:textId="77777777" w:rsidR="009B109B" w:rsidRPr="003144CE" w:rsidRDefault="0024362C">
      <w:pPr>
        <w:pBdr>
          <w:top w:val="nil"/>
          <w:left w:val="nil"/>
          <w:bottom w:val="nil"/>
          <w:right w:val="nil"/>
          <w:between w:val="nil"/>
        </w:pBdr>
        <w:spacing w:after="240" w:line="360" w:lineRule="auto"/>
        <w:jc w:val="both"/>
      </w:pPr>
      <w:r w:rsidRPr="003144CE">
        <w:rPr>
          <w:rFonts w:ascii="Palatino Linotype" w:eastAsia="Palatino Linotype" w:hAnsi="Palatino Linotype" w:cs="Palatino Linotype"/>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7B8E05A" w14:textId="77777777" w:rsidR="009B109B" w:rsidRPr="003144CE" w:rsidRDefault="0024362C">
      <w:pPr>
        <w:pBdr>
          <w:top w:val="nil"/>
          <w:left w:val="nil"/>
          <w:bottom w:val="nil"/>
          <w:right w:val="nil"/>
          <w:between w:val="nil"/>
        </w:pBdr>
        <w:spacing w:after="240" w:line="360" w:lineRule="auto"/>
        <w:jc w:val="both"/>
      </w:pPr>
      <w:r w:rsidRPr="003144CE">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rPr>
        <w:lastRenderedPageBreak/>
        <w:t>deberá ofrecer otras; por lo cual, deberá fundar y motivar la necesidad de modificar el medio de entrega, y </w:t>
      </w:r>
    </w:p>
    <w:p w14:paraId="4A83A0BB" w14:textId="77777777" w:rsidR="009B109B" w:rsidRPr="003144CE" w:rsidRDefault="0024362C">
      <w:pPr>
        <w:pBdr>
          <w:top w:val="nil"/>
          <w:left w:val="nil"/>
          <w:bottom w:val="nil"/>
          <w:right w:val="nil"/>
          <w:between w:val="nil"/>
        </w:pBdr>
        <w:spacing w:after="240" w:line="360" w:lineRule="auto"/>
        <w:jc w:val="both"/>
      </w:pPr>
      <w:r w:rsidRPr="003144CE">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6B9FD13" w14:textId="77777777" w:rsidR="009B109B" w:rsidRPr="003144CE" w:rsidRDefault="0024362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 este orden de ideas, se reitera que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w:t>
      </w:r>
      <w:r w:rsidRPr="003144CE">
        <w:rPr>
          <w:rFonts w:ascii="Palatino Linotype" w:eastAsia="Palatino Linotype" w:hAnsi="Palatino Linotype" w:cs="Palatino Linotype"/>
          <w:b/>
        </w:rPr>
        <w:t>Coordinación Administrativa</w:t>
      </w:r>
      <w:r w:rsidRPr="003144CE">
        <w:rPr>
          <w:rFonts w:ascii="Palatino Linotype" w:eastAsia="Palatino Linotype" w:hAnsi="Palatino Linotype" w:cs="Palatino Linotype"/>
        </w:rPr>
        <w:t xml:space="preserve">, ello en virtud de </w:t>
      </w:r>
      <w:proofErr w:type="gramStart"/>
      <w:r w:rsidRPr="003144CE">
        <w:rPr>
          <w:rFonts w:ascii="Palatino Linotype" w:eastAsia="Palatino Linotype" w:hAnsi="Palatino Linotype" w:cs="Palatino Linotype"/>
        </w:rPr>
        <w:t>que</w:t>
      </w:r>
      <w:proofErr w:type="gramEnd"/>
      <w:r w:rsidRPr="003144CE">
        <w:rPr>
          <w:rFonts w:ascii="Palatino Linotype" w:eastAsia="Palatino Linotype" w:hAnsi="Palatino Linotype" w:cs="Palatino Linotype"/>
        </w:rPr>
        <w:t xml:space="preserve"> de conformidad con el referido Manual General de Organización, cuenta con las siguientes atribuciones:</w:t>
      </w:r>
    </w:p>
    <w:p w14:paraId="182EA543"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“22600003000000S COORDINACIÓN ADMINISTRATIVA</w:t>
      </w:r>
    </w:p>
    <w:p w14:paraId="5086A945"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OBJETIVO:</w:t>
      </w:r>
    </w:p>
    <w:p w14:paraId="5918A32B"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Programar, gestionar, organizar y controlar el suministro, la administración y la aplicación de los recursos</w:t>
      </w:r>
      <w:r w:rsidRPr="003144CE">
        <w:rPr>
          <w:rFonts w:ascii="Palatino Linotype" w:eastAsia="Palatino Linotype" w:hAnsi="Palatino Linotype" w:cs="Palatino Linotype"/>
          <w:i/>
          <w:sz w:val="22"/>
          <w:szCs w:val="22"/>
        </w:rPr>
        <w:t xml:space="preserve"> humanos, materiales, </w:t>
      </w:r>
      <w:r w:rsidRPr="003144CE">
        <w:rPr>
          <w:rFonts w:ascii="Palatino Linotype" w:eastAsia="Palatino Linotype" w:hAnsi="Palatino Linotype" w:cs="Palatino Linotype"/>
          <w:b/>
          <w:i/>
          <w:sz w:val="22"/>
          <w:szCs w:val="22"/>
          <w:u w:val="single"/>
        </w:rPr>
        <w:t>financieros</w:t>
      </w:r>
      <w:r w:rsidRPr="003144CE">
        <w:rPr>
          <w:rFonts w:ascii="Palatino Linotype" w:eastAsia="Palatino Linotype" w:hAnsi="Palatino Linotype" w:cs="Palatino Linotype"/>
          <w:i/>
          <w:sz w:val="22"/>
          <w:szCs w:val="22"/>
        </w:rPr>
        <w:t>, técnicos y servicios generales que requieran las unidades administrativas para su funcionamiento, así como la solicitud de obra por encargo a la Secretaría de Desarrollo Urbano y Obra.</w:t>
      </w:r>
    </w:p>
    <w:p w14:paraId="21388011" w14:textId="77777777" w:rsidR="009B109B" w:rsidRPr="003144CE" w:rsidRDefault="0024362C">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FUNCIONES:</w:t>
      </w:r>
    </w:p>
    <w:p w14:paraId="0F95BEAE" w14:textId="77777777" w:rsidR="009B109B" w:rsidRPr="003144CE" w:rsidRDefault="0024362C">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7EC0DD04"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w:t>
      </w:r>
      <w:r w:rsidRPr="003144CE">
        <w:rPr>
          <w:rFonts w:ascii="Palatino Linotype" w:eastAsia="Palatino Linotype" w:hAnsi="Palatino Linotype" w:cs="Palatino Linotype"/>
          <w:b/>
          <w:i/>
          <w:sz w:val="22"/>
          <w:szCs w:val="22"/>
          <w:u w:val="single"/>
        </w:rPr>
        <w:t>Vigilar que los registros contables, financieros y presupuestales de la Oficina de la persona titular de la Secretaría y sus unidades staff se realicen de acuerdo con la normatividad vigente</w:t>
      </w:r>
      <w:r w:rsidRPr="003144CE">
        <w:rPr>
          <w:rFonts w:ascii="Palatino Linotype" w:eastAsia="Palatino Linotype" w:hAnsi="Palatino Linotype" w:cs="Palatino Linotype"/>
          <w:i/>
          <w:sz w:val="22"/>
          <w:szCs w:val="22"/>
        </w:rPr>
        <w:t>.</w:t>
      </w:r>
    </w:p>
    <w:p w14:paraId="47EBF16B"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41995F3A"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b/>
          <w:i/>
          <w:sz w:val="22"/>
          <w:szCs w:val="22"/>
          <w:u w:val="single"/>
        </w:rPr>
      </w:pP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u w:val="single"/>
        </w:rPr>
        <w:t>Validar la adquisición de bienes y la contratación de servicios que soliciten las unidades administrativas de la Secretaría, de acuerdo con la normatividad aplicable.</w:t>
      </w:r>
    </w:p>
    <w:p w14:paraId="33E7073E"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410DA0D4"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u w:val="single"/>
        </w:rPr>
        <w:t>Coordinar la sustanciación de los procedimientos de contrato pedido, así como la integración de los expedientes de solicitud de adquisición de bienes y servicios de las unidades administrativas de la Secretaría de Cultura y Turismo, conforme a la normatividad vigente en la materia</w:t>
      </w:r>
      <w:r w:rsidRPr="003144CE">
        <w:rPr>
          <w:rFonts w:ascii="Palatino Linotype" w:eastAsia="Palatino Linotype" w:hAnsi="Palatino Linotype" w:cs="Palatino Linotype"/>
          <w:i/>
          <w:sz w:val="22"/>
          <w:szCs w:val="22"/>
        </w:rPr>
        <w:t>.</w:t>
      </w:r>
    </w:p>
    <w:p w14:paraId="42DFAD8C" w14:textId="77777777" w:rsidR="009B109B" w:rsidRPr="003144CE" w:rsidRDefault="0024362C">
      <w:pPr>
        <w:pBdr>
          <w:top w:val="nil"/>
          <w:left w:val="nil"/>
          <w:bottom w:val="nil"/>
          <w:right w:val="nil"/>
          <w:between w:val="nil"/>
        </w:pBdr>
        <w:spacing w:before="280" w:after="280" w:line="276" w:lineRule="auto"/>
        <w:ind w:left="567" w:right="758"/>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u w:val="single"/>
        </w:rPr>
        <w:t>Coordinar las actividades para la adquisición, almacenamiento y suministro de materiales, así como la contratación de servicios que requiera la oficina de la o del titular de la Secretaría y sus unidades staff</w:t>
      </w:r>
      <w:r w:rsidRPr="003144CE">
        <w:rPr>
          <w:rFonts w:ascii="Palatino Linotype" w:eastAsia="Palatino Linotype" w:hAnsi="Palatino Linotype" w:cs="Palatino Linotype"/>
          <w:i/>
          <w:sz w:val="22"/>
          <w:szCs w:val="22"/>
        </w:rPr>
        <w:t>.” (Énfasis añadido)</w:t>
      </w:r>
    </w:p>
    <w:p w14:paraId="1A11A71B" w14:textId="77777777" w:rsidR="009B109B" w:rsidRPr="003144CE" w:rsidRDefault="0024362C">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Asimismo, el Reglamento Interior de la Secretaría de Cultura y Turismo delega a esta Coordinación Administrativa, las siguientes facultades: </w:t>
      </w:r>
    </w:p>
    <w:p w14:paraId="32448915"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“Artículo 19. Corresponden a la Coordinación Administrativa las atribuciones siguientes:</w:t>
      </w:r>
    </w:p>
    <w:p w14:paraId="0A4BAF0B"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u w:val="single"/>
        </w:rPr>
        <w:t>I. Programar, organizar y controlar el suministro aprovechamiento y aplicación de los recursos humanos, materiales y financieros, así como los servicios generales necesarios para el funcionamiento de las unidades administrativas de la Secretaría</w:t>
      </w:r>
      <w:r w:rsidRPr="003144CE">
        <w:rPr>
          <w:rFonts w:ascii="Palatino Linotype" w:eastAsia="Palatino Linotype" w:hAnsi="Palatino Linotype" w:cs="Palatino Linotype"/>
          <w:i/>
          <w:sz w:val="22"/>
          <w:szCs w:val="22"/>
        </w:rPr>
        <w:t>;</w:t>
      </w:r>
    </w:p>
    <w:p w14:paraId="1486E641"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163C1A5E" w14:textId="77777777" w:rsidR="009B109B" w:rsidRPr="003144CE" w:rsidRDefault="0024362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u w:val="single"/>
        </w:rPr>
        <w:lastRenderedPageBreak/>
        <w:t>XXIII. Verificar que se realicen los registros contables y presupuestales de las operaciones financieras de la dependencia</w:t>
      </w:r>
      <w:proofErr w:type="gramStart"/>
      <w:r w:rsidRPr="003144CE">
        <w:rPr>
          <w:rFonts w:ascii="Palatino Linotype" w:eastAsia="Palatino Linotype" w:hAnsi="Palatino Linotype" w:cs="Palatino Linotype"/>
          <w:i/>
          <w:sz w:val="22"/>
          <w:szCs w:val="22"/>
        </w:rPr>
        <w:t>;”(</w:t>
      </w:r>
      <w:proofErr w:type="gramEnd"/>
      <w:r w:rsidRPr="003144CE">
        <w:rPr>
          <w:rFonts w:ascii="Palatino Linotype" w:eastAsia="Palatino Linotype" w:hAnsi="Palatino Linotype" w:cs="Palatino Linotype"/>
          <w:i/>
          <w:sz w:val="22"/>
          <w:szCs w:val="22"/>
        </w:rPr>
        <w:t>Énfasis añadido)</w:t>
      </w:r>
    </w:p>
    <w:p w14:paraId="1ACC37F5" w14:textId="77777777" w:rsidR="009B109B" w:rsidRPr="003144CE" w:rsidRDefault="0024362C">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Por lo anterior, queda de manifiesto que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fue omiso en turnar la solicitud de información a la unidad administrativa competente, por lo que, para efecto de dar cumplimiento a la presente determinación, deberá turnársela a esta Coordinación para efecto de que se pronuncie sobre los requerimientos de información.</w:t>
      </w:r>
    </w:p>
    <w:p w14:paraId="278B6123" w14:textId="77777777" w:rsidR="009B109B" w:rsidRPr="003144CE" w:rsidRDefault="002436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Ahora bien, respecto a la materia del requerimiento combatido, el artículo 61, fracción II de la Ley General de Contabilidad Gubernamental establece las bases del presupuesto de egresos, conforme a lo siguiente:</w:t>
      </w:r>
    </w:p>
    <w:p w14:paraId="291A38DC" w14:textId="77777777" w:rsidR="009B109B" w:rsidRPr="003144CE" w:rsidRDefault="0024362C">
      <w:pPr>
        <w:pBdr>
          <w:top w:val="nil"/>
          <w:left w:val="nil"/>
          <w:bottom w:val="nil"/>
          <w:right w:val="nil"/>
          <w:between w:val="nil"/>
        </w:pBdr>
        <w:spacing w:before="240" w:after="240" w:line="276" w:lineRule="auto"/>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“Artículo 61.-</w:t>
      </w:r>
      <w:r w:rsidRPr="003144CE">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6E040BC9" w14:textId="77777777" w:rsidR="009B109B" w:rsidRPr="003144CE" w:rsidRDefault="0024362C">
      <w:pPr>
        <w:spacing w:before="240" w:after="240" w:line="276" w:lineRule="auto"/>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2C45233E" w14:textId="77777777" w:rsidR="009B109B" w:rsidRPr="003144CE" w:rsidRDefault="0024362C">
      <w:pPr>
        <w:spacing w:before="240" w:after="240" w:line="276" w:lineRule="auto"/>
        <w:ind w:left="567" w:right="902"/>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 xml:space="preserve">II. Presupuestos de Egresos: </w:t>
      </w:r>
    </w:p>
    <w:p w14:paraId="7365D9DC" w14:textId="77777777" w:rsidR="009B109B" w:rsidRPr="003144CE" w:rsidRDefault="0024362C">
      <w:pPr>
        <w:spacing w:before="240" w:after="240" w:line="276" w:lineRule="auto"/>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a)</w:t>
      </w:r>
      <w:r w:rsidRPr="003144CE">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2563D30C" w14:textId="77777777" w:rsidR="009B109B" w:rsidRPr="003144CE" w:rsidRDefault="0024362C">
      <w:pPr>
        <w:spacing w:before="240" w:after="240" w:line="276" w:lineRule="auto"/>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lastRenderedPageBreak/>
        <w:t>b)</w:t>
      </w:r>
      <w:r w:rsidRPr="003144CE">
        <w:rPr>
          <w:rFonts w:ascii="Palatino Linotype" w:eastAsia="Palatino Linotype" w:hAnsi="Palatino Linotype" w:cs="Palatino Linotype"/>
          <w:i/>
          <w:sz w:val="22"/>
          <w:szCs w:val="22"/>
        </w:rPr>
        <w:t xml:space="preserve"> El listado de </w:t>
      </w:r>
      <w:proofErr w:type="gramStart"/>
      <w:r w:rsidRPr="003144CE">
        <w:rPr>
          <w:rFonts w:ascii="Palatino Linotype" w:eastAsia="Palatino Linotype" w:hAnsi="Palatino Linotype" w:cs="Palatino Linotype"/>
          <w:i/>
          <w:sz w:val="22"/>
          <w:szCs w:val="22"/>
        </w:rPr>
        <w:t>programas</w:t>
      </w:r>
      <w:proofErr w:type="gramEnd"/>
      <w:r w:rsidRPr="003144CE">
        <w:rPr>
          <w:rFonts w:ascii="Palatino Linotype" w:eastAsia="Palatino Linotype" w:hAnsi="Palatino Linotype" w:cs="Palatino Linotype"/>
          <w:i/>
          <w:sz w:val="22"/>
          <w:szCs w:val="22"/>
        </w:rPr>
        <w:t xml:space="preserve"> así como sus indicadores estratégicos y de gestión aprobados, y </w:t>
      </w:r>
    </w:p>
    <w:p w14:paraId="01A42C3C" w14:textId="77777777" w:rsidR="009B109B" w:rsidRPr="003144CE" w:rsidRDefault="0024362C">
      <w:pPr>
        <w:spacing w:before="240" w:after="240" w:line="276" w:lineRule="auto"/>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c)</w:t>
      </w:r>
      <w:r w:rsidRPr="003144CE">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1241A81B" w14:textId="77777777" w:rsidR="009B109B" w:rsidRPr="003144CE" w:rsidRDefault="0024362C">
      <w:pPr>
        <w:spacing w:before="240" w:after="240" w:line="360" w:lineRule="auto"/>
        <w:ind w:right="-91"/>
        <w:jc w:val="both"/>
        <w:rPr>
          <w:rFonts w:ascii="Palatino Linotype" w:eastAsia="Palatino Linotype" w:hAnsi="Palatino Linotype" w:cs="Palatino Linotype"/>
        </w:rPr>
      </w:pPr>
      <w:r w:rsidRPr="003144CE">
        <w:rPr>
          <w:rFonts w:ascii="Palatino Linotype" w:eastAsia="Palatino Linotype" w:hAnsi="Palatino Linotype" w:cs="Palatino Linotype"/>
        </w:rPr>
        <w:t>En términos del artículo en cita, los ayuntamientos y a las entidades públicas municipales, aplicarán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7BDAD106" w14:textId="77777777" w:rsidR="009B109B" w:rsidRPr="003144CE" w:rsidRDefault="0024362C">
      <w:pPr>
        <w:spacing w:after="120"/>
        <w:ind w:left="851" w:right="900"/>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Código Financiero del Estado de México y Municipios</w:t>
      </w:r>
    </w:p>
    <w:p w14:paraId="1491C7E2" w14:textId="77777777" w:rsidR="009B109B" w:rsidRPr="003144CE" w:rsidRDefault="0024362C">
      <w:pPr>
        <w:spacing w:after="120"/>
        <w:ind w:left="851"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“Artículo 292</w:t>
      </w:r>
      <w:r w:rsidRPr="003144CE">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37ADEC2A" w14:textId="77777777" w:rsidR="009B109B" w:rsidRPr="003144CE" w:rsidRDefault="0024362C">
      <w:pPr>
        <w:spacing w:after="120"/>
        <w:ind w:left="851"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Artículo 292.-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14:paraId="2649D08A" w14:textId="77777777" w:rsidR="009B109B" w:rsidRPr="003144CE" w:rsidRDefault="009B109B">
      <w:pPr>
        <w:spacing w:after="120"/>
        <w:ind w:left="851" w:right="900"/>
        <w:jc w:val="both"/>
        <w:rPr>
          <w:rFonts w:ascii="Palatino Linotype" w:eastAsia="Palatino Linotype" w:hAnsi="Palatino Linotype" w:cs="Palatino Linotype"/>
          <w:i/>
          <w:sz w:val="22"/>
          <w:szCs w:val="22"/>
        </w:rPr>
      </w:pPr>
    </w:p>
    <w:p w14:paraId="78D20A55"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lastRenderedPageBreak/>
        <w:t xml:space="preserve">Es conveniente subrayar que de acuerdo con del Clasificador por Objeto del Gasto Estatal y Municipal, la definición de los Capítulos de gasto es la siguiente: </w:t>
      </w:r>
    </w:p>
    <w:p w14:paraId="2CE354AB"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1000 SERVICIOS PERSONALES</w:t>
      </w:r>
      <w:r w:rsidRPr="003144CE">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2833EC47"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2000 MATERIALES Y SUMINISTROS</w:t>
      </w:r>
      <w:r w:rsidRPr="003144CE">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6AFC368F"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3000 SERVICIOS GENERALES</w:t>
      </w:r>
      <w:r w:rsidRPr="003144CE">
        <w:rPr>
          <w:rFonts w:ascii="Palatino Linotype" w:eastAsia="Palatino Linotype" w:hAnsi="Palatino Linotype" w:cs="Palatino Linotype"/>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68C5F2D3"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 xml:space="preserve">4000 TRANSFERENCIAS, ASIGNACIONES, SUBSIDIOS Y OTRAS AYUDAS. </w:t>
      </w:r>
      <w:r w:rsidRPr="003144CE">
        <w:rPr>
          <w:rFonts w:ascii="Palatino Linotype" w:eastAsia="Palatino Linotype" w:hAnsi="Palatino Linotype" w:cs="Palatino Linotype"/>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0D0171A1"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5000 BIENES MUEBLES, INMUEBLES E INTANGIBLES</w:t>
      </w:r>
      <w:r w:rsidRPr="003144CE">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0B70F353"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lastRenderedPageBreak/>
        <w:t>6000 INVERSIÓN PÚBLICA</w:t>
      </w:r>
      <w:r w:rsidRPr="003144CE">
        <w:rPr>
          <w:rFonts w:ascii="Palatino Linotype" w:eastAsia="Palatino Linotype" w:hAnsi="Palatino Linotype" w:cs="Palatino Linotype"/>
        </w:rPr>
        <w:t xml:space="preserve">. Asignaciones destinadas a obras por contrato y proyectos productivos y acciones de fomento. Incluye los gastos en estudios de </w:t>
      </w:r>
      <w:proofErr w:type="spellStart"/>
      <w:r w:rsidRPr="003144CE">
        <w:rPr>
          <w:rFonts w:ascii="Palatino Linotype" w:eastAsia="Palatino Linotype" w:hAnsi="Palatino Linotype" w:cs="Palatino Linotype"/>
        </w:rPr>
        <w:t>pre‐inversión</w:t>
      </w:r>
      <w:proofErr w:type="spellEnd"/>
      <w:r w:rsidRPr="003144CE">
        <w:rPr>
          <w:rFonts w:ascii="Palatino Linotype" w:eastAsia="Palatino Linotype" w:hAnsi="Palatino Linotype" w:cs="Palatino Linotype"/>
        </w:rPr>
        <w:t xml:space="preserve"> y preparación del proyecto.</w:t>
      </w:r>
    </w:p>
    <w:p w14:paraId="073375B9"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7000 INVERSIONES FINANCIERAS Y OTRAS PROVISIONES</w:t>
      </w:r>
      <w:r w:rsidRPr="003144CE">
        <w:rPr>
          <w:rFonts w:ascii="Palatino Linotype" w:eastAsia="Palatino Linotype" w:hAnsi="Palatino Linotype" w:cs="Palatino Linotype"/>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5C37E105"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3144CE">
        <w:rPr>
          <w:rFonts w:ascii="Palatino Linotype" w:eastAsia="Palatino Linotype" w:hAnsi="Palatino Linotype" w:cs="Palatino Linotype"/>
          <w:b/>
        </w:rPr>
        <w:t>8000 PARTICIPACIONES Y APORTACIONES.</w:t>
      </w:r>
      <w:r w:rsidRPr="003144CE">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66C05A1A" w14:textId="77777777" w:rsidR="009B109B" w:rsidRPr="003144CE" w:rsidRDefault="0024362C">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b/>
        </w:rPr>
      </w:pPr>
      <w:r w:rsidRPr="003144CE">
        <w:rPr>
          <w:rFonts w:ascii="Palatino Linotype" w:eastAsia="Palatino Linotype" w:hAnsi="Palatino Linotype" w:cs="Palatino Linotype"/>
          <w:b/>
        </w:rPr>
        <w:t>9000 DEUDA PÚBLICA</w:t>
      </w:r>
      <w:r w:rsidRPr="003144CE">
        <w:rPr>
          <w:rFonts w:ascii="Palatino Linotype" w:eastAsia="Palatino Linotype" w:hAnsi="Palatino Linotype" w:cs="Palatino Linotype"/>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7C4D76C0" w14:textId="77777777" w:rsidR="009B109B" w:rsidRPr="003144CE" w:rsidRDefault="0024362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Continuando con el análisis,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w:t>
      </w:r>
      <w:r w:rsidRPr="003144CE">
        <w:rPr>
          <w:rFonts w:ascii="Palatino Linotype" w:eastAsia="Palatino Linotype" w:hAnsi="Palatino Linotype" w:cs="Palatino Linotype"/>
        </w:rPr>
        <w:lastRenderedPageBreak/>
        <w:t>los objetivos, parámetros e indicadores de desempeño y programas derivados del Plan de Desarrollo del Estado de México, durante el ejercicio fiscal correspondiente y en apego a lo establecido en la legislación aplicable.</w:t>
      </w:r>
    </w:p>
    <w:p w14:paraId="42D1A5C0" w14:textId="77777777" w:rsidR="009B109B" w:rsidRPr="003144CE" w:rsidRDefault="0024362C">
      <w:pPr>
        <w:pBdr>
          <w:top w:val="nil"/>
          <w:left w:val="nil"/>
          <w:bottom w:val="nil"/>
          <w:right w:val="nil"/>
          <w:between w:val="nil"/>
        </w:pBdr>
        <w:spacing w:before="240" w:after="240" w:line="360" w:lineRule="auto"/>
        <w:ind w:right="51"/>
        <w:jc w:val="both"/>
      </w:pPr>
      <w:r w:rsidRPr="003144CE">
        <w:rPr>
          <w:rFonts w:ascii="Palatino Linotype" w:eastAsia="Palatino Linotype" w:hAnsi="Palatino Linotype" w:cs="Palatino Linotype"/>
        </w:rPr>
        <w:t xml:space="preserve">Por otro lado, respecto a los contratos, la Ley de Contratación Pública del Estado de México y Municipios, la cual tiene por objeto regular los actos relativos a la </w:t>
      </w:r>
      <w:r w:rsidRPr="003144CE">
        <w:rPr>
          <w:rFonts w:ascii="Palatino Linotype" w:eastAsia="Palatino Linotype" w:hAnsi="Palatino Linotype" w:cs="Palatino Linotype"/>
          <w:b/>
          <w:u w:val="single"/>
        </w:rPr>
        <w:t>planeación, programación, presupuestación</w:t>
      </w:r>
      <w:r w:rsidRPr="003144CE">
        <w:rPr>
          <w:rFonts w:ascii="Palatino Linotype" w:eastAsia="Palatino Linotype" w:hAnsi="Palatino Linotype" w:cs="Palatino Linotype"/>
        </w:rPr>
        <w:t xml:space="preserve">, ejecución y control de la </w:t>
      </w:r>
      <w:r w:rsidRPr="003144CE">
        <w:rPr>
          <w:rFonts w:ascii="Palatino Linotype" w:eastAsia="Palatino Linotype" w:hAnsi="Palatino Linotype" w:cs="Palatino Linotype"/>
          <w:b/>
          <w:u w:val="single"/>
        </w:rPr>
        <w:t>adquisición</w:t>
      </w:r>
      <w:r w:rsidRPr="003144CE">
        <w:rPr>
          <w:rFonts w:ascii="Palatino Linotype" w:eastAsia="Palatino Linotype" w:hAnsi="Palatino Linotype" w:cs="Palatino Linotype"/>
          <w:u w:val="single"/>
        </w:rPr>
        <w:t xml:space="preserve">, </w:t>
      </w:r>
      <w:r w:rsidRPr="003144CE">
        <w:rPr>
          <w:rFonts w:ascii="Palatino Linotype" w:eastAsia="Palatino Linotype" w:hAnsi="Palatino Linotype" w:cs="Palatino Linotype"/>
          <w:b/>
          <w:u w:val="single"/>
        </w:rPr>
        <w:t>enajenación y arrendamiento</w:t>
      </w:r>
      <w:r w:rsidRPr="003144CE">
        <w:rPr>
          <w:rFonts w:ascii="Palatino Linotype" w:eastAsia="Palatino Linotype" w:hAnsi="Palatino Linotype" w:cs="Palatino Linotype"/>
        </w:rPr>
        <w:t xml:space="preserve"> de bienes, y la </w:t>
      </w:r>
      <w:r w:rsidRPr="003144CE">
        <w:rPr>
          <w:rFonts w:ascii="Palatino Linotype" w:eastAsia="Palatino Linotype" w:hAnsi="Palatino Linotype" w:cs="Palatino Linotype"/>
          <w:b/>
          <w:u w:val="single"/>
        </w:rPr>
        <w:t>contratación de servicios de cualquier naturaleza</w:t>
      </w:r>
      <w:r w:rsidRPr="003144CE">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párrafo primero y segundo, 26 y 27 de dicha Ley, los cuales son del tenor siguiente:</w:t>
      </w:r>
    </w:p>
    <w:p w14:paraId="7FD09648"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4.-</w:t>
      </w:r>
      <w:r w:rsidRPr="003144CE">
        <w:rPr>
          <w:rFonts w:ascii="Palatino Linotype" w:eastAsia="Palatino Linotype" w:hAnsi="Palatino Linotype" w:cs="Palatino Linotype"/>
          <w:i/>
          <w:sz w:val="22"/>
          <w:szCs w:val="22"/>
        </w:rPr>
        <w:t xml:space="preserve"> Para los efectos de esta Ley, </w:t>
      </w:r>
      <w:r w:rsidRPr="003144CE">
        <w:rPr>
          <w:rFonts w:ascii="Palatino Linotype" w:eastAsia="Palatino Linotype" w:hAnsi="Palatino Linotype" w:cs="Palatino Linotype"/>
          <w:b/>
          <w:i/>
          <w:sz w:val="22"/>
          <w:szCs w:val="22"/>
        </w:rPr>
        <w:t>en las adquisiciones, enajenaciones, arrendamientos y servicios, quedan comprendidos</w:t>
      </w:r>
      <w:r w:rsidRPr="003144CE">
        <w:rPr>
          <w:rFonts w:ascii="Palatino Linotype" w:eastAsia="Palatino Linotype" w:hAnsi="Palatino Linotype" w:cs="Palatino Linotype"/>
          <w:i/>
          <w:sz w:val="22"/>
          <w:szCs w:val="22"/>
        </w:rPr>
        <w:t>:</w:t>
      </w:r>
    </w:p>
    <w:p w14:paraId="002238B4"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w:t>
      </w:r>
      <w:r w:rsidRPr="003144CE">
        <w:rPr>
          <w:rFonts w:ascii="Palatino Linotype" w:eastAsia="Palatino Linotype" w:hAnsi="Palatino Linotype" w:cs="Palatino Linotype"/>
          <w:i/>
          <w:sz w:val="22"/>
          <w:szCs w:val="22"/>
        </w:rPr>
        <w:t xml:space="preserve"> La adquisición de bienes muebles.</w:t>
      </w:r>
    </w:p>
    <w:p w14:paraId="3BE5FE46"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II</w:t>
      </w:r>
      <w:r w:rsidRPr="003144CE">
        <w:rPr>
          <w:rFonts w:ascii="Palatino Linotype" w:eastAsia="Palatino Linotype" w:hAnsi="Palatino Linotype" w:cs="Palatino Linotype"/>
          <w:i/>
          <w:sz w:val="22"/>
          <w:szCs w:val="22"/>
        </w:rPr>
        <w:t>. La adquisición de bienes inmuebles, a través de compraventa.</w:t>
      </w:r>
    </w:p>
    <w:p w14:paraId="015895B5"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III.</w:t>
      </w:r>
      <w:r w:rsidRPr="003144CE">
        <w:rPr>
          <w:rFonts w:ascii="Palatino Linotype" w:eastAsia="Palatino Linotype" w:hAnsi="Palatino Linotype" w:cs="Palatino Linotype"/>
          <w:i/>
          <w:sz w:val="22"/>
          <w:szCs w:val="22"/>
        </w:rPr>
        <w:t xml:space="preserve"> La enajenación de bienes muebles e inmuebles.</w:t>
      </w:r>
      <w:r w:rsidRPr="003144CE">
        <w:rPr>
          <w:rFonts w:ascii="Palatino Linotype" w:eastAsia="Palatino Linotype" w:hAnsi="Palatino Linotype" w:cs="Palatino Linotype"/>
          <w:i/>
          <w:sz w:val="22"/>
          <w:szCs w:val="22"/>
        </w:rPr>
        <w:tab/>
      </w:r>
    </w:p>
    <w:p w14:paraId="3E73ED30"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IV.</w:t>
      </w:r>
      <w:r w:rsidRPr="003144CE">
        <w:rPr>
          <w:rFonts w:ascii="Palatino Linotype" w:eastAsia="Palatino Linotype" w:hAnsi="Palatino Linotype" w:cs="Palatino Linotype"/>
          <w:i/>
          <w:sz w:val="22"/>
          <w:szCs w:val="22"/>
        </w:rPr>
        <w:t xml:space="preserve"> El arrendamiento de bienes muebles e inmuebles. </w:t>
      </w:r>
    </w:p>
    <w:p w14:paraId="005F1944"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V</w:t>
      </w:r>
      <w:r w:rsidRPr="003144CE">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5B5907F0"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VI.</w:t>
      </w:r>
      <w:r w:rsidRPr="003144CE">
        <w:rPr>
          <w:rFonts w:ascii="Palatino Linotype" w:eastAsia="Palatino Linotype" w:hAnsi="Palatino Linotype" w:cs="Palatino Linotype"/>
          <w:i/>
          <w:sz w:val="22"/>
          <w:szCs w:val="22"/>
        </w:rPr>
        <w:t xml:space="preserve"> La contratación de los servicios de reconstrucción y mantenimiento de bienes muebles. </w:t>
      </w:r>
    </w:p>
    <w:p w14:paraId="019271E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VII.</w:t>
      </w:r>
      <w:r w:rsidRPr="003144CE">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6A28B2D6"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VIII.</w:t>
      </w:r>
      <w:r w:rsidRPr="003144CE">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3661A89D"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lastRenderedPageBreak/>
        <w:t>En general, otros actos que impliquen la contratación de servicios de cualquier naturaleza.</w:t>
      </w:r>
    </w:p>
    <w:p w14:paraId="5B8E716A"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w:t>
      </w:r>
    </w:p>
    <w:p w14:paraId="02A1DC4F"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26.-</w:t>
      </w: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rPr>
        <w:t>Las adquisiciones, arrendamientos y servicios se adjudicarán a través de licitaciones públicas</w:t>
      </w:r>
      <w:r w:rsidRPr="003144CE">
        <w:rPr>
          <w:rFonts w:ascii="Palatino Linotype" w:eastAsia="Palatino Linotype" w:hAnsi="Palatino Linotype" w:cs="Palatino Linotype"/>
          <w:i/>
          <w:sz w:val="22"/>
          <w:szCs w:val="22"/>
        </w:rPr>
        <w:t>, mediante convocatoria pública. </w:t>
      </w:r>
    </w:p>
    <w:p w14:paraId="168D6C4A"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27.</w:t>
      </w:r>
      <w:r w:rsidRPr="003144CE">
        <w:rPr>
          <w:rFonts w:ascii="Palatino Linotype" w:eastAsia="Palatino Linotype" w:hAnsi="Palatino Linotype" w:cs="Palatino Linotype"/>
          <w:i/>
          <w:sz w:val="22"/>
          <w:szCs w:val="22"/>
        </w:rPr>
        <w:t xml:space="preserve">- La Secretaría, las entidades, los tribunales administrativos y los ayuntamientos podrán </w:t>
      </w:r>
      <w:r w:rsidRPr="003144CE">
        <w:rPr>
          <w:rFonts w:ascii="Palatino Linotype" w:eastAsia="Palatino Linotype" w:hAnsi="Palatino Linotype" w:cs="Palatino Linotype"/>
          <w:b/>
          <w:i/>
          <w:sz w:val="22"/>
          <w:szCs w:val="22"/>
        </w:rPr>
        <w:t>adjudicar adquisiciones, arrendamientos y servicios, mediante las excepciones al procedimiento de licitación</w:t>
      </w:r>
      <w:r w:rsidRPr="003144CE">
        <w:rPr>
          <w:rFonts w:ascii="Palatino Linotype" w:eastAsia="Palatino Linotype" w:hAnsi="Palatino Linotype" w:cs="Palatino Linotype"/>
          <w:i/>
          <w:sz w:val="22"/>
          <w:szCs w:val="22"/>
        </w:rPr>
        <w:t xml:space="preserve"> que a continuación se señalan:</w:t>
      </w:r>
    </w:p>
    <w:p w14:paraId="4A7FFF18"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w:t>
      </w:r>
      <w:r w:rsidRPr="003144CE">
        <w:rPr>
          <w:rFonts w:ascii="Palatino Linotype" w:eastAsia="Palatino Linotype" w:hAnsi="Palatino Linotype" w:cs="Palatino Linotype"/>
          <w:i/>
          <w:sz w:val="22"/>
          <w:szCs w:val="22"/>
        </w:rPr>
        <w:t>. Invitación restringida.</w:t>
      </w:r>
    </w:p>
    <w:p w14:paraId="2B6A0CA5"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II.</w:t>
      </w:r>
      <w:r w:rsidRPr="003144CE">
        <w:rPr>
          <w:rFonts w:ascii="Palatino Linotype" w:eastAsia="Palatino Linotype" w:hAnsi="Palatino Linotype" w:cs="Palatino Linotype"/>
          <w:i/>
          <w:sz w:val="22"/>
          <w:szCs w:val="22"/>
        </w:rPr>
        <w:t xml:space="preserve"> Adjudicación directa.”</w:t>
      </w:r>
    </w:p>
    <w:p w14:paraId="1E73D003"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14:paraId="5BFFD429"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Por su parte, el Reglamento de la Ley de Contratación Pública del Estado de México y Municipios, dispone lo que a la letra se inserta:</w:t>
      </w:r>
    </w:p>
    <w:p w14:paraId="007B1745"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2.-</w:t>
      </w:r>
      <w:r w:rsidRPr="003144CE">
        <w:rPr>
          <w:rFonts w:ascii="Palatino Linotype" w:eastAsia="Palatino Linotype" w:hAnsi="Palatino Linotype" w:cs="Palatino Linotype"/>
          <w:i/>
          <w:sz w:val="22"/>
          <w:szCs w:val="22"/>
        </w:rPr>
        <w:t xml:space="preserve"> Para los efectos de este Reglamento, se entenderá por: </w:t>
      </w:r>
    </w:p>
    <w:p w14:paraId="0D38548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14:paraId="450FD487"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w:t>
      </w:r>
    </w:p>
    <w:p w14:paraId="0B590C56"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w:t>
      </w:r>
      <w:r w:rsidRPr="003144CE">
        <w:rPr>
          <w:rFonts w:ascii="Palatino Linotype" w:eastAsia="Palatino Linotype" w:hAnsi="Palatino Linotype" w:cs="Palatino Linotype"/>
          <w:i/>
          <w:sz w:val="22"/>
          <w:szCs w:val="22"/>
        </w:rPr>
        <w:lastRenderedPageBreak/>
        <w:t>calidad, financiamiento, oportunidad y demás circunstancias pertinentes, en términos de la Ley y del presente Reglamento. </w:t>
      </w:r>
    </w:p>
    <w:p w14:paraId="723AED65"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w:t>
      </w:r>
    </w:p>
    <w:p w14:paraId="59B237B2"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14:paraId="250F992F"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w:t>
      </w:r>
    </w:p>
    <w:p w14:paraId="62745AAB"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14:paraId="24C72D9C"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61.-</w:t>
      </w:r>
      <w:r w:rsidRPr="003144CE">
        <w:rPr>
          <w:rFonts w:ascii="Palatino Linotype" w:eastAsia="Palatino Linotype" w:hAnsi="Palatino Linotype" w:cs="Palatino Linotype"/>
          <w:i/>
          <w:sz w:val="22"/>
          <w:szCs w:val="22"/>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14:paraId="082D8B33"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62.-</w:t>
      </w:r>
      <w:r w:rsidRPr="003144CE">
        <w:rPr>
          <w:rFonts w:ascii="Palatino Linotype" w:eastAsia="Palatino Linotype" w:hAnsi="Palatino Linotype" w:cs="Palatino Linotype"/>
          <w:i/>
          <w:sz w:val="22"/>
          <w:szCs w:val="22"/>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3144CE">
        <w:rPr>
          <w:rFonts w:ascii="Palatino Linotype" w:eastAsia="Palatino Linotype" w:hAnsi="Palatino Linotype" w:cs="Palatino Linotype"/>
          <w:b/>
          <w:i/>
          <w:sz w:val="22"/>
          <w:szCs w:val="22"/>
        </w:rPr>
        <w:t> </w:t>
      </w:r>
    </w:p>
    <w:p w14:paraId="5641C89E" w14:textId="77777777" w:rsidR="009B109B" w:rsidRPr="003144CE" w:rsidRDefault="0024362C">
      <w:pPr>
        <w:pBdr>
          <w:top w:val="nil"/>
          <w:left w:val="nil"/>
          <w:bottom w:val="nil"/>
          <w:right w:val="nil"/>
          <w:between w:val="nil"/>
        </w:pBdr>
        <w:shd w:val="clear" w:color="auto" w:fill="FFFFFF"/>
        <w:spacing w:after="120"/>
        <w:ind w:left="567" w:right="902"/>
        <w:jc w:val="both"/>
      </w:pPr>
      <w:r w:rsidRPr="003144CE">
        <w:rPr>
          <w:rFonts w:ascii="Palatino Linotype" w:eastAsia="Palatino Linotype" w:hAnsi="Palatino Linotype" w:cs="Palatino Linotype"/>
          <w:b/>
          <w:i/>
          <w:sz w:val="22"/>
          <w:szCs w:val="22"/>
        </w:rPr>
        <w:t xml:space="preserve">Artículo 67.- </w:t>
      </w:r>
      <w:r w:rsidRPr="003144CE">
        <w:rPr>
          <w:rFonts w:ascii="Palatino Linotype" w:eastAsia="Palatino Linotype" w:hAnsi="Palatino Linotype" w:cs="Palatino Linotype"/>
          <w:i/>
          <w:sz w:val="22"/>
          <w:szCs w:val="22"/>
        </w:rPr>
        <w:t>El procedimiento de licitación pública comprende las siguientes fases: </w:t>
      </w:r>
    </w:p>
    <w:p w14:paraId="34BA2BDE" w14:textId="77777777" w:rsidR="009B109B" w:rsidRPr="003144CE" w:rsidRDefault="0024362C">
      <w:pPr>
        <w:numPr>
          <w:ilvl w:val="0"/>
          <w:numId w:val="7"/>
        </w:numPr>
        <w:pBdr>
          <w:top w:val="nil"/>
          <w:left w:val="nil"/>
          <w:bottom w:val="nil"/>
          <w:right w:val="nil"/>
          <w:between w:val="nil"/>
        </w:pBdr>
        <w:shd w:val="clear" w:color="auto" w:fill="FFFFFF"/>
        <w:spacing w:before="120"/>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Publicación de la convocatoria; </w:t>
      </w:r>
    </w:p>
    <w:p w14:paraId="6531AEA6"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Venta de las bases de licitación;</w:t>
      </w:r>
    </w:p>
    <w:p w14:paraId="3E060FB0"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Visita, en su caso, al sitio donde se vayan a suministrar los bienes o a prestar los servicios;</w:t>
      </w:r>
    </w:p>
    <w:p w14:paraId="0994B6AC"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Junta de aclaraciones, en su caso; </w:t>
      </w:r>
    </w:p>
    <w:p w14:paraId="29308EE5"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Acto de presentación y apertura de propuestas;</w:t>
      </w:r>
    </w:p>
    <w:p w14:paraId="46E6B9B0"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Análisis y evaluación de propuestas;</w:t>
      </w:r>
    </w:p>
    <w:p w14:paraId="1C6E6E41"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Dictamen de adjudicación; </w:t>
      </w:r>
    </w:p>
    <w:p w14:paraId="53887ADF"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Fallo; </w:t>
      </w:r>
    </w:p>
    <w:p w14:paraId="35DE8CE3" w14:textId="77777777" w:rsidR="009B109B" w:rsidRPr="003144CE" w:rsidRDefault="0024362C">
      <w:pPr>
        <w:numPr>
          <w:ilvl w:val="0"/>
          <w:numId w:val="7"/>
        </w:numPr>
        <w:pBdr>
          <w:top w:val="nil"/>
          <w:left w:val="nil"/>
          <w:bottom w:val="nil"/>
          <w:right w:val="nil"/>
          <w:between w:val="nil"/>
        </w:pBdr>
        <w:shd w:val="clear" w:color="auto" w:fill="FFFFFF"/>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Suscripción del contrato; y </w:t>
      </w:r>
    </w:p>
    <w:p w14:paraId="35CFAC12" w14:textId="77777777" w:rsidR="009B109B" w:rsidRPr="003144CE" w:rsidRDefault="0024362C">
      <w:pPr>
        <w:numPr>
          <w:ilvl w:val="0"/>
          <w:numId w:val="7"/>
        </w:numPr>
        <w:pBdr>
          <w:top w:val="nil"/>
          <w:left w:val="nil"/>
          <w:bottom w:val="nil"/>
          <w:right w:val="nil"/>
          <w:between w:val="nil"/>
        </w:pBdr>
        <w:shd w:val="clear" w:color="auto" w:fill="FFFFFF"/>
        <w:spacing w:after="120"/>
        <w:ind w:left="776" w:right="902"/>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Suministro de los bienes o inicio de la prestación del servicio.</w:t>
      </w:r>
    </w:p>
    <w:p w14:paraId="7B08EC94" w14:textId="77777777" w:rsidR="009B109B" w:rsidRPr="003144CE" w:rsidRDefault="009B109B"/>
    <w:p w14:paraId="2068D2E4"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b/>
          <w:i/>
          <w:sz w:val="22"/>
          <w:szCs w:val="22"/>
        </w:rPr>
        <w:t xml:space="preserve">Artículo 68.- </w:t>
      </w:r>
      <w:r w:rsidRPr="003144CE">
        <w:rPr>
          <w:rFonts w:ascii="Palatino Linotype" w:eastAsia="Palatino Linotype" w:hAnsi="Palatino Linotype" w:cs="Palatino Linotype"/>
          <w:i/>
          <w:sz w:val="22"/>
          <w:szCs w:val="22"/>
        </w:rPr>
        <w:t>En el procedimiento de licitación pública se observará lo siguiente: </w:t>
      </w:r>
    </w:p>
    <w:p w14:paraId="706F48AC" w14:textId="77777777" w:rsidR="009B109B" w:rsidRPr="003144CE" w:rsidRDefault="009B109B"/>
    <w:p w14:paraId="7843D223"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lastRenderedPageBreak/>
        <w:t>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14:paraId="5CE17908"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t>II. La venta de bases iniciará a partir del día de publicación de la convocatoria y concluirá el día hábil anterior al día de celebración de la junta de aclaraciones. </w:t>
      </w:r>
    </w:p>
    <w:p w14:paraId="50ED0C89" w14:textId="77777777" w:rsidR="009B109B" w:rsidRPr="003144CE" w:rsidRDefault="009B109B"/>
    <w:p w14:paraId="3106BB70"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t>Cuando no se celebre junta de aclaraciones, la venta de bases concluirá el día hábil anterior a la celebración del acto de presentación y apertura de propuestas. </w:t>
      </w:r>
    </w:p>
    <w:p w14:paraId="6A517F18"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t>En todo caso, el plazo de venta de bases no será menor a tres días hábiles contados a partir del día de la publicación de la convocatoria; </w:t>
      </w:r>
    </w:p>
    <w:p w14:paraId="53859987"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t>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14:paraId="475FB9C4"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t>IV. Tales modificaciones se harán del conocimiento de los interesados tres días hábiles anteriores a la fecha señalada para la celebración del acto de presentación y apertura de propuestas, lo cual podrá ser a través del sistema COMPRAMEX; y </w:t>
      </w:r>
    </w:p>
    <w:p w14:paraId="3E66795B"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i/>
          <w:sz w:val="22"/>
          <w:szCs w:val="22"/>
        </w:rPr>
        <w:t>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14:paraId="7C4A7A23" w14:textId="77777777" w:rsidR="009B109B" w:rsidRPr="003144CE" w:rsidRDefault="009B109B"/>
    <w:p w14:paraId="503C8800" w14:textId="77777777" w:rsidR="009B109B" w:rsidRPr="003144CE" w:rsidRDefault="0024362C">
      <w:pPr>
        <w:pBdr>
          <w:top w:val="nil"/>
          <w:left w:val="nil"/>
          <w:bottom w:val="nil"/>
          <w:right w:val="nil"/>
          <w:between w:val="nil"/>
        </w:pBdr>
        <w:ind w:left="567" w:right="851"/>
        <w:jc w:val="both"/>
      </w:pPr>
      <w:r w:rsidRPr="003144CE">
        <w:rPr>
          <w:rFonts w:ascii="Palatino Linotype" w:eastAsia="Palatino Linotype" w:hAnsi="Palatino Linotype" w:cs="Palatino Linotype"/>
          <w:b/>
          <w:i/>
          <w:sz w:val="22"/>
          <w:szCs w:val="22"/>
        </w:rPr>
        <w:t xml:space="preserve">Artículo 69.- </w:t>
      </w:r>
      <w:r w:rsidRPr="003144CE">
        <w:rPr>
          <w:rFonts w:ascii="Palatino Linotype" w:eastAsia="Palatino Linotype" w:hAnsi="Palatino Linotype" w:cs="Palatino Linotype"/>
          <w:i/>
          <w:sz w:val="22"/>
          <w:szCs w:val="22"/>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3D3A486F" w14:textId="77777777" w:rsidR="009B109B" w:rsidRPr="003144CE" w:rsidRDefault="009B109B"/>
    <w:p w14:paraId="7FF99B65"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90.-</w:t>
      </w:r>
      <w:r w:rsidRPr="003144CE">
        <w:rPr>
          <w:rFonts w:ascii="Palatino Linotype" w:eastAsia="Palatino Linotype" w:hAnsi="Palatino Linotype" w:cs="Palatino Linotype"/>
          <w:i/>
          <w:sz w:val="22"/>
          <w:szCs w:val="22"/>
        </w:rPr>
        <w:t xml:space="preserve"> En el procedimiento de invitación restringida se deberá observar lo siguiente: </w:t>
      </w:r>
    </w:p>
    <w:p w14:paraId="25CB6010"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w:t>
      </w:r>
      <w:r w:rsidRPr="003144CE">
        <w:rPr>
          <w:rFonts w:ascii="Palatino Linotype" w:eastAsia="Palatino Linotype" w:hAnsi="Palatino Linotype" w:cs="Palatino Linotype"/>
          <w:i/>
          <w:sz w:val="22"/>
          <w:szCs w:val="22"/>
        </w:rPr>
        <w:t xml:space="preserve"> Se invitará a un mínimo de tres personas seleccionadas de entre las que se encuentren inscritas e n el catálogo de proveedores y de prestadores de servicios. </w:t>
      </w:r>
    </w:p>
    <w:p w14:paraId="06310EB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lastRenderedPageBreak/>
        <w:t>Se podrá invitar a personas que no se encuentren inscritas, cuando en el giro correspondiente del catálogo de proveedores y prestadores de servicios no exista el registro mínimo de personas requeridas para tal modalidad; </w:t>
      </w:r>
    </w:p>
    <w:p w14:paraId="230E7892"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II</w:t>
      </w:r>
      <w:r w:rsidRPr="003144CE">
        <w:rPr>
          <w:rFonts w:ascii="Palatino Linotype" w:eastAsia="Palatino Linotype" w:hAnsi="Palatino Linotype" w:cs="Palatino Linotype"/>
          <w:i/>
          <w:sz w:val="22"/>
          <w:szCs w:val="22"/>
        </w:rPr>
        <w:t>. Las bases de la invitación restringida indicarán los aspectos de la adquisición o contratación; y </w:t>
      </w:r>
    </w:p>
    <w:p w14:paraId="7D3436B4"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III.</w:t>
      </w:r>
      <w:r w:rsidRPr="003144CE">
        <w:rPr>
          <w:rFonts w:ascii="Palatino Linotype" w:eastAsia="Palatino Linotype" w:hAnsi="Palatino Linotype" w:cs="Palatino Linotype"/>
          <w:i/>
          <w:sz w:val="22"/>
          <w:szCs w:val="22"/>
        </w:rPr>
        <w:t xml:space="preserve"> Serán aplicables, en lo conducente, las disposiciones de la licitación pública.</w:t>
      </w:r>
    </w:p>
    <w:p w14:paraId="5723840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91.-</w:t>
      </w:r>
      <w:r w:rsidRPr="003144CE">
        <w:rPr>
          <w:rFonts w:ascii="Palatino Linotype" w:eastAsia="Palatino Linotype" w:hAnsi="Palatino Linotype" w:cs="Palatino Linotype"/>
          <w:i/>
          <w:sz w:val="22"/>
          <w:szCs w:val="22"/>
        </w:rPr>
        <w:t xml:space="preserve"> La Secretaría, organismos auxiliares, tribunales administrativos y municipios podrán adquirir, arrendar o enajenar bienes, y contratar servicios, mediante el procedimiento de adjudicación directa en los términos establecidos por la Ley. </w:t>
      </w:r>
    </w:p>
    <w:p w14:paraId="088D35CC"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Artículo 92.-</w:t>
      </w:r>
      <w:r w:rsidRPr="003144CE">
        <w:rPr>
          <w:rFonts w:ascii="Palatino Linotype" w:eastAsia="Palatino Linotype" w:hAnsi="Palatino Linotype" w:cs="Palatino Linotype"/>
          <w:i/>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2C55957F"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6A55006D"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t>En el caso de los municipios, las cotizaciones deberán obtenerse a través de sus áreas de administración.”</w:t>
      </w:r>
    </w:p>
    <w:p w14:paraId="59FE46E3"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De lo hasta aquí expuesto, se advierte que, cuando los entes públicos deban o tengan que realizar la adquisición, arrendamiento de un bien o contratación de servicios, deberán regular su actividad a través de las licitaciones públicas mediante convocatoria y conforme el procedimiento establecido en la ley de contratación, o bien, mediante invitación restringida o adjudicación directa.</w:t>
      </w:r>
    </w:p>
    <w:p w14:paraId="0AF264E2"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 xml:space="preserve">El procedimiento de adquisición, arrendamiento y servicios a través de invitación restringida, se sigue cuando se hubiese declarado desierto un procedimiento de </w:t>
      </w:r>
      <w:r w:rsidRPr="003144CE">
        <w:rPr>
          <w:rFonts w:ascii="Palatino Linotype" w:eastAsia="Palatino Linotype" w:hAnsi="Palatino Linotype" w:cs="Palatino Linotype"/>
        </w:rPr>
        <w:lastRenderedPageBreak/>
        <w:t>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14:paraId="1014F398" w14:textId="77777777" w:rsidR="009B109B" w:rsidRPr="003144CE" w:rsidRDefault="0024362C">
      <w:pPr>
        <w:pBdr>
          <w:top w:val="nil"/>
          <w:left w:val="nil"/>
          <w:bottom w:val="nil"/>
          <w:right w:val="nil"/>
          <w:between w:val="nil"/>
        </w:pBdr>
        <w:spacing w:before="240" w:after="240" w:line="360" w:lineRule="auto"/>
        <w:jc w:val="both"/>
      </w:pPr>
      <w:r w:rsidRPr="003144CE">
        <w:rPr>
          <w:rFonts w:ascii="Palatino Linotype" w:eastAsia="Palatino Linotype" w:hAnsi="Palatino Linotype" w:cs="Palatino Linotype"/>
        </w:rPr>
        <w:t>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14:paraId="0ED1B842" w14:textId="77777777" w:rsidR="009B109B" w:rsidRPr="003144CE" w:rsidRDefault="0024362C">
      <w:pPr>
        <w:pBdr>
          <w:top w:val="nil"/>
          <w:left w:val="nil"/>
          <w:bottom w:val="nil"/>
          <w:right w:val="nil"/>
          <w:between w:val="nil"/>
        </w:pBdr>
        <w:spacing w:before="240" w:after="240" w:line="360" w:lineRule="auto"/>
        <w:ind w:right="51"/>
        <w:jc w:val="both"/>
      </w:pPr>
      <w:r w:rsidRPr="003144CE">
        <w:rPr>
          <w:rFonts w:ascii="Palatino Linotype" w:eastAsia="Palatino Linotype" w:hAnsi="Palatino Linotype" w:cs="Palatino Linotype"/>
        </w:rPr>
        <w:t>Siguiendo con el análisis, el artículo 92, fracción XXXVI de la Ley de Transparencia y Acceso a la Información Pública del Estado de México y Municipios, establece como obligaciones de transparencia que los Sujetos Obligados deben poner a 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incluyendo la versión pública del expediente respectivo y de los contratos celebrados, así como el padrón de proveedores y contratistas, a saber:</w:t>
      </w:r>
    </w:p>
    <w:p w14:paraId="1E966BA2" w14:textId="77777777" w:rsidR="009B109B" w:rsidRPr="003144CE" w:rsidRDefault="0024362C">
      <w:pPr>
        <w:pBdr>
          <w:top w:val="nil"/>
          <w:left w:val="nil"/>
          <w:bottom w:val="nil"/>
          <w:right w:val="nil"/>
          <w:between w:val="nil"/>
        </w:pBdr>
        <w:ind w:left="567" w:right="902"/>
        <w:jc w:val="both"/>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Artículo 92</w:t>
      </w:r>
      <w:r w:rsidRPr="003144C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ABED6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i/>
          <w:sz w:val="22"/>
          <w:szCs w:val="22"/>
        </w:rPr>
        <w:lastRenderedPageBreak/>
        <w:t>(…)</w:t>
      </w:r>
    </w:p>
    <w:p w14:paraId="5DBF9A87"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XXIX.</w:t>
      </w:r>
      <w:r w:rsidRPr="003144CE">
        <w:rPr>
          <w:rFonts w:ascii="Palatino Linotype" w:eastAsia="Palatino Linotype" w:hAnsi="Palatino Linotype" w:cs="Palatino Linotype"/>
          <w:i/>
          <w:sz w:val="22"/>
          <w:szCs w:val="22"/>
        </w:rPr>
        <w:t xml:space="preserve"> La </w:t>
      </w:r>
      <w:r w:rsidRPr="003144CE">
        <w:rPr>
          <w:rFonts w:ascii="Palatino Linotype" w:eastAsia="Palatino Linotype" w:hAnsi="Palatino Linotype" w:cs="Palatino Linotype"/>
          <w:b/>
          <w:i/>
          <w:sz w:val="22"/>
          <w:szCs w:val="22"/>
        </w:rPr>
        <w:t xml:space="preserve">información sobre los procesos y resultados </w:t>
      </w:r>
      <w:r w:rsidRPr="003144CE">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3144CE">
        <w:rPr>
          <w:rFonts w:ascii="Palatino Linotype" w:eastAsia="Palatino Linotype" w:hAnsi="Palatino Linotype" w:cs="Palatino Linotype"/>
          <w:i/>
          <w:sz w:val="22"/>
          <w:szCs w:val="22"/>
          <w:u w:val="single"/>
        </w:rPr>
        <w:t xml:space="preserve">, </w:t>
      </w:r>
      <w:r w:rsidRPr="003144CE">
        <w:rPr>
          <w:rFonts w:ascii="Palatino Linotype" w:eastAsia="Palatino Linotype" w:hAnsi="Palatino Linotype" w:cs="Palatino Linotype"/>
          <w:b/>
          <w:i/>
          <w:sz w:val="22"/>
          <w:szCs w:val="22"/>
        </w:rPr>
        <w:t>incluyendo la versión pública</w:t>
      </w:r>
      <w:r w:rsidRPr="003144CE">
        <w:rPr>
          <w:rFonts w:ascii="Palatino Linotype" w:eastAsia="Palatino Linotype" w:hAnsi="Palatino Linotype" w:cs="Palatino Linotype"/>
          <w:i/>
          <w:sz w:val="22"/>
          <w:szCs w:val="22"/>
        </w:rPr>
        <w:t xml:space="preserve"> del </w:t>
      </w:r>
      <w:r w:rsidRPr="003144CE">
        <w:rPr>
          <w:rFonts w:ascii="Palatino Linotype" w:eastAsia="Palatino Linotype" w:hAnsi="Palatino Linotype" w:cs="Palatino Linotype"/>
          <w:b/>
          <w:i/>
          <w:sz w:val="22"/>
          <w:szCs w:val="22"/>
        </w:rPr>
        <w:t>expediente respectivo</w:t>
      </w:r>
      <w:r w:rsidRPr="003144CE">
        <w:rPr>
          <w:rFonts w:ascii="Palatino Linotype" w:eastAsia="Palatino Linotype" w:hAnsi="Palatino Linotype" w:cs="Palatino Linotype"/>
          <w:i/>
          <w:sz w:val="22"/>
          <w:szCs w:val="22"/>
        </w:rPr>
        <w:t xml:space="preserve"> y </w:t>
      </w:r>
      <w:r w:rsidRPr="003144CE">
        <w:rPr>
          <w:rFonts w:ascii="Palatino Linotype" w:eastAsia="Palatino Linotype" w:hAnsi="Palatino Linotype" w:cs="Palatino Linotype"/>
          <w:b/>
          <w:i/>
          <w:sz w:val="22"/>
          <w:szCs w:val="22"/>
        </w:rPr>
        <w:t>de los contratos celebrados</w:t>
      </w:r>
      <w:r w:rsidRPr="003144CE">
        <w:rPr>
          <w:rFonts w:ascii="Palatino Linotype" w:eastAsia="Palatino Linotype" w:hAnsi="Palatino Linotype" w:cs="Palatino Linotype"/>
          <w:i/>
          <w:sz w:val="22"/>
          <w:szCs w:val="22"/>
        </w:rPr>
        <w:t>, que deberán contener, por los menos, lo siguiente:</w:t>
      </w:r>
    </w:p>
    <w:p w14:paraId="1A980E87"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a) De licitaciones públicas o procedimientos de invitación restringida:</w:t>
      </w:r>
    </w:p>
    <w:p w14:paraId="56721095"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w:t>
      </w:r>
      <w:r w:rsidRPr="003144CE">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70F2FF2A"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2)</w:t>
      </w:r>
      <w:r w:rsidRPr="003144CE">
        <w:rPr>
          <w:rFonts w:ascii="Palatino Linotype" w:eastAsia="Palatino Linotype" w:hAnsi="Palatino Linotype" w:cs="Palatino Linotype"/>
          <w:i/>
          <w:sz w:val="22"/>
          <w:szCs w:val="22"/>
        </w:rPr>
        <w:t xml:space="preserve"> Los nombres de los participantes o invitados;</w:t>
      </w:r>
    </w:p>
    <w:p w14:paraId="3533E2B3"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3)</w:t>
      </w: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rPr>
        <w:t>El nombre del ganador y las razones que lo justifican;</w:t>
      </w:r>
    </w:p>
    <w:p w14:paraId="228CAAFF"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4)</w:t>
      </w:r>
      <w:r w:rsidRPr="003144CE">
        <w:rPr>
          <w:rFonts w:ascii="Palatino Linotype" w:eastAsia="Palatino Linotype" w:hAnsi="Palatino Linotype" w:cs="Palatino Linotype"/>
          <w:i/>
          <w:sz w:val="22"/>
          <w:szCs w:val="22"/>
        </w:rPr>
        <w:t xml:space="preserve"> El área solicitante y la responsable de su ejecución;</w:t>
      </w:r>
    </w:p>
    <w:p w14:paraId="0988B46F"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5)</w:t>
      </w:r>
      <w:r w:rsidRPr="003144CE">
        <w:rPr>
          <w:rFonts w:ascii="Palatino Linotype" w:eastAsia="Palatino Linotype" w:hAnsi="Palatino Linotype" w:cs="Palatino Linotype"/>
          <w:i/>
          <w:sz w:val="22"/>
          <w:szCs w:val="22"/>
        </w:rPr>
        <w:t xml:space="preserve"> Las convocatorias e invitaciones emitidas; </w:t>
      </w:r>
    </w:p>
    <w:p w14:paraId="5C7EB7DA" w14:textId="77777777" w:rsidR="009B109B" w:rsidRPr="003144CE" w:rsidRDefault="0024362C">
      <w:pPr>
        <w:pBdr>
          <w:top w:val="nil"/>
          <w:left w:val="nil"/>
          <w:bottom w:val="nil"/>
          <w:right w:val="nil"/>
          <w:between w:val="nil"/>
        </w:pBdr>
        <w:spacing w:before="120" w:after="120"/>
        <w:ind w:left="426" w:right="902" w:firstLine="141"/>
        <w:jc w:val="both"/>
      </w:pPr>
      <w:r w:rsidRPr="003144CE">
        <w:rPr>
          <w:rFonts w:ascii="Palatino Linotype" w:eastAsia="Palatino Linotype" w:hAnsi="Palatino Linotype" w:cs="Palatino Linotype"/>
          <w:b/>
          <w:i/>
          <w:sz w:val="22"/>
          <w:szCs w:val="22"/>
        </w:rPr>
        <w:t>6)</w:t>
      </w:r>
      <w:r w:rsidRPr="003144CE">
        <w:rPr>
          <w:rFonts w:ascii="Palatino Linotype" w:eastAsia="Palatino Linotype" w:hAnsi="Palatino Linotype" w:cs="Palatino Linotype"/>
          <w:i/>
          <w:sz w:val="22"/>
          <w:szCs w:val="22"/>
        </w:rPr>
        <w:t xml:space="preserve"> Los dictámenes y fallo de adjudicación;</w:t>
      </w:r>
    </w:p>
    <w:p w14:paraId="04600283" w14:textId="77777777" w:rsidR="009B109B" w:rsidRPr="003144CE" w:rsidRDefault="0024362C">
      <w:pPr>
        <w:pBdr>
          <w:top w:val="nil"/>
          <w:left w:val="nil"/>
          <w:bottom w:val="nil"/>
          <w:right w:val="nil"/>
          <w:between w:val="nil"/>
        </w:pBdr>
        <w:spacing w:before="120" w:after="120"/>
        <w:ind w:left="426" w:right="902" w:firstLine="141"/>
        <w:jc w:val="both"/>
      </w:pPr>
      <w:r w:rsidRPr="003144CE">
        <w:rPr>
          <w:rFonts w:ascii="Palatino Linotype" w:eastAsia="Palatino Linotype" w:hAnsi="Palatino Linotype" w:cs="Palatino Linotype"/>
          <w:b/>
          <w:i/>
          <w:sz w:val="22"/>
          <w:szCs w:val="22"/>
        </w:rPr>
        <w:t>7) El contrato</w:t>
      </w:r>
      <w:r w:rsidRPr="003144CE">
        <w:rPr>
          <w:rFonts w:ascii="Palatino Linotype" w:eastAsia="Palatino Linotype" w:hAnsi="Palatino Linotype" w:cs="Palatino Linotype"/>
          <w:i/>
          <w:sz w:val="22"/>
          <w:szCs w:val="22"/>
        </w:rPr>
        <w:t xml:space="preserve"> y, en su caso, sus anexos; </w:t>
      </w:r>
    </w:p>
    <w:p w14:paraId="724D06AC"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8)</w:t>
      </w:r>
      <w:r w:rsidRPr="003144C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1005DF56"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9)</w:t>
      </w:r>
      <w:r w:rsidRPr="003144CE">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4C559A9E"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10)</w:t>
      </w:r>
      <w:r w:rsidRPr="003144CE">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0B1977F8"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11)</w:t>
      </w:r>
      <w:r w:rsidRPr="003144CE">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6B1C0D07"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12)</w:t>
      </w:r>
      <w:r w:rsidRPr="003144CE">
        <w:rPr>
          <w:rFonts w:ascii="Palatino Linotype" w:eastAsia="Palatino Linotype" w:hAnsi="Palatino Linotype" w:cs="Palatino Linotype"/>
          <w:i/>
          <w:sz w:val="22"/>
          <w:szCs w:val="22"/>
        </w:rPr>
        <w:t xml:space="preserve"> Los informes de avance físico y financiero sobre las obras o servicios contratados; </w:t>
      </w:r>
    </w:p>
    <w:p w14:paraId="2E2CBEA1"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13)</w:t>
      </w:r>
      <w:r w:rsidRPr="003144CE">
        <w:rPr>
          <w:rFonts w:ascii="Palatino Linotype" w:eastAsia="Palatino Linotype" w:hAnsi="Palatino Linotype" w:cs="Palatino Linotype"/>
          <w:i/>
          <w:sz w:val="22"/>
          <w:szCs w:val="22"/>
        </w:rPr>
        <w:t xml:space="preserve"> El convenio de terminación; </w:t>
      </w:r>
    </w:p>
    <w:p w14:paraId="0599EE5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14)</w:t>
      </w:r>
      <w:r w:rsidRPr="003144CE">
        <w:rPr>
          <w:rFonts w:ascii="Palatino Linotype" w:eastAsia="Palatino Linotype" w:hAnsi="Palatino Linotype" w:cs="Palatino Linotype"/>
          <w:i/>
          <w:sz w:val="22"/>
          <w:szCs w:val="22"/>
        </w:rPr>
        <w:t xml:space="preserve"> El finiquito.</w:t>
      </w:r>
    </w:p>
    <w:p w14:paraId="7D598739"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b) De las adjudicaciones directas: </w:t>
      </w:r>
    </w:p>
    <w:p w14:paraId="6EA58D11"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w:t>
      </w:r>
      <w:r w:rsidRPr="003144CE">
        <w:rPr>
          <w:rFonts w:ascii="Palatino Linotype" w:eastAsia="Palatino Linotype" w:hAnsi="Palatino Linotype" w:cs="Palatino Linotype"/>
          <w:i/>
          <w:sz w:val="22"/>
          <w:szCs w:val="22"/>
        </w:rPr>
        <w:t xml:space="preserve"> La propuesta enviada por el participante; </w:t>
      </w:r>
    </w:p>
    <w:p w14:paraId="6021ACA6"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2)</w:t>
      </w:r>
      <w:r w:rsidRPr="003144CE">
        <w:rPr>
          <w:rFonts w:ascii="Palatino Linotype" w:eastAsia="Palatino Linotype" w:hAnsi="Palatino Linotype" w:cs="Palatino Linotype"/>
          <w:i/>
          <w:sz w:val="22"/>
          <w:szCs w:val="22"/>
        </w:rPr>
        <w:t xml:space="preserve"> Los motivos y fundamentos legales aplicados para llevarla a cabo;</w:t>
      </w:r>
    </w:p>
    <w:p w14:paraId="06E956AB"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3)</w:t>
      </w:r>
      <w:r w:rsidRPr="003144CE">
        <w:rPr>
          <w:rFonts w:ascii="Palatino Linotype" w:eastAsia="Palatino Linotype" w:hAnsi="Palatino Linotype" w:cs="Palatino Linotype"/>
          <w:i/>
          <w:sz w:val="22"/>
          <w:szCs w:val="22"/>
        </w:rPr>
        <w:t xml:space="preserve"> La autorización del ejercicio de la opción; </w:t>
      </w:r>
    </w:p>
    <w:p w14:paraId="40AE82FC"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 xml:space="preserve">4) </w:t>
      </w:r>
      <w:r w:rsidRPr="003144CE">
        <w:rPr>
          <w:rFonts w:ascii="Palatino Linotype" w:eastAsia="Palatino Linotype" w:hAnsi="Palatino Linotype" w:cs="Palatino Linotype"/>
          <w:i/>
          <w:sz w:val="22"/>
          <w:szCs w:val="22"/>
        </w:rPr>
        <w:t>En su caso, las cotizaciones consideradas, especificando los nombres de los proveedores y sus montos;</w:t>
      </w:r>
      <w:r w:rsidRPr="003144CE">
        <w:rPr>
          <w:rFonts w:ascii="Palatino Linotype" w:eastAsia="Palatino Linotype" w:hAnsi="Palatino Linotype" w:cs="Palatino Linotype"/>
          <w:b/>
          <w:i/>
          <w:sz w:val="22"/>
          <w:szCs w:val="22"/>
        </w:rPr>
        <w:t> </w:t>
      </w:r>
    </w:p>
    <w:p w14:paraId="01E3E57A"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lastRenderedPageBreak/>
        <w:t>5)</w:t>
      </w: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rPr>
        <w:t>El nombre de la persona física o jurídica colectiva adjudicada; </w:t>
      </w:r>
    </w:p>
    <w:p w14:paraId="1EE72A53"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6)</w:t>
      </w:r>
      <w:r w:rsidRPr="003144CE">
        <w:rPr>
          <w:rFonts w:ascii="Palatino Linotype" w:eastAsia="Palatino Linotype" w:hAnsi="Palatino Linotype" w:cs="Palatino Linotype"/>
          <w:i/>
          <w:sz w:val="22"/>
          <w:szCs w:val="22"/>
        </w:rPr>
        <w:t xml:space="preserve"> La unidad administrativa solicitante y la responsable de su ejecución; </w:t>
      </w:r>
    </w:p>
    <w:p w14:paraId="254F840E"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7) El número, fecha, el monto del contrato</w:t>
      </w:r>
      <w:r w:rsidRPr="003144CE">
        <w:rPr>
          <w:rFonts w:ascii="Palatino Linotype" w:eastAsia="Palatino Linotype" w:hAnsi="Palatino Linotype" w:cs="Palatino Linotype"/>
          <w:i/>
          <w:sz w:val="22"/>
          <w:szCs w:val="22"/>
        </w:rPr>
        <w:t xml:space="preserve"> y el plazo de entrega o de ejecución de los servicios u obra; </w:t>
      </w:r>
    </w:p>
    <w:p w14:paraId="7689C5A7"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8)</w:t>
      </w:r>
      <w:r w:rsidRPr="003144C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1E709D31"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9)</w:t>
      </w:r>
      <w:r w:rsidRPr="003144CE">
        <w:rPr>
          <w:rFonts w:ascii="Palatino Linotype" w:eastAsia="Palatino Linotype" w:hAnsi="Palatino Linotype" w:cs="Palatino Linotype"/>
          <w:i/>
          <w:sz w:val="22"/>
          <w:szCs w:val="22"/>
        </w:rPr>
        <w:t xml:space="preserve"> Los informes de avance sobre las obras o servicios contratados; </w:t>
      </w:r>
    </w:p>
    <w:p w14:paraId="614B2EA6"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10)</w:t>
      </w:r>
      <w:r w:rsidRPr="003144CE">
        <w:rPr>
          <w:rFonts w:ascii="Palatino Linotype" w:eastAsia="Palatino Linotype" w:hAnsi="Palatino Linotype" w:cs="Palatino Linotype"/>
          <w:i/>
          <w:sz w:val="22"/>
          <w:szCs w:val="22"/>
        </w:rPr>
        <w:t xml:space="preserve"> El convenio de terminación; y </w:t>
      </w:r>
    </w:p>
    <w:p w14:paraId="1C498BF2" w14:textId="77777777" w:rsidR="009B109B" w:rsidRPr="003144CE" w:rsidRDefault="0024362C">
      <w:pPr>
        <w:pBdr>
          <w:top w:val="nil"/>
          <w:left w:val="nil"/>
          <w:bottom w:val="nil"/>
          <w:right w:val="nil"/>
          <w:between w:val="nil"/>
        </w:pBdr>
        <w:spacing w:before="120" w:after="120"/>
        <w:ind w:left="567" w:right="902"/>
        <w:jc w:val="both"/>
      </w:pPr>
      <w:r w:rsidRPr="003144CE">
        <w:rPr>
          <w:rFonts w:ascii="Palatino Linotype" w:eastAsia="Palatino Linotype" w:hAnsi="Palatino Linotype" w:cs="Palatino Linotype"/>
          <w:b/>
          <w:i/>
          <w:sz w:val="22"/>
          <w:szCs w:val="22"/>
        </w:rPr>
        <w:t>11)</w:t>
      </w:r>
      <w:r w:rsidRPr="003144CE">
        <w:rPr>
          <w:rFonts w:ascii="Palatino Linotype" w:eastAsia="Palatino Linotype" w:hAnsi="Palatino Linotype" w:cs="Palatino Linotype"/>
          <w:i/>
          <w:sz w:val="22"/>
          <w:szCs w:val="22"/>
        </w:rPr>
        <w:t xml:space="preserve"> El finiquito;”</w:t>
      </w:r>
    </w:p>
    <w:p w14:paraId="4C8A7D22" w14:textId="77777777" w:rsidR="009B109B" w:rsidRPr="003144CE" w:rsidRDefault="002436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Finalmente, por cuanto hace a los gastos efectuados por fondo fijo o revolvente, resulta pertinente hacer la distinción entre estos dos conceptos; para ello es necesario traer a colación los Lineamientos para el Manejo de Fondos Fijos o Revolventes, mismos que se insertan a continuación:</w:t>
      </w:r>
    </w:p>
    <w:p w14:paraId="77EF605C" w14:textId="77777777" w:rsidR="009B109B" w:rsidRPr="003144CE" w:rsidRDefault="0024362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3144CE">
        <w:rPr>
          <w:rFonts w:ascii="Palatino Linotype" w:eastAsia="Palatino Linotype" w:hAnsi="Palatino Linotype" w:cs="Palatino Linotype"/>
          <w:i/>
          <w:sz w:val="22"/>
          <w:szCs w:val="22"/>
        </w:rPr>
        <w:t xml:space="preserve">“FONDO: </w:t>
      </w:r>
      <w:r w:rsidRPr="003144CE">
        <w:rPr>
          <w:rFonts w:ascii="Palatino Linotype" w:eastAsia="Palatino Linotype" w:hAnsi="Palatino Linotype" w:cs="Palatino Linotype"/>
          <w:b/>
          <w:i/>
          <w:sz w:val="22"/>
          <w:szCs w:val="22"/>
          <w:u w:val="single"/>
        </w:rPr>
        <w:t>Fondo Fijo o Revolvente, que es la suma de dinero que se asigna a una Unidad, al encargo de una persona de mando medio o superior, para efectuar ciertos gastos</w:t>
      </w:r>
      <w:r w:rsidRPr="003144CE">
        <w:rPr>
          <w:rFonts w:ascii="Palatino Linotype" w:eastAsia="Palatino Linotype" w:hAnsi="Palatino Linotype" w:cs="Palatino Linotype"/>
          <w:i/>
          <w:sz w:val="22"/>
          <w:szCs w:val="22"/>
        </w:rPr>
        <w:t xml:space="preserve">. El encargado de su manejo rinde cuentas periódicamente, y se le hacen nuevas entregas de dinero para reponer el importe de los pagos efectuados. </w:t>
      </w:r>
      <w:r w:rsidRPr="003144CE">
        <w:rPr>
          <w:rFonts w:ascii="Palatino Linotype" w:eastAsia="Palatino Linotype" w:hAnsi="Palatino Linotype" w:cs="Palatino Linotype"/>
          <w:b/>
          <w:i/>
          <w:sz w:val="22"/>
          <w:szCs w:val="22"/>
          <w:u w:val="single"/>
        </w:rPr>
        <w:t>El Fondo Fijo o Revolvente se limita a una cantidad constante, aunque puede aumentarse o disminuirse según lo justifiquen las necesidades de</w:t>
      </w:r>
      <w:r w:rsidRPr="003144CE">
        <w:rPr>
          <w:rFonts w:ascii="Palatino Linotype" w:eastAsia="Palatino Linotype" w:hAnsi="Palatino Linotype" w:cs="Palatino Linotype"/>
          <w:i/>
          <w:sz w:val="22"/>
          <w:szCs w:val="22"/>
        </w:rPr>
        <w:t xml:space="preserve"> operación. En todo momento, el efectivo más el importe de los comprobantes de pago, debe ser igual al monto asignado como Fondo Fijo o Revolvente. Este mecanismo implica la asignación de recursos de manera previa al gasto.”  (Énfasis añadido)</w:t>
      </w:r>
    </w:p>
    <w:p w14:paraId="35508F8D" w14:textId="77777777" w:rsidR="009B109B" w:rsidRPr="003144CE" w:rsidRDefault="002436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Atentos a lo anterior, se resalta el hecho de que el fondo revolvente no le aplica a la totalidad de los gastos, además de que le corresponde al encargado del manejo, el rendir cuentas periódicamente respecto de su manejo y posteriormente se le harán nuevas entregas de dinero para reponer el importe de pagos efectuados. </w:t>
      </w:r>
    </w:p>
    <w:p w14:paraId="6E9FDDE0" w14:textId="77777777" w:rsidR="009B109B" w:rsidRPr="003144CE" w:rsidRDefault="0024362C">
      <w:pPr>
        <w:pBdr>
          <w:top w:val="nil"/>
          <w:left w:val="nil"/>
          <w:bottom w:val="nil"/>
          <w:right w:val="nil"/>
          <w:between w:val="nil"/>
        </w:pBdr>
        <w:spacing w:before="240" w:after="240" w:line="360" w:lineRule="auto"/>
        <w:jc w:val="both"/>
        <w:rPr>
          <w:rFonts w:ascii="Palatino Linotype" w:eastAsia="Palatino Linotype" w:hAnsi="Palatino Linotype" w:cs="Palatino Linotype"/>
          <w:strike/>
        </w:rPr>
      </w:pPr>
      <w:bookmarkStart w:id="4" w:name="_heading=h.2et92p0" w:colFirst="0" w:colLast="0"/>
      <w:bookmarkEnd w:id="4"/>
      <w:r w:rsidRPr="003144CE">
        <w:rPr>
          <w:rFonts w:ascii="Palatino Linotype" w:eastAsia="Palatino Linotype" w:hAnsi="Palatino Linotype" w:cs="Palatino Linotype"/>
        </w:rPr>
        <w:lastRenderedPageBreak/>
        <w:t xml:space="preserve">En este sentido, de ser el caso en el que si se hayan efectuado gastos con dicho fondo, deberá hacerse entrega del documento en el que conste dicha circunstancia, la cual puede obrar de manera enunciativa más no limitativa en las facturas o cualquier póliza contable, para ello resulta pertinente traer a colación lo que señala  el Glosario de Términos Hacendarios que emite el Instituto Hacendario del Estado de México, se define como </w:t>
      </w:r>
      <w:r w:rsidRPr="003144CE">
        <w:rPr>
          <w:rFonts w:ascii="Palatino Linotype" w:eastAsia="Palatino Linotype" w:hAnsi="Palatino Linotype" w:cs="Palatino Linotype"/>
          <w:i/>
        </w:rPr>
        <w:t>“factura” al</w:t>
      </w:r>
      <w:r w:rsidRPr="003144CE">
        <w:rPr>
          <w:rFonts w:ascii="Palatino Linotype" w:eastAsia="Palatino Linotype" w:hAnsi="Palatino Linotype" w:cs="Palatino Linotype"/>
          <w:b/>
          <w:i/>
        </w:rPr>
        <w:t xml:space="preserve"> </w:t>
      </w:r>
      <w:r w:rsidRPr="003144CE">
        <w:rPr>
          <w:rFonts w:ascii="Palatino Linotype" w:eastAsia="Palatino Linotype" w:hAnsi="Palatino Linotype" w:cs="Palatino Linotype"/>
          <w:b/>
          <w:i/>
          <w:sz w:val="22"/>
          <w:szCs w:val="22"/>
        </w:rPr>
        <w:t>documento</w:t>
      </w:r>
      <w:r w:rsidRPr="003144CE">
        <w:rPr>
          <w:rFonts w:ascii="Palatino Linotype" w:eastAsia="Palatino Linotype" w:hAnsi="Palatino Linotype" w:cs="Palatino Linotype"/>
          <w:b/>
          <w:i/>
        </w:rPr>
        <w:t xml:space="preserve"> fiscal que emite la persona física o moral para comprobar la venta o adquisición de un bien y/o servicio, </w:t>
      </w:r>
      <w:r w:rsidRPr="003144CE">
        <w:rPr>
          <w:rFonts w:ascii="Palatino Linotype" w:eastAsia="Palatino Linotype" w:hAnsi="Palatino Linotype" w:cs="Palatino Linotype"/>
        </w:rPr>
        <w:t>es decir, este documento ampara la totalidad de las adquisiciones de bienes y/o servicios.</w:t>
      </w:r>
    </w:p>
    <w:p w14:paraId="060FC96C" w14:textId="77777777" w:rsidR="009B109B" w:rsidRPr="003144CE" w:rsidRDefault="0024362C">
      <w:pPr>
        <w:spacing w:line="360" w:lineRule="auto"/>
        <w:jc w:val="both"/>
      </w:pPr>
      <w:r w:rsidRPr="003144CE">
        <w:rPr>
          <w:rFonts w:ascii="Palatino Linotype" w:eastAsia="Palatino Linotype" w:hAnsi="Palatino Linotype" w:cs="Palatino Linotype"/>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26AEEF34"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Artículo 342.</w:t>
      </w:r>
      <w:proofErr w:type="gramStart"/>
      <w:r w:rsidRPr="003144CE">
        <w:rPr>
          <w:rFonts w:ascii="Palatino Linotype" w:eastAsia="Palatino Linotype" w:hAnsi="Palatino Linotype" w:cs="Palatino Linotype"/>
          <w:b/>
          <w:i/>
          <w:sz w:val="22"/>
          <w:szCs w:val="22"/>
        </w:rPr>
        <w:t>-</w:t>
      </w:r>
      <w:r w:rsidRPr="003144CE">
        <w:rPr>
          <w:rFonts w:ascii="Palatino Linotype" w:eastAsia="Palatino Linotype" w:hAnsi="Palatino Linotype" w:cs="Palatino Linotype"/>
          <w:i/>
          <w:sz w:val="22"/>
          <w:szCs w:val="22"/>
        </w:rPr>
        <w:t xml:space="preserve">  El</w:t>
      </w:r>
      <w:proofErr w:type="gramEnd"/>
      <w:r w:rsidRPr="003144CE">
        <w:rPr>
          <w:rFonts w:ascii="Palatino Linotype" w:eastAsia="Palatino Linotype" w:hAnsi="Palatino Linotype" w:cs="Palatino Linotype"/>
          <w:i/>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201B75DC"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588535D6"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b/>
          <w:i/>
          <w:sz w:val="22"/>
          <w:szCs w:val="22"/>
        </w:rPr>
        <w:t>Artículo 343.-</w:t>
      </w:r>
      <w:r w:rsidRPr="003144CE">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96F466F"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0CEDD530"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b/>
          <w:i/>
          <w:sz w:val="22"/>
          <w:szCs w:val="22"/>
        </w:rPr>
        <w:lastRenderedPageBreak/>
        <w:t>Artículo 344.- Los Entes Públicos, a</w:t>
      </w:r>
      <w:r w:rsidRPr="003144CE">
        <w:rPr>
          <w:rFonts w:ascii="Palatino Linotype" w:eastAsia="Palatino Linotype" w:hAnsi="Palatino Linotype" w:cs="Palatino Linotype"/>
          <w:b/>
          <w:i/>
          <w:sz w:val="22"/>
          <w:szCs w:val="22"/>
          <w:u w:val="single"/>
        </w:rPr>
        <w:t xml:space="preserve"> través de cualquiera de sus unidades administrativas</w:t>
      </w:r>
      <w:r w:rsidRPr="003144CE">
        <w:rPr>
          <w:rFonts w:ascii="Palatino Linotype" w:eastAsia="Palatino Linotype" w:hAnsi="Palatino Linotype" w:cs="Palatino Linotype"/>
          <w:b/>
          <w:i/>
          <w:sz w:val="22"/>
          <w:szCs w:val="22"/>
        </w:rPr>
        <w:t xml:space="preserve">, de acuerdo con su naturaleza jurídica y según corresponda, </w:t>
      </w:r>
      <w:r w:rsidRPr="003144CE">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en que ocurran, con base en el sistema y políticas de registro establecidas, </w:t>
      </w:r>
      <w:r w:rsidRPr="003144CE">
        <w:rPr>
          <w:rFonts w:ascii="Palatino Linotype" w:eastAsia="Palatino Linotype" w:hAnsi="Palatino Linotype" w:cs="Palatino Linotype"/>
          <w:i/>
          <w:sz w:val="22"/>
          <w:szCs w:val="22"/>
        </w:rPr>
        <w:t>en el caso de los Municipios, se hará por la Tesorería.</w:t>
      </w:r>
    </w:p>
    <w:p w14:paraId="1B184325" w14:textId="77777777" w:rsidR="009B109B" w:rsidRPr="003144CE" w:rsidRDefault="009B109B">
      <w:pPr>
        <w:spacing w:line="276" w:lineRule="auto"/>
      </w:pPr>
    </w:p>
    <w:p w14:paraId="0CD49878"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w:t>
      </w:r>
      <w:r w:rsidRPr="003144CE">
        <w:rPr>
          <w:rFonts w:ascii="Palatino Linotype" w:eastAsia="Palatino Linotype" w:hAnsi="Palatino Linotype" w:cs="Palatino Linotype"/>
          <w:b/>
          <w:i/>
          <w:sz w:val="22"/>
          <w:szCs w:val="22"/>
          <w:u w:val="single"/>
        </w:rPr>
        <w:t xml:space="preserve">deberán permanecer en custodia y conservación de los Entes Públicos a través de las unidades administrativas que ejercieron el gasto </w:t>
      </w:r>
      <w:r w:rsidRPr="003144CE">
        <w:rPr>
          <w:rFonts w:ascii="Palatino Linotype" w:eastAsia="Palatino Linotype" w:hAnsi="Palatino Linotype" w:cs="Palatino Linotype"/>
          <w:b/>
          <w:i/>
          <w:sz w:val="22"/>
          <w:szCs w:val="22"/>
        </w:rPr>
        <w:t xml:space="preserve">y a disposición de los Órganos de Fiscalización locales y federales, </w:t>
      </w:r>
      <w:r w:rsidRPr="003144CE">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3144CE">
        <w:rPr>
          <w:rFonts w:ascii="Palatino Linotype" w:eastAsia="Palatino Linotype" w:hAnsi="Palatino Linotype" w:cs="Palatino Linotype"/>
          <w:b/>
          <w:i/>
          <w:sz w:val="22"/>
          <w:szCs w:val="22"/>
        </w:rPr>
        <w:t xml:space="preserve"> </w:t>
      </w:r>
      <w:r w:rsidRPr="003144CE">
        <w:rPr>
          <w:rFonts w:ascii="Palatino Linotype" w:eastAsia="Palatino Linotype" w:hAnsi="Palatino Linotype" w:cs="Palatino Linotype"/>
          <w:i/>
          <w:sz w:val="22"/>
          <w:szCs w:val="22"/>
        </w:rPr>
        <w:t>en el caso de los Municipios, dicha obligación corresponderá a la Tesorería.</w:t>
      </w:r>
    </w:p>
    <w:p w14:paraId="52E9E5A5"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t>Tratándose de documentos de carácter histórico, se estará a lo dispuesto por la legislación de la materia.</w:t>
      </w:r>
    </w:p>
    <w:p w14:paraId="721BD1AA"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t>…</w:t>
      </w:r>
    </w:p>
    <w:p w14:paraId="30476816"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b/>
          <w:i/>
          <w:sz w:val="22"/>
          <w:szCs w:val="22"/>
        </w:rPr>
        <w:t>Artículo 345.-</w:t>
      </w:r>
      <w:r w:rsidRPr="003144CE">
        <w:rPr>
          <w:rFonts w:ascii="Palatino Linotype" w:eastAsia="Palatino Linotype" w:hAnsi="Palatino Linotype" w:cs="Palatino Linotype"/>
          <w:i/>
          <w:sz w:val="22"/>
          <w:szCs w:val="22"/>
        </w:rPr>
        <w:t xml:space="preserve"> </w:t>
      </w:r>
      <w:r w:rsidRPr="003144CE">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3144CE">
        <w:rPr>
          <w:rFonts w:ascii="Palatino Linotype" w:eastAsia="Palatino Linotype" w:hAnsi="Palatino Linotype" w:cs="Palatino Linotype"/>
          <w:i/>
          <w:sz w:val="22"/>
          <w:szCs w:val="22"/>
        </w:rPr>
        <w:t>registro contable.</w:t>
      </w:r>
    </w:p>
    <w:p w14:paraId="3E70DB40"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0A97F621" w14:textId="77777777" w:rsidR="009B109B" w:rsidRPr="003144CE" w:rsidRDefault="0024362C">
      <w:pPr>
        <w:spacing w:before="120" w:after="120" w:line="276" w:lineRule="auto"/>
        <w:ind w:left="860" w:right="860"/>
        <w:jc w:val="both"/>
      </w:pPr>
      <w:r w:rsidRPr="003144CE">
        <w:rPr>
          <w:rFonts w:ascii="Palatino Linotype" w:eastAsia="Palatino Linotype" w:hAnsi="Palatino Linotype" w:cs="Palatino Linotype"/>
          <w:i/>
          <w:sz w:val="22"/>
          <w:szCs w:val="22"/>
        </w:rPr>
        <w:lastRenderedPageBreak/>
        <w:t>El plazo señalado en este artículo empezará a contar a partir de la publicación en el Periódico Oficial, del decreto correspondiente</w:t>
      </w:r>
      <w:r w:rsidRPr="003144CE">
        <w:rPr>
          <w:rFonts w:ascii="Palatino Linotype" w:eastAsia="Palatino Linotype" w:hAnsi="Palatino Linotype" w:cs="Palatino Linotype"/>
          <w:b/>
          <w:i/>
          <w:sz w:val="22"/>
          <w:szCs w:val="22"/>
        </w:rPr>
        <w:t xml:space="preserve"> </w:t>
      </w:r>
      <w:r w:rsidRPr="003144CE">
        <w:rPr>
          <w:rFonts w:ascii="Palatino Linotype" w:eastAsia="Palatino Linotype" w:hAnsi="Palatino Linotype" w:cs="Palatino Linotype"/>
          <w:i/>
          <w:sz w:val="22"/>
          <w:szCs w:val="22"/>
        </w:rPr>
        <w:t>“(Sic)</w:t>
      </w:r>
    </w:p>
    <w:p w14:paraId="02C9F53B" w14:textId="77777777" w:rsidR="009B109B" w:rsidRPr="003144CE" w:rsidRDefault="0024362C">
      <w:pPr>
        <w:spacing w:before="120" w:after="120"/>
        <w:ind w:left="860" w:right="860"/>
        <w:jc w:val="both"/>
      </w:pPr>
      <w:r w:rsidRPr="003144CE">
        <w:rPr>
          <w:rFonts w:ascii="Palatino Linotype" w:eastAsia="Palatino Linotype" w:hAnsi="Palatino Linotype" w:cs="Palatino Linotype"/>
          <w:i/>
          <w:sz w:val="22"/>
          <w:szCs w:val="22"/>
        </w:rPr>
        <w:t>(Énfasis añadido)</w:t>
      </w:r>
    </w:p>
    <w:p w14:paraId="18D1967A"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B868916"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345D567" w14:textId="77777777" w:rsidR="009B109B" w:rsidRPr="003144CE" w:rsidRDefault="0024362C">
      <w:pPr>
        <w:ind w:left="851" w:right="851"/>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 xml:space="preserve">“REGISTRO CONTABLE </w:t>
      </w:r>
    </w:p>
    <w:p w14:paraId="1918A40A" w14:textId="77777777" w:rsidR="009B109B" w:rsidRPr="003144CE" w:rsidRDefault="0024362C">
      <w:pPr>
        <w:ind w:left="851" w:right="851"/>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6159E261" w14:textId="77777777" w:rsidR="009B109B" w:rsidRPr="003144CE" w:rsidRDefault="009B109B">
      <w:pPr>
        <w:ind w:left="851" w:right="851"/>
        <w:jc w:val="both"/>
        <w:rPr>
          <w:rFonts w:ascii="Palatino Linotype" w:eastAsia="Palatino Linotype" w:hAnsi="Palatino Linotype" w:cs="Palatino Linotype"/>
          <w:b/>
          <w:i/>
          <w:sz w:val="22"/>
          <w:szCs w:val="22"/>
        </w:rPr>
      </w:pPr>
    </w:p>
    <w:p w14:paraId="504E9FC5" w14:textId="77777777" w:rsidR="009B109B" w:rsidRPr="003144CE" w:rsidRDefault="0024362C">
      <w:pPr>
        <w:ind w:left="851" w:right="851"/>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“REGISTRO PRESUPUESTARIO</w:t>
      </w:r>
    </w:p>
    <w:p w14:paraId="73541E0F" w14:textId="77777777" w:rsidR="009B109B" w:rsidRPr="003144CE" w:rsidRDefault="0024362C">
      <w:pPr>
        <w:ind w:left="851" w:right="851"/>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Asiento contable de las erogaciones realizadas por las dependencias y entidades con relación a la asignación, modificación y ejercicio de los recursos presupuestarios que se les hayan autorizado.” (Sic)</w:t>
      </w:r>
    </w:p>
    <w:p w14:paraId="7D1208F3"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37EE5ADF"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Correlativo a lo anterior, es preciso referir una definición de </w:t>
      </w:r>
      <w:r w:rsidRPr="003144CE">
        <w:rPr>
          <w:rFonts w:ascii="Palatino Linotype" w:eastAsia="Palatino Linotype" w:hAnsi="Palatino Linotype" w:cs="Palatino Linotype"/>
          <w:i/>
        </w:rPr>
        <w:t>póliza contable</w:t>
      </w:r>
      <w:r w:rsidRPr="003144CE">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4E20FBF2" w14:textId="77777777" w:rsidR="009B109B" w:rsidRPr="003144CE" w:rsidRDefault="0024362C">
      <w:pPr>
        <w:ind w:left="851" w:right="851"/>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PÓLIZA CONTABLE</w:t>
      </w:r>
    </w:p>
    <w:p w14:paraId="626E5212" w14:textId="77777777" w:rsidR="009B109B" w:rsidRPr="003144CE" w:rsidRDefault="0024362C">
      <w:pPr>
        <w:ind w:left="851" w:right="851"/>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3D4F709A" w14:textId="77777777" w:rsidR="009B109B" w:rsidRPr="003144CE" w:rsidRDefault="009B109B">
      <w:pPr>
        <w:ind w:left="851" w:right="851"/>
        <w:jc w:val="both"/>
        <w:rPr>
          <w:rFonts w:ascii="Palatino Linotype" w:eastAsia="Palatino Linotype" w:hAnsi="Palatino Linotype" w:cs="Palatino Linotype"/>
          <w:i/>
          <w:sz w:val="22"/>
          <w:szCs w:val="22"/>
        </w:rPr>
      </w:pPr>
    </w:p>
    <w:p w14:paraId="2B9FABA6"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Así, se advierte que la </w:t>
      </w:r>
      <w:r w:rsidRPr="003144CE">
        <w:rPr>
          <w:rFonts w:ascii="Palatino Linotype" w:eastAsia="Palatino Linotype" w:hAnsi="Palatino Linotype" w:cs="Palatino Linotype"/>
          <w:i/>
        </w:rPr>
        <w:t>póliza contable</w:t>
      </w:r>
      <w:r w:rsidRPr="003144CE">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788C1C5"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3144CE">
        <w:rPr>
          <w:rFonts w:ascii="Palatino Linotype" w:eastAsia="Palatino Linotype" w:hAnsi="Palatino Linotype" w:cs="Palatino Linotype"/>
          <w:i/>
        </w:rPr>
        <w:t>pólizas de egresos</w:t>
      </w:r>
      <w:r w:rsidRPr="003144CE">
        <w:rPr>
          <w:rFonts w:ascii="Palatino Linotype" w:eastAsia="Palatino Linotype" w:hAnsi="Palatino Linotype" w:cs="Palatino Linotype"/>
        </w:rPr>
        <w:t xml:space="preserve">, son aquellas en las cuales se anotan diariamente las operaciones que representan gastos, es decir, salidas de dinero para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las </w:t>
      </w:r>
      <w:proofErr w:type="gramStart"/>
      <w:r w:rsidRPr="003144CE">
        <w:rPr>
          <w:rFonts w:ascii="Palatino Linotype" w:eastAsia="Palatino Linotype" w:hAnsi="Palatino Linotype" w:cs="Palatino Linotype"/>
        </w:rPr>
        <w:t>que</w:t>
      </w:r>
      <w:proofErr w:type="gramEnd"/>
      <w:r w:rsidRPr="003144CE">
        <w:rPr>
          <w:rFonts w:ascii="Palatino Linotype" w:eastAsia="Palatino Linotype" w:hAnsi="Palatino Linotype" w:cs="Palatino Linotype"/>
        </w:rPr>
        <w:t xml:space="preserve"> además, deben encontrarse acompañadas de las documentales que sirven de soporte de dicho movimiento. </w:t>
      </w:r>
    </w:p>
    <w:p w14:paraId="447E5A77" w14:textId="77777777" w:rsidR="009B109B" w:rsidRPr="003144CE" w:rsidRDefault="0024362C">
      <w:pPr>
        <w:spacing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lastRenderedPageBreak/>
        <w:t xml:space="preserve">De ahí, que atendiendo los argumentos antes expuestos a criterio de este Instituto, a fin de garantizar el derecho de acceso a la información pública de </w:t>
      </w:r>
      <w:r w:rsidRPr="003144CE">
        <w:rPr>
          <w:rFonts w:ascii="Palatino Linotype" w:eastAsia="Palatino Linotype" w:hAnsi="Palatino Linotype" w:cs="Palatino Linotype"/>
          <w:b/>
        </w:rPr>
        <w:t>la parte</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Recurrente</w:t>
      </w:r>
      <w:r w:rsidRPr="003144CE">
        <w:rPr>
          <w:rFonts w:ascii="Palatino Linotype" w:eastAsia="Palatino Linotype" w:hAnsi="Palatino Linotype" w:cs="Palatino Linotype"/>
        </w:rPr>
        <w:t xml:space="preserve">; y, toda vez que los motivos de inconformidad resultan </w:t>
      </w:r>
      <w:r w:rsidRPr="003144CE">
        <w:rPr>
          <w:rFonts w:ascii="Palatino Linotype" w:eastAsia="Palatino Linotype" w:hAnsi="Palatino Linotype" w:cs="Palatino Linotype"/>
          <w:b/>
        </w:rPr>
        <w:t>fundados</w:t>
      </w:r>
      <w:r w:rsidRPr="003144CE">
        <w:rPr>
          <w:rFonts w:ascii="Palatino Linotype" w:eastAsia="Palatino Linotype" w:hAnsi="Palatino Linotype" w:cs="Palatino Linotype"/>
        </w:rPr>
        <w:t xml:space="preserve">, resulta procedente </w:t>
      </w:r>
      <w:r w:rsidRPr="003144CE">
        <w:rPr>
          <w:rFonts w:ascii="Palatino Linotype" w:eastAsia="Palatino Linotype" w:hAnsi="Palatino Linotype" w:cs="Palatino Linotype"/>
          <w:b/>
        </w:rPr>
        <w:t>REVOCAR</w:t>
      </w:r>
      <w:r w:rsidRPr="003144CE">
        <w:rPr>
          <w:rFonts w:ascii="Palatino Linotype" w:eastAsia="Palatino Linotype" w:hAnsi="Palatino Linotype" w:cs="Palatino Linotype"/>
          <w:i/>
        </w:rPr>
        <w:t xml:space="preserve"> </w:t>
      </w:r>
      <w:r w:rsidRPr="003144CE">
        <w:rPr>
          <w:rFonts w:ascii="Palatino Linotype" w:eastAsia="Palatino Linotype" w:hAnsi="Palatino Linotype" w:cs="Palatino Linotype"/>
        </w:rPr>
        <w:t>la respuesta proporcionada por el</w:t>
      </w:r>
      <w:r w:rsidRPr="003144CE">
        <w:rPr>
          <w:rFonts w:ascii="Palatino Linotype" w:eastAsia="Palatino Linotype" w:hAnsi="Palatino Linotype" w:cs="Palatino Linotype"/>
          <w:b/>
        </w:rPr>
        <w:t xml:space="preserve"> Sujeto Obligado </w:t>
      </w:r>
      <w:r w:rsidRPr="003144CE">
        <w:rPr>
          <w:rFonts w:ascii="Palatino Linotype" w:eastAsia="Palatino Linotype" w:hAnsi="Palatino Linotype" w:cs="Palatino Linotype"/>
        </w:rPr>
        <w:t>en términos del artículo 186 fracción III de la Ley de Transparencia y Acceso a la Información Pública del Estado de México y Municipios, y ordenar que en cumplimiento a la presente resolución entregue lo siguiente, en versión pública de ser procedente:</w:t>
      </w:r>
    </w:p>
    <w:p w14:paraId="3E614E0A" w14:textId="77777777" w:rsidR="009B109B" w:rsidRPr="003144CE" w:rsidRDefault="0024362C">
      <w:pPr>
        <w:spacing w:line="276" w:lineRule="auto"/>
        <w:ind w:left="567" w:right="900"/>
        <w:jc w:val="both"/>
        <w:rPr>
          <w:rFonts w:ascii="Palatino Linotype" w:eastAsia="Palatino Linotype" w:hAnsi="Palatino Linotype" w:cs="Palatino Linotype"/>
          <w:b/>
        </w:rPr>
      </w:pPr>
      <w:r w:rsidRPr="003144CE">
        <w:rPr>
          <w:rFonts w:ascii="Palatino Linotype" w:eastAsia="Palatino Linotype" w:hAnsi="Palatino Linotype" w:cs="Palatino Linotype"/>
          <w:b/>
        </w:rPr>
        <w:t>Documentos, generados al 13 de noviembre de 2023, donde conste lo siguiente del festival de las almas 2023:</w:t>
      </w:r>
    </w:p>
    <w:p w14:paraId="35FBA210" w14:textId="77777777" w:rsidR="009B109B" w:rsidRPr="003144CE" w:rsidRDefault="0024362C">
      <w:pPr>
        <w:numPr>
          <w:ilvl w:val="0"/>
          <w:numId w:val="3"/>
        </w:numPr>
        <w:pBdr>
          <w:top w:val="nil"/>
          <w:left w:val="nil"/>
          <w:bottom w:val="nil"/>
          <w:right w:val="nil"/>
          <w:between w:val="nil"/>
        </w:pBdr>
        <w:ind w:left="567" w:right="900" w:hanging="283"/>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Presupuesto asignado para su realización.</w:t>
      </w:r>
    </w:p>
    <w:p w14:paraId="1184FDC8" w14:textId="77777777" w:rsidR="009B109B" w:rsidRPr="003144CE" w:rsidRDefault="0024362C">
      <w:pPr>
        <w:numPr>
          <w:ilvl w:val="0"/>
          <w:numId w:val="3"/>
        </w:numPr>
        <w:pBdr>
          <w:top w:val="nil"/>
          <w:left w:val="nil"/>
          <w:bottom w:val="nil"/>
          <w:right w:val="nil"/>
          <w:between w:val="nil"/>
        </w:pBdr>
        <w:ind w:left="567" w:right="900" w:hanging="283"/>
        <w:jc w:val="both"/>
        <w:rPr>
          <w:rFonts w:ascii="Palatino Linotype" w:eastAsia="Palatino Linotype" w:hAnsi="Palatino Linotype" w:cs="Palatino Linotype"/>
        </w:rPr>
      </w:pPr>
      <w:r w:rsidRPr="003144CE">
        <w:rPr>
          <w:rFonts w:ascii="Palatino Linotype" w:eastAsia="Palatino Linotype" w:hAnsi="Palatino Linotype" w:cs="Palatino Linotype"/>
          <w:b/>
          <w:i/>
          <w:sz w:val="22"/>
          <w:szCs w:val="22"/>
        </w:rPr>
        <w:t xml:space="preserve">Copia de los contratos y documentos que den cuenta del gasto erogado por cualquier concepto relacionado con el evento referido. </w:t>
      </w:r>
    </w:p>
    <w:p w14:paraId="36089D73" w14:textId="77777777" w:rsidR="009B109B" w:rsidRPr="003144CE" w:rsidRDefault="009B109B">
      <w:pPr>
        <w:spacing w:line="360" w:lineRule="auto"/>
        <w:jc w:val="both"/>
        <w:rPr>
          <w:rFonts w:ascii="Palatino Linotype" w:eastAsia="Palatino Linotype" w:hAnsi="Palatino Linotype" w:cs="Palatino Linotype"/>
        </w:rPr>
      </w:pPr>
    </w:p>
    <w:p w14:paraId="038D1CAC" w14:textId="77777777" w:rsidR="009B109B" w:rsidRPr="003144CE" w:rsidRDefault="0024362C">
      <w:pPr>
        <w:spacing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 xml:space="preserve">Quinto. Versión Pública. </w:t>
      </w:r>
      <w:r w:rsidRPr="003144CE">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791A86E" w14:textId="77777777" w:rsidR="009B109B" w:rsidRPr="003144CE" w:rsidRDefault="0024362C">
      <w:pPr>
        <w:spacing w:before="240" w:after="240" w:line="360" w:lineRule="auto"/>
        <w:ind w:right="50"/>
        <w:jc w:val="both"/>
        <w:rPr>
          <w:rFonts w:ascii="Palatino Linotype" w:eastAsia="Palatino Linotype" w:hAnsi="Palatino Linotype" w:cs="Palatino Linotype"/>
        </w:rPr>
      </w:pPr>
      <w:r w:rsidRPr="003144CE">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09F77BC6"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r w:rsidRPr="003144CE">
        <w:rPr>
          <w:rFonts w:ascii="Palatino Linotype" w:eastAsia="Palatino Linotype" w:hAnsi="Palatino Linotype" w:cs="Palatino Linotype"/>
          <w:b/>
          <w:i/>
          <w:sz w:val="22"/>
          <w:szCs w:val="22"/>
        </w:rPr>
        <w:t>Artículo 3</w:t>
      </w:r>
      <w:r w:rsidRPr="003144CE">
        <w:rPr>
          <w:rFonts w:ascii="Palatino Linotype" w:eastAsia="Palatino Linotype" w:hAnsi="Palatino Linotype" w:cs="Palatino Linotype"/>
          <w:i/>
          <w:sz w:val="22"/>
          <w:szCs w:val="22"/>
        </w:rPr>
        <w:t>. Para los efectos de la presente Ley se entenderá por:</w:t>
      </w:r>
    </w:p>
    <w:p w14:paraId="76541F69"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14460019"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IX. Datos personales:</w:t>
      </w:r>
      <w:r w:rsidRPr="003144C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C7E89C9"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XX. Información clasificada</w:t>
      </w:r>
      <w:r w:rsidRPr="003144CE">
        <w:rPr>
          <w:rFonts w:ascii="Palatino Linotype" w:eastAsia="Palatino Linotype" w:hAnsi="Palatino Linotype" w:cs="Palatino Linotype"/>
          <w:i/>
          <w:sz w:val="22"/>
          <w:szCs w:val="22"/>
        </w:rPr>
        <w:t>: Aquella considerada por la presente Ley como reservada o confidencial;</w:t>
      </w:r>
    </w:p>
    <w:p w14:paraId="7D78C187"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XXI. Información confidencial:</w:t>
      </w:r>
      <w:r w:rsidRPr="003144C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A54C42"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XLV. Versión pública:</w:t>
      </w:r>
      <w:r w:rsidRPr="003144C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C6B4F54"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0BCF0AB5"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 xml:space="preserve">Artículo 91. </w:t>
      </w:r>
      <w:r w:rsidRPr="003144C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0DA7648"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 xml:space="preserve">Artículo 132. </w:t>
      </w:r>
      <w:r w:rsidRPr="003144CE">
        <w:rPr>
          <w:rFonts w:ascii="Palatino Linotype" w:eastAsia="Palatino Linotype" w:hAnsi="Palatino Linotype" w:cs="Palatino Linotype"/>
          <w:i/>
          <w:sz w:val="22"/>
          <w:szCs w:val="22"/>
        </w:rPr>
        <w:t>La clasificación de la información se llevará a cabo en el momento en que:</w:t>
      </w:r>
    </w:p>
    <w:p w14:paraId="77F8684B"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I</w:t>
      </w:r>
      <w:r w:rsidRPr="003144CE">
        <w:rPr>
          <w:rFonts w:ascii="Palatino Linotype" w:eastAsia="Palatino Linotype" w:hAnsi="Palatino Linotype" w:cs="Palatino Linotype"/>
          <w:i/>
          <w:sz w:val="22"/>
          <w:szCs w:val="22"/>
        </w:rPr>
        <w:t>. Se reciba una solicitud de acceso a la información;</w:t>
      </w:r>
    </w:p>
    <w:p w14:paraId="0FC5F1AC"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II</w:t>
      </w:r>
      <w:r w:rsidRPr="003144CE">
        <w:rPr>
          <w:rFonts w:ascii="Palatino Linotype" w:eastAsia="Palatino Linotype" w:hAnsi="Palatino Linotype" w:cs="Palatino Linotype"/>
          <w:i/>
          <w:sz w:val="22"/>
          <w:szCs w:val="22"/>
        </w:rPr>
        <w:t>. Se determine mediante resolución de autoridad competente; o</w:t>
      </w:r>
    </w:p>
    <w:p w14:paraId="37D500AB"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III</w:t>
      </w:r>
      <w:r w:rsidRPr="003144CE">
        <w:rPr>
          <w:rFonts w:ascii="Palatino Linotype" w:eastAsia="Palatino Linotype" w:hAnsi="Palatino Linotype" w:cs="Palatino Linotype"/>
          <w:i/>
          <w:sz w:val="22"/>
          <w:szCs w:val="22"/>
        </w:rPr>
        <w:t>. Se generen versiones públicas para dar cumplimiento a las obligaciones de transparencia previstas en esta Ley.</w:t>
      </w:r>
    </w:p>
    <w:p w14:paraId="018767E8"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w:t>
      </w:r>
    </w:p>
    <w:p w14:paraId="42A9E335"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Artículo 143</w:t>
      </w:r>
      <w:r w:rsidRPr="003144C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A7E3D61"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I.</w:t>
      </w:r>
      <w:r w:rsidRPr="003144C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8055801"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lastRenderedPageBreak/>
        <w:t>II.</w:t>
      </w:r>
      <w:r w:rsidRPr="003144C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00DE6D1"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III</w:t>
      </w:r>
      <w:r w:rsidRPr="003144C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05CD290"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406DB37" w14:textId="77777777" w:rsidR="009B109B" w:rsidRPr="003144CE" w:rsidRDefault="0024362C">
      <w:pPr>
        <w:spacing w:before="120" w:after="120"/>
        <w:ind w:left="567" w:right="902"/>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614C550"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5E28354" w14:textId="77777777" w:rsidR="009B109B" w:rsidRPr="003144CE" w:rsidRDefault="0024362C">
      <w:pPr>
        <w:spacing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siendo estas las siguientes:</w:t>
      </w:r>
    </w:p>
    <w:p w14:paraId="2DD4EB55" w14:textId="77777777" w:rsidR="009B109B" w:rsidRPr="003144CE" w:rsidRDefault="009B109B">
      <w:pPr>
        <w:spacing w:line="360" w:lineRule="auto"/>
        <w:jc w:val="both"/>
        <w:rPr>
          <w:rFonts w:ascii="Palatino Linotype" w:eastAsia="Palatino Linotype" w:hAnsi="Palatino Linotype" w:cs="Palatino Linotype"/>
        </w:rPr>
      </w:pPr>
    </w:p>
    <w:p w14:paraId="5C54F019" w14:textId="77777777" w:rsidR="009B109B" w:rsidRPr="003144CE" w:rsidRDefault="0024362C">
      <w:pPr>
        <w:spacing w:line="276" w:lineRule="auto"/>
        <w:ind w:left="567"/>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“CAPÍTULO VIII </w:t>
      </w:r>
    </w:p>
    <w:p w14:paraId="418BCF37" w14:textId="77777777" w:rsidR="009B109B" w:rsidRPr="003144CE" w:rsidRDefault="0024362C">
      <w:pPr>
        <w:spacing w:line="276" w:lineRule="auto"/>
        <w:ind w:left="567"/>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 xml:space="preserve">DE LOS ELEMENTOS PARA LA CLASIFICACIÓN </w:t>
      </w:r>
    </w:p>
    <w:p w14:paraId="2B994C8B" w14:textId="77777777" w:rsidR="009B109B" w:rsidRPr="003144CE" w:rsidRDefault="0024362C">
      <w:pP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Quincuagésimo.</w:t>
      </w:r>
      <w:r w:rsidRPr="003144C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31A48FD" w14:textId="77777777" w:rsidR="009B109B" w:rsidRPr="003144CE" w:rsidRDefault="0024362C">
      <w:pP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Quincuagésimo primero.</w:t>
      </w:r>
      <w:r w:rsidRPr="003144CE">
        <w:rPr>
          <w:rFonts w:ascii="Palatino Linotype" w:eastAsia="Palatino Linotype" w:hAnsi="Palatino Linotype" w:cs="Palatino Linotype"/>
          <w:i/>
          <w:sz w:val="22"/>
          <w:szCs w:val="22"/>
        </w:rPr>
        <w:t xml:space="preserve"> Toda acta del Comité de Transparencia deberá contener: </w:t>
      </w:r>
    </w:p>
    <w:p w14:paraId="126ED93F" w14:textId="77777777" w:rsidR="009B109B" w:rsidRPr="003144CE" w:rsidRDefault="0024362C">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El número de sesión y fecha; </w:t>
      </w:r>
    </w:p>
    <w:p w14:paraId="4190F65E" w14:textId="77777777" w:rsidR="009B109B" w:rsidRPr="003144CE" w:rsidRDefault="0024362C">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El nombre del área que solicitó la clasificación de información; </w:t>
      </w:r>
    </w:p>
    <w:p w14:paraId="71483BA1" w14:textId="77777777" w:rsidR="009B109B" w:rsidRPr="003144CE" w:rsidRDefault="0024362C">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La fundamentación legal y motivación correspondiente; </w:t>
      </w:r>
    </w:p>
    <w:p w14:paraId="7B247443" w14:textId="77777777" w:rsidR="009B109B" w:rsidRPr="003144CE" w:rsidRDefault="0024362C">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La resolución o resoluciones aprobadas; y </w:t>
      </w:r>
    </w:p>
    <w:p w14:paraId="408D3A62" w14:textId="77777777" w:rsidR="009B109B" w:rsidRPr="003144CE" w:rsidRDefault="0024362C">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La rúbrica o firma digital de cada integrante del Comité de Transparencia. </w:t>
      </w:r>
    </w:p>
    <w:p w14:paraId="050587D0"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037F19B"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I. Los motivos y razonamientos que sustenten la confirmación o modificación de la prueba de daño;</w:t>
      </w:r>
    </w:p>
    <w:p w14:paraId="3D3CA63E"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II. Descripción de las partes o secciones reservadas, en caso de clasificación parcial; </w:t>
      </w:r>
    </w:p>
    <w:p w14:paraId="5AC277AE"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III. El periodo por el que mantendrá su clasificación y fecha de expiración; y </w:t>
      </w:r>
    </w:p>
    <w:p w14:paraId="71764246"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0D95F21"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E235DD1"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DD2D2D2"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 xml:space="preserve">Quincuagésimo segundo. </w:t>
      </w:r>
      <w:r w:rsidRPr="003144CE">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BEEAF76"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ECE0E5F"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I. Fijar la fecha en que se elaboró la versión pública y la fecha en la cual el Comité de</w:t>
      </w:r>
    </w:p>
    <w:p w14:paraId="320A1772"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Transparencia confirmó dicha versión;</w:t>
      </w:r>
    </w:p>
    <w:p w14:paraId="48324E73"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4CF86A0B"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III. Señalar las personas o instancias autorizadas a acceder a la información clasificada.</w:t>
      </w:r>
    </w:p>
    <w:p w14:paraId="710900C9"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3144CE">
        <w:rPr>
          <w:noProof/>
        </w:rPr>
        <w:drawing>
          <wp:anchor distT="0" distB="0" distL="114300" distR="114300" simplePos="0" relativeHeight="251659264" behindDoc="0" locked="0" layoutInCell="1" hidden="0" allowOverlap="1" wp14:anchorId="0C7692E2" wp14:editId="3BEDAE76">
            <wp:simplePos x="0" y="0"/>
            <wp:positionH relativeFrom="column">
              <wp:posOffset>377190</wp:posOffset>
            </wp:positionH>
            <wp:positionV relativeFrom="paragraph">
              <wp:posOffset>798830</wp:posOffset>
            </wp:positionV>
            <wp:extent cx="4568190" cy="330200"/>
            <wp:effectExtent l="0" t="0" r="0" b="0"/>
            <wp:wrapTopAndBottom distT="0" dist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68190" cy="330200"/>
                    </a:xfrm>
                    <a:prstGeom prst="rect">
                      <a:avLst/>
                    </a:prstGeom>
                    <a:ln/>
                  </pic:spPr>
                </pic:pic>
              </a:graphicData>
            </a:graphic>
          </wp:anchor>
        </w:drawing>
      </w:r>
    </w:p>
    <w:p w14:paraId="0170023B"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noProof/>
          <w:sz w:val="22"/>
          <w:szCs w:val="22"/>
        </w:rPr>
        <w:drawing>
          <wp:inline distT="0" distB="0" distL="0" distR="0" wp14:anchorId="284AADD9" wp14:editId="53FC3486">
            <wp:extent cx="4576404" cy="5139653"/>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76404" cy="5139653"/>
                    </a:xfrm>
                    <a:prstGeom prst="rect">
                      <a:avLst/>
                    </a:prstGeom>
                    <a:ln/>
                  </pic:spPr>
                </pic:pic>
              </a:graphicData>
            </a:graphic>
          </wp:inline>
        </w:drawing>
      </w:r>
    </w:p>
    <w:p w14:paraId="4112316E" w14:textId="77777777" w:rsidR="009B109B" w:rsidRPr="003144CE" w:rsidRDefault="009B10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1FF11F1"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lastRenderedPageBreak/>
        <w:t xml:space="preserve">Quincuagésimo cuarto. </w:t>
      </w:r>
      <w:r w:rsidRPr="003144CE">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1602CB5" w14:textId="77777777" w:rsidR="009B109B" w:rsidRPr="003144CE" w:rsidRDefault="009B10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19FF3CB" w14:textId="77777777" w:rsidR="009B109B" w:rsidRPr="003144CE" w:rsidRDefault="0024362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b/>
          <w:i/>
          <w:sz w:val="22"/>
          <w:szCs w:val="22"/>
        </w:rPr>
        <w:t xml:space="preserve">Quincuagésimo quinto. </w:t>
      </w:r>
      <w:r w:rsidRPr="003144C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3144CE">
        <w:rPr>
          <w:rFonts w:ascii="Palatino Linotype" w:eastAsia="Palatino Linotype" w:hAnsi="Palatino Linotype" w:cs="Palatino Linotype"/>
          <w:i/>
          <w:sz w:val="22"/>
          <w:szCs w:val="22"/>
        </w:rPr>
        <w:t>testado</w:t>
      </w:r>
      <w:proofErr w:type="spellEnd"/>
      <w:r w:rsidRPr="003144CE">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30589CFF"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28BABD7"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534C42B4" w14:textId="77777777" w:rsidR="009B109B" w:rsidRPr="003144CE" w:rsidRDefault="0024362C">
      <w:pPr>
        <w:numPr>
          <w:ilvl w:val="0"/>
          <w:numId w:val="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3144CE">
        <w:rPr>
          <w:rFonts w:ascii="Palatino Linotype" w:eastAsia="Palatino Linotype" w:hAnsi="Palatino Linotype" w:cs="Palatino Linotype"/>
          <w:b/>
        </w:rPr>
        <w:lastRenderedPageBreak/>
        <w:t>R E S U E L V E:</w:t>
      </w:r>
    </w:p>
    <w:p w14:paraId="2FA7C6F0" w14:textId="77777777" w:rsidR="009B109B" w:rsidRPr="003144CE" w:rsidRDefault="0024362C">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3144CE">
        <w:rPr>
          <w:rFonts w:ascii="Palatino Linotype" w:eastAsia="Palatino Linotype" w:hAnsi="Palatino Linotype" w:cs="Palatino Linotype"/>
          <w:b/>
        </w:rPr>
        <w:t xml:space="preserve">Primero. </w:t>
      </w:r>
      <w:r w:rsidRPr="003144CE">
        <w:rPr>
          <w:rFonts w:ascii="Palatino Linotype" w:eastAsia="Palatino Linotype" w:hAnsi="Palatino Linotype" w:cs="Palatino Linotype"/>
        </w:rPr>
        <w:t xml:space="preserve">Resultan </w:t>
      </w:r>
      <w:r w:rsidRPr="003144CE">
        <w:rPr>
          <w:rFonts w:ascii="Palatino Linotype" w:eastAsia="Palatino Linotype" w:hAnsi="Palatino Linotype" w:cs="Palatino Linotype"/>
          <w:b/>
        </w:rPr>
        <w:t>fundadas</w:t>
      </w:r>
      <w:r w:rsidRPr="003144CE">
        <w:rPr>
          <w:rFonts w:ascii="Palatino Linotype" w:eastAsia="Palatino Linotype" w:hAnsi="Palatino Linotype" w:cs="Palatino Linotype"/>
        </w:rPr>
        <w:t xml:space="preserve"> las razones o motivos de inconformidad hechos valer por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en el recurso de revisión </w:t>
      </w:r>
      <w:r w:rsidRPr="003144CE">
        <w:rPr>
          <w:rFonts w:ascii="Palatino Linotype" w:eastAsia="Palatino Linotype" w:hAnsi="Palatino Linotype" w:cs="Palatino Linotype"/>
          <w:b/>
        </w:rPr>
        <w:t>08424/INFOEM/IP/RR/2023</w:t>
      </w:r>
      <w:r w:rsidRPr="003144CE">
        <w:rPr>
          <w:rFonts w:ascii="Palatino Linotype" w:eastAsia="Palatino Linotype" w:hAnsi="Palatino Linotype" w:cs="Palatino Linotype"/>
        </w:rPr>
        <w:t xml:space="preserve">; por lo que, en términos del </w:t>
      </w:r>
      <w:r w:rsidRPr="003144CE">
        <w:rPr>
          <w:rFonts w:ascii="Palatino Linotype" w:eastAsia="Palatino Linotype" w:hAnsi="Palatino Linotype" w:cs="Palatino Linotype"/>
          <w:b/>
        </w:rPr>
        <w:t>Considerando</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 xml:space="preserve">Cuarto </w:t>
      </w:r>
      <w:r w:rsidRPr="003144CE">
        <w:rPr>
          <w:rFonts w:ascii="Palatino Linotype" w:eastAsia="Palatino Linotype" w:hAnsi="Palatino Linotype" w:cs="Palatino Linotype"/>
        </w:rPr>
        <w:t xml:space="preserve">de esta resolución, se </w:t>
      </w:r>
      <w:r w:rsidRPr="003144CE">
        <w:rPr>
          <w:rFonts w:ascii="Palatino Linotype" w:eastAsia="Palatino Linotype" w:hAnsi="Palatino Linotype" w:cs="Palatino Linotype"/>
          <w:b/>
        </w:rPr>
        <w:t xml:space="preserve">REVOCA </w:t>
      </w:r>
      <w:r w:rsidRPr="003144CE">
        <w:rPr>
          <w:rFonts w:ascii="Palatino Linotype" w:eastAsia="Palatino Linotype" w:hAnsi="Palatino Linotype" w:cs="Palatino Linotype"/>
        </w:rPr>
        <w:t xml:space="preserve">la respuesta emitida por el </w:t>
      </w:r>
      <w:r w:rsidRPr="003144CE">
        <w:rPr>
          <w:rFonts w:ascii="Palatino Linotype" w:eastAsia="Palatino Linotype" w:hAnsi="Palatino Linotype" w:cs="Palatino Linotype"/>
          <w:b/>
        </w:rPr>
        <w:t>Sujeto Obligado.</w:t>
      </w:r>
    </w:p>
    <w:p w14:paraId="5287ACF8" w14:textId="77777777" w:rsidR="009B109B" w:rsidRPr="003144CE" w:rsidRDefault="0024362C">
      <w:pPr>
        <w:spacing w:before="240" w:after="240" w:line="360" w:lineRule="auto"/>
        <w:ind w:right="49"/>
        <w:jc w:val="both"/>
        <w:rPr>
          <w:rFonts w:ascii="Palatino Linotype" w:eastAsia="Palatino Linotype" w:hAnsi="Palatino Linotype" w:cs="Palatino Linotype"/>
          <w:b/>
        </w:rPr>
      </w:pPr>
      <w:r w:rsidRPr="003144CE">
        <w:rPr>
          <w:rFonts w:ascii="Palatino Linotype" w:eastAsia="Palatino Linotype" w:hAnsi="Palatino Linotype" w:cs="Palatino Linotype"/>
          <w:b/>
        </w:rPr>
        <w:t xml:space="preserve">Segundo. </w:t>
      </w:r>
      <w:r w:rsidRPr="003144CE">
        <w:rPr>
          <w:rFonts w:ascii="Palatino Linotype" w:eastAsia="Palatino Linotype" w:hAnsi="Palatino Linotype" w:cs="Palatino Linotype"/>
        </w:rPr>
        <w:t xml:space="preserve">Se </w:t>
      </w:r>
      <w:r w:rsidRPr="003144CE">
        <w:rPr>
          <w:rFonts w:ascii="Palatino Linotype" w:eastAsia="Palatino Linotype" w:hAnsi="Palatino Linotype" w:cs="Palatino Linotype"/>
          <w:b/>
        </w:rPr>
        <w:t xml:space="preserve">Ordena </w:t>
      </w:r>
      <w:r w:rsidRPr="003144CE">
        <w:rPr>
          <w:rFonts w:ascii="Palatino Linotype" w:eastAsia="Palatino Linotype" w:hAnsi="Palatino Linotype" w:cs="Palatino Linotype"/>
        </w:rPr>
        <w:t xml:space="preserve">al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entregue</w:t>
      </w:r>
      <w:r w:rsidR="00921E7D" w:rsidRPr="003144CE">
        <w:rPr>
          <w:rFonts w:ascii="Palatino Linotype" w:eastAsia="Palatino Linotype" w:hAnsi="Palatino Linotype" w:cs="Palatino Linotype"/>
        </w:rPr>
        <w:t>n</w:t>
      </w:r>
      <w:r w:rsidRPr="003144CE">
        <w:rPr>
          <w:rFonts w:ascii="Palatino Linotype" w:eastAsia="Palatino Linotype" w:hAnsi="Palatino Linotype" w:cs="Palatino Linotype"/>
        </w:rPr>
        <w:t>, a</w:t>
      </w:r>
      <w:r w:rsidRPr="003144CE">
        <w:rPr>
          <w:rFonts w:ascii="Palatino Linotype" w:eastAsia="Palatino Linotype" w:hAnsi="Palatino Linotype" w:cs="Palatino Linotype"/>
          <w:b/>
        </w:rPr>
        <w:t xml:space="preserve"> la parte</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Recurrente</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 xml:space="preserve">vía SAIMEX, </w:t>
      </w:r>
      <w:r w:rsidRPr="003144CE">
        <w:rPr>
          <w:rFonts w:ascii="Palatino Linotype" w:eastAsia="Palatino Linotype" w:hAnsi="Palatino Linotype" w:cs="Palatino Linotype"/>
        </w:rPr>
        <w:t xml:space="preserve">en términos de </w:t>
      </w:r>
      <w:r w:rsidRPr="003144CE">
        <w:rPr>
          <w:rFonts w:ascii="Palatino Linotype" w:eastAsia="Palatino Linotype" w:hAnsi="Palatino Linotype" w:cs="Palatino Linotype"/>
          <w:b/>
        </w:rPr>
        <w:t>los Considerandos</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Cuarto y Quinto</w:t>
      </w:r>
      <w:r w:rsidRPr="003144CE">
        <w:rPr>
          <w:rFonts w:ascii="Palatino Linotype" w:eastAsia="Palatino Linotype" w:hAnsi="Palatino Linotype" w:cs="Palatino Linotype"/>
        </w:rPr>
        <w:t>, en versión pública de ser procedente,</w:t>
      </w:r>
      <w:r w:rsidR="00921E7D" w:rsidRPr="003144CE">
        <w:rPr>
          <w:rFonts w:ascii="Palatino Linotype" w:eastAsia="Palatino Linotype" w:hAnsi="Palatino Linotype" w:cs="Palatino Linotype"/>
          <w:b/>
        </w:rPr>
        <w:t xml:space="preserve"> del festival de las almas 2023,</w:t>
      </w:r>
      <w:r w:rsidRPr="003144CE">
        <w:rPr>
          <w:rFonts w:ascii="Palatino Linotype" w:eastAsia="Palatino Linotype" w:hAnsi="Palatino Linotype" w:cs="Palatino Linotype"/>
        </w:rPr>
        <w:t xml:space="preserve"> </w:t>
      </w:r>
      <w:r w:rsidR="00921E7D" w:rsidRPr="003144CE">
        <w:rPr>
          <w:rFonts w:ascii="Palatino Linotype" w:eastAsia="Palatino Linotype" w:hAnsi="Palatino Linotype" w:cs="Palatino Linotype"/>
          <w:b/>
        </w:rPr>
        <w:t>los documentos</w:t>
      </w:r>
      <w:r w:rsidRPr="003144CE">
        <w:rPr>
          <w:rFonts w:ascii="Palatino Linotype" w:eastAsia="Palatino Linotype" w:hAnsi="Palatino Linotype" w:cs="Palatino Linotype"/>
          <w:b/>
        </w:rPr>
        <w:t xml:space="preserve"> generados al 13 de noviembre de 2023, donde conste</w:t>
      </w:r>
      <w:r w:rsidRPr="003144CE">
        <w:rPr>
          <w:rFonts w:ascii="Palatino Linotype" w:eastAsia="Palatino Linotype" w:hAnsi="Palatino Linotype" w:cs="Palatino Linotype"/>
        </w:rPr>
        <w:t xml:space="preserve"> </w:t>
      </w:r>
      <w:r w:rsidRPr="003144CE">
        <w:rPr>
          <w:rFonts w:ascii="Palatino Linotype" w:eastAsia="Palatino Linotype" w:hAnsi="Palatino Linotype" w:cs="Palatino Linotype"/>
          <w:b/>
        </w:rPr>
        <w:t>lo siguiente:</w:t>
      </w:r>
    </w:p>
    <w:p w14:paraId="3A038062" w14:textId="77777777" w:rsidR="009B109B" w:rsidRPr="003144CE" w:rsidRDefault="0024362C">
      <w:pPr>
        <w:numPr>
          <w:ilvl w:val="0"/>
          <w:numId w:val="4"/>
        </w:num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r w:rsidRPr="003144CE">
        <w:rPr>
          <w:rFonts w:ascii="Palatino Linotype" w:eastAsia="Palatino Linotype" w:hAnsi="Palatino Linotype" w:cs="Palatino Linotype"/>
          <w:b/>
          <w:i/>
          <w:sz w:val="22"/>
          <w:szCs w:val="22"/>
        </w:rPr>
        <w:t xml:space="preserve">Presupuesto asignado para su realización </w:t>
      </w:r>
    </w:p>
    <w:p w14:paraId="336104B9" w14:textId="77777777" w:rsidR="009B109B" w:rsidRPr="003144CE" w:rsidRDefault="0024362C">
      <w:pPr>
        <w:numPr>
          <w:ilvl w:val="0"/>
          <w:numId w:val="4"/>
        </w:numPr>
        <w:pBdr>
          <w:top w:val="nil"/>
          <w:left w:val="nil"/>
          <w:bottom w:val="nil"/>
          <w:right w:val="nil"/>
          <w:between w:val="nil"/>
        </w:pBdr>
        <w:ind w:left="567" w:right="900" w:hanging="141"/>
        <w:jc w:val="both"/>
        <w:rPr>
          <w:rFonts w:ascii="Palatino Linotype" w:eastAsia="Palatino Linotype" w:hAnsi="Palatino Linotype" w:cs="Palatino Linotype"/>
        </w:rPr>
      </w:pPr>
      <w:r w:rsidRPr="003144CE">
        <w:rPr>
          <w:rFonts w:ascii="Palatino Linotype" w:eastAsia="Palatino Linotype" w:hAnsi="Palatino Linotype" w:cs="Palatino Linotype"/>
          <w:b/>
          <w:i/>
          <w:sz w:val="22"/>
          <w:szCs w:val="22"/>
        </w:rPr>
        <w:t xml:space="preserve">Copia de los contratos y documentos que den cuenta del gasto erogado por cualquier concepto relacionado con el evento referido. </w:t>
      </w:r>
    </w:p>
    <w:p w14:paraId="2BFEEDDF" w14:textId="77777777" w:rsidR="009B109B" w:rsidRPr="003144CE" w:rsidRDefault="0024362C">
      <w:pPr>
        <w:spacing w:before="240" w:after="240" w:line="276" w:lineRule="auto"/>
        <w:ind w:left="567" w:right="900"/>
        <w:jc w:val="both"/>
        <w:rPr>
          <w:rFonts w:ascii="Palatino Linotype" w:eastAsia="Palatino Linotype" w:hAnsi="Palatino Linotype" w:cs="Palatino Linotype"/>
          <w:i/>
          <w:sz w:val="22"/>
          <w:szCs w:val="22"/>
        </w:rPr>
      </w:pPr>
      <w:r w:rsidRPr="003144CE">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144CE">
        <w:rPr>
          <w:rFonts w:ascii="Palatino Linotype" w:eastAsia="Palatino Linotype" w:hAnsi="Palatino Linotype" w:cs="Palatino Linotype"/>
          <w:b/>
          <w:i/>
          <w:sz w:val="22"/>
          <w:szCs w:val="22"/>
        </w:rPr>
        <w:t>la parte Recurrente</w:t>
      </w:r>
      <w:r w:rsidRPr="003144CE">
        <w:rPr>
          <w:rFonts w:ascii="Palatino Linotype" w:eastAsia="Palatino Linotype" w:hAnsi="Palatino Linotype" w:cs="Palatino Linotype"/>
          <w:i/>
          <w:sz w:val="22"/>
          <w:szCs w:val="22"/>
        </w:rPr>
        <w:t>.</w:t>
      </w:r>
    </w:p>
    <w:p w14:paraId="6DF8547B"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Tercero</w:t>
      </w:r>
      <w:r w:rsidRPr="003144CE">
        <w:rPr>
          <w:rFonts w:ascii="Palatino Linotype" w:eastAsia="Palatino Linotype" w:hAnsi="Palatino Linotype" w:cs="Palatino Linotype"/>
          <w:b/>
          <w:sz w:val="28"/>
          <w:szCs w:val="28"/>
        </w:rPr>
        <w:t xml:space="preserve">.  </w:t>
      </w:r>
      <w:r w:rsidRPr="003144CE">
        <w:rPr>
          <w:rFonts w:ascii="Palatino Linotype" w:eastAsia="Palatino Linotype" w:hAnsi="Palatino Linotype" w:cs="Palatino Linotype"/>
          <w:b/>
        </w:rPr>
        <w:t>Notifíquese vía SAIMEX,</w:t>
      </w:r>
      <w:r w:rsidRPr="003144CE">
        <w:rPr>
          <w:rFonts w:ascii="Palatino Linotype" w:eastAsia="Palatino Linotype" w:hAnsi="Palatino Linotype" w:cs="Palatino Linotype"/>
          <w:b/>
          <w:sz w:val="28"/>
          <w:szCs w:val="28"/>
        </w:rPr>
        <w:t xml:space="preserve"> </w:t>
      </w:r>
      <w:r w:rsidRPr="003144CE">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3144CE">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6ACDF608"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Cuarto</w:t>
      </w:r>
      <w:r w:rsidRPr="003144CE">
        <w:rPr>
          <w:rFonts w:ascii="Palatino Linotype" w:eastAsia="Palatino Linotype" w:hAnsi="Palatino Linotype" w:cs="Palatino Linotype"/>
          <w:b/>
          <w:sz w:val="28"/>
          <w:szCs w:val="28"/>
        </w:rPr>
        <w:t xml:space="preserve">. </w:t>
      </w:r>
      <w:r w:rsidRPr="003144C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144CE">
        <w:rPr>
          <w:rFonts w:ascii="Palatino Linotype" w:eastAsia="Palatino Linotype" w:hAnsi="Palatino Linotype" w:cs="Palatino Linotype"/>
          <w:b/>
        </w:rPr>
        <w:t>Sujeto Obligado</w:t>
      </w:r>
      <w:r w:rsidRPr="003144CE">
        <w:rPr>
          <w:rFonts w:ascii="Palatino Linotype" w:eastAsia="Palatino Linotype" w:hAnsi="Palatino Linotype" w:cs="Palatino Linotype"/>
        </w:rPr>
        <w:t xml:space="preserve"> de manera fundada y motivada, podrá solicitar una ampliación de plazo para el cumplimiento de la presente resolución.</w:t>
      </w:r>
    </w:p>
    <w:p w14:paraId="7A647AC7" w14:textId="77777777" w:rsidR="009B109B" w:rsidRPr="003144CE" w:rsidRDefault="0024362C">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b/>
        </w:rPr>
        <w:t>Quinto</w:t>
      </w:r>
      <w:r w:rsidRPr="003144CE">
        <w:rPr>
          <w:rFonts w:ascii="Palatino Linotype" w:eastAsia="Palatino Linotype" w:hAnsi="Palatino Linotype" w:cs="Palatino Linotype"/>
          <w:b/>
          <w:sz w:val="28"/>
          <w:szCs w:val="28"/>
        </w:rPr>
        <w:t xml:space="preserve">. </w:t>
      </w:r>
      <w:r w:rsidRPr="003144CE">
        <w:rPr>
          <w:rFonts w:ascii="Palatino Linotype" w:eastAsia="Palatino Linotype" w:hAnsi="Palatino Linotype" w:cs="Palatino Linotype"/>
          <w:b/>
        </w:rPr>
        <w:t xml:space="preserve">Notifíquese, </w:t>
      </w:r>
      <w:r w:rsidRPr="003144CE">
        <w:rPr>
          <w:rFonts w:ascii="Palatino Linotype" w:eastAsia="Palatino Linotype" w:hAnsi="Palatino Linotype" w:cs="Palatino Linotype"/>
        </w:rPr>
        <w:t xml:space="preserve">vía </w:t>
      </w:r>
      <w:r w:rsidRPr="003144CE">
        <w:rPr>
          <w:rFonts w:ascii="Palatino Linotype" w:eastAsia="Palatino Linotype" w:hAnsi="Palatino Linotype" w:cs="Palatino Linotype"/>
          <w:b/>
        </w:rPr>
        <w:t>SAIMEX</w:t>
      </w:r>
      <w:r w:rsidRPr="003144CE">
        <w:rPr>
          <w:rFonts w:ascii="Palatino Linotype" w:eastAsia="Palatino Linotype" w:hAnsi="Palatino Linotype" w:cs="Palatino Linotype"/>
        </w:rPr>
        <w:t xml:space="preserve">, a </w:t>
      </w:r>
      <w:r w:rsidRPr="003144CE">
        <w:rPr>
          <w:rFonts w:ascii="Palatino Linotype" w:eastAsia="Palatino Linotype" w:hAnsi="Palatino Linotype" w:cs="Palatino Linotype"/>
          <w:b/>
        </w:rPr>
        <w:t>la parte Recurrente</w:t>
      </w:r>
      <w:r w:rsidRPr="003144C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BC71774" w14:textId="77777777" w:rsidR="009B109B" w:rsidRPr="003144CE" w:rsidRDefault="0024362C">
      <w:pPr>
        <w:spacing w:before="240" w:after="240" w:line="360" w:lineRule="auto"/>
        <w:jc w:val="both"/>
        <w:rPr>
          <w:rFonts w:ascii="Palatino Linotype" w:eastAsia="Palatino Linotype" w:hAnsi="Palatino Linotype" w:cs="Palatino Linotype"/>
        </w:rPr>
      </w:pPr>
      <w:r w:rsidRPr="003144C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CATORCE DE FEBRERO DE DOS MIL VEINTICUATRO, ANTE EL SECRETARIO TÉCNICO DEL PLENO ALEXIS TAPIA RAMÍREZ.</w:t>
      </w:r>
    </w:p>
    <w:p w14:paraId="1FDBC463" w14:textId="77777777" w:rsidR="009B109B" w:rsidRPr="003144CE" w:rsidRDefault="009B109B">
      <w:pPr>
        <w:spacing w:before="240" w:after="240" w:line="360" w:lineRule="auto"/>
        <w:jc w:val="both"/>
        <w:rPr>
          <w:rFonts w:ascii="Palatino Linotype" w:eastAsia="Palatino Linotype" w:hAnsi="Palatino Linotype" w:cs="Palatino Linotype"/>
        </w:rPr>
      </w:pPr>
    </w:p>
    <w:p w14:paraId="4D09DE8F" w14:textId="77777777" w:rsidR="009B109B" w:rsidRPr="003144CE" w:rsidRDefault="009B109B">
      <w:pPr>
        <w:spacing w:before="240" w:after="240" w:line="360" w:lineRule="auto"/>
        <w:jc w:val="both"/>
        <w:rPr>
          <w:rFonts w:ascii="Palatino Linotype" w:eastAsia="Palatino Linotype" w:hAnsi="Palatino Linotype" w:cs="Palatino Linotype"/>
        </w:rPr>
      </w:pPr>
    </w:p>
    <w:p w14:paraId="0EABF090" w14:textId="77777777" w:rsidR="009B109B" w:rsidRPr="003144CE" w:rsidRDefault="009B109B">
      <w:pPr>
        <w:spacing w:before="240" w:after="240" w:line="360" w:lineRule="auto"/>
        <w:jc w:val="both"/>
        <w:rPr>
          <w:rFonts w:ascii="Palatino Linotype" w:eastAsia="Palatino Linotype" w:hAnsi="Palatino Linotype" w:cs="Palatino Linotype"/>
        </w:rPr>
      </w:pPr>
    </w:p>
    <w:p w14:paraId="75388B44" w14:textId="77777777" w:rsidR="009B109B" w:rsidRPr="003144CE" w:rsidRDefault="009B109B">
      <w:pPr>
        <w:spacing w:before="240" w:after="240" w:line="360" w:lineRule="auto"/>
        <w:jc w:val="both"/>
        <w:rPr>
          <w:rFonts w:ascii="Palatino Linotype" w:eastAsia="Palatino Linotype" w:hAnsi="Palatino Linotype" w:cs="Palatino Linotype"/>
        </w:rPr>
      </w:pPr>
    </w:p>
    <w:p w14:paraId="1543B06F" w14:textId="77777777" w:rsidR="009B109B" w:rsidRPr="003144CE" w:rsidRDefault="009B109B">
      <w:pPr>
        <w:spacing w:before="240" w:after="240" w:line="360" w:lineRule="auto"/>
        <w:jc w:val="both"/>
        <w:rPr>
          <w:rFonts w:ascii="Palatino Linotype" w:eastAsia="Palatino Linotype" w:hAnsi="Palatino Linotype" w:cs="Palatino Linotype"/>
        </w:rPr>
      </w:pPr>
    </w:p>
    <w:p w14:paraId="60D44832" w14:textId="77777777" w:rsidR="009B109B" w:rsidRPr="003144CE" w:rsidRDefault="009B109B">
      <w:pPr>
        <w:spacing w:before="240" w:after="240" w:line="360" w:lineRule="auto"/>
        <w:jc w:val="both"/>
        <w:rPr>
          <w:rFonts w:ascii="Palatino Linotype" w:eastAsia="Palatino Linotype" w:hAnsi="Palatino Linotype" w:cs="Palatino Linotype"/>
        </w:rPr>
      </w:pPr>
    </w:p>
    <w:p w14:paraId="4AE29701" w14:textId="77777777" w:rsidR="009B109B" w:rsidRPr="003144CE" w:rsidRDefault="009B109B">
      <w:pPr>
        <w:spacing w:before="240" w:after="240" w:line="360" w:lineRule="auto"/>
        <w:jc w:val="both"/>
        <w:rPr>
          <w:rFonts w:ascii="Palatino Linotype" w:eastAsia="Palatino Linotype" w:hAnsi="Palatino Linotype" w:cs="Palatino Linotype"/>
        </w:rPr>
      </w:pPr>
    </w:p>
    <w:p w14:paraId="71C7F054" w14:textId="77777777" w:rsidR="009B109B" w:rsidRPr="003144CE" w:rsidRDefault="009B109B">
      <w:pPr>
        <w:spacing w:before="240" w:after="240" w:line="360" w:lineRule="auto"/>
        <w:jc w:val="both"/>
        <w:rPr>
          <w:rFonts w:ascii="Palatino Linotype" w:eastAsia="Palatino Linotype" w:hAnsi="Palatino Linotype" w:cs="Palatino Linotype"/>
        </w:rPr>
      </w:pPr>
    </w:p>
    <w:p w14:paraId="1E5BC718" w14:textId="77777777" w:rsidR="009B109B" w:rsidRPr="003144CE" w:rsidRDefault="009B109B">
      <w:pPr>
        <w:spacing w:before="240" w:after="240" w:line="360" w:lineRule="auto"/>
        <w:jc w:val="both"/>
        <w:rPr>
          <w:rFonts w:ascii="Palatino Linotype" w:eastAsia="Palatino Linotype" w:hAnsi="Palatino Linotype" w:cs="Palatino Linotype"/>
        </w:rPr>
      </w:pPr>
    </w:p>
    <w:p w14:paraId="41F1B1DF" w14:textId="77777777" w:rsidR="009B109B" w:rsidRPr="003144CE" w:rsidRDefault="009B109B">
      <w:pPr>
        <w:spacing w:before="240" w:after="240" w:line="360" w:lineRule="auto"/>
        <w:jc w:val="both"/>
        <w:rPr>
          <w:rFonts w:ascii="Palatino Linotype" w:eastAsia="Palatino Linotype" w:hAnsi="Palatino Linotype" w:cs="Palatino Linotype"/>
        </w:rPr>
      </w:pPr>
    </w:p>
    <w:p w14:paraId="70417CCB" w14:textId="77777777" w:rsidR="009B109B" w:rsidRPr="003144CE" w:rsidRDefault="009B109B">
      <w:pPr>
        <w:spacing w:before="240" w:after="240" w:line="360" w:lineRule="auto"/>
        <w:jc w:val="both"/>
        <w:rPr>
          <w:rFonts w:ascii="Palatino Linotype" w:eastAsia="Palatino Linotype" w:hAnsi="Palatino Linotype" w:cs="Palatino Linotype"/>
        </w:rPr>
      </w:pPr>
    </w:p>
    <w:p w14:paraId="1B5D6E36" w14:textId="77777777" w:rsidR="009B109B" w:rsidRPr="003144CE" w:rsidRDefault="009B109B">
      <w:pPr>
        <w:spacing w:before="240" w:after="240" w:line="360" w:lineRule="auto"/>
        <w:jc w:val="both"/>
        <w:rPr>
          <w:rFonts w:ascii="Palatino Linotype" w:eastAsia="Palatino Linotype" w:hAnsi="Palatino Linotype" w:cs="Palatino Linotype"/>
        </w:rPr>
      </w:pPr>
    </w:p>
    <w:p w14:paraId="6A59C7D6" w14:textId="77777777" w:rsidR="009B109B" w:rsidRPr="003144CE" w:rsidRDefault="009B109B">
      <w:pPr>
        <w:spacing w:before="240" w:after="240" w:line="360" w:lineRule="auto"/>
        <w:jc w:val="both"/>
        <w:rPr>
          <w:rFonts w:ascii="Palatino Linotype" w:eastAsia="Palatino Linotype" w:hAnsi="Palatino Linotype" w:cs="Palatino Linotype"/>
        </w:rPr>
      </w:pPr>
    </w:p>
    <w:p w14:paraId="11543BC1" w14:textId="77777777" w:rsidR="009B109B" w:rsidRPr="003144CE" w:rsidRDefault="009B109B">
      <w:pPr>
        <w:spacing w:before="240" w:after="240" w:line="360" w:lineRule="auto"/>
        <w:jc w:val="both"/>
        <w:rPr>
          <w:rFonts w:ascii="Palatino Linotype" w:eastAsia="Palatino Linotype" w:hAnsi="Palatino Linotype" w:cs="Palatino Linotype"/>
        </w:rPr>
      </w:pPr>
    </w:p>
    <w:sectPr w:rsidR="009B109B" w:rsidRPr="003144CE">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81F8D" w14:textId="77777777" w:rsidR="004061D8" w:rsidRDefault="004061D8">
      <w:r>
        <w:separator/>
      </w:r>
    </w:p>
  </w:endnote>
  <w:endnote w:type="continuationSeparator" w:id="0">
    <w:p w14:paraId="76B0F348" w14:textId="77777777" w:rsidR="004061D8" w:rsidRDefault="0040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0F92" w14:textId="77777777" w:rsidR="009B109B" w:rsidRDefault="002436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7C6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7C6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4CF419CC" w14:textId="77777777" w:rsidR="009B109B" w:rsidRDefault="009B109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4B1D" w14:textId="77777777" w:rsidR="009B109B" w:rsidRDefault="002436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7C6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7C67">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1F1059A0" w14:textId="77777777" w:rsidR="009B109B" w:rsidRDefault="009B109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F147" w14:textId="77777777" w:rsidR="004061D8" w:rsidRDefault="004061D8">
      <w:r>
        <w:separator/>
      </w:r>
    </w:p>
  </w:footnote>
  <w:footnote w:type="continuationSeparator" w:id="0">
    <w:p w14:paraId="38537B4D" w14:textId="77777777" w:rsidR="004061D8" w:rsidRDefault="00406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A239" w14:textId="77777777" w:rsidR="009B109B" w:rsidRDefault="0024362C">
    <w:pPr>
      <w:rPr>
        <w:rFonts w:ascii="Cambria" w:eastAsia="Cambria" w:hAnsi="Cambria" w:cs="Cambria"/>
        <w:color w:val="000000"/>
      </w:rPr>
    </w:pPr>
    <w:r>
      <w:rPr>
        <w:noProof/>
      </w:rPr>
      <w:drawing>
        <wp:anchor distT="0" distB="0" distL="0" distR="0" simplePos="0" relativeHeight="251658240" behindDoc="1" locked="0" layoutInCell="1" hidden="0" allowOverlap="1" wp14:anchorId="26B32233" wp14:editId="4133CE1A">
          <wp:simplePos x="0" y="0"/>
          <wp:positionH relativeFrom="column">
            <wp:posOffset>-1127122</wp:posOffset>
          </wp:positionH>
          <wp:positionV relativeFrom="paragraph">
            <wp:posOffset>-344802</wp:posOffset>
          </wp:positionV>
          <wp:extent cx="7809865" cy="10165715"/>
          <wp:effectExtent l="0" t="0" r="0" b="0"/>
          <wp:wrapNone/>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9B109B" w14:paraId="726CB6C9" w14:textId="77777777">
      <w:tc>
        <w:tcPr>
          <w:tcW w:w="2489" w:type="dxa"/>
          <w:shd w:val="clear" w:color="auto" w:fill="auto"/>
        </w:tcPr>
        <w:p w14:paraId="0FF04C43" w14:textId="77777777" w:rsidR="009B109B" w:rsidRDefault="002436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0AA5ADE" w14:textId="77777777" w:rsidR="009B109B" w:rsidRDefault="0024362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08424/INFOEM/IP/RR/2023</w:t>
          </w:r>
        </w:p>
      </w:tc>
    </w:tr>
    <w:tr w:rsidR="009B109B" w14:paraId="5CF9605D" w14:textId="77777777">
      <w:trPr>
        <w:trHeight w:val="228"/>
      </w:trPr>
      <w:tc>
        <w:tcPr>
          <w:tcW w:w="2489" w:type="dxa"/>
          <w:shd w:val="clear" w:color="auto" w:fill="auto"/>
          <w:vAlign w:val="center"/>
        </w:tcPr>
        <w:p w14:paraId="4FAD2971" w14:textId="77777777" w:rsidR="009B109B" w:rsidRDefault="002436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11BA799" w14:textId="77777777" w:rsidR="009B109B" w:rsidRDefault="0024362C">
          <w:pPr>
            <w:ind w:left="-45" w:right="-39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Cultura y Turismo</w:t>
          </w:r>
        </w:p>
      </w:tc>
    </w:tr>
    <w:tr w:rsidR="009B109B" w14:paraId="4C9D56D8" w14:textId="77777777">
      <w:tc>
        <w:tcPr>
          <w:tcW w:w="2489" w:type="dxa"/>
          <w:shd w:val="clear" w:color="auto" w:fill="auto"/>
          <w:vAlign w:val="center"/>
        </w:tcPr>
        <w:p w14:paraId="65F2AA12" w14:textId="77777777" w:rsidR="009B109B" w:rsidRDefault="0024362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9737006" w14:textId="77777777" w:rsidR="009B109B" w:rsidRDefault="0024362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196CF1" w14:textId="77777777" w:rsidR="009B109B" w:rsidRDefault="0024362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D4D6" w14:textId="77777777" w:rsidR="009B109B" w:rsidRDefault="0024362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B769189" wp14:editId="0EBA29A9">
          <wp:simplePos x="0" y="0"/>
          <wp:positionH relativeFrom="column">
            <wp:posOffset>-955671</wp:posOffset>
          </wp:positionH>
          <wp:positionV relativeFrom="paragraph">
            <wp:posOffset>-288922</wp:posOffset>
          </wp:positionV>
          <wp:extent cx="7809865" cy="10165715"/>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804" w:type="dxa"/>
      <w:tblInd w:w="3261" w:type="dxa"/>
      <w:tblLayout w:type="fixed"/>
      <w:tblLook w:val="0400" w:firstRow="0" w:lastRow="0" w:firstColumn="0" w:lastColumn="0" w:noHBand="0" w:noVBand="1"/>
    </w:tblPr>
    <w:tblGrid>
      <w:gridCol w:w="2551"/>
      <w:gridCol w:w="4253"/>
    </w:tblGrid>
    <w:tr w:rsidR="009B109B" w14:paraId="71FB9F60" w14:textId="77777777">
      <w:tc>
        <w:tcPr>
          <w:tcW w:w="2551" w:type="dxa"/>
          <w:shd w:val="clear" w:color="auto" w:fill="auto"/>
          <w:vAlign w:val="center"/>
        </w:tcPr>
        <w:p w14:paraId="0358F2A8" w14:textId="77777777" w:rsidR="009B109B" w:rsidRDefault="002436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3" w:type="dxa"/>
          <w:shd w:val="clear" w:color="auto" w:fill="auto"/>
          <w:vAlign w:val="center"/>
        </w:tcPr>
        <w:p w14:paraId="0661D381" w14:textId="77777777" w:rsidR="009B109B" w:rsidRDefault="0024362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08424/INFOEM/IP/RR/2023</w:t>
          </w:r>
        </w:p>
      </w:tc>
    </w:tr>
    <w:tr w:rsidR="009B109B" w14:paraId="0B4CC4FC" w14:textId="77777777">
      <w:trPr>
        <w:trHeight w:val="130"/>
      </w:trPr>
      <w:tc>
        <w:tcPr>
          <w:tcW w:w="2551" w:type="dxa"/>
          <w:shd w:val="clear" w:color="auto" w:fill="auto"/>
          <w:vAlign w:val="center"/>
        </w:tcPr>
        <w:p w14:paraId="5D1E29D3" w14:textId="77777777" w:rsidR="009B109B" w:rsidRDefault="002436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3" w:type="dxa"/>
          <w:shd w:val="clear" w:color="auto" w:fill="auto"/>
          <w:vAlign w:val="center"/>
        </w:tcPr>
        <w:p w14:paraId="6937588B" w14:textId="77777777" w:rsidR="009B109B" w:rsidRDefault="009B109B">
          <w:pPr>
            <w:ind w:left="-45" w:right="176"/>
            <w:jc w:val="both"/>
            <w:rPr>
              <w:rFonts w:ascii="Palatino Linotype" w:eastAsia="Palatino Linotype" w:hAnsi="Palatino Linotype" w:cs="Palatino Linotype"/>
              <w:b/>
              <w:sz w:val="22"/>
              <w:szCs w:val="22"/>
            </w:rPr>
          </w:pPr>
        </w:p>
      </w:tc>
    </w:tr>
    <w:tr w:rsidR="009B109B" w14:paraId="566DCE36" w14:textId="77777777">
      <w:trPr>
        <w:trHeight w:val="228"/>
      </w:trPr>
      <w:tc>
        <w:tcPr>
          <w:tcW w:w="2551" w:type="dxa"/>
          <w:shd w:val="clear" w:color="auto" w:fill="auto"/>
          <w:vAlign w:val="center"/>
        </w:tcPr>
        <w:p w14:paraId="1B2DAE06" w14:textId="77777777" w:rsidR="009B109B" w:rsidRDefault="002436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shd w:val="clear" w:color="auto" w:fill="auto"/>
          <w:vAlign w:val="center"/>
        </w:tcPr>
        <w:p w14:paraId="4279D1AE" w14:textId="77777777" w:rsidR="009B109B" w:rsidRDefault="0024362C">
          <w:pPr>
            <w:ind w:left="-45" w:right="31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Cultura y Turismo</w:t>
          </w:r>
        </w:p>
      </w:tc>
    </w:tr>
    <w:tr w:rsidR="009B109B" w14:paraId="244A25D2" w14:textId="77777777">
      <w:tc>
        <w:tcPr>
          <w:tcW w:w="2551" w:type="dxa"/>
          <w:shd w:val="clear" w:color="auto" w:fill="auto"/>
          <w:vAlign w:val="center"/>
        </w:tcPr>
        <w:p w14:paraId="4D8CCAD4" w14:textId="77777777" w:rsidR="009B109B" w:rsidRDefault="002436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3" w:type="dxa"/>
          <w:shd w:val="clear" w:color="auto" w:fill="auto"/>
          <w:vAlign w:val="center"/>
        </w:tcPr>
        <w:p w14:paraId="2D4DFF5C" w14:textId="77777777" w:rsidR="009B109B" w:rsidRDefault="0024362C">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99A202" w14:textId="77777777" w:rsidR="009B109B" w:rsidRDefault="009B109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D3B"/>
    <w:multiLevelType w:val="multilevel"/>
    <w:tmpl w:val="9140B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D615F"/>
    <w:multiLevelType w:val="multilevel"/>
    <w:tmpl w:val="6F54627C"/>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6C09C9"/>
    <w:multiLevelType w:val="multilevel"/>
    <w:tmpl w:val="0F28CFFA"/>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1EB7C47"/>
    <w:multiLevelType w:val="multilevel"/>
    <w:tmpl w:val="18CE0B02"/>
    <w:lvl w:ilvl="0">
      <w:start w:val="1"/>
      <w:numFmt w:val="decimal"/>
      <w:lvlText w:val="%1."/>
      <w:lvlJc w:val="left"/>
      <w:pPr>
        <w:ind w:left="720" w:hanging="360"/>
      </w:pPr>
    </w:lvl>
    <w:lvl w:ilvl="1">
      <w:start w:val="1"/>
      <w:numFmt w:val="decimal"/>
      <w:lvlText w:val="%2."/>
      <w:lvlJc w:val="left"/>
      <w:pPr>
        <w:ind w:left="1211"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8FC13CF"/>
    <w:multiLevelType w:val="multilevel"/>
    <w:tmpl w:val="2F505F78"/>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0D2E28"/>
    <w:multiLevelType w:val="multilevel"/>
    <w:tmpl w:val="FFA29060"/>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691A3C"/>
    <w:multiLevelType w:val="multilevel"/>
    <w:tmpl w:val="264EE6A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5"/>
  </w:num>
  <w:num w:numId="3">
    <w:abstractNumId w:val="4"/>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9B"/>
    <w:rsid w:val="00194791"/>
    <w:rsid w:val="0022359A"/>
    <w:rsid w:val="0024362C"/>
    <w:rsid w:val="003144CE"/>
    <w:rsid w:val="004061D8"/>
    <w:rsid w:val="004270FC"/>
    <w:rsid w:val="0052710F"/>
    <w:rsid w:val="006E7C67"/>
    <w:rsid w:val="00921E7D"/>
    <w:rsid w:val="009B10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264A7"/>
  <w15:docId w15:val="{0D4C724B-E29B-46DB-A9A7-945ED7FD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04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1"/>
    <w:rPr>
      <w:rFonts w:ascii="Cambria" w:eastAsia="Cambria" w:hAnsi="Cambria" w:cs="Cambria"/>
    </w:rPr>
    <w:tblPr>
      <w:tblStyleRowBandSize w:val="1"/>
      <w:tblStyleColBandSize w:val="1"/>
      <w:tblCellMar>
        <w:left w:w="115" w:type="dxa"/>
        <w:right w:w="115" w:type="dxa"/>
      </w:tblCellMar>
    </w:tblPr>
  </w:style>
  <w:style w:type="character" w:customStyle="1" w:styleId="apple-tab-span">
    <w:name w:val="apple-tab-span"/>
    <w:basedOn w:val="Fuentedeprrafopredeter"/>
    <w:rsid w:val="00A5700A"/>
  </w:style>
  <w:style w:type="table" w:customStyle="1" w:styleId="a6">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stivaldelasalmas.com/es/programa-del-festival-de-las-almas-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Yo1fA5w9ftFLYMXlnaiFRBQr+g==">CgMxLjAyCGguZ2pkZ3hzMgloLjMwajB6bGwyCWguMnM4ZXlvMTIIaC50eWpjd3QyCWguMmV0OTJwMDIJaC4zem55c2g3OAByITE5UmkwbVprSUx0Vnl5bDI2b0ZVb3NLTWNKclhlYnFPWA==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12749</Words>
  <Characters>70121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2024-02-16T15:52:00Z</cp:lastPrinted>
  <dcterms:created xsi:type="dcterms:W3CDTF">2024-03-05T20:16:00Z</dcterms:created>
  <dcterms:modified xsi:type="dcterms:W3CDTF">2024-03-05T20:16:00Z</dcterms:modified>
</cp:coreProperties>
</file>