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C2" w:rsidRPr="008561D8" w:rsidRDefault="00560DC2" w:rsidP="00560DC2">
      <w:pPr>
        <w:tabs>
          <w:tab w:val="left" w:pos="3465"/>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Resolución del Pleno del Instituto de Transparencia, Acceso a la Información Pública y Protección de Datos Personales del Estado de México y Municipios, con domicilio en Metepec, Estado de México; de</w:t>
      </w:r>
      <w:r w:rsidR="00AA2280" w:rsidRPr="008561D8">
        <w:rPr>
          <w:rFonts w:ascii="Palatino Linotype" w:eastAsia="Palatino Linotype" w:hAnsi="Palatino Linotype" w:cs="Palatino Linotype"/>
          <w:color w:val="000000"/>
        </w:rPr>
        <w:t xml:space="preserve"> fecha once (11)</w:t>
      </w:r>
      <w:r w:rsidRPr="008561D8">
        <w:rPr>
          <w:rFonts w:ascii="Palatino Linotype" w:eastAsia="Palatino Linotype" w:hAnsi="Palatino Linotype" w:cs="Palatino Linotype"/>
          <w:color w:val="000000"/>
        </w:rPr>
        <w:t xml:space="preserve"> de </w:t>
      </w:r>
      <w:r w:rsidR="00AA2280" w:rsidRPr="008561D8">
        <w:rPr>
          <w:rFonts w:ascii="Palatino Linotype" w:eastAsia="Palatino Linotype" w:hAnsi="Palatino Linotype" w:cs="Palatino Linotype"/>
          <w:color w:val="000000"/>
        </w:rPr>
        <w:t>diciembre</w:t>
      </w:r>
      <w:r w:rsidRPr="008561D8">
        <w:rPr>
          <w:rFonts w:ascii="Palatino Linotype" w:eastAsia="Palatino Linotype" w:hAnsi="Palatino Linotype" w:cs="Palatino Linotype"/>
          <w:color w:val="000000"/>
        </w:rPr>
        <w:t xml:space="preserve"> de dos mil veinticuatro.</w:t>
      </w:r>
    </w:p>
    <w:p w:rsidR="00560DC2" w:rsidRPr="008561D8" w:rsidRDefault="00560DC2" w:rsidP="00560DC2">
      <w:pPr>
        <w:tabs>
          <w:tab w:val="left" w:pos="3465"/>
        </w:tabs>
        <w:spacing w:line="360" w:lineRule="auto"/>
        <w:jc w:val="both"/>
        <w:rPr>
          <w:rFonts w:ascii="Palatino Linotype" w:eastAsia="Palatino Linotype" w:hAnsi="Palatino Linotype" w:cs="Palatino Linotype"/>
          <w:color w:val="000000"/>
        </w:rPr>
      </w:pPr>
    </w:p>
    <w:p w:rsidR="00560DC2" w:rsidRPr="008561D8" w:rsidRDefault="00560DC2" w:rsidP="00560DC2">
      <w:pPr>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b/>
          <w:color w:val="000000"/>
        </w:rPr>
        <w:t>VISTO</w:t>
      </w:r>
      <w:r w:rsidRPr="008561D8">
        <w:rPr>
          <w:rFonts w:ascii="Palatino Linotype" w:eastAsia="Palatino Linotype" w:hAnsi="Palatino Linotype" w:cs="Palatino Linotype"/>
          <w:color w:val="000000"/>
        </w:rPr>
        <w:t xml:space="preserve"> el expediente electrónico formado con motivo del recurso de revisión </w:t>
      </w:r>
      <w:r w:rsidRPr="008561D8">
        <w:rPr>
          <w:rFonts w:ascii="Palatino Linotype" w:eastAsia="Palatino Linotype" w:hAnsi="Palatino Linotype" w:cs="Palatino Linotype"/>
          <w:b/>
          <w:color w:val="000000"/>
        </w:rPr>
        <w:t>03283/INFOEM/IP/RR/2024</w:t>
      </w:r>
      <w:r w:rsidRPr="008561D8">
        <w:rPr>
          <w:rFonts w:ascii="Palatino Linotype" w:eastAsia="Palatino Linotype" w:hAnsi="Palatino Linotype" w:cs="Palatino Linotype"/>
          <w:color w:val="000000"/>
        </w:rPr>
        <w:t xml:space="preserve">, interpuesto por </w:t>
      </w:r>
      <w:r w:rsidR="008561D8" w:rsidRPr="008561D8">
        <w:rPr>
          <w:rFonts w:ascii="Palatino Linotype" w:eastAsia="Palatino Linotype" w:hAnsi="Palatino Linotype" w:cs="Palatino Linotype"/>
          <w:b/>
          <w:color w:val="000000"/>
        </w:rPr>
        <w:t>XXXXXXXXX</w:t>
      </w:r>
      <w:r w:rsidRPr="008561D8">
        <w:rPr>
          <w:rFonts w:ascii="Palatino Linotype" w:eastAsia="Palatino Linotype" w:hAnsi="Palatino Linotype" w:cs="Palatino Linotype"/>
          <w:b/>
          <w:color w:val="000000"/>
        </w:rPr>
        <w:t xml:space="preserve">, </w:t>
      </w:r>
      <w:r w:rsidRPr="008561D8">
        <w:rPr>
          <w:rFonts w:ascii="Palatino Linotype" w:eastAsia="Palatino Linotype" w:hAnsi="Palatino Linotype" w:cs="Palatino Linotype"/>
          <w:color w:val="000000"/>
        </w:rPr>
        <w:t xml:space="preserve">en lo sucesivo el </w:t>
      </w:r>
      <w:r w:rsidR="00AA2280" w:rsidRPr="008561D8">
        <w:rPr>
          <w:rFonts w:ascii="Palatino Linotype" w:eastAsia="Palatino Linotype" w:hAnsi="Palatino Linotype" w:cs="Palatino Linotype"/>
          <w:b/>
          <w:color w:val="000000"/>
        </w:rPr>
        <w:t>RECURRENTE</w:t>
      </w:r>
      <w:r w:rsidR="00AA2280" w:rsidRPr="008561D8">
        <w:rPr>
          <w:rFonts w:ascii="Palatino Linotype" w:eastAsia="Palatino Linotype" w:hAnsi="Palatino Linotype" w:cs="Palatino Linotype"/>
          <w:color w:val="000000"/>
        </w:rPr>
        <w:t>,</w:t>
      </w:r>
      <w:r w:rsidRPr="008561D8">
        <w:rPr>
          <w:rFonts w:ascii="Palatino Linotype" w:eastAsia="Palatino Linotype" w:hAnsi="Palatino Linotype" w:cs="Palatino Linotype"/>
          <w:color w:val="000000"/>
        </w:rPr>
        <w:t xml:space="preserve"> en contra de la respuesta de la </w:t>
      </w:r>
      <w:r w:rsidRPr="008561D8">
        <w:rPr>
          <w:rFonts w:ascii="Palatino Linotype" w:eastAsia="Palatino Linotype" w:hAnsi="Palatino Linotype" w:cs="Palatino Linotype"/>
          <w:b/>
          <w:bCs/>
          <w:color w:val="000000"/>
        </w:rPr>
        <w:t>Universidad Politécnica de Cuautitlán Izcalli</w:t>
      </w:r>
      <w:r w:rsidRPr="008561D8">
        <w:rPr>
          <w:rFonts w:ascii="Palatino Linotype" w:eastAsia="Palatino Linotype" w:hAnsi="Palatino Linotype" w:cs="Palatino Linotype"/>
          <w:color w:val="000000"/>
        </w:rPr>
        <w:t xml:space="preserve">, en </w:t>
      </w:r>
      <w:r w:rsidR="00AA2280" w:rsidRPr="008561D8">
        <w:rPr>
          <w:rFonts w:ascii="Palatino Linotype" w:eastAsia="Palatino Linotype" w:hAnsi="Palatino Linotype" w:cs="Palatino Linotype"/>
          <w:color w:val="000000"/>
        </w:rPr>
        <w:t>adelante</w:t>
      </w:r>
      <w:r w:rsidRPr="008561D8">
        <w:rPr>
          <w:rFonts w:ascii="Palatino Linotype" w:eastAsia="Palatino Linotype" w:hAnsi="Palatino Linotype" w:cs="Palatino Linotype"/>
          <w:color w:val="000000"/>
        </w:rPr>
        <w:t xml:space="preserve"> el</w:t>
      </w:r>
      <w:r w:rsidRPr="008561D8">
        <w:rPr>
          <w:rFonts w:ascii="Palatino Linotype" w:eastAsia="Palatino Linotype" w:hAnsi="Palatino Linotype" w:cs="Palatino Linotype"/>
          <w:b/>
          <w:color w:val="000000"/>
        </w:rPr>
        <w:t xml:space="preserve"> SUJETO OBLIGADO</w:t>
      </w:r>
      <w:r w:rsidRPr="008561D8">
        <w:rPr>
          <w:rFonts w:ascii="Palatino Linotype" w:eastAsia="Palatino Linotype" w:hAnsi="Palatino Linotype" w:cs="Palatino Linotype"/>
          <w:color w:val="000000"/>
        </w:rPr>
        <w:t>,</w:t>
      </w:r>
      <w:r w:rsidRPr="008561D8">
        <w:rPr>
          <w:rFonts w:ascii="Palatino Linotype" w:eastAsia="Palatino Linotype" w:hAnsi="Palatino Linotype" w:cs="Palatino Linotype"/>
          <w:b/>
          <w:color w:val="000000"/>
        </w:rPr>
        <w:t xml:space="preserve"> </w:t>
      </w:r>
      <w:r w:rsidRPr="008561D8">
        <w:rPr>
          <w:rFonts w:ascii="Palatino Linotype" w:eastAsia="Palatino Linotype" w:hAnsi="Palatino Linotype" w:cs="Palatino Linotype"/>
          <w:color w:val="000000"/>
        </w:rPr>
        <w:t>se procede a dictar la presente resolución, con base en los siguientes:</w:t>
      </w:r>
    </w:p>
    <w:p w:rsidR="00560DC2" w:rsidRPr="008561D8" w:rsidRDefault="00560DC2" w:rsidP="00560DC2">
      <w:pPr>
        <w:spacing w:line="360" w:lineRule="auto"/>
        <w:jc w:val="both"/>
        <w:rPr>
          <w:rFonts w:ascii="Palatino Linotype" w:eastAsia="Palatino Linotype" w:hAnsi="Palatino Linotype" w:cs="Palatino Linotype"/>
          <w:b/>
          <w:color w:val="000000"/>
        </w:rPr>
      </w:pPr>
    </w:p>
    <w:p w:rsidR="00560DC2" w:rsidRPr="008561D8" w:rsidRDefault="00560DC2" w:rsidP="00560DC2">
      <w:pPr>
        <w:pStyle w:val="Ttulo1"/>
        <w:spacing w:before="0" w:line="360" w:lineRule="auto"/>
        <w:jc w:val="center"/>
        <w:rPr>
          <w:b/>
          <w:color w:val="000000"/>
          <w:szCs w:val="24"/>
        </w:rPr>
      </w:pPr>
      <w:bookmarkStart w:id="0" w:name="_heading=h.gjdgxs" w:colFirst="0" w:colLast="0"/>
      <w:bookmarkEnd w:id="0"/>
      <w:r w:rsidRPr="008561D8">
        <w:rPr>
          <w:b/>
          <w:color w:val="000000"/>
          <w:szCs w:val="24"/>
        </w:rPr>
        <w:t>A N T E C E D E N T E S</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El </w:t>
      </w:r>
      <w:r w:rsidRPr="008561D8">
        <w:rPr>
          <w:rFonts w:ascii="Palatino Linotype" w:eastAsia="Palatino Linotype" w:hAnsi="Palatino Linotype" w:cs="Palatino Linotype"/>
          <w:b/>
          <w:color w:val="000000"/>
        </w:rPr>
        <w:t>trece de mayo de dos mil veinticuatro</w:t>
      </w:r>
      <w:r w:rsidRPr="008561D8">
        <w:rPr>
          <w:rFonts w:ascii="Palatino Linotype" w:eastAsia="Palatino Linotype" w:hAnsi="Palatino Linotype" w:cs="Palatino Linotype"/>
          <w:color w:val="000000"/>
        </w:rPr>
        <w:t>, el particular presentó</w:t>
      </w:r>
      <w:r w:rsidRPr="008561D8">
        <w:rPr>
          <w:rFonts w:ascii="Palatino Linotype" w:eastAsia="Palatino Linotype" w:hAnsi="Palatino Linotype" w:cs="Palatino Linotype"/>
          <w:b/>
          <w:color w:val="000000"/>
        </w:rPr>
        <w:t xml:space="preserve"> </w:t>
      </w:r>
      <w:r w:rsidRPr="008561D8">
        <w:rPr>
          <w:rFonts w:ascii="Palatino Linotype" w:eastAsia="Palatino Linotype" w:hAnsi="Palatino Linotype" w:cs="Palatino Linotype"/>
          <w:color w:val="000000"/>
        </w:rPr>
        <w:t xml:space="preserve">a través del Sistema de Acceso a la Información Mexiquense (SAIMEX), la solicitud de información pública registrada con el número </w:t>
      </w:r>
      <w:r w:rsidRPr="008561D8">
        <w:rPr>
          <w:rFonts w:ascii="Palatino Linotype" w:eastAsia="Palatino Linotype" w:hAnsi="Palatino Linotype" w:cs="Palatino Linotype"/>
          <w:b/>
          <w:bCs/>
          <w:color w:val="000000"/>
        </w:rPr>
        <w:t>00013/UPCI/IP/2024</w:t>
      </w:r>
      <w:r w:rsidRPr="008561D8">
        <w:rPr>
          <w:rFonts w:ascii="Palatino Linotype" w:eastAsia="Palatino Linotype" w:hAnsi="Palatino Linotype" w:cs="Palatino Linotype"/>
          <w:b/>
          <w:color w:val="000000"/>
        </w:rPr>
        <w:t>,</w:t>
      </w:r>
      <w:r w:rsidRPr="008561D8">
        <w:rPr>
          <w:rFonts w:ascii="Palatino Linotype" w:eastAsia="Palatino Linotype" w:hAnsi="Palatino Linotype" w:cs="Palatino Linotype"/>
          <w:color w:val="000000"/>
        </w:rPr>
        <w:t xml:space="preserve"> </w:t>
      </w:r>
      <w:r w:rsidR="00AA2280" w:rsidRPr="008561D8">
        <w:rPr>
          <w:rFonts w:ascii="Palatino Linotype" w:eastAsia="Palatino Linotype" w:hAnsi="Palatino Linotype" w:cs="Palatino Linotype"/>
          <w:color w:val="000000"/>
        </w:rPr>
        <w:t>en la que solicito lo</w:t>
      </w:r>
      <w:r w:rsidRPr="008561D8">
        <w:rPr>
          <w:rFonts w:ascii="Palatino Linotype" w:eastAsia="Palatino Linotype" w:hAnsi="Palatino Linotype" w:cs="Palatino Linotype"/>
          <w:color w:val="000000"/>
        </w:rPr>
        <w:t xml:space="preserve"> siguiente:</w:t>
      </w:r>
    </w:p>
    <w:p w:rsidR="00560DC2" w:rsidRPr="008561D8" w:rsidRDefault="00560DC2" w:rsidP="00560DC2">
      <w:pPr>
        <w:pBdr>
          <w:top w:val="nil"/>
          <w:left w:val="nil"/>
          <w:bottom w:val="nil"/>
          <w:right w:val="nil"/>
          <w:between w:val="nil"/>
        </w:pBdr>
        <w:ind w:left="567" w:right="567"/>
        <w:jc w:val="both"/>
        <w:rPr>
          <w:rFonts w:ascii="Palatino Linotype" w:eastAsia="Palatino Linotype" w:hAnsi="Palatino Linotype" w:cs="Palatino Linotype"/>
          <w:i/>
          <w:color w:val="000000"/>
        </w:rPr>
      </w:pPr>
    </w:p>
    <w:p w:rsidR="00560DC2" w:rsidRPr="008561D8" w:rsidRDefault="00560DC2" w:rsidP="00560DC2">
      <w:pPr>
        <w:pBdr>
          <w:top w:val="nil"/>
          <w:left w:val="nil"/>
          <w:bottom w:val="nil"/>
          <w:right w:val="nil"/>
          <w:between w:val="nil"/>
        </w:pBdr>
        <w:ind w:left="567" w:right="567"/>
        <w:rPr>
          <w:rFonts w:ascii="Palatino Linotype" w:eastAsia="Palatino Linotype" w:hAnsi="Palatino Linotype" w:cs="Palatino Linotype"/>
          <w:i/>
          <w:color w:val="000000"/>
        </w:rPr>
      </w:pPr>
      <w:r w:rsidRPr="008561D8">
        <w:rPr>
          <w:rFonts w:ascii="Palatino Linotype" w:eastAsia="Palatino Linotype" w:hAnsi="Palatino Linotype" w:cs="Palatino Linotype"/>
          <w:i/>
          <w:color w:val="000000"/>
        </w:rPr>
        <w:t>“</w:t>
      </w:r>
      <w:r w:rsidRPr="008561D8">
        <w:rPr>
          <w:rFonts w:ascii="Palatino Linotype" w:hAnsi="Palatino Linotype"/>
          <w:i/>
          <w:color w:val="000000"/>
        </w:rPr>
        <w:t>Solicito el pago de la deuda que tiene la Universidad Politécnica de Cuautitlán Izcalli, respecto a los sueldos del ejercicio 2021 de la C. Jessica Montserrat García, así como del C. José Roberto García.</w:t>
      </w:r>
      <w:r w:rsidRPr="008561D8">
        <w:rPr>
          <w:rFonts w:ascii="Palatino Linotype" w:eastAsia="Palatino Linotype" w:hAnsi="Palatino Linotype" w:cs="Palatino Linotype"/>
          <w:i/>
          <w:color w:val="000000"/>
        </w:rPr>
        <w:t>” (Sic).</w:t>
      </w:r>
    </w:p>
    <w:p w:rsidR="00560DC2" w:rsidRPr="008561D8" w:rsidRDefault="00560DC2" w:rsidP="00560DC2">
      <w:pPr>
        <w:spacing w:line="360" w:lineRule="auto"/>
        <w:ind w:right="333"/>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Se hace constar que el particular señaló como modalidad de entrega de la información:</w:t>
      </w:r>
      <w:r w:rsidRPr="008561D8">
        <w:rPr>
          <w:rFonts w:ascii="Palatino Linotype" w:eastAsia="Palatino Linotype" w:hAnsi="Palatino Linotype" w:cs="Palatino Linotype"/>
          <w:b/>
          <w:color w:val="000000"/>
        </w:rPr>
        <w:t xml:space="preserve"> </w:t>
      </w:r>
      <w:r w:rsidRPr="008561D8">
        <w:rPr>
          <w:rFonts w:ascii="Palatino Linotype" w:eastAsia="Palatino Linotype" w:hAnsi="Palatino Linotype" w:cs="Palatino Linotype"/>
          <w:b/>
          <w:i/>
          <w:color w:val="000000"/>
        </w:rPr>
        <w:t>A través del SAIMEX</w:t>
      </w:r>
      <w:r w:rsidRPr="008561D8">
        <w:rPr>
          <w:rFonts w:ascii="Palatino Linotype" w:eastAsia="Palatino Linotype" w:hAnsi="Palatino Linotype" w:cs="Palatino Linotype"/>
          <w:color w:val="000000"/>
        </w:rPr>
        <w:t>.</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El </w:t>
      </w:r>
      <w:r w:rsidRPr="008561D8">
        <w:rPr>
          <w:rFonts w:ascii="Palatino Linotype" w:eastAsia="Palatino Linotype" w:hAnsi="Palatino Linotype" w:cs="Palatino Linotype"/>
          <w:b/>
          <w:color w:val="000000"/>
        </w:rPr>
        <w:t>dieciséis de mayo de dos mil veinticuatro</w:t>
      </w:r>
      <w:r w:rsidRPr="008561D8">
        <w:rPr>
          <w:rFonts w:ascii="Palatino Linotype" w:eastAsia="Palatino Linotype" w:hAnsi="Palatino Linotype" w:cs="Palatino Linotype"/>
          <w:color w:val="000000"/>
        </w:rPr>
        <w:t xml:space="preserve">, 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dio respuesta a la solicitud de información, en los siguientes términos:</w:t>
      </w:r>
    </w:p>
    <w:p w:rsidR="00560DC2" w:rsidRPr="008561D8" w:rsidRDefault="00560DC2" w:rsidP="00560DC2">
      <w:pPr>
        <w:pBdr>
          <w:top w:val="nil"/>
          <w:left w:val="nil"/>
          <w:bottom w:val="nil"/>
          <w:right w:val="nil"/>
          <w:between w:val="nil"/>
        </w:pBdr>
        <w:spacing w:line="276" w:lineRule="auto"/>
        <w:ind w:right="567"/>
        <w:jc w:val="both"/>
        <w:rPr>
          <w:rFonts w:ascii="Palatino Linotype" w:eastAsia="Palatino Linotype" w:hAnsi="Palatino Linotype" w:cs="Palatino Linotype"/>
          <w:i/>
          <w:color w:val="000000"/>
        </w:rPr>
      </w:pPr>
    </w:p>
    <w:p w:rsidR="00560DC2" w:rsidRPr="008561D8" w:rsidRDefault="00560DC2" w:rsidP="00AA2280">
      <w:pPr>
        <w:pBdr>
          <w:top w:val="nil"/>
          <w:left w:val="nil"/>
          <w:bottom w:val="nil"/>
          <w:right w:val="nil"/>
          <w:between w:val="nil"/>
        </w:pBdr>
        <w:ind w:left="851" w:right="992"/>
        <w:jc w:val="both"/>
        <w:rPr>
          <w:rFonts w:ascii="Palatino Linotype" w:eastAsia="Palatino Linotype" w:hAnsi="Palatino Linotype" w:cs="Palatino Linotype"/>
          <w:i/>
          <w:color w:val="000000"/>
          <w:sz w:val="22"/>
        </w:rPr>
      </w:pPr>
      <w:r w:rsidRPr="008561D8">
        <w:rPr>
          <w:rFonts w:ascii="Palatino Linotype" w:eastAsia="Palatino Linotype" w:hAnsi="Palatino Linotype" w:cs="Palatino Linotype"/>
          <w:i/>
          <w:color w:val="000000"/>
          <w:sz w:val="22"/>
        </w:rPr>
        <w:t>“…</w:t>
      </w:r>
      <w:r w:rsidRPr="008561D8">
        <w:rPr>
          <w:rFonts w:ascii="Palatino Linotype" w:hAnsi="Palatino Linotype"/>
          <w:i/>
          <w:color w:val="000000"/>
          <w:sz w:val="22"/>
        </w:rPr>
        <w:t>Se adjunta Oficio número 228C350100000L-106-2024…” (Sic)</w:t>
      </w:r>
    </w:p>
    <w:p w:rsidR="00560DC2" w:rsidRPr="008561D8" w:rsidRDefault="00560DC2" w:rsidP="00AA2280">
      <w:pPr>
        <w:pBdr>
          <w:top w:val="nil"/>
          <w:left w:val="nil"/>
          <w:bottom w:val="nil"/>
          <w:right w:val="nil"/>
          <w:between w:val="nil"/>
        </w:pBdr>
        <w:tabs>
          <w:tab w:val="left" w:pos="284"/>
          <w:tab w:val="left" w:pos="426"/>
        </w:tabs>
        <w:spacing w:line="360" w:lineRule="auto"/>
        <w:ind w:left="851" w:right="992"/>
        <w:jc w:val="both"/>
        <w:rPr>
          <w:rFonts w:ascii="Palatino Linotype" w:eastAsia="Palatino Linotype" w:hAnsi="Palatino Linotype" w:cs="Palatino Linotype"/>
          <w:color w:val="000000"/>
          <w:sz w:val="22"/>
        </w:rPr>
      </w:pPr>
    </w:p>
    <w:p w:rsidR="00560DC2" w:rsidRPr="008561D8" w:rsidRDefault="00560DC2" w:rsidP="00AA2280">
      <w:pPr>
        <w:pBdr>
          <w:top w:val="nil"/>
          <w:left w:val="nil"/>
          <w:bottom w:val="nil"/>
          <w:right w:val="nil"/>
          <w:between w:val="nil"/>
        </w:pBdr>
        <w:tabs>
          <w:tab w:val="left" w:pos="284"/>
          <w:tab w:val="left" w:pos="426"/>
        </w:tabs>
        <w:ind w:left="851" w:right="992"/>
        <w:jc w:val="both"/>
        <w:rPr>
          <w:rFonts w:ascii="Palatino Linotype" w:hAnsi="Palatino Linotype"/>
          <w:i/>
          <w:iCs/>
          <w:sz w:val="22"/>
        </w:rPr>
      </w:pPr>
      <w:r w:rsidRPr="008561D8">
        <w:rPr>
          <w:rFonts w:ascii="Palatino Linotype" w:eastAsia="Palatino Linotype" w:hAnsi="Palatino Linotype" w:cs="Palatino Linotype"/>
          <w:color w:val="000000"/>
          <w:sz w:val="22"/>
        </w:rPr>
        <w:lastRenderedPageBreak/>
        <w:t xml:space="preserve">Se adjuntó el archivo electrónico </w:t>
      </w:r>
      <w:r w:rsidRPr="008561D8">
        <w:rPr>
          <w:rFonts w:ascii="Palatino Linotype" w:eastAsia="Palatino Linotype" w:hAnsi="Palatino Linotype" w:cs="Palatino Linotype"/>
          <w:color w:val="000000" w:themeColor="text1"/>
          <w:sz w:val="22"/>
        </w:rPr>
        <w:t xml:space="preserve">denominado </w:t>
      </w:r>
      <w:hyperlink r:id="rId7" w:tgtFrame="_blank" w:history="1">
        <w:r w:rsidRPr="008561D8">
          <w:rPr>
            <w:rStyle w:val="Hipervnculo"/>
            <w:rFonts w:ascii="Palatino Linotype" w:hAnsi="Palatino Linotype" w:cs="Arial"/>
            <w:b/>
            <w:bCs/>
            <w:color w:val="000000" w:themeColor="text1"/>
            <w:sz w:val="22"/>
          </w:rPr>
          <w:t xml:space="preserve">Oficio 106 respuesta </w:t>
        </w:r>
        <w:proofErr w:type="spellStart"/>
        <w:r w:rsidRPr="008561D8">
          <w:rPr>
            <w:rStyle w:val="Hipervnculo"/>
            <w:rFonts w:ascii="Palatino Linotype" w:hAnsi="Palatino Linotype" w:cs="Arial"/>
            <w:b/>
            <w:bCs/>
            <w:color w:val="000000" w:themeColor="text1"/>
            <w:sz w:val="22"/>
          </w:rPr>
          <w:t>saimex</w:t>
        </w:r>
        <w:proofErr w:type="spellEnd"/>
        <w:r w:rsidRPr="008561D8">
          <w:rPr>
            <w:rStyle w:val="Hipervnculo"/>
            <w:rFonts w:ascii="Palatino Linotype" w:hAnsi="Palatino Linotype" w:cs="Arial"/>
            <w:b/>
            <w:bCs/>
            <w:color w:val="000000" w:themeColor="text1"/>
            <w:sz w:val="22"/>
          </w:rPr>
          <w:t xml:space="preserve"> 00013.pdf</w:t>
        </w:r>
      </w:hyperlink>
      <w:r w:rsidRPr="008561D8">
        <w:rPr>
          <w:rFonts w:ascii="Palatino Linotype" w:eastAsia="Palatino Linotype" w:hAnsi="Palatino Linotype" w:cs="Palatino Linotype"/>
          <w:color w:val="000000" w:themeColor="text1"/>
          <w:sz w:val="22"/>
        </w:rPr>
        <w:t xml:space="preserve">, </w:t>
      </w:r>
      <w:r w:rsidRPr="008561D8">
        <w:rPr>
          <w:rFonts w:ascii="Palatino Linotype" w:hAnsi="Palatino Linotype"/>
          <w:color w:val="000000" w:themeColor="text1"/>
          <w:sz w:val="22"/>
        </w:rPr>
        <w:t xml:space="preserve">consistente </w:t>
      </w:r>
      <w:r w:rsidRPr="008561D8">
        <w:rPr>
          <w:rFonts w:ascii="Palatino Linotype" w:hAnsi="Palatino Linotype"/>
          <w:sz w:val="22"/>
        </w:rPr>
        <w:t xml:space="preserve">en un oficio suscrito por la Jefa de Departamento de Planeación e Igualdad de Género, por medio del cual, refirió lo siguiente: </w:t>
      </w:r>
      <w:r w:rsidRPr="008561D8">
        <w:rPr>
          <w:rFonts w:ascii="Palatino Linotype" w:hAnsi="Palatino Linotype"/>
          <w:i/>
          <w:iCs/>
          <w:sz w:val="22"/>
        </w:rPr>
        <w:t xml:space="preserve">“… Una vez llevada a cabo la indagación de la solicitud con las unidades administrativas del Sujeto Obligado, denominado Universidad Politécnica de Cuautitlán Izcalli, me permito informar que con fundamento en la ley de Transparencia y Acceso a la información pública del estado de México y Municipios en los artículos 3 Fracciones IX Y XXI, artículo 24 Fracción VI así como el artículo 2 Fracciones 1, II, II, IV, Y V de la Ley de Protección de Datos Personales en Posesión de Sujetos Obligados del estado de México los artículo 2 fracción V, VI; 3 fracción IX y X así como el artículo 6; 24 fracción XIV; 86, 143 fracción 1, de la Ley de Transparencia y Acceso a la Información Pública del Estado de México y Municipios, así como el </w:t>
      </w:r>
      <w:proofErr w:type="spellStart"/>
      <w:r w:rsidRPr="008561D8">
        <w:rPr>
          <w:rFonts w:ascii="Palatino Linotype" w:hAnsi="Palatino Linotype"/>
          <w:i/>
          <w:iCs/>
          <w:sz w:val="22"/>
        </w:rPr>
        <w:t>articulo</w:t>
      </w:r>
      <w:proofErr w:type="spellEnd"/>
      <w:r w:rsidRPr="008561D8">
        <w:rPr>
          <w:rFonts w:ascii="Palatino Linotype" w:hAnsi="Palatino Linotype"/>
          <w:i/>
          <w:iCs/>
          <w:sz w:val="22"/>
        </w:rPr>
        <w:t xml:space="preserve"> 85 fracción I y </w:t>
      </w:r>
      <w:proofErr w:type="spellStart"/>
      <w:r w:rsidRPr="008561D8">
        <w:rPr>
          <w:rFonts w:ascii="Palatino Linotype" w:hAnsi="Palatino Linotype"/>
          <w:i/>
          <w:iCs/>
          <w:sz w:val="22"/>
        </w:rPr>
        <w:t>IIl</w:t>
      </w:r>
      <w:proofErr w:type="spellEnd"/>
      <w:r w:rsidRPr="008561D8">
        <w:rPr>
          <w:rFonts w:ascii="Palatino Linotype" w:hAnsi="Palatino Linotype"/>
          <w:i/>
          <w:iCs/>
          <w:sz w:val="22"/>
        </w:rPr>
        <w:t xml:space="preserve"> de la Ley General de Protección de Datos Personales en Posesión de Sujetos Obligados de las funciones de la Unidad de Transparencia y el numeral Trigésimo octavo, fracción I de los Lineamientos Generales de Clasificación y Desclasificación de la Información, así como para la elaboración de Versiones Públicas, que establece en el entendimiento de que cualquier información concerniente a una persona física identificada o identificable, en términos de la norma aplicable que, de manera enunciativa más no limitativa se pueden identificar.” (Sic)</w:t>
      </w:r>
      <w:r w:rsidRPr="008561D8">
        <w:rPr>
          <w:rFonts w:ascii="Palatino Linotype" w:hAnsi="Palatino Linotype"/>
          <w:sz w:val="22"/>
        </w:rPr>
        <w:t xml:space="preserve"> </w:t>
      </w:r>
    </w:p>
    <w:p w:rsidR="00560DC2" w:rsidRPr="008561D8" w:rsidRDefault="00560DC2" w:rsidP="00560DC2">
      <w:p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284"/>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Derivado de la respuesta emitida por 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el </w:t>
      </w:r>
      <w:r w:rsidRPr="008561D8">
        <w:rPr>
          <w:rFonts w:ascii="Palatino Linotype" w:eastAsia="Palatino Linotype" w:hAnsi="Palatino Linotype" w:cs="Palatino Linotype"/>
          <w:b/>
          <w:color w:val="000000"/>
        </w:rPr>
        <w:t>veintisiete de mayo de dos mil veinticuatro</w:t>
      </w:r>
      <w:r w:rsidRPr="008561D8">
        <w:rPr>
          <w:rFonts w:ascii="Palatino Linotype" w:eastAsia="Palatino Linotype" w:hAnsi="Palatino Linotype" w:cs="Palatino Linotype"/>
          <w:color w:val="000000"/>
        </w:rPr>
        <w:t xml:space="preserve">, el particular interpuso el recurso de revisión </w:t>
      </w:r>
      <w:r w:rsidRPr="008561D8">
        <w:rPr>
          <w:rFonts w:ascii="Palatino Linotype" w:eastAsia="Palatino Linotype" w:hAnsi="Palatino Linotype" w:cs="Palatino Linotype"/>
          <w:b/>
          <w:color w:val="000000"/>
        </w:rPr>
        <w:t>03283/INFOEM/IP/RR/2024</w:t>
      </w:r>
      <w:r w:rsidRPr="008561D8">
        <w:rPr>
          <w:rFonts w:ascii="Palatino Linotype" w:eastAsia="Palatino Linotype" w:hAnsi="Palatino Linotype" w:cs="Palatino Linotype"/>
          <w:color w:val="000000"/>
        </w:rPr>
        <w:t>; impugnación en la que refirió lo siguiente:</w:t>
      </w:r>
    </w:p>
    <w:p w:rsidR="00560DC2" w:rsidRPr="008561D8" w:rsidRDefault="00560DC2" w:rsidP="00AA2280">
      <w:pPr>
        <w:pStyle w:val="Prrafodelista"/>
        <w:numPr>
          <w:ilvl w:val="0"/>
          <w:numId w:val="5"/>
        </w:numPr>
        <w:pBdr>
          <w:top w:val="nil"/>
          <w:left w:val="nil"/>
          <w:bottom w:val="nil"/>
          <w:right w:val="nil"/>
          <w:between w:val="nil"/>
        </w:pBdr>
        <w:tabs>
          <w:tab w:val="left" w:pos="1134"/>
        </w:tabs>
        <w:ind w:right="567"/>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b/>
          <w:color w:val="000000"/>
          <w:sz w:val="22"/>
        </w:rPr>
        <w:t>Acto impugnado:</w:t>
      </w:r>
      <w:r w:rsidRPr="008561D8">
        <w:rPr>
          <w:rFonts w:ascii="Palatino Linotype" w:eastAsia="Palatino Linotype" w:hAnsi="Palatino Linotype" w:cs="Palatino Linotype"/>
          <w:color w:val="000000"/>
          <w:sz w:val="22"/>
        </w:rPr>
        <w:t xml:space="preserve"> </w:t>
      </w:r>
    </w:p>
    <w:p w:rsidR="00560DC2" w:rsidRPr="008561D8" w:rsidRDefault="00560DC2" w:rsidP="00AA2280">
      <w:pPr>
        <w:pBdr>
          <w:top w:val="nil"/>
          <w:left w:val="nil"/>
          <w:bottom w:val="nil"/>
          <w:right w:val="nil"/>
          <w:between w:val="nil"/>
        </w:pBdr>
        <w:tabs>
          <w:tab w:val="left" w:pos="1134"/>
        </w:tabs>
        <w:ind w:left="709" w:right="567"/>
        <w:jc w:val="both"/>
        <w:rPr>
          <w:rFonts w:ascii="Palatino Linotype" w:eastAsia="Palatino Linotype" w:hAnsi="Palatino Linotype" w:cs="Palatino Linotype"/>
          <w:i/>
          <w:color w:val="000000"/>
          <w:sz w:val="22"/>
        </w:rPr>
      </w:pPr>
      <w:r w:rsidRPr="008561D8">
        <w:rPr>
          <w:rFonts w:ascii="Palatino Linotype" w:eastAsia="Palatino Linotype" w:hAnsi="Palatino Linotype" w:cs="Palatino Linotype"/>
          <w:i/>
          <w:color w:val="000000"/>
          <w:sz w:val="22"/>
        </w:rPr>
        <w:t>“</w:t>
      </w:r>
      <w:r w:rsidRPr="008561D8">
        <w:rPr>
          <w:rFonts w:ascii="Palatino Linotype" w:hAnsi="Palatino Linotype"/>
          <w:i/>
          <w:color w:val="000000"/>
          <w:sz w:val="22"/>
        </w:rPr>
        <w:t xml:space="preserve">Ante la solicitud sobre el pago del adeudo que tiene la Universidad Politécnica de Cuautitlán Izcalli, así como la respuesta realizada con oficio --- solicito sea esclarecido la respuesta que desea interpretar, ya que al tener fundamento en varios artículos como en normas, no es claro lo que quiere interpretar bajo dicho oficio. Anexo oficios mediante los cuales se ha llevado a cabo el </w:t>
      </w:r>
      <w:proofErr w:type="spellStart"/>
      <w:r w:rsidRPr="008561D8">
        <w:rPr>
          <w:rFonts w:ascii="Palatino Linotype" w:hAnsi="Palatino Linotype"/>
          <w:i/>
          <w:color w:val="000000"/>
          <w:sz w:val="22"/>
        </w:rPr>
        <w:t>tramite</w:t>
      </w:r>
      <w:proofErr w:type="spellEnd"/>
      <w:r w:rsidRPr="008561D8">
        <w:rPr>
          <w:rFonts w:ascii="Palatino Linotype" w:hAnsi="Palatino Linotype"/>
          <w:i/>
          <w:color w:val="000000"/>
          <w:sz w:val="22"/>
        </w:rPr>
        <w:t xml:space="preserve"> de pago y al momento no se ha realizado el pago de los mismos.</w:t>
      </w:r>
      <w:r w:rsidRPr="008561D8">
        <w:rPr>
          <w:rFonts w:ascii="Palatino Linotype" w:eastAsia="Palatino Linotype" w:hAnsi="Palatino Linotype" w:cs="Palatino Linotype"/>
          <w:i/>
          <w:color w:val="000000"/>
          <w:sz w:val="22"/>
        </w:rPr>
        <w:t>” (Sic).</w:t>
      </w:r>
    </w:p>
    <w:p w:rsidR="00560DC2" w:rsidRPr="008561D8" w:rsidRDefault="00560DC2" w:rsidP="00560DC2">
      <w:pPr>
        <w:pBdr>
          <w:top w:val="nil"/>
          <w:left w:val="nil"/>
          <w:bottom w:val="nil"/>
          <w:right w:val="nil"/>
          <w:between w:val="nil"/>
        </w:pBdr>
        <w:tabs>
          <w:tab w:val="left" w:pos="1134"/>
        </w:tabs>
        <w:ind w:left="567" w:right="567"/>
        <w:jc w:val="both"/>
        <w:rPr>
          <w:rFonts w:ascii="Palatino Linotype" w:eastAsia="Palatino Linotype" w:hAnsi="Palatino Linotype" w:cs="Palatino Linotype"/>
          <w:color w:val="000000"/>
          <w:sz w:val="22"/>
        </w:rPr>
      </w:pPr>
    </w:p>
    <w:p w:rsidR="00560DC2" w:rsidRPr="008561D8" w:rsidRDefault="00560DC2" w:rsidP="00AA2280">
      <w:pPr>
        <w:pStyle w:val="Prrafodelista"/>
        <w:numPr>
          <w:ilvl w:val="0"/>
          <w:numId w:val="5"/>
        </w:numPr>
        <w:pBdr>
          <w:top w:val="nil"/>
          <w:left w:val="nil"/>
          <w:bottom w:val="nil"/>
          <w:right w:val="nil"/>
          <w:between w:val="nil"/>
        </w:pBdr>
        <w:tabs>
          <w:tab w:val="left" w:pos="1134"/>
        </w:tabs>
        <w:ind w:right="567"/>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b/>
          <w:color w:val="000000"/>
          <w:sz w:val="22"/>
        </w:rPr>
        <w:t>Razones o motivos de inconformidad:</w:t>
      </w:r>
      <w:r w:rsidRPr="008561D8">
        <w:rPr>
          <w:rFonts w:ascii="Palatino Linotype" w:eastAsia="Palatino Linotype" w:hAnsi="Palatino Linotype" w:cs="Palatino Linotype"/>
          <w:color w:val="000000"/>
          <w:sz w:val="22"/>
        </w:rPr>
        <w:t xml:space="preserve"> </w:t>
      </w:r>
    </w:p>
    <w:p w:rsidR="00560DC2" w:rsidRPr="008561D8" w:rsidRDefault="00560DC2" w:rsidP="00560DC2">
      <w:pPr>
        <w:pStyle w:val="Prrafodelista"/>
        <w:pBdr>
          <w:top w:val="nil"/>
          <w:left w:val="nil"/>
          <w:bottom w:val="nil"/>
          <w:right w:val="nil"/>
          <w:between w:val="nil"/>
        </w:pBdr>
        <w:tabs>
          <w:tab w:val="left" w:pos="1134"/>
        </w:tabs>
        <w:ind w:left="567" w:right="567"/>
        <w:jc w:val="both"/>
        <w:rPr>
          <w:rFonts w:ascii="Palatino Linotype" w:eastAsia="Palatino Linotype" w:hAnsi="Palatino Linotype" w:cs="Palatino Linotype"/>
          <w:i/>
          <w:color w:val="000000"/>
          <w:sz w:val="22"/>
        </w:rPr>
      </w:pPr>
      <w:r w:rsidRPr="008561D8">
        <w:rPr>
          <w:rFonts w:ascii="Palatino Linotype" w:eastAsia="Palatino Linotype" w:hAnsi="Palatino Linotype" w:cs="Palatino Linotype"/>
          <w:i/>
          <w:color w:val="000000"/>
          <w:sz w:val="22"/>
        </w:rPr>
        <w:t>“</w:t>
      </w:r>
      <w:r w:rsidRPr="008561D8">
        <w:rPr>
          <w:rFonts w:ascii="Palatino Linotype" w:hAnsi="Palatino Linotype"/>
          <w:i/>
          <w:color w:val="000000"/>
          <w:sz w:val="22"/>
        </w:rPr>
        <w:t xml:space="preserve">Oficio no interpretativo No se da una respuesta ante el adeudo que presente la UPCI. No hay una </w:t>
      </w:r>
      <w:proofErr w:type="gramStart"/>
      <w:r w:rsidRPr="008561D8">
        <w:rPr>
          <w:rFonts w:ascii="Palatino Linotype" w:hAnsi="Palatino Linotype"/>
          <w:i/>
          <w:color w:val="000000"/>
          <w:sz w:val="22"/>
        </w:rPr>
        <w:t>comunicación</w:t>
      </w:r>
      <w:proofErr w:type="gramEnd"/>
      <w:r w:rsidRPr="008561D8">
        <w:rPr>
          <w:rFonts w:ascii="Palatino Linotype" w:hAnsi="Palatino Linotype"/>
          <w:i/>
          <w:color w:val="000000"/>
          <w:sz w:val="22"/>
        </w:rPr>
        <w:t xml:space="preserve"> clara y directa para dicho proceso.</w:t>
      </w:r>
      <w:r w:rsidRPr="008561D8">
        <w:rPr>
          <w:rFonts w:ascii="Palatino Linotype" w:eastAsia="Palatino Linotype" w:hAnsi="Palatino Linotype" w:cs="Palatino Linotype"/>
          <w:i/>
          <w:color w:val="000000"/>
          <w:sz w:val="22"/>
        </w:rPr>
        <w:t>” (Sic).</w:t>
      </w:r>
    </w:p>
    <w:p w:rsidR="00560DC2" w:rsidRPr="008561D8" w:rsidRDefault="00560DC2" w:rsidP="00560DC2">
      <w:pP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AA2280">
      <w:pPr>
        <w:spacing w:before="100" w:beforeAutospacing="1" w:after="100" w:afterAutospacing="1"/>
        <w:ind w:left="426" w:right="992"/>
        <w:jc w:val="both"/>
        <w:rPr>
          <w:rFonts w:ascii="Palatino Linotype" w:hAnsi="Palatino Linotype" w:cs="Arial"/>
          <w:color w:val="000000" w:themeColor="text1"/>
          <w:sz w:val="22"/>
        </w:rPr>
      </w:pPr>
      <w:r w:rsidRPr="008561D8">
        <w:rPr>
          <w:rFonts w:ascii="Palatino Linotype" w:eastAsia="Palatino Linotype" w:hAnsi="Palatino Linotype" w:cs="Palatino Linotype"/>
          <w:color w:val="000000"/>
          <w:sz w:val="22"/>
        </w:rPr>
        <w:t xml:space="preserve">Se adjuntaron los archivos electrónicos denominados </w:t>
      </w:r>
      <w:hyperlink r:id="rId8" w:tgtFrame="_blank" w:history="1">
        <w:r w:rsidRPr="008561D8">
          <w:rPr>
            <w:rStyle w:val="Hipervnculo"/>
            <w:rFonts w:ascii="Palatino Linotype" w:hAnsi="Palatino Linotype" w:cs="Arial"/>
            <w:b/>
            <w:bCs/>
            <w:color w:val="000000" w:themeColor="text1"/>
            <w:sz w:val="22"/>
          </w:rPr>
          <w:t>JMGGUPCI.pdf</w:t>
        </w:r>
      </w:hyperlink>
      <w:r w:rsidRPr="008561D8">
        <w:rPr>
          <w:rFonts w:ascii="Palatino Linotype" w:hAnsi="Palatino Linotype" w:cs="Arial"/>
          <w:color w:val="000000" w:themeColor="text1"/>
          <w:sz w:val="22"/>
        </w:rPr>
        <w:t xml:space="preserve"> y </w:t>
      </w:r>
      <w:hyperlink r:id="rId9" w:tgtFrame="_blank" w:history="1">
        <w:r w:rsidRPr="008561D8">
          <w:rPr>
            <w:rStyle w:val="Hipervnculo"/>
            <w:rFonts w:ascii="Palatino Linotype" w:hAnsi="Palatino Linotype" w:cs="Arial"/>
            <w:b/>
            <w:bCs/>
            <w:color w:val="000000" w:themeColor="text1"/>
            <w:sz w:val="22"/>
          </w:rPr>
          <w:t>JRGGUPCI.pdf</w:t>
        </w:r>
      </w:hyperlink>
      <w:r w:rsidRPr="008561D8">
        <w:rPr>
          <w:rFonts w:ascii="Palatino Linotype" w:hAnsi="Palatino Linotype" w:cs="Arial"/>
          <w:color w:val="000000" w:themeColor="text1"/>
          <w:sz w:val="22"/>
        </w:rPr>
        <w:t xml:space="preserve">, </w:t>
      </w:r>
      <w:r w:rsidRPr="008561D8">
        <w:rPr>
          <w:rFonts w:ascii="Palatino Linotype" w:eastAsia="Palatino Linotype" w:hAnsi="Palatino Linotype" w:cs="Palatino Linotype"/>
          <w:color w:val="000000"/>
          <w:sz w:val="22"/>
        </w:rPr>
        <w:t>consistentes en diversos oficios</w:t>
      </w:r>
      <w:r w:rsidRPr="008561D8">
        <w:rPr>
          <w:rFonts w:ascii="Palatino Linotype" w:hAnsi="Palatino Linotype"/>
          <w:color w:val="000000"/>
          <w:sz w:val="22"/>
        </w:rPr>
        <w:t xml:space="preserve"> relativos el trámite de pago referido en la solicitud de información</w:t>
      </w:r>
    </w:p>
    <w:p w:rsidR="00560DC2" w:rsidRPr="008561D8" w:rsidRDefault="00560DC2" w:rsidP="00560DC2">
      <w:pP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Se registró el recurso de revisión bajo el número de expediente </w:t>
      </w:r>
      <w:r w:rsidRPr="008561D8">
        <w:rPr>
          <w:rFonts w:ascii="Palatino Linotype" w:eastAsia="Palatino Linotype" w:hAnsi="Palatino Linotype" w:cs="Palatino Linotype"/>
          <w:b/>
          <w:color w:val="000000"/>
        </w:rPr>
        <w:t>03283/INFOEM/IP/RR/2024</w:t>
      </w:r>
      <w:r w:rsidRPr="008561D8">
        <w:rPr>
          <w:rFonts w:ascii="Palatino Linotype" w:eastAsia="Palatino Linotype" w:hAnsi="Palatino Linotype" w:cs="Palatino Linotype"/>
          <w:color w:val="000000"/>
        </w:rPr>
        <w:t>; asimismo, con fundamento en lo dispuesto por el artículo 185, fracción I, de la Ley de Transparencia y Acceso a la Información Pública del Estado</w:t>
      </w:r>
      <w:r w:rsidR="00AA2280" w:rsidRPr="008561D8">
        <w:rPr>
          <w:rFonts w:ascii="Palatino Linotype" w:eastAsia="Palatino Linotype" w:hAnsi="Palatino Linotype" w:cs="Palatino Linotype"/>
          <w:color w:val="000000"/>
        </w:rPr>
        <w:t xml:space="preserve"> de México y Municipios se turna</w:t>
      </w:r>
      <w:r w:rsidRPr="008561D8">
        <w:rPr>
          <w:rFonts w:ascii="Palatino Linotype" w:eastAsia="Palatino Linotype" w:hAnsi="Palatino Linotype" w:cs="Palatino Linotype"/>
          <w:color w:val="000000"/>
        </w:rPr>
        <w:t xml:space="preserve"> a la </w:t>
      </w:r>
      <w:r w:rsidRPr="008561D8">
        <w:rPr>
          <w:rFonts w:ascii="Palatino Linotype" w:eastAsia="Palatino Linotype" w:hAnsi="Palatino Linotype" w:cs="Palatino Linotype"/>
          <w:b/>
          <w:color w:val="000000"/>
        </w:rPr>
        <w:t>Comisionada María del Rosario Mejía Ayala</w:t>
      </w:r>
      <w:r w:rsidRPr="008561D8">
        <w:rPr>
          <w:rFonts w:ascii="Palatino Linotype" w:eastAsia="Palatino Linotype" w:hAnsi="Palatino Linotype" w:cs="Palatino Linotype"/>
          <w:color w:val="000000"/>
        </w:rPr>
        <w:t xml:space="preserve">, </w:t>
      </w:r>
      <w:r w:rsidR="00AA2280" w:rsidRPr="008561D8">
        <w:rPr>
          <w:rFonts w:ascii="Palatino Linotype" w:eastAsia="Palatino Linotype" w:hAnsi="Palatino Linotype" w:cs="Palatino Linotype"/>
          <w:color w:val="000000"/>
        </w:rPr>
        <w:t>para</w:t>
      </w:r>
      <w:r w:rsidRPr="008561D8">
        <w:rPr>
          <w:rFonts w:ascii="Palatino Linotype" w:eastAsia="Palatino Linotype" w:hAnsi="Palatino Linotype" w:cs="Palatino Linotype"/>
          <w:color w:val="000000"/>
        </w:rPr>
        <w:t xml:space="preserve"> su análisis.</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1" w:name="_heading=h.30j0zll" w:colFirst="0" w:colLast="0"/>
      <w:bookmarkEnd w:id="1"/>
      <w:r w:rsidRPr="008561D8">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del </w:t>
      </w:r>
      <w:r w:rsidRPr="008561D8">
        <w:rPr>
          <w:rFonts w:ascii="Palatino Linotype" w:eastAsia="Palatino Linotype" w:hAnsi="Palatino Linotype" w:cs="Palatino Linotype"/>
          <w:b/>
          <w:color w:val="000000"/>
        </w:rPr>
        <w:t>tres de junio de dos mil veinticuatro</w:t>
      </w:r>
      <w:r w:rsidRPr="008561D8">
        <w:rPr>
          <w:rFonts w:ascii="Palatino Linotype" w:eastAsia="Palatino Linotype" w:hAnsi="Palatino Linotype" w:cs="Palatino Linotype"/>
          <w:color w:val="000000"/>
        </w:rPr>
        <w:t>, puso a disposición de las partes el expediente electrónico vía</w:t>
      </w:r>
      <w:r w:rsidRPr="008561D8">
        <w:rPr>
          <w:rFonts w:ascii="Palatino Linotype" w:eastAsia="Palatino Linotype" w:hAnsi="Palatino Linotype" w:cs="Palatino Linotype"/>
          <w:b/>
          <w:bCs/>
          <w:color w:val="000000"/>
        </w:rPr>
        <w:t xml:space="preserve"> SAIMEX</w:t>
      </w:r>
      <w:r w:rsidRPr="008561D8">
        <w:rPr>
          <w:rFonts w:ascii="Palatino Linotype" w:eastAsia="Palatino Linotype" w:hAnsi="Palatino Linotype" w:cs="Palatino Linotype"/>
          <w:color w:val="000000"/>
        </w:rPr>
        <w:t xml:space="preserve">, a efecto de que en un plazo máximo de siete días manifestaran lo que a derecho convinieran, ofrecieran pruebas y alegatos según corresponda a los casos concretos, de esta forma para que 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presentara su Informe Justificado respectivo.</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El </w:t>
      </w:r>
      <w:r w:rsidRPr="008561D8">
        <w:rPr>
          <w:rFonts w:ascii="Palatino Linotype" w:eastAsia="Palatino Linotype" w:hAnsi="Palatino Linotype" w:cs="Palatino Linotype"/>
          <w:b/>
          <w:bCs/>
          <w:color w:val="000000"/>
        </w:rPr>
        <w:t>doce de junio de dos mil veinticuatro</w:t>
      </w:r>
      <w:r w:rsidRPr="008561D8">
        <w:rPr>
          <w:rFonts w:ascii="Palatino Linotype" w:eastAsia="Palatino Linotype" w:hAnsi="Palatino Linotype" w:cs="Palatino Linotype"/>
          <w:color w:val="000000"/>
        </w:rPr>
        <w:t xml:space="preserve">, 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presentó su informe justificado, a través del archivo electrónico denominado </w:t>
      </w:r>
      <w:r w:rsidRPr="008561D8">
        <w:rPr>
          <w:rFonts w:ascii="Palatino Linotype" w:eastAsia="Palatino Linotype" w:hAnsi="Palatino Linotype" w:cs="Palatino Linotype"/>
          <w:b/>
          <w:bCs/>
          <w:color w:val="000000"/>
        </w:rPr>
        <w:t>“Informe Justificado al Recurso de Revisión 03283-INFOEM-IP-RR-2024.pdf”</w:t>
      </w:r>
      <w:r w:rsidRPr="008561D8">
        <w:rPr>
          <w:rFonts w:ascii="Palatino Linotype" w:eastAsia="Palatino Linotype" w:hAnsi="Palatino Linotype" w:cs="Palatino Linotype"/>
          <w:color w:val="000000"/>
        </w:rPr>
        <w:t xml:space="preserve">, consistente en un oficio suscrito por el Jefe de Departamento de Administración y Finanzas, por medio del cual, informó que una vez realizada una búsqueda exhaustiva, no se cuenta con un documento público que pueda ser entregado al </w:t>
      </w:r>
      <w:r w:rsidRPr="008561D8">
        <w:rPr>
          <w:rFonts w:ascii="Palatino Linotype" w:eastAsia="Palatino Linotype" w:hAnsi="Palatino Linotype" w:cs="Palatino Linotype"/>
          <w:b/>
          <w:bCs/>
          <w:color w:val="000000"/>
        </w:rPr>
        <w:t>Recurrente,</w:t>
      </w:r>
      <w:r w:rsidRPr="008561D8">
        <w:rPr>
          <w:rFonts w:ascii="Palatino Linotype" w:eastAsia="Palatino Linotype" w:hAnsi="Palatino Linotype" w:cs="Palatino Linotype"/>
          <w:color w:val="000000"/>
        </w:rPr>
        <w:t xml:space="preserve"> toda vez que, la pretensión del </w:t>
      </w:r>
      <w:r w:rsidRPr="008561D8">
        <w:rPr>
          <w:rFonts w:ascii="Palatino Linotype" w:eastAsia="Palatino Linotype" w:hAnsi="Palatino Linotype" w:cs="Palatino Linotype"/>
        </w:rPr>
        <w:t>peticionario consiste en obligar a la</w:t>
      </w:r>
      <w:r w:rsidRPr="008561D8">
        <w:rPr>
          <w:rFonts w:ascii="Palatino Linotype" w:hAnsi="Palatino Linotype"/>
        </w:rPr>
        <w:t xml:space="preserve"> Universidad Politécnica de Cuautitlán Izcalli</w:t>
      </w:r>
      <w:r w:rsidRPr="008561D8">
        <w:rPr>
          <w:rFonts w:ascii="Palatino Linotype" w:eastAsia="Palatino Linotype" w:hAnsi="Palatino Linotype" w:cs="Palatino Linotype"/>
        </w:rPr>
        <w:t xml:space="preserve"> a realizar el pago de un adeudo.</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 xml:space="preserve">Por su parte, el </w:t>
      </w:r>
      <w:r w:rsidRPr="008561D8">
        <w:rPr>
          <w:rFonts w:ascii="Palatino Linotype" w:eastAsia="Palatino Linotype" w:hAnsi="Palatino Linotype" w:cs="Palatino Linotype"/>
          <w:b/>
          <w:bCs/>
          <w:color w:val="000000"/>
        </w:rPr>
        <w:t>seis de junio de dos mil veinticuatro</w:t>
      </w:r>
      <w:r w:rsidRPr="008561D8">
        <w:rPr>
          <w:rFonts w:ascii="Palatino Linotype" w:eastAsia="Palatino Linotype" w:hAnsi="Palatino Linotype" w:cs="Palatino Linotype"/>
          <w:color w:val="000000"/>
        </w:rPr>
        <w:t xml:space="preserve">, el </w:t>
      </w:r>
      <w:r w:rsidRPr="008561D8">
        <w:rPr>
          <w:rFonts w:ascii="Palatino Linotype" w:eastAsia="Palatino Linotype" w:hAnsi="Palatino Linotype" w:cs="Palatino Linotype"/>
          <w:b/>
          <w:color w:val="000000"/>
        </w:rPr>
        <w:t>Recurrente</w:t>
      </w:r>
      <w:r w:rsidRPr="008561D8">
        <w:rPr>
          <w:rFonts w:ascii="Palatino Linotype" w:eastAsia="Palatino Linotype" w:hAnsi="Palatino Linotype" w:cs="Palatino Linotype"/>
          <w:color w:val="000000"/>
        </w:rPr>
        <w:t xml:space="preserve"> remitió los archivos electrónicos denominados </w:t>
      </w:r>
      <w:hyperlink r:id="rId10" w:tgtFrame="_blank" w:history="1">
        <w:r w:rsidRPr="008561D8">
          <w:rPr>
            <w:rStyle w:val="Hipervnculo"/>
            <w:rFonts w:ascii="Palatino Linotype" w:hAnsi="Palatino Linotype" w:cs="Arial"/>
            <w:b/>
            <w:bCs/>
            <w:color w:val="000000" w:themeColor="text1"/>
          </w:rPr>
          <w:t>JMGGUPCI.pdf</w:t>
        </w:r>
      </w:hyperlink>
      <w:r w:rsidRPr="008561D8">
        <w:rPr>
          <w:rFonts w:ascii="Palatino Linotype" w:hAnsi="Palatino Linotype" w:cs="Arial"/>
          <w:color w:val="000000" w:themeColor="text1"/>
        </w:rPr>
        <w:t xml:space="preserve"> y </w:t>
      </w:r>
      <w:hyperlink r:id="rId11" w:tgtFrame="_blank" w:history="1">
        <w:r w:rsidRPr="008561D8">
          <w:rPr>
            <w:rStyle w:val="Hipervnculo"/>
            <w:rFonts w:ascii="Palatino Linotype" w:hAnsi="Palatino Linotype" w:cs="Arial"/>
            <w:b/>
            <w:bCs/>
            <w:color w:val="000000" w:themeColor="text1"/>
          </w:rPr>
          <w:t>JRGGUPCI.pdf</w:t>
        </w:r>
      </w:hyperlink>
      <w:r w:rsidRPr="008561D8">
        <w:rPr>
          <w:rFonts w:ascii="Palatino Linotype" w:eastAsia="Palatino Linotype" w:hAnsi="Palatino Linotype" w:cs="Palatino Linotype"/>
          <w:b/>
        </w:rPr>
        <w:t xml:space="preserve">, </w:t>
      </w:r>
      <w:r w:rsidRPr="008561D8">
        <w:rPr>
          <w:rFonts w:ascii="Palatino Linotype" w:eastAsia="Palatino Linotype" w:hAnsi="Palatino Linotype" w:cs="Palatino Linotype"/>
          <w:color w:val="000000"/>
        </w:rPr>
        <w:t>consistentes en diversos oficios</w:t>
      </w:r>
      <w:r w:rsidRPr="008561D8">
        <w:rPr>
          <w:rFonts w:ascii="Palatino Linotype" w:hAnsi="Palatino Linotype"/>
          <w:color w:val="000000"/>
        </w:rPr>
        <w:t xml:space="preserve"> relativos el trámite de pago referido en la solicitud de información, mismos que fueron proporcionados mediante el recurso de revisión.</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 xml:space="preserve">El </w:t>
      </w:r>
      <w:r w:rsidRPr="008561D8">
        <w:rPr>
          <w:rFonts w:ascii="Palatino Linotype" w:eastAsia="Palatino Linotype" w:hAnsi="Palatino Linotype" w:cs="Palatino Linotype"/>
          <w:b/>
          <w:bCs/>
          <w:color w:val="000000"/>
        </w:rPr>
        <w:t>veinticinco de septiembre de dos mil veinticuatro</w:t>
      </w:r>
      <w:r w:rsidRPr="008561D8">
        <w:rPr>
          <w:rFonts w:ascii="Palatino Linotype" w:eastAsia="Palatino Linotype" w:hAnsi="Palatino Linotype" w:cs="Palatino Linotype"/>
          <w:color w:val="000000"/>
        </w:rPr>
        <w:t>, se notificó el acuerdo mediante el cual se amplió el plazo para emitir resolución por un periodo de quince días hábiles.</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lastRenderedPageBreak/>
        <w:t>Por ello, excepcionalmente, si un asunto es resuelto con posterioridad a los plazos señalados por la norma debe analizarse la razonabilidad del tiempo necesario para su resolución, atentos a los siguientes criterios:</w:t>
      </w:r>
    </w:p>
    <w:p w:rsidR="00560DC2" w:rsidRPr="008561D8" w:rsidRDefault="00560DC2" w:rsidP="00AA2280">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8561D8">
        <w:rPr>
          <w:rFonts w:ascii="Palatino Linotype" w:eastAsia="Palatino Linotype" w:hAnsi="Palatino Linotype" w:cs="Palatino Linotype"/>
          <w:b/>
          <w:color w:val="000000"/>
          <w:sz w:val="22"/>
        </w:rPr>
        <w:t>a) Complejidad del asunto: La complejidad de la prueba, la pluralidad de sujetos procesales, el tiempo transcurrido, las características y contexto del recurso.</w:t>
      </w:r>
    </w:p>
    <w:p w:rsidR="00560DC2" w:rsidRPr="008561D8" w:rsidRDefault="00560DC2" w:rsidP="00AA2280">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8561D8">
        <w:rPr>
          <w:rFonts w:ascii="Palatino Linotype" w:eastAsia="Palatino Linotype" w:hAnsi="Palatino Linotype" w:cs="Palatino Linotype"/>
          <w:b/>
          <w:color w:val="000000"/>
          <w:sz w:val="22"/>
        </w:rPr>
        <w:t>b) Actividad Procesal del interesado: Acciones u omisiones del interesado.</w:t>
      </w:r>
    </w:p>
    <w:p w:rsidR="00560DC2" w:rsidRPr="008561D8" w:rsidRDefault="00560DC2" w:rsidP="00AA2280">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8561D8">
        <w:rPr>
          <w:rFonts w:ascii="Palatino Linotype" w:eastAsia="Palatino Linotype" w:hAnsi="Palatino Linotype" w:cs="Palatino Linotype"/>
          <w:b/>
          <w:color w:val="000000"/>
          <w:sz w:val="22"/>
        </w:rPr>
        <w:t>c) Conducta de la Autoridad: Las Acciones u omisiones realizadas en el procedimiento. Así como si la autoridad actuó con la debida diligencia.</w:t>
      </w:r>
    </w:p>
    <w:p w:rsidR="00560DC2" w:rsidRPr="008561D8" w:rsidRDefault="00560DC2" w:rsidP="00AA2280">
      <w:pPr>
        <w:pBdr>
          <w:top w:val="nil"/>
          <w:left w:val="nil"/>
          <w:bottom w:val="nil"/>
          <w:right w:val="nil"/>
          <w:between w:val="nil"/>
        </w:pBdr>
        <w:ind w:left="567" w:right="992"/>
        <w:jc w:val="both"/>
        <w:rPr>
          <w:rFonts w:ascii="Palatino Linotype" w:eastAsia="Palatino Linotype" w:hAnsi="Palatino Linotype" w:cs="Palatino Linotype"/>
          <w:b/>
          <w:color w:val="000000"/>
          <w:sz w:val="22"/>
        </w:rPr>
      </w:pPr>
      <w:r w:rsidRPr="008561D8">
        <w:rPr>
          <w:rFonts w:ascii="Palatino Linotype" w:eastAsia="Palatino Linotype" w:hAnsi="Palatino Linotype" w:cs="Palatino Linotype"/>
          <w:b/>
          <w:color w:val="000000"/>
          <w:sz w:val="22"/>
        </w:rPr>
        <w:t>d) La afectación generada en la situación jurídica de la persona involucrada en el proceso: Violación a sus derechos humanos.</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Argumento que encuentra sustento en la jurisprudencia P</w:t>
      </w:r>
      <w:proofErr w:type="gramStart"/>
      <w:r w:rsidRPr="008561D8">
        <w:rPr>
          <w:rFonts w:ascii="Palatino Linotype" w:eastAsia="Palatino Linotype" w:hAnsi="Palatino Linotype" w:cs="Palatino Linotype"/>
          <w:color w:val="000000"/>
        </w:rPr>
        <w:t>./</w:t>
      </w:r>
      <w:proofErr w:type="gramEnd"/>
      <w:r w:rsidRPr="008561D8">
        <w:rPr>
          <w:rFonts w:ascii="Palatino Linotype" w:eastAsia="Palatino Linotype" w:hAnsi="Palatino Linotype" w:cs="Palatino Linotype"/>
          <w:color w:val="000000"/>
        </w:rPr>
        <w:t xml:space="preserve">J. 32/92 emitida por el Pleno de la Suprema Corte de Justicia de la Nación </w:t>
      </w:r>
      <w:r w:rsidRPr="008561D8">
        <w:rPr>
          <w:rFonts w:ascii="Palatino Linotype" w:eastAsia="Palatino Linotype" w:hAnsi="Palatino Linotype" w:cs="Palatino Linotype"/>
        </w:rPr>
        <w:t>del rubro</w:t>
      </w:r>
      <w:r w:rsidRPr="008561D8">
        <w:rPr>
          <w:rFonts w:ascii="Palatino Linotype" w:eastAsia="Palatino Linotype" w:hAnsi="Palatino Linotype" w:cs="Palatino Linotype"/>
          <w:color w:val="000000"/>
        </w:rPr>
        <w:t xml:space="preserve"> “TÉRMINOS PROCESALES. PARA DETERMINAR SI UN FUNCIONARIO JUDICIAL ACTUÓ INDEBIDAMENTE POR NO RESPETARLOS SE DEBE ATENDER AL PRESUPUESTO QUE CONSIDERÓ EL LEGISLADOR AL FIJARLOS Y LAS CARACTERÍSTICAS DEL CASO.”, visible en la Gaceta del </w:t>
      </w:r>
      <w:r w:rsidRPr="008561D8">
        <w:rPr>
          <w:rFonts w:ascii="Palatino Linotype" w:eastAsia="Palatino Linotype" w:hAnsi="Palatino Linotype" w:cs="Palatino Linotype"/>
        </w:rPr>
        <w:t>Semanario</w:t>
      </w:r>
      <w:r w:rsidRPr="008561D8">
        <w:rPr>
          <w:rFonts w:ascii="Palatino Linotype" w:eastAsia="Palatino Linotype" w:hAnsi="Palatino Linotype" w:cs="Palatino Linotype"/>
          <w:color w:val="000000"/>
        </w:rPr>
        <w:t xml:space="preserve"> Judicial de la Federación con el registro digital 205635.</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w:t>
      </w:r>
      <w:r w:rsidRPr="008561D8">
        <w:rPr>
          <w:rFonts w:ascii="Palatino Linotype" w:eastAsia="Palatino Linotype" w:hAnsi="Palatino Linotype" w:cs="Palatino Linotype"/>
          <w:color w:val="000000"/>
        </w:rPr>
        <w:lastRenderedPageBreak/>
        <w:t>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560DC2" w:rsidRPr="008561D8" w:rsidRDefault="00560DC2" w:rsidP="00AA2280">
      <w:pPr>
        <w:pBdr>
          <w:top w:val="nil"/>
          <w:left w:val="nil"/>
          <w:bottom w:val="nil"/>
          <w:right w:val="nil"/>
          <w:between w:val="nil"/>
        </w:pBdr>
        <w:ind w:left="567"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“PLAZO RAZONABLE PARA RESOLVER. DIMENSIÓN Y EFECTOS DE ESTE CONCEPTO CUANDO SE ADUCE EXCESIVA CARGA DE TRABAJO.” consultable en el Sem</w:t>
      </w:r>
      <w:r w:rsidRPr="008561D8">
        <w:rPr>
          <w:rFonts w:ascii="Palatino Linotype" w:eastAsia="Palatino Linotype" w:hAnsi="Palatino Linotype" w:cs="Palatino Linotype"/>
          <w:sz w:val="22"/>
        </w:rPr>
        <w:t>a</w:t>
      </w:r>
      <w:r w:rsidRPr="008561D8">
        <w:rPr>
          <w:rFonts w:ascii="Palatino Linotype" w:eastAsia="Palatino Linotype" w:hAnsi="Palatino Linotype" w:cs="Palatino Linotype"/>
          <w:color w:val="000000"/>
          <w:sz w:val="22"/>
        </w:rPr>
        <w:t>nario Judicial de la Federación y su gaceta, con el registro digital 2002351.</w:t>
      </w:r>
    </w:p>
    <w:p w:rsidR="00AA2280" w:rsidRPr="008561D8" w:rsidRDefault="00AA2280" w:rsidP="00AA2280">
      <w:pPr>
        <w:pBdr>
          <w:top w:val="nil"/>
          <w:left w:val="nil"/>
          <w:bottom w:val="nil"/>
          <w:right w:val="nil"/>
          <w:between w:val="nil"/>
        </w:pBdr>
        <w:ind w:left="567" w:right="992"/>
        <w:jc w:val="both"/>
        <w:rPr>
          <w:rFonts w:ascii="Palatino Linotype" w:eastAsia="Palatino Linotype" w:hAnsi="Palatino Linotype" w:cs="Palatino Linotype"/>
          <w:color w:val="000000"/>
          <w:sz w:val="22"/>
        </w:rPr>
      </w:pPr>
    </w:p>
    <w:p w:rsidR="00560DC2" w:rsidRPr="008561D8" w:rsidRDefault="00560DC2" w:rsidP="00AA2280">
      <w:pPr>
        <w:pBdr>
          <w:top w:val="nil"/>
          <w:left w:val="nil"/>
          <w:bottom w:val="nil"/>
          <w:right w:val="nil"/>
          <w:between w:val="nil"/>
        </w:pBdr>
        <w:spacing w:after="240"/>
        <w:ind w:left="567"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“PLAZO RAZONABLE PARA RESOLVER. CONCEPTO Y ELEMENTOS QUE LO INTEGRAN A LA LUZ DEL DERECHO INTERNACIONAL DE LOS DERECHOS HUMANOS.”, visible en el Sem</w:t>
      </w:r>
      <w:r w:rsidRPr="008561D8">
        <w:rPr>
          <w:rFonts w:ascii="Palatino Linotype" w:eastAsia="Palatino Linotype" w:hAnsi="Palatino Linotype" w:cs="Palatino Linotype"/>
          <w:sz w:val="22"/>
        </w:rPr>
        <w:t>a</w:t>
      </w:r>
      <w:r w:rsidRPr="008561D8">
        <w:rPr>
          <w:rFonts w:ascii="Palatino Linotype" w:eastAsia="Palatino Linotype" w:hAnsi="Palatino Linotype" w:cs="Palatino Linotype"/>
          <w:color w:val="000000"/>
          <w:sz w:val="22"/>
        </w:rPr>
        <w:t>nario Judicial de la Federación y su gaceta, con el registro digital 2002350.</w:t>
      </w:r>
    </w:p>
    <w:p w:rsidR="00560DC2" w:rsidRPr="008561D8" w:rsidRDefault="00560DC2" w:rsidP="00560DC2">
      <w:pPr>
        <w:spacing w:before="240" w:after="240"/>
        <w:ind w:right="-28"/>
        <w:rPr>
          <w:rFonts w:ascii="Palatino Linotype" w:eastAsia="Palatino Linotype" w:hAnsi="Palatino Linotype" w:cs="Palatino Linotype"/>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rPr>
        <w:t>Por ello, este Organismo Garante comprometido con la tutela de los derechos humanos confiados, señala que este exceso del plazo legal para resolver el presente asunto resulta de carácter excepcional.</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Finalmente, el </w:t>
      </w:r>
      <w:r w:rsidRPr="008561D8">
        <w:rPr>
          <w:rFonts w:ascii="Palatino Linotype" w:eastAsia="Palatino Linotype" w:hAnsi="Palatino Linotype" w:cs="Palatino Linotype"/>
          <w:b/>
          <w:color w:val="000000"/>
        </w:rPr>
        <w:t>cuatro de diciembre de dos mil veinticuatro</w:t>
      </w:r>
      <w:r w:rsidRPr="008561D8">
        <w:rPr>
          <w:rFonts w:ascii="Palatino Linotype" w:eastAsia="Palatino Linotype" w:hAnsi="Palatino Linotype" w:cs="Palatino Linotype"/>
          <w:color w:val="000000"/>
        </w:rPr>
        <w:t>, la Comisionada Ponente decretó el cierre del periodo de instrucción, por lo que ordenó turnar el expediente para su resolución, misma que ahora se pronuncia; y ------------------------------------------------------------</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bookmarkStart w:id="2" w:name="_heading=h.1fob9te" w:colFirst="0" w:colLast="0"/>
      <w:bookmarkEnd w:id="2"/>
    </w:p>
    <w:p w:rsidR="00AA2280" w:rsidRPr="008561D8" w:rsidRDefault="00AA2280"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p>
    <w:p w:rsidR="00560DC2" w:rsidRPr="008561D8" w:rsidRDefault="00560DC2" w:rsidP="00560DC2">
      <w:pPr>
        <w:pStyle w:val="Ttulo1"/>
        <w:spacing w:before="0" w:line="360" w:lineRule="auto"/>
        <w:jc w:val="center"/>
        <w:rPr>
          <w:b/>
          <w:color w:val="000000"/>
          <w:szCs w:val="24"/>
        </w:rPr>
      </w:pPr>
      <w:bookmarkStart w:id="3" w:name="_heading=h.3znysh7" w:colFirst="0" w:colLast="0"/>
      <w:bookmarkEnd w:id="3"/>
      <w:r w:rsidRPr="008561D8">
        <w:rPr>
          <w:b/>
          <w:color w:val="000000"/>
          <w:szCs w:val="24"/>
        </w:rPr>
        <w:lastRenderedPageBreak/>
        <w:t>C O N S I D E R A N D O</w:t>
      </w:r>
    </w:p>
    <w:p w:rsidR="00560DC2" w:rsidRPr="008561D8" w:rsidRDefault="00560DC2" w:rsidP="00560DC2">
      <w:pPr>
        <w:spacing w:line="360" w:lineRule="auto"/>
        <w:rPr>
          <w:rFonts w:ascii="Palatino Linotype" w:hAnsi="Palatino Linotype"/>
          <w:color w:val="000000"/>
        </w:rPr>
      </w:pPr>
    </w:p>
    <w:p w:rsidR="00560DC2" w:rsidRPr="008561D8" w:rsidRDefault="00560DC2" w:rsidP="00560DC2">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sidRPr="008561D8">
        <w:rPr>
          <w:rFonts w:ascii="Palatino Linotype" w:eastAsia="Palatino Linotype" w:hAnsi="Palatino Linotype" w:cs="Palatino Linotype"/>
          <w:b/>
          <w:color w:val="000000"/>
          <w:sz w:val="24"/>
          <w:szCs w:val="24"/>
        </w:rPr>
        <w:t>PRIMERO. De la competencia</w:t>
      </w: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r w:rsidRPr="008561D8">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XXIII, y 11 del Reglamento Interior del Instituto de Transparencia, Acceso a la Información Pública y Protección de Datos Personales del Estado de México y Municipios</w:t>
      </w:r>
      <w:r w:rsidRPr="008561D8">
        <w:rPr>
          <w:rFonts w:ascii="Palatino Linotype" w:eastAsia="Palatino Linotype" w:hAnsi="Palatino Linotype" w:cs="Palatino Linotype"/>
          <w:b/>
          <w:color w:val="000000"/>
        </w:rPr>
        <w:t>.</w:t>
      </w:r>
    </w:p>
    <w:p w:rsidR="00560DC2" w:rsidRPr="008561D8" w:rsidRDefault="00560DC2" w:rsidP="00560DC2">
      <w:pPr>
        <w:pBdr>
          <w:top w:val="nil"/>
          <w:left w:val="nil"/>
          <w:bottom w:val="nil"/>
          <w:right w:val="nil"/>
          <w:between w:val="nil"/>
        </w:pBdr>
        <w:tabs>
          <w:tab w:val="left" w:pos="426"/>
        </w:tabs>
        <w:spacing w:line="360" w:lineRule="auto"/>
        <w:jc w:val="both"/>
        <w:rPr>
          <w:rFonts w:ascii="Palatino Linotype" w:eastAsia="Palatino Linotype" w:hAnsi="Palatino Linotype" w:cs="Palatino Linotype"/>
          <w:b/>
          <w:color w:val="000000"/>
        </w:rPr>
      </w:pPr>
    </w:p>
    <w:p w:rsidR="00560DC2" w:rsidRPr="008561D8" w:rsidRDefault="00560DC2" w:rsidP="00560DC2">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sidRPr="008561D8">
        <w:rPr>
          <w:rFonts w:ascii="Palatino Linotype" w:eastAsia="Palatino Linotype" w:hAnsi="Palatino Linotype" w:cs="Palatino Linotype"/>
          <w:b/>
          <w:color w:val="000000"/>
          <w:sz w:val="24"/>
          <w:szCs w:val="24"/>
        </w:rPr>
        <w:t>SEGUNDO. De la oportunidad y procedencia.</w:t>
      </w:r>
    </w:p>
    <w:p w:rsidR="00560DC2" w:rsidRPr="008561D8" w:rsidRDefault="00560DC2" w:rsidP="00560DC2">
      <w:pPr>
        <w:numPr>
          <w:ilvl w:val="0"/>
          <w:numId w:val="3"/>
        </w:numPr>
        <w:tabs>
          <w:tab w:val="left" w:pos="426"/>
        </w:tabs>
        <w:spacing w:line="360" w:lineRule="auto"/>
        <w:ind w:right="49"/>
        <w:jc w:val="both"/>
        <w:rPr>
          <w:rFonts w:ascii="Palatino Linotype" w:eastAsia="Palatino Linotype" w:hAnsi="Palatino Linotype" w:cs="Palatino Linotype"/>
        </w:rPr>
      </w:pPr>
      <w:r w:rsidRPr="008561D8">
        <w:rPr>
          <w:rFonts w:ascii="Palatino Linotype" w:eastAsia="Palatino Linotype" w:hAnsi="Palatino Linotype" w:cs="Palatino Linotype"/>
          <w:color w:val="000000"/>
        </w:rPr>
        <w:t xml:space="preserve">El </w:t>
      </w:r>
      <w:r w:rsidRPr="008561D8">
        <w:rPr>
          <w:rFonts w:ascii="Palatino Linotype" w:eastAsia="Palatino Linotype" w:hAnsi="Palatino Linotype" w:cs="Palatino Linotype"/>
        </w:rPr>
        <w:t>medio de impugnación fue presentado a través del SAIMEX</w:t>
      </w:r>
      <w:r w:rsidRPr="008561D8">
        <w:rPr>
          <w:rFonts w:ascii="Palatino Linotype" w:eastAsia="Palatino Linotype" w:hAnsi="Palatino Linotype" w:cs="Palatino Linotype"/>
          <w:b/>
        </w:rPr>
        <w:t>,</w:t>
      </w:r>
      <w:r w:rsidRPr="008561D8">
        <w:rPr>
          <w:rFonts w:ascii="Palatino Linotype" w:eastAsia="Palatino Linotype" w:hAnsi="Palatino Linotype" w:cs="Palatino Linotype"/>
        </w:rPr>
        <w:t xml:space="preserve"> en el formato previamente aprobado para tal efecto y dentro del plazo legal de 15 días hábiles otorgados; para el caso en particular es de señalar que si el </w:t>
      </w:r>
      <w:r w:rsidRPr="008561D8">
        <w:rPr>
          <w:rFonts w:ascii="Palatino Linotype" w:eastAsia="Palatino Linotype" w:hAnsi="Palatino Linotype" w:cs="Palatino Linotype"/>
          <w:b/>
        </w:rPr>
        <w:t>SUJETO OBLIGADO</w:t>
      </w:r>
      <w:r w:rsidRPr="008561D8">
        <w:rPr>
          <w:rFonts w:ascii="Palatino Linotype" w:eastAsia="Palatino Linotype" w:hAnsi="Palatino Linotype" w:cs="Palatino Linotype"/>
        </w:rPr>
        <w:t xml:space="preserve"> entregó respuesta el </w:t>
      </w:r>
      <w:r w:rsidRPr="008561D8">
        <w:rPr>
          <w:rFonts w:ascii="Palatino Linotype" w:eastAsia="Palatino Linotype" w:hAnsi="Palatino Linotype" w:cs="Palatino Linotype"/>
          <w:b/>
        </w:rPr>
        <w:t>dieciséis de mayo de do mil veinticuatro</w:t>
      </w:r>
      <w:r w:rsidRPr="008561D8">
        <w:rPr>
          <w:rFonts w:ascii="Palatino Linotype" w:eastAsia="Palatino Linotype" w:hAnsi="Palatino Linotype" w:cs="Palatino Linotype"/>
        </w:rPr>
        <w:t xml:space="preserve">, el plazo para interponer el recurso de revisión transcurrió del </w:t>
      </w:r>
      <w:r w:rsidRPr="008561D8">
        <w:rPr>
          <w:rFonts w:ascii="Palatino Linotype" w:eastAsia="Palatino Linotype" w:hAnsi="Palatino Linotype" w:cs="Palatino Linotype"/>
          <w:b/>
        </w:rPr>
        <w:t>diecisiete de mayo al seis de junio de dos mil veinticuatro</w:t>
      </w:r>
      <w:r w:rsidRPr="008561D8">
        <w:rPr>
          <w:rFonts w:ascii="Palatino Linotype" w:eastAsia="Palatino Linotype" w:hAnsi="Palatino Linotype" w:cs="Palatino Linotype"/>
        </w:rPr>
        <w:t>; sin contemplar en el cómputo los sábados, domingos y días inhábiles, en términos del artículo 3, fracción X, de la Ley de Transparencia y Acceso a la Información Pública del Estado de México y Municipios.</w:t>
      </w:r>
    </w:p>
    <w:p w:rsidR="00560DC2" w:rsidRPr="008561D8" w:rsidRDefault="00560DC2" w:rsidP="00560DC2">
      <w:pPr>
        <w:tabs>
          <w:tab w:val="left" w:pos="426"/>
        </w:tabs>
        <w:spacing w:line="360" w:lineRule="auto"/>
        <w:ind w:right="49"/>
        <w:jc w:val="both"/>
        <w:rPr>
          <w:rFonts w:ascii="Palatino Linotype" w:eastAsia="Palatino Linotype" w:hAnsi="Palatino Linotype" w:cs="Palatino Linotype"/>
        </w:rPr>
      </w:pPr>
    </w:p>
    <w:p w:rsidR="00560DC2" w:rsidRPr="008561D8" w:rsidRDefault="00560DC2" w:rsidP="00560DC2">
      <w:pPr>
        <w:numPr>
          <w:ilvl w:val="0"/>
          <w:numId w:val="3"/>
        </w:num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lastRenderedPageBreak/>
        <w:t xml:space="preserve">De las constancias que obran dentro del expediente digital formado en el </w:t>
      </w:r>
      <w:r w:rsidRPr="008561D8">
        <w:rPr>
          <w:rFonts w:ascii="Palatino Linotype" w:eastAsia="Palatino Linotype" w:hAnsi="Palatino Linotype" w:cs="Palatino Linotype"/>
          <w:b/>
          <w:bCs/>
          <w:color w:val="000000"/>
        </w:rPr>
        <w:t>SAIMEX,</w:t>
      </w:r>
      <w:r w:rsidRPr="008561D8">
        <w:rPr>
          <w:rFonts w:ascii="Palatino Linotype" w:eastAsia="Palatino Linotype" w:hAnsi="Palatino Linotype" w:cs="Palatino Linotype"/>
          <w:color w:val="000000"/>
        </w:rPr>
        <w:t xml:space="preserve"> se advierte que el particular presentó el recurso de revisión </w:t>
      </w:r>
      <w:r w:rsidRPr="008561D8">
        <w:rPr>
          <w:rFonts w:ascii="Palatino Linotype" w:eastAsia="Palatino Linotype" w:hAnsi="Palatino Linotype" w:cs="Palatino Linotype"/>
          <w:b/>
          <w:color w:val="000000"/>
        </w:rPr>
        <w:t>03283/INFOEM/IP/RR/2024</w:t>
      </w:r>
      <w:r w:rsidRPr="008561D8">
        <w:rPr>
          <w:rFonts w:ascii="Palatino Linotype" w:eastAsia="Palatino Linotype" w:hAnsi="Palatino Linotype" w:cs="Palatino Linotype"/>
          <w:color w:val="000000"/>
        </w:rPr>
        <w:t xml:space="preserve"> el </w:t>
      </w:r>
      <w:r w:rsidRPr="008561D8">
        <w:rPr>
          <w:rFonts w:ascii="Palatino Linotype" w:eastAsia="Palatino Linotype" w:hAnsi="Palatino Linotype" w:cs="Palatino Linotype"/>
          <w:b/>
          <w:color w:val="000000"/>
        </w:rPr>
        <w:t>veintisiete de mayo de dos mil veinticuatro</w:t>
      </w:r>
      <w:r w:rsidRPr="008561D8">
        <w:rPr>
          <w:rFonts w:ascii="Palatino Linotype" w:eastAsia="Palatino Linotype" w:hAnsi="Palatino Linotype" w:cs="Palatino Linotype"/>
          <w:color w:val="000000"/>
        </w:rPr>
        <w:t>; por ende, éste se encuentra dentro del plazo legalmente establecido en el artículo 178</w:t>
      </w:r>
      <w:r w:rsidRPr="008561D8">
        <w:rPr>
          <w:rFonts w:ascii="Palatino Linotype" w:eastAsia="Palatino Linotype" w:hAnsi="Palatino Linotype" w:cs="Palatino Linotype"/>
          <w:color w:val="000000"/>
          <w:vertAlign w:val="superscript"/>
        </w:rPr>
        <w:footnoteReference w:id="1"/>
      </w:r>
      <w:r w:rsidRPr="008561D8">
        <w:rPr>
          <w:rFonts w:ascii="Palatino Linotype" w:eastAsia="Palatino Linotype" w:hAnsi="Palatino Linotype" w:cs="Palatino Linotype"/>
          <w:color w:val="000000"/>
        </w:rPr>
        <w:t xml:space="preserve"> de la Ley de Transparencia y Acceso a la Información Pública del Estado de México y Municipios.</w:t>
      </w:r>
    </w:p>
    <w:p w:rsidR="00560DC2" w:rsidRPr="008561D8" w:rsidRDefault="00560DC2" w:rsidP="00560DC2">
      <w:pPr>
        <w:pBdr>
          <w:top w:val="nil"/>
          <w:left w:val="nil"/>
          <w:bottom w:val="nil"/>
          <w:right w:val="nil"/>
          <w:between w:val="nil"/>
        </w:pBdr>
        <w:tabs>
          <w:tab w:val="left" w:pos="284"/>
          <w:tab w:val="left" w:pos="426"/>
        </w:tabs>
        <w:spacing w:line="360" w:lineRule="auto"/>
        <w:ind w:right="49"/>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Protección de Datos Personales del Estado de México y Municipios, conozca y resuelva el presente recurso.</w:t>
      </w:r>
    </w:p>
    <w:p w:rsidR="00560DC2" w:rsidRPr="008561D8" w:rsidRDefault="00560DC2" w:rsidP="00560DC2">
      <w:pPr>
        <w:pBdr>
          <w:top w:val="nil"/>
          <w:left w:val="nil"/>
          <w:bottom w:val="nil"/>
          <w:right w:val="nil"/>
          <w:between w:val="nil"/>
        </w:pBdr>
        <w:tabs>
          <w:tab w:val="left" w:pos="426"/>
        </w:tabs>
        <w:spacing w:line="360" w:lineRule="auto"/>
        <w:ind w:right="49"/>
        <w:jc w:val="both"/>
        <w:rPr>
          <w:rFonts w:ascii="Palatino Linotype" w:eastAsia="Palatino Linotype" w:hAnsi="Palatino Linotype" w:cs="Palatino Linotype"/>
          <w:i/>
          <w:color w:val="000000"/>
        </w:rPr>
      </w:pPr>
      <w:bookmarkStart w:id="6" w:name="_heading=h.3dy6vkm" w:colFirst="0" w:colLast="0"/>
      <w:bookmarkEnd w:id="6"/>
    </w:p>
    <w:p w:rsidR="00560DC2" w:rsidRPr="008561D8" w:rsidRDefault="00560DC2" w:rsidP="00560DC2">
      <w:pPr>
        <w:pStyle w:val="Ttulo2"/>
        <w:tabs>
          <w:tab w:val="left" w:pos="426"/>
        </w:tabs>
        <w:spacing w:before="0" w:line="360" w:lineRule="auto"/>
        <w:rPr>
          <w:rFonts w:ascii="Palatino Linotype" w:eastAsia="Palatino Linotype" w:hAnsi="Palatino Linotype" w:cs="Palatino Linotype"/>
          <w:b/>
          <w:color w:val="000000"/>
          <w:sz w:val="24"/>
          <w:szCs w:val="24"/>
        </w:rPr>
      </w:pPr>
      <w:bookmarkStart w:id="7" w:name="_heading=h.1t3h5sf" w:colFirst="0" w:colLast="0"/>
      <w:bookmarkEnd w:id="7"/>
      <w:r w:rsidRPr="008561D8">
        <w:rPr>
          <w:rFonts w:ascii="Palatino Linotype" w:eastAsia="Palatino Linotype" w:hAnsi="Palatino Linotype" w:cs="Palatino Linotype"/>
          <w:b/>
          <w:color w:val="000000"/>
          <w:sz w:val="24"/>
          <w:szCs w:val="24"/>
        </w:rPr>
        <w:t>TERCERO. De las causales de sobreseimiento.</w:t>
      </w: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bookmarkStart w:id="8" w:name="_heading=h.4d34og8" w:colFirst="0" w:colLast="0"/>
      <w:bookmarkEnd w:id="8"/>
      <w:r w:rsidRPr="008561D8">
        <w:rPr>
          <w:rFonts w:ascii="Palatino Linotype" w:eastAsia="Palatino Linotype" w:hAnsi="Palatino Linotype" w:cs="Palatino Linotype"/>
          <w:color w:val="000000"/>
        </w:rPr>
        <w:t>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lastRenderedPageBreak/>
        <w:t xml:space="preserve">Para atender las solicitudes de información, los Sujetos Obligados contarán con un área denominada </w:t>
      </w:r>
      <w:r w:rsidRPr="008561D8">
        <w:rPr>
          <w:rFonts w:ascii="Palatino Linotype" w:eastAsia="Palatino Linotype" w:hAnsi="Palatino Linotype" w:cs="Palatino Linotype"/>
          <w:b/>
          <w:color w:val="000000"/>
        </w:rPr>
        <w:t>Unidad de Transparencia</w:t>
      </w:r>
      <w:r w:rsidRPr="008561D8">
        <w:rPr>
          <w:rFonts w:ascii="Palatino Linotype" w:eastAsia="Palatino Linotype" w:hAnsi="Palatino Linotype" w:cs="Palatino Linotype"/>
          <w:color w:val="000000"/>
          <w:vertAlign w:val="superscript"/>
        </w:rPr>
        <w:footnoteReference w:id="2"/>
      </w:r>
      <w:r w:rsidRPr="008561D8">
        <w:rPr>
          <w:rFonts w:ascii="Palatino Linotype" w:eastAsia="Palatino Linotype" w:hAnsi="Palatino Linotype" w:cs="Palatino Linotype"/>
          <w:color w:val="000000"/>
        </w:rPr>
        <w:t xml:space="preserve">, la cual será presidida por un Titular, quien fungirá como enlace entre éstos y los solicitantes. Dicha Unidad </w:t>
      </w:r>
      <w:r w:rsidRPr="008561D8">
        <w:rPr>
          <w:rFonts w:ascii="Palatino Linotype" w:eastAsia="Palatino Linotype" w:hAnsi="Palatino Linotype" w:cs="Palatino Linotype"/>
          <w:b/>
          <w:color w:val="000000"/>
        </w:rPr>
        <w:t>será la encargada de tramitar internamente la solicitud de información</w:t>
      </w:r>
      <w:r w:rsidRPr="008561D8">
        <w:rPr>
          <w:rFonts w:ascii="Palatino Linotype" w:eastAsia="Palatino Linotype" w:hAnsi="Palatino Linotype" w:cs="Palatino Linotype"/>
          <w:color w:val="000000"/>
        </w:rPr>
        <w:t xml:space="preserve"> y tendrá la alta responsabilidad de verificar, en cada caso, que la misma no sea confidencial o reservada. Asimismo, contará con las facultades internas necesarias para </w:t>
      </w:r>
      <w:r w:rsidRPr="008561D8">
        <w:rPr>
          <w:rFonts w:ascii="Palatino Linotype" w:eastAsia="Palatino Linotype" w:hAnsi="Palatino Linotype" w:cs="Palatino Linotype"/>
          <w:b/>
          <w:color w:val="000000"/>
        </w:rPr>
        <w:t xml:space="preserve">gestionar la atención a las solicitudes de información </w:t>
      </w:r>
      <w:r w:rsidRPr="008561D8">
        <w:rPr>
          <w:rFonts w:ascii="Palatino Linotype" w:eastAsia="Palatino Linotype" w:hAnsi="Palatino Linotype" w:cs="Palatino Linotype"/>
          <w:color w:val="000000"/>
        </w:rPr>
        <w:t>en los términos de la Ley General y la Ley de Transparencia y Acceso a la Información Pública del Estado de México y Municipios</w:t>
      </w:r>
      <w:r w:rsidRPr="008561D8">
        <w:rPr>
          <w:rFonts w:ascii="Palatino Linotype" w:eastAsia="Palatino Linotype" w:hAnsi="Palatino Linotype" w:cs="Palatino Linotype"/>
          <w:color w:val="000000"/>
          <w:vertAlign w:val="superscript"/>
        </w:rPr>
        <w:footnoteReference w:id="3"/>
      </w:r>
      <w:r w:rsidRPr="008561D8">
        <w:rPr>
          <w:rFonts w:ascii="Palatino Linotype" w:eastAsia="Palatino Linotype" w:hAnsi="Palatino Linotype" w:cs="Palatino Linotype"/>
          <w:color w:val="000000"/>
        </w:rPr>
        <w:t>.</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De conformidad con lo dispuesto por el artículo 53 de la Ley de Transparencia y Acceso a la Información Pública del Estado de México y Municipios, las Unidades de Transparencia tendrán, entre sus atribuciones, las siguientes:</w:t>
      </w:r>
    </w:p>
    <w:p w:rsidR="00560DC2" w:rsidRPr="008561D8" w:rsidRDefault="00560DC2" w:rsidP="00AA2280">
      <w:pPr>
        <w:numPr>
          <w:ilvl w:val="1"/>
          <w:numId w:val="1"/>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Recibir, tramitar y dar respuesta a las solicitudes de acceso a la información;</w:t>
      </w:r>
    </w:p>
    <w:p w:rsidR="00560DC2" w:rsidRPr="008561D8" w:rsidRDefault="00560DC2" w:rsidP="00AA2280">
      <w:pPr>
        <w:numPr>
          <w:ilvl w:val="1"/>
          <w:numId w:val="1"/>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 xml:space="preserve">Realizar, con efectividad, los trámites internos necesarios para la atención de las solicitudes de acceso a la información; </w:t>
      </w:r>
    </w:p>
    <w:p w:rsidR="00560DC2" w:rsidRPr="008561D8" w:rsidRDefault="00560DC2" w:rsidP="00AA2280">
      <w:pPr>
        <w:numPr>
          <w:ilvl w:val="1"/>
          <w:numId w:val="1"/>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 xml:space="preserve">Entregar, en su caso, a los particulares la información solicitada; y </w:t>
      </w:r>
    </w:p>
    <w:p w:rsidR="00560DC2" w:rsidRPr="008561D8" w:rsidRDefault="00560DC2" w:rsidP="00AA2280">
      <w:pPr>
        <w:numPr>
          <w:ilvl w:val="1"/>
          <w:numId w:val="1"/>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Efectuar las notificaciones a los solicitantes.</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Otros sujetos del proceso de atención a las solicitudes de información son los servidores públicos habilitados, quienes serán designados por la o el Titular del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a propuesta del responsable de la Unidad de Transparencia</w:t>
      </w:r>
      <w:r w:rsidRPr="008561D8">
        <w:rPr>
          <w:rFonts w:ascii="Palatino Linotype" w:eastAsia="Palatino Linotype" w:hAnsi="Palatino Linotype" w:cs="Palatino Linotype"/>
          <w:color w:val="000000"/>
          <w:vertAlign w:val="superscript"/>
        </w:rPr>
        <w:footnoteReference w:id="4"/>
      </w:r>
      <w:r w:rsidRPr="008561D8">
        <w:rPr>
          <w:rFonts w:ascii="Palatino Linotype" w:eastAsia="Palatino Linotype" w:hAnsi="Palatino Linotype" w:cs="Palatino Linotype"/>
          <w:color w:val="000000"/>
        </w:rPr>
        <w:t xml:space="preserve"> y tendrán, entre sus atribuciones, las siguientes</w:t>
      </w:r>
      <w:r w:rsidRPr="008561D8">
        <w:rPr>
          <w:rFonts w:ascii="Palatino Linotype" w:eastAsia="Palatino Linotype" w:hAnsi="Palatino Linotype" w:cs="Palatino Linotype"/>
          <w:color w:val="000000"/>
          <w:vertAlign w:val="superscript"/>
        </w:rPr>
        <w:footnoteReference w:id="5"/>
      </w:r>
      <w:r w:rsidRPr="008561D8">
        <w:rPr>
          <w:rFonts w:ascii="Palatino Linotype" w:eastAsia="Palatino Linotype" w:hAnsi="Palatino Linotype" w:cs="Palatino Linotype"/>
          <w:color w:val="000000"/>
        </w:rPr>
        <w:t>:</w:t>
      </w:r>
    </w:p>
    <w:p w:rsidR="00560DC2" w:rsidRPr="008561D8" w:rsidRDefault="00560DC2" w:rsidP="00AA2280">
      <w:pPr>
        <w:numPr>
          <w:ilvl w:val="1"/>
          <w:numId w:val="2"/>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lastRenderedPageBreak/>
        <w:t>Localizar la información que le solicite la Unidad de Transparencia; y</w:t>
      </w:r>
    </w:p>
    <w:p w:rsidR="00560DC2" w:rsidRPr="008561D8" w:rsidRDefault="00560DC2" w:rsidP="00AA2280">
      <w:pPr>
        <w:numPr>
          <w:ilvl w:val="1"/>
          <w:numId w:val="2"/>
        </w:numPr>
        <w:pBdr>
          <w:top w:val="nil"/>
          <w:left w:val="nil"/>
          <w:bottom w:val="nil"/>
          <w:right w:val="nil"/>
          <w:between w:val="nil"/>
        </w:pBdr>
        <w:tabs>
          <w:tab w:val="left" w:pos="426"/>
        </w:tabs>
        <w:spacing w:line="360" w:lineRule="auto"/>
        <w:ind w:left="1134" w:right="992"/>
        <w:jc w:val="both"/>
        <w:rPr>
          <w:rFonts w:ascii="Palatino Linotype" w:eastAsia="Palatino Linotype" w:hAnsi="Palatino Linotype" w:cs="Palatino Linotype"/>
          <w:color w:val="000000"/>
          <w:sz w:val="22"/>
        </w:rPr>
      </w:pPr>
      <w:r w:rsidRPr="008561D8">
        <w:rPr>
          <w:rFonts w:ascii="Palatino Linotype" w:eastAsia="Palatino Linotype" w:hAnsi="Palatino Linotype" w:cs="Palatino Linotype"/>
          <w:color w:val="000000"/>
          <w:sz w:val="22"/>
        </w:rPr>
        <w:t>Proporcionar la información que obre en los archivos y que le sea solicitada por la Unidad de Transparencia.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De tal manera que cada una de las áreas administrativas del </w:t>
      </w:r>
      <w:r w:rsidRPr="008561D8">
        <w:rPr>
          <w:rFonts w:ascii="Palatino Linotype" w:eastAsia="Palatino Linotype" w:hAnsi="Palatino Linotype" w:cs="Palatino Linotype"/>
          <w:b/>
          <w:color w:val="000000"/>
        </w:rPr>
        <w:t>SUJETO OBLIGADO</w:t>
      </w:r>
      <w:r w:rsidRPr="008561D8">
        <w:rPr>
          <w:rFonts w:ascii="Palatino Linotype" w:eastAsia="Palatino Linotype" w:hAnsi="Palatino Linotype" w:cs="Palatino Linotype"/>
          <w:color w:val="000000"/>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Establecido lo anterior, de la lectura a la solicitud de información </w:t>
      </w:r>
      <w:r w:rsidRPr="008561D8">
        <w:rPr>
          <w:rFonts w:ascii="Palatino Linotype" w:eastAsia="Palatino Linotype" w:hAnsi="Palatino Linotype" w:cs="Palatino Linotype"/>
          <w:b/>
          <w:bCs/>
          <w:color w:val="000000"/>
        </w:rPr>
        <w:t>00013/UPCI/IP/2024</w:t>
      </w:r>
      <w:r w:rsidRPr="008561D8">
        <w:rPr>
          <w:rFonts w:ascii="Palatino Linotype" w:eastAsia="Palatino Linotype" w:hAnsi="Palatino Linotype" w:cs="Palatino Linotype"/>
          <w:color w:val="000000"/>
        </w:rPr>
        <w:t xml:space="preserve">, se advierte que el </w:t>
      </w:r>
      <w:r w:rsidRPr="008561D8">
        <w:rPr>
          <w:rFonts w:ascii="Palatino Linotype" w:eastAsia="Palatino Linotype" w:hAnsi="Palatino Linotype" w:cs="Palatino Linotype"/>
          <w:b/>
          <w:bCs/>
          <w:color w:val="000000"/>
        </w:rPr>
        <w:t xml:space="preserve">Recurrente </w:t>
      </w:r>
      <w:r w:rsidRPr="008561D8">
        <w:rPr>
          <w:rFonts w:ascii="Palatino Linotype" w:eastAsia="Palatino Linotype" w:hAnsi="Palatino Linotype" w:cs="Palatino Linotype"/>
          <w:color w:val="000000"/>
        </w:rPr>
        <w:t xml:space="preserve">solicitó acceder a la siguiente información: </w:t>
      </w:r>
      <w:r w:rsidRPr="008561D8">
        <w:rPr>
          <w:rFonts w:ascii="Palatino Linotype" w:eastAsia="Palatino Linotype" w:hAnsi="Palatino Linotype" w:cs="Palatino Linotype"/>
          <w:b/>
          <w:bCs/>
          <w:i/>
          <w:color w:val="000000"/>
        </w:rPr>
        <w:t>“</w:t>
      </w:r>
      <w:r w:rsidRPr="008561D8">
        <w:rPr>
          <w:rFonts w:ascii="Palatino Linotype" w:hAnsi="Palatino Linotype"/>
          <w:b/>
          <w:bCs/>
          <w:i/>
          <w:color w:val="000000"/>
        </w:rPr>
        <w:t>Solicito el pago de la deuda</w:t>
      </w:r>
      <w:r w:rsidRPr="008561D8">
        <w:rPr>
          <w:rFonts w:ascii="Palatino Linotype" w:hAnsi="Palatino Linotype"/>
          <w:i/>
          <w:color w:val="000000"/>
        </w:rPr>
        <w:t xml:space="preserve"> que tiene la Universidad Politécnica de Cuautitlán Izcalli, respecto a los sueldos del ejercicio 2021 de la C. Jessica Montserrat García, así como del C. José Roberto García.</w:t>
      </w:r>
      <w:r w:rsidRPr="008561D8">
        <w:rPr>
          <w:rFonts w:ascii="Palatino Linotype" w:eastAsia="Palatino Linotype" w:hAnsi="Palatino Linotype" w:cs="Palatino Linotype"/>
          <w:i/>
          <w:color w:val="000000"/>
        </w:rPr>
        <w:t>” (Sic).</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En atención a lo anterior, el </w:t>
      </w:r>
      <w:r w:rsidRPr="008561D8">
        <w:rPr>
          <w:rFonts w:ascii="Palatino Linotype" w:eastAsia="Palatino Linotype" w:hAnsi="Palatino Linotype" w:cs="Palatino Linotype"/>
          <w:b/>
          <w:color w:val="000000"/>
        </w:rPr>
        <w:t xml:space="preserve">SUJETO OBLIGADO </w:t>
      </w:r>
      <w:r w:rsidRPr="008561D8">
        <w:rPr>
          <w:rFonts w:ascii="Palatino Linotype" w:eastAsia="Palatino Linotype" w:hAnsi="Palatino Linotype" w:cs="Palatino Linotype"/>
          <w:color w:val="000000"/>
        </w:rPr>
        <w:t>por medio de la</w:t>
      </w:r>
      <w:r w:rsidR="00845A65" w:rsidRPr="008561D8">
        <w:rPr>
          <w:rFonts w:ascii="Palatino Linotype" w:eastAsia="Palatino Linotype" w:hAnsi="Palatino Linotype" w:cs="Palatino Linotype"/>
          <w:color w:val="000000"/>
        </w:rPr>
        <w:t xml:space="preserve"> </w:t>
      </w:r>
      <w:r w:rsidRPr="008561D8">
        <w:rPr>
          <w:rFonts w:ascii="Palatino Linotype" w:hAnsi="Palatino Linotype"/>
        </w:rPr>
        <w:t xml:space="preserve"> Jefa de Departamento de Planeación e Igualdad de Género, emitió respuesta en los siguientes términos:</w:t>
      </w:r>
      <w:r w:rsidRPr="008561D8">
        <w:rPr>
          <w:rFonts w:ascii="Palatino Linotype" w:hAnsi="Palatino Linotype"/>
          <w:i/>
          <w:iCs/>
        </w:rPr>
        <w:t xml:space="preserve"> “… Una vez llevada a cabo la indagación de la solicitud con las unidades administrativas del Sujeto Obligado, denominado Universidad Politécnica de Cuautitlán Izcalli, me permito informar que con fundamento en la ley de Transparencia y Acceso a la información pública del estado de México y Municipios en los artículos 3 Fracciones IX Y XXI, artículo 24 Fracción VI así como el artículo 2 Fracciones 1, II, II, IV, Y V de la Ley de Protección de Datos Personales en Posesión de Sujetos Obligados del estado de México los artículo 2 fracción V, VI; 3 fracción IX y X así como el artículo 6; 24 fracción XIV; 86, 143 fracción 1, de la Ley de Transparencia y Acceso a la Información Pública del Estado de México y Municipios, así como el </w:t>
      </w:r>
      <w:proofErr w:type="spellStart"/>
      <w:r w:rsidRPr="008561D8">
        <w:rPr>
          <w:rFonts w:ascii="Palatino Linotype" w:hAnsi="Palatino Linotype"/>
          <w:i/>
          <w:iCs/>
        </w:rPr>
        <w:t>articulo</w:t>
      </w:r>
      <w:proofErr w:type="spellEnd"/>
      <w:r w:rsidRPr="008561D8">
        <w:rPr>
          <w:rFonts w:ascii="Palatino Linotype" w:hAnsi="Palatino Linotype"/>
          <w:i/>
          <w:iCs/>
        </w:rPr>
        <w:t xml:space="preserve"> 85 fracción I y </w:t>
      </w:r>
      <w:proofErr w:type="spellStart"/>
      <w:r w:rsidRPr="008561D8">
        <w:rPr>
          <w:rFonts w:ascii="Palatino Linotype" w:hAnsi="Palatino Linotype"/>
          <w:i/>
          <w:iCs/>
        </w:rPr>
        <w:t>IIl</w:t>
      </w:r>
      <w:proofErr w:type="spellEnd"/>
      <w:r w:rsidRPr="008561D8">
        <w:rPr>
          <w:rFonts w:ascii="Palatino Linotype" w:hAnsi="Palatino Linotype"/>
          <w:i/>
          <w:iCs/>
        </w:rPr>
        <w:t xml:space="preserve"> de la Ley General de Protección de Datos Personales en Posesión </w:t>
      </w:r>
      <w:r w:rsidRPr="008561D8">
        <w:rPr>
          <w:rFonts w:ascii="Palatino Linotype" w:hAnsi="Palatino Linotype"/>
          <w:i/>
          <w:iCs/>
        </w:rPr>
        <w:lastRenderedPageBreak/>
        <w:t>de Sujetos Obligados de las funciones de la Unidad de Transparencia y el numeral Trigésimo octavo, fracción I de los Lineamientos Generales de Clasificación y Desclasificación de la Información, así como para la elaboración de Versiones Públicas, que establece en el entendimiento de que cualquier información concerniente a una persona física identificada o identificable, en términos de la norma aplicable que, de manera enunciativa más no limitativa se pueden identificar.” (Sic)</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Inconforme con la respuesta, el </w:t>
      </w:r>
      <w:r w:rsidRPr="008561D8">
        <w:rPr>
          <w:rFonts w:ascii="Palatino Linotype" w:eastAsia="Palatino Linotype" w:hAnsi="Palatino Linotype" w:cs="Palatino Linotype"/>
          <w:b/>
          <w:color w:val="000000"/>
        </w:rPr>
        <w:t xml:space="preserve">Recurrente </w:t>
      </w:r>
      <w:r w:rsidRPr="008561D8">
        <w:rPr>
          <w:rFonts w:ascii="Palatino Linotype" w:eastAsia="Palatino Linotype" w:hAnsi="Palatino Linotype" w:cs="Palatino Linotype"/>
          <w:color w:val="000000"/>
        </w:rPr>
        <w:t xml:space="preserve">interpuso el recurso de revisión </w:t>
      </w:r>
      <w:r w:rsidRPr="008561D8">
        <w:rPr>
          <w:rFonts w:ascii="Palatino Linotype" w:eastAsia="Palatino Linotype" w:hAnsi="Palatino Linotype" w:cs="Palatino Linotype"/>
          <w:b/>
        </w:rPr>
        <w:t xml:space="preserve">03283/INFOEM/IP/RR/2024, </w:t>
      </w:r>
      <w:r w:rsidRPr="008561D8">
        <w:rPr>
          <w:rFonts w:ascii="Palatino Linotype" w:eastAsia="Palatino Linotype" w:hAnsi="Palatino Linotype" w:cs="Palatino Linotype"/>
        </w:rPr>
        <w:t xml:space="preserve">mediante el cual señaló como </w:t>
      </w:r>
      <w:r w:rsidR="00845A65" w:rsidRPr="008561D8">
        <w:rPr>
          <w:rFonts w:ascii="Palatino Linotype" w:eastAsia="Palatino Linotype" w:hAnsi="Palatino Linotype" w:cs="Palatino Linotype"/>
        </w:rPr>
        <w:t>razones</w:t>
      </w:r>
      <w:r w:rsidRPr="008561D8">
        <w:rPr>
          <w:rFonts w:ascii="Palatino Linotype" w:eastAsia="Palatino Linotype" w:hAnsi="Palatino Linotype" w:cs="Palatino Linotype"/>
        </w:rPr>
        <w:t xml:space="preserve"> o motivos de inconformidad: </w:t>
      </w:r>
      <w:r w:rsidRPr="008561D8">
        <w:rPr>
          <w:rFonts w:ascii="Palatino Linotype" w:eastAsia="Palatino Linotype" w:hAnsi="Palatino Linotype" w:cs="Palatino Linotype"/>
          <w:i/>
          <w:color w:val="000000"/>
        </w:rPr>
        <w:t>“</w:t>
      </w:r>
      <w:r w:rsidRPr="008561D8">
        <w:rPr>
          <w:rFonts w:ascii="Palatino Linotype" w:hAnsi="Palatino Linotype"/>
          <w:i/>
          <w:color w:val="000000"/>
        </w:rPr>
        <w:t>Oficio no interpretativo</w:t>
      </w:r>
      <w:r w:rsidRPr="008561D8">
        <w:rPr>
          <w:rFonts w:ascii="Palatino Linotype" w:hAnsi="Palatino Linotype"/>
          <w:b/>
          <w:bCs/>
          <w:i/>
          <w:color w:val="000000"/>
        </w:rPr>
        <w:t xml:space="preserve"> No se da una respuesta ante el adeudo que presente la UPCI. </w:t>
      </w:r>
      <w:r w:rsidRPr="008561D8">
        <w:rPr>
          <w:rFonts w:ascii="Palatino Linotype" w:hAnsi="Palatino Linotype"/>
          <w:i/>
          <w:color w:val="000000"/>
        </w:rPr>
        <w:t>No hay una comunicación clara y directa para dicho proceso.</w:t>
      </w:r>
      <w:r w:rsidRPr="008561D8">
        <w:rPr>
          <w:rFonts w:ascii="Palatino Linotype" w:eastAsia="Palatino Linotype" w:hAnsi="Palatino Linotype" w:cs="Palatino Linotype"/>
          <w:i/>
          <w:color w:val="000000"/>
        </w:rPr>
        <w:t>” (Sic)</w:t>
      </w:r>
      <w:r w:rsidRPr="008561D8">
        <w:rPr>
          <w:rFonts w:ascii="Palatino Linotype" w:eastAsia="Palatino Linotype" w:hAnsi="Palatino Linotype" w:cs="Palatino Linotype"/>
        </w:rPr>
        <w:t xml:space="preserve"> </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b/>
          <w:bCs/>
          <w:color w:val="000000"/>
        </w:rPr>
      </w:pPr>
      <w:r w:rsidRPr="008561D8">
        <w:rPr>
          <w:rFonts w:ascii="Palatino Linotype" w:eastAsia="Palatino Linotype" w:hAnsi="Palatino Linotype" w:cs="Palatino Linotype"/>
          <w:color w:val="000000"/>
        </w:rPr>
        <w:t xml:space="preserve">Así, mediante un acto jurídico posterior como lo es el informe justificado, el </w:t>
      </w:r>
      <w:r w:rsidRPr="008561D8">
        <w:rPr>
          <w:rFonts w:ascii="Palatino Linotype" w:eastAsia="Palatino Linotype" w:hAnsi="Palatino Linotype" w:cs="Palatino Linotype"/>
          <w:b/>
          <w:bCs/>
          <w:color w:val="000000"/>
        </w:rPr>
        <w:t>SUJETO OBLIGADO</w:t>
      </w:r>
      <w:r w:rsidRPr="008561D8">
        <w:rPr>
          <w:rFonts w:ascii="Palatino Linotype" w:eastAsia="Palatino Linotype" w:hAnsi="Palatino Linotype" w:cs="Palatino Linotype"/>
          <w:color w:val="000000"/>
        </w:rPr>
        <w:t xml:space="preserve"> por medio del Jefe de Departamento de Administración y Finanzas, refirió que después de realizar una búsqueda exhaustiva, </w:t>
      </w:r>
      <w:r w:rsidRPr="008561D8">
        <w:rPr>
          <w:rFonts w:ascii="Palatino Linotype" w:eastAsia="Palatino Linotype" w:hAnsi="Palatino Linotype" w:cs="Palatino Linotype"/>
          <w:b/>
          <w:bCs/>
          <w:color w:val="000000"/>
        </w:rPr>
        <w:t xml:space="preserve">no se cuenta con un documento que pueda ser proporcionado, toda vez que, la pretensión del </w:t>
      </w:r>
      <w:r w:rsidRPr="008561D8">
        <w:rPr>
          <w:rFonts w:ascii="Palatino Linotype" w:eastAsia="Palatino Linotype" w:hAnsi="Palatino Linotype" w:cs="Palatino Linotype"/>
          <w:b/>
          <w:bCs/>
        </w:rPr>
        <w:t>Recurrente consiste en obligar a la</w:t>
      </w:r>
      <w:r w:rsidRPr="008561D8">
        <w:rPr>
          <w:rFonts w:ascii="Palatino Linotype" w:hAnsi="Palatino Linotype"/>
          <w:b/>
          <w:bCs/>
        </w:rPr>
        <w:t xml:space="preserve"> Universidad Politécnica de Cuautitlán Izcalli</w:t>
      </w:r>
      <w:r w:rsidRPr="008561D8">
        <w:rPr>
          <w:rFonts w:ascii="Palatino Linotype" w:eastAsia="Palatino Linotype" w:hAnsi="Palatino Linotype" w:cs="Palatino Linotype"/>
          <w:b/>
          <w:bCs/>
        </w:rPr>
        <w:t xml:space="preserve"> a realizar el pago de un adeudo.</w:t>
      </w:r>
      <w:r w:rsidRPr="008561D8">
        <w:rPr>
          <w:rFonts w:ascii="Palatino Linotype" w:eastAsia="Palatino Linotype" w:hAnsi="Palatino Linotype" w:cs="Palatino Linotype"/>
          <w:b/>
          <w:bCs/>
          <w:color w:val="000000"/>
        </w:rPr>
        <w:t xml:space="preserve"> </w:t>
      </w:r>
      <w:r w:rsidRPr="008561D8">
        <w:rPr>
          <w:rFonts w:ascii="Palatino Linotype" w:eastAsia="Palatino Linotype" w:hAnsi="Palatino Linotype" w:cs="Palatino Linotype"/>
        </w:rPr>
        <w:t>Asimismo, señaló que el Sistema de Acceso a la Información Mexiquense (SAIMEX), no es el medio para ejercer la realización de cobranzas o determinación de aclaraciones sobre el estatus o existencia de adeudos.</w:t>
      </w:r>
    </w:p>
    <w:p w:rsidR="00560DC2" w:rsidRPr="008561D8" w:rsidRDefault="00560DC2" w:rsidP="00560DC2">
      <w:pPr>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Precisado lo anterior, </w:t>
      </w:r>
      <w:r w:rsidRPr="008561D8">
        <w:rPr>
          <w:rFonts w:ascii="Palatino Linotype" w:eastAsiaTheme="minorEastAsia" w:hAnsi="Palatino Linotype" w:cs="Arial"/>
          <w:lang w:val="es-ES_tradnl" w:eastAsia="es-ES"/>
        </w:rPr>
        <w:t xml:space="preserve">se aprecia a simple vista que, el requerimiento no constituye un derecho de acceso a la información pública, por lo tanto, no es atendible mediante una solicitud de Acceso a la Información, porque se trata de </w:t>
      </w:r>
      <w:r w:rsidRPr="008561D8">
        <w:rPr>
          <w:rFonts w:ascii="Palatino Linotype" w:eastAsiaTheme="minorEastAsia" w:hAnsi="Palatino Linotype" w:cs="Arial"/>
          <w:b/>
          <w:bCs/>
          <w:lang w:val="es-ES_tradnl" w:eastAsia="es-ES"/>
        </w:rPr>
        <w:t>manifestaciones,</w:t>
      </w:r>
      <w:r w:rsidRPr="008561D8">
        <w:rPr>
          <w:rFonts w:ascii="Palatino Linotype" w:eastAsiaTheme="minorEastAsia" w:hAnsi="Palatino Linotype" w:cs="Arial"/>
          <w:lang w:val="es-ES_tradnl" w:eastAsia="es-ES"/>
        </w:rPr>
        <w:t xml:space="preserve"> interrogantes y declaraciones que, en efecto, no se colman con la entrega de documentos, situación que conlleva a afirmar que se está en presencia del ejercicio del derecho de petición.</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lastRenderedPageBreak/>
        <w:t>Por lo que,</w:t>
      </w:r>
      <w:r w:rsidRPr="008561D8">
        <w:rPr>
          <w:rFonts w:ascii="Palatino Linotype" w:eastAsia="MS Mincho" w:hAnsi="Palatino Linotype" w:cstheme="majorBidi"/>
          <w:lang w:val="es-ES_tradnl" w:eastAsia="es-ES"/>
        </w:rPr>
        <w:t xml:space="preserve"> la entrega de una razón o un razonamiento por parte del </w:t>
      </w:r>
      <w:r w:rsidRPr="008561D8">
        <w:rPr>
          <w:rFonts w:ascii="Palatino Linotype" w:eastAsia="MS Mincho" w:hAnsi="Palatino Linotype" w:cstheme="majorBidi"/>
          <w:b/>
          <w:bCs/>
          <w:lang w:val="es-ES_tradnl" w:eastAsia="es-ES"/>
        </w:rPr>
        <w:t>SUJETO OBLIGADO</w:t>
      </w:r>
      <w:r w:rsidRPr="008561D8">
        <w:rPr>
          <w:rFonts w:ascii="Palatino Linotype" w:eastAsia="MS Mincho" w:hAnsi="Palatino Linotype" w:cstheme="majorBidi"/>
          <w:lang w:val="es-ES_tradnl" w:eastAsia="es-ES"/>
        </w:rPr>
        <w:t xml:space="preserve"> no es algo que la ley establezca como atribución, derecho, o facultad; pues ello implicaría un juicio de valor referente a un cuestionamiento realizado, el cual, al constituir interrogantes, inquietudes y manifestaciones se satisfacen vía </w:t>
      </w:r>
      <w:r w:rsidRPr="008561D8">
        <w:rPr>
          <w:rFonts w:ascii="Palatino Linotype" w:eastAsia="MS Mincho" w:hAnsi="Palatino Linotype" w:cstheme="majorBidi"/>
          <w:b/>
          <w:bCs/>
          <w:lang w:val="es-ES_tradnl" w:eastAsia="es-ES"/>
        </w:rPr>
        <w:t>derecho de petición.</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En este sentido, </w:t>
      </w:r>
      <w:r w:rsidRPr="008561D8">
        <w:rPr>
          <w:rFonts w:ascii="Palatino Linotype" w:eastAsia="MS Mincho" w:hAnsi="Palatino Linotype" w:cstheme="majorBidi"/>
          <w:lang w:val="es-ES_tradnl" w:eastAsia="es-ES"/>
        </w:rPr>
        <w:t>es importante dejar en claro lo que debe entenderse por derecho de petición y por derecho de acceso a la información pública.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pStyle w:val="Prrafodelista"/>
        <w:numPr>
          <w:ilvl w:val="0"/>
          <w:numId w:val="4"/>
        </w:numPr>
        <w:spacing w:line="360" w:lineRule="auto"/>
        <w:ind w:right="49"/>
        <w:jc w:val="both"/>
        <w:rPr>
          <w:rFonts w:ascii="Palatino Linotype" w:eastAsia="Calibri" w:hAnsi="Palatino Linotype" w:cs="Tahoma"/>
          <w:b/>
          <w:bCs/>
          <w:i/>
          <w:iCs/>
          <w:color w:val="000000"/>
          <w:lang w:val="es-ES"/>
        </w:rPr>
      </w:pPr>
      <w:r w:rsidRPr="008561D8">
        <w:rPr>
          <w:rFonts w:ascii="Palatino Linotype" w:eastAsia="Calibri" w:hAnsi="Palatino Linotype" w:cs="Tahoma"/>
          <w:b/>
          <w:bCs/>
          <w:i/>
          <w:iCs/>
          <w:color w:val="000000"/>
          <w:lang w:val="es-ES"/>
        </w:rPr>
        <w:t>El derecho de petición y acceso a la información pública.</w:t>
      </w: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Por lo </w:t>
      </w:r>
      <w:r w:rsidRPr="008561D8">
        <w:rPr>
          <w:rFonts w:ascii="Palatino Linotype" w:eastAsia="MS Mincho" w:hAnsi="Palatino Linotype" w:cstheme="majorBidi"/>
          <w:lang w:val="es-ES_tradnl" w:eastAsia="es-ES"/>
        </w:rPr>
        <w:t>que respecta a la definición de derecho de petición, el Maestro Ignacio Burgoa Orihuela refiere: “…</w:t>
      </w:r>
      <w:r w:rsidRPr="008561D8">
        <w:rPr>
          <w:rFonts w:ascii="Palatino Linotype" w:eastAsia="MS Mincho" w:hAnsi="Palatino Linotype" w:cstheme="majorBidi"/>
          <w:i/>
          <w:lang w:val="es-ES_tradnl" w:eastAsia="es-ES"/>
        </w:rPr>
        <w:t>es un Derecho Público subjetivo individual de la Garantía Respectiva Consagrada en el Artículo 8 de la Ley Fundamental. En tal virtud, la persona tiene la facultad de acudir a cualquier autoridad, formulando una solicitud o instancia escrito de cualquier índole, la cual adopta, específicamente, el carácter de simple petición administrativa, acción o recurso, etc.</w:t>
      </w:r>
      <w:r w:rsidRPr="008561D8">
        <w:rPr>
          <w:rStyle w:val="Refdenotaalpie"/>
          <w:rFonts w:ascii="Palatino Linotype" w:eastAsia="MS Mincho" w:hAnsi="Palatino Linotype" w:cstheme="majorBidi"/>
          <w:i/>
          <w:lang w:val="es-ES_tradnl" w:eastAsia="es-ES"/>
        </w:rPr>
        <w:footnoteReference w:id="6"/>
      </w:r>
      <w:r w:rsidRPr="008561D8">
        <w:rPr>
          <w:rFonts w:ascii="Palatino Linotype" w:eastAsia="MS Mincho" w:hAnsi="Palatino Linotype" w:cstheme="majorBidi"/>
          <w:i/>
          <w:lang w:val="es-ES_tradnl" w:eastAsia="es-ES"/>
        </w:rPr>
        <w:t xml:space="preserve">  “.</w:t>
      </w:r>
    </w:p>
    <w:p w:rsidR="00845A65" w:rsidRPr="008561D8" w:rsidRDefault="00845A65" w:rsidP="00845A65">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Por su parte, </w:t>
      </w:r>
      <w:r w:rsidRPr="008561D8">
        <w:rPr>
          <w:rFonts w:ascii="Palatino Linotype" w:eastAsia="MS Mincho" w:hAnsi="Palatino Linotype" w:cstheme="majorBidi"/>
          <w:lang w:val="es-ES_tradnl" w:eastAsia="es-ES"/>
        </w:rPr>
        <w:t xml:space="preserve">David Cienfuegos Salgado, concibe al derecho de petición como </w:t>
      </w:r>
      <w:r w:rsidRPr="008561D8">
        <w:rPr>
          <w:rFonts w:ascii="Palatino Linotype" w:eastAsia="MS Mincho" w:hAnsi="Palatino Linotype" w:cstheme="majorBidi"/>
          <w:i/>
          <w:lang w:val="es-ES_tradnl" w:eastAsia="es-ES"/>
        </w:rPr>
        <w:t>“el derecho de toda persona a ser escuchado por quienes ejercen el poder público</w:t>
      </w:r>
      <w:proofErr w:type="gramStart"/>
      <w:r w:rsidRPr="008561D8">
        <w:rPr>
          <w:rFonts w:ascii="Palatino Linotype" w:eastAsia="MS Mincho" w:hAnsi="Palatino Linotype" w:cstheme="majorBidi"/>
          <w:i/>
          <w:lang w:val="es-ES_tradnl" w:eastAsia="es-ES"/>
        </w:rPr>
        <w:t xml:space="preserve">. </w:t>
      </w:r>
      <w:proofErr w:type="gramEnd"/>
      <w:r w:rsidRPr="008561D8">
        <w:rPr>
          <w:rStyle w:val="Refdenotaalpie"/>
          <w:rFonts w:ascii="Palatino Linotype" w:eastAsia="MS Mincho" w:hAnsi="Palatino Linotype" w:cstheme="majorBidi"/>
          <w:i/>
          <w:lang w:val="es-ES_tradnl" w:eastAsia="es-ES"/>
        </w:rPr>
        <w:footnoteReference w:id="7"/>
      </w:r>
      <w:r w:rsidRPr="008561D8">
        <w:rPr>
          <w:rFonts w:ascii="Palatino Linotype" w:eastAsia="MS Mincho" w:hAnsi="Palatino Linotype" w:cstheme="majorBidi"/>
          <w:i/>
          <w:lang w:val="es-ES_tradnl" w:eastAsia="es-ES"/>
        </w:rPr>
        <w:t>” (Sic)</w:t>
      </w:r>
    </w:p>
    <w:p w:rsidR="00560DC2" w:rsidRPr="008561D8" w:rsidRDefault="00560DC2" w:rsidP="00560DC2">
      <w:pPr>
        <w:rPr>
          <w:rFonts w:ascii="Palatino Linotype" w:eastAsia="Calibri" w:hAnsi="Palatino Linotype" w:cs="Tahoma"/>
          <w:color w:val="000000"/>
          <w:lang w:val="es-ES"/>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Luego entonces, </w:t>
      </w:r>
      <w:r w:rsidRPr="008561D8">
        <w:rPr>
          <w:rFonts w:ascii="Palatino Linotype" w:eastAsia="MS Mincho" w:hAnsi="Palatino Linotype" w:cstheme="majorBidi"/>
          <w:lang w:val="es-ES_tradnl" w:eastAsia="es-ES"/>
        </w:rPr>
        <w:t xml:space="preserve">para diferenciar el derecho de petición al derecho de acceso a la información, resulta conducente señalar que José Guadalupe Robles, conceptualiza el derecho a la información como </w:t>
      </w:r>
      <w:r w:rsidRPr="008561D8">
        <w:rPr>
          <w:rFonts w:ascii="Palatino Linotype" w:eastAsia="MS Mincho" w:hAnsi="Palatino Linotype" w:cstheme="majorBidi"/>
          <w:i/>
          <w:lang w:val="es-ES_tradnl" w:eastAsia="es-ES"/>
        </w:rPr>
        <w:t xml:space="preserve">“un derecho fundamental tanto de carácter individual como colectivo, cuyas limitaciones deben estar establecidas en la ley, así como una garantía de que la información sea transmitida con claridad y objetividad, por cuanto a que es un bien jurídico que </w:t>
      </w:r>
      <w:r w:rsidRPr="008561D8">
        <w:rPr>
          <w:rFonts w:ascii="Palatino Linotype" w:eastAsia="MS Mincho" w:hAnsi="Palatino Linotype" w:cstheme="majorBidi"/>
          <w:i/>
          <w:lang w:val="es-ES_tradnl" w:eastAsia="es-ES"/>
        </w:rPr>
        <w:lastRenderedPageBreak/>
        <w:t xml:space="preserve">coadyuva al desarrollo de las personas y a la formación de opinión pública de calidad para poder participar y luego influir en la vida pública. </w:t>
      </w:r>
      <w:r w:rsidRPr="008561D8">
        <w:rPr>
          <w:rStyle w:val="Refdenotaalpie"/>
          <w:rFonts w:ascii="Palatino Linotype" w:eastAsia="MS Mincho" w:hAnsi="Palatino Linotype" w:cstheme="majorBidi"/>
          <w:i/>
          <w:lang w:val="es-ES_tradnl" w:eastAsia="es-ES"/>
        </w:rPr>
        <w:footnoteReference w:id="8"/>
      </w:r>
      <w:r w:rsidRPr="008561D8">
        <w:rPr>
          <w:rFonts w:ascii="Palatino Linotype" w:eastAsia="MS Mincho" w:hAnsi="Palatino Linotype" w:cstheme="majorBidi"/>
          <w:i/>
          <w:lang w:val="es-ES_tradnl" w:eastAsia="es-ES"/>
        </w:rPr>
        <w:t>“(Sic)</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Además, </w:t>
      </w:r>
      <w:r w:rsidRPr="008561D8">
        <w:rPr>
          <w:rFonts w:ascii="Palatino Linotype" w:eastAsia="MS Mincho" w:hAnsi="Palatino Linotype" w:cstheme="majorBidi"/>
          <w:lang w:val="es-ES_tradnl" w:eastAsia="es-ES"/>
        </w:rPr>
        <w:t xml:space="preserve">el derecho a la información constituye una prerrogativa a acceder a documentación en poder de los Sujetos Obligados, no así a realizar cuestionamientos, o manifestaciones subjetivas. Sirve de apoyo a lo anterior la definición de derecho a la información de Ernesto Villanueva </w:t>
      </w:r>
      <w:proofErr w:type="spellStart"/>
      <w:r w:rsidRPr="008561D8">
        <w:rPr>
          <w:rFonts w:ascii="Palatino Linotype" w:eastAsia="MS Mincho" w:hAnsi="Palatino Linotype" w:cstheme="majorBidi"/>
          <w:lang w:val="es-ES_tradnl" w:eastAsia="es-ES"/>
        </w:rPr>
        <w:t>Villanueva</w:t>
      </w:r>
      <w:proofErr w:type="spellEnd"/>
      <w:r w:rsidRPr="008561D8">
        <w:rPr>
          <w:rFonts w:ascii="Palatino Linotype" w:eastAsia="MS Mincho" w:hAnsi="Palatino Linotype" w:cstheme="majorBidi"/>
          <w:lang w:val="es-ES_tradnl" w:eastAsia="es-ES"/>
        </w:rPr>
        <w:t xml:space="preserve"> que dice:</w:t>
      </w:r>
      <w:r w:rsidRPr="008561D8">
        <w:rPr>
          <w:rFonts w:ascii="Palatino Linotype" w:eastAsia="MS Mincho" w:hAnsi="Palatino Linotype" w:cstheme="majorBidi"/>
          <w:i/>
          <w:lang w:val="es-ES_tradnl" w:eastAsia="es-ES"/>
        </w:rPr>
        <w:t xml:space="preserve"> “la prerrogativa de la persona para acceder a datos, registros y todo tipo de informaciones en poder de entidades públicas y empresas privadas que ejercen gasto público o cumplen funciones de autoridad, con las excepciones taxativas que establezca la ley en una sociedad democrática.</w:t>
      </w:r>
      <w:r w:rsidRPr="008561D8">
        <w:rPr>
          <w:rStyle w:val="Refdenotaalpie"/>
          <w:rFonts w:ascii="Palatino Linotype" w:eastAsia="MS Mincho" w:hAnsi="Palatino Linotype" w:cstheme="majorBidi"/>
          <w:i/>
          <w:lang w:val="es-ES_tradnl" w:eastAsia="es-ES"/>
        </w:rPr>
        <w:footnoteReference w:id="9"/>
      </w:r>
      <w:r w:rsidRPr="008561D8">
        <w:rPr>
          <w:rFonts w:ascii="Palatino Linotype" w:eastAsia="MS Mincho" w:hAnsi="Palatino Linotype" w:cstheme="majorBidi"/>
          <w:i/>
          <w:lang w:val="es-ES_tradnl" w:eastAsia="es-ES"/>
        </w:rPr>
        <w:t xml:space="preserve">” (Sic) </w:t>
      </w:r>
    </w:p>
    <w:p w:rsidR="00560DC2" w:rsidRPr="008561D8" w:rsidRDefault="00560DC2" w:rsidP="00560DC2">
      <w:pPr>
        <w:rPr>
          <w:rFonts w:ascii="Palatino Linotype" w:eastAsia="Calibri" w:hAnsi="Palatino Linotype" w:cs="Tahoma"/>
          <w:color w:val="000000"/>
          <w:lang w:val="es-ES"/>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rPr>
        <w:t xml:space="preserve">Al respecto, es conveniente señalar que los Sujetos Obligados, no están constreñidos a generar documentos </w:t>
      </w:r>
      <w:r w:rsidRPr="008561D8">
        <w:rPr>
          <w:rFonts w:ascii="Palatino Linotype" w:hAnsi="Palatino Linotype"/>
          <w:b/>
          <w:i/>
        </w:rPr>
        <w:t>ad hoc</w:t>
      </w:r>
      <w:r w:rsidRPr="008561D8">
        <w:rPr>
          <w:rFonts w:ascii="Palatino Linotype" w:hAnsi="Palatino Linotype"/>
        </w:rPr>
        <w:t>, para responder a las solicitudes de información que les sean formuladas.</w:t>
      </w:r>
    </w:p>
    <w:p w:rsidR="00560DC2" w:rsidRPr="008561D8" w:rsidRDefault="00560DC2" w:rsidP="00560DC2">
      <w:pPr>
        <w:rPr>
          <w:rFonts w:ascii="Palatino Linotype" w:eastAsia="Calibri" w:hAnsi="Palatino Linotype" w:cs="Tahoma"/>
          <w:color w:val="000000"/>
          <w:lang w:val="es-ES"/>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Ahora bien, </w:t>
      </w:r>
      <w:r w:rsidRPr="008561D8">
        <w:rPr>
          <w:rFonts w:ascii="Palatino Linotype" w:eastAsia="MS Mincho" w:hAnsi="Palatino Linotype" w:cstheme="majorBidi"/>
          <w:lang w:val="es-ES_tradnl" w:eastAsia="es-ES"/>
        </w:rPr>
        <w:t>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rsidR="00560DC2" w:rsidRPr="008561D8" w:rsidRDefault="00560DC2" w:rsidP="00845A65">
      <w:pPr>
        <w:tabs>
          <w:tab w:val="left" w:pos="8222"/>
        </w:tabs>
        <w:ind w:left="567" w:right="992"/>
        <w:contextualSpacing/>
        <w:jc w:val="center"/>
        <w:rPr>
          <w:rFonts w:ascii="Palatino Linotype" w:eastAsia="MS Mincho" w:hAnsi="Palatino Linotype" w:cstheme="majorBidi"/>
          <w:b/>
          <w:i/>
          <w:sz w:val="22"/>
          <w:lang w:val="es-ES_tradnl" w:eastAsia="es-ES"/>
        </w:rPr>
      </w:pPr>
      <w:r w:rsidRPr="008561D8">
        <w:rPr>
          <w:rFonts w:ascii="Palatino Linotype" w:eastAsia="MS Mincho" w:hAnsi="Palatino Linotype" w:cstheme="majorBidi"/>
          <w:b/>
          <w:i/>
          <w:sz w:val="22"/>
          <w:lang w:val="es-ES_tradnl" w:eastAsia="es-ES"/>
        </w:rPr>
        <w:t>“CRITERIO 0002-11</w:t>
      </w: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r w:rsidRPr="008561D8">
        <w:rPr>
          <w:rFonts w:ascii="Palatino Linotype" w:eastAsia="MS Mincho" w:hAnsi="Palatino Linotype" w:cstheme="majorBidi"/>
          <w:b/>
          <w:i/>
          <w:sz w:val="22"/>
          <w:lang w:val="es-ES_tradnl" w:eastAsia="es-ES"/>
        </w:rPr>
        <w:t>INFORMACIÓN PÚBLICA, CONCEPTO DE, EN MATERIA DE TRANSPARENCIA. INTERPRETACIÓN TEMÁTICA DE LOS ARTÍCULOS 2, FRACCIÓN V, XV, Y XVI, 3, 4, 11 Y 41.</w:t>
      </w:r>
      <w:r w:rsidRPr="008561D8">
        <w:rPr>
          <w:rFonts w:ascii="Palatino Linotype" w:eastAsia="MS Mincho" w:hAnsi="Palatino Linotype" w:cstheme="majorBidi"/>
          <w:i/>
          <w:sz w:val="22"/>
          <w:lang w:val="es-ES_tradnl" w:eastAsia="es-ES"/>
        </w:rPr>
        <w:t xml:space="preserve"> De conformidad con los artículos antes referidos, </w:t>
      </w:r>
      <w:r w:rsidRPr="008561D8">
        <w:rPr>
          <w:rFonts w:ascii="Palatino Linotype" w:eastAsia="MS Mincho" w:hAnsi="Palatino Linotype" w:cstheme="majorBidi"/>
          <w:i/>
          <w:sz w:val="22"/>
          <w:lang w:val="es-ES_tradnl" w:eastAsia="es-ES"/>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r w:rsidRPr="008561D8">
        <w:rPr>
          <w:rFonts w:ascii="Palatino Linotype" w:eastAsia="MS Mincho" w:hAnsi="Palatino Linotype" w:cstheme="majorBidi"/>
          <w:i/>
          <w:sz w:val="22"/>
          <w:lang w:val="es-ES_tradnl" w:eastAsia="es-ES"/>
        </w:rPr>
        <w:t>En consecuencia el acceso a la información se refiere a que se cumplan cualquiera de los siguientes tres supuestos:</w:t>
      </w: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r w:rsidRPr="008561D8">
        <w:rPr>
          <w:rFonts w:ascii="Palatino Linotype" w:eastAsia="MS Mincho" w:hAnsi="Palatino Linotype" w:cstheme="majorBidi"/>
          <w:i/>
          <w:sz w:val="22"/>
          <w:lang w:val="es-ES_tradnl" w:eastAsia="es-ES"/>
        </w:rPr>
        <w:t>Que se trate de información registrada en cualquier soporte documental, que en ejercicio de las atribuciones conferidas, sea generada por los Sujetos Obligados;</w:t>
      </w: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r w:rsidRPr="008561D8">
        <w:rPr>
          <w:rFonts w:ascii="Palatino Linotype" w:eastAsia="MS Mincho" w:hAnsi="Palatino Linotype" w:cstheme="majorBidi"/>
          <w:i/>
          <w:sz w:val="22"/>
          <w:lang w:val="es-ES_tradnl" w:eastAsia="es-ES"/>
        </w:rPr>
        <w:t>Que se trate de información registrada en cualquier soporte documental, que en ejercicio de las atribuciones conferidas, sea administrada por los Sujetos Obligados, y</w:t>
      </w:r>
    </w:p>
    <w:p w:rsidR="00560DC2" w:rsidRPr="008561D8" w:rsidRDefault="00560DC2" w:rsidP="00845A65">
      <w:pPr>
        <w:tabs>
          <w:tab w:val="left" w:pos="8222"/>
        </w:tabs>
        <w:ind w:left="567" w:right="992"/>
        <w:contextualSpacing/>
        <w:jc w:val="both"/>
        <w:rPr>
          <w:rFonts w:ascii="Palatino Linotype" w:eastAsia="MS Mincho" w:hAnsi="Palatino Linotype" w:cstheme="majorBidi"/>
          <w:i/>
          <w:sz w:val="22"/>
          <w:lang w:val="es-ES_tradnl" w:eastAsia="es-ES"/>
        </w:rPr>
      </w:pPr>
    </w:p>
    <w:p w:rsidR="00560DC2" w:rsidRPr="008561D8" w:rsidRDefault="00560DC2" w:rsidP="00845A65">
      <w:pPr>
        <w:ind w:left="567" w:right="992"/>
        <w:contextualSpacing/>
        <w:jc w:val="both"/>
        <w:rPr>
          <w:rFonts w:ascii="Palatino Linotype" w:eastAsia="Calibri" w:hAnsi="Palatino Linotype" w:cs="Tahoma"/>
          <w:color w:val="000000"/>
          <w:sz w:val="22"/>
          <w:lang w:val="es-ES"/>
        </w:rPr>
      </w:pPr>
      <w:r w:rsidRPr="008561D8">
        <w:rPr>
          <w:rFonts w:ascii="Palatino Linotype" w:eastAsia="MS Mincho" w:hAnsi="Palatino Linotype" w:cstheme="majorBidi"/>
          <w:i/>
          <w:sz w:val="22"/>
          <w:lang w:val="es-ES_tradnl" w:eastAsia="es-ES"/>
        </w:rPr>
        <w:t>Que se trate de información registrada en cualquier soporte documental, que en ejercicio de las atribuciones conferidas, se encuentre en posesión de los Sujetos Obligados</w:t>
      </w:r>
      <w:r w:rsidRPr="008561D8">
        <w:rPr>
          <w:rFonts w:ascii="Palatino Linotype" w:eastAsia="MS Mincho" w:hAnsi="Palatino Linotype" w:cstheme="majorBidi"/>
          <w:sz w:val="22"/>
          <w:lang w:val="es-ES_tradnl" w:eastAsia="es-ES"/>
        </w:rPr>
        <w:t>.”</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Tahoma"/>
          <w:color w:val="000000"/>
          <w:lang w:val="es-ES"/>
        </w:rPr>
        <w:t xml:space="preserve">De </w:t>
      </w:r>
      <w:r w:rsidRPr="008561D8">
        <w:rPr>
          <w:rFonts w:ascii="Palatino Linotype" w:eastAsia="MS Mincho" w:hAnsi="Palatino Linotype" w:cstheme="majorBidi"/>
          <w:lang w:val="es-ES_tradnl" w:eastAsia="es-ES"/>
        </w:rPr>
        <w:t>lo anterior, se puede concluir que la distinción entre el derecho de petición y el derecho de acceso a la información estriba, principalmente, en que en el primero de ellos la pretensión del peticionario consiste generalmente en obligar a la autoridad responsable a que actúe en el sentido de contestar lo solicitado; mientras que en el segundo supuesto, la petición se encamina primordialmente a permitir el acceso a datos, registros y todo tipo de información pública que conste en documentos, sea generada o se encuentre en posesión de la autoridad.</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cs="Arial"/>
        </w:rPr>
        <w:t>Así las cosas, se reitera que en la solicitud de información presentada en el</w:t>
      </w:r>
      <w:r w:rsidRPr="008561D8">
        <w:rPr>
          <w:rFonts w:ascii="Palatino Linotype" w:hAnsi="Palatino Linotype" w:cs="Arial"/>
          <w:b/>
        </w:rPr>
        <w:t xml:space="preserve"> SAIMEX,</w:t>
      </w:r>
      <w:r w:rsidRPr="008561D8">
        <w:rPr>
          <w:rFonts w:ascii="Palatino Linotype" w:hAnsi="Palatino Linotype" w:cs="Arial"/>
        </w:rPr>
        <w:t xml:space="preserve"> </w:t>
      </w:r>
      <w:r w:rsidRPr="008561D8">
        <w:rPr>
          <w:rFonts w:ascii="Palatino Linotype" w:hAnsi="Palatino Linotype" w:cs="Arial"/>
          <w:bCs/>
        </w:rPr>
        <w:t xml:space="preserve">el </w:t>
      </w:r>
      <w:r w:rsidRPr="008561D8">
        <w:rPr>
          <w:rFonts w:ascii="Palatino Linotype" w:hAnsi="Palatino Linotype" w:cs="Arial"/>
          <w:b/>
        </w:rPr>
        <w:t>Recurrente</w:t>
      </w:r>
      <w:r w:rsidRPr="008561D8">
        <w:rPr>
          <w:rFonts w:ascii="Palatino Linotype" w:hAnsi="Palatino Linotype" w:cs="Arial"/>
        </w:rPr>
        <w:t xml:space="preserve"> requirió una razón, o bien, un razonamiento por parte del</w:t>
      </w:r>
      <w:r w:rsidRPr="008561D8">
        <w:rPr>
          <w:rFonts w:ascii="Palatino Linotype" w:hAnsi="Palatino Linotype" w:cs="Arial"/>
          <w:b/>
        </w:rPr>
        <w:t xml:space="preserve"> SUJETO OBLIGADO</w:t>
      </w:r>
      <w:r w:rsidRPr="008561D8">
        <w:rPr>
          <w:rFonts w:ascii="Palatino Linotype" w:hAnsi="Palatino Linotype" w:cs="Arial"/>
        </w:rPr>
        <w:t>.</w:t>
      </w:r>
    </w:p>
    <w:p w:rsidR="00560DC2" w:rsidRPr="008561D8" w:rsidRDefault="00560DC2" w:rsidP="00560DC2">
      <w:pPr>
        <w:rPr>
          <w:rFonts w:ascii="Palatino Linotype" w:hAnsi="Palatino Linotype" w:cs="Arial"/>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cs="Arial"/>
        </w:rPr>
        <w:t>Por lo que, la entrega de una razón o un razonamiento por parte del</w:t>
      </w:r>
      <w:r w:rsidRPr="008561D8">
        <w:rPr>
          <w:rFonts w:ascii="Palatino Linotype" w:hAnsi="Palatino Linotype" w:cs="Arial"/>
          <w:b/>
        </w:rPr>
        <w:t xml:space="preserve"> SUJETO OBLIGADO</w:t>
      </w:r>
      <w:r w:rsidRPr="008561D8">
        <w:rPr>
          <w:rFonts w:ascii="Palatino Linotype" w:hAnsi="Palatino Linotype" w:cs="Arial"/>
        </w:rPr>
        <w:t xml:space="preserve"> no es algo que la ley establezca como atribución, derecho, o facultad; pues ello implicaría un juicio de valor referente a un cuestionamiento realizado, los cuales, al constituir </w:t>
      </w:r>
      <w:r w:rsidRPr="008561D8">
        <w:rPr>
          <w:rFonts w:ascii="Palatino Linotype" w:hAnsi="Palatino Linotype" w:cs="Arial"/>
        </w:rPr>
        <w:lastRenderedPageBreak/>
        <w:t>interrogantes, inquietudes y manifestaciones se satisfacen vía derecho de petición, y no así, a través del ejercicio del derecho a acceder a información pública.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cs="Arial"/>
          <w:color w:val="000000"/>
        </w:rPr>
        <w:t xml:space="preserve">Entonces, al tratarse de un derecho de petición estamos en presencia de una consulta que se aleja del derecho de acceso a la información pública, actualizando lo dispuesto en el artículo 191 fracción VI </w:t>
      </w:r>
      <w:r w:rsidRPr="008561D8">
        <w:rPr>
          <w:rFonts w:ascii="Palatino Linotype" w:eastAsia="Calibri" w:hAnsi="Palatino Linotype" w:cs="Arial"/>
        </w:rPr>
        <w:t>de la Ley de Transparencia y Acceso a la Información Pública del Estado de México y Municipios, el cual dispone lo siguiente:</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b/>
          <w:bCs/>
          <w:i/>
          <w:sz w:val="22"/>
        </w:rPr>
        <w:t>“Artículo 191.</w:t>
      </w:r>
      <w:r w:rsidRPr="008561D8">
        <w:rPr>
          <w:rFonts w:ascii="Palatino Linotype" w:hAnsi="Palatino Linotype"/>
          <w:i/>
          <w:sz w:val="22"/>
        </w:rPr>
        <w:t xml:space="preserve"> El recurso será desechado por improcedente cuando:</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i/>
          <w:sz w:val="22"/>
        </w:rPr>
        <w:t xml:space="preserve">I. Sea extemporáneo por haber transcurrido el plazo establecido en la presente Ley, a partir de la respuesta; </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i/>
          <w:sz w:val="22"/>
        </w:rPr>
        <w:t xml:space="preserve">II. Se esté tramitando ante el Poder Judicial de la Federación algún recurso o medio de defensa interpuesto por el recurrente; </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i/>
          <w:sz w:val="22"/>
        </w:rPr>
        <w:t xml:space="preserve">III. No actualice alguno de los supuestos previstos en la presente Ley; </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i/>
          <w:sz w:val="22"/>
        </w:rPr>
        <w:t xml:space="preserve">IV. No se haya desahogado la prevención en los términos establecidos en la presente Ley; </w:t>
      </w:r>
    </w:p>
    <w:p w:rsidR="00560DC2" w:rsidRPr="008561D8" w:rsidRDefault="00560DC2" w:rsidP="00845A65">
      <w:pPr>
        <w:pStyle w:val="Prrafodelista"/>
        <w:ind w:left="567" w:right="1134"/>
        <w:jc w:val="both"/>
        <w:rPr>
          <w:rFonts w:ascii="Palatino Linotype" w:hAnsi="Palatino Linotype"/>
          <w:i/>
          <w:sz w:val="22"/>
        </w:rPr>
      </w:pPr>
      <w:r w:rsidRPr="008561D8">
        <w:rPr>
          <w:rFonts w:ascii="Palatino Linotype" w:hAnsi="Palatino Linotype"/>
          <w:i/>
          <w:sz w:val="22"/>
        </w:rPr>
        <w:t xml:space="preserve">V. Se impugne la veracidad de la información proporcionada; </w:t>
      </w:r>
    </w:p>
    <w:p w:rsidR="00560DC2" w:rsidRPr="008561D8" w:rsidRDefault="00560DC2" w:rsidP="00845A65">
      <w:pPr>
        <w:pStyle w:val="Prrafodelista"/>
        <w:ind w:left="567" w:right="1134"/>
        <w:jc w:val="both"/>
        <w:rPr>
          <w:rFonts w:ascii="Palatino Linotype" w:hAnsi="Palatino Linotype"/>
          <w:b/>
          <w:i/>
          <w:sz w:val="22"/>
        </w:rPr>
      </w:pPr>
      <w:r w:rsidRPr="008561D8">
        <w:rPr>
          <w:rFonts w:ascii="Palatino Linotype" w:hAnsi="Palatino Linotype"/>
          <w:b/>
          <w:i/>
          <w:sz w:val="22"/>
        </w:rPr>
        <w:t xml:space="preserve">VI. Se trate de una consulta, o trámite en específico; y </w:t>
      </w:r>
    </w:p>
    <w:p w:rsidR="00560DC2" w:rsidRPr="008561D8" w:rsidRDefault="00560DC2" w:rsidP="00845A65">
      <w:pPr>
        <w:pBdr>
          <w:top w:val="nil"/>
          <w:left w:val="nil"/>
          <w:bottom w:val="nil"/>
          <w:right w:val="nil"/>
          <w:between w:val="nil"/>
        </w:pBdr>
        <w:tabs>
          <w:tab w:val="left" w:pos="426"/>
        </w:tabs>
        <w:ind w:left="567" w:right="1134"/>
        <w:jc w:val="both"/>
        <w:rPr>
          <w:rFonts w:ascii="Palatino Linotype" w:eastAsia="Calibri" w:hAnsi="Palatino Linotype" w:cs="Arial"/>
          <w:sz w:val="22"/>
        </w:rPr>
      </w:pPr>
      <w:r w:rsidRPr="008561D8">
        <w:rPr>
          <w:rFonts w:ascii="Palatino Linotype" w:hAnsi="Palatino Linotype"/>
          <w:i/>
          <w:sz w:val="22"/>
        </w:rPr>
        <w:t>VII. El recurrente amplíe su solicitud en el recurso de revisión, únicamente respecto de los nuevos contenidos.”</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Arial"/>
        </w:rPr>
        <w:t>La fracción VI del citado precepto legal, contempla la improcedencia del recurso de revisión cuando se trate de una consulta, lo cual se relaciona con la solicitud de acceso a la información públic</w:t>
      </w:r>
      <w:r w:rsidRPr="008561D8">
        <w:rPr>
          <w:rFonts w:ascii="Palatino Linotype" w:eastAsia="Palatino Linotype" w:hAnsi="Palatino Linotype" w:cs="Palatino Linotype"/>
          <w:color w:val="000000"/>
        </w:rPr>
        <w:t>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Arial"/>
        </w:rPr>
        <w:t>Sin embargo, al haber sido admitido el recurso de revisión, aún y cuando actualiza una causal de improcedencia, es necesario traer a contexto el artículo 192 fracción IV, de la multicitada Ley de Transparencia:</w:t>
      </w:r>
    </w:p>
    <w:p w:rsidR="00560DC2" w:rsidRPr="008561D8" w:rsidRDefault="00560DC2" w:rsidP="00845A65">
      <w:pPr>
        <w:pStyle w:val="Prrafodelista"/>
        <w:tabs>
          <w:tab w:val="left" w:pos="567"/>
        </w:tabs>
        <w:ind w:left="567" w:right="992"/>
        <w:jc w:val="both"/>
        <w:rPr>
          <w:rFonts w:ascii="Palatino Linotype" w:eastAsia="Calibri" w:hAnsi="Palatino Linotype" w:cs="Arial"/>
          <w:i/>
        </w:rPr>
      </w:pPr>
      <w:r w:rsidRPr="008561D8">
        <w:rPr>
          <w:rFonts w:ascii="Palatino Linotype" w:hAnsi="Palatino Linotype"/>
          <w:i/>
        </w:rPr>
        <w:t>“</w:t>
      </w:r>
      <w:r w:rsidRPr="008561D8">
        <w:rPr>
          <w:rFonts w:ascii="Palatino Linotype" w:hAnsi="Palatino Linotype"/>
          <w:b/>
          <w:bCs/>
          <w:i/>
        </w:rPr>
        <w:t>Artículo 192.</w:t>
      </w:r>
      <w:r w:rsidRPr="008561D8">
        <w:rPr>
          <w:rFonts w:ascii="Palatino Linotype" w:hAnsi="Palatino Linotype"/>
          <w:i/>
        </w:rPr>
        <w:t xml:space="preserve"> El recurso será sobreseído, en todo o en parte, cuando una vez admitido, se actualicen alguno de los siguientes supuestos:</w:t>
      </w:r>
    </w:p>
    <w:p w:rsidR="00560DC2" w:rsidRPr="008561D8" w:rsidRDefault="00560DC2" w:rsidP="00845A65">
      <w:pPr>
        <w:pStyle w:val="Prrafodelista"/>
        <w:tabs>
          <w:tab w:val="left" w:pos="851"/>
        </w:tabs>
        <w:ind w:left="567" w:right="992"/>
        <w:jc w:val="both"/>
        <w:rPr>
          <w:rFonts w:ascii="Palatino Linotype" w:hAnsi="Palatino Linotype"/>
          <w:i/>
        </w:rPr>
      </w:pPr>
      <w:r w:rsidRPr="008561D8">
        <w:rPr>
          <w:rFonts w:ascii="Palatino Linotype" w:hAnsi="Palatino Linotype"/>
          <w:i/>
        </w:rPr>
        <w:t xml:space="preserve">I. El recurrente se desista expresamente del recurso; </w:t>
      </w:r>
    </w:p>
    <w:p w:rsidR="00560DC2" w:rsidRPr="008561D8" w:rsidRDefault="00560DC2" w:rsidP="00845A65">
      <w:pPr>
        <w:pStyle w:val="Prrafodelista"/>
        <w:tabs>
          <w:tab w:val="left" w:pos="851"/>
        </w:tabs>
        <w:ind w:left="567" w:right="992"/>
        <w:jc w:val="both"/>
        <w:rPr>
          <w:rFonts w:ascii="Palatino Linotype" w:hAnsi="Palatino Linotype"/>
          <w:i/>
        </w:rPr>
      </w:pPr>
      <w:r w:rsidRPr="008561D8">
        <w:rPr>
          <w:rFonts w:ascii="Palatino Linotype" w:hAnsi="Palatino Linotype"/>
          <w:i/>
        </w:rPr>
        <w:t xml:space="preserve">II. El recurrente fallezca o, tratándose de personas jurídicas colectivas, se disuelva; </w:t>
      </w:r>
    </w:p>
    <w:p w:rsidR="00560DC2" w:rsidRPr="008561D8" w:rsidRDefault="00560DC2" w:rsidP="00845A65">
      <w:pPr>
        <w:pStyle w:val="Prrafodelista"/>
        <w:tabs>
          <w:tab w:val="left" w:pos="851"/>
        </w:tabs>
        <w:ind w:left="567" w:right="992"/>
        <w:jc w:val="both"/>
        <w:rPr>
          <w:rFonts w:ascii="Palatino Linotype" w:hAnsi="Palatino Linotype"/>
          <w:i/>
        </w:rPr>
      </w:pPr>
      <w:r w:rsidRPr="008561D8">
        <w:rPr>
          <w:rFonts w:ascii="Palatino Linotype" w:hAnsi="Palatino Linotype"/>
          <w:i/>
        </w:rPr>
        <w:lastRenderedPageBreak/>
        <w:t xml:space="preserve">III. El sujeto obligado responsable del acto lo modifique o revoque de tal manera que el recurso de revisión quede sin materia; </w:t>
      </w:r>
    </w:p>
    <w:p w:rsidR="00560DC2" w:rsidRPr="008561D8" w:rsidRDefault="00560DC2" w:rsidP="00845A65">
      <w:pPr>
        <w:pStyle w:val="Prrafodelista"/>
        <w:tabs>
          <w:tab w:val="left" w:pos="851"/>
        </w:tabs>
        <w:ind w:left="567" w:right="992"/>
        <w:jc w:val="both"/>
        <w:rPr>
          <w:rFonts w:ascii="Palatino Linotype" w:hAnsi="Palatino Linotype"/>
          <w:b/>
          <w:i/>
        </w:rPr>
      </w:pPr>
      <w:r w:rsidRPr="008561D8">
        <w:rPr>
          <w:rFonts w:ascii="Palatino Linotype" w:hAnsi="Palatino Linotype"/>
          <w:b/>
          <w:i/>
        </w:rPr>
        <w:t xml:space="preserve">IV. Admitido el recurso de revisión, aparezca alguna causal de improcedencia en los términos de la presente Ley; y </w:t>
      </w:r>
    </w:p>
    <w:p w:rsidR="00560DC2" w:rsidRPr="008561D8" w:rsidRDefault="00560DC2" w:rsidP="00845A65">
      <w:pPr>
        <w:pBdr>
          <w:top w:val="nil"/>
          <w:left w:val="nil"/>
          <w:bottom w:val="nil"/>
          <w:right w:val="nil"/>
          <w:between w:val="nil"/>
        </w:pBdr>
        <w:tabs>
          <w:tab w:val="left" w:pos="426"/>
          <w:tab w:val="left" w:pos="851"/>
        </w:tabs>
        <w:spacing w:line="360" w:lineRule="auto"/>
        <w:ind w:left="567" w:right="992"/>
        <w:jc w:val="both"/>
        <w:rPr>
          <w:rFonts w:ascii="Palatino Linotype" w:eastAsia="Palatino Linotype" w:hAnsi="Palatino Linotype" w:cs="Palatino Linotype"/>
          <w:color w:val="000000"/>
        </w:rPr>
      </w:pPr>
      <w:r w:rsidRPr="008561D8">
        <w:rPr>
          <w:rFonts w:ascii="Palatino Linotype" w:hAnsi="Palatino Linotype"/>
          <w:i/>
        </w:rPr>
        <w:t>V. Cuando por cualquier motivo quede sin materia el recurso.</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Arial"/>
        </w:rPr>
        <w:t>Es así que, el recurso de revisión actualiza la causal de sobreseimiento establecida en la fracción IV del artículo 192, en relación a la fracción VI del artículo 191, ambos de la Ley de Transparencia y Acceso a la Información Pública del Estado de México y Municipios.</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rsidR="00560DC2" w:rsidRPr="008561D8" w:rsidRDefault="00560DC2" w:rsidP="00560DC2">
      <w:pPr>
        <w:ind w:left="567" w:right="567"/>
        <w:jc w:val="both"/>
        <w:rPr>
          <w:rFonts w:ascii="Palatino Linotype" w:hAnsi="Palatino Linotype" w:cs="Arial"/>
          <w:i/>
          <w:sz w:val="22"/>
        </w:rPr>
      </w:pPr>
      <w:r w:rsidRPr="008561D8">
        <w:rPr>
          <w:rFonts w:ascii="Palatino Linotype" w:hAnsi="Palatino Linotype" w:cs="Arial"/>
          <w:i/>
          <w:sz w:val="22"/>
        </w:rPr>
        <w:t>“</w:t>
      </w:r>
      <w:r w:rsidRPr="008561D8">
        <w:rPr>
          <w:rFonts w:ascii="Palatino Linotype" w:hAnsi="Palatino Linotype" w:cs="Arial"/>
          <w:b/>
          <w:i/>
          <w:sz w:val="22"/>
        </w:rPr>
        <w:t>SOBRESEIMIENTO EN EL JUICIO DE AMPARO DIRECTO. IMPIDE EL ESTUDIO DE LAS VIOLACIONES PROCESALES PLANTEADAS EN LOS CONCEPTOS DE VIOLACIÓN.</w:t>
      </w:r>
      <w:r w:rsidRPr="008561D8">
        <w:rPr>
          <w:rFonts w:ascii="Palatino Linotype" w:hAnsi="Palatino Linotype" w:cs="Arial"/>
          <w:i/>
          <w:sz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p>
    <w:p w:rsidR="00560DC2" w:rsidRPr="008561D8" w:rsidRDefault="00560DC2" w:rsidP="00560DC2">
      <w:pPr>
        <w:ind w:left="567" w:right="567"/>
        <w:jc w:val="both"/>
        <w:rPr>
          <w:rFonts w:ascii="Palatino Linotype" w:hAnsi="Palatino Linotype" w:cs="Arial"/>
          <w:i/>
          <w:sz w:val="22"/>
        </w:rPr>
      </w:pPr>
      <w:r w:rsidRPr="008561D8">
        <w:rPr>
          <w:rFonts w:ascii="Palatino Linotype" w:hAnsi="Palatino Linotype" w:cs="Arial"/>
          <w:i/>
          <w:sz w:val="22"/>
        </w:rPr>
        <w:t>SEPTIMO TRIBUNAL COLEGIADO EN MATERIA CIVIL DEL PRIMER CIRCUITO</w:t>
      </w:r>
    </w:p>
    <w:p w:rsidR="00560DC2" w:rsidRPr="008561D8" w:rsidRDefault="00560DC2" w:rsidP="00560DC2">
      <w:pPr>
        <w:ind w:left="567" w:right="567"/>
        <w:jc w:val="both"/>
        <w:rPr>
          <w:rFonts w:ascii="Palatino Linotype" w:hAnsi="Palatino Linotype" w:cs="Arial"/>
          <w:i/>
          <w:sz w:val="22"/>
        </w:rPr>
      </w:pPr>
      <w:r w:rsidRPr="008561D8">
        <w:rPr>
          <w:rFonts w:ascii="Palatino Linotype" w:hAnsi="Palatino Linotype" w:cs="Arial"/>
          <w:i/>
          <w:sz w:val="22"/>
        </w:rPr>
        <w:t xml:space="preserve">Amparo directo 699/2008. Mariana Leticia González </w:t>
      </w:r>
      <w:proofErr w:type="spellStart"/>
      <w:r w:rsidRPr="008561D8">
        <w:rPr>
          <w:rFonts w:ascii="Palatino Linotype" w:hAnsi="Palatino Linotype" w:cs="Arial"/>
          <w:i/>
          <w:sz w:val="22"/>
        </w:rPr>
        <w:t>Steele</w:t>
      </w:r>
      <w:proofErr w:type="spellEnd"/>
      <w:r w:rsidRPr="008561D8">
        <w:rPr>
          <w:rFonts w:ascii="Palatino Linotype" w:hAnsi="Palatino Linotype" w:cs="Arial"/>
          <w:i/>
          <w:sz w:val="22"/>
        </w:rPr>
        <w:t>. 13 de noviembre de 2008. Unanimidad de votos. Ponente: Sara Judith Montalvo Trejo. Secretario: Arnulfo Mateos García.”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sz w:val="22"/>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Calibri" w:hAnsi="Palatino Linotype" w:cs="Arial"/>
        </w:rPr>
        <w:t xml:space="preserve">No obstante, a efecto de no vulnerar los derechos del </w:t>
      </w:r>
      <w:r w:rsidRPr="008561D8">
        <w:rPr>
          <w:rFonts w:ascii="Palatino Linotype" w:eastAsia="Calibri" w:hAnsi="Palatino Linotype" w:cs="Arial"/>
          <w:b/>
          <w:bCs/>
        </w:rPr>
        <w:t>Recurrente</w:t>
      </w:r>
      <w:r w:rsidRPr="008561D8">
        <w:rPr>
          <w:rFonts w:ascii="Palatino Linotype" w:eastAsia="Calibri" w:hAnsi="Palatino Linotype" w:cs="Arial"/>
        </w:rPr>
        <w:t>, este Órgano Garante deja a salvo sus derechos para que, si así lo desea, presente una nueva solicitud de acceso a la información requiriendo información que sea de su interés.</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hAnsi="Palatino Linotype" w:cs="Arial"/>
        </w:rPr>
        <w:lastRenderedPageBreak/>
        <w:t xml:space="preserve">Bajo esas consideraciones, se afirma que en el recurso de revisión sujeto a estudio se actualiza la hipótesis jurídica citada, toda vez que quedó probado que la solicitud de acceso a la información que promovió el </w:t>
      </w:r>
      <w:r w:rsidRPr="008561D8">
        <w:rPr>
          <w:rFonts w:ascii="Palatino Linotype" w:hAnsi="Palatino Linotype" w:cs="Arial"/>
          <w:b/>
          <w:bCs/>
        </w:rPr>
        <w:t>Recurrente</w:t>
      </w:r>
      <w:r w:rsidRPr="008561D8">
        <w:rPr>
          <w:rFonts w:ascii="Palatino Linotype" w:hAnsi="Palatino Linotype" w:cs="Arial"/>
        </w:rPr>
        <w:t xml:space="preserve"> corresponde al ejercicio de un derecho de petición y no al derecho de acceso a la información pública.</w:t>
      </w:r>
    </w:p>
    <w:p w:rsidR="00560DC2" w:rsidRPr="008561D8" w:rsidRDefault="00560DC2" w:rsidP="00560DC2">
      <w:p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p>
    <w:p w:rsidR="00560DC2" w:rsidRPr="008561D8" w:rsidRDefault="00560DC2" w:rsidP="00560DC2">
      <w:pPr>
        <w:numPr>
          <w:ilvl w:val="0"/>
          <w:numId w:val="3"/>
        </w:numPr>
        <w:pBdr>
          <w:top w:val="nil"/>
          <w:left w:val="nil"/>
          <w:bottom w:val="nil"/>
          <w:right w:val="nil"/>
          <w:between w:val="nil"/>
        </w:pBdr>
        <w:tabs>
          <w:tab w:val="left" w:pos="426"/>
        </w:tabs>
        <w:spacing w:line="360" w:lineRule="auto"/>
        <w:ind w:right="51"/>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color w:val="000000"/>
        </w:rPr>
        <w:t xml:space="preserve">Por lo anteriormente expuesto y fundado, este </w:t>
      </w:r>
      <w:r w:rsidRPr="008561D8">
        <w:rPr>
          <w:rFonts w:ascii="Palatino Linotype" w:eastAsia="Palatino Linotype" w:hAnsi="Palatino Linotype" w:cs="Palatino Linotype"/>
          <w:b/>
          <w:color w:val="000000"/>
        </w:rPr>
        <w:t>ÓRGANO GARANTE</w:t>
      </w:r>
      <w:r w:rsidRPr="008561D8">
        <w:rPr>
          <w:rFonts w:ascii="Palatino Linotype" w:eastAsia="Palatino Linotype" w:hAnsi="Palatino Linotype" w:cs="Palatino Linotype"/>
          <w:color w:val="000000"/>
        </w:rPr>
        <w:t xml:space="preserve"> emite los siguientes: ---------------------------------------------------------------------------------------------------------</w:t>
      </w:r>
    </w:p>
    <w:p w:rsidR="00560DC2" w:rsidRPr="008561D8" w:rsidRDefault="00560DC2" w:rsidP="00560DC2">
      <w:pPr>
        <w:spacing w:line="360" w:lineRule="auto"/>
        <w:rPr>
          <w:rFonts w:ascii="Palatino Linotype" w:eastAsia="Palatino Linotype" w:hAnsi="Palatino Linotype" w:cs="Palatino Linotype"/>
          <w:color w:val="000000"/>
        </w:rPr>
      </w:pPr>
    </w:p>
    <w:p w:rsidR="00560DC2" w:rsidRPr="008561D8" w:rsidRDefault="00560DC2" w:rsidP="00560DC2">
      <w:pPr>
        <w:pStyle w:val="Ttulo1"/>
        <w:spacing w:before="0" w:line="360" w:lineRule="auto"/>
        <w:jc w:val="center"/>
        <w:rPr>
          <w:b/>
          <w:color w:val="000000"/>
          <w:szCs w:val="24"/>
        </w:rPr>
      </w:pPr>
      <w:bookmarkStart w:id="9" w:name="_heading=h.17dp8vu" w:colFirst="0" w:colLast="0"/>
      <w:bookmarkEnd w:id="9"/>
      <w:r w:rsidRPr="008561D8">
        <w:rPr>
          <w:b/>
          <w:color w:val="000000"/>
          <w:szCs w:val="24"/>
        </w:rPr>
        <w:t>R E S O L U T I V O S</w:t>
      </w:r>
    </w:p>
    <w:p w:rsidR="00560DC2" w:rsidRPr="008561D8" w:rsidRDefault="00560DC2" w:rsidP="00560DC2">
      <w:pPr>
        <w:spacing w:line="360" w:lineRule="auto"/>
        <w:jc w:val="both"/>
        <w:rPr>
          <w:rFonts w:ascii="Palatino Linotype" w:eastAsia="Palatino Linotype" w:hAnsi="Palatino Linotype" w:cs="Palatino Linotype"/>
          <w:b/>
        </w:rPr>
      </w:pPr>
    </w:p>
    <w:p w:rsidR="00560DC2" w:rsidRPr="008561D8" w:rsidRDefault="00560DC2" w:rsidP="00560DC2">
      <w:pPr>
        <w:spacing w:line="360" w:lineRule="auto"/>
        <w:jc w:val="both"/>
        <w:rPr>
          <w:rFonts w:ascii="Palatino Linotype" w:eastAsia="Palatino Linotype" w:hAnsi="Palatino Linotype" w:cs="Palatino Linotype"/>
          <w:b/>
        </w:rPr>
      </w:pPr>
      <w:r w:rsidRPr="008561D8">
        <w:rPr>
          <w:rFonts w:ascii="Palatino Linotype" w:eastAsia="Palatino Linotype" w:hAnsi="Palatino Linotype" w:cs="Palatino Linotype"/>
          <w:b/>
        </w:rPr>
        <w:t xml:space="preserve">PRIMERO. Se SOBRESEE </w:t>
      </w:r>
      <w:r w:rsidRPr="008561D8">
        <w:rPr>
          <w:rFonts w:ascii="Palatino Linotype" w:eastAsia="Palatino Linotype" w:hAnsi="Palatino Linotype" w:cs="Palatino Linotype"/>
        </w:rPr>
        <w:t>el recurso de revisión número</w:t>
      </w:r>
      <w:r w:rsidRPr="008561D8">
        <w:rPr>
          <w:rFonts w:ascii="Palatino Linotype" w:eastAsia="Palatino Linotype" w:hAnsi="Palatino Linotype" w:cs="Palatino Linotype"/>
          <w:b/>
        </w:rPr>
        <w:t xml:space="preserve"> 03283/INFOEM/IP/RR/2024, </w:t>
      </w:r>
      <w:r w:rsidRPr="008561D8">
        <w:rPr>
          <w:rFonts w:ascii="Palatino Linotype" w:eastAsia="Palatino Linotype" w:hAnsi="Palatino Linotype" w:cs="Palatino Linotype"/>
        </w:rPr>
        <w:t xml:space="preserve">con fundamento en los artículos 191, fracción VI y, 192, fracción IV, de la Ley de Transparencia y Acceso a la Información Pública del Estado de México y Municipios, al tratarse de una consulta, en términos del </w:t>
      </w:r>
      <w:r w:rsidRPr="008561D8">
        <w:rPr>
          <w:rFonts w:ascii="Palatino Linotype" w:eastAsia="Palatino Linotype" w:hAnsi="Palatino Linotype" w:cs="Palatino Linotype"/>
          <w:b/>
        </w:rPr>
        <w:t>Considerando TERCERO</w:t>
      </w:r>
      <w:r w:rsidRPr="008561D8">
        <w:rPr>
          <w:rFonts w:ascii="Palatino Linotype" w:eastAsia="Palatino Linotype" w:hAnsi="Palatino Linotype" w:cs="Palatino Linotype"/>
        </w:rPr>
        <w:t xml:space="preserve"> de la presente resolución.</w:t>
      </w:r>
    </w:p>
    <w:p w:rsidR="00560DC2" w:rsidRPr="008561D8" w:rsidRDefault="00560DC2" w:rsidP="00560DC2">
      <w:pPr>
        <w:spacing w:line="360" w:lineRule="auto"/>
        <w:jc w:val="both"/>
        <w:rPr>
          <w:rFonts w:ascii="Palatino Linotype" w:eastAsia="Palatino Linotype" w:hAnsi="Palatino Linotype" w:cs="Palatino Linotype"/>
        </w:rPr>
      </w:pPr>
    </w:p>
    <w:p w:rsidR="00560DC2" w:rsidRPr="008561D8" w:rsidRDefault="00560DC2" w:rsidP="00560DC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r w:rsidRPr="008561D8">
        <w:rPr>
          <w:rFonts w:ascii="Palatino Linotype" w:eastAsia="Palatino Linotype" w:hAnsi="Palatino Linotype" w:cs="Palatino Linotype"/>
          <w:b/>
          <w:color w:val="000000"/>
        </w:rPr>
        <w:t xml:space="preserve">SEGUNDO. Notifíquese </w:t>
      </w:r>
      <w:r w:rsidRPr="008561D8">
        <w:rPr>
          <w:rFonts w:ascii="Palatino Linotype" w:eastAsia="Palatino Linotype" w:hAnsi="Palatino Linotype" w:cs="Palatino Linotype"/>
          <w:color w:val="000000"/>
        </w:rPr>
        <w:t>a través del Sistema de Acceso a la Información Mexiquense (SAIMEX) la presente resolución a la Titular de la Unidad de Transparencia del</w:t>
      </w:r>
      <w:r w:rsidRPr="008561D8">
        <w:rPr>
          <w:rFonts w:ascii="Palatino Linotype" w:eastAsia="Palatino Linotype" w:hAnsi="Palatino Linotype" w:cs="Palatino Linotype"/>
          <w:b/>
          <w:color w:val="000000"/>
        </w:rPr>
        <w:t xml:space="preserve"> SUJETO OBLIGADO. </w:t>
      </w:r>
    </w:p>
    <w:p w:rsidR="00560DC2" w:rsidRPr="008561D8" w:rsidRDefault="00560DC2" w:rsidP="00560DC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560DC2" w:rsidRPr="008561D8" w:rsidRDefault="00560DC2" w:rsidP="00560DC2">
      <w:pPr>
        <w:pBdr>
          <w:top w:val="nil"/>
          <w:left w:val="nil"/>
          <w:bottom w:val="nil"/>
          <w:right w:val="nil"/>
          <w:between w:val="nil"/>
        </w:pBdr>
        <w:spacing w:line="360" w:lineRule="auto"/>
        <w:jc w:val="both"/>
        <w:rPr>
          <w:rFonts w:ascii="Palatino Linotype" w:eastAsia="Palatino Linotype" w:hAnsi="Palatino Linotype" w:cs="Palatino Linotype"/>
          <w:color w:val="222222"/>
        </w:rPr>
      </w:pPr>
      <w:r w:rsidRPr="008561D8">
        <w:rPr>
          <w:rFonts w:ascii="Palatino Linotype" w:eastAsia="Palatino Linotype" w:hAnsi="Palatino Linotype" w:cs="Palatino Linotype"/>
          <w:b/>
          <w:color w:val="000000"/>
        </w:rPr>
        <w:t xml:space="preserve">TERCERO. </w:t>
      </w:r>
      <w:r w:rsidRPr="008561D8">
        <w:rPr>
          <w:rFonts w:ascii="Palatino Linotype" w:eastAsia="Palatino Linotype" w:hAnsi="Palatino Linotype" w:cs="Palatino Linotype"/>
          <w:b/>
          <w:color w:val="222222"/>
        </w:rPr>
        <w:t xml:space="preserve">Notifíquese </w:t>
      </w:r>
      <w:r w:rsidRPr="008561D8">
        <w:rPr>
          <w:rFonts w:ascii="Palatino Linotype" w:eastAsia="Palatino Linotype" w:hAnsi="Palatino Linotype" w:cs="Palatino Linotype"/>
          <w:color w:val="222222"/>
        </w:rPr>
        <w:t xml:space="preserve">al </w:t>
      </w:r>
      <w:r w:rsidRPr="008561D8">
        <w:rPr>
          <w:rFonts w:ascii="Palatino Linotype" w:eastAsia="Palatino Linotype" w:hAnsi="Palatino Linotype" w:cs="Palatino Linotype"/>
          <w:b/>
          <w:color w:val="000000"/>
        </w:rPr>
        <w:t xml:space="preserve">Recurrente </w:t>
      </w:r>
      <w:r w:rsidRPr="008561D8">
        <w:rPr>
          <w:rFonts w:ascii="Palatino Linotype" w:eastAsia="Palatino Linotype" w:hAnsi="Palatino Linotype" w:cs="Palatino Linotype"/>
          <w:color w:val="222222"/>
        </w:rPr>
        <w:t xml:space="preserve">la presente resolución vía Sistema de Acceso a la Información Mexiquense </w:t>
      </w:r>
      <w:r w:rsidRPr="008561D8">
        <w:rPr>
          <w:rFonts w:ascii="Palatino Linotype" w:eastAsia="Palatino Linotype" w:hAnsi="Palatino Linotype" w:cs="Palatino Linotype"/>
          <w:b/>
          <w:bCs/>
          <w:color w:val="222222"/>
        </w:rPr>
        <w:t>(SAIMEX).</w:t>
      </w:r>
    </w:p>
    <w:p w:rsidR="00560DC2" w:rsidRPr="008561D8" w:rsidRDefault="00560DC2" w:rsidP="00560DC2">
      <w:pPr>
        <w:pBdr>
          <w:top w:val="nil"/>
          <w:left w:val="nil"/>
          <w:bottom w:val="nil"/>
          <w:right w:val="nil"/>
          <w:between w:val="nil"/>
        </w:pBdr>
        <w:spacing w:line="360" w:lineRule="auto"/>
        <w:jc w:val="both"/>
        <w:rPr>
          <w:rFonts w:ascii="Palatino Linotype" w:eastAsia="Palatino Linotype" w:hAnsi="Palatino Linotype" w:cs="Palatino Linotype"/>
          <w:color w:val="222222"/>
        </w:rPr>
      </w:pPr>
    </w:p>
    <w:p w:rsidR="00560DC2" w:rsidRPr="008561D8" w:rsidRDefault="00560DC2" w:rsidP="00560DC2">
      <w:pPr>
        <w:pBdr>
          <w:top w:val="nil"/>
          <w:left w:val="nil"/>
          <w:bottom w:val="nil"/>
          <w:right w:val="nil"/>
          <w:between w:val="nil"/>
        </w:pBdr>
        <w:spacing w:line="360" w:lineRule="auto"/>
        <w:jc w:val="both"/>
        <w:rPr>
          <w:rFonts w:ascii="Palatino Linotype" w:eastAsia="Palatino Linotype" w:hAnsi="Palatino Linotype" w:cs="Palatino Linotype"/>
          <w:color w:val="000000"/>
        </w:rPr>
      </w:pPr>
      <w:r w:rsidRPr="008561D8">
        <w:rPr>
          <w:rFonts w:ascii="Palatino Linotype" w:eastAsia="Palatino Linotype" w:hAnsi="Palatino Linotype" w:cs="Palatino Linotype"/>
          <w:b/>
          <w:color w:val="000000"/>
        </w:rPr>
        <w:t>CUARTO.</w:t>
      </w:r>
      <w:r w:rsidRPr="008561D8">
        <w:rPr>
          <w:rFonts w:ascii="Palatino Linotype" w:eastAsia="Palatino Linotype" w:hAnsi="Palatino Linotype" w:cs="Palatino Linotype"/>
          <w:color w:val="000000"/>
        </w:rPr>
        <w:t xml:space="preserve"> Se hace del conocimiento del </w:t>
      </w:r>
      <w:r w:rsidRPr="008561D8">
        <w:rPr>
          <w:rFonts w:ascii="Palatino Linotype" w:eastAsia="Palatino Linotype" w:hAnsi="Palatino Linotype" w:cs="Palatino Linotype"/>
          <w:b/>
          <w:color w:val="000000"/>
        </w:rPr>
        <w:t xml:space="preserve">Recurrente </w:t>
      </w:r>
      <w:r w:rsidRPr="008561D8">
        <w:rPr>
          <w:rFonts w:ascii="Palatino Linotype" w:eastAsia="Palatino Linotype" w:hAnsi="Palatino Linotype" w:cs="Palatino Linotype"/>
          <w:color w:val="000000"/>
        </w:rPr>
        <w:t xml:space="preserve">que, de conformidad con lo establecido en el artículo 196 de la Ley de Transparencia y Acceso a la Información Pública del Estado de </w:t>
      </w:r>
      <w:r w:rsidRPr="008561D8">
        <w:rPr>
          <w:rFonts w:ascii="Palatino Linotype" w:eastAsia="Palatino Linotype" w:hAnsi="Palatino Linotype" w:cs="Palatino Linotype"/>
          <w:color w:val="000000"/>
        </w:rPr>
        <w:lastRenderedPageBreak/>
        <w:t>México y Municipios, en caso de que considere que la resolución le cause algún perjuicio podrá impugnarla vía juicio de amparo en los términos de las leyes aplicables.</w:t>
      </w:r>
    </w:p>
    <w:p w:rsidR="00560DC2" w:rsidRPr="008561D8" w:rsidRDefault="00560DC2" w:rsidP="00560DC2">
      <w:pPr>
        <w:spacing w:line="360" w:lineRule="auto"/>
        <w:jc w:val="both"/>
        <w:rPr>
          <w:rFonts w:ascii="Palatino Linotype" w:eastAsia="Palatino Linotype" w:hAnsi="Palatino Linotype" w:cs="Palatino Linotype"/>
          <w:color w:val="000000"/>
        </w:rPr>
      </w:pPr>
    </w:p>
    <w:p w:rsidR="00485C6A" w:rsidRPr="003C7186" w:rsidRDefault="00485C6A" w:rsidP="00485C6A">
      <w:pPr>
        <w:spacing w:line="360" w:lineRule="auto"/>
        <w:ind w:left="-142" w:right="-234" w:firstLine="1"/>
        <w:jc w:val="both"/>
        <w:rPr>
          <w:rFonts w:ascii="Palatino Linotype" w:hAnsi="Palatino Linotype"/>
        </w:rPr>
      </w:pPr>
      <w:r w:rsidRPr="008561D8">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TERCERA SESIÓN ORDINARIA CELEBRADA EL ONCE (11) DE DICIEMBRE DE DOS MIL VEINTICUATRO, ANTE EL SECRETARIO TÉCNICO DEL PLENO ALEXIS TAPIA RAMÍREZ.</w:t>
      </w:r>
      <w:bookmarkStart w:id="10" w:name="_GoBack"/>
      <w:bookmarkEnd w:id="10"/>
      <w:r w:rsidRPr="003C7186">
        <w:rPr>
          <w:rFonts w:ascii="Palatino Linotype" w:hAnsi="Palatino Linotype"/>
        </w:rPr>
        <w:t xml:space="preserve"> </w:t>
      </w:r>
    </w:p>
    <w:p w:rsidR="00485C6A" w:rsidRPr="00902BA4" w:rsidRDefault="00485C6A" w:rsidP="00485C6A">
      <w:pPr>
        <w:widowControl w:val="0"/>
        <w:autoSpaceDE w:val="0"/>
        <w:autoSpaceDN w:val="0"/>
        <w:adjustRightInd w:val="0"/>
        <w:spacing w:after="200" w:line="276" w:lineRule="auto"/>
        <w:ind w:left="-142" w:right="-234"/>
        <w:rPr>
          <w:rFonts w:ascii="Calibri" w:hAnsi="Calibri" w:cs="Calibri"/>
        </w:rPr>
      </w:pPr>
    </w:p>
    <w:p w:rsidR="00765CD4" w:rsidRPr="00AA2280" w:rsidRDefault="00560DC2" w:rsidP="00560DC2">
      <w:pPr>
        <w:spacing w:line="360" w:lineRule="auto"/>
        <w:rPr>
          <w:rFonts w:ascii="Palatino Linotype" w:eastAsia="Palatino Linotype" w:hAnsi="Palatino Linotype" w:cs="Palatino Linotype"/>
          <w:color w:val="000000"/>
        </w:rPr>
      </w:pPr>
      <w:r w:rsidRPr="00AA2280">
        <w:rPr>
          <w:rFonts w:ascii="Palatino Linotype" w:hAnsi="Palatino Linotype"/>
        </w:rPr>
        <w:br w:type="page"/>
      </w:r>
    </w:p>
    <w:sectPr w:rsidR="00765CD4" w:rsidRPr="00AA2280" w:rsidSect="00AA2280">
      <w:headerReference w:type="default" r:id="rId12"/>
      <w:footerReference w:type="default" r:id="rId13"/>
      <w:headerReference w:type="first" r:id="rId14"/>
      <w:footerReference w:type="first" r:id="rId15"/>
      <w:pgSz w:w="12240" w:h="15840"/>
      <w:pgMar w:top="2021" w:right="758"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7E7" w:rsidRDefault="007327E7" w:rsidP="00560DC2">
      <w:r>
        <w:separator/>
      </w:r>
    </w:p>
  </w:endnote>
  <w:endnote w:type="continuationSeparator" w:id="0">
    <w:p w:rsidR="007327E7" w:rsidRDefault="007327E7" w:rsidP="00560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08" w:rsidRDefault="005D1B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PAGE</w:instrText>
    </w:r>
    <w:r>
      <w:rPr>
        <w:rFonts w:ascii="Palatino Linotype" w:eastAsia="Palatino Linotype" w:hAnsi="Palatino Linotype" w:cs="Palatino Linotype"/>
        <w:b/>
        <w:color w:val="000000"/>
        <w:sz w:val="22"/>
        <w:szCs w:val="22"/>
      </w:rPr>
      <w:fldChar w:fldCharType="separate"/>
    </w:r>
    <w:r w:rsidR="008561D8">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b/>
        <w:color w:val="000000"/>
        <w:sz w:val="22"/>
        <w:szCs w:val="22"/>
      </w:rPr>
      <w:fldChar w:fldCharType="begin"/>
    </w:r>
    <w:r>
      <w:rPr>
        <w:rFonts w:ascii="Palatino Linotype" w:eastAsia="Palatino Linotype" w:hAnsi="Palatino Linotype" w:cs="Palatino Linotype"/>
        <w:b/>
        <w:color w:val="000000"/>
        <w:sz w:val="22"/>
        <w:szCs w:val="22"/>
      </w:rPr>
      <w:instrText>NUMPAGES</w:instrText>
    </w:r>
    <w:r>
      <w:rPr>
        <w:rFonts w:ascii="Palatino Linotype" w:eastAsia="Palatino Linotype" w:hAnsi="Palatino Linotype" w:cs="Palatino Linotype"/>
        <w:b/>
        <w:color w:val="000000"/>
        <w:sz w:val="22"/>
        <w:szCs w:val="22"/>
      </w:rPr>
      <w:fldChar w:fldCharType="separate"/>
    </w:r>
    <w:r w:rsidR="008561D8">
      <w:rPr>
        <w:rFonts w:ascii="Palatino Linotype" w:eastAsia="Palatino Linotype" w:hAnsi="Palatino Linotype" w:cs="Palatino Linotype"/>
        <w:b/>
        <w:noProof/>
        <w:color w:val="000000"/>
        <w:sz w:val="22"/>
        <w:szCs w:val="22"/>
      </w:rPr>
      <w:t>19</w:t>
    </w:r>
    <w:r>
      <w:rPr>
        <w:rFonts w:ascii="Palatino Linotype" w:eastAsia="Palatino Linotype" w:hAnsi="Palatino Linotype" w:cs="Palatino Linotype"/>
        <w:b/>
        <w:color w:val="000000"/>
        <w:sz w:val="22"/>
        <w:szCs w:val="22"/>
      </w:rPr>
      <w:fldChar w:fldCharType="end"/>
    </w:r>
  </w:p>
  <w:p w:rsidR="00547008" w:rsidRDefault="007327E7">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008" w:rsidRDefault="005D1B8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8561D8">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8561D8">
      <w:rPr>
        <w:rFonts w:ascii="Palatino Linotype" w:eastAsia="Palatino Linotype" w:hAnsi="Palatino Linotype" w:cs="Palatino Linotype"/>
        <w:noProof/>
        <w:color w:val="000000"/>
        <w:sz w:val="22"/>
        <w:szCs w:val="22"/>
      </w:rPr>
      <w:t>19</w:t>
    </w:r>
    <w:r>
      <w:rPr>
        <w:rFonts w:ascii="Palatino Linotype" w:eastAsia="Palatino Linotype" w:hAnsi="Palatino Linotype" w:cs="Palatino Linotype"/>
        <w:color w:val="000000"/>
        <w:sz w:val="22"/>
        <w:szCs w:val="22"/>
      </w:rPr>
      <w:fldChar w:fldCharType="end"/>
    </w:r>
  </w:p>
  <w:p w:rsidR="00547008" w:rsidRDefault="007327E7">
    <w:pPr>
      <w:pBdr>
        <w:top w:val="nil"/>
        <w:left w:val="nil"/>
        <w:bottom w:val="nil"/>
        <w:right w:val="nil"/>
        <w:between w:val="nil"/>
      </w:pBdr>
      <w:tabs>
        <w:tab w:val="center" w:pos="4252"/>
        <w:tab w:val="right" w:pos="8504"/>
      </w:tabs>
      <w:rPr>
        <w:rFonts w:ascii="Palatino Linotype" w:eastAsia="Palatino Linotype" w:hAnsi="Palatino Linotype" w:cs="Palatino Linotype"/>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7E7" w:rsidRDefault="007327E7" w:rsidP="00560DC2">
      <w:r>
        <w:separator/>
      </w:r>
    </w:p>
  </w:footnote>
  <w:footnote w:type="continuationSeparator" w:id="0">
    <w:p w:rsidR="007327E7" w:rsidRDefault="007327E7" w:rsidP="00560DC2">
      <w:r>
        <w:continuationSeparator/>
      </w:r>
    </w:p>
  </w:footnote>
  <w:footnote w:id="1">
    <w:p w:rsidR="00560DC2" w:rsidRDefault="00560DC2" w:rsidP="00560DC2">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b/>
          <w:color w:val="000000"/>
          <w:sz w:val="20"/>
          <w:szCs w:val="20"/>
        </w:rPr>
        <w:t>Artículo 178.</w:t>
      </w:r>
      <w:r>
        <w:rPr>
          <w:color w:val="000000"/>
          <w:sz w:val="20"/>
          <w:szCs w:val="20"/>
        </w:rPr>
        <w:t xml:space="preserve">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rsidR="00560DC2" w:rsidRDefault="00560DC2" w:rsidP="00560DC2">
      <w:pPr>
        <w:pBdr>
          <w:top w:val="nil"/>
          <w:left w:val="nil"/>
          <w:bottom w:val="nil"/>
          <w:right w:val="nil"/>
          <w:between w:val="nil"/>
        </w:pBdr>
        <w:jc w:val="both"/>
        <w:rPr>
          <w:color w:val="000000"/>
          <w:sz w:val="20"/>
          <w:szCs w:val="20"/>
        </w:rPr>
      </w:pPr>
      <w:r>
        <w:rPr>
          <w:color w:val="000000"/>
          <w:sz w:val="20"/>
          <w:szCs w:val="20"/>
        </w:rPr>
        <w:t>(…)”</w:t>
      </w:r>
    </w:p>
  </w:footnote>
  <w:footnote w:id="2">
    <w:p w:rsidR="00560DC2" w:rsidRDefault="00560DC2" w:rsidP="00560DC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50, Ley de Transparencia y Acceso a la Información Pública del Estado de México y Municipios.</w:t>
      </w:r>
    </w:p>
  </w:footnote>
  <w:footnote w:id="3">
    <w:p w:rsidR="00560DC2" w:rsidRDefault="00560DC2" w:rsidP="00560DC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51, Ídem.</w:t>
      </w:r>
    </w:p>
  </w:footnote>
  <w:footnote w:id="4">
    <w:p w:rsidR="00560DC2" w:rsidRDefault="00560DC2" w:rsidP="00560DC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58, Ley de Transparencia y Acceso a la Información Pública del Estado de México y Municipios.</w:t>
      </w:r>
    </w:p>
  </w:footnote>
  <w:footnote w:id="5">
    <w:p w:rsidR="00560DC2" w:rsidRDefault="00560DC2" w:rsidP="00560DC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Artículo 59, Ídem.</w:t>
      </w:r>
    </w:p>
  </w:footnote>
  <w:footnote w:id="6">
    <w:p w:rsidR="00560DC2" w:rsidRDefault="00560DC2" w:rsidP="00560DC2">
      <w:pPr>
        <w:pStyle w:val="Textonotapie"/>
      </w:pPr>
      <w:r>
        <w:rPr>
          <w:rStyle w:val="Refdenotaalpie"/>
        </w:rPr>
        <w:footnoteRef/>
      </w:r>
      <w:r>
        <w:t xml:space="preserve"> </w:t>
      </w:r>
      <w:r w:rsidRPr="006848B2">
        <w:rPr>
          <w:rFonts w:ascii="Palatino Linotype" w:eastAsia="MS Mincho" w:hAnsi="Palatino Linotype" w:cs="Arial"/>
          <w:sz w:val="16"/>
          <w:szCs w:val="16"/>
          <w:lang w:eastAsia="es-MX"/>
        </w:rPr>
        <w:t xml:space="preserve">BURGOA ORIHUELA Ignacio. </w:t>
      </w:r>
      <w:r w:rsidRPr="006848B2">
        <w:rPr>
          <w:rFonts w:ascii="Palatino Linotype" w:eastAsia="MS Mincho" w:hAnsi="Palatino Linotype" w:cs="Arial"/>
          <w:i/>
          <w:sz w:val="16"/>
          <w:szCs w:val="16"/>
          <w:lang w:eastAsia="es-MX"/>
        </w:rPr>
        <w:t>Diccionario De Derecho Constitucional, Garantías y Amparo</w:t>
      </w:r>
      <w:r w:rsidRPr="006848B2">
        <w:rPr>
          <w:rFonts w:ascii="Palatino Linotype" w:eastAsia="MS Mincho" w:hAnsi="Palatino Linotype" w:cs="Arial"/>
          <w:sz w:val="16"/>
          <w:szCs w:val="16"/>
          <w:lang w:eastAsia="es-MX"/>
        </w:rPr>
        <w:t>. Ed. Porrúa, S.A., México. 1992. p. 115.</w:t>
      </w:r>
    </w:p>
  </w:footnote>
  <w:footnote w:id="7">
    <w:p w:rsidR="00560DC2" w:rsidRDefault="00560DC2" w:rsidP="00560DC2">
      <w:pPr>
        <w:pStyle w:val="Textonotapie"/>
      </w:pPr>
      <w:r>
        <w:rPr>
          <w:rStyle w:val="Refdenotaalpie"/>
        </w:rPr>
        <w:footnoteRef/>
      </w:r>
      <w:r>
        <w:t xml:space="preserve"> </w:t>
      </w:r>
      <w:r w:rsidRPr="006848B2">
        <w:rPr>
          <w:rFonts w:ascii="Palatino Linotype" w:eastAsia="MS Mincho" w:hAnsi="Palatino Linotype" w:cs="Arial"/>
          <w:sz w:val="16"/>
          <w:szCs w:val="16"/>
        </w:rPr>
        <w:t xml:space="preserve">CIENFUEGOS SALGADO David. </w:t>
      </w:r>
      <w:r w:rsidRPr="006848B2">
        <w:rPr>
          <w:rFonts w:ascii="Palatino Linotype" w:eastAsia="MS Mincho" w:hAnsi="Palatino Linotype" w:cs="Arial"/>
          <w:i/>
          <w:sz w:val="16"/>
          <w:szCs w:val="16"/>
        </w:rPr>
        <w:t xml:space="preserve">El Derecho de Petición en México. </w:t>
      </w:r>
      <w:r w:rsidRPr="006848B2">
        <w:rPr>
          <w:rFonts w:ascii="Palatino Linotype" w:eastAsia="MS Mincho" w:hAnsi="Palatino Linotype" w:cs="Arial"/>
          <w:sz w:val="16"/>
          <w:szCs w:val="16"/>
        </w:rPr>
        <w:t>Ed. Instituto de Investigaciones Jurídica UNAM. México 2004. p. 31</w:t>
      </w:r>
    </w:p>
  </w:footnote>
  <w:footnote w:id="8">
    <w:p w:rsidR="00560DC2" w:rsidRDefault="00560DC2" w:rsidP="00560DC2">
      <w:pPr>
        <w:pStyle w:val="Textonotapie"/>
      </w:pPr>
      <w:r>
        <w:rPr>
          <w:rStyle w:val="Refdenotaalpie"/>
        </w:rPr>
        <w:footnoteRef/>
      </w:r>
      <w:r>
        <w:t xml:space="preserve"> </w:t>
      </w:r>
      <w:r w:rsidRPr="006848B2">
        <w:rPr>
          <w:rFonts w:ascii="Palatino Linotype" w:eastAsia="MS Mincho" w:hAnsi="Palatino Linotype" w:cs="Arial"/>
          <w:sz w:val="16"/>
          <w:szCs w:val="16"/>
        </w:rPr>
        <w:t xml:space="preserve">ROBLES HERNÁNDEZ José Guadalupe. </w:t>
      </w:r>
      <w:r w:rsidRPr="006848B2">
        <w:rPr>
          <w:rFonts w:ascii="Palatino Linotype" w:eastAsia="MS Mincho" w:hAnsi="Palatino Linotype" w:cs="Arial"/>
          <w:i/>
          <w:sz w:val="16"/>
          <w:szCs w:val="16"/>
        </w:rPr>
        <w:t xml:space="preserve">Derecho de la Información y Comunicación Pública. </w:t>
      </w:r>
      <w:r w:rsidRPr="006848B2">
        <w:rPr>
          <w:rFonts w:ascii="Palatino Linotype" w:eastAsia="MS Mincho" w:hAnsi="Palatino Linotype" w:cs="Arial"/>
          <w:sz w:val="16"/>
          <w:szCs w:val="16"/>
        </w:rPr>
        <w:t>Ed. Universidad de Occidente. México. 2004, p. 72</w:t>
      </w:r>
    </w:p>
  </w:footnote>
  <w:footnote w:id="9">
    <w:p w:rsidR="00560DC2" w:rsidRDefault="00560DC2" w:rsidP="00560DC2">
      <w:pPr>
        <w:pStyle w:val="Textonotapie"/>
      </w:pPr>
      <w:r>
        <w:rPr>
          <w:rStyle w:val="Refdenotaalpie"/>
        </w:rPr>
        <w:footnoteRef/>
      </w:r>
      <w:r>
        <w:t xml:space="preserve"> </w:t>
      </w:r>
      <w:r w:rsidRPr="006848B2">
        <w:rPr>
          <w:rFonts w:ascii="Palatino Linotype" w:eastAsia="MS Mincho" w:hAnsi="Palatino Linotype" w:cs="Arial"/>
          <w:sz w:val="16"/>
          <w:szCs w:val="16"/>
        </w:rPr>
        <w:t xml:space="preserve">VILLANUEVA </w:t>
      </w:r>
      <w:proofErr w:type="spellStart"/>
      <w:r w:rsidRPr="006848B2">
        <w:rPr>
          <w:rFonts w:ascii="Palatino Linotype" w:eastAsia="MS Mincho" w:hAnsi="Palatino Linotype" w:cs="Arial"/>
          <w:sz w:val="16"/>
          <w:szCs w:val="16"/>
        </w:rPr>
        <w:t>VILLANUEVA</w:t>
      </w:r>
      <w:proofErr w:type="spellEnd"/>
      <w:r w:rsidRPr="006848B2">
        <w:rPr>
          <w:rFonts w:ascii="Palatino Linotype" w:eastAsia="MS Mincho" w:hAnsi="Palatino Linotype" w:cs="Arial"/>
          <w:sz w:val="16"/>
          <w:szCs w:val="16"/>
        </w:rPr>
        <w:t xml:space="preserve"> Ernesto. Derecho de la Información, Ed. Porrúa. </w:t>
      </w:r>
      <w:r w:rsidRPr="006848B2">
        <w:rPr>
          <w:rFonts w:ascii="Palatino Linotype" w:eastAsia="MS Mincho" w:hAnsi="Palatino Linotype" w:cs="Arial"/>
          <w:sz w:val="16"/>
          <w:szCs w:val="16"/>
          <w:lang w:eastAsia="es-MX"/>
        </w:rPr>
        <w:t>S.A., México. 2006. p. 270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506" w:type="dxa"/>
      <w:tblInd w:w="1505" w:type="dxa"/>
      <w:tblBorders>
        <w:top w:val="nil"/>
        <w:left w:val="nil"/>
        <w:bottom w:val="nil"/>
        <w:right w:val="nil"/>
        <w:insideH w:val="nil"/>
        <w:insideV w:val="nil"/>
      </w:tblBorders>
      <w:tblLayout w:type="fixed"/>
      <w:tblLook w:val="0400" w:firstRow="0" w:lastRow="0" w:firstColumn="0" w:lastColumn="0" w:noHBand="0" w:noVBand="1"/>
    </w:tblPr>
    <w:tblGrid>
      <w:gridCol w:w="3828"/>
      <w:gridCol w:w="4678"/>
    </w:tblGrid>
    <w:tr w:rsidR="00547008" w:rsidRPr="00AA2280" w:rsidTr="00AA2280">
      <w:trPr>
        <w:trHeight w:val="138"/>
      </w:trPr>
      <w:tc>
        <w:tcPr>
          <w:tcW w:w="3828" w:type="dxa"/>
          <w:vAlign w:val="center"/>
        </w:tcPr>
        <w:p w:rsidR="00547008" w:rsidRPr="00AA2280" w:rsidRDefault="007327E7" w:rsidP="00AA2280">
          <w:pPr>
            <w:ind w:right="34"/>
            <w:rPr>
              <w:rFonts w:ascii="Palatino Linotype" w:eastAsia="Palatino Linotype" w:hAnsi="Palatino Linotype" w:cs="Palatino Linotype"/>
              <w:b/>
              <w:sz w:val="22"/>
              <w:szCs w:val="20"/>
            </w:rPr>
          </w:pPr>
        </w:p>
      </w:tc>
      <w:tc>
        <w:tcPr>
          <w:tcW w:w="4678" w:type="dxa"/>
          <w:vAlign w:val="center"/>
        </w:tcPr>
        <w:p w:rsidR="00547008" w:rsidRPr="00AA2280" w:rsidRDefault="007327E7">
          <w:pPr>
            <w:pBdr>
              <w:top w:val="nil"/>
              <w:left w:val="nil"/>
              <w:bottom w:val="nil"/>
              <w:right w:val="nil"/>
              <w:between w:val="nil"/>
            </w:pBdr>
            <w:tabs>
              <w:tab w:val="center" w:pos="4252"/>
              <w:tab w:val="right" w:pos="8504"/>
            </w:tabs>
            <w:jc w:val="both"/>
            <w:rPr>
              <w:rFonts w:ascii="Palatino Linotype" w:eastAsia="Palatino Linotype" w:hAnsi="Palatino Linotype" w:cs="Palatino Linotype"/>
              <w:b/>
              <w:sz w:val="22"/>
              <w:szCs w:val="20"/>
            </w:rPr>
          </w:pPr>
        </w:p>
      </w:tc>
    </w:tr>
    <w:tr w:rsidR="00547008" w:rsidRPr="00AA2280" w:rsidTr="00AA2280">
      <w:trPr>
        <w:trHeight w:val="138"/>
      </w:trPr>
      <w:tc>
        <w:tcPr>
          <w:tcW w:w="3828" w:type="dxa"/>
          <w:vAlign w:val="center"/>
        </w:tcPr>
        <w:p w:rsidR="00547008" w:rsidRPr="00AA2280" w:rsidRDefault="005D1B80">
          <w:pPr>
            <w:ind w:right="34"/>
            <w:jc w:val="right"/>
            <w:rPr>
              <w:rFonts w:ascii="Palatino Linotype" w:eastAsia="Palatino Linotype" w:hAnsi="Palatino Linotype" w:cs="Palatino Linotype"/>
              <w:b/>
              <w:sz w:val="22"/>
              <w:szCs w:val="20"/>
            </w:rPr>
          </w:pPr>
          <w:r w:rsidRPr="00AA2280">
            <w:rPr>
              <w:rFonts w:ascii="Palatino Linotype" w:eastAsia="Palatino Linotype" w:hAnsi="Palatino Linotype" w:cs="Palatino Linotype"/>
              <w:b/>
              <w:sz w:val="22"/>
              <w:szCs w:val="20"/>
            </w:rPr>
            <w:t>RECURSO DE REVISIÓN:</w:t>
          </w:r>
        </w:p>
      </w:tc>
      <w:tc>
        <w:tcPr>
          <w:tcW w:w="4678" w:type="dxa"/>
          <w:vAlign w:val="center"/>
        </w:tcPr>
        <w:p w:rsidR="00547008" w:rsidRPr="00AA2280" w:rsidRDefault="005D1B80" w:rsidP="00AA2280">
          <w:pPr>
            <w:pBdr>
              <w:top w:val="nil"/>
              <w:left w:val="nil"/>
              <w:bottom w:val="nil"/>
              <w:right w:val="nil"/>
              <w:between w:val="nil"/>
            </w:pBdr>
            <w:tabs>
              <w:tab w:val="right" w:pos="8504"/>
            </w:tabs>
            <w:jc w:val="both"/>
            <w:rPr>
              <w:rFonts w:ascii="Palatino Linotype" w:eastAsia="Palatino Linotype" w:hAnsi="Palatino Linotype" w:cs="Palatino Linotype"/>
              <w:sz w:val="22"/>
              <w:szCs w:val="20"/>
            </w:rPr>
          </w:pPr>
          <w:r w:rsidRPr="00AA2280">
            <w:rPr>
              <w:rFonts w:ascii="Palatino Linotype" w:eastAsia="Palatino Linotype" w:hAnsi="Palatino Linotype" w:cs="Palatino Linotype"/>
              <w:sz w:val="22"/>
              <w:szCs w:val="20"/>
            </w:rPr>
            <w:t>03283/INFOEM/IP/RR/2024</w:t>
          </w:r>
        </w:p>
      </w:tc>
    </w:tr>
    <w:tr w:rsidR="00547008" w:rsidRPr="00AA2280" w:rsidTr="00AA2280">
      <w:trPr>
        <w:trHeight w:val="233"/>
      </w:trPr>
      <w:tc>
        <w:tcPr>
          <w:tcW w:w="3828" w:type="dxa"/>
          <w:vAlign w:val="center"/>
        </w:tcPr>
        <w:p w:rsidR="00547008" w:rsidRPr="00AA2280" w:rsidRDefault="005D1B80">
          <w:pPr>
            <w:ind w:right="34"/>
            <w:jc w:val="right"/>
            <w:rPr>
              <w:rFonts w:ascii="Palatino Linotype" w:eastAsia="Palatino Linotype" w:hAnsi="Palatino Linotype" w:cs="Palatino Linotype"/>
              <w:b/>
              <w:sz w:val="22"/>
              <w:szCs w:val="20"/>
            </w:rPr>
          </w:pPr>
          <w:r w:rsidRPr="00AA2280">
            <w:rPr>
              <w:rFonts w:ascii="Palatino Linotype" w:eastAsia="Palatino Linotype" w:hAnsi="Palatino Linotype" w:cs="Palatino Linotype"/>
              <w:b/>
              <w:sz w:val="22"/>
              <w:szCs w:val="20"/>
            </w:rPr>
            <w:t>SUJETO OBLIGADO:</w:t>
          </w:r>
        </w:p>
      </w:tc>
      <w:tc>
        <w:tcPr>
          <w:tcW w:w="4678" w:type="dxa"/>
          <w:vAlign w:val="center"/>
        </w:tcPr>
        <w:p w:rsidR="00547008" w:rsidRPr="00AA2280" w:rsidRDefault="005D1B80" w:rsidP="00AA2280">
          <w:pPr>
            <w:pBdr>
              <w:top w:val="nil"/>
              <w:left w:val="nil"/>
              <w:bottom w:val="nil"/>
              <w:right w:val="nil"/>
              <w:between w:val="nil"/>
            </w:pBdr>
            <w:tabs>
              <w:tab w:val="right" w:pos="8504"/>
            </w:tabs>
            <w:rPr>
              <w:rFonts w:ascii="Palatino Linotype" w:eastAsia="Palatino Linotype" w:hAnsi="Palatino Linotype" w:cs="Palatino Linotype"/>
              <w:sz w:val="22"/>
              <w:szCs w:val="20"/>
            </w:rPr>
          </w:pPr>
          <w:r w:rsidRPr="00AA2280">
            <w:rPr>
              <w:rFonts w:ascii="Palatino Linotype" w:hAnsi="Palatino Linotype"/>
              <w:bCs/>
              <w:sz w:val="22"/>
              <w:szCs w:val="20"/>
            </w:rPr>
            <w:t>Universidad Politécnica de Cuautitlán Izcalli</w:t>
          </w:r>
        </w:p>
      </w:tc>
    </w:tr>
    <w:tr w:rsidR="00547008" w:rsidRPr="00AA2280" w:rsidTr="00AA2280">
      <w:trPr>
        <w:trHeight w:val="321"/>
      </w:trPr>
      <w:tc>
        <w:tcPr>
          <w:tcW w:w="3828" w:type="dxa"/>
          <w:vAlign w:val="center"/>
        </w:tcPr>
        <w:p w:rsidR="00547008" w:rsidRPr="00AA2280" w:rsidRDefault="005D1B80">
          <w:pPr>
            <w:ind w:right="34"/>
            <w:jc w:val="right"/>
            <w:rPr>
              <w:rFonts w:ascii="Palatino Linotype" w:eastAsia="Palatino Linotype" w:hAnsi="Palatino Linotype" w:cs="Palatino Linotype"/>
              <w:b/>
              <w:sz w:val="22"/>
              <w:szCs w:val="20"/>
            </w:rPr>
          </w:pPr>
          <w:r w:rsidRPr="00AA2280">
            <w:rPr>
              <w:rFonts w:ascii="Palatino Linotype" w:eastAsia="Palatino Linotype" w:hAnsi="Palatino Linotype" w:cs="Palatino Linotype"/>
              <w:b/>
              <w:sz w:val="22"/>
              <w:szCs w:val="20"/>
            </w:rPr>
            <w:t>COMISIONADA PONENTE:</w:t>
          </w:r>
        </w:p>
      </w:tc>
      <w:tc>
        <w:tcPr>
          <w:tcW w:w="4678" w:type="dxa"/>
          <w:vAlign w:val="center"/>
        </w:tcPr>
        <w:p w:rsidR="00547008" w:rsidRPr="00AA2280" w:rsidRDefault="005D1B80" w:rsidP="00AA2280">
          <w:pPr>
            <w:pBdr>
              <w:top w:val="nil"/>
              <w:left w:val="nil"/>
              <w:bottom w:val="nil"/>
              <w:right w:val="nil"/>
              <w:between w:val="nil"/>
            </w:pBdr>
            <w:tabs>
              <w:tab w:val="right" w:pos="8504"/>
            </w:tabs>
            <w:rPr>
              <w:rFonts w:ascii="Palatino Linotype" w:eastAsia="Palatino Linotype" w:hAnsi="Palatino Linotype" w:cs="Palatino Linotype"/>
              <w:sz w:val="22"/>
              <w:szCs w:val="20"/>
            </w:rPr>
          </w:pPr>
          <w:r w:rsidRPr="00AA2280">
            <w:rPr>
              <w:rFonts w:ascii="Palatino Linotype" w:eastAsia="Palatino Linotype" w:hAnsi="Palatino Linotype" w:cs="Palatino Linotype"/>
              <w:sz w:val="22"/>
              <w:szCs w:val="20"/>
            </w:rPr>
            <w:t>María del Rosario Mejía Ayala</w:t>
          </w:r>
        </w:p>
      </w:tc>
    </w:tr>
  </w:tbl>
  <w:p w:rsidR="00547008" w:rsidRDefault="005D1B80">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7216" behindDoc="1" locked="0" layoutInCell="1" hidden="0" allowOverlap="1" wp14:anchorId="68D3A131" wp14:editId="19DBD3BB">
          <wp:simplePos x="0" y="0"/>
          <wp:positionH relativeFrom="page">
            <wp:posOffset>34285</wp:posOffset>
          </wp:positionH>
          <wp:positionV relativeFrom="page">
            <wp:posOffset>13335</wp:posOffset>
          </wp:positionV>
          <wp:extent cx="7694930" cy="1002030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94930" cy="10020300"/>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789" w:type="dxa"/>
      <w:tblInd w:w="1761" w:type="dxa"/>
      <w:tblBorders>
        <w:top w:val="nil"/>
        <w:left w:val="nil"/>
        <w:bottom w:val="nil"/>
        <w:right w:val="nil"/>
        <w:insideH w:val="nil"/>
        <w:insideV w:val="nil"/>
      </w:tblBorders>
      <w:tblLayout w:type="fixed"/>
      <w:tblLook w:val="0400" w:firstRow="0" w:lastRow="0" w:firstColumn="0" w:lastColumn="0" w:noHBand="0" w:noVBand="1"/>
    </w:tblPr>
    <w:tblGrid>
      <w:gridCol w:w="3828"/>
      <w:gridCol w:w="4961"/>
    </w:tblGrid>
    <w:tr w:rsidR="00547008" w:rsidRPr="00F137EF" w:rsidTr="00F137EF">
      <w:trPr>
        <w:trHeight w:val="138"/>
      </w:trPr>
      <w:tc>
        <w:tcPr>
          <w:tcW w:w="3828" w:type="dxa"/>
          <w:vAlign w:val="center"/>
        </w:tcPr>
        <w:p w:rsidR="00547008" w:rsidRPr="00F137EF" w:rsidRDefault="005D1B80" w:rsidP="00CA3612">
          <w:pPr>
            <w:jc w:val="right"/>
            <w:rPr>
              <w:rFonts w:ascii="Palatino Linotype" w:eastAsia="Palatino Linotype" w:hAnsi="Palatino Linotype" w:cs="Palatino Linotype"/>
              <w:b/>
              <w:sz w:val="22"/>
              <w:szCs w:val="20"/>
            </w:rPr>
          </w:pPr>
          <w:r w:rsidRPr="00F137EF">
            <w:rPr>
              <w:rFonts w:ascii="Palatino Linotype" w:hAnsi="Palatino Linotype"/>
              <w:sz w:val="22"/>
              <w:szCs w:val="20"/>
            </w:rPr>
            <w:tab/>
          </w:r>
          <w:r w:rsidRPr="00F137EF">
            <w:rPr>
              <w:rFonts w:ascii="Palatino Linotype" w:eastAsia="Palatino Linotype" w:hAnsi="Palatino Linotype" w:cs="Palatino Linotype"/>
              <w:b/>
              <w:sz w:val="22"/>
              <w:szCs w:val="20"/>
            </w:rPr>
            <w:t>RECURSO DE REVISIÓN:</w:t>
          </w:r>
        </w:p>
      </w:tc>
      <w:tc>
        <w:tcPr>
          <w:tcW w:w="4961" w:type="dxa"/>
          <w:vAlign w:val="center"/>
        </w:tcPr>
        <w:p w:rsidR="00547008" w:rsidRPr="00F137EF" w:rsidRDefault="005D1B80" w:rsidP="00F137EF">
          <w:pPr>
            <w:pBdr>
              <w:top w:val="nil"/>
              <w:left w:val="nil"/>
              <w:bottom w:val="nil"/>
              <w:right w:val="nil"/>
              <w:between w:val="nil"/>
            </w:pBdr>
            <w:tabs>
              <w:tab w:val="right" w:pos="8504"/>
            </w:tabs>
            <w:rPr>
              <w:rFonts w:ascii="Palatino Linotype" w:eastAsia="Palatino Linotype" w:hAnsi="Palatino Linotype" w:cs="Palatino Linotype"/>
              <w:sz w:val="22"/>
              <w:szCs w:val="20"/>
            </w:rPr>
          </w:pPr>
          <w:r w:rsidRPr="00F137EF">
            <w:rPr>
              <w:rFonts w:ascii="Palatino Linotype" w:eastAsia="Palatino Linotype" w:hAnsi="Palatino Linotype" w:cs="Palatino Linotype"/>
              <w:sz w:val="22"/>
              <w:szCs w:val="20"/>
            </w:rPr>
            <w:t>03283/INFOEM/IP/RR/2024</w:t>
          </w:r>
        </w:p>
      </w:tc>
    </w:tr>
    <w:tr w:rsidR="00547008" w:rsidRPr="00F137EF" w:rsidTr="00F137EF">
      <w:trPr>
        <w:trHeight w:val="233"/>
      </w:trPr>
      <w:tc>
        <w:tcPr>
          <w:tcW w:w="3828" w:type="dxa"/>
          <w:vAlign w:val="center"/>
        </w:tcPr>
        <w:p w:rsidR="00547008" w:rsidRPr="00F137EF" w:rsidRDefault="005D1B80" w:rsidP="00CA3612">
          <w:pPr>
            <w:jc w:val="right"/>
            <w:rPr>
              <w:rFonts w:ascii="Palatino Linotype" w:eastAsia="Palatino Linotype" w:hAnsi="Palatino Linotype" w:cs="Palatino Linotype"/>
              <w:b/>
              <w:sz w:val="22"/>
              <w:szCs w:val="20"/>
            </w:rPr>
          </w:pPr>
          <w:r w:rsidRPr="00F137EF">
            <w:rPr>
              <w:rFonts w:ascii="Palatino Linotype" w:eastAsia="Palatino Linotype" w:hAnsi="Palatino Linotype" w:cs="Palatino Linotype"/>
              <w:b/>
              <w:sz w:val="22"/>
              <w:szCs w:val="20"/>
            </w:rPr>
            <w:t>RECURRENTE:</w:t>
          </w:r>
        </w:p>
      </w:tc>
      <w:tc>
        <w:tcPr>
          <w:tcW w:w="4961" w:type="dxa"/>
        </w:tcPr>
        <w:p w:rsidR="00547008" w:rsidRPr="00F137EF" w:rsidRDefault="008561D8" w:rsidP="00F137EF">
          <w:pPr>
            <w:pBdr>
              <w:top w:val="nil"/>
              <w:left w:val="nil"/>
              <w:bottom w:val="nil"/>
              <w:right w:val="nil"/>
              <w:between w:val="nil"/>
            </w:pBdr>
            <w:tabs>
              <w:tab w:val="right" w:pos="8504"/>
            </w:tabs>
            <w:rPr>
              <w:rFonts w:ascii="Palatino Linotype" w:eastAsia="Palatino Linotype" w:hAnsi="Palatino Linotype" w:cs="Palatino Linotype"/>
              <w:sz w:val="22"/>
              <w:szCs w:val="20"/>
            </w:rPr>
          </w:pPr>
          <w:r>
            <w:rPr>
              <w:rFonts w:ascii="Palatino Linotype" w:eastAsia="Palatino Linotype" w:hAnsi="Palatino Linotype" w:cs="Palatino Linotype"/>
              <w:sz w:val="22"/>
              <w:szCs w:val="20"/>
            </w:rPr>
            <w:t>XXXXXXXXXX</w:t>
          </w:r>
        </w:p>
      </w:tc>
    </w:tr>
    <w:tr w:rsidR="00547008" w:rsidRPr="00F137EF" w:rsidTr="00F137EF">
      <w:trPr>
        <w:trHeight w:val="321"/>
      </w:trPr>
      <w:tc>
        <w:tcPr>
          <w:tcW w:w="3828" w:type="dxa"/>
          <w:vAlign w:val="center"/>
        </w:tcPr>
        <w:p w:rsidR="00547008" w:rsidRPr="00F137EF" w:rsidRDefault="005D1B80" w:rsidP="00CA3612">
          <w:pPr>
            <w:jc w:val="right"/>
            <w:rPr>
              <w:rFonts w:ascii="Palatino Linotype" w:eastAsia="Palatino Linotype" w:hAnsi="Palatino Linotype" w:cs="Palatino Linotype"/>
              <w:b/>
              <w:sz w:val="22"/>
              <w:szCs w:val="20"/>
            </w:rPr>
          </w:pPr>
          <w:r w:rsidRPr="00F137EF">
            <w:rPr>
              <w:rFonts w:ascii="Palatino Linotype" w:eastAsia="Palatino Linotype" w:hAnsi="Palatino Linotype" w:cs="Palatino Linotype"/>
              <w:b/>
              <w:sz w:val="22"/>
              <w:szCs w:val="20"/>
            </w:rPr>
            <w:t>SUJETO OBLIGADO:</w:t>
          </w:r>
        </w:p>
      </w:tc>
      <w:tc>
        <w:tcPr>
          <w:tcW w:w="4961" w:type="dxa"/>
          <w:vAlign w:val="center"/>
        </w:tcPr>
        <w:p w:rsidR="00547008" w:rsidRPr="00F137EF" w:rsidRDefault="005D1B80" w:rsidP="00F137EF">
          <w:pPr>
            <w:pBdr>
              <w:top w:val="nil"/>
              <w:left w:val="nil"/>
              <w:bottom w:val="nil"/>
              <w:right w:val="nil"/>
              <w:between w:val="nil"/>
            </w:pBdr>
            <w:tabs>
              <w:tab w:val="right" w:pos="8504"/>
            </w:tabs>
            <w:rPr>
              <w:rFonts w:ascii="Palatino Linotype" w:eastAsia="Palatino Linotype" w:hAnsi="Palatino Linotype" w:cs="Palatino Linotype"/>
              <w:sz w:val="22"/>
              <w:szCs w:val="20"/>
            </w:rPr>
          </w:pPr>
          <w:r w:rsidRPr="00F137EF">
            <w:rPr>
              <w:rFonts w:ascii="Palatino Linotype" w:hAnsi="Palatino Linotype"/>
              <w:bCs/>
              <w:sz w:val="22"/>
              <w:szCs w:val="20"/>
            </w:rPr>
            <w:t>Universidad Politécnica de Cuautitlán Izcalli</w:t>
          </w:r>
        </w:p>
      </w:tc>
    </w:tr>
    <w:tr w:rsidR="00547008" w:rsidRPr="00F137EF" w:rsidTr="00F137EF">
      <w:trPr>
        <w:trHeight w:val="321"/>
      </w:trPr>
      <w:tc>
        <w:tcPr>
          <w:tcW w:w="3828" w:type="dxa"/>
          <w:vAlign w:val="center"/>
        </w:tcPr>
        <w:p w:rsidR="00547008" w:rsidRPr="00F137EF" w:rsidRDefault="005D1B80" w:rsidP="00CA3612">
          <w:pPr>
            <w:jc w:val="right"/>
            <w:rPr>
              <w:rFonts w:ascii="Palatino Linotype" w:eastAsia="Palatino Linotype" w:hAnsi="Palatino Linotype" w:cs="Palatino Linotype"/>
              <w:b/>
              <w:sz w:val="22"/>
              <w:szCs w:val="20"/>
            </w:rPr>
          </w:pPr>
          <w:r w:rsidRPr="00F137EF">
            <w:rPr>
              <w:rFonts w:ascii="Palatino Linotype" w:eastAsia="Palatino Linotype" w:hAnsi="Palatino Linotype" w:cs="Palatino Linotype"/>
              <w:b/>
              <w:sz w:val="22"/>
              <w:szCs w:val="20"/>
            </w:rPr>
            <w:t>COMISIONADA PONENTE:</w:t>
          </w:r>
        </w:p>
      </w:tc>
      <w:tc>
        <w:tcPr>
          <w:tcW w:w="4961" w:type="dxa"/>
          <w:vAlign w:val="center"/>
        </w:tcPr>
        <w:p w:rsidR="00547008" w:rsidRPr="00F137EF" w:rsidRDefault="005D1B80" w:rsidP="00F137EF">
          <w:pPr>
            <w:pBdr>
              <w:top w:val="nil"/>
              <w:left w:val="nil"/>
              <w:bottom w:val="nil"/>
              <w:right w:val="nil"/>
              <w:between w:val="nil"/>
            </w:pBdr>
            <w:tabs>
              <w:tab w:val="right" w:pos="8504"/>
            </w:tabs>
            <w:ind w:left="33"/>
            <w:rPr>
              <w:rFonts w:ascii="Palatino Linotype" w:eastAsia="Palatino Linotype" w:hAnsi="Palatino Linotype" w:cs="Palatino Linotype"/>
              <w:sz w:val="22"/>
              <w:szCs w:val="20"/>
            </w:rPr>
          </w:pPr>
          <w:r w:rsidRPr="00F137EF">
            <w:rPr>
              <w:rFonts w:ascii="Palatino Linotype" w:eastAsia="Palatino Linotype" w:hAnsi="Palatino Linotype" w:cs="Palatino Linotype"/>
              <w:sz w:val="22"/>
              <w:szCs w:val="20"/>
            </w:rPr>
            <w:t>María del Rosario Mejía Ayala</w:t>
          </w:r>
        </w:p>
      </w:tc>
    </w:tr>
  </w:tbl>
  <w:p w:rsidR="00547008" w:rsidRDefault="007327E7">
    <w:pPr>
      <w:pBdr>
        <w:top w:val="nil"/>
        <w:left w:val="nil"/>
        <w:bottom w:val="nil"/>
        <w:right w:val="nil"/>
        <w:between w:val="nil"/>
      </w:pBdr>
      <w:tabs>
        <w:tab w:val="center" w:pos="4252"/>
        <w:tab w:val="right" w:pos="8504"/>
        <w:tab w:val="left" w:pos="3103"/>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89.25pt;margin-top:-132.15pt;width:663.5pt;height:12in;z-index:-251658240;mso-wrap-edited:f;mso-width-percent:0;mso-height-percent:0;mso-position-horizontal-relative:margin;mso-position-vertical-relative:margin;mso-width-percent:0;mso-height-percent:0">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32F74"/>
    <w:multiLevelType w:val="hybridMultilevel"/>
    <w:tmpl w:val="CEB486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7423053"/>
    <w:multiLevelType w:val="multilevel"/>
    <w:tmpl w:val="38A6847C"/>
    <w:lvl w:ilvl="0">
      <w:start w:val="1"/>
      <w:numFmt w:val="decimal"/>
      <w:pStyle w:val="Listaconvietas2"/>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7417FE"/>
    <w:multiLevelType w:val="multilevel"/>
    <w:tmpl w:val="23249B9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upperRoman"/>
      <w:lvlText w:val="%2."/>
      <w:lvlJc w:val="right"/>
      <w:pPr>
        <w:ind w:left="1440" w:hanging="360"/>
      </w:pPr>
      <w:rPr>
        <w:b/>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40B4DA4"/>
    <w:multiLevelType w:val="hybridMultilevel"/>
    <w:tmpl w:val="8BD02F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AC30B16"/>
    <w:multiLevelType w:val="multilevel"/>
    <w:tmpl w:val="1654EE2A"/>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b/>
        <w:i w:val="0"/>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C2"/>
    <w:rsid w:val="00485C6A"/>
    <w:rsid w:val="00560DC2"/>
    <w:rsid w:val="005D1B80"/>
    <w:rsid w:val="007327E7"/>
    <w:rsid w:val="00765CD4"/>
    <w:rsid w:val="00845A65"/>
    <w:rsid w:val="008561D8"/>
    <w:rsid w:val="00AA2280"/>
    <w:rsid w:val="00BF38CA"/>
    <w:rsid w:val="00DF0A05"/>
    <w:rsid w:val="00F137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611F91D5-4D83-4E52-B420-0E54A8082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C2"/>
    <w:pPr>
      <w:spacing w:after="0" w:line="240" w:lineRule="auto"/>
    </w:pPr>
    <w:rPr>
      <w:rFonts w:ascii="Cambria" w:eastAsia="Cambria" w:hAnsi="Cambria" w:cs="Cambria"/>
      <w:sz w:val="24"/>
      <w:szCs w:val="24"/>
      <w:lang w:eastAsia="es-MX"/>
    </w:rPr>
  </w:style>
  <w:style w:type="paragraph" w:styleId="Ttulo1">
    <w:name w:val="heading 1"/>
    <w:basedOn w:val="Normal"/>
    <w:next w:val="Normal"/>
    <w:link w:val="Ttulo1Car"/>
    <w:uiPriority w:val="9"/>
    <w:qFormat/>
    <w:rsid w:val="00560DC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560DC2"/>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60DC2"/>
    <w:rPr>
      <w:rFonts w:ascii="Palatino Linotype" w:eastAsiaTheme="majorEastAsia" w:hAnsi="Palatino Linotype" w:cstheme="majorBidi"/>
      <w:sz w:val="24"/>
      <w:szCs w:val="32"/>
    </w:rPr>
  </w:style>
  <w:style w:type="character" w:customStyle="1" w:styleId="Ttulo2Car">
    <w:name w:val="Título 2 Car"/>
    <w:basedOn w:val="Fuentedeprrafopredeter"/>
    <w:link w:val="Ttulo2"/>
    <w:uiPriority w:val="9"/>
    <w:rsid w:val="00560DC2"/>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560DC2"/>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60DC2"/>
    <w:rPr>
      <w:rFonts w:ascii="Cambria" w:eastAsia="Cambria" w:hAnsi="Cambria" w:cs="Cambria"/>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560DC2"/>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560DC2"/>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560DC2"/>
    <w:rPr>
      <w:rFonts w:ascii="Cambria" w:hAnsi="Cambria" w:cs="Cambria"/>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nhideWhenUsed/>
    <w:qFormat/>
    <w:rsid w:val="00560DC2"/>
    <w:rPr>
      <w:vertAlign w:val="superscript"/>
    </w:rPr>
  </w:style>
  <w:style w:type="paragraph" w:styleId="Listaconvietas2">
    <w:name w:val="List Bullet 2"/>
    <w:basedOn w:val="Normal"/>
    <w:uiPriority w:val="99"/>
    <w:unhideWhenUsed/>
    <w:rsid w:val="00560DC2"/>
    <w:pPr>
      <w:numPr>
        <w:numId w:val="2"/>
      </w:numPr>
      <w:contextualSpacing/>
    </w:pPr>
    <w:rPr>
      <w:rFonts w:ascii="Times New Roman" w:eastAsia="Times New Roman" w:hAnsi="Times New Roman" w:cs="Times New Roman"/>
      <w:sz w:val="20"/>
      <w:szCs w:val="20"/>
    </w:rPr>
  </w:style>
  <w:style w:type="paragraph" w:styleId="Encabezado">
    <w:name w:val="header"/>
    <w:basedOn w:val="Normal"/>
    <w:link w:val="EncabezadoCar"/>
    <w:uiPriority w:val="99"/>
    <w:unhideWhenUsed/>
    <w:rsid w:val="00F137EF"/>
    <w:pPr>
      <w:tabs>
        <w:tab w:val="center" w:pos="4419"/>
        <w:tab w:val="right" w:pos="8838"/>
      </w:tabs>
    </w:pPr>
  </w:style>
  <w:style w:type="character" w:customStyle="1" w:styleId="EncabezadoCar">
    <w:name w:val="Encabezado Car"/>
    <w:basedOn w:val="Fuentedeprrafopredeter"/>
    <w:link w:val="Encabezado"/>
    <w:uiPriority w:val="99"/>
    <w:rsid w:val="00F137EF"/>
    <w:rPr>
      <w:rFonts w:ascii="Cambria" w:eastAsia="Cambria" w:hAnsi="Cambria" w:cs="Cambria"/>
      <w:sz w:val="24"/>
      <w:szCs w:val="24"/>
      <w:lang w:eastAsia="es-MX"/>
    </w:rPr>
  </w:style>
  <w:style w:type="paragraph" w:styleId="Piedepgina">
    <w:name w:val="footer"/>
    <w:basedOn w:val="Normal"/>
    <w:link w:val="PiedepginaCar"/>
    <w:uiPriority w:val="99"/>
    <w:unhideWhenUsed/>
    <w:rsid w:val="00F137EF"/>
    <w:pPr>
      <w:tabs>
        <w:tab w:val="center" w:pos="4419"/>
        <w:tab w:val="right" w:pos="8838"/>
      </w:tabs>
    </w:pPr>
  </w:style>
  <w:style w:type="character" w:customStyle="1" w:styleId="PiedepginaCar">
    <w:name w:val="Pie de página Car"/>
    <w:basedOn w:val="Fuentedeprrafopredeter"/>
    <w:link w:val="Piedepgina"/>
    <w:uiPriority w:val="99"/>
    <w:rsid w:val="00F137EF"/>
    <w:rPr>
      <w:rFonts w:ascii="Cambria" w:eastAsia="Cambria" w:hAnsi="Cambria" w:cs="Cambria"/>
      <w:sz w:val="24"/>
      <w:szCs w:val="24"/>
      <w:lang w:eastAsia="es-MX"/>
    </w:rPr>
  </w:style>
  <w:style w:type="character" w:styleId="Referenciasutil">
    <w:name w:val="Subtle Reference"/>
    <w:basedOn w:val="Fuentedeprrafopredeter"/>
    <w:uiPriority w:val="31"/>
    <w:qFormat/>
    <w:rsid w:val="00845A6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116237.pag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aimex.org.mx/saimex/solicitud/downloadAttach/2105255.page"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aimex.org.mx/saimex/solicitud/downloadAttach/2116238.pag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saimex.org.mx/saimex/solicitud/downloadAttach/2116237.page" TargetMode="External"/><Relationship Id="rId4" Type="http://schemas.openxmlformats.org/officeDocument/2006/relationships/webSettings" Target="webSettings.xml"/><Relationship Id="rId9" Type="http://schemas.openxmlformats.org/officeDocument/2006/relationships/hyperlink" Target="https://saimex.org.mx/saimex/solicitud/downloadAttach/2116238.pag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19</Pages>
  <Words>4736</Words>
  <Characters>26052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INFOEM521</dc:creator>
  <cp:keywords/>
  <dc:description/>
  <cp:lastModifiedBy>INFOEM403</cp:lastModifiedBy>
  <cp:revision>4</cp:revision>
  <dcterms:created xsi:type="dcterms:W3CDTF">2024-11-28T20:15:00Z</dcterms:created>
  <dcterms:modified xsi:type="dcterms:W3CDTF">2025-01-22T00:12:00Z</dcterms:modified>
</cp:coreProperties>
</file>