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395D6" w14:textId="77777777" w:rsidR="004F2647" w:rsidRDefault="004F2647">
      <w:pPr>
        <w:widowControl w:val="0"/>
        <w:pBdr>
          <w:top w:val="nil"/>
          <w:left w:val="nil"/>
          <w:bottom w:val="nil"/>
          <w:right w:val="nil"/>
          <w:between w:val="nil"/>
        </w:pBdr>
        <w:spacing w:line="276" w:lineRule="auto"/>
      </w:pPr>
    </w:p>
    <w:p w14:paraId="469395D7" w14:textId="77777777" w:rsidR="004F2647" w:rsidRDefault="002D5464">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veintiocho (28) de agosto de dos mil veinticuatro.</w:t>
      </w:r>
    </w:p>
    <w:p w14:paraId="469395D8" w14:textId="77777777" w:rsidR="004F2647" w:rsidRDefault="004F2647">
      <w:pPr>
        <w:tabs>
          <w:tab w:val="left" w:pos="3465"/>
        </w:tabs>
        <w:spacing w:line="360" w:lineRule="auto"/>
        <w:jc w:val="both"/>
        <w:rPr>
          <w:rFonts w:ascii="Palatino Linotype" w:eastAsia="Palatino Linotype" w:hAnsi="Palatino Linotype" w:cs="Palatino Linotype"/>
        </w:rPr>
      </w:pPr>
    </w:p>
    <w:p w14:paraId="469395D9" w14:textId="70347AC3" w:rsidR="004F2647" w:rsidRDefault="002D546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electrónico formado con motivo del recurso de revisión </w:t>
      </w:r>
      <w:r>
        <w:rPr>
          <w:rFonts w:ascii="Palatino Linotype" w:eastAsia="Palatino Linotype" w:hAnsi="Palatino Linotype" w:cs="Palatino Linotype"/>
          <w:b/>
        </w:rPr>
        <w:t xml:space="preserve">04353/INFOEM/IP/RR/2024, </w:t>
      </w:r>
      <w:r>
        <w:rPr>
          <w:rFonts w:ascii="Palatino Linotype" w:eastAsia="Palatino Linotype" w:hAnsi="Palatino Linotype" w:cs="Palatino Linotype"/>
        </w:rPr>
        <w:t xml:space="preserve">promovido </w:t>
      </w:r>
      <w:proofErr w:type="gramStart"/>
      <w:r>
        <w:rPr>
          <w:rFonts w:ascii="Palatino Linotype" w:eastAsia="Palatino Linotype" w:hAnsi="Palatino Linotype" w:cs="Palatino Linotype"/>
        </w:rPr>
        <w:t>por</w:t>
      </w:r>
      <w:r>
        <w:rPr>
          <w:rFonts w:ascii="Palatino Linotype" w:eastAsia="Palatino Linotype" w:hAnsi="Palatino Linotype" w:cs="Palatino Linotype"/>
          <w:b/>
        </w:rPr>
        <w:t xml:space="preserve">  </w:t>
      </w:r>
      <w:r w:rsidR="008E6971">
        <w:rPr>
          <w:rFonts w:ascii="Palatino Linotype" w:eastAsia="Palatino Linotype" w:hAnsi="Palatino Linotype" w:cs="Palatino Linotype"/>
          <w:b/>
        </w:rPr>
        <w:t>XXX</w:t>
      </w:r>
      <w:proofErr w:type="gramEnd"/>
      <w:r w:rsidR="008E6971">
        <w:rPr>
          <w:rFonts w:ascii="Palatino Linotype" w:eastAsia="Palatino Linotype" w:hAnsi="Palatino Linotype" w:cs="Palatino Linotype"/>
          <w:b/>
        </w:rPr>
        <w:t xml:space="preserve"> </w:t>
      </w:r>
      <w:proofErr w:type="spellStart"/>
      <w:r w:rsidR="008E6971">
        <w:rPr>
          <w:rFonts w:ascii="Palatino Linotype" w:eastAsia="Palatino Linotype" w:hAnsi="Palatino Linotype" w:cs="Palatino Linotype"/>
          <w:b/>
        </w:rPr>
        <w:t>XXX</w:t>
      </w:r>
      <w:proofErr w:type="spellEnd"/>
      <w:r>
        <w:rPr>
          <w:rFonts w:ascii="Palatino Linotype" w:eastAsia="Palatino Linotype" w:hAnsi="Palatino Linotype" w:cs="Palatino Linotype"/>
        </w:rPr>
        <w:t xml:space="preserve">, a quien en lo sucesivo se le identificará como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Ixtapaluca, </w:t>
      </w:r>
      <w:r>
        <w:rPr>
          <w:rFonts w:ascii="Palatino Linotype" w:eastAsia="Palatino Linotype" w:hAnsi="Palatino Linotype" w:cs="Palatino Linotype"/>
        </w:rPr>
        <w:t>en adelante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se procede a dictar la presente resolución, con base en los siguientes:</w:t>
      </w:r>
    </w:p>
    <w:p w14:paraId="469395DA" w14:textId="77777777" w:rsidR="004F2647" w:rsidRDefault="004F2647">
      <w:pPr>
        <w:spacing w:line="360" w:lineRule="auto"/>
        <w:jc w:val="both"/>
        <w:rPr>
          <w:rFonts w:ascii="Palatino Linotype" w:eastAsia="Palatino Linotype" w:hAnsi="Palatino Linotype" w:cs="Palatino Linotype"/>
          <w:b/>
        </w:rPr>
      </w:pPr>
    </w:p>
    <w:p w14:paraId="469395DB" w14:textId="77777777" w:rsidR="004F2647" w:rsidRDefault="002D5464">
      <w:pPr>
        <w:pStyle w:val="Ttulo1"/>
        <w:spacing w:before="0" w:line="360" w:lineRule="auto"/>
        <w:jc w:val="center"/>
        <w:rPr>
          <w:b/>
          <w:color w:val="000000"/>
        </w:rPr>
      </w:pPr>
      <w:r>
        <w:rPr>
          <w:b/>
          <w:color w:val="000000"/>
        </w:rPr>
        <w:t>A N T E C E D E N T E S</w:t>
      </w:r>
    </w:p>
    <w:p w14:paraId="469395DC" w14:textId="77777777" w:rsidR="004F2647" w:rsidRDefault="004F2647"/>
    <w:p w14:paraId="469395DD" w14:textId="77777777" w:rsidR="004F2647" w:rsidRDefault="002D5464">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color w:val="000000"/>
        </w:rPr>
        <w:t xml:space="preserve"> once de abril de dos mil veinticuatro, </w:t>
      </w:r>
      <w:r>
        <w:rPr>
          <w:rFonts w:ascii="Palatino Linotype" w:eastAsia="Palatino Linotype" w:hAnsi="Palatino Linotype" w:cs="Palatino Linotype"/>
          <w:color w:val="000000"/>
        </w:rPr>
        <w:t xml:space="preserve">se presentó ante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vía SAIMEX, la solicitud de información pública registrada con el número</w:t>
      </w:r>
      <w:r>
        <w:rPr>
          <w:rFonts w:ascii="Palatino Linotype" w:eastAsia="Palatino Linotype" w:hAnsi="Palatino Linotype" w:cs="Palatino Linotype"/>
          <w:b/>
          <w:color w:val="000000"/>
        </w:rPr>
        <w:t xml:space="preserve"> 00302/IXTAPALU/IP/2024; </w:t>
      </w:r>
      <w:r>
        <w:rPr>
          <w:rFonts w:ascii="Palatino Linotype" w:eastAsia="Palatino Linotype" w:hAnsi="Palatino Linotype" w:cs="Palatino Linotype"/>
        </w:rPr>
        <w:t xml:space="preserve">en la que </w:t>
      </w:r>
      <w:r>
        <w:rPr>
          <w:rFonts w:ascii="Palatino Linotype" w:eastAsia="Palatino Linotype" w:hAnsi="Palatino Linotype" w:cs="Palatino Linotype"/>
          <w:color w:val="000000"/>
        </w:rPr>
        <w:t>se solicitó la siguiente información:</w:t>
      </w:r>
    </w:p>
    <w:p w14:paraId="469395DE" w14:textId="77777777" w:rsidR="004F2647" w:rsidRDefault="002D5464">
      <w:pPr>
        <w:pBdr>
          <w:top w:val="nil"/>
          <w:left w:val="nil"/>
          <w:bottom w:val="nil"/>
          <w:right w:val="nil"/>
          <w:between w:val="nil"/>
        </w:pBdr>
        <w:ind w:left="1134" w:right="900"/>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 xml:space="preserve">“Se solicita con fundamento a lo dispuesto en los artículos 6° (sexto)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Articulo 5 de la Constitución Política del Estado Libre y Soberano de México, de la siguiente información para que se haga una búsqueda de manera exhaustiva, desglosada, clara y detallada así como su entrega en versión pública. De la </w:t>
      </w:r>
      <w:r>
        <w:rPr>
          <w:rFonts w:ascii="Palatino Linotype" w:eastAsia="Palatino Linotype" w:hAnsi="Palatino Linotype" w:cs="Palatino Linotype"/>
          <w:b/>
          <w:i/>
          <w:color w:val="000000"/>
        </w:rPr>
        <w:t xml:space="preserve">remuneración de todos y cada uno de los servidores públicos de la </w:t>
      </w:r>
      <w:r>
        <w:rPr>
          <w:rFonts w:ascii="Palatino Linotype" w:eastAsia="Palatino Linotype" w:hAnsi="Palatino Linotype" w:cs="Palatino Linotype"/>
          <w:b/>
          <w:i/>
          <w:color w:val="000000"/>
        </w:rPr>
        <w:lastRenderedPageBreak/>
        <w:t>Administración Pública del Ayuntamiento 2022-2024 incluyendo Presidente Municipal, Regidores, Sistema DIF MUNICIPAL e IMCUFIDE, mediante recibos de nómina, recibos de Honorarios y listas de raya de todas la Áreas, Direcciones Coordinaciones periodo 01 noviembre 2023 al 31 de marzo del 2024</w:t>
      </w:r>
      <w:r>
        <w:rPr>
          <w:rFonts w:ascii="Palatino Linotype" w:eastAsia="Palatino Linotype" w:hAnsi="Palatino Linotype" w:cs="Palatino Linotype"/>
          <w:i/>
          <w:color w:val="000000"/>
        </w:rPr>
        <w:t xml:space="preserve">, así como </w:t>
      </w:r>
      <w:r>
        <w:rPr>
          <w:rFonts w:ascii="Palatino Linotype" w:eastAsia="Palatino Linotype" w:hAnsi="Palatino Linotype" w:cs="Palatino Linotype"/>
          <w:b/>
          <w:i/>
          <w:color w:val="000000"/>
        </w:rPr>
        <w:t>altas, bajas y/o cambio de Área y/o Adscripción,</w:t>
      </w:r>
      <w:r>
        <w:rPr>
          <w:rFonts w:ascii="Palatino Linotype" w:eastAsia="Palatino Linotype" w:hAnsi="Palatino Linotype" w:cs="Palatino Linotype"/>
          <w:i/>
          <w:color w:val="000000"/>
        </w:rPr>
        <w:t xml:space="preserve">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469395DF" w14:textId="77777777" w:rsidR="004F2647" w:rsidRDefault="004F2647">
      <w:pPr>
        <w:pBdr>
          <w:top w:val="nil"/>
          <w:left w:val="nil"/>
          <w:bottom w:val="nil"/>
          <w:right w:val="nil"/>
          <w:between w:val="nil"/>
        </w:pBdr>
        <w:ind w:left="851" w:right="34"/>
        <w:jc w:val="both"/>
        <w:rPr>
          <w:rFonts w:ascii="Palatino Linotype" w:eastAsia="Palatino Linotype" w:hAnsi="Palatino Linotype" w:cs="Palatino Linotype"/>
          <w:color w:val="000000"/>
        </w:rPr>
      </w:pPr>
    </w:p>
    <w:p w14:paraId="469395E0" w14:textId="77777777" w:rsidR="004F2647" w:rsidRDefault="002D5464">
      <w:pPr>
        <w:numPr>
          <w:ilvl w:val="0"/>
          <w:numId w:val="5"/>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469395E1" w14:textId="77777777" w:rsidR="004F2647" w:rsidRDefault="004F2647">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469395E2" w14:textId="77777777" w:rsidR="004F2647" w:rsidRDefault="002D5464">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doce de abril de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declaró</w:t>
      </w:r>
      <w:r>
        <w:rPr>
          <w:rFonts w:ascii="Palatino Linotype" w:eastAsia="Palatino Linotype" w:hAnsi="Palatino Linotype" w:cs="Palatino Linotype"/>
          <w:color w:val="000000"/>
        </w:rPr>
        <w:t xml:space="preserve"> incompetencia parcial a través de un archivos electrónicos en formato PDF, cuyo contenido grosso modo es el siguiente:  </w:t>
      </w:r>
    </w:p>
    <w:p w14:paraId="469395E3" w14:textId="77777777" w:rsidR="004F2647" w:rsidRDefault="002D5464">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Incompetencia, sol. 00302.pdf: </w:t>
      </w:r>
      <w:r>
        <w:rPr>
          <w:rFonts w:ascii="Palatino Linotype" w:eastAsia="Palatino Linotype" w:hAnsi="Palatino Linotype" w:cs="Palatino Linotype"/>
          <w:i/>
          <w:color w:val="000000"/>
          <w:sz w:val="22"/>
          <w:szCs w:val="22"/>
        </w:rPr>
        <w:t>Informando que el Ayuntamiento de Ixtapaluca carece de facultades sobre la información que generan, poseen y administran el Sistema para el Desarrollo Integral de la Familia de Municipio de Ixtapaluca.</w:t>
      </w:r>
    </w:p>
    <w:p w14:paraId="469395E4" w14:textId="77777777" w:rsidR="004F2647" w:rsidRDefault="004F2647">
      <w:pPr>
        <w:pBdr>
          <w:top w:val="nil"/>
          <w:left w:val="nil"/>
          <w:bottom w:val="nil"/>
          <w:right w:val="nil"/>
          <w:between w:val="nil"/>
        </w:pBdr>
        <w:tabs>
          <w:tab w:val="left" w:pos="0"/>
        </w:tabs>
        <w:spacing w:line="360" w:lineRule="auto"/>
        <w:ind w:left="709" w:right="51"/>
        <w:jc w:val="both"/>
        <w:rPr>
          <w:rFonts w:ascii="Palatino Linotype" w:eastAsia="Palatino Linotype" w:hAnsi="Palatino Linotype" w:cs="Palatino Linotype"/>
          <w:i/>
          <w:color w:val="000000"/>
        </w:rPr>
      </w:pPr>
    </w:p>
    <w:p w14:paraId="469395E5" w14:textId="77777777" w:rsidR="004F2647" w:rsidRDefault="002D5464">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dieciséis de abril de dos mil veinticuatro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emitido los requerimientos para que fuera atendida la solicitud de información </w:t>
      </w:r>
      <w:r>
        <w:rPr>
          <w:rFonts w:ascii="Palatino Linotype" w:eastAsia="Palatino Linotype" w:hAnsi="Palatino Linotype" w:cs="Palatino Linotype"/>
          <w:b/>
          <w:color w:val="000000"/>
        </w:rPr>
        <w:t xml:space="preserve">00302/IXTAPALU/IP/2024, </w:t>
      </w:r>
      <w:r>
        <w:rPr>
          <w:rFonts w:ascii="Palatino Linotype" w:eastAsia="Palatino Linotype" w:hAnsi="Palatino Linotype" w:cs="Palatino Linotype"/>
          <w:color w:val="000000"/>
        </w:rPr>
        <w:t xml:space="preserve">sin embargo como se muestra de las constancias del expediente electrónico no hubo respuesta. </w:t>
      </w:r>
    </w:p>
    <w:p w14:paraId="469395E6" w14:textId="77777777" w:rsidR="004F2647" w:rsidRDefault="002D546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ab/>
      </w:r>
    </w:p>
    <w:p w14:paraId="469395E7" w14:textId="77777777" w:rsidR="004F2647" w:rsidRDefault="002D5464">
      <w:pPr>
        <w:numPr>
          <w:ilvl w:val="0"/>
          <w:numId w:val="2"/>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w:t>
      </w:r>
      <w:r>
        <w:rPr>
          <w:rFonts w:ascii="Palatino Linotype" w:eastAsia="Palatino Linotype" w:hAnsi="Palatino Linotype" w:cs="Palatino Linotype"/>
          <w:b/>
          <w:color w:val="000000"/>
        </w:rPr>
        <w:t xml:space="preserve"> diez de julio de dos mil veinticuatro</w:t>
      </w:r>
      <w:r>
        <w:rPr>
          <w:rFonts w:ascii="Palatino Linotype" w:eastAsia="Palatino Linotype" w:hAnsi="Palatino Linotype" w:cs="Palatino Linotype"/>
          <w:color w:val="000000"/>
        </w:rPr>
        <w:t>, el particular interpuso el recurso de revisión en contra de la respuesta, manifestando las siguientes razones o motivos de inconformidad:</w:t>
      </w:r>
    </w:p>
    <w:p w14:paraId="469395E8" w14:textId="77777777" w:rsidR="004F2647" w:rsidRDefault="002D5464">
      <w:pPr>
        <w:numPr>
          <w:ilvl w:val="0"/>
          <w:numId w:val="5"/>
        </w:num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bookmarkStart w:id="0" w:name="_heading=h.30j0zll" w:colFirst="0" w:colLast="0"/>
      <w:bookmarkEnd w:id="0"/>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“Con fundamento en el artículos 176, 178 y 179 Fracción I de la Ley de Transparencia y Acceso a la Información Pública del Estado de México y Municipios, la negativa por parte del Sujeto Obligado para la entrega de la información Y la falta de respuesta a mi solicitud e información”</w:t>
      </w:r>
    </w:p>
    <w:p w14:paraId="469395E9" w14:textId="77777777" w:rsidR="004F2647" w:rsidRDefault="002D5464">
      <w:pPr>
        <w:numPr>
          <w:ilvl w:val="0"/>
          <w:numId w:val="5"/>
        </w:num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bookmarkStart w:id="1" w:name="_heading=h.1fob9te" w:colFirst="0" w:colLast="0"/>
      <w:bookmarkEnd w:id="1"/>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“Con fundamento en el artículos 176, 178 y 179 Fracción I de la Ley de Transparencia y Acceso a la Información Pública del Estado de México y Municipios, la negativa por parte del Sujeto Obligado para la entrega de la información Y la falta de respuesta a mi solicitud e información”</w:t>
      </w:r>
    </w:p>
    <w:p w14:paraId="469395EA" w14:textId="77777777" w:rsidR="004F2647" w:rsidRDefault="004F2647">
      <w:pPr>
        <w:spacing w:line="360" w:lineRule="auto"/>
        <w:rPr>
          <w:rFonts w:ascii="Palatino Linotype" w:eastAsia="Palatino Linotype" w:hAnsi="Palatino Linotype" w:cs="Palatino Linotype"/>
          <w:i/>
          <w:color w:val="000000"/>
        </w:rPr>
      </w:pPr>
    </w:p>
    <w:p w14:paraId="469395EB"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Pr>
          <w:rFonts w:ascii="Palatino Linotype" w:eastAsia="Palatino Linotype" w:hAnsi="Palatino Linotype" w:cs="Palatino Linotype"/>
          <w:b/>
          <w:color w:val="000000"/>
        </w:rPr>
        <w:t>once de abril de dos mil veinticuatro</w:t>
      </w:r>
      <w:r>
        <w:rPr>
          <w:rFonts w:ascii="Palatino Linotype" w:eastAsia="Palatino Linotype" w:hAnsi="Palatino Linotype" w:cs="Palatino Linotype"/>
          <w:color w:val="000000"/>
        </w:rPr>
        <w:t xml:space="preserve">, puso a disposición de las partes el expediente electrónico 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efecto de que en un plazo máximo de siete días </w:t>
      </w:r>
      <w:r>
        <w:rPr>
          <w:rFonts w:ascii="Palatino Linotype" w:eastAsia="Palatino Linotype" w:hAnsi="Palatino Linotype" w:cs="Palatino Linotype"/>
        </w:rPr>
        <w:t>manifestara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según corresponda a los casos concretos,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presentará el Informe Justificado procedente.</w:t>
      </w:r>
    </w:p>
    <w:p w14:paraId="469395EC" w14:textId="77777777" w:rsidR="004F2647" w:rsidRDefault="004F26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9395ED"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tal y como se observa en la siguiente captura de pantalla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y la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fueron omisos en presentar manifestaciones que a su derecho conviniera y asistiera respectivamente.</w:t>
      </w:r>
    </w:p>
    <w:p w14:paraId="469395EE"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5EF" w14:textId="77777777" w:rsidR="004F2647" w:rsidRDefault="002D546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drawing>
          <wp:inline distT="0" distB="0" distL="0" distR="0" wp14:anchorId="469397BB" wp14:editId="469397BC">
            <wp:extent cx="5612130" cy="875030"/>
            <wp:effectExtent l="0" t="0" r="0" b="0"/>
            <wp:docPr id="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875030"/>
                    </a:xfrm>
                    <a:prstGeom prst="rect">
                      <a:avLst/>
                    </a:prstGeom>
                    <a:ln/>
                  </pic:spPr>
                </pic:pic>
              </a:graphicData>
            </a:graphic>
          </wp:inline>
        </w:drawing>
      </w:r>
    </w:p>
    <w:p w14:paraId="469395F0" w14:textId="77777777" w:rsidR="004F2647" w:rsidRDefault="004F2647">
      <w:pPr>
        <w:rPr>
          <w:rFonts w:ascii="Palatino Linotype" w:eastAsia="Palatino Linotype" w:hAnsi="Palatino Linotype" w:cs="Palatino Linotype"/>
          <w:color w:val="000000"/>
          <w:highlight w:val="white"/>
        </w:rPr>
      </w:pPr>
    </w:p>
    <w:p w14:paraId="469395F1"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highlight w:val="white"/>
        </w:rPr>
      </w:pPr>
      <w:r>
        <w:rPr>
          <w:rFonts w:ascii="Palatino Linotype" w:eastAsia="Palatino Linotype" w:hAnsi="Palatino Linotype" w:cs="Palatino Linotype"/>
          <w:color w:val="000000"/>
          <w:highlight w:val="white"/>
        </w:rPr>
        <w:t>Seguidamente, mediante acuerdo de fecha veinte de agosto de dos mil veinticuatro se decretó el cierre de instrucción, por lo que no habiendo más que hacer constar, y-----------------------------------------------------------------------------------------</w:t>
      </w:r>
    </w:p>
    <w:p w14:paraId="469395F2" w14:textId="77777777" w:rsidR="004F2647" w:rsidRDefault="004F2647">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469395F3" w14:textId="77777777" w:rsidR="004F2647" w:rsidRDefault="002D5464">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469395F4" w14:textId="77777777" w:rsidR="004F2647" w:rsidRDefault="004F2647">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469395F5" w14:textId="77777777" w:rsidR="004F2647" w:rsidRDefault="002D5464">
      <w:pPr>
        <w:pStyle w:val="Ttulo2"/>
        <w:spacing w:before="0" w:line="360" w:lineRule="auto"/>
        <w:rPr>
          <w:rFonts w:ascii="Palatino Linotype" w:eastAsia="Palatino Linotype" w:hAnsi="Palatino Linotype" w:cs="Palatino Linotype"/>
          <w:b/>
          <w:color w:val="000000"/>
          <w:sz w:val="24"/>
          <w:szCs w:val="24"/>
        </w:rPr>
      </w:pPr>
      <w:bookmarkStart w:id="2" w:name="_heading=h.2et92p0" w:colFirst="0" w:colLast="0"/>
      <w:bookmarkEnd w:id="2"/>
      <w:r>
        <w:rPr>
          <w:rFonts w:ascii="Palatino Linotype" w:eastAsia="Palatino Linotype" w:hAnsi="Palatino Linotype" w:cs="Palatino Linotype"/>
          <w:b/>
          <w:color w:val="000000"/>
          <w:sz w:val="24"/>
          <w:szCs w:val="24"/>
        </w:rPr>
        <w:t>PRIMERO. De la competencia</w:t>
      </w:r>
    </w:p>
    <w:p w14:paraId="469395F6"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69395F7" w14:textId="77777777" w:rsidR="004F2647" w:rsidRDefault="004F2647">
      <w:pPr>
        <w:pBdr>
          <w:top w:val="nil"/>
          <w:left w:val="nil"/>
          <w:bottom w:val="nil"/>
          <w:right w:val="nil"/>
          <w:between w:val="nil"/>
        </w:pBdr>
        <w:spacing w:line="360" w:lineRule="auto"/>
        <w:rPr>
          <w:rFonts w:ascii="Palatino Linotype" w:eastAsia="Palatino Linotype" w:hAnsi="Palatino Linotype" w:cs="Palatino Linotype"/>
          <w:b/>
          <w:color w:val="000000"/>
        </w:rPr>
      </w:pPr>
    </w:p>
    <w:p w14:paraId="469395F8" w14:textId="77777777" w:rsidR="004F2647" w:rsidRDefault="002D5464">
      <w:pPr>
        <w:pBdr>
          <w:top w:val="nil"/>
          <w:left w:val="nil"/>
          <w:bottom w:val="nil"/>
          <w:right w:val="nil"/>
          <w:between w:val="nil"/>
        </w:pBdr>
        <w:spacing w:line="36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SEGUNDO. De la oportunidad y procedencia.</w:t>
      </w:r>
    </w:p>
    <w:p w14:paraId="469395F9"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 precisar, que la Ley de Transparencia y Acceso a la Información Pública del Estado de México y Municipios, en el artículo 178 describe la procedencia del recurso de revisión, asimismo señala que el plazo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469395FA" w14:textId="77777777" w:rsidR="004F2647" w:rsidRDefault="004F26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9395FB"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ende, se constituye la figura jurídica de la </w:t>
      </w:r>
      <w:r>
        <w:rPr>
          <w:rFonts w:ascii="Palatino Linotype" w:eastAsia="Palatino Linotype" w:hAnsi="Palatino Linotype" w:cs="Palatino Linotype"/>
          <w:i/>
          <w:color w:val="000000"/>
        </w:rPr>
        <w:t>negativa ficta</w:t>
      </w:r>
      <w:r>
        <w:rPr>
          <w:rFonts w:ascii="Palatino Linotype" w:eastAsia="Palatino Linotype" w:hAnsi="Palatino Linotype" w:cs="Palatino Linotype"/>
          <w:color w:val="000000"/>
        </w:rPr>
        <w:t xml:space="preserve">, cuya esencia es atribuir un efecto negativo al silencio de la autoridad administrativa frente a las instancias y solicitudes que hagan los particulares, lo cual encuentra sustento en lo que establece el artículo </w:t>
      </w:r>
      <w:r>
        <w:rPr>
          <w:rFonts w:ascii="Palatino Linotype" w:eastAsia="Palatino Linotype" w:hAnsi="Palatino Linotype" w:cs="Palatino Linotype"/>
          <w:b/>
          <w:color w:val="000000"/>
        </w:rPr>
        <w:t>178</w:t>
      </w:r>
      <w:r>
        <w:rPr>
          <w:rFonts w:ascii="Palatino Linotype" w:eastAsia="Palatino Linotype" w:hAnsi="Palatino Linotype" w:cs="Palatino Linotype"/>
          <w:color w:val="000000"/>
        </w:rPr>
        <w:t xml:space="preserve"> segundo párrafo de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highlight w:val="white"/>
        </w:rPr>
        <w:t xml:space="preserve">, que dispone; ante la falta de respuesta del </w:t>
      </w:r>
      <w:r>
        <w:rPr>
          <w:rFonts w:ascii="Palatino Linotype" w:eastAsia="Palatino Linotype" w:hAnsi="Palatino Linotype" w:cs="Palatino Linotype"/>
          <w:b/>
          <w:color w:val="000000"/>
          <w:highlight w:val="white"/>
        </w:rPr>
        <w:t>SUJETO OBLIGADO,</w:t>
      </w:r>
      <w:r>
        <w:rPr>
          <w:rFonts w:ascii="Palatino Linotype" w:eastAsia="Palatino Linotype" w:hAnsi="Palatino Linotype" w:cs="Palatino Linotype"/>
          <w:color w:val="000000"/>
          <w:highlight w:val="white"/>
        </w:rPr>
        <w:t xml:space="preserve"> dentro de los plazos establecidos en esta Ley, a una solicitud de acceso a la información pública, el recurso </w:t>
      </w:r>
      <w:r>
        <w:rPr>
          <w:rFonts w:ascii="Palatino Linotype" w:eastAsia="Palatino Linotype" w:hAnsi="Palatino Linotype" w:cs="Palatino Linotype"/>
          <w:b/>
          <w:color w:val="000000"/>
          <w:highlight w:val="white"/>
        </w:rPr>
        <w:t xml:space="preserve">podrá ser interpuesto en cualquier momento. </w:t>
      </w:r>
    </w:p>
    <w:p w14:paraId="469395FC"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5FD"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tratándose de la </w:t>
      </w:r>
      <w:r>
        <w:rPr>
          <w:rFonts w:ascii="Palatino Linotype" w:eastAsia="Palatino Linotype" w:hAnsi="Palatino Linotype" w:cs="Palatino Linotype"/>
          <w:i/>
          <w:color w:val="000000"/>
        </w:rPr>
        <w:t>negativa ficta</w:t>
      </w:r>
      <w:r>
        <w:rPr>
          <w:rFonts w:ascii="Palatino Linotype" w:eastAsia="Palatino Linotype" w:hAnsi="Palatino Linotype" w:cs="Palatino Linotype"/>
          <w:color w:val="000000"/>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w:t>
      </w:r>
      <w:r>
        <w:rPr>
          <w:rFonts w:ascii="Palatino Linotype" w:eastAsia="Palatino Linotype" w:hAnsi="Palatino Linotype" w:cs="Palatino Linotype"/>
          <w:color w:val="000000"/>
        </w:rPr>
        <w:lastRenderedPageBreak/>
        <w:t xml:space="preserve">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Pr>
          <w:rFonts w:ascii="Palatino Linotype" w:eastAsia="Palatino Linotype" w:hAnsi="Palatino Linotype" w:cs="Palatino Linotype"/>
          <w:i/>
          <w:color w:val="000000"/>
        </w:rPr>
        <w:t>negativa ficta</w:t>
      </w:r>
      <w:r>
        <w:rPr>
          <w:rFonts w:ascii="Palatino Linotype" w:eastAsia="Palatino Linotype" w:hAnsi="Palatino Linotype" w:cs="Palatino Linotype"/>
          <w:color w:val="000000"/>
        </w:rPr>
        <w:t>, que señala:</w:t>
      </w:r>
    </w:p>
    <w:p w14:paraId="469395FE" w14:textId="77777777" w:rsidR="004F2647" w:rsidRDefault="002D5464">
      <w:pPr>
        <w:tabs>
          <w:tab w:val="left" w:pos="284"/>
          <w:tab w:val="left" w:pos="7655"/>
        </w:tabs>
        <w:spacing w:before="240" w:after="240"/>
        <w:ind w:left="1134" w:right="90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Criterio 0001-15</w:t>
      </w:r>
    </w:p>
    <w:p w14:paraId="469395FF" w14:textId="77777777" w:rsidR="004F2647" w:rsidRDefault="002D5464">
      <w:pPr>
        <w:tabs>
          <w:tab w:val="left" w:pos="284"/>
          <w:tab w:val="left" w:pos="7655"/>
        </w:tabs>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NEGATIVA FICTA. PLAZO PARA INTERPONER EL RECURSO DE REVISIÓN TRATÁNDOSE DE.</w:t>
      </w:r>
      <w:r>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6939600" w14:textId="77777777" w:rsidR="004F2647" w:rsidRDefault="004F2647">
      <w:pPr>
        <w:tabs>
          <w:tab w:val="left" w:pos="284"/>
          <w:tab w:val="left" w:pos="7655"/>
        </w:tabs>
        <w:spacing w:before="240" w:after="240"/>
        <w:ind w:left="1134" w:right="900"/>
        <w:jc w:val="both"/>
        <w:rPr>
          <w:rFonts w:ascii="Palatino Linotype" w:eastAsia="Palatino Linotype" w:hAnsi="Palatino Linotype" w:cs="Palatino Linotype"/>
          <w:i/>
          <w:sz w:val="22"/>
          <w:szCs w:val="22"/>
        </w:rPr>
      </w:pPr>
    </w:p>
    <w:p w14:paraId="46939601"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Lo anterior, se explica porque la </w:t>
      </w:r>
      <w:r>
        <w:rPr>
          <w:rFonts w:ascii="Palatino Linotype" w:eastAsia="Palatino Linotype" w:hAnsi="Palatino Linotype" w:cs="Palatino Linotype"/>
          <w:b/>
          <w:color w:val="000000"/>
          <w:u w:val="single"/>
        </w:rPr>
        <w:t>posible ausencia</w:t>
      </w:r>
      <w:r>
        <w:rPr>
          <w:rFonts w:ascii="Palatino Linotype" w:eastAsia="Palatino Linotype" w:hAnsi="Palatino Linotype" w:cs="Palatino Linotype"/>
          <w:color w:val="000000"/>
        </w:rPr>
        <w:t xml:space="preserve"> de una respuesta en la solicitud constituye un acto que vulnera el derecho de manera continua y actualizable cada día en tanto, no se emita la respuesta a la que esté impuesto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w:t>
      </w:r>
    </w:p>
    <w:p w14:paraId="46939602" w14:textId="77777777" w:rsidR="004F2647" w:rsidRDefault="004F26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939603"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6939604"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46939605" w14:textId="77777777" w:rsidR="004F2647" w:rsidRDefault="004F2647">
      <w:pPr>
        <w:spacing w:line="360" w:lineRule="auto"/>
        <w:jc w:val="both"/>
        <w:rPr>
          <w:rFonts w:ascii="Palatino Linotype" w:eastAsia="Palatino Linotype" w:hAnsi="Palatino Linotype" w:cs="Palatino Linotype"/>
          <w:sz w:val="22"/>
          <w:szCs w:val="22"/>
        </w:rPr>
      </w:pPr>
    </w:p>
    <w:p w14:paraId="46939606"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14:paraId="46939607"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6939608"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46939609" w14:textId="77777777" w:rsidR="004F2647" w:rsidRDefault="004F2647">
      <w:pPr>
        <w:ind w:left="1134" w:right="900"/>
        <w:jc w:val="both"/>
        <w:rPr>
          <w:rFonts w:ascii="Palatino Linotype" w:eastAsia="Palatino Linotype" w:hAnsi="Palatino Linotype" w:cs="Palatino Linotype"/>
          <w:i/>
          <w:sz w:val="22"/>
          <w:szCs w:val="22"/>
        </w:rPr>
      </w:pPr>
    </w:p>
    <w:p w14:paraId="4693960A"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 información, la Federación, los Estados y el Distrito Federal, en el ámbito de sus respectivas competencias, se regirán por los siguientes principios y bases:</w:t>
      </w:r>
    </w:p>
    <w:p w14:paraId="4693960B" w14:textId="77777777" w:rsidR="004F2647" w:rsidRDefault="004F2647">
      <w:pPr>
        <w:ind w:left="1134" w:right="900"/>
        <w:jc w:val="both"/>
        <w:rPr>
          <w:rFonts w:ascii="Palatino Linotype" w:eastAsia="Palatino Linotype" w:hAnsi="Palatino Linotype" w:cs="Palatino Linotype"/>
          <w:i/>
          <w:sz w:val="22"/>
          <w:szCs w:val="22"/>
        </w:rPr>
      </w:pPr>
    </w:p>
    <w:p w14:paraId="4693960C"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Toda persona, sin necesidad de acreditar interés alguno o justificar su utilización, tendrá acceso gratuito a la información pública, a sus datos personales o a la rectificación de éstos.” </w:t>
      </w:r>
      <w:r>
        <w:rPr>
          <w:rFonts w:ascii="Palatino Linotype" w:eastAsia="Palatino Linotype" w:hAnsi="Palatino Linotype" w:cs="Palatino Linotype"/>
          <w:sz w:val="22"/>
          <w:szCs w:val="22"/>
        </w:rPr>
        <w:t>(Sic)</w:t>
      </w:r>
    </w:p>
    <w:p w14:paraId="4693960D" w14:textId="77777777" w:rsidR="004F2647" w:rsidRDefault="004F2647">
      <w:pPr>
        <w:spacing w:line="360" w:lineRule="auto"/>
        <w:ind w:left="567" w:right="474"/>
        <w:jc w:val="both"/>
        <w:rPr>
          <w:rFonts w:ascii="Palatino Linotype" w:eastAsia="Palatino Linotype" w:hAnsi="Palatino Linotype" w:cs="Palatino Linotype"/>
          <w:i/>
        </w:rPr>
      </w:pPr>
    </w:p>
    <w:p w14:paraId="4693960E"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como el artículo 5 fracción III, párrafo vigésimo noveno, trigésimo y trigésimo primero, de la Constitución Política del Estado Libre y Soberano de México, que determina lo siguiente:</w:t>
      </w:r>
    </w:p>
    <w:p w14:paraId="4693960F"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6939610"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11"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 persona en el Estado de México, tiene derecho al libre acceso a la información plural y oportuna, así como a buscar recibir y difundir información e ideas de toda índole por cualquier medio de expresión.</w:t>
      </w:r>
    </w:p>
    <w:p w14:paraId="46939612"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13"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derecho a la información será garantizado por el Estado. La ley establecerá las previsiones que permitan asegurar la protección, el respeto y la difusión de este derecho.</w:t>
      </w:r>
    </w:p>
    <w:p w14:paraId="46939614"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6939615"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Toda persona, sin necesidad de acreditar interés alguno o justificar su utilización, tendrá acceso gratuito a la información pública, a sus datos personales o a la rectificación de éstos;</w:t>
      </w:r>
    </w:p>
    <w:p w14:paraId="46939616"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17"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Palatino Linotype" w:hAnsi="Palatino Linotype" w:cs="Palatino Linotype"/>
          <w:sz w:val="22"/>
          <w:szCs w:val="22"/>
        </w:rPr>
        <w:t>(Sic)</w:t>
      </w:r>
    </w:p>
    <w:p w14:paraId="46939618" w14:textId="77777777" w:rsidR="004F2647" w:rsidRDefault="004F2647">
      <w:pPr>
        <w:spacing w:line="360" w:lineRule="auto"/>
        <w:ind w:left="426" w:right="476"/>
        <w:jc w:val="both"/>
        <w:rPr>
          <w:rFonts w:ascii="Palatino Linotype" w:eastAsia="Palatino Linotype" w:hAnsi="Palatino Linotype" w:cs="Palatino Linotype"/>
          <w:i/>
        </w:rPr>
      </w:pPr>
    </w:p>
    <w:p w14:paraId="46939619"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otra parte, del contenido del artículo 1 de la Constitución Política de los Estados Unidos mexicanos, se destaca lo siguiente:</w:t>
      </w:r>
    </w:p>
    <w:p w14:paraId="4693961A"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693961B"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14:paraId="4693961C"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4693961D" w14:textId="77777777" w:rsidR="004F2647" w:rsidRDefault="004F2647">
      <w:pPr>
        <w:ind w:left="1134" w:right="900"/>
        <w:jc w:val="both"/>
        <w:rPr>
          <w:rFonts w:ascii="Palatino Linotype" w:eastAsia="Palatino Linotype" w:hAnsi="Palatino Linotype" w:cs="Palatino Linotype"/>
          <w:i/>
        </w:rPr>
      </w:pPr>
    </w:p>
    <w:p w14:paraId="4693961E"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Pr>
          <w:rFonts w:ascii="Palatino Linotype" w:eastAsia="Palatino Linotype" w:hAnsi="Palatino Linotype" w:cs="Palatino Linotype"/>
          <w:i/>
        </w:rPr>
        <w:t>derecho fundamental exime a quien lo ejerce</w:t>
      </w:r>
      <w:r>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4693961F" w14:textId="77777777" w:rsidR="004F2647" w:rsidRDefault="004F2647">
      <w:pPr>
        <w:spacing w:line="360" w:lineRule="auto"/>
        <w:jc w:val="both"/>
        <w:rPr>
          <w:rFonts w:ascii="Palatino Linotype" w:eastAsia="Palatino Linotype" w:hAnsi="Palatino Linotype" w:cs="Palatino Linotype"/>
        </w:rPr>
      </w:pPr>
    </w:p>
    <w:p w14:paraId="46939620"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w:t>
      </w:r>
      <w:r>
        <w:rPr>
          <w:rFonts w:ascii="Palatino Linotype" w:eastAsia="Palatino Linotype" w:hAnsi="Palatino Linotype" w:cs="Palatino Linotype"/>
        </w:rPr>
        <w:lastRenderedPageBreak/>
        <w:t>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46939621"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622" w14:textId="77777777" w:rsidR="004F2647" w:rsidRDefault="002D546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6939623" w14:textId="77777777" w:rsidR="007F3A87" w:rsidRPr="007F3A87" w:rsidRDefault="007F3A87" w:rsidP="007F3A87">
      <w:pPr>
        <w:pBdr>
          <w:top w:val="nil"/>
          <w:left w:val="nil"/>
          <w:bottom w:val="nil"/>
          <w:right w:val="nil"/>
          <w:between w:val="nil"/>
        </w:pBdr>
        <w:ind w:left="720"/>
        <w:rPr>
          <w:rFonts w:ascii="Palatino Linotype" w:eastAsia="Palatino Linotype" w:hAnsi="Palatino Linotype" w:cs="Palatino Linotype"/>
          <w:b/>
          <w:color w:val="FF0000"/>
        </w:rPr>
      </w:pPr>
    </w:p>
    <w:p w14:paraId="46939624" w14:textId="77777777" w:rsidR="004F2647" w:rsidRDefault="007F3A87">
      <w:pPr>
        <w:keepNext/>
        <w:keepLines/>
        <w:spacing w:line="360" w:lineRule="auto"/>
        <w:rPr>
          <w:rFonts w:ascii="Palatino Linotype" w:eastAsia="Palatino Linotype" w:hAnsi="Palatino Linotype" w:cs="Palatino Linotype"/>
          <w:b/>
          <w:color w:val="000000"/>
        </w:rPr>
      </w:pPr>
      <w:bookmarkStart w:id="3" w:name="_heading=h.tyjcwt" w:colFirst="0" w:colLast="0"/>
      <w:bookmarkEnd w:id="3"/>
      <w:r>
        <w:rPr>
          <w:rFonts w:ascii="Palatino Linotype" w:eastAsia="Palatino Linotype" w:hAnsi="Palatino Linotype" w:cs="Palatino Linotype"/>
          <w:b/>
          <w:color w:val="000000"/>
        </w:rPr>
        <w:t>TERCERO</w:t>
      </w:r>
      <w:r w:rsidR="002D5464">
        <w:rPr>
          <w:rFonts w:ascii="Palatino Linotype" w:eastAsia="Palatino Linotype" w:hAnsi="Palatino Linotype" w:cs="Palatino Linotype"/>
          <w:b/>
          <w:color w:val="000000"/>
        </w:rPr>
        <w:t>. Del estudio y resolución del asunto.</w:t>
      </w:r>
    </w:p>
    <w:p w14:paraId="46939625" w14:textId="77777777" w:rsidR="004F2647" w:rsidRDefault="002D5464">
      <w:pPr>
        <w:keepNext/>
        <w:keepLines/>
        <w:numPr>
          <w:ilvl w:val="0"/>
          <w:numId w:val="1"/>
        </w:numPr>
        <w:spacing w:after="240" w:line="360" w:lineRule="auto"/>
        <w:ind w:left="786"/>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Del derecho de acceso a la información.</w:t>
      </w:r>
    </w:p>
    <w:p w14:paraId="46939626"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46939627" w14:textId="77777777" w:rsidR="004F2647" w:rsidRDefault="004F2647">
      <w:pPr>
        <w:pBdr>
          <w:top w:val="nil"/>
          <w:left w:val="nil"/>
          <w:bottom w:val="nil"/>
          <w:right w:val="nil"/>
          <w:between w:val="nil"/>
        </w:pBdr>
        <w:spacing w:after="240" w:line="360" w:lineRule="auto"/>
        <w:ind w:right="48"/>
        <w:jc w:val="both"/>
        <w:rPr>
          <w:rFonts w:ascii="Palatino Linotype" w:eastAsia="Palatino Linotype" w:hAnsi="Palatino Linotype" w:cs="Palatino Linotype"/>
          <w:color w:val="000000"/>
        </w:rPr>
      </w:pPr>
    </w:p>
    <w:p w14:paraId="46939628"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Definiendo el Derecho de Acceso a la Información Pública como: </w:t>
      </w:r>
      <w:r>
        <w:rPr>
          <w:rFonts w:ascii="Palatino Linotype" w:eastAsia="Palatino Linotype" w:hAnsi="Palatino Linotype" w:cs="Palatino Linotype"/>
          <w:i/>
          <w:color w:val="000000"/>
        </w:rPr>
        <w:t>La igualdad de oportunidades para recibir, buscar e impartir información</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color w:val="000000"/>
        </w:rPr>
        <w:t>que se constituye como una herramienta fundamental para ejercer</w:t>
      </w:r>
      <w:r>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color w:val="000000"/>
        </w:rPr>
        <w:t>fomentando</w:t>
      </w:r>
      <w:r>
        <w:rPr>
          <w:rFonts w:ascii="Palatino Linotype" w:eastAsia="Palatino Linotype" w:hAnsi="Palatino Linotype" w:cs="Palatino Linotype"/>
          <w:i/>
          <w:color w:val="000000"/>
        </w:rPr>
        <w:t xml:space="preserve"> la transparencia de las actividades estatales y </w:t>
      </w:r>
      <w:r>
        <w:rPr>
          <w:rFonts w:ascii="Palatino Linotype" w:eastAsia="Palatino Linotype" w:hAnsi="Palatino Linotype" w:cs="Palatino Linotype"/>
          <w:color w:val="000000"/>
        </w:rPr>
        <w:t>promoviendo</w:t>
      </w:r>
      <w:r>
        <w:rPr>
          <w:rFonts w:ascii="Palatino Linotype" w:eastAsia="Palatino Linotype" w:hAnsi="Palatino Linotype" w:cs="Palatino Linotype"/>
          <w:i/>
          <w:color w:val="000000"/>
        </w:rPr>
        <w:t xml:space="preserve"> la responsabilidad de los funcionarios sobre su gestión pública,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color w:val="000000"/>
        </w:rPr>
        <w:t>que permite</w:t>
      </w:r>
      <w:r>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46939629" w14:textId="77777777" w:rsidR="004F2647" w:rsidRDefault="004F2647">
      <w:pPr>
        <w:spacing w:line="360" w:lineRule="auto"/>
        <w:ind w:right="49"/>
        <w:jc w:val="both"/>
        <w:rPr>
          <w:rFonts w:ascii="Palatino Linotype" w:eastAsia="Palatino Linotype" w:hAnsi="Palatino Linotype" w:cs="Palatino Linotype"/>
        </w:rPr>
      </w:pPr>
    </w:p>
    <w:p w14:paraId="4693962A"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4693962B"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w:t>
      </w:r>
    </w:p>
    <w:p w14:paraId="4693962C"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2D"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Estado deberá prevenir, </w:t>
      </w:r>
      <w:r>
        <w:rPr>
          <w:rFonts w:ascii="Palatino Linotype" w:eastAsia="Palatino Linotype" w:hAnsi="Palatino Linotype" w:cs="Palatino Linotype"/>
          <w:i/>
          <w:sz w:val="22"/>
          <w:szCs w:val="22"/>
        </w:rPr>
        <w:lastRenderedPageBreak/>
        <w:t>investigar, sancionar y reparar las violaciones a los derechos humanos, en los términos que establezca la ley.</w:t>
      </w:r>
    </w:p>
    <w:p w14:paraId="4693962E"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w:t>
      </w:r>
    </w:p>
    <w:p w14:paraId="4693962F" w14:textId="77777777" w:rsidR="004F2647" w:rsidRDefault="004F2647">
      <w:pPr>
        <w:ind w:right="567"/>
        <w:jc w:val="both"/>
        <w:rPr>
          <w:rFonts w:ascii="Palatino Linotype" w:eastAsia="Palatino Linotype" w:hAnsi="Palatino Linotype" w:cs="Palatino Linotype"/>
          <w:b/>
        </w:rPr>
      </w:pPr>
    </w:p>
    <w:p w14:paraId="46939630"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46939631" w14:textId="77777777" w:rsidR="004F2647" w:rsidRDefault="004F2647">
      <w:pPr>
        <w:spacing w:line="360" w:lineRule="auto"/>
        <w:ind w:right="49"/>
        <w:jc w:val="both"/>
        <w:rPr>
          <w:rFonts w:ascii="Palatino Linotype" w:eastAsia="Palatino Linotype" w:hAnsi="Palatino Linotype" w:cs="Palatino Linotype"/>
        </w:rPr>
      </w:pPr>
    </w:p>
    <w:p w14:paraId="46939632"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46939633" w14:textId="77777777" w:rsidR="004F2647" w:rsidRDefault="002D5464">
      <w:pPr>
        <w:spacing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 los Estados Unidos Mexicanos</w:t>
      </w:r>
    </w:p>
    <w:p w14:paraId="46939634" w14:textId="77777777" w:rsidR="004F2647" w:rsidRDefault="002D5464">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6.</w:t>
      </w:r>
    </w:p>
    <w:p w14:paraId="46939635" w14:textId="77777777" w:rsidR="004F2647" w:rsidRDefault="002D5464">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36" w14:textId="77777777" w:rsidR="004F2647" w:rsidRDefault="002D5464">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efectos de lo dispuesto en el presente artículo se observará lo siguiente:</w:t>
      </w:r>
    </w:p>
    <w:p w14:paraId="46939637" w14:textId="77777777" w:rsidR="004F2647" w:rsidRDefault="002D5464">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el ejercicio del derecho de acceso a la información</w:t>
      </w:r>
      <w:r>
        <w:rPr>
          <w:rFonts w:ascii="Palatino Linotype" w:eastAsia="Palatino Linotype" w:hAnsi="Palatino Linotype" w:cs="Palatino Linotype"/>
          <w:i/>
          <w:sz w:val="22"/>
          <w:szCs w:val="22"/>
        </w:rPr>
        <w:t xml:space="preserve">, la Federación y </w:t>
      </w:r>
      <w:r>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46939638" w14:textId="77777777" w:rsidR="004F2647" w:rsidRDefault="002D5464">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rPr>
        <w:tab/>
        <w:t>Toda la información en posesión de cualquier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autoridad</w:t>
      </w:r>
      <w:r>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Pr>
          <w:rFonts w:ascii="Palatino Linotype" w:eastAsia="Palatino Linotype" w:hAnsi="Palatino Linotype" w:cs="Palatino Linotype"/>
          <w:b/>
          <w:i/>
          <w:sz w:val="22"/>
          <w:szCs w:val="22"/>
        </w:rPr>
        <w:t>municipal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lastRenderedPageBreak/>
        <w:t>es pública</w:t>
      </w:r>
      <w:r>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6939639" w14:textId="77777777" w:rsidR="004F2647" w:rsidRDefault="004F2647">
      <w:pPr>
        <w:pBdr>
          <w:top w:val="nil"/>
          <w:left w:val="nil"/>
          <w:bottom w:val="nil"/>
          <w:right w:val="nil"/>
          <w:between w:val="nil"/>
        </w:pBdr>
        <w:tabs>
          <w:tab w:val="left" w:pos="567"/>
        </w:tabs>
        <w:spacing w:before="240" w:after="240"/>
        <w:ind w:left="1134" w:right="900"/>
        <w:jc w:val="both"/>
        <w:rPr>
          <w:rFonts w:ascii="Palatino Linotype" w:eastAsia="Palatino Linotype" w:hAnsi="Palatino Linotype" w:cs="Palatino Linotype"/>
          <w:b/>
          <w:i/>
          <w:color w:val="000000"/>
          <w:sz w:val="22"/>
          <w:szCs w:val="22"/>
        </w:rPr>
      </w:pPr>
    </w:p>
    <w:p w14:paraId="4693963A" w14:textId="77777777" w:rsidR="004F2647" w:rsidRDefault="002D5464">
      <w:pPr>
        <w:spacing w:before="240" w:after="24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Constitución Política del Estado Libre y Soberano de México</w:t>
      </w:r>
    </w:p>
    <w:p w14:paraId="4693963B" w14:textId="77777777" w:rsidR="004F2647" w:rsidRDefault="002D5464">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w:t>
      </w:r>
      <w:r>
        <w:rPr>
          <w:rFonts w:ascii="Palatino Linotype" w:eastAsia="Palatino Linotype" w:hAnsi="Palatino Linotype" w:cs="Palatino Linotype"/>
          <w:i/>
          <w:sz w:val="22"/>
          <w:szCs w:val="22"/>
        </w:rPr>
        <w:t xml:space="preserve">.- </w:t>
      </w:r>
    </w:p>
    <w:p w14:paraId="4693963C" w14:textId="77777777" w:rsidR="004F2647" w:rsidRDefault="002D5464">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3D" w14:textId="77777777" w:rsidR="004F2647" w:rsidRDefault="002D5464">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Pr>
          <w:rFonts w:ascii="Palatino Linotype" w:eastAsia="Palatino Linotype" w:hAnsi="Palatino Linotype" w:cs="Palatino Linotype"/>
          <w:i/>
          <w:sz w:val="22"/>
          <w:szCs w:val="22"/>
        </w:rPr>
        <w:t>.</w:t>
      </w:r>
    </w:p>
    <w:p w14:paraId="4693963E" w14:textId="77777777" w:rsidR="004F2647" w:rsidRDefault="002D5464">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693963F" w14:textId="77777777" w:rsidR="004F2647" w:rsidRDefault="002D5464">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Este derecho se regirá por los principios y bases siguientes</w:t>
      </w:r>
      <w:r>
        <w:rPr>
          <w:rFonts w:ascii="Palatino Linotype" w:eastAsia="Palatino Linotype" w:hAnsi="Palatino Linotype" w:cs="Palatino Linotype"/>
          <w:i/>
          <w:sz w:val="22"/>
          <w:szCs w:val="22"/>
        </w:rPr>
        <w:t>:</w:t>
      </w:r>
    </w:p>
    <w:p w14:paraId="46939640" w14:textId="77777777" w:rsidR="004F2647" w:rsidRDefault="002D5464">
      <w:pPr>
        <w:spacing w:before="240" w:after="24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Toda la información en posesión de cualquier autoridad, entidad, órgano y organismos de los</w:t>
      </w:r>
      <w:r>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Pr>
          <w:rFonts w:ascii="Palatino Linotype" w:eastAsia="Palatino Linotype" w:hAnsi="Palatino Linotype" w:cs="Palatino Linotype"/>
          <w:b/>
          <w:i/>
          <w:sz w:val="22"/>
          <w:szCs w:val="22"/>
        </w:rPr>
        <w:t>municipales</w:t>
      </w:r>
      <w:r>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Pr>
          <w:rFonts w:ascii="Palatino Linotype" w:eastAsia="Palatino Linotype" w:hAnsi="Palatino Linotype" w:cs="Palatino Linotype"/>
          <w:b/>
          <w:i/>
          <w:sz w:val="22"/>
          <w:szCs w:val="22"/>
        </w:rPr>
        <w:t>es pública</w:t>
      </w:r>
      <w:r>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Pr>
          <w:rFonts w:ascii="Palatino Linotype" w:eastAsia="Palatino Linotype" w:hAnsi="Palatino Linotype" w:cs="Palatino Linotype"/>
          <w:b/>
          <w:i/>
          <w:sz w:val="22"/>
          <w:szCs w:val="22"/>
        </w:rPr>
        <w:t>En la interpretación de este derecho deberá prevalecer el principio de máxima publicidad</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Los sujetos obligados deberán documentar todo acto que derive del ejercicio de sus </w:t>
      </w:r>
      <w:r>
        <w:rPr>
          <w:rFonts w:ascii="Palatino Linotype" w:eastAsia="Palatino Linotype" w:hAnsi="Palatino Linotype" w:cs="Palatino Linotype"/>
          <w:b/>
          <w:i/>
          <w:sz w:val="22"/>
          <w:szCs w:val="22"/>
        </w:rPr>
        <w:lastRenderedPageBreak/>
        <w:t>facultades, competencias o funciones</w:t>
      </w:r>
      <w:r>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46939641" w14:textId="77777777" w:rsidR="004F2647" w:rsidRDefault="004F2647">
      <w:pPr>
        <w:tabs>
          <w:tab w:val="left" w:pos="567"/>
        </w:tabs>
        <w:spacing w:before="240" w:after="240"/>
        <w:ind w:right="567"/>
        <w:jc w:val="both"/>
        <w:rPr>
          <w:rFonts w:ascii="Palatino Linotype" w:eastAsia="Palatino Linotype" w:hAnsi="Palatino Linotype" w:cs="Palatino Linotype"/>
          <w:b/>
          <w:i/>
        </w:rPr>
      </w:pPr>
    </w:p>
    <w:p w14:paraId="46939642"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Pr>
          <w:rFonts w:ascii="Palatino Linotype" w:eastAsia="Palatino Linotype" w:hAnsi="Palatino Linotype" w:cs="Palatino Linotype"/>
          <w:i/>
        </w:rPr>
        <w:t>por los principios de simplicidad, rapidez gratuidad del procedimiento, auxilio y orientación a los particulares</w:t>
      </w:r>
      <w:r>
        <w:rPr>
          <w:rFonts w:ascii="Palatino Linotype" w:eastAsia="Palatino Linotype" w:hAnsi="Palatino Linotype" w:cs="Palatino Linotype"/>
        </w:rPr>
        <w:t>, contemplando el derecho de las personas con discapacidad y hablantes de lengua indígena.</w:t>
      </w:r>
    </w:p>
    <w:p w14:paraId="46939643" w14:textId="77777777" w:rsidR="004F2647" w:rsidRDefault="004F2647">
      <w:pPr>
        <w:spacing w:line="360" w:lineRule="auto"/>
        <w:ind w:right="49"/>
        <w:jc w:val="both"/>
        <w:rPr>
          <w:rFonts w:ascii="Palatino Linotype" w:eastAsia="Palatino Linotype" w:hAnsi="Palatino Linotype" w:cs="Palatino Linotype"/>
        </w:rPr>
      </w:pPr>
    </w:p>
    <w:p w14:paraId="46939644"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se garantiza y respeta oportunamente, y según lo que dispone la Ley, las </w:t>
      </w:r>
      <w:r>
        <w:rPr>
          <w:rFonts w:ascii="Palatino Linotype" w:eastAsia="Palatino Linotype" w:hAnsi="Palatino Linotype" w:cs="Palatino Linotype"/>
          <w:i/>
        </w:rPr>
        <w:t>solicitudes de acceso a la información</w:t>
      </w:r>
      <w:r>
        <w:rPr>
          <w:rFonts w:ascii="Palatino Linotype" w:eastAsia="Palatino Linotype" w:hAnsi="Palatino Linotype" w:cs="Palatino Linotype"/>
        </w:rPr>
        <w:t>.</w:t>
      </w:r>
    </w:p>
    <w:p w14:paraId="46939645" w14:textId="77777777" w:rsidR="004F2647" w:rsidRDefault="004F2647">
      <w:pPr>
        <w:spacing w:line="360" w:lineRule="auto"/>
        <w:ind w:right="49"/>
        <w:jc w:val="both"/>
        <w:rPr>
          <w:rFonts w:ascii="Palatino Linotype" w:eastAsia="Palatino Linotype" w:hAnsi="Palatino Linotype" w:cs="Palatino Linotype"/>
        </w:rPr>
      </w:pPr>
    </w:p>
    <w:p w14:paraId="46939646"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entonces, se procede analizar, en primer lugar,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6939647" w14:textId="77777777" w:rsidR="004F2647" w:rsidRDefault="004F2647">
      <w:pPr>
        <w:spacing w:line="360" w:lineRule="auto"/>
        <w:ind w:right="49"/>
        <w:jc w:val="both"/>
        <w:rPr>
          <w:rFonts w:ascii="Palatino Linotype" w:eastAsia="Palatino Linotype" w:hAnsi="Palatino Linotype" w:cs="Palatino Linotype"/>
        </w:rPr>
      </w:pPr>
    </w:p>
    <w:p w14:paraId="46939648" w14:textId="77777777" w:rsidR="004F2647" w:rsidRDefault="002D5464">
      <w:pPr>
        <w:keepNext/>
        <w:keepLines/>
        <w:spacing w:after="240" w:line="360" w:lineRule="auto"/>
        <w:rPr>
          <w:rFonts w:ascii="Palatino Linotype" w:eastAsia="Palatino Linotype" w:hAnsi="Palatino Linotype" w:cs="Palatino Linotype"/>
          <w:b/>
          <w:color w:val="000000"/>
        </w:rPr>
      </w:pPr>
      <w:bookmarkStart w:id="4" w:name="_heading=h.3rdcrjn" w:colFirst="0" w:colLast="0"/>
      <w:bookmarkEnd w:id="4"/>
      <w:r>
        <w:rPr>
          <w:rFonts w:ascii="Palatino Linotype" w:eastAsia="Palatino Linotype" w:hAnsi="Palatino Linotype" w:cs="Palatino Linotype"/>
          <w:b/>
          <w:color w:val="000000"/>
        </w:rPr>
        <w:t>II. De la información solicitada y la respuesta del SUJETO OBLIGADO</w:t>
      </w:r>
    </w:p>
    <w:p w14:paraId="46939649"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Acotada la </w:t>
      </w:r>
      <w:r>
        <w:rPr>
          <w:rFonts w:ascii="Palatino Linotype" w:eastAsia="Palatino Linotype" w:hAnsi="Palatino Linotype" w:cs="Palatino Linotype"/>
          <w:i/>
          <w:color w:val="000000"/>
        </w:rPr>
        <w:t>Litis</w:t>
      </w:r>
      <w:r>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porque no se </w:t>
      </w:r>
      <w:r>
        <w:rPr>
          <w:rFonts w:ascii="Palatino Linotype" w:eastAsia="Palatino Linotype" w:hAnsi="Palatino Linotype" w:cs="Palatino Linotype"/>
          <w:color w:val="000000"/>
        </w:rPr>
        <w:lastRenderedPageBreak/>
        <w:t xml:space="preserve">entrega la información solicitada, situación por la cual se hace el siguiente estudio y análisis. </w:t>
      </w:r>
    </w:p>
    <w:p w14:paraId="4693964A" w14:textId="77777777" w:rsidR="004F2647" w:rsidRDefault="004F2647">
      <w:pPr>
        <w:spacing w:line="360" w:lineRule="auto"/>
        <w:jc w:val="both"/>
        <w:rPr>
          <w:rFonts w:ascii="Palatino Linotype" w:eastAsia="Palatino Linotype" w:hAnsi="Palatino Linotype" w:cs="Palatino Linotype"/>
        </w:rPr>
      </w:pPr>
    </w:p>
    <w:p w14:paraId="4693964B"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es importante recordar la información que fue solicitada por el </w:t>
      </w:r>
      <w:r>
        <w:rPr>
          <w:rFonts w:ascii="Palatino Linotype" w:eastAsia="Palatino Linotype" w:hAnsi="Palatino Linotype" w:cs="Palatino Linotype"/>
          <w:b/>
        </w:rPr>
        <w:t xml:space="preserve">RECURRENTE. </w:t>
      </w:r>
    </w:p>
    <w:p w14:paraId="4693964C" w14:textId="77777777" w:rsidR="004F2647" w:rsidRDefault="002D5464">
      <w:pPr>
        <w:pBdr>
          <w:top w:val="nil"/>
          <w:left w:val="nil"/>
          <w:bottom w:val="nil"/>
          <w:right w:val="nil"/>
          <w:between w:val="nil"/>
        </w:pBdr>
        <w:ind w:left="720"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“…Se solicita con fundamento a lo dispuesto en los artículos 6° (sexto)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Articulo 5 de la Constitución Política del Estado Libre y Soberano de México, de la siguiente información para que se haga una búsqueda de manera exhaustiva, desglosada, clara y detallada así como su entrega en versión pública. De la remuneración de todos y cada uno de los servidores públicos de la Administración Pública del Ayuntamiento 2022-2024 incluyendo Presidente Municipal, Regidores, Sistema DIF MUNICIPAL e IMCUFIDE, mediante recibos de nómina, recibos de Honorarios y listas de raya de todas la Áreas, Direcciones Coordinaciones periodo 01 noviembre 2023 al 31 de marzo del 2024, así como altas, bajas y/o cambio de Área y/o Adscripción, La información que solicito no puede ser considerada reservada, en tanto no encuadra en ninguna de las causales señaladas en la normatividad aplicable ya que no supera la prueba de daño que el sujeto debe realizar para demostrar que su publicación afectaría en algún modo en las funciones del sujeto obligado o sus integrantes.…”</w:t>
      </w:r>
    </w:p>
    <w:p w14:paraId="4693964D" w14:textId="77777777" w:rsidR="004F2647" w:rsidRDefault="004F2647">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rPr>
      </w:pPr>
    </w:p>
    <w:p w14:paraId="4693964E"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el doce de abril de dos mil veinticuatro la incompetencia parcial mediante el siguiente archivo. </w:t>
      </w:r>
    </w:p>
    <w:p w14:paraId="4693964F" w14:textId="77777777" w:rsidR="004F2647" w:rsidRDefault="002D5464">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 xml:space="preserve">Incompetencia, sol. 00302.pdf: </w:t>
      </w:r>
      <w:r>
        <w:rPr>
          <w:rFonts w:ascii="Palatino Linotype" w:eastAsia="Palatino Linotype" w:hAnsi="Palatino Linotype" w:cs="Palatino Linotype"/>
          <w:i/>
          <w:color w:val="000000"/>
          <w:sz w:val="22"/>
          <w:szCs w:val="22"/>
        </w:rPr>
        <w:t>Informando que el Ayuntamiento de Ixtapaluca carece de facultades sobre la información que generan, poseen y administran el Sistema para el Desarrollo Integral de la Familia de Municipio de Ixtapaluca.</w:t>
      </w:r>
    </w:p>
    <w:p w14:paraId="46939650" w14:textId="77777777" w:rsidR="004F2647" w:rsidRDefault="004F2647">
      <w:pPr>
        <w:pBdr>
          <w:top w:val="nil"/>
          <w:left w:val="nil"/>
          <w:bottom w:val="nil"/>
          <w:right w:val="nil"/>
          <w:between w:val="nil"/>
        </w:pBdr>
        <w:tabs>
          <w:tab w:val="left" w:pos="0"/>
        </w:tabs>
        <w:ind w:left="1134" w:right="900"/>
        <w:jc w:val="both"/>
        <w:rPr>
          <w:rFonts w:ascii="Palatino Linotype" w:eastAsia="Palatino Linotype" w:hAnsi="Palatino Linotype" w:cs="Palatino Linotype"/>
          <w:i/>
          <w:color w:val="000000"/>
          <w:sz w:val="22"/>
          <w:szCs w:val="22"/>
        </w:rPr>
      </w:pPr>
    </w:p>
    <w:p w14:paraId="46939651"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Posteriormente el entonces solicitante interpone el recurso de revisión manifestando que no se contestó la información solicitada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46939652"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En ese sentido, es necesario colocar en una tabla la información solicitada por parte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y la equiparación de la respuesta del </w:t>
      </w:r>
      <w:r>
        <w:rPr>
          <w:rFonts w:ascii="Palatino Linotype" w:eastAsia="Palatino Linotype" w:hAnsi="Palatino Linotype" w:cs="Palatino Linotype"/>
          <w:b/>
        </w:rPr>
        <w:t xml:space="preserve">SUJETO OBLIGADO. </w:t>
      </w:r>
    </w:p>
    <w:tbl>
      <w:tblPr>
        <w:tblStyle w:val="a0"/>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55"/>
        <w:gridCol w:w="2701"/>
        <w:gridCol w:w="1836"/>
        <w:gridCol w:w="2106"/>
        <w:gridCol w:w="1630"/>
      </w:tblGrid>
      <w:tr w:rsidR="004F2647" w14:paraId="46939658" w14:textId="77777777">
        <w:tc>
          <w:tcPr>
            <w:tcW w:w="555" w:type="dxa"/>
          </w:tcPr>
          <w:p w14:paraId="46939653"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w:t>
            </w:r>
          </w:p>
        </w:tc>
        <w:tc>
          <w:tcPr>
            <w:tcW w:w="2701" w:type="dxa"/>
          </w:tcPr>
          <w:p w14:paraId="46939654"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Información Solicitada</w:t>
            </w:r>
          </w:p>
        </w:tc>
        <w:tc>
          <w:tcPr>
            <w:tcW w:w="1836" w:type="dxa"/>
          </w:tcPr>
          <w:p w14:paraId="46939655"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Respuesta</w:t>
            </w:r>
          </w:p>
        </w:tc>
        <w:tc>
          <w:tcPr>
            <w:tcW w:w="2106" w:type="dxa"/>
          </w:tcPr>
          <w:p w14:paraId="46939656"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Informe Justificado</w:t>
            </w:r>
          </w:p>
        </w:tc>
        <w:tc>
          <w:tcPr>
            <w:tcW w:w="1630" w:type="dxa"/>
          </w:tcPr>
          <w:p w14:paraId="46939657"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¿Colma?</w:t>
            </w:r>
          </w:p>
        </w:tc>
      </w:tr>
      <w:tr w:rsidR="004F2647" w14:paraId="4693965F" w14:textId="77777777">
        <w:tc>
          <w:tcPr>
            <w:tcW w:w="555" w:type="dxa"/>
          </w:tcPr>
          <w:p w14:paraId="46939659"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1</w:t>
            </w:r>
          </w:p>
        </w:tc>
        <w:tc>
          <w:tcPr>
            <w:tcW w:w="2701" w:type="dxa"/>
          </w:tcPr>
          <w:p w14:paraId="4693965A" w14:textId="77777777" w:rsidR="004F2647" w:rsidRDefault="002D5464">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La remuneración de todos los servidores públicos que integran la administración municipal 2022-2024 mediante recibos de nómina, recibos de honorarios y listas de raya.</w:t>
            </w:r>
          </w:p>
          <w:p w14:paraId="4693965B" w14:textId="77777777" w:rsidR="004F2647" w:rsidRDefault="004F2647">
            <w:pPr>
              <w:pBdr>
                <w:top w:val="nil"/>
                <w:left w:val="nil"/>
                <w:bottom w:val="nil"/>
                <w:right w:val="nil"/>
                <w:between w:val="nil"/>
              </w:pBdr>
              <w:jc w:val="center"/>
              <w:rPr>
                <w:rFonts w:ascii="Palatino Linotype" w:eastAsia="Palatino Linotype" w:hAnsi="Palatino Linotype" w:cs="Palatino Linotype"/>
                <w:b/>
                <w:i/>
                <w:sz w:val="20"/>
                <w:szCs w:val="20"/>
              </w:rPr>
            </w:pPr>
          </w:p>
        </w:tc>
        <w:tc>
          <w:tcPr>
            <w:tcW w:w="1836" w:type="dxa"/>
          </w:tcPr>
          <w:p w14:paraId="4693965C"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No hay respuesta </w:t>
            </w:r>
          </w:p>
        </w:tc>
        <w:tc>
          <w:tcPr>
            <w:tcW w:w="2106" w:type="dxa"/>
          </w:tcPr>
          <w:p w14:paraId="4693965D"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1630" w:type="dxa"/>
          </w:tcPr>
          <w:p w14:paraId="4693965E"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colma</w:t>
            </w:r>
          </w:p>
        </w:tc>
      </w:tr>
      <w:tr w:rsidR="004F2647" w14:paraId="46939667" w14:textId="77777777">
        <w:tc>
          <w:tcPr>
            <w:tcW w:w="555" w:type="dxa"/>
          </w:tcPr>
          <w:p w14:paraId="46939660"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2</w:t>
            </w:r>
          </w:p>
        </w:tc>
        <w:tc>
          <w:tcPr>
            <w:tcW w:w="2701" w:type="dxa"/>
          </w:tcPr>
          <w:p w14:paraId="46939661" w14:textId="77777777" w:rsidR="004F2647" w:rsidRDefault="002D5464">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De todos los servidores públicos que integran la administración municipal 2022-2024  altas, bajas y/o cambio de Área y/o Adscripción.</w:t>
            </w:r>
          </w:p>
          <w:p w14:paraId="46939662" w14:textId="77777777" w:rsidR="004F2647" w:rsidRDefault="004F2647">
            <w:pPr>
              <w:jc w:val="both"/>
              <w:rPr>
                <w:rFonts w:ascii="Palatino Linotype" w:eastAsia="Palatino Linotype" w:hAnsi="Palatino Linotype" w:cs="Palatino Linotype"/>
                <w:b/>
                <w:i/>
                <w:sz w:val="20"/>
                <w:szCs w:val="20"/>
              </w:rPr>
            </w:pPr>
          </w:p>
          <w:p w14:paraId="46939663" w14:textId="77777777" w:rsidR="004F2647" w:rsidRDefault="004F2647">
            <w:pPr>
              <w:pBdr>
                <w:top w:val="nil"/>
                <w:left w:val="nil"/>
                <w:bottom w:val="nil"/>
                <w:right w:val="nil"/>
                <w:between w:val="nil"/>
              </w:pBdr>
              <w:jc w:val="center"/>
              <w:rPr>
                <w:rFonts w:ascii="Palatino Linotype" w:eastAsia="Palatino Linotype" w:hAnsi="Palatino Linotype" w:cs="Palatino Linotype"/>
                <w:b/>
                <w:i/>
                <w:sz w:val="20"/>
                <w:szCs w:val="20"/>
              </w:rPr>
            </w:pPr>
          </w:p>
        </w:tc>
        <w:tc>
          <w:tcPr>
            <w:tcW w:w="1836" w:type="dxa"/>
          </w:tcPr>
          <w:p w14:paraId="46939664"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2106" w:type="dxa"/>
          </w:tcPr>
          <w:p w14:paraId="46939665"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hay respuesta</w:t>
            </w:r>
          </w:p>
        </w:tc>
        <w:tc>
          <w:tcPr>
            <w:tcW w:w="1630" w:type="dxa"/>
          </w:tcPr>
          <w:p w14:paraId="46939666" w14:textId="77777777" w:rsidR="004F2647" w:rsidRDefault="002D5464">
            <w:pPr>
              <w:pBdr>
                <w:top w:val="nil"/>
                <w:left w:val="nil"/>
                <w:bottom w:val="nil"/>
                <w:right w:val="nil"/>
                <w:between w:val="nil"/>
              </w:pBdr>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No colma</w:t>
            </w:r>
          </w:p>
        </w:tc>
      </w:tr>
    </w:tbl>
    <w:p w14:paraId="46939668" w14:textId="77777777" w:rsidR="004F2647" w:rsidRDefault="004F2647">
      <w:pPr>
        <w:spacing w:line="360" w:lineRule="auto"/>
        <w:jc w:val="both"/>
        <w:rPr>
          <w:rFonts w:ascii="Palatino Linotype" w:eastAsia="Palatino Linotype" w:hAnsi="Palatino Linotype" w:cs="Palatino Linotype"/>
          <w:color w:val="000000"/>
        </w:rPr>
      </w:pPr>
    </w:p>
    <w:p w14:paraId="46939669"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precisado lo anterior, se debe de precisar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se declara incompetente para administrar, generar o poseer la información respecto del Sistema Municipal para el Desarrollo Integral de la Familia, por ser un sujeto obligado diverso del Ayuntamiento de Ixtapaluca, situación que se comprueba con la siguiente captura de pantalla obtenidas de la página oficial del IPOMEX. </w:t>
      </w:r>
    </w:p>
    <w:p w14:paraId="4693966A" w14:textId="77777777" w:rsidR="004F2647" w:rsidRDefault="002D5464">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eastAsia="es-MX"/>
        </w:rPr>
        <w:drawing>
          <wp:inline distT="0" distB="0" distL="0" distR="0" wp14:anchorId="469397BD" wp14:editId="469397BE">
            <wp:extent cx="5438104" cy="338420"/>
            <wp:effectExtent l="0" t="0" r="0" b="0"/>
            <wp:docPr id="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438104" cy="338420"/>
                    </a:xfrm>
                    <a:prstGeom prst="rect">
                      <a:avLst/>
                    </a:prstGeom>
                    <a:ln/>
                  </pic:spPr>
                </pic:pic>
              </a:graphicData>
            </a:graphic>
          </wp:inline>
        </w:drawing>
      </w:r>
    </w:p>
    <w:p w14:paraId="4693966B" w14:textId="77777777" w:rsidR="004F2647" w:rsidRDefault="004F2647">
      <w:pPr>
        <w:spacing w:line="360" w:lineRule="auto"/>
        <w:jc w:val="center"/>
        <w:rPr>
          <w:rFonts w:ascii="Palatino Linotype" w:eastAsia="Palatino Linotype" w:hAnsi="Palatino Linotype" w:cs="Palatino Linotype"/>
        </w:rPr>
      </w:pPr>
    </w:p>
    <w:p w14:paraId="4693966C"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como se observa de las capturas de pantalla y de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es notorio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es incompetente </w:t>
      </w:r>
      <w:r>
        <w:rPr>
          <w:rFonts w:ascii="Palatino Linotype" w:eastAsia="Palatino Linotype" w:hAnsi="Palatino Linotype" w:cs="Palatino Linotype"/>
          <w:color w:val="000000"/>
        </w:rPr>
        <w:lastRenderedPageBreak/>
        <w:t>para administrar, poseer o generar la información del Sistema Municipal para el Desarrollo Integral de la Familia, por lo que es imperativo traer a estudio lo dispuesto por el artículo 167 de la Ley de Transparencia y Acceso a la Información Pública del Estado de México y Municipios, que es de la literalidad siguiente:</w:t>
      </w:r>
    </w:p>
    <w:p w14:paraId="4693966D" w14:textId="77777777" w:rsidR="004F2647" w:rsidRDefault="002D5464">
      <w:pPr>
        <w:tabs>
          <w:tab w:val="left" w:pos="142"/>
          <w:tab w:val="left" w:pos="284"/>
          <w:tab w:val="left" w:pos="426"/>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Artículo 167.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Cuando las unidades de transparencia determinen la</w:t>
      </w:r>
      <w:r>
        <w:rPr>
          <w:rFonts w:ascii="Palatino Linotype" w:eastAsia="Palatino Linotype" w:hAnsi="Palatino Linotype" w:cs="Palatino Linotype"/>
          <w:i/>
          <w:sz w:val="22"/>
          <w:szCs w:val="22"/>
        </w:rPr>
        <w:t xml:space="preserve"> notoria </w:t>
      </w:r>
      <w:r>
        <w:rPr>
          <w:rFonts w:ascii="Palatino Linotype" w:eastAsia="Palatino Linotype" w:hAnsi="Palatino Linotype" w:cs="Palatino Linotype"/>
          <w:b/>
          <w:i/>
          <w:sz w:val="22"/>
          <w:szCs w:val="22"/>
        </w:rPr>
        <w:t>incompetencia por parte de los sujetos obligados</w:t>
      </w:r>
      <w:r>
        <w:rPr>
          <w:rFonts w:ascii="Palatino Linotype" w:eastAsia="Palatino Linotype" w:hAnsi="Palatino Linotype" w:cs="Palatino Linotype"/>
          <w:i/>
          <w:sz w:val="22"/>
          <w:szCs w:val="22"/>
        </w:rPr>
        <w:t xml:space="preserve">, dentro del ámbito de aplicación, para atender la solicitud de acceso a la información, </w:t>
      </w:r>
      <w:r>
        <w:rPr>
          <w:rFonts w:ascii="Palatino Linotype" w:eastAsia="Palatino Linotype" w:hAnsi="Palatino Linotype" w:cs="Palatino Linotype"/>
          <w:b/>
          <w:i/>
          <w:sz w:val="22"/>
          <w:szCs w:val="22"/>
        </w:rPr>
        <w:t>deberán comunicarlo al solicitante, dentro de los tres días hábiles posteriores a la recepción de la solicitud y, en su caso orientar al solicitante, el o los sujetos obligados competentes.</w:t>
      </w:r>
      <w:r>
        <w:rPr>
          <w:rFonts w:ascii="Palatino Linotype" w:eastAsia="Palatino Linotype" w:hAnsi="Palatino Linotype" w:cs="Palatino Linotype"/>
          <w:i/>
          <w:sz w:val="22"/>
          <w:szCs w:val="22"/>
        </w:rPr>
        <w:t xml:space="preserve"> </w:t>
      </w:r>
    </w:p>
    <w:p w14:paraId="4693966E" w14:textId="77777777" w:rsidR="004F2647" w:rsidRDefault="002D5464">
      <w:pPr>
        <w:tabs>
          <w:tab w:val="left" w:pos="142"/>
          <w:tab w:val="left" w:pos="284"/>
        </w:tabs>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r>
        <w:rPr>
          <w:rFonts w:ascii="Palatino Linotype" w:eastAsia="Palatino Linotype" w:hAnsi="Palatino Linotype" w:cs="Palatino Linotype"/>
          <w:i/>
          <w:sz w:val="22"/>
          <w:szCs w:val="22"/>
        </w:rPr>
        <w:t xml:space="preserve">. </w:t>
      </w:r>
    </w:p>
    <w:p w14:paraId="4693966F" w14:textId="77777777" w:rsidR="004F2647" w:rsidRDefault="002D5464">
      <w:pPr>
        <w:tabs>
          <w:tab w:val="left" w:pos="142"/>
          <w:tab w:val="left" w:pos="284"/>
        </w:tabs>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Si transcurrido el plazo señalado en el primer párrafo de este artículo, el sujeto obligado no declina la competencia en los términos establecidos, podrá canalizar la solicitud ante el sujeto obligado competente.</w:t>
      </w:r>
      <w:r>
        <w:rPr>
          <w:rFonts w:ascii="Palatino Linotype" w:eastAsia="Palatino Linotype" w:hAnsi="Palatino Linotype" w:cs="Palatino Linotype"/>
          <w:i/>
          <w:sz w:val="22"/>
          <w:szCs w:val="22"/>
        </w:rPr>
        <w:t>”</w:t>
      </w:r>
    </w:p>
    <w:p w14:paraId="46939670" w14:textId="77777777" w:rsidR="004F2647" w:rsidRDefault="002D5464">
      <w:pPr>
        <w:tabs>
          <w:tab w:val="left" w:pos="142"/>
          <w:tab w:val="left" w:pos="284"/>
        </w:tabs>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6939671" w14:textId="77777777" w:rsidR="004F2647" w:rsidRDefault="004F2647">
      <w:pPr>
        <w:tabs>
          <w:tab w:val="left" w:pos="426"/>
        </w:tabs>
        <w:spacing w:line="360" w:lineRule="auto"/>
        <w:ind w:right="51"/>
        <w:jc w:val="both"/>
        <w:rPr>
          <w:rFonts w:ascii="Palatino Linotype" w:eastAsia="Palatino Linotype" w:hAnsi="Palatino Linotype" w:cs="Palatino Linotype"/>
          <w:color w:val="000000"/>
        </w:rPr>
      </w:pPr>
    </w:p>
    <w:p w14:paraId="46939672"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forma que, una vez recibida una solicitud de información, el </w:t>
      </w:r>
      <w:r>
        <w:rPr>
          <w:rFonts w:ascii="Palatino Linotype" w:eastAsia="Palatino Linotype" w:hAnsi="Palatino Linotype" w:cs="Palatino Linotype"/>
          <w:b/>
          <w:color w:val="000000"/>
        </w:rPr>
        <w:t>SUJETO OBLIGADO de</w:t>
      </w:r>
      <w:r>
        <w:rPr>
          <w:rFonts w:ascii="Palatino Linotype" w:eastAsia="Palatino Linotype" w:hAnsi="Palatino Linotype" w:cs="Palatino Linotype"/>
          <w:color w:val="000000"/>
        </w:rPr>
        <w:t xml:space="preserve">termine que es incompetente para para poseer, generar o administrar lo solicitado, dentro de los primeros tres días posteriores a la recepción de la solicitud, deberá hacerlo del conocimiento del particular y, deberá orientarlo sobre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competente para atender lo requerido.</w:t>
      </w:r>
    </w:p>
    <w:p w14:paraId="46939673" w14:textId="77777777" w:rsidR="004F2647" w:rsidRDefault="004F2647">
      <w:pPr>
        <w:tabs>
          <w:tab w:val="left" w:pos="426"/>
        </w:tabs>
        <w:spacing w:line="360" w:lineRule="auto"/>
        <w:ind w:right="51"/>
        <w:jc w:val="both"/>
        <w:rPr>
          <w:rFonts w:ascii="Palatino Linotype" w:eastAsia="Palatino Linotype" w:hAnsi="Palatino Linotype" w:cs="Palatino Linotype"/>
          <w:color w:val="000000"/>
        </w:rPr>
      </w:pPr>
    </w:p>
    <w:p w14:paraId="46939674"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presente asunto, de constancias de autos que obran en el  expediente electrónico, se aprecia que el particular promovió su solicitud de información el once de abril de dos mil veinticuatro y,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entregó</w:t>
      </w:r>
      <w:r>
        <w:rPr>
          <w:rFonts w:ascii="Palatino Linotype" w:eastAsia="Palatino Linotype" w:hAnsi="Palatino Linotype" w:cs="Palatino Linotype"/>
          <w:color w:val="000000"/>
        </w:rPr>
        <w:t xml:space="preserve"> su acuerdo de </w:t>
      </w:r>
      <w:r>
        <w:rPr>
          <w:rFonts w:ascii="Palatino Linotype" w:eastAsia="Palatino Linotype" w:hAnsi="Palatino Linotype" w:cs="Palatino Linotype"/>
          <w:color w:val="000000"/>
        </w:rPr>
        <w:lastRenderedPageBreak/>
        <w:t>incompetencia parcial el doce abril de dos mil veinticuatro; esto es un día posterior al haber recibido dicha solicitud.</w:t>
      </w:r>
    </w:p>
    <w:p w14:paraId="46939675" w14:textId="77777777" w:rsidR="004F2647" w:rsidRDefault="004F2647">
      <w:pPr>
        <w:spacing w:line="360" w:lineRule="auto"/>
        <w:jc w:val="both"/>
        <w:rPr>
          <w:rFonts w:ascii="Palatino Linotype" w:eastAsia="Palatino Linotype" w:hAnsi="Palatino Linotype" w:cs="Palatino Linotype"/>
          <w:color w:val="000000"/>
        </w:rPr>
      </w:pPr>
    </w:p>
    <w:p w14:paraId="46939676" w14:textId="77777777" w:rsidR="004F2647" w:rsidRDefault="002D5464">
      <w:pPr>
        <w:numPr>
          <w:ilvl w:val="0"/>
          <w:numId w:val="2"/>
        </w:numPr>
        <w:spacing w:line="360" w:lineRule="auto"/>
        <w:ind w:left="0" w:right="51"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es de decir que el plazo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para manifestar su incompetencia había fenecido el uno de julio de dos mil veintidós, sin embargo como se demuestra en las constancias del expediente electrónico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rPr>
        <w:t>entregó</w:t>
      </w:r>
      <w:r>
        <w:rPr>
          <w:rFonts w:ascii="Palatino Linotype" w:eastAsia="Palatino Linotype" w:hAnsi="Palatino Linotype" w:cs="Palatino Linotype"/>
          <w:color w:val="000000"/>
        </w:rPr>
        <w:t xml:space="preserve"> su acuerdo de incompetencia parcial al día siguiente en ingreso la solicitud de información al Sistema de Acceso a la Información. </w:t>
      </w:r>
    </w:p>
    <w:p w14:paraId="46939677" w14:textId="77777777" w:rsidR="004F2647" w:rsidRDefault="004F2647">
      <w:pPr>
        <w:spacing w:line="360" w:lineRule="auto"/>
        <w:ind w:right="51"/>
        <w:jc w:val="both"/>
        <w:rPr>
          <w:rFonts w:ascii="Palatino Linotype" w:eastAsia="Palatino Linotype" w:hAnsi="Palatino Linotype" w:cs="Palatino Linotype"/>
          <w:color w:val="000000"/>
        </w:rPr>
      </w:pPr>
    </w:p>
    <w:p w14:paraId="46939678"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ese sentido, se hace del conocimiento al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que se dejan a salvo sus derechos a efecto de que, de considerarlo oportuno, realice nuevas solicitudes de información dirigidas al </w:t>
      </w:r>
      <w:r>
        <w:rPr>
          <w:rFonts w:ascii="Palatino Linotype" w:eastAsia="Palatino Linotype" w:hAnsi="Palatino Linotype" w:cs="Palatino Linotype"/>
          <w:b/>
          <w:color w:val="000000"/>
        </w:rPr>
        <w:t xml:space="preserve"> Sistema Municipal para el Desarrollo Integral de la Familia, </w:t>
      </w:r>
      <w:r>
        <w:rPr>
          <w:rFonts w:ascii="Palatino Linotype" w:eastAsia="Palatino Linotype" w:hAnsi="Palatino Linotype" w:cs="Palatino Linotype"/>
          <w:color w:val="000000"/>
        </w:rPr>
        <w:t xml:space="preserve">para que por separado atienda las solicitudes de información que en su competencia correspondan. </w:t>
      </w:r>
    </w:p>
    <w:p w14:paraId="46939679" w14:textId="77777777" w:rsidR="004F2647" w:rsidRDefault="004F2647"/>
    <w:p w14:paraId="4693967A"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Ahora bien, por lo que respecta al numeral  uno en el cual se solicita lo siguiente “</w:t>
      </w:r>
      <w:r>
        <w:rPr>
          <w:rFonts w:ascii="Palatino Linotype" w:eastAsia="Palatino Linotype" w:hAnsi="Palatino Linotype" w:cs="Palatino Linotype"/>
          <w:b/>
          <w:i/>
          <w:color w:val="000000"/>
        </w:rPr>
        <w:t xml:space="preserve">La remuneración de todos los servidores públicos que integran la administración municipal 2022-2024 mediante recibos de nómina, recibos de honorarios y listas de raya”, </w:t>
      </w:r>
      <w:r>
        <w:rPr>
          <w:rFonts w:ascii="Palatino Linotype" w:eastAsia="Palatino Linotype" w:hAnsi="Palatino Linotype" w:cs="Palatino Linotype"/>
          <w:color w:val="000000"/>
        </w:rPr>
        <w:t xml:space="preserve">es necesario precisar que si bien es cierto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emite los requerimientos de solicitud de información a diversas áreas del Ayuntamiento de Ixtapaluca, también lo es que no se emitieron respuestas por ningunas de ellas, situación que trae consigo establecer a las unidades administrativas habilitadas para de la solicitud de información. </w:t>
      </w:r>
    </w:p>
    <w:p w14:paraId="4693967B" w14:textId="77777777" w:rsidR="004F2647" w:rsidRDefault="004F2647">
      <w:pPr>
        <w:pBdr>
          <w:top w:val="nil"/>
          <w:left w:val="nil"/>
          <w:bottom w:val="nil"/>
          <w:right w:val="nil"/>
          <w:between w:val="nil"/>
        </w:pBdr>
        <w:ind w:left="720"/>
        <w:rPr>
          <w:rFonts w:ascii="Palatino Linotype" w:eastAsia="Palatino Linotype" w:hAnsi="Palatino Linotype" w:cs="Palatino Linotype"/>
          <w:b/>
          <w:i/>
          <w:color w:val="000000"/>
        </w:rPr>
      </w:pPr>
    </w:p>
    <w:p w14:paraId="4693967C"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Por ello, es necesario precisar el área poseedora que debe de contar con la información respecto a los recibos de nómina y listas de raya. </w:t>
      </w:r>
    </w:p>
    <w:p w14:paraId="4693967D"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67E"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En ese sentido de conformidad con el Bando Municipal del Ayuntamiento de Ixtapaluca, vigente en la entidad, en su artículo 71 establece la forma en que se organiza la administración municipal, siendo la siguiente.</w:t>
      </w:r>
    </w:p>
    <w:p w14:paraId="4693967F" w14:textId="77777777" w:rsidR="004F2647" w:rsidRPr="007F3A87" w:rsidRDefault="002D5464" w:rsidP="007F3A87">
      <w:pPr>
        <w:spacing w:line="360" w:lineRule="auto"/>
        <w:ind w:left="1416" w:hanging="1416"/>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drawing>
          <wp:inline distT="0" distB="0" distL="0" distR="0" wp14:anchorId="469397BF" wp14:editId="469397C0">
            <wp:extent cx="2699309" cy="3679546"/>
            <wp:effectExtent l="0" t="0" r="6350" b="0"/>
            <wp:docPr id="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03560" cy="3685341"/>
                    </a:xfrm>
                    <a:prstGeom prst="rect">
                      <a:avLst/>
                    </a:prstGeom>
                    <a:ln/>
                  </pic:spPr>
                </pic:pic>
              </a:graphicData>
            </a:graphic>
          </wp:inline>
        </w:drawing>
      </w:r>
    </w:p>
    <w:p w14:paraId="46939680" w14:textId="77777777" w:rsidR="004F2647" w:rsidRDefault="004F2647">
      <w:pPr>
        <w:spacing w:line="360" w:lineRule="auto"/>
        <w:ind w:left="1416" w:hanging="1416"/>
        <w:jc w:val="center"/>
        <w:rPr>
          <w:rFonts w:ascii="Palatino Linotype" w:eastAsia="Palatino Linotype" w:hAnsi="Palatino Linotype" w:cs="Palatino Linotype"/>
          <w:b/>
          <w:i/>
        </w:rPr>
      </w:pPr>
    </w:p>
    <w:p w14:paraId="46939681"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esa línea de estudio, de conformidad con el Manual de Organización, </w:t>
      </w:r>
      <w:r>
        <w:rPr>
          <w:rFonts w:ascii="Palatino Linotype" w:eastAsia="Palatino Linotype" w:hAnsi="Palatino Linotype" w:cs="Palatino Linotype"/>
        </w:rPr>
        <w:t>la Dirección</w:t>
      </w:r>
      <w:r>
        <w:rPr>
          <w:rFonts w:ascii="Palatino Linotype" w:eastAsia="Palatino Linotype" w:hAnsi="Palatino Linotype" w:cs="Palatino Linotype"/>
          <w:color w:val="000000"/>
        </w:rPr>
        <w:t xml:space="preserve"> de Administración cuenta dentro de organización con la Subdirección de Recursos Humanos. </w:t>
      </w:r>
    </w:p>
    <w:p w14:paraId="46939682" w14:textId="77777777" w:rsidR="004F2647" w:rsidRDefault="002D5464">
      <w:pPr>
        <w:spacing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lastRenderedPageBreak/>
        <w:drawing>
          <wp:inline distT="0" distB="0" distL="0" distR="0" wp14:anchorId="469397C1" wp14:editId="469397C2">
            <wp:extent cx="4886665" cy="3382182"/>
            <wp:effectExtent l="0" t="0" r="0" b="0"/>
            <wp:docPr id="9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886665" cy="3382182"/>
                    </a:xfrm>
                    <a:prstGeom prst="rect">
                      <a:avLst/>
                    </a:prstGeom>
                    <a:ln/>
                  </pic:spPr>
                </pic:pic>
              </a:graphicData>
            </a:graphic>
          </wp:inline>
        </w:drawing>
      </w:r>
    </w:p>
    <w:p w14:paraId="46939683"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ese sentido, la Subdirección de Recursos Humanos de conformidad con el Manual de Organización de la Dirección de Administración, cuenta con las siguientes funciones.   </w:t>
      </w:r>
    </w:p>
    <w:p w14:paraId="46939684" w14:textId="77777777" w:rsidR="004F2647" w:rsidRDefault="002D5464">
      <w:pPr>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lastRenderedPageBreak/>
        <w:drawing>
          <wp:inline distT="0" distB="0" distL="0" distR="0" wp14:anchorId="469397C3" wp14:editId="469397C4">
            <wp:extent cx="3748283" cy="4589735"/>
            <wp:effectExtent l="0" t="0" r="0" b="0"/>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3748283" cy="4589735"/>
                    </a:xfrm>
                    <a:prstGeom prst="rect">
                      <a:avLst/>
                    </a:prstGeom>
                    <a:ln/>
                  </pic:spPr>
                </pic:pic>
              </a:graphicData>
            </a:graphic>
          </wp:inline>
        </w:drawing>
      </w:r>
    </w:p>
    <w:p w14:paraId="46939685" w14:textId="77777777" w:rsidR="004F2647" w:rsidRDefault="004F2647">
      <w:pPr>
        <w:spacing w:line="360" w:lineRule="auto"/>
        <w:jc w:val="center"/>
        <w:rPr>
          <w:rFonts w:ascii="Palatino Linotype" w:eastAsia="Palatino Linotype" w:hAnsi="Palatino Linotype" w:cs="Palatino Linotype"/>
          <w:b/>
          <w:i/>
        </w:rPr>
      </w:pPr>
    </w:p>
    <w:p w14:paraId="46939686"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 lo anterior, se observa que la Subdirección de Recursos Humanos, es la encargada de coordinar las percepciones de los servidores públicos municipales. </w:t>
      </w:r>
    </w:p>
    <w:p w14:paraId="46939687" w14:textId="77777777" w:rsidR="004F2647" w:rsidRDefault="004F2647">
      <w:pPr>
        <w:spacing w:line="360" w:lineRule="auto"/>
        <w:jc w:val="both"/>
        <w:rPr>
          <w:rFonts w:ascii="Palatino Linotype" w:eastAsia="Palatino Linotype" w:hAnsi="Palatino Linotype" w:cs="Palatino Linotype"/>
          <w:b/>
          <w:i/>
          <w:color w:val="000000"/>
        </w:rPr>
      </w:pPr>
    </w:p>
    <w:p w14:paraId="46939688"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Seguidamente el Reglamento de la Dirección de Administración, establece que la Subdirección de Recursos Humanos tiene las siguientes atribuciones. </w:t>
      </w:r>
    </w:p>
    <w:p w14:paraId="46939689" w14:textId="77777777" w:rsidR="004F2647" w:rsidRDefault="004F2647">
      <w:pPr>
        <w:spacing w:line="360" w:lineRule="auto"/>
        <w:jc w:val="center"/>
        <w:rPr>
          <w:rFonts w:ascii="Palatino Linotype" w:eastAsia="Palatino Linotype" w:hAnsi="Palatino Linotype" w:cs="Palatino Linotype"/>
          <w:b/>
          <w:i/>
          <w:color w:val="000000"/>
        </w:rPr>
      </w:pPr>
    </w:p>
    <w:p w14:paraId="4693968A" w14:textId="77777777" w:rsidR="004F2647" w:rsidRDefault="004F2647">
      <w:pPr>
        <w:spacing w:line="360" w:lineRule="auto"/>
        <w:jc w:val="center"/>
        <w:rPr>
          <w:rFonts w:ascii="Palatino Linotype" w:eastAsia="Palatino Linotype" w:hAnsi="Palatino Linotype" w:cs="Palatino Linotype"/>
          <w:b/>
          <w:i/>
          <w:color w:val="000000"/>
        </w:rPr>
      </w:pPr>
    </w:p>
    <w:p w14:paraId="4693968B" w14:textId="77777777" w:rsidR="004F2647" w:rsidRDefault="004F2647">
      <w:pPr>
        <w:spacing w:line="360" w:lineRule="auto"/>
        <w:jc w:val="center"/>
        <w:rPr>
          <w:rFonts w:ascii="Palatino Linotype" w:eastAsia="Palatino Linotype" w:hAnsi="Palatino Linotype" w:cs="Palatino Linotype"/>
          <w:b/>
          <w:i/>
          <w:color w:val="000000"/>
        </w:rPr>
      </w:pPr>
    </w:p>
    <w:p w14:paraId="4693968C" w14:textId="77777777" w:rsidR="004F2647" w:rsidRDefault="002D5464">
      <w:pPr>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drawing>
          <wp:inline distT="0" distB="0" distL="0" distR="0" wp14:anchorId="469397C5" wp14:editId="469397C6">
            <wp:extent cx="4031708" cy="5171898"/>
            <wp:effectExtent l="0" t="0" r="0" b="0"/>
            <wp:docPr id="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031708" cy="5171898"/>
                    </a:xfrm>
                    <a:prstGeom prst="rect">
                      <a:avLst/>
                    </a:prstGeom>
                    <a:ln/>
                  </pic:spPr>
                </pic:pic>
              </a:graphicData>
            </a:graphic>
          </wp:inline>
        </w:drawing>
      </w:r>
    </w:p>
    <w:p w14:paraId="4693968D" w14:textId="77777777" w:rsidR="004F2647" w:rsidRDefault="004F2647">
      <w:pPr>
        <w:spacing w:line="360" w:lineRule="auto"/>
        <w:jc w:val="both"/>
        <w:rPr>
          <w:rFonts w:ascii="Palatino Linotype" w:eastAsia="Palatino Linotype" w:hAnsi="Palatino Linotype" w:cs="Palatino Linotype"/>
          <w:b/>
          <w:i/>
          <w:color w:val="000000"/>
        </w:rPr>
      </w:pPr>
    </w:p>
    <w:p w14:paraId="4693968E" w14:textId="77777777" w:rsidR="004F2647" w:rsidRDefault="002D5464">
      <w:pPr>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lastRenderedPageBreak/>
        <w:drawing>
          <wp:inline distT="0" distB="0" distL="0" distR="0" wp14:anchorId="469397C7" wp14:editId="469397C8">
            <wp:extent cx="4258269" cy="4039164"/>
            <wp:effectExtent l="0" t="0" r="0" b="0"/>
            <wp:docPr id="9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258269" cy="4039164"/>
                    </a:xfrm>
                    <a:prstGeom prst="rect">
                      <a:avLst/>
                    </a:prstGeom>
                    <a:ln/>
                  </pic:spPr>
                </pic:pic>
              </a:graphicData>
            </a:graphic>
          </wp:inline>
        </w:drawing>
      </w:r>
    </w:p>
    <w:p w14:paraId="4693968F" w14:textId="77777777" w:rsidR="004F2647" w:rsidRDefault="004F2647">
      <w:pPr>
        <w:spacing w:line="360" w:lineRule="auto"/>
        <w:jc w:val="center"/>
        <w:rPr>
          <w:rFonts w:ascii="Palatino Linotype" w:eastAsia="Palatino Linotype" w:hAnsi="Palatino Linotype" w:cs="Palatino Linotype"/>
          <w:b/>
          <w:i/>
        </w:rPr>
      </w:pPr>
    </w:p>
    <w:p w14:paraId="46939690"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 lo anterior, se observa que la Subdirección de Recursos Humanos, es el área encargada de realizar las acciones necesarias en coordinación con la Dirección de Administración para que las remuneraciones de los servidores públicos se entreguen de manera oportuna. </w:t>
      </w:r>
    </w:p>
    <w:p w14:paraId="46939691" w14:textId="77777777" w:rsidR="004F2647" w:rsidRDefault="004F2647">
      <w:pPr>
        <w:spacing w:line="360" w:lineRule="auto"/>
        <w:jc w:val="both"/>
        <w:rPr>
          <w:rFonts w:ascii="Palatino Linotype" w:eastAsia="Palatino Linotype" w:hAnsi="Palatino Linotype" w:cs="Palatino Linotype"/>
          <w:b/>
          <w:i/>
          <w:color w:val="000000"/>
        </w:rPr>
      </w:pPr>
    </w:p>
    <w:p w14:paraId="46939692"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Ahora bien, como se observa de la literalidad de la solicitud de información el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también solicita información del Instituto Municipal de Cultura Física y Deporte de Ixtapaluca, quien de acuerdo con el artículo 76, forma parte de la administración descentralizada. </w:t>
      </w:r>
    </w:p>
    <w:p w14:paraId="46939693" w14:textId="77777777" w:rsidR="004F2647" w:rsidRDefault="002D5464">
      <w:pP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ARTÍCULO 76.- La Administración Pública Municipal Descentralizada del Municipio de Ixtapaluca, se integra por los siguientes Organismos: </w:t>
      </w:r>
    </w:p>
    <w:p w14:paraId="46939694" w14:textId="77777777" w:rsidR="004F2647" w:rsidRDefault="002D5464">
      <w:pPr>
        <w:numPr>
          <w:ilvl w:val="1"/>
          <w:numId w:val="2"/>
        </w:numPr>
        <w:pBdr>
          <w:top w:val="nil"/>
          <w:left w:val="nil"/>
          <w:bottom w:val="nil"/>
          <w:right w:val="nil"/>
          <w:between w:val="nil"/>
        </w:pBdr>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Organismo Público Descentralizado denominado “Sistema Municipal para el Desarrollo Integral de la Familia.”, denominado “DIF”. Cuya administración 70 recae en la Junta de Gobierno, su Presidenta y su Director o Directora General; </w:t>
      </w:r>
    </w:p>
    <w:p w14:paraId="46939695" w14:textId="77777777" w:rsidR="004F2647" w:rsidRDefault="002D546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El Organismo Público Descentralizado para la Prestación de los Servicios de Agua Potable, Alcantarillado y Saneamiento del Municipio de Ixtapaluca, denominado por sus siglas, “OPDAPAS”; cuya administración estará a cargo de un Consejo Directivo y un Director o Directora General; </w:t>
      </w:r>
    </w:p>
    <w:p w14:paraId="46939696" w14:textId="77777777" w:rsidR="004F2647" w:rsidRDefault="002D5464">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III. Organismo Descentralizado “Instituto Municipal de Cultura Física y Deporte de Ixtapaluca”, denominado por sus siglas “IMCUFIDEI”, cuya administración recae en el Consejo Municipal del Deporte y su Director o Directora; y </w:t>
      </w:r>
    </w:p>
    <w:p w14:paraId="46939697" w14:textId="77777777" w:rsidR="004F2647" w:rsidRDefault="002D5464">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Los demás Organismos que determine crear el Ayuntamiento por acuerdo del Cabildo. </w:t>
      </w:r>
    </w:p>
    <w:p w14:paraId="46939698" w14:textId="77777777" w:rsidR="004F2647" w:rsidRDefault="002D5464">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Quienes tendrán las atribuciones que les otorgan las Leyes, el presente Bando, Reglamentos, Manuales y demás ordenamientos jurídicos, en el ámbito de su competencia.</w:t>
      </w:r>
    </w:p>
    <w:p w14:paraId="46939699" w14:textId="77777777" w:rsidR="004F2647" w:rsidRDefault="004F2647">
      <w:pPr>
        <w:pBdr>
          <w:top w:val="nil"/>
          <w:left w:val="nil"/>
          <w:bottom w:val="nil"/>
          <w:right w:val="nil"/>
          <w:between w:val="nil"/>
        </w:pBdr>
        <w:ind w:left="720"/>
        <w:rPr>
          <w:rFonts w:ascii="Palatino Linotype" w:eastAsia="Palatino Linotype" w:hAnsi="Palatino Linotype" w:cs="Palatino Linotype"/>
          <w:b/>
          <w:color w:val="000000"/>
        </w:rPr>
      </w:pPr>
    </w:p>
    <w:p w14:paraId="4693969A"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En ese sentido, se debe de establecer que de acuerdo con el Reglamento del Instituto Municipal de Cultura Física y Deporte de Ixtapaluca, se integra por la Coordinación de Administración y Finanzas, quien tiene las siguientes funciones. </w:t>
      </w:r>
    </w:p>
    <w:p w14:paraId="4693969B" w14:textId="77777777" w:rsidR="004F2647" w:rsidRDefault="002D5464">
      <w:pPr>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lastRenderedPageBreak/>
        <w:drawing>
          <wp:inline distT="0" distB="0" distL="0" distR="0" wp14:anchorId="469397C9" wp14:editId="469397CA">
            <wp:extent cx="3515216" cy="5611008"/>
            <wp:effectExtent l="0" t="0" r="0" b="0"/>
            <wp:docPr id="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515216" cy="5611008"/>
                    </a:xfrm>
                    <a:prstGeom prst="rect">
                      <a:avLst/>
                    </a:prstGeom>
                    <a:ln/>
                  </pic:spPr>
                </pic:pic>
              </a:graphicData>
            </a:graphic>
          </wp:inline>
        </w:drawing>
      </w:r>
    </w:p>
    <w:p w14:paraId="4693969C" w14:textId="77777777" w:rsidR="004F2647" w:rsidRDefault="004F2647">
      <w:pPr>
        <w:spacing w:line="360" w:lineRule="auto"/>
        <w:jc w:val="center"/>
        <w:rPr>
          <w:rFonts w:ascii="Palatino Linotype" w:eastAsia="Palatino Linotype" w:hAnsi="Palatino Linotype" w:cs="Palatino Linotype"/>
          <w:b/>
          <w:i/>
        </w:rPr>
      </w:pPr>
    </w:p>
    <w:p w14:paraId="4693969D"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De lo anterior, se observa que el Instituto Municipal de Cultura Física y Deporte de Ixtapaluca, cuenta con la Coordinación de Administración y Finanzas, quien es el área encargada de cumplir con el pago de las remuneraciones de los servidores públicos adscritos a dicho Instituto. </w:t>
      </w:r>
    </w:p>
    <w:p w14:paraId="4693969E"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En ese sentido, al no ser un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diverso al Ayuntamiento de Ixtapaluca, el Titular de la Unidad de Transparencia, debe de girar nuevamente la solicitud de información para que sea atendida en cuanto a los recibos de nómina y listas de raya por motivo del pago del personal adscrito al Instituto Municipal de Cultura Física y Deporte de Ixtapaluca. </w:t>
      </w:r>
    </w:p>
    <w:p w14:paraId="4693969F" w14:textId="77777777" w:rsidR="004F2647" w:rsidRDefault="004F2647">
      <w:pPr>
        <w:spacing w:line="360" w:lineRule="auto"/>
        <w:jc w:val="both"/>
        <w:rPr>
          <w:rFonts w:ascii="Palatino Linotype" w:eastAsia="Palatino Linotype" w:hAnsi="Palatino Linotype" w:cs="Palatino Linotype"/>
          <w:b/>
          <w:i/>
          <w:color w:val="000000"/>
        </w:rPr>
      </w:pPr>
    </w:p>
    <w:p w14:paraId="469396A0"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De lo anterior, se determina que los servidores públicos habilitados de atender la solicitud de información es la Dirección de Administración y Recursos Humanos, por medio de la Subdirección de Recursos Humanos y el Instituto Municipal de Cultura Física y Deporte de Ixtapaluca, por medio de la Coordinación de Administración y Finanzas</w:t>
      </w:r>
    </w:p>
    <w:p w14:paraId="469396A1"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6A2"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debe precisarse que si bien en nuestra legislación no existe como tal una definición de “nómina”;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69396A3" w14:textId="77777777" w:rsidR="004F2647" w:rsidRDefault="004F2647">
      <w:pPr>
        <w:rPr>
          <w:rFonts w:ascii="Palatino Linotype" w:eastAsia="Palatino Linotype" w:hAnsi="Palatino Linotype" w:cs="Palatino Linotype"/>
          <w:color w:val="000000"/>
        </w:rPr>
      </w:pPr>
    </w:p>
    <w:p w14:paraId="469396A4"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ya se apuntó, si bien es cierto nuestra legislación no establece la definición de “nómina”, este término es mencionado en diferentes ordenamientos legales, así el artículo 804 fracción II de la Ley Federal de Trabajo, señala lo siguiente: </w:t>
      </w:r>
    </w:p>
    <w:p w14:paraId="469396A5"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804.-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 patrón tiene obligación de conservar y exhibir en juicio los documentos que a continuación se precisan</w:t>
      </w:r>
      <w:r>
        <w:rPr>
          <w:rFonts w:ascii="Palatino Linotype" w:eastAsia="Palatino Linotype" w:hAnsi="Palatino Linotype" w:cs="Palatino Linotype"/>
          <w:i/>
          <w:sz w:val="22"/>
          <w:szCs w:val="22"/>
        </w:rPr>
        <w:t xml:space="preserve">: </w:t>
      </w:r>
    </w:p>
    <w:p w14:paraId="469396A6"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A7"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Listas de raya o </w:t>
      </w:r>
      <w:r>
        <w:rPr>
          <w:rFonts w:ascii="Palatino Linotype" w:eastAsia="Palatino Linotype" w:hAnsi="Palatino Linotype" w:cs="Palatino Linotype"/>
          <w:b/>
          <w:i/>
          <w:sz w:val="22"/>
          <w:szCs w:val="22"/>
          <w:u w:val="single"/>
        </w:rPr>
        <w:t>nómina de personal</w:t>
      </w:r>
      <w:r>
        <w:rPr>
          <w:rFonts w:ascii="Palatino Linotype" w:eastAsia="Palatino Linotype" w:hAnsi="Palatino Linotype" w:cs="Palatino Linotype"/>
          <w:i/>
          <w:sz w:val="22"/>
          <w:szCs w:val="22"/>
        </w:rPr>
        <w:t xml:space="preserve">, cuando se lleven en el centro de trabajo; o recibos de pagos de salarios; </w:t>
      </w:r>
    </w:p>
    <w:p w14:paraId="469396A8"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A9"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Los documentos</w:t>
      </w:r>
      <w:r>
        <w:rPr>
          <w:rFonts w:ascii="Palatino Linotype" w:eastAsia="Palatino Linotype" w:hAnsi="Palatino Linotype" w:cs="Palatino Linotype"/>
          <w:i/>
          <w:sz w:val="22"/>
          <w:szCs w:val="22"/>
        </w:rPr>
        <w:t xml:space="preserve"> señalados en la fracción I </w:t>
      </w:r>
      <w:r>
        <w:rPr>
          <w:rFonts w:ascii="Palatino Linotype" w:eastAsia="Palatino Linotype" w:hAnsi="Palatino Linotype" w:cs="Palatino Linotype"/>
          <w:b/>
          <w:i/>
          <w:sz w:val="22"/>
          <w:szCs w:val="22"/>
          <w:u w:val="single"/>
        </w:rPr>
        <w:t>deberán conservarse</w:t>
      </w:r>
      <w:r>
        <w:rPr>
          <w:rFonts w:ascii="Palatino Linotype" w:eastAsia="Palatino Linotype" w:hAnsi="Palatino Linotype" w:cs="Palatino Linotype"/>
          <w:i/>
          <w:sz w:val="22"/>
          <w:szCs w:val="22"/>
        </w:rPr>
        <w:t xml:space="preserve"> mientras dure la relación laboral y hasta un año después; los </w:t>
      </w:r>
      <w:r>
        <w:rPr>
          <w:rFonts w:ascii="Palatino Linotype" w:eastAsia="Palatino Linotype" w:hAnsi="Palatino Linotype" w:cs="Palatino Linotype"/>
          <w:b/>
          <w:i/>
          <w:sz w:val="22"/>
          <w:szCs w:val="22"/>
          <w:u w:val="single"/>
        </w:rPr>
        <w:t>señalados en las fracciones II</w:t>
      </w:r>
      <w:r>
        <w:rPr>
          <w:rFonts w:ascii="Palatino Linotype" w:eastAsia="Palatino Linotype" w:hAnsi="Palatino Linotype" w:cs="Palatino Linotype"/>
          <w:i/>
          <w:sz w:val="22"/>
          <w:szCs w:val="22"/>
        </w:rPr>
        <w:t xml:space="preserve">, III y IV, </w:t>
      </w:r>
      <w:r>
        <w:rPr>
          <w:rFonts w:ascii="Palatino Linotype" w:eastAsia="Palatino Linotype" w:hAnsi="Palatino Linotype" w:cs="Palatino Linotype"/>
          <w:b/>
          <w:i/>
          <w:sz w:val="22"/>
          <w:szCs w:val="22"/>
          <w:u w:val="single"/>
        </w:rPr>
        <w:t>durante el último año y un año después de que se extinga la relación laboral</w:t>
      </w:r>
      <w:r>
        <w:rPr>
          <w:rFonts w:ascii="Palatino Linotype" w:eastAsia="Palatino Linotype" w:hAnsi="Palatino Linotype" w:cs="Palatino Linotype"/>
          <w:i/>
          <w:sz w:val="22"/>
          <w:szCs w:val="22"/>
        </w:rPr>
        <w:t>; y los mencionados en la fracción V, conforme lo señalen las Leyes que los rijan.</w:t>
      </w:r>
    </w:p>
    <w:p w14:paraId="469396AA" w14:textId="77777777" w:rsidR="004F2647" w:rsidRDefault="002D5464">
      <w:pPr>
        <w:spacing w:before="120" w:after="120"/>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69396AB" w14:textId="77777777" w:rsidR="004F2647" w:rsidRDefault="004F2647">
      <w:pPr>
        <w:spacing w:before="120" w:after="120"/>
        <w:ind w:left="709" w:right="709"/>
        <w:jc w:val="both"/>
        <w:rPr>
          <w:rFonts w:ascii="Palatino Linotype" w:eastAsia="Palatino Linotype" w:hAnsi="Palatino Linotype" w:cs="Palatino Linotype"/>
        </w:rPr>
      </w:pPr>
    </w:p>
    <w:p w14:paraId="469396AC"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469396AD" w14:textId="77777777" w:rsidR="004F2647" w:rsidRDefault="004F2647">
      <w:pPr>
        <w:spacing w:line="360" w:lineRule="auto"/>
        <w:jc w:val="both"/>
        <w:rPr>
          <w:rFonts w:ascii="Palatino Linotype" w:eastAsia="Palatino Linotype" w:hAnsi="Palatino Linotype" w:cs="Palatino Linotype"/>
        </w:rPr>
      </w:pPr>
    </w:p>
    <w:p w14:paraId="469396AE"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igual forma, la Constitución Política del Estado Libre y Soberano de México dispone en lo relativo a las remuneraciones de los servidores públicos, lo siguiente:</w:t>
      </w:r>
    </w:p>
    <w:p w14:paraId="469396AF" w14:textId="77777777" w:rsidR="004F2647" w:rsidRDefault="002D5464">
      <w:pPr>
        <w:spacing w:before="120" w:after="12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147.- </w:t>
      </w:r>
      <w:r>
        <w:rPr>
          <w:rFonts w:ascii="Palatino Linotype" w:eastAsia="Palatino Linotype" w:hAnsi="Palatino Linotype" w:cs="Palatino Linotype"/>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w:t>
      </w:r>
      <w:r>
        <w:rPr>
          <w:rFonts w:ascii="Palatino Linotype" w:eastAsia="Palatino Linotype" w:hAnsi="Palatino Linotype" w:cs="Palatino Linotype"/>
          <w:i/>
          <w:sz w:val="22"/>
          <w:szCs w:val="22"/>
        </w:rPr>
        <w:lastRenderedPageBreak/>
        <w:t xml:space="preserve">miembros de los ayuntamientos y demás servidores públicos municipales </w:t>
      </w:r>
      <w:r>
        <w:rPr>
          <w:rFonts w:ascii="Palatino Linotype" w:eastAsia="Palatino Linotype" w:hAnsi="Palatino Linotype" w:cs="Palatino Linotype"/>
          <w:b/>
          <w:i/>
          <w:sz w:val="22"/>
          <w:szCs w:val="22"/>
        </w:rPr>
        <w:t>recibirán una retribución adecuada e irrenunciable por el desempeño de su empleo, cargo o comisión, que será determinada en el presupuesto de egresos que corresponda.”</w:t>
      </w:r>
    </w:p>
    <w:p w14:paraId="469396B0" w14:textId="77777777" w:rsidR="004F2647" w:rsidRDefault="004F2647">
      <w:pPr>
        <w:spacing w:before="120" w:after="120"/>
        <w:ind w:left="1134" w:right="900"/>
        <w:jc w:val="both"/>
        <w:rPr>
          <w:rFonts w:ascii="Palatino Linotype" w:eastAsia="Palatino Linotype" w:hAnsi="Palatino Linotype" w:cs="Palatino Linotype"/>
          <w:b/>
          <w:i/>
        </w:rPr>
      </w:pPr>
    </w:p>
    <w:p w14:paraId="469396B1"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469396B2"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efectos de este Código, Ley de Ingresos del Estado y del Presupuesto de Egresos se entenderá por:</w:t>
      </w:r>
    </w:p>
    <w:p w14:paraId="469396B3"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B4"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XXXII. Remuneración: </w:t>
      </w:r>
      <w:r>
        <w:rPr>
          <w:rFonts w:ascii="Palatino Linotype" w:eastAsia="Palatino Linotype" w:hAnsi="Palatino Linotype" w:cs="Palatino Linotype"/>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69396B5" w14:textId="77777777" w:rsidR="004F2647" w:rsidRDefault="004F2647">
      <w:pPr>
        <w:spacing w:before="120" w:after="120"/>
        <w:ind w:left="709" w:right="709"/>
        <w:jc w:val="both"/>
        <w:rPr>
          <w:rFonts w:ascii="Palatino Linotype" w:eastAsia="Palatino Linotype" w:hAnsi="Palatino Linotype" w:cs="Palatino Linotype"/>
          <w:i/>
        </w:rPr>
      </w:pPr>
    </w:p>
    <w:p w14:paraId="469396B6"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las gratificaciones solicitadas.</w:t>
      </w:r>
    </w:p>
    <w:p w14:paraId="469396B7" w14:textId="77777777" w:rsidR="004F2647" w:rsidRDefault="004F2647">
      <w:pPr>
        <w:spacing w:line="360" w:lineRule="auto"/>
        <w:jc w:val="both"/>
        <w:rPr>
          <w:rFonts w:ascii="Palatino Linotype" w:eastAsia="Palatino Linotype" w:hAnsi="Palatino Linotype" w:cs="Palatino Linotype"/>
        </w:rPr>
      </w:pPr>
    </w:p>
    <w:p w14:paraId="469396B8"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Ahora bien, tratándose de servidores públicos de los Municipios la Ley del Trabajo de los Servidores Públicos del Estado y Municipios, en su artículo 220-K fracciones II y IV y último párrafo, establecen lo siguiente:</w:t>
      </w:r>
    </w:p>
    <w:p w14:paraId="469396B9" w14:textId="77777777" w:rsidR="004F2647" w:rsidRDefault="002D5464">
      <w:pPr>
        <w:spacing w:before="160" w:after="16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469396BA" w14:textId="77777777" w:rsidR="004F2647" w:rsidRDefault="002D5464">
      <w:pPr>
        <w:spacing w:before="160" w:after="16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BB" w14:textId="77777777" w:rsidR="004F2647" w:rsidRDefault="002D5464">
      <w:pPr>
        <w:spacing w:before="160" w:after="16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Recibos o las constancias de depósito o del medio de información magnética o electrónica que sean utilizadas para el pago de</w:t>
      </w:r>
      <w:r>
        <w:rPr>
          <w:rFonts w:ascii="Palatino Linotype" w:eastAsia="Palatino Linotype" w:hAnsi="Palatino Linotype" w:cs="Palatino Linotype"/>
          <w:i/>
          <w:sz w:val="22"/>
          <w:szCs w:val="22"/>
        </w:rPr>
        <w:t xml:space="preserve"> salarios, prima vacacional,</w:t>
      </w:r>
      <w:r>
        <w:rPr>
          <w:rFonts w:ascii="Palatino Linotype" w:eastAsia="Palatino Linotype" w:hAnsi="Palatino Linotype" w:cs="Palatino Linotype"/>
          <w:b/>
          <w:i/>
          <w:sz w:val="22"/>
          <w:szCs w:val="22"/>
          <w:u w:val="single"/>
        </w:rPr>
        <w:t xml:space="preserve"> aguinaldo y demás prestaciones</w:t>
      </w:r>
      <w:r>
        <w:rPr>
          <w:rFonts w:ascii="Palatino Linotype" w:eastAsia="Palatino Linotype" w:hAnsi="Palatino Linotype" w:cs="Palatino Linotype"/>
          <w:i/>
          <w:sz w:val="22"/>
          <w:szCs w:val="22"/>
        </w:rPr>
        <w:t xml:space="preserve"> establecidas en la presente ley; y</w:t>
      </w:r>
    </w:p>
    <w:p w14:paraId="469396BC" w14:textId="77777777" w:rsidR="004F2647" w:rsidRDefault="002D5464">
      <w:pPr>
        <w:spacing w:before="160" w:after="16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w:t>
      </w:r>
      <w:r>
        <w:rPr>
          <w:rFonts w:ascii="Palatino Linotype" w:eastAsia="Palatino Linotype" w:hAnsi="Palatino Linotype" w:cs="Palatino Linotype"/>
          <w:b/>
          <w:i/>
          <w:sz w:val="22"/>
          <w:szCs w:val="22"/>
          <w:u w:val="single"/>
        </w:rPr>
        <w:t>II, III, IV durante el último año y un año después de que se extinga la relación laboral</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y los mencionados en la fracción V, conforme lo señalen las leyes que los rijan.</w:t>
      </w:r>
    </w:p>
    <w:p w14:paraId="469396BD" w14:textId="77777777" w:rsidR="004F2647" w:rsidRDefault="002D5464">
      <w:pPr>
        <w:spacing w:before="160" w:after="16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469396BE" w14:textId="77777777" w:rsidR="004F2647" w:rsidRDefault="002D5464">
      <w:pPr>
        <w:spacing w:before="160" w:after="16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469396BF" w14:textId="77777777" w:rsidR="004F2647" w:rsidRDefault="002D5464">
      <w:pPr>
        <w:spacing w:before="160" w:after="160"/>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69396C0" w14:textId="77777777" w:rsidR="004F2647" w:rsidRDefault="004F2647">
      <w:pPr>
        <w:spacing w:before="160" w:after="160"/>
        <w:ind w:left="1134" w:right="900"/>
        <w:jc w:val="both"/>
        <w:rPr>
          <w:rFonts w:ascii="Palatino Linotype" w:eastAsia="Palatino Linotype" w:hAnsi="Palatino Linotype" w:cs="Palatino Linotype"/>
        </w:rPr>
      </w:pPr>
    </w:p>
    <w:p w14:paraId="469396C1"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advierte que toda institución pública o dependencia pública del Estado de México debe conservar los recibos o constancias de pago de salarios, prima vacacional, aguinaldo y demás prestaciones legales de acuerdo con la forma en que se </w:t>
      </w:r>
      <w:r>
        <w:rPr>
          <w:rFonts w:ascii="Palatino Linotype" w:eastAsia="Palatino Linotype" w:hAnsi="Palatino Linotype" w:cs="Palatino Linotype"/>
          <w:b/>
          <w:i/>
        </w:rPr>
        <w:t xml:space="preserve">haya realizado el pago, es decir, en efectivo, cheque, depósito, </w:t>
      </w:r>
      <w:r>
        <w:rPr>
          <w:rFonts w:ascii="Palatino Linotype" w:eastAsia="Palatino Linotype" w:hAnsi="Palatino Linotype" w:cs="Palatino Linotype"/>
          <w:b/>
          <w:i/>
        </w:rPr>
        <w:lastRenderedPageBreak/>
        <w:t>transferencia u otra, debiendo conservar dicha documentación durante el último año y un año después de que se extingue la relación laboral</w:t>
      </w:r>
      <w:r>
        <w:rPr>
          <w:rFonts w:ascii="Palatino Linotype" w:eastAsia="Palatino Linotype" w:hAnsi="Palatino Linotype" w:cs="Palatino Linotype"/>
        </w:rPr>
        <w:t xml:space="preserve"> a través de los sistemas de digitalización o de información magnética o electrónica.</w:t>
      </w:r>
    </w:p>
    <w:p w14:paraId="469396C2" w14:textId="77777777" w:rsidR="004F2647" w:rsidRDefault="004F2647">
      <w:pPr>
        <w:spacing w:line="360" w:lineRule="auto"/>
        <w:jc w:val="both"/>
        <w:rPr>
          <w:rFonts w:ascii="Palatino Linotype" w:eastAsia="Palatino Linotype" w:hAnsi="Palatino Linotype" w:cs="Palatino Linotype"/>
        </w:rPr>
      </w:pPr>
    </w:p>
    <w:p w14:paraId="469396C3"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el artículo 350 del Código Financiero del Estado de México dispone lo que se transcribe a continuación:</w:t>
      </w:r>
    </w:p>
    <w:p w14:paraId="469396C4"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350.-</w:t>
      </w:r>
      <w:r>
        <w:rPr>
          <w:rFonts w:ascii="Palatino Linotype" w:eastAsia="Palatino Linotype" w:hAnsi="Palatino Linotype" w:cs="Palatino Linotype"/>
          <w:i/>
          <w:sz w:val="22"/>
          <w:szCs w:val="22"/>
        </w:rPr>
        <w:t xml:space="preserve"> Mensualmente </w:t>
      </w:r>
      <w:r>
        <w:rPr>
          <w:rFonts w:ascii="Palatino Linotype" w:eastAsia="Palatino Linotype" w:hAnsi="Palatino Linotype" w:cs="Palatino Linotype"/>
          <w:b/>
          <w:i/>
          <w:sz w:val="22"/>
          <w:szCs w:val="22"/>
          <w:u w:val="single"/>
        </w:rPr>
        <w:t>dentro de los primeros veinte días hábiles</w:t>
      </w:r>
      <w:r>
        <w:rPr>
          <w:rFonts w:ascii="Palatino Linotype" w:eastAsia="Palatino Linotype" w:hAnsi="Palatino Linotype" w:cs="Palatino Linotype"/>
          <w:i/>
          <w:sz w:val="22"/>
          <w:szCs w:val="22"/>
        </w:rPr>
        <w:t xml:space="preserve">, la Secretaría y </w:t>
      </w:r>
      <w:r>
        <w:rPr>
          <w:rFonts w:ascii="Palatino Linotype" w:eastAsia="Palatino Linotype" w:hAnsi="Palatino Linotype" w:cs="Palatino Linotype"/>
          <w:b/>
          <w:i/>
          <w:sz w:val="22"/>
          <w:szCs w:val="22"/>
          <w:u w:val="single"/>
        </w:rPr>
        <w:t>las Tesorerías, enviarán para su análisis y evaluación al Órgano Superior de Fiscalización del Estado de México, la siguiente información</w:t>
      </w:r>
      <w:r>
        <w:rPr>
          <w:rFonts w:ascii="Palatino Linotype" w:eastAsia="Palatino Linotype" w:hAnsi="Palatino Linotype" w:cs="Palatino Linotype"/>
          <w:i/>
          <w:sz w:val="22"/>
          <w:szCs w:val="22"/>
        </w:rPr>
        <w:t xml:space="preserve">: </w:t>
      </w:r>
    </w:p>
    <w:p w14:paraId="469396C5"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C6"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b/>
          <w:i/>
          <w:sz w:val="22"/>
          <w:szCs w:val="22"/>
          <w:u w:val="single"/>
        </w:rPr>
        <w:t>Información de nómina</w:t>
      </w:r>
      <w:r>
        <w:rPr>
          <w:rFonts w:ascii="Palatino Linotype" w:eastAsia="Palatino Linotype" w:hAnsi="Palatino Linotype" w:cs="Palatino Linotype"/>
          <w:i/>
          <w:sz w:val="22"/>
          <w:szCs w:val="22"/>
        </w:rPr>
        <w:t>.”</w:t>
      </w:r>
    </w:p>
    <w:p w14:paraId="469396C7" w14:textId="77777777" w:rsidR="004F2647" w:rsidRDefault="002D5464">
      <w:pPr>
        <w:spacing w:before="120" w:after="120"/>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69396C8" w14:textId="77777777" w:rsidR="004F2647" w:rsidRDefault="004F2647">
      <w:pPr>
        <w:spacing w:before="120" w:after="120"/>
        <w:ind w:right="709"/>
        <w:jc w:val="both"/>
        <w:rPr>
          <w:rFonts w:ascii="Palatino Linotype" w:eastAsia="Palatino Linotype" w:hAnsi="Palatino Linotype" w:cs="Palatino Linotype"/>
        </w:rPr>
      </w:pPr>
    </w:p>
    <w:p w14:paraId="469396C9"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igual forma, las disposiciones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w:t>
      </w:r>
      <w:r>
        <w:rPr>
          <w:rFonts w:ascii="Palatino Linotype" w:eastAsia="Palatino Linotype" w:hAnsi="Palatino Linotype" w:cs="Palatino Linotype"/>
        </w:rPr>
        <w:lastRenderedPageBreak/>
        <w:t>Dependencias y Entidades Públicas del Gobierno y Municipios, todos del Estado de México.</w:t>
      </w:r>
    </w:p>
    <w:p w14:paraId="469396CA" w14:textId="77777777" w:rsidR="004F2647" w:rsidRDefault="004F2647">
      <w:pPr>
        <w:spacing w:line="360" w:lineRule="auto"/>
        <w:jc w:val="both"/>
        <w:rPr>
          <w:rFonts w:ascii="Palatino Linotype" w:eastAsia="Palatino Linotype" w:hAnsi="Palatino Linotype" w:cs="Palatino Linotype"/>
        </w:rPr>
      </w:pPr>
    </w:p>
    <w:p w14:paraId="469396CB"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los Lineamientos en comento sirven para definir los criterios, formatos y documentación necesaria para presentar los informes mensuales. Entre los criterios que se manejan en tales Lineamientos está aquel que se refiere a la integración de información de nómina, tal y como se muestra en la siguiente captura: </w:t>
      </w:r>
    </w:p>
    <w:p w14:paraId="469396CC" w14:textId="77777777" w:rsidR="004F2647" w:rsidRDefault="002D5464">
      <w:pPr>
        <w:spacing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469397CB" wp14:editId="469397CC">
            <wp:extent cx="3561868" cy="2875068"/>
            <wp:effectExtent l="0" t="0" r="0" b="0"/>
            <wp:docPr id="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27092" t="16171" r="17923" b="4920"/>
                    <a:stretch>
                      <a:fillRect/>
                    </a:stretch>
                  </pic:blipFill>
                  <pic:spPr>
                    <a:xfrm>
                      <a:off x="0" y="0"/>
                      <a:ext cx="3561868" cy="2875068"/>
                    </a:xfrm>
                    <a:prstGeom prst="rect">
                      <a:avLst/>
                    </a:prstGeom>
                    <a:ln/>
                  </pic:spPr>
                </pic:pic>
              </a:graphicData>
            </a:graphic>
          </wp:inline>
        </w:drawing>
      </w:r>
      <w:r>
        <w:rPr>
          <w:noProof/>
          <w:lang w:eastAsia="es-MX"/>
        </w:rPr>
        <mc:AlternateContent>
          <mc:Choice Requires="wps">
            <w:drawing>
              <wp:anchor distT="0" distB="0" distL="114300" distR="114300" simplePos="0" relativeHeight="251658240" behindDoc="0" locked="0" layoutInCell="1" hidden="0" allowOverlap="1" wp14:anchorId="469397CD" wp14:editId="469397CE">
                <wp:simplePos x="0" y="0"/>
                <wp:positionH relativeFrom="column">
                  <wp:posOffset>1257300</wp:posOffset>
                </wp:positionH>
                <wp:positionV relativeFrom="paragraph">
                  <wp:posOffset>622300</wp:posOffset>
                </wp:positionV>
                <wp:extent cx="719537" cy="220263"/>
                <wp:effectExtent l="0" t="0" r="0" b="0"/>
                <wp:wrapNone/>
                <wp:docPr id="85" name="Flecha derecha 85"/>
                <wp:cNvGraphicFramePr/>
                <a:graphic xmlns:a="http://schemas.openxmlformats.org/drawingml/2006/main">
                  <a:graphicData uri="http://schemas.microsoft.com/office/word/2010/wordprocessingShape">
                    <wps:wsp>
                      <wps:cNvSpPr/>
                      <wps:spPr>
                        <a:xfrm>
                          <a:off x="4992582" y="3676219"/>
                          <a:ext cx="706837" cy="207563"/>
                        </a:xfrm>
                        <a:prstGeom prst="rightArrow">
                          <a:avLst>
                            <a:gd name="adj1" fmla="val 50000"/>
                            <a:gd name="adj2" fmla="val 50000"/>
                          </a:avLst>
                        </a:prstGeom>
                        <a:solidFill>
                          <a:srgbClr val="FF0000"/>
                        </a:solidFill>
                        <a:ln w="12700" cap="flat" cmpd="sng">
                          <a:solidFill>
                            <a:srgbClr val="FF0000"/>
                          </a:solidFill>
                          <a:prstDash val="solid"/>
                          <a:miter lim="800000"/>
                          <a:headEnd type="none" w="sm" len="sm"/>
                          <a:tailEnd type="none" w="sm" len="sm"/>
                        </a:ln>
                      </wps:spPr>
                      <wps:txbx>
                        <w:txbxContent>
                          <w:p w14:paraId="46939809" w14:textId="77777777" w:rsidR="002D5464" w:rsidRDefault="002D5464">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shapetype w14:anchorId="469397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5" o:spid="_x0000_s1026" type="#_x0000_t13" style="position:absolute;left:0;text-align:left;margin-left:99pt;margin-top:49pt;width:56.65pt;height:17.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" adj="18429" fillcolor="red" strokecolor="red" strokeweight="1pt">
                <v:stroke startarrowwidth="narrow" startarrowlength="short" endarrowwidth="narrow" endarrowlength="short"/>
                <v:textbox inset="2.53958mm,2.53958mm,2.53958mm,2.53958mm">
                  <w:txbxContent>
                    <w:p w14:paraId="46939809" w14:textId="77777777" w:rsidR="002D5464" w:rsidRDefault="002D5464">
                      <w:pPr>
                        <w:textDirection w:val="btLr"/>
                      </w:pPr>
                    </w:p>
                  </w:txbxContent>
                </v:textbox>
              </v:shape>
            </w:pict>
          </mc:Fallback>
        </mc:AlternateContent>
      </w:r>
    </w:p>
    <w:p w14:paraId="469396CD" w14:textId="77777777" w:rsidR="004F2647" w:rsidRDefault="004F2647">
      <w:pPr>
        <w:spacing w:line="360" w:lineRule="auto"/>
        <w:jc w:val="center"/>
        <w:rPr>
          <w:rFonts w:ascii="Palatino Linotype" w:eastAsia="Palatino Linotype" w:hAnsi="Palatino Linotype" w:cs="Palatino Linotype"/>
        </w:rPr>
      </w:pPr>
    </w:p>
    <w:p w14:paraId="469396CE" w14:textId="77777777" w:rsidR="004F2647" w:rsidRDefault="004F2647">
      <w:pPr>
        <w:ind w:left="720"/>
        <w:rPr>
          <w:rFonts w:ascii="Palatino Linotype" w:eastAsia="Palatino Linotype" w:hAnsi="Palatino Linotype" w:cs="Palatino Linotype"/>
          <w:color w:val="000000"/>
        </w:rPr>
      </w:pPr>
    </w:p>
    <w:p w14:paraId="469396CF"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la imagen insertada, se desprende que, se puede obtener la información requerida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puesto que resulta claro que existe la obligación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realizar los informes que realiza la Subdirección de Recursos Humanos para que esta a su vez lo entregue a la Tesorería Municipal  para la entrega de los reportes mensuales al Órgano Superior de </w:t>
      </w:r>
      <w:r>
        <w:rPr>
          <w:rFonts w:ascii="Palatino Linotype" w:eastAsia="Palatino Linotype" w:hAnsi="Palatino Linotype" w:cs="Palatino Linotype"/>
        </w:rPr>
        <w:lastRenderedPageBreak/>
        <w:t xml:space="preserve">Fiscalización del Estado de México de conformidad con el artículo 32 de la Ley de Fiscalización Superior del Estado de México, en los cuales se incluyen los Comprobantes Fiscales Digitales por Internet por concepto de nómina, que comprende la información relativa al pago de las </w:t>
      </w:r>
      <w:r>
        <w:rPr>
          <w:rFonts w:ascii="Palatino Linotype" w:eastAsia="Palatino Linotype" w:hAnsi="Palatino Linotype" w:cs="Palatino Linotype"/>
          <w:b/>
        </w:rPr>
        <w:t xml:space="preserve">remuneraciones </w:t>
      </w:r>
      <w:r>
        <w:rPr>
          <w:rFonts w:ascii="Palatino Linotype" w:eastAsia="Palatino Linotype" w:hAnsi="Palatino Linotype" w:cs="Palatino Linotype"/>
        </w:rPr>
        <w:t xml:space="preserve">de cada uno de los servidores públicos correspondiente a un periodo determinado, incluyendo el aguinaldo y las gratificaciones; en consecuencia, la información solicitada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debe obrar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469396D0" w14:textId="77777777" w:rsidR="004F2647" w:rsidRDefault="004F2647">
      <w:pPr>
        <w:spacing w:line="360" w:lineRule="auto"/>
        <w:jc w:val="both"/>
        <w:rPr>
          <w:rFonts w:ascii="Palatino Linotype" w:eastAsia="Palatino Linotype" w:hAnsi="Palatino Linotype" w:cs="Palatino Linotype"/>
        </w:rPr>
      </w:pPr>
    </w:p>
    <w:p w14:paraId="469396D1"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 anterior, aunado a que las percepciones de los servidores públicos corresponde a información que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14:paraId="469396D2"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92</w:t>
      </w:r>
      <w:r>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69396D3"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69396D4" w14:textId="77777777" w:rsidR="004F2647" w:rsidRDefault="002D5464">
      <w:pPr>
        <w:spacing w:before="120" w:after="12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VIII. </w:t>
      </w:r>
      <w:r>
        <w:rPr>
          <w:rFonts w:ascii="Palatino Linotype" w:eastAsia="Palatino Linotype" w:hAnsi="Palatino Linotype" w:cs="Palatino Linotype"/>
          <w:b/>
          <w:i/>
          <w:sz w:val="22"/>
          <w:szCs w:val="22"/>
          <w:u w:val="single"/>
        </w:rPr>
        <w:t>La remuneración bruta y neta de todos los servidores públicos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de base o de confianza,</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de todas las percepciones</w:t>
      </w:r>
      <w:r>
        <w:rPr>
          <w:rFonts w:ascii="Palatino Linotype" w:eastAsia="Palatino Linotype" w:hAnsi="Palatino Linotype" w:cs="Palatino Linotype"/>
          <w:i/>
          <w:sz w:val="22"/>
          <w:szCs w:val="22"/>
        </w:rPr>
        <w:t>, incluyendo sueldos, prestaciones,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gratificaciones</w:t>
      </w:r>
      <w:r>
        <w:rPr>
          <w:rFonts w:ascii="Palatino Linotype" w:eastAsia="Palatino Linotype" w:hAnsi="Palatino Linotype" w:cs="Palatino Linotype"/>
          <w:i/>
          <w:sz w:val="22"/>
          <w:szCs w:val="22"/>
        </w:rPr>
        <w:t>, primas, comisiones, dietas, bonos, estímulos, ingresos y sistemas de compensación, señalando la periodicidad de dicha remuneración;”</w:t>
      </w:r>
    </w:p>
    <w:p w14:paraId="469396D5" w14:textId="77777777" w:rsidR="004F2647" w:rsidRDefault="002D5464">
      <w:pPr>
        <w:spacing w:before="120" w:after="120"/>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69396D6"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Pr>
          <w:rFonts w:ascii="Palatino Linotype" w:eastAsia="Palatino Linotype" w:hAnsi="Palatino Linotype" w:cs="Palatino Linotype"/>
        </w:rPr>
        <w:lastRenderedPageBreak/>
        <w:t xml:space="preserve">01/2003 y 02/2003 emitidos por el Comité de Acceso a la Información Pública y Protección de Datos Personales de la Suprema Corte de Justicia de la Nación que a continuación se citan: </w:t>
      </w:r>
    </w:p>
    <w:p w14:paraId="469396D7" w14:textId="77777777" w:rsidR="004F2647" w:rsidRDefault="002D5464">
      <w:pPr>
        <w:spacing w:before="160" w:after="20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Criterio 01/2003.</w:t>
      </w:r>
    </w:p>
    <w:p w14:paraId="469396D8" w14:textId="77777777" w:rsidR="004F2647" w:rsidRDefault="002D5464">
      <w:pPr>
        <w:spacing w:before="160" w:after="20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Pr>
          <w:rFonts w:ascii="Palatino Linotype" w:eastAsia="Palatino Linotype" w:hAnsi="Palatino Linotype" w:cs="Palatino Linotype"/>
          <w:b/>
          <w:i/>
          <w:sz w:val="22"/>
          <w:szCs w:val="22"/>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 </w:t>
      </w:r>
      <w:r>
        <w:rPr>
          <w:rFonts w:ascii="Palatino Linotype" w:eastAsia="Palatino Linotype" w:hAnsi="Palatino Linotype" w:cs="Palatino Linotype"/>
          <w:i/>
          <w:sz w:val="22"/>
          <w:szCs w:val="22"/>
        </w:rPr>
        <w:t>…”</w:t>
      </w:r>
    </w:p>
    <w:p w14:paraId="469396D9" w14:textId="77777777" w:rsidR="004F2647" w:rsidRDefault="002D5464">
      <w:pPr>
        <w:spacing w:before="360" w:after="200"/>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Criterio 02/2003.</w:t>
      </w:r>
    </w:p>
    <w:p w14:paraId="469396DA" w14:textId="77777777" w:rsidR="004F2647" w:rsidRDefault="002D5464">
      <w:pPr>
        <w:spacing w:before="160" w:after="200"/>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Pr>
          <w:rFonts w:ascii="Palatino Linotype" w:eastAsia="Palatino Linotype" w:hAnsi="Palatino Linotype" w:cs="Palatino Linotype"/>
          <w:b/>
          <w:i/>
          <w:sz w:val="22"/>
          <w:szCs w:val="22"/>
        </w:rPr>
        <w:t xml:space="preserve">lo que </w:t>
      </w:r>
      <w:r>
        <w:rPr>
          <w:rFonts w:ascii="Palatino Linotype" w:eastAsia="Palatino Linotype" w:hAnsi="Palatino Linotype" w:cs="Palatino Linotype"/>
          <w:b/>
          <w:i/>
          <w:sz w:val="22"/>
          <w:szCs w:val="22"/>
        </w:rPr>
        <w:lastRenderedPageBreak/>
        <w:t>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eastAsia="Palatino Linotype" w:hAnsi="Palatino Linotype" w:cs="Palatino Linotype"/>
          <w:i/>
          <w:sz w:val="22"/>
          <w:szCs w:val="22"/>
        </w:rPr>
        <w:t xml:space="preserve"> el sistema de compensación …”</w:t>
      </w:r>
    </w:p>
    <w:p w14:paraId="469396DB" w14:textId="77777777" w:rsidR="004F2647" w:rsidRDefault="002D5464">
      <w:pPr>
        <w:spacing w:before="160" w:after="200"/>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69396DC" w14:textId="77777777" w:rsidR="004F2647" w:rsidRDefault="004F2647">
      <w:pPr>
        <w:spacing w:before="160" w:after="200"/>
        <w:ind w:left="709" w:right="709"/>
        <w:jc w:val="both"/>
        <w:rPr>
          <w:rFonts w:ascii="Palatino Linotype" w:eastAsia="Palatino Linotype" w:hAnsi="Palatino Linotype" w:cs="Palatino Linotype"/>
        </w:rPr>
      </w:pPr>
    </w:p>
    <w:p w14:paraId="469396DD"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constreñido a entregar la información solicitada por </w:t>
      </w:r>
      <w:r>
        <w:rPr>
          <w:rFonts w:ascii="Palatino Linotype" w:eastAsia="Palatino Linotype" w:hAnsi="Palatino Linotype" w:cs="Palatino Linotype"/>
          <w:b/>
        </w:rPr>
        <w:t>EL RECURRENTE</w:t>
      </w:r>
      <w:r>
        <w:rPr>
          <w:rFonts w:ascii="Palatino Linotype" w:eastAsia="Palatino Linotype" w:hAnsi="Palatino Linotype" w:cs="Palatino Linotype"/>
        </w:rPr>
        <w:t>, de acuerdo a lo dispuesto por los artículos 3, fracción XI y 12 de la Ley de Transparencia y Acceso a la Información Pública del Estado de México y Municipios, de los cuales se desprende que es información pública la contenida en los documentos que los Sujetos Obligados generen, administren o se encuentre en su posesión en ejercicio de sus atribuciones.</w:t>
      </w:r>
    </w:p>
    <w:p w14:paraId="469396DE" w14:textId="77777777" w:rsidR="004F2647" w:rsidRDefault="004F2647">
      <w:pPr>
        <w:rPr>
          <w:rFonts w:ascii="Palatino Linotype" w:eastAsia="Palatino Linotype" w:hAnsi="Palatino Linotype" w:cs="Palatino Linotype"/>
        </w:rPr>
      </w:pPr>
    </w:p>
    <w:p w14:paraId="469396DF"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Luego entonces, este Órgano Garante determina que para colmar el derecho de acceso a la información del hoy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entregar el documento donde de manera fundada y motivada se conste o se advierta lo respectivo a las remuneraciones del personal de la administración pública municipal dos mil veintidós, dos mil veinticuatro, de uno de noviembre de dos mil veintitrés al treinta y uno de marzo de dos mil veinticuatro. </w:t>
      </w:r>
    </w:p>
    <w:p w14:paraId="469396E0" w14:textId="77777777" w:rsidR="002D5464" w:rsidRDefault="002D5464" w:rsidP="002D5464">
      <w:pPr>
        <w:pStyle w:val="Prrafodelista"/>
        <w:rPr>
          <w:rFonts w:ascii="Palatino Linotype" w:eastAsia="Palatino Linotype" w:hAnsi="Palatino Linotype" w:cs="Palatino Linotype"/>
          <w:color w:val="000000"/>
        </w:rPr>
      </w:pPr>
    </w:p>
    <w:p w14:paraId="469396E1" w14:textId="77777777" w:rsidR="002D5464" w:rsidRPr="00914229" w:rsidRDefault="002D5464">
      <w:pPr>
        <w:numPr>
          <w:ilvl w:val="0"/>
          <w:numId w:val="2"/>
        </w:numPr>
        <w:spacing w:line="360" w:lineRule="auto"/>
        <w:ind w:left="0" w:firstLine="0"/>
        <w:jc w:val="both"/>
        <w:rPr>
          <w:rFonts w:ascii="Palatino Linotype" w:eastAsia="Palatino Linotype" w:hAnsi="Palatino Linotype" w:cs="Palatino Linotype"/>
          <w:color w:val="000000"/>
        </w:rPr>
      </w:pPr>
      <w:r w:rsidRPr="00914229">
        <w:rPr>
          <w:rFonts w:ascii="Palatino Linotype" w:eastAsia="Palatino Linotype" w:hAnsi="Palatino Linotype" w:cs="Palatino Linotype"/>
          <w:color w:val="000000"/>
        </w:rPr>
        <w:t xml:space="preserve">De lo anterior, se debe de señalar que de ser el caso que el Ayuntamiento de Ixtapaluca, no hubiera generado pagos por lista de raya, bastará con que lo haga del conocimiento del </w:t>
      </w:r>
      <w:r w:rsidRPr="00914229">
        <w:rPr>
          <w:rFonts w:ascii="Palatino Linotype" w:eastAsia="Palatino Linotype" w:hAnsi="Palatino Linotype" w:cs="Palatino Linotype"/>
          <w:b/>
          <w:color w:val="000000"/>
        </w:rPr>
        <w:t xml:space="preserve">RECURRENTE </w:t>
      </w:r>
      <w:r w:rsidRPr="00914229">
        <w:rPr>
          <w:rFonts w:ascii="Palatino Linotype" w:eastAsia="Palatino Linotype" w:hAnsi="Palatino Linotype" w:cs="Palatino Linotype"/>
          <w:color w:val="000000"/>
        </w:rPr>
        <w:t xml:space="preserve">de conformidad con el artículo 19 párrafo segundo </w:t>
      </w:r>
      <w:r w:rsidRPr="00914229">
        <w:rPr>
          <w:rFonts w:ascii="Palatino Linotype" w:eastAsia="Palatino Linotype" w:hAnsi="Palatino Linotype" w:cs="Palatino Linotype"/>
          <w:color w:val="000000"/>
        </w:rPr>
        <w:lastRenderedPageBreak/>
        <w:t xml:space="preserve">de la Ley de Transparencia y Acceso a la Información Pública del Estado de México y Municipios. </w:t>
      </w:r>
    </w:p>
    <w:p w14:paraId="469396E2" w14:textId="77777777" w:rsidR="004F2647" w:rsidRDefault="004F2647">
      <w:pPr>
        <w:spacing w:line="360" w:lineRule="auto"/>
        <w:jc w:val="both"/>
        <w:rPr>
          <w:rFonts w:ascii="Palatino Linotype" w:eastAsia="Palatino Linotype" w:hAnsi="Palatino Linotype" w:cs="Palatino Linotype"/>
          <w:i/>
        </w:rPr>
      </w:pPr>
    </w:p>
    <w:p w14:paraId="469396E3"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en el caso de </w:t>
      </w:r>
      <w:r>
        <w:rPr>
          <w:rFonts w:ascii="Palatino Linotype" w:eastAsia="Palatino Linotype" w:hAnsi="Palatino Linotype" w:cs="Palatino Linotype"/>
          <w:b/>
        </w:rPr>
        <w:t>recibos de nómina</w:t>
      </w:r>
      <w:r>
        <w:rPr>
          <w:rFonts w:ascii="Palatino Linotype" w:eastAsia="Palatino Linotype" w:hAnsi="Palatino Linotype" w:cs="Palatino Linotype"/>
        </w:rPr>
        <w:t xml:space="preserve"> </w:t>
      </w:r>
      <w:r>
        <w:rPr>
          <w:rFonts w:ascii="Palatino Linotype" w:eastAsia="Palatino Linotype" w:hAnsi="Palatino Linotype" w:cs="Palatino Linotype"/>
          <w:b/>
        </w:rPr>
        <w:t>o comprobantes fiscales</w:t>
      </w:r>
      <w:r>
        <w:rPr>
          <w:rFonts w:ascii="Palatino Linotype" w:eastAsia="Palatino Linotype" w:hAnsi="Palatino Linotype" w:cs="Palatino Linotype"/>
        </w:rPr>
        <w:t xml:space="preserve"> que entregue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para satisfacer el derecho de acceso a la información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deberá analizar los datos personales susceptibles de ser </w:t>
      </w:r>
      <w:r>
        <w:rPr>
          <w:rFonts w:ascii="Palatino Linotype" w:eastAsia="Palatino Linotype" w:hAnsi="Palatino Linotype" w:cs="Palatino Linotype"/>
          <w:b/>
        </w:rPr>
        <w:t>clasificados como confidenciales</w:t>
      </w:r>
      <w:r>
        <w:rPr>
          <w:rFonts w:ascii="Palatino Linotype" w:eastAsia="Palatino Linotype" w:hAnsi="Palatino Linotype" w:cs="Palatino Linotype"/>
        </w:rPr>
        <w:t>.</w:t>
      </w:r>
    </w:p>
    <w:p w14:paraId="469396E4"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6E5"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En el caso específico, los recibos de nómina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y </w:t>
      </w:r>
      <w:r>
        <w:rPr>
          <w:rFonts w:ascii="Palatino Linotype" w:eastAsia="Palatino Linotype" w:hAnsi="Palatino Linotype" w:cs="Palatino Linotype"/>
          <w:b/>
        </w:rPr>
        <w:t>los descuentos y claves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469396E6" w14:textId="77777777" w:rsidR="004F2647" w:rsidRDefault="004F2647">
      <w:pPr>
        <w:pBdr>
          <w:top w:val="nil"/>
          <w:left w:val="nil"/>
          <w:bottom w:val="nil"/>
          <w:right w:val="nil"/>
          <w:between w:val="nil"/>
        </w:pBdr>
        <w:spacing w:line="360" w:lineRule="auto"/>
        <w:ind w:left="720" w:right="-929"/>
        <w:rPr>
          <w:rFonts w:ascii="Palatino Linotype" w:eastAsia="Palatino Linotype" w:hAnsi="Palatino Linotype" w:cs="Palatino Linotype"/>
          <w:color w:val="000000"/>
        </w:rPr>
      </w:pPr>
    </w:p>
    <w:p w14:paraId="469396E7"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w:t>
      </w:r>
      <w:r>
        <w:rPr>
          <w:rFonts w:ascii="Palatino Linotype" w:eastAsia="Palatino Linotype" w:hAnsi="Palatino Linotype" w:cs="Palatino Linotype"/>
        </w:rPr>
        <w:lastRenderedPageBreak/>
        <w:t xml:space="preserve">finalmente la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469396E8" w14:textId="77777777" w:rsidR="004F2647" w:rsidRDefault="004F2647">
      <w:pPr>
        <w:pBdr>
          <w:top w:val="nil"/>
          <w:left w:val="nil"/>
          <w:bottom w:val="nil"/>
          <w:right w:val="nil"/>
          <w:between w:val="nil"/>
        </w:pBdr>
        <w:spacing w:line="360" w:lineRule="auto"/>
        <w:ind w:left="720" w:right="-929"/>
        <w:rPr>
          <w:rFonts w:ascii="Palatino Linotype" w:eastAsia="Palatino Linotype" w:hAnsi="Palatino Linotype" w:cs="Palatino Linotype"/>
          <w:color w:val="000000"/>
        </w:rPr>
      </w:pPr>
    </w:p>
    <w:p w14:paraId="469396E9"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69396EA" w14:textId="77777777" w:rsidR="004F2647" w:rsidRDefault="004F2647">
      <w:pPr>
        <w:pBdr>
          <w:top w:val="nil"/>
          <w:left w:val="nil"/>
          <w:bottom w:val="nil"/>
          <w:right w:val="nil"/>
          <w:between w:val="nil"/>
        </w:pBdr>
        <w:spacing w:line="360" w:lineRule="auto"/>
        <w:ind w:left="720" w:right="-929"/>
        <w:rPr>
          <w:rFonts w:ascii="Palatino Linotype" w:eastAsia="Palatino Linotype" w:hAnsi="Palatino Linotype" w:cs="Palatino Linotype"/>
          <w:color w:val="000000"/>
        </w:rPr>
      </w:pPr>
    </w:p>
    <w:p w14:paraId="469396EB"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highlight w:val="white"/>
        </w:rPr>
        <w:t xml:space="preserve">19/17, </w:t>
      </w:r>
      <w:r>
        <w:rPr>
          <w:rFonts w:ascii="Palatino Linotype" w:eastAsia="Palatino Linotype" w:hAnsi="Palatino Linotype" w:cs="Palatino Linotype"/>
        </w:rPr>
        <w:t>el cual es del tenor literal siguiente:</w:t>
      </w:r>
    </w:p>
    <w:p w14:paraId="469396EC"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469396ED" w14:textId="77777777" w:rsidR="004F2647" w:rsidRDefault="004F2647">
      <w:pPr>
        <w:ind w:left="567" w:right="900"/>
        <w:jc w:val="both"/>
        <w:rPr>
          <w:rFonts w:ascii="Palatino Linotype" w:eastAsia="Palatino Linotype" w:hAnsi="Palatino Linotype" w:cs="Palatino Linotype"/>
          <w:i/>
        </w:rPr>
      </w:pPr>
    </w:p>
    <w:p w14:paraId="469396EE"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469396EF" w14:textId="77777777" w:rsidR="004F2647" w:rsidRDefault="004F2647">
      <w:pPr>
        <w:spacing w:line="360" w:lineRule="auto"/>
        <w:ind w:right="-929"/>
        <w:jc w:val="both"/>
        <w:rPr>
          <w:rFonts w:ascii="Palatino Linotype" w:eastAsia="Palatino Linotype" w:hAnsi="Palatino Linotype" w:cs="Palatino Linotype"/>
        </w:rPr>
      </w:pPr>
    </w:p>
    <w:p w14:paraId="469396F0"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 igual manera la </w:t>
      </w:r>
      <w:r>
        <w:rPr>
          <w:rFonts w:ascii="Palatino Linotype" w:eastAsia="Palatino Linotype" w:hAnsi="Palatino Linotype" w:cs="Palatino Linotype"/>
          <w:b/>
        </w:rPr>
        <w:t>Clave Única de Registro de Población (CURP)</w:t>
      </w:r>
      <w:r>
        <w:rPr>
          <w:rFonts w:ascii="Palatino Linotype" w:eastAsia="Palatino Linotype" w:hAnsi="Palatino Linotype" w:cs="Palatino Linotype"/>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469396F1" w14:textId="77777777" w:rsidR="004F2647" w:rsidRDefault="004F2647">
      <w:pPr>
        <w:pBdr>
          <w:top w:val="nil"/>
          <w:left w:val="nil"/>
          <w:bottom w:val="nil"/>
          <w:right w:val="nil"/>
          <w:between w:val="nil"/>
        </w:pBdr>
        <w:spacing w:line="360" w:lineRule="auto"/>
        <w:ind w:left="720" w:right="-929"/>
        <w:rPr>
          <w:rFonts w:ascii="Palatino Linotype" w:eastAsia="Palatino Linotype" w:hAnsi="Palatino Linotype" w:cs="Palatino Linotype"/>
          <w:color w:val="000000"/>
        </w:rPr>
      </w:pPr>
    </w:p>
    <w:p w14:paraId="469396F2"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es compartido por el Instituto </w:t>
      </w:r>
      <w:r>
        <w:rPr>
          <w:rFonts w:ascii="Palatino Linotype" w:eastAsia="Palatino Linotype" w:hAnsi="Palatino Linotype" w:cs="Palatino Linotype"/>
          <w:highlight w:val="white"/>
        </w:rPr>
        <w:t xml:space="preserve">Nacional de Transparencia, Acceso a la </w:t>
      </w:r>
      <w:r>
        <w:rPr>
          <w:rFonts w:ascii="Palatino Linotype" w:eastAsia="Palatino Linotype" w:hAnsi="Palatino Linotype" w:cs="Palatino Linotype"/>
        </w:rPr>
        <w:t>Información</w:t>
      </w:r>
      <w:r>
        <w:rPr>
          <w:rFonts w:ascii="Palatino Linotype" w:eastAsia="Palatino Linotype" w:hAnsi="Palatino Linotype" w:cs="Palatino Linotype"/>
          <w:highlight w:val="white"/>
        </w:rPr>
        <w:t xml:space="preserve"> y Protección de Datos Personales,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18/17, el cual refiere: </w:t>
      </w:r>
    </w:p>
    <w:p w14:paraId="469396F3" w14:textId="77777777" w:rsidR="004F2647" w:rsidRDefault="002D5464">
      <w:pPr>
        <w:ind w:left="1134" w:right="33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“Clave Única de Registro de Población (CURP). </w:t>
      </w:r>
      <w:r>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69396F4" w14:textId="77777777" w:rsidR="004F2647" w:rsidRDefault="004F2647">
      <w:pPr>
        <w:ind w:left="851" w:right="333"/>
        <w:jc w:val="both"/>
        <w:rPr>
          <w:rFonts w:ascii="Palatino Linotype" w:eastAsia="Palatino Linotype" w:hAnsi="Palatino Linotype" w:cs="Palatino Linotype"/>
          <w:i/>
        </w:rPr>
      </w:pPr>
    </w:p>
    <w:p w14:paraId="469396F5"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r>
        <w:rPr>
          <w:rFonts w:ascii="Palatino Linotype" w:eastAsia="Palatino Linotype" w:hAnsi="Palatino Linotype" w:cs="Palatino Linotype"/>
          <w:b/>
        </w:rPr>
        <w:t xml:space="preserve">Clave de cualquier tipo de seguridad social (ISSEMyM, u otros), </w:t>
      </w:r>
      <w:r>
        <w:rPr>
          <w:rFonts w:ascii="Palatino Linotype" w:eastAsia="Palatino Linotype" w:hAnsi="Palatino Linotype" w:cs="Palatino Linotype"/>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w:t>
      </w:r>
      <w:r>
        <w:rPr>
          <w:rFonts w:ascii="Palatino Linotype" w:eastAsia="Palatino Linotype" w:hAnsi="Palatino Linotype" w:cs="Palatino Linotype"/>
        </w:rPr>
        <w:lastRenderedPageBreak/>
        <w:t>Transparencia y Acceso a la Información Pública del Estado de México y Municipios y 4, fracción XI de la Ley de Protección de Datos Personales en Posesión de Sujetos Obligados del Estado de México y Municipios.</w:t>
      </w:r>
    </w:p>
    <w:p w14:paraId="469396F6"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469396F7" w14:textId="77777777" w:rsidR="004F2647" w:rsidRDefault="004F2647">
      <w:pPr>
        <w:spacing w:line="360" w:lineRule="auto"/>
        <w:ind w:right="-929"/>
        <w:jc w:val="both"/>
        <w:rPr>
          <w:rFonts w:ascii="Palatino Linotype" w:eastAsia="Palatino Linotype" w:hAnsi="Palatino Linotype" w:cs="Palatino Linotype"/>
        </w:rPr>
      </w:pPr>
    </w:p>
    <w:p w14:paraId="469396F8"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469396F9" w14:textId="77777777" w:rsidR="004F2647" w:rsidRDefault="004F2647">
      <w:pPr>
        <w:spacing w:line="360" w:lineRule="auto"/>
        <w:ind w:right="-929"/>
        <w:jc w:val="both"/>
        <w:rPr>
          <w:rFonts w:ascii="Palatino Linotype" w:eastAsia="Palatino Linotype" w:hAnsi="Palatino Linotype" w:cs="Palatino Linotype"/>
        </w:rPr>
      </w:pPr>
    </w:p>
    <w:p w14:paraId="469396FA"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w:t>
      </w:r>
      <w:r>
        <w:rPr>
          <w:rFonts w:ascii="Palatino Linotype" w:eastAsia="Palatino Linotype" w:hAnsi="Palatino Linotype" w:cs="Palatino Linotype"/>
        </w:rPr>
        <w:lastRenderedPageBreak/>
        <w:t>públicas que se elaboren, toda vez que actualiza el supuesto de confidencialidad del artículo 143, fracción I de la Ley de Transparencia y Acceso a la Información Pública del Estado de México y Municipios.</w:t>
      </w:r>
    </w:p>
    <w:p w14:paraId="469396FB"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 los </w:t>
      </w:r>
      <w:r>
        <w:rPr>
          <w:rFonts w:ascii="Palatino Linotype" w:eastAsia="Palatino Linotype" w:hAnsi="Palatino Linotype" w:cs="Palatino Linotype"/>
          <w:b/>
        </w:rPr>
        <w:t>préstamos o descuentos</w:t>
      </w:r>
      <w:r>
        <w:rPr>
          <w:rFonts w:ascii="Palatino Linotype" w:eastAsia="Palatino Linotype" w:hAnsi="Palatino Linotype" w:cs="Palatino Linotype"/>
        </w:rPr>
        <w:t xml:space="preserve"> </w:t>
      </w:r>
      <w:r>
        <w:rPr>
          <w:rFonts w:ascii="Palatino Linotype" w:eastAsia="Palatino Linotype" w:hAnsi="Palatino Linotype" w:cs="Palatino Linotype"/>
          <w:b/>
        </w:rPr>
        <w:t>de carácter personal</w:t>
      </w:r>
      <w:r>
        <w:rPr>
          <w:rFonts w:ascii="Palatino Linotype" w:eastAsia="Palatino Linotype" w:hAnsi="Palatino Linotype" w:cs="Palatino Linotype"/>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violentaba la protección de información confidencial, porque incide en la intimidad de un individuo identificado.</w:t>
      </w:r>
    </w:p>
    <w:p w14:paraId="469396FC" w14:textId="77777777" w:rsidR="004F2647" w:rsidRDefault="004F2647">
      <w:pPr>
        <w:pBdr>
          <w:top w:val="nil"/>
          <w:left w:val="nil"/>
          <w:bottom w:val="nil"/>
          <w:right w:val="nil"/>
          <w:between w:val="nil"/>
        </w:pBdr>
        <w:spacing w:line="360" w:lineRule="auto"/>
        <w:ind w:right="-929"/>
        <w:jc w:val="both"/>
        <w:rPr>
          <w:rFonts w:ascii="Palatino Linotype" w:eastAsia="Palatino Linotype" w:hAnsi="Palatino Linotype" w:cs="Palatino Linotype"/>
        </w:rPr>
      </w:pPr>
    </w:p>
    <w:p w14:paraId="469396FD"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 su parte, el artículo 84 de la Ley del Trabajo de los Servidores Públicos del Estado y Municipios, señala:</w:t>
      </w:r>
    </w:p>
    <w:p w14:paraId="469396FE"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469396FF"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 Gravámenes fiscales relacionados con el sueldo;</w:t>
      </w:r>
    </w:p>
    <w:p w14:paraId="46939700"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 Deudas contraídas con las instituciones públicas o dependencias</w:t>
      </w:r>
      <w:r>
        <w:rPr>
          <w:rFonts w:ascii="Palatino Linotype" w:eastAsia="Palatino Linotype" w:hAnsi="Palatino Linotype" w:cs="Palatino Linotype"/>
          <w:i/>
          <w:sz w:val="22"/>
          <w:szCs w:val="22"/>
        </w:rPr>
        <w:t xml:space="preserve"> por concepto de anticipos de sueldo, pagos hechos con exceso, errores o pérdidas debidamente comprobados;</w:t>
      </w:r>
    </w:p>
    <w:p w14:paraId="46939701"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III. Cuotas sindicales</w:t>
      </w:r>
      <w:r>
        <w:rPr>
          <w:rFonts w:ascii="Palatino Linotype" w:eastAsia="Palatino Linotype" w:hAnsi="Palatino Linotype" w:cs="Palatino Linotype"/>
          <w:i/>
          <w:sz w:val="22"/>
          <w:szCs w:val="22"/>
        </w:rPr>
        <w:t>;</w:t>
      </w:r>
    </w:p>
    <w:p w14:paraId="46939702"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46939703"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46939704"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 Obligaciones a cargo del servidor público con las que haya consentido</w:t>
      </w:r>
      <w:r>
        <w:rPr>
          <w:rFonts w:ascii="Palatino Linotype" w:eastAsia="Palatino Linotype" w:hAnsi="Palatino Linotype" w:cs="Palatino Linotype"/>
          <w:i/>
          <w:sz w:val="22"/>
          <w:szCs w:val="22"/>
        </w:rPr>
        <w:t>, derivadas de la adquisición o del uso de habitaciones consideradas como de interés social;</w:t>
      </w:r>
    </w:p>
    <w:p w14:paraId="46939705"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VII. Faltas de puntualidad o de asistencia injustificadas;</w:t>
      </w:r>
    </w:p>
    <w:p w14:paraId="46939706"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VIII. Pensiones alimenticias ordenadas por la autoridad judicial;</w:t>
      </w:r>
      <w:r>
        <w:rPr>
          <w:rFonts w:ascii="Palatino Linotype" w:eastAsia="Palatino Linotype" w:hAnsi="Palatino Linotype" w:cs="Palatino Linotype"/>
          <w:i/>
          <w:sz w:val="22"/>
          <w:szCs w:val="22"/>
        </w:rPr>
        <w:t xml:space="preserve"> o</w:t>
      </w:r>
    </w:p>
    <w:p w14:paraId="46939707"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IX. Cualquier otro convenido con instituciones de servicios y aceptado por el servidor público.</w:t>
      </w:r>
    </w:p>
    <w:p w14:paraId="46939708"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46939709" w14:textId="77777777" w:rsidR="004F2647" w:rsidRDefault="002D5464">
      <w:pPr>
        <w:ind w:left="1134"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4693970A" w14:textId="77777777" w:rsidR="004F2647" w:rsidRDefault="004F2647">
      <w:pPr>
        <w:spacing w:line="360" w:lineRule="auto"/>
        <w:ind w:left="851" w:right="-929"/>
        <w:jc w:val="both"/>
        <w:rPr>
          <w:rFonts w:ascii="Palatino Linotype" w:eastAsia="Palatino Linotype" w:hAnsi="Palatino Linotype" w:cs="Palatino Linotype"/>
        </w:rPr>
      </w:pPr>
    </w:p>
    <w:p w14:paraId="4693970B"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ley establece claramente cuáles son esos descuentos o gravámenes que directamente se relacionan con las obligaciones adquiridas como servidores públicos y aquéllos que </w:t>
      </w:r>
      <w:r>
        <w:rPr>
          <w:rFonts w:ascii="Palatino Linotype" w:eastAsia="Palatino Linotype" w:hAnsi="Palatino Linotype" w:cs="Palatino Linotype"/>
          <w:b/>
        </w:rPr>
        <w:t>únicamente inciden en su vida privada</w:t>
      </w:r>
      <w:r>
        <w:rPr>
          <w:rFonts w:ascii="Palatino Linotype" w:eastAsia="Palatino Linotype" w:hAnsi="Palatino Linotype" w:cs="Palatino Linotype"/>
        </w:rPr>
        <w:t>. De este modo, descuentos por pensiones alimenticias o créditos adquiridos con instituciones privadas o públicas pero que fueron contraídas en forma individual, son información que debe clasificarse como confidencial.</w:t>
      </w:r>
    </w:p>
    <w:p w14:paraId="4693970C" w14:textId="77777777" w:rsidR="004F2647" w:rsidRDefault="004F2647">
      <w:pPr>
        <w:spacing w:line="360" w:lineRule="auto"/>
        <w:ind w:right="-929"/>
        <w:jc w:val="both"/>
        <w:rPr>
          <w:rFonts w:ascii="Palatino Linotype" w:eastAsia="Palatino Linotype" w:hAnsi="Palatino Linotype" w:cs="Palatino Linotype"/>
        </w:rPr>
      </w:pPr>
    </w:p>
    <w:p w14:paraId="4693970D"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4693970E" w14:textId="77777777" w:rsidR="004F2647" w:rsidRDefault="004F2647">
      <w:pPr>
        <w:pBdr>
          <w:top w:val="nil"/>
          <w:left w:val="nil"/>
          <w:bottom w:val="nil"/>
          <w:right w:val="nil"/>
          <w:between w:val="nil"/>
        </w:pBdr>
        <w:spacing w:line="360" w:lineRule="auto"/>
        <w:ind w:left="360" w:right="-929"/>
        <w:jc w:val="both"/>
        <w:rPr>
          <w:rFonts w:ascii="Palatino Linotype" w:eastAsia="Palatino Linotype" w:hAnsi="Palatino Linotype" w:cs="Palatino Linotype"/>
        </w:rPr>
      </w:pPr>
    </w:p>
    <w:p w14:paraId="4693970F"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Sirven de sustento a lo anterior, las tesis jurisprudenciales </w:t>
      </w:r>
      <w:r>
        <w:rPr>
          <w:rFonts w:ascii="Palatino Linotype" w:eastAsia="Palatino Linotype" w:hAnsi="Palatino Linotype" w:cs="Palatino Linotype"/>
          <w:i/>
        </w:rPr>
        <w:t xml:space="preserve">P. LX/2000 </w:t>
      </w:r>
      <w:r>
        <w:rPr>
          <w:rFonts w:ascii="Palatino Linotype" w:eastAsia="Palatino Linotype" w:hAnsi="Palatino Linotype" w:cs="Palatino Linotype"/>
        </w:rPr>
        <w:t xml:space="preserve">y </w:t>
      </w:r>
      <w:r>
        <w:rPr>
          <w:rFonts w:ascii="Palatino Linotype" w:eastAsia="Palatino Linotype" w:hAnsi="Palatino Linotype" w:cs="Palatino Linotype"/>
          <w:i/>
        </w:rPr>
        <w:t>2a. XLIII/2008</w:t>
      </w:r>
      <w:r>
        <w:rPr>
          <w:rFonts w:ascii="Palatino Linotype" w:eastAsia="Palatino Linotype" w:hAnsi="Palatino Linotype" w:cs="Palatino Linotype"/>
          <w:b/>
        </w:rPr>
        <w:t xml:space="preserve"> </w:t>
      </w:r>
      <w:r>
        <w:rPr>
          <w:rFonts w:ascii="Palatino Linotype" w:eastAsia="Palatino Linotype" w:hAnsi="Palatino Linotype" w:cs="Palatino Linotype"/>
        </w:rPr>
        <w:t>emitidas por el Peno y la Segunda Sala de la Suprema Corte de Justicia de la Nación, respectivamente, que son del tenor literal siguiente:</w:t>
      </w:r>
    </w:p>
    <w:p w14:paraId="46939710"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46939711" w14:textId="77777777" w:rsidR="004F2647" w:rsidRDefault="004F2647">
      <w:pPr>
        <w:ind w:left="1134" w:right="900"/>
        <w:jc w:val="both"/>
        <w:rPr>
          <w:rFonts w:ascii="Palatino Linotype" w:eastAsia="Palatino Linotype" w:hAnsi="Palatino Linotype" w:cs="Palatino Linotype"/>
          <w:i/>
          <w:sz w:val="22"/>
          <w:szCs w:val="22"/>
        </w:rPr>
      </w:pPr>
    </w:p>
    <w:p w14:paraId="46939712"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sz w:val="22"/>
          <w:szCs w:val="22"/>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w:t>
      </w:r>
      <w:r>
        <w:rPr>
          <w:rFonts w:ascii="Palatino Linotype" w:eastAsia="Palatino Linotype" w:hAnsi="Palatino Linotype" w:cs="Palatino Linotype"/>
          <w:i/>
          <w:sz w:val="22"/>
          <w:szCs w:val="22"/>
        </w:rPr>
        <w:lastRenderedPageBreak/>
        <w:t xml:space="preserve">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46939713" w14:textId="77777777" w:rsidR="004F2647" w:rsidRDefault="004F2647">
      <w:pPr>
        <w:ind w:left="1134" w:right="-929"/>
        <w:jc w:val="both"/>
        <w:rPr>
          <w:rFonts w:ascii="Palatino Linotype" w:eastAsia="Palatino Linotype" w:hAnsi="Palatino Linotype" w:cs="Palatino Linotype"/>
          <w:i/>
        </w:rPr>
      </w:pPr>
    </w:p>
    <w:p w14:paraId="46939714"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También,</w:t>
      </w:r>
      <w:r>
        <w:rPr>
          <w:rFonts w:ascii="Palatino Linotype" w:eastAsia="Palatino Linotype" w:hAnsi="Palatino Linotype" w:cs="Palatino Linotype"/>
          <w:b/>
        </w:rPr>
        <w:t xml:space="preserve"> el número de cuenta bancario</w:t>
      </w:r>
      <w:r>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14:paraId="46939715" w14:textId="77777777" w:rsidR="004F2647" w:rsidRDefault="002D5464">
      <w:pPr>
        <w:shd w:val="clear" w:color="auto" w:fill="FFFFFF"/>
        <w:ind w:left="1134" w:right="104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Cuentas bancarias y/o CLABE interbancaria de personas físicas y morales privadas.</w:t>
      </w:r>
      <w:r>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sz w:val="22"/>
          <w:szCs w:val="22"/>
        </w:rPr>
        <w:t>.”</w:t>
      </w:r>
    </w:p>
    <w:p w14:paraId="46939716" w14:textId="77777777" w:rsidR="004F2647" w:rsidRDefault="004F2647">
      <w:pPr>
        <w:ind w:left="1134" w:right="-929"/>
        <w:jc w:val="both"/>
        <w:rPr>
          <w:rFonts w:ascii="Palatino Linotype" w:eastAsia="Palatino Linotype" w:hAnsi="Palatino Linotype" w:cs="Palatino Linotype"/>
        </w:rPr>
      </w:pPr>
    </w:p>
    <w:p w14:paraId="46939717"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w:t>
      </w:r>
      <w:r>
        <w:rPr>
          <w:rFonts w:ascii="Palatino Linotype" w:eastAsia="Palatino Linotype" w:hAnsi="Palatino Linotype" w:cs="Palatino Linotype"/>
        </w:rPr>
        <w:lastRenderedPageBreak/>
        <w:t>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46939718" w14:textId="77777777" w:rsidR="004F2647" w:rsidRDefault="004F2647">
      <w:pPr>
        <w:spacing w:line="360" w:lineRule="auto"/>
        <w:ind w:right="-929"/>
        <w:jc w:val="both"/>
        <w:rPr>
          <w:rFonts w:ascii="Palatino Linotype" w:eastAsia="Palatino Linotype" w:hAnsi="Palatino Linotype" w:cs="Palatino Linotype"/>
        </w:rPr>
      </w:pPr>
    </w:p>
    <w:p w14:paraId="46939719"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Código de barras bidimensional (QR)</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rPr>
        <w:t xml:space="preserve">QR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 xml:space="preserve"> (Quick Response </w:t>
      </w:r>
      <w:proofErr w:type="spellStart"/>
      <w:r>
        <w:rPr>
          <w:rFonts w:ascii="Palatino Linotype" w:eastAsia="Palatino Linotype" w:hAnsi="Palatino Linotype" w:cs="Palatino Linotype"/>
          <w:i/>
        </w:rPr>
        <w:t>Code</w:t>
      </w:r>
      <w:proofErr w:type="spellEnd"/>
      <w:r>
        <w:rPr>
          <w:rFonts w:ascii="Palatino Linotype" w:eastAsia="Palatino Linotype" w:hAnsi="Palatino Linotype" w:cs="Palatino Linotype"/>
          <w:i/>
        </w:rPr>
        <w:t>)</w:t>
      </w:r>
      <w:r>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7">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rPr>
        <w:t>Sujeto Obligado</w:t>
      </w:r>
      <w:r>
        <w:rPr>
          <w:rFonts w:ascii="Palatino Linotype" w:eastAsia="Palatino Linotype" w:hAnsi="Palatino Linotype" w:cs="Palatino Linotype"/>
        </w:rPr>
        <w:t>, como de la persona física o moral correspondiente.</w:t>
      </w:r>
    </w:p>
    <w:p w14:paraId="4693971A" w14:textId="77777777" w:rsidR="004F2647" w:rsidRDefault="004F2647">
      <w:pPr>
        <w:spacing w:line="360" w:lineRule="auto"/>
        <w:ind w:right="-929"/>
        <w:jc w:val="both"/>
        <w:rPr>
          <w:rFonts w:ascii="Palatino Linotype" w:eastAsia="Palatino Linotype" w:hAnsi="Palatino Linotype" w:cs="Palatino Linotype"/>
        </w:rPr>
      </w:pPr>
    </w:p>
    <w:p w14:paraId="4693971B"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4693971C" w14:textId="77777777" w:rsidR="004F2647" w:rsidRDefault="004F2647">
      <w:pPr>
        <w:pBdr>
          <w:top w:val="nil"/>
          <w:left w:val="nil"/>
          <w:bottom w:val="nil"/>
          <w:right w:val="nil"/>
          <w:between w:val="nil"/>
        </w:pBdr>
        <w:spacing w:line="360" w:lineRule="auto"/>
        <w:ind w:left="720" w:right="-929"/>
        <w:rPr>
          <w:rFonts w:ascii="Palatino Linotype" w:eastAsia="Palatino Linotype" w:hAnsi="Palatino Linotype" w:cs="Palatino Linotype"/>
          <w:color w:val="000000"/>
        </w:rPr>
      </w:pPr>
    </w:p>
    <w:p w14:paraId="4693971D"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222222"/>
        </w:rPr>
      </w:pPr>
      <w:r>
        <w:rPr>
          <w:rFonts w:ascii="Palatino Linotype" w:eastAsia="Palatino Linotype" w:hAnsi="Palatino Linotype" w:cs="Palatino Linotype"/>
        </w:rPr>
        <w:lastRenderedPageBreak/>
        <w:t>Por</w:t>
      </w:r>
      <w:r>
        <w:rPr>
          <w:rFonts w:ascii="Palatino Linotype" w:eastAsia="Palatino Linotype" w:hAnsi="Palatino Linotype" w:cs="Palatino Linotype"/>
          <w:color w:val="222222"/>
        </w:rPr>
        <w:t xml:space="preserve"> otra parte y respecto a</w:t>
      </w:r>
      <w:r>
        <w:rPr>
          <w:rFonts w:ascii="Palatino Linotype" w:eastAsia="Palatino Linotype" w:hAnsi="Palatino Linotype" w:cs="Palatino Linotype"/>
          <w:b/>
          <w:color w:val="222222"/>
        </w:rPr>
        <w:t xml:space="preserve"> la clave de seguridad social y en su caso clave o número del servidor público –trabajador-,</w:t>
      </w:r>
      <w:r>
        <w:rPr>
          <w:rFonts w:ascii="Palatino Linotype" w:eastAsia="Palatino Linotype" w:hAnsi="Palatino Linotype" w:cs="Palatino Linotype"/>
          <w:color w:val="222222"/>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4693971E" w14:textId="77777777" w:rsidR="004F2647" w:rsidRDefault="002D5464">
      <w:pPr>
        <w:shd w:val="clear" w:color="auto" w:fill="FFFFFF"/>
        <w:ind w:left="1134" w:right="900"/>
        <w:jc w:val="both"/>
        <w:rPr>
          <w:rFonts w:ascii="Palatino Linotype" w:eastAsia="Palatino Linotype" w:hAnsi="Palatino Linotype" w:cs="Palatino Linotype"/>
          <w:i/>
          <w:color w:val="222222"/>
          <w:sz w:val="22"/>
          <w:szCs w:val="22"/>
        </w:rPr>
      </w:pPr>
      <w:r>
        <w:rPr>
          <w:rFonts w:ascii="Palatino Linotype" w:eastAsia="Palatino Linotype" w:hAnsi="Palatino Linotype" w:cs="Palatino Linotype"/>
          <w:b/>
          <w:i/>
          <w:color w:val="222222"/>
          <w:sz w:val="22"/>
          <w:szCs w:val="22"/>
        </w:rPr>
        <w:t>“El número de ficha de identificación única de los trabajadores es información de carácter confidencial.</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sz w:val="22"/>
          <w:szCs w:val="22"/>
        </w:rPr>
        <w:t>, </w:t>
      </w:r>
      <w:r>
        <w:rPr>
          <w:rFonts w:ascii="Palatino Linotype" w:eastAsia="Palatino Linotype" w:hAnsi="Palatino Linotype" w:cs="Palatino Linotype"/>
          <w:i/>
          <w:color w:val="222222"/>
          <w:sz w:val="22"/>
          <w:szCs w:val="22"/>
          <w:u w:val="single"/>
        </w:rPr>
        <w:t>dicha información es susceptible de clasificarse con el carácter de confidencial</w:t>
      </w:r>
      <w:r>
        <w:rPr>
          <w:rFonts w:ascii="Palatino Linotype" w:eastAsia="Palatino Linotype" w:hAnsi="Palatino Linotype" w:cs="Palatino Linotype"/>
          <w:i/>
          <w:color w:val="222222"/>
          <w:sz w:val="22"/>
          <w:szCs w:val="22"/>
        </w:rPr>
        <w:t>, en términos de lo establecido en el artículo 18, fracción II de la Ley Federal de Transparencia y Acceso a la Información Pública Gubernamental, en virtud de que a través de la misma es posible conocer información personal de su titular.”</w:t>
      </w:r>
    </w:p>
    <w:p w14:paraId="4693971F" w14:textId="77777777" w:rsidR="004F2647" w:rsidRDefault="004F2647">
      <w:pPr>
        <w:shd w:val="clear" w:color="auto" w:fill="FFFFFF"/>
        <w:ind w:left="1134" w:right="-929"/>
        <w:jc w:val="both"/>
        <w:rPr>
          <w:rFonts w:ascii="Palatino Linotype" w:eastAsia="Palatino Linotype" w:hAnsi="Palatino Linotype" w:cs="Palatino Linotype"/>
          <w:i/>
          <w:color w:val="222222"/>
        </w:rPr>
      </w:pPr>
    </w:p>
    <w:p w14:paraId="46939720"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también es necesario indicar que hay información dentro de los recibos de nómina que no contienen datos personales por lo cual su entrega sólo deberá de ser clasificada, siendo los siguientes. </w:t>
      </w:r>
    </w:p>
    <w:p w14:paraId="46939721" w14:textId="77777777" w:rsidR="004F2647" w:rsidRDefault="004F2647">
      <w:pPr>
        <w:pBdr>
          <w:top w:val="nil"/>
          <w:left w:val="nil"/>
          <w:bottom w:val="nil"/>
          <w:right w:val="nil"/>
          <w:between w:val="nil"/>
        </w:pBdr>
        <w:spacing w:line="360" w:lineRule="auto"/>
        <w:ind w:right="-929"/>
        <w:jc w:val="both"/>
        <w:rPr>
          <w:rFonts w:ascii="Palatino Linotype" w:eastAsia="Palatino Linotype" w:hAnsi="Palatino Linotype" w:cs="Palatino Linotype"/>
        </w:rPr>
      </w:pPr>
    </w:p>
    <w:p w14:paraId="46939722"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Folio Fiscal</w:t>
      </w:r>
      <w:r>
        <w:rPr>
          <w:rFonts w:ascii="Palatino Linotype" w:eastAsia="Palatino Linotype" w:hAnsi="Palatino Linotype" w:cs="Palatino Linotype"/>
        </w:rPr>
        <w:t xml:space="preserve">,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w:t>
      </w:r>
      <w:r>
        <w:rPr>
          <w:rFonts w:ascii="Palatino Linotype" w:eastAsia="Palatino Linotype" w:hAnsi="Palatino Linotype" w:cs="Palatino Linotype"/>
        </w:rPr>
        <w:lastRenderedPageBreak/>
        <w:t>datos de identificación del comprobante fiscal. Es un número consecutivo contenido en los comprobantes fiscales digitales, compuesto por 5 grupos de números y letras separados por guiones, tal como se muestra a continuación:</w:t>
      </w:r>
    </w:p>
    <w:p w14:paraId="46939723" w14:textId="77777777" w:rsidR="004F2647" w:rsidRDefault="004F2647">
      <w:pPr>
        <w:spacing w:line="360" w:lineRule="auto"/>
        <w:ind w:right="-929"/>
        <w:jc w:val="both"/>
        <w:rPr>
          <w:rFonts w:ascii="Palatino Linotype" w:eastAsia="Palatino Linotype" w:hAnsi="Palatino Linotype" w:cs="Palatino Linotype"/>
        </w:rPr>
      </w:pPr>
    </w:p>
    <w:p w14:paraId="46939724" w14:textId="77777777" w:rsidR="004F2647" w:rsidRDefault="002D5464">
      <w:pPr>
        <w:spacing w:line="360" w:lineRule="auto"/>
        <w:ind w:right="-929"/>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469397CF" wp14:editId="469397D0">
            <wp:extent cx="4667250" cy="1181100"/>
            <wp:effectExtent l="0" t="0" r="0" b="0"/>
            <wp:docPr id="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b="32787"/>
                    <a:stretch>
                      <a:fillRect/>
                    </a:stretch>
                  </pic:blipFill>
                  <pic:spPr>
                    <a:xfrm>
                      <a:off x="0" y="0"/>
                      <a:ext cx="4667250" cy="1181100"/>
                    </a:xfrm>
                    <a:prstGeom prst="rect">
                      <a:avLst/>
                    </a:prstGeom>
                    <a:ln/>
                  </pic:spPr>
                </pic:pic>
              </a:graphicData>
            </a:graphic>
          </wp:inline>
        </w:drawing>
      </w:r>
    </w:p>
    <w:p w14:paraId="46939725" w14:textId="77777777" w:rsidR="004F2647" w:rsidRDefault="004F2647">
      <w:pPr>
        <w:spacing w:line="360" w:lineRule="auto"/>
        <w:ind w:right="-929"/>
        <w:jc w:val="both"/>
        <w:rPr>
          <w:rFonts w:ascii="Palatino Linotype" w:eastAsia="Palatino Linotype" w:hAnsi="Palatino Linotype" w:cs="Palatino Linotype"/>
          <w:b/>
          <w:u w:val="single"/>
        </w:rPr>
      </w:pPr>
    </w:p>
    <w:p w14:paraId="46939726"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el folio fiscal, no contiene datos personales del emisor y tampoco se puede obtener información confidencial con el mismo, pues solamente es un identificador del emisor, </w:t>
      </w:r>
      <w:r>
        <w:rPr>
          <w:rFonts w:ascii="Palatino Linotype" w:eastAsia="Palatino Linotype" w:hAnsi="Palatino Linotype" w:cs="Palatino Linotype"/>
          <w:b/>
        </w:rPr>
        <w:t>del</w:t>
      </w:r>
      <w:r>
        <w:rPr>
          <w:rFonts w:ascii="Palatino Linotype" w:eastAsia="Palatino Linotype" w:hAnsi="Palatino Linotype" w:cs="Palatino Linotype"/>
        </w:rPr>
        <w:t xml:space="preserve"> cual su transparencia ayuda a legitimar que el documento cumple con todos los requisitos establecidos en la normatividad aplicable, sin necesidad de algún dato personal, por lo que, </w:t>
      </w:r>
      <w:r>
        <w:rPr>
          <w:rFonts w:ascii="Palatino Linotype" w:eastAsia="Palatino Linotype" w:hAnsi="Palatino Linotype" w:cs="Palatino Linotype"/>
          <w:b/>
        </w:rPr>
        <w:t>no se actualiza la clasificación</w:t>
      </w:r>
      <w:r>
        <w:rPr>
          <w:rFonts w:ascii="Palatino Linotype" w:eastAsia="Palatino Linotype" w:hAnsi="Palatino Linotype" w:cs="Palatino Linotype"/>
        </w:rPr>
        <w:t>, en términos del artículo 143, fracción I de la Ley de la materia.</w:t>
      </w:r>
    </w:p>
    <w:p w14:paraId="46939727" w14:textId="77777777" w:rsidR="004F2647" w:rsidRDefault="004F2647">
      <w:pPr>
        <w:spacing w:line="360" w:lineRule="auto"/>
        <w:ind w:right="-929"/>
        <w:jc w:val="both"/>
        <w:rPr>
          <w:rFonts w:ascii="Palatino Linotype" w:eastAsia="Palatino Linotype" w:hAnsi="Palatino Linotype" w:cs="Palatino Linotype"/>
          <w:b/>
        </w:rPr>
      </w:pPr>
    </w:p>
    <w:p w14:paraId="46939728"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b/>
        </w:rPr>
        <w:t>En esa línea de estudio, las cadenas originales y sellos</w:t>
      </w:r>
      <w:r>
        <w:rPr>
          <w:rFonts w:ascii="Palatino Linotype" w:eastAsia="Palatino Linotype" w:hAnsi="Palatino Linotype" w:cs="Palatino Linotype"/>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46939729"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“Elementos utilizados en la generación de Sellos Digitales:</w:t>
      </w:r>
    </w:p>
    <w:p w14:paraId="4693972A"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i/>
          <w:sz w:val="22"/>
          <w:szCs w:val="22"/>
        </w:rPr>
        <w:tab/>
        <w:t>Cadena Original, el elemento a sellar, en este caso de un comprobante fiscal digital a través de Internet.</w:t>
      </w:r>
    </w:p>
    <w:p w14:paraId="4693972B"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Certificado de Sello Digital y su correspondiente clave privada.</w:t>
      </w:r>
    </w:p>
    <w:p w14:paraId="4693972C"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Algoritmos de criptografía de clave pública para firma electrónica avanzada.</w:t>
      </w:r>
    </w:p>
    <w:p w14:paraId="4693972D"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ab/>
        <w:t>Especificaciones de conversión de la firma electrónica avanzada a Base 64.</w:t>
      </w:r>
    </w:p>
    <w:p w14:paraId="4693972E"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la generación de sellos digitales se utiliza criptografía de clave pública aplicada a una cadena original.</w:t>
      </w:r>
    </w:p>
    <w:p w14:paraId="4693972F" w14:textId="77777777" w:rsidR="004F2647" w:rsidRDefault="004F2647">
      <w:pPr>
        <w:ind w:left="1134" w:right="900"/>
        <w:jc w:val="both"/>
        <w:rPr>
          <w:rFonts w:ascii="Palatino Linotype" w:eastAsia="Palatino Linotype" w:hAnsi="Palatino Linotype" w:cs="Palatino Linotype"/>
          <w:i/>
          <w:sz w:val="22"/>
          <w:szCs w:val="22"/>
        </w:rPr>
      </w:pPr>
    </w:p>
    <w:p w14:paraId="46939730"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Criptografía de la Clave Pública</w:t>
      </w:r>
    </w:p>
    <w:p w14:paraId="46939731" w14:textId="77777777" w:rsidR="004F2647" w:rsidRDefault="002D5464">
      <w:pPr>
        <w:ind w:left="1134"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criptografía de Clave Pública se basa en la generación de una pareja de números muy grandes relacionados íntimamente entre sí, de tal manera que una operación de </w:t>
      </w:r>
      <w:proofErr w:type="spellStart"/>
      <w:r>
        <w:rPr>
          <w:rFonts w:ascii="Palatino Linotype" w:eastAsia="Palatino Linotype" w:hAnsi="Palatino Linotype" w:cs="Palatino Linotype"/>
          <w:i/>
          <w:sz w:val="22"/>
          <w:szCs w:val="22"/>
        </w:rPr>
        <w:t>encripción</w:t>
      </w:r>
      <w:proofErr w:type="spellEnd"/>
      <w:r>
        <w:rPr>
          <w:rFonts w:ascii="Palatino Linotype" w:eastAsia="Palatino Linotype" w:hAnsi="Palatino Linotype" w:cs="Palatino Linotype"/>
          <w:i/>
          <w:sz w:val="22"/>
          <w:szCs w:val="22"/>
        </w:rPr>
        <w:t xml:space="preserve"> sobre un mensaje tomando como clave de </w:t>
      </w:r>
      <w:proofErr w:type="spellStart"/>
      <w:r>
        <w:rPr>
          <w:rFonts w:ascii="Palatino Linotype" w:eastAsia="Palatino Linotype" w:hAnsi="Palatino Linotype" w:cs="Palatino Linotype"/>
          <w:i/>
          <w:sz w:val="22"/>
          <w:szCs w:val="22"/>
        </w:rPr>
        <w:t>encripción</w:t>
      </w:r>
      <w:proofErr w:type="spellEnd"/>
      <w:r>
        <w:rPr>
          <w:rFonts w:ascii="Palatino Linotype" w:eastAsia="Palatino Linotype" w:hAnsi="Palatino Linotype" w:cs="Palatino Linotype"/>
          <w:i/>
          <w:sz w:val="22"/>
          <w:szCs w:val="22"/>
        </w:rPr>
        <w:t xml:space="preserve"> a uno de los dos números, produce un mensaje alterado en su significado que solo puede ser devuelto a su estado original mediante la operación de </w:t>
      </w:r>
      <w:proofErr w:type="spellStart"/>
      <w:r>
        <w:rPr>
          <w:rFonts w:ascii="Palatino Linotype" w:eastAsia="Palatino Linotype" w:hAnsi="Palatino Linotype" w:cs="Palatino Linotype"/>
          <w:i/>
          <w:sz w:val="22"/>
          <w:szCs w:val="22"/>
        </w:rPr>
        <w:t>desencripción</w:t>
      </w:r>
      <w:proofErr w:type="spellEnd"/>
      <w:r>
        <w:rPr>
          <w:rFonts w:ascii="Palatino Linotype" w:eastAsia="Palatino Linotype" w:hAnsi="Palatino Linotype" w:cs="Palatino Linotype"/>
          <w:i/>
          <w:sz w:val="22"/>
          <w:szCs w:val="22"/>
        </w:rPr>
        <w:t xml:space="preserve"> correspondiente tomando como clave de </w:t>
      </w:r>
      <w:proofErr w:type="spellStart"/>
      <w:r>
        <w:rPr>
          <w:rFonts w:ascii="Palatino Linotype" w:eastAsia="Palatino Linotype" w:hAnsi="Palatino Linotype" w:cs="Palatino Linotype"/>
          <w:i/>
          <w:sz w:val="22"/>
          <w:szCs w:val="22"/>
        </w:rPr>
        <w:t>desencripción</w:t>
      </w:r>
      <w:proofErr w:type="spellEnd"/>
      <w:r>
        <w:rPr>
          <w:rFonts w:ascii="Palatino Linotype" w:eastAsia="Palatino Linotype" w:hAnsi="Palatino Linotype" w:cs="Palatino Linotype"/>
          <w:i/>
          <w:sz w:val="22"/>
          <w:szCs w:val="22"/>
        </w:rPr>
        <w:t xml:space="preserve"> al otro número de la pareja.”</w:t>
      </w:r>
    </w:p>
    <w:p w14:paraId="46939732" w14:textId="77777777" w:rsidR="004F2647" w:rsidRDefault="004F2647">
      <w:pPr>
        <w:ind w:right="-929"/>
        <w:jc w:val="both"/>
        <w:rPr>
          <w:rFonts w:ascii="Palatino Linotype" w:eastAsia="Palatino Linotype" w:hAnsi="Palatino Linotype" w:cs="Palatino Linotype"/>
          <w:i/>
        </w:rPr>
      </w:pPr>
    </w:p>
    <w:p w14:paraId="46939733"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decir, por sí solos las cadenas originales y los sellos originales no contienen datos personales confidenciales, por lo que se considera que </w:t>
      </w:r>
      <w:r>
        <w:rPr>
          <w:rFonts w:ascii="Palatino Linotype" w:eastAsia="Palatino Linotype" w:hAnsi="Palatino Linotype" w:cs="Palatino Linotype"/>
          <w:b/>
        </w:rPr>
        <w:t>no actualizan el supuesto de confidencialidad</w:t>
      </w:r>
      <w:r>
        <w:rPr>
          <w:rFonts w:ascii="Palatino Linotype" w:eastAsia="Palatino Linotype" w:hAnsi="Palatino Linotype" w:cs="Palatino Linotype"/>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6939734" w14:textId="77777777" w:rsidR="004F2647" w:rsidRDefault="004F2647">
      <w:pPr>
        <w:spacing w:line="360" w:lineRule="auto"/>
        <w:ind w:right="-929"/>
        <w:jc w:val="both"/>
        <w:rPr>
          <w:rFonts w:ascii="Palatino Linotype" w:eastAsia="Palatino Linotype" w:hAnsi="Palatino Linotype" w:cs="Palatino Linotype"/>
          <w:b/>
        </w:rPr>
      </w:pPr>
    </w:p>
    <w:p w14:paraId="46939735"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por lo que hace </w:t>
      </w:r>
      <w:r>
        <w:rPr>
          <w:rFonts w:ascii="Palatino Linotype" w:eastAsia="Palatino Linotype" w:hAnsi="Palatino Linotype" w:cs="Palatino Linotype"/>
          <w:b/>
        </w:rPr>
        <w:t>al número de serie de los certificados de Sello Digitales del emisor y del Servicio de Administración Tributaria,</w:t>
      </w:r>
      <w:r>
        <w:rPr>
          <w:rFonts w:ascii="Palatino Linotype" w:eastAsia="Palatino Linotype" w:hAnsi="Palatino Linotype" w:cs="Palatino Linotype"/>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w:t>
      </w:r>
      <w:r>
        <w:rPr>
          <w:rFonts w:ascii="Palatino Linotype" w:eastAsia="Palatino Linotype" w:hAnsi="Palatino Linotype" w:cs="Palatino Linotype"/>
        </w:rPr>
        <w:lastRenderedPageBreak/>
        <w:t xml:space="preserve">Nacional electoral (consultado el veinticinco de junio de dos mil diecinueve, a las dieciséis horas con diez minutos, en la página electrónica </w:t>
      </w:r>
      <w:hyperlink r:id="rId19">
        <w:r>
          <w:rPr>
            <w:rFonts w:ascii="Palatino Linotype" w:eastAsia="Palatino Linotype" w:hAnsi="Palatino Linotype" w:cs="Palatino Linotype"/>
            <w:color w:val="0563C1"/>
            <w:u w:val="single"/>
          </w:rPr>
          <w:t>https://portalanterior.ine.mx/archivos2/tutoriales/sistemas/ApoyoInstitucional/SIF/docs/candidatos/folioFiscalFactura.pdf</w:t>
        </w:r>
      </w:hyperlink>
      <w:r>
        <w:rPr>
          <w:rFonts w:ascii="Palatino Linotype" w:eastAsia="Palatino Linotype" w:hAnsi="Palatino Linotype" w:cs="Palatino Linotype"/>
        </w:rPr>
        <w:t>), en la cual se advierte que únicamente se encuentra conformado por números, se muestra a continuación:</w:t>
      </w:r>
    </w:p>
    <w:p w14:paraId="46939736" w14:textId="77777777" w:rsidR="004F2647" w:rsidRDefault="002D5464">
      <w:pPr>
        <w:spacing w:line="360" w:lineRule="auto"/>
        <w:ind w:right="-929"/>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469397D1" wp14:editId="469397D2">
            <wp:extent cx="5189855" cy="1009650"/>
            <wp:effectExtent l="0" t="0" r="0" b="0"/>
            <wp:docPr id="9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5189855" cy="1009650"/>
                    </a:xfrm>
                    <a:prstGeom prst="rect">
                      <a:avLst/>
                    </a:prstGeom>
                    <a:ln/>
                  </pic:spPr>
                </pic:pic>
              </a:graphicData>
            </a:graphic>
          </wp:inline>
        </w:drawing>
      </w:r>
      <w:r>
        <w:rPr>
          <w:noProof/>
          <w:lang w:eastAsia="es-MX"/>
        </w:rPr>
        <mc:AlternateContent>
          <mc:Choice Requires="wps">
            <w:drawing>
              <wp:anchor distT="0" distB="0" distL="114300" distR="114300" simplePos="0" relativeHeight="251659264" behindDoc="0" locked="0" layoutInCell="1" hidden="0" allowOverlap="1" wp14:anchorId="469397D3" wp14:editId="469397D4">
                <wp:simplePos x="0" y="0"/>
                <wp:positionH relativeFrom="column">
                  <wp:posOffset>622300</wp:posOffset>
                </wp:positionH>
                <wp:positionV relativeFrom="paragraph">
                  <wp:posOffset>647700</wp:posOffset>
                </wp:positionV>
                <wp:extent cx="3571875" cy="352425"/>
                <wp:effectExtent l="0" t="0" r="0" b="0"/>
                <wp:wrapNone/>
                <wp:docPr id="83" name="Rectángulo 83"/>
                <wp:cNvGraphicFramePr/>
                <a:graphic xmlns:a="http://schemas.openxmlformats.org/drawingml/2006/main">
                  <a:graphicData uri="http://schemas.microsoft.com/office/word/2010/wordprocessingShape">
                    <wps:wsp>
                      <wps:cNvSpPr/>
                      <wps:spPr>
                        <a:xfrm>
                          <a:off x="3574350" y="3618075"/>
                          <a:ext cx="3543300" cy="323850"/>
                        </a:xfrm>
                        <a:prstGeom prst="rect">
                          <a:avLst/>
                        </a:prstGeom>
                        <a:noFill/>
                        <a:ln w="28575" cap="flat" cmpd="sng">
                          <a:solidFill>
                            <a:srgbClr val="000000"/>
                          </a:solidFill>
                          <a:prstDash val="solid"/>
                          <a:miter lim="800000"/>
                          <a:headEnd type="none" w="sm" len="sm"/>
                          <a:tailEnd type="none" w="sm" len="sm"/>
                        </a:ln>
                      </wps:spPr>
                      <wps:txbx>
                        <w:txbxContent>
                          <w:p w14:paraId="4693980A" w14:textId="77777777" w:rsidR="002D5464" w:rsidRDefault="002D5464">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469397D3" id="Rectángulo 83" o:spid="_x0000_s1027" style="position:absolute;left:0;text-align:left;margin-left:49pt;margin-top:51pt;width:281.2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" filled="f" strokeweight="2.25pt">
                <v:stroke startarrowwidth="narrow" startarrowlength="short" endarrowwidth="narrow" endarrowlength="short"/>
                <v:textbox inset="2.53958mm,2.53958mm,2.53958mm,2.53958mm">
                  <w:txbxContent>
                    <w:p w14:paraId="4693980A" w14:textId="77777777" w:rsidR="002D5464" w:rsidRDefault="002D5464">
                      <w:pPr>
                        <w:textDirection w:val="btLr"/>
                      </w:pPr>
                    </w:p>
                  </w:txbxContent>
                </v:textbox>
              </v:rect>
            </w:pict>
          </mc:Fallback>
        </mc:AlternateContent>
      </w:r>
    </w:p>
    <w:p w14:paraId="46939737" w14:textId="77777777" w:rsidR="004F2647" w:rsidRDefault="004F2647">
      <w:pPr>
        <w:spacing w:line="360" w:lineRule="auto"/>
        <w:ind w:right="-929"/>
        <w:jc w:val="center"/>
        <w:rPr>
          <w:rFonts w:ascii="Palatino Linotype" w:eastAsia="Palatino Linotype" w:hAnsi="Palatino Linotype" w:cs="Palatino Linotype"/>
        </w:rPr>
      </w:pPr>
    </w:p>
    <w:p w14:paraId="46939738"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Cómo se logra observar, los números de serie del certificado de sello digital no contiene datos personales y con dichos dígitos tampoco se puede obtener información de carácter confidencial, por lo que, </w:t>
      </w:r>
      <w:r>
        <w:rPr>
          <w:rFonts w:ascii="Palatino Linotype" w:eastAsia="Palatino Linotype" w:hAnsi="Palatino Linotype" w:cs="Palatino Linotype"/>
          <w:b/>
        </w:rPr>
        <w:t>tampoco actualizan la causal de clasificación</w:t>
      </w:r>
      <w:r>
        <w:rPr>
          <w:rFonts w:ascii="Palatino Linotype" w:eastAsia="Palatino Linotype" w:hAnsi="Palatino Linotype" w:cs="Palatino Linotype"/>
        </w:rPr>
        <w:t xml:space="preserve">, establecida en el artículo 143, fracción I, de la Ley de Transparencia y Acceso a la Información Pública del Estado de México y Municipios. </w:t>
      </w:r>
      <w:r>
        <w:rPr>
          <w:rFonts w:ascii="Palatino Linotype" w:eastAsia="Palatino Linotype" w:hAnsi="Palatino Linotype" w:cs="Palatino Linotype"/>
          <w:b/>
        </w:rPr>
        <w:t>Máxime que permite corroborar la legitimidad a la factura, pues amparan la utilización de los certificados de sellos digitales válidos.</w:t>
      </w:r>
    </w:p>
    <w:p w14:paraId="46939739" w14:textId="77777777" w:rsidR="004F2647" w:rsidRDefault="004F2647">
      <w:pPr>
        <w:spacing w:line="360" w:lineRule="auto"/>
        <w:jc w:val="both"/>
        <w:rPr>
          <w:rFonts w:ascii="Palatino Linotype" w:eastAsia="Palatino Linotype" w:hAnsi="Palatino Linotype" w:cs="Palatino Linotype"/>
          <w:color w:val="000000"/>
        </w:rPr>
      </w:pPr>
    </w:p>
    <w:p w14:paraId="4693973A"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emitir el Acuerdo del Comité de Transparencia, mediante el cual de manera fundada y motivada establezca las razones por las cuales se clasifican como confidenciales los datos expuestos con anterioridad. </w:t>
      </w:r>
    </w:p>
    <w:p w14:paraId="4693973B"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73C" w14:textId="77777777" w:rsidR="004F2647" w:rsidRPr="002D5464" w:rsidRDefault="002D5464" w:rsidP="002D5464">
      <w:pPr>
        <w:numPr>
          <w:ilvl w:val="0"/>
          <w:numId w:val="2"/>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Ahora bien, por lo que respecta al punto número dos de la solicitud de información consistente en “</w:t>
      </w:r>
      <w:r>
        <w:rPr>
          <w:rFonts w:ascii="Palatino Linotype" w:eastAsia="Palatino Linotype" w:hAnsi="Palatino Linotype" w:cs="Palatino Linotype"/>
          <w:b/>
          <w:i/>
          <w:color w:val="000000"/>
        </w:rPr>
        <w:t xml:space="preserve">De todos los servidores públicos que integran la administración municipal 2022-2024  altas, bajas y/o cambio de Área y/o Adscripción”, </w:t>
      </w:r>
      <w:r>
        <w:rPr>
          <w:rFonts w:ascii="Palatino Linotype" w:eastAsia="Palatino Linotype" w:hAnsi="Palatino Linotype" w:cs="Palatino Linotype"/>
          <w:color w:val="000000"/>
        </w:rPr>
        <w:t xml:space="preserve">se debe de establecer que las áreas que tienen administran, poseen o generan la información solicitada son la Subdirección de Recursos Humanos del Ayuntamiento de Ixtapaluca y la Coordinación de Administración y Finanzas por parte del Instituto Municipal de Cultura Física y Deporte de Ixtapaluca, de conformidad con sus Reglamentos Internos. </w:t>
      </w:r>
    </w:p>
    <w:p w14:paraId="4693973D" w14:textId="77777777" w:rsidR="004F2647" w:rsidRDefault="002D5464">
      <w:pPr>
        <w:pBdr>
          <w:top w:val="nil"/>
          <w:left w:val="nil"/>
          <w:bottom w:val="nil"/>
          <w:right w:val="nil"/>
          <w:between w:val="nil"/>
        </w:pBdr>
        <w:ind w:left="720"/>
        <w:rPr>
          <w:rFonts w:ascii="Palatino Linotype" w:eastAsia="Palatino Linotype" w:hAnsi="Palatino Linotype" w:cs="Palatino Linotype"/>
          <w:b/>
          <w:i/>
          <w:color w:val="000000"/>
        </w:rPr>
      </w:pPr>
      <w:r>
        <w:rPr>
          <w:noProof/>
          <w:lang w:eastAsia="es-MX"/>
        </w:rPr>
        <mc:AlternateContent>
          <mc:Choice Requires="wps">
            <w:drawing>
              <wp:anchor distT="0" distB="0" distL="114300" distR="114300" simplePos="0" relativeHeight="251660288" behindDoc="0" locked="0" layoutInCell="1" hidden="0" allowOverlap="1" wp14:anchorId="469397D5" wp14:editId="469397D6">
                <wp:simplePos x="0" y="0"/>
                <wp:positionH relativeFrom="column">
                  <wp:posOffset>1358900</wp:posOffset>
                </wp:positionH>
                <wp:positionV relativeFrom="paragraph">
                  <wp:posOffset>76200</wp:posOffset>
                </wp:positionV>
                <wp:extent cx="2890493" cy="418217"/>
                <wp:effectExtent l="0" t="0" r="0" b="0"/>
                <wp:wrapNone/>
                <wp:docPr id="86" name="Rectángulo 86"/>
                <wp:cNvGraphicFramePr/>
                <a:graphic xmlns:a="http://schemas.openxmlformats.org/drawingml/2006/main">
                  <a:graphicData uri="http://schemas.microsoft.com/office/word/2010/wordprocessingShape">
                    <wps:wsp>
                      <wps:cNvSpPr/>
                      <wps:spPr>
                        <a:xfrm>
                          <a:off x="3907104" y="3577242"/>
                          <a:ext cx="2877793" cy="405517"/>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4693980B" w14:textId="77777777" w:rsidR="002D5464" w:rsidRDefault="002D5464">
                            <w:pPr>
                              <w:jc w:val="center"/>
                              <w:textDirection w:val="btLr"/>
                            </w:pPr>
                            <w:r>
                              <w:rPr>
                                <w:rFonts w:eastAsia="Calibri"/>
                                <w:b/>
                                <w:color w:val="000000"/>
                              </w:rPr>
                              <w:t>AYUNTAMIENTO DE IXTAPALUCA</w:t>
                            </w:r>
                          </w:p>
                        </w:txbxContent>
                      </wps:txbx>
                      <wps:bodyPr spcFirstLastPara="1" wrap="square" lIns="91425" tIns="45700" rIns="91425" bIns="45700" anchor="ctr" anchorCtr="0">
                        <a:noAutofit/>
                      </wps:bodyPr>
                    </wps:wsp>
                  </a:graphicData>
                </a:graphic>
              </wp:anchor>
            </w:drawing>
          </mc:Choice>
          <mc:Fallback xmlns:w16du="http://schemas.microsoft.com/office/word/2023/wordml/word16du">
            <w:pict>
              <v:rect w14:anchorId="469397D5" id="Rectángulo 86" o:spid="_x0000_s1028" style="position:absolute;left:0;text-align:left;margin-left:107pt;margin-top:6pt;width:227.6pt;height:32.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" fillcolor="white [3201]" strokecolor="#ed7d31 [3205]" strokeweight="1pt">
                <v:stroke startarrowwidth="narrow" startarrowlength="short" endarrowwidth="narrow" endarrowlength="short"/>
                <v:textbox inset="2.53958mm,1.2694mm,2.53958mm,1.2694mm">
                  <w:txbxContent>
                    <w:p w14:paraId="4693980B" w14:textId="77777777" w:rsidR="002D5464" w:rsidRDefault="002D5464">
                      <w:pPr>
                        <w:jc w:val="center"/>
                        <w:textDirection w:val="btLr"/>
                      </w:pPr>
                      <w:r>
                        <w:rPr>
                          <w:rFonts w:eastAsia="Calibri"/>
                          <w:b/>
                          <w:color w:val="000000"/>
                        </w:rPr>
                        <w:t>AYUNTAMIENTO DE IXTAPALUCA</w:t>
                      </w:r>
                    </w:p>
                  </w:txbxContent>
                </v:textbox>
              </v:rect>
            </w:pict>
          </mc:Fallback>
        </mc:AlternateContent>
      </w:r>
    </w:p>
    <w:p w14:paraId="4693973E" w14:textId="77777777" w:rsidR="004F2647" w:rsidRDefault="004F2647">
      <w:pPr>
        <w:spacing w:line="360" w:lineRule="auto"/>
        <w:jc w:val="both"/>
        <w:rPr>
          <w:rFonts w:ascii="Palatino Linotype" w:eastAsia="Palatino Linotype" w:hAnsi="Palatino Linotype" w:cs="Palatino Linotype"/>
          <w:b/>
          <w:i/>
          <w:color w:val="000000"/>
        </w:rPr>
      </w:pPr>
    </w:p>
    <w:p w14:paraId="4693973F" w14:textId="77777777" w:rsidR="004F2647" w:rsidRDefault="004F2647">
      <w:pPr>
        <w:pBdr>
          <w:top w:val="nil"/>
          <w:left w:val="nil"/>
          <w:bottom w:val="nil"/>
          <w:right w:val="nil"/>
          <w:between w:val="nil"/>
        </w:pBdr>
        <w:ind w:left="720"/>
        <w:rPr>
          <w:rFonts w:ascii="Palatino Linotype" w:eastAsia="Palatino Linotype" w:hAnsi="Palatino Linotype" w:cs="Palatino Linotype"/>
          <w:b/>
          <w:i/>
          <w:color w:val="000000"/>
        </w:rPr>
      </w:pPr>
    </w:p>
    <w:p w14:paraId="46939740" w14:textId="77777777" w:rsidR="004F2647" w:rsidRDefault="002D5464">
      <w:pPr>
        <w:spacing w:line="360" w:lineRule="auto"/>
        <w:jc w:val="center"/>
        <w:rPr>
          <w:rFonts w:ascii="Palatino Linotype" w:eastAsia="Palatino Linotype" w:hAnsi="Palatino Linotype" w:cs="Palatino Linotype"/>
          <w:b/>
          <w:i/>
          <w:color w:val="000000"/>
        </w:rPr>
      </w:pPr>
      <w:r>
        <w:rPr>
          <w:rFonts w:ascii="Palatino Linotype" w:eastAsia="Palatino Linotype" w:hAnsi="Palatino Linotype" w:cs="Palatino Linotype"/>
          <w:b/>
          <w:i/>
          <w:noProof/>
          <w:color w:val="000000"/>
          <w:lang w:eastAsia="es-MX"/>
        </w:rPr>
        <w:drawing>
          <wp:inline distT="0" distB="0" distL="0" distR="0" wp14:anchorId="469397D7" wp14:editId="469397D8">
            <wp:extent cx="3218688" cy="3840480"/>
            <wp:effectExtent l="0" t="0" r="1270" b="7620"/>
            <wp:docPr id="9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223314" cy="3845999"/>
                    </a:xfrm>
                    <a:prstGeom prst="rect">
                      <a:avLst/>
                    </a:prstGeom>
                    <a:ln/>
                  </pic:spPr>
                </pic:pic>
              </a:graphicData>
            </a:graphic>
          </wp:inline>
        </w:drawing>
      </w:r>
    </w:p>
    <w:p w14:paraId="46939741" w14:textId="77777777" w:rsidR="004F2647" w:rsidRDefault="004F2647">
      <w:pPr>
        <w:spacing w:line="360" w:lineRule="auto"/>
        <w:jc w:val="both"/>
        <w:rPr>
          <w:rFonts w:ascii="Palatino Linotype" w:eastAsia="Palatino Linotype" w:hAnsi="Palatino Linotype" w:cs="Palatino Linotype"/>
          <w:color w:val="000000"/>
        </w:rPr>
      </w:pPr>
    </w:p>
    <w:p w14:paraId="46939742" w14:textId="77777777" w:rsidR="004F2647" w:rsidRDefault="002D5464">
      <w:pPr>
        <w:spacing w:line="360" w:lineRule="auto"/>
        <w:jc w:val="both"/>
        <w:rPr>
          <w:rFonts w:ascii="Palatino Linotype" w:eastAsia="Palatino Linotype" w:hAnsi="Palatino Linotype" w:cs="Palatino Linotype"/>
          <w:color w:val="000000"/>
        </w:rPr>
      </w:pPr>
      <w:r>
        <w:rPr>
          <w:noProof/>
          <w:lang w:eastAsia="es-MX"/>
        </w:rPr>
        <w:lastRenderedPageBreak/>
        <mc:AlternateContent>
          <mc:Choice Requires="wps">
            <w:drawing>
              <wp:anchor distT="0" distB="0" distL="114300" distR="114300" simplePos="0" relativeHeight="251661312" behindDoc="0" locked="0" layoutInCell="1" hidden="0" allowOverlap="1" wp14:anchorId="469397D9" wp14:editId="469397DA">
                <wp:simplePos x="0" y="0"/>
                <wp:positionH relativeFrom="column">
                  <wp:posOffset>1498600</wp:posOffset>
                </wp:positionH>
                <wp:positionV relativeFrom="paragraph">
                  <wp:posOffset>38100</wp:posOffset>
                </wp:positionV>
                <wp:extent cx="2889885" cy="616999"/>
                <wp:effectExtent l="0" t="0" r="0" b="0"/>
                <wp:wrapNone/>
                <wp:docPr id="84" name="Rectángulo 84"/>
                <wp:cNvGraphicFramePr/>
                <a:graphic xmlns:a="http://schemas.openxmlformats.org/drawingml/2006/main">
                  <a:graphicData uri="http://schemas.microsoft.com/office/word/2010/wordprocessingShape">
                    <wps:wsp>
                      <wps:cNvSpPr/>
                      <wps:spPr>
                        <a:xfrm>
                          <a:off x="3907408" y="3477851"/>
                          <a:ext cx="2877185" cy="604299"/>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4693980C" w14:textId="77777777" w:rsidR="002D5464" w:rsidRDefault="002D5464">
                            <w:pPr>
                              <w:jc w:val="center"/>
                              <w:textDirection w:val="btLr"/>
                            </w:pPr>
                            <w:r>
                              <w:rPr>
                                <w:rFonts w:eastAsia="Calibri"/>
                                <w:b/>
                                <w:color w:val="000000"/>
                              </w:rPr>
                              <w:t xml:space="preserve">INSTITUTO MUNICIPAL DE CULTURA FÍSICA Y DEPORTE DE IXTAPALUCA </w:t>
                            </w:r>
                          </w:p>
                        </w:txbxContent>
                      </wps:txbx>
                      <wps:bodyPr spcFirstLastPara="1" wrap="square" lIns="91425" tIns="45700" rIns="91425" bIns="45700" anchor="ctr" anchorCtr="0">
                        <a:noAutofit/>
                      </wps:bodyPr>
                    </wps:wsp>
                  </a:graphicData>
                </a:graphic>
              </wp:anchor>
            </w:drawing>
          </mc:Choice>
          <mc:Fallback xmlns:w16du="http://schemas.microsoft.com/office/word/2023/wordml/word16du">
            <w:pict>
              <v:rect w14:anchorId="469397D9" id="Rectángulo 84" o:spid="_x0000_s1029" style="position:absolute;left:0;text-align:left;margin-left:118pt;margin-top:3pt;width:227.55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" fillcolor="white [3201]" strokecolor="#ed7d31 [3205]" strokeweight="1pt">
                <v:stroke startarrowwidth="narrow" startarrowlength="short" endarrowwidth="narrow" endarrowlength="short"/>
                <v:textbox inset="2.53958mm,1.2694mm,2.53958mm,1.2694mm">
                  <w:txbxContent>
                    <w:p w14:paraId="4693980C" w14:textId="77777777" w:rsidR="002D5464" w:rsidRDefault="002D5464">
                      <w:pPr>
                        <w:jc w:val="center"/>
                        <w:textDirection w:val="btLr"/>
                      </w:pPr>
                      <w:r>
                        <w:rPr>
                          <w:rFonts w:eastAsia="Calibri"/>
                          <w:b/>
                          <w:color w:val="000000"/>
                        </w:rPr>
                        <w:t xml:space="preserve">INSTITUTO MUNICIPAL DE CULTURA FÍSICA Y DEPORTE DE IXTAPALUCA </w:t>
                      </w:r>
                    </w:p>
                  </w:txbxContent>
                </v:textbox>
              </v:rect>
            </w:pict>
          </mc:Fallback>
        </mc:AlternateContent>
      </w:r>
    </w:p>
    <w:p w14:paraId="46939743" w14:textId="77777777" w:rsidR="004F2647" w:rsidRDefault="004F2647">
      <w:pPr>
        <w:ind w:left="720"/>
        <w:jc w:val="center"/>
        <w:rPr>
          <w:rFonts w:ascii="Palatino Linotype" w:eastAsia="Palatino Linotype" w:hAnsi="Palatino Linotype" w:cs="Palatino Linotype"/>
        </w:rPr>
      </w:pPr>
    </w:p>
    <w:p w14:paraId="46939744" w14:textId="77777777" w:rsidR="004F2647" w:rsidRDefault="004F2647">
      <w:pPr>
        <w:ind w:left="720"/>
        <w:jc w:val="center"/>
        <w:rPr>
          <w:rFonts w:ascii="Palatino Linotype" w:eastAsia="Palatino Linotype" w:hAnsi="Palatino Linotype" w:cs="Palatino Linotype"/>
        </w:rPr>
      </w:pPr>
    </w:p>
    <w:p w14:paraId="46939745" w14:textId="77777777" w:rsidR="004F2647" w:rsidRDefault="002D5464">
      <w:pPr>
        <w:ind w:left="720"/>
        <w:jc w:val="center"/>
        <w:rPr>
          <w:rFonts w:ascii="Palatino Linotype" w:eastAsia="Palatino Linotype" w:hAnsi="Palatino Linotype" w:cs="Palatino Linotype"/>
        </w:rPr>
      </w:pPr>
      <w:r>
        <w:rPr>
          <w:rFonts w:ascii="Palatino Linotype" w:eastAsia="Palatino Linotype" w:hAnsi="Palatino Linotype" w:cs="Palatino Linotype"/>
          <w:noProof/>
          <w:lang w:eastAsia="es-MX"/>
        </w:rPr>
        <w:drawing>
          <wp:inline distT="0" distB="0" distL="0" distR="0" wp14:anchorId="469397DB" wp14:editId="469397DC">
            <wp:extent cx="3537797" cy="4543029"/>
            <wp:effectExtent l="0" t="0" r="0"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537797" cy="4543029"/>
                    </a:xfrm>
                    <a:prstGeom prst="rect">
                      <a:avLst/>
                    </a:prstGeom>
                    <a:ln/>
                  </pic:spPr>
                </pic:pic>
              </a:graphicData>
            </a:graphic>
          </wp:inline>
        </w:drawing>
      </w:r>
    </w:p>
    <w:p w14:paraId="46939746" w14:textId="77777777" w:rsidR="004F2647" w:rsidRDefault="004F2647">
      <w:pPr>
        <w:ind w:left="720"/>
        <w:jc w:val="center"/>
        <w:rPr>
          <w:rFonts w:ascii="Palatino Linotype" w:eastAsia="Palatino Linotype" w:hAnsi="Palatino Linotype" w:cs="Palatino Linotype"/>
        </w:rPr>
      </w:pPr>
    </w:p>
    <w:p w14:paraId="46939747" w14:textId="77777777" w:rsidR="004F2647" w:rsidRDefault="004F2647">
      <w:pPr>
        <w:ind w:left="720"/>
        <w:jc w:val="center"/>
        <w:rPr>
          <w:rFonts w:ascii="Palatino Linotype" w:eastAsia="Palatino Linotype" w:hAnsi="Palatino Linotype" w:cs="Palatino Linotype"/>
        </w:rPr>
      </w:pPr>
    </w:p>
    <w:p w14:paraId="46939748"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anteriormente expuesto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cuenta con las áreas específicas para informar si del periodo del uno de noviembre al treinta y uno de marzo ha habido alta, bajas o cambios de área de adscripción de los servidores públicos que trabajan en el Ayuntamiento de Ixtapaluca y en el Instituto Municipal de Cultura Física y Deporte. </w:t>
      </w:r>
    </w:p>
    <w:p w14:paraId="46939749" w14:textId="77777777" w:rsidR="004F2647" w:rsidRDefault="004F2647">
      <w:pPr>
        <w:spacing w:line="360" w:lineRule="auto"/>
        <w:ind w:left="360"/>
        <w:jc w:val="both"/>
        <w:rPr>
          <w:rFonts w:ascii="Palatino Linotype" w:eastAsia="Palatino Linotype" w:hAnsi="Palatino Linotype" w:cs="Palatino Linotype"/>
        </w:rPr>
      </w:pPr>
    </w:p>
    <w:p w14:paraId="4693974A"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Así las cosa</w:t>
      </w:r>
      <w:r>
        <w:rPr>
          <w:rFonts w:ascii="Palatino Linotype" w:eastAsia="Palatino Linotype" w:hAnsi="Palatino Linotype" w:cs="Palatino Linotype"/>
          <w:color w:val="000000"/>
        </w:rPr>
        <w:t>s, de lo anterior, se desprende, que la información generada, obtenida, adquirida, transmitida</w:t>
      </w:r>
      <w:r>
        <w:rPr>
          <w:rFonts w:ascii="Palatino Linotype" w:eastAsia="Palatino Linotype" w:hAnsi="Palatino Linotype" w:cs="Palatino Linotype"/>
        </w:rPr>
        <w:t>, administrada o en posesión de los Sujetos Obligados, será accesible de manera permanente a cualquier persona, privilegiando el principio de máxima publicidad de la información.</w:t>
      </w:r>
    </w:p>
    <w:p w14:paraId="4693974B" w14:textId="77777777" w:rsidR="004F2647" w:rsidRDefault="004F2647">
      <w:pPr>
        <w:spacing w:line="360" w:lineRule="auto"/>
        <w:jc w:val="both"/>
        <w:rPr>
          <w:rFonts w:ascii="Palatino Linotype" w:eastAsia="Palatino Linotype" w:hAnsi="Palatino Linotype" w:cs="Palatino Linotype"/>
        </w:rPr>
      </w:pPr>
    </w:p>
    <w:p w14:paraId="4693974C"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ser el caso que la información no se hubiera administrado, generado o poseído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por no haber existido altas, bajas o cambios de adscripción de servidores públicos, bastará con que se haga del conocimiento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4693974D"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74E"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Por último se debe de señalar que por la naturaleza de la información solicitada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de checar la información que remita y para el caso del personal Operativo (policías)  adscritos a la Dirección General de Seguridad y Prevención Ciudadana, la información deberá de ser clasificada como reservada de conformidad con lo siguiente. </w:t>
      </w:r>
    </w:p>
    <w:p w14:paraId="4693974F" w14:textId="77777777" w:rsidR="004F2647" w:rsidRDefault="004F2647">
      <w:pPr>
        <w:pBdr>
          <w:top w:val="nil"/>
          <w:left w:val="nil"/>
          <w:bottom w:val="nil"/>
          <w:right w:val="nil"/>
          <w:between w:val="nil"/>
        </w:pBdr>
        <w:ind w:left="720"/>
        <w:rPr>
          <w:rFonts w:ascii="Palatino Linotype" w:eastAsia="Palatino Linotype" w:hAnsi="Palatino Linotype" w:cs="Palatino Linotype"/>
          <w:b/>
          <w:i/>
          <w:color w:val="000000"/>
        </w:rPr>
      </w:pPr>
    </w:p>
    <w:p w14:paraId="46939750" w14:textId="77777777" w:rsidR="004F2647" w:rsidRDefault="004F2647">
      <w:pPr>
        <w:rPr>
          <w:rFonts w:ascii="Palatino Linotype" w:eastAsia="Palatino Linotype" w:hAnsi="Palatino Linotype" w:cs="Palatino Linotype"/>
          <w:b/>
          <w:i/>
        </w:rPr>
      </w:pPr>
    </w:p>
    <w:p w14:paraId="46939751"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orden de ideas si bien por regla general los nombres de los trabajadores gubernamentales son información pública de oficio, existe una excepción relativa a aquellos que realicen </w:t>
      </w:r>
      <w:r>
        <w:rPr>
          <w:rFonts w:ascii="Palatino Linotype" w:eastAsia="Palatino Linotype" w:hAnsi="Palatino Linotype" w:cs="Palatino Linotype"/>
          <w:b/>
          <w:color w:val="000000"/>
        </w:rPr>
        <w:t>actividades operativas en materia de seguridad</w:t>
      </w:r>
      <w:r>
        <w:rPr>
          <w:rFonts w:ascii="Palatino Linotype" w:eastAsia="Palatino Linotype" w:hAnsi="Palatino Linotype" w:cs="Palatino Linotype"/>
          <w:color w:val="000000"/>
        </w:rPr>
        <w:t>, como es el caso de los elementos operativos y la policía municipal.</w:t>
      </w:r>
    </w:p>
    <w:p w14:paraId="46939752"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753"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Por lo que dar a conocer el nombre de las personas,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46939754" w14:textId="77777777" w:rsidR="004F2647" w:rsidRDefault="004F26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939755"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46939756" w14:textId="77777777" w:rsidR="004F2647" w:rsidRDefault="004F264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6939757" w14:textId="77777777" w:rsidR="004F2647" w:rsidRDefault="002D5464">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w:t>
      </w:r>
      <w:r>
        <w:rPr>
          <w:rFonts w:ascii="Palatino Linotype" w:eastAsia="Palatino Linotype" w:hAnsi="Palatino Linotype" w:cs="Palatino Linotype"/>
          <w:color w:val="000000"/>
        </w:rPr>
        <w:t>tales</w:t>
      </w:r>
      <w:r>
        <w:rPr>
          <w:rFonts w:ascii="Palatino Linotype" w:eastAsia="Palatino Linotype" w:hAnsi="Palatino Linotype" w:cs="Palatino Linotype"/>
        </w:rPr>
        <w:t xml:space="preserve"> consideraciones, resulta procedente la reserva del </w:t>
      </w:r>
      <w:r>
        <w:rPr>
          <w:rFonts w:ascii="Palatino Linotype" w:eastAsia="Palatino Linotype" w:hAnsi="Palatino Linotype" w:cs="Palatino Linotype"/>
          <w:b/>
        </w:rPr>
        <w:t>nombre de los elementos operativos</w:t>
      </w:r>
      <w:r>
        <w:rPr>
          <w:rFonts w:ascii="Palatino Linotype" w:eastAsia="Palatino Linotype" w:hAnsi="Palatino Linotype" w:cs="Palatino Linotype"/>
        </w:rPr>
        <w:t xml:space="preserve"> de la Dirección General de Seguridad y Prevención </w:t>
      </w:r>
      <w:r>
        <w:rPr>
          <w:rFonts w:ascii="Palatino Linotype" w:eastAsia="Palatino Linotype" w:hAnsi="Palatino Linotype" w:cs="Palatino Linotype"/>
        </w:rPr>
        <w:lastRenderedPageBreak/>
        <w:t>Ciudadana, en términos del artículo 140, fracción IV, de la Ley de Transparencia y Acceso a la Información Pública del Estado de México y Municipios.</w:t>
      </w:r>
    </w:p>
    <w:p w14:paraId="46939758" w14:textId="77777777" w:rsidR="004F2647" w:rsidRDefault="004F2647">
      <w:pPr>
        <w:pBdr>
          <w:top w:val="nil"/>
          <w:left w:val="nil"/>
          <w:bottom w:val="nil"/>
          <w:right w:val="nil"/>
          <w:between w:val="nil"/>
        </w:pBdr>
        <w:ind w:left="720"/>
        <w:rPr>
          <w:rFonts w:ascii="Palatino Linotype" w:eastAsia="Palatino Linotype" w:hAnsi="Palatino Linotype" w:cs="Palatino Linotype"/>
          <w:color w:val="000000"/>
        </w:rPr>
      </w:pPr>
    </w:p>
    <w:p w14:paraId="46939759" w14:textId="77777777" w:rsidR="004F2647" w:rsidRDefault="002D5464">
      <w:pPr>
        <w:keepNext/>
        <w:keepLines/>
        <w:spacing w:line="360" w:lineRule="auto"/>
        <w:rPr>
          <w:rFonts w:ascii="Palatino Linotype" w:eastAsia="Palatino Linotype" w:hAnsi="Palatino Linotype" w:cs="Palatino Linotype"/>
          <w:b/>
          <w:color w:val="000000"/>
        </w:rPr>
      </w:pPr>
      <w:bookmarkStart w:id="5" w:name="_heading=h.1t3h5sf" w:colFirst="0" w:colLast="0"/>
      <w:bookmarkEnd w:id="5"/>
      <w:r>
        <w:rPr>
          <w:rFonts w:ascii="Palatino Linotype" w:eastAsia="Palatino Linotype" w:hAnsi="Palatino Linotype" w:cs="Palatino Linotype"/>
          <w:b/>
          <w:color w:val="000000"/>
        </w:rPr>
        <w:t>QUINTO. De la versión pública.</w:t>
      </w:r>
    </w:p>
    <w:p w14:paraId="4693975A" w14:textId="77777777" w:rsidR="004F2647" w:rsidRDefault="002D5464">
      <w:pPr>
        <w:keepNext/>
        <w:keepLines/>
        <w:numPr>
          <w:ilvl w:val="0"/>
          <w:numId w:val="4"/>
        </w:numPr>
        <w:tabs>
          <w:tab w:val="left" w:pos="284"/>
        </w:tabs>
        <w:spacing w:line="360" w:lineRule="auto"/>
        <w:rPr>
          <w:rFonts w:ascii="Palatino Linotype" w:eastAsia="Palatino Linotype" w:hAnsi="Palatino Linotype" w:cs="Palatino Linotype"/>
          <w:b/>
          <w:color w:val="000000"/>
        </w:rPr>
      </w:pPr>
      <w:bookmarkStart w:id="6" w:name="_heading=h.4d34og8" w:colFirst="0" w:colLast="0"/>
      <w:bookmarkEnd w:id="6"/>
      <w:r>
        <w:rPr>
          <w:rFonts w:ascii="Palatino Linotype" w:eastAsia="Palatino Linotype" w:hAnsi="Palatino Linotype" w:cs="Palatino Linotype"/>
          <w:b/>
          <w:color w:val="000000"/>
        </w:rPr>
        <w:t xml:space="preserve">Nociones generales. </w:t>
      </w:r>
    </w:p>
    <w:p w14:paraId="4693975B"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Debe destacarse que, debido a la naturaleza de la información solicitada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eventualmente</w:t>
      </w:r>
      <w:r>
        <w:rPr>
          <w:rFonts w:ascii="Palatino Linotype" w:eastAsia="Palatino Linotype" w:hAnsi="Palatino Linotype" w:cs="Palatino Linotype"/>
          <w:color w:val="000000"/>
        </w:rPr>
        <w:t xml:space="preserve"> pudiera obrar datos personales susceptibles de protegerse, así como información </w:t>
      </w:r>
      <w:r>
        <w:rPr>
          <w:rFonts w:ascii="Palatino Linotype" w:eastAsia="Palatino Linotype" w:hAnsi="Palatino Linotype" w:cs="Palatino Linotype"/>
        </w:rPr>
        <w:t>susceptible</w:t>
      </w:r>
      <w:r>
        <w:rPr>
          <w:rFonts w:ascii="Palatino Linotype" w:eastAsia="Palatino Linotype" w:hAnsi="Palatino Linotype" w:cs="Palatino Linotype"/>
          <w:color w:val="000000"/>
        </w:rPr>
        <w:t xml:space="preserve"> de clasificarse como confidencial y reservada,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4693975C" w14:textId="77777777" w:rsidR="004F2647" w:rsidRDefault="004F2647">
      <w:pPr>
        <w:tabs>
          <w:tab w:val="left" w:pos="0"/>
          <w:tab w:val="left" w:pos="284"/>
        </w:tabs>
        <w:spacing w:line="360" w:lineRule="auto"/>
        <w:ind w:right="49"/>
        <w:jc w:val="both"/>
        <w:rPr>
          <w:rFonts w:ascii="Palatino Linotype" w:eastAsia="Palatino Linotype" w:hAnsi="Palatino Linotype" w:cs="Palatino Linotype"/>
          <w:highlight w:val="yellow"/>
        </w:rPr>
      </w:pPr>
    </w:p>
    <w:p w14:paraId="4693975D"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693975E" w14:textId="77777777" w:rsidR="004F2647" w:rsidRDefault="004F2647">
      <w:pPr>
        <w:tabs>
          <w:tab w:val="left" w:pos="284"/>
        </w:tabs>
        <w:spacing w:line="360" w:lineRule="auto"/>
        <w:ind w:right="49"/>
        <w:jc w:val="both"/>
        <w:rPr>
          <w:rFonts w:ascii="Palatino Linotype" w:eastAsia="Palatino Linotype" w:hAnsi="Palatino Linotype" w:cs="Palatino Linotype"/>
          <w:color w:val="000000"/>
        </w:rPr>
      </w:pPr>
    </w:p>
    <w:tbl>
      <w:tblPr>
        <w:tblStyle w:val="a1"/>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237"/>
      </w:tblGrid>
      <w:tr w:rsidR="004F2647" w14:paraId="46939764" w14:textId="77777777">
        <w:tc>
          <w:tcPr>
            <w:tcW w:w="2689" w:type="dxa"/>
          </w:tcPr>
          <w:p w14:paraId="4693975F" w14:textId="77777777" w:rsidR="004F2647" w:rsidRDefault="002D5464">
            <w:pPr>
              <w:tabs>
                <w:tab w:val="left" w:pos="284"/>
              </w:tabs>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 Requisitos previos.</w:t>
            </w:r>
          </w:p>
        </w:tc>
        <w:tc>
          <w:tcPr>
            <w:tcW w:w="6237" w:type="dxa"/>
          </w:tcPr>
          <w:p w14:paraId="46939760"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6939761"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Al hacerlo tienen que precisar de qué información se trata, señalando el supuesto de clasificación (confidencialidad o reserva).</w:t>
            </w:r>
          </w:p>
          <w:p w14:paraId="46939762"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Además, se debe señalar el procedimiento, de los tres que establecen los artículos 132 y 106 de la Ley Estatal y General, respectivamente.</w:t>
            </w:r>
          </w:p>
          <w:p w14:paraId="46939763" w14:textId="77777777" w:rsidR="004F2647" w:rsidRDefault="002D5464">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sz w:val="20"/>
                <w:szCs w:val="20"/>
                <w:u w:val="single"/>
              </w:rPr>
              <w:t>no se puede hacer un acuerdo para clasificar de manera general todos los documentos de un expediente o área, sin</w:t>
            </w:r>
            <w:r>
              <w:rPr>
                <w:rFonts w:ascii="Palatino Linotype" w:eastAsia="Palatino Linotype" w:hAnsi="Palatino Linotype" w:cs="Palatino Linotype"/>
                <w:sz w:val="20"/>
                <w:szCs w:val="20"/>
              </w:rPr>
              <w:t xml:space="preserve"> individualizar su análisis y tampoco se puede hacer un acuerdo por cada dato que se vaya a clasificar dentro de un documento con diez datos, por ejemplo, susceptibles de ser clasificados.</w:t>
            </w:r>
          </w:p>
        </w:tc>
      </w:tr>
      <w:tr w:rsidR="004F2647" w14:paraId="46939769" w14:textId="77777777">
        <w:tc>
          <w:tcPr>
            <w:tcW w:w="2689" w:type="dxa"/>
          </w:tcPr>
          <w:p w14:paraId="46939765" w14:textId="77777777" w:rsidR="004F2647" w:rsidRDefault="002D5464">
            <w:pPr>
              <w:tabs>
                <w:tab w:val="left" w:pos="284"/>
              </w:tabs>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b) Supuestos de clasificación.</w:t>
            </w:r>
          </w:p>
        </w:tc>
        <w:tc>
          <w:tcPr>
            <w:tcW w:w="6237" w:type="dxa"/>
          </w:tcPr>
          <w:p w14:paraId="46939766"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Las disposiciones constitucionales y legales en la materia establecen los dos supuestos generales para clasificar la información: por reserva y por confidencialidad.</w:t>
            </w:r>
          </w:p>
          <w:p w14:paraId="46939767"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46939768" w14:textId="77777777" w:rsidR="004F2647" w:rsidRDefault="002D5464">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w:t>
            </w:r>
            <w:r>
              <w:rPr>
                <w:rFonts w:ascii="Palatino Linotype" w:eastAsia="Palatino Linotype" w:hAnsi="Palatino Linotype" w:cs="Palatino Linotype"/>
                <w:b/>
                <w:sz w:val="20"/>
                <w:szCs w:val="20"/>
              </w:rPr>
              <w:t>Sujeto Obligado</w:t>
            </w:r>
            <w:r>
              <w:rPr>
                <w:rFonts w:ascii="Palatino Linotype" w:eastAsia="Palatino Linotype" w:hAnsi="Palatino Linotype" w:cs="Palatino Linotype"/>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F2647" w14:paraId="4693976E" w14:textId="77777777">
        <w:tc>
          <w:tcPr>
            <w:tcW w:w="2689" w:type="dxa"/>
          </w:tcPr>
          <w:p w14:paraId="4693976A" w14:textId="77777777" w:rsidR="004F2647" w:rsidRDefault="002D5464">
            <w:pPr>
              <w:tabs>
                <w:tab w:val="left" w:pos="284"/>
              </w:tabs>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c) Formalidades para emitir el acuerdo de clasificación.</w:t>
            </w:r>
          </w:p>
        </w:tc>
        <w:tc>
          <w:tcPr>
            <w:tcW w:w="6237" w:type="dxa"/>
          </w:tcPr>
          <w:p w14:paraId="4693976B"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El Comité de Transparencia, según lo dispuesto en los artículos cuenta con las facultades para aprobar, modificar o revocar la clasificación de la información que haya propuesto. </w:t>
            </w:r>
          </w:p>
          <w:p w14:paraId="4693976C"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Es necesario que </w:t>
            </w:r>
            <w:r>
              <w:rPr>
                <w:rFonts w:ascii="Palatino Linotype" w:eastAsia="Palatino Linotype" w:hAnsi="Palatino Linotype" w:cs="Palatino Linotype"/>
                <w:b/>
                <w:sz w:val="20"/>
                <w:szCs w:val="20"/>
                <w:u w:val="single"/>
              </w:rPr>
              <w:t>el acto reúna con los requisitos elementales</w:t>
            </w:r>
            <w:r>
              <w:rPr>
                <w:rFonts w:ascii="Palatino Linotype" w:eastAsia="Palatino Linotype" w:hAnsi="Palatino Linotype" w:cs="Palatino Linotype"/>
                <w:sz w:val="20"/>
                <w:szCs w:val="20"/>
              </w:rPr>
              <w:t>, entre ellos, que la autoridad que va a emitir el acto de autoridad sea la legalmente facultada para ello.</w:t>
            </w:r>
          </w:p>
          <w:p w14:paraId="4693976D" w14:textId="77777777" w:rsidR="004F2647" w:rsidRDefault="002D5464">
            <w:pPr>
              <w:tabs>
                <w:tab w:val="left" w:pos="284"/>
              </w:tabs>
              <w:spacing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F2647" w14:paraId="46939776" w14:textId="77777777">
        <w:tc>
          <w:tcPr>
            <w:tcW w:w="2689" w:type="dxa"/>
          </w:tcPr>
          <w:p w14:paraId="4693976F" w14:textId="77777777" w:rsidR="004F2647" w:rsidRDefault="004F2647">
            <w:pPr>
              <w:tabs>
                <w:tab w:val="left" w:pos="284"/>
              </w:tabs>
              <w:rPr>
                <w:rFonts w:ascii="Palatino Linotype" w:eastAsia="Palatino Linotype" w:hAnsi="Palatino Linotype" w:cs="Palatino Linotype"/>
                <w:sz w:val="20"/>
                <w:szCs w:val="20"/>
              </w:rPr>
            </w:pPr>
          </w:p>
          <w:p w14:paraId="46939770" w14:textId="77777777" w:rsidR="004F2647" w:rsidRDefault="002D5464">
            <w:pPr>
              <w:tabs>
                <w:tab w:val="left" w:pos="284"/>
              </w:tabs>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 Requisitos de fondo del acuerdo de clasificación. </w:t>
            </w:r>
          </w:p>
        </w:tc>
        <w:tc>
          <w:tcPr>
            <w:tcW w:w="6237" w:type="dxa"/>
          </w:tcPr>
          <w:p w14:paraId="46939771"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sz w:val="20"/>
                <w:szCs w:val="20"/>
              </w:rPr>
              <w:t>Sujetos Obligados</w:t>
            </w:r>
            <w:r>
              <w:rPr>
                <w:rFonts w:ascii="Palatino Linotype" w:eastAsia="Palatino Linotype" w:hAnsi="Palatino Linotype" w:cs="Palatino Linotype"/>
                <w:sz w:val="20"/>
                <w:szCs w:val="20"/>
              </w:rPr>
              <w:t xml:space="preserve">, por lo que deberán fundar y motivar debidamente la clasificación. </w:t>
            </w:r>
          </w:p>
          <w:p w14:paraId="46939772"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De lo anterior, se desprende que para una correcta </w:t>
            </w:r>
            <w:r>
              <w:rPr>
                <w:rFonts w:ascii="Palatino Linotype" w:eastAsia="Palatino Linotype" w:hAnsi="Palatino Linotype" w:cs="Palatino Linotype"/>
                <w:b/>
                <w:sz w:val="20"/>
                <w:szCs w:val="20"/>
              </w:rPr>
              <w:t>clasificación total o parcial</w:t>
            </w:r>
            <w:r>
              <w:rPr>
                <w:rFonts w:ascii="Palatino Linotype" w:eastAsia="Palatino Linotype" w:hAnsi="Palatino Linotype" w:cs="Palatino Linotype"/>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939773"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Así, en un acto de autoridad se cumple con la debida fundamentación cuando se cita el precepto legal aplicable al caso concreto y la debida motivación cuando se expresan las razones, </w:t>
            </w:r>
            <w:r>
              <w:rPr>
                <w:rFonts w:ascii="Palatino Linotype" w:eastAsia="Palatino Linotype" w:hAnsi="Palatino Linotype" w:cs="Palatino Linotype"/>
                <w:sz w:val="20"/>
                <w:szCs w:val="20"/>
              </w:rPr>
              <w:lastRenderedPageBreak/>
              <w:t>motivos o circunstancias que tomó en cuenta la autoridad para adecuar el hecho a los fundamentos de derecho. De este modo, la persona que se sienta afectada pueda impugnar la decisión, permitiéndole una real y auténtica defensa.</w:t>
            </w:r>
          </w:p>
          <w:p w14:paraId="46939774"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 ese mismo sentido, el numeral trigésimo tercero fracción V de los Lineamientos Generales, precisa que para motivar la clasificación se deben acreditar las circunstancias de tiempo, modo y lugar.</w:t>
            </w:r>
          </w:p>
          <w:p w14:paraId="46939775"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Ahora bien, </w:t>
            </w:r>
            <w:r>
              <w:rPr>
                <w:rFonts w:ascii="Palatino Linotype" w:eastAsia="Palatino Linotype" w:hAnsi="Palatino Linotype" w:cs="Palatino Linotype"/>
                <w:b/>
                <w:sz w:val="20"/>
                <w:szCs w:val="20"/>
                <w:u w:val="single"/>
              </w:rPr>
              <w:t>para cada caso además de fundar y motivar</w:t>
            </w:r>
            <w:r>
              <w:rPr>
                <w:rFonts w:ascii="Palatino Linotype" w:eastAsia="Palatino Linotype" w:hAnsi="Palatino Linotype" w:cs="Palatino Linotype"/>
                <w:sz w:val="2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F2647" w14:paraId="4693977B" w14:textId="77777777">
        <w:tc>
          <w:tcPr>
            <w:tcW w:w="2689" w:type="dxa"/>
          </w:tcPr>
          <w:p w14:paraId="46939777" w14:textId="77777777" w:rsidR="004F2647" w:rsidRDefault="002D5464">
            <w:pPr>
              <w:tabs>
                <w:tab w:val="left" w:pos="284"/>
              </w:tabs>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e) Condiciones especiales de la clasificación de la información como confidencial. </w:t>
            </w:r>
          </w:p>
        </w:tc>
        <w:tc>
          <w:tcPr>
            <w:tcW w:w="6237" w:type="dxa"/>
          </w:tcPr>
          <w:p w14:paraId="46939778"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Los artículos 148 y 120 de la Ley Estatal y de la Ley General, respectivamente, establecen que aun tratándose de datos personales, se podrán proporcionar, incluso sin solicitar el consentimiento de su titular. </w:t>
            </w:r>
          </w:p>
          <w:p w14:paraId="46939779" w14:textId="77777777" w:rsidR="004F2647" w:rsidRDefault="002D5464">
            <w:pPr>
              <w:tabs>
                <w:tab w:val="left" w:pos="284"/>
              </w:tabs>
              <w:spacing w:line="360" w:lineRule="auto"/>
              <w:ind w:right="49"/>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693977A" w14:textId="77777777" w:rsidR="004F2647" w:rsidRDefault="002D5464">
            <w:pPr>
              <w:tabs>
                <w:tab w:val="left" w:pos="284"/>
              </w:tabs>
              <w:spacing w:line="360" w:lineRule="auto"/>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693977C" w14:textId="77777777" w:rsidR="004F2647" w:rsidRDefault="004F2647">
      <w:pPr>
        <w:tabs>
          <w:tab w:val="left" w:pos="284"/>
        </w:tabs>
        <w:spacing w:line="360" w:lineRule="auto"/>
        <w:jc w:val="both"/>
        <w:rPr>
          <w:rFonts w:ascii="Palatino Linotype" w:eastAsia="Palatino Linotype" w:hAnsi="Palatino Linotype" w:cs="Palatino Linotype"/>
          <w:color w:val="000000"/>
        </w:rPr>
      </w:pPr>
    </w:p>
    <w:p w14:paraId="4693977D"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693977E" w14:textId="77777777" w:rsidR="004F2647" w:rsidRDefault="004F2647">
      <w:pPr>
        <w:pBdr>
          <w:top w:val="nil"/>
          <w:left w:val="nil"/>
          <w:bottom w:val="nil"/>
          <w:right w:val="nil"/>
          <w:between w:val="nil"/>
        </w:pBdr>
        <w:spacing w:line="360" w:lineRule="auto"/>
        <w:jc w:val="both"/>
        <w:rPr>
          <w:rFonts w:ascii="Palatino Linotype" w:eastAsia="Palatino Linotype" w:hAnsi="Palatino Linotype" w:cs="Palatino Linotype"/>
          <w:b/>
        </w:rPr>
      </w:pPr>
    </w:p>
    <w:p w14:paraId="4693977F" w14:textId="77777777" w:rsidR="004F2647" w:rsidRDefault="002D5464">
      <w:pPr>
        <w:numPr>
          <w:ilvl w:val="0"/>
          <w:numId w:val="2"/>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Es por lo anterior que resulta dable </w:t>
      </w:r>
      <w:r>
        <w:rPr>
          <w:rFonts w:ascii="Palatino Linotype" w:eastAsia="Palatino Linotype" w:hAnsi="Palatino Linotype" w:cs="Palatino Linotype"/>
          <w:b/>
        </w:rPr>
        <w:t xml:space="preserve">REVOCAR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 la entrega de información solicitada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lo anterior para satisfacer el derecho de acceso a la información del </w:t>
      </w:r>
      <w:r>
        <w:rPr>
          <w:rFonts w:ascii="Palatino Linotype" w:eastAsia="Palatino Linotype" w:hAnsi="Palatino Linotype" w:cs="Palatino Linotype"/>
          <w:b/>
        </w:rPr>
        <w:t xml:space="preserve">RECURRENTE. </w:t>
      </w:r>
    </w:p>
    <w:p w14:paraId="46939780" w14:textId="77777777" w:rsidR="004F2647" w:rsidRDefault="004F2647">
      <w:pPr>
        <w:spacing w:line="360" w:lineRule="auto"/>
        <w:jc w:val="both"/>
        <w:rPr>
          <w:rFonts w:ascii="Palatino Linotype" w:eastAsia="Palatino Linotype" w:hAnsi="Palatino Linotype" w:cs="Palatino Linotype"/>
          <w:color w:val="000000"/>
        </w:rPr>
      </w:pPr>
    </w:p>
    <w:p w14:paraId="46939781" w14:textId="77777777" w:rsidR="004F2647" w:rsidRDefault="002D5464">
      <w:pPr>
        <w:numPr>
          <w:ilvl w:val="0"/>
          <w:numId w:val="2"/>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Por lo anteriormente expuesto, este Órgano Garante considera  fundadas las razones o motivos de inconformidad que plantea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determinando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Pr>
          <w:rFonts w:ascii="Palatino Linotype" w:eastAsia="Palatino Linotype" w:hAnsi="Palatino Linotype" w:cs="Palatino Linotype"/>
          <w:color w:val="000000"/>
        </w:rPr>
        <w:t xml:space="preserve">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46939782" w14:textId="77777777" w:rsidR="004F2647" w:rsidRDefault="002D5464">
      <w:pPr>
        <w:pStyle w:val="Ttulo1"/>
        <w:jc w:val="center"/>
        <w:rPr>
          <w:b/>
        </w:rPr>
      </w:pPr>
      <w:r>
        <w:rPr>
          <w:b/>
        </w:rPr>
        <w:t>R E S O L U T I V O S</w:t>
      </w:r>
    </w:p>
    <w:p w14:paraId="46939783" w14:textId="77777777" w:rsidR="004F2647" w:rsidRDefault="004F2647">
      <w:pPr>
        <w:keepNext/>
        <w:keepLines/>
        <w:spacing w:line="360" w:lineRule="auto"/>
        <w:jc w:val="center"/>
        <w:rPr>
          <w:rFonts w:ascii="Palatino Linotype" w:eastAsia="Palatino Linotype" w:hAnsi="Palatino Linotype" w:cs="Palatino Linotype"/>
          <w:b/>
        </w:rPr>
      </w:pPr>
    </w:p>
    <w:p w14:paraId="46939784" w14:textId="77777777" w:rsidR="004F2647" w:rsidRDefault="002D546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  fundadas las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razones o motivos de inconformidad hechos valer en el recurso de revisión </w:t>
      </w:r>
      <w:r>
        <w:rPr>
          <w:rFonts w:ascii="Palatino Linotype" w:eastAsia="Palatino Linotype" w:hAnsi="Palatino Linotype" w:cs="Palatino Linotype"/>
          <w:b/>
        </w:rPr>
        <w:t xml:space="preserve">4353/INFOEM/IP/RR/2024 </w:t>
      </w:r>
      <w:r>
        <w:rPr>
          <w:rFonts w:ascii="Palatino Linotype" w:eastAsia="Palatino Linotype" w:hAnsi="Palatino Linotype" w:cs="Palatino Linotype"/>
        </w:rPr>
        <w:t>en términos de los</w:t>
      </w:r>
      <w:r>
        <w:rPr>
          <w:rFonts w:ascii="Palatino Linotype" w:eastAsia="Palatino Linotype" w:hAnsi="Palatino Linotype" w:cs="Palatino Linotype"/>
          <w:b/>
        </w:rPr>
        <w:t xml:space="preserve">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la presente resolución.</w:t>
      </w:r>
    </w:p>
    <w:p w14:paraId="46939785" w14:textId="77777777" w:rsidR="004F2647" w:rsidRDefault="004F2647">
      <w:pPr>
        <w:spacing w:line="360" w:lineRule="auto"/>
        <w:jc w:val="both"/>
        <w:rPr>
          <w:rFonts w:ascii="Palatino Linotype" w:eastAsia="Palatino Linotype" w:hAnsi="Palatino Linotype" w:cs="Palatino Linotype"/>
          <w:b/>
        </w:rPr>
      </w:pPr>
    </w:p>
    <w:p w14:paraId="46939786" w14:textId="77777777" w:rsidR="004F2647" w:rsidRDefault="002D5464">
      <w:pPr>
        <w:spacing w:line="360" w:lineRule="auto"/>
        <w:jc w:val="both"/>
        <w:rPr>
          <w:rFonts w:ascii="Palatino Linotype" w:eastAsia="Palatino Linotype" w:hAnsi="Palatino Linotype" w:cs="Palatino Linotype"/>
          <w:b/>
        </w:rPr>
      </w:pPr>
      <w:bookmarkStart w:id="7" w:name="_heading=h.2s8eyo1" w:colFirst="0" w:colLast="0"/>
      <w:bookmarkEnd w:id="7"/>
      <w:r>
        <w:rPr>
          <w:rFonts w:ascii="Palatino Linotype" w:eastAsia="Palatino Linotype" w:hAnsi="Palatino Linotype" w:cs="Palatino Linotype"/>
          <w:b/>
        </w:rPr>
        <w:t>SEGUNDO</w:t>
      </w:r>
      <w:r w:rsidRPr="00914229">
        <w:rPr>
          <w:rFonts w:ascii="Palatino Linotype" w:eastAsia="Palatino Linotype" w:hAnsi="Palatino Linotype" w:cs="Palatino Linotype"/>
          <w:b/>
        </w:rPr>
        <w:t xml:space="preserve">. </w:t>
      </w:r>
      <w:r w:rsidR="00006851" w:rsidRPr="00914229">
        <w:rPr>
          <w:rFonts w:ascii="Palatino Linotype" w:eastAsia="Palatino Linotype" w:hAnsi="Palatino Linotype" w:cs="Palatino Linotype"/>
          <w:color w:val="000000"/>
        </w:rPr>
        <w:t xml:space="preserve">Se </w:t>
      </w:r>
      <w:r w:rsidR="00006851" w:rsidRPr="00914229">
        <w:rPr>
          <w:rFonts w:ascii="Palatino Linotype" w:eastAsia="Palatino Linotype" w:hAnsi="Palatino Linotype" w:cs="Palatino Linotype"/>
          <w:b/>
          <w:color w:val="000000"/>
        </w:rPr>
        <w:t>ORDENA al Ayuntamiento</w:t>
      </w:r>
      <w:r w:rsidR="00006851" w:rsidRPr="00006851">
        <w:rPr>
          <w:rFonts w:ascii="Palatino Linotype" w:eastAsia="Palatino Linotype" w:hAnsi="Palatino Linotype" w:cs="Palatino Linotype"/>
          <w:b/>
          <w:color w:val="000000"/>
        </w:rPr>
        <w:t xml:space="preserve"> de Ixtapaluca</w:t>
      </w:r>
      <w:r w:rsidR="00006851" w:rsidRPr="00006851">
        <w:rPr>
          <w:rFonts w:ascii="Palatino Linotype" w:eastAsia="Palatino Linotype" w:hAnsi="Palatino Linotype" w:cs="Palatino Linotype"/>
          <w:color w:val="000000"/>
        </w:rPr>
        <w:t xml:space="preserve"> entregar, vía Sistema de Acceso a la Información Mexiquense (SAIMEX), de ser el caso en versión pública, en formato PDF o en formato en el que se genere, los documentos donde conste la siguiente información:</w:t>
      </w:r>
    </w:p>
    <w:p w14:paraId="46939787" w14:textId="77777777" w:rsidR="004F2647" w:rsidRDefault="004F2647">
      <w:pPr>
        <w:ind w:left="1134" w:right="900"/>
        <w:jc w:val="both"/>
        <w:rPr>
          <w:rFonts w:ascii="Palatino Linotype" w:eastAsia="Palatino Linotype" w:hAnsi="Palatino Linotype" w:cs="Palatino Linotype"/>
          <w:b/>
          <w:i/>
        </w:rPr>
      </w:pPr>
    </w:p>
    <w:p w14:paraId="46939788" w14:textId="77777777" w:rsidR="004F2647" w:rsidRDefault="004F2647">
      <w:pPr>
        <w:ind w:left="1134" w:right="900"/>
        <w:jc w:val="both"/>
        <w:rPr>
          <w:rFonts w:ascii="Palatino Linotype" w:eastAsia="Palatino Linotype" w:hAnsi="Palatino Linotype" w:cs="Palatino Linotype"/>
          <w:b/>
          <w:i/>
        </w:rPr>
      </w:pPr>
    </w:p>
    <w:p w14:paraId="46939789" w14:textId="77777777" w:rsidR="004F2647" w:rsidRDefault="002D5464">
      <w:pPr>
        <w:numPr>
          <w:ilvl w:val="0"/>
          <w:numId w:val="3"/>
        </w:numPr>
        <w:spacing w:line="360" w:lineRule="auto"/>
        <w:ind w:left="1134" w:right="1041"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Recibos de nómina y listas de raya de todo el personal adscrito a la administración pública </w:t>
      </w:r>
      <w:r>
        <w:rPr>
          <w:rFonts w:ascii="Palatino Linotype" w:eastAsia="Palatino Linotype" w:hAnsi="Palatino Linotype" w:cs="Palatino Linotype"/>
          <w:b/>
          <w:i/>
        </w:rPr>
        <w:t xml:space="preserve">2022-2024 </w:t>
      </w:r>
      <w:r>
        <w:rPr>
          <w:rFonts w:ascii="Palatino Linotype" w:eastAsia="Palatino Linotype" w:hAnsi="Palatino Linotype" w:cs="Palatino Linotype"/>
          <w:b/>
        </w:rPr>
        <w:t>del uno de noviembre de dos mil veintitrés al treinta y uno de marzo de dos mil veinticuatro;</w:t>
      </w:r>
    </w:p>
    <w:p w14:paraId="4693978A" w14:textId="77777777" w:rsidR="004F2647" w:rsidRDefault="004F2647">
      <w:pPr>
        <w:spacing w:line="360" w:lineRule="auto"/>
        <w:ind w:left="1134" w:right="1041"/>
        <w:jc w:val="both"/>
        <w:rPr>
          <w:rFonts w:ascii="Palatino Linotype" w:eastAsia="Palatino Linotype" w:hAnsi="Palatino Linotype" w:cs="Palatino Linotype"/>
          <w:b/>
          <w:color w:val="000000"/>
        </w:rPr>
      </w:pPr>
    </w:p>
    <w:p w14:paraId="4693978B" w14:textId="77777777" w:rsidR="004F2647" w:rsidRDefault="002D5464">
      <w:pPr>
        <w:numPr>
          <w:ilvl w:val="0"/>
          <w:numId w:val="3"/>
        </w:numPr>
        <w:spacing w:line="360" w:lineRule="auto"/>
        <w:ind w:left="1134" w:right="1041" w:firstLine="0"/>
        <w:jc w:val="both"/>
        <w:rPr>
          <w:rFonts w:ascii="Palatino Linotype" w:eastAsia="Palatino Linotype" w:hAnsi="Palatino Linotype" w:cs="Palatino Linotype"/>
          <w:b/>
          <w:color w:val="000000"/>
        </w:rPr>
      </w:pPr>
      <w:r>
        <w:rPr>
          <w:rFonts w:ascii="Palatino Linotype" w:eastAsia="Palatino Linotype" w:hAnsi="Palatino Linotype" w:cs="Palatino Linotype"/>
          <w:b/>
        </w:rPr>
        <w:t xml:space="preserve">Documento donde consten las altas, bajas o cambios de adscripción de todo el personal adscrito a la administración pública </w:t>
      </w:r>
      <w:r>
        <w:rPr>
          <w:rFonts w:ascii="Palatino Linotype" w:eastAsia="Palatino Linotype" w:hAnsi="Palatino Linotype" w:cs="Palatino Linotype"/>
          <w:b/>
          <w:i/>
        </w:rPr>
        <w:t>2022-2024</w:t>
      </w:r>
      <w:r>
        <w:rPr>
          <w:rFonts w:ascii="Palatino Linotype" w:eastAsia="Palatino Linotype" w:hAnsi="Palatino Linotype" w:cs="Palatino Linotype"/>
          <w:b/>
        </w:rPr>
        <w:t xml:space="preserve">, del uno de noviembre de dos mil veintitrés al treinta y uno de marzo de dos mil veinticuatro. </w:t>
      </w:r>
    </w:p>
    <w:p w14:paraId="4693978C" w14:textId="77777777" w:rsidR="004F2647" w:rsidRDefault="004F2647">
      <w:pPr>
        <w:spacing w:line="360" w:lineRule="auto"/>
        <w:jc w:val="both"/>
        <w:rPr>
          <w:rFonts w:ascii="Palatino Linotype" w:eastAsia="Palatino Linotype" w:hAnsi="Palatino Linotype" w:cs="Palatino Linotype"/>
          <w:b/>
          <w:color w:val="000000"/>
        </w:rPr>
      </w:pPr>
    </w:p>
    <w:p w14:paraId="4693978D" w14:textId="77777777" w:rsidR="004F2647" w:rsidRDefault="002D546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w:t>
      </w:r>
    </w:p>
    <w:p w14:paraId="4693978E" w14:textId="77777777" w:rsidR="004F2647" w:rsidRDefault="004F2647">
      <w:pPr>
        <w:spacing w:line="360" w:lineRule="auto"/>
        <w:jc w:val="both"/>
        <w:rPr>
          <w:rFonts w:ascii="Palatino Linotype" w:eastAsia="Palatino Linotype" w:hAnsi="Palatino Linotype" w:cs="Palatino Linotype"/>
        </w:rPr>
      </w:pPr>
    </w:p>
    <w:p w14:paraId="4693978F" w14:textId="77777777" w:rsidR="004F2647" w:rsidRDefault="002D546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ser el caso q</w:t>
      </w:r>
      <w:r w:rsidR="00C53267">
        <w:rPr>
          <w:rFonts w:ascii="Palatino Linotype" w:eastAsia="Palatino Linotype" w:hAnsi="Palatino Linotype" w:cs="Palatino Linotype"/>
        </w:rPr>
        <w:t xml:space="preserve">ue la información del </w:t>
      </w:r>
      <w:r w:rsidR="00C53267" w:rsidRPr="00914229">
        <w:rPr>
          <w:rFonts w:ascii="Palatino Linotype" w:eastAsia="Palatino Linotype" w:hAnsi="Palatino Linotype" w:cs="Palatino Linotype"/>
        </w:rPr>
        <w:t>inciso a) en cuanto a las listas de raya y al inciso</w:t>
      </w:r>
      <w:r w:rsidR="00C53267">
        <w:rPr>
          <w:rFonts w:ascii="Palatino Linotype" w:eastAsia="Palatino Linotype" w:hAnsi="Palatino Linotype" w:cs="Palatino Linotype"/>
        </w:rPr>
        <w:t xml:space="preserve"> </w:t>
      </w:r>
      <w:r>
        <w:rPr>
          <w:rFonts w:ascii="Palatino Linotype" w:eastAsia="Palatino Linotype" w:hAnsi="Palatino Linotype" w:cs="Palatino Linotype"/>
        </w:rPr>
        <w:t xml:space="preserve"> b) no se hubiera administrado, generado o poseído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por no haber existido altas, bajas o cambios de adscripción de servidores públicos, bastará con que se haga del conocimiento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 conformidad con el artículo 19 párrafo segundo de la Ley de Transparencia y Acceso a la Información Pública del Estado de México y Municipios. </w:t>
      </w:r>
    </w:p>
    <w:p w14:paraId="46939790" w14:textId="77777777" w:rsidR="004F2647" w:rsidRDefault="004F2647">
      <w:pPr>
        <w:spacing w:line="360" w:lineRule="auto"/>
        <w:jc w:val="both"/>
        <w:rPr>
          <w:rFonts w:ascii="Palatino Linotype" w:eastAsia="Palatino Linotype" w:hAnsi="Palatino Linotype" w:cs="Palatino Linotype"/>
        </w:rPr>
      </w:pPr>
    </w:p>
    <w:p w14:paraId="46939791" w14:textId="77777777" w:rsidR="004F2647" w:rsidRDefault="004F2647">
      <w:pPr>
        <w:rPr>
          <w:rFonts w:ascii="Palatino Linotype" w:eastAsia="Palatino Linotype" w:hAnsi="Palatino Linotype" w:cs="Palatino Linotype"/>
          <w:b/>
        </w:rPr>
      </w:pPr>
    </w:p>
    <w:p w14:paraId="46939792" w14:textId="77777777" w:rsidR="004F2647" w:rsidRDefault="002D546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rPr>
        <w:t xml:space="preserve">. 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rPr>
        <w:t>dé cumplimiento a lo ordenado dentro del plazo de diez días hábiles,</w:t>
      </w:r>
      <w:r>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6939793" w14:textId="77777777" w:rsidR="004F2647" w:rsidRDefault="004F2647">
      <w:pPr>
        <w:spacing w:line="360" w:lineRule="auto"/>
        <w:jc w:val="both"/>
        <w:rPr>
          <w:rFonts w:ascii="Palatino Linotype" w:eastAsia="Palatino Linotype" w:hAnsi="Palatino Linotype" w:cs="Palatino Linotype"/>
          <w:highlight w:val="white"/>
        </w:rPr>
      </w:pPr>
    </w:p>
    <w:p w14:paraId="46939794" w14:textId="77777777" w:rsidR="004F2647" w:rsidRDefault="002D546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46939795" w14:textId="77777777" w:rsidR="004F2647" w:rsidRDefault="004F2647">
      <w:pPr>
        <w:spacing w:line="360" w:lineRule="auto"/>
        <w:jc w:val="both"/>
        <w:rPr>
          <w:rFonts w:ascii="Palatino Linotype" w:eastAsia="Palatino Linotype" w:hAnsi="Palatino Linotype" w:cs="Palatino Linotype"/>
        </w:rPr>
      </w:pPr>
    </w:p>
    <w:p w14:paraId="46939796" w14:textId="77777777" w:rsidR="004F2647" w:rsidRDefault="002D5464">
      <w:pPr>
        <w:tabs>
          <w:tab w:val="left" w:pos="8080"/>
        </w:tabs>
        <w:spacing w:line="360" w:lineRule="auto"/>
        <w:ind w:right="49"/>
        <w:jc w:val="both"/>
        <w:rPr>
          <w:rFonts w:ascii="Palatino Linotype" w:eastAsia="Palatino Linotype" w:hAnsi="Palatino Linotype" w:cs="Palatino Linotype"/>
        </w:rPr>
      </w:pPr>
      <w:bookmarkStart w:id="8" w:name="_heading=h.17dp8vu" w:colFirst="0" w:colLast="0"/>
      <w:bookmarkEnd w:id="8"/>
      <w:r>
        <w:rPr>
          <w:rFonts w:ascii="Palatino Linotype" w:eastAsia="Palatino Linotype" w:hAnsi="Palatino Linotype" w:cs="Palatino Linotype"/>
          <w:b/>
        </w:rPr>
        <w:lastRenderedPageBreak/>
        <w:t xml:space="preserve">QUINTO. </w:t>
      </w:r>
      <w:r>
        <w:rPr>
          <w:rFonts w:ascii="Palatino Linotype" w:eastAsia="Palatino Linotype" w:hAnsi="Palatino Linotype" w:cs="Palatino Linotype"/>
        </w:rPr>
        <w:t xml:space="preserve">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46939797" w14:textId="77777777" w:rsidR="004F2647" w:rsidRDefault="004F2647">
      <w:pPr>
        <w:tabs>
          <w:tab w:val="left" w:pos="8080"/>
        </w:tabs>
        <w:spacing w:line="360" w:lineRule="auto"/>
        <w:ind w:right="49"/>
        <w:jc w:val="both"/>
        <w:rPr>
          <w:rFonts w:ascii="Palatino Linotype" w:eastAsia="Palatino Linotype" w:hAnsi="Palatino Linotype" w:cs="Palatino Linotype"/>
        </w:rPr>
      </w:pPr>
    </w:p>
    <w:p w14:paraId="46939798" w14:textId="77777777" w:rsidR="004F2647" w:rsidRDefault="002D5464">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SEXTO.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46939799" w14:textId="77777777" w:rsidR="00006851" w:rsidRDefault="00006851">
      <w:pPr>
        <w:shd w:val="clear" w:color="auto" w:fill="FFFFFF"/>
        <w:spacing w:line="360" w:lineRule="auto"/>
        <w:jc w:val="both"/>
        <w:rPr>
          <w:rFonts w:ascii="Palatino Linotype" w:eastAsia="Palatino Linotype" w:hAnsi="Palatino Linotype" w:cs="Palatino Linotype"/>
        </w:rPr>
      </w:pPr>
    </w:p>
    <w:p w14:paraId="4693979A" w14:textId="77777777" w:rsidR="00006851" w:rsidRDefault="00006851">
      <w:pPr>
        <w:shd w:val="clear" w:color="auto" w:fill="FFFFFF"/>
        <w:spacing w:line="360" w:lineRule="auto"/>
        <w:jc w:val="both"/>
        <w:rPr>
          <w:rFonts w:ascii="Palatino Linotype" w:eastAsia="Palatino Linotype" w:hAnsi="Palatino Linotype" w:cs="Palatino Linotype"/>
        </w:rPr>
      </w:pPr>
      <w:r w:rsidRPr="00914229">
        <w:rPr>
          <w:rFonts w:ascii="Palatino Linotype" w:eastAsia="Palatino Linotype" w:hAnsi="Palatino Linotype" w:cs="Palatino Linotype"/>
          <w:b/>
        </w:rPr>
        <w:t>SÉPTIMO.</w:t>
      </w:r>
      <w:r w:rsidRPr="00914229">
        <w:rPr>
          <w:rFonts w:ascii="Palatino Linotype" w:eastAsia="Palatino Linotype" w:hAnsi="Palatino Linotype" w:cs="Palatino Linotype"/>
        </w:rPr>
        <w:t xml:space="preserve"> Hágase del conocimiento del </w:t>
      </w:r>
      <w:r w:rsidRPr="00914229">
        <w:rPr>
          <w:rFonts w:ascii="Palatino Linotype" w:eastAsia="Palatino Linotype" w:hAnsi="Palatino Linotype" w:cs="Palatino Linotype"/>
          <w:b/>
        </w:rPr>
        <w:t>RECURRENTE</w:t>
      </w:r>
      <w:r w:rsidRPr="00914229">
        <w:rPr>
          <w:rFonts w:ascii="Palatino Linotype" w:eastAsia="Palatino Linotype" w:hAnsi="Palatino Linotype" w:cs="Palatino Linotype"/>
        </w:rPr>
        <w:t xml:space="preserve"> que la respuesta que dé EL </w:t>
      </w:r>
      <w:r w:rsidRPr="00914229">
        <w:rPr>
          <w:rFonts w:ascii="Palatino Linotype" w:eastAsia="Palatino Linotype" w:hAnsi="Palatino Linotype" w:cs="Palatino Linotype"/>
          <w:b/>
        </w:rPr>
        <w:t>SUJETO OBLIGADO</w:t>
      </w:r>
      <w:r w:rsidRPr="00914229">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693979B" w14:textId="77777777" w:rsidR="004F2647" w:rsidRDefault="004F2647">
      <w:pPr>
        <w:shd w:val="clear" w:color="auto" w:fill="FFFFFF"/>
        <w:spacing w:line="360" w:lineRule="auto"/>
        <w:jc w:val="both"/>
        <w:rPr>
          <w:rFonts w:ascii="Palatino Linotype" w:eastAsia="Palatino Linotype" w:hAnsi="Palatino Linotype" w:cs="Palatino Linotype"/>
        </w:rPr>
      </w:pPr>
    </w:p>
    <w:p w14:paraId="4693979C" w14:textId="737ED05A" w:rsidR="009D317F" w:rsidRPr="003C7186" w:rsidRDefault="009D317F" w:rsidP="009D317F">
      <w:pPr>
        <w:spacing w:line="360" w:lineRule="auto"/>
        <w:ind w:firstLine="1"/>
        <w:jc w:val="both"/>
        <w:rPr>
          <w:rFonts w:ascii="Palatino Linotype" w:hAnsi="Palatino Linotype"/>
        </w:rPr>
      </w:pPr>
      <w:bookmarkStart w:id="9" w:name="_heading=h.ylxvg866liro" w:colFirst="0" w:colLast="0"/>
      <w:bookmarkEnd w:id="9"/>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470724">
        <w:rPr>
          <w:rFonts w:ascii="Palatino Linotype" w:hAnsi="Palatino Linotype"/>
        </w:rPr>
        <w:t xml:space="preserve"> </w:t>
      </w:r>
      <w:r w:rsidR="00470724" w:rsidRPr="00470724">
        <w:rPr>
          <w:rFonts w:ascii="Palatino Linotype" w:hAnsi="Palatino Linotype"/>
        </w:rPr>
        <w:t>EMITIENDO VOTO PARTICULAR</w:t>
      </w:r>
      <w:r>
        <w:rPr>
          <w:rFonts w:ascii="Palatino Linotype" w:hAnsi="Palatino Linotype"/>
        </w:rPr>
        <w:t xml:space="preserve"> </w:t>
      </w:r>
      <w:r w:rsidRPr="003C7186">
        <w:rPr>
          <w:rFonts w:ascii="Palatino Linotype" w:hAnsi="Palatino Linotype"/>
        </w:rPr>
        <w:t xml:space="preserve">Y GUADALUPE RAMÍREZ PEÑA </w:t>
      </w:r>
      <w:r w:rsidR="00470724" w:rsidRPr="00470724">
        <w:rPr>
          <w:rFonts w:ascii="Palatino Linotype" w:hAnsi="Palatino Linotype"/>
        </w:rPr>
        <w:t>EMITIENDO VOTO PARTICULAR</w:t>
      </w:r>
      <w:r w:rsidR="00E575AC">
        <w:rPr>
          <w:rFonts w:ascii="Palatino Linotype" w:hAnsi="Palatino Linotype"/>
        </w:rPr>
        <w:t xml:space="preserve">,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SESIÓN ORDINARIA CELEBRADA EL </w:t>
      </w:r>
      <w:r>
        <w:rPr>
          <w:rFonts w:ascii="Palatino Linotype" w:hAnsi="Palatino Linotype"/>
        </w:rPr>
        <w:t>VEINTIOCHO</w:t>
      </w:r>
      <w:r w:rsidRPr="003C7186">
        <w:rPr>
          <w:rFonts w:ascii="Palatino Linotype" w:hAnsi="Palatino Linotype"/>
        </w:rPr>
        <w:t xml:space="preserve"> </w:t>
      </w:r>
      <w:r>
        <w:rPr>
          <w:rFonts w:ascii="Palatino Linotype" w:hAnsi="Palatino Linotype"/>
        </w:rPr>
        <w:t>(28) DE AGOSTO</w:t>
      </w:r>
      <w:r w:rsidRPr="003C7186">
        <w:rPr>
          <w:rFonts w:ascii="Palatino Linotype" w:hAnsi="Palatino Linotype"/>
        </w:rPr>
        <w:t xml:space="preserve"> DE DOS MIL VEINTICUATRO, ANTE EL SECRETARIO TÉCNICO DEL PLENO ALEXIS TAPIA RAMÍREZ. </w:t>
      </w:r>
    </w:p>
    <w:p w14:paraId="4693979D" w14:textId="77777777" w:rsidR="004F2647" w:rsidRDefault="004F2647">
      <w:pPr>
        <w:spacing w:line="360" w:lineRule="auto"/>
        <w:jc w:val="both"/>
        <w:rPr>
          <w:rFonts w:ascii="Palatino Linotype" w:eastAsia="Palatino Linotype" w:hAnsi="Palatino Linotype" w:cs="Palatino Linotype"/>
        </w:rPr>
      </w:pPr>
    </w:p>
    <w:p w14:paraId="4693979E" w14:textId="77777777" w:rsidR="004F2647" w:rsidRDefault="004F2647">
      <w:pPr>
        <w:spacing w:line="360" w:lineRule="auto"/>
        <w:jc w:val="both"/>
        <w:rPr>
          <w:rFonts w:ascii="Palatino Linotype" w:eastAsia="Palatino Linotype" w:hAnsi="Palatino Linotype" w:cs="Palatino Linotype"/>
        </w:rPr>
      </w:pPr>
      <w:bookmarkStart w:id="10" w:name="_heading=h.o86fkyrj2h6a" w:colFirst="0" w:colLast="0"/>
      <w:bookmarkEnd w:id="10"/>
    </w:p>
    <w:p w14:paraId="4693979F" w14:textId="77777777" w:rsidR="004F2647" w:rsidRDefault="004F2647">
      <w:pPr>
        <w:spacing w:line="360" w:lineRule="auto"/>
        <w:jc w:val="both"/>
        <w:rPr>
          <w:rFonts w:ascii="Palatino Linotype" w:eastAsia="Palatino Linotype" w:hAnsi="Palatino Linotype" w:cs="Palatino Linotype"/>
        </w:rPr>
      </w:pPr>
      <w:bookmarkStart w:id="11" w:name="_heading=h.453vpihwkyul" w:colFirst="0" w:colLast="0"/>
      <w:bookmarkEnd w:id="11"/>
    </w:p>
    <w:p w14:paraId="469397A0" w14:textId="77777777" w:rsidR="004F2647" w:rsidRDefault="004F2647">
      <w:pPr>
        <w:spacing w:line="360" w:lineRule="auto"/>
        <w:jc w:val="both"/>
        <w:rPr>
          <w:rFonts w:ascii="Palatino Linotype" w:eastAsia="Palatino Linotype" w:hAnsi="Palatino Linotype" w:cs="Palatino Linotype"/>
        </w:rPr>
      </w:pPr>
      <w:bookmarkStart w:id="12" w:name="_heading=h.dw22ym77tc2" w:colFirst="0" w:colLast="0"/>
      <w:bookmarkEnd w:id="12"/>
    </w:p>
    <w:p w14:paraId="469397A1" w14:textId="77777777" w:rsidR="004F2647" w:rsidRDefault="004F2647">
      <w:pPr>
        <w:spacing w:line="360" w:lineRule="auto"/>
        <w:jc w:val="both"/>
        <w:rPr>
          <w:rFonts w:ascii="Palatino Linotype" w:eastAsia="Palatino Linotype" w:hAnsi="Palatino Linotype" w:cs="Palatino Linotype"/>
        </w:rPr>
      </w:pPr>
      <w:bookmarkStart w:id="13" w:name="_heading=h.hvlg3oc554e" w:colFirst="0" w:colLast="0"/>
      <w:bookmarkEnd w:id="13"/>
    </w:p>
    <w:p w14:paraId="469397A2" w14:textId="77777777" w:rsidR="004F2647" w:rsidRDefault="004F2647">
      <w:pPr>
        <w:spacing w:line="360" w:lineRule="auto"/>
        <w:jc w:val="both"/>
        <w:rPr>
          <w:rFonts w:ascii="Palatino Linotype" w:eastAsia="Palatino Linotype" w:hAnsi="Palatino Linotype" w:cs="Palatino Linotype"/>
        </w:rPr>
      </w:pPr>
      <w:bookmarkStart w:id="14" w:name="_heading=h.pzjbgo4y6mr" w:colFirst="0" w:colLast="0"/>
      <w:bookmarkEnd w:id="14"/>
    </w:p>
    <w:p w14:paraId="469397A3" w14:textId="77777777" w:rsidR="004F2647" w:rsidRDefault="004F2647">
      <w:pPr>
        <w:spacing w:line="360" w:lineRule="auto"/>
        <w:jc w:val="both"/>
        <w:rPr>
          <w:rFonts w:ascii="Palatino Linotype" w:eastAsia="Palatino Linotype" w:hAnsi="Palatino Linotype" w:cs="Palatino Linotype"/>
        </w:rPr>
      </w:pPr>
      <w:bookmarkStart w:id="15" w:name="_heading=h.xhits0fsazst" w:colFirst="0" w:colLast="0"/>
      <w:bookmarkEnd w:id="15"/>
    </w:p>
    <w:p w14:paraId="469397A4" w14:textId="77777777" w:rsidR="004F2647" w:rsidRDefault="004F2647">
      <w:pPr>
        <w:spacing w:line="360" w:lineRule="auto"/>
        <w:jc w:val="both"/>
        <w:rPr>
          <w:rFonts w:ascii="Palatino Linotype" w:eastAsia="Palatino Linotype" w:hAnsi="Palatino Linotype" w:cs="Palatino Linotype"/>
        </w:rPr>
      </w:pPr>
      <w:bookmarkStart w:id="16" w:name="_heading=h.1o2vtf29jf3g" w:colFirst="0" w:colLast="0"/>
      <w:bookmarkEnd w:id="16"/>
    </w:p>
    <w:p w14:paraId="469397A5" w14:textId="77777777" w:rsidR="004F2647" w:rsidRDefault="004F2647">
      <w:pPr>
        <w:spacing w:line="360" w:lineRule="auto"/>
        <w:jc w:val="both"/>
        <w:rPr>
          <w:rFonts w:ascii="Palatino Linotype" w:eastAsia="Palatino Linotype" w:hAnsi="Palatino Linotype" w:cs="Palatino Linotype"/>
        </w:rPr>
      </w:pPr>
      <w:bookmarkStart w:id="17" w:name="_heading=h.pv5w2bq4kt9z" w:colFirst="0" w:colLast="0"/>
      <w:bookmarkEnd w:id="17"/>
    </w:p>
    <w:p w14:paraId="469397A6" w14:textId="77777777" w:rsidR="004F2647" w:rsidRDefault="004F2647">
      <w:pPr>
        <w:spacing w:line="360" w:lineRule="auto"/>
        <w:jc w:val="both"/>
        <w:rPr>
          <w:rFonts w:ascii="Palatino Linotype" w:eastAsia="Palatino Linotype" w:hAnsi="Palatino Linotype" w:cs="Palatino Linotype"/>
        </w:rPr>
      </w:pPr>
      <w:bookmarkStart w:id="18" w:name="_heading=h.19h2kkat13vy" w:colFirst="0" w:colLast="0"/>
      <w:bookmarkEnd w:id="18"/>
    </w:p>
    <w:p w14:paraId="469397A7" w14:textId="77777777" w:rsidR="004F2647" w:rsidRDefault="004F2647">
      <w:pPr>
        <w:spacing w:line="360" w:lineRule="auto"/>
        <w:jc w:val="both"/>
        <w:rPr>
          <w:rFonts w:ascii="Palatino Linotype" w:eastAsia="Palatino Linotype" w:hAnsi="Palatino Linotype" w:cs="Palatino Linotype"/>
        </w:rPr>
      </w:pPr>
      <w:bookmarkStart w:id="19" w:name="_heading=h.g4tfiuvp3qzp" w:colFirst="0" w:colLast="0"/>
      <w:bookmarkEnd w:id="19"/>
    </w:p>
    <w:p w14:paraId="469397A8" w14:textId="77777777" w:rsidR="004F2647" w:rsidRDefault="004F2647">
      <w:pPr>
        <w:spacing w:line="360" w:lineRule="auto"/>
        <w:jc w:val="both"/>
        <w:rPr>
          <w:rFonts w:ascii="Palatino Linotype" w:eastAsia="Palatino Linotype" w:hAnsi="Palatino Linotype" w:cs="Palatino Linotype"/>
        </w:rPr>
      </w:pPr>
      <w:bookmarkStart w:id="20" w:name="_heading=h.gc49wsqwz5i4" w:colFirst="0" w:colLast="0"/>
      <w:bookmarkEnd w:id="20"/>
    </w:p>
    <w:p w14:paraId="469397A9" w14:textId="77777777" w:rsidR="004F2647" w:rsidRDefault="004F2647">
      <w:pPr>
        <w:spacing w:line="360" w:lineRule="auto"/>
        <w:jc w:val="both"/>
        <w:rPr>
          <w:rFonts w:ascii="Palatino Linotype" w:eastAsia="Palatino Linotype" w:hAnsi="Palatino Linotype" w:cs="Palatino Linotype"/>
        </w:rPr>
      </w:pPr>
      <w:bookmarkStart w:id="21" w:name="_heading=h.xtfrlqdy6mz0" w:colFirst="0" w:colLast="0"/>
      <w:bookmarkEnd w:id="21"/>
    </w:p>
    <w:p w14:paraId="469397AA" w14:textId="77777777" w:rsidR="004F2647" w:rsidRDefault="004F2647">
      <w:pPr>
        <w:spacing w:line="360" w:lineRule="auto"/>
        <w:jc w:val="both"/>
        <w:rPr>
          <w:rFonts w:ascii="Palatino Linotype" w:eastAsia="Palatino Linotype" w:hAnsi="Palatino Linotype" w:cs="Palatino Linotype"/>
        </w:rPr>
      </w:pPr>
      <w:bookmarkStart w:id="22" w:name="_heading=h.4yrob2xyx1b" w:colFirst="0" w:colLast="0"/>
      <w:bookmarkEnd w:id="22"/>
    </w:p>
    <w:p w14:paraId="469397AB" w14:textId="77777777" w:rsidR="004F2647" w:rsidRDefault="004F2647">
      <w:pPr>
        <w:spacing w:line="360" w:lineRule="auto"/>
        <w:jc w:val="both"/>
        <w:rPr>
          <w:rFonts w:ascii="Palatino Linotype" w:eastAsia="Palatino Linotype" w:hAnsi="Palatino Linotype" w:cs="Palatino Linotype"/>
        </w:rPr>
      </w:pPr>
      <w:bookmarkStart w:id="23" w:name="_heading=h.nl6fjwh5n5ml" w:colFirst="0" w:colLast="0"/>
      <w:bookmarkEnd w:id="23"/>
    </w:p>
    <w:p w14:paraId="469397AC" w14:textId="77777777" w:rsidR="004F2647" w:rsidRDefault="004F2647">
      <w:pPr>
        <w:spacing w:line="360" w:lineRule="auto"/>
        <w:jc w:val="both"/>
        <w:rPr>
          <w:rFonts w:ascii="Palatino Linotype" w:eastAsia="Palatino Linotype" w:hAnsi="Palatino Linotype" w:cs="Palatino Linotype"/>
        </w:rPr>
      </w:pPr>
      <w:bookmarkStart w:id="24" w:name="_heading=h.an87147ovnb9" w:colFirst="0" w:colLast="0"/>
      <w:bookmarkEnd w:id="24"/>
    </w:p>
    <w:p w14:paraId="469397AD" w14:textId="77777777" w:rsidR="004F2647" w:rsidRDefault="004F2647">
      <w:pPr>
        <w:spacing w:line="360" w:lineRule="auto"/>
        <w:jc w:val="both"/>
        <w:rPr>
          <w:rFonts w:ascii="Palatino Linotype" w:eastAsia="Palatino Linotype" w:hAnsi="Palatino Linotype" w:cs="Palatino Linotype"/>
        </w:rPr>
      </w:pPr>
      <w:bookmarkStart w:id="25" w:name="_heading=h.s1p3i27hrakb" w:colFirst="0" w:colLast="0"/>
      <w:bookmarkEnd w:id="25"/>
    </w:p>
    <w:p w14:paraId="469397AE" w14:textId="77777777" w:rsidR="004F2647" w:rsidRDefault="004F2647">
      <w:pPr>
        <w:spacing w:line="360" w:lineRule="auto"/>
        <w:jc w:val="both"/>
        <w:rPr>
          <w:rFonts w:ascii="Palatino Linotype" w:eastAsia="Palatino Linotype" w:hAnsi="Palatino Linotype" w:cs="Palatino Linotype"/>
        </w:rPr>
      </w:pPr>
      <w:bookmarkStart w:id="26" w:name="_heading=h.gjdgxs" w:colFirst="0" w:colLast="0"/>
      <w:bookmarkEnd w:id="26"/>
    </w:p>
    <w:p w14:paraId="469397AF" w14:textId="77777777" w:rsidR="004F2647" w:rsidRDefault="004F2647">
      <w:pPr>
        <w:spacing w:line="360" w:lineRule="auto"/>
        <w:jc w:val="both"/>
        <w:rPr>
          <w:rFonts w:ascii="Palatino Linotype" w:eastAsia="Palatino Linotype" w:hAnsi="Palatino Linotype" w:cs="Palatino Linotype"/>
        </w:rPr>
      </w:pPr>
    </w:p>
    <w:p w14:paraId="469397B0" w14:textId="77777777" w:rsidR="004F2647" w:rsidRDefault="004F2647">
      <w:pPr>
        <w:spacing w:line="360" w:lineRule="auto"/>
        <w:jc w:val="both"/>
        <w:rPr>
          <w:rFonts w:ascii="Palatino Linotype" w:eastAsia="Palatino Linotype" w:hAnsi="Palatino Linotype" w:cs="Palatino Linotype"/>
          <w:color w:val="000000"/>
        </w:rPr>
      </w:pPr>
    </w:p>
    <w:p w14:paraId="469397B1" w14:textId="77777777" w:rsidR="004F2647" w:rsidRDefault="004F2647">
      <w:pPr>
        <w:spacing w:line="360" w:lineRule="auto"/>
        <w:jc w:val="both"/>
        <w:rPr>
          <w:rFonts w:ascii="Palatino Linotype" w:eastAsia="Palatino Linotype" w:hAnsi="Palatino Linotype" w:cs="Palatino Linotype"/>
          <w:color w:val="000000"/>
        </w:rPr>
      </w:pPr>
    </w:p>
    <w:p w14:paraId="469397B2" w14:textId="77777777" w:rsidR="004F2647" w:rsidRDefault="004F2647">
      <w:pPr>
        <w:spacing w:line="360" w:lineRule="auto"/>
        <w:jc w:val="both"/>
        <w:rPr>
          <w:rFonts w:ascii="Palatino Linotype" w:eastAsia="Palatino Linotype" w:hAnsi="Palatino Linotype" w:cs="Palatino Linotype"/>
          <w:color w:val="000000"/>
        </w:rPr>
      </w:pPr>
    </w:p>
    <w:p w14:paraId="469397BA" w14:textId="77777777" w:rsidR="004F2647" w:rsidRDefault="004F2647"/>
    <w:sectPr w:rsidR="004F2647">
      <w:headerReference w:type="default" r:id="rId23"/>
      <w:footerReference w:type="default" r:id="rId24"/>
      <w:headerReference w:type="first" r:id="rId25"/>
      <w:footerReference w:type="first" r:id="rId26"/>
      <w:pgSz w:w="12240" w:h="15840"/>
      <w:pgMar w:top="2268" w:right="1701" w:bottom="1560"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B2C7" w14:textId="77777777" w:rsidR="004D3831" w:rsidRDefault="004D3831">
      <w:r>
        <w:separator/>
      </w:r>
    </w:p>
  </w:endnote>
  <w:endnote w:type="continuationSeparator" w:id="0">
    <w:p w14:paraId="7607AFD6" w14:textId="77777777" w:rsidR="004D3831" w:rsidRDefault="004D3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swiss"/>
    <w:notTrueType/>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97ED" w14:textId="77777777" w:rsidR="002D5464" w:rsidRDefault="002D54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914229">
      <w:rPr>
        <w:rFonts w:ascii="Palatino Linotype" w:eastAsia="Palatino Linotype" w:hAnsi="Palatino Linotype" w:cs="Palatino Linotype"/>
        <w:b/>
        <w:noProof/>
        <w:color w:val="000000"/>
        <w:sz w:val="22"/>
        <w:szCs w:val="22"/>
      </w:rPr>
      <w:t>58</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914229">
      <w:rPr>
        <w:rFonts w:ascii="Palatino Linotype" w:eastAsia="Palatino Linotype" w:hAnsi="Palatino Linotype" w:cs="Palatino Linotype"/>
        <w:b/>
        <w:noProof/>
        <w:color w:val="000000"/>
        <w:sz w:val="22"/>
        <w:szCs w:val="22"/>
      </w:rPr>
      <w:t>60</w:t>
    </w:r>
    <w:r>
      <w:rPr>
        <w:rFonts w:ascii="Palatino Linotype" w:eastAsia="Palatino Linotype" w:hAnsi="Palatino Linotype" w:cs="Palatino Linotype"/>
        <w:b/>
        <w:color w:val="000000"/>
        <w:sz w:val="22"/>
        <w:szCs w:val="22"/>
      </w:rPr>
      <w:fldChar w:fldCharType="end"/>
    </w:r>
  </w:p>
  <w:p w14:paraId="469397EE" w14:textId="77777777" w:rsidR="002D5464" w:rsidRDefault="002D5464">
    <w:pPr>
      <w:pBdr>
        <w:top w:val="nil"/>
        <w:left w:val="nil"/>
        <w:bottom w:val="nil"/>
        <w:right w:val="nil"/>
        <w:between w:val="nil"/>
      </w:pBdr>
      <w:tabs>
        <w:tab w:val="center" w:pos="4252"/>
        <w:tab w:val="right" w:pos="8504"/>
      </w:tabs>
      <w:rPr>
        <w:color w:val="000000"/>
      </w:rPr>
    </w:pPr>
  </w:p>
  <w:p w14:paraId="469397EF" w14:textId="77777777" w:rsidR="002D5464" w:rsidRDefault="002D54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97FF" w14:textId="77777777" w:rsidR="002D5464" w:rsidRDefault="002D546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14229">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14229">
      <w:rPr>
        <w:rFonts w:ascii="Palatino Linotype" w:eastAsia="Palatino Linotype" w:hAnsi="Palatino Linotype" w:cs="Palatino Linotype"/>
        <w:noProof/>
        <w:color w:val="000000"/>
        <w:sz w:val="22"/>
        <w:szCs w:val="22"/>
      </w:rPr>
      <w:t>60</w:t>
    </w:r>
    <w:r>
      <w:rPr>
        <w:rFonts w:ascii="Palatino Linotype" w:eastAsia="Palatino Linotype" w:hAnsi="Palatino Linotype" w:cs="Palatino Linotype"/>
        <w:color w:val="000000"/>
        <w:sz w:val="22"/>
        <w:szCs w:val="22"/>
      </w:rPr>
      <w:fldChar w:fldCharType="end"/>
    </w:r>
  </w:p>
  <w:p w14:paraId="46939800" w14:textId="77777777" w:rsidR="002D5464" w:rsidRDefault="002D5464">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14:paraId="46939801" w14:textId="77777777" w:rsidR="002D5464" w:rsidRDefault="002D54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3A30C" w14:textId="77777777" w:rsidR="004D3831" w:rsidRDefault="004D3831">
      <w:r>
        <w:separator/>
      </w:r>
    </w:p>
  </w:footnote>
  <w:footnote w:type="continuationSeparator" w:id="0">
    <w:p w14:paraId="756DF845" w14:textId="77777777" w:rsidR="004D3831" w:rsidRDefault="004D3831">
      <w:r>
        <w:continuationSeparator/>
      </w:r>
    </w:p>
  </w:footnote>
  <w:footnote w:id="1">
    <w:p w14:paraId="46939805" w14:textId="77777777" w:rsidR="002D5464" w:rsidRDefault="002D546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46939806" w14:textId="77777777" w:rsidR="002D5464" w:rsidRDefault="002D546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46939807" w14:textId="77777777" w:rsidR="002D5464" w:rsidRDefault="002D546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46939808" w14:textId="77777777" w:rsidR="002D5464" w:rsidRDefault="002D546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97E1" w14:textId="77777777" w:rsidR="002D5464" w:rsidRDefault="002D5464">
    <w:pPr>
      <w:widowControl w:val="0"/>
      <w:pBdr>
        <w:top w:val="nil"/>
        <w:left w:val="nil"/>
        <w:bottom w:val="nil"/>
        <w:right w:val="nil"/>
        <w:between w:val="nil"/>
      </w:pBdr>
      <w:spacing w:line="276" w:lineRule="auto"/>
      <w:rPr>
        <w:color w:val="000000"/>
        <w:sz w:val="20"/>
        <w:szCs w:val="20"/>
      </w:rPr>
    </w:pPr>
  </w:p>
  <w:tbl>
    <w:tblPr>
      <w:tblStyle w:val="a2"/>
      <w:tblW w:w="6950"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3260"/>
      <w:gridCol w:w="3690"/>
    </w:tblGrid>
    <w:tr w:rsidR="002D5464" w14:paraId="469397E4" w14:textId="77777777">
      <w:trPr>
        <w:trHeight w:val="138"/>
        <w:jc w:val="right"/>
      </w:trPr>
      <w:tc>
        <w:tcPr>
          <w:tcW w:w="3260" w:type="dxa"/>
          <w:vAlign w:val="center"/>
        </w:tcPr>
        <w:p w14:paraId="469397E2" w14:textId="77777777" w:rsidR="002D5464" w:rsidRDefault="002D546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90" w:type="dxa"/>
          <w:vAlign w:val="center"/>
        </w:tcPr>
        <w:p w14:paraId="469397E3" w14:textId="77777777" w:rsidR="002D5464" w:rsidRDefault="002D5464">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rPr>
            <w:t>04353/INFOEM/IP/RR/2024</w:t>
          </w:r>
        </w:p>
      </w:tc>
    </w:tr>
    <w:tr w:rsidR="002D5464" w14:paraId="469397E7" w14:textId="77777777">
      <w:trPr>
        <w:trHeight w:val="233"/>
        <w:jc w:val="right"/>
      </w:trPr>
      <w:tc>
        <w:tcPr>
          <w:tcW w:w="3260" w:type="dxa"/>
          <w:vAlign w:val="center"/>
        </w:tcPr>
        <w:p w14:paraId="469397E5" w14:textId="77777777" w:rsidR="002D5464" w:rsidRDefault="002D546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90" w:type="dxa"/>
          <w:vAlign w:val="center"/>
        </w:tcPr>
        <w:p w14:paraId="469397E6" w14:textId="77777777" w:rsidR="002D5464" w:rsidRDefault="002D5464">
          <w:pPr>
            <w:pBdr>
              <w:top w:val="nil"/>
              <w:left w:val="nil"/>
              <w:bottom w:val="nil"/>
              <w:right w:val="nil"/>
              <w:between w:val="nil"/>
            </w:pBdr>
            <w:tabs>
              <w:tab w:val="center" w:pos="4252"/>
              <w:tab w:val="right" w:pos="8504"/>
            </w:tabs>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Ixtapaluca</w:t>
          </w:r>
        </w:p>
      </w:tc>
    </w:tr>
    <w:tr w:rsidR="002D5464" w14:paraId="469397EA" w14:textId="77777777">
      <w:trPr>
        <w:trHeight w:val="321"/>
        <w:jc w:val="right"/>
      </w:trPr>
      <w:tc>
        <w:tcPr>
          <w:tcW w:w="3260" w:type="dxa"/>
          <w:vAlign w:val="center"/>
        </w:tcPr>
        <w:p w14:paraId="469397E8" w14:textId="77777777" w:rsidR="002D5464" w:rsidRDefault="002D5464">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90" w:type="dxa"/>
          <w:vAlign w:val="center"/>
        </w:tcPr>
        <w:p w14:paraId="469397E9" w14:textId="77777777" w:rsidR="002D5464" w:rsidRDefault="002D5464">
          <w:pPr>
            <w:pBdr>
              <w:top w:val="nil"/>
              <w:left w:val="nil"/>
              <w:bottom w:val="nil"/>
              <w:right w:val="nil"/>
              <w:between w:val="nil"/>
            </w:pBdr>
            <w:tabs>
              <w:tab w:val="center" w:pos="4252"/>
              <w:tab w:val="right" w:pos="8504"/>
            </w:tabs>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469397EB" w14:textId="77777777" w:rsidR="002D5464" w:rsidRDefault="002D5464">
    <w:pPr>
      <w:pBdr>
        <w:top w:val="nil"/>
        <w:left w:val="nil"/>
        <w:bottom w:val="nil"/>
        <w:right w:val="nil"/>
        <w:between w:val="nil"/>
      </w:pBdr>
      <w:tabs>
        <w:tab w:val="center" w:pos="4252"/>
        <w:tab w:val="right" w:pos="8504"/>
      </w:tabs>
      <w:rPr>
        <w:color w:val="000000"/>
      </w:rPr>
    </w:pPr>
    <w:r>
      <w:rPr>
        <w:noProof/>
        <w:color w:val="000000"/>
        <w:lang w:eastAsia="es-MX"/>
      </w:rPr>
      <w:drawing>
        <wp:anchor distT="0" distB="0" distL="0" distR="0" simplePos="0" relativeHeight="251657216" behindDoc="1" locked="0" layoutInCell="1" hidden="0" allowOverlap="1" wp14:anchorId="46939802" wp14:editId="46939803">
          <wp:simplePos x="0" y="0"/>
          <wp:positionH relativeFrom="page">
            <wp:posOffset>30785</wp:posOffset>
          </wp:positionH>
          <wp:positionV relativeFrom="page">
            <wp:posOffset>30480</wp:posOffset>
          </wp:positionV>
          <wp:extent cx="7695210" cy="10020839"/>
          <wp:effectExtent l="0" t="0" r="0" b="0"/>
          <wp:wrapNone/>
          <wp:docPr id="8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95210" cy="10020839"/>
                  </a:xfrm>
                  <a:prstGeom prst="rect">
                    <a:avLst/>
                  </a:prstGeom>
                  <a:ln/>
                </pic:spPr>
              </pic:pic>
            </a:graphicData>
          </a:graphic>
        </wp:anchor>
      </w:drawing>
    </w:r>
  </w:p>
  <w:p w14:paraId="469397EC" w14:textId="77777777" w:rsidR="002D5464" w:rsidRDefault="002D54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97F0" w14:textId="77777777" w:rsidR="002D5464" w:rsidRDefault="004D3831">
    <w:pPr>
      <w:pBdr>
        <w:top w:val="nil"/>
        <w:left w:val="nil"/>
        <w:bottom w:val="nil"/>
        <w:right w:val="nil"/>
        <w:between w:val="nil"/>
      </w:pBdr>
      <w:tabs>
        <w:tab w:val="center" w:pos="4252"/>
        <w:tab w:val="right" w:pos="8504"/>
        <w:tab w:val="left" w:pos="3103"/>
      </w:tabs>
      <w:rPr>
        <w:color w:val="000000"/>
      </w:rPr>
    </w:pPr>
    <w:r>
      <w:rPr>
        <w:color w:val="000000"/>
      </w:rPr>
      <w:pict w14:anchorId="46939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118.65pt;margin-top:-128.35pt;width:663.5pt;height:12in;z-index:-251658240;mso-position-horizontal:absolute;mso-position-horizontal-relative:margin;mso-position-vertical:absolute;mso-position-vertical-relative:margin">
          <v:imagedata r:id="rId1" o:title="image7"/>
          <w10:wrap anchorx="margin" anchory="margin"/>
        </v:shape>
      </w:pict>
    </w:r>
    <w:r w:rsidR="002D5464">
      <w:rPr>
        <w:color w:val="000000"/>
      </w:rPr>
      <w:tab/>
    </w:r>
  </w:p>
  <w:tbl>
    <w:tblPr>
      <w:tblStyle w:val="a3"/>
      <w:tblW w:w="8250" w:type="dxa"/>
      <w:tblInd w:w="1470" w:type="dxa"/>
      <w:tblBorders>
        <w:top w:val="nil"/>
        <w:left w:val="nil"/>
        <w:bottom w:val="nil"/>
        <w:right w:val="nil"/>
        <w:insideH w:val="nil"/>
        <w:insideV w:val="nil"/>
      </w:tblBorders>
      <w:tblLayout w:type="fixed"/>
      <w:tblLook w:val="0400" w:firstRow="0" w:lastRow="0" w:firstColumn="0" w:lastColumn="0" w:noHBand="0" w:noVBand="1"/>
    </w:tblPr>
    <w:tblGrid>
      <w:gridCol w:w="4080"/>
      <w:gridCol w:w="4170"/>
    </w:tblGrid>
    <w:tr w:rsidR="002D5464" w14:paraId="469397F3" w14:textId="77777777">
      <w:trPr>
        <w:trHeight w:val="138"/>
      </w:trPr>
      <w:tc>
        <w:tcPr>
          <w:tcW w:w="4080" w:type="dxa"/>
          <w:vAlign w:val="center"/>
        </w:tcPr>
        <w:p w14:paraId="469397F1" w14:textId="77777777" w:rsidR="002D5464" w:rsidRDefault="002D5464">
          <w:pPr>
            <w:ind w:left="850"/>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70" w:type="dxa"/>
          <w:vAlign w:val="center"/>
        </w:tcPr>
        <w:p w14:paraId="469397F2" w14:textId="77777777" w:rsidR="002D5464" w:rsidRDefault="002D5464">
          <w:pPr>
            <w:tabs>
              <w:tab w:val="center" w:pos="4252"/>
              <w:tab w:val="right" w:pos="8504"/>
            </w:tabs>
            <w:spacing w:line="360" w:lineRule="auto"/>
            <w:ind w:right="-923"/>
            <w:jc w:val="both"/>
            <w:rPr>
              <w:rFonts w:ascii="Palatino Linotype" w:eastAsia="Palatino Linotype" w:hAnsi="Palatino Linotype" w:cs="Palatino Linotype"/>
              <w:sz w:val="22"/>
              <w:szCs w:val="22"/>
            </w:rPr>
          </w:pPr>
          <w:r>
            <w:rPr>
              <w:rFonts w:ascii="Palatino Linotype" w:eastAsia="Palatino Linotype" w:hAnsi="Palatino Linotype" w:cs="Palatino Linotype"/>
            </w:rPr>
            <w:t>04353/INFOEM/IP/RR/2024</w:t>
          </w:r>
        </w:p>
      </w:tc>
    </w:tr>
    <w:tr w:rsidR="002D5464" w14:paraId="469397F6" w14:textId="77777777">
      <w:trPr>
        <w:trHeight w:val="233"/>
      </w:trPr>
      <w:tc>
        <w:tcPr>
          <w:tcW w:w="4080" w:type="dxa"/>
          <w:vAlign w:val="center"/>
        </w:tcPr>
        <w:p w14:paraId="469397F4" w14:textId="77777777" w:rsidR="002D5464" w:rsidRDefault="002D546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70" w:type="dxa"/>
        </w:tcPr>
        <w:p w14:paraId="469397F5" w14:textId="4B67E045" w:rsidR="002D5464" w:rsidRDefault="008E6971">
          <w:pPr>
            <w:pBdr>
              <w:top w:val="nil"/>
              <w:left w:val="nil"/>
              <w:bottom w:val="nil"/>
              <w:right w:val="nil"/>
              <w:between w:val="nil"/>
            </w:pBdr>
            <w:tabs>
              <w:tab w:val="center" w:pos="4252"/>
              <w:tab w:val="right" w:pos="8504"/>
            </w:tabs>
            <w:ind w:right="-92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r>
    <w:tr w:rsidR="002D5464" w14:paraId="469397F9" w14:textId="77777777">
      <w:trPr>
        <w:trHeight w:val="321"/>
      </w:trPr>
      <w:tc>
        <w:tcPr>
          <w:tcW w:w="4080" w:type="dxa"/>
          <w:vAlign w:val="center"/>
        </w:tcPr>
        <w:p w14:paraId="469397F7" w14:textId="77777777" w:rsidR="002D5464" w:rsidRDefault="002D546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70" w:type="dxa"/>
          <w:vAlign w:val="center"/>
        </w:tcPr>
        <w:p w14:paraId="469397F8" w14:textId="77777777" w:rsidR="002D5464" w:rsidRDefault="002D5464">
          <w:pPr>
            <w:ind w:right="-923"/>
            <w:jc w:val="both"/>
            <w:rPr>
              <w:rFonts w:ascii="Palatino Linotype" w:eastAsia="Palatino Linotype" w:hAnsi="Palatino Linotype" w:cs="Palatino Linotype"/>
            </w:rPr>
          </w:pPr>
          <w:r>
            <w:rPr>
              <w:rFonts w:ascii="Palatino Linotype" w:eastAsia="Palatino Linotype" w:hAnsi="Palatino Linotype" w:cs="Palatino Linotype"/>
              <w:sz w:val="22"/>
              <w:szCs w:val="22"/>
            </w:rPr>
            <w:t>Ayuntamiento de Ixtapaluca</w:t>
          </w:r>
        </w:p>
      </w:tc>
    </w:tr>
    <w:tr w:rsidR="002D5464" w14:paraId="469397FC" w14:textId="77777777">
      <w:trPr>
        <w:trHeight w:val="321"/>
      </w:trPr>
      <w:tc>
        <w:tcPr>
          <w:tcW w:w="4080" w:type="dxa"/>
          <w:vAlign w:val="center"/>
        </w:tcPr>
        <w:p w14:paraId="469397FA" w14:textId="77777777" w:rsidR="002D5464" w:rsidRDefault="002D5464">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70" w:type="dxa"/>
          <w:vAlign w:val="center"/>
        </w:tcPr>
        <w:p w14:paraId="469397FB" w14:textId="77777777" w:rsidR="002D5464" w:rsidRDefault="002D5464">
          <w:pPr>
            <w:pBdr>
              <w:top w:val="nil"/>
              <w:left w:val="nil"/>
              <w:bottom w:val="nil"/>
              <w:right w:val="nil"/>
              <w:between w:val="nil"/>
            </w:pBdr>
            <w:tabs>
              <w:tab w:val="center" w:pos="4252"/>
              <w:tab w:val="right" w:pos="8504"/>
            </w:tabs>
            <w:ind w:left="33" w:right="-923"/>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469397FD" w14:textId="77777777" w:rsidR="002D5464" w:rsidRDefault="002D5464">
    <w:pPr>
      <w:pBdr>
        <w:top w:val="nil"/>
        <w:left w:val="nil"/>
        <w:bottom w:val="nil"/>
        <w:right w:val="nil"/>
        <w:between w:val="nil"/>
      </w:pBdr>
      <w:tabs>
        <w:tab w:val="center" w:pos="4252"/>
        <w:tab w:val="right" w:pos="8504"/>
        <w:tab w:val="left" w:pos="3103"/>
      </w:tabs>
      <w:rPr>
        <w:color w:val="000000"/>
      </w:rPr>
    </w:pPr>
  </w:p>
  <w:p w14:paraId="469397FE" w14:textId="77777777" w:rsidR="002D5464" w:rsidRDefault="002D54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40597"/>
    <w:multiLevelType w:val="multilevel"/>
    <w:tmpl w:val="4E720322"/>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7A0092"/>
    <w:multiLevelType w:val="multilevel"/>
    <w:tmpl w:val="43BA87B0"/>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 w15:restartNumberingAfterBreak="0">
    <w:nsid w:val="4D6C7815"/>
    <w:multiLevelType w:val="multilevel"/>
    <w:tmpl w:val="18C8EF1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3" w15:restartNumberingAfterBreak="0">
    <w:nsid w:val="4FEE3191"/>
    <w:multiLevelType w:val="multilevel"/>
    <w:tmpl w:val="75C6AA9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9065F1"/>
    <w:multiLevelType w:val="multilevel"/>
    <w:tmpl w:val="2F1EF60A"/>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72492FF1"/>
    <w:multiLevelType w:val="multilevel"/>
    <w:tmpl w:val="D43E100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23497787">
    <w:abstractNumId w:val="0"/>
  </w:num>
  <w:num w:numId="2" w16cid:durableId="1151293270">
    <w:abstractNumId w:val="3"/>
  </w:num>
  <w:num w:numId="3" w16cid:durableId="975373390">
    <w:abstractNumId w:val="1"/>
  </w:num>
  <w:num w:numId="4" w16cid:durableId="281234101">
    <w:abstractNumId w:val="5"/>
  </w:num>
  <w:num w:numId="5" w16cid:durableId="45565768">
    <w:abstractNumId w:val="2"/>
  </w:num>
  <w:num w:numId="6" w16cid:durableId="1558316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647"/>
    <w:rsid w:val="00006851"/>
    <w:rsid w:val="000A50BD"/>
    <w:rsid w:val="000F4445"/>
    <w:rsid w:val="002D5464"/>
    <w:rsid w:val="003A0CD5"/>
    <w:rsid w:val="003D5626"/>
    <w:rsid w:val="00470724"/>
    <w:rsid w:val="004D3831"/>
    <w:rsid w:val="004F2647"/>
    <w:rsid w:val="00756894"/>
    <w:rsid w:val="007F3A87"/>
    <w:rsid w:val="007F5FF7"/>
    <w:rsid w:val="008E6971"/>
    <w:rsid w:val="00914229"/>
    <w:rsid w:val="009D317F"/>
    <w:rsid w:val="00C53267"/>
    <w:rsid w:val="00D74CB1"/>
    <w:rsid w:val="00E575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395D6"/>
  <w15:docId w15:val="{079155C4-08B6-4F77-A331-7A1B097D8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286"/>
    <w:rPr>
      <w:rFonts w:eastAsiaTheme="minorEastAsia"/>
      <w:lang w:eastAsia="es-ES"/>
    </w:rPr>
  </w:style>
  <w:style w:type="paragraph" w:styleId="Ttulo1">
    <w:name w:val="heading 1"/>
    <w:basedOn w:val="Normal"/>
    <w:next w:val="Normal"/>
    <w:link w:val="Ttulo1Car"/>
    <w:uiPriority w:val="9"/>
    <w:qFormat/>
    <w:rsid w:val="00402286"/>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40228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40228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rsid w:val="00402286"/>
    <w:pPr>
      <w:keepNext/>
      <w:keepLines/>
      <w:spacing w:before="240" w:after="40"/>
      <w:outlineLvl w:val="3"/>
    </w:pPr>
    <w:rPr>
      <w:b/>
    </w:rPr>
  </w:style>
  <w:style w:type="paragraph" w:styleId="Ttulo5">
    <w:name w:val="heading 5"/>
    <w:basedOn w:val="Normal"/>
    <w:next w:val="Normal"/>
    <w:link w:val="Ttulo5Car"/>
    <w:rsid w:val="00402286"/>
    <w:pPr>
      <w:keepNext/>
      <w:keepLines/>
      <w:spacing w:before="220" w:after="40"/>
      <w:outlineLvl w:val="4"/>
    </w:pPr>
    <w:rPr>
      <w:b/>
      <w:sz w:val="22"/>
      <w:szCs w:val="22"/>
    </w:rPr>
  </w:style>
  <w:style w:type="paragraph" w:styleId="Ttulo6">
    <w:name w:val="heading 6"/>
    <w:basedOn w:val="Normal"/>
    <w:next w:val="Normal"/>
    <w:link w:val="Ttulo6Car"/>
    <w:rsid w:val="0040228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402286"/>
    <w:pPr>
      <w:keepNext/>
      <w:keepLines/>
      <w:spacing w:before="480" w:after="120"/>
    </w:pPr>
    <w:rPr>
      <w:b/>
      <w:sz w:val="72"/>
      <w:szCs w:val="72"/>
    </w:rPr>
  </w:style>
  <w:style w:type="character" w:customStyle="1" w:styleId="Ttulo1Car">
    <w:name w:val="Título 1 Car"/>
    <w:basedOn w:val="Fuentedeprrafopredeter"/>
    <w:link w:val="Ttulo1"/>
    <w:uiPriority w:val="9"/>
    <w:rsid w:val="00402286"/>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40228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02286"/>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rsid w:val="00402286"/>
    <w:rPr>
      <w:rFonts w:ascii="Calibri" w:eastAsiaTheme="minorEastAsia" w:hAnsi="Calibri" w:cs="Calibri"/>
      <w:b/>
      <w:sz w:val="24"/>
      <w:szCs w:val="24"/>
      <w:lang w:eastAsia="es-ES"/>
    </w:rPr>
  </w:style>
  <w:style w:type="character" w:customStyle="1" w:styleId="Ttulo5Car">
    <w:name w:val="Título 5 Car"/>
    <w:basedOn w:val="Fuentedeprrafopredeter"/>
    <w:link w:val="Ttulo5"/>
    <w:rsid w:val="00402286"/>
    <w:rPr>
      <w:rFonts w:ascii="Calibri" w:eastAsiaTheme="minorEastAsia" w:hAnsi="Calibri" w:cs="Calibri"/>
      <w:b/>
      <w:lang w:eastAsia="es-ES"/>
    </w:rPr>
  </w:style>
  <w:style w:type="character" w:customStyle="1" w:styleId="Ttulo6Car">
    <w:name w:val="Título 6 Car"/>
    <w:basedOn w:val="Fuentedeprrafopredeter"/>
    <w:link w:val="Ttulo6"/>
    <w:rsid w:val="00402286"/>
    <w:rPr>
      <w:rFonts w:ascii="Calibri" w:eastAsiaTheme="minorEastAsia" w:hAnsi="Calibri" w:cs="Calibri"/>
      <w:b/>
      <w:sz w:val="20"/>
      <w:szCs w:val="20"/>
      <w:lang w:eastAsia="es-ES"/>
    </w:rPr>
  </w:style>
  <w:style w:type="character" w:customStyle="1" w:styleId="TtuloCar">
    <w:name w:val="Título Car"/>
    <w:basedOn w:val="Fuentedeprrafopredeter"/>
    <w:link w:val="Ttulo"/>
    <w:rsid w:val="00402286"/>
    <w:rPr>
      <w:rFonts w:ascii="Calibri" w:eastAsiaTheme="minorEastAsia" w:hAnsi="Calibri" w:cs="Calibri"/>
      <w:b/>
      <w:sz w:val="72"/>
      <w:szCs w:val="72"/>
      <w:lang w:eastAsia="es-ES"/>
    </w:rPr>
  </w:style>
  <w:style w:type="paragraph" w:styleId="Encabezado">
    <w:name w:val="header"/>
    <w:basedOn w:val="Normal"/>
    <w:link w:val="EncabezadoCar"/>
    <w:uiPriority w:val="99"/>
    <w:unhideWhenUsed/>
    <w:rsid w:val="00402286"/>
    <w:pPr>
      <w:tabs>
        <w:tab w:val="center" w:pos="4252"/>
        <w:tab w:val="right" w:pos="8504"/>
      </w:tabs>
    </w:pPr>
  </w:style>
  <w:style w:type="character" w:customStyle="1" w:styleId="EncabezadoCar">
    <w:name w:val="Encabezado Car"/>
    <w:basedOn w:val="Fuentedeprrafopredeter"/>
    <w:link w:val="Encabezado"/>
    <w:uiPriority w:val="99"/>
    <w:rsid w:val="00402286"/>
    <w:rPr>
      <w:rFonts w:ascii="Calibri" w:eastAsiaTheme="minorEastAsia" w:hAnsi="Calibri" w:cs="Calibri"/>
      <w:sz w:val="24"/>
      <w:szCs w:val="24"/>
      <w:lang w:eastAsia="es-ES"/>
    </w:rPr>
  </w:style>
  <w:style w:type="paragraph" w:styleId="Piedepgina">
    <w:name w:val="footer"/>
    <w:basedOn w:val="Normal"/>
    <w:link w:val="PiedepginaCar"/>
    <w:uiPriority w:val="99"/>
    <w:unhideWhenUsed/>
    <w:rsid w:val="00402286"/>
    <w:pPr>
      <w:tabs>
        <w:tab w:val="center" w:pos="4252"/>
        <w:tab w:val="right" w:pos="8504"/>
      </w:tabs>
    </w:pPr>
  </w:style>
  <w:style w:type="character" w:customStyle="1" w:styleId="PiedepginaCar">
    <w:name w:val="Pie de página Car"/>
    <w:basedOn w:val="Fuentedeprrafopredeter"/>
    <w:link w:val="Piedepgina"/>
    <w:uiPriority w:val="99"/>
    <w:rsid w:val="00402286"/>
    <w:rPr>
      <w:rFonts w:ascii="Calibri" w:eastAsiaTheme="minorEastAsia" w:hAnsi="Calibri" w:cs="Calibri"/>
      <w:sz w:val="24"/>
      <w:szCs w:val="24"/>
      <w:lang w:eastAsia="es-ES"/>
    </w:rPr>
  </w:style>
  <w:style w:type="character" w:customStyle="1" w:styleId="TextodegloboCar">
    <w:name w:val="Texto de globo Car"/>
    <w:basedOn w:val="Fuentedeprrafopredeter"/>
    <w:link w:val="Textodeglobo"/>
    <w:uiPriority w:val="99"/>
    <w:semiHidden/>
    <w:rsid w:val="00402286"/>
    <w:rPr>
      <w:rFonts w:ascii="Lucida Grande" w:eastAsiaTheme="minorEastAsia" w:hAnsi="Lucida Grande" w:cs="Lucida Grande"/>
      <w:sz w:val="18"/>
      <w:szCs w:val="18"/>
      <w:lang w:eastAsia="es-ES"/>
    </w:rPr>
  </w:style>
  <w:style w:type="paragraph" w:styleId="Textodeglobo">
    <w:name w:val="Balloon Text"/>
    <w:basedOn w:val="Normal"/>
    <w:link w:val="TextodegloboCar"/>
    <w:uiPriority w:val="99"/>
    <w:semiHidden/>
    <w:unhideWhenUsed/>
    <w:rsid w:val="0040228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0228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02286"/>
    <w:rPr>
      <w:rFonts w:ascii="Calibri" w:eastAsiaTheme="minorEastAsia" w:hAnsi="Calibri" w:cs="Calibri"/>
      <w:sz w:val="24"/>
      <w:szCs w:val="24"/>
      <w:lang w:eastAsia="es-ES"/>
    </w:rPr>
  </w:style>
  <w:style w:type="paragraph" w:styleId="Sinespaciado">
    <w:name w:val="No Spacing"/>
    <w:aliases w:val="Francesa,INAI"/>
    <w:link w:val="SinespaciadoCar"/>
    <w:uiPriority w:val="1"/>
    <w:qFormat/>
    <w:rsid w:val="00402286"/>
    <w:rPr>
      <w:rFonts w:eastAsiaTheme="minorEastAsia"/>
      <w:lang w:val="es-ES_tradnl" w:eastAsia="es-ES"/>
    </w:rPr>
  </w:style>
  <w:style w:type="character" w:customStyle="1" w:styleId="SinespaciadoCar">
    <w:name w:val="Sin espaciado Car"/>
    <w:aliases w:val="Francesa Car,INAI Car"/>
    <w:link w:val="Sinespaciado"/>
    <w:uiPriority w:val="1"/>
    <w:qFormat/>
    <w:locked/>
    <w:rsid w:val="00402286"/>
    <w:rPr>
      <w:rFonts w:ascii="Calibri" w:eastAsiaTheme="minorEastAsia" w:hAnsi="Calibri" w:cs="Calibri"/>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402286"/>
    <w:rPr>
      <w:color w:val="0563C1" w:themeColor="hyperlink"/>
      <w:u w:val="single"/>
    </w:rPr>
  </w:style>
  <w:style w:type="paragraph" w:styleId="TDC1">
    <w:name w:val="toc 1"/>
    <w:basedOn w:val="Normal"/>
    <w:next w:val="Normal"/>
    <w:autoRedefine/>
    <w:uiPriority w:val="39"/>
    <w:unhideWhenUsed/>
    <w:rsid w:val="00402286"/>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02286"/>
    <w:pPr>
      <w:tabs>
        <w:tab w:val="right" w:leader="dot" w:pos="9676"/>
      </w:tabs>
      <w:spacing w:after="100" w:line="480" w:lineRule="auto"/>
      <w:ind w:left="720" w:hanging="240"/>
    </w:pPr>
  </w:style>
  <w:style w:type="character" w:customStyle="1" w:styleId="TextocomentarioCar">
    <w:name w:val="Texto comentario Car"/>
    <w:basedOn w:val="Fuentedeprrafopredeter"/>
    <w:link w:val="Textocomentario"/>
    <w:uiPriority w:val="99"/>
    <w:semiHidden/>
    <w:rsid w:val="00402286"/>
    <w:rPr>
      <w:rFonts w:ascii="Calibri" w:eastAsiaTheme="minorEastAsia" w:hAnsi="Calibri" w:cs="Calibri"/>
      <w:sz w:val="20"/>
      <w:szCs w:val="20"/>
      <w:lang w:eastAsia="es-ES"/>
    </w:rPr>
  </w:style>
  <w:style w:type="paragraph" w:styleId="Textocomentario">
    <w:name w:val="annotation text"/>
    <w:basedOn w:val="Normal"/>
    <w:link w:val="TextocomentarioCar"/>
    <w:uiPriority w:val="99"/>
    <w:semiHidden/>
    <w:unhideWhenUsed/>
    <w:rsid w:val="00402286"/>
    <w:rPr>
      <w:sz w:val="20"/>
      <w:szCs w:val="20"/>
    </w:rPr>
  </w:style>
  <w:style w:type="character" w:customStyle="1" w:styleId="AsuntodelcomentarioCar">
    <w:name w:val="Asunto del comentario Car"/>
    <w:basedOn w:val="TextocomentarioCar"/>
    <w:link w:val="Asuntodelcomentario"/>
    <w:uiPriority w:val="99"/>
    <w:semiHidden/>
    <w:rsid w:val="00402286"/>
    <w:rPr>
      <w:rFonts w:ascii="Calibri" w:eastAsiaTheme="minorEastAsia" w:hAnsi="Calibri" w:cs="Calibri"/>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02286"/>
    <w:rPr>
      <w:b/>
      <w:bCs/>
    </w:rPr>
  </w:style>
  <w:style w:type="character" w:customStyle="1" w:styleId="apple-converted-space">
    <w:name w:val="apple-converted-space"/>
    <w:basedOn w:val="Fuentedeprrafopredeter"/>
    <w:rsid w:val="00402286"/>
  </w:style>
  <w:style w:type="paragraph" w:styleId="Textoindependiente">
    <w:name w:val="Body Text"/>
    <w:basedOn w:val="Normal"/>
    <w:link w:val="TextoindependienteCar"/>
    <w:rsid w:val="00402286"/>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402286"/>
    <w:rPr>
      <w:rFonts w:ascii="Arial" w:eastAsia="Times New Roman" w:hAnsi="Arial" w:cs="Times New Roman"/>
      <w:sz w:val="24"/>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02286"/>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02286"/>
    <w:rPr>
      <w:rFonts w:ascii="Calibri" w:hAnsi="Calibri" w:cs="Calibri"/>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402286"/>
    <w:rPr>
      <w:vertAlign w:val="superscript"/>
    </w:rPr>
  </w:style>
  <w:style w:type="paragraph" w:customStyle="1" w:styleId="p">
    <w:name w:val="p"/>
    <w:basedOn w:val="Normal"/>
    <w:rsid w:val="00402286"/>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402286"/>
  </w:style>
  <w:style w:type="character" w:customStyle="1" w:styleId="a">
    <w:name w:val="a"/>
    <w:basedOn w:val="Fuentedeprrafopredeter"/>
    <w:rsid w:val="00402286"/>
  </w:style>
  <w:style w:type="character" w:customStyle="1" w:styleId="d">
    <w:name w:val="d"/>
    <w:basedOn w:val="Fuentedeprrafopredeter"/>
    <w:rsid w:val="00402286"/>
  </w:style>
  <w:style w:type="character" w:customStyle="1" w:styleId="b">
    <w:name w:val="b"/>
    <w:basedOn w:val="Fuentedeprrafopredeter"/>
    <w:rsid w:val="00402286"/>
  </w:style>
  <w:style w:type="character" w:customStyle="1" w:styleId="g">
    <w:name w:val="g"/>
    <w:basedOn w:val="Fuentedeprrafopredeter"/>
    <w:rsid w:val="00402286"/>
  </w:style>
  <w:style w:type="paragraph" w:styleId="TtuloTDC">
    <w:name w:val="TOC Heading"/>
    <w:basedOn w:val="Ttulo1"/>
    <w:next w:val="Normal"/>
    <w:uiPriority w:val="39"/>
    <w:unhideWhenUsed/>
    <w:qFormat/>
    <w:rsid w:val="00402286"/>
    <w:pPr>
      <w:outlineLvl w:val="9"/>
    </w:pPr>
    <w:rPr>
      <w:lang w:eastAsia="es-MX"/>
    </w:rPr>
  </w:style>
  <w:style w:type="character" w:customStyle="1" w:styleId="normaltextrun">
    <w:name w:val="normaltextrun"/>
    <w:basedOn w:val="Fuentedeprrafopredeter"/>
    <w:rsid w:val="00402286"/>
  </w:style>
  <w:style w:type="paragraph" w:styleId="NormalWeb">
    <w:name w:val="Normal (Web)"/>
    <w:basedOn w:val="Normal"/>
    <w:uiPriority w:val="99"/>
    <w:rsid w:val="00402286"/>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402286"/>
    <w:rPr>
      <w:b/>
      <w:bCs/>
    </w:rPr>
  </w:style>
  <w:style w:type="paragraph" w:customStyle="1" w:styleId="Default">
    <w:name w:val="Default"/>
    <w:rsid w:val="00402286"/>
    <w:pPr>
      <w:autoSpaceDE w:val="0"/>
      <w:autoSpaceDN w:val="0"/>
      <w:adjustRightInd w:val="0"/>
    </w:pPr>
    <w:rPr>
      <w:rFonts w:ascii="Arial" w:hAnsi="Arial" w:cs="Arial"/>
      <w:color w:val="000000"/>
    </w:rPr>
  </w:style>
  <w:style w:type="paragraph" w:customStyle="1" w:styleId="j">
    <w:name w:val="j"/>
    <w:basedOn w:val="Normal"/>
    <w:rsid w:val="00402286"/>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402286"/>
  </w:style>
  <w:style w:type="paragraph" w:customStyle="1" w:styleId="Texto">
    <w:name w:val="Texto"/>
    <w:basedOn w:val="Normal"/>
    <w:link w:val="TextoCar"/>
    <w:rsid w:val="00402286"/>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402286"/>
    <w:rPr>
      <w:rFonts w:ascii="Arial" w:eastAsia="Times New Roman" w:hAnsi="Arial" w:cs="Arial"/>
      <w:sz w:val="18"/>
      <w:szCs w:val="20"/>
      <w:lang w:val="es-ES" w:eastAsia="es-ES"/>
    </w:rPr>
  </w:style>
  <w:style w:type="paragraph" w:styleId="Textosinformato">
    <w:name w:val="Plain Text"/>
    <w:basedOn w:val="Normal"/>
    <w:link w:val="TextosinformatoCar"/>
    <w:rsid w:val="00402286"/>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402286"/>
    <w:rPr>
      <w:rFonts w:ascii="Courier New" w:eastAsia="Times New Roman" w:hAnsi="Courier New" w:cs="Courier New"/>
      <w:sz w:val="20"/>
      <w:szCs w:val="20"/>
      <w:lang w:val="es-ES" w:eastAsia="es-ES"/>
    </w:rPr>
  </w:style>
  <w:style w:type="paragraph" w:styleId="TDC3">
    <w:name w:val="toc 3"/>
    <w:basedOn w:val="Normal"/>
    <w:next w:val="Normal"/>
    <w:autoRedefine/>
    <w:uiPriority w:val="39"/>
    <w:unhideWhenUsed/>
    <w:rsid w:val="00402286"/>
    <w:pPr>
      <w:spacing w:after="100"/>
      <w:ind w:left="480"/>
    </w:pPr>
  </w:style>
  <w:style w:type="paragraph" w:styleId="Listaconvietas2">
    <w:name w:val="List Bullet 2"/>
    <w:basedOn w:val="Normal"/>
    <w:uiPriority w:val="99"/>
    <w:unhideWhenUsed/>
    <w:qFormat/>
    <w:rsid w:val="00402286"/>
    <w:pPr>
      <w:numPr>
        <w:numId w:val="1"/>
      </w:numPr>
      <w:contextualSpacing/>
    </w:pPr>
    <w:rPr>
      <w:rFonts w:ascii="Times New Roman" w:eastAsia="Times New Roman" w:hAnsi="Times New Roman" w:cs="Times New Roman"/>
      <w:sz w:val="20"/>
      <w:szCs w:val="20"/>
    </w:rPr>
  </w:style>
  <w:style w:type="paragraph" w:styleId="Sangradetextonormal">
    <w:name w:val="Body Text Indent"/>
    <w:basedOn w:val="Normal"/>
    <w:link w:val="SangradetextonormalCar"/>
    <w:uiPriority w:val="99"/>
    <w:unhideWhenUsed/>
    <w:qFormat/>
    <w:rsid w:val="00402286"/>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402286"/>
    <w:rPr>
      <w:rFonts w:ascii="Times New Roman" w:eastAsia="Times New Roman" w:hAnsi="Times New Roman" w:cs="Times New Roman"/>
      <w:sz w:val="20"/>
      <w:szCs w:val="20"/>
      <w:lang w:eastAsia="es-ES"/>
    </w:rPr>
  </w:style>
  <w:style w:type="paragraph" w:customStyle="1" w:styleId="m5907675151158779931gmail-msolistparagraph">
    <w:name w:val="m_5907675151158779931gmail-msolistparagraph"/>
    <w:basedOn w:val="Normal"/>
    <w:rsid w:val="00402286"/>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402286"/>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402286"/>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402286"/>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402286"/>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402286"/>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402286"/>
  </w:style>
  <w:style w:type="character" w:customStyle="1" w:styleId="il">
    <w:name w:val="il"/>
    <w:basedOn w:val="Fuentedeprrafopredeter"/>
    <w:rsid w:val="00402286"/>
  </w:style>
  <w:style w:type="paragraph" w:customStyle="1" w:styleId="paragraph">
    <w:name w:val="paragraph"/>
    <w:basedOn w:val="Normal"/>
    <w:rsid w:val="00402286"/>
    <w:pPr>
      <w:spacing w:before="100" w:beforeAutospacing="1" w:after="100" w:afterAutospacing="1"/>
    </w:pPr>
    <w:rPr>
      <w:rFonts w:ascii="Times New Roman" w:eastAsia="Times New Roman" w:hAnsi="Times New Roman" w:cs="Times New Roman"/>
      <w:lang w:eastAsia="es-MX"/>
    </w:rPr>
  </w:style>
  <w:style w:type="paragraph" w:customStyle="1" w:styleId="INFOEM">
    <w:name w:val="INFOEM"/>
    <w:basedOn w:val="Normal"/>
    <w:qFormat/>
    <w:rsid w:val="00402286"/>
    <w:pPr>
      <w:spacing w:before="240" w:after="160" w:line="360" w:lineRule="auto"/>
      <w:ind w:left="851" w:right="851"/>
      <w:jc w:val="both"/>
    </w:pPr>
    <w:rPr>
      <w:rFonts w:ascii="Palatino Linotype" w:eastAsiaTheme="minorHAnsi" w:hAnsi="Palatino Linotype"/>
      <w:i/>
      <w:sz w:val="22"/>
      <w:szCs w:val="14"/>
      <w:lang w:eastAsia="en-US"/>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402286"/>
    <w:rPr>
      <w:rFonts w:ascii="Georgia" w:eastAsia="Georgia" w:hAnsi="Georgia" w:cs="Georgia"/>
      <w:i/>
      <w:color w:val="666666"/>
      <w:sz w:val="48"/>
      <w:szCs w:val="48"/>
      <w:lang w:eastAsia="es-ES"/>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dof.gob.mx/nota_detalle.php?codigo=5492254&amp;fecha=28/07/2017"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ortalanterior.ine.mx/archivos2/tutoriales/sistemas/ApoyoInstitucional/SIF/docs/candidatos/folioFiscalFactura.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WUdcnmlmrn6mNI8tc4miTMKxow==">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60</Pages>
  <Words>13192</Words>
  <Characters>72560</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inf03m612@outlook.com</cp:lastModifiedBy>
  <cp:revision>7</cp:revision>
  <cp:lastPrinted>2024-08-29T22:15:00Z</cp:lastPrinted>
  <dcterms:created xsi:type="dcterms:W3CDTF">2024-08-26T18:18:00Z</dcterms:created>
  <dcterms:modified xsi:type="dcterms:W3CDTF">2024-09-04T18:03:00Z</dcterms:modified>
</cp:coreProperties>
</file>