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once de diciembre de dos mil veinticuatro.</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07269/INFOEM/IP/RR/2024</w:t>
      </w:r>
      <w:r w:rsidDel="00000000" w:rsidR="00000000" w:rsidRPr="00000000">
        <w:rPr>
          <w:rFonts w:ascii="Palatino Linotype" w:cs="Palatino Linotype" w:eastAsia="Palatino Linotype" w:hAnsi="Palatino Linotype"/>
          <w:sz w:val="22"/>
          <w:szCs w:val="22"/>
          <w:rtl w:val="0"/>
        </w:rPr>
        <w:t xml:space="preserve">, interpuesto por Un usuario que no proporcionó su nombre, 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00481/PLEGISLA/IP/2024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Poder Legislativo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8"/>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7"/>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catorce de octubre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360" w:lineRule="auto"/>
        <w:ind w:left="567"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“solicito </w:t>
      </w:r>
      <w:r w:rsidDel="00000000" w:rsidR="00000000" w:rsidRPr="00000000">
        <w:rPr>
          <w:rFonts w:ascii="Palatino Linotype" w:cs="Palatino Linotype" w:eastAsia="Palatino Linotype" w:hAnsi="Palatino Linotype"/>
          <w:b w:val="1"/>
          <w:i w:val="1"/>
          <w:sz w:val="22"/>
          <w:szCs w:val="22"/>
          <w:u w:val="single"/>
          <w:rtl w:val="0"/>
        </w:rPr>
        <w:t xml:space="preserve">las facturas pagadas durante la LXI Legislatura del Estado de México</w:t>
      </w:r>
      <w:r w:rsidDel="00000000" w:rsidR="00000000" w:rsidRPr="00000000">
        <w:rPr>
          <w:rFonts w:ascii="Palatino Linotype" w:cs="Palatino Linotype" w:eastAsia="Palatino Linotype" w:hAnsi="Palatino Linotype"/>
          <w:i w:val="1"/>
          <w:sz w:val="22"/>
          <w:szCs w:val="22"/>
          <w:rtl w:val="0"/>
        </w:rPr>
        <w:t xml:space="preserve"> al medio de comunicación </w:t>
      </w:r>
      <w:r w:rsidDel="00000000" w:rsidR="00000000" w:rsidRPr="00000000">
        <w:rPr>
          <w:rFonts w:ascii="Palatino Linotype" w:cs="Palatino Linotype" w:eastAsia="Palatino Linotype" w:hAnsi="Palatino Linotype"/>
          <w:b w:val="1"/>
          <w:i w:val="1"/>
          <w:sz w:val="22"/>
          <w:szCs w:val="22"/>
          <w:u w:val="single"/>
          <w:rtl w:val="0"/>
        </w:rPr>
        <w:t xml:space="preserve">Marcaje Legislativo y lo que va de la actual legislatura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el currículum y declaración de conflictos de Violeta Huerta titular de comunicacion social</w:t>
      </w:r>
      <w:r w:rsidDel="00000000" w:rsidR="00000000" w:rsidRPr="00000000">
        <w:rPr>
          <w:rFonts w:ascii="Palatino Linotype" w:cs="Palatino Linotype" w:eastAsia="Palatino Linotype" w:hAnsi="Palatino Linotype"/>
          <w:i w:val="1"/>
          <w:sz w:val="22"/>
          <w:szCs w:val="22"/>
          <w:rtl w:val="0"/>
        </w:rPr>
        <w:t xml:space="preserve">, así como las </w:t>
      </w:r>
      <w:r w:rsidDel="00000000" w:rsidR="00000000" w:rsidRPr="00000000">
        <w:rPr>
          <w:rFonts w:ascii="Palatino Linotype" w:cs="Palatino Linotype" w:eastAsia="Palatino Linotype" w:hAnsi="Palatino Linotype"/>
          <w:b w:val="1"/>
          <w:i w:val="1"/>
          <w:sz w:val="22"/>
          <w:szCs w:val="22"/>
          <w:u w:val="single"/>
          <w:rtl w:val="0"/>
        </w:rPr>
        <w:t xml:space="preserve">medidas tomadas por la junta de coordinación política para evitar el conflicto de interes con los medios de difusción donde colabora activamente”</w:t>
      </w:r>
    </w:p>
    <w:p w:rsidR="00000000" w:rsidDel="00000000" w:rsidP="00000000" w:rsidRDefault="00000000" w:rsidRPr="00000000" w14:paraId="0000000A">
      <w:pPr>
        <w:spacing w:line="360"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7"/>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Prórroga.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cinco de noviembre de dos mil veinticuatro</w:t>
      </w:r>
      <w:r w:rsidDel="00000000" w:rsidR="00000000" w:rsidRPr="00000000">
        <w:rPr>
          <w:rFonts w:ascii="Palatino Linotype" w:cs="Palatino Linotype" w:eastAsia="Palatino Linotype" w:hAnsi="Palatino Linotype"/>
          <w:sz w:val="22"/>
          <w:szCs w:val="22"/>
          <w:rtl w:val="0"/>
        </w:rPr>
        <w:t xml:space="preserve">, el Sujeto Obligado solicitó una prórroga para dar respuesta a la solicitud, por un periodo de hasta siete días. Esto por el Comité de Transparencia, a través de la Trigésima Sexta Sesión Extraordinaria, celebrada el 05 de noviembre de 2024, mediante </w:t>
      </w:r>
      <w:r w:rsidDel="00000000" w:rsidR="00000000" w:rsidRPr="00000000">
        <w:rPr>
          <w:rFonts w:ascii="Palatino Linotype" w:cs="Palatino Linotype" w:eastAsia="Palatino Linotype" w:hAnsi="Palatino Linotype"/>
          <w:b w:val="1"/>
          <w:sz w:val="22"/>
          <w:szCs w:val="22"/>
          <w:rtl w:val="0"/>
        </w:rPr>
        <w:t xml:space="preserve">Acuerdo PLEGISLA/LXII/CT/36ªext/2024/TERCERO.</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F">
      <w:pPr>
        <w:numPr>
          <w:ilvl w:val="0"/>
          <w:numId w:val="7"/>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catorce de noviembre de dos mil veinticuatro</w:t>
      </w:r>
      <w:r w:rsidDel="00000000" w:rsidR="00000000" w:rsidRPr="00000000">
        <w:rPr>
          <w:rFonts w:ascii="Palatino Linotype" w:cs="Palatino Linotype" w:eastAsia="Palatino Linotype" w:hAnsi="Palatino Linotype"/>
          <w:sz w:val="22"/>
          <w:szCs w:val="22"/>
          <w:rtl w:val="0"/>
        </w:rPr>
        <w:t xml:space="preserve"> se tuvo por presentada la respuesta,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mediante la cual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señaló de lo siguiente:</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Respuesta a la solicitud 00481/PLEGISLA/IP/2024 </w:t>
      </w:r>
      <w:r w:rsidDel="00000000" w:rsidR="00000000" w:rsidRPr="00000000">
        <w:rPr>
          <w:rFonts w:ascii="Palatino Linotype" w:cs="Palatino Linotype" w:eastAsia="Palatino Linotype" w:hAnsi="Palatino Linotype"/>
          <w:b w:val="1"/>
          <w:i w:val="1"/>
          <w:sz w:val="22"/>
          <w:szCs w:val="22"/>
          <w:u w:val="single"/>
          <w:rtl w:val="0"/>
        </w:rPr>
        <w:t xml:space="preserve">Derivado de la búsqueda exhaustiva y razonable realizada en los registros contables-presupuestales que obran en esta dependencia, se anexa versión pública de las facturas pagadas a Marcaje Legislativo durante la LXI Legislatura, referente a la LXII Legislatura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no se localizaron registros de pago a la fecha de la recepción de la presente</w:t>
      </w:r>
      <w:r w:rsidDel="00000000" w:rsidR="00000000" w:rsidRPr="00000000">
        <w:rPr>
          <w:rFonts w:ascii="Palatino Linotype" w:cs="Palatino Linotype" w:eastAsia="Palatino Linotype" w:hAnsi="Palatino Linotype"/>
          <w:i w:val="1"/>
          <w:sz w:val="22"/>
          <w:szCs w:val="22"/>
          <w:rtl w:val="0"/>
        </w:rPr>
        <w:t xml:space="preserve">; así mismo, se </w:t>
      </w:r>
      <w:r w:rsidDel="00000000" w:rsidR="00000000" w:rsidRPr="00000000">
        <w:rPr>
          <w:rFonts w:ascii="Palatino Linotype" w:cs="Palatino Linotype" w:eastAsia="Palatino Linotype" w:hAnsi="Palatino Linotype"/>
          <w:b w:val="1"/>
          <w:i w:val="1"/>
          <w:sz w:val="22"/>
          <w:szCs w:val="22"/>
          <w:u w:val="single"/>
          <w:rtl w:val="0"/>
        </w:rPr>
        <w:t xml:space="preserve">adjunta ficha curricular de la C. Violeta Isabel Huerta López</w:t>
      </w:r>
      <w:r w:rsidDel="00000000" w:rsidR="00000000" w:rsidRPr="00000000">
        <w:rPr>
          <w:rFonts w:ascii="Palatino Linotype" w:cs="Palatino Linotype" w:eastAsia="Palatino Linotype" w:hAnsi="Palatino Linotype"/>
          <w:i w:val="1"/>
          <w:sz w:val="22"/>
          <w:szCs w:val="22"/>
          <w:rtl w:val="0"/>
        </w:rPr>
        <w:t xml:space="preserve">. La presente respuesta se genera en apego a lo establecido en el artículo 12 de la Ley de Transparencia y Acceso a la Información Pública del Estado de México y Municipios, que a la letra indica: “Quienes generen, recopilen, administren, manejen, procesen, archiven o conserven información pública, serán responsables de la misma en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Jesús Felipe Borja Coronel</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los documentos electrónicos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se describen a continuación:</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481.pdf: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suscrito por el Servidor Público Habilitado de la Contraloría mediante el cual señala una dirección electrónica y el procedimiento en el que se puede consultar la declaración patrimonial y de intereses de la Servidora Pública señalada en la solicitud.</w:t>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Leyenda Confidencial - 481.pdf: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Contiene el cuadro de clasificación como información confidencial.</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Acuerdo PLEGISLA-LXII-CT-35ªext-2024-CUARTO.pdf: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Contiene el acuerdo del Comité de Transparencia que sustenta la versión pública para dar respuesta a la solicitud que dio origen al presente recurso de revisión, respecto a las facturas pagadas a la empresa señalada en la solicitud.</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Anexo 0481.zip: Contiene lo siguiente: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93"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a favor de la empresa referida en la solicitud del año 2022, 2023 y 2024.</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93"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Ficha curricular de la Servidora Pública señalada en la solicitud.</w:t>
      </w:r>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Oficio 0481.pdf: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remitido por la Servidora Pública Habilitado de la Secretaría de Administración y Finanzas mediante el cual refiere que se adjuntan las facturas requeridas de la LXI Legislatura y no se localizaron registros de la LXII. Asimismo, se adjunta la ficha curricular de la Servidora Pública señalada en la solicitud.</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Respuesta 481-CONTRA-SAF.pdf: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del Titular de la Unidad de Transparencia mediante el cual refiere que adjunta las respuestas de los servidores públicos habilitados, asimismo, le hace mención al recurrente su derecho de interponer el recurso de revisión.</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9"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numPr>
          <w:ilvl w:val="0"/>
          <w:numId w:val="7"/>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el ahora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diecinueve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noviembre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2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la curricula no lo firma Violeta Huerta no es valido</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u w:val="single"/>
          <w:rtl w:val="0"/>
        </w:rPr>
        <w:t xml:space="preserve">facturas las clasifican como si se trata de una persona fisica y es juridico colectiva sin fines de lucro.</w:t>
      </w:r>
      <w:r w:rsidDel="00000000" w:rsidR="00000000" w:rsidRPr="00000000">
        <w:rPr>
          <w:rFonts w:ascii="Palatino Linotype" w:cs="Palatino Linotype" w:eastAsia="Palatino Linotype" w:hAnsi="Palatino Linotype"/>
          <w:i w:val="1"/>
          <w:sz w:val="22"/>
          <w:szCs w:val="22"/>
          <w:rtl w:val="0"/>
        </w:rPr>
        <w:t xml:space="preserve"> solicito la entreega de la informacion como la tienen en sus arhcivos”. </w:t>
      </w:r>
      <w:r w:rsidDel="00000000" w:rsidR="00000000" w:rsidRPr="00000000">
        <w:rPr>
          <w:rtl w:val="0"/>
        </w:rPr>
      </w:r>
    </w:p>
    <w:p w:rsidR="00000000" w:rsidDel="00000000" w:rsidP="00000000" w:rsidRDefault="00000000" w:rsidRPr="00000000" w14:paraId="00000023">
      <w:pPr>
        <w:spacing w:line="360" w:lineRule="auto"/>
        <w:ind w:left="567" w:right="90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4">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la curricula no lo firma Violeta Huerta no es valido las facturas las clasifican como si se trata de una persona fisica y es juridico colectiva sin fines de lucro. solicito la entreega de la informacion como la tienen en sus arhcivos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5">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6">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07269/INFOEM/IP/RR/2024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veintidós de noviembre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El Sujeto Obligado rindió su informe justificado el </w:t>
      </w:r>
      <w:r w:rsidDel="00000000" w:rsidR="00000000" w:rsidRPr="00000000">
        <w:rPr>
          <w:rFonts w:ascii="Palatino Linotype" w:cs="Palatino Linotype" w:eastAsia="Palatino Linotype" w:hAnsi="Palatino Linotype"/>
          <w:b w:val="1"/>
          <w:sz w:val="22"/>
          <w:szCs w:val="22"/>
          <w:rtl w:val="0"/>
        </w:rPr>
        <w:t xml:space="preserve">veintisiete de noviembre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w:t>
      </w:r>
      <w:r w:rsidDel="00000000" w:rsidR="00000000" w:rsidRPr="00000000">
        <w:rPr>
          <w:rFonts w:ascii="Palatino Linotype" w:cs="Palatino Linotype" w:eastAsia="Palatino Linotype" w:hAnsi="Palatino Linotype"/>
          <w:sz w:val="22"/>
          <w:szCs w:val="22"/>
          <w:rtl w:val="0"/>
        </w:rPr>
        <w:t xml:space="preserve">, el cual se puso a la vista del Recurrente el </w:t>
      </w:r>
      <w:r w:rsidDel="00000000" w:rsidR="00000000" w:rsidRPr="00000000">
        <w:rPr>
          <w:rFonts w:ascii="Palatino Linotype" w:cs="Palatino Linotype" w:eastAsia="Palatino Linotype" w:hAnsi="Palatino Linotype"/>
          <w:b w:val="1"/>
          <w:sz w:val="22"/>
          <w:szCs w:val="22"/>
          <w:rtl w:val="0"/>
        </w:rPr>
        <w:t xml:space="preserve">tres</w:t>
      </w:r>
      <w:r w:rsidDel="00000000" w:rsidR="00000000" w:rsidRPr="00000000">
        <w:rPr>
          <w:rFonts w:ascii="Palatino Linotype" w:cs="Palatino Linotype" w:eastAsia="Palatino Linotype" w:hAnsi="Palatino Linotype"/>
          <w:sz w:val="22"/>
          <w:szCs w:val="22"/>
          <w:rtl w:val="0"/>
        </w:rPr>
        <w:t xml:space="preserve"> de </w:t>
      </w:r>
      <w:r w:rsidDel="00000000" w:rsidR="00000000" w:rsidRPr="00000000">
        <w:rPr>
          <w:rFonts w:ascii="Palatino Linotype" w:cs="Palatino Linotype" w:eastAsia="Palatino Linotype" w:hAnsi="Palatino Linotype"/>
          <w:b w:val="1"/>
          <w:sz w:val="22"/>
          <w:szCs w:val="22"/>
          <w:rtl w:val="0"/>
        </w:rPr>
        <w:t xml:space="preserve">diciembre</w:t>
      </w:r>
      <w:r w:rsidDel="00000000" w:rsidR="00000000" w:rsidRPr="00000000">
        <w:rPr>
          <w:rFonts w:ascii="Palatino Linotype" w:cs="Palatino Linotype" w:eastAsia="Palatino Linotype" w:hAnsi="Palatino Linotype"/>
          <w:sz w:val="22"/>
          <w:szCs w:val="22"/>
          <w:rtl w:val="0"/>
        </w:rPr>
        <w:t xml:space="preserve"> de la misma anualidad. Los documentos remitidos contienen lo siguiente: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Consideraciones SAF- RR. 07269-Sol. 0481-2024.pdf: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la Secretaría de Administración y Finanzas mediante el cual ratifica su respuesta inicial.</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Informe justificado RR. 07269-2023 (sol. 0481-2024).pdf: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signado por el Titular de la Unidad de Transparencia mediante el cual indica que existieron actos consentidos ya que no se inconforma por la totalidad de la información, asimismo, ratifica su respuesta inicial, pues se entregó la versión pública de los documentos que obran en sus archivos.</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Consideraciones CONTRA- RR. 07269-Sol. 0481-2024.pdf: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suscrito por el Servidor Público Habilitado de la Contraloría Interna mediante el cual reitera la respuesta inicial.</w:t>
      </w:r>
      <w:r w:rsidDel="00000000" w:rsidR="00000000" w:rsidRPr="00000000">
        <w:rPr>
          <w:rtl w:val="0"/>
        </w:rPr>
      </w:r>
    </w:p>
    <w:p w:rsidR="00000000" w:rsidDel="00000000" w:rsidP="00000000" w:rsidRDefault="00000000" w:rsidRPr="00000000" w14:paraId="00000030">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Recurrente fue omiso en realizar manifestaciones, presentar pruebas o alegatos que a su derecho convinieran.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tabs>
          <w:tab w:val="left" w:leader="none" w:pos="360"/>
        </w:tabs>
        <w:spacing w:line="360" w:lineRule="auto"/>
        <w:ind w:left="0"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once de diciembre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6">
      <w:pPr>
        <w:numPr>
          <w:ilvl w:val="0"/>
          <w:numId w:val="8"/>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left="107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ind w:right="49"/>
        <w:jc w:val="both"/>
        <w:rPr>
          <w:rFonts w:ascii="Palatino Linotype" w:cs="Palatino Linotype" w:eastAsia="Palatino Linotype" w:hAnsi="Palatino Linotype"/>
          <w:sz w:val="22"/>
          <w:szCs w:val="22"/>
        </w:rPr>
      </w:pPr>
      <w:bookmarkStart w:colFirst="0" w:colLast="0" w:name="_heading=h.1fob9te" w:id="2"/>
      <w:bookmarkEnd w:id="2"/>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catorce de noviembre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diecinueve de noviembre de dos mil veinticuatro</w:t>
      </w:r>
      <w:r w:rsidDel="00000000" w:rsidR="00000000" w:rsidRPr="00000000">
        <w:rPr>
          <w:rFonts w:ascii="Palatino Linotype" w:cs="Palatino Linotype" w:eastAsia="Palatino Linotype" w:hAnsi="Palatino Linotype"/>
          <w:sz w:val="22"/>
          <w:szCs w:val="22"/>
          <w:rtl w:val="0"/>
        </w:rPr>
        <w:t xml:space="preserve">, es decir, al segundo día que se tuvo por presentada, por lo que se encuentra dentro de los márgenes temporales previstos para tal efecto. </w:t>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w:t>
      </w:r>
      <w:r w:rsidDel="00000000" w:rsidR="00000000" w:rsidRPr="00000000">
        <w:rPr>
          <w:rFonts w:ascii="Palatino Linotype" w:cs="Palatino Linotype" w:eastAsia="Palatino Linotype" w:hAnsi="Palatino Linotype"/>
          <w:b w:val="1"/>
          <w:sz w:val="22"/>
          <w:szCs w:val="22"/>
          <w:rtl w:val="0"/>
        </w:rPr>
        <w:t xml:space="preserve"> no proporcionó nombre </w:t>
      </w:r>
      <w:r w:rsidDel="00000000" w:rsidR="00000000" w:rsidRPr="00000000">
        <w:rPr>
          <w:rFonts w:ascii="Palatino Linotype" w:cs="Palatino Linotype" w:eastAsia="Palatino Linotype" w:hAnsi="Palatino Linotype"/>
          <w:sz w:val="22"/>
          <w:szCs w:val="22"/>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0">
      <w:pP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completo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por lo que, en el presente caso, al haber sido presentado el recurso de revisión de forma electrónica, dicho requisito no resulta indispensable.</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la interposición del recurso de revisión al rubro anotado, toda vez que se actualiza la hipótesis prevista en el artículo 179, fracciones II y V de la ley de la materia, que a la letra dice:</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7">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8">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clasificación de la información;</w:t>
      </w:r>
    </w:p>
    <w:p w:rsidR="00000000" w:rsidDel="00000000" w:rsidP="00000000" w:rsidRDefault="00000000" w:rsidRPr="00000000" w14:paraId="0000004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A">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 </w:t>
      </w:r>
    </w:p>
    <w:p w:rsidR="00000000" w:rsidDel="00000000" w:rsidP="00000000" w:rsidRDefault="00000000" w:rsidRPr="00000000" w14:paraId="0000004B">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como el informe justificado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6">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4">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5">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6">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7">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8">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C">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E">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F">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análisis de los agravios hechos valer por la parte Recurrente que actualizan la causal de procedencia prevista en las fracciones II y V del artículo 179 de la Ley de Transparencia y Acceso a la Información del Estado de México y Municipios, relativa a la clasificación de la información y entrega de información incompleta.</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Recurrente solicitó la siguiente información: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pagadas durante la LXI Legislatura del Estado de México al medio de comunicación Marcaje Legislativo y lo que va de la actual legislatura;</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la Servidora Pública Violeta Huerta, Titular de Comunicación Social:</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Currículum;</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Declaración de conflicto de intereses;</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Medidas para evitar conflicto de intereses.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Sujeto Obligado señaló lo siguiente:</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Dirección electrónica y procedimiento para acceder a las declaraciones de intereses de la Servidora Pública;</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en versión pública de los años 2022, 2023 y 2024;</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Ficha curricular de la Servidora Pública.</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Recurrente se inconformó porque la ficha curricular no contiene la firma de la Servidora Pública y por las versiones públicas de las facturas emitidas en respuesta.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 agravio del particular, se aprecia que no se inconforma por la información relativa a la declaración de conflicto de intereses y las medidas para evitar conflicto de intereses; asimismo, de la ficha curricular únicamente por la firma de la Servidora Pública y de las facturas por la versión pública por lo que dichos requerimientos deben declararse atendidos, pues se entiende que la parte Recurrente ésta conforme con la información proporcionada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1"/>
          <w:strike w:val="0"/>
          <w:color w:val="000000"/>
          <w:sz w:val="22"/>
          <w:szCs w:val="22"/>
          <w:u w:val="none"/>
          <w:shd w:fill="auto" w:val="clear"/>
          <w:vertAlign w:val="baseline"/>
          <w:rtl w:val="0"/>
        </w:rPr>
        <w:t xml:space="preserve">“ACTOS CONSENTIDOS. SON LOS QUE NO SE IMPUGNAN MEDIANTE EL RECURSO IDÓNEO.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expuesto, se determina que el presente asunto se ceñirá a analizar lo relativo a la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firma de la servidora pública en la ficha curricular y las versiones públicas de las facturas emitidas por el Sujeto Obligado.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corresponde al primer requerimiento, la ficha curricular o curriculum vitae contienen entre otra información,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la preparación académica, laboral y méritos con los que cuentan los servidores públicos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para ocupar un cargo público. Se cita lo que dispone la  Real Academia de la Lengua Española define como currículum vitae: </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tabs>
          <w:tab w:val="left" w:leader="none" w:pos="426"/>
        </w:tabs>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currículum vítae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Loc. lat. que significa literalmente ‘carrera de la vida’. Se usa como locución nominal masculina para designar la relación de los datos personales, </w:t>
      </w:r>
      <w:r w:rsidDel="00000000" w:rsidR="00000000" w:rsidRPr="00000000">
        <w:rPr>
          <w:rFonts w:ascii="Palatino Linotype" w:cs="Palatino Linotype" w:eastAsia="Palatino Linotype" w:hAnsi="Palatino Linotype"/>
          <w:b w:val="1"/>
          <w:i w:val="1"/>
          <w:sz w:val="22"/>
          <w:szCs w:val="22"/>
          <w:rtl w:val="0"/>
        </w:rPr>
        <w:t xml:space="preserve">formación académica</w:t>
      </w:r>
      <w:r w:rsidDel="00000000" w:rsidR="00000000" w:rsidRPr="00000000">
        <w:rPr>
          <w:rFonts w:ascii="Palatino Linotype" w:cs="Palatino Linotype" w:eastAsia="Palatino Linotype" w:hAnsi="Palatino Linotype"/>
          <w:i w:val="1"/>
          <w:sz w:val="22"/>
          <w:szCs w:val="22"/>
          <w:rtl w:val="0"/>
        </w:rPr>
        <w:t xml:space="preserve">, actividad laboral y méritos de una persona.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interpretación a esta definición se desprende que tanto la ficha curricular como el curriculum vitae están relacionados con la hoja de vida, carrera de vida o currícula de una persona, donde se podría apreciar la preparación académica y laboral que tiene, además de los méritos como bien lo podrían ser cursos o certificaciones.</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ficha curricular o currículum vítae puede existir información más detallada y relacionada con la </w:t>
      </w:r>
      <w:r w:rsidDel="00000000" w:rsidR="00000000" w:rsidRPr="00000000">
        <w:rPr>
          <w:rFonts w:ascii="Palatino Linotype" w:cs="Palatino Linotype" w:eastAsia="Palatino Linotype" w:hAnsi="Palatino Linotype"/>
          <w:b w:val="1"/>
          <w:sz w:val="22"/>
          <w:szCs w:val="22"/>
          <w:rtl w:val="0"/>
        </w:rPr>
        <w:t xml:space="preserve">trayectoria académica o profesional, </w:t>
      </w:r>
      <w:r w:rsidDel="00000000" w:rsidR="00000000" w:rsidRPr="00000000">
        <w:rPr>
          <w:rFonts w:ascii="Palatino Linotype" w:cs="Palatino Linotype" w:eastAsia="Palatino Linotype" w:hAnsi="Palatino Linotype"/>
          <w:sz w:val="22"/>
          <w:szCs w:val="22"/>
          <w:rtl w:val="0"/>
        </w:rPr>
        <w:t xml:space="preserve">debiendo conservar los documentos soporte como puede ser </w:t>
      </w:r>
      <w:r w:rsidDel="00000000" w:rsidR="00000000" w:rsidRPr="00000000">
        <w:rPr>
          <w:rFonts w:ascii="Palatino Linotype" w:cs="Palatino Linotype" w:eastAsia="Palatino Linotype" w:hAnsi="Palatino Linotype"/>
          <w:b w:val="1"/>
          <w:sz w:val="22"/>
          <w:szCs w:val="22"/>
          <w:rtl w:val="0"/>
        </w:rPr>
        <w:t xml:space="preserve">el título profesional o cédula profesional</w:t>
      </w:r>
      <w:r w:rsidDel="00000000" w:rsidR="00000000" w:rsidRPr="00000000">
        <w:rPr>
          <w:rFonts w:ascii="Palatino Linotype" w:cs="Palatino Linotype" w:eastAsia="Palatino Linotype" w:hAnsi="Palatino Linotype"/>
          <w:sz w:val="22"/>
          <w:szCs w:val="22"/>
          <w:rtl w:val="0"/>
        </w:rPr>
        <w:t xml:space="preserve"> o el documento que avale el grado académico de los servidores públicos, los cuales son susceptibles de proporcionarse en versión pública.</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la información contenida en el currículum vitae proporcionado por el Sujeto Obligado permite conocer el perfil profesional del servidor público.</w:t>
      </w:r>
    </w:p>
    <w:p w:rsidR="00000000" w:rsidDel="00000000" w:rsidP="00000000" w:rsidRDefault="00000000" w:rsidRPr="00000000" w14:paraId="00000096">
      <w:pP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el currículum vitae o ficha curricular forman parte de las obligaciones d transparencia común que todos los Sujetos Obligados deben publicar periódicamente en sus portales IPOMEX, según lo dispuesto en el artículo 92, fracción XXI, de la Ley de Transparencia y Acceso a la Información del Estado de México y Municipios, disponen lo siguiente:</w:t>
      </w:r>
    </w:p>
    <w:p w:rsidR="00000000" w:rsidDel="00000000" w:rsidP="00000000" w:rsidRDefault="00000000" w:rsidRPr="00000000" w14:paraId="00000098">
      <w:pPr>
        <w:ind w:left="851" w:right="851"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9">
      <w:pPr>
        <w:spacing w:line="276" w:lineRule="auto"/>
        <w:ind w:left="851" w:right="85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09A">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9B">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C">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información curricular</w:t>
      </w:r>
      <w:r w:rsidDel="00000000" w:rsidR="00000000" w:rsidRPr="00000000">
        <w:rPr>
          <w:rFonts w:ascii="Palatino Linotype" w:cs="Palatino Linotype" w:eastAsia="Palatino Linotype" w:hAnsi="Palatino Linotype"/>
          <w:i w:val="1"/>
          <w:sz w:val="22"/>
          <w:szCs w:val="22"/>
          <w:rtl w:val="0"/>
        </w:rPr>
        <w:t xml:space="preserve">, desde el nivel de jefe de departamento o equivalente, hasta el titular del sujeto obligado, así como, en su caso, las sanciones administrativas de que haya sido objeto;</w:t>
      </w:r>
    </w:p>
    <w:p w:rsidR="00000000" w:rsidDel="00000000" w:rsidP="00000000" w:rsidRDefault="00000000" w:rsidRPr="00000000" w14:paraId="0000009D">
      <w:pP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9E">
      <w:pPr>
        <w:tabs>
          <w:tab w:val="left" w:leader="none" w:pos="426"/>
        </w:tabs>
        <w:spacing w:line="360" w:lineRule="auto"/>
        <w:ind w:right="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tabs>
          <w:tab w:val="left" w:leader="none" w:pos="426"/>
        </w:tabs>
        <w:spacing w:line="360" w:lineRule="auto"/>
        <w:ind w:right="48"/>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De lo anterior se coligue que, el Sujeto Obligado cuenta con fuente obligacional para generar, administrar y poseer la información requerida por el Particular, además, los </w:t>
      </w:r>
      <w:r w:rsidDel="00000000" w:rsidR="00000000" w:rsidRPr="00000000">
        <w:rPr>
          <w:rFonts w:ascii="Palatino Linotype" w:cs="Palatino Linotype" w:eastAsia="Palatino Linotype" w:hAnsi="Palatino Linotype"/>
          <w:i w:val="1"/>
          <w:sz w:val="22"/>
          <w:szCs w:val="22"/>
          <w:rtl w:val="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000000" w:rsidDel="00000000" w:rsidP="00000000" w:rsidRDefault="00000000" w:rsidRPr="00000000" w14:paraId="000000A0">
      <w:pPr>
        <w:tabs>
          <w:tab w:val="left" w:leader="none" w:pos="426"/>
        </w:tabs>
        <w:spacing w:line="360" w:lineRule="auto"/>
        <w:ind w:right="4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 La información curricular desde el nivel de jefe de departamento o equivalente    hasta el titular del sujeto obligado</w:t>
      </w:r>
      <w:r w:rsidDel="00000000" w:rsidR="00000000" w:rsidRPr="00000000">
        <w:rPr>
          <w:rFonts w:ascii="Palatino Linotype" w:cs="Palatino Linotype" w:eastAsia="Palatino Linotype" w:hAnsi="Palatino Linotype"/>
          <w:i w:val="1"/>
          <w:sz w:val="22"/>
          <w:szCs w:val="22"/>
          <w:rtl w:val="0"/>
        </w:rPr>
        <w:t xml:space="preserve">, así como, en su caso, las sanciones administrativas de que haya sido objeto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Criterios sustantivos de contenido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 Ejercicio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 Periodo que se informa (fecha de inicio y fecha de término con el formato día/mes/año)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3 Denominación del puesto (de acuerdo con el catálogo que en su caso regule la actividad del sujeto obligado)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4 Denominación del cargo (de conformidad con nombramiento otorgado)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5 Nombre del servidor(a) público(a), integrante y/o, miembro del sujeto obligado, y/o persona que desempeñe un empleo, cargo o comisión y/o ejerza actos de autoridad (nombre[s], primer apellido, segundo apellido)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6 Área de adscripción (de acuerdo con el catálogo que en su caso regule la actividad del sujeto obligado) Respecto a la información curricular del (la) servidor(a) público(a) y/o persona que desempeñe un empleo, cargo o comisión en el sujeto obligado se deberá publicar: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7 Escolaridad, nivel máximo de estudios concluido y comprobable (catálogo): Ninguno/Primaria/Secundaria/Bachillerato/Carrera</w:t>
      </w:r>
      <w:r w:rsidDel="00000000" w:rsidR="00000000" w:rsidRPr="00000000">
        <w:rPr>
          <w:rFonts w:ascii="Palatino Linotype" w:cs="Palatino Linotype" w:eastAsia="Palatino Linotype" w:hAnsi="Palatino Linotype"/>
          <w:i w:val="1"/>
          <w:sz w:val="22"/>
          <w:szCs w:val="22"/>
          <w:rtl w:val="0"/>
        </w:rPr>
        <w:t xml:space="preserve"> técnica/Licenciatura/Maestría/Doctorado/Posdoctorado/Especialización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8 Carrera genérica, en su caso</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9 Carrera genérica, en su caso Respecto de la experiencia laboral especificar, al menos, los tres últimos empleos, en donde se indique: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10 Periodo (mes/año de inicio y mes/año de conclusión)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11 Denominación de la institución o empresa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12 Cargo o puesto desempeñado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13 Campo de experiencia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14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la información curricular forma parte de las obligaciones de transparencia común con los elementos mínimos indispensables, entre los que no se localiza como requisito indispensable la firma del servidor público.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formato que remitió el Sujeto Obligado si bien contiene el apartado para la firma del servidor público, también lo es que las obligaciones de transparencia ni la normatividad que rige al Sujeto Obligado exigen que se deba contener dicho dato personal.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no escapa de la óptica de este organismo garante que, el Titular de la Unidad de Transparencia turnó la solicitud a la Secretaría de Administración y Finanzas, la cual, de acuerdo al artículo 160 del Reglamento del Poder Legislativo del Estado Libre y Soberano de México, tiene las siguientes atribuciones:</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160.- La Secretaría de Administración y Finanzas, tendrá las atribuciones siguientes: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Planear, organizar, coordinar y controlar los recursos humanos, financieros, materiales y tecnologías de la información y comunicación con los que cuente el Poder Legislativo;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Definir y establecer normas, objetivos, políticas y procedimientos, en materia de recursos humanos, financieros, materiales y tecnologías de la información y comunicación del Poder Legislativo;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Administrar la aplicación de los recursos y efectuar las comprobaciones, para efectos de la contabilidad pública;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Autorizar y firmar en su caso, la documentación referente a erogaciones y pagos que con cargo al presupuesto de egresos ejerza el Poder Legislativo;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Proveer el apoyo humano, material, financiero y técnico que se requiera para la operación del sistema electrónico de asistencia y votación, así como para el desarrollo, administración e implementación de la Firma Electrónica; </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C9">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CA">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CB">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CC">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CD">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CE">
      <w:pPr>
        <w:spacing w:line="360" w:lineRule="auto"/>
        <w:ind w:right="19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right="19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turnó la solicitud de información a la Secretaría de Administración y Finanzas, la cual cuenta con atribuciones para generar, administrar o poseer la información requerida; con lo que se acreditó que se realizó una correcta búsqueda exhaustiva y razonable de la información.</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al haber existido un pronunciamiento por el Sujeto Obligado a través del área competente, es que no se puede dudar de la veracidad. Sirve de apoyo a lo anterior por analogía </w:t>
      </w:r>
      <w:r w:rsidDel="00000000" w:rsidR="00000000" w:rsidRPr="00000000">
        <w:rPr>
          <w:rFonts w:ascii="Palatino Linotype" w:cs="Palatino Linotype" w:eastAsia="Palatino Linotype" w:hAnsi="Palatino Linotype"/>
          <w:b w:val="1"/>
          <w:sz w:val="22"/>
          <w:szCs w:val="22"/>
          <w:rtl w:val="0"/>
        </w:rPr>
        <w:t xml:space="preserve">el criterio histórico 31-10 </w:t>
      </w:r>
      <w:r w:rsidDel="00000000" w:rsidR="00000000" w:rsidRPr="00000000">
        <w:rPr>
          <w:rFonts w:ascii="Palatino Linotype" w:cs="Palatino Linotype" w:eastAsia="Palatino Linotype" w:hAnsi="Palatino Linotype"/>
          <w:sz w:val="22"/>
          <w:szCs w:val="22"/>
          <w:rtl w:val="0"/>
        </w:rPr>
        <w:t xml:space="preserve">emitido por el entonces Instituto Federal de Acceso a la Información y Protección de Datos, que a la letra dice: </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1740"/>
        </w:tabs>
        <w:ind w:left="708"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D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D4">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Órgano Garante carece de facultades para dudar de la veracidad sobre la información proporcionada por el Sujeto Obligado, en consecuencia, debe declararse atendido dicho requerimiento respecto al Currículum vitae o ficha curricular.</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lo que corresponde a las facturas, el Recurrente se inconformó por la versión pública añadiendo que se clasificó información pública, haciendo alusión a que corresponde a una persona jurídico colectiva.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Primeramente, es necesario conocer </w:t>
      </w:r>
      <w:r w:rsidDel="00000000" w:rsidR="00000000" w:rsidRPr="00000000">
        <w:rPr>
          <w:rFonts w:ascii="Palatino Linotype" w:cs="Palatino Linotype" w:eastAsia="Palatino Linotype" w:hAnsi="Palatino Linotype"/>
          <w:rtl w:val="0"/>
        </w:rPr>
        <w:t xml:space="preserve">a que nos referimos por “</w:t>
      </w:r>
      <w:r w:rsidDel="00000000" w:rsidR="00000000" w:rsidRPr="00000000">
        <w:rPr>
          <w:rFonts w:ascii="Palatino Linotype" w:cs="Palatino Linotype" w:eastAsia="Palatino Linotype" w:hAnsi="Palatino Linotype"/>
          <w:i w:val="1"/>
          <w:rtl w:val="0"/>
        </w:rPr>
        <w:t xml:space="preserve">factura</w:t>
      </w:r>
      <w:r w:rsidDel="00000000" w:rsidR="00000000" w:rsidRPr="00000000">
        <w:rPr>
          <w:rFonts w:ascii="Palatino Linotype" w:cs="Palatino Linotype" w:eastAsia="Palatino Linotype" w:hAnsi="Palatino Linotype"/>
          <w:rtl w:val="0"/>
        </w:rPr>
        <w:t xml:space="preserve">”; al respecto, nos referiremos a éste concepto aunque sea sucintamente de acuerdo a lo que dispone el Glosario de Términos Hacendarios que emite el Instituto Hacendario del Estado de México, mismo que expresa lo siguiente:</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567" w:right="567"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FACTURA:</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 el documento fiscal que emite la persona física o moral para comprobar la venta o adquisición de un bien y/o servicio.”</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Una vez precisado lo anterior, se procede a analizar si las facturas solicitadas son de acceso público; por lo que es de señalarse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las facturas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 comprobantes que amparan las erogaciones que se realizan con erario público tienen naturaleza análoga, pues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constituyen los medios idóneos de evidencia del gasto realizado con recursos públicos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 respecto, conviene precisar que en el cumplimiento de los principios que rigen la función pública, la Constitución Política del Estado Libre y Soberano de México en su artículo 129 señala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los recursos económicos de los entes públicos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presente asunto en particular se adjuntaron diversas facturas de los años 2022, 2023 y 2024, las cuales se encuentran en versión pública, tal y como se muestra a continuación:</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0" w:right="51"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4852526" cy="5616259"/>
            <wp:effectExtent b="0" l="0" r="0" t="0"/>
            <wp:docPr id="4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52526" cy="5616259"/>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través del Comité de Transparencia el Sujeto Obligado confirmó la clasificación de los siguientes elementos:</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Cadena original del complemento de certificación digital del Servicio de Administración Tributaria;</w:t>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serie del Certificado de Sello Digital (CSD);</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Folio Fiscal;</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Código QR;</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al ser la clasificación de la información el agravio del particular, es necesario analizar cada elemento que fue clasificado a efecto de determinar si es procedente el agravio formulado por el Recurrente.</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Folio fiscal. </w:t>
      </w:r>
      <w:r w:rsidDel="00000000" w:rsidR="00000000" w:rsidRPr="00000000">
        <w:rPr>
          <w:rFonts w:ascii="Palatino Linotype" w:cs="Palatino Linotype" w:eastAsia="Palatino Linotype" w:hAnsi="Palatino Linotype"/>
          <w:sz w:val="22"/>
          <w:szCs w:val="22"/>
          <w:rtl w:val="0"/>
        </w:rPr>
        <w:t xml:space="preserve">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r w:rsidDel="00000000" w:rsidR="00000000" w:rsidRPr="00000000">
        <w:rPr>
          <w:rtl w:val="0"/>
        </w:rPr>
      </w:r>
    </w:p>
    <w:p w:rsidR="00000000" w:rsidDel="00000000" w:rsidP="00000000" w:rsidRDefault="00000000" w:rsidRPr="00000000" w14:paraId="000000EF">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667250" cy="1333500"/>
            <wp:effectExtent b="0" l="0" r="0" t="0"/>
            <wp:docPr id="42" name="image3.png"/>
            <a:graphic>
              <a:graphicData uri="http://schemas.openxmlformats.org/drawingml/2006/picture">
                <pic:pic>
                  <pic:nvPicPr>
                    <pic:cNvPr id="0" name="image3.png"/>
                    <pic:cNvPicPr preferRelativeResize="0"/>
                  </pic:nvPicPr>
                  <pic:blipFill>
                    <a:blip r:embed="rId8"/>
                    <a:srcRect b="32787" l="0" r="0" t="0"/>
                    <a:stretch>
                      <a:fillRect/>
                    </a:stretch>
                  </pic:blipFill>
                  <pic:spPr>
                    <a:xfrm>
                      <a:off x="0" y="0"/>
                      <a:ext cx="466725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Del="00000000" w:rsidR="00000000" w:rsidRPr="00000000">
        <w:rPr>
          <w:rFonts w:ascii="Palatino Linotype" w:cs="Palatino Linotype" w:eastAsia="Palatino Linotype" w:hAnsi="Palatino Linotype"/>
          <w:b w:val="1"/>
          <w:sz w:val="22"/>
          <w:szCs w:val="22"/>
          <w:rtl w:val="0"/>
        </w:rPr>
        <w:t xml:space="preserve">no se actualiza la clasificación</w:t>
      </w:r>
      <w:r w:rsidDel="00000000" w:rsidR="00000000" w:rsidRPr="00000000">
        <w:rPr>
          <w:rFonts w:ascii="Palatino Linotype" w:cs="Palatino Linotype" w:eastAsia="Palatino Linotype" w:hAnsi="Palatino Linotype"/>
          <w:sz w:val="22"/>
          <w:szCs w:val="22"/>
          <w:rtl w:val="0"/>
        </w:rPr>
        <w:t xml:space="preserve">, en términos del artículo 143, fracción I de la Ley de la materia.</w:t>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spacing w:line="360" w:lineRule="auto"/>
        <w:ind w:right="-9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Cadenas originales y sellos. Las cadenas originales y sellos</w:t>
      </w:r>
      <w:r w:rsidDel="00000000" w:rsidR="00000000" w:rsidRPr="00000000">
        <w:rPr>
          <w:rFonts w:ascii="Palatino Linotype" w:cs="Palatino Linotype" w:eastAsia="Palatino Linotype" w:hAnsi="Palatino Linotype"/>
          <w:sz w:val="22"/>
          <w:szCs w:val="22"/>
          <w:rtl w:val="0"/>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000000" w:rsidDel="00000000" w:rsidP="00000000" w:rsidRDefault="00000000" w:rsidRPr="00000000" w14:paraId="000000F3">
      <w:pPr>
        <w:spacing w:line="360" w:lineRule="auto"/>
        <w:ind w:right="-9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4">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“Elementos utilizados en la generación de Sellos Digitales:</w:t>
      </w:r>
    </w:p>
    <w:p w:rsidR="00000000" w:rsidDel="00000000" w:rsidP="00000000" w:rsidRDefault="00000000" w:rsidRPr="00000000" w14:paraId="000000F5">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Cadena Original, el elemento a sellar, en este caso de un comprobante fiscal digital a través de Internet.</w:t>
      </w:r>
    </w:p>
    <w:p w:rsidR="00000000" w:rsidDel="00000000" w:rsidP="00000000" w:rsidRDefault="00000000" w:rsidRPr="00000000" w14:paraId="000000F6">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Certificado de Sello Digital y su correspondiente clave privada.</w:t>
      </w:r>
    </w:p>
    <w:p w:rsidR="00000000" w:rsidDel="00000000" w:rsidP="00000000" w:rsidRDefault="00000000" w:rsidRPr="00000000" w14:paraId="000000F7">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Algoritmos de criptografía de clave pública para firma electrónica avanzada.</w:t>
      </w:r>
    </w:p>
    <w:p w:rsidR="00000000" w:rsidDel="00000000" w:rsidP="00000000" w:rsidRDefault="00000000" w:rsidRPr="00000000" w14:paraId="000000F8">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Especificaciones de conversión de la firma electrónica avanzada a Base 64.</w:t>
      </w:r>
    </w:p>
    <w:p w:rsidR="00000000" w:rsidDel="00000000" w:rsidP="00000000" w:rsidRDefault="00000000" w:rsidRPr="00000000" w14:paraId="000000F9">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generación de sellos digitales se utiliza criptografía de clave pública aplicada a una cadena original.</w:t>
      </w:r>
    </w:p>
    <w:p w:rsidR="00000000" w:rsidDel="00000000" w:rsidP="00000000" w:rsidRDefault="00000000" w:rsidRPr="00000000" w14:paraId="000000FA">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Criptografía de la Clave Pública</w:t>
      </w:r>
    </w:p>
    <w:p w:rsidR="00000000" w:rsidDel="00000000" w:rsidP="00000000" w:rsidRDefault="00000000" w:rsidRPr="00000000" w14:paraId="000000FB">
      <w:pPr>
        <w:spacing w:line="36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por sí solos las cadenas originales y los sellos originales no contienen datos personales confidenciales, por lo que se considera que </w:t>
      </w:r>
      <w:r w:rsidDel="00000000" w:rsidR="00000000" w:rsidRPr="00000000">
        <w:rPr>
          <w:rFonts w:ascii="Palatino Linotype" w:cs="Palatino Linotype" w:eastAsia="Palatino Linotype" w:hAnsi="Palatino Linotype"/>
          <w:b w:val="1"/>
          <w:sz w:val="22"/>
          <w:szCs w:val="22"/>
          <w:rtl w:val="0"/>
        </w:rPr>
        <w:t xml:space="preserve">no actualizan en supuesto de confidencialidad</w:t>
      </w:r>
      <w:r w:rsidDel="00000000" w:rsidR="00000000" w:rsidRPr="00000000">
        <w:rPr>
          <w:rFonts w:ascii="Palatino Linotype" w:cs="Palatino Linotype" w:eastAsia="Palatino Linotype" w:hAnsi="Palatino Linotype"/>
          <w:sz w:val="22"/>
          <w:szCs w:val="22"/>
          <w:rtl w:val="0"/>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Número de serie del emisor y/o CSD y número de certificado del SAT. </w:t>
      </w:r>
      <w:r w:rsidDel="00000000" w:rsidR="00000000" w:rsidRPr="00000000">
        <w:rPr>
          <w:rFonts w:ascii="Palatino Linotype" w:cs="Palatino Linotype" w:eastAsia="Palatino Linotype" w:hAnsi="Palatino Linotype"/>
          <w:sz w:val="22"/>
          <w:szCs w:val="22"/>
          <w:rtl w:val="0"/>
        </w:rPr>
        <w:t xml:space="preserve">Por otra parte, por lo que hace </w:t>
      </w:r>
      <w:r w:rsidDel="00000000" w:rsidR="00000000" w:rsidRPr="00000000">
        <w:rPr>
          <w:rFonts w:ascii="Palatino Linotype" w:cs="Palatino Linotype" w:eastAsia="Palatino Linotype" w:hAnsi="Palatino Linotype"/>
          <w:b w:val="1"/>
          <w:sz w:val="22"/>
          <w:szCs w:val="22"/>
          <w:rtl w:val="0"/>
        </w:rPr>
        <w:t xml:space="preserve">al número de serie de los certificados de Sello Digitales del emisor y del Servicio de Administración Tributaria,</w:t>
      </w:r>
      <w:r w:rsidDel="00000000" w:rsidR="00000000" w:rsidRPr="00000000">
        <w:rPr>
          <w:rFonts w:ascii="Palatino Linotype" w:cs="Palatino Linotype" w:eastAsia="Palatino Linotype" w:hAnsi="Palatino Linotype"/>
          <w:sz w:val="22"/>
          <w:szCs w:val="22"/>
          <w:rtl w:val="0"/>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9">
        <w:r w:rsidDel="00000000" w:rsidR="00000000" w:rsidRPr="00000000">
          <w:rPr>
            <w:rFonts w:ascii="Palatino Linotype" w:cs="Palatino Linotype" w:eastAsia="Palatino Linotype" w:hAnsi="Palatino Linotype"/>
            <w:sz w:val="22"/>
            <w:szCs w:val="22"/>
            <w:rtl w:val="0"/>
          </w:rPr>
          <w:t xml:space="preserve">https://portalanterior.ine.mx/archivos2/tutoriales/sistemas/ApoyoInstitucional/SIF/docs/candidatos/folioFiscalFactura.pdf</w:t>
        </w:r>
      </w:hyperlink>
      <w:r w:rsidDel="00000000" w:rsidR="00000000" w:rsidRPr="00000000">
        <w:rPr>
          <w:rFonts w:ascii="Palatino Linotype" w:cs="Palatino Linotype" w:eastAsia="Palatino Linotype" w:hAnsi="Palatino Linotype"/>
          <w:sz w:val="22"/>
          <w:szCs w:val="22"/>
          <w:rtl w:val="0"/>
        </w:rPr>
        <w:t xml:space="preserve">, en la cual se advierte que únicamente se encuentra conformado por números, se muestra a continuación:</w:t>
      </w:r>
      <w:r w:rsidDel="00000000" w:rsidR="00000000" w:rsidRPr="00000000">
        <w:rPr>
          <w:rtl w:val="0"/>
        </w:rPr>
      </w:r>
    </w:p>
    <w:p w:rsidR="00000000" w:rsidDel="00000000" w:rsidP="00000000" w:rsidRDefault="00000000" w:rsidRPr="00000000" w14:paraId="00000100">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191125" cy="1009650"/>
            <wp:effectExtent b="0" l="0" r="0" t="0"/>
            <wp:docPr id="4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91125" cy="10096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812800</wp:posOffset>
                </wp:positionV>
                <wp:extent cx="3486150" cy="247650"/>
                <wp:effectExtent b="0" l="0" r="0" t="0"/>
                <wp:wrapNone/>
                <wp:docPr id="37" name=""/>
                <a:graphic>
                  <a:graphicData uri="http://schemas.microsoft.com/office/word/2010/wordprocessingShape">
                    <wps:wsp>
                      <wps:cNvSpPr/>
                      <wps:cNvPr id="2" name="Shape 2"/>
                      <wps:spPr>
                        <a:xfrm>
                          <a:off x="3617213" y="3670463"/>
                          <a:ext cx="3457575" cy="219075"/>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812800</wp:posOffset>
                </wp:positionV>
                <wp:extent cx="3486150" cy="247650"/>
                <wp:effectExtent b="0" l="0" r="0" t="0"/>
                <wp:wrapNone/>
                <wp:docPr id="3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486150" cy="247650"/>
                        </a:xfrm>
                        <a:prstGeom prst="rect"/>
                        <a:ln/>
                      </pic:spPr>
                    </pic:pic>
                  </a:graphicData>
                </a:graphic>
              </wp:anchor>
            </w:drawing>
          </mc:Fallback>
        </mc:AlternateContent>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los números de serie del certificado de sello digital no contiene datos personales y con dichos dígitos tampoco se puede obtener información de carácter confidencial, por lo que, </w:t>
      </w:r>
      <w:r w:rsidDel="00000000" w:rsidR="00000000" w:rsidRPr="00000000">
        <w:rPr>
          <w:rFonts w:ascii="Palatino Linotype" w:cs="Palatino Linotype" w:eastAsia="Palatino Linotype" w:hAnsi="Palatino Linotype"/>
          <w:b w:val="1"/>
          <w:sz w:val="22"/>
          <w:szCs w:val="22"/>
          <w:rtl w:val="0"/>
        </w:rPr>
        <w:t xml:space="preserve">tampoco actualizan la causal de clasificación</w:t>
      </w:r>
      <w:r w:rsidDel="00000000" w:rsidR="00000000" w:rsidRPr="00000000">
        <w:rPr>
          <w:rFonts w:ascii="Palatino Linotype" w:cs="Palatino Linotype" w:eastAsia="Palatino Linotype" w:hAnsi="Palatino Linotype"/>
          <w:sz w:val="22"/>
          <w:szCs w:val="22"/>
          <w:rtl w:val="0"/>
        </w:rPr>
        <w:t xml:space="preserve">, establecida en el artículo 143, fracción I, de la Ley de Transparencia y Acceso a la Información Pública del Estado de México y Municipios. </w:t>
      </w:r>
      <w:r w:rsidDel="00000000" w:rsidR="00000000" w:rsidRPr="00000000">
        <w:rPr>
          <w:rFonts w:ascii="Palatino Linotype" w:cs="Palatino Linotype" w:eastAsia="Palatino Linotype" w:hAnsi="Palatino Linotype"/>
          <w:b w:val="1"/>
          <w:sz w:val="22"/>
          <w:szCs w:val="22"/>
          <w:rtl w:val="0"/>
        </w:rPr>
        <w:t xml:space="preserve">Máxime que permite corroborar la legitimidad a los CDFI, pues amparan la utilización de los certificados de sellos digitales válidos.</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Código Bidimensional o QR. </w:t>
      </w:r>
      <w:r w:rsidDel="00000000" w:rsidR="00000000" w:rsidRPr="00000000">
        <w:rPr>
          <w:rFonts w:ascii="Palatino Linotype" w:cs="Palatino Linotype" w:eastAsia="Palatino Linotype" w:hAnsi="Palatino Linotype"/>
          <w:sz w:val="22"/>
          <w:szCs w:val="22"/>
          <w:rtl w:val="0"/>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2">
        <w:r w:rsidDel="00000000" w:rsidR="00000000" w:rsidRPr="00000000">
          <w:rPr>
            <w:rFonts w:ascii="Palatino Linotype" w:cs="Palatino Linotype" w:eastAsia="Palatino Linotype" w:hAnsi="Palatino Linotype"/>
            <w:color w:val="000000"/>
            <w:sz w:val="22"/>
            <w:szCs w:val="22"/>
            <w:u w:val="single"/>
            <w:rtl w:val="0"/>
          </w:rPr>
          <w:t xml:space="preserve">http://dof.gob.mx/nota_detalle.php?codigo=5492254&amp;fecha=28/07/2017</w:t>
        </w:r>
      </w:hyperlink>
      <w:r w:rsidDel="00000000" w:rsidR="00000000" w:rsidRPr="00000000">
        <w:rPr>
          <w:rFonts w:ascii="Palatino Linotype" w:cs="Palatino Linotype" w:eastAsia="Palatino Linotype" w:hAnsi="Palatino Linotype"/>
          <w:sz w:val="22"/>
          <w:szCs w:val="22"/>
          <w:rtl w:val="0"/>
        </w:rPr>
        <w:t xml:space="preserve">. Incluso con la captura de dicho código, a través de la aplicación móvil del Servicio de Administración Tributaria, permite el acceso al Registro Federal de Contribuyentes, como del Sujeto Obligado, como del proveedor, persona física o moral. </w:t>
      </w: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mérito de lo expuesto en líneas anteriores, se advierte que el Servidor Público, si bien entregó las facturas requeridas por el Particular, también lo es que se clasificó información de carácter pública, razón por la cual no se tiene por colmado el derecho del Recurrente, pues se restringió su derecho al impedirle conocer la información que no actualiza causal de confidencialidad.</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anterior, se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ORDENA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al Sujeto Obligado entregar las facturas emitidas en respuesta de manera íntegra, ya que no se advierte ningún dato personal susceptible de clasificarse como confidencial.</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07269/INFOEM/IP/RR/2024</w:t>
      </w:r>
      <w:r w:rsidDel="00000000" w:rsidR="00000000" w:rsidRPr="00000000">
        <w:rPr>
          <w:rFonts w:ascii="Palatino Linotype" w:cs="Palatino Linotype" w:eastAsia="Palatino Linotype" w:hAnsi="Palatino Linotype"/>
          <w:sz w:val="22"/>
          <w:szCs w:val="22"/>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00481/PLEGISLA/IP/2024.</w:t>
      </w:r>
      <w:r w:rsidDel="00000000" w:rsidR="00000000" w:rsidRPr="00000000">
        <w:rPr>
          <w:rtl w:val="0"/>
        </w:rPr>
      </w:r>
    </w:p>
    <w:p w:rsidR="00000000" w:rsidDel="00000000" w:rsidP="00000000" w:rsidRDefault="00000000" w:rsidRPr="00000000" w14:paraId="0000010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0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entregada por </w:t>
      </w:r>
      <w:r w:rsidDel="00000000" w:rsidR="00000000" w:rsidRPr="00000000">
        <w:rPr>
          <w:rFonts w:ascii="Palatino Linotype" w:cs="Palatino Linotype" w:eastAsia="Palatino Linotype" w:hAnsi="Palatino Linotype"/>
          <w:b w:val="1"/>
          <w:sz w:val="22"/>
          <w:szCs w:val="22"/>
          <w:rtl w:val="0"/>
        </w:rPr>
        <w:t xml:space="preserve">EL 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00481/PLEGISLA/IP/2024</w:t>
      </w:r>
      <w:r w:rsidDel="00000000" w:rsidR="00000000" w:rsidRPr="00000000">
        <w:rPr>
          <w:rFonts w:ascii="Palatino Linotype" w:cs="Palatino Linotype" w:eastAsia="Palatino Linotype" w:hAnsi="Palatino Linotype"/>
          <w:sz w:val="22"/>
          <w:szCs w:val="22"/>
          <w:rtl w:val="0"/>
        </w:rPr>
        <w:t xml:space="preserve">, por resultar parcialmente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07269/INFOEM/IP/RR/2024,</w:t>
      </w:r>
      <w:r w:rsidDel="00000000" w:rsidR="00000000" w:rsidRPr="00000000">
        <w:rPr>
          <w:rFonts w:ascii="Palatino Linotype" w:cs="Palatino Linotype" w:eastAsia="Palatino Linotype" w:hAnsi="Palatino Linotype"/>
          <w:sz w:val="22"/>
          <w:szCs w:val="22"/>
          <w:rtl w:val="0"/>
        </w:rPr>
        <w:t xml:space="preserve"> en términos del considerando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 </w:t>
      </w:r>
    </w:p>
    <w:p w:rsidR="00000000" w:rsidDel="00000000" w:rsidP="00000000" w:rsidRDefault="00000000" w:rsidRPr="00000000" w14:paraId="0000011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 los documentos donde conste la siguiente información: </w:t>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ind w:left="567" w:right="50" w:hanging="14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Facturas emitidas en respuesta de manera íntegra.</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ind w:left="567" w:right="50" w:hanging="14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bookmarkStart w:colFirst="0" w:colLast="0" w:name="_heading=h.3znysh7" w:id="4"/>
      <w:bookmarkEnd w:id="4"/>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C">
      <w:pPr>
        <w:spacing w:line="360" w:lineRule="auto"/>
        <w:jc w:val="both"/>
        <w:rPr>
          <w:rFonts w:ascii="Palatino Linotype" w:cs="Palatino Linotype" w:eastAsia="Palatino Linotype" w:hAnsi="Palatino Linotype"/>
          <w:sz w:val="22"/>
          <w:szCs w:val="22"/>
        </w:rPr>
        <w:sectPr>
          <w:headerReference r:id="rId13" w:type="default"/>
          <w:headerReference r:id="rId14" w:type="first"/>
          <w:footerReference r:id="rId15" w:type="default"/>
          <w:footerReference r:id="rId16"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DE DICIEMBRE DE DOS MIL VEINTICUATRO ANTE EL SECRETARIO TÉCNICO DEL PLENO ALEXIS TAPIA RAMÍREZ.                             </w:t>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7"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-781048</wp:posOffset>
          </wp:positionH>
          <wp:positionV relativeFrom="paragraph">
            <wp:posOffset>-316863</wp:posOffset>
          </wp:positionV>
          <wp:extent cx="7809876" cy="10165823"/>
          <wp:effectExtent b="0" l="0" r="0" t="0"/>
          <wp:wrapNone/>
          <wp:docPr id="3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2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2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07269/INFOEM/IP/RR/2024</w:t>
          </w:r>
        </w:p>
      </w:tc>
    </w:tr>
    <w:tr>
      <w:trPr>
        <w:cantSplit w:val="0"/>
        <w:trHeight w:val="228" w:hRule="atLeast"/>
        <w:tblHeader w:val="0"/>
      </w:trPr>
      <w:tc>
        <w:tcPr>
          <w:vAlign w:val="center"/>
        </w:tcPr>
        <w:p w:rsidR="00000000" w:rsidDel="00000000" w:rsidP="00000000" w:rsidRDefault="00000000" w:rsidRPr="00000000" w14:paraId="0000012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23">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Poder Legislativo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25">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3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2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2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07269/INFOEM/IP/RR/2024 </w:t>
          </w:r>
        </w:p>
      </w:tc>
    </w:tr>
    <w:tr>
      <w:trPr>
        <w:cantSplit w:val="0"/>
        <w:tblHeader w:val="0"/>
      </w:trPr>
      <w:tc>
        <w:tcPr>
          <w:vAlign w:val="center"/>
        </w:tcPr>
        <w:p w:rsidR="00000000" w:rsidDel="00000000" w:rsidP="00000000" w:rsidRDefault="00000000" w:rsidRPr="00000000" w14:paraId="0000012A">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2B">
          <w:pPr>
            <w:ind w:right="27"/>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2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2D">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Poder Legislativo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2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C3C64"/>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3"/>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character" w:styleId="Mencinsinresolver3" w:customStyle="1">
    <w:name w:val="Mención sin resolver3"/>
    <w:basedOn w:val="Fuentedeprrafopredeter"/>
    <w:uiPriority w:val="99"/>
    <w:semiHidden w:val="1"/>
    <w:unhideWhenUsed w:val="1"/>
    <w:rsid w:val="00D21E62"/>
    <w:rPr>
      <w:color w:val="605e5c"/>
      <w:shd w:color="auto" w:fill="e1dfdd" w:val="clear"/>
    </w:rPr>
  </w:style>
  <w:style w:type="paragraph" w:styleId="INFOEM" w:customStyle="1">
    <w:name w:val="INFOEM"/>
    <w:basedOn w:val="Normal"/>
    <w:qFormat w:val="1"/>
    <w:rsid w:val="00A87C1D"/>
    <w:pPr>
      <w:spacing w:after="160" w:before="240" w:line="360" w:lineRule="auto"/>
      <w:ind w:left="851" w:right="851"/>
      <w:jc w:val="both"/>
    </w:pPr>
    <w:rPr>
      <w:rFonts w:ascii="Palatino Linotype" w:hAnsi="Palatino Linotype" w:cstheme="minorBidi" w:eastAsiaTheme="minorHAnsi"/>
      <w:i w:val="1"/>
      <w:sz w:val="22"/>
      <w:szCs w:val="14"/>
      <w:lang w:eastAsia="en-US" w:val="es-MX"/>
    </w:rPr>
  </w:style>
  <w:style w:type="table" w:styleId="Tablanormal11" w:customStyle="1">
    <w:name w:val="Tabla normal 11"/>
    <w:basedOn w:val="Tablanormal"/>
    <w:uiPriority w:val="41"/>
    <w:rsid w:val="00F66760"/>
    <w:rPr>
      <w:rFonts w:asciiTheme="minorHAnsi" w:cstheme="minorBidi" w:eastAsiaTheme="minorHAnsi" w:hAnsiTheme="minorHAnsi"/>
      <w:sz w:val="22"/>
      <w:szCs w:val="22"/>
      <w:lang w:eastAsia="en-US" w:val="es-MX"/>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f1" w:customStyle="1">
    <w:basedOn w:val="TableNormal0"/>
    <w:rPr>
      <w:rFonts w:ascii="Calibri" w:cs="Calibri" w:eastAsia="Calibri" w:hAnsi="Calibri"/>
      <w:sz w:val="22"/>
      <w:szCs w:val="22"/>
    </w:r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dof.gob.mx/nota_detalle.php?codigo=5492254&amp;fecha=28/07/20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ortalanterior.ine.mx/archivos2/tutoriales/sistemas/ApoyoInstitucional/SIF/docs/candidatos/folioFiscalFactura.pdf" TargetMode="External"/><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header" Target="head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2AixBY0gjxnC6UFzTHUlPsn2sQ==">CgMxLjAyCGguZ2pkZ3hzMgloLjMwajB6bGwyCWguMWZvYjl0ZTIJaC4zZHk2dmttMgloLjN6bnlzaDc4AHIhMVdHVF9vdk9uOFlEQjlueV9YZXlNTThDQ3FvbF9vSy13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2025-01-15T20:27:00Z</dcterms:created>
  <dc:creator>USER</dc:creator>
</cp:coreProperties>
</file>