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14" w:rsidRPr="003D6833" w:rsidRDefault="00E3050A">
      <w:pPr>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veintisiete </w:t>
      </w:r>
      <w:r w:rsidR="0076602D" w:rsidRPr="003D6833">
        <w:rPr>
          <w:rFonts w:ascii="Palatino Linotype" w:eastAsia="Palatino Linotype" w:hAnsi="Palatino Linotype" w:cs="Palatino Linotype"/>
        </w:rPr>
        <w:t xml:space="preserve">(27) </w:t>
      </w:r>
      <w:r w:rsidRPr="003D6833">
        <w:rPr>
          <w:rFonts w:ascii="Palatino Linotype" w:eastAsia="Palatino Linotype" w:hAnsi="Palatino Linotype" w:cs="Palatino Linotype"/>
        </w:rPr>
        <w:t>de noviembre de dos mil veinticuatro.</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b/>
        </w:rPr>
        <w:t>VISTO</w:t>
      </w:r>
      <w:r w:rsidRPr="003D6833">
        <w:rPr>
          <w:rFonts w:ascii="Palatino Linotype" w:eastAsia="Palatino Linotype" w:hAnsi="Palatino Linotype" w:cs="Palatino Linotype"/>
        </w:rPr>
        <w:t xml:space="preserve"> el expediente electrónico formado con motivo del recurso de revisión </w:t>
      </w:r>
      <w:r w:rsidRPr="003D6833">
        <w:rPr>
          <w:rFonts w:ascii="Palatino Linotype" w:eastAsia="Palatino Linotype" w:hAnsi="Palatino Linotype" w:cs="Palatino Linotype"/>
          <w:b/>
        </w:rPr>
        <w:t>03528/INFOEM/IP/RR/2024</w:t>
      </w:r>
      <w:r w:rsidRPr="003D6833">
        <w:rPr>
          <w:rFonts w:ascii="Palatino Linotype" w:eastAsia="Palatino Linotype" w:hAnsi="Palatino Linotype" w:cs="Palatino Linotype"/>
        </w:rPr>
        <w:t>,</w:t>
      </w:r>
      <w:r w:rsidRPr="003D6833">
        <w:rPr>
          <w:rFonts w:ascii="Palatino Linotype" w:eastAsia="Palatino Linotype" w:hAnsi="Palatino Linotype" w:cs="Palatino Linotype"/>
          <w:b/>
        </w:rPr>
        <w:t xml:space="preserve"> </w:t>
      </w:r>
      <w:r w:rsidRPr="003D6833">
        <w:rPr>
          <w:rFonts w:ascii="Palatino Linotype" w:eastAsia="Palatino Linotype" w:hAnsi="Palatino Linotype" w:cs="Palatino Linotype"/>
        </w:rPr>
        <w:t xml:space="preserve">promovido por </w:t>
      </w:r>
      <w:r w:rsidR="00843345">
        <w:rPr>
          <w:rFonts w:ascii="Palatino Linotype" w:eastAsia="Palatino Linotype" w:hAnsi="Palatino Linotype" w:cs="Palatino Linotype"/>
        </w:rPr>
        <w:t>XXXXXXXXXX</w:t>
      </w:r>
      <w:bookmarkStart w:id="0" w:name="_GoBack"/>
      <w:bookmarkEnd w:id="0"/>
      <w:r w:rsidRPr="003D6833">
        <w:rPr>
          <w:rFonts w:ascii="Palatino Linotype" w:eastAsia="Palatino Linotype" w:hAnsi="Palatino Linotype" w:cs="Palatino Linotype"/>
        </w:rPr>
        <w:t xml:space="preserve">, a quien en lo sucesivo se identificará como </w:t>
      </w:r>
      <w:r w:rsidRPr="003D6833">
        <w:rPr>
          <w:rFonts w:ascii="Palatino Linotype" w:eastAsia="Palatino Linotype" w:hAnsi="Palatino Linotype" w:cs="Palatino Linotype"/>
          <w:b/>
        </w:rPr>
        <w:t xml:space="preserve">RECURRENTE </w:t>
      </w:r>
      <w:r w:rsidRPr="003D6833">
        <w:rPr>
          <w:rFonts w:ascii="Palatino Linotype" w:eastAsia="Palatino Linotype" w:hAnsi="Palatino Linotype" w:cs="Palatino Linotype"/>
        </w:rPr>
        <w:t>y/o Particular, a través del</w:t>
      </w:r>
      <w:r w:rsidRPr="003D6833">
        <w:rPr>
          <w:rFonts w:ascii="Palatino Linotype" w:eastAsia="Palatino Linotype" w:hAnsi="Palatino Linotype" w:cs="Palatino Linotype"/>
          <w:b/>
        </w:rPr>
        <w:t xml:space="preserve"> Sistema de Acceso a la Información Mexiquense (SAIMEX),</w:t>
      </w:r>
      <w:r w:rsidRPr="003D6833">
        <w:rPr>
          <w:rFonts w:ascii="Palatino Linotype" w:eastAsia="Palatino Linotype" w:hAnsi="Palatino Linotype" w:cs="Palatino Linotype"/>
        </w:rPr>
        <w:t xml:space="preserve"> en contra de la respuesta del </w:t>
      </w:r>
      <w:r w:rsidRPr="003D6833">
        <w:rPr>
          <w:rFonts w:ascii="Palatino Linotype" w:eastAsia="Palatino Linotype" w:hAnsi="Palatino Linotype" w:cs="Palatino Linotype"/>
          <w:b/>
        </w:rPr>
        <w:t xml:space="preserve">Ayuntamiento de Acambay de Ruíz Castañeda, </w:t>
      </w:r>
      <w:r w:rsidRPr="003D6833">
        <w:rPr>
          <w:rFonts w:ascii="Palatino Linotype" w:eastAsia="Palatino Linotype" w:hAnsi="Palatino Linotype" w:cs="Palatino Linotype"/>
        </w:rPr>
        <w:t>en adelante el</w:t>
      </w:r>
      <w:r w:rsidRPr="003D6833">
        <w:rPr>
          <w:rFonts w:ascii="Palatino Linotype" w:eastAsia="Palatino Linotype" w:hAnsi="Palatino Linotype" w:cs="Palatino Linotype"/>
          <w:b/>
        </w:rPr>
        <w:t xml:space="preserve"> SUJETO OBLIGADO</w:t>
      </w:r>
      <w:r w:rsidRPr="003D6833">
        <w:rPr>
          <w:rFonts w:ascii="Palatino Linotype" w:eastAsia="Palatino Linotype" w:hAnsi="Palatino Linotype" w:cs="Palatino Linotype"/>
        </w:rPr>
        <w:t>, por lo que se procede a dictar la presente resolución, con base en los siguientes:</w:t>
      </w:r>
    </w:p>
    <w:p w:rsidR="003B4C14" w:rsidRPr="003D6833" w:rsidRDefault="003B4C14">
      <w:pPr>
        <w:keepNext/>
        <w:keepLines/>
        <w:spacing w:line="360" w:lineRule="auto"/>
        <w:jc w:val="center"/>
        <w:rPr>
          <w:rFonts w:ascii="Palatino Linotype" w:eastAsia="Palatino Linotype" w:hAnsi="Palatino Linotype" w:cs="Palatino Linotype"/>
          <w:b/>
        </w:rPr>
      </w:pPr>
    </w:p>
    <w:p w:rsidR="003B4C14" w:rsidRPr="003D6833" w:rsidRDefault="00E3050A">
      <w:pPr>
        <w:keepNext/>
        <w:keepLines/>
        <w:spacing w:line="360" w:lineRule="auto"/>
        <w:jc w:val="center"/>
        <w:rPr>
          <w:rFonts w:ascii="Palatino Linotype" w:eastAsia="Palatino Linotype" w:hAnsi="Palatino Linotype" w:cs="Palatino Linotype"/>
          <w:b/>
        </w:rPr>
      </w:pPr>
      <w:r w:rsidRPr="003D6833">
        <w:rPr>
          <w:rFonts w:ascii="Palatino Linotype" w:eastAsia="Palatino Linotype" w:hAnsi="Palatino Linotype" w:cs="Palatino Linotype"/>
          <w:b/>
        </w:rPr>
        <w:t>A N T E C E D E N T E S</w:t>
      </w:r>
    </w:p>
    <w:p w:rsidR="003B4C14" w:rsidRPr="003D6833" w:rsidRDefault="00E3050A">
      <w:pPr>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rPr>
      </w:pPr>
      <w:r w:rsidRPr="003D6833">
        <w:rPr>
          <w:rFonts w:ascii="Palatino Linotype" w:eastAsia="Palatino Linotype" w:hAnsi="Palatino Linotype" w:cs="Palatino Linotype"/>
          <w:b/>
          <w:color w:val="000000"/>
          <w:u w:val="single"/>
        </w:rPr>
        <w:t>Solicitud de acceso a la información pública.</w:t>
      </w: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rPr>
      </w:pPr>
      <w:r w:rsidRPr="003D6833">
        <w:rPr>
          <w:rFonts w:ascii="Palatino Linotype" w:eastAsia="Palatino Linotype" w:hAnsi="Palatino Linotype" w:cs="Palatino Linotype"/>
        </w:rPr>
        <w:t xml:space="preserve">El </w:t>
      </w:r>
      <w:r w:rsidRPr="003D6833">
        <w:rPr>
          <w:rFonts w:ascii="Palatino Linotype" w:eastAsia="Palatino Linotype" w:hAnsi="Palatino Linotype" w:cs="Palatino Linotype"/>
          <w:b/>
        </w:rPr>
        <w:t>dieciséis de mayo de dos mil veinticuatro</w:t>
      </w:r>
      <w:r w:rsidRPr="003D6833">
        <w:rPr>
          <w:rFonts w:ascii="Palatino Linotype" w:eastAsia="Palatino Linotype" w:hAnsi="Palatino Linotype" w:cs="Palatino Linotype"/>
        </w:rPr>
        <w:t xml:space="preserve">, </w:t>
      </w:r>
      <w:r w:rsidRPr="003D6833">
        <w:rPr>
          <w:rFonts w:ascii="Palatino Linotype" w:eastAsia="Palatino Linotype" w:hAnsi="Palatino Linotype" w:cs="Palatino Linotype"/>
          <w:b/>
        </w:rPr>
        <w:t>EL RECURRENTE,</w:t>
      </w:r>
      <w:r w:rsidRPr="003D6833">
        <w:rPr>
          <w:rFonts w:ascii="Palatino Linotype" w:eastAsia="Palatino Linotype" w:hAnsi="Palatino Linotype" w:cs="Palatino Linotype"/>
        </w:rPr>
        <w:t xml:space="preserve"> ante el </w:t>
      </w:r>
      <w:r w:rsidRPr="003D6833">
        <w:rPr>
          <w:rFonts w:ascii="Palatino Linotype" w:eastAsia="Palatino Linotype" w:hAnsi="Palatino Linotype" w:cs="Palatino Linotype"/>
          <w:b/>
        </w:rPr>
        <w:t>SUJETO OBLIGADO</w:t>
      </w:r>
      <w:r w:rsidRPr="003D6833">
        <w:rPr>
          <w:rFonts w:ascii="Palatino Linotype" w:eastAsia="Palatino Linotype" w:hAnsi="Palatino Linotype" w:cs="Palatino Linotype"/>
        </w:rPr>
        <w:t>, vía Sistema de Acceso a la Información Mexiquense (</w:t>
      </w:r>
      <w:r w:rsidRPr="003D6833">
        <w:rPr>
          <w:rFonts w:ascii="Palatino Linotype" w:eastAsia="Palatino Linotype" w:hAnsi="Palatino Linotype" w:cs="Palatino Linotype"/>
          <w:b/>
        </w:rPr>
        <w:t>SAIMEX)</w:t>
      </w:r>
      <w:r w:rsidRPr="003D6833">
        <w:rPr>
          <w:rFonts w:ascii="Palatino Linotype" w:eastAsia="Palatino Linotype" w:hAnsi="Palatino Linotype" w:cs="Palatino Linotype"/>
        </w:rPr>
        <w:t xml:space="preserve">, presentó la solicitud de información registrada con el número </w:t>
      </w:r>
      <w:r w:rsidRPr="003D6833">
        <w:rPr>
          <w:rFonts w:ascii="Palatino Linotype" w:eastAsia="Palatino Linotype" w:hAnsi="Palatino Linotype" w:cs="Palatino Linotype"/>
          <w:b/>
        </w:rPr>
        <w:t>000</w:t>
      </w:r>
      <w:r w:rsidR="00D15D25" w:rsidRPr="003D6833">
        <w:rPr>
          <w:rFonts w:ascii="Palatino Linotype" w:eastAsia="Palatino Linotype" w:hAnsi="Palatino Linotype" w:cs="Palatino Linotype"/>
          <w:b/>
        </w:rPr>
        <w:t>77</w:t>
      </w:r>
      <w:r w:rsidRPr="003D6833">
        <w:rPr>
          <w:rFonts w:ascii="Palatino Linotype" w:eastAsia="Palatino Linotype" w:hAnsi="Palatino Linotype" w:cs="Palatino Linotype"/>
          <w:b/>
        </w:rPr>
        <w:t>/</w:t>
      </w:r>
      <w:r w:rsidR="00D15D25" w:rsidRPr="003D6833">
        <w:rPr>
          <w:rFonts w:ascii="Palatino Linotype" w:eastAsia="Palatino Linotype" w:hAnsi="Palatino Linotype" w:cs="Palatino Linotype"/>
          <w:b/>
        </w:rPr>
        <w:t>ACAMBAY</w:t>
      </w:r>
      <w:r w:rsidRPr="003D6833">
        <w:rPr>
          <w:rFonts w:ascii="Palatino Linotype" w:eastAsia="Palatino Linotype" w:hAnsi="Palatino Linotype" w:cs="Palatino Linotype"/>
          <w:b/>
        </w:rPr>
        <w:t>/IP/2024</w:t>
      </w:r>
      <w:r w:rsidRPr="003D6833">
        <w:rPr>
          <w:rFonts w:ascii="Palatino Linotype" w:eastAsia="Palatino Linotype" w:hAnsi="Palatino Linotype" w:cs="Palatino Linotype"/>
        </w:rPr>
        <w:t>,</w:t>
      </w:r>
      <w:r w:rsidRPr="003D6833">
        <w:rPr>
          <w:rFonts w:ascii="Palatino Linotype" w:eastAsia="Palatino Linotype" w:hAnsi="Palatino Linotype" w:cs="Palatino Linotype"/>
          <w:b/>
        </w:rPr>
        <w:t xml:space="preserve"> </w:t>
      </w:r>
      <w:r w:rsidRPr="003D6833">
        <w:rPr>
          <w:rFonts w:ascii="Palatino Linotype" w:eastAsia="Palatino Linotype" w:hAnsi="Palatino Linotype" w:cs="Palatino Linotype"/>
        </w:rPr>
        <w:t>en la que se solicitó lo siguiente:</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spacing w:line="360" w:lineRule="auto"/>
        <w:ind w:left="851" w:right="538"/>
        <w:jc w:val="both"/>
        <w:rPr>
          <w:rFonts w:ascii="Palatino Linotype" w:eastAsia="Palatino Linotype" w:hAnsi="Palatino Linotype" w:cs="Palatino Linotype"/>
        </w:rPr>
      </w:pPr>
      <w:r w:rsidRPr="003D6833">
        <w:rPr>
          <w:rFonts w:ascii="Palatino Linotype" w:eastAsia="Palatino Linotype" w:hAnsi="Palatino Linotype" w:cs="Palatino Linotype"/>
          <w:i/>
          <w:color w:val="000000"/>
        </w:rPr>
        <w:lastRenderedPageBreak/>
        <w:t xml:space="preserve">“Solicito recibos de nómina de todo el personal del ayuntamiento de </w:t>
      </w:r>
      <w:proofErr w:type="spellStart"/>
      <w:r w:rsidRPr="003D6833">
        <w:rPr>
          <w:rFonts w:ascii="Palatino Linotype" w:eastAsia="Palatino Linotype" w:hAnsi="Palatino Linotype" w:cs="Palatino Linotype"/>
          <w:i/>
          <w:color w:val="000000"/>
        </w:rPr>
        <w:t>Acmbay</w:t>
      </w:r>
      <w:proofErr w:type="spellEnd"/>
      <w:r w:rsidRPr="003D6833">
        <w:rPr>
          <w:rFonts w:ascii="Palatino Linotype" w:eastAsia="Palatino Linotype" w:hAnsi="Palatino Linotype" w:cs="Palatino Linotype"/>
          <w:i/>
          <w:color w:val="000000"/>
        </w:rPr>
        <w:t xml:space="preserve">, DIF municipal de Acambay e IMCUFIDEA de Acambay correspondientes a la primera quincena de abril de 2024 y segunda quincena de abril de 2024” </w:t>
      </w:r>
      <w:r w:rsidRPr="003D6833">
        <w:rPr>
          <w:rFonts w:ascii="Palatino Linotype" w:eastAsia="Palatino Linotype" w:hAnsi="Palatino Linotype" w:cs="Palatino Linotype"/>
          <w:color w:val="000000"/>
        </w:rPr>
        <w:t>(Sic)</w:t>
      </w:r>
    </w:p>
    <w:p w:rsidR="003B4C14" w:rsidRPr="003D6833" w:rsidRDefault="00E3050A">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Se eligió como modalidad de entrega a través de la plataforma digital Sistema de Acceso a la Información Mexiquense (SAIMEX).</w:t>
      </w:r>
    </w:p>
    <w:p w:rsidR="003B4C14" w:rsidRPr="003D6833" w:rsidRDefault="003B4C14">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3B4C14" w:rsidRPr="003D6833" w:rsidRDefault="00E3050A">
      <w:pPr>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rPr>
      </w:pPr>
      <w:r w:rsidRPr="003D6833">
        <w:rPr>
          <w:rFonts w:ascii="Palatino Linotype" w:eastAsia="Palatino Linotype" w:hAnsi="Palatino Linotype" w:cs="Palatino Linotype"/>
          <w:b/>
          <w:color w:val="000000"/>
          <w:u w:val="single"/>
        </w:rPr>
        <w:t>Respuesta del Sujeto Obligado.</w:t>
      </w: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 w:name="_heading=h.gjdgxs" w:colFirst="0" w:colLast="0"/>
      <w:bookmarkEnd w:id="1"/>
      <w:r w:rsidRPr="003D6833">
        <w:rPr>
          <w:rFonts w:ascii="Palatino Linotype" w:eastAsia="Palatino Linotype" w:hAnsi="Palatino Linotype" w:cs="Palatino Linotype"/>
          <w:color w:val="000000"/>
        </w:rPr>
        <w:t xml:space="preserve">En fecha </w:t>
      </w:r>
      <w:r w:rsidRPr="003D6833">
        <w:rPr>
          <w:rFonts w:ascii="Palatino Linotype" w:eastAsia="Palatino Linotype" w:hAnsi="Palatino Linotype" w:cs="Palatino Linotype"/>
          <w:b/>
          <w:color w:val="000000"/>
        </w:rPr>
        <w:t>seis de junio de dos mil veinticuatro</w:t>
      </w:r>
      <w:r w:rsidRPr="003D6833">
        <w:rPr>
          <w:rFonts w:ascii="Palatino Linotype" w:eastAsia="Palatino Linotype" w:hAnsi="Palatino Linotype" w:cs="Palatino Linotype"/>
          <w:color w:val="000000"/>
        </w:rPr>
        <w:t xml:space="preserve">, el </w:t>
      </w:r>
      <w:r w:rsidRPr="003D6833">
        <w:rPr>
          <w:rFonts w:ascii="Palatino Linotype" w:eastAsia="Palatino Linotype" w:hAnsi="Palatino Linotype" w:cs="Palatino Linotype"/>
          <w:b/>
          <w:color w:val="000000"/>
        </w:rPr>
        <w:t>SUJETO OBLIGADO</w:t>
      </w:r>
      <w:r w:rsidRPr="003D6833">
        <w:rPr>
          <w:rFonts w:ascii="Palatino Linotype" w:eastAsia="Palatino Linotype" w:hAnsi="Palatino Linotype" w:cs="Palatino Linotype"/>
          <w:b/>
          <w:i/>
          <w:color w:val="000000"/>
        </w:rPr>
        <w:t xml:space="preserve"> </w:t>
      </w:r>
      <w:r w:rsidRPr="003D6833">
        <w:rPr>
          <w:rFonts w:ascii="Palatino Linotype" w:eastAsia="Palatino Linotype" w:hAnsi="Palatino Linotype" w:cs="Palatino Linotype"/>
          <w:color w:val="000000"/>
        </w:rPr>
        <w:t xml:space="preserve">dio respuesta a la solicitud de información adjuntando 19 archivos electrónicos en </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los que se describen a continuación:</w:t>
      </w:r>
    </w:p>
    <w:p w:rsidR="003B4C14" w:rsidRPr="003D6833" w:rsidRDefault="003B4C1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4 (1).</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Recibo de nómina expedido por el Instituto Municipal de Cultura Física y Deporte de Acambay, de la segunda quincena de abril de dos mil veinticuatro, del C. Eduardo Moises García.</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3 (1).</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Recibo de nómina expedido por el Instituto Municipal de Cultura Física y Deporte de Acambay, de la segunda quincena de abril de dos mil veinticuatro, del C. Dorian Martínez Ríos.</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proofErr w:type="gramStart"/>
      <w:r w:rsidRPr="003D6833">
        <w:rPr>
          <w:rFonts w:ascii="Palatino Linotype" w:eastAsia="Palatino Linotype" w:hAnsi="Palatino Linotype" w:cs="Palatino Linotype"/>
          <w:color w:val="000000"/>
        </w:rPr>
        <w:t>7.pdf</w:t>
      </w:r>
      <w:proofErr w:type="gramEnd"/>
      <w:r w:rsidRPr="003D6833">
        <w:rPr>
          <w:rFonts w:ascii="Palatino Linotype" w:eastAsia="Palatino Linotype" w:hAnsi="Palatino Linotype" w:cs="Palatino Linotype"/>
          <w:color w:val="000000"/>
        </w:rPr>
        <w:t>: Recibo de nómina expedido por el Instituto Municipal de Cultura Física y Deporte de Acambay, correspondiente a la primera quincena de abril de dos mil veinticuatro.</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7 (1).</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Recibo de nómina expedido por el Instituto Municipal de Cultura Física y Deporte de Acambay, correspondiente a la segunda quincena de abril de dos mil veinticuatro, NO contiene nombre.</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2.pdf: Recibo de nómina expedido por el Instituto Municipal de Cultura Física y Deporte de Acambay, correspondiente a la primera quincena de abril de dos mil veinticuatro de la C. </w:t>
      </w:r>
      <w:proofErr w:type="spellStart"/>
      <w:r w:rsidRPr="003D6833">
        <w:rPr>
          <w:rFonts w:ascii="Palatino Linotype" w:eastAsia="Palatino Linotype" w:hAnsi="Palatino Linotype" w:cs="Palatino Linotype"/>
          <w:color w:val="000000"/>
        </w:rPr>
        <w:t>Anayeli</w:t>
      </w:r>
      <w:proofErr w:type="spellEnd"/>
      <w:r w:rsidRPr="003D6833">
        <w:rPr>
          <w:rFonts w:ascii="Palatino Linotype" w:eastAsia="Palatino Linotype" w:hAnsi="Palatino Linotype" w:cs="Palatino Linotype"/>
          <w:color w:val="000000"/>
        </w:rPr>
        <w:t xml:space="preserve"> González García.</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9 (1).</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xml:space="preserve">: Recibo de nómina expedido por el Instituto Municipal de Cultura Física y Deporte de Acambay, correspondiente a la segunda quincena de abril de dos mil veinticuatro del C, Rolando González </w:t>
      </w:r>
      <w:proofErr w:type="spellStart"/>
      <w:r w:rsidRPr="003D6833">
        <w:rPr>
          <w:rFonts w:ascii="Palatino Linotype" w:eastAsia="Palatino Linotype" w:hAnsi="Palatino Linotype" w:cs="Palatino Linotype"/>
          <w:color w:val="000000"/>
        </w:rPr>
        <w:t>González</w:t>
      </w:r>
      <w:proofErr w:type="spellEnd"/>
      <w:r w:rsidRPr="003D6833">
        <w:rPr>
          <w:rFonts w:ascii="Palatino Linotype" w:eastAsia="Palatino Linotype" w:hAnsi="Palatino Linotype" w:cs="Palatino Linotype"/>
          <w:color w:val="000000"/>
        </w:rPr>
        <w:t>.</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3.pdf: Recibo de nómina expedido por el Instituto Municipal de Cultura Física y Deporte de Acambay, correspondiente a la primera quincena de abril de dos mil veinticuatro del C. David Correa Bautista.</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6 (1).</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xml:space="preserve">: Recibo de nómina expedido por el Instituto Municipal de Cultura Física y Deporte de Acambay, correspondiente a la segunda quincena de abril de dos mil veinticuatro del C. Manuel Fernando García </w:t>
      </w:r>
      <w:proofErr w:type="spellStart"/>
      <w:r w:rsidRPr="003D6833">
        <w:rPr>
          <w:rFonts w:ascii="Palatino Linotype" w:eastAsia="Palatino Linotype" w:hAnsi="Palatino Linotype" w:cs="Palatino Linotype"/>
          <w:color w:val="000000"/>
        </w:rPr>
        <w:t>Linarez</w:t>
      </w:r>
      <w:proofErr w:type="spellEnd"/>
      <w:r w:rsidRPr="003D6833">
        <w:rPr>
          <w:rFonts w:ascii="Palatino Linotype" w:eastAsia="Palatino Linotype" w:hAnsi="Palatino Linotype" w:cs="Palatino Linotype"/>
          <w:color w:val="000000"/>
        </w:rPr>
        <w:t>.</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6.pdf: Recibo de nómina expedido por el Instituto Municipal de Cultura Física y Deporte de Acambay, correspondiente a la primera quincena de abril de dos mil veinticuatro del C. Jesús Eduardo Peña Hernández.</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4.pdf: Recibo de nómina expedido por el Instituto Municipal de Cultura Física y Deporte de Acambay, correspondiente a la primera quincena de abril de dos mil veinticuatro del C. Dorian Martínez Ríos.</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5.pdf: Recibo de nómina expedido por el Instituto Municipal de Cultura Física y Deporte de Acambay, correspondiente a la primera quincena del mes de abril de dos mil veinticuatro del C. Eduardo Moises García Valencia.</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proofErr w:type="gramStart"/>
      <w:r w:rsidRPr="003D6833">
        <w:rPr>
          <w:rFonts w:ascii="Palatino Linotype" w:eastAsia="Palatino Linotype" w:hAnsi="Palatino Linotype" w:cs="Palatino Linotype"/>
          <w:color w:val="000000"/>
        </w:rPr>
        <w:t>1.pdf</w:t>
      </w:r>
      <w:proofErr w:type="gramEnd"/>
      <w:r w:rsidRPr="003D6833">
        <w:rPr>
          <w:rFonts w:ascii="Palatino Linotype" w:eastAsia="Palatino Linotype" w:hAnsi="Palatino Linotype" w:cs="Palatino Linotype"/>
          <w:color w:val="000000"/>
        </w:rPr>
        <w:t>: Recibo de nómina expedido por el Instituto Municipal de Cultura Física y Deporte de Acambay, correspondiente a la primera quincena de abril de dos mil veinticuatro.</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8 (1).</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Recibo de nómina expedido por el Instituto Municipal de Cultura Física y Deporte de Acambay, correspondiente a la segunda quincena de abril de dos mil veinticuatro del C. René Iván Hernández Sánchez.</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contestación 77.pdf: Oficio número TM/I/176/2024, de fecha veintiocho de mayo de dos mil veinticuatro, suscrito por la Tesorera Municipal, por el cual manifestó un cambio de modalidad refiriendo que el procesamiento de la información sobrepasa las capacidades técnicas, administrativas y humanas del área a generar la versión pública de la información solicitada, por lo que señalaron el domicilio y horario para que se pudiera llevar a cabo la consulta directa. </w:t>
      </w:r>
    </w:p>
    <w:p w:rsidR="003B4C14" w:rsidRPr="003D6833" w:rsidRDefault="00E3050A">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Oficio de fecha treinta de mayo de dos mil veinticuatro, suscrito por el Director del Instituto Municipal de Cultura Física y Deporte de Acambay, en el cual refirió adjuntar el archivo digital con la información solicitada.</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1 (1).</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Recibo de nómina expedido por el Instituto Municipal de Cultura Física y Deporte de Acambay, correspondiente a la segunda quincena de abril de dos mil veinticuatro de la C, Alicia Monserrat Correa Gómez.</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2 (1).</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Recibo de nómina expedido por el Instituto Municipal de Cultura Física y Deporte de Acambay, correspondiente a la segunda quincena de abril de dos mil veinticuatro a nombre del C. David Correa Bautista.</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5 (1).</w:t>
      </w:r>
      <w:proofErr w:type="spellStart"/>
      <w:r w:rsidRPr="003D6833">
        <w:rPr>
          <w:rFonts w:ascii="Palatino Linotype" w:eastAsia="Palatino Linotype" w:hAnsi="Palatino Linotype" w:cs="Palatino Linotype"/>
          <w:color w:val="000000"/>
        </w:rPr>
        <w:t>pdf</w:t>
      </w:r>
      <w:proofErr w:type="spellEnd"/>
      <w:r w:rsidRPr="003D6833">
        <w:rPr>
          <w:rFonts w:ascii="Palatino Linotype" w:eastAsia="Palatino Linotype" w:hAnsi="Palatino Linotype" w:cs="Palatino Linotype"/>
          <w:color w:val="000000"/>
        </w:rPr>
        <w:t>: Recibo de nómina expedido por el Instituto Municipal de Cultura Física y Deporte de Acambay, correspondiente a la segunda quincena de abril de dos mil veinticuatro del C. Jesús Eduardo Peña Hernández.</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9.pdf: Recibo de nómina expedido por el Instituto Municipal de Cultura Física y Deporte de Acambay, correspondiente a la segunda quincena de abril de dos mil veinticuatro del C, René Iván Hernández Sánchez. </w:t>
      </w:r>
    </w:p>
    <w:p w:rsidR="003B4C14" w:rsidRPr="003D6833" w:rsidRDefault="00E3050A">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8.pdf: Recibo de nómina expedido por el Instituto Municipal de Cultura Física y Deporte de Acambay, correspondiente a la primera quincena de abril de dos mil veinticuatro del C, Omar Hernández Escobar.</w:t>
      </w:r>
    </w:p>
    <w:p w:rsidR="003B4C14" w:rsidRPr="003D6833" w:rsidRDefault="003B4C1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B4C14" w:rsidRPr="003D6833" w:rsidRDefault="00E3050A">
      <w:pPr>
        <w:numPr>
          <w:ilvl w:val="0"/>
          <w:numId w:val="6"/>
        </w:num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r w:rsidRPr="003D6833">
        <w:rPr>
          <w:rFonts w:ascii="Palatino Linotype" w:eastAsia="Palatino Linotype" w:hAnsi="Palatino Linotype" w:cs="Palatino Linotype"/>
          <w:b/>
          <w:color w:val="000000"/>
          <w:u w:val="single"/>
        </w:rPr>
        <w:lastRenderedPageBreak/>
        <w:t>Recurso de Revisión (razones o motivos de inconformidad)</w:t>
      </w:r>
    </w:p>
    <w:p w:rsidR="003B4C14" w:rsidRPr="003D6833" w:rsidRDefault="00E3050A">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rPr>
      </w:pPr>
      <w:r w:rsidRPr="003D6833">
        <w:rPr>
          <w:rFonts w:ascii="Palatino Linotype" w:eastAsia="Palatino Linotype" w:hAnsi="Palatino Linotype" w:cs="Palatino Linotype"/>
          <w:color w:val="000000"/>
        </w:rPr>
        <w:t>En fecha</w:t>
      </w:r>
      <w:r w:rsidRPr="003D6833">
        <w:rPr>
          <w:rFonts w:ascii="Palatino Linotype" w:eastAsia="Palatino Linotype" w:hAnsi="Palatino Linotype" w:cs="Palatino Linotype"/>
          <w:b/>
          <w:color w:val="000000"/>
        </w:rPr>
        <w:t xml:space="preserve"> siete de junio de dos mil veinticuatro,</w:t>
      </w:r>
      <w:r w:rsidRPr="003D6833">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rsidR="003B4C14" w:rsidRPr="003D6833" w:rsidRDefault="00E3050A">
      <w:pPr>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bookmarkStart w:id="2" w:name="_heading=h.30j0zll" w:colFirst="0" w:colLast="0"/>
      <w:bookmarkEnd w:id="2"/>
      <w:r w:rsidRPr="003D6833">
        <w:rPr>
          <w:rFonts w:ascii="Palatino Linotype" w:eastAsia="Palatino Linotype" w:hAnsi="Palatino Linotype" w:cs="Palatino Linotype"/>
          <w:b/>
          <w:color w:val="000000"/>
        </w:rPr>
        <w:t>Acto impugnado</w:t>
      </w:r>
      <w:r w:rsidRPr="003D6833">
        <w:rPr>
          <w:rFonts w:ascii="Palatino Linotype" w:eastAsia="Palatino Linotype" w:hAnsi="Palatino Linotype" w:cs="Palatino Linotype"/>
          <w:color w:val="000000"/>
        </w:rPr>
        <w:t xml:space="preserve">: </w:t>
      </w:r>
      <w:r w:rsidRPr="003D6833">
        <w:rPr>
          <w:rFonts w:ascii="Palatino Linotype" w:eastAsia="Palatino Linotype" w:hAnsi="Palatino Linotype" w:cs="Palatino Linotype"/>
          <w:i/>
          <w:color w:val="000000"/>
        </w:rPr>
        <w:t xml:space="preserve">“si bien </w:t>
      </w:r>
      <w:proofErr w:type="spellStart"/>
      <w:r w:rsidRPr="003D6833">
        <w:rPr>
          <w:rFonts w:ascii="Palatino Linotype" w:eastAsia="Palatino Linotype" w:hAnsi="Palatino Linotype" w:cs="Palatino Linotype"/>
          <w:i/>
          <w:color w:val="000000"/>
        </w:rPr>
        <w:t>envian</w:t>
      </w:r>
      <w:proofErr w:type="spellEnd"/>
      <w:r w:rsidRPr="003D6833">
        <w:rPr>
          <w:rFonts w:ascii="Palatino Linotype" w:eastAsia="Palatino Linotype" w:hAnsi="Palatino Linotype" w:cs="Palatino Linotype"/>
          <w:i/>
          <w:color w:val="000000"/>
        </w:rPr>
        <w:t xml:space="preserve"> recibos de </w:t>
      </w:r>
      <w:proofErr w:type="spellStart"/>
      <w:r w:rsidRPr="003D6833">
        <w:rPr>
          <w:rFonts w:ascii="Palatino Linotype" w:eastAsia="Palatino Linotype" w:hAnsi="Palatino Linotype" w:cs="Palatino Linotype"/>
          <w:i/>
          <w:color w:val="000000"/>
        </w:rPr>
        <w:t>nomina</w:t>
      </w:r>
      <w:proofErr w:type="spellEnd"/>
      <w:r w:rsidRPr="003D6833">
        <w:rPr>
          <w:rFonts w:ascii="Palatino Linotype" w:eastAsia="Palatino Linotype" w:hAnsi="Palatino Linotype" w:cs="Palatino Linotype"/>
          <w:i/>
          <w:color w:val="000000"/>
        </w:rPr>
        <w:t xml:space="preserve"> de IMCUFIDEA ACAMBAY, no </w:t>
      </w:r>
      <w:proofErr w:type="spellStart"/>
      <w:r w:rsidRPr="003D6833">
        <w:rPr>
          <w:rFonts w:ascii="Palatino Linotype" w:eastAsia="Palatino Linotype" w:hAnsi="Palatino Linotype" w:cs="Palatino Linotype"/>
          <w:i/>
          <w:color w:val="000000"/>
        </w:rPr>
        <w:t>envian</w:t>
      </w:r>
      <w:proofErr w:type="spellEnd"/>
      <w:r w:rsidRPr="003D6833">
        <w:rPr>
          <w:rFonts w:ascii="Palatino Linotype" w:eastAsia="Palatino Linotype" w:hAnsi="Palatino Linotype" w:cs="Palatino Linotype"/>
          <w:i/>
          <w:color w:val="000000"/>
        </w:rPr>
        <w:t xml:space="preserve"> recibos de </w:t>
      </w:r>
      <w:proofErr w:type="spellStart"/>
      <w:r w:rsidRPr="003D6833">
        <w:rPr>
          <w:rFonts w:ascii="Palatino Linotype" w:eastAsia="Palatino Linotype" w:hAnsi="Palatino Linotype" w:cs="Palatino Linotype"/>
          <w:i/>
          <w:color w:val="000000"/>
        </w:rPr>
        <w:t>nomina</w:t>
      </w:r>
      <w:proofErr w:type="spellEnd"/>
      <w:r w:rsidRPr="003D6833">
        <w:rPr>
          <w:rFonts w:ascii="Palatino Linotype" w:eastAsia="Palatino Linotype" w:hAnsi="Palatino Linotype" w:cs="Palatino Linotype"/>
          <w:i/>
          <w:color w:val="000000"/>
        </w:rPr>
        <w:t xml:space="preserve"> del personal del DIF Municipal de Acambay y mucho menos del ayuntamiento de </w:t>
      </w:r>
      <w:proofErr w:type="spellStart"/>
      <w:r w:rsidRPr="003D6833">
        <w:rPr>
          <w:rFonts w:ascii="Palatino Linotype" w:eastAsia="Palatino Linotype" w:hAnsi="Palatino Linotype" w:cs="Palatino Linotype"/>
          <w:i/>
          <w:color w:val="000000"/>
        </w:rPr>
        <w:t>Acambay</w:t>
      </w:r>
      <w:proofErr w:type="spellEnd"/>
      <w:r w:rsidRPr="003D6833">
        <w:rPr>
          <w:rFonts w:ascii="Palatino Linotype" w:eastAsia="Palatino Linotype" w:hAnsi="Palatino Linotype" w:cs="Palatino Linotype"/>
          <w:i/>
          <w:color w:val="000000"/>
        </w:rPr>
        <w:t xml:space="preserve"> </w:t>
      </w:r>
      <w:proofErr w:type="spellStart"/>
      <w:r w:rsidRPr="003D6833">
        <w:rPr>
          <w:rFonts w:ascii="Palatino Linotype" w:eastAsia="Palatino Linotype" w:hAnsi="Palatino Linotype" w:cs="Palatino Linotype"/>
          <w:i/>
          <w:color w:val="000000"/>
        </w:rPr>
        <w:t>escudandose</w:t>
      </w:r>
      <w:proofErr w:type="spellEnd"/>
      <w:r w:rsidRPr="003D6833">
        <w:rPr>
          <w:rFonts w:ascii="Palatino Linotype" w:eastAsia="Palatino Linotype" w:hAnsi="Palatino Linotype" w:cs="Palatino Linotype"/>
          <w:i/>
          <w:color w:val="000000"/>
        </w:rPr>
        <w:t xml:space="preserve"> en que sobrepasa las capacidades humanas para el procesamiento de dicha información, cuando ya </w:t>
      </w:r>
      <w:proofErr w:type="spellStart"/>
      <w:r w:rsidRPr="003D6833">
        <w:rPr>
          <w:rFonts w:ascii="Palatino Linotype" w:eastAsia="Palatino Linotype" w:hAnsi="Palatino Linotype" w:cs="Palatino Linotype"/>
          <w:i/>
          <w:color w:val="000000"/>
        </w:rPr>
        <w:t>debiran</w:t>
      </w:r>
      <w:proofErr w:type="spellEnd"/>
      <w:r w:rsidRPr="003D6833">
        <w:rPr>
          <w:rFonts w:ascii="Palatino Linotype" w:eastAsia="Palatino Linotype" w:hAnsi="Palatino Linotype" w:cs="Palatino Linotype"/>
          <w:i/>
          <w:color w:val="000000"/>
        </w:rPr>
        <w:t xml:space="preserve"> tenerla, no </w:t>
      </w:r>
      <w:proofErr w:type="spellStart"/>
      <w:r w:rsidRPr="003D6833">
        <w:rPr>
          <w:rFonts w:ascii="Palatino Linotype" w:eastAsia="Palatino Linotype" w:hAnsi="Palatino Linotype" w:cs="Palatino Linotype"/>
          <w:i/>
          <w:color w:val="000000"/>
        </w:rPr>
        <w:t>se</w:t>
      </w:r>
      <w:proofErr w:type="spellEnd"/>
      <w:r w:rsidRPr="003D6833">
        <w:rPr>
          <w:rFonts w:ascii="Palatino Linotype" w:eastAsia="Palatino Linotype" w:hAnsi="Palatino Linotype" w:cs="Palatino Linotype"/>
          <w:i/>
          <w:color w:val="000000"/>
        </w:rPr>
        <w:t xml:space="preserve"> </w:t>
      </w:r>
      <w:proofErr w:type="spellStart"/>
      <w:r w:rsidRPr="003D6833">
        <w:rPr>
          <w:rFonts w:ascii="Palatino Linotype" w:eastAsia="Palatino Linotype" w:hAnsi="Palatino Linotype" w:cs="Palatino Linotype"/>
          <w:i/>
          <w:color w:val="000000"/>
        </w:rPr>
        <w:t>por que</w:t>
      </w:r>
      <w:proofErr w:type="spellEnd"/>
      <w:r w:rsidRPr="003D6833">
        <w:rPr>
          <w:rFonts w:ascii="Palatino Linotype" w:eastAsia="Palatino Linotype" w:hAnsi="Palatino Linotype" w:cs="Palatino Linotype"/>
          <w:i/>
          <w:color w:val="000000"/>
        </w:rPr>
        <w:t xml:space="preserve"> violentan mi derecho al acceso de la </w:t>
      </w:r>
      <w:proofErr w:type="spellStart"/>
      <w:r w:rsidRPr="003D6833">
        <w:rPr>
          <w:rFonts w:ascii="Palatino Linotype" w:eastAsia="Palatino Linotype" w:hAnsi="Palatino Linotype" w:cs="Palatino Linotype"/>
          <w:i/>
          <w:color w:val="000000"/>
        </w:rPr>
        <w:t>informacion</w:t>
      </w:r>
      <w:proofErr w:type="spellEnd"/>
      <w:r w:rsidRPr="003D6833">
        <w:rPr>
          <w:rFonts w:ascii="Palatino Linotype" w:eastAsia="Palatino Linotype" w:hAnsi="Palatino Linotype" w:cs="Palatino Linotype"/>
          <w:i/>
          <w:color w:val="000000"/>
        </w:rPr>
        <w:t xml:space="preserve"> antes solicitada, </w:t>
      </w:r>
      <w:proofErr w:type="spellStart"/>
      <w:r w:rsidRPr="003D6833">
        <w:rPr>
          <w:rFonts w:ascii="Palatino Linotype" w:eastAsia="Palatino Linotype" w:hAnsi="Palatino Linotype" w:cs="Palatino Linotype"/>
          <w:i/>
          <w:color w:val="000000"/>
        </w:rPr>
        <w:t>aún</w:t>
      </w:r>
      <w:proofErr w:type="spellEnd"/>
      <w:r w:rsidRPr="003D6833">
        <w:rPr>
          <w:rFonts w:ascii="Palatino Linotype" w:eastAsia="Palatino Linotype" w:hAnsi="Palatino Linotype" w:cs="Palatino Linotype"/>
          <w:i/>
          <w:color w:val="000000"/>
        </w:rPr>
        <w:t xml:space="preserve"> sabiendo que es </w:t>
      </w:r>
      <w:proofErr w:type="spellStart"/>
      <w:r w:rsidRPr="003D6833">
        <w:rPr>
          <w:rFonts w:ascii="Palatino Linotype" w:eastAsia="Palatino Linotype" w:hAnsi="Palatino Linotype" w:cs="Palatino Linotype"/>
          <w:i/>
          <w:color w:val="000000"/>
        </w:rPr>
        <w:t>informacion</w:t>
      </w:r>
      <w:proofErr w:type="spellEnd"/>
      <w:r w:rsidRPr="003D6833">
        <w:rPr>
          <w:rFonts w:ascii="Palatino Linotype" w:eastAsia="Palatino Linotype" w:hAnsi="Palatino Linotype" w:cs="Palatino Linotype"/>
          <w:i/>
          <w:color w:val="000000"/>
        </w:rPr>
        <w:t xml:space="preserve"> publica. De igual manera ponen a </w:t>
      </w:r>
      <w:proofErr w:type="spellStart"/>
      <w:r w:rsidRPr="003D6833">
        <w:rPr>
          <w:rFonts w:ascii="Palatino Linotype" w:eastAsia="Palatino Linotype" w:hAnsi="Palatino Linotype" w:cs="Palatino Linotype"/>
          <w:i/>
          <w:color w:val="000000"/>
        </w:rPr>
        <w:t>disposicion</w:t>
      </w:r>
      <w:proofErr w:type="spellEnd"/>
      <w:r w:rsidRPr="003D6833">
        <w:rPr>
          <w:rFonts w:ascii="Palatino Linotype" w:eastAsia="Palatino Linotype" w:hAnsi="Palatino Linotype" w:cs="Palatino Linotype"/>
          <w:i/>
          <w:color w:val="000000"/>
        </w:rPr>
        <w:t xml:space="preserve"> dicha </w:t>
      </w:r>
      <w:proofErr w:type="spellStart"/>
      <w:r w:rsidRPr="003D6833">
        <w:rPr>
          <w:rFonts w:ascii="Palatino Linotype" w:eastAsia="Palatino Linotype" w:hAnsi="Palatino Linotype" w:cs="Palatino Linotype"/>
          <w:i/>
          <w:color w:val="000000"/>
        </w:rPr>
        <w:t>informacion</w:t>
      </w:r>
      <w:proofErr w:type="spellEnd"/>
      <w:r w:rsidRPr="003D6833">
        <w:rPr>
          <w:rFonts w:ascii="Palatino Linotype" w:eastAsia="Palatino Linotype" w:hAnsi="Palatino Linotype" w:cs="Palatino Linotype"/>
          <w:i/>
          <w:color w:val="000000"/>
        </w:rPr>
        <w:t xml:space="preserve"> en las oficinas y yo la solicito me la </w:t>
      </w:r>
      <w:proofErr w:type="spellStart"/>
      <w:r w:rsidRPr="003D6833">
        <w:rPr>
          <w:rFonts w:ascii="Palatino Linotype" w:eastAsia="Palatino Linotype" w:hAnsi="Palatino Linotype" w:cs="Palatino Linotype"/>
          <w:i/>
          <w:color w:val="000000"/>
        </w:rPr>
        <w:t>envien</w:t>
      </w:r>
      <w:proofErr w:type="spellEnd"/>
      <w:r w:rsidRPr="003D6833">
        <w:rPr>
          <w:rFonts w:ascii="Palatino Linotype" w:eastAsia="Palatino Linotype" w:hAnsi="Palatino Linotype" w:cs="Palatino Linotype"/>
          <w:i/>
          <w:color w:val="000000"/>
        </w:rPr>
        <w:t xml:space="preserve"> </w:t>
      </w:r>
      <w:proofErr w:type="spellStart"/>
      <w:r w:rsidRPr="003D6833">
        <w:rPr>
          <w:rFonts w:ascii="Palatino Linotype" w:eastAsia="Palatino Linotype" w:hAnsi="Palatino Linotype" w:cs="Palatino Linotype"/>
          <w:i/>
          <w:color w:val="000000"/>
        </w:rPr>
        <w:t>via</w:t>
      </w:r>
      <w:proofErr w:type="spellEnd"/>
      <w:r w:rsidRPr="003D6833">
        <w:rPr>
          <w:rFonts w:ascii="Palatino Linotype" w:eastAsia="Palatino Linotype" w:hAnsi="Palatino Linotype" w:cs="Palatino Linotype"/>
          <w:i/>
          <w:color w:val="000000"/>
        </w:rPr>
        <w:t xml:space="preserve"> SAIMEX, si no pueden realizar su trabajo entonces para </w:t>
      </w:r>
      <w:proofErr w:type="spellStart"/>
      <w:r w:rsidRPr="003D6833">
        <w:rPr>
          <w:rFonts w:ascii="Palatino Linotype" w:eastAsia="Palatino Linotype" w:hAnsi="Palatino Linotype" w:cs="Palatino Linotype"/>
          <w:i/>
          <w:color w:val="000000"/>
        </w:rPr>
        <w:t>què</w:t>
      </w:r>
      <w:proofErr w:type="spellEnd"/>
      <w:r w:rsidRPr="003D6833">
        <w:rPr>
          <w:rFonts w:ascii="Palatino Linotype" w:eastAsia="Palatino Linotype" w:hAnsi="Palatino Linotype" w:cs="Palatino Linotype"/>
          <w:i/>
          <w:color w:val="000000"/>
        </w:rPr>
        <w:t xml:space="preserve"> ocupan cargos con los que no pueden cumplir. O en su defecto qué ocultan?</w:t>
      </w:r>
      <w:proofErr w:type="gramStart"/>
      <w:r w:rsidRPr="003D6833">
        <w:rPr>
          <w:rFonts w:ascii="Palatino Linotype" w:eastAsia="Palatino Linotype" w:hAnsi="Palatino Linotype" w:cs="Palatino Linotype"/>
          <w:i/>
          <w:color w:val="000000"/>
        </w:rPr>
        <w:t>.”</w:t>
      </w:r>
      <w:proofErr w:type="gramEnd"/>
      <w:r w:rsidRPr="003D6833">
        <w:rPr>
          <w:rFonts w:ascii="Palatino Linotype" w:eastAsia="Palatino Linotype" w:hAnsi="Palatino Linotype" w:cs="Palatino Linotype"/>
          <w:color w:val="000000"/>
        </w:rPr>
        <w:t xml:space="preserve"> (Sic)</w:t>
      </w:r>
    </w:p>
    <w:p w:rsidR="003B4C14" w:rsidRPr="003D6833" w:rsidRDefault="003B4C14">
      <w:pPr>
        <w:pBdr>
          <w:top w:val="nil"/>
          <w:left w:val="nil"/>
          <w:bottom w:val="nil"/>
          <w:right w:val="nil"/>
          <w:between w:val="nil"/>
        </w:pBdr>
        <w:spacing w:line="360" w:lineRule="auto"/>
        <w:ind w:left="709" w:right="49"/>
        <w:jc w:val="both"/>
        <w:rPr>
          <w:rFonts w:ascii="Palatino Linotype" w:eastAsia="Palatino Linotype" w:hAnsi="Palatino Linotype" w:cs="Palatino Linotype"/>
          <w:color w:val="000000"/>
          <w:sz w:val="22"/>
          <w:szCs w:val="22"/>
        </w:rPr>
      </w:pPr>
    </w:p>
    <w:p w:rsidR="003B4C14" w:rsidRPr="003D6833" w:rsidRDefault="00E3050A">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3" w:name="_heading=h.1fob9te" w:colFirst="0" w:colLast="0"/>
      <w:bookmarkEnd w:id="3"/>
      <w:r w:rsidRPr="003D6833">
        <w:rPr>
          <w:rFonts w:ascii="Palatino Linotype" w:eastAsia="Palatino Linotype" w:hAnsi="Palatino Linotype" w:cs="Palatino Linotype"/>
          <w:b/>
          <w:color w:val="000000"/>
        </w:rPr>
        <w:t xml:space="preserve">Razones o Motivos de inconformidad: </w:t>
      </w:r>
      <w:r w:rsidRPr="003D6833">
        <w:rPr>
          <w:rFonts w:ascii="Palatino Linotype" w:eastAsia="Palatino Linotype" w:hAnsi="Palatino Linotype" w:cs="Palatino Linotype"/>
          <w:i/>
          <w:color w:val="000000"/>
        </w:rPr>
        <w:t>“Solicito me envíen la información faltante vía SAIMEX, y exijo se respete mi derecho al acceso a la información pública.”</w:t>
      </w:r>
      <w:r w:rsidRPr="003D6833">
        <w:rPr>
          <w:rFonts w:ascii="Palatino Linotype" w:eastAsia="Palatino Linotype" w:hAnsi="Palatino Linotype" w:cs="Palatino Linotype"/>
          <w:color w:val="000000"/>
        </w:rPr>
        <w:t xml:space="preserve"> (Sic)</w:t>
      </w:r>
    </w:p>
    <w:p w:rsidR="003B4C14" w:rsidRPr="003D6833" w:rsidRDefault="003B4C14">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3B4C14" w:rsidRPr="003D6833" w:rsidRDefault="00E3050A">
      <w:pPr>
        <w:numPr>
          <w:ilvl w:val="0"/>
          <w:numId w:val="17"/>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3D6833">
        <w:rPr>
          <w:rFonts w:ascii="Palatino Linotype" w:eastAsia="Palatino Linotype" w:hAnsi="Palatino Linotype" w:cs="Palatino Linotype"/>
          <w:b/>
          <w:color w:val="000000"/>
          <w:u w:val="single"/>
        </w:rPr>
        <w:t>Manifestaciones, alegatos y respuesta complementaría.</w:t>
      </w: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w:t>
      </w:r>
      <w:r w:rsidRPr="003D6833">
        <w:rPr>
          <w:rFonts w:ascii="Palatino Linotype" w:eastAsia="Palatino Linotype" w:hAnsi="Palatino Linotype" w:cs="Palatino Linotype"/>
          <w:color w:val="000000"/>
        </w:rPr>
        <w:lastRenderedPageBreak/>
        <w:t>Recurrente manifestara lo que a su derecho conviniera, ofrecieran pruebas y alegatos, y el Sujeto Obligado presentara el Informe Justificado.</w:t>
      </w:r>
    </w:p>
    <w:p w:rsidR="003B4C14" w:rsidRPr="003D6833" w:rsidRDefault="003B4C1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i/>
          <w:color w:val="000000"/>
        </w:rPr>
      </w:pPr>
      <w:r w:rsidRPr="003D6833">
        <w:rPr>
          <w:rFonts w:ascii="Palatino Linotype" w:eastAsia="Palatino Linotype" w:hAnsi="Palatino Linotype" w:cs="Palatino Linotype"/>
        </w:rPr>
        <w:t>El Recurrente dejó de realizar manifestaciones que a su derecho conviniera y asistiera. Por su parte el Sujeto Obligado no rindió informe justificado.</w:t>
      </w:r>
    </w:p>
    <w:p w:rsidR="00D15D25" w:rsidRPr="003D6833" w:rsidRDefault="00D15D25" w:rsidP="00D15D25">
      <w:pPr>
        <w:spacing w:line="360" w:lineRule="auto"/>
        <w:jc w:val="both"/>
        <w:rPr>
          <w:rFonts w:ascii="Palatino Linotype" w:eastAsia="Palatino Linotype" w:hAnsi="Palatino Linotype" w:cs="Palatino Linotype"/>
          <w:i/>
          <w:color w:val="000000"/>
        </w:rPr>
      </w:pPr>
    </w:p>
    <w:p w:rsidR="003B4C14" w:rsidRPr="003D6833" w:rsidRDefault="00E3050A">
      <w:pPr>
        <w:numPr>
          <w:ilvl w:val="0"/>
          <w:numId w:val="17"/>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3D6833">
        <w:rPr>
          <w:rFonts w:ascii="Palatino Linotype" w:eastAsia="Palatino Linotype" w:hAnsi="Palatino Linotype" w:cs="Palatino Linotype"/>
          <w:b/>
          <w:color w:val="000000"/>
          <w:u w:val="single"/>
        </w:rPr>
        <w:t>Ampliación para resolver y cierre de instrucción.</w:t>
      </w: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D6833">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b/>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D6833">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3B4C14" w:rsidRPr="003D6833" w:rsidRDefault="003B4C14">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D6833">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B4C14" w:rsidRPr="003D6833" w:rsidRDefault="003B4C1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D6833">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B4C14" w:rsidRPr="003D6833" w:rsidRDefault="003B4C1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D6833">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3B4C14" w:rsidRPr="003D6833" w:rsidRDefault="003B4C1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3B4C14" w:rsidRPr="003D6833" w:rsidRDefault="00E3050A">
      <w:pPr>
        <w:numPr>
          <w:ilvl w:val="0"/>
          <w:numId w:val="4"/>
        </w:numPr>
        <w:pBdr>
          <w:top w:val="nil"/>
          <w:left w:val="nil"/>
          <w:bottom w:val="nil"/>
          <w:right w:val="nil"/>
          <w:between w:val="nil"/>
        </w:pBdr>
        <w:spacing w:line="360" w:lineRule="auto"/>
        <w:ind w:left="992"/>
        <w:jc w:val="both"/>
        <w:rPr>
          <w:rFonts w:ascii="Palatino Linotype" w:eastAsia="Palatino Linotype" w:hAnsi="Palatino Linotype" w:cs="Palatino Linotype"/>
        </w:rPr>
      </w:pPr>
      <w:r w:rsidRPr="003D6833">
        <w:rPr>
          <w:rFonts w:ascii="Palatino Linotype" w:eastAsia="Palatino Linotype" w:hAnsi="Palatino Linotype" w:cs="Palatino Linotype"/>
          <w:color w:val="000000"/>
        </w:rPr>
        <w:t xml:space="preserve">Complejidad del </w:t>
      </w:r>
      <w:r w:rsidRPr="003D6833">
        <w:rPr>
          <w:rFonts w:ascii="Palatino Linotype" w:eastAsia="Palatino Linotype" w:hAnsi="Palatino Linotype" w:cs="Palatino Linotype"/>
        </w:rPr>
        <w:t>asunto</w:t>
      </w:r>
      <w:r w:rsidRPr="003D6833">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3B4C14" w:rsidRPr="003D6833" w:rsidRDefault="00E3050A">
      <w:pPr>
        <w:numPr>
          <w:ilvl w:val="0"/>
          <w:numId w:val="4"/>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Actividad Procesal del interesado. Acciones u omisiones del interesado.</w:t>
      </w:r>
    </w:p>
    <w:p w:rsidR="003B4C14" w:rsidRPr="003D6833" w:rsidRDefault="00E3050A">
      <w:pPr>
        <w:numPr>
          <w:ilvl w:val="0"/>
          <w:numId w:val="4"/>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3B4C14" w:rsidRPr="003D6833" w:rsidRDefault="00E3050A">
      <w:pPr>
        <w:numPr>
          <w:ilvl w:val="0"/>
          <w:numId w:val="4"/>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La afectación generada en la situación jurídica de la persona involucrada en el proceso: Violación a sus derechos humanos.</w:t>
      </w:r>
    </w:p>
    <w:p w:rsidR="003B4C14" w:rsidRPr="003D6833" w:rsidRDefault="003B4C14">
      <w:p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D6833">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B4C14" w:rsidRPr="003D6833" w:rsidRDefault="003B4C1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D6833">
        <w:rPr>
          <w:rFonts w:ascii="Palatino Linotype" w:eastAsia="Palatino Linotype" w:hAnsi="Palatino Linotype" w:cs="Palatino Linotype"/>
          <w:color w:val="000000"/>
        </w:rPr>
        <w:t>Argumento que encuentra sustento en la jurisprudencia P</w:t>
      </w:r>
      <w:proofErr w:type="gramStart"/>
      <w:r w:rsidRPr="003D6833">
        <w:rPr>
          <w:rFonts w:ascii="Palatino Linotype" w:eastAsia="Palatino Linotype" w:hAnsi="Palatino Linotype" w:cs="Palatino Linotype"/>
          <w:color w:val="000000"/>
        </w:rPr>
        <w:t>./</w:t>
      </w:r>
      <w:proofErr w:type="gramEnd"/>
      <w:r w:rsidRPr="003D6833">
        <w:rPr>
          <w:rFonts w:ascii="Palatino Linotype" w:eastAsia="Palatino Linotype" w:hAnsi="Palatino Linotype" w:cs="Palatino Linotype"/>
          <w:color w:val="000000"/>
        </w:rPr>
        <w:t xml:space="preserve">J. 32/92 emitida por el Pleno de la Suprema Corte de Justicia de la Nación </w:t>
      </w:r>
      <w:r w:rsidRPr="003D6833">
        <w:rPr>
          <w:rFonts w:ascii="Palatino Linotype" w:eastAsia="Palatino Linotype" w:hAnsi="Palatino Linotype" w:cs="Palatino Linotype"/>
        </w:rPr>
        <w:t>del rubro</w:t>
      </w:r>
      <w:r w:rsidRPr="003D6833">
        <w:rPr>
          <w:rFonts w:ascii="Palatino Linotype" w:eastAsia="Palatino Linotype" w:hAnsi="Palatino Linotype" w:cs="Palatino Linotype"/>
          <w:color w:val="000000"/>
        </w:rPr>
        <w:t xml:space="preserve"> </w:t>
      </w:r>
      <w:r w:rsidRPr="003D6833">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3D6833">
        <w:rPr>
          <w:rFonts w:ascii="Palatino Linotype" w:eastAsia="Palatino Linotype" w:hAnsi="Palatino Linotype" w:cs="Palatino Linotype"/>
          <w:color w:val="000000"/>
        </w:rPr>
        <w:t xml:space="preserve">, visible en la Gaceta del </w:t>
      </w:r>
      <w:r w:rsidRPr="003D6833">
        <w:rPr>
          <w:rFonts w:ascii="Palatino Linotype" w:eastAsia="Palatino Linotype" w:hAnsi="Palatino Linotype" w:cs="Palatino Linotype"/>
        </w:rPr>
        <w:t>Semanario</w:t>
      </w:r>
      <w:r w:rsidRPr="003D6833">
        <w:rPr>
          <w:rFonts w:ascii="Palatino Linotype" w:eastAsia="Palatino Linotype" w:hAnsi="Palatino Linotype" w:cs="Palatino Linotype"/>
          <w:color w:val="000000"/>
        </w:rPr>
        <w:t xml:space="preserve"> Judicial de la Federación con el registro digital 205635.</w:t>
      </w:r>
    </w:p>
    <w:p w:rsidR="003B4C14" w:rsidRPr="003D6833" w:rsidRDefault="003B4C1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b/>
        </w:rPr>
      </w:pPr>
      <w:bookmarkStart w:id="4" w:name="_heading=h.3znysh7" w:colFirst="0" w:colLast="0"/>
      <w:bookmarkEnd w:id="4"/>
      <w:r w:rsidRPr="003D6833">
        <w:rPr>
          <w:rFonts w:ascii="Palatino Linotype" w:eastAsia="Palatino Linotype" w:hAnsi="Palatino Linotype" w:cs="Palatino Linotype"/>
        </w:rPr>
        <w:t xml:space="preserve">En relación a lo anterior, en fecha </w:t>
      </w:r>
      <w:r w:rsidR="00D15D25" w:rsidRPr="003D6833">
        <w:rPr>
          <w:rFonts w:ascii="Palatino Linotype" w:eastAsia="Palatino Linotype" w:hAnsi="Palatino Linotype" w:cs="Palatino Linotype"/>
          <w:b/>
        </w:rPr>
        <w:t>veintiuno</w:t>
      </w:r>
      <w:r w:rsidRPr="003D6833">
        <w:rPr>
          <w:rFonts w:ascii="Palatino Linotype" w:eastAsia="Palatino Linotype" w:hAnsi="Palatino Linotype" w:cs="Palatino Linotype"/>
          <w:b/>
        </w:rPr>
        <w:t xml:space="preserve"> de agosto de dos mil veinticuatro,</w:t>
      </w:r>
      <w:r w:rsidRPr="003D6833">
        <w:rPr>
          <w:rFonts w:ascii="Palatino Linotype" w:eastAsia="Palatino Linotype" w:hAnsi="Palatino Linotype" w:cs="Palatino Linotype"/>
        </w:rPr>
        <w:t xml:space="preserve"> se notificó el acuerdo de ampliación del plazo para resolver.</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b/>
        </w:rPr>
      </w:pPr>
      <w:r w:rsidRPr="003D6833">
        <w:rPr>
          <w:rFonts w:ascii="Palatino Linotype" w:eastAsia="Palatino Linotype" w:hAnsi="Palatino Linotype" w:cs="Palatino Linotype"/>
        </w:rPr>
        <w:lastRenderedPageBreak/>
        <w:t xml:space="preserve">Seguidamente, en fecha </w:t>
      </w:r>
      <w:r w:rsidRPr="003D6833">
        <w:rPr>
          <w:rFonts w:ascii="Palatino Linotype" w:eastAsia="Palatino Linotype" w:hAnsi="Palatino Linotype" w:cs="Palatino Linotype"/>
          <w:b/>
        </w:rPr>
        <w:t>doce de noviembre de dos mil veinticuatro</w:t>
      </w:r>
      <w:r w:rsidRPr="003D6833">
        <w:rPr>
          <w:rFonts w:ascii="Palatino Linotype" w:eastAsia="Palatino Linotype" w:hAnsi="Palatino Linotype" w:cs="Palatino Linotype"/>
        </w:rPr>
        <w:t>, la Comisionada Ponente dictó el cierre del periodo de instrucción y, ordenó la resolución que conforme a Derecho proceda, de acuerdo a las siguientes:</w:t>
      </w:r>
      <w:r w:rsidRPr="003D6833">
        <w:rPr>
          <w:rFonts w:ascii="Palatino Linotype" w:eastAsia="Palatino Linotype" w:hAnsi="Palatino Linotype" w:cs="Palatino Linotype"/>
          <w:b/>
        </w:rPr>
        <w:t xml:space="preserve"> </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b/>
          <w:color w:val="000000"/>
        </w:rPr>
      </w:pPr>
    </w:p>
    <w:p w:rsidR="003B4C14" w:rsidRPr="003D6833" w:rsidRDefault="00E3050A">
      <w:pPr>
        <w:keepNext/>
        <w:keepLines/>
        <w:spacing w:line="360" w:lineRule="auto"/>
        <w:jc w:val="center"/>
        <w:rPr>
          <w:rFonts w:ascii="Palatino Linotype" w:eastAsia="Palatino Linotype" w:hAnsi="Palatino Linotype" w:cs="Palatino Linotype"/>
        </w:rPr>
      </w:pPr>
      <w:r w:rsidRPr="003D6833">
        <w:rPr>
          <w:rFonts w:ascii="Palatino Linotype" w:eastAsia="Palatino Linotype" w:hAnsi="Palatino Linotype" w:cs="Palatino Linotype"/>
          <w:b/>
        </w:rPr>
        <w:t xml:space="preserve">C O N S I D E R A C I O N E S </w:t>
      </w:r>
    </w:p>
    <w:p w:rsidR="003B4C14" w:rsidRPr="003D6833" w:rsidRDefault="00E3050A">
      <w:pPr>
        <w:keepNext/>
        <w:keepLines/>
        <w:spacing w:line="360" w:lineRule="auto"/>
        <w:rPr>
          <w:rFonts w:ascii="Palatino Linotype" w:eastAsia="Palatino Linotype" w:hAnsi="Palatino Linotype" w:cs="Palatino Linotype"/>
          <w:b/>
        </w:rPr>
      </w:pPr>
      <w:bookmarkStart w:id="5" w:name="_heading=h.2et92p0" w:colFirst="0" w:colLast="0"/>
      <w:bookmarkEnd w:id="5"/>
      <w:r w:rsidRPr="003D6833">
        <w:rPr>
          <w:rFonts w:ascii="Palatino Linotype" w:eastAsia="Palatino Linotype" w:hAnsi="Palatino Linotype" w:cs="Palatino Linotype"/>
          <w:b/>
        </w:rPr>
        <w:t>PRIMERO. Competencia</w:t>
      </w: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rPr>
      </w:pPr>
      <w:r w:rsidRPr="003D6833">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keepNext/>
        <w:keepLines/>
        <w:spacing w:line="360" w:lineRule="auto"/>
        <w:rPr>
          <w:rFonts w:ascii="Palatino Linotype" w:eastAsia="Palatino Linotype" w:hAnsi="Palatino Linotype" w:cs="Palatino Linotype"/>
          <w:b/>
        </w:rPr>
      </w:pPr>
      <w:bookmarkStart w:id="6" w:name="_heading=h.tyjcwt" w:colFirst="0" w:colLast="0"/>
      <w:bookmarkEnd w:id="6"/>
      <w:r w:rsidRPr="003D6833">
        <w:rPr>
          <w:rFonts w:ascii="Palatino Linotype" w:eastAsia="Palatino Linotype" w:hAnsi="Palatino Linotype" w:cs="Palatino Linotype"/>
          <w:b/>
        </w:rPr>
        <w:t>SEGUNDO. Procedencia.</w:t>
      </w: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rPr>
      </w:pPr>
      <w:r w:rsidRPr="003D6833">
        <w:rPr>
          <w:rFonts w:ascii="Palatino Linotype" w:eastAsia="Palatino Linotype" w:hAnsi="Palatino Linotype" w:cs="Palatino Linotype"/>
        </w:rPr>
        <w:t xml:space="preserve">Este Órgano Garante considera que el medio de impugnación reúne los requisitos de procedencia toda vez que; el recurso fue presentado dentro del plazo establecido en </w:t>
      </w:r>
      <w:r w:rsidRPr="003D6833">
        <w:rPr>
          <w:rFonts w:ascii="Palatino Linotype" w:eastAsia="Palatino Linotype" w:hAnsi="Palatino Linotype" w:cs="Palatino Linotype"/>
        </w:rPr>
        <w:lastRenderedPageBreak/>
        <w:t>el artículo 178 de la Ley de Transparencia y Acceso a la Información Pública del Estado de México y Municipios; asimismo no se tiene conocimiento que se encuentre en trámite algún medio de defensa presentado por el Recurrente ante otra instancia.</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Por otro lado el escrito contiene las formalidades previstas en el artículo 180 último párrafo de la citada Ley de la materia, por lo que es procedente que este Instituto conozca y resuelva el presente recurso.</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pStyle w:val="Ttulo2"/>
        <w:tabs>
          <w:tab w:val="left" w:pos="0"/>
        </w:tabs>
        <w:spacing w:before="0" w:line="360" w:lineRule="auto"/>
        <w:rPr>
          <w:rFonts w:ascii="Palatino Linotype" w:eastAsia="Palatino Linotype" w:hAnsi="Palatino Linotype" w:cs="Palatino Linotype"/>
          <w:b/>
          <w:color w:val="000000"/>
          <w:sz w:val="24"/>
          <w:szCs w:val="24"/>
        </w:rPr>
      </w:pPr>
      <w:r w:rsidRPr="003D6833">
        <w:rPr>
          <w:rFonts w:ascii="Palatino Linotype" w:eastAsia="Palatino Linotype" w:hAnsi="Palatino Linotype" w:cs="Palatino Linotype"/>
          <w:b/>
          <w:color w:val="000000"/>
          <w:sz w:val="24"/>
          <w:szCs w:val="24"/>
        </w:rPr>
        <w:t>TERCERO. Descripción de hechos y planteamiento de la controversia.</w:t>
      </w:r>
    </w:p>
    <w:p w:rsidR="003B4C14" w:rsidRPr="003D6833" w:rsidRDefault="00E3050A">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D6833">
        <w:rPr>
          <w:rFonts w:ascii="Palatino Linotype" w:eastAsia="Palatino Linotype" w:hAnsi="Palatino Linotype" w:cs="Palatino Linotype"/>
        </w:rPr>
        <w:t>Se solicitó los recibos de nómina de todo el personal del ayuntamiento de Acambay, así como del Sistema Municipal para el Desarrollo Integral de la Familia de Acambay y el Instituto de Cultura Física y Deporte de Acambay, correspondientes del 01 al 30 de abril de dos mil veinticuatro.</w:t>
      </w:r>
    </w:p>
    <w:p w:rsidR="003B4C14" w:rsidRPr="003D6833" w:rsidRDefault="003B4C1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D6833">
        <w:rPr>
          <w:rFonts w:ascii="Palatino Linotype" w:eastAsia="Palatino Linotype" w:hAnsi="Palatino Linotype" w:cs="Palatino Linotype"/>
          <w:color w:val="000000"/>
        </w:rPr>
        <w:t xml:space="preserve">En respuesta el Sujeto Obligado, respecto a los recibos de nómina del personal del Ayuntamiento, realizó cambio de modalidad justificando dicho cambio, al manifestar que el estudio, análisis y procesamiento de la información sobrepasaba las capacidades técnicas, administrativas y humanas. Así también, remitió los archivos digitales ya descritos en el numeral 2 de la presente, correspondientes a diversos recibos de nómina expedidos por el Instituto Municipal de Cultura Física y Deporte de Acambay. </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D6833">
        <w:rPr>
          <w:rFonts w:ascii="Palatino Linotype" w:eastAsia="Palatino Linotype" w:hAnsi="Palatino Linotype" w:cs="Palatino Linotype"/>
          <w:color w:val="000000"/>
        </w:rPr>
        <w:t>Inconforme con la respuesta, se interpuso recurso de revisión argumentando sustancialmente que no se entregó la información requerida completa</w:t>
      </w:r>
      <w:r w:rsidRPr="003D6833">
        <w:rPr>
          <w:rFonts w:ascii="Palatino Linotype" w:eastAsia="Palatino Linotype" w:hAnsi="Palatino Linotype" w:cs="Palatino Linotype"/>
        </w:rPr>
        <w:t>.</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Cabe señalar que respecto de los recibos de nómina que el Sujeto Obligado proporcionó del personal adscrito al Instituto de Cultura Física y Deporte de Acambay el particular no impugnó este punto referente a la respuesta emitida por el </w:t>
      </w:r>
      <w:r w:rsidRPr="003D6833">
        <w:rPr>
          <w:rFonts w:ascii="Palatino Linotype" w:eastAsia="Palatino Linotype" w:hAnsi="Palatino Linotype" w:cs="Palatino Linotype"/>
          <w:b/>
          <w:color w:val="000000"/>
        </w:rPr>
        <w:t xml:space="preserve">SUJETO OBLIGADO </w:t>
      </w:r>
      <w:r w:rsidRPr="003D6833">
        <w:rPr>
          <w:rFonts w:ascii="Palatino Linotype" w:eastAsia="Palatino Linotype" w:hAnsi="Palatino Linotype" w:cs="Palatino Linotype"/>
          <w:color w:val="000000"/>
        </w:rPr>
        <w:t xml:space="preserve">a la solicitud de información, y en los motivos de inconformidad del recurso de revisión, sólo impugna lo relacionado a los recibos de nómina del personal del Ayuntamiento de Acambay así como de los recibos de nómina del Sistema para el Desarrollo Integral de la Familia de Acambay del mes de abril del año en curso; luego entonces, respecto de la solicitud inicial del </w:t>
      </w:r>
      <w:r w:rsidRPr="003D6833">
        <w:rPr>
          <w:rFonts w:ascii="Palatino Linotype" w:eastAsia="Palatino Linotype" w:hAnsi="Palatino Linotype" w:cs="Palatino Linotype"/>
          <w:b/>
          <w:color w:val="000000"/>
        </w:rPr>
        <w:t xml:space="preserve">RECURRENTE, </w:t>
      </w:r>
      <w:r w:rsidRPr="003D6833">
        <w:rPr>
          <w:rFonts w:ascii="Palatino Linotype" w:eastAsia="Palatino Linotype" w:hAnsi="Palatino Linotype" w:cs="Palatino Linotype"/>
          <w:color w:val="000000"/>
        </w:rPr>
        <w:t xml:space="preserve">al no impugnar todos los puntos de la respuesta entregada, respecto de los no impugnados, debe tenerse como actos consentidos. De tal forma que, las partes de la solicitud que no fueron impugnadas deben declararse consentidas, toda vez que al no realizar manifestaciones de inconformidad, no pueden producirse efectos jurídicos tendentes a revocar, confirmar o modificar el acto reclamado, ya que no realizó manifestación alguna al respecto. </w:t>
      </w:r>
    </w:p>
    <w:p w:rsidR="003B4C14" w:rsidRPr="003D6833" w:rsidRDefault="003B4C1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rsidR="003B4C14" w:rsidRPr="003D6833" w:rsidRDefault="003B4C14">
      <w:pPr>
        <w:pBdr>
          <w:top w:val="nil"/>
          <w:left w:val="nil"/>
          <w:bottom w:val="nil"/>
          <w:right w:val="nil"/>
          <w:between w:val="nil"/>
        </w:pBdr>
        <w:spacing w:line="276" w:lineRule="auto"/>
        <w:ind w:left="720"/>
        <w:rPr>
          <w:rFonts w:ascii="Palatino Linotype" w:eastAsia="Palatino Linotype" w:hAnsi="Palatino Linotype" w:cs="Palatino Linotype"/>
          <w:color w:val="000000"/>
          <w:sz w:val="22"/>
          <w:szCs w:val="22"/>
        </w:rPr>
      </w:pPr>
    </w:p>
    <w:p w:rsidR="003B4C14" w:rsidRPr="003D6833" w:rsidRDefault="00E3050A">
      <w:pPr>
        <w:pBdr>
          <w:top w:val="nil"/>
          <w:left w:val="nil"/>
          <w:bottom w:val="nil"/>
          <w:right w:val="nil"/>
          <w:between w:val="nil"/>
        </w:pBdr>
        <w:tabs>
          <w:tab w:val="left" w:pos="851"/>
        </w:tabs>
        <w:spacing w:line="276" w:lineRule="auto"/>
        <w:ind w:left="502" w:right="61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b/>
          <w:i/>
          <w:color w:val="000000"/>
          <w:sz w:val="22"/>
          <w:szCs w:val="22"/>
        </w:rPr>
        <w:t xml:space="preserve">“ACTOS CONSENTIDOS. SON LOS QUE NO SE IMPUGNAN MEDIANTE EL RECURSO IDÓNEO. </w:t>
      </w:r>
      <w:r w:rsidRPr="003D6833">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3B4C14" w:rsidRPr="003D6833" w:rsidRDefault="003B4C14">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De la interpretación del criterio antes citado, se advierte que cuando el particular impugnó la respuesta del </w:t>
      </w:r>
      <w:r w:rsidRPr="003D6833">
        <w:rPr>
          <w:rFonts w:ascii="Palatino Linotype" w:eastAsia="Palatino Linotype" w:hAnsi="Palatino Linotype" w:cs="Palatino Linotype"/>
          <w:b/>
          <w:color w:val="000000"/>
        </w:rPr>
        <w:t>SUJETO OBLIGADO</w:t>
      </w:r>
      <w:r w:rsidRPr="003D6833">
        <w:rPr>
          <w:rFonts w:ascii="Palatino Linotype" w:eastAsia="Palatino Linotype" w:hAnsi="Palatino Linotype" w:cs="Palatino Linotype"/>
          <w:color w:val="000000"/>
        </w:rPr>
        <w:t xml:space="preserve">, no expresó razón o motivo de inconformidad en contra de todos los rubros solicitados; por tanto, estos deben declararse atendidos, entendiendo que </w:t>
      </w:r>
      <w:r w:rsidRPr="003D6833">
        <w:rPr>
          <w:rFonts w:ascii="Palatino Linotype" w:eastAsia="Palatino Linotype" w:hAnsi="Palatino Linotype" w:cs="Palatino Linotype"/>
          <w:b/>
          <w:color w:val="000000"/>
        </w:rPr>
        <w:t>EL RECURRENTE</w:t>
      </w:r>
      <w:r w:rsidRPr="003D6833">
        <w:rPr>
          <w:rFonts w:ascii="Palatino Linotype" w:eastAsia="Palatino Linotype" w:hAnsi="Palatino Linotype" w:cs="Palatino Linotype"/>
          <w:color w:val="000000"/>
        </w:rPr>
        <w:t xml:space="preserve"> está conforme con los puntos de la respuesta proporcionada por </w:t>
      </w:r>
      <w:r w:rsidRPr="003D6833">
        <w:rPr>
          <w:rFonts w:ascii="Palatino Linotype" w:eastAsia="Palatino Linotype" w:hAnsi="Palatino Linotype" w:cs="Palatino Linotype"/>
          <w:b/>
          <w:color w:val="000000"/>
        </w:rPr>
        <w:t>EL SUJETO OBLIGADO,</w:t>
      </w:r>
      <w:r w:rsidRPr="003D6833">
        <w:rPr>
          <w:rFonts w:ascii="Palatino Linotype" w:eastAsia="Palatino Linotype" w:hAnsi="Palatino Linotype" w:cs="Palatino Linotype"/>
          <w:color w:val="000000"/>
        </w:rPr>
        <w:t xml:space="preserve"> al no contravenir los mismos. </w:t>
      </w:r>
    </w:p>
    <w:p w:rsidR="003B4C14" w:rsidRPr="003D6833" w:rsidRDefault="003B4C14">
      <w:pPr>
        <w:spacing w:line="360" w:lineRule="auto"/>
        <w:ind w:right="49"/>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rsidR="003B4C14" w:rsidRPr="003D6833" w:rsidRDefault="003B4C14">
      <w:pPr>
        <w:pBdr>
          <w:top w:val="nil"/>
          <w:left w:val="nil"/>
          <w:bottom w:val="nil"/>
          <w:right w:val="nil"/>
          <w:between w:val="nil"/>
        </w:pBdr>
        <w:tabs>
          <w:tab w:val="left" w:pos="7937"/>
          <w:tab w:val="left" w:pos="8222"/>
        </w:tabs>
        <w:spacing w:line="360" w:lineRule="auto"/>
        <w:ind w:left="502" w:right="901"/>
        <w:jc w:val="both"/>
        <w:rPr>
          <w:rFonts w:ascii="Palatino Linotype" w:eastAsia="Palatino Linotype" w:hAnsi="Palatino Linotype" w:cs="Palatino Linotype"/>
          <w:b/>
          <w:i/>
          <w:color w:val="000000"/>
        </w:rPr>
      </w:pPr>
    </w:p>
    <w:p w:rsidR="003B4C14" w:rsidRPr="003D6833" w:rsidRDefault="00E3050A">
      <w:pPr>
        <w:pBdr>
          <w:top w:val="nil"/>
          <w:left w:val="nil"/>
          <w:bottom w:val="nil"/>
          <w:right w:val="nil"/>
          <w:between w:val="nil"/>
        </w:pBdr>
        <w:tabs>
          <w:tab w:val="left" w:pos="7937"/>
          <w:tab w:val="left" w:pos="8222"/>
        </w:tabs>
        <w:spacing w:line="276" w:lineRule="auto"/>
        <w:ind w:left="502" w:right="90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b/>
          <w:i/>
          <w:color w:val="000000"/>
          <w:sz w:val="22"/>
          <w:szCs w:val="22"/>
        </w:rPr>
        <w:t xml:space="preserve">“REVISIÓN EN AMPARO. LOS RESOLUTIVOS NO COMBATIDOS DEBEN DECLARARSE FIRMES. </w:t>
      </w:r>
      <w:r w:rsidRPr="003D6833">
        <w:rPr>
          <w:rFonts w:ascii="Palatino Linotype" w:eastAsia="Palatino Linotype" w:hAnsi="Palatino Linotype" w:cs="Palatino Linotype"/>
          <w:i/>
          <w:color w:val="000000"/>
          <w:sz w:val="22"/>
          <w:szCs w:val="22"/>
        </w:rPr>
        <w:t xml:space="preserve">Cuando algún resolutivo de la sentencia impugnada afecta a la recurrente, y ésta no expresa agravio en contra de las consideraciones que le sirven de base, dicho resolutivo debe declararse firme. Esto es, en el caso referido, no obstante que la </w:t>
      </w:r>
      <w:r w:rsidRPr="003D6833">
        <w:rPr>
          <w:rFonts w:ascii="Palatino Linotype" w:eastAsia="Palatino Linotype" w:hAnsi="Palatino Linotype" w:cs="Palatino Linotype"/>
          <w:i/>
          <w:color w:val="000000"/>
          <w:sz w:val="22"/>
          <w:szCs w:val="22"/>
        </w:rPr>
        <w:lastRenderedPageBreak/>
        <w:t>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3B4C14" w:rsidRPr="003D6833" w:rsidRDefault="00E3050A">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En consecuencia, que los demás fundamentos remitidos en respuesta se consideran un acto consentido y, por lo tanto, este Órgano Resolutor no entrará al estudio del mismo por las razones hasta aquí expuestas. </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D6833">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fracciones V y VIII de la Ley de Transparencia y Acceso a la Información Pública del Estado de México y Municipios; fracciones que determinan la negativa a la información solicitada y la entrega de la información solicitada en una modalidad o formato distinto; contexto del cual se dolió el Recurrente al momento de interponer su inconformidad. De modo tal que el presente recurso de revisión se abocará a determinar si el Sujeto Obligado con su respuesta ciertamente actualiza la causal de procedencia señalada.</w:t>
      </w:r>
    </w:p>
    <w:p w:rsidR="003B4C14" w:rsidRPr="003D6833" w:rsidRDefault="003B4C1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3B4C14" w:rsidRPr="003D6833" w:rsidRDefault="00E3050A">
      <w:pPr>
        <w:pStyle w:val="Ttulo1"/>
        <w:spacing w:before="0" w:after="0" w:line="360" w:lineRule="auto"/>
        <w:ind w:right="1"/>
        <w:rPr>
          <w:rFonts w:ascii="Palatino Linotype" w:eastAsia="Palatino Linotype" w:hAnsi="Palatino Linotype" w:cs="Palatino Linotype"/>
          <w:color w:val="000000"/>
          <w:sz w:val="24"/>
          <w:szCs w:val="24"/>
        </w:rPr>
      </w:pPr>
      <w:r w:rsidRPr="003D6833">
        <w:rPr>
          <w:rFonts w:ascii="Palatino Linotype" w:eastAsia="Palatino Linotype" w:hAnsi="Palatino Linotype" w:cs="Palatino Linotype"/>
          <w:color w:val="000000"/>
          <w:sz w:val="24"/>
          <w:szCs w:val="24"/>
        </w:rPr>
        <w:t>CUARTA. Estudio de la controversia.</w:t>
      </w:r>
    </w:p>
    <w:p w:rsidR="003B4C14" w:rsidRPr="003D6833" w:rsidRDefault="00E3050A">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b/>
          <w:color w:val="000000"/>
        </w:rPr>
        <w:t>De la respuesta inicial.</w:t>
      </w:r>
    </w:p>
    <w:p w:rsidR="003B4C14" w:rsidRPr="003D6833" w:rsidRDefault="003B4C14">
      <w:pPr>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Resulta importante establecer, que el mismo </w:t>
      </w:r>
      <w:r w:rsidRPr="003D6833">
        <w:rPr>
          <w:rFonts w:ascii="Palatino Linotype" w:eastAsia="Palatino Linotype" w:hAnsi="Palatino Linotype" w:cs="Palatino Linotype"/>
          <w:b/>
          <w:color w:val="000000"/>
        </w:rPr>
        <w:t>SUJETO OBLIGADO</w:t>
      </w:r>
      <w:r w:rsidRPr="003D6833">
        <w:rPr>
          <w:rFonts w:ascii="Palatino Linotype" w:eastAsia="Palatino Linotype" w:hAnsi="Palatino Linotype" w:cs="Palatino Linotype"/>
          <w:color w:val="000000"/>
        </w:rPr>
        <w:t xml:space="preserve"> respecto a la solicitud de información número 00077/ACAMBAY/IP/2024, admite ser poseedor de la </w:t>
      </w:r>
      <w:r w:rsidRPr="003D6833">
        <w:rPr>
          <w:rFonts w:ascii="Palatino Linotype" w:eastAsia="Palatino Linotype" w:hAnsi="Palatino Linotype" w:cs="Palatino Linotype"/>
          <w:color w:val="000000"/>
        </w:rPr>
        <w:lastRenderedPageBreak/>
        <w:t xml:space="preserve">información, por lo cual, no es necesario estudiar si este es competente para conocer y en su caso dar respuesta a la solicitud, pues al mencionar que pone a disposición la información solicitada y al plantear el cambio de modalidad, este reconoce contar con la misma, tan es así que lo pone a disposición del ahora </w:t>
      </w:r>
      <w:r w:rsidRPr="003D6833">
        <w:rPr>
          <w:rFonts w:ascii="Palatino Linotype" w:eastAsia="Palatino Linotype" w:hAnsi="Palatino Linotype" w:cs="Palatino Linotype"/>
          <w:b/>
          <w:color w:val="000000"/>
        </w:rPr>
        <w:t>RECURRENTE</w:t>
      </w:r>
      <w:r w:rsidRPr="003D6833">
        <w:rPr>
          <w:rFonts w:ascii="Palatino Linotype" w:eastAsia="Palatino Linotype" w:hAnsi="Palatino Linotype" w:cs="Palatino Linotype"/>
          <w:color w:val="000000"/>
        </w:rPr>
        <w:t xml:space="preserve"> para su consulta directa argumentando que el análisis, estudio y procesamiento de la información sobrepasa las capacidades técnicas, administrativas y humanas  del área para generar la versión pública de la información solicitada.</w:t>
      </w:r>
    </w:p>
    <w:p w:rsidR="003B4C14" w:rsidRPr="003D6833" w:rsidRDefault="003B4C1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En atención a ello es importante invocar el contenido del artículo 12 así como el 4 de la Ley de Transparencia y Acceso a la Información Pública del Estado de México y Municipios; preceptos legales que establecen que </w:t>
      </w:r>
      <w:r w:rsidRPr="003D6833">
        <w:rPr>
          <w:rFonts w:ascii="Palatino Linotype" w:eastAsia="Palatino Linotype" w:hAnsi="Palatino Linotype" w:cs="Palatino Linotype"/>
          <w:b/>
          <w:color w:val="000000"/>
        </w:rPr>
        <w:t xml:space="preserve">los sujetos obligados se encuentran constreñidos a entregar la información pública solicitada por los </w:t>
      </w:r>
      <w:r w:rsidRPr="003D6833">
        <w:rPr>
          <w:rFonts w:ascii="Palatino Linotype" w:eastAsia="Palatino Linotype" w:hAnsi="Palatino Linotype" w:cs="Palatino Linotype"/>
          <w:color w:val="000000"/>
        </w:rPr>
        <w:t xml:space="preserve">particulares que se encuentre en sus archivos o que obre en su posesión, </w:t>
      </w:r>
      <w:r w:rsidRPr="003D6833">
        <w:rPr>
          <w:rFonts w:ascii="Palatino Linotype" w:eastAsia="Palatino Linotype" w:hAnsi="Palatino Linotype" w:cs="Palatino Linotype"/>
          <w:b/>
          <w:color w:val="000000"/>
        </w:rPr>
        <w:t>privilegiando en todo momento el principio de máxima publicidad,</w:t>
      </w:r>
      <w:r w:rsidRPr="003D6833">
        <w:rPr>
          <w:rFonts w:ascii="Palatino Linotype" w:eastAsia="Palatino Linotype" w:hAnsi="Palatino Linotype" w:cs="Palatino Linotype"/>
          <w:color w:val="000000"/>
        </w:rPr>
        <w:t xml:space="preserve"> sin generarla, procesarla, resumirla, ni presentarla conforme al interés del solicitante. </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numPr>
          <w:ilvl w:val="0"/>
          <w:numId w:val="12"/>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3D6833">
        <w:rPr>
          <w:rFonts w:ascii="Palatino Linotype" w:eastAsia="Palatino Linotype" w:hAnsi="Palatino Linotype" w:cs="Palatino Linotype"/>
          <w:b/>
          <w:color w:val="000000"/>
        </w:rPr>
        <w:t>Del cambio de modalidad</w:t>
      </w: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El artículo 158 de la Ley antes citada, dispone que, de manera excepcional, cuando de manera fundada y motivada lo determine el Sujeto Obligado, en los casos en que la entrega de la información que se encuentre a su disposición, sobrepase las capacidades </w:t>
      </w:r>
      <w:r w:rsidRPr="003D6833">
        <w:rPr>
          <w:rFonts w:ascii="Palatino Linotype" w:eastAsia="Palatino Linotype" w:hAnsi="Palatino Linotype" w:cs="Palatino Linotype"/>
          <w:color w:val="000000"/>
        </w:rPr>
        <w:lastRenderedPageBreak/>
        <w:t>técnicas, administrativas y humanas del</w:t>
      </w:r>
      <w:r w:rsidRPr="003D6833">
        <w:rPr>
          <w:rFonts w:ascii="Palatino Linotype" w:eastAsia="Palatino Linotype" w:hAnsi="Palatino Linotype" w:cs="Palatino Linotype"/>
          <w:b/>
          <w:color w:val="000000"/>
        </w:rPr>
        <w:t xml:space="preserve"> </w:t>
      </w:r>
      <w:r w:rsidRPr="003D6833">
        <w:rPr>
          <w:rFonts w:ascii="Palatino Linotype" w:eastAsia="Palatino Linotype" w:hAnsi="Palatino Linotype" w:cs="Palatino Linotype"/>
          <w:color w:val="000000"/>
        </w:rPr>
        <w:t>aludido</w:t>
      </w:r>
      <w:r w:rsidRPr="003D6833">
        <w:rPr>
          <w:rFonts w:ascii="Palatino Linotype" w:eastAsia="Palatino Linotype" w:hAnsi="Palatino Linotype" w:cs="Palatino Linotype"/>
          <w:b/>
          <w:color w:val="000000"/>
        </w:rPr>
        <w:t xml:space="preserve"> </w:t>
      </w:r>
      <w:r w:rsidRPr="003D6833">
        <w:rPr>
          <w:rFonts w:ascii="Palatino Linotype" w:eastAsia="Palatino Linotype" w:hAnsi="Palatino Linotype" w:cs="Palatino Linotype"/>
          <w:color w:val="000000"/>
        </w:rPr>
        <w:t>Sujeto Obligado</w:t>
      </w:r>
      <w:r w:rsidRPr="003D6833">
        <w:rPr>
          <w:rFonts w:ascii="Palatino Linotype" w:eastAsia="Palatino Linotype" w:hAnsi="Palatino Linotype" w:cs="Palatino Linotype"/>
          <w:b/>
          <w:color w:val="000000"/>
        </w:rPr>
        <w:t>,</w:t>
      </w:r>
      <w:r w:rsidRPr="003D6833">
        <w:rPr>
          <w:rFonts w:ascii="Palatino Linotype" w:eastAsia="Palatino Linotype" w:hAnsi="Palatino Linotype" w:cs="Palatino Linotype"/>
          <w:color w:val="000000"/>
        </w:rPr>
        <w:t xml:space="preserve"> para cumplir con la solicitud, se podrá poner a disposición del solicitante la información en consulta directa.</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En ese orden de ideas, el artículo 164 del ordenamiento jurídico, prevé que el acceso se dará en la modalidad de entrega y, en su caso, de envío elegidos por el solicitante. </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Cuando la información no pueda entregarse o enviarse en la modalidad elegida, el Sujeto Obligado deberá ofrecer otra u otras modalidades de entrega. En cualquier caso, se </w:t>
      </w:r>
      <w:r w:rsidRPr="003D6833">
        <w:rPr>
          <w:rFonts w:ascii="Palatino Linotype" w:eastAsia="Palatino Linotype" w:hAnsi="Palatino Linotype" w:cs="Palatino Linotype"/>
          <w:color w:val="000000"/>
          <w:u w:val="single"/>
        </w:rPr>
        <w:t>deberá fundar y motivar</w:t>
      </w:r>
      <w:r w:rsidRPr="003D6833">
        <w:rPr>
          <w:rFonts w:ascii="Palatino Linotype" w:eastAsia="Palatino Linotype" w:hAnsi="Palatino Linotype" w:cs="Palatino Linotype"/>
          <w:color w:val="000000"/>
        </w:rPr>
        <w:t xml:space="preserve"> la necesidad de ofrecer otras modalidades.</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Así, cuando se justifique el impedimento, los Sujetos Obligados deberán ofrecer al particular otras modalidades de entrega que permita la información,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rsidR="003B4C14" w:rsidRPr="003D6833" w:rsidRDefault="003B4C14">
      <w:pPr>
        <w:pBdr>
          <w:top w:val="nil"/>
          <w:left w:val="nil"/>
          <w:bottom w:val="nil"/>
          <w:right w:val="nil"/>
          <w:between w:val="nil"/>
        </w:pBdr>
        <w:spacing w:line="276" w:lineRule="auto"/>
        <w:ind w:left="720"/>
        <w:rPr>
          <w:rFonts w:ascii="Palatino Linotype" w:eastAsia="Palatino Linotype" w:hAnsi="Palatino Linotype" w:cs="Palatino Linotype"/>
          <w:color w:val="000000"/>
          <w:sz w:val="22"/>
          <w:szCs w:val="22"/>
        </w:rPr>
      </w:pPr>
    </w:p>
    <w:p w:rsidR="003B4C14" w:rsidRPr="003D6833" w:rsidRDefault="00E3050A">
      <w:pPr>
        <w:pBdr>
          <w:top w:val="nil"/>
          <w:left w:val="nil"/>
          <w:bottom w:val="nil"/>
          <w:right w:val="nil"/>
          <w:between w:val="nil"/>
        </w:pBdr>
        <w:tabs>
          <w:tab w:val="left" w:pos="426"/>
          <w:tab w:val="left" w:pos="567"/>
        </w:tabs>
        <w:spacing w:line="276" w:lineRule="auto"/>
        <w:ind w:left="567" w:right="538"/>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b/>
          <w:i/>
          <w:color w:val="000000"/>
          <w:sz w:val="22"/>
          <w:szCs w:val="22"/>
        </w:rPr>
        <w:t>“Modalidad de entrega. Procedencia de proporcionar la información solicitada en una diversa a la elegida por el solicitante.</w:t>
      </w:r>
      <w:r w:rsidRPr="003D6833">
        <w:rPr>
          <w:rFonts w:ascii="Palatino Linotype" w:eastAsia="Palatino Linotype" w:hAnsi="Palatino Linotype" w:cs="Palatino Linotype"/>
          <w:i/>
          <w:color w:val="000000"/>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w:t>
      </w:r>
      <w:r w:rsidRPr="003D6833">
        <w:rPr>
          <w:rFonts w:ascii="Palatino Linotype" w:eastAsia="Palatino Linotype" w:hAnsi="Palatino Linotype" w:cs="Palatino Linotype"/>
          <w:i/>
          <w:color w:val="000000"/>
          <w:sz w:val="22"/>
          <w:szCs w:val="22"/>
        </w:rPr>
        <w:lastRenderedPageBreak/>
        <w:t>disposición de la información en todas las modalidades que permita el documento de que se trate, procurando reducir, en todo momento, los costos de entrega.”</w:t>
      </w:r>
    </w:p>
    <w:p w:rsidR="003B4C14" w:rsidRPr="003D6833" w:rsidRDefault="003B4C1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Del citado criterio, se desprende que cuando no sea posible atender la modalidad elegida por el solicitante,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rsidR="003B4C14" w:rsidRPr="003D6833" w:rsidRDefault="003B4C1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13"/>
        </w:numPr>
        <w:pBdr>
          <w:top w:val="nil"/>
          <w:left w:val="nil"/>
          <w:bottom w:val="nil"/>
          <w:right w:val="nil"/>
          <w:between w:val="nil"/>
        </w:pBdr>
        <w:tabs>
          <w:tab w:val="left" w:pos="0"/>
          <w:tab w:val="left" w:pos="426"/>
          <w:tab w:val="left" w:pos="567"/>
        </w:tabs>
        <w:spacing w:line="360" w:lineRule="auto"/>
        <w:ind w:left="567" w:right="49" w:hanging="1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Las razones por las cuales la información implicaba un análisis, estudio o procesamiento de datos;</w:t>
      </w:r>
    </w:p>
    <w:p w:rsidR="003B4C14" w:rsidRPr="003D6833" w:rsidRDefault="00E3050A">
      <w:pPr>
        <w:numPr>
          <w:ilvl w:val="0"/>
          <w:numId w:val="13"/>
        </w:num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El tiempo no es suficiente para atender la solicitud en la modalidad elegida, y</w:t>
      </w:r>
    </w:p>
    <w:p w:rsidR="003B4C14" w:rsidRPr="003D6833" w:rsidRDefault="00E3050A">
      <w:pPr>
        <w:numPr>
          <w:ilvl w:val="0"/>
          <w:numId w:val="13"/>
        </w:numPr>
        <w:pBdr>
          <w:top w:val="nil"/>
          <w:left w:val="nil"/>
          <w:bottom w:val="nil"/>
          <w:right w:val="nil"/>
          <w:between w:val="nil"/>
        </w:pBdr>
        <w:tabs>
          <w:tab w:val="left" w:pos="0"/>
          <w:tab w:val="left" w:pos="426"/>
          <w:tab w:val="left" w:pos="567"/>
        </w:tabs>
        <w:spacing w:line="360" w:lineRule="auto"/>
        <w:ind w:left="567" w:right="49" w:hanging="142"/>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La cantidad de recursos humanos y materiales con los que cuenta el Sujeto Obligado son insuficientes.</w:t>
      </w:r>
    </w:p>
    <w:p w:rsidR="003B4C14" w:rsidRPr="003D6833" w:rsidRDefault="003B4C1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De igual forma, de las constancias que integran el expediente del asunto que nos ocupa, se advierte que si bien es cierto que el Sujeto Obligado, se limitó a ofrecer el cambio de modalidad a consulta directa, también lo es que no ofreció todos los medios por los cuales pudiera entregar la información, como por ejemplo de manera enunciativa más no limitativa, la entrega a través de un dispositivo USB o disco duro extraíble, sin costo si la persona solicitante los proporciona; correo certificado, previo pago de los costos de reproducción y envío, así como habilitar una liga electrónica en una plataforma electrónica de almacenamiento, entre otras.</w:t>
      </w:r>
    </w:p>
    <w:p w:rsidR="003B4C14" w:rsidRPr="003D6833" w:rsidRDefault="003B4C1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Ahora bien, se solicitó al área de Soporte Técnico indicara si existe un reporte de incidencias por parte del Sujeto Obligado para justificar la necesidad de realizar un cambio de modalidad, respondiendo el área aludida, de la siguiente manera:</w:t>
      </w:r>
    </w:p>
    <w:p w:rsidR="003B4C14" w:rsidRPr="003D6833" w:rsidRDefault="003B4C1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3B4C14" w:rsidRPr="003D6833" w:rsidRDefault="00E305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noProof/>
          <w:color w:val="000000"/>
        </w:rPr>
        <w:drawing>
          <wp:inline distT="0" distB="0" distL="0" distR="0">
            <wp:extent cx="5922645" cy="168783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22645" cy="1687830"/>
                    </a:xfrm>
                    <a:prstGeom prst="rect">
                      <a:avLst/>
                    </a:prstGeom>
                    <a:ln/>
                  </pic:spPr>
                </pic:pic>
              </a:graphicData>
            </a:graphic>
          </wp:inline>
        </w:drawing>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Es con base en las consideraciones de hecho y de derecho señaladas en líneas anteriores que, el Sujeto Obligado, genera, administra y posee la información solicitada por la parte Recurrente, siendo procedente ordenar la entrega de la información, a efecto de satisfacer el requerimiento de la persona solicitante.</w:t>
      </w:r>
    </w:p>
    <w:p w:rsidR="003B4C14" w:rsidRPr="003D6833" w:rsidRDefault="003B4C1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Bajo los argumentos expuestos, se considera que el Sujeto Obligado, no acreditó de manera fundada y motivada, el cambio de modalidad a consulta directa. Sobre esta situación, es necesario precisar que el Sujeto Obligado fue omiso en manifestar algún impedimento del número de hojas o peso de la información que sobrepasara las capacidades técnicas del sistema SAIMEX, si no que únicamente refirió que lo peticionado sobrepasa las capacidades técnicas, humanas y administrativas, lo cual trae como resultado que el agravio resulte </w:t>
      </w:r>
      <w:r w:rsidRPr="003D6833">
        <w:rPr>
          <w:rFonts w:ascii="Palatino Linotype" w:eastAsia="Palatino Linotype" w:hAnsi="Palatino Linotype" w:cs="Palatino Linotype"/>
          <w:b/>
          <w:color w:val="000000"/>
        </w:rPr>
        <w:t>FUNDADO.</w:t>
      </w:r>
      <w:r w:rsidRPr="003D6833">
        <w:rPr>
          <w:rFonts w:ascii="Palatino Linotype" w:eastAsia="Palatino Linotype" w:hAnsi="Palatino Linotype" w:cs="Palatino Linotype"/>
          <w:color w:val="000000"/>
        </w:rPr>
        <w:t xml:space="preserve"> </w:t>
      </w:r>
    </w:p>
    <w:p w:rsidR="003B4C14" w:rsidRPr="003D6833" w:rsidRDefault="003B4C1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tabs>
          <w:tab w:val="left" w:pos="0"/>
          <w:tab w:val="left" w:pos="28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Ahora bien, en relación a que se solicitó los recibos de nómina correspondientes al mes de abril de dos mil veinticuatro, no menos importante es, que no pasa desapercibido para este Órgano Garante que el Recurrente en sus motivos o razones de inconformidad señaló lo siguiente: </w:t>
      </w:r>
    </w:p>
    <w:p w:rsidR="003B4C14" w:rsidRPr="003D6833" w:rsidRDefault="003B4C14">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rsidR="003B4C14" w:rsidRPr="003D6833" w:rsidRDefault="00E3050A">
      <w:pPr>
        <w:numPr>
          <w:ilvl w:val="0"/>
          <w:numId w:val="1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i/>
          <w:color w:val="000000"/>
        </w:rPr>
        <w:t xml:space="preserve">“…no </w:t>
      </w:r>
      <w:proofErr w:type="spellStart"/>
      <w:r w:rsidRPr="003D6833">
        <w:rPr>
          <w:rFonts w:ascii="Palatino Linotype" w:eastAsia="Palatino Linotype" w:hAnsi="Palatino Linotype" w:cs="Palatino Linotype"/>
          <w:i/>
          <w:color w:val="000000"/>
        </w:rPr>
        <w:t>envian</w:t>
      </w:r>
      <w:proofErr w:type="spellEnd"/>
      <w:r w:rsidRPr="003D6833">
        <w:rPr>
          <w:rFonts w:ascii="Palatino Linotype" w:eastAsia="Palatino Linotype" w:hAnsi="Palatino Linotype" w:cs="Palatino Linotype"/>
          <w:i/>
          <w:color w:val="000000"/>
        </w:rPr>
        <w:t xml:space="preserve"> recibos de </w:t>
      </w:r>
      <w:proofErr w:type="spellStart"/>
      <w:r w:rsidRPr="003D6833">
        <w:rPr>
          <w:rFonts w:ascii="Palatino Linotype" w:eastAsia="Palatino Linotype" w:hAnsi="Palatino Linotype" w:cs="Palatino Linotype"/>
          <w:i/>
          <w:color w:val="000000"/>
        </w:rPr>
        <w:t>nomina</w:t>
      </w:r>
      <w:proofErr w:type="spellEnd"/>
      <w:r w:rsidRPr="003D6833">
        <w:rPr>
          <w:rFonts w:ascii="Palatino Linotype" w:eastAsia="Palatino Linotype" w:hAnsi="Palatino Linotype" w:cs="Palatino Linotype"/>
          <w:i/>
          <w:color w:val="000000"/>
        </w:rPr>
        <w:t xml:space="preserve"> del personal del DIF Municipal de Acambay y mucho menos del ayuntamiento de </w:t>
      </w:r>
      <w:proofErr w:type="spellStart"/>
      <w:r w:rsidRPr="003D6833">
        <w:rPr>
          <w:rFonts w:ascii="Palatino Linotype" w:eastAsia="Palatino Linotype" w:hAnsi="Palatino Linotype" w:cs="Palatino Linotype"/>
          <w:i/>
          <w:color w:val="000000"/>
        </w:rPr>
        <w:t>Acambay</w:t>
      </w:r>
      <w:proofErr w:type="spellEnd"/>
      <w:r w:rsidRPr="003D6833">
        <w:rPr>
          <w:rFonts w:ascii="Palatino Linotype" w:eastAsia="Palatino Linotype" w:hAnsi="Palatino Linotype" w:cs="Palatino Linotype"/>
          <w:i/>
          <w:color w:val="000000"/>
        </w:rPr>
        <w:t xml:space="preserve"> </w:t>
      </w:r>
      <w:proofErr w:type="spellStart"/>
      <w:r w:rsidRPr="003D6833">
        <w:rPr>
          <w:rFonts w:ascii="Palatino Linotype" w:eastAsia="Palatino Linotype" w:hAnsi="Palatino Linotype" w:cs="Palatino Linotype"/>
          <w:i/>
          <w:color w:val="000000"/>
        </w:rPr>
        <w:t>escudandose</w:t>
      </w:r>
      <w:proofErr w:type="spellEnd"/>
      <w:r w:rsidRPr="003D6833">
        <w:rPr>
          <w:rFonts w:ascii="Palatino Linotype" w:eastAsia="Palatino Linotype" w:hAnsi="Palatino Linotype" w:cs="Palatino Linotype"/>
          <w:i/>
          <w:color w:val="000000"/>
        </w:rPr>
        <w:t xml:space="preserve"> en que sobrepasa las capacidades </w:t>
      </w:r>
      <w:r w:rsidRPr="003D6833">
        <w:rPr>
          <w:rFonts w:ascii="Palatino Linotype" w:eastAsia="Palatino Linotype" w:hAnsi="Palatino Linotype" w:cs="Palatino Linotype"/>
          <w:i/>
          <w:color w:val="000000"/>
        </w:rPr>
        <w:lastRenderedPageBreak/>
        <w:t xml:space="preserve">humanas para el procesamiento de dicha información, cuando ya </w:t>
      </w:r>
      <w:proofErr w:type="spellStart"/>
      <w:r w:rsidRPr="003D6833">
        <w:rPr>
          <w:rFonts w:ascii="Palatino Linotype" w:eastAsia="Palatino Linotype" w:hAnsi="Palatino Linotype" w:cs="Palatino Linotype"/>
          <w:i/>
          <w:color w:val="000000"/>
        </w:rPr>
        <w:t>debiran</w:t>
      </w:r>
      <w:proofErr w:type="spellEnd"/>
      <w:r w:rsidRPr="003D6833">
        <w:rPr>
          <w:rFonts w:ascii="Palatino Linotype" w:eastAsia="Palatino Linotype" w:hAnsi="Palatino Linotype" w:cs="Palatino Linotype"/>
          <w:i/>
          <w:color w:val="000000"/>
        </w:rPr>
        <w:t xml:space="preserve"> tenerla,…De igual manera ponen a </w:t>
      </w:r>
      <w:proofErr w:type="spellStart"/>
      <w:r w:rsidRPr="003D6833">
        <w:rPr>
          <w:rFonts w:ascii="Palatino Linotype" w:eastAsia="Palatino Linotype" w:hAnsi="Palatino Linotype" w:cs="Palatino Linotype"/>
          <w:i/>
          <w:color w:val="000000"/>
        </w:rPr>
        <w:t>disposicion</w:t>
      </w:r>
      <w:proofErr w:type="spellEnd"/>
      <w:r w:rsidRPr="003D6833">
        <w:rPr>
          <w:rFonts w:ascii="Palatino Linotype" w:eastAsia="Palatino Linotype" w:hAnsi="Palatino Linotype" w:cs="Palatino Linotype"/>
          <w:i/>
          <w:color w:val="000000"/>
        </w:rPr>
        <w:t xml:space="preserve"> dicha </w:t>
      </w:r>
      <w:proofErr w:type="spellStart"/>
      <w:r w:rsidRPr="003D6833">
        <w:rPr>
          <w:rFonts w:ascii="Palatino Linotype" w:eastAsia="Palatino Linotype" w:hAnsi="Palatino Linotype" w:cs="Palatino Linotype"/>
          <w:i/>
          <w:color w:val="000000"/>
        </w:rPr>
        <w:t>informacion</w:t>
      </w:r>
      <w:proofErr w:type="spellEnd"/>
      <w:r w:rsidRPr="003D6833">
        <w:rPr>
          <w:rFonts w:ascii="Palatino Linotype" w:eastAsia="Palatino Linotype" w:hAnsi="Palatino Linotype" w:cs="Palatino Linotype"/>
          <w:i/>
          <w:color w:val="000000"/>
        </w:rPr>
        <w:t xml:space="preserve"> en las oficinas y yo la solicito me la </w:t>
      </w:r>
      <w:proofErr w:type="spellStart"/>
      <w:r w:rsidRPr="003D6833">
        <w:rPr>
          <w:rFonts w:ascii="Palatino Linotype" w:eastAsia="Palatino Linotype" w:hAnsi="Palatino Linotype" w:cs="Palatino Linotype"/>
          <w:i/>
          <w:color w:val="000000"/>
        </w:rPr>
        <w:t>envien</w:t>
      </w:r>
      <w:proofErr w:type="spellEnd"/>
      <w:r w:rsidRPr="003D6833">
        <w:rPr>
          <w:rFonts w:ascii="Palatino Linotype" w:eastAsia="Palatino Linotype" w:hAnsi="Palatino Linotype" w:cs="Palatino Linotype"/>
          <w:i/>
          <w:color w:val="000000"/>
        </w:rPr>
        <w:t xml:space="preserve"> </w:t>
      </w:r>
      <w:proofErr w:type="spellStart"/>
      <w:r w:rsidRPr="003D6833">
        <w:rPr>
          <w:rFonts w:ascii="Palatino Linotype" w:eastAsia="Palatino Linotype" w:hAnsi="Palatino Linotype" w:cs="Palatino Linotype"/>
          <w:i/>
          <w:color w:val="000000"/>
        </w:rPr>
        <w:t>via</w:t>
      </w:r>
      <w:proofErr w:type="spellEnd"/>
      <w:r w:rsidRPr="003D6833">
        <w:rPr>
          <w:rFonts w:ascii="Palatino Linotype" w:eastAsia="Palatino Linotype" w:hAnsi="Palatino Linotype" w:cs="Palatino Linotype"/>
          <w:i/>
          <w:color w:val="000000"/>
        </w:rPr>
        <w:t xml:space="preserve"> SAIMEX, …”</w:t>
      </w:r>
      <w:r w:rsidRPr="003D6833">
        <w:rPr>
          <w:rFonts w:ascii="Palatino Linotype" w:eastAsia="Palatino Linotype" w:hAnsi="Palatino Linotype" w:cs="Palatino Linotype"/>
          <w:color w:val="000000"/>
        </w:rPr>
        <w:t xml:space="preserve"> (Sic)</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En seguimiento al análisis del recurso que nos ocupa, es menester señalar que, sobre la nómina nos lleva a precisar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rsidR="003B4C14" w:rsidRPr="003D6833" w:rsidRDefault="003B4C14">
      <w:pPr>
        <w:pBdr>
          <w:top w:val="nil"/>
          <w:left w:val="nil"/>
          <w:bottom w:val="nil"/>
          <w:right w:val="nil"/>
          <w:between w:val="nil"/>
        </w:pBdr>
        <w:spacing w:line="276" w:lineRule="auto"/>
        <w:ind w:right="-150"/>
        <w:jc w:val="both"/>
        <w:rPr>
          <w:rFonts w:ascii="Palatino Linotype" w:eastAsia="Palatino Linotype" w:hAnsi="Palatino Linotype" w:cs="Palatino Linotype"/>
          <w:color w:val="000000"/>
          <w:sz w:val="22"/>
          <w:szCs w:val="22"/>
        </w:rPr>
      </w:pPr>
    </w:p>
    <w:p w:rsidR="003B4C14" w:rsidRPr="003D6833" w:rsidRDefault="00E3050A">
      <w:pPr>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b/>
          <w:i/>
          <w:color w:val="000000"/>
          <w:sz w:val="22"/>
          <w:szCs w:val="22"/>
        </w:rPr>
        <w:t xml:space="preserve">“NÓMINA </w:t>
      </w:r>
      <w:r w:rsidRPr="003D6833">
        <w:rPr>
          <w:rFonts w:ascii="Palatino Linotype" w:eastAsia="Palatino Linotype" w:hAnsi="Palatino Linotype" w:cs="Palatino Linotype"/>
          <w:i/>
          <w:color w:val="000000"/>
          <w:sz w:val="22"/>
          <w:szCs w:val="22"/>
        </w:rPr>
        <w:t>Listado general de los trabajadores de una institución, en</w:t>
      </w:r>
      <w:r w:rsidRPr="003D6833">
        <w:rPr>
          <w:rFonts w:ascii="Palatino Linotype" w:eastAsia="Palatino Linotype" w:hAnsi="Palatino Linotype" w:cs="Palatino Linotype"/>
          <w:b/>
          <w:i/>
          <w:color w:val="000000"/>
          <w:sz w:val="22"/>
          <w:szCs w:val="22"/>
        </w:rPr>
        <w:t xml:space="preserve"> </w:t>
      </w:r>
      <w:r w:rsidRPr="003D6833">
        <w:rPr>
          <w:rFonts w:ascii="Palatino Linotype" w:eastAsia="Palatino Linotype" w:hAnsi="Palatino Linotype" w:cs="Palatino Linotype"/>
          <w:i/>
          <w:color w:val="000000"/>
          <w:sz w:val="22"/>
          <w:szCs w:val="22"/>
        </w:rPr>
        <w:t>el cual se asientan las percepciones brutas, deducciones y</w:t>
      </w:r>
      <w:r w:rsidRPr="003D6833">
        <w:rPr>
          <w:rFonts w:ascii="Palatino Linotype" w:eastAsia="Palatino Linotype" w:hAnsi="Palatino Linotype" w:cs="Palatino Linotype"/>
          <w:b/>
          <w:i/>
          <w:color w:val="000000"/>
          <w:sz w:val="22"/>
          <w:szCs w:val="22"/>
        </w:rPr>
        <w:t xml:space="preserve"> </w:t>
      </w:r>
      <w:r w:rsidRPr="003D6833">
        <w:rPr>
          <w:rFonts w:ascii="Palatino Linotype" w:eastAsia="Palatino Linotype" w:hAnsi="Palatino Linotype" w:cs="Palatino Linotype"/>
          <w:i/>
          <w:color w:val="000000"/>
          <w:sz w:val="22"/>
          <w:szCs w:val="22"/>
        </w:rPr>
        <w:t>alcance neto de las mismas; la nómina es utilizada para</w:t>
      </w:r>
      <w:r w:rsidRPr="003D6833">
        <w:rPr>
          <w:rFonts w:ascii="Palatino Linotype" w:eastAsia="Palatino Linotype" w:hAnsi="Palatino Linotype" w:cs="Palatino Linotype"/>
          <w:b/>
          <w:i/>
          <w:color w:val="000000"/>
          <w:sz w:val="22"/>
          <w:szCs w:val="22"/>
        </w:rPr>
        <w:t xml:space="preserve"> </w:t>
      </w:r>
      <w:r w:rsidRPr="003D6833">
        <w:rPr>
          <w:rFonts w:ascii="Palatino Linotype" w:eastAsia="Palatino Linotype" w:hAnsi="Palatino Linotype" w:cs="Palatino Linotype"/>
          <w:i/>
          <w:color w:val="000000"/>
          <w:sz w:val="22"/>
          <w:szCs w:val="22"/>
        </w:rPr>
        <w:t>efectuar los pagos periódicos (semanales, quincenales o</w:t>
      </w:r>
      <w:r w:rsidRPr="003D6833">
        <w:rPr>
          <w:rFonts w:ascii="Palatino Linotype" w:eastAsia="Palatino Linotype" w:hAnsi="Palatino Linotype" w:cs="Palatino Linotype"/>
          <w:b/>
          <w:i/>
          <w:color w:val="000000"/>
          <w:sz w:val="22"/>
          <w:szCs w:val="22"/>
        </w:rPr>
        <w:t xml:space="preserve"> </w:t>
      </w:r>
      <w:r w:rsidRPr="003D6833">
        <w:rPr>
          <w:rFonts w:ascii="Palatino Linotype" w:eastAsia="Palatino Linotype" w:hAnsi="Palatino Linotype" w:cs="Palatino Linotype"/>
          <w:i/>
          <w:color w:val="000000"/>
          <w:sz w:val="22"/>
          <w:szCs w:val="22"/>
        </w:rPr>
        <w:t>mensuales) a los trabajadores por concepto de sueldos y</w:t>
      </w:r>
      <w:r w:rsidRPr="003D6833">
        <w:rPr>
          <w:rFonts w:ascii="Palatino Linotype" w:eastAsia="Palatino Linotype" w:hAnsi="Palatino Linotype" w:cs="Palatino Linotype"/>
          <w:b/>
          <w:i/>
          <w:color w:val="000000"/>
          <w:sz w:val="22"/>
          <w:szCs w:val="22"/>
        </w:rPr>
        <w:t xml:space="preserve"> </w:t>
      </w:r>
      <w:r w:rsidRPr="003D6833">
        <w:rPr>
          <w:rFonts w:ascii="Palatino Linotype" w:eastAsia="Palatino Linotype" w:hAnsi="Palatino Linotype" w:cs="Palatino Linotype"/>
          <w:i/>
          <w:color w:val="000000"/>
          <w:sz w:val="22"/>
          <w:szCs w:val="22"/>
        </w:rPr>
        <w:t>salarios.”(Sic)</w:t>
      </w:r>
    </w:p>
    <w:p w:rsidR="003B4C14" w:rsidRPr="003D6833" w:rsidRDefault="003B4C14">
      <w:pPr>
        <w:spacing w:line="360" w:lineRule="auto"/>
        <w:ind w:right="-93"/>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 xml:space="preserve">Con base a lo anterior, conviene a traer lo establecido por el artículo 804, fracción II, de la Ley Federal de Trabajo, el cual a la letra establece: </w:t>
      </w:r>
    </w:p>
    <w:p w:rsidR="003B4C14" w:rsidRPr="003D6833" w:rsidRDefault="003B4C14">
      <w:pPr>
        <w:spacing w:line="360" w:lineRule="auto"/>
        <w:ind w:left="851" w:right="851"/>
        <w:jc w:val="both"/>
        <w:rPr>
          <w:rFonts w:ascii="Palatino Linotype" w:eastAsia="Palatino Linotype" w:hAnsi="Palatino Linotype" w:cs="Palatino Linotype"/>
          <w:i/>
          <w:color w:val="000000"/>
        </w:rPr>
      </w:pPr>
    </w:p>
    <w:p w:rsidR="003B4C14" w:rsidRPr="003D6833" w:rsidRDefault="00E3050A">
      <w:pPr>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w:t>
      </w:r>
      <w:r w:rsidRPr="003D6833">
        <w:rPr>
          <w:rFonts w:ascii="Palatino Linotype" w:eastAsia="Palatino Linotype" w:hAnsi="Palatino Linotype" w:cs="Palatino Linotype"/>
          <w:b/>
          <w:i/>
          <w:color w:val="000000"/>
          <w:sz w:val="22"/>
          <w:szCs w:val="22"/>
        </w:rPr>
        <w:t>Artículo 804.-</w:t>
      </w:r>
      <w:r w:rsidRPr="003D6833">
        <w:rPr>
          <w:rFonts w:ascii="Palatino Linotype" w:eastAsia="Palatino Linotype" w:hAnsi="Palatino Linotype" w:cs="Palatino Linotype"/>
          <w:i/>
          <w:color w:val="000000"/>
          <w:sz w:val="22"/>
          <w:szCs w:val="22"/>
        </w:rPr>
        <w:t xml:space="preserve"> </w:t>
      </w:r>
      <w:r w:rsidRPr="003D6833">
        <w:rPr>
          <w:rFonts w:ascii="Palatino Linotype" w:eastAsia="Palatino Linotype" w:hAnsi="Palatino Linotype" w:cs="Palatino Linotype"/>
          <w:b/>
          <w:i/>
          <w:color w:val="000000"/>
          <w:sz w:val="22"/>
          <w:szCs w:val="22"/>
        </w:rPr>
        <w:t>El patrón tiene obligación de conservar y exhibir en juicio los documentos que a continuación se precisan</w:t>
      </w:r>
      <w:r w:rsidRPr="003D6833">
        <w:rPr>
          <w:rFonts w:ascii="Palatino Linotype" w:eastAsia="Palatino Linotype" w:hAnsi="Palatino Linotype" w:cs="Palatino Linotype"/>
          <w:i/>
          <w:color w:val="000000"/>
          <w:sz w:val="22"/>
          <w:szCs w:val="22"/>
        </w:rPr>
        <w:t>:</w:t>
      </w:r>
    </w:p>
    <w:p w:rsidR="003B4C14" w:rsidRPr="003D6833" w:rsidRDefault="00E3050A">
      <w:pPr>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w:t>
      </w:r>
    </w:p>
    <w:p w:rsidR="003B4C14" w:rsidRPr="003D6833" w:rsidRDefault="00E3050A">
      <w:pPr>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b/>
          <w:i/>
          <w:color w:val="000000"/>
          <w:sz w:val="22"/>
          <w:szCs w:val="22"/>
        </w:rPr>
        <w:t>II.</w:t>
      </w:r>
      <w:r w:rsidRPr="003D6833">
        <w:rPr>
          <w:rFonts w:ascii="Palatino Linotype" w:eastAsia="Palatino Linotype" w:hAnsi="Palatino Linotype" w:cs="Palatino Linotype"/>
          <w:i/>
          <w:color w:val="000000"/>
          <w:sz w:val="22"/>
          <w:szCs w:val="22"/>
        </w:rPr>
        <w:t xml:space="preserve"> </w:t>
      </w:r>
      <w:r w:rsidRPr="003D6833">
        <w:rPr>
          <w:rFonts w:ascii="Palatino Linotype" w:eastAsia="Palatino Linotype" w:hAnsi="Palatino Linotype" w:cs="Palatino Linotype"/>
          <w:b/>
          <w:i/>
          <w:color w:val="000000"/>
          <w:sz w:val="22"/>
          <w:szCs w:val="22"/>
        </w:rPr>
        <w:t>Listas de raya o nómina de personal</w:t>
      </w:r>
      <w:r w:rsidRPr="003D6833">
        <w:rPr>
          <w:rFonts w:ascii="Palatino Linotype" w:eastAsia="Palatino Linotype" w:hAnsi="Palatino Linotype" w:cs="Palatino Linotype"/>
          <w:i/>
          <w:color w:val="000000"/>
          <w:sz w:val="22"/>
          <w:szCs w:val="22"/>
        </w:rPr>
        <w:t xml:space="preserve">, cuando se lleven en el centro de trabajo; o recibos de pagos de salarios; </w:t>
      </w:r>
    </w:p>
    <w:p w:rsidR="003B4C14" w:rsidRPr="003D6833" w:rsidRDefault="00E3050A">
      <w:pPr>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w:t>
      </w:r>
    </w:p>
    <w:p w:rsidR="003B4C14" w:rsidRPr="003D6833" w:rsidRDefault="00E3050A">
      <w:pPr>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 xml:space="preserve">Los documentos señalados en la fracción I deberán conservarse mientras dure la relación laboral y hasta un año después; </w:t>
      </w:r>
      <w:r w:rsidRPr="003D6833">
        <w:rPr>
          <w:rFonts w:ascii="Palatino Linotype" w:eastAsia="Palatino Linotype" w:hAnsi="Palatino Linotype" w:cs="Palatino Linotype"/>
          <w:b/>
          <w:i/>
          <w:color w:val="000000"/>
          <w:sz w:val="22"/>
          <w:szCs w:val="22"/>
        </w:rPr>
        <w:t>los señalados en las fracciones II, III y IV, durante el último año y un año después de que se extinga la relación laboral</w:t>
      </w:r>
      <w:r w:rsidRPr="003D6833">
        <w:rPr>
          <w:rFonts w:ascii="Palatino Linotype" w:eastAsia="Palatino Linotype" w:hAnsi="Palatino Linotype" w:cs="Palatino Linotype"/>
          <w:i/>
          <w:color w:val="000000"/>
          <w:sz w:val="22"/>
          <w:szCs w:val="22"/>
        </w:rPr>
        <w:t>; y los mencionados en la fracción V, conforme lo señalen las Leyes que los rijan.” (Sic)</w:t>
      </w:r>
    </w:p>
    <w:p w:rsidR="003B4C14" w:rsidRPr="003D6833" w:rsidRDefault="003B4C14">
      <w:pPr>
        <w:spacing w:line="360" w:lineRule="auto"/>
        <w:ind w:left="851" w:right="851"/>
        <w:jc w:val="both"/>
        <w:rPr>
          <w:rFonts w:ascii="Palatino Linotype" w:eastAsia="Palatino Linotype" w:hAnsi="Palatino Linotype" w:cs="Palatino Linotype"/>
          <w:i/>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rsidR="003B4C14" w:rsidRPr="003D6833" w:rsidRDefault="003B4C14">
      <w:pP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En ese contexto, tratándose de servidores públicos de los Municipios la Ley del Trabajo de los Servidores Públicos del Estado y Municipios, en su artículo 220-K, establece lo siguiente:</w:t>
      </w:r>
    </w:p>
    <w:p w:rsidR="003B4C14" w:rsidRPr="003D6833" w:rsidRDefault="003B4C14">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b/>
          <w:i/>
          <w:color w:val="000000"/>
          <w:sz w:val="22"/>
          <w:szCs w:val="22"/>
        </w:rPr>
        <w:lastRenderedPageBreak/>
        <w:t>“ARTÍCULO 220 K.-</w:t>
      </w:r>
      <w:r w:rsidRPr="003D6833">
        <w:rPr>
          <w:rFonts w:ascii="Palatino Linotype" w:eastAsia="Palatino Linotype" w:hAnsi="Palatino Linotype" w:cs="Palatino Linotype"/>
          <w:i/>
          <w:color w:val="000000"/>
          <w:sz w:val="22"/>
          <w:szCs w:val="22"/>
        </w:rPr>
        <w:t xml:space="preserve"> La </w:t>
      </w:r>
      <w:r w:rsidRPr="003D6833">
        <w:rPr>
          <w:rFonts w:ascii="Palatino Linotype" w:eastAsia="Palatino Linotype" w:hAnsi="Palatino Linotype" w:cs="Palatino Linotype"/>
          <w:b/>
          <w:i/>
          <w:color w:val="000000"/>
          <w:sz w:val="22"/>
          <w:szCs w:val="22"/>
        </w:rPr>
        <w:t>institución o dependencia pública tiene la obligación de conservar y exhibir en el proceso los documentos que a continuación</w:t>
      </w:r>
      <w:r w:rsidRPr="003D6833">
        <w:rPr>
          <w:rFonts w:ascii="Palatino Linotype" w:eastAsia="Palatino Linotype" w:hAnsi="Palatino Linotype" w:cs="Palatino Linotype"/>
          <w:i/>
          <w:color w:val="000000"/>
          <w:sz w:val="22"/>
          <w:szCs w:val="22"/>
        </w:rPr>
        <w:t xml:space="preserve"> </w:t>
      </w:r>
      <w:r w:rsidRPr="003D6833">
        <w:rPr>
          <w:rFonts w:ascii="Palatino Linotype" w:eastAsia="Palatino Linotype" w:hAnsi="Palatino Linotype" w:cs="Palatino Linotype"/>
          <w:b/>
          <w:i/>
          <w:color w:val="000000"/>
          <w:sz w:val="22"/>
          <w:szCs w:val="22"/>
        </w:rPr>
        <w:t>se precisan</w:t>
      </w:r>
      <w:r w:rsidRPr="003D6833">
        <w:rPr>
          <w:rFonts w:ascii="Palatino Linotype" w:eastAsia="Palatino Linotype" w:hAnsi="Palatino Linotype" w:cs="Palatino Linotype"/>
          <w:i/>
          <w:color w:val="000000"/>
          <w:sz w:val="22"/>
          <w:szCs w:val="22"/>
        </w:rPr>
        <w:t>:</w:t>
      </w:r>
    </w:p>
    <w:p w:rsidR="003B4C14" w:rsidRPr="003D6833" w:rsidRDefault="00E3050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w:t>
      </w:r>
    </w:p>
    <w:p w:rsidR="003B4C14" w:rsidRPr="003D6833" w:rsidRDefault="00E3050A">
      <w:pPr>
        <w:tabs>
          <w:tab w:val="left" w:pos="9072"/>
        </w:tabs>
        <w:spacing w:line="276" w:lineRule="auto"/>
        <w:ind w:left="851" w:right="851"/>
        <w:jc w:val="both"/>
        <w:rPr>
          <w:rFonts w:ascii="Palatino Linotype" w:eastAsia="Palatino Linotype" w:hAnsi="Palatino Linotype" w:cs="Palatino Linotype"/>
          <w:b/>
          <w:i/>
          <w:color w:val="000000"/>
          <w:sz w:val="22"/>
          <w:szCs w:val="22"/>
        </w:rPr>
      </w:pPr>
      <w:r w:rsidRPr="003D6833">
        <w:rPr>
          <w:rFonts w:ascii="Palatino Linotype" w:eastAsia="Palatino Linotype" w:hAnsi="Palatino Linotype" w:cs="Palatino Linotype"/>
          <w:i/>
          <w:color w:val="000000"/>
          <w:sz w:val="22"/>
          <w:szCs w:val="22"/>
        </w:rPr>
        <w:t xml:space="preserve">II. </w:t>
      </w:r>
      <w:r w:rsidRPr="003D6833">
        <w:rPr>
          <w:rFonts w:ascii="Palatino Linotype" w:eastAsia="Palatino Linotype" w:hAnsi="Palatino Linotype" w:cs="Palatino Linotype"/>
          <w:b/>
          <w:i/>
          <w:color w:val="000000"/>
          <w:sz w:val="22"/>
          <w:szCs w:val="22"/>
        </w:rPr>
        <w:t>Recibos de pagos de salarios o</w:t>
      </w:r>
      <w:r w:rsidRPr="003D6833">
        <w:rPr>
          <w:rFonts w:ascii="Palatino Linotype" w:eastAsia="Palatino Linotype" w:hAnsi="Palatino Linotype" w:cs="Palatino Linotype"/>
          <w:i/>
          <w:color w:val="000000"/>
          <w:sz w:val="22"/>
          <w:szCs w:val="22"/>
        </w:rPr>
        <w:t xml:space="preserve"> </w:t>
      </w:r>
      <w:r w:rsidRPr="003D6833">
        <w:rPr>
          <w:rFonts w:ascii="Palatino Linotype" w:eastAsia="Palatino Linotype" w:hAnsi="Palatino Linotype" w:cs="Palatino Linotype"/>
          <w:b/>
          <w:i/>
          <w:color w:val="000000"/>
          <w:sz w:val="22"/>
          <w:szCs w:val="22"/>
        </w:rPr>
        <w:t>las constancias documentales del pago de salario</w:t>
      </w:r>
      <w:r w:rsidRPr="003D6833">
        <w:rPr>
          <w:rFonts w:ascii="Palatino Linotype" w:eastAsia="Palatino Linotype" w:hAnsi="Palatino Linotype" w:cs="Palatino Linotype"/>
          <w:i/>
          <w:color w:val="000000"/>
          <w:sz w:val="22"/>
          <w:szCs w:val="22"/>
        </w:rPr>
        <w:t xml:space="preserve"> </w:t>
      </w:r>
      <w:r w:rsidRPr="003D6833">
        <w:rPr>
          <w:rFonts w:ascii="Palatino Linotype" w:eastAsia="Palatino Linotype" w:hAnsi="Palatino Linotype" w:cs="Palatino Linotype"/>
          <w:b/>
          <w:i/>
          <w:color w:val="000000"/>
          <w:sz w:val="22"/>
          <w:szCs w:val="22"/>
        </w:rPr>
        <w:t xml:space="preserve">cuando </w:t>
      </w:r>
      <w:r w:rsidRPr="003D6833">
        <w:rPr>
          <w:rFonts w:ascii="Palatino Linotype" w:eastAsia="Palatino Linotype" w:hAnsi="Palatino Linotype" w:cs="Palatino Linotype"/>
          <w:b/>
          <w:i/>
          <w:color w:val="000000"/>
          <w:sz w:val="22"/>
          <w:szCs w:val="22"/>
          <w:u w:val="single"/>
        </w:rPr>
        <w:t>sea por depósito o mediante información electrónica</w:t>
      </w:r>
      <w:r w:rsidRPr="003D6833">
        <w:rPr>
          <w:rFonts w:ascii="Palatino Linotype" w:eastAsia="Palatino Linotype" w:hAnsi="Palatino Linotype" w:cs="Palatino Linotype"/>
          <w:b/>
          <w:i/>
          <w:color w:val="000000"/>
          <w:sz w:val="22"/>
          <w:szCs w:val="22"/>
        </w:rPr>
        <w:t>;</w:t>
      </w:r>
    </w:p>
    <w:p w:rsidR="003B4C14" w:rsidRPr="003D6833" w:rsidRDefault="00E3050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w:t>
      </w:r>
    </w:p>
    <w:p w:rsidR="003B4C14" w:rsidRPr="003D6833" w:rsidRDefault="00E3050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rsidR="003B4C14" w:rsidRPr="003D6833" w:rsidRDefault="00E3050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rsidR="003B4C14" w:rsidRPr="003D6833" w:rsidRDefault="003B4C14">
      <w:pPr>
        <w:tabs>
          <w:tab w:val="left" w:pos="9072"/>
        </w:tabs>
        <w:spacing w:line="360" w:lineRule="auto"/>
        <w:ind w:left="851" w:right="851"/>
        <w:jc w:val="both"/>
        <w:rPr>
          <w:rFonts w:ascii="Palatino Linotype" w:eastAsia="Palatino Linotype" w:hAnsi="Palatino Linotype" w:cs="Palatino Linotype"/>
          <w:i/>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De lo anterior, se advierte que toda institución pública o dependencia pública del Estado de México debe conservar </w:t>
      </w:r>
      <w:r w:rsidRPr="003D6833">
        <w:rPr>
          <w:rFonts w:ascii="Palatino Linotype" w:eastAsia="Palatino Linotype" w:hAnsi="Palatino Linotype" w:cs="Palatino Linotype"/>
          <w:b/>
          <w:i/>
          <w:color w:val="000000"/>
        </w:rPr>
        <w:t>los recibos o constancias de pago de salarios, prima vacacional, aguinaldo y demás prestaciones legales de acuerdo con la forma en que se haya realizado el pago, es decir, en efectivo, cheque, depósito, transferencia u otra</w:t>
      </w:r>
      <w:r w:rsidRPr="003D6833">
        <w:rPr>
          <w:rFonts w:ascii="Palatino Linotype" w:eastAsia="Palatino Linotype" w:hAnsi="Palatino Linotype" w:cs="Palatino Linotype"/>
          <w:color w:val="000000"/>
        </w:rPr>
        <w:t>, debiendo conservar dicha documentación durante el último año y un año después de que se extingue la relación laboral a través de los sistemas de digitalización o de información magnética o electrónica.</w:t>
      </w:r>
    </w:p>
    <w:p w:rsidR="003B4C14" w:rsidRPr="003D6833" w:rsidRDefault="003B4C14">
      <w:pPr>
        <w:tabs>
          <w:tab w:val="left" w:pos="284"/>
        </w:tabs>
        <w:spacing w:line="360" w:lineRule="auto"/>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Ahora bien, el artículo 350 del Código Financiero del Estado de México dispone lo que se transcribe a continuación:</w:t>
      </w:r>
    </w:p>
    <w:p w:rsidR="003B4C14" w:rsidRPr="003D6833" w:rsidRDefault="00E3050A">
      <w:pPr>
        <w:spacing w:before="120" w:after="120"/>
        <w:ind w:left="1134" w:right="851"/>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r w:rsidRPr="003D6833">
        <w:rPr>
          <w:rFonts w:ascii="Palatino Linotype" w:eastAsia="Palatino Linotype" w:hAnsi="Palatino Linotype" w:cs="Palatino Linotype"/>
          <w:b/>
          <w:i/>
          <w:sz w:val="22"/>
          <w:szCs w:val="22"/>
        </w:rPr>
        <w:t>Artículo 350.-</w:t>
      </w:r>
      <w:r w:rsidRPr="003D6833">
        <w:rPr>
          <w:rFonts w:ascii="Palatino Linotype" w:eastAsia="Palatino Linotype" w:hAnsi="Palatino Linotype" w:cs="Palatino Linotype"/>
          <w:i/>
          <w:sz w:val="22"/>
          <w:szCs w:val="22"/>
        </w:rPr>
        <w:t xml:space="preserve"> Mensualmente </w:t>
      </w:r>
      <w:r w:rsidRPr="003D6833">
        <w:rPr>
          <w:rFonts w:ascii="Palatino Linotype" w:eastAsia="Palatino Linotype" w:hAnsi="Palatino Linotype" w:cs="Palatino Linotype"/>
          <w:b/>
          <w:i/>
          <w:sz w:val="22"/>
          <w:szCs w:val="22"/>
          <w:u w:val="single"/>
        </w:rPr>
        <w:t>dentro de los primeros veinte días hábiles</w:t>
      </w:r>
      <w:r w:rsidRPr="003D6833">
        <w:rPr>
          <w:rFonts w:ascii="Palatino Linotype" w:eastAsia="Palatino Linotype" w:hAnsi="Palatino Linotype" w:cs="Palatino Linotype"/>
          <w:i/>
          <w:sz w:val="22"/>
          <w:szCs w:val="22"/>
        </w:rPr>
        <w:t xml:space="preserve">, la Secretaría y </w:t>
      </w:r>
      <w:r w:rsidRPr="003D6833">
        <w:rPr>
          <w:rFonts w:ascii="Palatino Linotype" w:eastAsia="Palatino Linotype" w:hAnsi="Palatino Linotype" w:cs="Palatino Linotype"/>
          <w:b/>
          <w:i/>
          <w:sz w:val="22"/>
          <w:szCs w:val="22"/>
          <w:u w:val="single"/>
        </w:rPr>
        <w:t>las Tesorerías, enviarán para su análisis y evaluación al Órgano Superior de Fiscalización del Estado de México, la siguiente información</w:t>
      </w:r>
      <w:r w:rsidRPr="003D6833">
        <w:rPr>
          <w:rFonts w:ascii="Palatino Linotype" w:eastAsia="Palatino Linotype" w:hAnsi="Palatino Linotype" w:cs="Palatino Linotype"/>
          <w:i/>
          <w:sz w:val="22"/>
          <w:szCs w:val="22"/>
        </w:rPr>
        <w:t xml:space="preserve">: </w:t>
      </w:r>
    </w:p>
    <w:p w:rsidR="003B4C14" w:rsidRPr="003D6833" w:rsidRDefault="00E3050A">
      <w:pPr>
        <w:spacing w:before="120" w:after="120"/>
        <w:ind w:left="1134" w:right="851"/>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p>
    <w:p w:rsidR="003B4C14" w:rsidRPr="003D6833" w:rsidRDefault="00E3050A">
      <w:pPr>
        <w:spacing w:before="120" w:after="120"/>
        <w:ind w:left="1134" w:right="851"/>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 xml:space="preserve">IV. </w:t>
      </w:r>
      <w:r w:rsidRPr="003D6833">
        <w:rPr>
          <w:rFonts w:ascii="Palatino Linotype" w:eastAsia="Palatino Linotype" w:hAnsi="Palatino Linotype" w:cs="Palatino Linotype"/>
          <w:b/>
          <w:i/>
          <w:sz w:val="22"/>
          <w:szCs w:val="22"/>
          <w:u w:val="single"/>
        </w:rPr>
        <w:t>Información de nómina</w:t>
      </w:r>
      <w:r w:rsidRPr="003D6833">
        <w:rPr>
          <w:rFonts w:ascii="Palatino Linotype" w:eastAsia="Palatino Linotype" w:hAnsi="Palatino Linotype" w:cs="Palatino Linotype"/>
          <w:i/>
          <w:sz w:val="22"/>
          <w:szCs w:val="22"/>
        </w:rPr>
        <w:t>.”</w:t>
      </w:r>
    </w:p>
    <w:p w:rsidR="003B4C14" w:rsidRPr="003D6833" w:rsidRDefault="00E3050A">
      <w:pPr>
        <w:spacing w:before="120" w:after="120"/>
        <w:ind w:left="1134" w:right="851"/>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(Énfasis añadido)</w:t>
      </w:r>
    </w:p>
    <w:p w:rsidR="003B4C14" w:rsidRPr="003D6833" w:rsidRDefault="003B4C14">
      <w:pPr>
        <w:spacing w:before="120" w:after="120"/>
        <w:ind w:right="1106"/>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rsidR="003B4C14" w:rsidRPr="003D6833" w:rsidRDefault="003B4C14">
      <w:pPr>
        <w:tabs>
          <w:tab w:val="left" w:pos="284"/>
        </w:tabs>
        <w:spacing w:line="360" w:lineRule="auto"/>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 xml:space="preserve">Así, los Lineamientos en comento sirven para definir los criterios, formatos y documentación necesaria para presentar los informes mensuales. Entre los criterios que se manejan en tales Lineamientos está aquel que se refiere a la integración de información de nómina, tal y como se muestra en la siguiente captura: </w:t>
      </w:r>
    </w:p>
    <w:p w:rsidR="003B4C14" w:rsidRPr="003D6833" w:rsidRDefault="00E3050A">
      <w:pPr>
        <w:spacing w:line="360" w:lineRule="auto"/>
        <w:jc w:val="center"/>
        <w:rPr>
          <w:rFonts w:ascii="Palatino Linotype" w:eastAsia="Palatino Linotype" w:hAnsi="Palatino Linotype" w:cs="Palatino Linotype"/>
        </w:rPr>
      </w:pPr>
      <w:r w:rsidRPr="003D6833">
        <w:rPr>
          <w:rFonts w:ascii="Palatino Linotype" w:eastAsia="Palatino Linotype" w:hAnsi="Palatino Linotype" w:cs="Palatino Linotype"/>
          <w:noProof/>
        </w:rPr>
        <w:drawing>
          <wp:inline distT="0" distB="0" distL="0" distR="0">
            <wp:extent cx="4305316" cy="2705771"/>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305316" cy="2705771"/>
                    </a:xfrm>
                    <a:prstGeom prst="rect">
                      <a:avLst/>
                    </a:prstGeom>
                    <a:ln/>
                  </pic:spPr>
                </pic:pic>
              </a:graphicData>
            </a:graphic>
          </wp:inline>
        </w:drawing>
      </w:r>
    </w:p>
    <w:p w:rsidR="003B4C14" w:rsidRPr="003D6833" w:rsidRDefault="003B4C14">
      <w:pP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De la imagen insertada, se desprende que, se puede obtener la información requerida por </w:t>
      </w:r>
      <w:r w:rsidRPr="003D6833">
        <w:rPr>
          <w:rFonts w:ascii="Palatino Linotype" w:eastAsia="Palatino Linotype" w:hAnsi="Palatino Linotype" w:cs="Palatino Linotype"/>
          <w:b/>
          <w:color w:val="000000"/>
        </w:rPr>
        <w:t>EL RECURRENTE</w:t>
      </w:r>
      <w:r w:rsidRPr="003D6833">
        <w:rPr>
          <w:rFonts w:ascii="Palatino Linotype" w:eastAsia="Palatino Linotype" w:hAnsi="Palatino Linotype" w:cs="Palatino Linotype"/>
          <w:color w:val="000000"/>
        </w:rPr>
        <w:t xml:space="preserve">; puesto que resulta claro que existe la obligación por parte del </w:t>
      </w:r>
      <w:r w:rsidRPr="003D6833">
        <w:rPr>
          <w:rFonts w:ascii="Palatino Linotype" w:eastAsia="Palatino Linotype" w:hAnsi="Palatino Linotype" w:cs="Palatino Linotype"/>
          <w:b/>
          <w:color w:val="000000"/>
        </w:rPr>
        <w:t>SUJETO OBLIGADO</w:t>
      </w:r>
      <w:r w:rsidRPr="003D6833">
        <w:rPr>
          <w:rFonts w:ascii="Palatino Linotype" w:eastAsia="Palatino Linotype" w:hAnsi="Palatino Linotype" w:cs="Palatino Linotype"/>
          <w:color w:val="000000"/>
        </w:rPr>
        <w:t xml:space="preserve">, de realizar los informes por parte de la </w:t>
      </w:r>
      <w:r w:rsidRPr="003D6833">
        <w:rPr>
          <w:rFonts w:ascii="Palatino Linotype" w:eastAsia="Palatino Linotype" w:hAnsi="Palatino Linotype" w:cs="Palatino Linotype"/>
          <w:b/>
          <w:color w:val="000000"/>
        </w:rPr>
        <w:t>Tesorería Municipal</w:t>
      </w:r>
      <w:r w:rsidRPr="003D6833">
        <w:rPr>
          <w:rFonts w:ascii="Palatino Linotype" w:eastAsia="Palatino Linotype" w:hAnsi="Palatino Linotype" w:cs="Palatino Linotype"/>
          <w:color w:val="000000"/>
        </w:rPr>
        <w:t xml:space="preserve"> para que remita los reportes mensuales al Órgano Superior de Fiscalización del Estado de México de conformidad con el artículo 32 de la Ley de Fiscalización Superior del Estado de México, en los cuales se incluyen los Comprobantes Fiscales </w:t>
      </w:r>
      <w:r w:rsidRPr="003D6833">
        <w:rPr>
          <w:rFonts w:ascii="Palatino Linotype" w:eastAsia="Palatino Linotype" w:hAnsi="Palatino Linotype" w:cs="Palatino Linotype"/>
          <w:color w:val="000000"/>
        </w:rPr>
        <w:lastRenderedPageBreak/>
        <w:t xml:space="preserve">Digitales por Internet por concepto de nómina, que comprende la información relativa al pago de las remuneraciones de cada uno de los servidores públicos correspondiente a un periodo determinado, incluyendo el aguinaldo y las gratificaciones; en consecuencia, la información solicitada por </w:t>
      </w:r>
      <w:r w:rsidRPr="003D6833">
        <w:rPr>
          <w:rFonts w:ascii="Palatino Linotype" w:eastAsia="Palatino Linotype" w:hAnsi="Palatino Linotype" w:cs="Palatino Linotype"/>
          <w:b/>
          <w:color w:val="000000"/>
        </w:rPr>
        <w:t>EL RECURRENTE</w:t>
      </w:r>
      <w:r w:rsidRPr="003D6833">
        <w:rPr>
          <w:rFonts w:ascii="Palatino Linotype" w:eastAsia="Palatino Linotype" w:hAnsi="Palatino Linotype" w:cs="Palatino Linotype"/>
          <w:color w:val="000000"/>
        </w:rPr>
        <w:t xml:space="preserve"> debe obrar en los archivos del </w:t>
      </w:r>
      <w:r w:rsidRPr="003D6833">
        <w:rPr>
          <w:rFonts w:ascii="Palatino Linotype" w:eastAsia="Palatino Linotype" w:hAnsi="Palatino Linotype" w:cs="Palatino Linotype"/>
          <w:b/>
          <w:color w:val="000000"/>
        </w:rPr>
        <w:t xml:space="preserve">SUJETO OBLIGADO. </w:t>
      </w:r>
    </w:p>
    <w:p w:rsidR="003B4C14" w:rsidRPr="003D6833" w:rsidRDefault="003B4C14">
      <w:pPr>
        <w:ind w:right="709"/>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w:t>
      </w:r>
    </w:p>
    <w:p w:rsidR="003B4C14" w:rsidRPr="003D6833" w:rsidRDefault="00E3050A">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 </w:t>
      </w: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En este sentido, </w:t>
      </w:r>
      <w:r w:rsidRPr="003D6833">
        <w:rPr>
          <w:rFonts w:ascii="Palatino Linotype" w:eastAsia="Palatino Linotype" w:hAnsi="Palatino Linotype" w:cs="Palatino Linotype"/>
          <w:b/>
          <w:color w:val="000000"/>
        </w:rPr>
        <w:t>EL SUJETO OBLIGADO</w:t>
      </w:r>
      <w:r w:rsidRPr="003D6833">
        <w:rPr>
          <w:rFonts w:ascii="Palatino Linotype" w:eastAsia="Palatino Linotype" w:hAnsi="Palatino Linotype" w:cs="Palatino Linotype"/>
          <w:color w:val="000000"/>
        </w:rPr>
        <w:t xml:space="preserve"> se encuentra constreñido a entregar la información solicitada por </w:t>
      </w:r>
      <w:r w:rsidRPr="003D6833">
        <w:rPr>
          <w:rFonts w:ascii="Palatino Linotype" w:eastAsia="Palatino Linotype" w:hAnsi="Palatino Linotype" w:cs="Palatino Linotype"/>
          <w:b/>
          <w:color w:val="000000"/>
        </w:rPr>
        <w:t xml:space="preserve">EL RECURRENTE </w:t>
      </w:r>
      <w:r w:rsidRPr="003D6833">
        <w:rPr>
          <w:rFonts w:ascii="Palatino Linotype" w:eastAsia="Palatino Linotype" w:hAnsi="Palatino Linotype" w:cs="Palatino Linotype"/>
          <w:color w:val="000000"/>
        </w:rPr>
        <w:t>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Luego entonces, este Órgano Garante determina que para colmar el derecho de acceso a la información del hoy </w:t>
      </w:r>
      <w:r w:rsidRPr="003D6833">
        <w:rPr>
          <w:rFonts w:ascii="Palatino Linotype" w:eastAsia="Palatino Linotype" w:hAnsi="Palatino Linotype" w:cs="Palatino Linotype"/>
          <w:b/>
          <w:color w:val="000000"/>
        </w:rPr>
        <w:t xml:space="preserve">RECURRENTE, el SUJETO OBLIGADO </w:t>
      </w:r>
      <w:r w:rsidRPr="003D6833">
        <w:rPr>
          <w:rFonts w:ascii="Palatino Linotype" w:eastAsia="Palatino Linotype" w:hAnsi="Palatino Linotype" w:cs="Palatino Linotype"/>
          <w:color w:val="000000"/>
        </w:rPr>
        <w:t xml:space="preserve">deberá </w:t>
      </w:r>
      <w:r w:rsidRPr="003D6833">
        <w:rPr>
          <w:rFonts w:ascii="Palatino Linotype" w:eastAsia="Palatino Linotype" w:hAnsi="Palatino Linotype" w:cs="Palatino Linotype"/>
          <w:color w:val="000000"/>
        </w:rPr>
        <w:lastRenderedPageBreak/>
        <w:t>entregar los recibos de nómina señalados en la solicitud de información, respecto de todos los servidores públicos del Ayuntamiento de Acambay de Ruíz Castañeda, así como del Sistema Municipal para el Desarrollo Integral de la Familia de Acambay, es que se debe realizar el análisis de los datos que se deberán de clasificar como confidenciales y los datos que deben de tener formato abierto.</w:t>
      </w:r>
    </w:p>
    <w:p w:rsidR="003B4C14" w:rsidRPr="003D6833" w:rsidRDefault="003B4C14">
      <w:pPr>
        <w:tabs>
          <w:tab w:val="left" w:pos="284"/>
        </w:tabs>
        <w:spacing w:line="360" w:lineRule="auto"/>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De lo anterior, se debe de puntualizar que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rsidR="003B4C14" w:rsidRPr="003D6833" w:rsidRDefault="003B4C14">
      <w:pPr>
        <w:tabs>
          <w:tab w:val="left" w:pos="284"/>
        </w:tabs>
        <w:spacing w:line="360" w:lineRule="auto"/>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Ahora bien en seguimiento a lo solicitado por EL RECURRENTE, para el caso concreto, se debe considerar lo establecido por el Bando Municipal de Acambay de Ruíz Castañeda, del cual en lo que interesa, se desprende:</w:t>
      </w:r>
    </w:p>
    <w:p w:rsidR="003B4C14" w:rsidRPr="003D6833" w:rsidRDefault="003B4C14">
      <w:pPr>
        <w:pBdr>
          <w:top w:val="nil"/>
          <w:left w:val="nil"/>
          <w:bottom w:val="nil"/>
          <w:right w:val="nil"/>
          <w:between w:val="nil"/>
        </w:pBdr>
        <w:tabs>
          <w:tab w:val="left" w:pos="426"/>
          <w:tab w:val="left" w:pos="567"/>
        </w:tabs>
        <w:ind w:left="567" w:right="822"/>
        <w:jc w:val="center"/>
        <w:rPr>
          <w:rFonts w:ascii="Palatino Linotype" w:eastAsia="Palatino Linotype" w:hAnsi="Palatino Linotype" w:cs="Palatino Linotype"/>
          <w:b/>
          <w:i/>
        </w:rPr>
      </w:pPr>
    </w:p>
    <w:p w:rsidR="003B4C14" w:rsidRPr="003D6833" w:rsidRDefault="00E3050A">
      <w:pPr>
        <w:pBdr>
          <w:top w:val="nil"/>
          <w:left w:val="nil"/>
          <w:bottom w:val="nil"/>
          <w:right w:val="nil"/>
          <w:between w:val="nil"/>
        </w:pBdr>
        <w:tabs>
          <w:tab w:val="left" w:pos="426"/>
          <w:tab w:val="left" w:pos="567"/>
        </w:tabs>
        <w:ind w:left="567" w:right="822"/>
        <w:jc w:val="center"/>
        <w:rPr>
          <w:rFonts w:ascii="Palatino Linotype" w:eastAsia="Palatino Linotype" w:hAnsi="Palatino Linotype" w:cs="Palatino Linotype"/>
          <w:b/>
          <w:i/>
        </w:rPr>
      </w:pPr>
      <w:r w:rsidRPr="003D6833">
        <w:rPr>
          <w:rFonts w:ascii="Palatino Linotype" w:eastAsia="Palatino Linotype" w:hAnsi="Palatino Linotype" w:cs="Palatino Linotype"/>
          <w:b/>
          <w:i/>
        </w:rPr>
        <w:t>BANDO MUNICIPAL DE ACAMBAY DE RUIZ CASTAÑEDA 2022-2024</w:t>
      </w:r>
    </w:p>
    <w:p w:rsidR="003B4C14" w:rsidRPr="003D6833" w:rsidRDefault="003B4C14">
      <w:pPr>
        <w:spacing w:line="276" w:lineRule="auto"/>
        <w:rPr>
          <w:rFonts w:ascii="Palatino Linotype" w:eastAsia="Palatino Linotype" w:hAnsi="Palatino Linotype" w:cs="Palatino Linotype"/>
        </w:rPr>
      </w:pP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TÍTULO SEXTO</w:t>
      </w: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Del Gobierno Municipal, Autoridades y Organismos Auxiliares del Ayuntamiento</w:t>
      </w: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CAPÍTULO I</w:t>
      </w: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De las Dependencias Administrativas Centralizadas</w:t>
      </w:r>
    </w:p>
    <w:p w:rsidR="003B4C14" w:rsidRPr="003D6833" w:rsidRDefault="00E3050A">
      <w:pPr>
        <w:spacing w:line="276" w:lineRule="auto"/>
        <w:ind w:left="851" w:right="396"/>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Artículo 52.</w:t>
      </w:r>
      <w:r w:rsidRPr="003D6833">
        <w:rPr>
          <w:rFonts w:ascii="Palatino Linotype" w:eastAsia="Palatino Linotype" w:hAnsi="Palatino Linotype" w:cs="Palatino Linotype"/>
          <w:i/>
          <w:sz w:val="22"/>
          <w:szCs w:val="22"/>
        </w:rPr>
        <w:t xml:space="preserve"> Para el logro de los fines, las dependencias de la Administración Pública Municipal, deberán conducir sus actividades de manera planeada, programada y con base en la legislación correspondiente, en las políticas públicas, la jerarquización y las restricciones que establezca el Ayuntamiento, el Plan de Desarrollo Municipal y los programas que de éste deriven, integrándose con las direcciones, coordinaciones, oficialías, Juzgado Cívico, áreas y unidades administrativas que establece el presente Bando.</w:t>
      </w:r>
    </w:p>
    <w:p w:rsidR="003B4C14" w:rsidRPr="003D6833" w:rsidRDefault="00E3050A">
      <w:pPr>
        <w:spacing w:line="276" w:lineRule="auto"/>
        <w:ind w:left="851" w:right="396"/>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Dichas dependencias serán las siguientes:</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Presidencia;</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Secretaría del Ayuntamiento;</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Tesorería;</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Gobernación;</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Obras Públicas;</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Desarrollo Económico y Turismo;</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Desarrollo Urbano y Gestión del Suelo;</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Desarrollo del Campo;</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Bienestar Social;</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las Mujeres;</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lastRenderedPageBreak/>
        <w:t>Dirección de Asuntos Indígenas;</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Administración;</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Educación;</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Salud;</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Servicios Públicos;</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Seguridad Pública;</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Dirección de Protección Civil; y</w:t>
      </w:r>
    </w:p>
    <w:p w:rsidR="003B4C14" w:rsidRPr="003D6833" w:rsidRDefault="00E3050A">
      <w:pPr>
        <w:numPr>
          <w:ilvl w:val="0"/>
          <w:numId w:val="14"/>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Contraloría Interna Municipal.</w:t>
      </w:r>
    </w:p>
    <w:p w:rsidR="003B4C14" w:rsidRPr="003D6833" w:rsidRDefault="003B4C14">
      <w:p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CAPÍTULO II</w:t>
      </w: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De las Dependencias Administrativas Descentralizadas</w:t>
      </w:r>
    </w:p>
    <w:p w:rsidR="003B4C14" w:rsidRPr="003D6833" w:rsidRDefault="00E3050A">
      <w:pPr>
        <w:spacing w:line="276" w:lineRule="auto"/>
        <w:ind w:left="851" w:right="396"/>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Artículo 53.</w:t>
      </w:r>
      <w:r w:rsidRPr="003D6833">
        <w:rPr>
          <w:rFonts w:ascii="Palatino Linotype" w:eastAsia="Palatino Linotype" w:hAnsi="Palatino Linotype" w:cs="Palatino Linotype"/>
          <w:i/>
          <w:sz w:val="22"/>
          <w:szCs w:val="22"/>
        </w:rPr>
        <w:t xml:space="preserve"> El Ayuntamiento para el ejercicio de sus actividades podrá constituir o reconocer con cargo a la hacienda pública, organismos públicos descentralizados, desconcentrados y autónomos en coordinación con el Gobierno del Estado de México, cuyas atribuciones y funciones estarán señalados en la normatividad de la materia y en los reglamentos que se deriven.</w:t>
      </w:r>
    </w:p>
    <w:p w:rsidR="003B4C14" w:rsidRPr="003D6833" w:rsidRDefault="00E3050A">
      <w:pPr>
        <w:spacing w:line="276" w:lineRule="auto"/>
        <w:ind w:left="851" w:right="396"/>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Artículo 54. Son organismos descentralizados</w:t>
      </w:r>
    </w:p>
    <w:p w:rsidR="003B4C14" w:rsidRPr="003D6833" w:rsidRDefault="00E3050A">
      <w:pPr>
        <w:numPr>
          <w:ilvl w:val="0"/>
          <w:numId w:val="15"/>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El Sistema Municipal para el Desarrollo Integral de la Familia de Acambay; y</w:t>
      </w:r>
    </w:p>
    <w:p w:rsidR="003B4C14" w:rsidRPr="003D6833" w:rsidRDefault="00E3050A">
      <w:pPr>
        <w:numPr>
          <w:ilvl w:val="0"/>
          <w:numId w:val="15"/>
        </w:numPr>
        <w:pBdr>
          <w:top w:val="nil"/>
          <w:left w:val="nil"/>
          <w:bottom w:val="nil"/>
          <w:right w:val="nil"/>
          <w:between w:val="nil"/>
        </w:pBdr>
        <w:spacing w:after="160"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El Instituto Municipal de Cultura Física y Deporte de Acambay.</w:t>
      </w:r>
    </w:p>
    <w:p w:rsidR="003B4C14" w:rsidRPr="003D6833" w:rsidRDefault="003B4C14">
      <w:pPr>
        <w:spacing w:line="276" w:lineRule="auto"/>
        <w:ind w:left="851" w:right="396"/>
        <w:jc w:val="both"/>
        <w:rPr>
          <w:rFonts w:ascii="Palatino Linotype" w:eastAsia="Palatino Linotype" w:hAnsi="Palatino Linotype" w:cs="Palatino Linotype"/>
          <w:i/>
          <w:sz w:val="22"/>
          <w:szCs w:val="22"/>
        </w:rPr>
      </w:pP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CAPÍTULO XII</w:t>
      </w: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De la Dirección de Administración</w:t>
      </w:r>
    </w:p>
    <w:p w:rsidR="003B4C14" w:rsidRPr="003D6833" w:rsidRDefault="00E3050A">
      <w:pPr>
        <w:spacing w:line="276" w:lineRule="auto"/>
        <w:ind w:left="851" w:right="396"/>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Artículo 98.</w:t>
      </w:r>
      <w:r w:rsidRPr="003D6833">
        <w:rPr>
          <w:rFonts w:ascii="Palatino Linotype" w:eastAsia="Palatino Linotype" w:hAnsi="Palatino Linotype" w:cs="Palatino Linotype"/>
          <w:i/>
          <w:sz w:val="22"/>
          <w:szCs w:val="22"/>
        </w:rPr>
        <w:t xml:space="preserve"> La Dirección de Administración tiene las siguientes atribuciones:</w:t>
      </w:r>
    </w:p>
    <w:p w:rsidR="003B4C14" w:rsidRPr="003D6833" w:rsidRDefault="00E3050A">
      <w:pPr>
        <w:numPr>
          <w:ilvl w:val="0"/>
          <w:numId w:val="16"/>
        </w:num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Planear, proponer, ejecutar, dar seguimiento, supervisar, evaluar el programa de optimización de los recursos humanos y materiales en el quehacer interno de la Administración Pública Municipal;</w:t>
      </w:r>
    </w:p>
    <w:p w:rsidR="003B4C14" w:rsidRPr="003D6833" w:rsidRDefault="00E3050A">
      <w:pPr>
        <w:pBdr>
          <w:top w:val="nil"/>
          <w:left w:val="nil"/>
          <w:bottom w:val="nil"/>
          <w:right w:val="nil"/>
          <w:between w:val="nil"/>
        </w:pBdr>
        <w:spacing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t>…</w:t>
      </w:r>
    </w:p>
    <w:p w:rsidR="003B4C14" w:rsidRPr="003D6833" w:rsidRDefault="00E3050A">
      <w:pPr>
        <w:numPr>
          <w:ilvl w:val="0"/>
          <w:numId w:val="15"/>
        </w:numPr>
        <w:pBdr>
          <w:top w:val="nil"/>
          <w:left w:val="nil"/>
          <w:bottom w:val="nil"/>
          <w:right w:val="nil"/>
          <w:between w:val="nil"/>
        </w:pBdr>
        <w:spacing w:after="160" w:line="276" w:lineRule="auto"/>
        <w:ind w:left="851" w:right="396"/>
        <w:jc w:val="both"/>
        <w:rPr>
          <w:rFonts w:ascii="Palatino Linotype" w:eastAsia="Palatino Linotype" w:hAnsi="Palatino Linotype" w:cs="Palatino Linotype"/>
          <w:i/>
          <w:color w:val="000000"/>
          <w:sz w:val="22"/>
          <w:szCs w:val="22"/>
        </w:rPr>
      </w:pPr>
      <w:r w:rsidRPr="003D6833">
        <w:rPr>
          <w:rFonts w:ascii="Palatino Linotype" w:eastAsia="Palatino Linotype" w:hAnsi="Palatino Linotype" w:cs="Palatino Linotype"/>
          <w:i/>
          <w:color w:val="000000"/>
          <w:sz w:val="22"/>
          <w:szCs w:val="22"/>
        </w:rPr>
        <w:lastRenderedPageBreak/>
        <w:t>Dirigir, dar seguimiento y supervisar la formación y actualización de los expedientes laborales de los servidores públicos y la permanente actualización de la plantilla de personal que integra la Administración Pública Municipal; …</w:t>
      </w:r>
    </w:p>
    <w:p w:rsidR="003B4C14" w:rsidRPr="003D6833" w:rsidRDefault="00E3050A">
      <w:pPr>
        <w:spacing w:line="276" w:lineRule="auto"/>
        <w:ind w:left="851" w:right="396"/>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 xml:space="preserve">Artículo 99. </w:t>
      </w:r>
      <w:r w:rsidRPr="003D6833">
        <w:rPr>
          <w:rFonts w:ascii="Palatino Linotype" w:eastAsia="Palatino Linotype" w:hAnsi="Palatino Linotype" w:cs="Palatino Linotype"/>
          <w:i/>
          <w:sz w:val="22"/>
          <w:szCs w:val="22"/>
        </w:rPr>
        <w:t>Para el desempeño de sus funciones la Dirección de Administración se auxiliará de la Unidad de Recursos Humanos, Unidad de Adquisiciones y Recursos Materiales, Unidad de Parque Vehicular, Unidad de Tecnologías de la Información y Unidad de Servicios Generales.</w:t>
      </w:r>
    </w:p>
    <w:p w:rsidR="003B4C14" w:rsidRPr="003D6833" w:rsidRDefault="003B4C14">
      <w:pPr>
        <w:spacing w:line="276" w:lineRule="auto"/>
        <w:ind w:left="851" w:right="396"/>
        <w:jc w:val="both"/>
        <w:rPr>
          <w:rFonts w:ascii="Palatino Linotype" w:eastAsia="Palatino Linotype" w:hAnsi="Palatino Linotype" w:cs="Palatino Linotype"/>
          <w:i/>
          <w:sz w:val="22"/>
          <w:szCs w:val="22"/>
        </w:rPr>
      </w:pP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TÍTULO OCTAVO</w:t>
      </w: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De los Organismos Descentralizados y Autónomos</w:t>
      </w: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CAPÍTULO I</w:t>
      </w: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Del Sistema Municipal para el Desarrollo Integral de la Familia</w:t>
      </w:r>
    </w:p>
    <w:p w:rsidR="003B4C14" w:rsidRPr="003D6833" w:rsidRDefault="00E3050A">
      <w:pPr>
        <w:spacing w:line="276" w:lineRule="auto"/>
        <w:ind w:left="851" w:right="396"/>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 xml:space="preserve">Artículo 115. </w:t>
      </w:r>
      <w:r w:rsidRPr="003D6833">
        <w:rPr>
          <w:rFonts w:ascii="Palatino Linotype" w:eastAsia="Palatino Linotype" w:hAnsi="Palatino Linotype" w:cs="Palatino Linotype"/>
          <w:i/>
          <w:sz w:val="22"/>
          <w:szCs w:val="22"/>
        </w:rPr>
        <w:t>El Sistema Municipal para el Desarrollo Integral de la Familia, es un organismo público descentralizado, con personalidad jurídica y patrimonio propio, tiene autonomía para el majeo de sus recursos y se rige por la Ley que crea los Organismos Públicos Descentralizados de Asistencia Social, de carácter Municipal denominados Sistemas Municipales para el Desarrollo Integral de la Familia.</w:t>
      </w:r>
    </w:p>
    <w:p w:rsidR="003B4C14" w:rsidRPr="003D6833" w:rsidRDefault="00E3050A">
      <w:pPr>
        <w:spacing w:line="276" w:lineRule="auto"/>
        <w:ind w:left="851" w:right="396"/>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Y sus fines son:</w:t>
      </w:r>
    </w:p>
    <w:p w:rsidR="003B4C14" w:rsidRPr="003D6833" w:rsidRDefault="003B4C14">
      <w:pPr>
        <w:spacing w:line="276" w:lineRule="auto"/>
        <w:ind w:left="851" w:right="396"/>
        <w:jc w:val="both"/>
        <w:rPr>
          <w:rFonts w:ascii="Palatino Linotype" w:eastAsia="Palatino Linotype" w:hAnsi="Palatino Linotype" w:cs="Palatino Linotype"/>
          <w:i/>
          <w:sz w:val="22"/>
          <w:szCs w:val="22"/>
        </w:rPr>
      </w:pP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CAPÍTULO II</w:t>
      </w:r>
    </w:p>
    <w:p w:rsidR="003B4C14" w:rsidRPr="003D6833" w:rsidRDefault="00E3050A">
      <w:pPr>
        <w:spacing w:line="276" w:lineRule="auto"/>
        <w:ind w:left="851" w:right="396"/>
        <w:jc w:val="center"/>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Del Instituto Municipal de la Cultura Física y Deporte de Acambay</w:t>
      </w:r>
    </w:p>
    <w:p w:rsidR="003B4C14" w:rsidRPr="003D6833" w:rsidRDefault="00E3050A">
      <w:pPr>
        <w:spacing w:line="276" w:lineRule="auto"/>
        <w:ind w:left="851" w:right="396"/>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Artículo 116</w:t>
      </w:r>
      <w:r w:rsidRPr="003D6833">
        <w:rPr>
          <w:rFonts w:ascii="Palatino Linotype" w:eastAsia="Palatino Linotype" w:hAnsi="Palatino Linotype" w:cs="Palatino Linotype"/>
          <w:i/>
          <w:sz w:val="22"/>
          <w:szCs w:val="22"/>
        </w:rPr>
        <w:t xml:space="preserve">. El Instituto Municipal de Cultura Física y Deporte de Acambay, cuenta con personalidad jurídica, patrimonio propio, autonomía en el manejo de sus recursos y tiene como objeto apoyar, impulsar, fomentar, promover, desarrollar, organizar y coordinar la cultura física y el deporte en el municipio, con el óptimo aprovechamiento de los recursos humanos, financieros y materiales disponibles. </w:t>
      </w:r>
    </w:p>
    <w:p w:rsidR="003B4C14" w:rsidRPr="003D6833" w:rsidRDefault="003B4C14">
      <w:pPr>
        <w:pBdr>
          <w:top w:val="nil"/>
          <w:left w:val="nil"/>
          <w:bottom w:val="nil"/>
          <w:right w:val="nil"/>
          <w:between w:val="nil"/>
        </w:pBdr>
        <w:tabs>
          <w:tab w:val="left" w:pos="426"/>
          <w:tab w:val="left" w:pos="567"/>
        </w:tabs>
        <w:spacing w:line="360" w:lineRule="auto"/>
        <w:ind w:left="567" w:right="822"/>
        <w:jc w:val="center"/>
        <w:rPr>
          <w:rFonts w:ascii="Palatino Linotype" w:eastAsia="Palatino Linotype" w:hAnsi="Palatino Linotype" w:cs="Palatino Linotype"/>
          <w:b/>
          <w:i/>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rPr>
      </w:pPr>
      <w:r w:rsidRPr="003D6833">
        <w:rPr>
          <w:rFonts w:ascii="Palatino Linotype" w:eastAsia="Palatino Linotype" w:hAnsi="Palatino Linotype" w:cs="Palatino Linotype"/>
        </w:rPr>
        <w:lastRenderedPageBreak/>
        <w:t>Conforme al citado Bando, se acredita la integración del Ayuntamiento de Acambay de Ruíz Castañeda, en cuanto a los miembros del Ayuntamiento, dependencias que lo integran; así como los organismos descentralizados e institutos municipales desconcentrados.</w:t>
      </w:r>
    </w:p>
    <w:p w:rsidR="003B4C14" w:rsidRPr="003D6833" w:rsidRDefault="003B4C1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rPr>
      </w:pPr>
      <w:r w:rsidRPr="003D6833">
        <w:rPr>
          <w:rFonts w:ascii="Palatino Linotype" w:eastAsia="Palatino Linotype" w:hAnsi="Palatino Linotype" w:cs="Palatino Linotype"/>
        </w:rPr>
        <w:t>Que del Manual de Organización de la Administración Pública Municipal de Acambay de Ruíz Castañeda 2022-2024, se desprende el siguiente organigrama:</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pBdr>
          <w:top w:val="nil"/>
          <w:left w:val="nil"/>
          <w:bottom w:val="nil"/>
          <w:right w:val="nil"/>
          <w:between w:val="nil"/>
        </w:pBdr>
        <w:ind w:left="720"/>
        <w:rPr>
          <w:rFonts w:ascii="Palatino Linotype" w:eastAsia="Palatino Linotype" w:hAnsi="Palatino Linotype" w:cs="Palatino Linotype"/>
          <w:color w:val="000000"/>
        </w:rPr>
      </w:pPr>
      <w:r w:rsidRPr="003D6833">
        <w:rPr>
          <w:rFonts w:ascii="Palatino Linotype" w:eastAsia="Palatino Linotype" w:hAnsi="Palatino Linotype" w:cs="Palatino Linotype"/>
          <w:noProof/>
          <w:color w:val="000000"/>
        </w:rPr>
        <w:drawing>
          <wp:inline distT="0" distB="0" distL="0" distR="0">
            <wp:extent cx="5612130" cy="357187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3571875"/>
                    </a:xfrm>
                    <a:prstGeom prst="rect">
                      <a:avLst/>
                    </a:prstGeom>
                    <a:ln/>
                  </pic:spPr>
                </pic:pic>
              </a:graphicData>
            </a:graphic>
          </wp:inline>
        </w:drawing>
      </w:r>
    </w:p>
    <w:p w:rsidR="003B4C14" w:rsidRPr="003D6833" w:rsidRDefault="003B4C1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lastRenderedPageBreak/>
        <w:t>En ese sentido, es posible establecer que el Sujeto Obligado, dentro de las dependencias, áreas y organismos descentralizados municipales que lo integran, como se ha señalado de manera enunciativa más no limitativa, pudieran contar información relacionada con la solicitud hecha por particular, ya que, en</w:t>
      </w:r>
      <w:r w:rsidRPr="003D6833">
        <w:rPr>
          <w:rFonts w:ascii="Palatino Linotype" w:eastAsia="Palatino Linotype" w:hAnsi="Palatino Linotype" w:cs="Palatino Linotype"/>
          <w:color w:val="000000"/>
        </w:rPr>
        <w:t xml:space="preserve"> primer término, se debe establecer que la pate Recurrente realizó una solicitud de información al Ayuntamiento de Acambay de Ruíz Castañeda, Estado de México, respecto de todos los servidores públicos del Ayuntamiento en cita, incluyendo al personal adscrito al DIF Municipal, del 01 al 30 de abril de 2024.</w:t>
      </w:r>
    </w:p>
    <w:p w:rsidR="003B4C14" w:rsidRPr="003D6833" w:rsidRDefault="003B4C14">
      <w:pPr>
        <w:pBdr>
          <w:top w:val="nil"/>
          <w:left w:val="nil"/>
          <w:bottom w:val="nil"/>
          <w:right w:val="nil"/>
          <w:between w:val="nil"/>
        </w:pBdr>
        <w:ind w:left="720"/>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En ese sentido, es de relevancia señalar que mediante Acuerdo de fecha diecisiete de octubre de dos mil veinticuatro, el Pleno del Instituto de Transparencia, Acceso a la Información Pública y Protección de Datos Personales del Estado de México y Municipios, modificó el Padrón de Sujetos Obligados, por el cual el Sistema Municipal para el Desarrollo Integral de la Familia de Acambay se considera Sujeto Obligado diverso; </w:t>
      </w:r>
      <w:r w:rsidRPr="003D6833">
        <w:rPr>
          <w:rFonts w:ascii="Palatino Linotype" w:eastAsia="Palatino Linotype" w:hAnsi="Palatino Linotype" w:cs="Palatino Linotype"/>
          <w:color w:val="000000"/>
          <w:u w:val="single"/>
        </w:rPr>
        <w:t>sin embargo considerando que la solicitud de la información es del mes de abril de dos mil veinticuatro, se determina que corresponde al Ayuntamiento de Acambay de Ruíz Castañeda, proporcionar la información requerida</w:t>
      </w:r>
      <w:r w:rsidRPr="003D6833">
        <w:rPr>
          <w:rFonts w:ascii="Palatino Linotype" w:eastAsia="Palatino Linotype" w:hAnsi="Palatino Linotype" w:cs="Palatino Linotype"/>
          <w:color w:val="000000"/>
        </w:rPr>
        <w:t>.</w:t>
      </w:r>
    </w:p>
    <w:p w:rsidR="003B4C14" w:rsidRPr="003D6833" w:rsidRDefault="003B4C14">
      <w:pP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Conforme a lo anterior, se logra colegir que el Sujeto Obligado cuenta con un área competente para conocer de la información peticionada, a saber de manera enunciativa </w:t>
      </w:r>
      <w:r w:rsidRPr="003D6833">
        <w:rPr>
          <w:rFonts w:ascii="Palatino Linotype" w:eastAsia="Palatino Linotype" w:hAnsi="Palatino Linotype" w:cs="Palatino Linotype"/>
          <w:color w:val="000000"/>
        </w:rPr>
        <w:lastRenderedPageBreak/>
        <w:t>más no limitativa, La Tesorería Municipal, la Dirección de Administración y el propio Sistema Municipal para el Desarrollo Integral de la Familia de Acambay, así como el Institutito de Cultura Física y Deporte de Acambay, el cual remitió algunos de los recibos de nómina solicitados; por lo que, es posible advertir que el Sujeto Obligado cumplió con parte de lo establecido en el artículo 162 de la Ley de Transparencia y Acceso a la Información Pública del Estado de México y Municipios.</w:t>
      </w:r>
    </w:p>
    <w:p w:rsidR="003B4C14" w:rsidRPr="003D6833" w:rsidRDefault="003B4C1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shd w:val="clear" w:color="auto" w:fill="FFFFFF"/>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En consecuencia, la fundamentación y motivación implica que, en el acto de autoridad, además de contenerse los supuestos jurídicos aplicables se expliquen claramente por qué a través de la utilización de la norma se emitió el acto.</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En virtud de lo anterior, se determina que la información emitida por el </w:t>
      </w:r>
      <w:r w:rsidRPr="003D6833">
        <w:rPr>
          <w:rFonts w:ascii="Palatino Linotype" w:eastAsia="Palatino Linotype" w:hAnsi="Palatino Linotype" w:cs="Palatino Linotype"/>
          <w:b/>
          <w:color w:val="000000"/>
        </w:rPr>
        <w:t>SUJETO OBLIGADO</w:t>
      </w:r>
      <w:r w:rsidRPr="003D6833">
        <w:rPr>
          <w:rFonts w:ascii="Palatino Linotype" w:eastAsia="Palatino Linotype" w:hAnsi="Palatino Linotype" w:cs="Palatino Linotype"/>
          <w:color w:val="000000"/>
        </w:rPr>
        <w:t xml:space="preserve"> en su respuesta, no cumple con lo establecido por los artículos 4, 12 y 24 último párrafo de la Ley de Transparencia y Acceso a la Información Pública del Estado de México y Municipios; de ahí que, los motivos de inconformidad acontecen fundados para modificar la respuesta del </w:t>
      </w:r>
      <w:r w:rsidRPr="003D6833">
        <w:rPr>
          <w:rFonts w:ascii="Palatino Linotype" w:eastAsia="Palatino Linotype" w:hAnsi="Palatino Linotype" w:cs="Palatino Linotype"/>
          <w:b/>
          <w:color w:val="000000"/>
        </w:rPr>
        <w:t>SUJETO OBLIGADO</w:t>
      </w:r>
      <w:r w:rsidRPr="003D6833">
        <w:rPr>
          <w:rFonts w:ascii="Palatino Linotype" w:eastAsia="Palatino Linotype" w:hAnsi="Palatino Linotype" w:cs="Palatino Linotype"/>
          <w:color w:val="000000"/>
        </w:rPr>
        <w:t>, en razón de las consideraciones vertidas en la presente.</w:t>
      </w:r>
    </w:p>
    <w:p w:rsidR="003B4C14" w:rsidRPr="003D6833" w:rsidRDefault="003B4C14">
      <w:pPr>
        <w:pBdr>
          <w:top w:val="nil"/>
          <w:left w:val="nil"/>
          <w:bottom w:val="nil"/>
          <w:right w:val="nil"/>
          <w:between w:val="nil"/>
        </w:pBdr>
        <w:tabs>
          <w:tab w:val="left" w:pos="0"/>
          <w:tab w:val="left" w:pos="287"/>
        </w:tabs>
        <w:spacing w:line="360" w:lineRule="auto"/>
        <w:ind w:right="49"/>
        <w:jc w:val="both"/>
        <w:rPr>
          <w:rFonts w:ascii="Palatino Linotype" w:eastAsia="Palatino Linotype" w:hAnsi="Palatino Linotype" w:cs="Palatino Linotype"/>
          <w:color w:val="000000"/>
        </w:rPr>
      </w:pPr>
    </w:p>
    <w:p w:rsidR="003B4C14" w:rsidRPr="003D6833" w:rsidRDefault="00E3050A">
      <w:pPr>
        <w:keepNext/>
        <w:keepLines/>
        <w:spacing w:line="360" w:lineRule="auto"/>
        <w:rPr>
          <w:rFonts w:ascii="Palatino Linotype" w:eastAsia="Palatino Linotype" w:hAnsi="Palatino Linotype" w:cs="Palatino Linotype"/>
          <w:b/>
          <w:color w:val="000000"/>
        </w:rPr>
      </w:pPr>
      <w:r w:rsidRPr="003D6833">
        <w:rPr>
          <w:rFonts w:ascii="Palatino Linotype" w:eastAsia="Palatino Linotype" w:hAnsi="Palatino Linotype" w:cs="Palatino Linotype"/>
          <w:b/>
          <w:color w:val="000000"/>
        </w:rPr>
        <w:lastRenderedPageBreak/>
        <w:t>QUINTO.  De la versión pública.</w:t>
      </w:r>
    </w:p>
    <w:p w:rsidR="003B4C14" w:rsidRPr="003D6833" w:rsidRDefault="003B4C14">
      <w:pPr>
        <w:keepNext/>
        <w:keepLines/>
        <w:spacing w:line="360" w:lineRule="auto"/>
        <w:rPr>
          <w:rFonts w:ascii="Palatino Linotype" w:eastAsia="Palatino Linotype" w:hAnsi="Palatino Linotype" w:cs="Palatino Linotype"/>
          <w:b/>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No pasa desapercibido para este Órgano Garante que los sujetos obligados</w:t>
      </w:r>
      <w:r w:rsidRPr="003D6833">
        <w:rPr>
          <w:rFonts w:ascii="Palatino Linotype" w:eastAsia="Palatino Linotype" w:hAnsi="Palatino Linotype" w:cs="Palatino Linotype"/>
          <w:b/>
          <w:color w:val="000000"/>
        </w:rPr>
        <w:t xml:space="preserve"> </w:t>
      </w:r>
      <w:r w:rsidRPr="003D6833">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tbl>
      <w:tblPr>
        <w:tblStyle w:val="a4"/>
        <w:tblW w:w="921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1"/>
      </w:tblGrid>
      <w:tr w:rsidR="003B4C14" w:rsidRPr="003D6833">
        <w:tc>
          <w:tcPr>
            <w:tcW w:w="2689" w:type="dxa"/>
            <w:tcBorders>
              <w:top w:val="single" w:sz="4" w:space="0" w:color="BFBFBF"/>
              <w:left w:val="single" w:sz="4" w:space="0" w:color="BFBFBF"/>
              <w:bottom w:val="single" w:sz="4" w:space="0" w:color="BFBFBF"/>
              <w:right w:val="single" w:sz="4" w:space="0" w:color="BFBFBF"/>
            </w:tcBorders>
          </w:tcPr>
          <w:p w:rsidR="003B4C14" w:rsidRPr="003D6833" w:rsidRDefault="00E3050A">
            <w:pPr>
              <w:tabs>
                <w:tab w:val="left" w:pos="284"/>
              </w:tabs>
              <w:spacing w:line="360" w:lineRule="auto"/>
              <w:rPr>
                <w:rFonts w:ascii="Palatino Linotype" w:eastAsia="Palatino Linotype" w:hAnsi="Palatino Linotype" w:cs="Palatino Linotype"/>
                <w:b/>
              </w:rPr>
            </w:pPr>
            <w:r w:rsidRPr="003D6833">
              <w:rPr>
                <w:rFonts w:ascii="Palatino Linotype" w:eastAsia="Palatino Linotype" w:hAnsi="Palatino Linotype" w:cs="Palatino Linotype"/>
                <w:b/>
              </w:rPr>
              <w:t>a) Requisitos previos.</w:t>
            </w:r>
          </w:p>
        </w:tc>
        <w:tc>
          <w:tcPr>
            <w:tcW w:w="6521" w:type="dxa"/>
            <w:tcBorders>
              <w:top w:val="single" w:sz="4" w:space="0" w:color="BFBFBF"/>
              <w:left w:val="single" w:sz="4" w:space="0" w:color="BFBFBF"/>
              <w:bottom w:val="single" w:sz="4" w:space="0" w:color="BFBFBF"/>
              <w:right w:val="single" w:sz="4" w:space="0" w:color="BFBFBF"/>
            </w:tcBorders>
          </w:tcPr>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Además, se debe señalar el procedimiento, de los tres que establecen los artículos 132 y 106 de la Ley Estatal y General, respectivamente.</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284"/>
              </w:tabs>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3D6833">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3D6833">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3B4C14" w:rsidRPr="003D6833">
        <w:tc>
          <w:tcPr>
            <w:tcW w:w="2689" w:type="dxa"/>
            <w:tcBorders>
              <w:top w:val="single" w:sz="4" w:space="0" w:color="BFBFBF"/>
              <w:left w:val="single" w:sz="4" w:space="0" w:color="BFBFBF"/>
              <w:bottom w:val="single" w:sz="4" w:space="0" w:color="BFBFBF"/>
              <w:right w:val="single" w:sz="4" w:space="0" w:color="BFBFBF"/>
            </w:tcBorders>
          </w:tcPr>
          <w:p w:rsidR="003B4C14" w:rsidRPr="003D6833" w:rsidRDefault="00E3050A">
            <w:pPr>
              <w:tabs>
                <w:tab w:val="left" w:pos="284"/>
              </w:tabs>
              <w:spacing w:line="360" w:lineRule="auto"/>
              <w:rPr>
                <w:rFonts w:ascii="Palatino Linotype" w:eastAsia="Palatino Linotype" w:hAnsi="Palatino Linotype" w:cs="Palatino Linotype"/>
                <w:b/>
              </w:rPr>
            </w:pPr>
            <w:r w:rsidRPr="003D6833">
              <w:rPr>
                <w:rFonts w:ascii="Palatino Linotype" w:eastAsia="Palatino Linotype" w:hAnsi="Palatino Linotype" w:cs="Palatino Linotype"/>
                <w:b/>
              </w:rPr>
              <w:lastRenderedPageBreak/>
              <w:t>b) Supuestos de clasificación.</w:t>
            </w:r>
          </w:p>
        </w:tc>
        <w:tc>
          <w:tcPr>
            <w:tcW w:w="6521" w:type="dxa"/>
            <w:tcBorders>
              <w:top w:val="single" w:sz="4" w:space="0" w:color="BFBFBF"/>
              <w:left w:val="single" w:sz="4" w:space="0" w:color="BFBFBF"/>
              <w:bottom w:val="single" w:sz="4" w:space="0" w:color="BFBFBF"/>
              <w:right w:val="single" w:sz="4" w:space="0" w:color="BFBFBF"/>
            </w:tcBorders>
          </w:tcPr>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w:t>
            </w:r>
            <w:r w:rsidRPr="003D6833">
              <w:rPr>
                <w:rFonts w:ascii="Palatino Linotype" w:eastAsia="Palatino Linotype" w:hAnsi="Palatino Linotype" w:cs="Palatino Linotype"/>
                <w:color w:val="000000"/>
              </w:rPr>
              <w:lastRenderedPageBreak/>
              <w:t>de estos supuestos debe realizarse de manera restrictiva y limitada, por lo que debe acreditarse que se cumple con esta condición y no se pueden ampliar las excepciones o supuestos de clasificación aduciendo analogía o mayoría de razón.</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284"/>
              </w:tabs>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color w:val="000000"/>
              </w:rPr>
              <w:t xml:space="preserve">El </w:t>
            </w:r>
            <w:r w:rsidRPr="003D6833">
              <w:rPr>
                <w:rFonts w:ascii="Palatino Linotype" w:eastAsia="Palatino Linotype" w:hAnsi="Palatino Linotype" w:cs="Palatino Linotype"/>
                <w:b/>
                <w:color w:val="000000"/>
              </w:rPr>
              <w:t>Sujeto Obligado</w:t>
            </w:r>
            <w:r w:rsidRPr="003D6833">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B4C14" w:rsidRPr="003D6833">
        <w:tc>
          <w:tcPr>
            <w:tcW w:w="2689" w:type="dxa"/>
            <w:tcBorders>
              <w:top w:val="single" w:sz="4" w:space="0" w:color="BFBFBF"/>
              <w:left w:val="single" w:sz="4" w:space="0" w:color="BFBFBF"/>
              <w:bottom w:val="single" w:sz="4" w:space="0" w:color="BFBFBF"/>
              <w:right w:val="single" w:sz="4" w:space="0" w:color="BFBFBF"/>
            </w:tcBorders>
          </w:tcPr>
          <w:p w:rsidR="003B4C14" w:rsidRPr="003D6833" w:rsidRDefault="00E3050A">
            <w:pPr>
              <w:tabs>
                <w:tab w:val="left" w:pos="284"/>
              </w:tabs>
              <w:spacing w:line="360" w:lineRule="auto"/>
              <w:rPr>
                <w:rFonts w:ascii="Palatino Linotype" w:eastAsia="Palatino Linotype" w:hAnsi="Palatino Linotype" w:cs="Palatino Linotype"/>
                <w:b/>
              </w:rPr>
            </w:pPr>
            <w:r w:rsidRPr="003D6833">
              <w:rPr>
                <w:rFonts w:ascii="Palatino Linotype" w:eastAsia="Palatino Linotype" w:hAnsi="Palatino Linotype" w:cs="Palatino Linotype"/>
                <w:b/>
              </w:rPr>
              <w:lastRenderedPageBreak/>
              <w:t>c) Formalidades para emitir el acuerdo de clasificación.</w:t>
            </w:r>
          </w:p>
        </w:tc>
        <w:tc>
          <w:tcPr>
            <w:tcW w:w="6521" w:type="dxa"/>
            <w:tcBorders>
              <w:top w:val="single" w:sz="4" w:space="0" w:color="BFBFBF"/>
              <w:left w:val="single" w:sz="4" w:space="0" w:color="BFBFBF"/>
              <w:bottom w:val="single" w:sz="4" w:space="0" w:color="BFBFBF"/>
              <w:right w:val="single" w:sz="4" w:space="0" w:color="BFBFBF"/>
            </w:tcBorders>
          </w:tcPr>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Es necesario que </w:t>
            </w:r>
            <w:r w:rsidRPr="003D6833">
              <w:rPr>
                <w:rFonts w:ascii="Palatino Linotype" w:eastAsia="Palatino Linotype" w:hAnsi="Palatino Linotype" w:cs="Palatino Linotype"/>
                <w:b/>
                <w:color w:val="000000"/>
                <w:u w:val="single"/>
              </w:rPr>
              <w:t>el acto reúna con los requisitos elementales</w:t>
            </w:r>
            <w:r w:rsidRPr="003D6833">
              <w:rPr>
                <w:rFonts w:ascii="Palatino Linotype" w:eastAsia="Palatino Linotype" w:hAnsi="Palatino Linotype" w:cs="Palatino Linotype"/>
                <w:color w:val="000000"/>
              </w:rPr>
              <w:t>, entre ellos, que la autoridad que va a emitir el acto de autoridad sea la legalmente facultada para ello.</w:t>
            </w:r>
          </w:p>
          <w:p w:rsidR="003B4C14" w:rsidRPr="003D6833" w:rsidRDefault="00E3050A">
            <w:pPr>
              <w:tabs>
                <w:tab w:val="left" w:pos="284"/>
              </w:tabs>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color w:val="00000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B4C14" w:rsidRPr="003D6833">
        <w:tc>
          <w:tcPr>
            <w:tcW w:w="2689" w:type="dxa"/>
            <w:tcBorders>
              <w:top w:val="single" w:sz="4" w:space="0" w:color="BFBFBF"/>
              <w:left w:val="single" w:sz="4" w:space="0" w:color="BFBFBF"/>
              <w:bottom w:val="single" w:sz="4" w:space="0" w:color="BFBFBF"/>
              <w:right w:val="single" w:sz="4" w:space="0" w:color="BFBFBF"/>
            </w:tcBorders>
          </w:tcPr>
          <w:p w:rsidR="003B4C14" w:rsidRPr="003D6833" w:rsidRDefault="003B4C14">
            <w:pPr>
              <w:tabs>
                <w:tab w:val="left" w:pos="284"/>
              </w:tabs>
              <w:spacing w:line="360" w:lineRule="auto"/>
              <w:rPr>
                <w:rFonts w:ascii="Palatino Linotype" w:eastAsia="Palatino Linotype" w:hAnsi="Palatino Linotype" w:cs="Palatino Linotype"/>
                <w:b/>
              </w:rPr>
            </w:pPr>
          </w:p>
          <w:p w:rsidR="003B4C14" w:rsidRPr="003D6833" w:rsidRDefault="00E3050A">
            <w:pPr>
              <w:tabs>
                <w:tab w:val="left" w:pos="284"/>
              </w:tabs>
              <w:spacing w:line="360" w:lineRule="auto"/>
              <w:jc w:val="both"/>
              <w:rPr>
                <w:rFonts w:ascii="Palatino Linotype" w:eastAsia="Palatino Linotype" w:hAnsi="Palatino Linotype" w:cs="Palatino Linotype"/>
                <w:b/>
              </w:rPr>
            </w:pPr>
            <w:r w:rsidRPr="003D6833">
              <w:rPr>
                <w:rFonts w:ascii="Palatino Linotype" w:eastAsia="Palatino Linotype" w:hAnsi="Palatino Linotype" w:cs="Palatino Linotype"/>
                <w:b/>
                <w:color w:val="000000"/>
              </w:rPr>
              <w:t xml:space="preserve">d) Requisitos de fondo del acuerdo de clasificación. </w:t>
            </w:r>
          </w:p>
        </w:tc>
        <w:tc>
          <w:tcPr>
            <w:tcW w:w="6521" w:type="dxa"/>
            <w:tcBorders>
              <w:top w:val="single" w:sz="4" w:space="0" w:color="BFBFBF"/>
              <w:left w:val="single" w:sz="4" w:space="0" w:color="BFBFBF"/>
              <w:bottom w:val="single" w:sz="4" w:space="0" w:color="BFBFBF"/>
              <w:right w:val="single" w:sz="4" w:space="0" w:color="BFBFBF"/>
            </w:tcBorders>
          </w:tcPr>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D6833">
              <w:rPr>
                <w:rFonts w:ascii="Palatino Linotype" w:eastAsia="Palatino Linotype" w:hAnsi="Palatino Linotype" w:cs="Palatino Linotype"/>
                <w:b/>
                <w:color w:val="000000"/>
              </w:rPr>
              <w:t>Sujetos Obligados</w:t>
            </w:r>
            <w:r w:rsidRPr="003D6833">
              <w:rPr>
                <w:rFonts w:ascii="Palatino Linotype" w:eastAsia="Palatino Linotype" w:hAnsi="Palatino Linotype" w:cs="Palatino Linotype"/>
                <w:color w:val="000000"/>
              </w:rPr>
              <w:t xml:space="preserve">, por lo que deberán fundar y motivar debidamente la clasificación. </w:t>
            </w:r>
          </w:p>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De lo anterior, se desprende que para una correcta </w:t>
            </w:r>
            <w:r w:rsidRPr="003D6833">
              <w:rPr>
                <w:rFonts w:ascii="Palatino Linotype" w:eastAsia="Palatino Linotype" w:hAnsi="Palatino Linotype" w:cs="Palatino Linotype"/>
                <w:b/>
                <w:color w:val="000000"/>
              </w:rPr>
              <w:t>clasificación total o parcial</w:t>
            </w:r>
            <w:r w:rsidRPr="003D6833">
              <w:rPr>
                <w:rFonts w:ascii="Palatino Linotype" w:eastAsia="Palatino Linotype" w:hAnsi="Palatino Linotype" w:cs="Palatino Linotype"/>
                <w:color w:val="000000"/>
              </w:rPr>
              <w:t xml:space="preserve">, esto es determinar los datos que se suprimen en las versiones públicas, es necesario </w:t>
            </w:r>
            <w:r w:rsidRPr="003D6833">
              <w:rPr>
                <w:rFonts w:ascii="Palatino Linotype" w:eastAsia="Palatino Linotype" w:hAnsi="Palatino Linotype" w:cs="Palatino Linotype"/>
                <w:color w:val="000000"/>
              </w:rPr>
              <w:lastRenderedPageBreak/>
              <w:t>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lastRenderedPageBreak/>
              <w:t xml:space="preserve">Ahora bien, </w:t>
            </w:r>
            <w:r w:rsidRPr="003D6833">
              <w:rPr>
                <w:rFonts w:ascii="Palatino Linotype" w:eastAsia="Palatino Linotype" w:hAnsi="Palatino Linotype" w:cs="Palatino Linotype"/>
                <w:b/>
                <w:color w:val="000000"/>
                <w:u w:val="single"/>
              </w:rPr>
              <w:t>para cada caso además de fundar y motivar</w:t>
            </w:r>
            <w:r w:rsidRPr="003D6833">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B4C14" w:rsidRPr="003D6833">
        <w:tc>
          <w:tcPr>
            <w:tcW w:w="2689" w:type="dxa"/>
            <w:tcBorders>
              <w:top w:val="single" w:sz="4" w:space="0" w:color="BFBFBF"/>
              <w:left w:val="single" w:sz="4" w:space="0" w:color="BFBFBF"/>
              <w:bottom w:val="single" w:sz="4" w:space="0" w:color="BFBFBF"/>
              <w:right w:val="single" w:sz="4" w:space="0" w:color="BFBFBF"/>
            </w:tcBorders>
          </w:tcPr>
          <w:p w:rsidR="003B4C14" w:rsidRPr="003D6833" w:rsidRDefault="00E3050A">
            <w:pPr>
              <w:tabs>
                <w:tab w:val="left" w:pos="284"/>
              </w:tabs>
              <w:spacing w:line="360" w:lineRule="auto"/>
              <w:ind w:right="49"/>
              <w:jc w:val="both"/>
              <w:rPr>
                <w:rFonts w:ascii="Palatino Linotype" w:eastAsia="Palatino Linotype" w:hAnsi="Palatino Linotype" w:cs="Palatino Linotype"/>
                <w:b/>
              </w:rPr>
            </w:pPr>
            <w:r w:rsidRPr="003D6833">
              <w:rPr>
                <w:rFonts w:ascii="Palatino Linotype" w:eastAsia="Palatino Linotype" w:hAnsi="Palatino Linotype" w:cs="Palatino Linotype"/>
                <w:b/>
              </w:rPr>
              <w:lastRenderedPageBreak/>
              <w:t xml:space="preserve">e) Condiciones especiales de la clasificación de la información como confidencial. </w:t>
            </w:r>
          </w:p>
        </w:tc>
        <w:tc>
          <w:tcPr>
            <w:tcW w:w="6521" w:type="dxa"/>
            <w:tcBorders>
              <w:top w:val="single" w:sz="4" w:space="0" w:color="BFBFBF"/>
              <w:left w:val="single" w:sz="4" w:space="0" w:color="BFBFBF"/>
              <w:bottom w:val="single" w:sz="4" w:space="0" w:color="BFBFBF"/>
              <w:right w:val="single" w:sz="4" w:space="0" w:color="BFBFBF"/>
            </w:tcBorders>
          </w:tcPr>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284"/>
              </w:tabs>
              <w:spacing w:line="360" w:lineRule="auto"/>
              <w:ind w:right="49"/>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B4C14" w:rsidRPr="003D6833" w:rsidRDefault="003B4C14">
            <w:pPr>
              <w:tabs>
                <w:tab w:val="left" w:pos="284"/>
              </w:tabs>
              <w:spacing w:line="360" w:lineRule="auto"/>
              <w:ind w:right="49"/>
              <w:jc w:val="both"/>
              <w:rPr>
                <w:rFonts w:ascii="Palatino Linotype" w:eastAsia="Palatino Linotype" w:hAnsi="Palatino Linotype" w:cs="Palatino Linotype"/>
                <w:color w:val="000000"/>
              </w:rPr>
            </w:pPr>
          </w:p>
          <w:p w:rsidR="003B4C14" w:rsidRPr="003D6833" w:rsidRDefault="00E3050A">
            <w:pPr>
              <w:tabs>
                <w:tab w:val="left" w:pos="284"/>
              </w:tabs>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B4C14" w:rsidRPr="003D6833" w:rsidRDefault="003B4C14">
      <w:pPr>
        <w:tabs>
          <w:tab w:val="left" w:pos="284"/>
        </w:tabs>
        <w:spacing w:line="360" w:lineRule="auto"/>
        <w:rPr>
          <w:rFonts w:ascii="Palatino Linotype" w:eastAsia="Palatino Linotype" w:hAnsi="Palatino Linotype" w:cs="Palatino Linotype"/>
          <w:color w:val="000000"/>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 xml:space="preserve">Si el </w:t>
      </w:r>
      <w:r w:rsidRPr="003D6833">
        <w:rPr>
          <w:rFonts w:ascii="Palatino Linotype" w:eastAsia="Palatino Linotype" w:hAnsi="Palatino Linotype" w:cs="Palatino Linotype"/>
          <w:color w:val="000000"/>
        </w:rPr>
        <w:t>servidor</w:t>
      </w:r>
      <w:r w:rsidRPr="003D6833">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w:t>
      </w:r>
      <w:r w:rsidRPr="003D6833">
        <w:rPr>
          <w:rFonts w:ascii="Palatino Linotype" w:eastAsia="Palatino Linotype" w:hAnsi="Palatino Linotype" w:cs="Palatino Linotype"/>
          <w:color w:val="000000"/>
        </w:rPr>
        <w:t>establecidas</w:t>
      </w:r>
      <w:r w:rsidRPr="003D6833">
        <w:rPr>
          <w:rFonts w:ascii="Palatino Linotype" w:eastAsia="Palatino Linotype" w:hAnsi="Palatino Linotype" w:cs="Palatino Linotype"/>
        </w:rPr>
        <w:t>, asimismo que si entrega un documento testado sin el debido acuerdo de clasificación.</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numPr>
          <w:ilvl w:val="0"/>
          <w:numId w:val="19"/>
        </w:numPr>
        <w:spacing w:line="360" w:lineRule="auto"/>
        <w:jc w:val="both"/>
      </w:pPr>
      <w:r w:rsidRPr="003D6833">
        <w:rPr>
          <w:rFonts w:ascii="Palatino Linotype" w:eastAsia="Palatino Linotype" w:hAnsi="Palatino Linotype" w:cs="Palatino Linotype"/>
          <w:b/>
        </w:rPr>
        <w:t>Clave Única de Registro de Población (CURP)</w:t>
      </w:r>
    </w:p>
    <w:p w:rsidR="003B4C14" w:rsidRPr="003D6833" w:rsidRDefault="00E3050A" w:rsidP="003D6833">
      <w:pPr>
        <w:numPr>
          <w:ilvl w:val="0"/>
          <w:numId w:val="5"/>
        </w:numPr>
        <w:spacing w:line="360" w:lineRule="auto"/>
        <w:ind w:left="426"/>
        <w:jc w:val="both"/>
      </w:pPr>
      <w:r w:rsidRPr="003D6833">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993" w:hanging="851"/>
        <w:jc w:val="both"/>
      </w:pPr>
      <w:r w:rsidRPr="003D6833">
        <w:rPr>
          <w:rFonts w:ascii="Palatino Linotype" w:eastAsia="Palatino Linotype" w:hAnsi="Palatino Linotype" w:cs="Palatino Linotype"/>
        </w:rPr>
        <w:lastRenderedPageBreak/>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567"/>
        <w:jc w:val="both"/>
      </w:pPr>
      <w:r w:rsidRPr="003D6833">
        <w:rPr>
          <w:rFonts w:ascii="Palatino Linotype" w:eastAsia="Palatino Linotype" w:hAnsi="Palatino Linotype" w:cs="Palatino Linotype"/>
        </w:rPr>
        <w:t xml:space="preserve">En ese orden de ideas, la Secretaría de Gobernación en las direcciones https://consultas.curp.gob.mx/CurpSP/html/informacionecurpPS.html y </w:t>
      </w:r>
      <w:hyperlink r:id="rId11">
        <w:r w:rsidRPr="003D6833">
          <w:rPr>
            <w:rFonts w:ascii="Palatino Linotype" w:eastAsia="Palatino Linotype" w:hAnsi="Palatino Linotype" w:cs="Palatino Linotype"/>
            <w:color w:val="0563C1"/>
            <w:u w:val="single"/>
          </w:rPr>
          <w:t>https://www.gob.mx/segob/renapo/acciones-y-programas/clave-unica-de-registro-de-poblacion-curp-142226</w:t>
        </w:r>
      </w:hyperlink>
      <w:r w:rsidRPr="003D6833">
        <w:rPr>
          <w:rFonts w:ascii="Palatino Linotype" w:eastAsia="Palatino Linotype" w:hAnsi="Palatino Linotype" w:cs="Palatino Linotype"/>
        </w:rPr>
        <w:t xml:space="preserve"> (consultadas el catorce de diciembre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3B4C14" w:rsidRPr="003D6833" w:rsidRDefault="00E3050A">
      <w:pPr>
        <w:spacing w:line="360" w:lineRule="auto"/>
        <w:ind w:left="567"/>
        <w:rPr>
          <w:rFonts w:ascii="Palatino Linotype" w:eastAsia="Palatino Linotype" w:hAnsi="Palatino Linotype" w:cs="Palatino Linotype"/>
          <w:sz w:val="22"/>
          <w:szCs w:val="22"/>
        </w:rPr>
      </w:pPr>
      <w:r w:rsidRPr="003D6833">
        <w:rPr>
          <w:rFonts w:ascii="Palatino Linotype" w:eastAsia="Palatino Linotype" w:hAnsi="Palatino Linotype" w:cs="Palatino Linotype"/>
        </w:rPr>
        <w:t>•</w:t>
      </w:r>
      <w:r w:rsidRPr="003D6833">
        <w:rPr>
          <w:rFonts w:ascii="Palatino Linotype" w:eastAsia="Palatino Linotype" w:hAnsi="Palatino Linotype" w:cs="Palatino Linotype"/>
          <w:sz w:val="22"/>
          <w:szCs w:val="22"/>
        </w:rPr>
        <w:tab/>
        <w:t>El primero y segundo apellidos, así como al nombre de pila;</w:t>
      </w:r>
    </w:p>
    <w:p w:rsidR="003B4C14" w:rsidRPr="003D6833" w:rsidRDefault="00E3050A">
      <w:pPr>
        <w:spacing w:line="360" w:lineRule="auto"/>
        <w:ind w:left="567"/>
        <w:rPr>
          <w:rFonts w:ascii="Palatino Linotype" w:eastAsia="Palatino Linotype" w:hAnsi="Palatino Linotype" w:cs="Palatino Linotype"/>
          <w:sz w:val="22"/>
          <w:szCs w:val="22"/>
        </w:rPr>
      </w:pPr>
      <w:r w:rsidRPr="003D6833">
        <w:rPr>
          <w:rFonts w:ascii="Palatino Linotype" w:eastAsia="Palatino Linotype" w:hAnsi="Palatino Linotype" w:cs="Palatino Linotype"/>
          <w:sz w:val="22"/>
          <w:szCs w:val="22"/>
        </w:rPr>
        <w:t>•</w:t>
      </w:r>
      <w:r w:rsidRPr="003D6833">
        <w:rPr>
          <w:rFonts w:ascii="Palatino Linotype" w:eastAsia="Palatino Linotype" w:hAnsi="Palatino Linotype" w:cs="Palatino Linotype"/>
          <w:sz w:val="22"/>
          <w:szCs w:val="22"/>
        </w:rPr>
        <w:tab/>
        <w:t>La fecha de nacimiento;</w:t>
      </w:r>
    </w:p>
    <w:p w:rsidR="003B4C14" w:rsidRPr="003D6833" w:rsidRDefault="00E3050A">
      <w:pPr>
        <w:spacing w:line="360" w:lineRule="auto"/>
        <w:ind w:left="567"/>
        <w:rPr>
          <w:rFonts w:ascii="Palatino Linotype" w:eastAsia="Palatino Linotype" w:hAnsi="Palatino Linotype" w:cs="Palatino Linotype"/>
          <w:sz w:val="22"/>
          <w:szCs w:val="22"/>
        </w:rPr>
      </w:pPr>
      <w:r w:rsidRPr="003D6833">
        <w:rPr>
          <w:rFonts w:ascii="Palatino Linotype" w:eastAsia="Palatino Linotype" w:hAnsi="Palatino Linotype" w:cs="Palatino Linotype"/>
          <w:sz w:val="22"/>
          <w:szCs w:val="22"/>
        </w:rPr>
        <w:t>•</w:t>
      </w:r>
      <w:r w:rsidRPr="003D6833">
        <w:rPr>
          <w:rFonts w:ascii="Palatino Linotype" w:eastAsia="Palatino Linotype" w:hAnsi="Palatino Linotype" w:cs="Palatino Linotype"/>
          <w:sz w:val="22"/>
          <w:szCs w:val="22"/>
        </w:rPr>
        <w:tab/>
        <w:t>El sexo, y</w:t>
      </w:r>
    </w:p>
    <w:p w:rsidR="003B4C14" w:rsidRPr="003D6833" w:rsidRDefault="00E3050A">
      <w:pPr>
        <w:spacing w:line="360" w:lineRule="auto"/>
        <w:ind w:left="567"/>
        <w:rPr>
          <w:rFonts w:ascii="Palatino Linotype" w:eastAsia="Palatino Linotype" w:hAnsi="Palatino Linotype" w:cs="Palatino Linotype"/>
          <w:b/>
          <w:sz w:val="22"/>
          <w:szCs w:val="22"/>
        </w:rPr>
      </w:pPr>
      <w:r w:rsidRPr="003D6833">
        <w:rPr>
          <w:rFonts w:ascii="Palatino Linotype" w:eastAsia="Palatino Linotype" w:hAnsi="Palatino Linotype" w:cs="Palatino Linotype"/>
          <w:sz w:val="22"/>
          <w:szCs w:val="22"/>
        </w:rPr>
        <w:lastRenderedPageBreak/>
        <w:t>•</w:t>
      </w:r>
      <w:r w:rsidRPr="003D6833">
        <w:rPr>
          <w:rFonts w:ascii="Palatino Linotype" w:eastAsia="Palatino Linotype" w:hAnsi="Palatino Linotype" w:cs="Palatino Linotype"/>
          <w:sz w:val="22"/>
          <w:szCs w:val="22"/>
        </w:rPr>
        <w:tab/>
      </w:r>
      <w:r w:rsidRPr="003D6833">
        <w:rPr>
          <w:rFonts w:ascii="Palatino Linotype" w:eastAsia="Palatino Linotype" w:hAnsi="Palatino Linotype" w:cs="Palatino Linotype"/>
          <w:b/>
          <w:sz w:val="22"/>
          <w:szCs w:val="22"/>
        </w:rPr>
        <w:t>La entidad federativa de nacimiento.</w:t>
      </w:r>
    </w:p>
    <w:p w:rsidR="003B4C14" w:rsidRPr="003D6833" w:rsidRDefault="003B4C14">
      <w:pPr>
        <w:spacing w:line="360" w:lineRule="auto"/>
        <w:ind w:left="567"/>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142"/>
        <w:jc w:val="both"/>
      </w:pPr>
      <w:r w:rsidRPr="003D6833">
        <w:rPr>
          <w:rFonts w:ascii="Palatino Linotype" w:eastAsia="Palatino Linotype" w:hAnsi="Palatino Linotype" w:cs="Palatino Linotype"/>
        </w:rPr>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3B4C14" w:rsidRPr="003D6833" w:rsidRDefault="00E3050A" w:rsidP="003D6833">
      <w:pPr>
        <w:numPr>
          <w:ilvl w:val="0"/>
          <w:numId w:val="5"/>
        </w:numPr>
        <w:spacing w:line="360" w:lineRule="auto"/>
        <w:ind w:left="142"/>
        <w:jc w:val="both"/>
      </w:pPr>
      <w:r w:rsidRPr="003D6833">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rsidR="003B4C14" w:rsidRPr="003D6833" w:rsidRDefault="003B4C14">
      <w:pPr>
        <w:spacing w:line="360" w:lineRule="auto"/>
        <w:rPr>
          <w:rFonts w:ascii="Palatino Linotype" w:eastAsia="Palatino Linotype" w:hAnsi="Palatino Linotype" w:cs="Palatino Linotype"/>
          <w:sz w:val="22"/>
          <w:szCs w:val="22"/>
        </w:rPr>
      </w:pPr>
    </w:p>
    <w:p w:rsidR="003B4C14" w:rsidRPr="003D6833" w:rsidRDefault="00E3050A">
      <w:pPr>
        <w:spacing w:line="360" w:lineRule="auto"/>
        <w:ind w:left="567"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 xml:space="preserve">“Clave Única de Registro de Población (CURP). </w:t>
      </w:r>
      <w:r w:rsidRPr="003D6833">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3B4C14" w:rsidRPr="003D6833" w:rsidRDefault="003B4C14">
      <w:pPr>
        <w:spacing w:line="360" w:lineRule="auto"/>
        <w:rPr>
          <w:rFonts w:ascii="Palatino Linotype" w:eastAsia="Palatino Linotype" w:hAnsi="Palatino Linotype" w:cs="Palatino Linotype"/>
          <w:sz w:val="22"/>
          <w:szCs w:val="22"/>
        </w:rPr>
      </w:pPr>
    </w:p>
    <w:p w:rsidR="003B4C14" w:rsidRPr="003D6833" w:rsidRDefault="00E3050A" w:rsidP="003D6833">
      <w:pPr>
        <w:numPr>
          <w:ilvl w:val="0"/>
          <w:numId w:val="5"/>
        </w:numPr>
        <w:spacing w:line="360" w:lineRule="auto"/>
        <w:ind w:left="284"/>
        <w:jc w:val="both"/>
      </w:pPr>
      <w:r w:rsidRPr="003D6833">
        <w:rPr>
          <w:rFonts w:ascii="Palatino Linotype" w:eastAsia="Palatino Linotype" w:hAnsi="Palatino Linotype" w:cs="Palatino Linotype"/>
        </w:rPr>
        <w:lastRenderedPageBreak/>
        <w:t xml:space="preserve">De acuerdo con lo anterior, resulta procedente la clasificación de </w:t>
      </w:r>
      <w:r w:rsidRPr="003D6833">
        <w:rPr>
          <w:rFonts w:ascii="Palatino Linotype" w:eastAsia="Palatino Linotype" w:hAnsi="Palatino Linotype" w:cs="Palatino Linotype"/>
          <w:b/>
        </w:rPr>
        <w:t>la Clave Única de Registro de Población</w:t>
      </w:r>
      <w:r w:rsidRPr="003D6833">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numPr>
          <w:ilvl w:val="0"/>
          <w:numId w:val="2"/>
        </w:numPr>
        <w:spacing w:line="360" w:lineRule="auto"/>
        <w:jc w:val="both"/>
        <w:rPr>
          <w:b/>
        </w:rPr>
      </w:pPr>
      <w:r w:rsidRPr="003D6833">
        <w:rPr>
          <w:rFonts w:ascii="Palatino Linotype" w:eastAsia="Palatino Linotype" w:hAnsi="Palatino Linotype" w:cs="Palatino Linotype"/>
          <w:b/>
        </w:rPr>
        <w:t xml:space="preserve">Código bidimensional o </w:t>
      </w:r>
      <w:proofErr w:type="spellStart"/>
      <w:r w:rsidRPr="003D6833">
        <w:rPr>
          <w:rFonts w:ascii="Palatino Linotype" w:eastAsia="Palatino Linotype" w:hAnsi="Palatino Linotype" w:cs="Palatino Linotype"/>
          <w:b/>
        </w:rPr>
        <w:t>Qr</w:t>
      </w:r>
      <w:proofErr w:type="spellEnd"/>
    </w:p>
    <w:p w:rsidR="003B4C14" w:rsidRPr="003D6833" w:rsidRDefault="00E3050A" w:rsidP="003D6833">
      <w:pPr>
        <w:numPr>
          <w:ilvl w:val="0"/>
          <w:numId w:val="5"/>
        </w:numPr>
        <w:spacing w:line="360" w:lineRule="auto"/>
        <w:ind w:left="426"/>
        <w:jc w:val="both"/>
      </w:pPr>
      <w:r w:rsidRPr="003D6833">
        <w:rPr>
          <w:rFonts w:ascii="Palatino Linotype" w:eastAsia="Palatino Linotype" w:hAnsi="Palatino Linotype" w:cs="Palatino Linotype"/>
        </w:rPr>
        <w:t xml:space="preserve">En principio, resulta necesario señalar que los comprobantes fiscales digitales por Internet, deben de incluir un código bidimensional conforme al formato QR </w:t>
      </w:r>
      <w:proofErr w:type="spellStart"/>
      <w:r w:rsidRPr="003D6833">
        <w:rPr>
          <w:rFonts w:ascii="Palatino Linotype" w:eastAsia="Palatino Linotype" w:hAnsi="Palatino Linotype" w:cs="Palatino Linotype"/>
        </w:rPr>
        <w:t>Code</w:t>
      </w:r>
      <w:proofErr w:type="spellEnd"/>
      <w:r w:rsidRPr="003D6833">
        <w:rPr>
          <w:rFonts w:ascii="Palatino Linotype" w:eastAsia="Palatino Linotype" w:hAnsi="Palatino Linotype" w:cs="Palatino Linotype"/>
        </w:rPr>
        <w:t xml:space="preserve"> (Quick Response </w:t>
      </w:r>
      <w:proofErr w:type="spellStart"/>
      <w:r w:rsidRPr="003D6833">
        <w:rPr>
          <w:rFonts w:ascii="Palatino Linotype" w:eastAsia="Palatino Linotype" w:hAnsi="Palatino Linotype" w:cs="Palatino Linotype"/>
        </w:rPr>
        <w:t>Code</w:t>
      </w:r>
      <w:proofErr w:type="spellEnd"/>
      <w:r w:rsidRPr="003D6833">
        <w:rPr>
          <w:rFonts w:ascii="Palatino Linotype" w:eastAsia="Palatino Linotype" w:hAnsi="Palatino Linotype" w:cs="Palatino Linotype"/>
        </w:rPr>
        <w:t>), el cual contiene el Registro Federal de Contribuyentes del receptor, del emisor, o de ambos; lo anterior, conforme al Anexo 20 de la Segunda Resolución de modificación a la Resolución Miscelánea Fiscal para el 2017, localizada en la página electrónica  http://dof.gob.mx/nota_detalle.php?codigo=5492254&amp;fecha=28/07/2017. Incluso con la captura de dicho código, a través de la aplicación móvil del Servicio de Administración Tributaria, permite el acceso al Registro Federal de Contribuyentes, como del Sujeto Obligado, como de los servidores públicos.</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426"/>
        <w:jc w:val="both"/>
      </w:pPr>
      <w:r w:rsidRPr="003D6833">
        <w:rPr>
          <w:rFonts w:ascii="Palatino Linotype" w:eastAsia="Palatino Linotype" w:hAnsi="Palatino Linotype" w:cs="Palatino Linotype"/>
        </w:rPr>
        <w:t xml:space="preserve">De tales circunstancias, se considera que dicho dato actualiza la causal de clasificación prevista en el artículo 143, fracción I de la Ley de la materia, toda vez </w:t>
      </w:r>
      <w:r w:rsidRPr="003D6833">
        <w:rPr>
          <w:rFonts w:ascii="Palatino Linotype" w:eastAsia="Palatino Linotype" w:hAnsi="Palatino Linotype" w:cs="Palatino Linotype"/>
        </w:rPr>
        <w:lastRenderedPageBreak/>
        <w:t>que da acceso al Registro Federal de Contribuyentes de los servidores públicos del Sujeto Obligado, datos que tal como se señaló previamente, son clasificados.</w:t>
      </w:r>
    </w:p>
    <w:p w:rsidR="003B4C14" w:rsidRPr="003D6833" w:rsidRDefault="003B4C14">
      <w:pPr>
        <w:spacing w:line="360" w:lineRule="auto"/>
        <w:rPr>
          <w:rFonts w:ascii="Palatino Linotype" w:eastAsia="Palatino Linotype" w:hAnsi="Palatino Linotype" w:cs="Palatino Linotype"/>
          <w:sz w:val="22"/>
          <w:szCs w:val="22"/>
        </w:rPr>
      </w:pPr>
    </w:p>
    <w:p w:rsidR="003B4C14" w:rsidRPr="003D6833" w:rsidRDefault="00E3050A">
      <w:pPr>
        <w:numPr>
          <w:ilvl w:val="0"/>
          <w:numId w:val="3"/>
        </w:numPr>
        <w:spacing w:line="360" w:lineRule="auto"/>
        <w:jc w:val="both"/>
        <w:rPr>
          <w:b/>
        </w:rPr>
      </w:pPr>
      <w:r w:rsidRPr="003D6833">
        <w:rPr>
          <w:rFonts w:ascii="Palatino Linotype" w:eastAsia="Palatino Linotype" w:hAnsi="Palatino Linotype" w:cs="Palatino Linotype"/>
          <w:b/>
        </w:rPr>
        <w:t>Número de seguridad social del Instituto de Seguridad Social del Estado de México y Municipios</w:t>
      </w:r>
    </w:p>
    <w:p w:rsidR="003B4C14" w:rsidRPr="003D6833" w:rsidRDefault="003B4C14">
      <w:pPr>
        <w:spacing w:line="360" w:lineRule="auto"/>
        <w:rPr>
          <w:rFonts w:ascii="Palatino Linotype" w:eastAsia="Palatino Linotype" w:hAnsi="Palatino Linotype" w:cs="Palatino Linotype"/>
          <w:sz w:val="22"/>
          <w:szCs w:val="22"/>
        </w:rPr>
      </w:pPr>
    </w:p>
    <w:p w:rsidR="003B4C14" w:rsidRPr="003D6833" w:rsidRDefault="00E3050A" w:rsidP="003D6833">
      <w:pPr>
        <w:numPr>
          <w:ilvl w:val="0"/>
          <w:numId w:val="5"/>
        </w:numPr>
        <w:spacing w:line="360" w:lineRule="auto"/>
        <w:ind w:left="284"/>
        <w:jc w:val="both"/>
      </w:pPr>
      <w:r w:rsidRPr="003D6833">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284" w:hanging="142"/>
        <w:jc w:val="both"/>
      </w:pPr>
      <w:r w:rsidRPr="003D6833">
        <w:rPr>
          <w:rFonts w:ascii="Palatino Linotype" w:eastAsia="Palatino Linotype" w:hAnsi="Palatino Linotype" w:cs="Palatino Linotype"/>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w:t>
      </w:r>
      <w:r w:rsidRPr="003D6833">
        <w:rPr>
          <w:rFonts w:ascii="Palatino Linotype" w:eastAsia="Palatino Linotype" w:hAnsi="Palatino Linotype" w:cs="Palatino Linotype"/>
        </w:rPr>
        <w:lastRenderedPageBreak/>
        <w:t>personales y se le asigna una clave para hacer identificable al trabajador con el objetivo de poder proporcionar los servicios que brinda el Instituto de Seguridad Social del Estado de México y Municipios.</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284"/>
        <w:jc w:val="both"/>
      </w:pPr>
      <w:r w:rsidRPr="003D6833">
        <w:rPr>
          <w:rFonts w:ascii="Palatino Linotype" w:eastAsia="Palatino Linotype" w:hAnsi="Palatino Linotype" w:cs="Palatino Linotype"/>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284"/>
        <w:jc w:val="both"/>
      </w:pPr>
      <w:r w:rsidRPr="003D6833">
        <w:rPr>
          <w:rFonts w:ascii="Palatino Linotype" w:eastAsia="Palatino Linotype" w:hAnsi="Palatino Linotype" w:cs="Palatino Linotype"/>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numPr>
          <w:ilvl w:val="0"/>
          <w:numId w:val="5"/>
        </w:numPr>
        <w:spacing w:line="360" w:lineRule="auto"/>
        <w:ind w:left="426"/>
      </w:pPr>
      <w:r w:rsidRPr="003D6833">
        <w:rPr>
          <w:rFonts w:ascii="Palatino Linotype" w:eastAsia="Palatino Linotype" w:hAnsi="Palatino Linotype" w:cs="Palatino Linotype"/>
          <w:b/>
        </w:rPr>
        <w:t>Número de empleado.</w:t>
      </w:r>
    </w:p>
    <w:p w:rsidR="003B4C14" w:rsidRPr="003D6833" w:rsidRDefault="00E3050A">
      <w:pPr>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rPr>
        <w:lastRenderedPageBreak/>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0"/>
        <w:jc w:val="both"/>
      </w:pPr>
      <w:r w:rsidRPr="003D6833">
        <w:rPr>
          <w:rFonts w:ascii="Palatino Linotype" w:eastAsia="Palatino Linotype" w:hAnsi="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0"/>
        <w:jc w:val="both"/>
      </w:pPr>
      <w:r w:rsidRPr="003D6833">
        <w:rPr>
          <w:rFonts w:ascii="Palatino Linotype" w:eastAsia="Palatino Linotype" w:hAnsi="Palatino Linotype" w:cs="Palatino Linotype"/>
        </w:rPr>
        <w:t>Lo anterior, toma sustento en el Criterio de Interpretación, de la Segunda Época, con número de registro SO/006/2019, emitido por el Instituto Nacional de Transparencia, Acceso a la Información y Protección de Datos Personales, que establece lo siguiente:</w:t>
      </w:r>
    </w:p>
    <w:p w:rsidR="003B4C14" w:rsidRPr="003D6833" w:rsidRDefault="003B4C14">
      <w:pPr>
        <w:spacing w:line="360" w:lineRule="auto"/>
        <w:jc w:val="both"/>
        <w:rPr>
          <w:rFonts w:ascii="Palatino Linotype" w:eastAsia="Palatino Linotype" w:hAnsi="Palatino Linotype" w:cs="Palatino Linotype"/>
          <w:sz w:val="22"/>
          <w:szCs w:val="22"/>
        </w:rPr>
      </w:pPr>
    </w:p>
    <w:p w:rsidR="003B4C14" w:rsidRPr="003D6833" w:rsidRDefault="00E3050A">
      <w:pPr>
        <w:spacing w:line="360" w:lineRule="auto"/>
        <w:ind w:left="567" w:right="567"/>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 xml:space="preserve">“Número de empleado. </w:t>
      </w:r>
      <w:r w:rsidRPr="003D6833">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0"/>
        <w:jc w:val="both"/>
      </w:pPr>
      <w:r w:rsidRPr="003D6833">
        <w:rPr>
          <w:rFonts w:ascii="Palatino Linotype" w:eastAsia="Palatino Linotype" w:hAnsi="Palatino Linotype" w:cs="Palatino Linotype"/>
        </w:rPr>
        <w:t>Conforme a lo anterior, se advierte que solamente procederá la clasificación del número de empleado, cuando se integre con datos personales de los servidores públicos o funcione como clave de acceso que no requiera una contraseña para ingresar a sistemas o bases de datos. De tales circunstancias y toda vez que el Sujeto Obligado no precisó como se conformaba el número de empleado, se considera que deberá proporcionarlo,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0" w:hanging="142"/>
        <w:jc w:val="both"/>
      </w:pPr>
      <w:r w:rsidRPr="003D6833">
        <w:rPr>
          <w:rFonts w:ascii="Palatino Linotype" w:eastAsia="Palatino Linotype" w:hAnsi="Palatino Linotype" w:cs="Palatino Linotype"/>
        </w:rPr>
        <w:t>Por lo tanto, resulta procedente clasificar dicho dato en términos del artículo 143, fracción I de la Ley de Transparencia y Acceso a la Información Pública del Estado de México y Municipios</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numPr>
          <w:ilvl w:val="0"/>
          <w:numId w:val="7"/>
        </w:numPr>
        <w:spacing w:line="360" w:lineRule="auto"/>
        <w:jc w:val="both"/>
        <w:rPr>
          <w:b/>
        </w:rPr>
      </w:pPr>
      <w:r w:rsidRPr="003D6833">
        <w:rPr>
          <w:rFonts w:ascii="Palatino Linotype" w:eastAsia="Palatino Linotype" w:hAnsi="Palatino Linotype" w:cs="Palatino Linotype"/>
          <w:b/>
        </w:rPr>
        <w:t>Descuentos personales</w:t>
      </w:r>
    </w:p>
    <w:p w:rsidR="003B4C14" w:rsidRPr="003D6833" w:rsidRDefault="00E3050A" w:rsidP="003D6833">
      <w:pPr>
        <w:numPr>
          <w:ilvl w:val="0"/>
          <w:numId w:val="5"/>
        </w:numPr>
        <w:spacing w:line="360" w:lineRule="auto"/>
        <w:ind w:left="284"/>
        <w:jc w:val="both"/>
      </w:pPr>
      <w:r w:rsidRPr="003D6833">
        <w:rPr>
          <w:rFonts w:ascii="Palatino Linotype" w:eastAsia="Palatino Linotype" w:hAnsi="Palatino Linotype" w:cs="Palatino Linotype"/>
        </w:rPr>
        <w:t xml:space="preserve">Es necesario precisar que existen deducciones que se generan con motivo de una decisión libre y voluntaria de los servidores públicos, como son: créditos personales, cuotas sindicales y fondo de resistencia del Sindicato Único de Trabajadores de los </w:t>
      </w:r>
      <w:r w:rsidRPr="003D6833">
        <w:rPr>
          <w:rFonts w:ascii="Palatino Linotype" w:eastAsia="Palatino Linotype" w:hAnsi="Palatino Linotype" w:cs="Palatino Linotype"/>
        </w:rPr>
        <w:lastRenderedPageBreak/>
        <w:t>Poderes, Municipios e Institución Descentralizadas del Estado de México, seguro de vida, accidentes y enfermedades.</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284"/>
        <w:jc w:val="both"/>
      </w:pPr>
      <w:r w:rsidRPr="003D6833">
        <w:rPr>
          <w:rFonts w:ascii="Palatino Linotype" w:eastAsia="Palatino Linotype" w:hAnsi="Palatino Linotype" w:cs="Palatino Linotype"/>
        </w:rPr>
        <w:t xml:space="preserve">Asimismo, hay otras que se generan con motivo de una sentencia judicial, como es la pensión alimenticia que periódicamente se retira de la cuenta de un empleado, a efecto de que sea entregado a un tercero.  </w:t>
      </w:r>
    </w:p>
    <w:p w:rsidR="003B4C14" w:rsidRPr="003D6833" w:rsidRDefault="003B4C14">
      <w:pPr>
        <w:spacing w:line="360" w:lineRule="auto"/>
        <w:ind w:left="720"/>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0" w:firstLine="0"/>
        <w:jc w:val="both"/>
      </w:pPr>
      <w:r w:rsidRPr="003D6833">
        <w:rPr>
          <w:rFonts w:ascii="Palatino Linotype" w:eastAsia="Palatino Linotype" w:hAnsi="Palatino Linotype" w:cs="Palatino Linotype"/>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0"/>
        <w:jc w:val="both"/>
      </w:pPr>
      <w:r w:rsidRPr="003D6833">
        <w:rPr>
          <w:rFonts w:ascii="Palatino Linotype" w:eastAsia="Palatino Linotype" w:hAnsi="Palatino Linotype" w:cs="Palatino Linotype"/>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rsidR="003B4C14" w:rsidRPr="003D6833" w:rsidRDefault="003B4C14">
      <w:pPr>
        <w:spacing w:line="360" w:lineRule="auto"/>
        <w:ind w:left="567" w:right="539"/>
        <w:rPr>
          <w:rFonts w:ascii="Palatino Linotype" w:eastAsia="Palatino Linotype" w:hAnsi="Palatino Linotype" w:cs="Palatino Linotype"/>
          <w:b/>
        </w:rPr>
      </w:pPr>
    </w:p>
    <w:p w:rsidR="003B4C14" w:rsidRPr="003D6833" w:rsidRDefault="00E3050A">
      <w:pPr>
        <w:numPr>
          <w:ilvl w:val="0"/>
          <w:numId w:val="8"/>
        </w:numPr>
        <w:spacing w:line="360" w:lineRule="auto"/>
        <w:ind w:right="539"/>
        <w:jc w:val="both"/>
        <w:rPr>
          <w:b/>
          <w:sz w:val="22"/>
          <w:szCs w:val="22"/>
        </w:rPr>
      </w:pPr>
      <w:r w:rsidRPr="003D6833">
        <w:rPr>
          <w:rFonts w:ascii="Palatino Linotype" w:eastAsia="Palatino Linotype" w:hAnsi="Palatino Linotype" w:cs="Palatino Linotype"/>
          <w:b/>
          <w:sz w:val="22"/>
          <w:szCs w:val="22"/>
        </w:rPr>
        <w:lastRenderedPageBreak/>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426"/>
        <w:jc w:val="both"/>
      </w:pPr>
      <w:r w:rsidRPr="003D6833">
        <w:rPr>
          <w:rFonts w:ascii="Palatino Linotype" w:eastAsia="Palatino Linotype" w:hAnsi="Palatino Linotype" w:cs="Palatino Linotype"/>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284"/>
        <w:jc w:val="both"/>
      </w:pPr>
      <w:r w:rsidRPr="003D6833">
        <w:rPr>
          <w:rFonts w:ascii="Palatino Linotype" w:eastAsia="Palatino Linotype" w:hAnsi="Palatino Linotype" w:cs="Palatino Linotype"/>
        </w:rPr>
        <w:t xml:space="preserve">Las cadenas originales y sellos que se agregan a las facturas, tienen una secuencia de generación, determinados con base en el ANEXO 20 de la Segunda Resolución de </w:t>
      </w:r>
      <w:r w:rsidRPr="003D6833">
        <w:rPr>
          <w:rFonts w:ascii="Palatino Linotype" w:eastAsia="Palatino Linotype" w:hAnsi="Palatino Linotype" w:cs="Palatino Linotype"/>
        </w:rPr>
        <w:lastRenderedPageBreak/>
        <w:t>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3B4C14" w:rsidRPr="003D6833" w:rsidRDefault="00E3050A">
      <w:pPr>
        <w:spacing w:line="360" w:lineRule="auto"/>
        <w:ind w:left="851"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p>
    <w:p w:rsidR="003B4C14" w:rsidRPr="003D6833" w:rsidRDefault="00E3050A">
      <w:pPr>
        <w:spacing w:line="360" w:lineRule="auto"/>
        <w:ind w:left="851"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Elementos utilizados en la generación de Sellos Digitales:</w:t>
      </w:r>
    </w:p>
    <w:p w:rsidR="003B4C14" w:rsidRPr="003D6833" w:rsidRDefault="00E3050A">
      <w:pPr>
        <w:spacing w:line="360" w:lineRule="auto"/>
        <w:ind w:left="851"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r w:rsidRPr="003D6833">
        <w:rPr>
          <w:rFonts w:ascii="Palatino Linotype" w:eastAsia="Palatino Linotype" w:hAnsi="Palatino Linotype" w:cs="Palatino Linotype"/>
          <w:i/>
          <w:sz w:val="22"/>
          <w:szCs w:val="22"/>
        </w:rPr>
        <w:tab/>
        <w:t>Cadena Original, el elemento a sellar, en este caso de un comprobante fiscal digital a través de Internet.</w:t>
      </w:r>
    </w:p>
    <w:p w:rsidR="003B4C14" w:rsidRPr="003D6833" w:rsidRDefault="00E3050A">
      <w:pPr>
        <w:spacing w:line="360" w:lineRule="auto"/>
        <w:ind w:left="851"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r w:rsidRPr="003D6833">
        <w:rPr>
          <w:rFonts w:ascii="Palatino Linotype" w:eastAsia="Palatino Linotype" w:hAnsi="Palatino Linotype" w:cs="Palatino Linotype"/>
          <w:i/>
          <w:sz w:val="22"/>
          <w:szCs w:val="22"/>
        </w:rPr>
        <w:tab/>
        <w:t>Certificado de Sello Digital y su correspondiente clave privada.</w:t>
      </w:r>
    </w:p>
    <w:p w:rsidR="003B4C14" w:rsidRPr="003D6833" w:rsidRDefault="00E3050A">
      <w:pPr>
        <w:spacing w:line="360" w:lineRule="auto"/>
        <w:ind w:left="851"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r w:rsidRPr="003D6833">
        <w:rPr>
          <w:rFonts w:ascii="Palatino Linotype" w:eastAsia="Palatino Linotype" w:hAnsi="Palatino Linotype" w:cs="Palatino Linotype"/>
          <w:i/>
          <w:sz w:val="22"/>
          <w:szCs w:val="22"/>
        </w:rPr>
        <w:tab/>
        <w:t>Algoritmos de criptografía de clave pública para firma electrónica avanzada.</w:t>
      </w:r>
    </w:p>
    <w:p w:rsidR="003B4C14" w:rsidRPr="003D6833" w:rsidRDefault="00E3050A">
      <w:pPr>
        <w:spacing w:line="360" w:lineRule="auto"/>
        <w:ind w:left="851"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r w:rsidRPr="003D6833">
        <w:rPr>
          <w:rFonts w:ascii="Palatino Linotype" w:eastAsia="Palatino Linotype" w:hAnsi="Palatino Linotype" w:cs="Palatino Linotype"/>
          <w:i/>
          <w:sz w:val="22"/>
          <w:szCs w:val="22"/>
        </w:rPr>
        <w:tab/>
        <w:t>Especificaciones de conversión de la firma electrónica avanzada a Base 64.</w:t>
      </w:r>
    </w:p>
    <w:p w:rsidR="003B4C14" w:rsidRPr="003D6833" w:rsidRDefault="00E3050A">
      <w:pPr>
        <w:spacing w:line="360" w:lineRule="auto"/>
        <w:ind w:left="851"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Para la generación de sellos digitales se utiliza criptografía de clave pública aplicada a una cadena original.</w:t>
      </w:r>
    </w:p>
    <w:p w:rsidR="003B4C14" w:rsidRPr="003D6833" w:rsidRDefault="00E3050A">
      <w:pPr>
        <w:spacing w:line="360" w:lineRule="auto"/>
        <w:ind w:left="851"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Criptografía de la Clave Pública</w:t>
      </w:r>
    </w:p>
    <w:p w:rsidR="003B4C14" w:rsidRPr="003D6833" w:rsidRDefault="00E3050A">
      <w:pPr>
        <w:spacing w:line="360" w:lineRule="auto"/>
        <w:ind w:left="851" w:right="539"/>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3B4C14" w:rsidRPr="003D6833" w:rsidRDefault="00E3050A">
      <w:pPr>
        <w:spacing w:line="360" w:lineRule="auto"/>
        <w:ind w:left="851"/>
        <w:jc w:val="both"/>
        <w:rPr>
          <w:rFonts w:ascii="Palatino Linotype" w:eastAsia="Palatino Linotype" w:hAnsi="Palatino Linotype" w:cs="Palatino Linotype"/>
          <w:sz w:val="22"/>
          <w:szCs w:val="22"/>
        </w:rPr>
      </w:pPr>
      <w:r w:rsidRPr="003D6833">
        <w:rPr>
          <w:rFonts w:ascii="Palatino Linotype" w:eastAsia="Palatino Linotype" w:hAnsi="Palatino Linotype" w:cs="Palatino Linotype"/>
          <w:sz w:val="22"/>
          <w:szCs w:val="22"/>
        </w:rPr>
        <w:t>…”</w:t>
      </w:r>
    </w:p>
    <w:p w:rsidR="003B4C14" w:rsidRPr="003D6833" w:rsidRDefault="00E3050A">
      <w:pPr>
        <w:spacing w:line="360" w:lineRule="auto"/>
        <w:jc w:val="both"/>
        <w:rPr>
          <w:rFonts w:ascii="Palatino Linotype" w:eastAsia="Palatino Linotype" w:hAnsi="Palatino Linotype" w:cs="Palatino Linotype"/>
          <w:sz w:val="22"/>
          <w:szCs w:val="22"/>
        </w:rPr>
      </w:pPr>
      <w:r w:rsidRPr="003D6833">
        <w:rPr>
          <w:rFonts w:ascii="Palatino Linotype" w:eastAsia="Palatino Linotype" w:hAnsi="Palatino Linotype" w:cs="Palatino Linotype"/>
          <w:sz w:val="22"/>
          <w:szCs w:val="22"/>
        </w:rPr>
        <w:t xml:space="preserve"> </w:t>
      </w:r>
    </w:p>
    <w:p w:rsidR="003B4C14" w:rsidRPr="003D6833" w:rsidRDefault="00E3050A" w:rsidP="003D6833">
      <w:pPr>
        <w:numPr>
          <w:ilvl w:val="0"/>
          <w:numId w:val="5"/>
        </w:numPr>
        <w:spacing w:line="360" w:lineRule="auto"/>
        <w:ind w:left="0"/>
        <w:jc w:val="both"/>
      </w:pPr>
      <w:r w:rsidRPr="003D6833">
        <w:rPr>
          <w:rFonts w:ascii="Palatino Linotype" w:eastAsia="Palatino Linotype" w:hAnsi="Palatino Linotype" w:cs="Palatino Linotype"/>
        </w:rPr>
        <w:lastRenderedPageBreak/>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0"/>
        <w:jc w:val="both"/>
      </w:pPr>
      <w:r w:rsidRPr="003D6833">
        <w:rPr>
          <w:rFonts w:ascii="Palatino Linotype" w:eastAsia="Palatino Linotype" w:hAnsi="Palatino Linotype" w:cs="Palatino Linotype"/>
        </w:rPr>
        <w:t>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como ya quedo establecido en el estudio del presente proveído.</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0" w:hanging="142"/>
        <w:jc w:val="both"/>
      </w:pPr>
      <w:r w:rsidRPr="003D6833">
        <w:rPr>
          <w:rFonts w:ascii="Palatino Linotype" w:eastAsia="Palatino Linotype" w:hAnsi="Palatino Linotype" w:cs="Palatino Linotype"/>
        </w:rPr>
        <w:t xml:space="preserve">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 </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142"/>
        <w:jc w:val="both"/>
      </w:pPr>
      <w:r w:rsidRPr="003D6833">
        <w:rPr>
          <w:rFonts w:ascii="Palatino Linotype" w:eastAsia="Palatino Linotype" w:hAnsi="Palatino Linotype" w:cs="Palatino Linotype"/>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mostró en el estudio del presente proveído.</w:t>
      </w:r>
    </w:p>
    <w:p w:rsidR="003B4C14" w:rsidRPr="003D6833" w:rsidRDefault="003B4C14">
      <w:pPr>
        <w:spacing w:line="360" w:lineRule="auto"/>
        <w:jc w:val="center"/>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284" w:hanging="426"/>
        <w:jc w:val="both"/>
      </w:pPr>
      <w:r w:rsidRPr="003D6833">
        <w:rPr>
          <w:rFonts w:ascii="Palatino Linotype" w:eastAsia="Palatino Linotype" w:hAnsi="Palatino Linotype" w:cs="Palatino Linotype"/>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3B4C14" w:rsidRPr="003D6833" w:rsidRDefault="003B4C14">
      <w:pPr>
        <w:spacing w:line="360" w:lineRule="auto"/>
        <w:rPr>
          <w:rFonts w:ascii="Palatino Linotype" w:eastAsia="Palatino Linotype" w:hAnsi="Palatino Linotype" w:cs="Palatino Linotype"/>
        </w:rPr>
      </w:pPr>
    </w:p>
    <w:p w:rsidR="003B4C14" w:rsidRPr="003D6833" w:rsidRDefault="00E3050A" w:rsidP="003D6833">
      <w:pPr>
        <w:numPr>
          <w:ilvl w:val="0"/>
          <w:numId w:val="5"/>
        </w:numPr>
        <w:spacing w:line="360" w:lineRule="auto"/>
        <w:ind w:left="142"/>
        <w:jc w:val="both"/>
      </w:pPr>
      <w:r w:rsidRPr="003D6833">
        <w:rPr>
          <w:rFonts w:ascii="Palatino Linotype" w:eastAsia="Palatino Linotype" w:hAnsi="Palatino Linotype" w:cs="Palatino Linotype"/>
        </w:rPr>
        <w:t xml:space="preserve">Ahora bien, cabe señalar que, en algunos casos, las cadenas originales y sellos digitales, el folio fiscal o el número de serie de los certificados digitales, se pueden conformar de </w:t>
      </w:r>
      <w:r w:rsidRPr="003D6833">
        <w:rPr>
          <w:rFonts w:ascii="Palatino Linotype" w:eastAsia="Palatino Linotype" w:hAnsi="Palatino Linotype" w:cs="Palatino Linotype"/>
        </w:rPr>
        <w:lastRenderedPageBreak/>
        <w:t>datos confidenciales, tales como el Registro Federal de Contribuyentes o la Clave Única de Registro de Población; por lo que, únicamente podrá clasificar estos, si contienen dicha información, de lo contrario serán públicos.</w:t>
      </w:r>
    </w:p>
    <w:p w:rsidR="003B4C14" w:rsidRPr="003D6833" w:rsidRDefault="003B4C14">
      <w:pPr>
        <w:pStyle w:val="Ttulo3"/>
        <w:keepNext w:val="0"/>
        <w:keepLines w:val="0"/>
        <w:spacing w:before="0" w:line="360" w:lineRule="auto"/>
        <w:jc w:val="both"/>
        <w:rPr>
          <w:rFonts w:ascii="Palatino Linotype" w:eastAsia="Palatino Linotype" w:hAnsi="Palatino Linotype" w:cs="Palatino Linotype"/>
        </w:rPr>
      </w:pPr>
      <w:bookmarkStart w:id="7" w:name="_heading=h.2qq9rklnwuw0" w:colFirst="0" w:colLast="0"/>
      <w:bookmarkEnd w:id="7"/>
    </w:p>
    <w:p w:rsidR="003B4C14" w:rsidRPr="003D6833" w:rsidRDefault="00E3050A">
      <w:pPr>
        <w:spacing w:line="360" w:lineRule="auto"/>
        <w:jc w:val="both"/>
        <w:rPr>
          <w:rFonts w:ascii="Palatino Linotype" w:eastAsia="Palatino Linotype" w:hAnsi="Palatino Linotype" w:cs="Palatino Linotype"/>
          <w:b/>
        </w:rPr>
      </w:pPr>
      <w:r w:rsidRPr="003D6833">
        <w:rPr>
          <w:rFonts w:ascii="Palatino Linotype" w:eastAsia="Palatino Linotype" w:hAnsi="Palatino Linotype" w:cs="Palatino Linotype"/>
          <w:b/>
        </w:rPr>
        <w:t>Del nombre y cargo de los policías</w:t>
      </w: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No es ocioso mencionar que dentro del cúmulo de información solicitada por el particular, se encuentran también los recibos de nómina de los elementos de seguridad pública; por ello, es necesario señalar que las condiciones en las cuales se deberá entregar la información solicitada adquieren una especial naturaleza.</w:t>
      </w:r>
    </w:p>
    <w:p w:rsidR="003B4C14" w:rsidRPr="003D6833" w:rsidRDefault="003B4C14">
      <w:pPr>
        <w:spacing w:line="360" w:lineRule="auto"/>
        <w:ind w:left="360"/>
        <w:jc w:val="both"/>
        <w:rPr>
          <w:rFonts w:ascii="Palatino Linotype" w:eastAsia="Palatino Linotype" w:hAnsi="Palatino Linotype" w:cs="Palatino Linotype"/>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En efecto, este instituto advierte que otorgar acceso al nombre de policías operativos podría comprometer la integridad de los mismos, de conformidad con lo que establece el artículo 140 de la Ley de Transparencia y Acceso a la Información Pública del Estado de México y Municipios:</w:t>
      </w:r>
    </w:p>
    <w:p w:rsidR="003B4C14" w:rsidRPr="003D6833" w:rsidRDefault="003B4C14">
      <w:pPr>
        <w:spacing w:line="276" w:lineRule="auto"/>
        <w:ind w:left="560" w:right="620"/>
        <w:jc w:val="both"/>
        <w:rPr>
          <w:rFonts w:ascii="Palatino Linotype" w:eastAsia="Palatino Linotype" w:hAnsi="Palatino Linotype" w:cs="Palatino Linotype"/>
        </w:rPr>
      </w:pPr>
    </w:p>
    <w:p w:rsidR="003B4C14" w:rsidRPr="003D6833" w:rsidRDefault="00E3050A">
      <w:pPr>
        <w:spacing w:line="276" w:lineRule="auto"/>
        <w:ind w:left="560" w:right="620"/>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“Artículo 140.</w:t>
      </w:r>
      <w:r w:rsidRPr="003D6833">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w:t>
      </w:r>
    </w:p>
    <w:p w:rsidR="003B4C14" w:rsidRPr="003D6833" w:rsidRDefault="00E3050A">
      <w:pPr>
        <w:spacing w:line="276" w:lineRule="auto"/>
        <w:ind w:left="560" w:right="620"/>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p>
    <w:p w:rsidR="003B4C14" w:rsidRPr="003D6833" w:rsidRDefault="00E3050A">
      <w:pPr>
        <w:spacing w:line="276" w:lineRule="auto"/>
        <w:ind w:left="560" w:right="620"/>
        <w:jc w:val="both"/>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IV. Ponga en riesgo la vida, la seguridad o la salud de una persona física;</w:t>
      </w:r>
    </w:p>
    <w:p w:rsidR="003B4C14" w:rsidRPr="003D6833" w:rsidRDefault="00E3050A">
      <w:pPr>
        <w:spacing w:line="276" w:lineRule="auto"/>
        <w:ind w:left="560" w:right="620"/>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 xml:space="preserve"> (…)”</w:t>
      </w: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lastRenderedPageBreak/>
        <w:t xml:space="preserve">En este contexto, la mayoría del Pleno considera que dar a conocer los nombres y cargos de servidores públicos que realizan funciones en materia de seguridad, tal como es el caso de los policías, los vuelve identificables y posiblemente reconocibles para grupos delictivos; así, dicha información puede ser utilizada para </w:t>
      </w:r>
      <w:r w:rsidRPr="003D6833">
        <w:rPr>
          <w:rFonts w:ascii="Palatino Linotype" w:eastAsia="Palatino Linotype" w:hAnsi="Palatino Linotype" w:cs="Palatino Linotype"/>
          <w:b/>
        </w:rPr>
        <w:t xml:space="preserve">vulnerar la vida, seguridad o salud de dichos elementos, incluso la de sus familias o entorno social, </w:t>
      </w:r>
      <w:r w:rsidRPr="003D6833">
        <w:rPr>
          <w:rFonts w:ascii="Palatino Linotype" w:eastAsia="Palatino Linotype" w:hAnsi="Palatino Linotype" w:cs="Palatino Linotype"/>
        </w:rPr>
        <w:t>demás, de que aumenta el riesgo de que personas ajenas a los intereses institucionales e intenten realizar actos tendientes a inhibir o entrometerse en las funciones de los policías municipales, lo cual causaría una vulneración a la seguridad municipal.</w:t>
      </w:r>
    </w:p>
    <w:p w:rsidR="003B4C14" w:rsidRPr="003D6833" w:rsidRDefault="003B4C14">
      <w:pPr>
        <w:spacing w:line="360" w:lineRule="auto"/>
        <w:ind w:left="360"/>
        <w:jc w:val="both"/>
        <w:rPr>
          <w:rFonts w:ascii="Palatino Linotype" w:eastAsia="Palatino Linotype" w:hAnsi="Palatino Linotype" w:cs="Palatino Linotype"/>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Por lo tanto, el proporcionar el nombre de los elementos policiales operativos dentro de los recibos de nómina del personal adscrito a la Dirección de Seguridad Pública, o equivalente, pone en riesgo de manera directa la vida y la seguridad de dichos servidores públicos, siendo obligación de la Institución protegerla en todo momento para salvaguarda de sus integrantes.</w:t>
      </w:r>
    </w:p>
    <w:p w:rsidR="003B4C14" w:rsidRPr="003D6833" w:rsidRDefault="003B4C14">
      <w:pP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 xml:space="preserve"> Lo 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w:t>
      </w:r>
    </w:p>
    <w:p w:rsidR="003B4C14" w:rsidRPr="003D6833" w:rsidRDefault="003B4C14">
      <w:pP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lastRenderedPageBreak/>
        <w:t>Así mismo, 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sidRPr="003D6833">
        <w:rPr>
          <w:rFonts w:ascii="Palatino Linotype" w:eastAsia="Palatino Linotype" w:hAnsi="Palatino Linotype" w:cs="Palatino Linotype"/>
          <w:b/>
        </w:rPr>
        <w:t xml:space="preserve"> SUJETO OBLIGADO</w:t>
      </w:r>
      <w:r w:rsidRPr="003D6833">
        <w:rPr>
          <w:rFonts w:ascii="Palatino Linotype" w:eastAsia="Palatino Linotype" w:hAnsi="Palatino Linotype" w:cs="Palatino Linotype"/>
        </w:rPr>
        <w:t>, colocando en inminente riesgo la vida de todos los integrantes, menoscabando así las actividades de prevención del delito y combate a la delincuencia.</w:t>
      </w:r>
    </w:p>
    <w:p w:rsidR="003B4C14" w:rsidRPr="003D6833" w:rsidRDefault="003B4C14">
      <w:pPr>
        <w:spacing w:line="360" w:lineRule="auto"/>
        <w:ind w:left="360"/>
        <w:jc w:val="both"/>
        <w:rPr>
          <w:rFonts w:ascii="Palatino Linotype" w:eastAsia="Palatino Linotype" w:hAnsi="Palatino Linotype" w:cs="Palatino Linotype"/>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 xml:space="preserve"> Así como el artículo 6º Constitucional por un lado garantiza el derecho de acceso a la información, por otro lado, el derecho a la vida y la seguridad de las personas se encuentran protegidos por la Declaración Universal de los Derechos Humanos en su artículo 30. Bajo este contexto es necesario confrontar ambos derechos fundamentales, cuyo ejercicio en este caso particular es por lo que es necesaria la ponderación de ambos para que uno de ellos sea ejercido en la mayor medida posible.</w:t>
      </w:r>
    </w:p>
    <w:p w:rsidR="003B4C14" w:rsidRPr="003D6833" w:rsidRDefault="003B4C14">
      <w:pPr>
        <w:spacing w:line="360" w:lineRule="auto"/>
        <w:ind w:left="360"/>
        <w:jc w:val="both"/>
        <w:rPr>
          <w:rFonts w:ascii="Palatino Linotype" w:eastAsia="Palatino Linotype" w:hAnsi="Palatino Linotype" w:cs="Palatino Linotype"/>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 xml:space="preserve">  El 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w:t>
      </w:r>
      <w:r w:rsidRPr="003D6833">
        <w:rPr>
          <w:rFonts w:ascii="Palatino Linotype" w:eastAsia="Palatino Linotype" w:hAnsi="Palatino Linotype" w:cs="Palatino Linotype"/>
        </w:rPr>
        <w:lastRenderedPageBreak/>
        <w:t>interés público y socialmente relevante la protección a la vida y seguridad de todas y cada una de las personas sobre cualquier otro derecho fundamental, por lo que se debe proteger a quienes trabajan y ayudan al logro de la seguridad pública.</w:t>
      </w:r>
    </w:p>
    <w:p w:rsidR="003B4C14" w:rsidRPr="003D6833" w:rsidRDefault="003B4C14">
      <w:pPr>
        <w:spacing w:line="360" w:lineRule="auto"/>
        <w:ind w:left="360"/>
        <w:jc w:val="both"/>
        <w:rPr>
          <w:rFonts w:ascii="Palatino Linotype" w:eastAsia="Palatino Linotype" w:hAnsi="Palatino Linotype" w:cs="Palatino Linotype"/>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 xml:space="preserve"> En 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w:t>
      </w:r>
    </w:p>
    <w:p w:rsidR="003B4C14" w:rsidRPr="003D6833" w:rsidRDefault="003B4C14">
      <w:pPr>
        <w:spacing w:line="360" w:lineRule="auto"/>
        <w:jc w:val="both"/>
        <w:rPr>
          <w:rFonts w:ascii="Palatino Linotype" w:eastAsia="Palatino Linotype" w:hAnsi="Palatino Linotype" w:cs="Palatino Linotype"/>
          <w:color w:val="000000"/>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 xml:space="preserve">Por lo que, el derecho a la vida y seguridad nacional tiene una-primacía que el derecho al acceso a la información, por lo que el bien jurídico a salvaguardarse </w:t>
      </w:r>
      <w:r w:rsidRPr="003D6833">
        <w:rPr>
          <w:rFonts w:ascii="Palatino Linotype" w:eastAsia="Palatino Linotype" w:hAnsi="Palatino Linotype" w:cs="Palatino Linotype"/>
        </w:rPr>
        <w:lastRenderedPageBreak/>
        <w:t>primordialmente, es la vida y la seguridad de los servidores públicos encargados de la seguridad pública.</w:t>
      </w:r>
    </w:p>
    <w:p w:rsidR="003B4C14" w:rsidRPr="003D6833" w:rsidRDefault="003B4C14">
      <w:pPr>
        <w:spacing w:line="360" w:lineRule="auto"/>
        <w:ind w:left="360"/>
        <w:jc w:val="both"/>
        <w:rPr>
          <w:rFonts w:ascii="Palatino Linotype" w:eastAsia="Palatino Linotype" w:hAnsi="Palatino Linotype" w:cs="Palatino Linotype"/>
        </w:rPr>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Al respecto, cabe hacer mención que el artículo 81 fracción III de la Ley de Seguridad del Estado de México, establece lo siguiente:</w:t>
      </w:r>
    </w:p>
    <w:p w:rsidR="003B4C14" w:rsidRPr="003D6833" w:rsidRDefault="003B4C14">
      <w:pPr>
        <w:spacing w:line="360" w:lineRule="auto"/>
        <w:ind w:left="360"/>
        <w:jc w:val="both"/>
        <w:rPr>
          <w:rFonts w:ascii="Palatino Linotype" w:eastAsia="Palatino Linotype" w:hAnsi="Palatino Linotype" w:cs="Palatino Linotype"/>
          <w:sz w:val="22"/>
          <w:szCs w:val="22"/>
        </w:rPr>
      </w:pPr>
    </w:p>
    <w:p w:rsidR="003B4C14" w:rsidRPr="003D6833" w:rsidRDefault="00E3050A">
      <w:pPr>
        <w:spacing w:line="276" w:lineRule="auto"/>
        <w:ind w:left="720" w:right="560"/>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r w:rsidRPr="003D6833">
        <w:rPr>
          <w:rFonts w:ascii="Palatino Linotype" w:eastAsia="Palatino Linotype" w:hAnsi="Palatino Linotype" w:cs="Palatino Linotype"/>
          <w:b/>
          <w:i/>
          <w:sz w:val="22"/>
          <w:szCs w:val="22"/>
        </w:rPr>
        <w:t>Artículo 81.-</w:t>
      </w:r>
      <w:r w:rsidRPr="003D6833">
        <w:rPr>
          <w:rFonts w:ascii="Palatino Linotype" w:eastAsia="Palatino Linotype" w:hAnsi="Palatino Linotype" w:cs="Palatino Linotype"/>
          <w:i/>
          <w:sz w:val="22"/>
          <w:szCs w:val="22"/>
        </w:rPr>
        <w:t xml:space="preserve"> </w:t>
      </w:r>
      <w:r w:rsidRPr="003D6833">
        <w:rPr>
          <w:rFonts w:ascii="Palatino Linotype" w:eastAsia="Palatino Linotype" w:hAnsi="Palatino Linotype" w:cs="Palatino Linotype"/>
          <w:b/>
          <w:i/>
          <w:sz w:val="22"/>
          <w:szCs w:val="22"/>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w:t>
      </w:r>
      <w:r w:rsidRPr="003D6833">
        <w:rPr>
          <w:rFonts w:ascii="Palatino Linotype" w:eastAsia="Palatino Linotype" w:hAnsi="Palatino Linotype" w:cs="Palatino Linotype"/>
          <w:i/>
          <w:sz w:val="22"/>
          <w:szCs w:val="22"/>
        </w:rPr>
        <w:t xml:space="preserve"> en los casos siguientes:</w:t>
      </w:r>
    </w:p>
    <w:p w:rsidR="003B4C14" w:rsidRPr="003D6833" w:rsidRDefault="00E3050A">
      <w:pPr>
        <w:spacing w:line="276" w:lineRule="auto"/>
        <w:ind w:left="720" w:right="560"/>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p>
    <w:p w:rsidR="003B4C14" w:rsidRPr="003D6833" w:rsidRDefault="00E3050A">
      <w:pPr>
        <w:spacing w:line="276" w:lineRule="auto"/>
        <w:ind w:left="720" w:right="560"/>
        <w:jc w:val="both"/>
        <w:rPr>
          <w:rFonts w:ascii="Palatino Linotype" w:eastAsia="Palatino Linotype" w:hAnsi="Palatino Linotype" w:cs="Palatino Linotype"/>
          <w:b/>
          <w:i/>
          <w:sz w:val="22"/>
          <w:szCs w:val="22"/>
        </w:rPr>
      </w:pPr>
      <w:r w:rsidRPr="003D6833">
        <w:rPr>
          <w:rFonts w:ascii="Palatino Linotype" w:eastAsia="Palatino Linotype" w:hAnsi="Palatino Linotype" w:cs="Palatino Linotype"/>
          <w:b/>
          <w:i/>
          <w:sz w:val="22"/>
          <w:szCs w:val="22"/>
        </w:rPr>
        <w:t>III.</w:t>
      </w:r>
      <w:r w:rsidRPr="003D6833">
        <w:rPr>
          <w:rFonts w:ascii="Palatino Linotype" w:eastAsia="Palatino Linotype" w:hAnsi="Palatino Linotype" w:cs="Palatino Linotype"/>
          <w:i/>
          <w:sz w:val="22"/>
          <w:szCs w:val="22"/>
        </w:rPr>
        <w:t xml:space="preserve"> </w:t>
      </w:r>
      <w:r w:rsidRPr="003D6833">
        <w:rPr>
          <w:rFonts w:ascii="Palatino Linotype" w:eastAsia="Palatino Linotype" w:hAnsi="Palatino Linotype" w:cs="Palatino Linotype"/>
          <w:b/>
          <w:i/>
          <w:sz w:val="22"/>
          <w:szCs w:val="22"/>
        </w:rPr>
        <w:t>La relativa a servidores públicos miembros de las instituciones de seguridad pública, cuya revelación pueda poner en riesgo su vida e integridad física con motivo de sus funciones;</w:t>
      </w:r>
    </w:p>
    <w:p w:rsidR="003B4C14" w:rsidRPr="003D6833" w:rsidRDefault="00E3050A">
      <w:pPr>
        <w:spacing w:line="276" w:lineRule="auto"/>
        <w:ind w:left="720" w:right="560"/>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i/>
          <w:sz w:val="22"/>
          <w:szCs w:val="22"/>
        </w:rPr>
        <w:t>(…)”</w:t>
      </w:r>
    </w:p>
    <w:p w:rsidR="003B4C14" w:rsidRPr="003D6833" w:rsidRDefault="00E3050A">
      <w:pPr>
        <w:spacing w:line="276" w:lineRule="auto"/>
        <w:ind w:left="720" w:right="860"/>
        <w:jc w:val="both"/>
        <w:rPr>
          <w:rFonts w:ascii="Palatino Linotype" w:eastAsia="Palatino Linotype" w:hAnsi="Palatino Linotype" w:cs="Palatino Linotype"/>
          <w:sz w:val="22"/>
          <w:szCs w:val="22"/>
        </w:rPr>
      </w:pPr>
      <w:r w:rsidRPr="003D6833">
        <w:rPr>
          <w:rFonts w:ascii="Palatino Linotype" w:eastAsia="Palatino Linotype" w:hAnsi="Palatino Linotype" w:cs="Palatino Linotype"/>
          <w:sz w:val="22"/>
          <w:szCs w:val="22"/>
        </w:rPr>
        <w:t>(Énfasis añadido)</w:t>
      </w:r>
    </w:p>
    <w:p w:rsidR="003B4C14" w:rsidRPr="003D6833" w:rsidRDefault="00E3050A">
      <w:pPr>
        <w:spacing w:line="276" w:lineRule="auto"/>
        <w:ind w:left="720" w:right="860"/>
        <w:jc w:val="both"/>
        <w:rPr>
          <w:rFonts w:ascii="Palatino Linotype" w:eastAsia="Palatino Linotype" w:hAnsi="Palatino Linotype" w:cs="Palatino Linotype"/>
        </w:rPr>
      </w:pPr>
      <w:r w:rsidRPr="003D6833">
        <w:rPr>
          <w:rFonts w:ascii="Palatino Linotype" w:eastAsia="Palatino Linotype" w:hAnsi="Palatino Linotype" w:cs="Palatino Linotype"/>
        </w:rPr>
        <w:t xml:space="preserve"> </w:t>
      </w: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rPr>
        <w:t>Argumento que se fortalece con lo estipulado en el criterio número 6-09, del Instituto Nacional de Transparencia, Acceso a la Información y Protección de Datos Personales, antes (INAI)</w:t>
      </w:r>
      <w:r w:rsidRPr="003D6833">
        <w:rPr>
          <w:rFonts w:ascii="Palatino Linotype" w:eastAsia="Palatino Linotype" w:hAnsi="Palatino Linotype" w:cs="Palatino Linotype"/>
          <w:b/>
        </w:rPr>
        <w:t xml:space="preserve">, </w:t>
      </w:r>
      <w:r w:rsidRPr="003D6833">
        <w:rPr>
          <w:rFonts w:ascii="Palatino Linotype" w:eastAsia="Palatino Linotype" w:hAnsi="Palatino Linotype" w:cs="Palatino Linotype"/>
        </w:rPr>
        <w:t>el cual refiere:</w:t>
      </w:r>
    </w:p>
    <w:p w:rsidR="003B4C14" w:rsidRPr="003D6833" w:rsidRDefault="00E3050A">
      <w:pPr>
        <w:spacing w:line="360" w:lineRule="auto"/>
        <w:ind w:left="360"/>
        <w:jc w:val="both"/>
        <w:rPr>
          <w:rFonts w:ascii="Palatino Linotype" w:eastAsia="Palatino Linotype" w:hAnsi="Palatino Linotype" w:cs="Palatino Linotype"/>
          <w:sz w:val="22"/>
          <w:szCs w:val="22"/>
        </w:rPr>
      </w:pPr>
      <w:r w:rsidRPr="003D6833">
        <w:rPr>
          <w:rFonts w:ascii="Palatino Linotype" w:eastAsia="Palatino Linotype" w:hAnsi="Palatino Linotype" w:cs="Palatino Linotype"/>
        </w:rPr>
        <w:t xml:space="preserve"> </w:t>
      </w:r>
    </w:p>
    <w:p w:rsidR="003B4C14" w:rsidRPr="003D6833" w:rsidRDefault="00E3050A">
      <w:pPr>
        <w:spacing w:line="276" w:lineRule="auto"/>
        <w:ind w:left="560" w:right="560"/>
        <w:jc w:val="both"/>
        <w:rPr>
          <w:rFonts w:ascii="Palatino Linotype" w:eastAsia="Palatino Linotype" w:hAnsi="Palatino Linotype" w:cs="Palatino Linotype"/>
          <w:i/>
          <w:sz w:val="22"/>
          <w:szCs w:val="22"/>
        </w:rPr>
      </w:pPr>
      <w:r w:rsidRPr="003D6833">
        <w:rPr>
          <w:rFonts w:ascii="Palatino Linotype" w:eastAsia="Palatino Linotype" w:hAnsi="Palatino Linotype" w:cs="Palatino Linotype"/>
          <w:b/>
          <w:i/>
          <w:sz w:val="22"/>
          <w:szCs w:val="22"/>
        </w:rPr>
        <w:t xml:space="preserve">NOMBRES DE SERVIDORES PÚBLICOS DEDICADOS A ACTIVIDADES EN MATERIA DE SEGURIDAD, POR EXCEPCIÓN PUEDEN CONSIDERARSE </w:t>
      </w:r>
      <w:r w:rsidRPr="003D6833">
        <w:rPr>
          <w:rFonts w:ascii="Palatino Linotype" w:eastAsia="Palatino Linotype" w:hAnsi="Palatino Linotype" w:cs="Palatino Linotype"/>
          <w:b/>
          <w:i/>
          <w:sz w:val="22"/>
          <w:szCs w:val="22"/>
        </w:rPr>
        <w:lastRenderedPageBreak/>
        <w:t>INFORMACIÓN RESERVADA. “</w:t>
      </w:r>
      <w:r w:rsidRPr="003D6833">
        <w:rPr>
          <w:rFonts w:ascii="Palatino Linotype" w:eastAsia="Palatino Linotype" w:hAnsi="Palatino Linotype" w:cs="Palatino Linotype"/>
          <w:i/>
          <w:sz w:val="22"/>
          <w:szCs w:val="22"/>
        </w:rPr>
        <w:t xml:space="preserve">De conformidad con el artículo 7, fracciones I y III de la Ley Federal de Transparencia y Acceso a la Información Pública Gubernamental </w:t>
      </w:r>
      <w:r w:rsidRPr="003D6833">
        <w:rPr>
          <w:rFonts w:ascii="Palatino Linotype" w:eastAsia="Palatino Linotype" w:hAnsi="Palatino Linotype" w:cs="Palatino Linotype"/>
          <w:b/>
          <w:i/>
          <w:sz w:val="22"/>
          <w:szCs w:val="22"/>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3D6833">
        <w:rPr>
          <w:rFonts w:ascii="Palatino Linotype" w:eastAsia="Palatino Linotype" w:hAnsi="Palatino Linotype" w:cs="Palatino Linotype"/>
          <w:i/>
          <w:sz w:val="22"/>
          <w:szCs w:val="22"/>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3D6833">
        <w:rPr>
          <w:rFonts w:ascii="Palatino Linotype" w:eastAsia="Palatino Linotype" w:hAnsi="Palatino Linotype" w:cs="Palatino Linotype"/>
          <w:b/>
          <w:i/>
          <w:sz w:val="22"/>
          <w:szCs w:val="22"/>
        </w:rPr>
        <w:t>el artículo 13, fracción I de la ley de referencia se establece que podrá clasificarse aquella información cuya difusión pueda comprometer la seguridad nacional y pública</w:t>
      </w:r>
      <w:r w:rsidRPr="003D6833">
        <w:rPr>
          <w:rFonts w:ascii="Palatino Linotype" w:eastAsia="Palatino Linotype" w:hAnsi="Palatino Linotype" w:cs="Palatino Linotype"/>
          <w:i/>
          <w:sz w:val="22"/>
          <w:szCs w:val="22"/>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3D6833">
        <w:rPr>
          <w:rFonts w:ascii="Palatino Linotype" w:eastAsia="Palatino Linotype" w:hAnsi="Palatino Linotype" w:cs="Palatino Linotype"/>
          <w:b/>
          <w:i/>
          <w:sz w:val="22"/>
          <w:szCs w:val="22"/>
        </w:rPr>
        <w:t>por lo que la reserva de la relación de los nombres y las funciones que desempeñan los servidores públicos que prestan sus servicios en áreas de seguridad nacional o pública</w:t>
      </w:r>
      <w:r w:rsidRPr="003D6833">
        <w:rPr>
          <w:rFonts w:ascii="Palatino Linotype" w:eastAsia="Palatino Linotype" w:hAnsi="Palatino Linotype" w:cs="Palatino Linotype"/>
          <w:i/>
          <w:sz w:val="22"/>
          <w:szCs w:val="22"/>
        </w:rPr>
        <w:t>, puede llegar a constituirse en un componente fundamental en el esfuerzo que realiza el Estado Mexicano para garantizar la seguridad del país en sus diferentes vertientes” (Sic)</w:t>
      </w:r>
    </w:p>
    <w:p w:rsidR="003B4C14" w:rsidRPr="003D6833" w:rsidRDefault="00E3050A">
      <w:pPr>
        <w:spacing w:line="276" w:lineRule="auto"/>
        <w:ind w:left="560" w:right="560"/>
        <w:jc w:val="both"/>
        <w:rPr>
          <w:rFonts w:ascii="Palatino Linotype" w:eastAsia="Palatino Linotype" w:hAnsi="Palatino Linotype" w:cs="Palatino Linotype"/>
          <w:sz w:val="22"/>
          <w:szCs w:val="22"/>
        </w:rPr>
      </w:pPr>
      <w:r w:rsidRPr="003D6833">
        <w:rPr>
          <w:rFonts w:ascii="Palatino Linotype" w:eastAsia="Palatino Linotype" w:hAnsi="Palatino Linotype" w:cs="Palatino Linotype"/>
          <w:sz w:val="22"/>
          <w:szCs w:val="22"/>
        </w:rPr>
        <w:t>(Énfasis añadido)</w:t>
      </w:r>
    </w:p>
    <w:p w:rsidR="002A0E88" w:rsidRPr="003D6833" w:rsidRDefault="002A0E88">
      <w:pPr>
        <w:spacing w:line="360" w:lineRule="auto"/>
        <w:ind w:left="360"/>
        <w:jc w:val="both"/>
        <w:rPr>
          <w:rFonts w:ascii="Palatino Linotype" w:eastAsia="Palatino Linotype" w:hAnsi="Palatino Linotype" w:cs="Palatino Linotype"/>
          <w:sz w:val="22"/>
          <w:szCs w:val="22"/>
        </w:rPr>
      </w:pPr>
    </w:p>
    <w:p w:rsidR="002A0E88" w:rsidRPr="003D6833" w:rsidRDefault="002A0E88" w:rsidP="002A0E88">
      <w:pPr>
        <w:tabs>
          <w:tab w:val="left" w:pos="426"/>
        </w:tabs>
        <w:spacing w:before="240" w:after="240" w:line="360" w:lineRule="auto"/>
        <w:ind w:right="51"/>
        <w:contextualSpacing/>
        <w:jc w:val="both"/>
        <w:outlineLvl w:val="1"/>
        <w:rPr>
          <w:rFonts w:ascii="Palatino Linotype" w:hAnsi="Palatino Linotype"/>
          <w:b/>
          <w:bCs/>
          <w:color w:val="000000"/>
        </w:rPr>
      </w:pPr>
      <w:r w:rsidRPr="003D6833">
        <w:rPr>
          <w:rFonts w:ascii="Palatino Linotype" w:hAnsi="Palatino Linotype"/>
          <w:b/>
          <w:bCs/>
          <w:color w:val="000000"/>
        </w:rPr>
        <w:t>SEXTO. Vista a la Dirección General de Protección de Datos Personales.</w:t>
      </w:r>
    </w:p>
    <w:p w:rsidR="002A0E88" w:rsidRPr="003D6833" w:rsidRDefault="002A0E88" w:rsidP="002A0E88">
      <w:pPr>
        <w:pStyle w:val="Prrafodelista"/>
        <w:numPr>
          <w:ilvl w:val="0"/>
          <w:numId w:val="5"/>
        </w:numPr>
        <w:tabs>
          <w:tab w:val="left" w:pos="709"/>
        </w:tabs>
        <w:spacing w:before="240" w:after="240" w:line="360" w:lineRule="auto"/>
        <w:ind w:left="0" w:right="49" w:firstLine="0"/>
        <w:jc w:val="both"/>
        <w:rPr>
          <w:rFonts w:ascii="Palatino Linotype" w:hAnsi="Palatino Linotype"/>
        </w:rPr>
      </w:pPr>
      <w:r w:rsidRPr="003D6833">
        <w:rPr>
          <w:rFonts w:ascii="Palatino Linotype" w:eastAsia="MS Mincho" w:hAnsi="Palatino Linotype"/>
        </w:rPr>
        <w:t xml:space="preserve">Es </w:t>
      </w:r>
      <w:r w:rsidRPr="003D6833">
        <w:rPr>
          <w:rFonts w:ascii="Palatino Linotype" w:hAnsi="Palatino Linotype"/>
        </w:rPr>
        <w:t xml:space="preserve">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w:t>
      </w:r>
      <w:r w:rsidRPr="003D6833">
        <w:rPr>
          <w:rFonts w:ascii="Palatino Linotype" w:hAnsi="Palatino Linotype"/>
        </w:rPr>
        <w:lastRenderedPageBreak/>
        <w:t xml:space="preserve">de ser clasificados como confidenciales, tales como CURP en el documento electrónico denominado </w:t>
      </w:r>
      <w:r w:rsidRPr="003D6833">
        <w:rPr>
          <w:rFonts w:ascii="Palatino Linotype" w:hAnsi="Palatino Linotype"/>
          <w:b/>
          <w:color w:val="000000"/>
        </w:rPr>
        <w:t>“7(1).</w:t>
      </w:r>
      <w:proofErr w:type="spellStart"/>
      <w:r w:rsidRPr="003D6833">
        <w:rPr>
          <w:rFonts w:ascii="Palatino Linotype" w:hAnsi="Palatino Linotype"/>
          <w:b/>
          <w:color w:val="000000"/>
        </w:rPr>
        <w:t>pdf</w:t>
      </w:r>
      <w:proofErr w:type="spellEnd"/>
      <w:r w:rsidRPr="003D6833">
        <w:rPr>
          <w:rFonts w:ascii="Palatino Linotype" w:hAnsi="Palatino Linotype"/>
          <w:b/>
          <w:color w:val="000000"/>
        </w:rPr>
        <w:t>”</w:t>
      </w:r>
      <w:r w:rsidRPr="003D6833">
        <w:rPr>
          <w:rFonts w:ascii="Palatino Linotype" w:hAnsi="Palatino Linotype"/>
        </w:rPr>
        <w:t xml:space="preserve">, por lo que es necesario dar vista al área competente para que en ejercicio de sus atribuciones realice las investigaciones pertinentes por las omisiones detectadas atribuibles al </w:t>
      </w:r>
      <w:r w:rsidRPr="003D6833">
        <w:rPr>
          <w:rFonts w:ascii="Palatino Linotype" w:hAnsi="Palatino Linotype"/>
          <w:b/>
        </w:rPr>
        <w:t>SUJETO OBLIGADO</w:t>
      </w:r>
      <w:r w:rsidRPr="003D6833">
        <w:rPr>
          <w:rFonts w:ascii="Palatino Linotype" w:hAnsi="Palatino Linotype"/>
        </w:rPr>
        <w:t>.</w:t>
      </w:r>
    </w:p>
    <w:p w:rsidR="002A0E88" w:rsidRPr="003D6833" w:rsidRDefault="002A0E88" w:rsidP="002A0E88">
      <w:pPr>
        <w:tabs>
          <w:tab w:val="left" w:pos="709"/>
        </w:tabs>
        <w:spacing w:before="240" w:after="240" w:line="360" w:lineRule="auto"/>
        <w:ind w:right="49"/>
        <w:contextualSpacing/>
        <w:jc w:val="both"/>
        <w:rPr>
          <w:rFonts w:ascii="Palatino Linotype" w:hAnsi="Palatino Linotype"/>
        </w:rPr>
      </w:pPr>
    </w:p>
    <w:p w:rsidR="002A0E88" w:rsidRPr="003D6833" w:rsidRDefault="002A0E88" w:rsidP="002A0E88">
      <w:pPr>
        <w:numPr>
          <w:ilvl w:val="0"/>
          <w:numId w:val="5"/>
        </w:numPr>
        <w:tabs>
          <w:tab w:val="left" w:pos="567"/>
        </w:tabs>
        <w:spacing w:before="240" w:after="240" w:line="360" w:lineRule="auto"/>
        <w:ind w:left="0" w:right="51" w:firstLine="0"/>
        <w:contextualSpacing/>
        <w:jc w:val="both"/>
        <w:rPr>
          <w:rFonts w:ascii="Palatino Linotype" w:hAnsi="Palatino Linotype"/>
          <w:color w:val="000000"/>
        </w:rPr>
      </w:pPr>
      <w:r w:rsidRPr="003D6833">
        <w:rPr>
          <w:rFonts w:ascii="Palatino Linotype" w:hAnsi="Palatino Linotype" w:cs="Arial"/>
        </w:rPr>
        <w:t xml:space="preserve">Por </w:t>
      </w:r>
      <w:r w:rsidRPr="003D6833">
        <w:rPr>
          <w:rFonts w:ascii="Palatino Linotype" w:eastAsia="MS Mincho" w:hAnsi="Palatino Linotype"/>
        </w:rPr>
        <w:t>ello, es conveniente señalar las fracciones XIV, XXII, XXIII y XXV, del artículo 82, de la Ley de Protección de Datos Personales en Posesión de Sujetos Obligados del Estado de México y Municipios, que establece:</w:t>
      </w:r>
    </w:p>
    <w:p w:rsidR="002A0E88" w:rsidRPr="003D6833" w:rsidRDefault="002A0E88" w:rsidP="002A0E88">
      <w:pPr>
        <w:tabs>
          <w:tab w:val="left" w:pos="426"/>
        </w:tabs>
        <w:spacing w:before="240" w:after="240" w:line="360" w:lineRule="auto"/>
        <w:ind w:right="51"/>
        <w:contextualSpacing/>
        <w:jc w:val="both"/>
        <w:rPr>
          <w:rFonts w:ascii="Palatino Linotype" w:hAnsi="Palatino Linotype"/>
          <w:color w:val="000000"/>
        </w:rPr>
      </w:pP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hAnsi="Palatino Linotype"/>
          <w:b/>
          <w:i/>
          <w:sz w:val="22"/>
          <w:szCs w:val="22"/>
        </w:rPr>
      </w:pPr>
      <w:r w:rsidRPr="003D6833">
        <w:rPr>
          <w:rFonts w:ascii="Palatino Linotype" w:hAnsi="Palatino Linotype"/>
          <w:b/>
          <w:i/>
          <w:sz w:val="22"/>
          <w:szCs w:val="22"/>
        </w:rPr>
        <w:t xml:space="preserve">Atribuciones del Instituto </w:t>
      </w: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2"/>
        </w:rPr>
      </w:pPr>
      <w:r w:rsidRPr="003D6833">
        <w:rPr>
          <w:rFonts w:ascii="Palatino Linotype" w:hAnsi="Palatino Linotype"/>
          <w:b/>
          <w:i/>
          <w:sz w:val="22"/>
          <w:szCs w:val="22"/>
        </w:rPr>
        <w:t>Artículo 82.</w:t>
      </w:r>
      <w:r w:rsidRPr="003D6833">
        <w:rPr>
          <w:rFonts w:ascii="Palatino Linotype" w:hAnsi="Palatino Linotype"/>
          <w:i/>
          <w:sz w:val="22"/>
          <w:szCs w:val="22"/>
        </w:rPr>
        <w:t xml:space="preserve"> El Instituto, además de las atribuciones encomendadas por la Ley de Transparencia y normatividad aplicable, tendrá las atribuciones siguientes:</w:t>
      </w: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eastAsia="MS Mincho" w:hAnsi="Palatino Linotype"/>
          <w:i/>
          <w:sz w:val="22"/>
          <w:szCs w:val="22"/>
        </w:rPr>
      </w:pPr>
      <w:r w:rsidRPr="003D6833">
        <w:rPr>
          <w:rFonts w:ascii="Palatino Linotype" w:hAnsi="Palatino Linotype"/>
          <w:i/>
          <w:sz w:val="22"/>
          <w:szCs w:val="22"/>
        </w:rPr>
        <w:t>(…)</w:t>
      </w: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2"/>
        </w:rPr>
      </w:pPr>
      <w:r w:rsidRPr="003D6833">
        <w:rPr>
          <w:rFonts w:ascii="Palatino Linotype" w:hAnsi="Palatino Linotype"/>
          <w:b/>
          <w:i/>
          <w:sz w:val="22"/>
          <w:szCs w:val="22"/>
        </w:rPr>
        <w:t>XIV.</w:t>
      </w:r>
      <w:r w:rsidRPr="003D6833">
        <w:rPr>
          <w:rFonts w:ascii="Palatino Linotype" w:hAnsi="Palatino Linotype"/>
          <w:i/>
          <w:sz w:val="22"/>
          <w:szCs w:val="22"/>
        </w:rPr>
        <w:t xml:space="preserve"> </w:t>
      </w:r>
      <w:r w:rsidRPr="003D6833">
        <w:rPr>
          <w:rFonts w:ascii="Palatino Linotype" w:hAnsi="Palatino Linotype"/>
          <w:b/>
          <w:i/>
          <w:sz w:val="22"/>
          <w:szCs w:val="22"/>
        </w:rPr>
        <w:t>Formular observaciones y recomendaciones</w:t>
      </w:r>
      <w:r w:rsidRPr="003D6833">
        <w:rPr>
          <w:rFonts w:ascii="Palatino Linotype" w:hAnsi="Palatino Linotype"/>
          <w:i/>
          <w:sz w:val="22"/>
          <w:szCs w:val="22"/>
        </w:rPr>
        <w:t xml:space="preserve"> a los sujetos obligados que incumplan esta Ley.</w:t>
      </w: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2"/>
        </w:rPr>
      </w:pPr>
      <w:r w:rsidRPr="003D6833">
        <w:rPr>
          <w:rFonts w:ascii="Palatino Linotype" w:hAnsi="Palatino Linotype"/>
          <w:i/>
          <w:sz w:val="22"/>
          <w:szCs w:val="22"/>
        </w:rPr>
        <w:t>(…)</w:t>
      </w: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2"/>
        </w:rPr>
      </w:pPr>
      <w:r w:rsidRPr="003D6833">
        <w:rPr>
          <w:rFonts w:ascii="Palatino Linotype" w:hAnsi="Palatino Linotype"/>
          <w:b/>
          <w:i/>
          <w:sz w:val="22"/>
          <w:szCs w:val="22"/>
        </w:rPr>
        <w:t>XXII.</w:t>
      </w:r>
      <w:r w:rsidRPr="003D6833">
        <w:rPr>
          <w:rFonts w:ascii="Palatino Linotype" w:hAnsi="Palatino Linotype"/>
          <w:i/>
          <w:sz w:val="22"/>
          <w:szCs w:val="22"/>
        </w:rPr>
        <w:t xml:space="preserve"> </w:t>
      </w:r>
      <w:r w:rsidRPr="003D6833">
        <w:rPr>
          <w:rFonts w:ascii="Palatino Linotype" w:hAnsi="Palatino Linotype"/>
          <w:b/>
          <w:i/>
          <w:sz w:val="22"/>
          <w:szCs w:val="22"/>
        </w:rPr>
        <w:t>Verificar el cumplimiento</w:t>
      </w:r>
      <w:r w:rsidRPr="003D6833">
        <w:rPr>
          <w:rFonts w:ascii="Palatino Linotype" w:hAnsi="Palatino Linotype"/>
          <w:i/>
          <w:sz w:val="22"/>
          <w:szCs w:val="22"/>
        </w:rPr>
        <w:t xml:space="preserve"> de las disposiciones previstas en esta Ley a través de los procedimientos de revisión que resulten compatibles con las disposiciones de esta Ley.</w:t>
      </w: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2"/>
        </w:rPr>
      </w:pPr>
      <w:r w:rsidRPr="003D6833">
        <w:rPr>
          <w:rFonts w:ascii="Palatino Linotype" w:hAnsi="Palatino Linotype"/>
          <w:b/>
          <w:i/>
          <w:sz w:val="22"/>
          <w:szCs w:val="22"/>
        </w:rPr>
        <w:t>XXIII.</w:t>
      </w:r>
      <w:r w:rsidRPr="003D6833">
        <w:rPr>
          <w:rFonts w:ascii="Palatino Linotype" w:hAnsi="Palatino Linotype"/>
          <w:i/>
          <w:sz w:val="22"/>
          <w:szCs w:val="22"/>
        </w:rPr>
        <w:t xml:space="preserve"> </w:t>
      </w:r>
      <w:r w:rsidRPr="003D6833">
        <w:rPr>
          <w:rFonts w:ascii="Palatino Linotype" w:hAnsi="Palatino Linotype"/>
          <w:b/>
          <w:i/>
          <w:sz w:val="22"/>
          <w:szCs w:val="22"/>
        </w:rPr>
        <w:t>Implementar</w:t>
      </w:r>
      <w:r w:rsidRPr="003D6833">
        <w:rPr>
          <w:rFonts w:ascii="Palatino Linotype" w:hAnsi="Palatino Linotype"/>
          <w:i/>
          <w:sz w:val="22"/>
          <w:szCs w:val="22"/>
        </w:rPr>
        <w:t xml:space="preserve"> los </w:t>
      </w:r>
      <w:r w:rsidRPr="003D6833">
        <w:rPr>
          <w:rFonts w:ascii="Palatino Linotype" w:hAnsi="Palatino Linotype"/>
          <w:b/>
          <w:i/>
          <w:sz w:val="22"/>
          <w:szCs w:val="22"/>
        </w:rPr>
        <w:t>procedimientos</w:t>
      </w:r>
      <w:r w:rsidRPr="003D6833">
        <w:rPr>
          <w:rFonts w:ascii="Palatino Linotype" w:hAnsi="Palatino Linotype"/>
          <w:i/>
          <w:sz w:val="22"/>
          <w:szCs w:val="22"/>
        </w:rPr>
        <w:t xml:space="preserve"> que resulten necesarios </w:t>
      </w:r>
      <w:r w:rsidRPr="003D6833">
        <w:rPr>
          <w:rFonts w:ascii="Palatino Linotype" w:hAnsi="Palatino Linotype"/>
          <w:b/>
          <w:i/>
          <w:sz w:val="22"/>
          <w:szCs w:val="22"/>
        </w:rPr>
        <w:t xml:space="preserve">para el cumplimiento </w:t>
      </w:r>
      <w:r w:rsidRPr="003D6833">
        <w:rPr>
          <w:rFonts w:ascii="Palatino Linotype" w:hAnsi="Palatino Linotype"/>
          <w:i/>
          <w:sz w:val="22"/>
          <w:szCs w:val="22"/>
        </w:rPr>
        <w:t>de las disposiciones de esta Ley y para asegurar la protección de datos personales de los titulares. (…)</w:t>
      </w: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2"/>
        </w:rPr>
      </w:pPr>
      <w:r w:rsidRPr="003D6833">
        <w:rPr>
          <w:rFonts w:ascii="Palatino Linotype" w:hAnsi="Palatino Linotype"/>
          <w:b/>
          <w:i/>
          <w:sz w:val="22"/>
          <w:szCs w:val="22"/>
        </w:rPr>
        <w:t>XXV.</w:t>
      </w:r>
      <w:r w:rsidRPr="003D6833">
        <w:rPr>
          <w:rFonts w:ascii="Palatino Linotype" w:hAnsi="Palatino Linotype"/>
          <w:i/>
          <w:sz w:val="22"/>
          <w:szCs w:val="22"/>
        </w:rPr>
        <w:t xml:space="preserve"> </w:t>
      </w:r>
      <w:r w:rsidRPr="003D6833">
        <w:rPr>
          <w:rFonts w:ascii="Palatino Linotype" w:hAnsi="Palatino Linotype"/>
          <w:b/>
          <w:i/>
          <w:sz w:val="22"/>
          <w:szCs w:val="22"/>
        </w:rPr>
        <w:t>Investigar</w:t>
      </w:r>
      <w:r w:rsidRPr="003D6833">
        <w:rPr>
          <w:rFonts w:ascii="Palatino Linotype" w:hAnsi="Palatino Linotype"/>
          <w:i/>
          <w:sz w:val="22"/>
          <w:szCs w:val="22"/>
        </w:rPr>
        <w:t xml:space="preserve"> las </w:t>
      </w:r>
      <w:r w:rsidRPr="003D6833">
        <w:rPr>
          <w:rFonts w:ascii="Palatino Linotype" w:hAnsi="Palatino Linotype"/>
          <w:b/>
          <w:i/>
          <w:sz w:val="22"/>
          <w:szCs w:val="22"/>
        </w:rPr>
        <w:t>posibles violaciones</w:t>
      </w:r>
      <w:r w:rsidRPr="003D6833">
        <w:rPr>
          <w:rFonts w:ascii="Palatino Linotype" w:hAnsi="Palatino Linotype"/>
          <w:i/>
          <w:sz w:val="22"/>
          <w:szCs w:val="22"/>
        </w:rPr>
        <w:t xml:space="preserve"> a la seguridad de los datos personales a fin de determinar la práctica de verificaciones.</w:t>
      </w: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2"/>
          <w:szCs w:val="22"/>
        </w:rPr>
      </w:pPr>
      <w:r w:rsidRPr="003D6833">
        <w:rPr>
          <w:rFonts w:ascii="Palatino Linotype" w:hAnsi="Palatino Linotype"/>
          <w:i/>
          <w:sz w:val="22"/>
          <w:szCs w:val="22"/>
        </w:rPr>
        <w:t>(…)”</w:t>
      </w:r>
    </w:p>
    <w:p w:rsidR="002A0E88" w:rsidRPr="003D6833" w:rsidRDefault="002A0E88" w:rsidP="002A0E88">
      <w:pPr>
        <w:tabs>
          <w:tab w:val="left" w:pos="142"/>
          <w:tab w:val="left" w:pos="284"/>
          <w:tab w:val="left" w:pos="426"/>
          <w:tab w:val="left" w:pos="993"/>
        </w:tabs>
        <w:spacing w:before="240" w:after="240" w:line="276" w:lineRule="auto"/>
        <w:ind w:left="567" w:right="567"/>
        <w:contextualSpacing/>
        <w:jc w:val="both"/>
        <w:rPr>
          <w:rFonts w:ascii="Palatino Linotype" w:eastAsia="MS Gothic" w:hAnsi="Palatino Linotype"/>
          <w:sz w:val="22"/>
          <w:szCs w:val="22"/>
        </w:rPr>
      </w:pPr>
      <w:r w:rsidRPr="003D6833">
        <w:rPr>
          <w:rFonts w:ascii="Palatino Linotype" w:hAnsi="Palatino Linotype"/>
          <w:sz w:val="22"/>
          <w:szCs w:val="22"/>
        </w:rPr>
        <w:lastRenderedPageBreak/>
        <w:t>(Énfasis añadido)</w:t>
      </w:r>
    </w:p>
    <w:p w:rsidR="002A0E88" w:rsidRPr="003D6833" w:rsidRDefault="002A0E88" w:rsidP="002A0E88">
      <w:pPr>
        <w:tabs>
          <w:tab w:val="left" w:pos="426"/>
        </w:tabs>
        <w:spacing w:before="240" w:after="240" w:line="360" w:lineRule="auto"/>
        <w:ind w:right="51"/>
        <w:contextualSpacing/>
        <w:jc w:val="both"/>
        <w:rPr>
          <w:rFonts w:ascii="Palatino Linotype" w:hAnsi="Palatino Linotype"/>
          <w:color w:val="000000"/>
        </w:rPr>
      </w:pPr>
    </w:p>
    <w:p w:rsidR="002A0E88" w:rsidRPr="003D6833" w:rsidRDefault="002A0E88" w:rsidP="002A0E88">
      <w:pPr>
        <w:numPr>
          <w:ilvl w:val="0"/>
          <w:numId w:val="5"/>
        </w:numPr>
        <w:spacing w:line="360" w:lineRule="auto"/>
        <w:ind w:left="0" w:firstLine="0"/>
        <w:contextualSpacing/>
        <w:jc w:val="both"/>
        <w:rPr>
          <w:rFonts w:ascii="Palatino Linotype" w:hAnsi="Palatino Linotype" w:cs="Arial"/>
        </w:rPr>
      </w:pPr>
      <w:r w:rsidRPr="003D6833">
        <w:rPr>
          <w:rFonts w:ascii="Palatino Linotype" w:eastAsia="MS Mincho" w:hAnsi="Palatino Linotype"/>
        </w:rPr>
        <w:t xml:space="preserve">Por </w:t>
      </w:r>
      <w:r w:rsidRPr="003D6833">
        <w:rPr>
          <w:rFonts w:ascii="Palatino Linotype" w:eastAsia="Calibri" w:hAnsi="Palatino Linotype" w:cs="Arial"/>
          <w:color w:val="000000"/>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3D6833">
        <w:rPr>
          <w:rFonts w:ascii="Palatino Linotype" w:hAnsi="Palatino Linotype"/>
        </w:rPr>
        <w:t>Investigar las posibles violaciones a la seguridad de los datos personales a fin de determinar la práctica de verificaciones.</w:t>
      </w:r>
    </w:p>
    <w:p w:rsidR="002A0E88" w:rsidRPr="003D6833" w:rsidRDefault="002A0E88" w:rsidP="002A0E88">
      <w:pPr>
        <w:spacing w:line="360" w:lineRule="auto"/>
        <w:jc w:val="both"/>
        <w:rPr>
          <w:rFonts w:ascii="Palatino Linotype" w:hAnsi="Palatino Linotype" w:cs="Arial"/>
        </w:rPr>
      </w:pPr>
    </w:p>
    <w:p w:rsidR="002A0E88" w:rsidRPr="003D6833" w:rsidRDefault="002A0E88" w:rsidP="002A0E88">
      <w:pPr>
        <w:numPr>
          <w:ilvl w:val="0"/>
          <w:numId w:val="5"/>
        </w:numPr>
        <w:spacing w:line="360" w:lineRule="auto"/>
        <w:ind w:left="0" w:right="49" w:firstLine="0"/>
        <w:contextualSpacing/>
        <w:jc w:val="both"/>
        <w:rPr>
          <w:rFonts w:ascii="Palatino Linotype" w:eastAsia="MS Mincho" w:hAnsi="Palatino Linotype" w:cs="Bookman Old Style"/>
        </w:rPr>
      </w:pPr>
      <w:r w:rsidRPr="003D6833">
        <w:rPr>
          <w:rFonts w:ascii="Palatino Linotype" w:eastAsia="MS Mincho" w:hAnsi="Palatino Linotype" w:cs="Bookman Old Style"/>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servidores públicos. Por dicha información es menester hacer del conocimiento de la persona que solicitó la información, que ahora se encuentra sujeto a la </w:t>
      </w:r>
      <w:r w:rsidRPr="003D6833">
        <w:rPr>
          <w:rFonts w:ascii="Palatino Linotype" w:eastAsia="MS Mincho" w:hAnsi="Palatino Linotype" w:cs="Bookman Old Style"/>
          <w:b/>
        </w:rPr>
        <w:t>LEY FEDERAL DE PROTECCIÓN DE DATOS PERSONALES EN POSESIÓN DE LOS PARTICULARES</w:t>
      </w:r>
      <w:r w:rsidRPr="003D6833">
        <w:rPr>
          <w:rFonts w:ascii="Palatino Linotype" w:eastAsia="MS Mincho" w:hAnsi="Palatino Linotype" w:cs="Bookman Old Style"/>
        </w:rPr>
        <w:t xml:space="preserve"> que señala puntualmente en su artículo 1 lo siguiente:</w:t>
      </w:r>
    </w:p>
    <w:p w:rsidR="002A0E88" w:rsidRPr="003D6833" w:rsidRDefault="002A0E88" w:rsidP="002A0E88">
      <w:pPr>
        <w:spacing w:line="360" w:lineRule="auto"/>
        <w:ind w:left="720"/>
        <w:contextualSpacing/>
        <w:rPr>
          <w:rFonts w:ascii="Palatino Linotype" w:eastAsia="MS Mincho" w:hAnsi="Palatino Linotype" w:cs="Bookman Old Style"/>
          <w:sz w:val="28"/>
        </w:rPr>
      </w:pPr>
    </w:p>
    <w:p w:rsidR="002A0E88" w:rsidRPr="003D6833" w:rsidRDefault="002A0E88" w:rsidP="002A0E88">
      <w:pPr>
        <w:spacing w:line="360" w:lineRule="auto"/>
        <w:ind w:left="567" w:right="567"/>
        <w:contextualSpacing/>
        <w:jc w:val="both"/>
        <w:rPr>
          <w:rFonts w:ascii="Palatino Linotype" w:eastAsia="MS Mincho" w:hAnsi="Palatino Linotype" w:cs="Bookman Old Style"/>
          <w:i/>
          <w:sz w:val="22"/>
          <w:szCs w:val="22"/>
        </w:rPr>
      </w:pPr>
      <w:r w:rsidRPr="003D6833">
        <w:rPr>
          <w:rFonts w:ascii="Palatino Linotype" w:hAnsi="Palatino Linotype"/>
          <w:i/>
          <w:sz w:val="22"/>
          <w:szCs w:val="22"/>
        </w:rPr>
        <w:t xml:space="preserve">Artículo 1.- La presente Ley es de orden público y de observancia general en toda la República y </w:t>
      </w:r>
      <w:r w:rsidRPr="003D6833">
        <w:rPr>
          <w:rFonts w:ascii="Palatino Linotype" w:hAnsi="Palatino Linotype"/>
          <w:b/>
          <w:i/>
          <w:sz w:val="22"/>
          <w:szCs w:val="22"/>
        </w:rPr>
        <w:t>tiene por objeto la protección de los datos personales en posesión de los particulares</w:t>
      </w:r>
      <w:r w:rsidRPr="003D6833">
        <w:rPr>
          <w:rFonts w:ascii="Palatino Linotype" w:hAnsi="Palatino Linotype"/>
          <w:i/>
          <w:sz w:val="22"/>
          <w:szCs w:val="22"/>
        </w:rPr>
        <w:t xml:space="preserve">, con la finalidad de regular su tratamiento legítimo, controlado e informado, a </w:t>
      </w:r>
      <w:r w:rsidRPr="003D6833">
        <w:rPr>
          <w:rFonts w:ascii="Palatino Linotype" w:hAnsi="Palatino Linotype"/>
          <w:i/>
          <w:sz w:val="22"/>
          <w:szCs w:val="22"/>
        </w:rPr>
        <w:lastRenderedPageBreak/>
        <w:t>efecto de garantizar la privacidad y el derecho a la autodeterminación informativa de las personas.</w:t>
      </w:r>
    </w:p>
    <w:p w:rsidR="002A0E88" w:rsidRPr="003D6833" w:rsidRDefault="002A0E88" w:rsidP="002A0E88">
      <w:pPr>
        <w:spacing w:line="360" w:lineRule="auto"/>
        <w:ind w:right="49"/>
        <w:jc w:val="both"/>
        <w:rPr>
          <w:rFonts w:ascii="Palatino Linotype" w:eastAsia="MS Mincho" w:hAnsi="Palatino Linotype" w:cs="Bookman Old Style"/>
        </w:rPr>
      </w:pPr>
    </w:p>
    <w:p w:rsidR="002A0E88" w:rsidRPr="003D6833" w:rsidRDefault="002A0E88" w:rsidP="002A0E88">
      <w:pPr>
        <w:numPr>
          <w:ilvl w:val="0"/>
          <w:numId w:val="5"/>
        </w:numPr>
        <w:spacing w:line="360" w:lineRule="auto"/>
        <w:ind w:left="0" w:right="49" w:firstLine="0"/>
        <w:contextualSpacing/>
        <w:jc w:val="both"/>
        <w:rPr>
          <w:rFonts w:ascii="Palatino Linotype" w:eastAsia="MS Mincho" w:hAnsi="Palatino Linotype" w:cs="Bookman Old Style"/>
        </w:rPr>
      </w:pPr>
      <w:r w:rsidRPr="003D6833">
        <w:rPr>
          <w:rFonts w:ascii="Palatino Linotype" w:eastAsia="MS Mincho" w:hAnsi="Palatino Linotype" w:cs="Bookman Old Style"/>
        </w:rPr>
        <w:t>En ese escenario, el particular deberá de ser responsable en el buen uso de la información proporcionada, pues se trata de datos personales que le fueron proporcionados por haber incurrido en una probable violación a la privacidad de las personas.</w:t>
      </w:r>
    </w:p>
    <w:p w:rsidR="002A0E88" w:rsidRPr="003D6833" w:rsidRDefault="002A0E88" w:rsidP="002A0E88">
      <w:pPr>
        <w:spacing w:line="360" w:lineRule="auto"/>
      </w:pPr>
    </w:p>
    <w:p w:rsidR="003B4C14" w:rsidRPr="003D6833" w:rsidRDefault="00E3050A">
      <w:pPr>
        <w:numPr>
          <w:ilvl w:val="0"/>
          <w:numId w:val="5"/>
        </w:numPr>
        <w:spacing w:line="360" w:lineRule="auto"/>
        <w:ind w:left="0" w:firstLine="0"/>
        <w:jc w:val="both"/>
        <w:rPr>
          <w:rFonts w:ascii="Palatino Linotype" w:eastAsia="Palatino Linotype" w:hAnsi="Palatino Linotype" w:cs="Palatino Linotype"/>
        </w:rPr>
      </w:pPr>
      <w:r w:rsidRPr="003D6833">
        <w:rPr>
          <w:rFonts w:ascii="Palatino Linotype" w:eastAsia="Palatino Linotype" w:hAnsi="Palatino Linotype" w:cs="Palatino Linotype"/>
          <w:color w:val="222222"/>
        </w:rPr>
        <w:t xml:space="preserve">Por lo anteriormente expuesto y fundado, este </w:t>
      </w:r>
      <w:r w:rsidRPr="003D6833">
        <w:rPr>
          <w:rFonts w:ascii="Palatino Linotype" w:eastAsia="Palatino Linotype" w:hAnsi="Palatino Linotype" w:cs="Palatino Linotype"/>
          <w:b/>
          <w:color w:val="222222"/>
        </w:rPr>
        <w:t>ÓRGANO GARANTE</w:t>
      </w:r>
      <w:r w:rsidRPr="003D6833">
        <w:rPr>
          <w:rFonts w:ascii="Palatino Linotype" w:eastAsia="Palatino Linotype" w:hAnsi="Palatino Linotype" w:cs="Palatino Linotype"/>
          <w:color w:val="222222"/>
        </w:rPr>
        <w:t xml:space="preserve"> emite los siguientes:</w:t>
      </w:r>
    </w:p>
    <w:p w:rsidR="003B4C14" w:rsidRPr="003D6833" w:rsidRDefault="00E3050A">
      <w:pPr>
        <w:keepNext/>
        <w:keepLines/>
        <w:spacing w:before="240" w:after="240" w:line="360" w:lineRule="auto"/>
        <w:ind w:right="1"/>
        <w:jc w:val="center"/>
        <w:rPr>
          <w:rFonts w:ascii="Palatino Linotype" w:eastAsia="Palatino Linotype" w:hAnsi="Palatino Linotype" w:cs="Palatino Linotype"/>
          <w:b/>
          <w:color w:val="000000"/>
        </w:rPr>
      </w:pPr>
      <w:r w:rsidRPr="003D6833">
        <w:rPr>
          <w:rFonts w:ascii="Palatino Linotype" w:eastAsia="Palatino Linotype" w:hAnsi="Palatino Linotype" w:cs="Palatino Linotype"/>
          <w:b/>
          <w:color w:val="000000"/>
        </w:rPr>
        <w:t>R E S O L U T I V O S</w:t>
      </w:r>
    </w:p>
    <w:p w:rsidR="003B4C14" w:rsidRPr="003D6833" w:rsidRDefault="00E3050A">
      <w:pPr>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b/>
        </w:rPr>
        <w:t>PRIMERO</w:t>
      </w:r>
      <w:r w:rsidRPr="003D6833">
        <w:rPr>
          <w:rFonts w:ascii="Palatino Linotype" w:eastAsia="Palatino Linotype" w:hAnsi="Palatino Linotype" w:cs="Palatino Linotype"/>
        </w:rPr>
        <w:t xml:space="preserve">. </w:t>
      </w:r>
      <w:r w:rsidRPr="003D6833">
        <w:rPr>
          <w:rFonts w:ascii="Palatino Linotype" w:eastAsia="Palatino Linotype" w:hAnsi="Palatino Linotype" w:cs="Palatino Linotype"/>
          <w:b/>
        </w:rPr>
        <w:t>Resultan fundadas las razones</w:t>
      </w:r>
      <w:r w:rsidRPr="003D6833">
        <w:rPr>
          <w:rFonts w:ascii="Palatino Linotype" w:eastAsia="Palatino Linotype" w:hAnsi="Palatino Linotype" w:cs="Palatino Linotype"/>
        </w:rPr>
        <w:t xml:space="preserve"> o motivos de inconformidad hechos valer en el Recurso de Revisión </w:t>
      </w:r>
      <w:r w:rsidRPr="003D6833">
        <w:rPr>
          <w:rFonts w:ascii="Palatino Linotype" w:eastAsia="Palatino Linotype" w:hAnsi="Palatino Linotype" w:cs="Palatino Linotype"/>
          <w:b/>
        </w:rPr>
        <w:t>03528/INFOEM/IP/RR/2024</w:t>
      </w:r>
      <w:r w:rsidRPr="003D6833">
        <w:rPr>
          <w:rFonts w:ascii="Palatino Linotype" w:eastAsia="Palatino Linotype" w:hAnsi="Palatino Linotype" w:cs="Palatino Linotype"/>
        </w:rPr>
        <w:t>,</w:t>
      </w:r>
      <w:r w:rsidRPr="003D6833">
        <w:rPr>
          <w:rFonts w:ascii="Palatino Linotype" w:eastAsia="Palatino Linotype" w:hAnsi="Palatino Linotype" w:cs="Palatino Linotype"/>
          <w:b/>
        </w:rPr>
        <w:t xml:space="preserve"> </w:t>
      </w:r>
      <w:r w:rsidRPr="003D6833">
        <w:rPr>
          <w:rFonts w:ascii="Palatino Linotype" w:eastAsia="Palatino Linotype" w:hAnsi="Palatino Linotype" w:cs="Palatino Linotype"/>
        </w:rPr>
        <w:t xml:space="preserve">en términos de los  Considerandos </w:t>
      </w:r>
      <w:r w:rsidRPr="003D6833">
        <w:rPr>
          <w:rFonts w:ascii="Palatino Linotype" w:eastAsia="Palatino Linotype" w:hAnsi="Palatino Linotype" w:cs="Palatino Linotype"/>
          <w:b/>
        </w:rPr>
        <w:t>Cuarto</w:t>
      </w:r>
      <w:r w:rsidRPr="003D6833">
        <w:rPr>
          <w:rFonts w:ascii="Palatino Linotype" w:eastAsia="Palatino Linotype" w:hAnsi="Palatino Linotype" w:cs="Palatino Linotype"/>
        </w:rPr>
        <w:t xml:space="preserve"> y</w:t>
      </w:r>
      <w:r w:rsidRPr="003D6833">
        <w:rPr>
          <w:rFonts w:ascii="Palatino Linotype" w:eastAsia="Palatino Linotype" w:hAnsi="Palatino Linotype" w:cs="Palatino Linotype"/>
          <w:b/>
        </w:rPr>
        <w:t xml:space="preserve"> Quinto </w:t>
      </w:r>
      <w:r w:rsidRPr="003D6833">
        <w:rPr>
          <w:rFonts w:ascii="Palatino Linotype" w:eastAsia="Palatino Linotype" w:hAnsi="Palatino Linotype" w:cs="Palatino Linotype"/>
        </w:rPr>
        <w:t>de la presente Resolución.</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spacing w:line="360" w:lineRule="auto"/>
        <w:jc w:val="both"/>
        <w:rPr>
          <w:rFonts w:ascii="Palatino Linotype" w:eastAsia="Palatino Linotype" w:hAnsi="Palatino Linotype" w:cs="Palatino Linotype"/>
        </w:rPr>
      </w:pPr>
      <w:bookmarkStart w:id="8" w:name="_heading=h.1ksv4uv" w:colFirst="0" w:colLast="0"/>
      <w:bookmarkEnd w:id="8"/>
      <w:r w:rsidRPr="003D6833">
        <w:rPr>
          <w:rFonts w:ascii="Palatino Linotype" w:eastAsia="Palatino Linotype" w:hAnsi="Palatino Linotype" w:cs="Palatino Linotype"/>
          <w:b/>
        </w:rPr>
        <w:t xml:space="preserve">SEGUNDO. </w:t>
      </w:r>
      <w:r w:rsidRPr="003D6833">
        <w:rPr>
          <w:rFonts w:ascii="Palatino Linotype" w:eastAsia="Palatino Linotype" w:hAnsi="Palatino Linotype" w:cs="Palatino Linotype"/>
          <w:color w:val="000000"/>
        </w:rPr>
        <w:t xml:space="preserve">Se </w:t>
      </w:r>
      <w:r w:rsidR="000133CA" w:rsidRPr="003D6833">
        <w:rPr>
          <w:rFonts w:ascii="Palatino Linotype" w:eastAsia="Palatino Linotype" w:hAnsi="Palatino Linotype" w:cs="Palatino Linotype"/>
          <w:b/>
          <w:color w:val="000000"/>
        </w:rPr>
        <w:t xml:space="preserve">REVOCA </w:t>
      </w:r>
      <w:r w:rsidR="000133CA" w:rsidRPr="003D6833">
        <w:rPr>
          <w:rFonts w:ascii="Palatino Linotype" w:eastAsia="Palatino Linotype" w:hAnsi="Palatino Linotype" w:cs="Palatino Linotype"/>
          <w:color w:val="000000"/>
        </w:rPr>
        <w:t xml:space="preserve">la respuesta emitida por el </w:t>
      </w:r>
      <w:r w:rsidR="000133CA" w:rsidRPr="003D6833">
        <w:rPr>
          <w:rFonts w:ascii="Palatino Linotype" w:eastAsia="Palatino Linotype" w:hAnsi="Palatino Linotype" w:cs="Palatino Linotype"/>
          <w:b/>
          <w:color w:val="000000"/>
        </w:rPr>
        <w:t>Ayuntamiento de Acambay de Ruíz Castañeda</w:t>
      </w:r>
      <w:r w:rsidR="000133CA" w:rsidRPr="003D6833">
        <w:rPr>
          <w:rFonts w:ascii="Palatino Linotype" w:eastAsia="Palatino Linotype" w:hAnsi="Palatino Linotype" w:cs="Palatino Linotype"/>
          <w:color w:val="000000"/>
        </w:rPr>
        <w:t xml:space="preserve">, y se </w:t>
      </w:r>
      <w:r w:rsidRPr="003D6833">
        <w:rPr>
          <w:rFonts w:ascii="Palatino Linotype" w:eastAsia="Palatino Linotype" w:hAnsi="Palatino Linotype" w:cs="Palatino Linotype"/>
          <w:b/>
          <w:color w:val="000000"/>
        </w:rPr>
        <w:t xml:space="preserve">ORDENA </w:t>
      </w:r>
      <w:r w:rsidR="00D15D25" w:rsidRPr="003D6833">
        <w:rPr>
          <w:rFonts w:ascii="Palatino Linotype" w:eastAsia="Palatino Linotype" w:hAnsi="Palatino Linotype" w:cs="Palatino Linotype"/>
          <w:color w:val="000000"/>
        </w:rPr>
        <w:t>previa búsqueda exhaustiva y razonable e</w:t>
      </w:r>
      <w:r w:rsidRPr="003D6833">
        <w:rPr>
          <w:rFonts w:ascii="Palatino Linotype" w:eastAsia="Palatino Linotype" w:hAnsi="Palatino Linotype" w:cs="Palatino Linotype"/>
          <w:color w:val="000000"/>
        </w:rPr>
        <w:t>ntregar vía Sistema de Acceso a la Información Mexiquense (SAIMEX), la siguiente información, en versión pública</w:t>
      </w:r>
      <w:r w:rsidRPr="003D6833">
        <w:rPr>
          <w:rFonts w:ascii="Palatino Linotype" w:eastAsia="Palatino Linotype" w:hAnsi="Palatino Linotype" w:cs="Palatino Linotype"/>
        </w:rPr>
        <w:t>:</w:t>
      </w:r>
    </w:p>
    <w:p w:rsidR="003B4C14" w:rsidRPr="003D6833" w:rsidRDefault="003B4C14">
      <w:pPr>
        <w:spacing w:line="360" w:lineRule="auto"/>
        <w:jc w:val="both"/>
        <w:rPr>
          <w:rFonts w:ascii="Palatino Linotype" w:eastAsia="Palatino Linotype" w:hAnsi="Palatino Linotype" w:cs="Palatino Linotype"/>
          <w:color w:val="0D0D0D"/>
        </w:rPr>
      </w:pPr>
    </w:p>
    <w:p w:rsidR="003B4C14" w:rsidRPr="003D6833" w:rsidRDefault="00E3050A">
      <w:pPr>
        <w:numPr>
          <w:ilvl w:val="0"/>
          <w:numId w:val="9"/>
        </w:numPr>
        <w:spacing w:line="360" w:lineRule="auto"/>
        <w:jc w:val="both"/>
        <w:rPr>
          <w:rFonts w:ascii="Palatino Linotype" w:eastAsia="Palatino Linotype" w:hAnsi="Palatino Linotype" w:cs="Palatino Linotype"/>
          <w:b/>
          <w:color w:val="0D0D0D"/>
        </w:rPr>
      </w:pPr>
      <w:bookmarkStart w:id="9" w:name="_heading=h.3dy6vkm" w:colFirst="0" w:colLast="0"/>
      <w:bookmarkEnd w:id="9"/>
      <w:r w:rsidRPr="003D6833">
        <w:rPr>
          <w:rFonts w:ascii="Palatino Linotype" w:eastAsia="Palatino Linotype" w:hAnsi="Palatino Linotype" w:cs="Palatino Linotype"/>
          <w:b/>
          <w:color w:val="0D0D0D"/>
        </w:rPr>
        <w:t>Recibos de nómina de todo el personal del ayu</w:t>
      </w:r>
      <w:r w:rsidR="0076602D" w:rsidRPr="003D6833">
        <w:rPr>
          <w:rFonts w:ascii="Palatino Linotype" w:eastAsia="Palatino Linotype" w:hAnsi="Palatino Linotype" w:cs="Palatino Linotype"/>
          <w:b/>
          <w:color w:val="0D0D0D"/>
        </w:rPr>
        <w:t xml:space="preserve">ntamiento de </w:t>
      </w:r>
      <w:proofErr w:type="spellStart"/>
      <w:r w:rsidR="0076602D" w:rsidRPr="003D6833">
        <w:rPr>
          <w:rFonts w:ascii="Palatino Linotype" w:eastAsia="Palatino Linotype" w:hAnsi="Palatino Linotype" w:cs="Palatino Linotype"/>
          <w:b/>
          <w:color w:val="0D0D0D"/>
        </w:rPr>
        <w:t>Acambay</w:t>
      </w:r>
      <w:proofErr w:type="spellEnd"/>
      <w:r w:rsidR="0076602D" w:rsidRPr="003D6833">
        <w:rPr>
          <w:rFonts w:ascii="Palatino Linotype" w:eastAsia="Palatino Linotype" w:hAnsi="Palatino Linotype" w:cs="Palatino Linotype"/>
          <w:b/>
          <w:color w:val="0D0D0D"/>
        </w:rPr>
        <w:t xml:space="preserve"> de Ruíz </w:t>
      </w:r>
      <w:r w:rsidRPr="003D6833">
        <w:rPr>
          <w:rFonts w:ascii="Palatino Linotype" w:eastAsia="Palatino Linotype" w:hAnsi="Palatino Linotype" w:cs="Palatino Linotype"/>
          <w:b/>
          <w:color w:val="0D0D0D"/>
        </w:rPr>
        <w:t>Castañeda y del Sistema Integral para la Familia de Acambay, correspondiente a la primera y segunda quincena de abril de 2024.</w:t>
      </w:r>
    </w:p>
    <w:p w:rsidR="003B4C14" w:rsidRPr="003D6833" w:rsidRDefault="003B4C14">
      <w:pPr>
        <w:spacing w:line="360" w:lineRule="auto"/>
        <w:rPr>
          <w:rFonts w:ascii="Palatino Linotype" w:eastAsia="Palatino Linotype" w:hAnsi="Palatino Linotype" w:cs="Palatino Linotype"/>
          <w:b/>
          <w:color w:val="0D0D0D"/>
        </w:rPr>
      </w:pPr>
    </w:p>
    <w:p w:rsidR="003B4C14" w:rsidRPr="003D6833" w:rsidRDefault="00E3050A">
      <w:pPr>
        <w:spacing w:line="360" w:lineRule="auto"/>
        <w:jc w:val="both"/>
        <w:rPr>
          <w:rFonts w:ascii="Palatino Linotype" w:eastAsia="Palatino Linotype" w:hAnsi="Palatino Linotype" w:cs="Palatino Linotype"/>
          <w:b/>
        </w:rPr>
      </w:pPr>
      <w:r w:rsidRPr="003D6833">
        <w:rPr>
          <w:rFonts w:ascii="Palatino Linotype" w:eastAsia="Palatino Linotype" w:hAnsi="Palatino Linotype" w:cs="Palatino Linotype"/>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3D6833">
        <w:rPr>
          <w:rFonts w:ascii="Palatino Linotype" w:eastAsia="Palatino Linotype" w:hAnsi="Palatino Linotype" w:cs="Palatino Linotype"/>
          <w:b/>
        </w:rPr>
        <w:t>RECURRENTE.</w:t>
      </w:r>
    </w:p>
    <w:p w:rsidR="003B4C14" w:rsidRPr="003D6833" w:rsidRDefault="00E3050A">
      <w:pPr>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b/>
        </w:rPr>
        <w:t xml:space="preserve">TERCERO. Notifíquese </w:t>
      </w:r>
      <w:r w:rsidRPr="003D6833">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w:t>
      </w:r>
      <w:r w:rsidRPr="003D6833">
        <w:rPr>
          <w:rFonts w:ascii="Palatino Linotype" w:eastAsia="Palatino Linotype" w:hAnsi="Palatino Linotype" w:cs="Palatino Linotype"/>
        </w:rPr>
        <w:lastRenderedPageBreak/>
        <w:t>Ley  de Transparencia y Acceso a la Información Pública del Estado de México y Municipios.</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spacing w:line="360" w:lineRule="auto"/>
        <w:jc w:val="both"/>
        <w:rPr>
          <w:rFonts w:ascii="Palatino Linotype" w:eastAsia="Palatino Linotype" w:hAnsi="Palatino Linotype" w:cs="Palatino Linotype"/>
        </w:rPr>
      </w:pPr>
      <w:r w:rsidRPr="003D6833">
        <w:rPr>
          <w:rFonts w:ascii="Palatino Linotype" w:eastAsia="Palatino Linotype" w:hAnsi="Palatino Linotype" w:cs="Palatino Linotype"/>
          <w:b/>
        </w:rPr>
        <w:t xml:space="preserve">CUARTO. </w:t>
      </w:r>
      <w:r w:rsidRPr="003D683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D6833">
        <w:rPr>
          <w:rFonts w:ascii="Palatino Linotype" w:eastAsia="Palatino Linotype" w:hAnsi="Palatino Linotype" w:cs="Palatino Linotype"/>
          <w:b/>
        </w:rPr>
        <w:t>Sujeto Obligado</w:t>
      </w:r>
      <w:r w:rsidRPr="003D6833">
        <w:rPr>
          <w:rFonts w:ascii="Palatino Linotype" w:eastAsia="Palatino Linotype" w:hAnsi="Palatino Linotype" w:cs="Palatino Linotype"/>
        </w:rPr>
        <w:t xml:space="preserve"> de manera fundada y motivada, podrá solicitar una ampliación de plazo para el cumplimiento de la presente resolución.</w:t>
      </w:r>
    </w:p>
    <w:p w:rsidR="003B4C14" w:rsidRPr="003D6833" w:rsidRDefault="003B4C14">
      <w:pPr>
        <w:spacing w:line="360" w:lineRule="auto"/>
        <w:jc w:val="both"/>
        <w:rPr>
          <w:rFonts w:ascii="Palatino Linotype" w:eastAsia="Palatino Linotype" w:hAnsi="Palatino Linotype" w:cs="Palatino Linotype"/>
        </w:rPr>
      </w:pPr>
    </w:p>
    <w:p w:rsidR="003B4C14" w:rsidRPr="003D6833" w:rsidRDefault="00E3050A">
      <w:pPr>
        <w:tabs>
          <w:tab w:val="left" w:pos="8080"/>
        </w:tabs>
        <w:spacing w:line="360" w:lineRule="auto"/>
        <w:ind w:right="49"/>
        <w:jc w:val="both"/>
        <w:rPr>
          <w:rFonts w:ascii="Palatino Linotype" w:eastAsia="Palatino Linotype" w:hAnsi="Palatino Linotype" w:cs="Palatino Linotype"/>
        </w:rPr>
      </w:pPr>
      <w:bookmarkStart w:id="10" w:name="_heading=h.44sinio" w:colFirst="0" w:colLast="0"/>
      <w:bookmarkEnd w:id="10"/>
      <w:r w:rsidRPr="003D6833">
        <w:rPr>
          <w:rFonts w:ascii="Palatino Linotype" w:eastAsia="Palatino Linotype" w:hAnsi="Palatino Linotype" w:cs="Palatino Linotype"/>
          <w:b/>
        </w:rPr>
        <w:t xml:space="preserve">QUINTO. </w:t>
      </w:r>
      <w:r w:rsidRPr="003D6833">
        <w:rPr>
          <w:rFonts w:ascii="Palatino Linotype" w:eastAsia="Palatino Linotype" w:hAnsi="Palatino Linotype" w:cs="Palatino Linotype"/>
        </w:rPr>
        <w:t xml:space="preserve">Notifíquese al </w:t>
      </w:r>
      <w:r w:rsidRPr="003D6833">
        <w:rPr>
          <w:rFonts w:ascii="Palatino Linotype" w:eastAsia="Palatino Linotype" w:hAnsi="Palatino Linotype" w:cs="Palatino Linotype"/>
          <w:b/>
        </w:rPr>
        <w:t>Recurrente</w:t>
      </w:r>
      <w:r w:rsidRPr="003D6833">
        <w:rPr>
          <w:rFonts w:ascii="Palatino Linotype" w:eastAsia="Palatino Linotype" w:hAnsi="Palatino Linotype" w:cs="Palatino Linotype"/>
        </w:rPr>
        <w:t xml:space="preserve"> la presente resolución, vía </w:t>
      </w:r>
      <w:r w:rsidRPr="003D6833">
        <w:rPr>
          <w:rFonts w:ascii="Palatino Linotype" w:eastAsia="Palatino Linotype" w:hAnsi="Palatino Linotype" w:cs="Palatino Linotype"/>
          <w:b/>
        </w:rPr>
        <w:t>SAIMEX</w:t>
      </w:r>
      <w:r w:rsidRPr="003D6833">
        <w:rPr>
          <w:rFonts w:ascii="Palatino Linotype" w:eastAsia="Palatino Linotype" w:hAnsi="Palatino Linotype" w:cs="Palatino Linotype"/>
        </w:rPr>
        <w:t>.</w:t>
      </w:r>
    </w:p>
    <w:p w:rsidR="003B4C14" w:rsidRPr="003D6833" w:rsidRDefault="003B4C14">
      <w:pPr>
        <w:tabs>
          <w:tab w:val="left" w:pos="8080"/>
        </w:tabs>
        <w:spacing w:line="360" w:lineRule="auto"/>
        <w:ind w:right="49"/>
        <w:jc w:val="both"/>
        <w:rPr>
          <w:rFonts w:ascii="Palatino Linotype" w:eastAsia="Palatino Linotype" w:hAnsi="Palatino Linotype" w:cs="Palatino Linotype"/>
        </w:rPr>
      </w:pPr>
    </w:p>
    <w:p w:rsidR="003B4C14" w:rsidRPr="003D6833" w:rsidRDefault="00E3050A">
      <w:pPr>
        <w:widowControl w:val="0"/>
        <w:tabs>
          <w:tab w:val="left" w:pos="1701"/>
        </w:tabs>
        <w:spacing w:line="360" w:lineRule="auto"/>
        <w:jc w:val="both"/>
        <w:rPr>
          <w:rFonts w:ascii="Palatino Linotype" w:eastAsia="Palatino Linotype" w:hAnsi="Palatino Linotype" w:cs="Palatino Linotype"/>
          <w:color w:val="000000"/>
        </w:rPr>
      </w:pPr>
      <w:r w:rsidRPr="003D6833">
        <w:rPr>
          <w:rFonts w:ascii="Palatino Linotype" w:eastAsia="Palatino Linotype" w:hAnsi="Palatino Linotype" w:cs="Palatino Linotype"/>
          <w:b/>
          <w:color w:val="000000"/>
        </w:rPr>
        <w:t xml:space="preserve">SEXTO. </w:t>
      </w:r>
      <w:r w:rsidRPr="003D6833">
        <w:rPr>
          <w:rFonts w:ascii="Palatino Linotype" w:eastAsia="Palatino Linotype" w:hAnsi="Palatino Linotype" w:cs="Palatino Linotype"/>
          <w:color w:val="000000"/>
        </w:rPr>
        <w:t>Se hace del conocimiento del</w:t>
      </w:r>
      <w:r w:rsidRPr="003D6833">
        <w:rPr>
          <w:rFonts w:ascii="Palatino Linotype" w:eastAsia="Palatino Linotype" w:hAnsi="Palatino Linotype" w:cs="Palatino Linotype"/>
          <w:b/>
          <w:color w:val="000000"/>
        </w:rPr>
        <w:t xml:space="preserve"> Recurrente </w:t>
      </w:r>
      <w:r w:rsidRPr="003D6833">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3B4C14" w:rsidRPr="003D6833" w:rsidRDefault="003B4C14">
      <w:pPr>
        <w:widowControl w:val="0"/>
        <w:tabs>
          <w:tab w:val="left" w:pos="1701"/>
        </w:tabs>
        <w:spacing w:line="360" w:lineRule="auto"/>
        <w:jc w:val="both"/>
        <w:rPr>
          <w:rFonts w:ascii="Palatino Linotype" w:eastAsia="Palatino Linotype" w:hAnsi="Palatino Linotype" w:cs="Palatino Linotype"/>
          <w:color w:val="000000"/>
        </w:rPr>
      </w:pPr>
    </w:p>
    <w:p w:rsidR="002A0E88" w:rsidRPr="003D6833" w:rsidRDefault="002A0E88" w:rsidP="00285274">
      <w:pPr>
        <w:spacing w:line="360" w:lineRule="auto"/>
        <w:jc w:val="both"/>
        <w:rPr>
          <w:rFonts w:ascii="Palatino Linotype" w:hAnsi="Palatino Linotype"/>
        </w:rPr>
      </w:pPr>
      <w:r w:rsidRPr="003D6833">
        <w:rPr>
          <w:rFonts w:ascii="Palatino Linotype" w:hAnsi="Palatino Linotype"/>
          <w:b/>
        </w:rPr>
        <w:t>SÉPTIMO.</w:t>
      </w:r>
      <w:r w:rsidRPr="003D6833">
        <w:rPr>
          <w:rFonts w:ascii="Palatino Linotype" w:hAnsi="Palatino Linotype"/>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w:t>
      </w:r>
      <w:r w:rsidRPr="003D6833">
        <w:rPr>
          <w:rFonts w:ascii="Palatino Linotype" w:hAnsi="Palatino Linotype"/>
        </w:rPr>
        <w:lastRenderedPageBreak/>
        <w:t>Instituto, en términos de lo dispuesto en el Considerando</w:t>
      </w:r>
      <w:r w:rsidR="00285274" w:rsidRPr="003D6833">
        <w:rPr>
          <w:rFonts w:ascii="Palatino Linotype" w:hAnsi="Palatino Linotype"/>
        </w:rPr>
        <w:t xml:space="preserve"> SEXTO</w:t>
      </w:r>
      <w:r w:rsidRPr="003D6833">
        <w:rPr>
          <w:rFonts w:ascii="Palatino Linotype" w:hAnsi="Palatino Linotype"/>
        </w:rPr>
        <w:t xml:space="preserve"> de la presente Resolución.</w:t>
      </w:r>
    </w:p>
    <w:p w:rsidR="002A0E88" w:rsidRPr="003D6833" w:rsidRDefault="002A0E88">
      <w:pPr>
        <w:widowControl w:val="0"/>
        <w:tabs>
          <w:tab w:val="left" w:pos="1701"/>
        </w:tabs>
        <w:spacing w:line="360" w:lineRule="auto"/>
        <w:jc w:val="both"/>
        <w:rPr>
          <w:rFonts w:ascii="Palatino Linotype" w:eastAsia="Palatino Linotype" w:hAnsi="Palatino Linotype" w:cs="Palatino Linotype"/>
          <w:color w:val="000000"/>
        </w:rPr>
      </w:pPr>
    </w:p>
    <w:p w:rsidR="0076602D" w:rsidRPr="003C7186" w:rsidRDefault="0076602D" w:rsidP="0076602D">
      <w:pPr>
        <w:spacing w:line="360" w:lineRule="auto"/>
        <w:ind w:left="-142" w:right="-234" w:firstLine="1"/>
        <w:jc w:val="both"/>
        <w:rPr>
          <w:rFonts w:ascii="Palatino Linotype" w:hAnsi="Palatino Linotype"/>
        </w:rPr>
      </w:pPr>
      <w:r w:rsidRPr="003D683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8001D" w:rsidRPr="003D6833">
        <w:rPr>
          <w:rFonts w:ascii="Palatino Linotype" w:hAnsi="Palatino Linotype"/>
        </w:rPr>
        <w:t xml:space="preserve"> EMITIENDO VOTO PARTICULAR</w:t>
      </w:r>
      <w:r w:rsidRPr="003D6833">
        <w:rPr>
          <w:rFonts w:ascii="Palatino Linotype" w:hAnsi="Palatino Linotype"/>
        </w:rPr>
        <w:t xml:space="preserve"> Y GUADALUPE RAMÍREZ PEÑA</w:t>
      </w:r>
      <w:r w:rsidR="0038001D" w:rsidRPr="003D6833">
        <w:rPr>
          <w:rFonts w:ascii="Palatino Linotype" w:hAnsi="Palatino Linotype"/>
        </w:rPr>
        <w:t xml:space="preserve"> EMITIENDO VOTO PARTICULAR</w:t>
      </w:r>
      <w:r w:rsidRPr="003D6833">
        <w:rPr>
          <w:rFonts w:ascii="Palatino Linotype" w:hAnsi="Palatino Linotype"/>
        </w:rPr>
        <w:t>; EN LA CUADRAGÉSIMA PRIMERA SESIÓN ORDINARIA CELEBRADA EL VEINTISIETE (27) DE NOVIEMBRE DE DOS MIL VEINTICUATRO, ANTE EL SECRETARIO TÉCNICO DEL PLENO ALEXIS TAPIA RAMÍREZ.</w:t>
      </w:r>
      <w:r w:rsidRPr="003C7186">
        <w:rPr>
          <w:rFonts w:ascii="Palatino Linotype" w:hAnsi="Palatino Linotype"/>
        </w:rPr>
        <w:t xml:space="preserve"> </w:t>
      </w:r>
    </w:p>
    <w:p w:rsidR="003B4C14" w:rsidRDefault="003B4C14">
      <w:pPr>
        <w:tabs>
          <w:tab w:val="left" w:pos="284"/>
        </w:tabs>
        <w:spacing w:line="360" w:lineRule="auto"/>
        <w:jc w:val="both"/>
        <w:rPr>
          <w:rFonts w:ascii="Palatino Linotype" w:eastAsia="Palatino Linotype" w:hAnsi="Palatino Linotype" w:cs="Palatino Linotype"/>
        </w:rPr>
      </w:pPr>
    </w:p>
    <w:sectPr w:rsidR="003B4C14">
      <w:headerReference w:type="even" r:id="rId12"/>
      <w:headerReference w:type="default" r:id="rId13"/>
      <w:footerReference w:type="default" r:id="rId14"/>
      <w:headerReference w:type="first" r:id="rId15"/>
      <w:footerReference w:type="first" r:id="rId16"/>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8A" w:rsidRDefault="0023538A">
      <w:r>
        <w:separator/>
      </w:r>
    </w:p>
  </w:endnote>
  <w:endnote w:type="continuationSeparator" w:id="0">
    <w:p w:rsidR="0023538A" w:rsidRDefault="0023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14" w:rsidRDefault="00E3050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43345">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43345">
      <w:rPr>
        <w:b/>
        <w:noProof/>
        <w:color w:val="000000"/>
      </w:rPr>
      <w:t>63</w:t>
    </w:r>
    <w:r>
      <w:rPr>
        <w:b/>
        <w:color w:val="000000"/>
      </w:rPr>
      <w:fldChar w:fldCharType="end"/>
    </w:r>
  </w:p>
  <w:p w:rsidR="003B4C14" w:rsidRDefault="003B4C14">
    <w:pPr>
      <w:pBdr>
        <w:top w:val="nil"/>
        <w:left w:val="nil"/>
        <w:bottom w:val="nil"/>
        <w:right w:val="nil"/>
        <w:between w:val="nil"/>
      </w:pBdr>
      <w:tabs>
        <w:tab w:val="center" w:pos="4419"/>
        <w:tab w:val="right" w:pos="8838"/>
      </w:tabs>
      <w:rPr>
        <w:color w:val="000000"/>
      </w:rPr>
    </w:pPr>
  </w:p>
  <w:p w:rsidR="003B4C14" w:rsidRDefault="003B4C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14" w:rsidRDefault="00E3050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4334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43345">
      <w:rPr>
        <w:b/>
        <w:noProof/>
        <w:color w:val="000000"/>
      </w:rPr>
      <w:t>63</w:t>
    </w:r>
    <w:r>
      <w:rPr>
        <w:b/>
        <w:color w:val="000000"/>
      </w:rPr>
      <w:fldChar w:fldCharType="end"/>
    </w:r>
  </w:p>
  <w:p w:rsidR="003B4C14" w:rsidRDefault="003B4C14">
    <w:pPr>
      <w:pBdr>
        <w:top w:val="nil"/>
        <w:left w:val="nil"/>
        <w:bottom w:val="nil"/>
        <w:right w:val="nil"/>
        <w:between w:val="nil"/>
      </w:pBdr>
      <w:tabs>
        <w:tab w:val="center" w:pos="4419"/>
        <w:tab w:val="right" w:pos="8838"/>
      </w:tabs>
      <w:rPr>
        <w:color w:val="000000"/>
      </w:rPr>
    </w:pPr>
  </w:p>
  <w:p w:rsidR="003B4C14" w:rsidRDefault="003B4C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8A" w:rsidRDefault="0023538A">
      <w:r>
        <w:separator/>
      </w:r>
    </w:p>
  </w:footnote>
  <w:footnote w:type="continuationSeparator" w:id="0">
    <w:p w:rsidR="0023538A" w:rsidRDefault="0023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14" w:rsidRDefault="0023538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p w:rsidR="003B4C14" w:rsidRDefault="003B4C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14" w:rsidRDefault="003B4C14">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3B4C14">
      <w:trPr>
        <w:trHeight w:val="2803"/>
      </w:trPr>
      <w:tc>
        <w:tcPr>
          <w:tcW w:w="2268" w:type="dxa"/>
        </w:tcPr>
        <w:p w:rsidR="003B4C14" w:rsidRDefault="003B4C14">
          <w:pPr>
            <w:tabs>
              <w:tab w:val="right" w:pos="4273"/>
            </w:tabs>
            <w:rPr>
              <w:rFonts w:ascii="Garamond" w:eastAsia="Garamond" w:hAnsi="Garamond" w:cs="Garamond"/>
              <w:sz w:val="16"/>
              <w:szCs w:val="16"/>
            </w:rPr>
          </w:pPr>
        </w:p>
      </w:tc>
      <w:tc>
        <w:tcPr>
          <w:tcW w:w="6946" w:type="dxa"/>
        </w:tcPr>
        <w:p w:rsidR="003B4C14" w:rsidRDefault="003B4C14"/>
        <w:tbl>
          <w:tblPr>
            <w:tblStyle w:val="a6"/>
            <w:tblW w:w="6066" w:type="dxa"/>
            <w:tblInd w:w="775" w:type="dxa"/>
            <w:tblLayout w:type="fixed"/>
            <w:tblLook w:val="0400" w:firstRow="0" w:lastRow="0" w:firstColumn="0" w:lastColumn="0" w:noHBand="0" w:noVBand="1"/>
          </w:tblPr>
          <w:tblGrid>
            <w:gridCol w:w="2550"/>
            <w:gridCol w:w="3516"/>
          </w:tblGrid>
          <w:tr w:rsidR="003B4C14">
            <w:trPr>
              <w:trHeight w:val="144"/>
            </w:trPr>
            <w:tc>
              <w:tcPr>
                <w:tcW w:w="2550" w:type="dxa"/>
                <w:tcBorders>
                  <w:top w:val="nil"/>
                  <w:left w:val="nil"/>
                  <w:bottom w:val="nil"/>
                  <w:right w:val="nil"/>
                </w:tcBorders>
              </w:tcPr>
              <w:p w:rsidR="003B4C14" w:rsidRDefault="00E3050A">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16" w:type="dxa"/>
                <w:tcBorders>
                  <w:top w:val="nil"/>
                  <w:left w:val="nil"/>
                  <w:bottom w:val="nil"/>
                  <w:right w:val="nil"/>
                </w:tcBorders>
              </w:tcPr>
              <w:p w:rsidR="003B4C14" w:rsidRDefault="00E3050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03528/INFOEM/IP/RR/2024</w:t>
                </w:r>
              </w:p>
            </w:tc>
          </w:tr>
          <w:tr w:rsidR="003B4C14">
            <w:trPr>
              <w:trHeight w:val="283"/>
            </w:trPr>
            <w:tc>
              <w:tcPr>
                <w:tcW w:w="2550" w:type="dxa"/>
                <w:tcBorders>
                  <w:top w:val="nil"/>
                  <w:left w:val="nil"/>
                  <w:bottom w:val="nil"/>
                  <w:right w:val="nil"/>
                </w:tcBorders>
              </w:tcPr>
              <w:p w:rsidR="003B4C14" w:rsidRDefault="00E3050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16" w:type="dxa"/>
                <w:tcBorders>
                  <w:top w:val="nil"/>
                  <w:left w:val="nil"/>
                  <w:bottom w:val="nil"/>
                  <w:right w:val="nil"/>
                </w:tcBorders>
              </w:tcPr>
              <w:p w:rsidR="003B4C14" w:rsidRDefault="00E3050A">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Ayuntamiento de Acambay de</w:t>
                </w:r>
              </w:p>
              <w:p w:rsidR="003B4C14" w:rsidRDefault="00E3050A">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Ruíz Castañeda</w:t>
                </w:r>
              </w:p>
            </w:tc>
          </w:tr>
          <w:tr w:rsidR="003B4C14">
            <w:trPr>
              <w:trHeight w:val="283"/>
            </w:trPr>
            <w:tc>
              <w:tcPr>
                <w:tcW w:w="2550" w:type="dxa"/>
                <w:tcBorders>
                  <w:top w:val="nil"/>
                  <w:left w:val="nil"/>
                  <w:bottom w:val="nil"/>
                  <w:right w:val="nil"/>
                </w:tcBorders>
              </w:tcPr>
              <w:p w:rsidR="003B4C14" w:rsidRDefault="00E3050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16" w:type="dxa"/>
                <w:tcBorders>
                  <w:top w:val="nil"/>
                  <w:left w:val="nil"/>
                  <w:bottom w:val="nil"/>
                  <w:right w:val="nil"/>
                </w:tcBorders>
              </w:tcPr>
              <w:p w:rsidR="003B4C14" w:rsidRDefault="00E3050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3B4C14" w:rsidRDefault="003B4C14">
                <w:pPr>
                  <w:tabs>
                    <w:tab w:val="right" w:pos="8838"/>
                  </w:tabs>
                  <w:ind w:left="-74" w:right="-1415"/>
                  <w:rPr>
                    <w:rFonts w:ascii="Palatino Linotype" w:eastAsia="Palatino Linotype" w:hAnsi="Palatino Linotype" w:cs="Palatino Linotype"/>
                    <w:b/>
                  </w:rPr>
                </w:pPr>
              </w:p>
            </w:tc>
          </w:tr>
        </w:tbl>
        <w:p w:rsidR="003B4C14" w:rsidRDefault="003B4C14">
          <w:pPr>
            <w:tabs>
              <w:tab w:val="right" w:pos="8838"/>
            </w:tabs>
            <w:ind w:left="-28"/>
            <w:jc w:val="both"/>
            <w:rPr>
              <w:rFonts w:ascii="Arial" w:eastAsia="Arial" w:hAnsi="Arial" w:cs="Arial"/>
              <w:b/>
            </w:rPr>
          </w:pPr>
        </w:p>
      </w:tc>
    </w:tr>
  </w:tbl>
  <w:p w:rsidR="003B4C14" w:rsidRDefault="0023538A">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p w:rsidR="003B4C14" w:rsidRDefault="003B4C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14" w:rsidRDefault="003B4C14">
    <w:pPr>
      <w:widowControl w:val="0"/>
      <w:pBdr>
        <w:top w:val="nil"/>
        <w:left w:val="nil"/>
        <w:bottom w:val="nil"/>
        <w:right w:val="nil"/>
        <w:between w:val="nil"/>
      </w:pBdr>
      <w:spacing w:line="276" w:lineRule="auto"/>
      <w:rPr>
        <w:color w:val="000000"/>
        <w:sz w:val="14"/>
        <w:szCs w:val="14"/>
      </w:rPr>
    </w:pPr>
  </w:p>
  <w:tbl>
    <w:tblPr>
      <w:tblStyle w:val="a7"/>
      <w:tblW w:w="9915" w:type="dxa"/>
      <w:tblInd w:w="0" w:type="dxa"/>
      <w:tblLayout w:type="fixed"/>
      <w:tblLook w:val="0400" w:firstRow="0" w:lastRow="0" w:firstColumn="0" w:lastColumn="0" w:noHBand="0" w:noVBand="1"/>
    </w:tblPr>
    <w:tblGrid>
      <w:gridCol w:w="2265"/>
      <w:gridCol w:w="7650"/>
    </w:tblGrid>
    <w:tr w:rsidR="003B4C14">
      <w:trPr>
        <w:trHeight w:val="2514"/>
      </w:trPr>
      <w:tc>
        <w:tcPr>
          <w:tcW w:w="2265" w:type="dxa"/>
        </w:tcPr>
        <w:p w:rsidR="003B4C14" w:rsidRDefault="003B4C14">
          <w:pPr>
            <w:tabs>
              <w:tab w:val="right" w:pos="4273"/>
            </w:tabs>
            <w:rPr>
              <w:rFonts w:ascii="Garamond" w:eastAsia="Garamond" w:hAnsi="Garamond" w:cs="Garamond"/>
            </w:rPr>
          </w:pPr>
        </w:p>
      </w:tc>
      <w:tc>
        <w:tcPr>
          <w:tcW w:w="7650" w:type="dxa"/>
        </w:tcPr>
        <w:p w:rsidR="003B4C14" w:rsidRDefault="003B4C14">
          <w:pPr>
            <w:widowControl w:val="0"/>
            <w:pBdr>
              <w:top w:val="nil"/>
              <w:left w:val="nil"/>
              <w:bottom w:val="nil"/>
              <w:right w:val="nil"/>
              <w:between w:val="nil"/>
            </w:pBdr>
            <w:spacing w:line="276" w:lineRule="auto"/>
            <w:rPr>
              <w:rFonts w:ascii="Garamond" w:eastAsia="Garamond" w:hAnsi="Garamond" w:cs="Garamond"/>
            </w:rPr>
          </w:pPr>
        </w:p>
        <w:tbl>
          <w:tblPr>
            <w:tblStyle w:val="a8"/>
            <w:tblW w:w="6690" w:type="dxa"/>
            <w:tblInd w:w="700" w:type="dxa"/>
            <w:tblLayout w:type="fixed"/>
            <w:tblLook w:val="0400" w:firstRow="0" w:lastRow="0" w:firstColumn="0" w:lastColumn="0" w:noHBand="0" w:noVBand="1"/>
          </w:tblPr>
          <w:tblGrid>
            <w:gridCol w:w="2732"/>
            <w:gridCol w:w="3958"/>
          </w:tblGrid>
          <w:tr w:rsidR="003B4C14">
            <w:trPr>
              <w:trHeight w:val="144"/>
            </w:trPr>
            <w:tc>
              <w:tcPr>
                <w:tcW w:w="2732" w:type="dxa"/>
                <w:tcBorders>
                  <w:top w:val="nil"/>
                  <w:left w:val="nil"/>
                  <w:bottom w:val="nil"/>
                  <w:right w:val="nil"/>
                </w:tcBorders>
              </w:tcPr>
              <w:p w:rsidR="003B4C14" w:rsidRDefault="00E3050A">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958" w:type="dxa"/>
                <w:tcBorders>
                  <w:top w:val="nil"/>
                  <w:left w:val="nil"/>
                  <w:bottom w:val="nil"/>
                  <w:right w:val="nil"/>
                </w:tcBorders>
              </w:tcPr>
              <w:p w:rsidR="003B4C14" w:rsidRDefault="00E3050A">
                <w:pPr>
                  <w:ind w:right="-494"/>
                  <w:rPr>
                    <w:rFonts w:ascii="Palatino Linotype" w:eastAsia="Palatino Linotype" w:hAnsi="Palatino Linotype" w:cs="Palatino Linotype"/>
                  </w:rPr>
                </w:pPr>
                <w:r>
                  <w:rPr>
                    <w:rFonts w:ascii="Palatino Linotype" w:eastAsia="Palatino Linotype" w:hAnsi="Palatino Linotype" w:cs="Palatino Linotype"/>
                  </w:rPr>
                  <w:t>03528/INFOEM/IP/RR/2024</w:t>
                </w:r>
              </w:p>
            </w:tc>
          </w:tr>
          <w:tr w:rsidR="003B4C14">
            <w:trPr>
              <w:trHeight w:val="144"/>
            </w:trPr>
            <w:tc>
              <w:tcPr>
                <w:tcW w:w="2732" w:type="dxa"/>
                <w:tcBorders>
                  <w:top w:val="nil"/>
                  <w:left w:val="nil"/>
                  <w:bottom w:val="nil"/>
                  <w:right w:val="nil"/>
                </w:tcBorders>
              </w:tcPr>
              <w:p w:rsidR="003B4C14" w:rsidRDefault="00E3050A">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958" w:type="dxa"/>
                <w:tcBorders>
                  <w:top w:val="nil"/>
                  <w:left w:val="nil"/>
                  <w:bottom w:val="nil"/>
                  <w:right w:val="nil"/>
                </w:tcBorders>
              </w:tcPr>
              <w:p w:rsidR="003B4C14" w:rsidRDefault="00843345">
                <w:pPr>
                  <w:tabs>
                    <w:tab w:val="left" w:pos="3827"/>
                  </w:tabs>
                  <w:ind w:right="-494"/>
                  <w:rPr>
                    <w:rFonts w:ascii="Palatino Linotype" w:eastAsia="Palatino Linotype" w:hAnsi="Palatino Linotype" w:cs="Palatino Linotype"/>
                  </w:rPr>
                </w:pPr>
                <w:r>
                  <w:rPr>
                    <w:rFonts w:ascii="Palatino Linotype" w:eastAsia="Palatino Linotype" w:hAnsi="Palatino Linotype" w:cs="Palatino Linotype"/>
                  </w:rPr>
                  <w:t>XXXXXXXXXXX</w:t>
                </w:r>
              </w:p>
            </w:tc>
          </w:tr>
          <w:tr w:rsidR="003B4C14">
            <w:trPr>
              <w:trHeight w:val="283"/>
            </w:trPr>
            <w:tc>
              <w:tcPr>
                <w:tcW w:w="2732" w:type="dxa"/>
                <w:tcBorders>
                  <w:top w:val="nil"/>
                  <w:left w:val="nil"/>
                  <w:bottom w:val="nil"/>
                  <w:right w:val="nil"/>
                </w:tcBorders>
              </w:tcPr>
              <w:p w:rsidR="003B4C14" w:rsidRDefault="00E3050A">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958" w:type="dxa"/>
                <w:tcBorders>
                  <w:top w:val="nil"/>
                  <w:left w:val="nil"/>
                  <w:bottom w:val="nil"/>
                  <w:right w:val="nil"/>
                </w:tcBorders>
              </w:tcPr>
              <w:p w:rsidR="003B4C14" w:rsidRDefault="00E3050A">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Ayuntamiento de Acambay de Ruiz Castañeda</w:t>
                </w:r>
              </w:p>
            </w:tc>
          </w:tr>
          <w:tr w:rsidR="003B4C14">
            <w:trPr>
              <w:trHeight w:val="283"/>
            </w:trPr>
            <w:tc>
              <w:tcPr>
                <w:tcW w:w="2732" w:type="dxa"/>
                <w:tcBorders>
                  <w:top w:val="nil"/>
                  <w:left w:val="nil"/>
                  <w:bottom w:val="nil"/>
                  <w:right w:val="nil"/>
                </w:tcBorders>
              </w:tcPr>
              <w:p w:rsidR="003B4C14" w:rsidRDefault="00E3050A">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958" w:type="dxa"/>
                <w:tcBorders>
                  <w:top w:val="nil"/>
                  <w:left w:val="nil"/>
                  <w:bottom w:val="nil"/>
                  <w:right w:val="nil"/>
                </w:tcBorders>
              </w:tcPr>
              <w:p w:rsidR="003B4C14" w:rsidRDefault="00E3050A">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3B4C14" w:rsidRDefault="003B4C14">
                <w:pPr>
                  <w:ind w:right="-494"/>
                  <w:rPr>
                    <w:rFonts w:ascii="Palatino Linotype" w:eastAsia="Palatino Linotype" w:hAnsi="Palatino Linotype" w:cs="Palatino Linotype"/>
                    <w:b/>
                  </w:rPr>
                </w:pPr>
              </w:p>
            </w:tc>
          </w:tr>
        </w:tbl>
        <w:p w:rsidR="003B4C14" w:rsidRDefault="003B4C14">
          <w:pPr>
            <w:tabs>
              <w:tab w:val="right" w:pos="8838"/>
            </w:tabs>
            <w:ind w:left="-28"/>
            <w:jc w:val="both"/>
            <w:rPr>
              <w:rFonts w:ascii="Arial" w:eastAsia="Arial" w:hAnsi="Arial" w:cs="Arial"/>
              <w:b/>
            </w:rPr>
          </w:pPr>
        </w:p>
      </w:tc>
    </w:tr>
  </w:tbl>
  <w:p w:rsidR="003B4C14" w:rsidRDefault="0023538A">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p w:rsidR="003B4C14" w:rsidRDefault="003B4C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2DAF"/>
    <w:multiLevelType w:val="multilevel"/>
    <w:tmpl w:val="9E907BB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19AB6B31"/>
    <w:multiLevelType w:val="multilevel"/>
    <w:tmpl w:val="F27E889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8F4AD0"/>
    <w:multiLevelType w:val="multilevel"/>
    <w:tmpl w:val="887ECF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14E684C"/>
    <w:multiLevelType w:val="multilevel"/>
    <w:tmpl w:val="DBDAD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663E2A"/>
    <w:multiLevelType w:val="multilevel"/>
    <w:tmpl w:val="01D45A76"/>
    <w:lvl w:ilvl="0">
      <w:start w:val="1"/>
      <w:numFmt w:val="decimal"/>
      <w:lvlText w:val="%1."/>
      <w:lvlJc w:val="left"/>
      <w:pPr>
        <w:ind w:left="4896"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C61CBA"/>
    <w:multiLevelType w:val="multilevel"/>
    <w:tmpl w:val="7B4C93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7637D3"/>
    <w:multiLevelType w:val="multilevel"/>
    <w:tmpl w:val="A24260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9B645C"/>
    <w:multiLevelType w:val="multilevel"/>
    <w:tmpl w:val="BA3C12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5A466D"/>
    <w:multiLevelType w:val="multilevel"/>
    <w:tmpl w:val="04988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6D47CC"/>
    <w:multiLevelType w:val="multilevel"/>
    <w:tmpl w:val="673E507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133C10"/>
    <w:multiLevelType w:val="multilevel"/>
    <w:tmpl w:val="CB74C5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4859B3"/>
    <w:multiLevelType w:val="multilevel"/>
    <w:tmpl w:val="F4FC124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2A1E10"/>
    <w:multiLevelType w:val="multilevel"/>
    <w:tmpl w:val="FBE40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5B39DA"/>
    <w:multiLevelType w:val="multilevel"/>
    <w:tmpl w:val="63AC3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697D12"/>
    <w:multiLevelType w:val="multilevel"/>
    <w:tmpl w:val="FFE8FFE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3E7411"/>
    <w:multiLevelType w:val="multilevel"/>
    <w:tmpl w:val="021419D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B965AF"/>
    <w:multiLevelType w:val="multilevel"/>
    <w:tmpl w:val="53381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AD18C4"/>
    <w:multiLevelType w:val="multilevel"/>
    <w:tmpl w:val="74647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693CA3"/>
    <w:multiLevelType w:val="multilevel"/>
    <w:tmpl w:val="E3DC14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4"/>
  </w:num>
  <w:num w:numId="6">
    <w:abstractNumId w:val="17"/>
  </w:num>
  <w:num w:numId="7">
    <w:abstractNumId w:val="1"/>
  </w:num>
  <w:num w:numId="8">
    <w:abstractNumId w:val="12"/>
  </w:num>
  <w:num w:numId="9">
    <w:abstractNumId w:val="19"/>
  </w:num>
  <w:num w:numId="10">
    <w:abstractNumId w:val="18"/>
  </w:num>
  <w:num w:numId="11">
    <w:abstractNumId w:val="14"/>
  </w:num>
  <w:num w:numId="12">
    <w:abstractNumId w:val="13"/>
  </w:num>
  <w:num w:numId="13">
    <w:abstractNumId w:val="0"/>
  </w:num>
  <w:num w:numId="14">
    <w:abstractNumId w:val="7"/>
  </w:num>
  <w:num w:numId="15">
    <w:abstractNumId w:val="11"/>
  </w:num>
  <w:num w:numId="16">
    <w:abstractNumId w:val="8"/>
  </w:num>
  <w:num w:numId="17">
    <w:abstractNumId w:val="2"/>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14"/>
    <w:rsid w:val="00001F24"/>
    <w:rsid w:val="000133CA"/>
    <w:rsid w:val="0023538A"/>
    <w:rsid w:val="00285274"/>
    <w:rsid w:val="002A0E88"/>
    <w:rsid w:val="002E0BE0"/>
    <w:rsid w:val="0038001D"/>
    <w:rsid w:val="003B4C14"/>
    <w:rsid w:val="003D6833"/>
    <w:rsid w:val="0076602D"/>
    <w:rsid w:val="007E0005"/>
    <w:rsid w:val="007F17D3"/>
    <w:rsid w:val="00843345"/>
    <w:rsid w:val="009A2ED0"/>
    <w:rsid w:val="00A61376"/>
    <w:rsid w:val="00A71D0A"/>
    <w:rsid w:val="00B464C8"/>
    <w:rsid w:val="00C13C3B"/>
    <w:rsid w:val="00D15D25"/>
    <w:rsid w:val="00E3050A"/>
    <w:rsid w:val="00EB3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5199DF6-FA73-4DCD-9AA2-A1B088F5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38"/>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22D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semiHidden/>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table" w:customStyle="1" w:styleId="Tablanormal12">
    <w:name w:val="Tabla normal 12"/>
    <w:basedOn w:val="Tablanormal"/>
    <w:next w:val="Tablanormal1"/>
    <w:uiPriority w:val="41"/>
    <w:rsid w:val="00CF2A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CF2A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A22DCA"/>
    <w:rPr>
      <w:rFonts w:asciiTheme="majorHAnsi" w:eastAsiaTheme="majorEastAsia" w:hAnsiTheme="majorHAnsi" w:cstheme="majorBidi"/>
      <w:color w:val="1F3763" w:themeColor="accent1" w:themeShade="7F"/>
      <w:kern w:val="0"/>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iJHykEtQCX0JbSJ0yMCBHX4tA==">CgMxLjAyCGguZ2pkZ3hzMgloLjMwajB6bGwyCWguMWZvYjl0ZTIJaC4zem55c2g3MgloLjJldDkycDAyCGgudHlqY3d0Mg5oLjJxcTlya2xud3V3MDIJaC4xa3N2NHV2MgloLjNkeTZ2a20yCWguNDRzaW5pbzgAciExLW40MTRkd01FRVVDUDZGSUlhaktDT0lRVGF1Ny1ERXE=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63</Pages>
  <Words>12002</Words>
  <Characters>66011</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gaona valle</dc:creator>
  <cp:lastModifiedBy>INFOEM403</cp:lastModifiedBy>
  <cp:revision>13</cp:revision>
  <dcterms:created xsi:type="dcterms:W3CDTF">2024-11-20T15:47:00Z</dcterms:created>
  <dcterms:modified xsi:type="dcterms:W3CDTF">2025-01-28T21:40:00Z</dcterms:modified>
</cp:coreProperties>
</file>