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50FF" w14:textId="76157B82" w:rsidR="006D5E1C" w:rsidRPr="00176119" w:rsidRDefault="005204B5" w:rsidP="00D450E9">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17611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w:t>
      </w:r>
      <w:r w:rsidR="00103AF3" w:rsidRPr="00176119">
        <w:rPr>
          <w:rFonts w:ascii="Palatino Linotype" w:eastAsia="Palatino Linotype" w:hAnsi="Palatino Linotype" w:cs="Palatino Linotype"/>
          <w:sz w:val="22"/>
          <w:szCs w:val="22"/>
        </w:rPr>
        <w:t>Municipios</w:t>
      </w:r>
      <w:r w:rsidRPr="00176119">
        <w:rPr>
          <w:rFonts w:ascii="Palatino Linotype" w:eastAsia="Palatino Linotype" w:hAnsi="Palatino Linotype" w:cs="Palatino Linotype"/>
          <w:sz w:val="22"/>
          <w:szCs w:val="22"/>
        </w:rPr>
        <w:t xml:space="preserve">, con domicilio en Metepec, Estado de México, a </w:t>
      </w:r>
      <w:r w:rsidR="00BE3EB1">
        <w:rPr>
          <w:rFonts w:ascii="Palatino Linotype" w:eastAsia="Palatino Linotype" w:hAnsi="Palatino Linotype" w:cs="Palatino Linotype"/>
          <w:sz w:val="22"/>
          <w:szCs w:val="22"/>
        </w:rPr>
        <w:t xml:space="preserve">seis de noviembre </w:t>
      </w:r>
      <w:r w:rsidRPr="00176119">
        <w:rPr>
          <w:rFonts w:ascii="Palatino Linotype" w:eastAsia="Palatino Linotype" w:hAnsi="Palatino Linotype" w:cs="Palatino Linotype"/>
          <w:sz w:val="22"/>
          <w:szCs w:val="22"/>
        </w:rPr>
        <w:t>de dos mil veinti</w:t>
      </w:r>
      <w:r w:rsidR="003C18F1" w:rsidRPr="00176119">
        <w:rPr>
          <w:rFonts w:ascii="Palatino Linotype" w:eastAsia="Palatino Linotype" w:hAnsi="Palatino Linotype" w:cs="Palatino Linotype"/>
          <w:sz w:val="22"/>
          <w:szCs w:val="22"/>
        </w:rPr>
        <w:t>cuatro</w:t>
      </w:r>
      <w:r w:rsidRPr="00176119">
        <w:rPr>
          <w:rFonts w:ascii="Palatino Linotype" w:eastAsia="Palatino Linotype" w:hAnsi="Palatino Linotype" w:cs="Palatino Linotype"/>
          <w:sz w:val="22"/>
          <w:szCs w:val="22"/>
        </w:rPr>
        <w:t xml:space="preserve">. </w:t>
      </w:r>
    </w:p>
    <w:p w14:paraId="12CD713E"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0B8C4592" w14:textId="6B9F48A9" w:rsidR="006D5E1C" w:rsidRPr="00176119" w:rsidRDefault="005204B5"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VISTO</w:t>
      </w:r>
      <w:r w:rsidRPr="00176119">
        <w:rPr>
          <w:rFonts w:ascii="Palatino Linotype" w:eastAsia="Palatino Linotype" w:hAnsi="Palatino Linotype" w:cs="Palatino Linotype"/>
          <w:sz w:val="22"/>
          <w:szCs w:val="22"/>
        </w:rPr>
        <w:t xml:space="preserve"> el expediente formado con motivo del recurso de revisión </w:t>
      </w:r>
      <w:r w:rsidRPr="00176119">
        <w:rPr>
          <w:rFonts w:ascii="Palatino Linotype" w:eastAsia="Palatino Linotype" w:hAnsi="Palatino Linotype" w:cs="Palatino Linotype"/>
          <w:b/>
          <w:sz w:val="22"/>
          <w:szCs w:val="22"/>
        </w:rPr>
        <w:t>0</w:t>
      </w:r>
      <w:r w:rsidR="000C17CE" w:rsidRPr="00176119">
        <w:rPr>
          <w:rFonts w:ascii="Palatino Linotype" w:eastAsia="Palatino Linotype" w:hAnsi="Palatino Linotype" w:cs="Palatino Linotype"/>
          <w:b/>
          <w:sz w:val="22"/>
          <w:szCs w:val="22"/>
        </w:rPr>
        <w:t>5734</w:t>
      </w:r>
      <w:r w:rsidRPr="00176119">
        <w:rPr>
          <w:rFonts w:ascii="Palatino Linotype" w:eastAsia="Palatino Linotype" w:hAnsi="Palatino Linotype" w:cs="Palatino Linotype"/>
          <w:b/>
          <w:sz w:val="22"/>
          <w:szCs w:val="22"/>
        </w:rPr>
        <w:t>/INFOEM/IP/RR/202</w:t>
      </w:r>
      <w:r w:rsidR="002B05EF" w:rsidRPr="00176119">
        <w:rPr>
          <w:rFonts w:ascii="Palatino Linotype" w:eastAsia="Palatino Linotype" w:hAnsi="Palatino Linotype" w:cs="Palatino Linotype"/>
          <w:b/>
          <w:sz w:val="22"/>
          <w:szCs w:val="22"/>
        </w:rPr>
        <w:t>4</w:t>
      </w:r>
      <w:r w:rsidRPr="00176119">
        <w:rPr>
          <w:rFonts w:ascii="Palatino Linotype" w:eastAsia="Palatino Linotype" w:hAnsi="Palatino Linotype" w:cs="Palatino Linotype"/>
          <w:sz w:val="22"/>
          <w:szCs w:val="22"/>
        </w:rPr>
        <w:t>, interpuesto por</w:t>
      </w:r>
      <w:r w:rsidRPr="00176119">
        <w:rPr>
          <w:rFonts w:ascii="Palatino Linotype" w:eastAsia="Palatino Linotype" w:hAnsi="Palatino Linotype" w:cs="Palatino Linotype"/>
          <w:b/>
          <w:sz w:val="22"/>
          <w:szCs w:val="22"/>
        </w:rPr>
        <w:t xml:space="preserve"> </w:t>
      </w:r>
      <w:r w:rsidR="006A162B" w:rsidRPr="006A162B">
        <w:rPr>
          <w:rFonts w:ascii="Palatino Linotype" w:eastAsia="Palatino Linotype" w:hAnsi="Palatino Linotype" w:cs="Palatino Linotype"/>
          <w:b/>
          <w:sz w:val="22"/>
          <w:szCs w:val="22"/>
        </w:rPr>
        <w:t>XXXX XXXXX XXXXXX XXXX</w:t>
      </w:r>
      <w:r w:rsidRPr="00176119">
        <w:rPr>
          <w:rFonts w:ascii="Palatino Linotype" w:eastAsia="Palatino Linotype" w:hAnsi="Palatino Linotype" w:cs="Palatino Linotype"/>
          <w:b/>
          <w:sz w:val="22"/>
          <w:szCs w:val="22"/>
        </w:rPr>
        <w:t>,</w:t>
      </w:r>
      <w:r w:rsidRPr="00176119">
        <w:rPr>
          <w:rFonts w:ascii="Palatino Linotype" w:eastAsia="Palatino Linotype" w:hAnsi="Palatino Linotype" w:cs="Palatino Linotype"/>
          <w:sz w:val="22"/>
          <w:szCs w:val="22"/>
        </w:rPr>
        <w:t xml:space="preserve"> en lo sucesivo</w:t>
      </w:r>
      <w:r w:rsidR="00CF1B07" w:rsidRPr="00176119">
        <w:rPr>
          <w:rFonts w:ascii="Palatino Linotype" w:eastAsia="Palatino Linotype" w:hAnsi="Palatino Linotype" w:cs="Palatino Linotype"/>
          <w:sz w:val="22"/>
          <w:szCs w:val="22"/>
        </w:rPr>
        <w:t xml:space="preserve"> será identificada como</w:t>
      </w:r>
      <w:r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sz w:val="22"/>
          <w:szCs w:val="22"/>
        </w:rPr>
        <w:t xml:space="preserve">la parte </w:t>
      </w:r>
      <w:r w:rsidRPr="00176119">
        <w:rPr>
          <w:rFonts w:ascii="Palatino Linotype" w:eastAsia="Palatino Linotype" w:hAnsi="Palatino Linotype" w:cs="Palatino Linotype"/>
          <w:b/>
          <w:sz w:val="22"/>
          <w:szCs w:val="22"/>
        </w:rPr>
        <w:t>Recurrente,</w:t>
      </w:r>
      <w:r w:rsidRPr="00176119">
        <w:rPr>
          <w:rFonts w:ascii="Palatino Linotype" w:eastAsia="Palatino Linotype" w:hAnsi="Palatino Linotype" w:cs="Palatino Linotype"/>
          <w:sz w:val="22"/>
          <w:szCs w:val="22"/>
        </w:rPr>
        <w:t xml:space="preserve"> en contra de la</w:t>
      </w:r>
      <w:r w:rsidR="004C4E8C" w:rsidRPr="00176119">
        <w:rPr>
          <w:rFonts w:ascii="Palatino Linotype" w:eastAsia="Palatino Linotype" w:hAnsi="Palatino Linotype" w:cs="Palatino Linotype"/>
          <w:sz w:val="22"/>
          <w:szCs w:val="22"/>
        </w:rPr>
        <w:t xml:space="preserve"> falta de</w:t>
      </w:r>
      <w:r w:rsidRPr="00176119">
        <w:rPr>
          <w:rFonts w:ascii="Palatino Linotype" w:eastAsia="Palatino Linotype" w:hAnsi="Palatino Linotype" w:cs="Palatino Linotype"/>
          <w:sz w:val="22"/>
          <w:szCs w:val="22"/>
        </w:rPr>
        <w:t xml:space="preserve"> respuesta a su solicitud</w:t>
      </w:r>
      <w:r w:rsidR="004E09B3" w:rsidRPr="00176119">
        <w:rPr>
          <w:rFonts w:ascii="Palatino Linotype" w:eastAsia="Palatino Linotype" w:hAnsi="Palatino Linotype" w:cs="Palatino Linotype"/>
          <w:sz w:val="22"/>
          <w:szCs w:val="22"/>
        </w:rPr>
        <w:t xml:space="preserve"> de información </w:t>
      </w:r>
      <w:r w:rsidRPr="00176119">
        <w:rPr>
          <w:rFonts w:ascii="Palatino Linotype" w:eastAsia="Palatino Linotype" w:hAnsi="Palatino Linotype" w:cs="Palatino Linotype"/>
          <w:sz w:val="22"/>
          <w:szCs w:val="22"/>
        </w:rPr>
        <w:t>por parte del</w:t>
      </w:r>
      <w:r w:rsidRPr="00176119">
        <w:rPr>
          <w:rFonts w:ascii="Palatino Linotype" w:eastAsia="Palatino Linotype" w:hAnsi="Palatino Linotype" w:cs="Palatino Linotype"/>
          <w:b/>
          <w:sz w:val="22"/>
          <w:szCs w:val="22"/>
        </w:rPr>
        <w:t xml:space="preserve"> </w:t>
      </w:r>
      <w:r w:rsidR="000C17CE" w:rsidRPr="00176119">
        <w:rPr>
          <w:rFonts w:ascii="Palatino Linotype" w:eastAsia="Palatino Linotype" w:hAnsi="Palatino Linotype" w:cs="Palatino Linotype"/>
          <w:b/>
          <w:sz w:val="22"/>
          <w:szCs w:val="22"/>
        </w:rPr>
        <w:t>Instituto Municipal de Cultura Física y Deporte de Huehuetoca</w:t>
      </w:r>
      <w:r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sz w:val="22"/>
          <w:szCs w:val="22"/>
        </w:rPr>
        <w:t xml:space="preserve">en lo sucesivo el </w:t>
      </w:r>
      <w:r w:rsidRPr="00176119">
        <w:rPr>
          <w:rFonts w:ascii="Palatino Linotype" w:eastAsia="Palatino Linotype" w:hAnsi="Palatino Linotype" w:cs="Palatino Linotype"/>
          <w:b/>
          <w:sz w:val="22"/>
          <w:szCs w:val="22"/>
        </w:rPr>
        <w:t xml:space="preserve">Sujeto Obligado, </w:t>
      </w:r>
      <w:r w:rsidRPr="00176119">
        <w:rPr>
          <w:rFonts w:ascii="Palatino Linotype" w:eastAsia="Palatino Linotype" w:hAnsi="Palatino Linotype" w:cs="Palatino Linotype"/>
          <w:sz w:val="22"/>
          <w:szCs w:val="22"/>
        </w:rPr>
        <w:t xml:space="preserve">se procede a dictar la presente resolución con base en los siguientes: </w:t>
      </w:r>
    </w:p>
    <w:p w14:paraId="6E7E0993"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1F559A21" w14:textId="77777777" w:rsidR="006D5E1C" w:rsidRPr="00176119" w:rsidRDefault="005204B5" w:rsidP="00D450E9">
      <w:pPr>
        <w:spacing w:line="360" w:lineRule="auto"/>
        <w:jc w:val="center"/>
        <w:rPr>
          <w:rFonts w:ascii="Palatino Linotype" w:eastAsia="Palatino Linotype" w:hAnsi="Palatino Linotype" w:cs="Palatino Linotype"/>
          <w:b/>
          <w:sz w:val="22"/>
          <w:szCs w:val="22"/>
        </w:rPr>
      </w:pPr>
      <w:r w:rsidRPr="00176119">
        <w:rPr>
          <w:rFonts w:ascii="Palatino Linotype" w:eastAsia="Palatino Linotype" w:hAnsi="Palatino Linotype" w:cs="Palatino Linotype"/>
          <w:b/>
          <w:sz w:val="22"/>
          <w:szCs w:val="22"/>
        </w:rPr>
        <w:t>I. A N T E C E D E N T E S</w:t>
      </w:r>
    </w:p>
    <w:p w14:paraId="74423320" w14:textId="77777777" w:rsidR="00D450E9" w:rsidRPr="00176119" w:rsidRDefault="00D450E9" w:rsidP="00D450E9">
      <w:pPr>
        <w:spacing w:line="360" w:lineRule="auto"/>
        <w:jc w:val="center"/>
        <w:rPr>
          <w:rFonts w:ascii="Palatino Linotype" w:eastAsia="Palatino Linotype" w:hAnsi="Palatino Linotype" w:cs="Palatino Linotype"/>
          <w:b/>
          <w:sz w:val="22"/>
          <w:szCs w:val="22"/>
        </w:rPr>
      </w:pPr>
    </w:p>
    <w:p w14:paraId="32069E49" w14:textId="51F330F1" w:rsidR="006D5E1C" w:rsidRPr="00176119" w:rsidRDefault="005204B5"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1. Solicitud de acceso a la información.</w:t>
      </w:r>
      <w:r w:rsidRPr="00176119">
        <w:rPr>
          <w:rFonts w:ascii="Palatino Linotype" w:eastAsia="Palatino Linotype" w:hAnsi="Palatino Linotype" w:cs="Palatino Linotype"/>
          <w:sz w:val="22"/>
          <w:szCs w:val="22"/>
        </w:rPr>
        <w:t xml:space="preserve"> Con fecha </w:t>
      </w:r>
      <w:r w:rsidR="000C17CE" w:rsidRPr="00176119">
        <w:rPr>
          <w:rFonts w:ascii="Palatino Linotype" w:eastAsia="Palatino Linotype" w:hAnsi="Palatino Linotype" w:cs="Palatino Linotype"/>
          <w:b/>
          <w:sz w:val="22"/>
          <w:szCs w:val="22"/>
        </w:rPr>
        <w:t>ocho de agosto</w:t>
      </w:r>
      <w:r w:rsidR="004E09B3"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b/>
          <w:sz w:val="22"/>
          <w:szCs w:val="22"/>
        </w:rPr>
        <w:t>de</w:t>
      </w:r>
      <w:r w:rsidRPr="00176119">
        <w:rPr>
          <w:rFonts w:ascii="Palatino Linotype" w:eastAsia="Palatino Linotype" w:hAnsi="Palatino Linotype" w:cs="Palatino Linotype"/>
          <w:sz w:val="22"/>
          <w:szCs w:val="22"/>
        </w:rPr>
        <w:t xml:space="preserve"> </w:t>
      </w:r>
      <w:r w:rsidRPr="00176119">
        <w:rPr>
          <w:rFonts w:ascii="Palatino Linotype" w:eastAsia="Palatino Linotype" w:hAnsi="Palatino Linotype" w:cs="Palatino Linotype"/>
          <w:b/>
          <w:sz w:val="22"/>
          <w:szCs w:val="22"/>
        </w:rPr>
        <w:t>dos mil veinti</w:t>
      </w:r>
      <w:r w:rsidR="004E09B3" w:rsidRPr="00176119">
        <w:rPr>
          <w:rFonts w:ascii="Palatino Linotype" w:eastAsia="Palatino Linotype" w:hAnsi="Palatino Linotype" w:cs="Palatino Linotype"/>
          <w:b/>
          <w:sz w:val="22"/>
          <w:szCs w:val="22"/>
        </w:rPr>
        <w:t>cuatro</w:t>
      </w:r>
      <w:r w:rsidRPr="00176119">
        <w:rPr>
          <w:rFonts w:ascii="Palatino Linotype" w:eastAsia="Palatino Linotype" w:hAnsi="Palatino Linotype" w:cs="Palatino Linotype"/>
          <w:b/>
          <w:sz w:val="22"/>
          <w:szCs w:val="22"/>
        </w:rPr>
        <w:t>,</w:t>
      </w:r>
      <w:r w:rsidRPr="00176119">
        <w:rPr>
          <w:rFonts w:ascii="Palatino Linotype" w:eastAsia="Palatino Linotype" w:hAnsi="Palatino Linotype" w:cs="Palatino Linotype"/>
          <w:sz w:val="22"/>
          <w:szCs w:val="22"/>
        </w:rPr>
        <w:t xml:space="preserve"> la parte </w:t>
      </w:r>
      <w:r w:rsidRPr="00176119">
        <w:rPr>
          <w:rFonts w:ascii="Palatino Linotype" w:eastAsia="Palatino Linotype" w:hAnsi="Palatino Linotype" w:cs="Palatino Linotype"/>
          <w:b/>
          <w:sz w:val="22"/>
          <w:szCs w:val="22"/>
        </w:rPr>
        <w:t xml:space="preserve">Recurrente </w:t>
      </w:r>
      <w:r w:rsidRPr="00176119">
        <w:rPr>
          <w:rFonts w:ascii="Palatino Linotype" w:eastAsia="Palatino Linotype" w:hAnsi="Palatino Linotype" w:cs="Palatino Linotype"/>
          <w:sz w:val="22"/>
          <w:szCs w:val="22"/>
        </w:rPr>
        <w:t xml:space="preserve">presentó, a través del Sistema de Acceso a la Información Mexiquense, en lo subsecuente el </w:t>
      </w:r>
      <w:r w:rsidRPr="00176119">
        <w:rPr>
          <w:rFonts w:ascii="Palatino Linotype" w:eastAsia="Palatino Linotype" w:hAnsi="Palatino Linotype" w:cs="Palatino Linotype"/>
          <w:b/>
          <w:sz w:val="22"/>
          <w:szCs w:val="22"/>
        </w:rPr>
        <w:t>SAIMEX,</w:t>
      </w:r>
      <w:r w:rsidRPr="00176119">
        <w:rPr>
          <w:rFonts w:ascii="Palatino Linotype" w:eastAsia="Palatino Linotype" w:hAnsi="Palatino Linotype" w:cs="Palatino Linotype"/>
          <w:sz w:val="22"/>
          <w:szCs w:val="22"/>
        </w:rPr>
        <w:t xml:space="preserve"> ante el </w:t>
      </w:r>
      <w:r w:rsidRPr="00176119">
        <w:rPr>
          <w:rFonts w:ascii="Palatino Linotype" w:eastAsia="Palatino Linotype" w:hAnsi="Palatino Linotype" w:cs="Palatino Linotype"/>
          <w:b/>
          <w:sz w:val="22"/>
          <w:szCs w:val="22"/>
        </w:rPr>
        <w:t>Sujeto Obligado</w:t>
      </w:r>
      <w:r w:rsidRPr="00176119">
        <w:rPr>
          <w:rFonts w:ascii="Palatino Linotype" w:eastAsia="Palatino Linotype" w:hAnsi="Palatino Linotype" w:cs="Palatino Linotype"/>
          <w:sz w:val="22"/>
          <w:szCs w:val="22"/>
        </w:rPr>
        <w:t>, la solicitud de acceso a la información pública, a la que se le asignó el número</w:t>
      </w:r>
      <w:r w:rsidRPr="00176119">
        <w:rPr>
          <w:rFonts w:ascii="Palatino Linotype" w:eastAsia="Palatino Linotype" w:hAnsi="Palatino Linotype" w:cs="Palatino Linotype"/>
          <w:b/>
          <w:sz w:val="22"/>
          <w:szCs w:val="22"/>
        </w:rPr>
        <w:t xml:space="preserve"> </w:t>
      </w:r>
      <w:r w:rsidR="000C17CE" w:rsidRPr="00176119">
        <w:rPr>
          <w:rFonts w:ascii="Palatino Linotype" w:eastAsia="Palatino Linotype" w:hAnsi="Palatino Linotype" w:cs="Palatino Linotype"/>
          <w:b/>
          <w:sz w:val="22"/>
          <w:szCs w:val="22"/>
        </w:rPr>
        <w:t>00003</w:t>
      </w:r>
      <w:r w:rsidR="004E09B3" w:rsidRPr="00176119">
        <w:rPr>
          <w:rFonts w:ascii="Palatino Linotype" w:eastAsia="Palatino Linotype" w:hAnsi="Palatino Linotype" w:cs="Palatino Linotype"/>
          <w:b/>
          <w:sz w:val="22"/>
          <w:szCs w:val="22"/>
        </w:rPr>
        <w:t>/</w:t>
      </w:r>
      <w:r w:rsidR="000C17CE" w:rsidRPr="00176119">
        <w:rPr>
          <w:rFonts w:ascii="Palatino Linotype" w:eastAsia="Palatino Linotype" w:hAnsi="Palatino Linotype" w:cs="Palatino Linotype"/>
          <w:b/>
          <w:sz w:val="22"/>
          <w:szCs w:val="22"/>
        </w:rPr>
        <w:t>IMCUFIDEHUEHUET</w:t>
      </w:r>
      <w:r w:rsidR="004E09B3" w:rsidRPr="00176119">
        <w:rPr>
          <w:rFonts w:ascii="Palatino Linotype" w:eastAsia="Palatino Linotype" w:hAnsi="Palatino Linotype" w:cs="Palatino Linotype"/>
          <w:b/>
          <w:sz w:val="22"/>
          <w:szCs w:val="22"/>
        </w:rPr>
        <w:t>/IP/2024</w:t>
      </w:r>
      <w:r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sz w:val="22"/>
          <w:szCs w:val="22"/>
        </w:rPr>
        <w:t xml:space="preserve">mediante la cual requirió la información siguiente: </w:t>
      </w:r>
    </w:p>
    <w:p w14:paraId="2AB05407"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42F31622" w14:textId="5AF12AC3" w:rsidR="006D5E1C" w:rsidRPr="00176119" w:rsidRDefault="005204B5" w:rsidP="00D450E9">
      <w:pPr>
        <w:spacing w:line="276" w:lineRule="auto"/>
        <w:ind w:left="851" w:right="902"/>
        <w:jc w:val="both"/>
        <w:rPr>
          <w:rFonts w:ascii="Palatino Linotype" w:eastAsia="Palatino Linotype" w:hAnsi="Palatino Linotype" w:cs="Palatino Linotype"/>
          <w:i/>
          <w:sz w:val="22"/>
          <w:szCs w:val="22"/>
        </w:rPr>
      </w:pPr>
      <w:bookmarkStart w:id="1" w:name="_heading=h.gjdgxs" w:colFirst="0" w:colLast="0"/>
      <w:bookmarkEnd w:id="1"/>
      <w:r w:rsidRPr="00176119">
        <w:rPr>
          <w:rFonts w:ascii="Palatino Linotype" w:eastAsia="Palatino Linotype" w:hAnsi="Palatino Linotype" w:cs="Palatino Linotype"/>
          <w:i/>
          <w:sz w:val="22"/>
          <w:szCs w:val="22"/>
        </w:rPr>
        <w:t>“</w:t>
      </w:r>
      <w:r w:rsidR="000C17CE" w:rsidRPr="00176119">
        <w:rPr>
          <w:rFonts w:ascii="Palatino Linotype" w:eastAsia="Palatino Linotype" w:hAnsi="Palatino Linotype" w:cs="Palatino Linotype"/>
          <w:i/>
          <w:sz w:val="22"/>
          <w:szCs w:val="22"/>
        </w:rPr>
        <w:t xml:space="preserve">Solicito el convenio de prestación de Servidores Públicos sindicalizados el </w:t>
      </w:r>
      <w:proofErr w:type="spellStart"/>
      <w:r w:rsidR="000C17CE" w:rsidRPr="00176119">
        <w:rPr>
          <w:rFonts w:ascii="Palatino Linotype" w:eastAsia="Palatino Linotype" w:hAnsi="Palatino Linotype" w:cs="Palatino Linotype"/>
          <w:i/>
          <w:sz w:val="22"/>
          <w:szCs w:val="22"/>
        </w:rPr>
        <w:t>mas</w:t>
      </w:r>
      <w:proofErr w:type="spellEnd"/>
      <w:r w:rsidR="000C17CE" w:rsidRPr="00176119">
        <w:rPr>
          <w:rFonts w:ascii="Palatino Linotype" w:eastAsia="Palatino Linotype" w:hAnsi="Palatino Linotype" w:cs="Palatino Linotype"/>
          <w:i/>
          <w:sz w:val="22"/>
          <w:szCs w:val="22"/>
        </w:rPr>
        <w:t xml:space="preserve"> actualizado que se tenga del Instituto Municipal de </w:t>
      </w:r>
      <w:proofErr w:type="spellStart"/>
      <w:r w:rsidR="000C17CE" w:rsidRPr="00176119">
        <w:rPr>
          <w:rFonts w:ascii="Palatino Linotype" w:eastAsia="Palatino Linotype" w:hAnsi="Palatino Linotype" w:cs="Palatino Linotype"/>
          <w:i/>
          <w:sz w:val="22"/>
          <w:szCs w:val="22"/>
        </w:rPr>
        <w:t>Cultuta</w:t>
      </w:r>
      <w:proofErr w:type="spellEnd"/>
      <w:r w:rsidR="000C17CE" w:rsidRPr="00176119">
        <w:rPr>
          <w:rFonts w:ascii="Palatino Linotype" w:eastAsia="Palatino Linotype" w:hAnsi="Palatino Linotype" w:cs="Palatino Linotype"/>
          <w:i/>
          <w:sz w:val="22"/>
          <w:szCs w:val="22"/>
        </w:rPr>
        <w:t xml:space="preserve"> Física y Deporte de Huehuetoca </w:t>
      </w:r>
      <w:r w:rsidRPr="00176119">
        <w:rPr>
          <w:rFonts w:ascii="Palatino Linotype" w:eastAsia="Palatino Linotype" w:hAnsi="Palatino Linotype" w:cs="Palatino Linotype"/>
          <w:i/>
          <w:sz w:val="22"/>
          <w:szCs w:val="22"/>
        </w:rPr>
        <w:t xml:space="preserve">(sic) </w:t>
      </w:r>
    </w:p>
    <w:p w14:paraId="2131EA75" w14:textId="77777777" w:rsidR="00D450E9" w:rsidRPr="00176119" w:rsidRDefault="00D450E9" w:rsidP="00D450E9">
      <w:pPr>
        <w:spacing w:line="276" w:lineRule="auto"/>
        <w:ind w:left="851" w:right="902"/>
        <w:jc w:val="both"/>
        <w:rPr>
          <w:rFonts w:ascii="Palatino Linotype" w:eastAsia="Palatino Linotype" w:hAnsi="Palatino Linotype" w:cs="Palatino Linotype"/>
          <w:b/>
          <w:i/>
          <w:sz w:val="22"/>
          <w:szCs w:val="22"/>
        </w:rPr>
      </w:pPr>
    </w:p>
    <w:p w14:paraId="0DD8AB61" w14:textId="77777777" w:rsidR="006D5E1C" w:rsidRPr="00176119" w:rsidRDefault="005204B5" w:rsidP="00D450E9">
      <w:pPr>
        <w:spacing w:line="360" w:lineRule="auto"/>
        <w:jc w:val="both"/>
        <w:rPr>
          <w:rFonts w:ascii="Palatino Linotype" w:eastAsia="Palatino Linotype" w:hAnsi="Palatino Linotype" w:cs="Palatino Linotype"/>
          <w:b/>
          <w:sz w:val="22"/>
          <w:szCs w:val="22"/>
        </w:rPr>
      </w:pPr>
      <w:r w:rsidRPr="00176119">
        <w:rPr>
          <w:rFonts w:ascii="Palatino Linotype" w:eastAsia="Palatino Linotype" w:hAnsi="Palatino Linotype" w:cs="Palatino Linotype"/>
          <w:b/>
          <w:sz w:val="22"/>
          <w:szCs w:val="22"/>
        </w:rPr>
        <w:t>Modalidad de Entrega:</w:t>
      </w:r>
      <w:r w:rsidRPr="00176119">
        <w:rPr>
          <w:rFonts w:ascii="Palatino Linotype" w:eastAsia="Palatino Linotype" w:hAnsi="Palatino Linotype" w:cs="Palatino Linotype"/>
          <w:sz w:val="22"/>
          <w:szCs w:val="22"/>
        </w:rPr>
        <w:t xml:space="preserve"> a través </w:t>
      </w:r>
      <w:r w:rsidRPr="00176119">
        <w:rPr>
          <w:rFonts w:ascii="Palatino Linotype" w:eastAsia="Palatino Linotype" w:hAnsi="Palatino Linotype" w:cs="Palatino Linotype"/>
          <w:b/>
          <w:sz w:val="22"/>
          <w:szCs w:val="22"/>
        </w:rPr>
        <w:t>de SAIMEX</w:t>
      </w:r>
    </w:p>
    <w:p w14:paraId="12FC604D"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372954F2" w14:textId="14A4286C" w:rsidR="000C17CE" w:rsidRPr="00176119" w:rsidRDefault="005204B5" w:rsidP="000C17CE">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176119">
        <w:rPr>
          <w:rFonts w:ascii="Palatino Linotype" w:eastAsia="Palatino Linotype" w:hAnsi="Palatino Linotype" w:cs="Palatino Linotype"/>
          <w:b/>
          <w:sz w:val="22"/>
          <w:szCs w:val="22"/>
        </w:rPr>
        <w:lastRenderedPageBreak/>
        <w:t xml:space="preserve">2. Respuesta. </w:t>
      </w:r>
      <w:r w:rsidR="000C17CE" w:rsidRPr="00176119">
        <w:rPr>
          <w:rFonts w:ascii="Palatino Linotype" w:eastAsia="Palatino Linotype" w:hAnsi="Palatino Linotype" w:cs="Palatino Linotype"/>
          <w:iCs/>
          <w:sz w:val="22"/>
          <w:szCs w:val="22"/>
        </w:rPr>
        <w:t>La parte recurrente no dio respuesta a la solicitud de información.</w:t>
      </w:r>
    </w:p>
    <w:p w14:paraId="432EE0B6" w14:textId="77777777" w:rsidR="00D450E9" w:rsidRPr="00176119" w:rsidRDefault="00D450E9" w:rsidP="00D450E9">
      <w:pPr>
        <w:spacing w:line="360" w:lineRule="auto"/>
        <w:ind w:left="567" w:right="616"/>
        <w:jc w:val="both"/>
        <w:rPr>
          <w:rFonts w:ascii="Palatino Linotype" w:eastAsia="Palatino Linotype" w:hAnsi="Palatino Linotype" w:cs="Palatino Linotype"/>
          <w:iCs/>
          <w:sz w:val="22"/>
          <w:szCs w:val="22"/>
        </w:rPr>
      </w:pPr>
    </w:p>
    <w:p w14:paraId="67F48FAF" w14:textId="47A75667" w:rsidR="006D5E1C" w:rsidRPr="00176119" w:rsidRDefault="005204B5" w:rsidP="00D450E9">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3. Interposición del recurso de revisión. </w:t>
      </w:r>
      <w:r w:rsidR="004C4E8C" w:rsidRPr="00176119">
        <w:rPr>
          <w:rFonts w:ascii="Palatino Linotype" w:eastAsia="Palatino Linotype" w:hAnsi="Palatino Linotype" w:cs="Palatino Linotype"/>
          <w:sz w:val="22"/>
          <w:szCs w:val="22"/>
        </w:rPr>
        <w:t xml:space="preserve">Inconforme con la falta de respuesta </w:t>
      </w:r>
      <w:r w:rsidRPr="00176119">
        <w:rPr>
          <w:rFonts w:ascii="Palatino Linotype" w:eastAsia="Palatino Linotype" w:hAnsi="Palatino Linotype" w:cs="Palatino Linotype"/>
          <w:sz w:val="22"/>
          <w:szCs w:val="22"/>
        </w:rPr>
        <w:t xml:space="preserve">por parte del </w:t>
      </w:r>
      <w:r w:rsidRPr="00176119">
        <w:rPr>
          <w:rFonts w:ascii="Palatino Linotype" w:eastAsia="Palatino Linotype" w:hAnsi="Palatino Linotype" w:cs="Palatino Linotype"/>
          <w:b/>
          <w:sz w:val="22"/>
          <w:szCs w:val="22"/>
        </w:rPr>
        <w:t>Sujeto Obligado</w:t>
      </w:r>
      <w:r w:rsidRPr="00176119">
        <w:rPr>
          <w:rFonts w:ascii="Palatino Linotype" w:eastAsia="Palatino Linotype" w:hAnsi="Palatino Linotype" w:cs="Palatino Linotype"/>
          <w:sz w:val="22"/>
          <w:szCs w:val="22"/>
        </w:rPr>
        <w:t>, el</w:t>
      </w:r>
      <w:r w:rsidRPr="00176119">
        <w:rPr>
          <w:rFonts w:ascii="Palatino Linotype" w:eastAsia="Palatino Linotype" w:hAnsi="Palatino Linotype" w:cs="Palatino Linotype"/>
          <w:b/>
          <w:sz w:val="22"/>
          <w:szCs w:val="22"/>
        </w:rPr>
        <w:t xml:space="preserve"> </w:t>
      </w:r>
      <w:r w:rsidR="000C17CE" w:rsidRPr="00176119">
        <w:rPr>
          <w:rFonts w:ascii="Palatino Linotype" w:eastAsia="Palatino Linotype" w:hAnsi="Palatino Linotype" w:cs="Palatino Linotype"/>
          <w:b/>
          <w:sz w:val="22"/>
          <w:szCs w:val="22"/>
        </w:rPr>
        <w:t>diecinueve de septiembre</w:t>
      </w:r>
      <w:r w:rsidR="00B4290B" w:rsidRPr="00176119">
        <w:rPr>
          <w:rFonts w:ascii="Palatino Linotype" w:eastAsia="Palatino Linotype" w:hAnsi="Palatino Linotype" w:cs="Palatino Linotype"/>
          <w:b/>
          <w:sz w:val="22"/>
          <w:szCs w:val="22"/>
        </w:rPr>
        <w:t xml:space="preserve"> de </w:t>
      </w:r>
      <w:r w:rsidRPr="00176119">
        <w:rPr>
          <w:rFonts w:ascii="Palatino Linotype" w:eastAsia="Palatino Linotype" w:hAnsi="Palatino Linotype" w:cs="Palatino Linotype"/>
          <w:b/>
          <w:sz w:val="22"/>
          <w:szCs w:val="22"/>
        </w:rPr>
        <w:t xml:space="preserve">dos mil </w:t>
      </w:r>
      <w:r w:rsidR="00EC1339" w:rsidRPr="00176119">
        <w:rPr>
          <w:rFonts w:ascii="Palatino Linotype" w:eastAsia="Palatino Linotype" w:hAnsi="Palatino Linotype" w:cs="Palatino Linotype"/>
          <w:b/>
          <w:sz w:val="22"/>
          <w:szCs w:val="22"/>
        </w:rPr>
        <w:t>veinticuatro</w:t>
      </w:r>
      <w:r w:rsidRPr="00176119">
        <w:rPr>
          <w:rFonts w:ascii="Palatino Linotype" w:eastAsia="Palatino Linotype" w:hAnsi="Palatino Linotype" w:cs="Palatino Linotype"/>
          <w:b/>
          <w:sz w:val="22"/>
          <w:szCs w:val="22"/>
        </w:rPr>
        <w:t>,</w:t>
      </w:r>
      <w:r w:rsidRPr="00176119">
        <w:rPr>
          <w:rFonts w:ascii="Palatino Linotype" w:eastAsia="Palatino Linotype" w:hAnsi="Palatino Linotype" w:cs="Palatino Linotype"/>
          <w:sz w:val="22"/>
          <w:szCs w:val="22"/>
        </w:rPr>
        <w:t xml:space="preserve"> la parte </w:t>
      </w:r>
      <w:r w:rsidRPr="00176119">
        <w:rPr>
          <w:rFonts w:ascii="Palatino Linotype" w:eastAsia="Palatino Linotype" w:hAnsi="Palatino Linotype" w:cs="Palatino Linotype"/>
          <w:b/>
          <w:sz w:val="22"/>
          <w:szCs w:val="22"/>
        </w:rPr>
        <w:t>Recurrente</w:t>
      </w:r>
      <w:r w:rsidRPr="00176119">
        <w:rPr>
          <w:rFonts w:ascii="Palatino Linotype" w:eastAsia="Palatino Linotype" w:hAnsi="Palatino Linotype" w:cs="Palatino Linotype"/>
          <w:sz w:val="22"/>
          <w:szCs w:val="22"/>
        </w:rPr>
        <w:t xml:space="preserve"> interpuso el recurso de revisión a través de </w:t>
      </w:r>
      <w:r w:rsidRPr="00176119">
        <w:rPr>
          <w:rFonts w:ascii="Palatino Linotype" w:eastAsia="Palatino Linotype" w:hAnsi="Palatino Linotype" w:cs="Palatino Linotype"/>
          <w:b/>
          <w:sz w:val="22"/>
          <w:szCs w:val="22"/>
        </w:rPr>
        <w:t xml:space="preserve">SAIMEX, </w:t>
      </w:r>
      <w:r w:rsidRPr="00176119">
        <w:rPr>
          <w:rFonts w:ascii="Palatino Linotype" w:eastAsia="Palatino Linotype" w:hAnsi="Palatino Linotype" w:cs="Palatino Linotype"/>
          <w:sz w:val="22"/>
          <w:szCs w:val="22"/>
        </w:rPr>
        <w:t>en donde se manifestó de la siguiente manera:</w:t>
      </w:r>
    </w:p>
    <w:p w14:paraId="786F8C9E" w14:textId="77777777" w:rsidR="00D450E9" w:rsidRPr="00176119" w:rsidRDefault="00D450E9" w:rsidP="00D450E9">
      <w:pPr>
        <w:spacing w:line="360" w:lineRule="auto"/>
        <w:ind w:right="49"/>
        <w:jc w:val="both"/>
        <w:rPr>
          <w:rFonts w:ascii="Palatino Linotype" w:eastAsia="Palatino Linotype" w:hAnsi="Palatino Linotype" w:cs="Palatino Linotype"/>
          <w:b/>
          <w:sz w:val="22"/>
          <w:szCs w:val="22"/>
        </w:rPr>
      </w:pPr>
    </w:p>
    <w:p w14:paraId="236FD9E8" w14:textId="52A0821E" w:rsidR="006D5E1C" w:rsidRPr="00176119" w:rsidRDefault="005204B5" w:rsidP="00D450E9">
      <w:pPr>
        <w:tabs>
          <w:tab w:val="left" w:pos="2745"/>
        </w:tabs>
        <w:spacing w:line="276" w:lineRule="auto"/>
        <w:ind w:left="567"/>
        <w:jc w:val="both"/>
        <w:rPr>
          <w:rFonts w:ascii="Palatino Linotype" w:eastAsia="Palatino Linotype" w:hAnsi="Palatino Linotype" w:cs="Palatino Linotype"/>
          <w:b/>
          <w:sz w:val="22"/>
          <w:szCs w:val="22"/>
        </w:rPr>
      </w:pPr>
      <w:r w:rsidRPr="00176119">
        <w:rPr>
          <w:rFonts w:ascii="Palatino Linotype" w:eastAsia="Palatino Linotype" w:hAnsi="Palatino Linotype" w:cs="Palatino Linotype"/>
          <w:b/>
          <w:sz w:val="22"/>
          <w:szCs w:val="22"/>
        </w:rPr>
        <w:t xml:space="preserve">Acto impugnado: </w:t>
      </w:r>
      <w:r w:rsidRPr="00176119">
        <w:rPr>
          <w:rFonts w:ascii="Palatino Linotype" w:eastAsia="Palatino Linotype" w:hAnsi="Palatino Linotype" w:cs="Palatino Linotype"/>
          <w:i/>
          <w:sz w:val="22"/>
          <w:szCs w:val="22"/>
        </w:rPr>
        <w:t>“</w:t>
      </w:r>
      <w:r w:rsidR="000C17CE" w:rsidRPr="00176119">
        <w:rPr>
          <w:rFonts w:ascii="Palatino Linotype" w:eastAsia="Palatino Linotype" w:hAnsi="Palatino Linotype" w:cs="Palatino Linotype"/>
          <w:i/>
          <w:sz w:val="22"/>
          <w:szCs w:val="22"/>
        </w:rPr>
        <w:t>no da la información</w:t>
      </w:r>
      <w:r w:rsidR="002B767E" w:rsidRPr="00176119">
        <w:rPr>
          <w:rFonts w:ascii="Palatino Linotype" w:eastAsia="Palatino Linotype" w:hAnsi="Palatino Linotype" w:cs="Palatino Linotype"/>
          <w:i/>
          <w:sz w:val="22"/>
          <w:szCs w:val="22"/>
        </w:rPr>
        <w:t>.</w:t>
      </w:r>
      <w:r w:rsidRPr="00176119">
        <w:rPr>
          <w:rFonts w:ascii="Palatino Linotype" w:eastAsia="Palatino Linotype" w:hAnsi="Palatino Linotype" w:cs="Palatino Linotype"/>
          <w:i/>
          <w:sz w:val="22"/>
          <w:szCs w:val="22"/>
        </w:rPr>
        <w:t>” (sic)</w:t>
      </w:r>
    </w:p>
    <w:p w14:paraId="5EC518AB" w14:textId="77777777" w:rsidR="00D450E9" w:rsidRPr="00176119" w:rsidRDefault="00D450E9" w:rsidP="00D450E9">
      <w:pPr>
        <w:spacing w:line="360" w:lineRule="auto"/>
        <w:ind w:left="567"/>
        <w:jc w:val="both"/>
        <w:rPr>
          <w:rFonts w:ascii="Palatino Linotype" w:eastAsia="Palatino Linotype" w:hAnsi="Palatino Linotype" w:cs="Palatino Linotype"/>
          <w:i/>
          <w:sz w:val="22"/>
          <w:szCs w:val="22"/>
        </w:rPr>
      </w:pPr>
      <w:bookmarkStart w:id="3" w:name="_heading=h.30j0zll" w:colFirst="0" w:colLast="0"/>
      <w:bookmarkEnd w:id="3"/>
    </w:p>
    <w:p w14:paraId="54BF38A6" w14:textId="095F550C" w:rsidR="006D5E1C" w:rsidRPr="00176119" w:rsidRDefault="005204B5" w:rsidP="00D450E9">
      <w:pPr>
        <w:spacing w:line="276" w:lineRule="auto"/>
        <w:ind w:left="567"/>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b/>
          <w:sz w:val="22"/>
          <w:szCs w:val="22"/>
        </w:rPr>
        <w:t>Razones o motivos de inconformidad</w:t>
      </w:r>
      <w:r w:rsidRPr="00176119">
        <w:rPr>
          <w:rFonts w:ascii="Palatino Linotype" w:eastAsia="Palatino Linotype" w:hAnsi="Palatino Linotype" w:cs="Palatino Linotype"/>
          <w:sz w:val="22"/>
          <w:szCs w:val="22"/>
        </w:rPr>
        <w:t xml:space="preserve">: </w:t>
      </w:r>
      <w:r w:rsidRPr="00176119">
        <w:rPr>
          <w:rFonts w:ascii="Palatino Linotype" w:eastAsia="Palatino Linotype" w:hAnsi="Palatino Linotype" w:cs="Palatino Linotype"/>
          <w:i/>
          <w:sz w:val="22"/>
          <w:szCs w:val="22"/>
        </w:rPr>
        <w:t>“</w:t>
      </w:r>
      <w:r w:rsidR="000C17CE" w:rsidRPr="00176119">
        <w:rPr>
          <w:rFonts w:ascii="Palatino Linotype" w:eastAsia="Palatino Linotype" w:hAnsi="Palatino Linotype" w:cs="Palatino Linotype"/>
          <w:i/>
          <w:sz w:val="22"/>
          <w:szCs w:val="22"/>
        </w:rPr>
        <w:t>no da la información</w:t>
      </w:r>
      <w:r w:rsidRPr="00176119">
        <w:rPr>
          <w:rFonts w:ascii="Palatino Linotype" w:eastAsia="Palatino Linotype" w:hAnsi="Palatino Linotype" w:cs="Palatino Linotype"/>
          <w:i/>
          <w:sz w:val="22"/>
          <w:szCs w:val="22"/>
        </w:rPr>
        <w:t>” (sic)</w:t>
      </w:r>
    </w:p>
    <w:p w14:paraId="33BFA421" w14:textId="77777777" w:rsidR="00010A35" w:rsidRPr="00176119" w:rsidRDefault="00010A35" w:rsidP="00D450E9">
      <w:pPr>
        <w:spacing w:line="360" w:lineRule="auto"/>
        <w:jc w:val="both"/>
        <w:rPr>
          <w:rFonts w:ascii="Palatino Linotype" w:eastAsia="Palatino Linotype" w:hAnsi="Palatino Linotype" w:cs="Palatino Linotype"/>
          <w:sz w:val="22"/>
          <w:szCs w:val="22"/>
        </w:rPr>
      </w:pPr>
    </w:p>
    <w:p w14:paraId="0E797727" w14:textId="77777777" w:rsidR="006D5E1C" w:rsidRPr="00176119" w:rsidRDefault="005204B5" w:rsidP="00D450E9">
      <w:pPr>
        <w:spacing w:line="360" w:lineRule="auto"/>
        <w:ind w:right="51"/>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4. Turno. </w:t>
      </w:r>
      <w:r w:rsidRPr="0017611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176119">
        <w:rPr>
          <w:rFonts w:ascii="Palatino Linotype" w:eastAsia="Palatino Linotype" w:hAnsi="Palatino Linotype" w:cs="Palatino Linotype"/>
          <w:b/>
          <w:sz w:val="22"/>
          <w:szCs w:val="22"/>
        </w:rPr>
        <w:t xml:space="preserve">Guadalupe Ramírez Peña, </w:t>
      </w:r>
      <w:r w:rsidRPr="00176119">
        <w:rPr>
          <w:rFonts w:ascii="Palatino Linotype" w:eastAsia="Palatino Linotype" w:hAnsi="Palatino Linotype" w:cs="Palatino Linotype"/>
          <w:sz w:val="22"/>
          <w:szCs w:val="22"/>
        </w:rPr>
        <w:t xml:space="preserve">a efecto de que analizara sobre su admisión o su </w:t>
      </w:r>
      <w:proofErr w:type="spellStart"/>
      <w:r w:rsidRPr="00176119">
        <w:rPr>
          <w:rFonts w:ascii="Palatino Linotype" w:eastAsia="Palatino Linotype" w:hAnsi="Palatino Linotype" w:cs="Palatino Linotype"/>
          <w:sz w:val="22"/>
          <w:szCs w:val="22"/>
        </w:rPr>
        <w:t>desechamiento</w:t>
      </w:r>
      <w:proofErr w:type="spellEnd"/>
      <w:r w:rsidRPr="00176119">
        <w:rPr>
          <w:rFonts w:ascii="Palatino Linotype" w:eastAsia="Palatino Linotype" w:hAnsi="Palatino Linotype" w:cs="Palatino Linotype"/>
          <w:sz w:val="22"/>
          <w:szCs w:val="22"/>
        </w:rPr>
        <w:t>.</w:t>
      </w:r>
    </w:p>
    <w:p w14:paraId="513D3F60" w14:textId="77777777" w:rsidR="00D450E9" w:rsidRPr="00176119" w:rsidRDefault="00D450E9" w:rsidP="00D450E9">
      <w:pPr>
        <w:spacing w:line="360" w:lineRule="auto"/>
        <w:ind w:right="51"/>
        <w:jc w:val="both"/>
        <w:rPr>
          <w:rFonts w:ascii="Palatino Linotype" w:eastAsia="Palatino Linotype" w:hAnsi="Palatino Linotype" w:cs="Palatino Linotype"/>
          <w:sz w:val="22"/>
          <w:szCs w:val="22"/>
        </w:rPr>
      </w:pPr>
    </w:p>
    <w:p w14:paraId="64DCD27B" w14:textId="11241AFE" w:rsidR="006D5E1C" w:rsidRPr="00176119" w:rsidRDefault="005204B5"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5. Admisión del Recurso de revisión.</w:t>
      </w:r>
      <w:r w:rsidRPr="00176119">
        <w:rPr>
          <w:rFonts w:ascii="Palatino Linotype" w:eastAsia="Palatino Linotype" w:hAnsi="Palatino Linotype" w:cs="Palatino Linotype"/>
          <w:sz w:val="22"/>
          <w:szCs w:val="22"/>
        </w:rPr>
        <w:t xml:space="preserve"> Con fecha</w:t>
      </w:r>
      <w:r w:rsidRPr="00176119">
        <w:rPr>
          <w:rFonts w:ascii="Palatino Linotype" w:eastAsia="Palatino Linotype" w:hAnsi="Palatino Linotype" w:cs="Palatino Linotype"/>
          <w:b/>
          <w:sz w:val="22"/>
          <w:szCs w:val="22"/>
        </w:rPr>
        <w:t xml:space="preserve"> </w:t>
      </w:r>
      <w:r w:rsidR="000C17CE" w:rsidRPr="00176119">
        <w:rPr>
          <w:rFonts w:ascii="Palatino Linotype" w:eastAsia="Palatino Linotype" w:hAnsi="Palatino Linotype" w:cs="Palatino Linotype"/>
          <w:b/>
          <w:sz w:val="22"/>
          <w:szCs w:val="22"/>
        </w:rPr>
        <w:t>veinticuatro de septiembre</w:t>
      </w:r>
      <w:r w:rsidRPr="00176119">
        <w:rPr>
          <w:rFonts w:ascii="Palatino Linotype" w:eastAsia="Palatino Linotype" w:hAnsi="Palatino Linotype" w:cs="Palatino Linotype"/>
          <w:b/>
          <w:sz w:val="22"/>
          <w:szCs w:val="22"/>
        </w:rPr>
        <w:t xml:space="preserve"> de dos mil veinti</w:t>
      </w:r>
      <w:r w:rsidR="00EC1339" w:rsidRPr="00176119">
        <w:rPr>
          <w:rFonts w:ascii="Palatino Linotype" w:eastAsia="Palatino Linotype" w:hAnsi="Palatino Linotype" w:cs="Palatino Linotype"/>
          <w:b/>
          <w:sz w:val="22"/>
          <w:szCs w:val="22"/>
        </w:rPr>
        <w:t>cuatro</w:t>
      </w:r>
      <w:r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76119">
        <w:rPr>
          <w:rFonts w:ascii="Palatino Linotype" w:eastAsia="Palatino Linotype" w:hAnsi="Palatino Linotype" w:cs="Palatino Linotype"/>
          <w:b/>
          <w:sz w:val="22"/>
          <w:szCs w:val="22"/>
        </w:rPr>
        <w:t xml:space="preserve">Sujeto Obligado </w:t>
      </w:r>
      <w:r w:rsidRPr="00176119">
        <w:rPr>
          <w:rFonts w:ascii="Palatino Linotype" w:eastAsia="Palatino Linotype" w:hAnsi="Palatino Linotype" w:cs="Palatino Linotype"/>
          <w:sz w:val="22"/>
          <w:szCs w:val="22"/>
        </w:rPr>
        <w:t>presentara su informe justificado.</w:t>
      </w:r>
    </w:p>
    <w:p w14:paraId="6F4D9200"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0DE70AA8" w14:textId="41DE310E" w:rsidR="00D450E9" w:rsidRPr="00176119" w:rsidRDefault="005204B5" w:rsidP="00D450E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176119">
        <w:rPr>
          <w:rFonts w:ascii="Palatino Linotype" w:eastAsia="Palatino Linotype" w:hAnsi="Palatino Linotype" w:cs="Palatino Linotype"/>
          <w:b/>
          <w:sz w:val="22"/>
          <w:szCs w:val="22"/>
        </w:rPr>
        <w:lastRenderedPageBreak/>
        <w:t xml:space="preserve">6. </w:t>
      </w:r>
      <w:bookmarkStart w:id="5" w:name="_Hlk171420532"/>
      <w:r w:rsidRPr="00176119">
        <w:rPr>
          <w:rFonts w:ascii="Palatino Linotype" w:eastAsia="Palatino Linotype" w:hAnsi="Palatino Linotype" w:cs="Palatino Linotype"/>
          <w:b/>
          <w:sz w:val="22"/>
          <w:szCs w:val="22"/>
        </w:rPr>
        <w:t>Manifestaciones</w:t>
      </w:r>
      <w:r w:rsidRPr="00176119">
        <w:rPr>
          <w:rFonts w:ascii="Palatino Linotype" w:eastAsia="Palatino Linotype" w:hAnsi="Palatino Linotype" w:cs="Palatino Linotype"/>
          <w:sz w:val="22"/>
          <w:szCs w:val="22"/>
        </w:rPr>
        <w:t xml:space="preserve">. </w:t>
      </w:r>
      <w:r w:rsidR="00EC1339" w:rsidRPr="00176119">
        <w:rPr>
          <w:rFonts w:ascii="Palatino Linotype" w:eastAsia="Palatino Linotype" w:hAnsi="Palatino Linotype" w:cs="Palatino Linotype"/>
          <w:sz w:val="22"/>
          <w:szCs w:val="22"/>
        </w:rPr>
        <w:t xml:space="preserve">El </w:t>
      </w:r>
      <w:r w:rsidR="000C17CE" w:rsidRPr="00176119">
        <w:rPr>
          <w:rFonts w:ascii="Palatino Linotype" w:eastAsia="Palatino Linotype" w:hAnsi="Palatino Linotype" w:cs="Palatino Linotype"/>
          <w:b/>
          <w:bCs/>
          <w:sz w:val="22"/>
          <w:szCs w:val="22"/>
        </w:rPr>
        <w:t>cuatro de octubre</w:t>
      </w:r>
      <w:r w:rsidR="00727D09" w:rsidRPr="00176119">
        <w:rPr>
          <w:rFonts w:ascii="Palatino Linotype" w:eastAsia="Palatino Linotype" w:hAnsi="Palatino Linotype" w:cs="Palatino Linotype"/>
          <w:b/>
          <w:bCs/>
          <w:sz w:val="22"/>
          <w:szCs w:val="22"/>
        </w:rPr>
        <w:t xml:space="preserve"> </w:t>
      </w:r>
      <w:r w:rsidR="00EC1339" w:rsidRPr="00176119">
        <w:rPr>
          <w:rFonts w:ascii="Palatino Linotype" w:eastAsia="Palatino Linotype" w:hAnsi="Palatino Linotype" w:cs="Palatino Linotype"/>
          <w:b/>
          <w:bCs/>
          <w:sz w:val="22"/>
          <w:szCs w:val="22"/>
        </w:rPr>
        <w:t>de dos mil veinticuatro</w:t>
      </w:r>
      <w:r w:rsidR="00EC1339" w:rsidRPr="00176119">
        <w:rPr>
          <w:rFonts w:ascii="Palatino Linotype" w:eastAsia="Palatino Linotype" w:hAnsi="Palatino Linotype" w:cs="Palatino Linotype"/>
          <w:sz w:val="22"/>
          <w:szCs w:val="22"/>
        </w:rPr>
        <w:t xml:space="preserve"> el </w:t>
      </w:r>
      <w:r w:rsidR="00EC1339" w:rsidRPr="00176119">
        <w:rPr>
          <w:rFonts w:ascii="Palatino Linotype" w:eastAsia="Palatino Linotype" w:hAnsi="Palatino Linotype" w:cs="Palatino Linotype"/>
          <w:b/>
          <w:bCs/>
          <w:sz w:val="22"/>
          <w:szCs w:val="22"/>
        </w:rPr>
        <w:t xml:space="preserve">Sujeto Obligado, </w:t>
      </w:r>
      <w:r w:rsidR="00EC1339" w:rsidRPr="00176119">
        <w:rPr>
          <w:rFonts w:ascii="Palatino Linotype" w:eastAsia="Palatino Linotype" w:hAnsi="Palatino Linotype" w:cs="Palatino Linotype"/>
          <w:sz w:val="22"/>
          <w:szCs w:val="22"/>
        </w:rPr>
        <w:t xml:space="preserve">haciendo uso de su derecho, remitió su informe justificado consistente en </w:t>
      </w:r>
      <w:bookmarkStart w:id="6" w:name="_Hlk171497215"/>
      <w:r w:rsidR="00727D09" w:rsidRPr="00176119">
        <w:rPr>
          <w:rFonts w:ascii="Palatino Linotype" w:eastAsia="Palatino Linotype" w:hAnsi="Palatino Linotype" w:cs="Palatino Linotype"/>
          <w:sz w:val="22"/>
          <w:szCs w:val="22"/>
        </w:rPr>
        <w:t xml:space="preserve">los archivos electrónicos siguientes: </w:t>
      </w:r>
    </w:p>
    <w:bookmarkEnd w:id="6"/>
    <w:p w14:paraId="7E9D95C5" w14:textId="77777777" w:rsidR="00330FE8" w:rsidRPr="00176119" w:rsidRDefault="00330FE8" w:rsidP="00D450E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DAEE682" w14:textId="6633FDC7" w:rsidR="00CC3564" w:rsidRPr="00176119" w:rsidRDefault="000C17CE" w:rsidP="004C4E8C">
      <w:pPr>
        <w:pStyle w:val="Prrafodelista"/>
        <w:numPr>
          <w:ilvl w:val="0"/>
          <w:numId w:val="22"/>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Oficio de fecha treinta de septiembre de dos mil veinticuatro, signado por el Coordinador de Recursos Humanos</w:t>
      </w:r>
      <w:r w:rsidR="004C4E8C" w:rsidRPr="00176119">
        <w:rPr>
          <w:rFonts w:ascii="Palatino Linotype" w:eastAsia="Palatino Linotype" w:hAnsi="Palatino Linotype" w:cs="Palatino Linotype"/>
          <w:sz w:val="22"/>
          <w:szCs w:val="22"/>
        </w:rPr>
        <w:t xml:space="preserve">, mediante el cual informa que, después de una revisión exhaustiva de los archivos, registros y documentos del Instituto Municipal de Cultura Física y Deporte de Huehuetoca, se ha determinado que no se cuenta con ningún convenio de prestación vigente o actualizado para servidores públicos sindicalizados. </w:t>
      </w:r>
    </w:p>
    <w:p w14:paraId="739B9820" w14:textId="497B0FA4" w:rsidR="004C4E8C" w:rsidRPr="00176119" w:rsidRDefault="004C4E8C" w:rsidP="004C4E8C">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Asimismo, refirió que la inexistencia del Convenio en el IMCUFIDEH se debe a que el personal sindicalizado que presta sus servicios </w:t>
      </w:r>
      <w:r w:rsidR="00634AC2" w:rsidRPr="00176119">
        <w:rPr>
          <w:rFonts w:ascii="Palatino Linotype" w:eastAsia="Palatino Linotype" w:hAnsi="Palatino Linotype" w:cs="Palatino Linotype"/>
          <w:sz w:val="22"/>
          <w:szCs w:val="22"/>
        </w:rPr>
        <w:t xml:space="preserve">pertenece en su totalidad a la nómina del H. Ayuntamiento de Huehuetoca y no a la estructura operativa del Instituto, es decir, aunque algunos servidores públicos realicen sus funciones en las instalaciones, su relación laboral, así como los convenios colectivos y de prestaciones que los amparan, son administrados por el Ayuntamiento. </w:t>
      </w:r>
    </w:p>
    <w:p w14:paraId="36E6F0E8" w14:textId="77777777" w:rsidR="000C17CE" w:rsidRPr="00176119" w:rsidRDefault="000C17CE" w:rsidP="00D450E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3E8345A" w14:textId="4CD789C6" w:rsidR="009858C6" w:rsidRPr="00176119" w:rsidRDefault="004261A5" w:rsidP="00985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bCs/>
          <w:sz w:val="22"/>
          <w:szCs w:val="22"/>
        </w:rPr>
      </w:pPr>
      <w:r w:rsidRPr="00176119">
        <w:rPr>
          <w:rFonts w:ascii="Palatino Linotype" w:eastAsia="Palatino Linotype" w:hAnsi="Palatino Linotype" w:cs="Palatino Linotype"/>
          <w:sz w:val="22"/>
          <w:szCs w:val="22"/>
        </w:rPr>
        <w:t>D</w:t>
      </w:r>
      <w:r w:rsidR="0077781F" w:rsidRPr="00176119">
        <w:rPr>
          <w:rFonts w:ascii="Palatino Linotype" w:eastAsia="Palatino Linotype" w:hAnsi="Palatino Linotype" w:cs="Palatino Linotype"/>
          <w:sz w:val="22"/>
          <w:szCs w:val="22"/>
        </w:rPr>
        <w:t xml:space="preserve">ocumento que el </w:t>
      </w:r>
      <w:r w:rsidR="00AA7F3D" w:rsidRPr="00176119">
        <w:rPr>
          <w:rFonts w:ascii="Palatino Linotype" w:eastAsia="Palatino Linotype" w:hAnsi="Palatino Linotype" w:cs="Palatino Linotype"/>
          <w:b/>
          <w:bCs/>
          <w:sz w:val="22"/>
          <w:szCs w:val="22"/>
        </w:rPr>
        <w:t>dieciséis</w:t>
      </w:r>
      <w:r w:rsidR="000C17CE" w:rsidRPr="00176119">
        <w:rPr>
          <w:rFonts w:ascii="Palatino Linotype" w:eastAsia="Palatino Linotype" w:hAnsi="Palatino Linotype" w:cs="Palatino Linotype"/>
          <w:b/>
          <w:bCs/>
          <w:sz w:val="22"/>
          <w:szCs w:val="22"/>
        </w:rPr>
        <w:t xml:space="preserve"> de octubre</w:t>
      </w:r>
      <w:r w:rsidR="0077781F" w:rsidRPr="00176119">
        <w:rPr>
          <w:rFonts w:ascii="Palatino Linotype" w:eastAsia="Palatino Linotype" w:hAnsi="Palatino Linotype" w:cs="Palatino Linotype"/>
          <w:b/>
          <w:bCs/>
          <w:sz w:val="22"/>
          <w:szCs w:val="22"/>
        </w:rPr>
        <w:t xml:space="preserve"> </w:t>
      </w:r>
      <w:r w:rsidR="00D450E9" w:rsidRPr="00176119">
        <w:rPr>
          <w:rFonts w:ascii="Palatino Linotype" w:eastAsia="Palatino Linotype" w:hAnsi="Palatino Linotype" w:cs="Palatino Linotype"/>
          <w:b/>
          <w:bCs/>
          <w:sz w:val="22"/>
          <w:szCs w:val="22"/>
        </w:rPr>
        <w:t>de dos mil veinticuatro</w:t>
      </w:r>
      <w:r w:rsidR="00AA7F3D" w:rsidRPr="00176119">
        <w:rPr>
          <w:rFonts w:ascii="Palatino Linotype" w:eastAsia="Palatino Linotype" w:hAnsi="Palatino Linotype" w:cs="Palatino Linotype"/>
          <w:sz w:val="22"/>
          <w:szCs w:val="22"/>
        </w:rPr>
        <w:t>, se hizo</w:t>
      </w:r>
      <w:r w:rsidR="0077781F" w:rsidRPr="00176119">
        <w:rPr>
          <w:rFonts w:ascii="Palatino Linotype" w:eastAsia="Palatino Linotype" w:hAnsi="Palatino Linotype" w:cs="Palatino Linotype"/>
          <w:sz w:val="22"/>
          <w:szCs w:val="22"/>
        </w:rPr>
        <w:t xml:space="preserve"> del conocimiento de la parte </w:t>
      </w:r>
      <w:r w:rsidR="00D450E9" w:rsidRPr="00176119">
        <w:rPr>
          <w:rFonts w:ascii="Palatino Linotype" w:eastAsia="Palatino Linotype" w:hAnsi="Palatino Linotype" w:cs="Palatino Linotype"/>
          <w:b/>
          <w:bCs/>
          <w:sz w:val="22"/>
          <w:szCs w:val="22"/>
        </w:rPr>
        <w:t xml:space="preserve">Recurrente. </w:t>
      </w:r>
      <w:bookmarkStart w:id="7" w:name="_Hlk164188018"/>
      <w:bookmarkEnd w:id="5"/>
    </w:p>
    <w:p w14:paraId="734B9D8B" w14:textId="77777777" w:rsidR="009858C6" w:rsidRPr="00176119" w:rsidRDefault="009858C6" w:rsidP="00985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11C9B8D" w14:textId="21C86A6D" w:rsidR="00010A35" w:rsidRPr="00176119" w:rsidRDefault="00010A35" w:rsidP="00985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La parte Recurrente fue omisa en rendir manifestaciones. </w:t>
      </w:r>
    </w:p>
    <w:p w14:paraId="7EBA7E21" w14:textId="77777777" w:rsidR="000C17CE" w:rsidRPr="00176119" w:rsidRDefault="000C17CE" w:rsidP="009858C6">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bookmarkEnd w:id="7"/>
    <w:p w14:paraId="0D37EA3C" w14:textId="0D42BFDD" w:rsidR="00AD529B" w:rsidRPr="00176119" w:rsidRDefault="0077781F"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8. </w:t>
      </w:r>
      <w:r w:rsidR="00AD529B" w:rsidRPr="00176119">
        <w:rPr>
          <w:rFonts w:ascii="Palatino Linotype" w:eastAsia="Palatino Linotype" w:hAnsi="Palatino Linotype" w:cs="Palatino Linotype"/>
          <w:b/>
          <w:sz w:val="22"/>
          <w:szCs w:val="22"/>
        </w:rPr>
        <w:t xml:space="preserve">Cierre de instrucción. </w:t>
      </w:r>
      <w:r w:rsidR="00AD529B" w:rsidRPr="0017611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AA7F3D" w:rsidRPr="00176119">
        <w:rPr>
          <w:rFonts w:ascii="Palatino Linotype" w:eastAsia="Palatino Linotype" w:hAnsi="Palatino Linotype" w:cs="Palatino Linotype"/>
          <w:b/>
          <w:sz w:val="22"/>
          <w:szCs w:val="22"/>
        </w:rPr>
        <w:t>veintidós</w:t>
      </w:r>
      <w:r w:rsidR="000C17CE" w:rsidRPr="00176119">
        <w:rPr>
          <w:rFonts w:ascii="Palatino Linotype" w:eastAsia="Palatino Linotype" w:hAnsi="Palatino Linotype" w:cs="Palatino Linotype"/>
          <w:b/>
          <w:sz w:val="22"/>
          <w:szCs w:val="22"/>
        </w:rPr>
        <w:t xml:space="preserve"> </w:t>
      </w:r>
      <w:r w:rsidR="00D450E9" w:rsidRPr="00176119">
        <w:rPr>
          <w:rFonts w:ascii="Palatino Linotype" w:eastAsia="Palatino Linotype" w:hAnsi="Palatino Linotype" w:cs="Palatino Linotype"/>
          <w:b/>
          <w:sz w:val="22"/>
          <w:szCs w:val="22"/>
        </w:rPr>
        <w:t xml:space="preserve">de octubre </w:t>
      </w:r>
      <w:r w:rsidR="00AD529B" w:rsidRPr="00176119">
        <w:rPr>
          <w:rFonts w:ascii="Palatino Linotype" w:eastAsia="Palatino Linotype" w:hAnsi="Palatino Linotype" w:cs="Palatino Linotype"/>
          <w:b/>
          <w:sz w:val="22"/>
          <w:szCs w:val="22"/>
        </w:rPr>
        <w:t xml:space="preserve"> de dos mil veinticuatro</w:t>
      </w:r>
      <w:r w:rsidR="00AD529B" w:rsidRPr="00176119">
        <w:rPr>
          <w:rFonts w:ascii="Palatino Linotype" w:eastAsia="Palatino Linotype" w:hAnsi="Palatino Linotype" w:cs="Palatino Linotype"/>
          <w:sz w:val="22"/>
          <w:szCs w:val="22"/>
        </w:rPr>
        <w:t xml:space="preserve"> la Comisionada Ponente determinó el cierre </w:t>
      </w:r>
      <w:r w:rsidR="00AD529B" w:rsidRPr="00176119">
        <w:rPr>
          <w:rFonts w:ascii="Palatino Linotype" w:eastAsia="Palatino Linotype" w:hAnsi="Palatino Linotype" w:cs="Palatino Linotype"/>
          <w:sz w:val="22"/>
          <w:szCs w:val="22"/>
        </w:rPr>
        <w:lastRenderedPageBreak/>
        <w:t>de instrucción en términos de la fracción VI del artículo 185 de la Ley de Transparencia y Acceso a la Información Pública del Estado de México y Municipios.</w:t>
      </w:r>
    </w:p>
    <w:p w14:paraId="0213CFAA"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3D7161CA" w14:textId="1317721D" w:rsidR="006D5E1C" w:rsidRPr="00176119" w:rsidRDefault="005204B5"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F05F305"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41C147FE" w14:textId="77777777" w:rsidR="006D5E1C" w:rsidRPr="00176119" w:rsidRDefault="005204B5" w:rsidP="00D450E9">
      <w:pPr>
        <w:widowControl w:val="0"/>
        <w:spacing w:line="360" w:lineRule="auto"/>
        <w:jc w:val="center"/>
        <w:rPr>
          <w:rFonts w:ascii="Palatino Linotype" w:eastAsia="Palatino Linotype" w:hAnsi="Palatino Linotype" w:cs="Palatino Linotype"/>
          <w:b/>
          <w:sz w:val="22"/>
          <w:szCs w:val="22"/>
        </w:rPr>
      </w:pPr>
      <w:r w:rsidRPr="00176119">
        <w:rPr>
          <w:rFonts w:ascii="Palatino Linotype" w:eastAsia="Palatino Linotype" w:hAnsi="Palatino Linotype" w:cs="Palatino Linotype"/>
          <w:b/>
          <w:sz w:val="22"/>
          <w:szCs w:val="22"/>
        </w:rPr>
        <w:t>II. C O N S I D E R A N D O S</w:t>
      </w:r>
    </w:p>
    <w:p w14:paraId="3248E7A0" w14:textId="77777777" w:rsidR="00D450E9" w:rsidRPr="00176119" w:rsidRDefault="00D450E9" w:rsidP="00D450E9">
      <w:pPr>
        <w:widowControl w:val="0"/>
        <w:spacing w:line="360" w:lineRule="auto"/>
        <w:jc w:val="center"/>
        <w:rPr>
          <w:rFonts w:ascii="Palatino Linotype" w:eastAsia="Palatino Linotype" w:hAnsi="Palatino Linotype" w:cs="Palatino Linotype"/>
          <w:b/>
          <w:sz w:val="22"/>
          <w:szCs w:val="22"/>
        </w:rPr>
      </w:pPr>
    </w:p>
    <w:p w14:paraId="04926C27" w14:textId="10F1C01D" w:rsidR="00D450E9" w:rsidRPr="00176119" w:rsidRDefault="00D450E9"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Primero. Competencia. </w:t>
      </w:r>
      <w:r w:rsidRPr="00176119">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1EAB2AD" w14:textId="77777777" w:rsidR="00D450E9" w:rsidRPr="00176119" w:rsidRDefault="00D450E9" w:rsidP="00D450E9">
      <w:pPr>
        <w:spacing w:line="360" w:lineRule="auto"/>
        <w:jc w:val="both"/>
        <w:rPr>
          <w:rFonts w:ascii="Palatino Linotype" w:eastAsia="Palatino Linotype" w:hAnsi="Palatino Linotype" w:cs="Palatino Linotype"/>
          <w:sz w:val="22"/>
          <w:szCs w:val="22"/>
        </w:rPr>
      </w:pPr>
    </w:p>
    <w:p w14:paraId="3F62458A" w14:textId="3988CC5C" w:rsidR="000C17CE" w:rsidRPr="00176119" w:rsidRDefault="005204B5" w:rsidP="000C17CE">
      <w:pPr>
        <w:spacing w:line="360" w:lineRule="auto"/>
        <w:jc w:val="both"/>
        <w:rPr>
          <w:rFonts w:ascii="Palatino Linotype" w:eastAsia="Palatino Linotype" w:hAnsi="Palatino Linotype" w:cs="Palatino Linotype"/>
          <w:sz w:val="22"/>
          <w:szCs w:val="22"/>
        </w:rPr>
      </w:pPr>
      <w:bookmarkStart w:id="8" w:name="_heading=h.tyjcwt" w:colFirst="0" w:colLast="0"/>
      <w:bookmarkEnd w:id="8"/>
      <w:r w:rsidRPr="00176119">
        <w:rPr>
          <w:rFonts w:ascii="Palatino Linotype" w:eastAsia="Palatino Linotype" w:hAnsi="Palatino Linotype" w:cs="Palatino Linotype"/>
          <w:b/>
          <w:sz w:val="22"/>
          <w:szCs w:val="22"/>
        </w:rPr>
        <w:t>Segundo. Oportunidad y Procedibilidad del Recurso de Revisión</w:t>
      </w:r>
      <w:r w:rsidRPr="00176119">
        <w:rPr>
          <w:rFonts w:ascii="Palatino Linotype" w:eastAsia="Palatino Linotype" w:hAnsi="Palatino Linotype" w:cs="Palatino Linotype"/>
          <w:sz w:val="22"/>
          <w:szCs w:val="22"/>
        </w:rPr>
        <w:t xml:space="preserve">. </w:t>
      </w:r>
      <w:r w:rsidR="000C17CE" w:rsidRPr="00176119">
        <w:rPr>
          <w:rFonts w:ascii="Palatino Linotype" w:eastAsia="Palatino Linotype" w:hAnsi="Palatino Linotype" w:cs="Palatino Linotype"/>
          <w:sz w:val="22"/>
          <w:szCs w:val="22"/>
        </w:rPr>
        <w:t>Es de precisar que la</w:t>
      </w:r>
      <w:r w:rsidR="000C17CE" w:rsidRPr="00176119">
        <w:rPr>
          <w:rFonts w:ascii="Palatino Linotype" w:eastAsia="Palatino Linotype" w:hAnsi="Palatino Linotype" w:cs="Palatino Linotype"/>
          <w:b/>
          <w:sz w:val="22"/>
          <w:szCs w:val="22"/>
        </w:rPr>
        <w:t xml:space="preserve"> </w:t>
      </w:r>
      <w:r w:rsidR="000C17CE" w:rsidRPr="00176119">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166, del tenor literal siguiente: </w:t>
      </w:r>
    </w:p>
    <w:p w14:paraId="38129CDE"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3D18D368"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lastRenderedPageBreak/>
        <w:t>“</w:t>
      </w:r>
      <w:r w:rsidRPr="00176119">
        <w:rPr>
          <w:rFonts w:ascii="Palatino Linotype" w:eastAsia="Palatino Linotype" w:hAnsi="Palatino Linotype" w:cs="Palatino Linotype"/>
          <w:b/>
          <w:i/>
          <w:sz w:val="22"/>
          <w:szCs w:val="22"/>
        </w:rPr>
        <w:t xml:space="preserve">Artículo 163. </w:t>
      </w:r>
      <w:r w:rsidRPr="00176119">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C72FFB0"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w:t>
      </w:r>
    </w:p>
    <w:p w14:paraId="62C80B01"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b/>
          <w:i/>
          <w:sz w:val="22"/>
          <w:szCs w:val="22"/>
        </w:rPr>
        <w:t>Artículo 166.</w:t>
      </w:r>
      <w:r w:rsidRPr="00176119">
        <w:rPr>
          <w:rFonts w:ascii="Palatino Linotype" w:eastAsia="Palatino Linotype" w:hAnsi="Palatino Linotype" w:cs="Palatino Linotype"/>
          <w:i/>
          <w:sz w:val="22"/>
          <w:szCs w:val="22"/>
        </w:rPr>
        <w:t xml:space="preserve"> […]</w:t>
      </w:r>
    </w:p>
    <w:p w14:paraId="2F5B202C"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55EE06A8" w14:textId="77777777" w:rsidR="000C17CE" w:rsidRPr="00176119" w:rsidRDefault="000C17CE" w:rsidP="000C17CE">
      <w:pPr>
        <w:spacing w:line="360" w:lineRule="auto"/>
        <w:ind w:left="851" w:right="851"/>
        <w:jc w:val="both"/>
        <w:rPr>
          <w:rFonts w:ascii="Palatino Linotype" w:eastAsia="Palatino Linotype" w:hAnsi="Palatino Linotype" w:cs="Palatino Linotype"/>
          <w:i/>
          <w:sz w:val="22"/>
          <w:szCs w:val="22"/>
        </w:rPr>
      </w:pPr>
    </w:p>
    <w:p w14:paraId="27825098"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D5AB0D5"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2B3EBE83"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11F66FB"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4CBE7849"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Por su parte, el artículo 178 del citado ordenamiento, establece:</w:t>
      </w:r>
    </w:p>
    <w:p w14:paraId="42195ED6"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62581B2C" w14:textId="77777777" w:rsidR="000C17CE" w:rsidRPr="00176119" w:rsidRDefault="000C17CE" w:rsidP="000C17CE">
      <w:pPr>
        <w:ind w:left="567" w:right="560"/>
        <w:jc w:val="both"/>
        <w:rPr>
          <w:rFonts w:ascii="Palatino Linotype" w:eastAsia="Palatino Linotype" w:hAnsi="Palatino Linotype" w:cs="Palatino Linotype"/>
          <w:b/>
          <w:i/>
          <w:sz w:val="22"/>
          <w:szCs w:val="22"/>
        </w:rPr>
      </w:pPr>
      <w:r w:rsidRPr="00176119">
        <w:rPr>
          <w:rFonts w:ascii="Palatino Linotype" w:eastAsia="Palatino Linotype" w:hAnsi="Palatino Linotype" w:cs="Palatino Linotype"/>
          <w:i/>
          <w:sz w:val="22"/>
          <w:szCs w:val="22"/>
        </w:rPr>
        <w:t>“</w:t>
      </w:r>
      <w:r w:rsidRPr="00176119">
        <w:rPr>
          <w:rFonts w:ascii="Palatino Linotype" w:eastAsia="Palatino Linotype" w:hAnsi="Palatino Linotype" w:cs="Palatino Linotype"/>
          <w:b/>
          <w:i/>
          <w:sz w:val="22"/>
          <w:szCs w:val="22"/>
        </w:rPr>
        <w:t xml:space="preserve">Artículo 178. </w:t>
      </w:r>
      <w:r w:rsidRPr="00176119">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176119">
        <w:rPr>
          <w:rFonts w:ascii="Palatino Linotype" w:eastAsia="Palatino Linotype" w:hAnsi="Palatino Linotype" w:cs="Palatino Linotype"/>
          <w:b/>
          <w:i/>
          <w:sz w:val="22"/>
          <w:szCs w:val="22"/>
        </w:rPr>
        <w:t>.</w:t>
      </w:r>
    </w:p>
    <w:p w14:paraId="6917423F" w14:textId="77777777" w:rsidR="000C17CE" w:rsidRPr="00176119" w:rsidRDefault="000C17CE" w:rsidP="000C17CE">
      <w:pPr>
        <w:ind w:left="567" w:right="560"/>
        <w:jc w:val="both"/>
        <w:rPr>
          <w:rFonts w:ascii="Palatino Linotype" w:eastAsia="Palatino Linotype" w:hAnsi="Palatino Linotype" w:cs="Palatino Linotype"/>
          <w:b/>
          <w:i/>
          <w:sz w:val="22"/>
          <w:szCs w:val="22"/>
        </w:rPr>
      </w:pPr>
    </w:p>
    <w:p w14:paraId="3C554DDE" w14:textId="77777777" w:rsidR="000C17CE" w:rsidRPr="00176119" w:rsidRDefault="000C17CE" w:rsidP="000C17CE">
      <w:pPr>
        <w:ind w:left="567" w:right="560"/>
        <w:jc w:val="both"/>
        <w:rPr>
          <w:rFonts w:ascii="Palatino Linotype" w:hAnsi="Palatino Linotype"/>
          <w:i/>
          <w:sz w:val="22"/>
          <w:szCs w:val="22"/>
        </w:rPr>
      </w:pPr>
      <w:r w:rsidRPr="00176119">
        <w:rPr>
          <w:rFonts w:ascii="Palatino Linotype" w:hAnsi="Palatino Linotype"/>
          <w:i/>
          <w:sz w:val="22"/>
          <w:szCs w:val="22"/>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2F991577" w14:textId="77777777" w:rsidR="000C17CE" w:rsidRPr="00176119" w:rsidRDefault="000C17CE" w:rsidP="000C17CE">
      <w:pPr>
        <w:ind w:left="567" w:right="560"/>
        <w:jc w:val="both"/>
        <w:rPr>
          <w:rFonts w:ascii="Palatino Linotype" w:hAnsi="Palatino Linotype"/>
          <w:i/>
          <w:sz w:val="22"/>
          <w:szCs w:val="22"/>
        </w:rPr>
      </w:pPr>
    </w:p>
    <w:p w14:paraId="1ED94B93" w14:textId="77777777" w:rsidR="000C17CE" w:rsidRPr="00176119" w:rsidRDefault="000C17CE" w:rsidP="000C17CE">
      <w:pPr>
        <w:ind w:left="567" w:right="560"/>
        <w:jc w:val="both"/>
        <w:rPr>
          <w:rFonts w:ascii="Palatino Linotype" w:eastAsia="Palatino Linotype" w:hAnsi="Palatino Linotype" w:cs="Palatino Linotype"/>
          <w:b/>
          <w:i/>
          <w:sz w:val="22"/>
          <w:szCs w:val="22"/>
        </w:rPr>
      </w:pPr>
      <w:r w:rsidRPr="00176119">
        <w:rPr>
          <w:rFonts w:ascii="Palatino Linotype" w:hAnsi="Palatino Linotype"/>
          <w:i/>
          <w:sz w:val="22"/>
          <w:szCs w:val="22"/>
        </w:rPr>
        <w:t>En el caso de que se interponga ante la Unidad de Transparencia, ésta deberá remitir el recurso de revisión al Instituto a más tardar al día siguiente de haberlo recibido.</w:t>
      </w:r>
      <w:r w:rsidRPr="00176119">
        <w:rPr>
          <w:rFonts w:ascii="Palatino Linotype" w:eastAsia="Palatino Linotype" w:hAnsi="Palatino Linotype" w:cs="Palatino Linotype"/>
          <w:b/>
          <w:i/>
          <w:sz w:val="22"/>
          <w:szCs w:val="22"/>
        </w:rPr>
        <w:t>”</w:t>
      </w:r>
    </w:p>
    <w:p w14:paraId="11351BF9" w14:textId="77777777" w:rsidR="000C17CE" w:rsidRPr="00176119" w:rsidRDefault="000C17CE" w:rsidP="000C17CE">
      <w:pPr>
        <w:spacing w:line="360" w:lineRule="auto"/>
        <w:ind w:left="851" w:right="851"/>
        <w:jc w:val="both"/>
        <w:rPr>
          <w:rFonts w:ascii="Palatino Linotype" w:eastAsia="Palatino Linotype" w:hAnsi="Palatino Linotype" w:cs="Palatino Linotype"/>
          <w:i/>
          <w:sz w:val="22"/>
          <w:szCs w:val="22"/>
        </w:rPr>
      </w:pPr>
    </w:p>
    <w:p w14:paraId="3D7EE391" w14:textId="77777777" w:rsidR="000C17CE" w:rsidRPr="00176119" w:rsidRDefault="000C17CE" w:rsidP="000C17CE">
      <w:pPr>
        <w:spacing w:line="360" w:lineRule="auto"/>
        <w:jc w:val="both"/>
        <w:rPr>
          <w:rFonts w:ascii="Palatino Linotype" w:eastAsia="Palatino Linotype" w:hAnsi="Palatino Linotype" w:cs="Palatino Linotype"/>
          <w:b/>
          <w:sz w:val="22"/>
          <w:szCs w:val="22"/>
          <w:u w:val="single"/>
        </w:rPr>
      </w:pPr>
      <w:r w:rsidRPr="00176119">
        <w:rPr>
          <w:rFonts w:ascii="Palatino Linotype" w:eastAsia="Palatino Linotype" w:hAnsi="Palatino Linotype" w:cs="Palatino Linotype"/>
          <w:sz w:val="22"/>
          <w:szCs w:val="22"/>
        </w:rPr>
        <w:t xml:space="preserve">De lo anterior, se advierte que el recurso de revisión se han de interponer dentro del plazo de quince días hábiles, a partir de la fecha en que el </w:t>
      </w:r>
      <w:r w:rsidRPr="00176119">
        <w:rPr>
          <w:rFonts w:ascii="Palatino Linotype" w:eastAsia="Palatino Linotype" w:hAnsi="Palatino Linotype" w:cs="Palatino Linotype"/>
          <w:b/>
          <w:sz w:val="22"/>
          <w:szCs w:val="22"/>
        </w:rPr>
        <w:t xml:space="preserve">Sujeto Obligado </w:t>
      </w:r>
      <w:r w:rsidRPr="00176119">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176119">
        <w:rPr>
          <w:rFonts w:ascii="Palatino Linotype" w:eastAsia="Palatino Linotype" w:hAnsi="Palatino Linotype" w:cs="Palatino Linotype"/>
          <w:b/>
          <w:sz w:val="22"/>
          <w:szCs w:val="22"/>
          <w:u w:val="single"/>
        </w:rPr>
        <w:t>la interposición del recurso de revisión puede ser en cualquier momento.</w:t>
      </w:r>
    </w:p>
    <w:p w14:paraId="5014C81A"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47ED0FC9"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176119">
        <w:rPr>
          <w:rFonts w:ascii="Palatino Linotype" w:eastAsia="Palatino Linotype" w:hAnsi="Palatino Linotype" w:cs="Palatino Linotype"/>
          <w:b/>
          <w:sz w:val="22"/>
          <w:szCs w:val="22"/>
        </w:rPr>
        <w:t xml:space="preserve">Sujeto Obligado </w:t>
      </w:r>
      <w:r w:rsidRPr="00176119">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6C837140"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099C9F49"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w:t>
      </w:r>
      <w:r w:rsidRPr="00176119">
        <w:rPr>
          <w:rFonts w:ascii="Palatino Linotype" w:eastAsia="Palatino Linotype" w:hAnsi="Palatino Linotype" w:cs="Palatino Linotype"/>
          <w:sz w:val="22"/>
          <w:szCs w:val="22"/>
        </w:rPr>
        <w:lastRenderedPageBreak/>
        <w:t xml:space="preserve">en aras de privilegiar el principio de máxima publicidad deberá dar entrada al estudio del fondo del recurso interpuesto en dichos casos y no optar por el </w:t>
      </w:r>
      <w:proofErr w:type="spellStart"/>
      <w:r w:rsidRPr="00176119">
        <w:rPr>
          <w:rFonts w:ascii="Palatino Linotype" w:eastAsia="Palatino Linotype" w:hAnsi="Palatino Linotype" w:cs="Palatino Linotype"/>
          <w:sz w:val="22"/>
          <w:szCs w:val="22"/>
        </w:rPr>
        <w:t>desechamiento</w:t>
      </w:r>
      <w:proofErr w:type="spellEnd"/>
      <w:r w:rsidRPr="00176119">
        <w:rPr>
          <w:rFonts w:ascii="Palatino Linotype" w:eastAsia="Palatino Linotype" w:hAnsi="Palatino Linotype" w:cs="Palatino Linotype"/>
          <w:sz w:val="22"/>
          <w:szCs w:val="22"/>
        </w:rPr>
        <w:t xml:space="preserve"> del mismo.</w:t>
      </w:r>
    </w:p>
    <w:p w14:paraId="589770E2"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44D2853D"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176119">
        <w:rPr>
          <w:rFonts w:ascii="Palatino Linotype" w:eastAsia="Palatino Linotype" w:hAnsi="Palatino Linotype" w:cs="Palatino Linotype"/>
          <w:b/>
          <w:sz w:val="22"/>
          <w:szCs w:val="22"/>
        </w:rPr>
        <w:t>Sujeto Obligado</w:t>
      </w:r>
      <w:r w:rsidRPr="00176119">
        <w:rPr>
          <w:rFonts w:ascii="Palatino Linotype" w:eastAsia="Palatino Linotype" w:hAnsi="Palatino Linotype" w:cs="Palatino Linotype"/>
          <w:sz w:val="22"/>
          <w:szCs w:val="22"/>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84D6FC0"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5B4E47A8" w14:textId="77777777" w:rsidR="000C17CE" w:rsidRPr="00176119" w:rsidRDefault="000C17CE" w:rsidP="000C17CE">
      <w:pPr>
        <w:tabs>
          <w:tab w:val="left" w:pos="1276"/>
        </w:tabs>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b/>
          <w:i/>
          <w:sz w:val="22"/>
          <w:szCs w:val="22"/>
        </w:rPr>
        <w:t>“CRITERIO 0001-15. NEGATIVA FICTA. PLAZO PARA INTERPONER EL RECURSO DE REVISIÓN TRATÁNDOSE DE</w:t>
      </w:r>
      <w:r w:rsidRPr="00176119">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651FD158" w14:textId="77777777" w:rsidR="000C17CE" w:rsidRPr="00176119" w:rsidRDefault="000C17CE" w:rsidP="000C17CE">
      <w:pPr>
        <w:spacing w:line="360" w:lineRule="auto"/>
        <w:ind w:left="567" w:right="843"/>
        <w:jc w:val="both"/>
        <w:rPr>
          <w:rFonts w:ascii="Palatino Linotype" w:eastAsia="Palatino Linotype" w:hAnsi="Palatino Linotype" w:cs="Palatino Linotype"/>
          <w:i/>
          <w:sz w:val="22"/>
          <w:szCs w:val="22"/>
        </w:rPr>
      </w:pPr>
    </w:p>
    <w:p w14:paraId="10AF0A98"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Al mismo tiempo, por cuanto hace a la procedibilidad del recurso de revisión, una vez realizado el análisis de los formatos de interposición del recurso, se concluye la acreditación </w:t>
      </w:r>
      <w:r w:rsidRPr="00176119">
        <w:rPr>
          <w:rFonts w:ascii="Palatino Linotype" w:eastAsia="Palatino Linotype" w:hAnsi="Palatino Linotype" w:cs="Palatino Linotype"/>
          <w:sz w:val="22"/>
          <w:szCs w:val="22"/>
        </w:rPr>
        <w:lastRenderedPageBreak/>
        <w:t>plena de los elementos formales precisados por el artículo 180 de la Ley de Transparencia y Acceso a la Información Pública del Estado de México y Municipios, en atención a que fue presentado mediante el formato visible en el SAIMEX.</w:t>
      </w:r>
    </w:p>
    <w:p w14:paraId="263612BB"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03795B8A"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61B97B2C" w14:textId="77777777" w:rsidR="000C17CE" w:rsidRPr="00176119" w:rsidRDefault="000C17CE" w:rsidP="000C17CE">
      <w:pPr>
        <w:spacing w:line="360" w:lineRule="auto"/>
        <w:jc w:val="both"/>
        <w:rPr>
          <w:rFonts w:ascii="Palatino Linotype" w:eastAsia="Palatino Linotype" w:hAnsi="Palatino Linotype" w:cs="Palatino Linotype"/>
          <w:sz w:val="22"/>
          <w:szCs w:val="22"/>
        </w:rPr>
      </w:pPr>
    </w:p>
    <w:p w14:paraId="23B7301C"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w:t>
      </w:r>
      <w:r w:rsidRPr="00176119">
        <w:rPr>
          <w:rFonts w:ascii="Palatino Linotype" w:eastAsia="Palatino Linotype" w:hAnsi="Palatino Linotype" w:cs="Palatino Linotype"/>
          <w:b/>
          <w:i/>
          <w:sz w:val="22"/>
          <w:szCs w:val="22"/>
        </w:rPr>
        <w:t xml:space="preserve">Artículo 179. </w:t>
      </w:r>
      <w:r w:rsidRPr="0017611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5BD75F1"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w:t>
      </w:r>
    </w:p>
    <w:p w14:paraId="10627B3E" w14:textId="77777777" w:rsidR="000C17CE" w:rsidRPr="00176119" w:rsidRDefault="000C17CE" w:rsidP="000C17CE">
      <w:pPr>
        <w:ind w:left="851" w:right="851"/>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b/>
          <w:i/>
          <w:sz w:val="22"/>
          <w:szCs w:val="22"/>
        </w:rPr>
        <w:t xml:space="preserve">VII. </w:t>
      </w:r>
      <w:r w:rsidRPr="00176119">
        <w:rPr>
          <w:rFonts w:ascii="Palatino Linotype" w:eastAsia="Palatino Linotype" w:hAnsi="Palatino Linotype" w:cs="Palatino Linotype"/>
          <w:i/>
          <w:sz w:val="22"/>
          <w:szCs w:val="22"/>
        </w:rPr>
        <w:t>La falta de respuesta a una solicitud de acceso a la información;”</w:t>
      </w:r>
    </w:p>
    <w:p w14:paraId="2D1EA116" w14:textId="77777777" w:rsidR="000C17CE" w:rsidRPr="00176119" w:rsidRDefault="000C17CE" w:rsidP="000C17CE">
      <w:pPr>
        <w:spacing w:line="360" w:lineRule="auto"/>
        <w:ind w:left="1134" w:right="851"/>
        <w:jc w:val="both"/>
        <w:rPr>
          <w:rFonts w:ascii="Palatino Linotype" w:eastAsia="Palatino Linotype" w:hAnsi="Palatino Linotype" w:cs="Palatino Linotype"/>
          <w:i/>
          <w:sz w:val="22"/>
          <w:szCs w:val="22"/>
        </w:rPr>
      </w:pPr>
    </w:p>
    <w:p w14:paraId="526D1F9A" w14:textId="7DE79D41" w:rsidR="000C17CE" w:rsidRPr="00176119" w:rsidRDefault="000C17CE" w:rsidP="000C17CE">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Recurrente combate falta de trámite por el Sujeto Obligado y expresa motivos de inconformidad en contra de dicha circunstancia.</w:t>
      </w:r>
    </w:p>
    <w:p w14:paraId="6C09F752" w14:textId="77777777" w:rsidR="00D450E9" w:rsidRPr="00176119" w:rsidRDefault="00D450E9" w:rsidP="00D450E9">
      <w:pPr>
        <w:spacing w:line="360" w:lineRule="auto"/>
        <w:jc w:val="both"/>
        <w:rPr>
          <w:rFonts w:ascii="Palatino Linotype" w:eastAsia="Palatino Linotype" w:hAnsi="Palatino Linotype" w:cs="Palatino Linotype"/>
          <w:i/>
          <w:sz w:val="22"/>
          <w:szCs w:val="22"/>
        </w:rPr>
      </w:pPr>
    </w:p>
    <w:p w14:paraId="56462C73" w14:textId="222204B9" w:rsidR="00C81082" w:rsidRPr="00176119" w:rsidRDefault="00C81082" w:rsidP="00C8108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Tercero. Análisis de las causales de sobreseimiento. </w:t>
      </w:r>
      <w:r w:rsidRPr="00176119">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D24094C" w14:textId="77777777" w:rsidR="00C81082" w:rsidRPr="00176119" w:rsidRDefault="00C81082" w:rsidP="00C8108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2821E12" w14:textId="77777777" w:rsidR="00C81082" w:rsidRPr="00176119" w:rsidRDefault="00C81082" w:rsidP="00C81082">
      <w:pPr>
        <w:spacing w:line="360" w:lineRule="auto"/>
        <w:jc w:val="both"/>
        <w:rPr>
          <w:rFonts w:ascii="Palatino Linotype" w:eastAsia="Palatino Linotype" w:hAnsi="Palatino Linotype" w:cs="Palatino Linotype"/>
          <w:sz w:val="22"/>
          <w:szCs w:val="22"/>
        </w:rPr>
      </w:pPr>
    </w:p>
    <w:p w14:paraId="54C83D2E" w14:textId="01B7F00C" w:rsidR="00C81082" w:rsidRPr="00176119" w:rsidRDefault="00C81082" w:rsidP="00C8108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Ahora bien, del análisis de la solicitud de información, motivo del recurso de revisión que ahora se resuelve, se advierte que la parte Recurrente requirió al Sujeto Obligado le proporcione, información consistente en lo siguiente:</w:t>
      </w:r>
    </w:p>
    <w:p w14:paraId="004D76DE" w14:textId="77777777" w:rsidR="0031435B" w:rsidRPr="00176119" w:rsidRDefault="0031435B" w:rsidP="007B3072">
      <w:pPr>
        <w:spacing w:line="360" w:lineRule="auto"/>
        <w:ind w:right="616"/>
        <w:jc w:val="both"/>
        <w:rPr>
          <w:rFonts w:ascii="Palatino Linotype" w:eastAsia="Palatino Linotype" w:hAnsi="Palatino Linotype" w:cs="Palatino Linotype"/>
          <w:sz w:val="22"/>
          <w:szCs w:val="22"/>
        </w:rPr>
      </w:pPr>
    </w:p>
    <w:p w14:paraId="1EB310FF" w14:textId="59E0FF9F" w:rsidR="000C17CE" w:rsidRPr="00176119" w:rsidRDefault="000C17CE" w:rsidP="000C17CE">
      <w:pPr>
        <w:pStyle w:val="Prrafodelista"/>
        <w:numPr>
          <w:ilvl w:val="0"/>
          <w:numId w:val="22"/>
        </w:numPr>
        <w:spacing w:line="360" w:lineRule="auto"/>
        <w:ind w:right="616"/>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El convenio de prestación de Servidores Públicos sindicalizados actualizado, del Instituto Municipal de Cultura Física y Deporte de Huehuetoca. </w:t>
      </w:r>
    </w:p>
    <w:p w14:paraId="511B0DF7" w14:textId="77777777" w:rsidR="000C17CE" w:rsidRPr="00176119" w:rsidRDefault="000C17CE" w:rsidP="000C17CE">
      <w:pPr>
        <w:pStyle w:val="Prrafodelista"/>
        <w:spacing w:line="360" w:lineRule="auto"/>
        <w:ind w:right="616"/>
        <w:jc w:val="both"/>
        <w:rPr>
          <w:rFonts w:ascii="Palatino Linotype" w:eastAsia="Palatino Linotype" w:hAnsi="Palatino Linotype" w:cs="Palatino Linotype"/>
          <w:i/>
          <w:sz w:val="22"/>
          <w:szCs w:val="22"/>
        </w:rPr>
      </w:pPr>
    </w:p>
    <w:p w14:paraId="1139CF2E" w14:textId="2BDFC759" w:rsidR="00E13086" w:rsidRPr="00176119" w:rsidRDefault="000C17CE" w:rsidP="000C17CE">
      <w:pPr>
        <w:spacing w:line="360" w:lineRule="auto"/>
        <w:ind w:right="49"/>
        <w:jc w:val="both"/>
        <w:rPr>
          <w:rFonts w:ascii="Palatino Linotype" w:eastAsia="Palatino Linotype" w:hAnsi="Palatino Linotype" w:cs="Palatino Linotype"/>
          <w:iCs/>
          <w:sz w:val="22"/>
          <w:szCs w:val="22"/>
        </w:rPr>
      </w:pPr>
      <w:r w:rsidRPr="00176119">
        <w:rPr>
          <w:rFonts w:ascii="Palatino Linotype" w:eastAsia="Palatino Linotype" w:hAnsi="Palatino Linotype" w:cs="Palatino Linotype"/>
          <w:sz w:val="22"/>
          <w:szCs w:val="22"/>
        </w:rPr>
        <w:t xml:space="preserve">El Sujeto Obligado fue omiso en remitir respuesta. </w:t>
      </w:r>
    </w:p>
    <w:p w14:paraId="73D20E87" w14:textId="77777777" w:rsidR="00C81082" w:rsidRPr="00176119" w:rsidRDefault="00C81082" w:rsidP="00E13086">
      <w:pPr>
        <w:spacing w:line="360" w:lineRule="auto"/>
        <w:ind w:right="49"/>
        <w:jc w:val="both"/>
        <w:rPr>
          <w:rFonts w:ascii="Palatino Linotype" w:eastAsia="Palatino Linotype" w:hAnsi="Palatino Linotype" w:cs="Palatino Linotype"/>
          <w:bCs/>
          <w:sz w:val="22"/>
          <w:szCs w:val="22"/>
        </w:rPr>
      </w:pPr>
    </w:p>
    <w:p w14:paraId="3B9A50AC" w14:textId="3F77C650" w:rsidR="00D450E9" w:rsidRPr="00176119" w:rsidRDefault="00E13086" w:rsidP="00E13086">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Cs/>
          <w:sz w:val="22"/>
          <w:szCs w:val="22"/>
        </w:rPr>
        <w:t>Derivado de ello, la</w:t>
      </w:r>
      <w:r w:rsidR="000C17CE" w:rsidRPr="00176119">
        <w:rPr>
          <w:rFonts w:ascii="Palatino Linotype" w:eastAsia="Palatino Linotype" w:hAnsi="Palatino Linotype" w:cs="Palatino Linotype"/>
          <w:bCs/>
          <w:sz w:val="22"/>
          <w:szCs w:val="22"/>
        </w:rPr>
        <w:t xml:space="preserve"> parte Recurrente se inconformó por la falta de entrega de la información. </w:t>
      </w:r>
    </w:p>
    <w:p w14:paraId="2653B05A" w14:textId="77777777" w:rsidR="00D450E9" w:rsidRPr="00176119" w:rsidRDefault="00D450E9" w:rsidP="00D450E9">
      <w:pPr>
        <w:spacing w:line="360" w:lineRule="auto"/>
        <w:jc w:val="both"/>
        <w:rPr>
          <w:rFonts w:ascii="Palatino Linotype" w:eastAsia="Palatino Linotype" w:hAnsi="Palatino Linotype" w:cs="Palatino Linotype"/>
          <w:b/>
          <w:sz w:val="22"/>
          <w:szCs w:val="22"/>
        </w:rPr>
      </w:pPr>
    </w:p>
    <w:p w14:paraId="40EF0D61" w14:textId="04954080" w:rsidR="00634AC2" w:rsidRPr="00176119" w:rsidRDefault="00E13086" w:rsidP="00634AC2">
      <w:pPr>
        <w:spacing w:line="360" w:lineRule="auto"/>
        <w:jc w:val="both"/>
        <w:rPr>
          <w:rFonts w:ascii="Palatino Linotype" w:eastAsia="Palatino Linotype" w:hAnsi="Palatino Linotype" w:cs="Palatino Linotype"/>
          <w:b/>
          <w:sz w:val="22"/>
          <w:szCs w:val="22"/>
        </w:rPr>
      </w:pPr>
      <w:r w:rsidRPr="00176119">
        <w:rPr>
          <w:rFonts w:ascii="Palatino Linotype" w:eastAsia="Palatino Linotype" w:hAnsi="Palatino Linotype" w:cs="Palatino Linotype"/>
          <w:sz w:val="22"/>
          <w:szCs w:val="22"/>
        </w:rPr>
        <w:t>En atención a ello, mediante informe justificado,</w:t>
      </w:r>
      <w:r w:rsidR="00CB6217" w:rsidRPr="00176119">
        <w:rPr>
          <w:rFonts w:ascii="Palatino Linotype" w:eastAsia="Palatino Linotype" w:hAnsi="Palatino Linotype" w:cs="Palatino Linotype"/>
          <w:sz w:val="22"/>
          <w:szCs w:val="22"/>
        </w:rPr>
        <w:t xml:space="preserve"> </w:t>
      </w:r>
      <w:r w:rsidR="000C17CE" w:rsidRPr="00176119">
        <w:rPr>
          <w:rFonts w:ascii="Palatino Linotype" w:eastAsia="Palatino Linotype" w:hAnsi="Palatino Linotype" w:cs="Palatino Linotype"/>
          <w:sz w:val="22"/>
          <w:szCs w:val="22"/>
        </w:rPr>
        <w:t xml:space="preserve">el Coordinador de Recursos Humanos, informó que, </w:t>
      </w:r>
      <w:r w:rsidR="000C17CE" w:rsidRPr="00176119">
        <w:rPr>
          <w:rFonts w:ascii="Palatino Linotype" w:eastAsia="Palatino Linotype" w:hAnsi="Palatino Linotype" w:cs="Palatino Linotype"/>
          <w:b/>
          <w:sz w:val="22"/>
          <w:szCs w:val="22"/>
        </w:rPr>
        <w:t>no se cuenta con ningún convenio de prestación vigente o actual</w:t>
      </w:r>
      <w:r w:rsidR="00634AC2" w:rsidRPr="00176119">
        <w:rPr>
          <w:rFonts w:ascii="Palatino Linotype" w:eastAsia="Palatino Linotype" w:hAnsi="Palatino Linotype" w:cs="Palatino Linotype"/>
          <w:b/>
          <w:sz w:val="22"/>
          <w:szCs w:val="22"/>
        </w:rPr>
        <w:t xml:space="preserve">izado para servidores públicos, </w:t>
      </w:r>
      <w:r w:rsidR="00634AC2" w:rsidRPr="00176119">
        <w:rPr>
          <w:rFonts w:ascii="Palatino Linotype" w:eastAsia="Palatino Linotype" w:hAnsi="Palatino Linotype" w:cs="Palatino Linotype"/>
          <w:sz w:val="22"/>
          <w:szCs w:val="22"/>
        </w:rPr>
        <w:t xml:space="preserve">debido a que el personal sindicalizado que presta sus servicios </w:t>
      </w:r>
      <w:r w:rsidR="00634AC2" w:rsidRPr="00176119">
        <w:rPr>
          <w:rFonts w:ascii="Palatino Linotype" w:eastAsia="Palatino Linotype" w:hAnsi="Palatino Linotype" w:cs="Palatino Linotype"/>
          <w:sz w:val="22"/>
          <w:szCs w:val="22"/>
        </w:rPr>
        <w:lastRenderedPageBreak/>
        <w:t xml:space="preserve">pertenece en su totalidad a la nómina del H. Ayuntamiento de Huehuetoca y no a la estructura operativa del Instituto, es decir, aunque algunos servidores públicos realicen sus funciones en las instalaciones, su relación laboral, así como los convenios colectivos y de prestaciones que los amparan, son administrados por el Ayuntamiento. </w:t>
      </w:r>
    </w:p>
    <w:p w14:paraId="6CD81888" w14:textId="77777777" w:rsidR="00634AC2" w:rsidRPr="00176119" w:rsidRDefault="00634AC2" w:rsidP="00D450E9">
      <w:pPr>
        <w:spacing w:line="360" w:lineRule="auto"/>
        <w:jc w:val="both"/>
        <w:rPr>
          <w:rFonts w:ascii="Palatino Linotype" w:eastAsia="Palatino Linotype" w:hAnsi="Palatino Linotype" w:cs="Palatino Linotype"/>
          <w:b/>
          <w:sz w:val="22"/>
          <w:szCs w:val="22"/>
        </w:rPr>
      </w:pPr>
    </w:p>
    <w:p w14:paraId="5B582548" w14:textId="4B430A30" w:rsidR="00D41540" w:rsidRPr="00176119" w:rsidRDefault="00D41540" w:rsidP="00D41540">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Referido lo anterior, se procede a contextualizar la información requerida, para ello, el Código Civil del Estado de México, en términos de su artículo 7.30,  define como convenio, lo siguiente:</w:t>
      </w:r>
    </w:p>
    <w:p w14:paraId="5F9B2866" w14:textId="77777777"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p>
    <w:p w14:paraId="5E69CAD0" w14:textId="77777777" w:rsidR="00D41540" w:rsidRPr="00176119" w:rsidRDefault="00D41540" w:rsidP="00D41540">
      <w:pPr>
        <w:spacing w:line="276" w:lineRule="auto"/>
        <w:ind w:left="567" w:right="616"/>
        <w:jc w:val="both"/>
        <w:rPr>
          <w:rFonts w:ascii="Palatino Linotype" w:eastAsia="Palatino Linotype" w:hAnsi="Palatino Linotype" w:cs="Palatino Linotype"/>
          <w:b/>
          <w:i/>
          <w:sz w:val="22"/>
          <w:szCs w:val="22"/>
        </w:rPr>
      </w:pPr>
      <w:r w:rsidRPr="00176119">
        <w:rPr>
          <w:rFonts w:ascii="Palatino Linotype" w:eastAsia="Palatino Linotype" w:hAnsi="Palatino Linotype" w:cs="Palatino Linotype"/>
          <w:b/>
          <w:i/>
          <w:sz w:val="22"/>
          <w:szCs w:val="22"/>
        </w:rPr>
        <w:t xml:space="preserve">“Concepto de convenio </w:t>
      </w:r>
    </w:p>
    <w:p w14:paraId="1B966DC6" w14:textId="0773962B"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 xml:space="preserve">Artículo 7.30.- Convenio es el acuerdo de dos o más personas para crear, transferir, modificar o extinguir obligaciones.” </w:t>
      </w:r>
    </w:p>
    <w:p w14:paraId="74FE0118" w14:textId="77777777"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p>
    <w:p w14:paraId="4F7CF073" w14:textId="77777777"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El cual consiste en el compromiso de dos o más personas para obligarse a realizar ciertos actos.</w:t>
      </w:r>
    </w:p>
    <w:p w14:paraId="07215A00"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p>
    <w:p w14:paraId="25866CE5"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Bajo esa óptica el artículo 54 de la Ley del Trabajo de los Servidores Públicos del Estado y Municipios, que señala:</w:t>
      </w:r>
    </w:p>
    <w:p w14:paraId="310C5E31"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p>
    <w:p w14:paraId="42863ED7" w14:textId="77777777"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w:t>
      </w:r>
      <w:r w:rsidRPr="00176119">
        <w:rPr>
          <w:rFonts w:ascii="Palatino Linotype" w:eastAsia="Palatino Linotype" w:hAnsi="Palatino Linotype" w:cs="Palatino Linotype"/>
          <w:b/>
          <w:i/>
          <w:sz w:val="22"/>
          <w:szCs w:val="22"/>
        </w:rPr>
        <w:t>ARTÍCULO 54</w:t>
      </w:r>
      <w:r w:rsidRPr="00176119">
        <w:rPr>
          <w:rFonts w:ascii="Palatino Linotype" w:eastAsia="Palatino Linotype" w:hAnsi="Palatino Linotype" w:cs="Palatino Linotype"/>
          <w:i/>
          <w:sz w:val="22"/>
          <w:szCs w:val="22"/>
        </w:rPr>
        <w:t xml:space="preserve">. Cada institución pública o, en su caso, dependencia, en razón de la naturaleza de sus funciones, contará con un Reglamento de Condiciones Generales de Trabajo aplicables a los servidores públicos sindicalizados y generales. </w:t>
      </w:r>
    </w:p>
    <w:p w14:paraId="03B4055B" w14:textId="77777777"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 xml:space="preserve">Las instituciones o dependencias públicas que no cuenten con documento que avale las condiciones generales de trabajo aplicables, deberán estar a lo establecido por esta ley, en caso de que el reglamento sea para sindicalizados se hará de común acuerdo con el sindicato, dichos reglamentos tendrán una duración de tres años y podrán ratificarse o modificarse a su término; los Convenios de sueldos y prestaciones celebrados con el Sindicato se aplicarán solo a los trabajadores miembros y reconocidos por la agrupación Sindical de conformidad con la normatividad aplicable. </w:t>
      </w:r>
    </w:p>
    <w:p w14:paraId="33258B0F" w14:textId="2C3E1734"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lastRenderedPageBreak/>
        <w:t xml:space="preserve">Los beneficios que se establezcan en los Reglamentos de Condiciones Generales de Trabajo y en los Convenios de Sueldo y Prestaciones, no serán extensivas a los servidores públicos de confianza, en virtud de que sus condiciones se encuentran establecidas en el contrato, nombramiento o formato único de movimiento de personal y en la Normatividad de cada institución pública. </w:t>
      </w:r>
    </w:p>
    <w:p w14:paraId="425486D5" w14:textId="50AD0498" w:rsidR="00D41540" w:rsidRPr="00176119" w:rsidRDefault="00D41540" w:rsidP="00D41540">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 xml:space="preserve">Asimismo, en las condiciones de trabajo queda prohibida toda discriminación por motivo de origen étnico o nacional, género, edad, discapacidad, condición social, condiciones de salud, religión, opiniones, preferencias políticas, sexuales o estado civil, o cualquier otra que atente contra la dignidad humana y tenga por objeto anular o menoscabar los derechos y libertades de las personas.” </w:t>
      </w:r>
    </w:p>
    <w:p w14:paraId="3FC55EB0"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p>
    <w:p w14:paraId="11CE6074"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Dicho artículo establece que los convenios de sueldos y prestaciones y de condiciones generales de trabajo, celebrados con los Sindicatos se aplicarán sólo para los trabajadores miembros y reconocidos por la agrupación sindical. </w:t>
      </w:r>
    </w:p>
    <w:p w14:paraId="355705CD"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p>
    <w:p w14:paraId="66866422"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Por otra parte, el artículo 82 de la Ley en comento, que establece:</w:t>
      </w:r>
    </w:p>
    <w:p w14:paraId="4CBC6450"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p>
    <w:p w14:paraId="094B20A9" w14:textId="77777777" w:rsidR="00D41540" w:rsidRPr="00176119" w:rsidRDefault="00D41540" w:rsidP="00D41540">
      <w:pPr>
        <w:spacing w:line="276" w:lineRule="auto"/>
        <w:ind w:left="567" w:right="333"/>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w:t>
      </w:r>
      <w:r w:rsidRPr="00176119">
        <w:rPr>
          <w:rFonts w:ascii="Palatino Linotype" w:eastAsia="Palatino Linotype" w:hAnsi="Palatino Linotype" w:cs="Palatino Linotype"/>
          <w:b/>
          <w:i/>
          <w:sz w:val="22"/>
          <w:szCs w:val="22"/>
        </w:rPr>
        <w:t>ARTÍCULO 82.</w:t>
      </w:r>
      <w:r w:rsidRPr="00176119">
        <w:rPr>
          <w:rFonts w:ascii="Palatino Linotype" w:eastAsia="Palatino Linotype" w:hAnsi="Palatino Linotype" w:cs="Palatino Linotype"/>
          <w:i/>
          <w:sz w:val="22"/>
          <w:szCs w:val="22"/>
        </w:rPr>
        <w:t xml:space="preserve"> Las instituciones públicas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presupuestal de la institución pública. </w:t>
      </w:r>
    </w:p>
    <w:p w14:paraId="139B1E65" w14:textId="2230A0F4" w:rsidR="00D41540" w:rsidRPr="00176119" w:rsidRDefault="00D41540" w:rsidP="00D41540">
      <w:pPr>
        <w:spacing w:line="276" w:lineRule="auto"/>
        <w:ind w:left="567" w:right="333"/>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Asimismo se podrán realizar revisiones, en cuanto a incrementos salariales se refiere, en caso de presentarse una situación económica en el país que, repercutiendo en los sueldos, si así lo ameritara.”</w:t>
      </w:r>
    </w:p>
    <w:p w14:paraId="40E9D425" w14:textId="77777777" w:rsidR="00D41540" w:rsidRPr="00176119" w:rsidRDefault="00D41540" w:rsidP="00D41540">
      <w:pPr>
        <w:spacing w:line="360" w:lineRule="auto"/>
        <w:jc w:val="both"/>
        <w:rPr>
          <w:rFonts w:ascii="Palatino Linotype" w:eastAsia="Palatino Linotype" w:hAnsi="Palatino Linotype" w:cs="Palatino Linotype"/>
          <w:sz w:val="22"/>
          <w:szCs w:val="22"/>
        </w:rPr>
      </w:pPr>
    </w:p>
    <w:p w14:paraId="20B6E37E" w14:textId="05391C38" w:rsidR="00D41540" w:rsidRPr="00176119" w:rsidRDefault="00D41540"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Como se advierte, se precisa que las instituciones públicas realizarán anualmente, con la participación del sindicato que corresponda, los estudios técnicos pertinentes para el incremento de sueldos y otras prestaciones de los servidores públicos, que permitan equilibrar el poder adquisitivo de éstos, conforme a la capacidad y disponibilidad </w:t>
      </w:r>
      <w:r w:rsidRPr="00176119">
        <w:rPr>
          <w:rFonts w:ascii="Palatino Linotype" w:eastAsia="Palatino Linotype" w:hAnsi="Palatino Linotype" w:cs="Palatino Linotype"/>
          <w:sz w:val="22"/>
          <w:szCs w:val="22"/>
        </w:rPr>
        <w:lastRenderedPageBreak/>
        <w:t>presupuestal de la institución pública; asimismo se podrán realizar revisiones, en cuanto a incrementos salariales se refiere, en caso de presentarse una situación económica en el país que, repercutiendo en los sueldos.</w:t>
      </w:r>
    </w:p>
    <w:p w14:paraId="7AFC3847" w14:textId="77777777" w:rsidR="00D41540" w:rsidRPr="00176119" w:rsidRDefault="00D41540" w:rsidP="00D450E9">
      <w:pPr>
        <w:spacing w:line="360" w:lineRule="auto"/>
        <w:jc w:val="both"/>
        <w:rPr>
          <w:rFonts w:ascii="Palatino Linotype" w:eastAsia="Palatino Linotype" w:hAnsi="Palatino Linotype" w:cs="Palatino Linotype"/>
          <w:sz w:val="22"/>
          <w:szCs w:val="22"/>
        </w:rPr>
      </w:pPr>
    </w:p>
    <w:p w14:paraId="3907F4E1" w14:textId="413B7DF4" w:rsidR="00D41540" w:rsidRPr="00176119" w:rsidRDefault="00D41540"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Dicho esto se colige que, las entidades públicas tienen la facultad, atribución y competencia para administrar y poseer información relacionada con los sindicalizados y los convenios correspondientes. </w:t>
      </w:r>
    </w:p>
    <w:p w14:paraId="4E54D621" w14:textId="77777777" w:rsidR="000C17CE" w:rsidRPr="00176119" w:rsidRDefault="000C17CE" w:rsidP="00B731FE">
      <w:pPr>
        <w:spacing w:line="360" w:lineRule="auto"/>
        <w:ind w:right="51"/>
        <w:jc w:val="both"/>
        <w:rPr>
          <w:rFonts w:ascii="Palatino Linotype" w:eastAsia="Palatino Linotype" w:hAnsi="Palatino Linotype" w:cs="Palatino Linotype"/>
          <w:sz w:val="22"/>
          <w:szCs w:val="22"/>
        </w:rPr>
      </w:pPr>
    </w:p>
    <w:p w14:paraId="3334E633" w14:textId="10ECC52E" w:rsidR="00634AC2" w:rsidRPr="00176119" w:rsidRDefault="00D41540" w:rsidP="00634AC2">
      <w:pPr>
        <w:spacing w:line="360" w:lineRule="auto"/>
        <w:ind w:right="51"/>
        <w:jc w:val="both"/>
        <w:rPr>
          <w:rFonts w:ascii="Palatino Linotype" w:eastAsia="Palatino Linotype" w:hAnsi="Palatino Linotype" w:cs="Palatino Linotype"/>
          <w:b/>
          <w:strike/>
          <w:sz w:val="22"/>
          <w:szCs w:val="22"/>
        </w:rPr>
      </w:pPr>
      <w:r w:rsidRPr="00176119">
        <w:rPr>
          <w:rFonts w:ascii="Palatino Linotype" w:eastAsia="Palatino Linotype" w:hAnsi="Palatino Linotype" w:cs="Palatino Linotype"/>
          <w:sz w:val="22"/>
          <w:szCs w:val="22"/>
        </w:rPr>
        <w:t xml:space="preserve">Ahora bien, en el caso que ahora nos ocupa, se tiene que, el Sujeto Obligado mediante informe justificado refirió que, </w:t>
      </w:r>
      <w:r w:rsidRPr="00176119">
        <w:rPr>
          <w:rFonts w:ascii="Palatino Linotype" w:eastAsia="Palatino Linotype" w:hAnsi="Palatino Linotype" w:cs="Palatino Linotype"/>
          <w:b/>
          <w:sz w:val="22"/>
          <w:szCs w:val="22"/>
        </w:rPr>
        <w:t>no se cuenta con ningún convenio de prestación vigente o actualizado para servidores públicos</w:t>
      </w:r>
      <w:r w:rsidRPr="00176119">
        <w:rPr>
          <w:rFonts w:ascii="Palatino Linotype" w:eastAsia="Palatino Linotype" w:hAnsi="Palatino Linotype" w:cs="Palatino Linotype"/>
          <w:sz w:val="22"/>
          <w:szCs w:val="22"/>
        </w:rPr>
        <w:t>, debido a que</w:t>
      </w:r>
      <w:r w:rsidRPr="00176119">
        <w:rPr>
          <w:rFonts w:ascii="Palatino Linotype" w:eastAsia="Palatino Linotype" w:hAnsi="Palatino Linotype" w:cs="Palatino Linotype"/>
          <w:b/>
          <w:sz w:val="22"/>
          <w:szCs w:val="22"/>
        </w:rPr>
        <w:t xml:space="preserve"> </w:t>
      </w:r>
      <w:r w:rsidR="00634AC2" w:rsidRPr="00176119">
        <w:rPr>
          <w:rFonts w:ascii="Palatino Linotype" w:eastAsia="Palatino Linotype" w:hAnsi="Palatino Linotype" w:cs="Palatino Linotype"/>
          <w:sz w:val="22"/>
          <w:szCs w:val="22"/>
        </w:rPr>
        <w:t xml:space="preserve">el personal sindicalizado que presta sus servicios pertenece en su totalidad a la nómina del H. Ayuntamiento de Huehuetoca y no a la estructura operativa del Instituto, es decir, aunque algunos servidores públicos realicen sus funciones en las instalaciones, su relación laboral, así como los convenios colectivos y de prestaciones que los amparan, son administrados por el Ayuntamiento. </w:t>
      </w:r>
    </w:p>
    <w:p w14:paraId="225916D1" w14:textId="66552630" w:rsidR="00D41540" w:rsidRPr="00176119" w:rsidRDefault="00E77C3D" w:rsidP="00B731FE">
      <w:pPr>
        <w:spacing w:line="360" w:lineRule="auto"/>
        <w:ind w:right="51"/>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 </w:t>
      </w:r>
    </w:p>
    <w:p w14:paraId="60EB7878" w14:textId="016FCBC4" w:rsidR="00D41540" w:rsidRPr="00176119" w:rsidRDefault="00D41540" w:rsidP="00B731FE">
      <w:pPr>
        <w:spacing w:line="360" w:lineRule="auto"/>
        <w:ind w:right="51"/>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En ese sentido, se advierte que este detalla que si bien, cuenta con personal </w:t>
      </w:r>
      <w:r w:rsidR="00AA7F3D" w:rsidRPr="00176119">
        <w:rPr>
          <w:rFonts w:ascii="Palatino Linotype" w:eastAsia="Palatino Linotype" w:hAnsi="Palatino Linotype" w:cs="Palatino Linotype"/>
          <w:sz w:val="22"/>
          <w:szCs w:val="22"/>
        </w:rPr>
        <w:t>que labora en</w:t>
      </w:r>
      <w:r w:rsidRPr="00176119">
        <w:rPr>
          <w:rFonts w:ascii="Palatino Linotype" w:eastAsia="Palatino Linotype" w:hAnsi="Palatino Linotype" w:cs="Palatino Linotype"/>
          <w:sz w:val="22"/>
          <w:szCs w:val="22"/>
        </w:rPr>
        <w:t xml:space="preserve"> su dependencia, también lo es que la </w:t>
      </w:r>
      <w:r w:rsidRPr="00176119">
        <w:rPr>
          <w:rFonts w:ascii="Palatino Linotype" w:eastAsia="Palatino Linotype" w:hAnsi="Palatino Linotype" w:cs="Palatino Linotype"/>
          <w:b/>
          <w:sz w:val="22"/>
          <w:szCs w:val="22"/>
        </w:rPr>
        <w:t>relación laboral fue fijada entre los servidores públicos y el Ayuntamiento de Huehuetoca</w:t>
      </w:r>
      <w:r w:rsidRPr="00176119">
        <w:rPr>
          <w:rFonts w:ascii="Palatino Linotype" w:eastAsia="Palatino Linotype" w:hAnsi="Palatino Linotype" w:cs="Palatino Linotype"/>
          <w:sz w:val="22"/>
          <w:szCs w:val="22"/>
        </w:rPr>
        <w:t xml:space="preserve">, por lo que, este </w:t>
      </w:r>
      <w:r w:rsidR="00AA7F3D" w:rsidRPr="00176119">
        <w:rPr>
          <w:rFonts w:ascii="Palatino Linotype" w:eastAsia="Palatino Linotype" w:hAnsi="Palatino Linotype" w:cs="Palatino Linotype"/>
          <w:sz w:val="22"/>
          <w:szCs w:val="22"/>
        </w:rPr>
        <w:t xml:space="preserve">último </w:t>
      </w:r>
      <w:r w:rsidRPr="00176119">
        <w:rPr>
          <w:rFonts w:ascii="Palatino Linotype" w:eastAsia="Palatino Linotype" w:hAnsi="Palatino Linotype" w:cs="Palatino Linotype"/>
          <w:sz w:val="22"/>
          <w:szCs w:val="22"/>
        </w:rPr>
        <w:t xml:space="preserve">es el competente para conocer de dicha información. </w:t>
      </w:r>
    </w:p>
    <w:p w14:paraId="69EDDD37" w14:textId="77777777" w:rsidR="00D41540" w:rsidRPr="00176119" w:rsidRDefault="00D41540" w:rsidP="00B731FE">
      <w:pPr>
        <w:spacing w:line="360" w:lineRule="auto"/>
        <w:ind w:right="51"/>
        <w:jc w:val="both"/>
        <w:rPr>
          <w:rFonts w:ascii="Palatino Linotype" w:eastAsia="Palatino Linotype" w:hAnsi="Palatino Linotype" w:cs="Palatino Linotype"/>
          <w:sz w:val="22"/>
          <w:szCs w:val="22"/>
        </w:rPr>
      </w:pPr>
    </w:p>
    <w:p w14:paraId="4B9B4817" w14:textId="403A965A" w:rsidR="00634AC2" w:rsidRPr="00176119" w:rsidRDefault="00AA7F3D" w:rsidP="00B731FE">
      <w:pPr>
        <w:spacing w:line="360" w:lineRule="auto"/>
        <w:ind w:right="51"/>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Por lo anterior, se considera que el Sujeto Obligado expuso las razones o motivos por las cuales </w:t>
      </w:r>
      <w:r w:rsidRPr="00176119">
        <w:rPr>
          <w:rFonts w:ascii="Palatino Linotype" w:eastAsia="Palatino Linotype" w:hAnsi="Palatino Linotype" w:cs="Palatino Linotype"/>
          <w:b/>
          <w:sz w:val="22"/>
          <w:szCs w:val="22"/>
        </w:rPr>
        <w:t>no cuent</w:t>
      </w:r>
      <w:r w:rsidR="00634AC2" w:rsidRPr="00176119">
        <w:rPr>
          <w:rFonts w:ascii="Palatino Linotype" w:eastAsia="Palatino Linotype" w:hAnsi="Palatino Linotype" w:cs="Palatino Linotype"/>
          <w:b/>
          <w:sz w:val="22"/>
          <w:szCs w:val="22"/>
        </w:rPr>
        <w:t xml:space="preserve">a con la información requerida. </w:t>
      </w:r>
      <w:r w:rsidR="00634AC2" w:rsidRPr="00176119">
        <w:rPr>
          <w:rFonts w:ascii="Palatino Linotype" w:eastAsia="Palatino Linotype" w:hAnsi="Palatino Linotype" w:cs="Palatino Linotype"/>
          <w:sz w:val="22"/>
          <w:szCs w:val="22"/>
        </w:rPr>
        <w:t xml:space="preserve">Aunado a ello, vale la pena señalar que, quien dio atención a la solicitud de información fue el Coordinador de Recursos Humanos, por lo que, se considera que la Unidad de Transparencia, siguió el procedimiento de </w:t>
      </w:r>
      <w:r w:rsidR="00634AC2" w:rsidRPr="00176119">
        <w:rPr>
          <w:rFonts w:ascii="Palatino Linotype" w:eastAsia="Palatino Linotype" w:hAnsi="Palatino Linotype" w:cs="Palatino Linotype"/>
          <w:sz w:val="22"/>
          <w:szCs w:val="22"/>
        </w:rPr>
        <w:lastRenderedPageBreak/>
        <w:t>búsqueda exhaustiva y razonable en las unidades administrativas, que de conformidad con sus atribuciones, facultades y competencia contarán con la información solicitada, atendiendo así lo señalado en los artículos 151, 159, 160, 162, 163, 164, 165 y 166, de la Ley de Transparencia y Acceso a la Información Pública del Estado de México y Municipios.</w:t>
      </w:r>
    </w:p>
    <w:p w14:paraId="36569302" w14:textId="77777777" w:rsidR="00AA7F3D" w:rsidRPr="00176119" w:rsidRDefault="00AA7F3D" w:rsidP="00B731FE">
      <w:pPr>
        <w:spacing w:line="360" w:lineRule="auto"/>
        <w:ind w:right="51"/>
        <w:jc w:val="both"/>
        <w:rPr>
          <w:rFonts w:ascii="Palatino Linotype" w:eastAsia="Palatino Linotype" w:hAnsi="Palatino Linotype" w:cs="Palatino Linotype"/>
          <w:b/>
          <w:sz w:val="22"/>
          <w:szCs w:val="22"/>
        </w:rPr>
      </w:pPr>
    </w:p>
    <w:p w14:paraId="649C03A4" w14:textId="5DC3E1CF" w:rsidR="00D41540" w:rsidRPr="00176119" w:rsidRDefault="00634AC2" w:rsidP="00D41540">
      <w:pPr>
        <w:spacing w:line="360" w:lineRule="auto"/>
        <w:ind w:right="51"/>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Por otro lado</w:t>
      </w:r>
      <w:r w:rsidR="00D41540" w:rsidRPr="00176119">
        <w:rPr>
          <w:rFonts w:ascii="Palatino Linotype" w:eastAsia="Palatino Linotype" w:hAnsi="Palatino Linotype" w:cs="Palatino Linotype"/>
          <w:sz w:val="22"/>
          <w:szCs w:val="22"/>
        </w:rPr>
        <w:t>, se procedió a verificar el Acuerdo mediante el cual, el Pleno del Instituto de Transparencia, Acceso a la Información Pública y Protección de Datos Personales del Estado de México y Municipios, modifica el Padrón de Sujetos Obligados en materia de Datos Personales del Estado de México y Municipios y se encontró que el Instituto Municipal de Cultura Física y Deporte de Huehuetoca es un Sujeto Obligado diverso al Ayuntamiento de Huehueteca, a partir del veintitrés de abril der dos mil veinticuatro, como se advierte a continuación:</w:t>
      </w:r>
    </w:p>
    <w:p w14:paraId="75AAB544" w14:textId="77777777" w:rsidR="00D41540" w:rsidRPr="00176119" w:rsidRDefault="00D41540" w:rsidP="00D41540">
      <w:pPr>
        <w:spacing w:line="360" w:lineRule="auto"/>
        <w:ind w:right="51"/>
        <w:jc w:val="both"/>
        <w:rPr>
          <w:rFonts w:ascii="Palatino Linotype" w:eastAsia="Palatino Linotype" w:hAnsi="Palatino Linotype" w:cs="Palatino Linotype"/>
          <w:sz w:val="22"/>
          <w:szCs w:val="22"/>
        </w:rPr>
      </w:pPr>
    </w:p>
    <w:p w14:paraId="50448CBC" w14:textId="6E592DD7" w:rsidR="00D41540" w:rsidRPr="00176119" w:rsidRDefault="00D41540" w:rsidP="00D41540">
      <w:pPr>
        <w:spacing w:line="360" w:lineRule="auto"/>
        <w:ind w:right="51"/>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noProof/>
          <w:sz w:val="22"/>
          <w:szCs w:val="22"/>
        </w:rPr>
        <w:drawing>
          <wp:inline distT="0" distB="0" distL="0" distR="0" wp14:anchorId="6E408325" wp14:editId="6701C2BF">
            <wp:extent cx="5612130" cy="9074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907415"/>
                    </a:xfrm>
                    <a:prstGeom prst="rect">
                      <a:avLst/>
                    </a:prstGeom>
                  </pic:spPr>
                </pic:pic>
              </a:graphicData>
            </a:graphic>
          </wp:inline>
        </w:drawing>
      </w:r>
    </w:p>
    <w:p w14:paraId="0DBE3286" w14:textId="77777777" w:rsidR="00D41540" w:rsidRPr="00176119" w:rsidRDefault="00D41540" w:rsidP="00EF0DD2">
      <w:pPr>
        <w:spacing w:line="360" w:lineRule="auto"/>
        <w:ind w:right="49"/>
        <w:jc w:val="both"/>
        <w:rPr>
          <w:rFonts w:ascii="Palatino Linotype" w:hAnsi="Palatino Linotype" w:cs="Arial"/>
          <w:sz w:val="22"/>
          <w:szCs w:val="22"/>
          <w:lang w:val="es-ES_tradnl"/>
        </w:rPr>
      </w:pPr>
    </w:p>
    <w:p w14:paraId="69F3FBC7" w14:textId="0277D777" w:rsidR="00D41540" w:rsidRPr="00176119" w:rsidRDefault="00D41540" w:rsidP="00EF0DD2">
      <w:pPr>
        <w:spacing w:line="360" w:lineRule="auto"/>
        <w:ind w:right="49"/>
        <w:jc w:val="both"/>
        <w:rPr>
          <w:rFonts w:ascii="Palatino Linotype" w:hAnsi="Palatino Linotype" w:cs="Arial"/>
          <w:sz w:val="22"/>
          <w:szCs w:val="22"/>
          <w:lang w:val="es-ES_tradnl"/>
        </w:rPr>
      </w:pPr>
      <w:r w:rsidRPr="00176119">
        <w:rPr>
          <w:rFonts w:ascii="Palatino Linotype" w:hAnsi="Palatino Linotype" w:cs="Arial"/>
          <w:sz w:val="22"/>
          <w:szCs w:val="22"/>
          <w:lang w:val="es-ES_tradnl"/>
        </w:rPr>
        <w:t xml:space="preserve">Por lo que se colige que, toda vez que, el Sujeto Obligado explicó las razones y motivos por los cuales no cuenta con la información solicitada, aunado a que se advirtió que el Ayuntamiento de Huehuetoca es un Sujeto Obligado distinto al que ahora nos ocupa; el </w:t>
      </w:r>
      <w:r w:rsidRPr="00176119">
        <w:rPr>
          <w:rFonts w:ascii="Palatino Linotype" w:eastAsia="Palatino Linotype" w:hAnsi="Palatino Linotype" w:cs="Palatino Linotype"/>
          <w:sz w:val="22"/>
          <w:szCs w:val="22"/>
        </w:rPr>
        <w:t xml:space="preserve">Instituto Municipal de Cultura Física y Deporte de Huehuetoca </w:t>
      </w:r>
      <w:r w:rsidR="00AA7F3D" w:rsidRPr="00176119">
        <w:rPr>
          <w:rFonts w:ascii="Palatino Linotype" w:eastAsia="Palatino Linotype" w:hAnsi="Palatino Linotype" w:cs="Palatino Linotype"/>
          <w:sz w:val="22"/>
          <w:szCs w:val="22"/>
        </w:rPr>
        <w:t>atendió cabalmente</w:t>
      </w:r>
      <w:r w:rsidRPr="00176119">
        <w:rPr>
          <w:rFonts w:ascii="Palatino Linotype" w:eastAsia="Palatino Linotype" w:hAnsi="Palatino Linotype" w:cs="Palatino Linotype"/>
          <w:sz w:val="22"/>
          <w:szCs w:val="22"/>
        </w:rPr>
        <w:t xml:space="preserve"> la pretensión de la parte Recurrente a través del informe justificado. </w:t>
      </w:r>
    </w:p>
    <w:p w14:paraId="6AD81DCF" w14:textId="77777777" w:rsidR="00D41540" w:rsidRPr="00176119" w:rsidRDefault="00D41540" w:rsidP="00EF0DD2">
      <w:pPr>
        <w:spacing w:line="360" w:lineRule="auto"/>
        <w:ind w:right="49"/>
        <w:jc w:val="both"/>
        <w:rPr>
          <w:rFonts w:ascii="Palatino Linotype" w:hAnsi="Palatino Linotype" w:cs="Arial"/>
          <w:sz w:val="22"/>
          <w:szCs w:val="22"/>
          <w:lang w:val="es-ES_tradnl"/>
        </w:rPr>
      </w:pPr>
    </w:p>
    <w:p w14:paraId="4163F610" w14:textId="01953493" w:rsidR="00EF0DD2" w:rsidRPr="00176119" w:rsidRDefault="00D41540" w:rsidP="00EF0DD2">
      <w:pPr>
        <w:spacing w:line="360" w:lineRule="auto"/>
        <w:ind w:right="49"/>
        <w:jc w:val="both"/>
        <w:rPr>
          <w:rFonts w:ascii="Palatino Linotype" w:hAnsi="Palatino Linotype" w:cs="Arial"/>
          <w:sz w:val="22"/>
          <w:szCs w:val="22"/>
          <w:lang w:val="es-ES_tradnl"/>
        </w:rPr>
      </w:pPr>
      <w:r w:rsidRPr="00176119">
        <w:rPr>
          <w:rFonts w:ascii="Palatino Linotype" w:hAnsi="Palatino Linotype" w:cs="Arial"/>
          <w:sz w:val="22"/>
          <w:szCs w:val="22"/>
          <w:lang w:val="es-ES_tradnl"/>
        </w:rPr>
        <w:lastRenderedPageBreak/>
        <w:t>Asimismo</w:t>
      </w:r>
      <w:r w:rsidR="00EF0DD2" w:rsidRPr="00176119">
        <w:rPr>
          <w:rFonts w:ascii="Palatino Linotype" w:hAnsi="Palatino Linotype" w:cs="Arial"/>
          <w:sz w:val="22"/>
          <w:szCs w:val="22"/>
          <w:lang w:val="es-ES_tradnl"/>
        </w:rPr>
        <w:t>, resulta procedente citar el Criterio 31/10 Reiterado Histórico emitido por el Instituto Nacional de Transparencia, Acceso a la Información Pública y Protección de Datos Personales INAI que precisas lo siguiente:</w:t>
      </w:r>
    </w:p>
    <w:p w14:paraId="32E39E7A" w14:textId="77777777" w:rsidR="00EF0DD2" w:rsidRPr="00176119" w:rsidRDefault="00EF0DD2" w:rsidP="00EF0DD2">
      <w:pPr>
        <w:spacing w:line="360" w:lineRule="auto"/>
        <w:ind w:right="49"/>
        <w:jc w:val="both"/>
        <w:rPr>
          <w:rFonts w:ascii="Palatino Linotype" w:eastAsia="Palatino Linotype" w:hAnsi="Palatino Linotype" w:cs="Palatino Linotype"/>
          <w:bCs/>
          <w:sz w:val="22"/>
          <w:szCs w:val="22"/>
        </w:rPr>
      </w:pPr>
    </w:p>
    <w:p w14:paraId="61437FEA" w14:textId="77777777" w:rsidR="00EF0DD2" w:rsidRPr="00176119" w:rsidRDefault="00EF0DD2" w:rsidP="00EF0DD2">
      <w:pPr>
        <w:tabs>
          <w:tab w:val="left" w:pos="8222"/>
        </w:tabs>
        <w:ind w:left="567" w:right="567"/>
        <w:contextualSpacing/>
        <w:jc w:val="both"/>
        <w:rPr>
          <w:rFonts w:ascii="Palatino Linotype" w:eastAsia="MS Mincho" w:hAnsi="Palatino Linotype" w:cs="Arial"/>
          <w:i/>
          <w:sz w:val="22"/>
          <w:szCs w:val="22"/>
        </w:rPr>
      </w:pPr>
      <w:r w:rsidRPr="00176119">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176119">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58F2CCA" w14:textId="77777777" w:rsidR="00EF0DD2" w:rsidRPr="00176119" w:rsidRDefault="00EF0DD2" w:rsidP="00EF0DD2">
      <w:pPr>
        <w:tabs>
          <w:tab w:val="left" w:pos="8222"/>
        </w:tabs>
        <w:spacing w:line="360" w:lineRule="auto"/>
        <w:ind w:left="567" w:right="567"/>
        <w:contextualSpacing/>
        <w:jc w:val="both"/>
        <w:rPr>
          <w:rFonts w:ascii="Palatino Linotype" w:eastAsia="MS Mincho" w:hAnsi="Palatino Linotype" w:cs="Arial"/>
          <w:i/>
          <w:sz w:val="22"/>
          <w:szCs w:val="22"/>
        </w:rPr>
      </w:pPr>
    </w:p>
    <w:p w14:paraId="10B63A18" w14:textId="36A186AF" w:rsidR="00EF0DD2" w:rsidRPr="00176119" w:rsidRDefault="00EF0DD2" w:rsidP="00EF0DD2">
      <w:pPr>
        <w:spacing w:line="360" w:lineRule="auto"/>
        <w:ind w:right="49"/>
        <w:jc w:val="both"/>
        <w:rPr>
          <w:rFonts w:ascii="Palatino Linotype" w:hAnsi="Palatino Linotype" w:cs="Arial"/>
          <w:sz w:val="22"/>
          <w:szCs w:val="22"/>
        </w:rPr>
      </w:pPr>
      <w:r w:rsidRPr="00176119">
        <w:rPr>
          <w:rFonts w:ascii="Palatino Linotype" w:hAnsi="Palatino Linotype" w:cs="Arial"/>
          <w:sz w:val="22"/>
          <w:szCs w:val="22"/>
        </w:rPr>
        <w:t>Por lo que, este Organismo Garante carece de facultades para dudar de la veracidad de la información que el Sujeto Obligado puso a disposición de la parte Recurrente.</w:t>
      </w:r>
    </w:p>
    <w:p w14:paraId="6DB8A5E9" w14:textId="77777777" w:rsidR="00EF0DD2" w:rsidRPr="00176119" w:rsidRDefault="00EF0DD2" w:rsidP="00EF0DD2">
      <w:pPr>
        <w:spacing w:line="360" w:lineRule="auto"/>
        <w:ind w:right="49"/>
        <w:jc w:val="both"/>
        <w:rPr>
          <w:rFonts w:ascii="Palatino Linotype" w:hAnsi="Palatino Linotype" w:cs="Arial"/>
          <w:sz w:val="22"/>
          <w:szCs w:val="22"/>
        </w:rPr>
      </w:pPr>
    </w:p>
    <w:p w14:paraId="0BCDDA5C" w14:textId="73FB1CF3" w:rsidR="00EF0DD2" w:rsidRPr="00176119" w:rsidRDefault="00EF0DD2" w:rsidP="00EF0D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En atención a ello, debido a que el Sujeto Obligado en informe justificado, </w:t>
      </w:r>
      <w:r w:rsidRPr="00176119">
        <w:rPr>
          <w:rFonts w:ascii="Palatino Linotype" w:eastAsia="Palatino Linotype" w:hAnsi="Palatino Linotype" w:cs="Palatino Linotype"/>
          <w:b/>
          <w:sz w:val="22"/>
          <w:szCs w:val="22"/>
        </w:rPr>
        <w:t xml:space="preserve">explicó claramente las razones o motivos por los cuales </w:t>
      </w:r>
      <w:r w:rsidR="000D4EFD" w:rsidRPr="00176119">
        <w:rPr>
          <w:rFonts w:ascii="Palatino Linotype" w:eastAsia="Palatino Linotype" w:hAnsi="Palatino Linotype" w:cs="Palatino Linotype"/>
          <w:b/>
          <w:sz w:val="22"/>
          <w:szCs w:val="22"/>
        </w:rPr>
        <w:t>no poseía y administraba la información requerida</w:t>
      </w:r>
      <w:r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sz w:val="22"/>
          <w:szCs w:val="22"/>
        </w:rPr>
        <w:t xml:space="preserve">se colige que aportó elementos </w:t>
      </w:r>
      <w:r w:rsidR="00407443" w:rsidRPr="00176119">
        <w:rPr>
          <w:rFonts w:ascii="Palatino Linotype" w:eastAsia="Palatino Linotype" w:hAnsi="Palatino Linotype" w:cs="Palatino Linotype"/>
          <w:sz w:val="22"/>
          <w:szCs w:val="22"/>
        </w:rPr>
        <w:t>no</w:t>
      </w:r>
      <w:r w:rsidR="00634AC2" w:rsidRPr="00176119">
        <w:rPr>
          <w:rFonts w:ascii="Palatino Linotype" w:eastAsia="Palatino Linotype" w:hAnsi="Palatino Linotype" w:cs="Palatino Linotype"/>
          <w:sz w:val="22"/>
          <w:szCs w:val="22"/>
        </w:rPr>
        <w:t xml:space="preserve">vedosos que permitieron tener por colmado el requerimiento de la parte Recurrente </w:t>
      </w:r>
      <w:r w:rsidR="00407443" w:rsidRPr="00176119">
        <w:rPr>
          <w:rFonts w:ascii="Palatino Linotype" w:eastAsia="Palatino Linotype" w:hAnsi="Palatino Linotype" w:cs="Palatino Linotype"/>
          <w:sz w:val="22"/>
          <w:szCs w:val="22"/>
        </w:rPr>
        <w:t>por parte del Sujeto Obligado.</w:t>
      </w:r>
    </w:p>
    <w:p w14:paraId="1DCD58FB" w14:textId="77777777" w:rsidR="00EF0DD2" w:rsidRPr="00176119" w:rsidRDefault="00EF0DD2" w:rsidP="00EF0DD2">
      <w:pPr>
        <w:spacing w:line="360" w:lineRule="auto"/>
        <w:rPr>
          <w:rFonts w:ascii="Palatino Linotype" w:eastAsia="Palatino Linotype" w:hAnsi="Palatino Linotype" w:cs="Palatino Linotype"/>
          <w:sz w:val="22"/>
          <w:szCs w:val="22"/>
        </w:rPr>
      </w:pPr>
    </w:p>
    <w:p w14:paraId="69DB6428" w14:textId="241FF8AE" w:rsidR="00EF0DD2" w:rsidRPr="00176119" w:rsidRDefault="00407443" w:rsidP="00EF0DD2">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Por lo anterior</w:t>
      </w:r>
      <w:r w:rsidR="00EF0DD2" w:rsidRPr="00176119">
        <w:rPr>
          <w:rFonts w:ascii="Palatino Linotype" w:eastAsia="Palatino Linotype" w:hAnsi="Palatino Linotype" w:cs="Palatino Linotype"/>
          <w:sz w:val="22"/>
          <w:szCs w:val="22"/>
        </w:rPr>
        <w:t>;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209E3D9B" w14:textId="77777777" w:rsidR="00EF0DD2" w:rsidRPr="00176119" w:rsidRDefault="00EF0DD2" w:rsidP="00EF0DD2">
      <w:pPr>
        <w:spacing w:line="360" w:lineRule="auto"/>
        <w:ind w:right="49"/>
        <w:jc w:val="both"/>
        <w:rPr>
          <w:rFonts w:ascii="Palatino Linotype" w:eastAsia="Palatino Linotype" w:hAnsi="Palatino Linotype" w:cs="Palatino Linotype"/>
          <w:sz w:val="22"/>
          <w:szCs w:val="22"/>
        </w:rPr>
      </w:pPr>
    </w:p>
    <w:p w14:paraId="71AE2C70" w14:textId="77777777" w:rsidR="00EF0DD2" w:rsidRPr="00176119" w:rsidRDefault="00EF0DD2" w:rsidP="00EF0DD2">
      <w:pPr>
        <w:spacing w:line="360" w:lineRule="auto"/>
        <w:ind w:right="900" w:firstLine="567"/>
        <w:jc w:val="both"/>
        <w:rPr>
          <w:sz w:val="22"/>
          <w:szCs w:val="22"/>
        </w:rPr>
      </w:pPr>
      <w:r w:rsidRPr="00176119">
        <w:rPr>
          <w:rFonts w:ascii="Palatino Linotype" w:eastAsia="Palatino Linotype" w:hAnsi="Palatino Linotype" w:cs="Palatino Linotype"/>
          <w:sz w:val="22"/>
          <w:szCs w:val="22"/>
        </w:rPr>
        <w:lastRenderedPageBreak/>
        <w:t>a) Cuando el sujeto obligado modifique el acto impugnado y;</w:t>
      </w:r>
    </w:p>
    <w:p w14:paraId="41EBA951" w14:textId="77777777" w:rsidR="00EF0DD2" w:rsidRPr="00176119" w:rsidRDefault="00EF0DD2" w:rsidP="00EF0DD2">
      <w:pPr>
        <w:spacing w:line="360" w:lineRule="auto"/>
        <w:ind w:right="900" w:firstLine="567"/>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b) Cuando el sujeto obligado revoque el acto impugnado.</w:t>
      </w:r>
    </w:p>
    <w:p w14:paraId="08CB602C" w14:textId="77777777" w:rsidR="00EF0DD2" w:rsidRPr="00176119" w:rsidRDefault="00EF0DD2" w:rsidP="00EF0DD2">
      <w:pPr>
        <w:spacing w:line="360" w:lineRule="auto"/>
        <w:ind w:right="900" w:firstLine="567"/>
        <w:jc w:val="both"/>
        <w:rPr>
          <w:sz w:val="22"/>
          <w:szCs w:val="22"/>
        </w:rPr>
      </w:pPr>
    </w:p>
    <w:p w14:paraId="7D351FFE" w14:textId="77777777" w:rsidR="00EF0DD2" w:rsidRPr="00176119" w:rsidRDefault="00EF0DD2" w:rsidP="00EF0DD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Quedando en ambos casos el acto combatido sin materia o sin efectos.</w:t>
      </w:r>
    </w:p>
    <w:p w14:paraId="7A195353" w14:textId="77777777" w:rsidR="00EF0DD2" w:rsidRPr="00176119" w:rsidRDefault="00EF0DD2" w:rsidP="00EF0DD2">
      <w:pPr>
        <w:spacing w:line="360" w:lineRule="auto"/>
        <w:jc w:val="both"/>
        <w:rPr>
          <w:sz w:val="22"/>
          <w:szCs w:val="22"/>
        </w:rPr>
      </w:pPr>
    </w:p>
    <w:p w14:paraId="389E8154" w14:textId="77777777" w:rsidR="00EF0DD2" w:rsidRPr="00176119" w:rsidRDefault="00EF0DD2" w:rsidP="00EF0DD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Como se observa de lo anterior, un acto impugnado es </w:t>
      </w:r>
      <w:r w:rsidRPr="00176119">
        <w:rPr>
          <w:rFonts w:ascii="Palatino Linotype" w:eastAsia="Palatino Linotype" w:hAnsi="Palatino Linotype" w:cs="Palatino Linotype"/>
          <w:b/>
          <w:sz w:val="22"/>
          <w:szCs w:val="22"/>
        </w:rPr>
        <w:t>modificado</w:t>
      </w:r>
      <w:r w:rsidRPr="00176119">
        <w:rPr>
          <w:rFonts w:ascii="Palatino Linotype" w:eastAsia="Palatino Linotype" w:hAnsi="Palatino Linotype" w:cs="Palatino Linotype"/>
          <w:sz w:val="22"/>
          <w:szCs w:val="22"/>
        </w:rPr>
        <w:t xml:space="preserve"> en aquellos casos en los que el sujeto obligado </w:t>
      </w:r>
      <w:r w:rsidRPr="00176119">
        <w:rPr>
          <w:rFonts w:ascii="Palatino Linotype" w:eastAsia="Palatino Linotype" w:hAnsi="Palatino Linotype" w:cs="Palatino Linotype"/>
          <w:b/>
          <w:sz w:val="22"/>
          <w:szCs w:val="22"/>
          <w:u w:val="single"/>
        </w:rPr>
        <w:t>subsana las deficiencias que hubiera tenido en primer momento</w:t>
      </w:r>
      <w:r w:rsidRPr="00176119">
        <w:rPr>
          <w:rFonts w:ascii="Palatino Linotype" w:eastAsia="Palatino Linotype" w:hAnsi="Palatino Linotype" w:cs="Palatino Linotype"/>
          <w:b/>
          <w:sz w:val="22"/>
          <w:szCs w:val="22"/>
        </w:rPr>
        <w:t>,</w:t>
      </w:r>
      <w:r w:rsidRPr="00176119">
        <w:rPr>
          <w:rFonts w:ascii="Palatino Linotype" w:eastAsia="Palatino Linotype" w:hAnsi="Palatino Linotype" w:cs="Palatino Linotype"/>
          <w:sz w:val="22"/>
          <w:szCs w:val="22"/>
        </w:rPr>
        <w:t xml:space="preserve"> quedando satisfecho el derecho subjetivo accionado por la parte recurrente. </w:t>
      </w:r>
    </w:p>
    <w:p w14:paraId="33D435D4" w14:textId="77777777" w:rsidR="00EF0DD2" w:rsidRPr="00176119" w:rsidRDefault="00EF0DD2" w:rsidP="00EF0DD2">
      <w:pPr>
        <w:spacing w:line="360" w:lineRule="auto"/>
        <w:jc w:val="both"/>
        <w:rPr>
          <w:rFonts w:ascii="Palatino Linotype" w:eastAsia="Palatino Linotype" w:hAnsi="Palatino Linotype" w:cs="Palatino Linotype"/>
          <w:sz w:val="22"/>
          <w:szCs w:val="22"/>
        </w:rPr>
      </w:pPr>
    </w:p>
    <w:p w14:paraId="6F21D656" w14:textId="77777777" w:rsidR="00EF0DD2" w:rsidRPr="00176119" w:rsidRDefault="00EF0DD2" w:rsidP="00EF0DD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Por lo que hace a la</w:t>
      </w:r>
      <w:r w:rsidRPr="00176119">
        <w:rPr>
          <w:rFonts w:ascii="Palatino Linotype" w:eastAsia="Palatino Linotype" w:hAnsi="Palatino Linotype" w:cs="Palatino Linotype"/>
          <w:b/>
          <w:sz w:val="22"/>
          <w:szCs w:val="22"/>
        </w:rPr>
        <w:t xml:space="preserve"> revocación</w:t>
      </w:r>
      <w:r w:rsidRPr="00176119">
        <w:rPr>
          <w:rFonts w:ascii="Palatino Linotype" w:eastAsia="Palatino Linotype" w:hAnsi="Palatino Linotype" w:cs="Palatino Linotype"/>
          <w:sz w:val="22"/>
          <w:szCs w:val="22"/>
        </w:rPr>
        <w:t>, esta se actualiza cuando el sujeto obligado</w:t>
      </w:r>
      <w:r w:rsidRPr="00176119">
        <w:rPr>
          <w:rFonts w:ascii="Palatino Linotype" w:eastAsia="Palatino Linotype" w:hAnsi="Palatino Linotype" w:cs="Palatino Linotype"/>
          <w:b/>
          <w:sz w:val="22"/>
          <w:szCs w:val="22"/>
        </w:rPr>
        <w:t xml:space="preserve"> </w:t>
      </w:r>
      <w:r w:rsidRPr="00176119">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154F4E47" w14:textId="77777777" w:rsidR="00BA7BFF" w:rsidRPr="00176119" w:rsidRDefault="00BA7BFF" w:rsidP="00BA7BFF">
      <w:pPr>
        <w:spacing w:line="360" w:lineRule="auto"/>
        <w:jc w:val="both"/>
        <w:rPr>
          <w:rFonts w:ascii="Palatino Linotype" w:eastAsia="Palatino Linotype" w:hAnsi="Palatino Linotype" w:cs="Palatino Linotype"/>
          <w:sz w:val="22"/>
          <w:szCs w:val="22"/>
        </w:rPr>
      </w:pPr>
    </w:p>
    <w:p w14:paraId="1E7AB9A2" w14:textId="0DC28474" w:rsidR="00BA7BFF" w:rsidRPr="00176119" w:rsidRDefault="00BA7BFF" w:rsidP="00BA7BFF">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De lo establecido en el precepto legal citado, se advierte que el sobreseimiento del recurso de revisión procede cuando se presente un motivo por el cual se tenga sin materia el Recurso de Revisión y en el presente caso el motivo por el cual se sobresee el presente medio de impugnación, es porque el Sujeto Obligado otorgó respuesta al requerimiento formulado por el particular con la información enviada en Informe Justificado; colmando con ello el derecho de acceso a la información del particular. </w:t>
      </w:r>
    </w:p>
    <w:p w14:paraId="65304C66" w14:textId="77777777" w:rsidR="00BA7BFF" w:rsidRPr="00176119" w:rsidRDefault="00BA7BFF" w:rsidP="00BA7BFF">
      <w:pPr>
        <w:spacing w:line="360" w:lineRule="auto"/>
        <w:jc w:val="both"/>
        <w:rPr>
          <w:rFonts w:ascii="Palatino Linotype" w:eastAsia="Palatino Linotype" w:hAnsi="Palatino Linotype" w:cs="Palatino Linotype"/>
          <w:sz w:val="22"/>
          <w:szCs w:val="22"/>
        </w:rPr>
      </w:pPr>
    </w:p>
    <w:p w14:paraId="08EFC903" w14:textId="77777777" w:rsidR="00BA7BFF" w:rsidRPr="00176119" w:rsidRDefault="00BA7BFF" w:rsidP="00BA7BFF">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En ese tenor, un acto impugnado queda sin efectos, cuando aun existiendo jurídicamente (esto es, que no se ha modificado, ni revocado) ya no genera ninguna consecuencia legal. </w:t>
      </w:r>
    </w:p>
    <w:p w14:paraId="71FF3767" w14:textId="77777777" w:rsidR="00BA7BFF" w:rsidRPr="00176119" w:rsidRDefault="00BA7BFF" w:rsidP="00BA7BFF">
      <w:pPr>
        <w:spacing w:line="360" w:lineRule="auto"/>
        <w:jc w:val="both"/>
        <w:rPr>
          <w:rFonts w:ascii="Palatino Linotype" w:eastAsia="Palatino Linotype" w:hAnsi="Palatino Linotype" w:cs="Palatino Linotype"/>
          <w:sz w:val="22"/>
          <w:szCs w:val="22"/>
        </w:rPr>
      </w:pPr>
    </w:p>
    <w:p w14:paraId="66FD56E9" w14:textId="358CD0D9" w:rsidR="00BA7BFF" w:rsidRPr="00176119" w:rsidRDefault="00BA7BFF" w:rsidP="00BA7BFF">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En tanto que, un acto impugnado queda sin materia, cuando ha sido satisfecha la pretensión de la parte Recurrente de manera que el Sujeto Obligado entregó una respuesta en los </w:t>
      </w:r>
      <w:r w:rsidRPr="00176119">
        <w:rPr>
          <w:rFonts w:ascii="Palatino Linotype" w:eastAsia="Palatino Linotype" w:hAnsi="Palatino Linotype" w:cs="Palatino Linotype"/>
          <w:sz w:val="22"/>
          <w:szCs w:val="22"/>
        </w:rPr>
        <w:lastRenderedPageBreak/>
        <w:t xml:space="preserve">términos previstos en la ley, ya que a través de su informe justificado colma la pretensión de la parte Recurrente. </w:t>
      </w:r>
    </w:p>
    <w:p w14:paraId="1FFC2973"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p>
    <w:p w14:paraId="27CEDD79" w14:textId="6730B6E9" w:rsidR="00BA7BFF" w:rsidRPr="00176119" w:rsidRDefault="00BA7BFF" w:rsidP="00BA7BFF">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De tal manera, es evidente que con ello queda sin materia el presente recurso de revisión, ya que la inconformidad sobre la falta de respuesta, se subsanó con la información entregada en informe justificado.</w:t>
      </w:r>
    </w:p>
    <w:p w14:paraId="46132361"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p>
    <w:p w14:paraId="67411175"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En resumen, el Sujeto Obligado dio respuesta a la solicitud de acceso a la información pública de la parte Recurrente; aunque ello haya sido de manera posterior; dejando con ello sin materia el presente recurso de revisión, actualizándose entonces la causal prevista en la fracción III del artículo 192 de la Ley de la Materia vigente en la Entidad, antes transcrita.</w:t>
      </w:r>
    </w:p>
    <w:p w14:paraId="4647B1CF"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p>
    <w:p w14:paraId="477D3927"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Siendo el sobreseimiento un acto que da por terminado el procedimiento administrativo de impugnación sin resolver el fondo de la cuestión planteada, por presentarse causas que impiden a la autoridad referirse a lo sustancial de lo planteado por la parte Recurrente, los efectos del sobreseimiento son los dar por concluido los recursos administrativos sin entrar al estudio de fondo de los asuntos de que se trate; lo anterior con apoyo en el criterio del Poder Judicial de la Federación con rubro:</w:t>
      </w:r>
    </w:p>
    <w:p w14:paraId="2A0656AD"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 </w:t>
      </w:r>
    </w:p>
    <w:p w14:paraId="5037E597" w14:textId="05BF9357" w:rsidR="00BA7BFF" w:rsidRPr="00176119" w:rsidRDefault="00BA7BFF" w:rsidP="00BA7BFF">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b/>
          <w:i/>
          <w:sz w:val="22"/>
          <w:szCs w:val="22"/>
        </w:rPr>
        <w:t>“SOBRESEIMIENTO, NO PERMITE ENTRAR AL ESTUDIO DE LAS CUESTIONES DE FONDO</w:t>
      </w:r>
      <w:r w:rsidRPr="00176119">
        <w:rPr>
          <w:rFonts w:ascii="Palatino Linotype" w:eastAsia="Palatino Linotype" w:hAnsi="Palatino Linotype" w:cs="Palatino Linotype"/>
          <w:i/>
          <w:sz w:val="22"/>
          <w:szCs w:val="22"/>
        </w:rPr>
        <w:t xml:space="preserve">. No causa agravio la sentencia que no se ocupa de los razonamientos tendientes a demostrar la inconstitucionalidad de los actos reclamados de las autoridades responsables, que constituyen el problema de fondo, si se decreta el sobreseimiento del juicio.” </w:t>
      </w:r>
    </w:p>
    <w:p w14:paraId="0B6FBB48" w14:textId="77777777" w:rsidR="00BA7BFF" w:rsidRPr="00176119" w:rsidRDefault="00BA7BFF" w:rsidP="00BA7BFF">
      <w:pPr>
        <w:spacing w:line="360" w:lineRule="auto"/>
        <w:ind w:right="49"/>
        <w:jc w:val="both"/>
        <w:rPr>
          <w:rFonts w:ascii="Palatino Linotype" w:eastAsia="Palatino Linotype" w:hAnsi="Palatino Linotype" w:cs="Palatino Linotype"/>
          <w:i/>
          <w:sz w:val="22"/>
          <w:szCs w:val="22"/>
        </w:rPr>
      </w:pPr>
    </w:p>
    <w:p w14:paraId="5870826F"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lastRenderedPageBreak/>
        <w:t xml:space="preserve">Cabe destacar que la decisión de este órgano colegiado de sobreseer el recurso de revisión no implica una limitación o negación a la justicia, según lo ha establecido el Poder Judicial Federal, en el criterio que es aplicable por analogía, con rubro: </w:t>
      </w:r>
    </w:p>
    <w:p w14:paraId="6F48CEE3" w14:textId="77777777" w:rsidR="00BA7BFF" w:rsidRPr="00176119" w:rsidRDefault="00BA7BFF" w:rsidP="00BA7BFF">
      <w:pPr>
        <w:spacing w:line="360" w:lineRule="auto"/>
        <w:ind w:right="49"/>
        <w:jc w:val="both"/>
        <w:rPr>
          <w:rFonts w:ascii="Palatino Linotype" w:eastAsia="Palatino Linotype" w:hAnsi="Palatino Linotype" w:cs="Palatino Linotype"/>
          <w:sz w:val="22"/>
          <w:szCs w:val="22"/>
        </w:rPr>
      </w:pPr>
    </w:p>
    <w:p w14:paraId="5735D040" w14:textId="5ECC39DE" w:rsidR="00BA7BFF" w:rsidRPr="00176119" w:rsidRDefault="00BA7BFF" w:rsidP="00BA7BFF">
      <w:pPr>
        <w:spacing w:line="276" w:lineRule="auto"/>
        <w:ind w:left="567" w:right="616"/>
        <w:jc w:val="both"/>
        <w:rPr>
          <w:rFonts w:ascii="Palatino Linotype" w:eastAsia="Palatino Linotype" w:hAnsi="Palatino Linotype" w:cs="Palatino Linotype"/>
          <w:i/>
          <w:sz w:val="22"/>
          <w:szCs w:val="22"/>
        </w:rPr>
      </w:pPr>
      <w:r w:rsidRPr="00176119">
        <w:rPr>
          <w:rFonts w:ascii="Palatino Linotype" w:eastAsia="Palatino Linotype" w:hAnsi="Palatino Linotype" w:cs="Palatino Linotype"/>
          <w:i/>
          <w:sz w:val="22"/>
          <w:szCs w:val="22"/>
        </w:rPr>
        <w:t>“</w:t>
      </w:r>
      <w:r w:rsidRPr="00176119">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176119">
        <w:rPr>
          <w:rFonts w:ascii="Palatino Linotype" w:eastAsia="Palatino Linotype" w:hAnsi="Palatino Linotype" w:cs="Palatino Linotype"/>
          <w:i/>
          <w:sz w:val="22"/>
          <w:szCs w:val="22"/>
        </w:rPr>
        <w:t xml:space="preserve">.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08984EC" w14:textId="2455E6E9" w:rsidR="00E77C3D" w:rsidRPr="00176119" w:rsidRDefault="00E77C3D" w:rsidP="00EF0DD2">
      <w:pPr>
        <w:spacing w:line="360" w:lineRule="auto"/>
        <w:ind w:right="49"/>
        <w:jc w:val="both"/>
        <w:rPr>
          <w:rFonts w:ascii="Palatino Linotype" w:eastAsia="Palatino Linotype" w:hAnsi="Palatino Linotype" w:cs="Palatino Linotype"/>
          <w:sz w:val="22"/>
          <w:szCs w:val="22"/>
        </w:rPr>
      </w:pPr>
    </w:p>
    <w:p w14:paraId="66C6276F" w14:textId="3C2546BD" w:rsidR="00BB55F5" w:rsidRPr="00176119" w:rsidRDefault="00BB55F5" w:rsidP="00BB55F5">
      <w:pPr>
        <w:spacing w:before="240" w:after="240" w:line="360" w:lineRule="auto"/>
        <w:ind w:right="51"/>
        <w:jc w:val="both"/>
        <w:rPr>
          <w:rFonts w:ascii="Palatino Linotype" w:hAnsi="Palatino Linotype"/>
        </w:rPr>
      </w:pPr>
      <w:r w:rsidRPr="00176119">
        <w:rPr>
          <w:rFonts w:ascii="Palatino Linotype" w:eastAsia="Palatino Linotype" w:hAnsi="Palatino Linotype" w:cs="Palatino Linotype"/>
        </w:rPr>
        <w:t xml:space="preserve">No obstante, se dejan a salvo sus derechos, para que, en caso de así considerarlo conveniente a sus intereses, pueda formular una solicitud ante el Sujeto Obligado competente, es decir, el Ayuntamiento de Huehuetoca. </w:t>
      </w:r>
    </w:p>
    <w:p w14:paraId="602FBB57" w14:textId="1A83E1A8" w:rsidR="00BB55F5" w:rsidRPr="00176119" w:rsidRDefault="00BB55F5" w:rsidP="00EF0DD2">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 </w:t>
      </w:r>
    </w:p>
    <w:p w14:paraId="7127C00C" w14:textId="329B422F" w:rsidR="00EF0DD2" w:rsidRDefault="00EF0DD2" w:rsidP="00EF0DD2">
      <w:pPr>
        <w:spacing w:line="360" w:lineRule="auto"/>
        <w:ind w:right="49"/>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176119">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0946D793" w14:textId="77777777" w:rsidR="00BE3EB1" w:rsidRPr="00176119" w:rsidRDefault="00BE3EB1" w:rsidP="00EF0DD2">
      <w:pPr>
        <w:spacing w:line="360" w:lineRule="auto"/>
        <w:ind w:right="49"/>
        <w:jc w:val="both"/>
        <w:rPr>
          <w:rFonts w:ascii="Palatino Linotype" w:eastAsia="Palatino Linotype" w:hAnsi="Palatino Linotype" w:cs="Palatino Linotype"/>
          <w:sz w:val="22"/>
          <w:szCs w:val="22"/>
        </w:rPr>
      </w:pPr>
    </w:p>
    <w:p w14:paraId="1CFF7BB5" w14:textId="77777777" w:rsidR="00EF0DD2" w:rsidRPr="00176119" w:rsidRDefault="00EF0DD2" w:rsidP="00EF0DD2">
      <w:pPr>
        <w:spacing w:line="360" w:lineRule="auto"/>
        <w:ind w:right="49"/>
        <w:jc w:val="center"/>
        <w:rPr>
          <w:rFonts w:ascii="Palatino Linotype" w:eastAsia="Palatino Linotype" w:hAnsi="Palatino Linotype" w:cs="Palatino Linotype"/>
          <w:b/>
          <w:sz w:val="22"/>
          <w:szCs w:val="22"/>
        </w:rPr>
      </w:pPr>
      <w:r w:rsidRPr="00176119">
        <w:rPr>
          <w:rFonts w:ascii="Palatino Linotype" w:eastAsia="Palatino Linotype" w:hAnsi="Palatino Linotype" w:cs="Palatino Linotype"/>
          <w:b/>
          <w:sz w:val="22"/>
          <w:szCs w:val="22"/>
        </w:rPr>
        <w:t>III.</w:t>
      </w:r>
      <w:r w:rsidRPr="00176119">
        <w:rPr>
          <w:rFonts w:ascii="Palatino Linotype" w:eastAsia="Palatino Linotype" w:hAnsi="Palatino Linotype" w:cs="Palatino Linotype"/>
          <w:b/>
          <w:sz w:val="22"/>
          <w:szCs w:val="22"/>
        </w:rPr>
        <w:tab/>
        <w:t>R E S U E L V E:</w:t>
      </w:r>
    </w:p>
    <w:p w14:paraId="10397F3C" w14:textId="77777777" w:rsidR="00EF0DD2" w:rsidRPr="00176119" w:rsidRDefault="00EF0DD2" w:rsidP="00EF0DD2">
      <w:pPr>
        <w:spacing w:line="360" w:lineRule="auto"/>
        <w:ind w:right="49"/>
        <w:jc w:val="both"/>
        <w:rPr>
          <w:rFonts w:ascii="Palatino Linotype" w:eastAsia="Palatino Linotype" w:hAnsi="Palatino Linotype" w:cs="Palatino Linotype"/>
          <w:sz w:val="22"/>
          <w:szCs w:val="22"/>
        </w:rPr>
      </w:pPr>
    </w:p>
    <w:p w14:paraId="367613DF" w14:textId="049175C2" w:rsidR="00BA7BFF" w:rsidRPr="00176119" w:rsidRDefault="00EF0DD2" w:rsidP="00EF0DD2">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PRIMERO. </w:t>
      </w:r>
      <w:r w:rsidRPr="00176119">
        <w:rPr>
          <w:rFonts w:ascii="Palatino Linotype" w:eastAsia="Palatino Linotype" w:hAnsi="Palatino Linotype" w:cs="Palatino Linotype"/>
          <w:sz w:val="22"/>
          <w:szCs w:val="22"/>
        </w:rPr>
        <w:t xml:space="preserve">Se </w:t>
      </w:r>
      <w:r w:rsidRPr="00176119">
        <w:rPr>
          <w:rFonts w:ascii="Palatino Linotype" w:eastAsia="Palatino Linotype" w:hAnsi="Palatino Linotype" w:cs="Palatino Linotype"/>
          <w:b/>
          <w:sz w:val="22"/>
          <w:szCs w:val="22"/>
        </w:rPr>
        <w:t xml:space="preserve">SOBRESEE </w:t>
      </w:r>
      <w:r w:rsidRPr="00176119">
        <w:rPr>
          <w:rFonts w:ascii="Palatino Linotype" w:eastAsia="Palatino Linotype" w:hAnsi="Palatino Linotype" w:cs="Palatino Linotype"/>
          <w:sz w:val="22"/>
          <w:szCs w:val="22"/>
        </w:rPr>
        <w:t>el Recurso de Revisión número</w:t>
      </w:r>
      <w:r w:rsidR="000D4EFD" w:rsidRPr="00176119">
        <w:rPr>
          <w:rFonts w:ascii="Palatino Linotype" w:eastAsia="Palatino Linotype" w:hAnsi="Palatino Linotype" w:cs="Palatino Linotype"/>
          <w:b/>
          <w:sz w:val="22"/>
          <w:szCs w:val="22"/>
        </w:rPr>
        <w:t xml:space="preserve"> 05734</w:t>
      </w:r>
      <w:r w:rsidRPr="00176119">
        <w:rPr>
          <w:rFonts w:ascii="Palatino Linotype" w:eastAsia="Palatino Linotype" w:hAnsi="Palatino Linotype" w:cs="Palatino Linotype"/>
          <w:b/>
          <w:sz w:val="22"/>
          <w:szCs w:val="22"/>
        </w:rPr>
        <w:t>/INFOEM/IP/RR/2024</w:t>
      </w:r>
      <w:r w:rsidRPr="00176119">
        <w:rPr>
          <w:rFonts w:ascii="Palatino Linotype" w:eastAsia="Palatino Linotype" w:hAnsi="Palatino Linotype" w:cs="Palatino Linotype"/>
          <w:sz w:val="22"/>
          <w:szCs w:val="22"/>
        </w:rPr>
        <w:t xml:space="preserve">, porque el </w:t>
      </w:r>
      <w:r w:rsidR="00BA7BFF" w:rsidRPr="00176119">
        <w:rPr>
          <w:rFonts w:ascii="Palatino Linotype" w:eastAsia="Palatino Linotype" w:hAnsi="Palatino Linotype" w:cs="Palatino Linotype"/>
          <w:b/>
          <w:sz w:val="22"/>
          <w:szCs w:val="22"/>
        </w:rPr>
        <w:t xml:space="preserve">SUJETO OBLIGADO </w:t>
      </w:r>
      <w:r w:rsidR="00BA7BFF" w:rsidRPr="00176119">
        <w:rPr>
          <w:rFonts w:ascii="Palatino Linotype" w:eastAsia="Palatino Linotype" w:hAnsi="Palatino Linotype" w:cs="Palatino Linotype"/>
          <w:sz w:val="22"/>
          <w:szCs w:val="22"/>
        </w:rPr>
        <w:t xml:space="preserve">al colmar la pretensión de </w:t>
      </w:r>
      <w:r w:rsidR="00BA7BFF" w:rsidRPr="00176119">
        <w:rPr>
          <w:rFonts w:ascii="Palatino Linotype" w:eastAsia="Palatino Linotype" w:hAnsi="Palatino Linotype" w:cs="Palatino Linotype"/>
          <w:b/>
          <w:sz w:val="22"/>
          <w:szCs w:val="22"/>
        </w:rPr>
        <w:t>LA PARTE RECURRENTE</w:t>
      </w:r>
      <w:r w:rsidR="00BA7BFF" w:rsidRPr="00176119">
        <w:rPr>
          <w:rFonts w:ascii="Palatino Linotype" w:eastAsia="Palatino Linotype" w:hAnsi="Palatino Linotype" w:cs="Palatino Linotype"/>
          <w:sz w:val="22"/>
          <w:szCs w:val="22"/>
        </w:rPr>
        <w:t xml:space="preserve"> mediante informe justificado, el medio de impugnación quedó sin materia, de conformidad con lo previsto en el artículo 192 fracción III de la Ley de Transparencia y Acceso a la Información Pública del Estado de México y Municipios, en términos del Considerando Tercero de la presente resolución.</w:t>
      </w:r>
    </w:p>
    <w:p w14:paraId="1E25D093" w14:textId="77777777" w:rsidR="00EF0DD2" w:rsidRPr="00176119" w:rsidRDefault="00EF0DD2" w:rsidP="00EF0DD2">
      <w:pPr>
        <w:spacing w:line="360" w:lineRule="auto"/>
        <w:jc w:val="both"/>
        <w:rPr>
          <w:rFonts w:ascii="Palatino Linotype" w:eastAsia="Palatino Linotype" w:hAnsi="Palatino Linotype" w:cs="Palatino Linotype"/>
          <w:sz w:val="22"/>
          <w:szCs w:val="22"/>
        </w:rPr>
      </w:pPr>
    </w:p>
    <w:p w14:paraId="2BBF56A5" w14:textId="77777777" w:rsidR="00EF0DD2" w:rsidRPr="00176119" w:rsidRDefault="00EF0DD2" w:rsidP="00EF0DD2">
      <w:pPr>
        <w:spacing w:line="360" w:lineRule="auto"/>
        <w:jc w:val="both"/>
        <w:rPr>
          <w:rFonts w:ascii="Palatino Linotype" w:eastAsia="Palatino Linotype" w:hAnsi="Palatino Linotype" w:cs="Palatino Linotype"/>
          <w:b/>
          <w:sz w:val="22"/>
          <w:szCs w:val="22"/>
        </w:rPr>
      </w:pPr>
      <w:r w:rsidRPr="00176119">
        <w:rPr>
          <w:rFonts w:ascii="Palatino Linotype" w:eastAsia="Palatino Linotype" w:hAnsi="Palatino Linotype" w:cs="Palatino Linotype"/>
          <w:b/>
          <w:sz w:val="22"/>
          <w:szCs w:val="22"/>
        </w:rPr>
        <w:t xml:space="preserve">SEGUNDO. Notifíquese </w:t>
      </w:r>
      <w:r w:rsidRPr="00176119">
        <w:rPr>
          <w:rFonts w:ascii="Palatino Linotype" w:eastAsia="Palatino Linotype" w:hAnsi="Palatino Linotype" w:cs="Palatino Linotype"/>
          <w:b/>
          <w:bCs/>
          <w:sz w:val="22"/>
          <w:szCs w:val="22"/>
        </w:rPr>
        <w:t>a través del Sistema de Acceso a la Información Mexiquense</w:t>
      </w:r>
      <w:r w:rsidRPr="00176119">
        <w:rPr>
          <w:rFonts w:ascii="Palatino Linotype" w:eastAsia="Palatino Linotype" w:hAnsi="Palatino Linotype" w:cs="Palatino Linotype"/>
          <w:sz w:val="22"/>
          <w:szCs w:val="22"/>
        </w:rPr>
        <w:t xml:space="preserve"> </w:t>
      </w:r>
      <w:r w:rsidRPr="00176119">
        <w:rPr>
          <w:rFonts w:ascii="Palatino Linotype" w:eastAsia="Palatino Linotype" w:hAnsi="Palatino Linotype" w:cs="Palatino Linotype"/>
          <w:b/>
          <w:sz w:val="22"/>
          <w:szCs w:val="22"/>
        </w:rPr>
        <w:t xml:space="preserve">(SAIMEX) </w:t>
      </w:r>
      <w:r w:rsidRPr="00176119">
        <w:rPr>
          <w:rFonts w:ascii="Palatino Linotype" w:eastAsia="Palatino Linotype" w:hAnsi="Palatino Linotype" w:cs="Palatino Linotype"/>
          <w:sz w:val="22"/>
          <w:szCs w:val="22"/>
        </w:rPr>
        <w:t>la presente resolución a la Titular de la Unidad de Transparencia del</w:t>
      </w:r>
      <w:r w:rsidRPr="00176119">
        <w:rPr>
          <w:rFonts w:ascii="Palatino Linotype" w:eastAsia="Palatino Linotype" w:hAnsi="Palatino Linotype" w:cs="Palatino Linotype"/>
          <w:b/>
          <w:sz w:val="22"/>
          <w:szCs w:val="22"/>
        </w:rPr>
        <w:t xml:space="preserve"> SUJETO OBLIGADO. </w:t>
      </w:r>
    </w:p>
    <w:p w14:paraId="666BB71B" w14:textId="77777777" w:rsidR="00EF0DD2" w:rsidRPr="00176119" w:rsidRDefault="00EF0DD2" w:rsidP="00EF0DD2">
      <w:pPr>
        <w:spacing w:line="360" w:lineRule="auto"/>
        <w:jc w:val="both"/>
        <w:rPr>
          <w:rFonts w:ascii="Palatino Linotype" w:eastAsia="Palatino Linotype" w:hAnsi="Palatino Linotype" w:cs="Palatino Linotype"/>
          <w:b/>
          <w:sz w:val="22"/>
          <w:szCs w:val="22"/>
        </w:rPr>
      </w:pPr>
    </w:p>
    <w:p w14:paraId="619C7DC1" w14:textId="4B5C6DA3" w:rsidR="00C81082" w:rsidRPr="00176119" w:rsidRDefault="00EF0DD2"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b/>
          <w:sz w:val="22"/>
          <w:szCs w:val="22"/>
        </w:rPr>
        <w:t xml:space="preserve">TERCERO. Notifíquese a través </w:t>
      </w:r>
      <w:r w:rsidRPr="00176119">
        <w:rPr>
          <w:rFonts w:ascii="Palatino Linotype" w:eastAsia="Palatino Linotype" w:hAnsi="Palatino Linotype" w:cs="Palatino Linotype"/>
          <w:b/>
          <w:bCs/>
          <w:sz w:val="22"/>
          <w:szCs w:val="22"/>
        </w:rPr>
        <w:t xml:space="preserve">del Sistema de Acceso a la Información Mexiquense (SAIMEX) </w:t>
      </w:r>
      <w:r w:rsidRPr="00176119">
        <w:rPr>
          <w:rFonts w:ascii="Palatino Linotype" w:eastAsia="Palatino Linotype" w:hAnsi="Palatino Linotype" w:cs="Palatino Linotype"/>
          <w:sz w:val="22"/>
          <w:szCs w:val="22"/>
        </w:rPr>
        <w:t xml:space="preserve">a la parte </w:t>
      </w:r>
      <w:r w:rsidRPr="00176119">
        <w:rPr>
          <w:rFonts w:ascii="Palatino Linotype" w:eastAsia="Palatino Linotype" w:hAnsi="Palatino Linotype" w:cs="Palatino Linotype"/>
          <w:b/>
          <w:sz w:val="22"/>
          <w:szCs w:val="22"/>
        </w:rPr>
        <w:t>RECURRENTE,</w:t>
      </w:r>
      <w:r w:rsidRPr="00176119">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4B914F05" w14:textId="57386164" w:rsidR="00C81082" w:rsidRPr="00176119" w:rsidRDefault="00C81082" w:rsidP="00BA7BFF">
      <w:pPr>
        <w:tabs>
          <w:tab w:val="left" w:pos="3615"/>
        </w:tabs>
        <w:spacing w:line="360" w:lineRule="auto"/>
        <w:jc w:val="both"/>
        <w:rPr>
          <w:rFonts w:ascii="Palatino Linotype" w:eastAsia="Palatino Linotype" w:hAnsi="Palatino Linotype" w:cs="Palatino Linotype"/>
          <w:sz w:val="22"/>
          <w:szCs w:val="22"/>
        </w:rPr>
      </w:pPr>
    </w:p>
    <w:p w14:paraId="5E89EA9C" w14:textId="383813E0" w:rsidR="006D5E1C" w:rsidRPr="00176119" w:rsidRDefault="005204B5" w:rsidP="00D450E9">
      <w:pPr>
        <w:spacing w:line="360" w:lineRule="auto"/>
        <w:jc w:val="both"/>
        <w:rPr>
          <w:rFonts w:ascii="Palatino Linotype" w:eastAsia="Palatino Linotype" w:hAnsi="Palatino Linotype" w:cs="Palatino Linotype"/>
          <w:sz w:val="22"/>
          <w:szCs w:val="22"/>
        </w:rPr>
      </w:pPr>
      <w:r w:rsidRPr="00176119">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w:t>
      </w:r>
      <w:r w:rsidRPr="00176119">
        <w:rPr>
          <w:rFonts w:ascii="Palatino Linotype" w:eastAsia="Palatino Linotype" w:hAnsi="Palatino Linotype" w:cs="Palatino Linotype"/>
          <w:sz w:val="22"/>
          <w:szCs w:val="22"/>
        </w:rPr>
        <w:lastRenderedPageBreak/>
        <w:t>LOS COMISIONADOS JOSÉ MARTÍNEZ VILCHIS, MARÍA DEL ROSARIO MEJÍA AYALA, SHARON CRISTINA MORALES MARTÍ</w:t>
      </w:r>
      <w:r w:rsidR="00BE3EB1">
        <w:rPr>
          <w:rFonts w:ascii="Palatino Linotype" w:eastAsia="Palatino Linotype" w:hAnsi="Palatino Linotype" w:cs="Palatino Linotype"/>
          <w:sz w:val="22"/>
          <w:szCs w:val="22"/>
        </w:rPr>
        <w:t>NEZ, LUIS GUSTAVO PARRA NORIEGA,</w:t>
      </w:r>
      <w:r w:rsidRPr="00176119">
        <w:rPr>
          <w:rFonts w:ascii="Palatino Linotype" w:eastAsia="Palatino Linotype" w:hAnsi="Palatino Linotype" w:cs="Palatino Linotype"/>
          <w:sz w:val="22"/>
          <w:szCs w:val="22"/>
        </w:rPr>
        <w:t xml:space="preserve"> Y GUADALUPE RAMÍREZ PEÑA; EN LA </w:t>
      </w:r>
      <w:r w:rsidR="00407443" w:rsidRPr="00176119">
        <w:rPr>
          <w:rFonts w:ascii="Palatino Linotype" w:eastAsia="Palatino Linotype" w:hAnsi="Palatino Linotype" w:cs="Palatino Linotype"/>
          <w:sz w:val="22"/>
          <w:szCs w:val="22"/>
        </w:rPr>
        <w:t xml:space="preserve">TRIGÉSIMA </w:t>
      </w:r>
      <w:r w:rsidR="00407443" w:rsidRPr="00176119">
        <w:rPr>
          <w:rFonts w:ascii="Palatino Linotype" w:eastAsia="Palatino Linotype" w:hAnsi="Palatino Linotype" w:cs="Palatino Linotype"/>
          <w:sz w:val="22"/>
          <w:szCs w:val="22"/>
        </w:rPr>
        <w:br/>
      </w:r>
      <w:r w:rsidR="000D4EFD" w:rsidRPr="00176119">
        <w:rPr>
          <w:rFonts w:ascii="Palatino Linotype" w:eastAsia="Palatino Linotype" w:hAnsi="Palatino Linotype" w:cs="Palatino Linotype"/>
          <w:sz w:val="22"/>
          <w:szCs w:val="22"/>
        </w:rPr>
        <w:t>OCTAVA</w:t>
      </w:r>
      <w:r w:rsidRPr="00176119">
        <w:rPr>
          <w:rFonts w:ascii="Palatino Linotype" w:eastAsia="Palatino Linotype" w:hAnsi="Palatino Linotype" w:cs="Palatino Linotype"/>
          <w:sz w:val="22"/>
          <w:szCs w:val="22"/>
        </w:rPr>
        <w:t xml:space="preserve"> SESIÓN ORDINARIA, CELEBRADA EL </w:t>
      </w:r>
      <w:r w:rsidR="00BE3EB1">
        <w:rPr>
          <w:rFonts w:ascii="Palatino Linotype" w:eastAsia="Palatino Linotype" w:hAnsi="Palatino Linotype" w:cs="Palatino Linotype"/>
          <w:sz w:val="22"/>
          <w:szCs w:val="22"/>
        </w:rPr>
        <w:t>SEIS DE NOVIEMBRE</w:t>
      </w:r>
      <w:r w:rsidRPr="00176119">
        <w:rPr>
          <w:rFonts w:ascii="Palatino Linotype" w:eastAsia="Palatino Linotype" w:hAnsi="Palatino Linotype" w:cs="Palatino Linotype"/>
          <w:sz w:val="22"/>
          <w:szCs w:val="22"/>
        </w:rPr>
        <w:t xml:space="preserve"> DE DOS MIL VEINTI</w:t>
      </w:r>
      <w:r w:rsidR="00B52617" w:rsidRPr="00176119">
        <w:rPr>
          <w:rFonts w:ascii="Palatino Linotype" w:eastAsia="Palatino Linotype" w:hAnsi="Palatino Linotype" w:cs="Palatino Linotype"/>
          <w:sz w:val="22"/>
          <w:szCs w:val="22"/>
        </w:rPr>
        <w:t>CUATRO</w:t>
      </w:r>
      <w:r w:rsidRPr="00176119">
        <w:rPr>
          <w:rFonts w:ascii="Palatino Linotype" w:eastAsia="Palatino Linotype" w:hAnsi="Palatino Linotype" w:cs="Palatino Linotype"/>
          <w:sz w:val="22"/>
          <w:szCs w:val="22"/>
        </w:rPr>
        <w:t xml:space="preserve">, ANTE EL SECRETARIO TÉCNICO DEL PLENO ALEXIS TAPIA RAMÍREZ. </w:t>
      </w:r>
      <w:bookmarkStart w:id="9" w:name="_heading=h.3rdcrjn" w:colFirst="0" w:colLast="0"/>
      <w:bookmarkStart w:id="10" w:name="_heading=h.1t3h5sf" w:colFirst="0" w:colLast="0"/>
      <w:bookmarkEnd w:id="9"/>
      <w:bookmarkEnd w:id="10"/>
    </w:p>
    <w:p w14:paraId="6BFA4533" w14:textId="77777777" w:rsidR="006D5E1C" w:rsidRPr="00176119" w:rsidRDefault="006D5E1C" w:rsidP="00D450E9">
      <w:pPr>
        <w:spacing w:line="360" w:lineRule="auto"/>
        <w:jc w:val="both"/>
        <w:rPr>
          <w:rFonts w:ascii="Palatino Linotype" w:eastAsia="Palatino Linotype" w:hAnsi="Palatino Linotype" w:cs="Palatino Linotype"/>
          <w:sz w:val="22"/>
          <w:szCs w:val="22"/>
        </w:rPr>
      </w:pPr>
    </w:p>
    <w:p w14:paraId="7B3DB042" w14:textId="77777777" w:rsidR="006D5E1C" w:rsidRPr="00176119" w:rsidRDefault="006D5E1C" w:rsidP="00D450E9">
      <w:pPr>
        <w:spacing w:line="360" w:lineRule="auto"/>
        <w:jc w:val="both"/>
        <w:rPr>
          <w:rFonts w:ascii="Palatino Linotype" w:eastAsia="Palatino Linotype" w:hAnsi="Palatino Linotype" w:cs="Palatino Linotype"/>
          <w:sz w:val="22"/>
          <w:szCs w:val="22"/>
        </w:rPr>
      </w:pPr>
    </w:p>
    <w:p w14:paraId="089FC233" w14:textId="77777777" w:rsidR="006D5E1C" w:rsidRPr="00176119" w:rsidRDefault="006D5E1C" w:rsidP="00D450E9">
      <w:pPr>
        <w:spacing w:line="360" w:lineRule="auto"/>
        <w:jc w:val="both"/>
        <w:rPr>
          <w:rFonts w:ascii="Palatino Linotype" w:eastAsia="Palatino Linotype" w:hAnsi="Palatino Linotype" w:cs="Palatino Linotype"/>
          <w:sz w:val="22"/>
          <w:szCs w:val="22"/>
        </w:rPr>
      </w:pPr>
    </w:p>
    <w:p w14:paraId="3FB589E0" w14:textId="44CA3C22" w:rsidR="006D5E1C" w:rsidRPr="00176119" w:rsidRDefault="006D5E1C" w:rsidP="00D450E9">
      <w:pPr>
        <w:spacing w:line="360" w:lineRule="auto"/>
        <w:jc w:val="both"/>
        <w:rPr>
          <w:rFonts w:ascii="Palatino Linotype" w:eastAsia="Palatino Linotype" w:hAnsi="Palatino Linotype" w:cs="Palatino Linotype"/>
          <w:sz w:val="22"/>
          <w:szCs w:val="22"/>
        </w:rPr>
      </w:pPr>
    </w:p>
    <w:p w14:paraId="1D71B3EE" w14:textId="2E106131" w:rsidR="00176119" w:rsidRPr="00176119" w:rsidRDefault="00176119" w:rsidP="00D450E9">
      <w:pPr>
        <w:spacing w:line="360" w:lineRule="auto"/>
        <w:jc w:val="both"/>
        <w:rPr>
          <w:rFonts w:ascii="Palatino Linotype" w:eastAsia="Palatino Linotype" w:hAnsi="Palatino Linotype" w:cs="Palatino Linotype"/>
          <w:sz w:val="22"/>
          <w:szCs w:val="22"/>
        </w:rPr>
      </w:pPr>
    </w:p>
    <w:p w14:paraId="456D6353" w14:textId="10884EC8" w:rsidR="00176119" w:rsidRPr="00176119" w:rsidRDefault="00176119" w:rsidP="00D450E9">
      <w:pPr>
        <w:spacing w:line="360" w:lineRule="auto"/>
        <w:jc w:val="both"/>
        <w:rPr>
          <w:rFonts w:ascii="Palatino Linotype" w:eastAsia="Palatino Linotype" w:hAnsi="Palatino Linotype" w:cs="Palatino Linotype"/>
          <w:sz w:val="22"/>
          <w:szCs w:val="22"/>
        </w:rPr>
      </w:pPr>
    </w:p>
    <w:p w14:paraId="58430A26" w14:textId="1EE93630" w:rsidR="00176119" w:rsidRPr="00176119" w:rsidRDefault="00176119" w:rsidP="00D450E9">
      <w:pPr>
        <w:spacing w:line="360" w:lineRule="auto"/>
        <w:jc w:val="both"/>
        <w:rPr>
          <w:rFonts w:ascii="Palatino Linotype" w:eastAsia="Palatino Linotype" w:hAnsi="Palatino Linotype" w:cs="Palatino Linotype"/>
          <w:sz w:val="22"/>
          <w:szCs w:val="22"/>
        </w:rPr>
      </w:pPr>
    </w:p>
    <w:p w14:paraId="73D095DE" w14:textId="24125BF6" w:rsidR="00176119" w:rsidRPr="00176119" w:rsidRDefault="00176119" w:rsidP="00D450E9">
      <w:pPr>
        <w:spacing w:line="360" w:lineRule="auto"/>
        <w:jc w:val="both"/>
        <w:rPr>
          <w:rFonts w:ascii="Palatino Linotype" w:eastAsia="Palatino Linotype" w:hAnsi="Palatino Linotype" w:cs="Palatino Linotype"/>
          <w:sz w:val="22"/>
          <w:szCs w:val="22"/>
        </w:rPr>
      </w:pPr>
    </w:p>
    <w:p w14:paraId="6F5EBF03" w14:textId="20D2BD58" w:rsidR="00176119" w:rsidRPr="00176119" w:rsidRDefault="00176119" w:rsidP="00D450E9">
      <w:pPr>
        <w:spacing w:line="360" w:lineRule="auto"/>
        <w:jc w:val="both"/>
        <w:rPr>
          <w:rFonts w:ascii="Palatino Linotype" w:eastAsia="Palatino Linotype" w:hAnsi="Palatino Linotype" w:cs="Palatino Linotype"/>
          <w:sz w:val="22"/>
          <w:szCs w:val="22"/>
        </w:rPr>
      </w:pPr>
    </w:p>
    <w:p w14:paraId="4FB69822" w14:textId="2AF72EEA" w:rsidR="00176119" w:rsidRPr="00176119" w:rsidRDefault="00176119" w:rsidP="00D450E9">
      <w:pPr>
        <w:spacing w:line="360" w:lineRule="auto"/>
        <w:jc w:val="both"/>
        <w:rPr>
          <w:rFonts w:ascii="Palatino Linotype" w:eastAsia="Palatino Linotype" w:hAnsi="Palatino Linotype" w:cs="Palatino Linotype"/>
          <w:sz w:val="22"/>
          <w:szCs w:val="22"/>
        </w:rPr>
      </w:pPr>
    </w:p>
    <w:p w14:paraId="67CF8353" w14:textId="1EEDE976" w:rsidR="00176119" w:rsidRPr="00176119" w:rsidRDefault="00176119" w:rsidP="00D450E9">
      <w:pPr>
        <w:spacing w:line="360" w:lineRule="auto"/>
        <w:jc w:val="both"/>
        <w:rPr>
          <w:rFonts w:ascii="Palatino Linotype" w:eastAsia="Palatino Linotype" w:hAnsi="Palatino Linotype" w:cs="Palatino Linotype"/>
          <w:sz w:val="22"/>
          <w:szCs w:val="22"/>
        </w:rPr>
      </w:pPr>
    </w:p>
    <w:p w14:paraId="28221355" w14:textId="3E4C77F3" w:rsidR="00176119" w:rsidRPr="00176119" w:rsidRDefault="00176119" w:rsidP="00D450E9">
      <w:pPr>
        <w:spacing w:line="360" w:lineRule="auto"/>
        <w:jc w:val="both"/>
        <w:rPr>
          <w:rFonts w:ascii="Palatino Linotype" w:eastAsia="Palatino Linotype" w:hAnsi="Palatino Linotype" w:cs="Palatino Linotype"/>
          <w:sz w:val="22"/>
          <w:szCs w:val="22"/>
        </w:rPr>
      </w:pPr>
    </w:p>
    <w:p w14:paraId="16A2777A" w14:textId="71CE40C2" w:rsidR="00176119" w:rsidRPr="00176119" w:rsidRDefault="00176119" w:rsidP="00D450E9">
      <w:pPr>
        <w:spacing w:line="360" w:lineRule="auto"/>
        <w:jc w:val="both"/>
        <w:rPr>
          <w:rFonts w:ascii="Palatino Linotype" w:eastAsia="Palatino Linotype" w:hAnsi="Palatino Linotype" w:cs="Palatino Linotype"/>
          <w:sz w:val="22"/>
          <w:szCs w:val="22"/>
        </w:rPr>
      </w:pPr>
    </w:p>
    <w:p w14:paraId="10975096" w14:textId="17FB3295" w:rsidR="00176119" w:rsidRPr="00176119" w:rsidRDefault="00176119" w:rsidP="00D450E9">
      <w:pPr>
        <w:spacing w:line="360" w:lineRule="auto"/>
        <w:jc w:val="both"/>
        <w:rPr>
          <w:rFonts w:ascii="Palatino Linotype" w:eastAsia="Palatino Linotype" w:hAnsi="Palatino Linotype" w:cs="Palatino Linotype"/>
          <w:sz w:val="22"/>
          <w:szCs w:val="22"/>
        </w:rPr>
      </w:pPr>
    </w:p>
    <w:p w14:paraId="1AD0386D" w14:textId="41116D36" w:rsidR="00176119" w:rsidRPr="00176119" w:rsidRDefault="00176119" w:rsidP="00D450E9">
      <w:pPr>
        <w:spacing w:line="360" w:lineRule="auto"/>
        <w:jc w:val="both"/>
        <w:rPr>
          <w:rFonts w:ascii="Palatino Linotype" w:eastAsia="Palatino Linotype" w:hAnsi="Palatino Linotype" w:cs="Palatino Linotype"/>
          <w:sz w:val="22"/>
          <w:szCs w:val="22"/>
        </w:rPr>
      </w:pPr>
    </w:p>
    <w:p w14:paraId="5497929F" w14:textId="55E0CE14" w:rsidR="00176119" w:rsidRPr="00176119" w:rsidRDefault="00176119" w:rsidP="00D450E9">
      <w:pPr>
        <w:spacing w:line="360" w:lineRule="auto"/>
        <w:jc w:val="both"/>
        <w:rPr>
          <w:rFonts w:ascii="Palatino Linotype" w:eastAsia="Palatino Linotype" w:hAnsi="Palatino Linotype" w:cs="Palatino Linotype"/>
          <w:sz w:val="22"/>
          <w:szCs w:val="22"/>
        </w:rPr>
      </w:pPr>
    </w:p>
    <w:p w14:paraId="2C4EB9D2" w14:textId="633B7DFC" w:rsidR="00176119" w:rsidRPr="00176119" w:rsidRDefault="00176119" w:rsidP="00D450E9">
      <w:pPr>
        <w:spacing w:line="360" w:lineRule="auto"/>
        <w:jc w:val="both"/>
        <w:rPr>
          <w:rFonts w:ascii="Palatino Linotype" w:eastAsia="Palatino Linotype" w:hAnsi="Palatino Linotype" w:cs="Palatino Linotype"/>
          <w:sz w:val="22"/>
          <w:szCs w:val="22"/>
        </w:rPr>
      </w:pPr>
    </w:p>
    <w:p w14:paraId="7C5D1E6F" w14:textId="1B658C20" w:rsidR="00176119" w:rsidRPr="00176119" w:rsidRDefault="00176119" w:rsidP="00D450E9">
      <w:pPr>
        <w:spacing w:line="360" w:lineRule="auto"/>
        <w:jc w:val="both"/>
        <w:rPr>
          <w:rFonts w:ascii="Palatino Linotype" w:eastAsia="Palatino Linotype" w:hAnsi="Palatino Linotype" w:cs="Palatino Linotype"/>
          <w:sz w:val="22"/>
          <w:szCs w:val="22"/>
        </w:rPr>
      </w:pPr>
    </w:p>
    <w:p w14:paraId="21BD6E96" w14:textId="7B48247D" w:rsidR="00176119" w:rsidRPr="00176119" w:rsidRDefault="00176119" w:rsidP="00D450E9">
      <w:pPr>
        <w:spacing w:line="360" w:lineRule="auto"/>
        <w:jc w:val="both"/>
        <w:rPr>
          <w:rFonts w:ascii="Palatino Linotype" w:eastAsia="Palatino Linotype" w:hAnsi="Palatino Linotype" w:cs="Palatino Linotype"/>
          <w:sz w:val="22"/>
          <w:szCs w:val="22"/>
        </w:rPr>
      </w:pPr>
    </w:p>
    <w:p w14:paraId="19ACD1DD" w14:textId="15FBC7E8" w:rsidR="00176119" w:rsidRPr="00176119" w:rsidRDefault="00176119" w:rsidP="00D450E9">
      <w:pPr>
        <w:spacing w:line="360" w:lineRule="auto"/>
        <w:jc w:val="both"/>
        <w:rPr>
          <w:rFonts w:ascii="Palatino Linotype" w:eastAsia="Palatino Linotype" w:hAnsi="Palatino Linotype" w:cs="Palatino Linotype"/>
          <w:sz w:val="22"/>
          <w:szCs w:val="22"/>
        </w:rPr>
      </w:pPr>
    </w:p>
    <w:p w14:paraId="7730C0BB" w14:textId="245EC1A4" w:rsidR="00176119" w:rsidRPr="00176119" w:rsidRDefault="00176119" w:rsidP="00D450E9">
      <w:pPr>
        <w:spacing w:line="360" w:lineRule="auto"/>
        <w:jc w:val="both"/>
        <w:rPr>
          <w:rFonts w:ascii="Palatino Linotype" w:eastAsia="Palatino Linotype" w:hAnsi="Palatino Linotype" w:cs="Palatino Linotype"/>
          <w:sz w:val="22"/>
          <w:szCs w:val="22"/>
        </w:rPr>
      </w:pPr>
    </w:p>
    <w:p w14:paraId="62378638" w14:textId="072503CA" w:rsidR="00176119" w:rsidRPr="00176119" w:rsidRDefault="00176119" w:rsidP="00D450E9">
      <w:pPr>
        <w:spacing w:line="360" w:lineRule="auto"/>
        <w:jc w:val="both"/>
        <w:rPr>
          <w:rFonts w:ascii="Palatino Linotype" w:eastAsia="Palatino Linotype" w:hAnsi="Palatino Linotype" w:cs="Palatino Linotype"/>
          <w:sz w:val="22"/>
          <w:szCs w:val="22"/>
        </w:rPr>
      </w:pPr>
    </w:p>
    <w:p w14:paraId="320F1002" w14:textId="06E5FC57" w:rsidR="00176119" w:rsidRPr="00176119" w:rsidRDefault="00176119" w:rsidP="00D450E9">
      <w:pPr>
        <w:spacing w:line="360" w:lineRule="auto"/>
        <w:jc w:val="both"/>
        <w:rPr>
          <w:rFonts w:ascii="Palatino Linotype" w:eastAsia="Palatino Linotype" w:hAnsi="Palatino Linotype" w:cs="Palatino Linotype"/>
          <w:sz w:val="22"/>
          <w:szCs w:val="22"/>
        </w:rPr>
      </w:pPr>
    </w:p>
    <w:p w14:paraId="400E4064" w14:textId="7DC90B4D" w:rsidR="00176119" w:rsidRPr="00176119" w:rsidRDefault="00176119" w:rsidP="00D450E9">
      <w:pPr>
        <w:spacing w:line="360" w:lineRule="auto"/>
        <w:jc w:val="both"/>
        <w:rPr>
          <w:rFonts w:ascii="Palatino Linotype" w:eastAsia="Palatino Linotype" w:hAnsi="Palatino Linotype" w:cs="Palatino Linotype"/>
          <w:sz w:val="22"/>
          <w:szCs w:val="22"/>
        </w:rPr>
      </w:pPr>
    </w:p>
    <w:p w14:paraId="24C3740C" w14:textId="77777777" w:rsidR="00176119" w:rsidRPr="00176119" w:rsidRDefault="00176119" w:rsidP="00D450E9">
      <w:pPr>
        <w:spacing w:line="360" w:lineRule="auto"/>
        <w:jc w:val="both"/>
        <w:rPr>
          <w:rFonts w:ascii="Palatino Linotype" w:eastAsia="Palatino Linotype" w:hAnsi="Palatino Linotype" w:cs="Palatino Linotype"/>
          <w:sz w:val="22"/>
          <w:szCs w:val="22"/>
        </w:rPr>
      </w:pPr>
    </w:p>
    <w:sectPr w:rsidR="00176119" w:rsidRPr="00176119">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7384" w14:textId="77777777" w:rsidR="00304E16" w:rsidRDefault="00304E16">
      <w:r>
        <w:separator/>
      </w:r>
    </w:p>
  </w:endnote>
  <w:endnote w:type="continuationSeparator" w:id="0">
    <w:p w14:paraId="7A7967DF" w14:textId="77777777" w:rsidR="00304E16" w:rsidRDefault="0030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D7B9" w14:textId="4CA91C14" w:rsidR="00634AC2" w:rsidRDefault="00634A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E3EB1">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E3EB1">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5BCCA3C8" w14:textId="77777777" w:rsidR="00634AC2" w:rsidRDefault="00634AC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99AE" w14:textId="77777777" w:rsidR="00634AC2" w:rsidRDefault="00634A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E3E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E3EB1">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4C697443" w14:textId="77777777" w:rsidR="00634AC2" w:rsidRDefault="00634AC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5E75" w14:textId="77777777" w:rsidR="00304E16" w:rsidRDefault="00304E16">
      <w:r>
        <w:separator/>
      </w:r>
    </w:p>
  </w:footnote>
  <w:footnote w:type="continuationSeparator" w:id="0">
    <w:p w14:paraId="3AFD5A54" w14:textId="77777777" w:rsidR="00304E16" w:rsidRDefault="0030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D87C" w14:textId="77777777" w:rsidR="00634AC2" w:rsidRDefault="00634AC2">
    <w:pPr>
      <w:rPr>
        <w:rFonts w:ascii="Cambria" w:eastAsia="Cambria" w:hAnsi="Cambria" w:cs="Cambria"/>
        <w:color w:val="000000"/>
      </w:rPr>
    </w:pPr>
    <w:r>
      <w:rPr>
        <w:noProof/>
      </w:rPr>
      <w:drawing>
        <wp:anchor distT="0" distB="0" distL="0" distR="0" simplePos="0" relativeHeight="251658240" behindDoc="1" locked="0" layoutInCell="1" hidden="0" allowOverlap="1" wp14:anchorId="2FB4488C" wp14:editId="2E93BC6A">
          <wp:simplePos x="0" y="0"/>
          <wp:positionH relativeFrom="column">
            <wp:posOffset>-755650</wp:posOffset>
          </wp:positionH>
          <wp:positionV relativeFrom="paragraph">
            <wp:posOffset>-363855</wp:posOffset>
          </wp:positionV>
          <wp:extent cx="7809865" cy="1016571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65" w:type="dxa"/>
      <w:tblInd w:w="3814" w:type="dxa"/>
      <w:tblLayout w:type="fixed"/>
      <w:tblLook w:val="0400" w:firstRow="0" w:lastRow="0" w:firstColumn="0" w:lastColumn="0" w:noHBand="0" w:noVBand="1"/>
    </w:tblPr>
    <w:tblGrid>
      <w:gridCol w:w="2489"/>
      <w:gridCol w:w="3176"/>
    </w:tblGrid>
    <w:tr w:rsidR="00634AC2" w14:paraId="6729C947" w14:textId="77777777" w:rsidTr="00D450E9">
      <w:tc>
        <w:tcPr>
          <w:tcW w:w="2489" w:type="dxa"/>
          <w:shd w:val="clear" w:color="auto" w:fill="auto"/>
        </w:tcPr>
        <w:p w14:paraId="1FC2CD6A" w14:textId="77777777" w:rsidR="00634AC2" w:rsidRDefault="00634A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6" w:type="dxa"/>
          <w:shd w:val="clear" w:color="auto" w:fill="auto"/>
          <w:vAlign w:val="center"/>
        </w:tcPr>
        <w:p w14:paraId="0F4F101C" w14:textId="7E1C8253" w:rsidR="00634AC2" w:rsidRDefault="00634AC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5734/INFOEM/IP/RR/2024</w:t>
          </w:r>
        </w:p>
      </w:tc>
    </w:tr>
    <w:tr w:rsidR="00634AC2" w14:paraId="4FD38CF7" w14:textId="77777777" w:rsidTr="00D450E9">
      <w:trPr>
        <w:trHeight w:val="228"/>
      </w:trPr>
      <w:tc>
        <w:tcPr>
          <w:tcW w:w="2489" w:type="dxa"/>
          <w:shd w:val="clear" w:color="auto" w:fill="auto"/>
          <w:vAlign w:val="center"/>
        </w:tcPr>
        <w:p w14:paraId="05ED1995" w14:textId="77777777" w:rsidR="00634AC2" w:rsidRDefault="00634A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3FB2C1D" w14:textId="77777777" w:rsidR="00634AC2" w:rsidRDefault="00634AC2">
          <w:pPr>
            <w:rPr>
              <w:rFonts w:ascii="Palatino Linotype" w:eastAsia="Palatino Linotype" w:hAnsi="Palatino Linotype" w:cs="Palatino Linotype"/>
              <w:b/>
              <w:sz w:val="22"/>
              <w:szCs w:val="22"/>
            </w:rPr>
          </w:pPr>
        </w:p>
        <w:p w14:paraId="491B9118" w14:textId="77777777" w:rsidR="00634AC2" w:rsidRDefault="00634AC2">
          <w:pPr>
            <w:rPr>
              <w:rFonts w:ascii="Palatino Linotype" w:eastAsia="Palatino Linotype" w:hAnsi="Palatino Linotype" w:cs="Palatino Linotype"/>
              <w:b/>
              <w:sz w:val="22"/>
              <w:szCs w:val="22"/>
            </w:rPr>
          </w:pPr>
        </w:p>
      </w:tc>
      <w:tc>
        <w:tcPr>
          <w:tcW w:w="3176" w:type="dxa"/>
          <w:shd w:val="clear" w:color="auto" w:fill="auto"/>
          <w:vAlign w:val="center"/>
        </w:tcPr>
        <w:p w14:paraId="419A1990" w14:textId="13858FDF" w:rsidR="00634AC2" w:rsidRDefault="00634AC2">
          <w:pPr>
            <w:ind w:left="-45" w:right="176"/>
            <w:jc w:val="both"/>
            <w:rPr>
              <w:rFonts w:ascii="Palatino Linotype" w:eastAsia="Palatino Linotype" w:hAnsi="Palatino Linotype" w:cs="Palatino Linotype"/>
              <w:b/>
              <w:sz w:val="22"/>
              <w:szCs w:val="22"/>
            </w:rPr>
          </w:pPr>
          <w:r w:rsidRPr="000C17CE">
            <w:rPr>
              <w:rFonts w:ascii="Palatino Linotype" w:eastAsia="Palatino Linotype" w:hAnsi="Palatino Linotype" w:cs="Palatino Linotype"/>
              <w:b/>
              <w:sz w:val="22"/>
              <w:szCs w:val="22"/>
            </w:rPr>
            <w:t>Instituto Municipal de Cultura Física y Deporte de Huehuetoca</w:t>
          </w:r>
        </w:p>
      </w:tc>
    </w:tr>
    <w:tr w:rsidR="00634AC2" w14:paraId="40F74DED" w14:textId="77777777" w:rsidTr="00D450E9">
      <w:tc>
        <w:tcPr>
          <w:tcW w:w="2489" w:type="dxa"/>
          <w:shd w:val="clear" w:color="auto" w:fill="auto"/>
          <w:vAlign w:val="center"/>
        </w:tcPr>
        <w:p w14:paraId="01D3CFE7" w14:textId="77777777" w:rsidR="00634AC2" w:rsidRDefault="00634AC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6" w:type="dxa"/>
          <w:shd w:val="clear" w:color="auto" w:fill="auto"/>
          <w:vAlign w:val="center"/>
        </w:tcPr>
        <w:p w14:paraId="35DB812C" w14:textId="77777777" w:rsidR="00634AC2" w:rsidRDefault="00634AC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755EE0" w14:textId="77777777" w:rsidR="00634AC2" w:rsidRDefault="00634AC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6547" w14:textId="77777777" w:rsidR="00634AC2" w:rsidRDefault="00634AC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EE0D041" wp14:editId="1DE5AA34">
          <wp:simplePos x="0" y="0"/>
          <wp:positionH relativeFrom="column">
            <wp:posOffset>-688340</wp:posOffset>
          </wp:positionH>
          <wp:positionV relativeFrom="paragraph">
            <wp:posOffset>-156845</wp:posOffset>
          </wp:positionV>
          <wp:extent cx="7809865" cy="10165715"/>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883" w:type="dxa"/>
      <w:tblInd w:w="3184" w:type="dxa"/>
      <w:tblLayout w:type="fixed"/>
      <w:tblLook w:val="0400" w:firstRow="0" w:lastRow="0" w:firstColumn="0" w:lastColumn="0" w:noHBand="0" w:noVBand="1"/>
    </w:tblPr>
    <w:tblGrid>
      <w:gridCol w:w="2551"/>
      <w:gridCol w:w="3332"/>
    </w:tblGrid>
    <w:tr w:rsidR="00634AC2" w14:paraId="431817EF" w14:textId="77777777" w:rsidTr="00D450E9">
      <w:tc>
        <w:tcPr>
          <w:tcW w:w="2551" w:type="dxa"/>
          <w:shd w:val="clear" w:color="auto" w:fill="auto"/>
          <w:vAlign w:val="center"/>
        </w:tcPr>
        <w:p w14:paraId="4933160E" w14:textId="77777777" w:rsidR="00634AC2" w:rsidRDefault="00634A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32" w:type="dxa"/>
          <w:shd w:val="clear" w:color="auto" w:fill="auto"/>
          <w:vAlign w:val="center"/>
        </w:tcPr>
        <w:p w14:paraId="47E1F8F1" w14:textId="7D78D0AF" w:rsidR="00634AC2" w:rsidRDefault="00634AC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05734/INFOEM/IP/RR/2024</w:t>
          </w:r>
        </w:p>
      </w:tc>
    </w:tr>
    <w:tr w:rsidR="00634AC2" w14:paraId="49135FAB" w14:textId="77777777" w:rsidTr="00D450E9">
      <w:trPr>
        <w:trHeight w:val="130"/>
      </w:trPr>
      <w:tc>
        <w:tcPr>
          <w:tcW w:w="2551" w:type="dxa"/>
          <w:shd w:val="clear" w:color="auto" w:fill="auto"/>
          <w:vAlign w:val="center"/>
        </w:tcPr>
        <w:p w14:paraId="0E5AF243" w14:textId="77777777" w:rsidR="00634AC2" w:rsidRDefault="00634AC2">
          <w:pPr>
            <w:rPr>
              <w:rFonts w:ascii="Palatino Linotype" w:eastAsia="Palatino Linotype" w:hAnsi="Palatino Linotype" w:cs="Palatino Linotype"/>
              <w:b/>
              <w:sz w:val="22"/>
              <w:szCs w:val="22"/>
            </w:rPr>
          </w:pPr>
          <w:bookmarkStart w:id="11" w:name="_Hlk162961857"/>
          <w:r>
            <w:rPr>
              <w:rFonts w:ascii="Palatino Linotype" w:eastAsia="Palatino Linotype" w:hAnsi="Palatino Linotype" w:cs="Palatino Linotype"/>
              <w:b/>
              <w:sz w:val="22"/>
              <w:szCs w:val="22"/>
            </w:rPr>
            <w:t>Recurrente:</w:t>
          </w:r>
        </w:p>
      </w:tc>
      <w:tc>
        <w:tcPr>
          <w:tcW w:w="3332" w:type="dxa"/>
          <w:shd w:val="clear" w:color="auto" w:fill="auto"/>
          <w:vAlign w:val="center"/>
        </w:tcPr>
        <w:p w14:paraId="520C9DED" w14:textId="2F4ADF9B" w:rsidR="00634AC2" w:rsidRDefault="006A162B">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XXXXXX XXXX </w:t>
          </w:r>
        </w:p>
      </w:tc>
    </w:tr>
    <w:bookmarkEnd w:id="11"/>
    <w:tr w:rsidR="00634AC2" w14:paraId="43DF5A9F" w14:textId="77777777" w:rsidTr="00D450E9">
      <w:trPr>
        <w:trHeight w:val="228"/>
      </w:trPr>
      <w:tc>
        <w:tcPr>
          <w:tcW w:w="2551" w:type="dxa"/>
          <w:shd w:val="clear" w:color="auto" w:fill="auto"/>
          <w:vAlign w:val="center"/>
        </w:tcPr>
        <w:p w14:paraId="5ECB7FFF" w14:textId="77777777" w:rsidR="00634AC2" w:rsidRDefault="00634A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3FFA39B2" w14:textId="77777777" w:rsidR="00634AC2" w:rsidRDefault="00634AC2">
          <w:pPr>
            <w:rPr>
              <w:rFonts w:ascii="Palatino Linotype" w:eastAsia="Palatino Linotype" w:hAnsi="Palatino Linotype" w:cs="Palatino Linotype"/>
              <w:b/>
              <w:sz w:val="22"/>
              <w:szCs w:val="22"/>
            </w:rPr>
          </w:pPr>
        </w:p>
        <w:p w14:paraId="074A0368" w14:textId="77777777" w:rsidR="00634AC2" w:rsidRDefault="00634AC2">
          <w:pPr>
            <w:rPr>
              <w:rFonts w:ascii="Palatino Linotype" w:eastAsia="Palatino Linotype" w:hAnsi="Palatino Linotype" w:cs="Palatino Linotype"/>
              <w:b/>
              <w:sz w:val="22"/>
              <w:szCs w:val="22"/>
            </w:rPr>
          </w:pPr>
        </w:p>
      </w:tc>
      <w:tc>
        <w:tcPr>
          <w:tcW w:w="3332" w:type="dxa"/>
          <w:shd w:val="clear" w:color="auto" w:fill="auto"/>
          <w:vAlign w:val="center"/>
        </w:tcPr>
        <w:p w14:paraId="3D716FEB" w14:textId="4B823F84" w:rsidR="00634AC2" w:rsidRDefault="00634AC2" w:rsidP="000C17CE">
          <w:pPr>
            <w:ind w:left="-45" w:right="176"/>
            <w:jc w:val="both"/>
            <w:rPr>
              <w:rFonts w:ascii="Palatino Linotype" w:eastAsia="Palatino Linotype" w:hAnsi="Palatino Linotype" w:cs="Palatino Linotype"/>
              <w:b/>
              <w:sz w:val="22"/>
              <w:szCs w:val="22"/>
            </w:rPr>
          </w:pPr>
          <w:r w:rsidRPr="000C17CE">
            <w:rPr>
              <w:rFonts w:ascii="Palatino Linotype" w:eastAsia="Palatino Linotype" w:hAnsi="Palatino Linotype" w:cs="Palatino Linotype"/>
              <w:b/>
              <w:sz w:val="22"/>
              <w:szCs w:val="22"/>
            </w:rPr>
            <w:t>Instituto Municipal de Cultura Física y Deporte de Huehuetoca</w:t>
          </w:r>
        </w:p>
      </w:tc>
    </w:tr>
    <w:tr w:rsidR="00634AC2" w14:paraId="2A2E46B4" w14:textId="77777777" w:rsidTr="00D450E9">
      <w:tc>
        <w:tcPr>
          <w:tcW w:w="2551" w:type="dxa"/>
          <w:shd w:val="clear" w:color="auto" w:fill="auto"/>
          <w:vAlign w:val="center"/>
        </w:tcPr>
        <w:p w14:paraId="6AA44DD7" w14:textId="77777777" w:rsidR="00634AC2" w:rsidRDefault="00634A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32" w:type="dxa"/>
          <w:shd w:val="clear" w:color="auto" w:fill="auto"/>
          <w:vAlign w:val="center"/>
        </w:tcPr>
        <w:p w14:paraId="3C4B2745" w14:textId="77777777" w:rsidR="00634AC2" w:rsidRDefault="00634AC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5B298D" w14:textId="77777777" w:rsidR="00634AC2" w:rsidRDefault="00634AC2">
    <w:pPr>
      <w:pBdr>
        <w:top w:val="nil"/>
        <w:left w:val="nil"/>
        <w:bottom w:val="nil"/>
        <w:right w:val="nil"/>
        <w:between w:val="nil"/>
      </w:pBdr>
      <w:tabs>
        <w:tab w:val="center" w:pos="4252"/>
        <w:tab w:val="right" w:pos="8504"/>
      </w:tabs>
      <w:rPr>
        <w:rFonts w:ascii="Cambria" w:eastAsia="Cambria" w:hAnsi="Cambria" w:cs="Cambria"/>
        <w:color w:val="000000"/>
      </w:rPr>
    </w:pPr>
  </w:p>
  <w:p w14:paraId="6055EEF9" w14:textId="77777777" w:rsidR="00634AC2" w:rsidRDefault="00634A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F07"/>
    <w:multiLevelType w:val="hybridMultilevel"/>
    <w:tmpl w:val="B98CCA88"/>
    <w:lvl w:ilvl="0" w:tplc="232CAF2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2193B"/>
    <w:multiLevelType w:val="hybridMultilevel"/>
    <w:tmpl w:val="34D43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2F3AF9"/>
    <w:multiLevelType w:val="multilevel"/>
    <w:tmpl w:val="25DAA624"/>
    <w:lvl w:ilvl="0">
      <w:start w:val="1"/>
      <w:numFmt w:val="bullet"/>
      <w:pStyle w:val="Listaconvietas2"/>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04E52F3"/>
    <w:multiLevelType w:val="hybridMultilevel"/>
    <w:tmpl w:val="4AA2BAE6"/>
    <w:lvl w:ilvl="0" w:tplc="6CD46F6E">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497572"/>
    <w:multiLevelType w:val="hybridMultilevel"/>
    <w:tmpl w:val="B98CCA8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8B23E63"/>
    <w:multiLevelType w:val="hybridMultilevel"/>
    <w:tmpl w:val="C8E0E37C"/>
    <w:lvl w:ilvl="0" w:tplc="723E3DF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7B6A6C"/>
    <w:multiLevelType w:val="hybridMultilevel"/>
    <w:tmpl w:val="F766CC44"/>
    <w:lvl w:ilvl="0" w:tplc="2BD4CA2E">
      <w:start w:val="1"/>
      <w:numFmt w:val="upperRoman"/>
      <w:suff w:val="space"/>
      <w:lvlText w:val="%1."/>
      <w:lvlJc w:val="left"/>
      <w:pPr>
        <w:ind w:left="3479"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74776F"/>
    <w:multiLevelType w:val="multilevel"/>
    <w:tmpl w:val="7564E10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36F20AD"/>
    <w:multiLevelType w:val="hybridMultilevel"/>
    <w:tmpl w:val="94B67DF6"/>
    <w:lvl w:ilvl="0" w:tplc="8286BBC8">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2051C9"/>
    <w:multiLevelType w:val="multilevel"/>
    <w:tmpl w:val="940282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23A1359"/>
    <w:multiLevelType w:val="hybridMultilevel"/>
    <w:tmpl w:val="0E3C8D3E"/>
    <w:lvl w:ilvl="0" w:tplc="34061552">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63819"/>
    <w:multiLevelType w:val="hybridMultilevel"/>
    <w:tmpl w:val="2EEC62DA"/>
    <w:lvl w:ilvl="0" w:tplc="C5DE4A7E">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445F8B"/>
    <w:multiLevelType w:val="multilevel"/>
    <w:tmpl w:val="3AB8FC2A"/>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D736B4"/>
    <w:multiLevelType w:val="multilevel"/>
    <w:tmpl w:val="ADA085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AD37CD"/>
    <w:multiLevelType w:val="multilevel"/>
    <w:tmpl w:val="F9BAF1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7CD30FCC"/>
    <w:multiLevelType w:val="hybridMultilevel"/>
    <w:tmpl w:val="85FA706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1"/>
  </w:num>
  <w:num w:numId="9">
    <w:abstractNumId w:val="7"/>
  </w:num>
  <w:num w:numId="10">
    <w:abstractNumId w:val="14"/>
  </w:num>
  <w:num w:numId="11">
    <w:abstractNumId w:val="0"/>
  </w:num>
  <w:num w:numId="12">
    <w:abstractNumId w:val="9"/>
  </w:num>
  <w:num w:numId="13">
    <w:abstractNumId w:val="12"/>
  </w:num>
  <w:num w:numId="14">
    <w:abstractNumId w:val="5"/>
  </w:num>
  <w:num w:numId="15">
    <w:abstractNumId w:val="17"/>
  </w:num>
  <w:num w:numId="16">
    <w:abstractNumId w:val="10"/>
  </w:num>
  <w:num w:numId="17">
    <w:abstractNumId w:val="4"/>
  </w:num>
  <w:num w:numId="18">
    <w:abstractNumId w:val="18"/>
  </w:num>
  <w:num w:numId="19">
    <w:abstractNumId w:val="15"/>
  </w:num>
  <w:num w:numId="20">
    <w:abstractNumId w:val="6"/>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1C"/>
    <w:rsid w:val="00010A35"/>
    <w:rsid w:val="000368B8"/>
    <w:rsid w:val="00047781"/>
    <w:rsid w:val="00047800"/>
    <w:rsid w:val="00075CD4"/>
    <w:rsid w:val="000842E6"/>
    <w:rsid w:val="00092F36"/>
    <w:rsid w:val="000A582D"/>
    <w:rsid w:val="000B7F3E"/>
    <w:rsid w:val="000C17CE"/>
    <w:rsid w:val="000D2F00"/>
    <w:rsid w:val="000D4EFD"/>
    <w:rsid w:val="000D7FFE"/>
    <w:rsid w:val="000E6D25"/>
    <w:rsid w:val="000F2FC3"/>
    <w:rsid w:val="00103AF3"/>
    <w:rsid w:val="00114F76"/>
    <w:rsid w:val="00120F5C"/>
    <w:rsid w:val="0014022D"/>
    <w:rsid w:val="00151AD8"/>
    <w:rsid w:val="00161331"/>
    <w:rsid w:val="00162521"/>
    <w:rsid w:val="00165F67"/>
    <w:rsid w:val="00166807"/>
    <w:rsid w:val="001675D2"/>
    <w:rsid w:val="00176119"/>
    <w:rsid w:val="001A052A"/>
    <w:rsid w:val="001B3927"/>
    <w:rsid w:val="001C2B44"/>
    <w:rsid w:val="001C412D"/>
    <w:rsid w:val="001D1352"/>
    <w:rsid w:val="002118A9"/>
    <w:rsid w:val="00232526"/>
    <w:rsid w:val="00265741"/>
    <w:rsid w:val="00274D0C"/>
    <w:rsid w:val="002858BF"/>
    <w:rsid w:val="002B05EF"/>
    <w:rsid w:val="002B7152"/>
    <w:rsid w:val="002B767E"/>
    <w:rsid w:val="002D41DD"/>
    <w:rsid w:val="003044C2"/>
    <w:rsid w:val="00304E16"/>
    <w:rsid w:val="0031031D"/>
    <w:rsid w:val="0031435B"/>
    <w:rsid w:val="0031557A"/>
    <w:rsid w:val="00323B41"/>
    <w:rsid w:val="00330FE8"/>
    <w:rsid w:val="00337990"/>
    <w:rsid w:val="00361D82"/>
    <w:rsid w:val="0036285C"/>
    <w:rsid w:val="0037251A"/>
    <w:rsid w:val="003726A3"/>
    <w:rsid w:val="00384458"/>
    <w:rsid w:val="003B79A7"/>
    <w:rsid w:val="003C18F1"/>
    <w:rsid w:val="003C646C"/>
    <w:rsid w:val="003D38EF"/>
    <w:rsid w:val="003F62AF"/>
    <w:rsid w:val="00406515"/>
    <w:rsid w:val="0040671C"/>
    <w:rsid w:val="00407443"/>
    <w:rsid w:val="004130E5"/>
    <w:rsid w:val="00424009"/>
    <w:rsid w:val="004255A4"/>
    <w:rsid w:val="004261A5"/>
    <w:rsid w:val="00434B7D"/>
    <w:rsid w:val="00484B49"/>
    <w:rsid w:val="0049145A"/>
    <w:rsid w:val="004A7240"/>
    <w:rsid w:val="004B76AF"/>
    <w:rsid w:val="004C110D"/>
    <w:rsid w:val="004C4E8C"/>
    <w:rsid w:val="004C7FF8"/>
    <w:rsid w:val="004D4411"/>
    <w:rsid w:val="004E09B3"/>
    <w:rsid w:val="004F56CA"/>
    <w:rsid w:val="004F640B"/>
    <w:rsid w:val="00500AD9"/>
    <w:rsid w:val="00503C40"/>
    <w:rsid w:val="00503EA7"/>
    <w:rsid w:val="005126E9"/>
    <w:rsid w:val="005135F1"/>
    <w:rsid w:val="005204B5"/>
    <w:rsid w:val="00535227"/>
    <w:rsid w:val="00542750"/>
    <w:rsid w:val="00561B27"/>
    <w:rsid w:val="00561FE6"/>
    <w:rsid w:val="00570FB1"/>
    <w:rsid w:val="00573905"/>
    <w:rsid w:val="00577252"/>
    <w:rsid w:val="00595088"/>
    <w:rsid w:val="0059725E"/>
    <w:rsid w:val="005B56ED"/>
    <w:rsid w:val="005C01DB"/>
    <w:rsid w:val="005D71E5"/>
    <w:rsid w:val="0060227D"/>
    <w:rsid w:val="006031FB"/>
    <w:rsid w:val="00607358"/>
    <w:rsid w:val="00621467"/>
    <w:rsid w:val="00634AC2"/>
    <w:rsid w:val="0063793E"/>
    <w:rsid w:val="00645ACC"/>
    <w:rsid w:val="006814CC"/>
    <w:rsid w:val="006A1446"/>
    <w:rsid w:val="006A162B"/>
    <w:rsid w:val="006D221A"/>
    <w:rsid w:val="006D42F0"/>
    <w:rsid w:val="006D5E1C"/>
    <w:rsid w:val="006E309B"/>
    <w:rsid w:val="006E7D09"/>
    <w:rsid w:val="006F67A2"/>
    <w:rsid w:val="00727D09"/>
    <w:rsid w:val="00731511"/>
    <w:rsid w:val="0073291A"/>
    <w:rsid w:val="007508AB"/>
    <w:rsid w:val="00751B37"/>
    <w:rsid w:val="00760572"/>
    <w:rsid w:val="0076503A"/>
    <w:rsid w:val="0077781F"/>
    <w:rsid w:val="00792751"/>
    <w:rsid w:val="00793677"/>
    <w:rsid w:val="007A39E0"/>
    <w:rsid w:val="007B3072"/>
    <w:rsid w:val="007C6717"/>
    <w:rsid w:val="007D2FD3"/>
    <w:rsid w:val="007D6CFF"/>
    <w:rsid w:val="007F0F1D"/>
    <w:rsid w:val="00814FA6"/>
    <w:rsid w:val="00830C28"/>
    <w:rsid w:val="00875113"/>
    <w:rsid w:val="008A2DA6"/>
    <w:rsid w:val="008D1777"/>
    <w:rsid w:val="008F695C"/>
    <w:rsid w:val="00902FB6"/>
    <w:rsid w:val="00914535"/>
    <w:rsid w:val="009434E5"/>
    <w:rsid w:val="00961FB2"/>
    <w:rsid w:val="00962F4D"/>
    <w:rsid w:val="009804D4"/>
    <w:rsid w:val="009835F4"/>
    <w:rsid w:val="009858C6"/>
    <w:rsid w:val="009940A8"/>
    <w:rsid w:val="00995139"/>
    <w:rsid w:val="009B5C25"/>
    <w:rsid w:val="009C1E08"/>
    <w:rsid w:val="009F1E43"/>
    <w:rsid w:val="00A10370"/>
    <w:rsid w:val="00A40CBD"/>
    <w:rsid w:val="00A44626"/>
    <w:rsid w:val="00A958D0"/>
    <w:rsid w:val="00AA7F3D"/>
    <w:rsid w:val="00AD529B"/>
    <w:rsid w:val="00AD632F"/>
    <w:rsid w:val="00AF648F"/>
    <w:rsid w:val="00B2506B"/>
    <w:rsid w:val="00B4290B"/>
    <w:rsid w:val="00B507BA"/>
    <w:rsid w:val="00B52617"/>
    <w:rsid w:val="00B60B99"/>
    <w:rsid w:val="00B731FE"/>
    <w:rsid w:val="00BA72C2"/>
    <w:rsid w:val="00BA7BFF"/>
    <w:rsid w:val="00BB55F5"/>
    <w:rsid w:val="00BB69C4"/>
    <w:rsid w:val="00BE3EB1"/>
    <w:rsid w:val="00C028AE"/>
    <w:rsid w:val="00C24C19"/>
    <w:rsid w:val="00C26F9C"/>
    <w:rsid w:val="00C329F9"/>
    <w:rsid w:val="00C529F0"/>
    <w:rsid w:val="00C539D1"/>
    <w:rsid w:val="00C81082"/>
    <w:rsid w:val="00C96A83"/>
    <w:rsid w:val="00CA15E3"/>
    <w:rsid w:val="00CA7A50"/>
    <w:rsid w:val="00CB5FC9"/>
    <w:rsid w:val="00CB6217"/>
    <w:rsid w:val="00CC3564"/>
    <w:rsid w:val="00CF1B07"/>
    <w:rsid w:val="00CF27C9"/>
    <w:rsid w:val="00CF64A3"/>
    <w:rsid w:val="00D254E0"/>
    <w:rsid w:val="00D41540"/>
    <w:rsid w:val="00D450E9"/>
    <w:rsid w:val="00D46AE9"/>
    <w:rsid w:val="00D62505"/>
    <w:rsid w:val="00D84B0D"/>
    <w:rsid w:val="00D8777E"/>
    <w:rsid w:val="00D90534"/>
    <w:rsid w:val="00D97203"/>
    <w:rsid w:val="00DB17A7"/>
    <w:rsid w:val="00DB22C8"/>
    <w:rsid w:val="00DB68FD"/>
    <w:rsid w:val="00DC66AC"/>
    <w:rsid w:val="00DD04ED"/>
    <w:rsid w:val="00DD5214"/>
    <w:rsid w:val="00E117A2"/>
    <w:rsid w:val="00E13086"/>
    <w:rsid w:val="00E16943"/>
    <w:rsid w:val="00E21127"/>
    <w:rsid w:val="00E30E06"/>
    <w:rsid w:val="00E77C3D"/>
    <w:rsid w:val="00EC1339"/>
    <w:rsid w:val="00EF0DD2"/>
    <w:rsid w:val="00F275D5"/>
    <w:rsid w:val="00F3103B"/>
    <w:rsid w:val="00F5401B"/>
    <w:rsid w:val="00FB7CFF"/>
    <w:rsid w:val="00FC528A"/>
    <w:rsid w:val="00FF5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A53DB"/>
  <w15:docId w15:val="{0650EA7E-0742-4922-80FD-6082F34F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FD1A55"/>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B4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4455">
      <w:bodyDiv w:val="1"/>
      <w:marLeft w:val="0"/>
      <w:marRight w:val="0"/>
      <w:marTop w:val="0"/>
      <w:marBottom w:val="0"/>
      <w:divBdr>
        <w:top w:val="none" w:sz="0" w:space="0" w:color="auto"/>
        <w:left w:val="none" w:sz="0" w:space="0" w:color="auto"/>
        <w:bottom w:val="none" w:sz="0" w:space="0" w:color="auto"/>
        <w:right w:val="none" w:sz="0" w:space="0" w:color="auto"/>
      </w:divBdr>
    </w:div>
    <w:div w:id="983044767">
      <w:bodyDiv w:val="1"/>
      <w:marLeft w:val="0"/>
      <w:marRight w:val="0"/>
      <w:marTop w:val="0"/>
      <w:marBottom w:val="0"/>
      <w:divBdr>
        <w:top w:val="none" w:sz="0" w:space="0" w:color="auto"/>
        <w:left w:val="none" w:sz="0" w:space="0" w:color="auto"/>
        <w:bottom w:val="none" w:sz="0" w:space="0" w:color="auto"/>
        <w:right w:val="none" w:sz="0" w:space="0" w:color="auto"/>
      </w:divBdr>
    </w:div>
    <w:div w:id="1015614578">
      <w:bodyDiv w:val="1"/>
      <w:marLeft w:val="0"/>
      <w:marRight w:val="0"/>
      <w:marTop w:val="0"/>
      <w:marBottom w:val="0"/>
      <w:divBdr>
        <w:top w:val="none" w:sz="0" w:space="0" w:color="auto"/>
        <w:left w:val="none" w:sz="0" w:space="0" w:color="auto"/>
        <w:bottom w:val="none" w:sz="0" w:space="0" w:color="auto"/>
        <w:right w:val="none" w:sz="0" w:space="0" w:color="auto"/>
      </w:divBdr>
    </w:div>
    <w:div w:id="1171485184">
      <w:bodyDiv w:val="1"/>
      <w:marLeft w:val="0"/>
      <w:marRight w:val="0"/>
      <w:marTop w:val="0"/>
      <w:marBottom w:val="0"/>
      <w:divBdr>
        <w:top w:val="none" w:sz="0" w:space="0" w:color="auto"/>
        <w:left w:val="none" w:sz="0" w:space="0" w:color="auto"/>
        <w:bottom w:val="none" w:sz="0" w:space="0" w:color="auto"/>
        <w:right w:val="none" w:sz="0" w:space="0" w:color="auto"/>
      </w:divBdr>
    </w:div>
    <w:div w:id="1219708383">
      <w:bodyDiv w:val="1"/>
      <w:marLeft w:val="0"/>
      <w:marRight w:val="0"/>
      <w:marTop w:val="0"/>
      <w:marBottom w:val="0"/>
      <w:divBdr>
        <w:top w:val="none" w:sz="0" w:space="0" w:color="auto"/>
        <w:left w:val="none" w:sz="0" w:space="0" w:color="auto"/>
        <w:bottom w:val="none" w:sz="0" w:space="0" w:color="auto"/>
        <w:right w:val="none" w:sz="0" w:space="0" w:color="auto"/>
      </w:divBdr>
    </w:div>
    <w:div w:id="1290161672">
      <w:bodyDiv w:val="1"/>
      <w:marLeft w:val="0"/>
      <w:marRight w:val="0"/>
      <w:marTop w:val="0"/>
      <w:marBottom w:val="0"/>
      <w:divBdr>
        <w:top w:val="none" w:sz="0" w:space="0" w:color="auto"/>
        <w:left w:val="none" w:sz="0" w:space="0" w:color="auto"/>
        <w:bottom w:val="none" w:sz="0" w:space="0" w:color="auto"/>
        <w:right w:val="none" w:sz="0" w:space="0" w:color="auto"/>
      </w:divBdr>
    </w:div>
    <w:div w:id="1421219702">
      <w:bodyDiv w:val="1"/>
      <w:marLeft w:val="0"/>
      <w:marRight w:val="0"/>
      <w:marTop w:val="0"/>
      <w:marBottom w:val="0"/>
      <w:divBdr>
        <w:top w:val="none" w:sz="0" w:space="0" w:color="auto"/>
        <w:left w:val="none" w:sz="0" w:space="0" w:color="auto"/>
        <w:bottom w:val="none" w:sz="0" w:space="0" w:color="auto"/>
        <w:right w:val="none" w:sz="0" w:space="0" w:color="auto"/>
      </w:divBdr>
    </w:div>
    <w:div w:id="1484732238">
      <w:bodyDiv w:val="1"/>
      <w:marLeft w:val="0"/>
      <w:marRight w:val="0"/>
      <w:marTop w:val="0"/>
      <w:marBottom w:val="0"/>
      <w:divBdr>
        <w:top w:val="none" w:sz="0" w:space="0" w:color="auto"/>
        <w:left w:val="none" w:sz="0" w:space="0" w:color="auto"/>
        <w:bottom w:val="none" w:sz="0" w:space="0" w:color="auto"/>
        <w:right w:val="none" w:sz="0" w:space="0" w:color="auto"/>
      </w:divBdr>
    </w:div>
    <w:div w:id="1552838304">
      <w:bodyDiv w:val="1"/>
      <w:marLeft w:val="0"/>
      <w:marRight w:val="0"/>
      <w:marTop w:val="0"/>
      <w:marBottom w:val="0"/>
      <w:divBdr>
        <w:top w:val="none" w:sz="0" w:space="0" w:color="auto"/>
        <w:left w:val="none" w:sz="0" w:space="0" w:color="auto"/>
        <w:bottom w:val="none" w:sz="0" w:space="0" w:color="auto"/>
        <w:right w:val="none" w:sz="0" w:space="0" w:color="auto"/>
      </w:divBdr>
    </w:div>
    <w:div w:id="1786342983">
      <w:bodyDiv w:val="1"/>
      <w:marLeft w:val="0"/>
      <w:marRight w:val="0"/>
      <w:marTop w:val="0"/>
      <w:marBottom w:val="0"/>
      <w:divBdr>
        <w:top w:val="none" w:sz="0" w:space="0" w:color="auto"/>
        <w:left w:val="none" w:sz="0" w:space="0" w:color="auto"/>
        <w:bottom w:val="none" w:sz="0" w:space="0" w:color="auto"/>
        <w:right w:val="none" w:sz="0" w:space="0" w:color="auto"/>
      </w:divBdr>
    </w:div>
    <w:div w:id="1831095663">
      <w:bodyDiv w:val="1"/>
      <w:marLeft w:val="0"/>
      <w:marRight w:val="0"/>
      <w:marTop w:val="0"/>
      <w:marBottom w:val="0"/>
      <w:divBdr>
        <w:top w:val="none" w:sz="0" w:space="0" w:color="auto"/>
        <w:left w:val="none" w:sz="0" w:space="0" w:color="auto"/>
        <w:bottom w:val="none" w:sz="0" w:space="0" w:color="auto"/>
        <w:right w:val="none" w:sz="0" w:space="0" w:color="auto"/>
      </w:divBdr>
    </w:div>
    <w:div w:id="1849900987">
      <w:bodyDiv w:val="1"/>
      <w:marLeft w:val="0"/>
      <w:marRight w:val="0"/>
      <w:marTop w:val="0"/>
      <w:marBottom w:val="0"/>
      <w:divBdr>
        <w:top w:val="none" w:sz="0" w:space="0" w:color="auto"/>
        <w:left w:val="none" w:sz="0" w:space="0" w:color="auto"/>
        <w:bottom w:val="none" w:sz="0" w:space="0" w:color="auto"/>
        <w:right w:val="none" w:sz="0" w:space="0" w:color="auto"/>
      </w:divBdr>
    </w:div>
    <w:div w:id="1955282915">
      <w:bodyDiv w:val="1"/>
      <w:marLeft w:val="0"/>
      <w:marRight w:val="0"/>
      <w:marTop w:val="0"/>
      <w:marBottom w:val="0"/>
      <w:divBdr>
        <w:top w:val="none" w:sz="0" w:space="0" w:color="auto"/>
        <w:left w:val="none" w:sz="0" w:space="0" w:color="auto"/>
        <w:bottom w:val="none" w:sz="0" w:space="0" w:color="auto"/>
        <w:right w:val="none" w:sz="0" w:space="0" w:color="auto"/>
      </w:divBdr>
    </w:div>
    <w:div w:id="1964769537">
      <w:bodyDiv w:val="1"/>
      <w:marLeft w:val="0"/>
      <w:marRight w:val="0"/>
      <w:marTop w:val="0"/>
      <w:marBottom w:val="0"/>
      <w:divBdr>
        <w:top w:val="none" w:sz="0" w:space="0" w:color="auto"/>
        <w:left w:val="none" w:sz="0" w:space="0" w:color="auto"/>
        <w:bottom w:val="none" w:sz="0" w:space="0" w:color="auto"/>
        <w:right w:val="none" w:sz="0" w:space="0" w:color="auto"/>
      </w:divBdr>
    </w:div>
    <w:div w:id="2001274358">
      <w:bodyDiv w:val="1"/>
      <w:marLeft w:val="0"/>
      <w:marRight w:val="0"/>
      <w:marTop w:val="0"/>
      <w:marBottom w:val="0"/>
      <w:divBdr>
        <w:top w:val="none" w:sz="0" w:space="0" w:color="auto"/>
        <w:left w:val="none" w:sz="0" w:space="0" w:color="auto"/>
        <w:bottom w:val="none" w:sz="0" w:space="0" w:color="auto"/>
        <w:right w:val="none" w:sz="0" w:space="0" w:color="auto"/>
      </w:divBdr>
    </w:div>
    <w:div w:id="204394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yp2eh7yw8OjkxNKHfR4my2vgsA==">CgMxLjAyCWguMWZvYjl0ZTIIaC5namRneHMyCWguM2R5NnZrbTIJaC4zMGowemxsMgloLjJzOGV5bzEyCGgudHlqY3d0MgloLjN6bnlzaDcyCWguMmV0OTJwMDIIaC5sbnhiejkyCWguMzVua3VuMjIJaC4xN2RwOHZ1Mg5oLmlqdjk4cG50Y2Q1czIJaC4yNmluMXJnMgloLjRkMzRvZzgyCWguM3JkY3JqbjIJaC4xdDNoNXNmOAByITFSb2dwS0piY0UxaEpveVlOQldQdTlPcU1YbGZpeFNvOA==</go:docsCustomData>
</go:gDocsCustomXmlDataStorage>
</file>

<file path=customXml/itemProps1.xml><?xml version="1.0" encoding="utf-8"?>
<ds:datastoreItem xmlns:ds="http://schemas.openxmlformats.org/officeDocument/2006/customXml" ds:itemID="{B96510B5-C3A5-4033-BC2B-4AEA1C9781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4776</Words>
  <Characters>26268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2024-10-25T21:17:00Z</cp:lastPrinted>
  <dcterms:created xsi:type="dcterms:W3CDTF">2024-11-21T19:29:00Z</dcterms:created>
  <dcterms:modified xsi:type="dcterms:W3CDTF">2024-11-21T19:29:00Z</dcterms:modified>
</cp:coreProperties>
</file>