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4BB" w:rsidRPr="00E558CB" w:rsidRDefault="003D64BB" w:rsidP="003D64BB">
      <w:pPr>
        <w:spacing w:line="360" w:lineRule="auto"/>
        <w:rPr>
          <w:rFonts w:ascii="Palatino Linotype" w:hAnsi="Palatino Linotype"/>
        </w:rPr>
      </w:pPr>
      <w:r w:rsidRPr="00E558CB">
        <w:rPr>
          <w:rFonts w:ascii="Palatino Linotype" w:hAnsi="Palatino Linotype"/>
        </w:rPr>
        <w:t>Resolución del Pleno del Instituto de Transparencia, Acceso a la Información Pública y Protección de Datos Personales del Estado de México y Municipios, con domicilio en Metepec, Estado de México, de tres de octubre de dos mil veinticuatro.</w:t>
      </w:r>
    </w:p>
    <w:p w:rsidR="003D64BB" w:rsidRPr="00E558CB" w:rsidRDefault="003D64BB" w:rsidP="003D64BB">
      <w:pPr>
        <w:spacing w:line="360" w:lineRule="auto"/>
        <w:jc w:val="both"/>
        <w:rPr>
          <w:rFonts w:ascii="Palatino Linotype" w:hAnsi="Palatino Linotype"/>
        </w:rPr>
      </w:pPr>
    </w:p>
    <w:p w:rsidR="003D64BB" w:rsidRPr="00E558CB" w:rsidRDefault="003D64BB" w:rsidP="003D64BB">
      <w:pPr>
        <w:tabs>
          <w:tab w:val="left" w:pos="1701"/>
        </w:tabs>
        <w:spacing w:line="360" w:lineRule="auto"/>
        <w:jc w:val="both"/>
        <w:rPr>
          <w:rFonts w:ascii="Palatino Linotype" w:eastAsiaTheme="minorHAnsi" w:hAnsi="Palatino Linotype" w:cs="Arial"/>
          <w:b/>
          <w:lang w:val="es-MX" w:eastAsia="en-US"/>
        </w:rPr>
      </w:pPr>
      <w:r w:rsidRPr="00E558CB">
        <w:rPr>
          <w:rFonts w:ascii="Palatino Linotype" w:hAnsi="Palatino Linotype"/>
          <w:b/>
        </w:rPr>
        <w:t>VISTO</w:t>
      </w:r>
      <w:r w:rsidRPr="00E558CB">
        <w:rPr>
          <w:rFonts w:ascii="Palatino Linotype" w:hAnsi="Palatino Linotype"/>
        </w:rPr>
        <w:t xml:space="preserve"> el expediente formado con motivo del recurso de revisión </w:t>
      </w:r>
      <w:r w:rsidR="001E5772" w:rsidRPr="00E558CB">
        <w:rPr>
          <w:rFonts w:ascii="Palatino Linotype" w:hAnsi="Palatino Linotype"/>
          <w:b/>
        </w:rPr>
        <w:t>0</w:t>
      </w:r>
      <w:r w:rsidRPr="00E558CB">
        <w:rPr>
          <w:rFonts w:ascii="Palatino Linotype" w:hAnsi="Palatino Linotype"/>
          <w:b/>
        </w:rPr>
        <w:t xml:space="preserve">5160/INFOEM/IP/RR/2024, </w:t>
      </w:r>
      <w:r w:rsidRPr="00E558CB">
        <w:rPr>
          <w:rFonts w:ascii="Palatino Linotype" w:eastAsiaTheme="minorHAnsi" w:hAnsi="Palatino Linotype" w:cs="Arial"/>
          <w:lang w:val="es-MX" w:eastAsia="en-US"/>
        </w:rPr>
        <w:t xml:space="preserve">interpuesto por </w:t>
      </w:r>
      <w:r w:rsidR="00E25232" w:rsidRPr="00E558CB">
        <w:rPr>
          <w:rFonts w:ascii="Palatino Linotype" w:hAnsi="Palatino Linotype"/>
          <w:b/>
        </w:rPr>
        <w:t>XXXXXXXXXXXXXXXXXXXXXXXXXX</w:t>
      </w:r>
      <w:r w:rsidRPr="00E558CB">
        <w:rPr>
          <w:rFonts w:ascii="Palatino Linotype" w:eastAsiaTheme="minorHAnsi" w:hAnsi="Palatino Linotype"/>
        </w:rPr>
        <w:t>,</w:t>
      </w:r>
      <w:r w:rsidRPr="00E558CB">
        <w:rPr>
          <w:rFonts w:ascii="Palatino Linotype" w:eastAsiaTheme="minorHAnsi" w:hAnsi="Palatino Linotype" w:cs="Arial"/>
          <w:lang w:val="es-MX" w:eastAsia="en-US"/>
        </w:rPr>
        <w:t xml:space="preserve"> en lo sucesivo </w:t>
      </w:r>
      <w:r w:rsidRPr="00E558CB">
        <w:rPr>
          <w:rFonts w:ascii="Palatino Linotype" w:eastAsiaTheme="minorHAnsi" w:hAnsi="Palatino Linotype" w:cs="Arial"/>
          <w:b/>
          <w:lang w:val="es-MX" w:eastAsia="en-US"/>
        </w:rPr>
        <w:t>la parte Recurrente</w:t>
      </w:r>
      <w:r w:rsidRPr="00E558CB">
        <w:rPr>
          <w:rFonts w:ascii="Palatino Linotype" w:eastAsiaTheme="minorHAnsi" w:hAnsi="Palatino Linotype" w:cs="Arial"/>
          <w:lang w:val="es-MX" w:eastAsia="en-US"/>
        </w:rPr>
        <w:t xml:space="preserve">, en contra de la respuesta del </w:t>
      </w:r>
      <w:r w:rsidRPr="00E558CB">
        <w:rPr>
          <w:rFonts w:ascii="Palatino Linotype" w:hAnsi="Palatino Linotype"/>
          <w:b/>
        </w:rPr>
        <w:t>Procuraduría de Protección al Ambiente del Estado de México</w:t>
      </w:r>
      <w:r w:rsidRPr="00E558CB">
        <w:rPr>
          <w:rFonts w:ascii="Palatino Linotype" w:eastAsiaTheme="minorHAnsi" w:hAnsi="Palatino Linotype" w:cs="Arial"/>
          <w:b/>
          <w:lang w:val="es-MX" w:eastAsia="en-US"/>
        </w:rPr>
        <w:t xml:space="preserve">, </w:t>
      </w:r>
      <w:r w:rsidRPr="00E558CB">
        <w:rPr>
          <w:rFonts w:ascii="Palatino Linotype" w:eastAsiaTheme="minorHAnsi" w:hAnsi="Palatino Linotype" w:cs="Arial"/>
          <w:lang w:val="es-MX" w:eastAsia="en-US"/>
        </w:rPr>
        <w:t>en lo subsecuente</w:t>
      </w:r>
      <w:r w:rsidRPr="00E558CB">
        <w:rPr>
          <w:rFonts w:ascii="Palatino Linotype" w:eastAsiaTheme="minorHAnsi" w:hAnsi="Palatino Linotype" w:cs="Arial"/>
          <w:b/>
          <w:lang w:val="es-MX" w:eastAsia="en-US"/>
        </w:rPr>
        <w:t xml:space="preserve"> el Sujeto Obligado, </w:t>
      </w:r>
      <w:r w:rsidRPr="00E558CB">
        <w:rPr>
          <w:rFonts w:ascii="Palatino Linotype" w:eastAsiaTheme="minorHAnsi" w:hAnsi="Palatino Linotype" w:cs="Arial"/>
          <w:lang w:val="es-MX" w:eastAsia="en-US"/>
        </w:rPr>
        <w:t>se procede a dictar la presente resolución.</w:t>
      </w:r>
    </w:p>
    <w:p w:rsidR="003D64BB" w:rsidRPr="00E558CB" w:rsidRDefault="003D64BB" w:rsidP="003D64BB">
      <w:pPr>
        <w:spacing w:line="360" w:lineRule="auto"/>
        <w:jc w:val="both"/>
        <w:rPr>
          <w:rFonts w:ascii="Palatino Linotype" w:hAnsi="Palatino Linotype"/>
          <w:b/>
          <w:bCs/>
          <w:spacing w:val="60"/>
          <w:lang w:val="es-ES_tradnl"/>
        </w:rPr>
      </w:pPr>
    </w:p>
    <w:p w:rsidR="003D64BB" w:rsidRPr="00E558CB" w:rsidRDefault="003D64BB" w:rsidP="003D64BB">
      <w:pPr>
        <w:spacing w:line="360" w:lineRule="auto"/>
        <w:jc w:val="center"/>
        <w:rPr>
          <w:rFonts w:ascii="Palatino Linotype" w:hAnsi="Palatino Linotype"/>
          <w:b/>
          <w:bCs/>
          <w:spacing w:val="60"/>
          <w:sz w:val="28"/>
          <w:lang w:val="es-ES_tradnl"/>
        </w:rPr>
      </w:pPr>
      <w:r w:rsidRPr="00E558CB">
        <w:rPr>
          <w:rFonts w:ascii="Palatino Linotype" w:hAnsi="Palatino Linotype"/>
          <w:b/>
          <w:bCs/>
          <w:spacing w:val="60"/>
          <w:sz w:val="28"/>
          <w:lang w:val="es-ES_tradnl"/>
        </w:rPr>
        <w:t>RESULTANDO</w:t>
      </w:r>
    </w:p>
    <w:p w:rsidR="003D64BB" w:rsidRPr="00E558CB" w:rsidRDefault="003D64BB" w:rsidP="003D64BB">
      <w:pPr>
        <w:spacing w:line="360" w:lineRule="auto"/>
        <w:jc w:val="center"/>
        <w:rPr>
          <w:rFonts w:ascii="Palatino Linotype" w:hAnsi="Palatino Linotype"/>
          <w:b/>
          <w:bCs/>
          <w:spacing w:val="60"/>
          <w:lang w:val="es-ES_tradnl"/>
        </w:rPr>
      </w:pPr>
    </w:p>
    <w:p w:rsidR="003D64BB" w:rsidRPr="00E558CB" w:rsidRDefault="003D64BB" w:rsidP="003D64BB">
      <w:pPr>
        <w:spacing w:line="360" w:lineRule="auto"/>
        <w:jc w:val="both"/>
        <w:rPr>
          <w:rFonts w:ascii="Palatino Linotype" w:hAnsi="Palatino Linotype"/>
          <w:b/>
          <w:sz w:val="28"/>
          <w:szCs w:val="28"/>
        </w:rPr>
      </w:pPr>
      <w:r w:rsidRPr="00E558CB">
        <w:rPr>
          <w:rFonts w:ascii="Palatino Linotype" w:hAnsi="Palatino Linotype"/>
          <w:b/>
          <w:sz w:val="28"/>
          <w:szCs w:val="28"/>
        </w:rPr>
        <w:t>PRIMERO. De la Solicitud de Información.</w:t>
      </w:r>
    </w:p>
    <w:p w:rsidR="003D64BB" w:rsidRPr="00E558CB" w:rsidRDefault="003D64BB" w:rsidP="003D64BB">
      <w:pPr>
        <w:spacing w:line="360" w:lineRule="auto"/>
        <w:jc w:val="both"/>
        <w:rPr>
          <w:rFonts w:ascii="Palatino Linotype" w:hAnsi="Palatino Linotype"/>
        </w:rPr>
      </w:pPr>
      <w:r w:rsidRPr="00E558CB">
        <w:rPr>
          <w:rFonts w:ascii="Palatino Linotype" w:hAnsi="Palatino Linotype"/>
        </w:rPr>
        <w:t>En fecha siete de agosto de dos mil veinticuatro, el</w:t>
      </w:r>
      <w:r w:rsidRPr="00E558CB">
        <w:rPr>
          <w:rFonts w:ascii="Palatino Linotype" w:hAnsi="Palatino Linotype"/>
          <w:b/>
        </w:rPr>
        <w:t xml:space="preserve"> Recurrente</w:t>
      </w:r>
      <w:r w:rsidRPr="00E558CB">
        <w:rPr>
          <w:rFonts w:ascii="Palatino Linotype" w:hAnsi="Palatino Linotype"/>
        </w:rPr>
        <w:t xml:space="preserve"> presentó a través de la Plataforma Nacional de Transparencia (PNT), misma que está vinculada con el Sistema de Acceso a la Información Mexiquense (</w:t>
      </w:r>
      <w:r w:rsidRPr="00E558CB">
        <w:rPr>
          <w:rFonts w:ascii="Palatino Linotype" w:hAnsi="Palatino Linotype"/>
          <w:b/>
        </w:rPr>
        <w:t>SAIMEX)</w:t>
      </w:r>
      <w:r w:rsidRPr="00E558CB">
        <w:rPr>
          <w:rFonts w:ascii="Palatino Linotype" w:hAnsi="Palatino Linotype"/>
        </w:rPr>
        <w:t>, ante el</w:t>
      </w:r>
      <w:r w:rsidRPr="00E558CB">
        <w:rPr>
          <w:rFonts w:ascii="Palatino Linotype" w:hAnsi="Palatino Linotype"/>
          <w:b/>
        </w:rPr>
        <w:t xml:space="preserve"> Sujeto Obligado</w:t>
      </w:r>
      <w:r w:rsidRPr="00E558CB">
        <w:rPr>
          <w:rFonts w:ascii="Palatino Linotype" w:hAnsi="Palatino Linotype"/>
        </w:rPr>
        <w:t xml:space="preserve">, solicitud de acceso a la información pública, a la que se les asignó el número de expediente </w:t>
      </w:r>
      <w:r w:rsidRPr="00E558CB">
        <w:rPr>
          <w:rFonts w:ascii="Palatino Linotype" w:hAnsi="Palatino Linotype"/>
          <w:b/>
          <w:bCs/>
        </w:rPr>
        <w:t xml:space="preserve">00107/PROPAEM/IP/2024, </w:t>
      </w:r>
      <w:r w:rsidRPr="00E558CB">
        <w:rPr>
          <w:rFonts w:ascii="Palatino Linotype" w:hAnsi="Palatino Linotype"/>
        </w:rPr>
        <w:t>mediante la cual solicitó, lo siguiente:</w:t>
      </w:r>
    </w:p>
    <w:p w:rsidR="003D64BB" w:rsidRPr="00E558CB" w:rsidRDefault="003D64BB" w:rsidP="003D64BB">
      <w:pPr>
        <w:spacing w:line="360" w:lineRule="auto"/>
        <w:jc w:val="both"/>
        <w:rPr>
          <w:rFonts w:ascii="Palatino Linotype" w:hAnsi="Palatino Linotype" w:cs="Arial"/>
        </w:rPr>
      </w:pPr>
    </w:p>
    <w:p w:rsidR="003D64BB" w:rsidRPr="00E558CB" w:rsidRDefault="003D64BB" w:rsidP="003D64BB">
      <w:pPr>
        <w:spacing w:line="276" w:lineRule="auto"/>
        <w:ind w:left="567" w:right="616"/>
        <w:jc w:val="both"/>
        <w:rPr>
          <w:rFonts w:ascii="Palatino Linotype" w:hAnsi="Palatino Linotype"/>
          <w:bCs/>
          <w:i/>
          <w:sz w:val="22"/>
        </w:rPr>
      </w:pPr>
      <w:r w:rsidRPr="00E558CB">
        <w:rPr>
          <w:rFonts w:ascii="Palatino Linotype" w:hAnsi="Palatino Linotype"/>
          <w:bCs/>
          <w:i/>
          <w:sz w:val="22"/>
        </w:rPr>
        <w:t>“¿El Artículo 46 de la LGEEPA es aplicable en Áreas Naturales protegidas de carácter estatal? (En las áreas naturales protegidas no se pueden realizar obras y trabajos de exploración, explotación y beneficio de los minerales o sustancias, a que se refiere la Ley de Minería. Párrafo adicionado DOF 08-05-2023 Artículo reformado DOF 13-12-1996)” (Sic)</w:t>
      </w:r>
    </w:p>
    <w:p w:rsidR="003D64BB" w:rsidRPr="00E558CB" w:rsidRDefault="003D64BB" w:rsidP="003D64BB">
      <w:pPr>
        <w:spacing w:line="360" w:lineRule="auto"/>
        <w:jc w:val="both"/>
        <w:rPr>
          <w:rFonts w:ascii="Palatino Linotype" w:hAnsi="Palatino Linotype"/>
          <w:szCs w:val="28"/>
          <w:lang w:val="es-MX"/>
        </w:rPr>
      </w:pPr>
    </w:p>
    <w:p w:rsidR="003D64BB" w:rsidRPr="00E558CB" w:rsidRDefault="003D64BB" w:rsidP="003D64BB">
      <w:pPr>
        <w:spacing w:line="360" w:lineRule="auto"/>
        <w:jc w:val="both"/>
        <w:rPr>
          <w:rFonts w:ascii="Palatino Linotype" w:hAnsi="Palatino Linotype"/>
          <w:szCs w:val="28"/>
          <w:lang w:val="es-MX"/>
        </w:rPr>
      </w:pPr>
      <w:r w:rsidRPr="00E558CB">
        <w:rPr>
          <w:rFonts w:ascii="Palatino Linotype" w:hAnsi="Palatino Linotype"/>
          <w:szCs w:val="28"/>
          <w:lang w:val="es-MX"/>
        </w:rPr>
        <w:t>Modalidad de entrega:</w:t>
      </w:r>
      <w:r w:rsidRPr="00E558CB">
        <w:rPr>
          <w:rFonts w:ascii="Palatino Linotype" w:hAnsi="Palatino Linotype"/>
          <w:b/>
          <w:i/>
          <w:szCs w:val="28"/>
          <w:lang w:val="es-MX"/>
        </w:rPr>
        <w:t xml:space="preserve"> a través del SAIMEX</w:t>
      </w:r>
      <w:r w:rsidR="002C749C" w:rsidRPr="00E558CB">
        <w:rPr>
          <w:rFonts w:ascii="Palatino Linotype" w:hAnsi="Palatino Linotype"/>
          <w:b/>
          <w:i/>
          <w:szCs w:val="28"/>
          <w:lang w:val="es-MX"/>
        </w:rPr>
        <w:t xml:space="preserve"> y correo electrónico</w:t>
      </w:r>
      <w:r w:rsidRPr="00E558CB">
        <w:rPr>
          <w:rFonts w:ascii="Palatino Linotype" w:hAnsi="Palatino Linotype"/>
          <w:b/>
          <w:i/>
          <w:szCs w:val="28"/>
          <w:lang w:val="es-MX"/>
        </w:rPr>
        <w:t xml:space="preserve"> </w:t>
      </w:r>
    </w:p>
    <w:p w:rsidR="003D64BB" w:rsidRPr="00E558CB" w:rsidRDefault="003D64BB" w:rsidP="003D64BB">
      <w:pPr>
        <w:spacing w:line="360" w:lineRule="auto"/>
        <w:jc w:val="both"/>
        <w:rPr>
          <w:rFonts w:ascii="Palatino Linotype" w:hAnsi="Palatino Linotype"/>
          <w:b/>
          <w:sz w:val="28"/>
          <w:szCs w:val="28"/>
          <w:lang w:val="es-MX"/>
        </w:rPr>
      </w:pPr>
    </w:p>
    <w:p w:rsidR="003D64BB" w:rsidRPr="00E558CB" w:rsidRDefault="003D64BB" w:rsidP="003D64BB">
      <w:pPr>
        <w:spacing w:line="360" w:lineRule="auto"/>
        <w:jc w:val="both"/>
        <w:rPr>
          <w:rFonts w:ascii="Palatino Linotype" w:hAnsi="Palatino Linotype" w:cs="Arial"/>
          <w:b/>
          <w:sz w:val="28"/>
          <w:szCs w:val="20"/>
        </w:rPr>
      </w:pPr>
      <w:r w:rsidRPr="00E558CB">
        <w:rPr>
          <w:rFonts w:ascii="Palatino Linotype" w:hAnsi="Palatino Linotype"/>
          <w:b/>
          <w:sz w:val="28"/>
          <w:szCs w:val="28"/>
          <w:lang w:val="es-MX"/>
        </w:rPr>
        <w:t>SEGUNDO.</w:t>
      </w:r>
      <w:r w:rsidRPr="00E558CB">
        <w:rPr>
          <w:rFonts w:ascii="Palatino Linotype" w:hAnsi="Palatino Linotype"/>
          <w:sz w:val="28"/>
          <w:szCs w:val="28"/>
          <w:lang w:val="es-MX"/>
        </w:rPr>
        <w:t xml:space="preserve"> </w:t>
      </w:r>
      <w:r w:rsidRPr="00E558CB">
        <w:rPr>
          <w:rFonts w:ascii="Palatino Linotype" w:hAnsi="Palatino Linotype" w:cs="Arial"/>
          <w:b/>
          <w:sz w:val="28"/>
          <w:szCs w:val="20"/>
        </w:rPr>
        <w:t>De la respuesta del Sujeto Obligado.</w:t>
      </w:r>
    </w:p>
    <w:p w:rsidR="003D64BB" w:rsidRPr="00E558CB" w:rsidRDefault="003D64BB" w:rsidP="003D64BB">
      <w:pPr>
        <w:spacing w:line="360" w:lineRule="auto"/>
        <w:jc w:val="both"/>
        <w:rPr>
          <w:rFonts w:ascii="Palatino Linotype" w:hAnsi="Palatino Linotype"/>
        </w:rPr>
      </w:pPr>
      <w:r w:rsidRPr="00E558CB">
        <w:rPr>
          <w:rFonts w:ascii="Palatino Linotype" w:hAnsi="Palatino Linotype"/>
        </w:rPr>
        <w:t xml:space="preserve">Como se advierte de las constancias del expediente electrónico, en fecha </w:t>
      </w:r>
      <w:r w:rsidR="00976BAE" w:rsidRPr="00E558CB">
        <w:rPr>
          <w:rFonts w:ascii="Palatino Linotype" w:hAnsi="Palatino Linotype"/>
        </w:rPr>
        <w:t>ocho de agosto</w:t>
      </w:r>
      <w:r w:rsidRPr="00E558CB">
        <w:rPr>
          <w:rFonts w:ascii="Palatino Linotype" w:hAnsi="Palatino Linotype"/>
        </w:rPr>
        <w:t xml:space="preserve"> de dos mil veinticuatro, el </w:t>
      </w:r>
      <w:r w:rsidRPr="00E558CB">
        <w:rPr>
          <w:rFonts w:ascii="Palatino Linotype" w:hAnsi="Palatino Linotype"/>
          <w:b/>
        </w:rPr>
        <w:t>Sujeto Obligado</w:t>
      </w:r>
      <w:r w:rsidRPr="00E558CB">
        <w:rPr>
          <w:rFonts w:ascii="Palatino Linotype" w:hAnsi="Palatino Linotype"/>
        </w:rPr>
        <w:t xml:space="preserve"> hizo entrega al </w:t>
      </w:r>
      <w:r w:rsidRPr="00E558CB">
        <w:rPr>
          <w:rFonts w:ascii="Palatino Linotype" w:hAnsi="Palatino Linotype"/>
          <w:b/>
        </w:rPr>
        <w:t>Recurrente</w:t>
      </w:r>
      <w:r w:rsidRPr="00E558CB">
        <w:rPr>
          <w:rFonts w:ascii="Palatino Linotype" w:hAnsi="Palatino Linotype"/>
        </w:rPr>
        <w:t xml:space="preserve"> de la respuesta emitida a la solicitud de información, en los términos siguientes:</w:t>
      </w:r>
    </w:p>
    <w:p w:rsidR="003D64BB" w:rsidRPr="00E558CB" w:rsidRDefault="003D64BB" w:rsidP="003D64BB">
      <w:pPr>
        <w:spacing w:line="360" w:lineRule="auto"/>
        <w:jc w:val="both"/>
        <w:rPr>
          <w:rFonts w:ascii="Palatino Linotype" w:hAnsi="Palatino Linotype"/>
        </w:rPr>
      </w:pPr>
    </w:p>
    <w:p w:rsidR="003D64BB" w:rsidRPr="00E558CB" w:rsidRDefault="003D64BB" w:rsidP="00976BAE">
      <w:pPr>
        <w:spacing w:line="276" w:lineRule="auto"/>
        <w:ind w:left="567" w:right="616"/>
        <w:jc w:val="both"/>
        <w:rPr>
          <w:rFonts w:ascii="Palatino Linotype" w:hAnsi="Palatino Linotype"/>
          <w:bCs/>
          <w:i/>
          <w:sz w:val="22"/>
        </w:rPr>
      </w:pPr>
      <w:r w:rsidRPr="00E558CB">
        <w:rPr>
          <w:rFonts w:ascii="Palatino Linotype" w:hAnsi="Palatino Linotype"/>
          <w:bCs/>
          <w:i/>
          <w:sz w:val="22"/>
        </w:rPr>
        <w:t>“</w:t>
      </w:r>
      <w:r w:rsidR="00976BAE" w:rsidRPr="00E558CB">
        <w:rPr>
          <w:rFonts w:ascii="Palatino Linotype" w:hAnsi="Palatino Linotype"/>
          <w:bCs/>
          <w:i/>
          <w:sz w:val="22"/>
        </w:rPr>
        <w:t>POR MEDIO DE ESTE CONDUCTO Y CON FUNDAMENTO EN LO DISPUESTO POR EL ARTÍCULO 53 DE LA LEY DE TRANSPARENCIA Y ACCESO A LA INFORMACIÓN PÚBLICA DEL ESTADO DE MÉXICO Y MUNICIPIOS, ME PERMITO REMITIR LA RESPUESTA DE LA SOLICITUD 00107/PROPAEM/IP/2024 NO OMITO MENCIONAR QUE, CUENTA CON UN PLAZO DE QUINCE DÍAS HÁBILES, CONTADOS A PARTIR DE LA FECHA EN QUE SE REALICE LA NOTIFICACIÓN, PARA INTERPONER RECURSO DE REVISIÓN, QUE SE SEÑALA LOS ARTÍCULOS 176, 177 Y 178 DE LA LEY DE TRANSPARENCIA Y ACCESO A LA INFORMACIÓN PÚBLICA DEL ESTADO DE MÉXICO Y MUNICIPIOS. SIN MÁS POR EL MOMENTO, ME DESPIDO DE USTED, REITERANDO ESTAR A SUS ÓRDENES.</w:t>
      </w:r>
      <w:r w:rsidRPr="00E558CB">
        <w:rPr>
          <w:rFonts w:ascii="Palatino Linotype" w:hAnsi="Palatino Linotype"/>
          <w:bCs/>
          <w:i/>
          <w:sz w:val="22"/>
        </w:rPr>
        <w:t>”</w:t>
      </w:r>
    </w:p>
    <w:p w:rsidR="003D64BB" w:rsidRPr="00E558CB" w:rsidRDefault="003D64BB" w:rsidP="003D64BB">
      <w:pPr>
        <w:spacing w:line="360" w:lineRule="auto"/>
        <w:jc w:val="both"/>
        <w:rPr>
          <w:rFonts w:ascii="Palatino Linotype" w:hAnsi="Palatino Linotype" w:cs="Arial"/>
        </w:rPr>
      </w:pPr>
    </w:p>
    <w:p w:rsidR="003D64BB" w:rsidRPr="00E558CB" w:rsidRDefault="003D64BB" w:rsidP="003D64BB">
      <w:pPr>
        <w:spacing w:line="360" w:lineRule="auto"/>
        <w:jc w:val="both"/>
        <w:rPr>
          <w:rFonts w:ascii="Palatino Linotype" w:hAnsi="Palatino Linotype" w:cs="Arial"/>
        </w:rPr>
      </w:pPr>
      <w:r w:rsidRPr="00E558CB">
        <w:rPr>
          <w:rFonts w:ascii="Palatino Linotype" w:hAnsi="Palatino Linotype" w:cs="Arial"/>
        </w:rPr>
        <w:t xml:space="preserve">Adicionalmente, el </w:t>
      </w:r>
      <w:r w:rsidRPr="00E558CB">
        <w:rPr>
          <w:rFonts w:ascii="Palatino Linotype" w:hAnsi="Palatino Linotype" w:cs="Arial"/>
          <w:b/>
        </w:rPr>
        <w:t>Sujeto Obligado</w:t>
      </w:r>
      <w:r w:rsidRPr="00E558CB">
        <w:rPr>
          <w:rFonts w:ascii="Palatino Linotype" w:hAnsi="Palatino Linotype" w:cs="Arial"/>
        </w:rPr>
        <w:t xml:space="preserve"> adjuntó </w:t>
      </w:r>
      <w:bookmarkStart w:id="0" w:name="_Hlk82038214"/>
      <w:r w:rsidRPr="00E558CB">
        <w:rPr>
          <w:rFonts w:ascii="Palatino Linotype" w:hAnsi="Palatino Linotype" w:cs="Arial"/>
        </w:rPr>
        <w:t xml:space="preserve">el archivo electrónico denominado </w:t>
      </w:r>
      <w:bookmarkEnd w:id="0"/>
      <w:r w:rsidRPr="00E558CB">
        <w:rPr>
          <w:rFonts w:ascii="Palatino Linotype" w:hAnsi="Palatino Linotype" w:cs="Arial"/>
          <w:b/>
        </w:rPr>
        <w:t>“</w:t>
      </w:r>
      <w:r w:rsidR="00976BAE" w:rsidRPr="00E558CB">
        <w:rPr>
          <w:rFonts w:ascii="Palatino Linotype" w:hAnsi="Palatino Linotype" w:cs="Arial"/>
          <w:b/>
          <w:i/>
        </w:rPr>
        <w:t>solicitud 107.pdf</w:t>
      </w:r>
      <w:r w:rsidRPr="00E558CB">
        <w:rPr>
          <w:rFonts w:ascii="Palatino Linotype" w:hAnsi="Palatino Linotype" w:cs="Arial"/>
          <w:b/>
          <w:i/>
        </w:rPr>
        <w:t>”</w:t>
      </w:r>
      <w:r w:rsidRPr="00E558CB">
        <w:rPr>
          <w:rFonts w:ascii="Palatino Linotype" w:hAnsi="Palatino Linotype" w:cs="Arial"/>
        </w:rPr>
        <w:t xml:space="preserve">, mismo que no se reproduce por ser del conocimiento de las partes, sin embargo, será materia de estudio en el Considerando respectivo.  </w:t>
      </w:r>
    </w:p>
    <w:p w:rsidR="003D64BB" w:rsidRPr="00E558CB" w:rsidRDefault="003D64BB" w:rsidP="003D64BB">
      <w:pPr>
        <w:spacing w:line="360" w:lineRule="auto"/>
        <w:ind w:right="616"/>
        <w:jc w:val="both"/>
        <w:rPr>
          <w:rFonts w:ascii="Palatino Linotype" w:hAnsi="Palatino Linotype"/>
          <w:bCs/>
        </w:rPr>
      </w:pPr>
    </w:p>
    <w:p w:rsidR="003D64BB" w:rsidRPr="00E558CB" w:rsidRDefault="003D64BB" w:rsidP="003D64BB">
      <w:pPr>
        <w:spacing w:line="360" w:lineRule="auto"/>
        <w:ind w:right="51"/>
        <w:jc w:val="both"/>
        <w:rPr>
          <w:rFonts w:ascii="Palatino Linotype" w:hAnsi="Palatino Linotype"/>
          <w:b/>
          <w:sz w:val="28"/>
        </w:rPr>
      </w:pPr>
      <w:r w:rsidRPr="00E558CB">
        <w:rPr>
          <w:rFonts w:ascii="Palatino Linotype" w:hAnsi="Palatino Linotype" w:cs="Arial"/>
          <w:b/>
          <w:sz w:val="28"/>
          <w:szCs w:val="28"/>
        </w:rPr>
        <w:t>TERCERO.</w:t>
      </w:r>
      <w:r w:rsidRPr="00E558CB">
        <w:rPr>
          <w:rFonts w:ascii="Palatino Linotype" w:hAnsi="Palatino Linotype" w:cs="Arial"/>
          <w:b/>
          <w:sz w:val="28"/>
        </w:rPr>
        <w:t xml:space="preserve"> </w:t>
      </w:r>
      <w:r w:rsidRPr="00E558CB">
        <w:rPr>
          <w:rFonts w:ascii="Palatino Linotype" w:hAnsi="Palatino Linotype"/>
          <w:b/>
          <w:sz w:val="28"/>
        </w:rPr>
        <w:t>Del recurso de revisión.</w:t>
      </w:r>
    </w:p>
    <w:p w:rsidR="003D64BB" w:rsidRPr="00E558CB" w:rsidRDefault="003D64BB" w:rsidP="003D64BB">
      <w:pPr>
        <w:spacing w:line="360" w:lineRule="auto"/>
        <w:ind w:right="51"/>
        <w:jc w:val="both"/>
        <w:rPr>
          <w:rFonts w:ascii="Palatino Linotype" w:hAnsi="Palatino Linotype" w:cs="Arial"/>
        </w:rPr>
      </w:pPr>
      <w:r w:rsidRPr="00E558CB">
        <w:rPr>
          <w:rFonts w:ascii="Palatino Linotype" w:hAnsi="Palatino Linotype" w:cs="Arial"/>
        </w:rPr>
        <w:t xml:space="preserve">Inconforme ante la respuesta emitida por parte del </w:t>
      </w:r>
      <w:r w:rsidRPr="00E558CB">
        <w:rPr>
          <w:rFonts w:ascii="Palatino Linotype" w:hAnsi="Palatino Linotype" w:cs="Arial"/>
          <w:b/>
        </w:rPr>
        <w:t>Sujeto Obligado</w:t>
      </w:r>
      <w:r w:rsidRPr="00E558CB">
        <w:rPr>
          <w:rFonts w:ascii="Palatino Linotype" w:hAnsi="Palatino Linotype" w:cs="Arial"/>
        </w:rPr>
        <w:t xml:space="preserve">, el día </w:t>
      </w:r>
      <w:r w:rsidR="00976BAE" w:rsidRPr="00E558CB">
        <w:rPr>
          <w:rFonts w:ascii="Palatino Linotype" w:hAnsi="Palatino Linotype" w:cs="Arial"/>
        </w:rPr>
        <w:t>veinti</w:t>
      </w:r>
      <w:r w:rsidRPr="00E558CB">
        <w:rPr>
          <w:rFonts w:ascii="Palatino Linotype" w:hAnsi="Palatino Linotype"/>
        </w:rPr>
        <w:t>siete de agosto de dos mil veinticuatro</w:t>
      </w:r>
      <w:r w:rsidRPr="00E558CB">
        <w:rPr>
          <w:rFonts w:ascii="Palatino Linotype" w:hAnsi="Palatino Linotype" w:cs="Arial"/>
        </w:rPr>
        <w:t>, la parte</w:t>
      </w:r>
      <w:r w:rsidRPr="00E558CB">
        <w:rPr>
          <w:rFonts w:ascii="Palatino Linotype" w:hAnsi="Palatino Linotype" w:cs="Arial"/>
          <w:b/>
          <w:color w:val="000000"/>
        </w:rPr>
        <w:t xml:space="preserve"> Recurrente</w:t>
      </w:r>
      <w:r w:rsidRPr="00E558CB">
        <w:rPr>
          <w:rFonts w:ascii="Palatino Linotype" w:hAnsi="Palatino Linotype" w:cs="Arial"/>
          <w:color w:val="000000"/>
        </w:rPr>
        <w:t xml:space="preserve"> </w:t>
      </w:r>
      <w:r w:rsidRPr="00E558CB">
        <w:rPr>
          <w:rFonts w:ascii="Palatino Linotype" w:hAnsi="Palatino Linotype" w:cs="Arial"/>
        </w:rPr>
        <w:t xml:space="preserve">interpuso el presente recurso de </w:t>
      </w:r>
      <w:r w:rsidRPr="00E558CB">
        <w:rPr>
          <w:rFonts w:ascii="Palatino Linotype" w:hAnsi="Palatino Linotype" w:cs="Arial"/>
        </w:rPr>
        <w:lastRenderedPageBreak/>
        <w:t>revisión, quedando registrado en el</w:t>
      </w:r>
      <w:r w:rsidRPr="00E558CB">
        <w:rPr>
          <w:rFonts w:ascii="Palatino Linotype" w:eastAsia="Arial Unicode MS" w:hAnsi="Palatino Linotype" w:cs="Arial"/>
          <w:b/>
        </w:rPr>
        <w:t xml:space="preserve"> SAIMEX</w:t>
      </w:r>
      <w:r w:rsidRPr="00E558CB">
        <w:rPr>
          <w:rFonts w:ascii="Palatino Linotype" w:eastAsia="Arial Unicode MS" w:hAnsi="Palatino Linotype" w:cs="Arial"/>
        </w:rPr>
        <w:t xml:space="preserve"> con el número de recurso </w:t>
      </w:r>
      <w:r w:rsidR="001E5772" w:rsidRPr="00E558CB">
        <w:rPr>
          <w:rFonts w:ascii="Palatino Linotype" w:eastAsia="Arial Unicode MS" w:hAnsi="Palatino Linotype" w:cs="Arial"/>
          <w:b/>
        </w:rPr>
        <w:t>0</w:t>
      </w:r>
      <w:r w:rsidRPr="00E558CB">
        <w:rPr>
          <w:rFonts w:ascii="Palatino Linotype" w:eastAsia="Arial Unicode MS" w:hAnsi="Palatino Linotype" w:cs="Arial"/>
          <w:b/>
        </w:rPr>
        <w:t>5160/INFOEM/IP/RR/2024</w:t>
      </w:r>
      <w:r w:rsidRPr="00E558CB">
        <w:rPr>
          <w:rFonts w:ascii="Palatino Linotype" w:hAnsi="Palatino Linotype"/>
          <w:b/>
        </w:rPr>
        <w:t xml:space="preserve">, </w:t>
      </w:r>
      <w:r w:rsidRPr="00E558CB">
        <w:rPr>
          <w:rFonts w:ascii="Palatino Linotype" w:hAnsi="Palatino Linotype" w:cs="Arial"/>
        </w:rPr>
        <w:t>en el que expresó como:</w:t>
      </w:r>
    </w:p>
    <w:p w:rsidR="003D64BB" w:rsidRPr="00E558CB" w:rsidRDefault="003D64BB" w:rsidP="003D64BB">
      <w:pPr>
        <w:pStyle w:val="Prrafodelista"/>
        <w:numPr>
          <w:ilvl w:val="0"/>
          <w:numId w:val="1"/>
        </w:numPr>
        <w:spacing w:line="360" w:lineRule="auto"/>
        <w:ind w:right="51"/>
        <w:jc w:val="both"/>
        <w:rPr>
          <w:rFonts w:ascii="Palatino Linotype" w:hAnsi="Palatino Linotype" w:cs="Arial"/>
        </w:rPr>
      </w:pPr>
      <w:r w:rsidRPr="00E558CB">
        <w:rPr>
          <w:rFonts w:ascii="Palatino Linotype" w:hAnsi="Palatino Linotype" w:cs="Arial"/>
          <w:b/>
        </w:rPr>
        <w:t>Acto impugnado</w:t>
      </w:r>
      <w:r w:rsidRPr="00E558CB">
        <w:rPr>
          <w:rFonts w:ascii="Palatino Linotype" w:hAnsi="Palatino Linotype" w:cs="Arial"/>
        </w:rPr>
        <w:t>:</w:t>
      </w:r>
    </w:p>
    <w:p w:rsidR="003D64BB" w:rsidRPr="00E558CB" w:rsidRDefault="003D64BB" w:rsidP="003D64BB">
      <w:pPr>
        <w:pStyle w:val="INFOEM"/>
        <w:spacing w:line="240" w:lineRule="auto"/>
      </w:pPr>
      <w:r w:rsidRPr="00E558CB">
        <w:t>“</w:t>
      </w:r>
      <w:r w:rsidR="00976BAE" w:rsidRPr="00E558CB">
        <w:t>Mi solicitud no fue respondida en los tiempos establecidos por ley.</w:t>
      </w:r>
      <w:r w:rsidRPr="00E558CB">
        <w:t>” (Sic)</w:t>
      </w:r>
    </w:p>
    <w:p w:rsidR="003D64BB" w:rsidRPr="00E558CB" w:rsidRDefault="003D64BB" w:rsidP="003D64BB">
      <w:pPr>
        <w:pStyle w:val="Prrafodelista"/>
        <w:numPr>
          <w:ilvl w:val="0"/>
          <w:numId w:val="1"/>
        </w:numPr>
        <w:spacing w:line="360" w:lineRule="auto"/>
        <w:ind w:right="51"/>
        <w:jc w:val="both"/>
        <w:rPr>
          <w:rFonts w:ascii="Palatino Linotype" w:hAnsi="Palatino Linotype" w:cs="Arial"/>
        </w:rPr>
      </w:pPr>
      <w:r w:rsidRPr="00E558CB">
        <w:rPr>
          <w:rFonts w:ascii="Palatino Linotype" w:hAnsi="Palatino Linotype" w:cs="Arial"/>
          <w:b/>
        </w:rPr>
        <w:t>Motivos o razones de inconformidad</w:t>
      </w:r>
      <w:r w:rsidRPr="00E558CB">
        <w:rPr>
          <w:rFonts w:ascii="Palatino Linotype" w:hAnsi="Palatino Linotype" w:cs="Arial"/>
        </w:rPr>
        <w:t>:</w:t>
      </w:r>
    </w:p>
    <w:p w:rsidR="003D64BB" w:rsidRPr="00E558CB" w:rsidRDefault="00976BAE" w:rsidP="00976BAE">
      <w:pPr>
        <w:pStyle w:val="INFOEM"/>
        <w:spacing w:line="240" w:lineRule="auto"/>
        <w:ind w:left="993"/>
      </w:pPr>
      <w:r w:rsidRPr="00E558CB">
        <w:t>N/A</w:t>
      </w:r>
    </w:p>
    <w:p w:rsidR="003D64BB" w:rsidRPr="00E558CB" w:rsidRDefault="003D64BB" w:rsidP="003D64BB">
      <w:pPr>
        <w:spacing w:before="240" w:line="360" w:lineRule="auto"/>
        <w:jc w:val="both"/>
        <w:rPr>
          <w:rFonts w:ascii="Palatino Linotype" w:hAnsi="Palatino Linotype" w:cs="Arial"/>
          <w:b/>
          <w:sz w:val="28"/>
          <w:szCs w:val="22"/>
          <w:lang w:val="es-MX"/>
        </w:rPr>
      </w:pPr>
    </w:p>
    <w:p w:rsidR="003D64BB" w:rsidRPr="00E558CB" w:rsidRDefault="003D64BB" w:rsidP="003D64BB">
      <w:pPr>
        <w:spacing w:before="240" w:line="360" w:lineRule="auto"/>
        <w:jc w:val="both"/>
        <w:rPr>
          <w:rFonts w:ascii="Palatino Linotype" w:hAnsi="Palatino Linotype" w:cs="Arial"/>
          <w:b/>
        </w:rPr>
      </w:pPr>
      <w:r w:rsidRPr="00E558CB">
        <w:rPr>
          <w:rFonts w:ascii="Palatino Linotype" w:hAnsi="Palatino Linotype" w:cs="Arial"/>
          <w:b/>
          <w:sz w:val="28"/>
          <w:szCs w:val="22"/>
          <w:lang w:val="es-MX"/>
        </w:rPr>
        <w:t>CUARTO.</w:t>
      </w:r>
      <w:r w:rsidRPr="00E558CB">
        <w:rPr>
          <w:rFonts w:ascii="Palatino Linotype" w:hAnsi="Palatino Linotype" w:cs="Arial"/>
          <w:b/>
          <w:szCs w:val="22"/>
          <w:lang w:val="es-MX"/>
        </w:rPr>
        <w:t xml:space="preserve"> </w:t>
      </w:r>
      <w:r w:rsidRPr="00E558CB">
        <w:rPr>
          <w:rFonts w:ascii="Palatino Linotype" w:hAnsi="Palatino Linotype" w:cs="Arial"/>
          <w:b/>
          <w:sz w:val="28"/>
          <w:szCs w:val="28"/>
        </w:rPr>
        <w:t>Del turno y admisión del recurso de revisión.</w:t>
      </w:r>
    </w:p>
    <w:p w:rsidR="003D64BB" w:rsidRPr="00E558CB" w:rsidRDefault="003D64BB" w:rsidP="003D64BB">
      <w:pPr>
        <w:spacing w:before="240" w:line="360" w:lineRule="auto"/>
        <w:jc w:val="both"/>
        <w:rPr>
          <w:rFonts w:ascii="Palatino Linotype" w:hAnsi="Palatino Linotype" w:cs="Arial"/>
          <w:sz w:val="28"/>
        </w:rPr>
      </w:pPr>
      <w:r w:rsidRPr="00E558CB">
        <w:rPr>
          <w:rFonts w:ascii="Palatino Linotype" w:hAnsi="Palatino Linotype"/>
        </w:rPr>
        <w:t xml:space="preserve">El medio de impugnación fue turnado al Comisionado Presidente </w:t>
      </w:r>
      <w:r w:rsidRPr="00E558CB">
        <w:rPr>
          <w:rFonts w:ascii="Palatino Linotype" w:hAnsi="Palatino Linotype"/>
          <w:b/>
        </w:rPr>
        <w:t>José Martínez Vilchis,</w:t>
      </w:r>
      <w:r w:rsidRPr="00E558CB">
        <w:rPr>
          <w:rFonts w:ascii="Palatino Linotype" w:hAnsi="Palatino Linotype"/>
        </w:rPr>
        <w:t xml:space="preserve"> por medio del sistema electrónico SAIMEX, en términos del artículo 185, fracción I, de la Ley de Transparencia y Acceso a la información Pública del Estado de México y Municipios, del cual recayó acuerdo de </w:t>
      </w:r>
      <w:r w:rsidRPr="00E558CB">
        <w:rPr>
          <w:rFonts w:ascii="Palatino Linotype" w:hAnsi="Palatino Linotype"/>
          <w:b/>
        </w:rPr>
        <w:t>admisión</w:t>
      </w:r>
      <w:r w:rsidRPr="00E558CB">
        <w:rPr>
          <w:rFonts w:ascii="Palatino Linotype" w:hAnsi="Palatino Linotype"/>
        </w:rPr>
        <w:t xml:space="preserve"> en fecha </w:t>
      </w:r>
      <w:r w:rsidR="00976BAE" w:rsidRPr="00E558CB">
        <w:rPr>
          <w:rFonts w:ascii="Palatino Linotype" w:hAnsi="Palatino Linotype"/>
          <w:b/>
        </w:rPr>
        <w:t>veintinueve</w:t>
      </w:r>
      <w:r w:rsidRPr="00E558CB">
        <w:rPr>
          <w:rFonts w:ascii="Palatino Linotype" w:hAnsi="Palatino Linotype"/>
          <w:b/>
        </w:rPr>
        <w:t xml:space="preserve"> de agosto de dos mil veinticuatro</w:t>
      </w:r>
      <w:r w:rsidRPr="00E558CB">
        <w:rPr>
          <w:rFonts w:ascii="Palatino Linotype" w:hAnsi="Palatino Linotype"/>
        </w:rPr>
        <w:t>, determinándose en ellos, un plazo de siete días para que las partes manifestaran lo que a su derecho corresponda en términos del numeral ya citado.</w:t>
      </w:r>
    </w:p>
    <w:p w:rsidR="003D64BB" w:rsidRPr="00E558CB" w:rsidRDefault="003D64BB" w:rsidP="003D64BB">
      <w:pPr>
        <w:spacing w:line="360" w:lineRule="auto"/>
        <w:ind w:right="49"/>
        <w:jc w:val="both"/>
        <w:rPr>
          <w:rFonts w:ascii="Palatino Linotype" w:hAnsi="Palatino Linotype" w:cs="Arial"/>
          <w:lang w:val="es-ES_tradnl"/>
        </w:rPr>
      </w:pPr>
    </w:p>
    <w:p w:rsidR="003D64BB" w:rsidRPr="00E558CB" w:rsidRDefault="003D64BB" w:rsidP="003D64BB">
      <w:pPr>
        <w:spacing w:line="360" w:lineRule="auto"/>
        <w:ind w:right="49"/>
        <w:jc w:val="both"/>
        <w:rPr>
          <w:rFonts w:ascii="Palatino Linotype" w:eastAsia="Calibri" w:hAnsi="Palatino Linotype" w:cs="Arial"/>
          <w:lang w:val="es-MX" w:eastAsia="en-US"/>
        </w:rPr>
      </w:pPr>
      <w:r w:rsidRPr="00E558CB">
        <w:rPr>
          <w:rFonts w:ascii="Palatino Linotype" w:hAnsi="Palatino Linotype" w:cs="Arial"/>
          <w:b/>
          <w:sz w:val="28"/>
          <w:szCs w:val="28"/>
          <w:lang w:val="es-ES_tradnl"/>
        </w:rPr>
        <w:t>QUINTO</w:t>
      </w:r>
      <w:r w:rsidRPr="00E558CB">
        <w:rPr>
          <w:rFonts w:ascii="Palatino Linotype" w:hAnsi="Palatino Linotype" w:cs="Arial"/>
          <w:b/>
          <w:lang w:val="es-ES_tradnl"/>
        </w:rPr>
        <w:t>.</w:t>
      </w:r>
      <w:r w:rsidRPr="00E558CB">
        <w:rPr>
          <w:rFonts w:ascii="Palatino Linotype" w:hAnsi="Palatino Linotype" w:cs="Arial"/>
          <w:lang w:val="es-ES_tradnl"/>
        </w:rPr>
        <w:t xml:space="preserve"> </w:t>
      </w:r>
      <w:r w:rsidRPr="00E558CB">
        <w:rPr>
          <w:rFonts w:ascii="Palatino Linotype" w:hAnsi="Palatino Linotype" w:cs="Arial"/>
          <w:b/>
          <w:sz w:val="28"/>
          <w:szCs w:val="28"/>
        </w:rPr>
        <w:t>De la etapa de instrucción.</w:t>
      </w:r>
    </w:p>
    <w:p w:rsidR="003D64BB" w:rsidRPr="00E558CB" w:rsidRDefault="003D64BB" w:rsidP="003D64BB">
      <w:pPr>
        <w:spacing w:line="360" w:lineRule="auto"/>
        <w:jc w:val="both"/>
        <w:rPr>
          <w:rFonts w:ascii="Palatino Linotype" w:hAnsi="Palatino Linotype"/>
        </w:rPr>
      </w:pPr>
      <w:r w:rsidRPr="00E558CB">
        <w:rPr>
          <w:rFonts w:ascii="Palatino Linotype" w:hAnsi="Palatino Linotype" w:cs="Arial"/>
        </w:rPr>
        <w:t>De las constancias que obran en el expediente electrónico del SAIMEX, se advierte que el Sujeto Obligado fue omiso al rendir su informe justificado. De igual manera, se advierte que el Recurrente</w:t>
      </w:r>
      <w:r w:rsidRPr="00E558CB">
        <w:rPr>
          <w:rFonts w:ascii="Palatino Linotype" w:hAnsi="Palatino Linotype" w:cs="Arial"/>
          <w:b/>
        </w:rPr>
        <w:t>,</w:t>
      </w:r>
      <w:r w:rsidRPr="00E558CB">
        <w:rPr>
          <w:rFonts w:ascii="Palatino Linotype" w:hAnsi="Palatino Linotype" w:cs="Arial"/>
        </w:rPr>
        <w:t xml:space="preserve"> omitió rendir dentro del término de Ley, las manifestaciones que a sus intereses conviniera.</w:t>
      </w:r>
    </w:p>
    <w:p w:rsidR="003D64BB" w:rsidRPr="00E558CB" w:rsidRDefault="003D64BB" w:rsidP="003D64BB">
      <w:pPr>
        <w:spacing w:line="360" w:lineRule="auto"/>
        <w:jc w:val="both"/>
        <w:rPr>
          <w:rFonts w:ascii="Palatino Linotype" w:hAnsi="Palatino Linotype" w:cs="Arial"/>
        </w:rPr>
      </w:pPr>
    </w:p>
    <w:p w:rsidR="003D64BB" w:rsidRPr="00E558CB" w:rsidRDefault="003D64BB" w:rsidP="003D64BB">
      <w:pPr>
        <w:spacing w:line="360" w:lineRule="auto"/>
        <w:jc w:val="both"/>
        <w:rPr>
          <w:rFonts w:ascii="Palatino Linotype" w:hAnsi="Palatino Linotype" w:cs="Arial"/>
        </w:rPr>
      </w:pPr>
      <w:r w:rsidRPr="00E558CB">
        <w:rPr>
          <w:rFonts w:ascii="Palatino Linotype" w:hAnsi="Palatino Linotype" w:cs="Arial"/>
        </w:rPr>
        <w:lastRenderedPageBreak/>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rsidR="003D64BB" w:rsidRPr="00E558CB" w:rsidRDefault="003D64BB" w:rsidP="003D64BB">
      <w:pPr>
        <w:spacing w:line="360" w:lineRule="auto"/>
        <w:jc w:val="both"/>
        <w:rPr>
          <w:rFonts w:ascii="Palatino Linotype" w:eastAsia="Calibri" w:hAnsi="Palatino Linotype" w:cs="Arial"/>
          <w:b/>
          <w:sz w:val="28"/>
          <w:szCs w:val="28"/>
          <w:lang w:val="es-MX" w:eastAsia="en-US"/>
        </w:rPr>
      </w:pPr>
    </w:p>
    <w:p w:rsidR="003D64BB" w:rsidRPr="00E558CB" w:rsidRDefault="003D64BB" w:rsidP="003D64BB">
      <w:pPr>
        <w:spacing w:line="360" w:lineRule="auto"/>
        <w:jc w:val="both"/>
        <w:rPr>
          <w:rFonts w:ascii="Palatino Linotype" w:hAnsi="Palatino Linotype" w:cs="Arial"/>
          <w:b/>
          <w:sz w:val="28"/>
          <w:szCs w:val="28"/>
        </w:rPr>
      </w:pPr>
      <w:r w:rsidRPr="00E558CB">
        <w:rPr>
          <w:rFonts w:ascii="Palatino Linotype" w:eastAsia="Calibri" w:hAnsi="Palatino Linotype" w:cs="Arial"/>
          <w:b/>
          <w:sz w:val="28"/>
          <w:szCs w:val="28"/>
          <w:lang w:val="es-MX" w:eastAsia="en-US"/>
        </w:rPr>
        <w:t xml:space="preserve">SEXTO. </w:t>
      </w:r>
      <w:r w:rsidRPr="00E558CB">
        <w:rPr>
          <w:rFonts w:ascii="Palatino Linotype" w:hAnsi="Palatino Linotype" w:cs="Arial"/>
          <w:b/>
          <w:sz w:val="28"/>
          <w:szCs w:val="28"/>
        </w:rPr>
        <w:t>Del Cierre de Instrucción.</w:t>
      </w:r>
    </w:p>
    <w:p w:rsidR="003D64BB" w:rsidRPr="00E558CB" w:rsidRDefault="003D64BB" w:rsidP="003D64BB">
      <w:pPr>
        <w:spacing w:line="360" w:lineRule="auto"/>
        <w:jc w:val="both"/>
        <w:rPr>
          <w:rFonts w:ascii="Palatino Linotype" w:eastAsia="Calibri" w:hAnsi="Palatino Linotype" w:cs="Arial"/>
          <w:lang w:val="es-MX" w:eastAsia="en-US"/>
        </w:rPr>
      </w:pPr>
      <w:r w:rsidRPr="00E558CB">
        <w:rPr>
          <w:rFonts w:ascii="Palatino Linotype" w:eastAsia="Calibri" w:hAnsi="Palatino Linotype" w:cs="Arial"/>
          <w:lang w:val="es-MX" w:eastAsia="en-US"/>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E558CB">
        <w:rPr>
          <w:rFonts w:ascii="Palatino Linotype" w:eastAsia="Calibri" w:hAnsi="Palatino Linotype" w:cs="Arial"/>
          <w:b/>
          <w:lang w:val="es-MX" w:eastAsia="en-US"/>
        </w:rPr>
        <w:t>cierre de instrucción</w:t>
      </w:r>
      <w:r w:rsidRPr="00E558CB">
        <w:rPr>
          <w:rFonts w:ascii="Palatino Linotype" w:eastAsia="Calibri" w:hAnsi="Palatino Linotype" w:cs="Arial"/>
          <w:lang w:val="es-MX" w:eastAsia="en-US"/>
        </w:rPr>
        <w:t xml:space="preserve"> en fecha </w:t>
      </w:r>
      <w:r w:rsidR="00976BAE" w:rsidRPr="00E558CB">
        <w:rPr>
          <w:rFonts w:ascii="Palatino Linotype" w:eastAsia="Calibri" w:hAnsi="Palatino Linotype" w:cs="Arial"/>
          <w:b/>
          <w:lang w:val="es-MX" w:eastAsia="en-US"/>
        </w:rPr>
        <w:t>diecinueve de septiembre</w:t>
      </w:r>
      <w:r w:rsidRPr="00E558CB">
        <w:rPr>
          <w:rFonts w:ascii="Palatino Linotype" w:eastAsia="Calibri" w:hAnsi="Palatino Linotype" w:cs="Arial"/>
          <w:b/>
          <w:lang w:val="es-MX" w:eastAsia="en-US"/>
        </w:rPr>
        <w:t xml:space="preserve"> de dos mil veinticuatro</w:t>
      </w:r>
      <w:r w:rsidRPr="00E558CB">
        <w:rPr>
          <w:rFonts w:ascii="Palatino Linotype" w:eastAsia="Calibri" w:hAnsi="Palatino Linotype" w:cs="Arial"/>
          <w:lang w:val="es-MX" w:eastAsia="en-US"/>
        </w:rPr>
        <w:t>, en términos del artículo 185 fracción VI de la Ley de Transparencia y Acceso a la Información Pública del Estado de México y Municipios, ordenándose turnar los expedientes a la resolución que en derecho proceda.</w:t>
      </w:r>
    </w:p>
    <w:p w:rsidR="003D64BB" w:rsidRPr="00E558CB" w:rsidRDefault="003D64BB" w:rsidP="003D64BB">
      <w:pPr>
        <w:spacing w:line="360" w:lineRule="auto"/>
        <w:jc w:val="both"/>
        <w:rPr>
          <w:rFonts w:ascii="Palatino Linotype" w:eastAsia="Calibri" w:hAnsi="Palatino Linotype" w:cs="Arial"/>
          <w:lang w:val="es-MX" w:eastAsia="en-US"/>
        </w:rPr>
      </w:pPr>
    </w:p>
    <w:p w:rsidR="003D64BB" w:rsidRPr="00E558CB" w:rsidRDefault="003D64BB" w:rsidP="003D64BB">
      <w:pPr>
        <w:spacing w:line="360" w:lineRule="auto"/>
        <w:jc w:val="both"/>
        <w:rPr>
          <w:rFonts w:ascii="Palatino Linotype" w:eastAsia="Calibri" w:hAnsi="Palatino Linotype" w:cs="Arial"/>
          <w:lang w:val="es-MX" w:eastAsia="en-US"/>
        </w:rPr>
      </w:pPr>
    </w:p>
    <w:p w:rsidR="003D64BB" w:rsidRPr="00E558CB" w:rsidRDefault="003D64BB" w:rsidP="003D64BB">
      <w:pPr>
        <w:spacing w:line="360" w:lineRule="auto"/>
        <w:jc w:val="center"/>
        <w:rPr>
          <w:rFonts w:ascii="Palatino Linotype" w:hAnsi="Palatino Linotype"/>
          <w:b/>
          <w:bCs/>
          <w:spacing w:val="60"/>
          <w:sz w:val="28"/>
          <w:lang w:val="es-ES_tradnl"/>
        </w:rPr>
      </w:pPr>
      <w:r w:rsidRPr="00E558CB">
        <w:rPr>
          <w:rFonts w:ascii="Palatino Linotype" w:hAnsi="Palatino Linotype"/>
          <w:b/>
          <w:bCs/>
          <w:spacing w:val="60"/>
          <w:sz w:val="28"/>
          <w:lang w:val="es-ES_tradnl"/>
        </w:rPr>
        <w:t>CONSIDERANDO</w:t>
      </w:r>
    </w:p>
    <w:p w:rsidR="003D64BB" w:rsidRPr="00E558CB" w:rsidRDefault="003D64BB" w:rsidP="003D64BB">
      <w:pPr>
        <w:spacing w:line="360" w:lineRule="auto"/>
        <w:ind w:right="49"/>
        <w:jc w:val="both"/>
        <w:rPr>
          <w:rFonts w:ascii="Palatino Linotype" w:hAnsi="Palatino Linotype"/>
          <w:szCs w:val="28"/>
        </w:rPr>
      </w:pPr>
    </w:p>
    <w:p w:rsidR="003D64BB" w:rsidRPr="00E558CB" w:rsidRDefault="003D64BB" w:rsidP="003D64BB">
      <w:pPr>
        <w:spacing w:line="360" w:lineRule="auto"/>
        <w:ind w:right="49"/>
        <w:jc w:val="both"/>
        <w:rPr>
          <w:rFonts w:ascii="Palatino Linotype" w:hAnsi="Palatino Linotype"/>
          <w:b/>
          <w:sz w:val="28"/>
          <w:szCs w:val="28"/>
        </w:rPr>
      </w:pPr>
      <w:r w:rsidRPr="00E558CB">
        <w:rPr>
          <w:rFonts w:ascii="Palatino Linotype" w:hAnsi="Palatino Linotype"/>
          <w:b/>
          <w:sz w:val="28"/>
          <w:szCs w:val="28"/>
        </w:rPr>
        <w:t>PRIMERO.</w:t>
      </w:r>
      <w:r w:rsidRPr="00E558CB">
        <w:rPr>
          <w:rFonts w:ascii="Palatino Linotype" w:hAnsi="Palatino Linotype"/>
          <w:sz w:val="28"/>
          <w:szCs w:val="28"/>
        </w:rPr>
        <w:t xml:space="preserve"> </w:t>
      </w:r>
      <w:r w:rsidRPr="00E558CB">
        <w:rPr>
          <w:rFonts w:ascii="Palatino Linotype" w:hAnsi="Palatino Linotype"/>
          <w:b/>
          <w:sz w:val="28"/>
          <w:szCs w:val="28"/>
        </w:rPr>
        <w:t xml:space="preserve">Competencia. </w:t>
      </w:r>
    </w:p>
    <w:p w:rsidR="003D64BB" w:rsidRPr="00E558CB" w:rsidRDefault="003D64BB" w:rsidP="003D64BB">
      <w:pPr>
        <w:tabs>
          <w:tab w:val="left" w:pos="3402"/>
        </w:tabs>
        <w:spacing w:line="360" w:lineRule="auto"/>
        <w:jc w:val="both"/>
        <w:rPr>
          <w:rFonts w:ascii="Palatino Linotype" w:hAnsi="Palatino Linotype"/>
        </w:rPr>
      </w:pPr>
      <w:r w:rsidRPr="00E558CB">
        <w:rPr>
          <w:rFonts w:ascii="Palatino Linotype" w:hAnsi="Palatino Linotype"/>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w:t>
      </w:r>
      <w:r w:rsidRPr="00E558CB">
        <w:rPr>
          <w:rFonts w:ascii="Palatino Linotype" w:hAnsi="Palatino Linotype"/>
        </w:rPr>
        <w:lastRenderedPageBreak/>
        <w:t>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3D64BB" w:rsidRPr="00E558CB" w:rsidRDefault="003D64BB" w:rsidP="003D64BB">
      <w:pPr>
        <w:spacing w:before="240" w:line="360" w:lineRule="auto"/>
        <w:jc w:val="both"/>
        <w:rPr>
          <w:rFonts w:ascii="Palatino Linotype" w:eastAsia="Calibri" w:hAnsi="Palatino Linotype"/>
          <w:b/>
          <w:color w:val="000000" w:themeColor="text1"/>
        </w:rPr>
      </w:pPr>
    </w:p>
    <w:p w:rsidR="003D64BB" w:rsidRPr="00E558CB" w:rsidRDefault="003D64BB" w:rsidP="003D64BB">
      <w:pPr>
        <w:pStyle w:val="Prrafodelista"/>
        <w:autoSpaceDE w:val="0"/>
        <w:autoSpaceDN w:val="0"/>
        <w:adjustRightInd w:val="0"/>
        <w:spacing w:before="240" w:after="160" w:line="360" w:lineRule="auto"/>
        <w:ind w:left="0"/>
        <w:jc w:val="both"/>
        <w:rPr>
          <w:rFonts w:ascii="Palatino Linotype" w:hAnsi="Palatino Linotype" w:cs="Arial"/>
          <w:b/>
        </w:rPr>
      </w:pPr>
      <w:r w:rsidRPr="00E558CB">
        <w:rPr>
          <w:rFonts w:ascii="Palatino Linotype" w:hAnsi="Palatino Linotype" w:cs="Arial"/>
          <w:b/>
          <w:sz w:val="28"/>
        </w:rPr>
        <w:t>SEGUNDO</w:t>
      </w:r>
      <w:r w:rsidRPr="00E558CB">
        <w:rPr>
          <w:rFonts w:ascii="Palatino Linotype" w:hAnsi="Palatino Linotype" w:cs="Arial"/>
          <w:b/>
        </w:rPr>
        <w:t xml:space="preserve">. </w:t>
      </w:r>
      <w:r w:rsidRPr="00E558CB">
        <w:rPr>
          <w:rFonts w:ascii="Palatino Linotype" w:hAnsi="Palatino Linotype" w:cs="Arial"/>
          <w:b/>
          <w:sz w:val="28"/>
        </w:rPr>
        <w:t>De</w:t>
      </w:r>
      <w:r w:rsidRPr="00E558CB">
        <w:rPr>
          <w:rFonts w:ascii="Palatino Linotype" w:hAnsi="Palatino Linotype" w:cs="Arial"/>
          <w:b/>
          <w:sz w:val="28"/>
          <w:szCs w:val="28"/>
        </w:rPr>
        <w:t xml:space="preserve"> los alcances del recurso de revisión.</w:t>
      </w:r>
      <w:r w:rsidRPr="00E558CB">
        <w:rPr>
          <w:rFonts w:ascii="Palatino Linotype" w:hAnsi="Palatino Linotype" w:cs="Arial"/>
          <w:b/>
        </w:rPr>
        <w:t xml:space="preserve"> </w:t>
      </w:r>
    </w:p>
    <w:p w:rsidR="003D64BB" w:rsidRPr="00E558CB" w:rsidRDefault="003D64BB" w:rsidP="001E5772">
      <w:pPr>
        <w:autoSpaceDE w:val="0"/>
        <w:autoSpaceDN w:val="0"/>
        <w:adjustRightInd w:val="0"/>
        <w:spacing w:line="360" w:lineRule="auto"/>
        <w:jc w:val="both"/>
        <w:rPr>
          <w:rFonts w:ascii="Palatino Linotype" w:hAnsi="Palatino Linotype" w:cs="Arial"/>
        </w:rPr>
      </w:pPr>
      <w:r w:rsidRPr="00E558CB">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1004B1" w:rsidRPr="00E558CB" w:rsidRDefault="001004B1" w:rsidP="001E5772">
      <w:pPr>
        <w:pStyle w:val="Prrafodelista"/>
        <w:autoSpaceDE w:val="0"/>
        <w:autoSpaceDN w:val="0"/>
        <w:adjustRightInd w:val="0"/>
        <w:spacing w:line="360" w:lineRule="auto"/>
        <w:ind w:left="0"/>
        <w:jc w:val="both"/>
        <w:rPr>
          <w:rFonts w:ascii="Palatino Linotype" w:hAnsi="Palatino Linotype" w:cs="Arial"/>
          <w:b/>
          <w:sz w:val="28"/>
        </w:rPr>
      </w:pPr>
    </w:p>
    <w:p w:rsidR="003D64BB" w:rsidRPr="00E558CB" w:rsidRDefault="003D64BB" w:rsidP="001E5772">
      <w:pPr>
        <w:pStyle w:val="Prrafodelista"/>
        <w:autoSpaceDE w:val="0"/>
        <w:autoSpaceDN w:val="0"/>
        <w:adjustRightInd w:val="0"/>
        <w:spacing w:line="360" w:lineRule="auto"/>
        <w:ind w:left="0"/>
        <w:jc w:val="both"/>
        <w:rPr>
          <w:rFonts w:ascii="Palatino Linotype" w:hAnsi="Palatino Linotype" w:cs="Arial"/>
          <w:b/>
          <w:sz w:val="28"/>
          <w:szCs w:val="28"/>
        </w:rPr>
      </w:pPr>
      <w:r w:rsidRPr="00E558CB">
        <w:rPr>
          <w:rFonts w:ascii="Palatino Linotype" w:hAnsi="Palatino Linotype" w:cs="Arial"/>
          <w:b/>
          <w:sz w:val="28"/>
        </w:rPr>
        <w:t>TERCERO</w:t>
      </w:r>
      <w:r w:rsidRPr="00E558CB">
        <w:rPr>
          <w:rFonts w:ascii="Palatino Linotype" w:hAnsi="Palatino Linotype" w:cs="Arial"/>
          <w:b/>
        </w:rPr>
        <w:t xml:space="preserve">. </w:t>
      </w:r>
      <w:r w:rsidRPr="00E558CB">
        <w:rPr>
          <w:rFonts w:ascii="Palatino Linotype" w:hAnsi="Palatino Linotype" w:cs="Arial"/>
          <w:b/>
          <w:sz w:val="28"/>
          <w:szCs w:val="28"/>
        </w:rPr>
        <w:t>Del estudio de las causas de improcedencia y sobreseimiento</w:t>
      </w:r>
    </w:p>
    <w:p w:rsidR="003D64BB" w:rsidRPr="00E558CB" w:rsidRDefault="003D64BB" w:rsidP="003D64BB">
      <w:pPr>
        <w:pStyle w:val="Prrafodelista"/>
        <w:autoSpaceDE w:val="0"/>
        <w:autoSpaceDN w:val="0"/>
        <w:adjustRightInd w:val="0"/>
        <w:spacing w:line="360" w:lineRule="auto"/>
        <w:ind w:left="0"/>
        <w:jc w:val="both"/>
        <w:rPr>
          <w:rFonts w:ascii="Palatino Linotype" w:hAnsi="Palatino Linotype" w:cs="Arial"/>
        </w:rPr>
      </w:pPr>
      <w:r w:rsidRPr="00E558CB">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sidRPr="00E558CB">
        <w:rPr>
          <w:rFonts w:ascii="Palatino Linotype" w:hAnsi="Palatino Linotype" w:cs="Arial"/>
        </w:rPr>
        <w:t>procedibilidad</w:t>
      </w:r>
      <w:proofErr w:type="spellEnd"/>
      <w:r w:rsidRPr="00E558CB">
        <w:rPr>
          <w:rFonts w:ascii="Palatino Linotype" w:hAnsi="Palatino Linotype" w:cs="Arial"/>
        </w:rPr>
        <w:t xml:space="preserve"> que deben estudiarse con la finalidad de dar cumplimiento a los </w:t>
      </w:r>
      <w:r w:rsidRPr="00E558CB">
        <w:rPr>
          <w:rFonts w:ascii="Palatino Linotype" w:hAnsi="Palatino Linotype" w:cs="Arial"/>
        </w:rPr>
        <w:lastRenderedPageBreak/>
        <w:t>principios de legalidad y objetividad inmersos en el artículo 9, de Ley de Transparencia y Acceso a la Información Pública del Estado de México y Municipios, en correlación con la seguridad jurídica que debe generar lo actuado ante este Organismo garante.</w:t>
      </w:r>
    </w:p>
    <w:p w:rsidR="003D64BB" w:rsidRPr="00E558CB" w:rsidRDefault="003D64BB" w:rsidP="003D64BB">
      <w:pPr>
        <w:pStyle w:val="Prrafodelista"/>
        <w:autoSpaceDE w:val="0"/>
        <w:autoSpaceDN w:val="0"/>
        <w:adjustRightInd w:val="0"/>
        <w:spacing w:line="360" w:lineRule="auto"/>
        <w:ind w:left="0"/>
        <w:jc w:val="both"/>
        <w:rPr>
          <w:rFonts w:ascii="Palatino Linotype" w:hAnsi="Palatino Linotype" w:cs="Arial"/>
        </w:rPr>
      </w:pPr>
    </w:p>
    <w:p w:rsidR="003D64BB" w:rsidRPr="00E558CB" w:rsidRDefault="003D64BB" w:rsidP="003D64BB">
      <w:pPr>
        <w:pStyle w:val="Prrafodelista"/>
        <w:autoSpaceDE w:val="0"/>
        <w:autoSpaceDN w:val="0"/>
        <w:adjustRightInd w:val="0"/>
        <w:spacing w:line="360" w:lineRule="auto"/>
        <w:ind w:left="0"/>
        <w:jc w:val="both"/>
        <w:rPr>
          <w:rFonts w:ascii="Palatino Linotype" w:hAnsi="Palatino Linotype" w:cs="Arial"/>
        </w:rPr>
      </w:pPr>
      <w:r w:rsidRPr="00E558CB">
        <w:rPr>
          <w:rFonts w:ascii="Palatino Linotype" w:hAnsi="Palatino Linotype" w:cs="Arial"/>
        </w:rPr>
        <w:t xml:space="preserve">Siendo una facultad legal entrar al estudio de las causas de improcedencia que hagan valer las partes o que se adviertan de oficio por este </w:t>
      </w:r>
      <w:proofErr w:type="spellStart"/>
      <w:r w:rsidRPr="00E558CB">
        <w:rPr>
          <w:rFonts w:ascii="Palatino Linotype" w:hAnsi="Palatino Linotype" w:cs="Arial"/>
        </w:rPr>
        <w:t>Resolutor</w:t>
      </w:r>
      <w:proofErr w:type="spellEnd"/>
      <w:r w:rsidRPr="00E558CB">
        <w:rPr>
          <w:rFonts w:ascii="Palatino Linotype" w:hAnsi="Palatino Linotype" w:cs="Arial"/>
        </w:rPr>
        <w:t>;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rsidR="003D64BB" w:rsidRPr="00E558CB" w:rsidRDefault="003D64BB" w:rsidP="003D64BB">
      <w:pPr>
        <w:pStyle w:val="Prrafodelista"/>
        <w:autoSpaceDE w:val="0"/>
        <w:autoSpaceDN w:val="0"/>
        <w:adjustRightInd w:val="0"/>
        <w:spacing w:line="360" w:lineRule="auto"/>
        <w:ind w:left="0"/>
        <w:jc w:val="both"/>
        <w:rPr>
          <w:rFonts w:ascii="Palatino Linotype" w:hAnsi="Palatino Linotype" w:cs="Arial"/>
        </w:rPr>
      </w:pPr>
      <w:r w:rsidRPr="00E558CB">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E558CB">
        <w:rPr>
          <w:rStyle w:val="Refdenotaalpie"/>
          <w:rFonts w:ascii="Palatino Linotype" w:eastAsiaTheme="minorEastAsia" w:hAnsi="Palatino Linotype" w:cs="Arial"/>
        </w:rPr>
        <w:footnoteReference w:id="1"/>
      </w:r>
      <w:r w:rsidRPr="00E558CB">
        <w:rPr>
          <w:rFonts w:ascii="Palatino Linotype" w:hAnsi="Palatino Linotype" w:cs="Arial"/>
        </w:rPr>
        <w:t>.</w:t>
      </w:r>
    </w:p>
    <w:p w:rsidR="003D64BB" w:rsidRPr="00E558CB" w:rsidRDefault="003D64BB" w:rsidP="003D64BB">
      <w:pPr>
        <w:autoSpaceDE w:val="0"/>
        <w:autoSpaceDN w:val="0"/>
        <w:adjustRightInd w:val="0"/>
        <w:spacing w:line="360" w:lineRule="auto"/>
        <w:jc w:val="both"/>
        <w:rPr>
          <w:rFonts w:ascii="Palatino Linotype" w:hAnsi="Palatino Linotype" w:cs="Arial"/>
        </w:rPr>
      </w:pPr>
      <w:r w:rsidRPr="00E558CB">
        <w:rPr>
          <w:rFonts w:ascii="Palatino Linotype" w:hAnsi="Palatino Linotype" w:cs="Arial"/>
        </w:rPr>
        <w:t xml:space="preserve">En primer término es necesario hacer alusión a la solicitud de información ya que de ellas deriva por un lado al procedimiento de acceso a la información ante el sujeto obligado, y por otro lado la materia sobre la que versara el recurso de revisión ante este </w:t>
      </w:r>
      <w:r w:rsidRPr="00E558CB">
        <w:rPr>
          <w:rFonts w:ascii="Palatino Linotype" w:hAnsi="Palatino Linotype" w:cs="Arial"/>
        </w:rPr>
        <w:lastRenderedPageBreak/>
        <w:t>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rsidR="003D64BB" w:rsidRPr="00E558CB" w:rsidRDefault="003D64BB" w:rsidP="003D64BB">
      <w:pPr>
        <w:pStyle w:val="Prrafodelista"/>
        <w:autoSpaceDE w:val="0"/>
        <w:autoSpaceDN w:val="0"/>
        <w:adjustRightInd w:val="0"/>
        <w:spacing w:line="360" w:lineRule="auto"/>
        <w:ind w:left="0"/>
        <w:jc w:val="both"/>
        <w:rPr>
          <w:rFonts w:ascii="Palatino Linotype" w:hAnsi="Palatino Linotype" w:cs="Arial"/>
        </w:rPr>
      </w:pPr>
    </w:p>
    <w:p w:rsidR="003D64BB" w:rsidRPr="00E558CB" w:rsidRDefault="003D64BB" w:rsidP="003D64BB">
      <w:pPr>
        <w:pStyle w:val="Prrafodelista"/>
        <w:autoSpaceDE w:val="0"/>
        <w:autoSpaceDN w:val="0"/>
        <w:adjustRightInd w:val="0"/>
        <w:spacing w:line="360" w:lineRule="auto"/>
        <w:ind w:left="0"/>
        <w:jc w:val="both"/>
        <w:rPr>
          <w:rFonts w:ascii="Palatino Linotype" w:hAnsi="Palatino Linotype" w:cs="Arial"/>
        </w:rPr>
      </w:pPr>
      <w:r w:rsidRPr="00E558CB">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rsidR="003D64BB" w:rsidRPr="00E558CB" w:rsidRDefault="003D64BB" w:rsidP="003D64BB">
      <w:pPr>
        <w:pStyle w:val="Prrafodelista"/>
        <w:autoSpaceDE w:val="0"/>
        <w:autoSpaceDN w:val="0"/>
        <w:adjustRightInd w:val="0"/>
        <w:spacing w:before="240" w:after="160" w:line="360" w:lineRule="auto"/>
        <w:ind w:left="0"/>
        <w:jc w:val="both"/>
        <w:rPr>
          <w:rFonts w:ascii="Palatino Linotype" w:hAnsi="Palatino Linotype" w:cs="Arial"/>
        </w:rPr>
      </w:pPr>
      <w:r w:rsidRPr="00E558CB">
        <w:rPr>
          <w:rFonts w:ascii="Palatino Linotype" w:hAnsi="Palatino Linotype" w:cs="Arial"/>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3D64BB" w:rsidRPr="00E558CB" w:rsidRDefault="003D64BB" w:rsidP="003D64BB">
      <w:pPr>
        <w:tabs>
          <w:tab w:val="left" w:pos="709"/>
        </w:tabs>
        <w:spacing w:line="360" w:lineRule="auto"/>
        <w:jc w:val="both"/>
        <w:rPr>
          <w:rFonts w:ascii="Palatino Linotype" w:hAnsi="Palatino Linotype" w:cs="Arial"/>
        </w:rPr>
      </w:pPr>
      <w:r w:rsidRPr="00E558CB">
        <w:rPr>
          <w:rFonts w:ascii="Palatino Linotype" w:hAnsi="Palatino Linotype" w:cs="Arial"/>
        </w:rPr>
        <w:lastRenderedPageBreak/>
        <w:t xml:space="preserve">La Ley de Transparencia de la entidad, en su artículo 192, contempla la figura jurídica del sobreseimiento, y específicamente en sus hipótesis inmersas en las fracciones III y IV, refieren que se sobreseerá el asunto cuando </w:t>
      </w:r>
      <w:r w:rsidRPr="00E558CB">
        <w:rPr>
          <w:rFonts w:ascii="Palatino Linotype" w:hAnsi="Palatino Linotype" w:cs="Arial"/>
          <w:b/>
        </w:rPr>
        <w:t>El Sujeto Obligado</w:t>
      </w:r>
      <w:r w:rsidRPr="00E558CB">
        <w:rPr>
          <w:rFonts w:ascii="Palatino Linotype" w:hAnsi="Palatino Linotype" w:cs="Arial"/>
        </w:rPr>
        <w:t xml:space="preserve"> responsable del acto lo modifique o revoque de tal manera que el recurso de revisión quede sin materia o admitido el recurso de revisión, aparezca alguna causal de improcedencia en los términos de la presente Ley.</w:t>
      </w:r>
    </w:p>
    <w:p w:rsidR="003D64BB" w:rsidRPr="00E558CB" w:rsidRDefault="003D64BB" w:rsidP="003D64BB">
      <w:pPr>
        <w:tabs>
          <w:tab w:val="left" w:pos="709"/>
        </w:tabs>
        <w:spacing w:line="360" w:lineRule="auto"/>
        <w:jc w:val="both"/>
        <w:rPr>
          <w:rFonts w:ascii="Palatino Linotype" w:hAnsi="Palatino Linotype" w:cs="Arial"/>
        </w:rPr>
      </w:pPr>
    </w:p>
    <w:p w:rsidR="003D64BB" w:rsidRPr="00E558CB" w:rsidRDefault="003D64BB" w:rsidP="003D64BB">
      <w:pPr>
        <w:tabs>
          <w:tab w:val="left" w:pos="709"/>
        </w:tabs>
        <w:spacing w:line="360" w:lineRule="auto"/>
        <w:jc w:val="both"/>
        <w:rPr>
          <w:rFonts w:ascii="Palatino Linotype" w:hAnsi="Palatino Linotype" w:cs="Arial"/>
        </w:rPr>
      </w:pPr>
      <w:r w:rsidRPr="00E558CB">
        <w:rPr>
          <w:rFonts w:ascii="Palatino Linotype" w:hAnsi="Palatino Linotype" w:cs="Arial"/>
        </w:rPr>
        <w:t xml:space="preserve">Bajo esa línea, con la finalidad de determinar si se modificó o revocó el acto u omisión del </w:t>
      </w:r>
      <w:r w:rsidRPr="00E558CB">
        <w:rPr>
          <w:rFonts w:ascii="Palatino Linotype" w:hAnsi="Palatino Linotype" w:cs="Arial"/>
          <w:b/>
        </w:rPr>
        <w:t>Sujeto Obligado</w:t>
      </w:r>
      <w:r w:rsidRPr="00E558CB">
        <w:rPr>
          <w:rFonts w:ascii="Palatino Linotype" w:hAnsi="Palatino Linotype" w:cs="Arial"/>
        </w:rPr>
        <w:t xml:space="preserve"> o</w:t>
      </w:r>
      <w:r w:rsidRPr="00E558CB">
        <w:t xml:space="preserve"> </w:t>
      </w:r>
      <w:r w:rsidRPr="00E558CB">
        <w:rPr>
          <w:rFonts w:ascii="Palatino Linotype" w:hAnsi="Palatino Linotype" w:cs="Arial"/>
        </w:rPr>
        <w:t>admitido el recurso de revisión, aparezca alguna causal de improcedencia para el efecto de que quede sin materia el recurso de revisión, es necesario realizar una valoración de la información solicitada, así como la remitida y determinar si dicha consecuencia se subsume en el presupuesto procesal que establecen la fracción IV, del artículo 192, de la Ley de Transparencia y Acceso a la Información Pública del Estado de México y Municipios, a efecto de generar certeza jurídica sobre la satisfacción del derecho de acceso a la información accionado por el particular, sirviendo para tales efectos las siguientes líneas argumentativas.</w:t>
      </w:r>
    </w:p>
    <w:p w:rsidR="003D64BB" w:rsidRPr="00E558CB" w:rsidRDefault="003D64BB" w:rsidP="003D64BB">
      <w:pPr>
        <w:tabs>
          <w:tab w:val="left" w:pos="709"/>
        </w:tabs>
        <w:spacing w:line="360" w:lineRule="auto"/>
        <w:jc w:val="both"/>
        <w:rPr>
          <w:rFonts w:ascii="Palatino Linotype" w:hAnsi="Palatino Linotype" w:cs="Arial"/>
        </w:rPr>
      </w:pPr>
    </w:p>
    <w:p w:rsidR="003D64BB" w:rsidRPr="00E558CB" w:rsidRDefault="003D64BB" w:rsidP="003D64BB">
      <w:pPr>
        <w:tabs>
          <w:tab w:val="left" w:pos="709"/>
        </w:tabs>
        <w:spacing w:line="360" w:lineRule="auto"/>
        <w:jc w:val="both"/>
        <w:rPr>
          <w:rFonts w:ascii="Palatino Linotype" w:hAnsi="Palatino Linotype" w:cs="Arial"/>
        </w:rPr>
      </w:pPr>
      <w:r w:rsidRPr="00E558CB">
        <w:rPr>
          <w:rFonts w:ascii="Palatino Linotype" w:hAnsi="Palatino Linotype" w:cs="Arial"/>
        </w:rPr>
        <w:t>Inicialmente se destaca que la Primera Sala de la Suprema Corte de Justicia de la Nación ha señalado que el estudio de causales de improcedencia deberá de hacerse de manera preferencial y oficiosa. Lo anterior, mediante la jurisprudencia con número de registro 194697, visible en la foja 13 del Semanario Judicial de la Federación, Tomo IX, Enero de 1999, Materia Común, cuyo rubro y texto disponen a la literalidad lo siguiente:</w:t>
      </w:r>
    </w:p>
    <w:p w:rsidR="003D64BB" w:rsidRPr="00E558CB" w:rsidRDefault="003D64BB" w:rsidP="003D64BB">
      <w:pPr>
        <w:pStyle w:val="Citas"/>
        <w:rPr>
          <w:b/>
          <w:bCs/>
        </w:rPr>
      </w:pPr>
      <w:r w:rsidRPr="00E558CB">
        <w:rPr>
          <w:b/>
          <w:bCs/>
        </w:rPr>
        <w:t>“IMPROCEDENCIA. ESTUDIO PREFERENCIAL DE LAS CAUSALES PREVISTAS EN EL ARTÍCULO 73 DE LA LEY DE AMPARO.</w:t>
      </w:r>
    </w:p>
    <w:p w:rsidR="003D64BB" w:rsidRPr="00E558CB" w:rsidRDefault="003D64BB" w:rsidP="003D64BB">
      <w:pPr>
        <w:pStyle w:val="Citas"/>
      </w:pPr>
      <w:r w:rsidRPr="00E558CB">
        <w:lastRenderedPageBreak/>
        <w:t>De conformidad con lo dispuesto en el último párrafo del artículo </w:t>
      </w:r>
      <w:hyperlink r:id="rId7" w:history="1">
        <w:r w:rsidRPr="00E558CB">
          <w:t>73 de la Ley de Amparo</w:t>
        </w:r>
      </w:hyperlink>
      <w:r w:rsidRPr="00E558CB">
        <w:t xml:space="preserve"> 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el recurrente. Esto es así porque si bien el artículo 73 prevé diversas causas de improcedencia y todas ellas conducen a decretar el sobreseimiento en el juicio, sin analizar el fondo del asunto, de entre ellas existen algunas cuyo orden de importancia amerita que se estudien de forma preferente. Una de estas causas es la inobservancia al principio de </w:t>
      </w:r>
      <w:proofErr w:type="spellStart"/>
      <w:r w:rsidRPr="00E558CB">
        <w:t>definitividad</w:t>
      </w:r>
      <w:proofErr w:type="spellEnd"/>
      <w:r w:rsidRPr="00E558CB">
        <w:t xml:space="preserve">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estudio preferente (inobservancia al principio de </w:t>
      </w:r>
      <w:proofErr w:type="spellStart"/>
      <w:r w:rsidRPr="00E558CB">
        <w:t>definitividad</w:t>
      </w:r>
      <w:proofErr w:type="spellEnd"/>
      <w:r w:rsidRPr="00E558CB">
        <w:t>)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w:t>
      </w:r>
    </w:p>
    <w:p w:rsidR="003D64BB" w:rsidRPr="00E558CB" w:rsidRDefault="003D64BB" w:rsidP="003D64BB">
      <w:pPr>
        <w:pStyle w:val="Citas"/>
      </w:pPr>
      <w:r w:rsidRPr="00E558CB">
        <w:t>Amparo en revisión 355/98. Raúl Salinas de Gortari. 1o. de abril de 1998. Cinco votos. Ponente: José de Jesús Gudiño Pelayo. Secretario: Mario Flores García.</w:t>
      </w:r>
    </w:p>
    <w:p w:rsidR="003D64BB" w:rsidRPr="00E558CB" w:rsidRDefault="003D64BB" w:rsidP="003D64BB">
      <w:pPr>
        <w:pStyle w:val="Citas"/>
      </w:pPr>
      <w:r w:rsidRPr="00E558CB">
        <w:lastRenderedPageBreak/>
        <w:t>Amparo en revisión 807/98. Byron Jackson Co., S.A. de C.V. 24 de junio de 1998. Cinco votos. Ponente: José de Jesús Gudiño Pelayo. Secretario: Miguel Ángel Ramírez González.</w:t>
      </w:r>
    </w:p>
    <w:p w:rsidR="003D64BB" w:rsidRPr="00E558CB" w:rsidRDefault="003D64BB" w:rsidP="003D64BB">
      <w:pPr>
        <w:pStyle w:val="Citas"/>
      </w:pPr>
      <w:r w:rsidRPr="00E558CB">
        <w:t>Amparo en revisión 2257/97. Servicios Hoteleros Presidente San José del Cabo, S.A. de C.V. 4 de noviembre de 1998. Unanimidad de cuatro votos. Ausente: Juan N. Silva Meza. Ponente: Humberto Román Palacios. Secretario: Álvaro Tovilla León.</w:t>
      </w:r>
    </w:p>
    <w:p w:rsidR="003D64BB" w:rsidRPr="00E558CB" w:rsidRDefault="003D64BB" w:rsidP="003D64BB">
      <w:pPr>
        <w:pStyle w:val="Citas"/>
      </w:pPr>
      <w:r w:rsidRPr="00E558CB">
        <w:t>Amparo en revisión 1753/98. Seguros Comercial América, S.A. de C.V. 11 de noviembre de 1998. Unanimidad de cuatro votos. Ausente: José de Jesús Gudiño Pelayo. Ponente: José de Jesús Gudiño Pelayo; en su ausencia hizo suyo el asunto el Ministro Juan N. Silva Meza. Secretario: Mario Flores García.</w:t>
      </w:r>
    </w:p>
    <w:p w:rsidR="003D64BB" w:rsidRPr="00E558CB" w:rsidRDefault="003D64BB" w:rsidP="003D64BB">
      <w:pPr>
        <w:pStyle w:val="Citas"/>
      </w:pPr>
      <w:r w:rsidRPr="00E558CB">
        <w:t>Amparo en revisión 2447/98. José Virgilio Hernández. 18 de noviembre de 1998. Unanimidad de cuatro votos. Ausente: José de Jesús Gudiño Pelayo. Ponente: Humberto Román Palacios. Secretario: Urbano Martínez Hernández.</w:t>
      </w:r>
    </w:p>
    <w:p w:rsidR="003D64BB" w:rsidRPr="00E558CB" w:rsidRDefault="003D64BB" w:rsidP="003D64BB">
      <w:pPr>
        <w:pStyle w:val="Citas"/>
        <w:rPr>
          <w:b/>
          <w:bCs/>
        </w:rPr>
      </w:pPr>
      <w:r w:rsidRPr="00E558CB">
        <w:t xml:space="preserve">Tesis de jurisprudencia 3/99. Aprobada por la Primera Sala de esta Suprema Corte de Justicia de la Nación, en sesión de trece de enero de mil novecientos noventa y nueve, por unanimidad de cinco votos de los señores Ministros: presidente Humberto Román Palacios, Juventino V. Castro y Castro, José de Jesús Gudiño Pelayo, Juan N. Silva Meza y Olga Sánchez Cordero de García Villegas” </w:t>
      </w:r>
      <w:r w:rsidRPr="00E558CB">
        <w:rPr>
          <w:b/>
          <w:bCs/>
        </w:rPr>
        <w:t>(Sic)</w:t>
      </w:r>
    </w:p>
    <w:p w:rsidR="003D64BB" w:rsidRPr="00E558CB" w:rsidRDefault="003D64BB" w:rsidP="003D64BB">
      <w:pPr>
        <w:tabs>
          <w:tab w:val="left" w:pos="709"/>
        </w:tabs>
        <w:spacing w:line="360" w:lineRule="auto"/>
        <w:jc w:val="both"/>
        <w:rPr>
          <w:rFonts w:ascii="Palatino Linotype" w:hAnsi="Palatino Linotype" w:cs="Arial"/>
        </w:rPr>
      </w:pPr>
    </w:p>
    <w:p w:rsidR="003D64BB" w:rsidRPr="00E558CB" w:rsidRDefault="003D64BB" w:rsidP="003D64BB">
      <w:pPr>
        <w:spacing w:line="360" w:lineRule="auto"/>
        <w:jc w:val="both"/>
        <w:rPr>
          <w:rFonts w:ascii="Palatino Linotype" w:hAnsi="Palatino Linotype" w:cs="Arial"/>
        </w:rPr>
      </w:pPr>
      <w:r w:rsidRPr="00E558CB">
        <w:rPr>
          <w:rFonts w:ascii="Palatino Linotype" w:hAnsi="Palatino Linotype" w:cs="Arial"/>
        </w:rPr>
        <w:t xml:space="preserve">Así, tenemos en un primer plano de estudio el texto de la solicitud de información, plasmada por </w:t>
      </w:r>
      <w:r w:rsidRPr="00E558CB">
        <w:rPr>
          <w:rFonts w:ascii="Palatino Linotype" w:hAnsi="Palatino Linotype" w:cs="Arial"/>
          <w:b/>
          <w:bCs/>
        </w:rPr>
        <w:t>El Recurrente,</w:t>
      </w:r>
      <w:r w:rsidRPr="00E558CB">
        <w:rPr>
          <w:rFonts w:ascii="Palatino Linotype" w:hAnsi="Palatino Linotype" w:cs="Arial"/>
        </w:rPr>
        <w:t xml:space="preserve"> ello a efecto de poder determinar la materia de la solicitud de información que nos ocupa, así el particular formuló la solicitud de información </w:t>
      </w:r>
      <w:r w:rsidRPr="00E558CB">
        <w:rPr>
          <w:rFonts w:ascii="Palatino Linotype" w:hAnsi="Palatino Linotype" w:cs="Arial"/>
          <w:b/>
          <w:bCs/>
        </w:rPr>
        <w:t xml:space="preserve">00107/PROPAEM/IP/2024, </w:t>
      </w:r>
      <w:r w:rsidRPr="00E558CB">
        <w:rPr>
          <w:rFonts w:ascii="Palatino Linotype" w:hAnsi="Palatino Linotype" w:cs="Arial"/>
        </w:rPr>
        <w:t xml:space="preserve">que dispone a la literalidad lo siguiente: </w:t>
      </w:r>
    </w:p>
    <w:p w:rsidR="003D64BB" w:rsidRPr="00E558CB" w:rsidRDefault="003D64BB" w:rsidP="003D64BB">
      <w:pPr>
        <w:pStyle w:val="Citas"/>
        <w:rPr>
          <w:b/>
          <w:bCs/>
          <w:sz w:val="24"/>
          <w:lang w:val="en-US"/>
        </w:rPr>
      </w:pPr>
      <w:r w:rsidRPr="00E558CB">
        <w:lastRenderedPageBreak/>
        <w:t>“</w:t>
      </w:r>
      <w:r w:rsidR="006E482E" w:rsidRPr="00E558CB">
        <w:t xml:space="preserve">¿El Artículo 46 de la LGEEPA es aplicable en Áreas Naturales protegidas de carácter estatal? (En las áreas naturales protegidas no se pueden realizar obras y trabajos de exploración, explotación y beneficio de los minerales o sustancias, a que se refiere la Ley de Minería. Párrafo adicionado DOF 08-05-2023 Artículo reformado DOF 13-12-1996) </w:t>
      </w:r>
      <w:r w:rsidRPr="00E558CB">
        <w:rPr>
          <w:lang w:val="en-US"/>
        </w:rPr>
        <w:t>“(</w:t>
      </w:r>
      <w:r w:rsidRPr="00E558CB">
        <w:rPr>
          <w:b/>
          <w:bCs/>
          <w:lang w:val="en-US"/>
        </w:rPr>
        <w:t>Sic)</w:t>
      </w:r>
    </w:p>
    <w:p w:rsidR="003D64BB" w:rsidRPr="00E558CB" w:rsidRDefault="003D64BB" w:rsidP="003D64BB">
      <w:pPr>
        <w:spacing w:line="360" w:lineRule="auto"/>
        <w:jc w:val="both"/>
        <w:rPr>
          <w:rFonts w:ascii="Palatino Linotype" w:hAnsi="Palatino Linotype" w:cs="Arial"/>
          <w:lang w:val="en-US"/>
        </w:rPr>
      </w:pPr>
    </w:p>
    <w:p w:rsidR="003D64BB" w:rsidRPr="00E558CB" w:rsidRDefault="003D64BB" w:rsidP="003D64BB">
      <w:pPr>
        <w:pStyle w:val="Prrafodelista"/>
        <w:spacing w:line="360" w:lineRule="auto"/>
        <w:ind w:left="0"/>
        <w:contextualSpacing/>
        <w:jc w:val="both"/>
        <w:rPr>
          <w:rFonts w:ascii="Palatino Linotype" w:hAnsi="Palatino Linotype"/>
          <w:color w:val="000000"/>
          <w:lang w:val="es-ES_tradnl"/>
        </w:rPr>
      </w:pPr>
      <w:r w:rsidRPr="00E558CB">
        <w:rPr>
          <w:rFonts w:ascii="Palatino Linotype" w:hAnsi="Palatino Linotype"/>
          <w:color w:val="000000"/>
          <w:lang w:val="es-ES_tradnl"/>
        </w:rPr>
        <w:t xml:space="preserve">Ahora bien, en respuesta a la solicitud de información formulada por la particular, </w:t>
      </w:r>
      <w:r w:rsidRPr="00E558CB">
        <w:rPr>
          <w:rFonts w:ascii="Palatino Linotype" w:hAnsi="Palatino Linotype"/>
          <w:b/>
          <w:bCs/>
          <w:color w:val="000000"/>
          <w:lang w:val="es-ES_tradnl"/>
        </w:rPr>
        <w:t>El</w:t>
      </w:r>
      <w:r w:rsidRPr="00E558CB">
        <w:rPr>
          <w:rFonts w:ascii="Palatino Linotype" w:hAnsi="Palatino Linotype"/>
          <w:color w:val="000000"/>
          <w:lang w:val="es-ES_tradnl"/>
        </w:rPr>
        <w:t xml:space="preserve"> </w:t>
      </w:r>
      <w:r w:rsidRPr="00E558CB">
        <w:rPr>
          <w:rFonts w:ascii="Palatino Linotype" w:hAnsi="Palatino Linotype"/>
          <w:b/>
          <w:color w:val="000000"/>
          <w:lang w:val="es-ES_tradnl"/>
        </w:rPr>
        <w:t xml:space="preserve">Sujeto Obligado </w:t>
      </w:r>
      <w:r w:rsidRPr="00E558CB">
        <w:rPr>
          <w:rFonts w:ascii="Palatino Linotype" w:hAnsi="Palatino Linotype"/>
          <w:color w:val="000000"/>
          <w:lang w:val="es-ES_tradnl"/>
        </w:rPr>
        <w:t>emitió su respuesta en los siguientes términos:</w:t>
      </w:r>
    </w:p>
    <w:p w:rsidR="00C25CFE" w:rsidRPr="00E558CB" w:rsidRDefault="006E482E" w:rsidP="00C25CFE">
      <w:pPr>
        <w:pStyle w:val="Prrafodelista"/>
        <w:numPr>
          <w:ilvl w:val="0"/>
          <w:numId w:val="4"/>
        </w:numPr>
        <w:spacing w:line="360" w:lineRule="auto"/>
        <w:jc w:val="both"/>
        <w:rPr>
          <w:rFonts w:ascii="Palatino Linotype" w:hAnsi="Palatino Linotype" w:cs="Arial"/>
        </w:rPr>
      </w:pPr>
      <w:r w:rsidRPr="00E558CB">
        <w:rPr>
          <w:rFonts w:ascii="Palatino Linotype" w:hAnsi="Palatino Linotype" w:cs="Arial"/>
          <w:b/>
          <w:i/>
        </w:rPr>
        <w:t>solicitud 107.pdf</w:t>
      </w:r>
      <w:r w:rsidR="003D64BB" w:rsidRPr="00E558CB">
        <w:rPr>
          <w:rFonts w:ascii="Palatino Linotype" w:hAnsi="Palatino Linotype" w:cs="Arial"/>
        </w:rPr>
        <w:t xml:space="preserve">: constante de </w:t>
      </w:r>
      <w:r w:rsidR="00C25CFE" w:rsidRPr="00E558CB">
        <w:rPr>
          <w:rFonts w:ascii="Palatino Linotype" w:hAnsi="Palatino Linotype" w:cs="Arial"/>
        </w:rPr>
        <w:t>dos</w:t>
      </w:r>
      <w:r w:rsidR="003D64BB" w:rsidRPr="00E558CB">
        <w:rPr>
          <w:rFonts w:ascii="Palatino Linotype" w:hAnsi="Palatino Linotype" w:cs="Arial"/>
        </w:rPr>
        <w:t xml:space="preserve"> fojas, en formato </w:t>
      </w:r>
      <w:proofErr w:type="spellStart"/>
      <w:r w:rsidR="003D64BB" w:rsidRPr="00E558CB">
        <w:rPr>
          <w:rFonts w:ascii="Palatino Linotype" w:hAnsi="Palatino Linotype" w:cs="Arial"/>
        </w:rPr>
        <w:t>pdf</w:t>
      </w:r>
      <w:proofErr w:type="spellEnd"/>
      <w:r w:rsidR="003D64BB" w:rsidRPr="00E558CB">
        <w:rPr>
          <w:rFonts w:ascii="Palatino Linotype" w:hAnsi="Palatino Linotype" w:cs="Arial"/>
        </w:rPr>
        <w:t xml:space="preserve">, contiene el oficio número </w:t>
      </w:r>
      <w:r w:rsidR="00C25CFE" w:rsidRPr="00E558CB">
        <w:rPr>
          <w:rFonts w:ascii="Palatino Linotype" w:hAnsi="Palatino Linotype" w:cs="Arial"/>
        </w:rPr>
        <w:t>231C0201A000000/UT/0156/2024</w:t>
      </w:r>
      <w:r w:rsidR="003D64BB" w:rsidRPr="00E558CB">
        <w:rPr>
          <w:rFonts w:ascii="Palatino Linotype" w:hAnsi="Palatino Linotype" w:cs="Arial"/>
        </w:rPr>
        <w:t xml:space="preserve">, firmado por </w:t>
      </w:r>
      <w:r w:rsidR="00C25CFE" w:rsidRPr="00E558CB">
        <w:rPr>
          <w:rFonts w:ascii="Palatino Linotype" w:hAnsi="Palatino Linotype" w:cs="Arial"/>
        </w:rPr>
        <w:t>el Titular de la Unidad de Transparencia, en el que refiere lo siguiente:</w:t>
      </w:r>
    </w:p>
    <w:p w:rsidR="00C25CFE" w:rsidRPr="00E558CB" w:rsidRDefault="00C25CFE" w:rsidP="00C25CFE">
      <w:pPr>
        <w:pStyle w:val="INFOEM"/>
      </w:pPr>
      <w:r w:rsidRPr="00E558CB">
        <w:t>“(…)</w:t>
      </w:r>
    </w:p>
    <w:p w:rsidR="003D64BB" w:rsidRPr="00E558CB" w:rsidRDefault="00C25CFE" w:rsidP="00C25CFE">
      <w:pPr>
        <w:pStyle w:val="INFOEM"/>
      </w:pPr>
      <w:r w:rsidRPr="00E558CB">
        <w:t>Después de realizar un análisis del contenido de su solicitud, me permito informarle que las leyes generales, son normas expedidas por el Congreso de la Unión, que distribuyen competencias entre los distintos niveles de gobierno, y sientan las bases para su regulación, las cuales al momento de su publicación, deberán ser aplicadas por las autoridades federales, locales, de la Ciudad de México y municipales, servirán como base para la expedición de leyes locales, las cuales no serán contrarias a lo establecido por las leyes generales. En materia ambiental la competencia se encuentra establecida en el siguiente precepto legal:</w:t>
      </w:r>
    </w:p>
    <w:p w:rsidR="00C25CFE" w:rsidRPr="00E558CB" w:rsidRDefault="00C25CFE" w:rsidP="00C25CFE">
      <w:pPr>
        <w:pStyle w:val="INFOEM"/>
        <w:jc w:val="center"/>
      </w:pPr>
      <w:r w:rsidRPr="00E558CB">
        <w:t>LEY GENERAL DEL EQUILIBRIO ECOLÓGICO Y LA PROTECCIÓN AL AMBIENTE</w:t>
      </w:r>
    </w:p>
    <w:p w:rsidR="00C25CFE" w:rsidRPr="00E558CB" w:rsidRDefault="00C25CFE" w:rsidP="00C25CFE">
      <w:pPr>
        <w:pStyle w:val="INFOEM"/>
      </w:pPr>
      <w:r w:rsidRPr="00E558CB">
        <w:lastRenderedPageBreak/>
        <w:t xml:space="preserve">ARTÍCULO 7o.- Corresponden a los Estados, de conformidad con lo dispuesto en esta Ley y las leyes locales en la materia, las siguientes facultades: </w:t>
      </w:r>
    </w:p>
    <w:p w:rsidR="00C25CFE" w:rsidRPr="00E558CB" w:rsidRDefault="00C25CFE" w:rsidP="00C25CFE">
      <w:pPr>
        <w:pStyle w:val="INFOEM"/>
      </w:pPr>
      <w:r w:rsidRPr="00E558CB">
        <w:t xml:space="preserve">I.- La formulación, conducción y evaluación de la política ambiental estatal; </w:t>
      </w:r>
    </w:p>
    <w:p w:rsidR="00C25CFE" w:rsidRPr="00E558CB" w:rsidRDefault="00C25CFE" w:rsidP="00C25CFE">
      <w:pPr>
        <w:pStyle w:val="INFOEM"/>
      </w:pPr>
      <w:r w:rsidRPr="00E558CB">
        <w:t xml:space="preserve">II.- La aplicación de los instrumentos de política ambiental previstos en las leyes locales en la materia, así como la preservación y restauración del equilibrio ecológico y la protección al ambiente que se realice en bienes y zonas de jurisdicción estatal, en las materias que no estén expresamente atribuidas a la Federación; </w:t>
      </w:r>
    </w:p>
    <w:p w:rsidR="00C25CFE" w:rsidRPr="00E558CB" w:rsidRDefault="00C25CFE" w:rsidP="00C25CFE">
      <w:pPr>
        <w:pStyle w:val="INFOEM"/>
      </w:pPr>
      <w:r w:rsidRPr="00E558CB">
        <w:t xml:space="preserve">(…) </w:t>
      </w:r>
    </w:p>
    <w:p w:rsidR="00C25CFE" w:rsidRPr="00E558CB" w:rsidRDefault="00C25CFE" w:rsidP="00C25CFE">
      <w:pPr>
        <w:pStyle w:val="INFOEM"/>
      </w:pPr>
      <w:r w:rsidRPr="00E558CB">
        <w:t>V.- El establecimiento, regulación, administración y vigilancia de las áreas naturales protegidas previstas en la legislación local, con la participación de los gobiernos municipales;</w:t>
      </w:r>
    </w:p>
    <w:p w:rsidR="00C25CFE" w:rsidRPr="00E558CB" w:rsidRDefault="00C25CFE" w:rsidP="00C25CFE">
      <w:pPr>
        <w:pStyle w:val="INFOEM"/>
        <w:rPr>
          <w:lang w:val="es-ES"/>
        </w:rPr>
      </w:pPr>
      <w:r w:rsidRPr="00E558CB">
        <w:rPr>
          <w:lang w:val="es-ES"/>
        </w:rPr>
        <w:t xml:space="preserve">(…) </w:t>
      </w:r>
    </w:p>
    <w:p w:rsidR="00C25CFE" w:rsidRPr="00E558CB" w:rsidRDefault="00C25CFE" w:rsidP="00C25CFE">
      <w:pPr>
        <w:pStyle w:val="INFOEM"/>
        <w:rPr>
          <w:b/>
          <w:lang w:val="es-ES"/>
        </w:rPr>
      </w:pPr>
      <w:r w:rsidRPr="00E558CB">
        <w:rPr>
          <w:b/>
          <w:lang w:val="es-ES"/>
        </w:rPr>
        <w:t xml:space="preserve">Dicho lo anterior, y respondiendo a su pregunta, son aplicables la fracciones IX y X del artículo 46 de Ley General del Equilibrio Ecológico y la Protección al Ambiente, de acuerdo a lo establecido en el primer párrafo del artículo en comento. </w:t>
      </w:r>
    </w:p>
    <w:p w:rsidR="00C25CFE" w:rsidRPr="00E558CB" w:rsidRDefault="00C25CFE" w:rsidP="00C25CFE">
      <w:pPr>
        <w:pStyle w:val="INFOEM"/>
        <w:jc w:val="center"/>
        <w:rPr>
          <w:lang w:val="es-ES"/>
        </w:rPr>
      </w:pPr>
      <w:r w:rsidRPr="00E558CB">
        <w:rPr>
          <w:lang w:val="es-ES"/>
        </w:rPr>
        <w:t>Tipos y Características de las Áreas Naturales Protegidas</w:t>
      </w:r>
    </w:p>
    <w:p w:rsidR="00C25CFE" w:rsidRPr="00E558CB" w:rsidRDefault="00C25CFE" w:rsidP="00C25CFE">
      <w:pPr>
        <w:pStyle w:val="INFOEM"/>
        <w:rPr>
          <w:lang w:val="es-ES"/>
        </w:rPr>
      </w:pPr>
      <w:r w:rsidRPr="00E558CB">
        <w:rPr>
          <w:lang w:val="es-ES"/>
        </w:rPr>
        <w:t xml:space="preserve">ARTÍCULO 46.- Se consideran áreas naturales protegidas: </w:t>
      </w:r>
    </w:p>
    <w:p w:rsidR="00C25CFE" w:rsidRPr="00E558CB" w:rsidRDefault="00C25CFE" w:rsidP="00C25CFE">
      <w:pPr>
        <w:pStyle w:val="INFOEM"/>
        <w:rPr>
          <w:lang w:val="es-ES"/>
        </w:rPr>
      </w:pPr>
      <w:r w:rsidRPr="00E558CB">
        <w:rPr>
          <w:lang w:val="es-ES"/>
        </w:rPr>
        <w:t xml:space="preserve">I.- Reservas de la biosfera; </w:t>
      </w:r>
    </w:p>
    <w:p w:rsidR="00C25CFE" w:rsidRPr="00E558CB" w:rsidRDefault="00C25CFE" w:rsidP="00C25CFE">
      <w:pPr>
        <w:pStyle w:val="INFOEM"/>
        <w:rPr>
          <w:lang w:val="es-ES"/>
        </w:rPr>
      </w:pPr>
      <w:r w:rsidRPr="00E558CB">
        <w:rPr>
          <w:lang w:val="es-ES"/>
        </w:rPr>
        <w:t xml:space="preserve">II.- Se deroga. </w:t>
      </w:r>
    </w:p>
    <w:p w:rsidR="00C25CFE" w:rsidRPr="00E558CB" w:rsidRDefault="00C25CFE" w:rsidP="00C25CFE">
      <w:pPr>
        <w:pStyle w:val="INFOEM"/>
        <w:rPr>
          <w:lang w:val="es-ES"/>
        </w:rPr>
      </w:pPr>
      <w:r w:rsidRPr="00E558CB">
        <w:rPr>
          <w:lang w:val="es-ES"/>
        </w:rPr>
        <w:lastRenderedPageBreak/>
        <w:t xml:space="preserve">III.- Parques nacionales; </w:t>
      </w:r>
    </w:p>
    <w:p w:rsidR="00C25CFE" w:rsidRPr="00E558CB" w:rsidRDefault="00C25CFE" w:rsidP="00C25CFE">
      <w:pPr>
        <w:pStyle w:val="INFOEM"/>
        <w:rPr>
          <w:lang w:val="es-ES"/>
        </w:rPr>
      </w:pPr>
      <w:r w:rsidRPr="00E558CB">
        <w:rPr>
          <w:lang w:val="es-ES"/>
        </w:rPr>
        <w:t xml:space="preserve">IV.- Monumentos naturales; </w:t>
      </w:r>
    </w:p>
    <w:p w:rsidR="00C25CFE" w:rsidRPr="00E558CB" w:rsidRDefault="00C25CFE" w:rsidP="00C25CFE">
      <w:pPr>
        <w:pStyle w:val="INFOEM"/>
        <w:rPr>
          <w:lang w:val="es-ES"/>
        </w:rPr>
      </w:pPr>
      <w:r w:rsidRPr="00E558CB">
        <w:rPr>
          <w:lang w:val="es-ES"/>
        </w:rPr>
        <w:t xml:space="preserve">V.- Se deroga. </w:t>
      </w:r>
    </w:p>
    <w:p w:rsidR="00C25CFE" w:rsidRPr="00E558CB" w:rsidRDefault="00C25CFE" w:rsidP="00C25CFE">
      <w:pPr>
        <w:pStyle w:val="INFOEM"/>
        <w:rPr>
          <w:lang w:val="es-ES"/>
        </w:rPr>
      </w:pPr>
      <w:r w:rsidRPr="00E558CB">
        <w:rPr>
          <w:lang w:val="es-ES"/>
        </w:rPr>
        <w:t xml:space="preserve">VI.- Áreas de protección de recursos naturales; </w:t>
      </w:r>
    </w:p>
    <w:p w:rsidR="00C25CFE" w:rsidRPr="00E558CB" w:rsidRDefault="00C25CFE" w:rsidP="00C25CFE">
      <w:pPr>
        <w:pStyle w:val="INFOEM"/>
        <w:rPr>
          <w:lang w:val="es-ES"/>
        </w:rPr>
      </w:pPr>
      <w:r w:rsidRPr="00E558CB">
        <w:rPr>
          <w:lang w:val="es-ES"/>
        </w:rPr>
        <w:t xml:space="preserve">VII.- Áreas de protección de flora y fauna; </w:t>
      </w:r>
    </w:p>
    <w:p w:rsidR="00C25CFE" w:rsidRPr="00E558CB" w:rsidRDefault="00C25CFE" w:rsidP="00C25CFE">
      <w:pPr>
        <w:pStyle w:val="INFOEM"/>
        <w:rPr>
          <w:lang w:val="es-ES"/>
        </w:rPr>
      </w:pPr>
      <w:r w:rsidRPr="00E558CB">
        <w:rPr>
          <w:lang w:val="es-ES"/>
        </w:rPr>
        <w:t xml:space="preserve">VIII.- Santuarios; </w:t>
      </w:r>
    </w:p>
    <w:p w:rsidR="00C25CFE" w:rsidRPr="00E558CB" w:rsidRDefault="00C25CFE" w:rsidP="00C25CFE">
      <w:pPr>
        <w:pStyle w:val="INFOEM"/>
        <w:rPr>
          <w:lang w:val="es-ES"/>
        </w:rPr>
      </w:pPr>
      <w:r w:rsidRPr="00E558CB">
        <w:rPr>
          <w:lang w:val="es-ES"/>
        </w:rPr>
        <w:t xml:space="preserve">IX.- Parques y Reservas Estatales, así como las demás categorías que establezcan las legislaciones locales; </w:t>
      </w:r>
    </w:p>
    <w:p w:rsidR="00C25CFE" w:rsidRPr="00E558CB" w:rsidRDefault="00C25CFE" w:rsidP="00C25CFE">
      <w:pPr>
        <w:pStyle w:val="INFOEM"/>
        <w:rPr>
          <w:lang w:val="es-ES"/>
        </w:rPr>
      </w:pPr>
      <w:r w:rsidRPr="00E558CB">
        <w:rPr>
          <w:lang w:val="es-ES"/>
        </w:rPr>
        <w:t xml:space="preserve">X.- Zonas de conservación ecológica municipales, así como las demás categorías que establezcan las legislaciones locales, y </w:t>
      </w:r>
    </w:p>
    <w:p w:rsidR="00C25CFE" w:rsidRPr="00E558CB" w:rsidRDefault="00C25CFE" w:rsidP="00C25CFE">
      <w:pPr>
        <w:pStyle w:val="INFOEM"/>
        <w:rPr>
          <w:lang w:val="es-ES"/>
        </w:rPr>
      </w:pPr>
      <w:r w:rsidRPr="00E558CB">
        <w:rPr>
          <w:lang w:val="es-ES"/>
        </w:rPr>
        <w:t>XI.- Áreas destinadas voluntariamente a la conservación.</w:t>
      </w:r>
    </w:p>
    <w:p w:rsidR="00C25CFE" w:rsidRPr="00E558CB" w:rsidRDefault="00C25CFE" w:rsidP="00C25CFE">
      <w:pPr>
        <w:pStyle w:val="INFOEM"/>
        <w:rPr>
          <w:b/>
          <w:lang w:val="es-ES"/>
        </w:rPr>
      </w:pPr>
      <w:r w:rsidRPr="00E558CB">
        <w:rPr>
          <w:b/>
          <w:lang w:val="es-ES"/>
        </w:rPr>
        <w:t>Para efectos de lo establecido en el presente Capítulo, son de competencia de la Federación las áreas naturales protegidas comprendidas en las fracciones I a VIII y XI anteriormente señaladas.</w:t>
      </w:r>
      <w:r w:rsidR="00465DA0" w:rsidRPr="00E558CB">
        <w:rPr>
          <w:b/>
          <w:lang w:val="es-ES"/>
        </w:rPr>
        <w:t xml:space="preserve"> </w:t>
      </w:r>
    </w:p>
    <w:p w:rsidR="003D64BB" w:rsidRPr="00E558CB" w:rsidRDefault="00465DA0" w:rsidP="00465DA0">
      <w:pPr>
        <w:pStyle w:val="INFOEM"/>
        <w:rPr>
          <w:lang w:val="es-ES"/>
        </w:rPr>
      </w:pPr>
      <w:r w:rsidRPr="00E558CB">
        <w:rPr>
          <w:lang w:val="es-ES"/>
        </w:rPr>
        <w:t>(…)” (Sic)</w:t>
      </w:r>
    </w:p>
    <w:p w:rsidR="003D64BB" w:rsidRPr="00E558CB" w:rsidRDefault="003D64BB" w:rsidP="003D64BB">
      <w:pPr>
        <w:pStyle w:val="Prrafodelista"/>
        <w:spacing w:line="360" w:lineRule="auto"/>
        <w:ind w:left="0"/>
        <w:contextualSpacing/>
        <w:jc w:val="both"/>
        <w:rPr>
          <w:rFonts w:ascii="Palatino Linotype" w:hAnsi="Palatino Linotype"/>
          <w:iCs/>
        </w:rPr>
      </w:pPr>
    </w:p>
    <w:p w:rsidR="003D64BB" w:rsidRPr="00E558CB" w:rsidRDefault="003D64BB" w:rsidP="003D64BB">
      <w:pPr>
        <w:spacing w:line="360" w:lineRule="auto"/>
        <w:jc w:val="both"/>
        <w:rPr>
          <w:rFonts w:ascii="Palatino Linotype" w:hAnsi="Palatino Linotype" w:cs="Arial"/>
        </w:rPr>
      </w:pPr>
      <w:r w:rsidRPr="00E558CB">
        <w:rPr>
          <w:rFonts w:ascii="Palatino Linotype" w:hAnsi="Palatino Linotype" w:cs="Arial"/>
        </w:rPr>
        <w:t>En ese orden de ideas, debemos recordar el contenido del artículo 12 de la Ley de Transparencia local, que establece lo siguiente:</w:t>
      </w:r>
    </w:p>
    <w:p w:rsidR="003D64BB" w:rsidRPr="00E558CB" w:rsidRDefault="003D64BB" w:rsidP="003D64BB">
      <w:pPr>
        <w:spacing w:line="360" w:lineRule="auto"/>
        <w:jc w:val="both"/>
        <w:rPr>
          <w:rFonts w:ascii="Palatino Linotype" w:hAnsi="Palatino Linotype" w:cs="Arial"/>
        </w:rPr>
      </w:pPr>
    </w:p>
    <w:p w:rsidR="003D64BB" w:rsidRPr="00E558CB" w:rsidRDefault="003D64BB" w:rsidP="003D64BB">
      <w:pPr>
        <w:spacing w:line="276" w:lineRule="auto"/>
        <w:ind w:left="567" w:right="616"/>
        <w:jc w:val="both"/>
        <w:rPr>
          <w:rFonts w:ascii="Palatino Linotype" w:hAnsi="Palatino Linotype" w:cs="Arial"/>
          <w:i/>
          <w:sz w:val="22"/>
        </w:rPr>
      </w:pPr>
      <w:r w:rsidRPr="00E558CB">
        <w:rPr>
          <w:rFonts w:ascii="Palatino Linotype" w:hAnsi="Palatino Linotype" w:cs="Arial"/>
          <w:i/>
          <w:sz w:val="22"/>
        </w:rPr>
        <w:lastRenderedPageBreak/>
        <w:t>“</w:t>
      </w:r>
      <w:r w:rsidRPr="00E558CB">
        <w:rPr>
          <w:rFonts w:ascii="Palatino Linotype" w:hAnsi="Palatino Linotype" w:cs="Arial"/>
          <w:b/>
          <w:i/>
          <w:sz w:val="22"/>
        </w:rPr>
        <w:t>Artículo 12.</w:t>
      </w:r>
      <w:r w:rsidRPr="00E558CB">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w:t>
      </w:r>
    </w:p>
    <w:p w:rsidR="003D64BB" w:rsidRPr="00E558CB" w:rsidRDefault="003D64BB" w:rsidP="003D64BB">
      <w:pPr>
        <w:spacing w:line="276" w:lineRule="auto"/>
        <w:ind w:left="567" w:right="616"/>
        <w:jc w:val="both"/>
        <w:rPr>
          <w:rFonts w:ascii="Palatino Linotype" w:hAnsi="Palatino Linotype" w:cs="Arial"/>
          <w:i/>
          <w:sz w:val="22"/>
        </w:rPr>
      </w:pPr>
      <w:r w:rsidRPr="00E558CB">
        <w:rPr>
          <w:rFonts w:ascii="Palatino Linotype" w:hAnsi="Palatino Linotype" w:cs="Arial"/>
          <w:i/>
          <w:sz w:val="22"/>
          <w:u w:val="single"/>
        </w:rPr>
        <w:t>Los sujetos obligados sólo proporcionarán la información pública que se les requiera y que obre en sus archivos y en el estado en que ésta se encuentre.</w:t>
      </w:r>
      <w:r w:rsidRPr="00E558CB">
        <w:rPr>
          <w:rFonts w:ascii="Palatino Linotype" w:hAnsi="Palatino Linotype" w:cs="Arial"/>
          <w:i/>
          <w:sz w:val="22"/>
        </w:rPr>
        <w:t xml:space="preserve"> La obligación de proporcionar información no comprende el procesamiento de la misma, ni el presentarla conforme al interés del solicitante; no estarán obligados a generarla, resumirla, efectuar cálculos o practicar investigaciones.” </w:t>
      </w:r>
    </w:p>
    <w:p w:rsidR="003D64BB" w:rsidRPr="00E558CB" w:rsidRDefault="003D64BB" w:rsidP="003D64BB">
      <w:pPr>
        <w:spacing w:line="276" w:lineRule="auto"/>
        <w:ind w:left="567" w:right="616"/>
        <w:jc w:val="both"/>
        <w:rPr>
          <w:rFonts w:ascii="Palatino Linotype" w:hAnsi="Palatino Linotype" w:cs="Arial"/>
          <w:i/>
          <w:sz w:val="22"/>
        </w:rPr>
      </w:pPr>
    </w:p>
    <w:p w:rsidR="003D64BB" w:rsidRPr="00E558CB" w:rsidRDefault="003D64BB" w:rsidP="003D64BB">
      <w:pPr>
        <w:spacing w:line="276" w:lineRule="auto"/>
        <w:ind w:left="567" w:right="616"/>
        <w:jc w:val="right"/>
        <w:rPr>
          <w:rFonts w:ascii="Palatino Linotype" w:hAnsi="Palatino Linotype" w:cs="Arial"/>
          <w:sz w:val="22"/>
        </w:rPr>
      </w:pPr>
      <w:r w:rsidRPr="00E558CB">
        <w:rPr>
          <w:rFonts w:ascii="Palatino Linotype" w:hAnsi="Palatino Linotype" w:cs="Arial"/>
          <w:sz w:val="22"/>
        </w:rPr>
        <w:t>(Énfasis añadido)</w:t>
      </w:r>
    </w:p>
    <w:p w:rsidR="003D64BB" w:rsidRPr="00E558CB" w:rsidRDefault="003D64BB" w:rsidP="003D64BB">
      <w:pPr>
        <w:spacing w:line="360" w:lineRule="auto"/>
        <w:jc w:val="both"/>
        <w:rPr>
          <w:rFonts w:ascii="Palatino Linotype" w:hAnsi="Palatino Linotype" w:cs="Arial"/>
        </w:rPr>
      </w:pPr>
    </w:p>
    <w:p w:rsidR="003D64BB" w:rsidRPr="00E558CB" w:rsidRDefault="003D64BB" w:rsidP="003D64BB">
      <w:pPr>
        <w:spacing w:line="360" w:lineRule="auto"/>
        <w:jc w:val="both"/>
        <w:rPr>
          <w:rFonts w:ascii="Palatino Linotype" w:hAnsi="Palatino Linotype" w:cs="Arial"/>
          <w:b/>
        </w:rPr>
      </w:pPr>
      <w:r w:rsidRPr="00E558CB">
        <w:rPr>
          <w:rFonts w:ascii="Palatino Linotype" w:hAnsi="Palatino Linotype" w:cs="Arial"/>
        </w:rPr>
        <w:t>Orden normativo que consagra la obligación de los Sujeto Obligados de hacer entrega de la información que se les requiera y que obre en sus archivos en el estado en que ésta se encuentre, sin que comprenda el procesamiento de la misma, ni el presentarla conforme al interés del solicitante.</w:t>
      </w:r>
    </w:p>
    <w:p w:rsidR="003D64BB" w:rsidRPr="00E558CB" w:rsidRDefault="003D64BB" w:rsidP="003D64BB">
      <w:pPr>
        <w:tabs>
          <w:tab w:val="left" w:pos="709"/>
        </w:tabs>
        <w:spacing w:line="360" w:lineRule="auto"/>
        <w:jc w:val="both"/>
        <w:rPr>
          <w:rFonts w:ascii="Palatino Linotype" w:eastAsiaTheme="minorHAnsi" w:hAnsi="Palatino Linotype" w:cs="Arial"/>
          <w:b/>
          <w:lang w:val="es-MX" w:eastAsia="en-US"/>
        </w:rPr>
      </w:pPr>
    </w:p>
    <w:p w:rsidR="000A5EBA" w:rsidRPr="00E558CB" w:rsidRDefault="003D64BB" w:rsidP="003D64BB">
      <w:pPr>
        <w:spacing w:line="360" w:lineRule="auto"/>
        <w:jc w:val="both"/>
        <w:rPr>
          <w:rFonts w:ascii="Palatino Linotype" w:hAnsi="Palatino Linotype"/>
          <w:bCs/>
        </w:rPr>
      </w:pPr>
      <w:r w:rsidRPr="00E558CB">
        <w:rPr>
          <w:rFonts w:ascii="Palatino Linotype" w:hAnsi="Palatino Linotype"/>
          <w:bCs/>
          <w:lang w:val="es-MX"/>
        </w:rPr>
        <w:t xml:space="preserve">Ahora bien, </w:t>
      </w:r>
      <w:r w:rsidRPr="00E558CB">
        <w:rPr>
          <w:rFonts w:ascii="Palatino Linotype" w:hAnsi="Palatino Linotype"/>
          <w:bCs/>
        </w:rPr>
        <w:t xml:space="preserve">inconforme con la respuesta proporcionada, el </w:t>
      </w:r>
      <w:r w:rsidRPr="00E558CB">
        <w:rPr>
          <w:rFonts w:ascii="Palatino Linotype" w:hAnsi="Palatino Linotype"/>
          <w:b/>
          <w:bCs/>
        </w:rPr>
        <w:t>Recurrente</w:t>
      </w:r>
      <w:r w:rsidRPr="00E558CB">
        <w:rPr>
          <w:rFonts w:ascii="Palatino Linotype" w:hAnsi="Palatino Linotype"/>
          <w:bCs/>
        </w:rPr>
        <w:t xml:space="preserve"> interpone el presente recurso de revisión, señalando objetivamente como acto impugnado y razones o motivos de inconformidad “</w:t>
      </w:r>
      <w:r w:rsidR="00465DA0" w:rsidRPr="00E558CB">
        <w:rPr>
          <w:rFonts w:ascii="Palatino Linotype" w:hAnsi="Palatino Linotype"/>
          <w:b/>
          <w:bCs/>
          <w:i/>
          <w:caps/>
        </w:rPr>
        <w:t>Mi solicitud no fue respondida en los tiempos establecidos por ley</w:t>
      </w:r>
      <w:r w:rsidR="00465DA0" w:rsidRPr="00E558CB">
        <w:rPr>
          <w:rFonts w:ascii="Palatino Linotype" w:hAnsi="Palatino Linotype"/>
          <w:bCs/>
          <w:i/>
          <w:caps/>
        </w:rPr>
        <w:t>.</w:t>
      </w:r>
      <w:r w:rsidRPr="00E558CB">
        <w:rPr>
          <w:rFonts w:ascii="Palatino Linotype" w:hAnsi="Palatino Linotype"/>
          <w:bCs/>
          <w:i/>
        </w:rPr>
        <w:t>”</w:t>
      </w:r>
      <w:r w:rsidR="000A5EBA" w:rsidRPr="00E558CB">
        <w:rPr>
          <w:rFonts w:ascii="Palatino Linotype" w:hAnsi="Palatino Linotype"/>
          <w:bCs/>
        </w:rPr>
        <w:t xml:space="preserve"> (</w:t>
      </w:r>
      <w:proofErr w:type="gramStart"/>
      <w:r w:rsidR="000A5EBA" w:rsidRPr="00E558CB">
        <w:rPr>
          <w:rFonts w:ascii="Palatino Linotype" w:hAnsi="Palatino Linotype"/>
          <w:bCs/>
        </w:rPr>
        <w:t>sic</w:t>
      </w:r>
      <w:proofErr w:type="gramEnd"/>
      <w:r w:rsidR="000A5EBA" w:rsidRPr="00E558CB">
        <w:rPr>
          <w:rFonts w:ascii="Palatino Linotype" w:hAnsi="Palatino Linotype"/>
          <w:bCs/>
        </w:rPr>
        <w:t>).</w:t>
      </w:r>
    </w:p>
    <w:p w:rsidR="000A5EBA" w:rsidRPr="00E558CB" w:rsidRDefault="000A5EBA" w:rsidP="003D64BB">
      <w:pPr>
        <w:spacing w:line="360" w:lineRule="auto"/>
        <w:jc w:val="both"/>
        <w:rPr>
          <w:rFonts w:ascii="Palatino Linotype" w:hAnsi="Palatino Linotype"/>
          <w:bCs/>
        </w:rPr>
      </w:pPr>
    </w:p>
    <w:p w:rsidR="000A5EBA" w:rsidRPr="00E558CB" w:rsidRDefault="000A5EBA" w:rsidP="003D64BB">
      <w:pPr>
        <w:spacing w:line="360" w:lineRule="auto"/>
        <w:jc w:val="both"/>
        <w:rPr>
          <w:rFonts w:ascii="Palatino Linotype" w:hAnsi="Palatino Linotype"/>
          <w:bCs/>
        </w:rPr>
      </w:pPr>
      <w:r w:rsidRPr="00E558CB">
        <w:rPr>
          <w:rFonts w:ascii="Palatino Linotype" w:hAnsi="Palatino Linotype"/>
          <w:bCs/>
        </w:rPr>
        <w:t>De las manifestaciones del Recurrente y de las constancias que obran en el SAIMEX, se observa que la solicitud ingreso el siete de agosto del presente año, mientras que la respuesta se dio el ocho de agosto, es decir, al día siguiente, tal como se observa:</w:t>
      </w:r>
    </w:p>
    <w:p w:rsidR="000A5EBA" w:rsidRPr="00E558CB" w:rsidRDefault="000A5EBA" w:rsidP="003D64BB">
      <w:pPr>
        <w:spacing w:line="360" w:lineRule="auto"/>
        <w:jc w:val="both"/>
        <w:rPr>
          <w:rFonts w:ascii="Palatino Linotype" w:hAnsi="Palatino Linotype"/>
          <w:bCs/>
        </w:rPr>
      </w:pPr>
    </w:p>
    <w:p w:rsidR="000A5EBA" w:rsidRPr="00E558CB" w:rsidRDefault="000A5EBA" w:rsidP="003D64BB">
      <w:pPr>
        <w:spacing w:line="360" w:lineRule="auto"/>
        <w:jc w:val="both"/>
        <w:rPr>
          <w:rFonts w:ascii="Palatino Linotype" w:hAnsi="Palatino Linotype"/>
          <w:bCs/>
        </w:rPr>
      </w:pPr>
      <w:r w:rsidRPr="00E558CB">
        <w:rPr>
          <w:rFonts w:ascii="Palatino Linotype" w:hAnsi="Palatino Linotype"/>
          <w:bCs/>
          <w:noProof/>
          <w:lang w:val="es-MX" w:eastAsia="es-MX"/>
        </w:rPr>
        <w:lastRenderedPageBreak/>
        <mc:AlternateContent>
          <mc:Choice Requires="wps">
            <w:drawing>
              <wp:anchor distT="0" distB="0" distL="114300" distR="114300" simplePos="0" relativeHeight="251659264" behindDoc="0" locked="0" layoutInCell="1" allowOverlap="1">
                <wp:simplePos x="0" y="0"/>
                <wp:positionH relativeFrom="column">
                  <wp:posOffset>1310640</wp:posOffset>
                </wp:positionH>
                <wp:positionV relativeFrom="paragraph">
                  <wp:posOffset>540385</wp:posOffset>
                </wp:positionV>
                <wp:extent cx="476250" cy="419100"/>
                <wp:effectExtent l="19050" t="19050" r="19050" b="19050"/>
                <wp:wrapNone/>
                <wp:docPr id="2" name="Rectángulo 2"/>
                <wp:cNvGraphicFramePr/>
                <a:graphic xmlns:a="http://schemas.openxmlformats.org/drawingml/2006/main">
                  <a:graphicData uri="http://schemas.microsoft.com/office/word/2010/wordprocessingShape">
                    <wps:wsp>
                      <wps:cNvSpPr/>
                      <wps:spPr>
                        <a:xfrm>
                          <a:off x="0" y="0"/>
                          <a:ext cx="476250" cy="4191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5A74A8F" id="Rectángulo 2" o:spid="_x0000_s1026" style="position:absolute;margin-left:103.2pt;margin-top:42.55pt;width:3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" filled="f" strokecolor="red" strokeweight="2.25pt"/>
            </w:pict>
          </mc:Fallback>
        </mc:AlternateContent>
      </w:r>
      <w:r w:rsidRPr="00E558CB">
        <w:rPr>
          <w:rFonts w:ascii="Palatino Linotype" w:hAnsi="Palatino Linotype"/>
          <w:bCs/>
          <w:noProof/>
          <w:lang w:val="es-MX" w:eastAsia="es-MX"/>
        </w:rPr>
        <w:drawing>
          <wp:inline distT="0" distB="0" distL="0" distR="0" wp14:anchorId="2DB4F74B" wp14:editId="7D15E821">
            <wp:extent cx="5791835" cy="12452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245235"/>
                    </a:xfrm>
                    <a:prstGeom prst="rect">
                      <a:avLst/>
                    </a:prstGeom>
                  </pic:spPr>
                </pic:pic>
              </a:graphicData>
            </a:graphic>
          </wp:inline>
        </w:drawing>
      </w:r>
    </w:p>
    <w:p w:rsidR="000A5EBA" w:rsidRPr="00E558CB" w:rsidRDefault="000A5EBA" w:rsidP="003D64BB">
      <w:pPr>
        <w:spacing w:line="360" w:lineRule="auto"/>
        <w:jc w:val="both"/>
        <w:rPr>
          <w:rFonts w:ascii="Palatino Linotype" w:hAnsi="Palatino Linotype"/>
          <w:bCs/>
        </w:rPr>
      </w:pPr>
    </w:p>
    <w:p w:rsidR="000A5EBA" w:rsidRPr="00E558CB" w:rsidRDefault="000A5EBA" w:rsidP="003D64BB">
      <w:pPr>
        <w:spacing w:line="360" w:lineRule="auto"/>
        <w:jc w:val="both"/>
        <w:rPr>
          <w:rFonts w:ascii="Palatino Linotype" w:hAnsi="Palatino Linotype"/>
          <w:bCs/>
        </w:rPr>
      </w:pPr>
      <w:r w:rsidRPr="00E558CB">
        <w:rPr>
          <w:rFonts w:ascii="Palatino Linotype" w:hAnsi="Palatino Linotype"/>
          <w:bCs/>
        </w:rPr>
        <w:t>Ahora bien, la Ley de Transparencia y Acceso a la Información Pública del Estado de México y Municipios establece que</w:t>
      </w:r>
      <w:r w:rsidR="00D17E25" w:rsidRPr="00E558CB">
        <w:rPr>
          <w:rFonts w:ascii="Palatino Linotype" w:hAnsi="Palatino Linotype"/>
          <w:bCs/>
        </w:rPr>
        <w:t>,</w:t>
      </w:r>
      <w:r w:rsidRPr="00E558CB">
        <w:rPr>
          <w:rFonts w:ascii="Palatino Linotype" w:hAnsi="Palatino Linotype"/>
          <w:bCs/>
        </w:rPr>
        <w:t xml:space="preserve"> la Unidad de Transparencia</w:t>
      </w:r>
      <w:r w:rsidR="00D17E25" w:rsidRPr="00E558CB">
        <w:rPr>
          <w:rFonts w:ascii="Palatino Linotype" w:hAnsi="Palatino Linotype"/>
          <w:bCs/>
        </w:rPr>
        <w:t xml:space="preserve"> notificar al solicitante la respuesta en un plazo que no podrá exceder de quince días hábiles, tal como se transcribe:</w:t>
      </w:r>
    </w:p>
    <w:p w:rsidR="00D17E25" w:rsidRPr="00E558CB" w:rsidRDefault="00D17E25" w:rsidP="00D17E25">
      <w:pPr>
        <w:pStyle w:val="Citas"/>
      </w:pPr>
      <w:r w:rsidRPr="00E558CB">
        <w:rPr>
          <w:b/>
        </w:rPr>
        <w:t>Artículo 163.</w:t>
      </w:r>
      <w:r w:rsidRPr="00E558CB">
        <w:t xml:space="preserve"> La Unidad de Transparencia deberá </w:t>
      </w:r>
      <w:r w:rsidRPr="00E558CB">
        <w:rPr>
          <w:b/>
        </w:rPr>
        <w:t>notificar la respuesta a la solicitud</w:t>
      </w:r>
      <w:r w:rsidRPr="00E558CB">
        <w:t xml:space="preserve"> al interesado en el menor tiempo posible, que no podrá exceder de </w:t>
      </w:r>
      <w:r w:rsidRPr="00E558CB">
        <w:rPr>
          <w:b/>
          <w:u w:val="single"/>
        </w:rPr>
        <w:t>quince días hábiles</w:t>
      </w:r>
      <w:r w:rsidRPr="00E558CB">
        <w:t>, contados a partir del día siguiente a la presentación de aquélla.</w:t>
      </w:r>
    </w:p>
    <w:p w:rsidR="000A5EBA" w:rsidRPr="00E558CB" w:rsidRDefault="000A5EBA" w:rsidP="003D64BB">
      <w:pPr>
        <w:spacing w:line="360" w:lineRule="auto"/>
        <w:jc w:val="both"/>
        <w:rPr>
          <w:rFonts w:ascii="Palatino Linotype" w:hAnsi="Palatino Linotype"/>
          <w:bCs/>
        </w:rPr>
      </w:pPr>
    </w:p>
    <w:p w:rsidR="003D64BB" w:rsidRPr="00E558CB" w:rsidRDefault="000A5EBA" w:rsidP="003D64BB">
      <w:pPr>
        <w:spacing w:line="360" w:lineRule="auto"/>
        <w:jc w:val="both"/>
        <w:rPr>
          <w:rFonts w:ascii="Palatino Linotype" w:hAnsi="Palatino Linotype"/>
          <w:bCs/>
          <w:i/>
        </w:rPr>
      </w:pPr>
      <w:r w:rsidRPr="00E558CB">
        <w:rPr>
          <w:rFonts w:ascii="Palatino Linotype" w:hAnsi="Palatino Linotype"/>
          <w:bCs/>
        </w:rPr>
        <w:t>A</w:t>
      </w:r>
      <w:r w:rsidR="003D64BB" w:rsidRPr="00E558CB">
        <w:rPr>
          <w:rFonts w:ascii="Palatino Linotype" w:hAnsi="Palatino Linotype"/>
          <w:bCs/>
        </w:rPr>
        <w:t>nte ello se destaca que dichos señalamientos resultan improcedentes para la interposición del recurso de revisión</w:t>
      </w:r>
      <w:r w:rsidR="00465DA0" w:rsidRPr="00E558CB">
        <w:rPr>
          <w:rFonts w:ascii="Palatino Linotype" w:hAnsi="Palatino Linotype"/>
          <w:bCs/>
        </w:rPr>
        <w:t>, ello con base en la fracción III</w:t>
      </w:r>
      <w:r w:rsidR="003D64BB" w:rsidRPr="00E558CB">
        <w:rPr>
          <w:rFonts w:ascii="Palatino Linotype" w:hAnsi="Palatino Linotype"/>
          <w:bCs/>
        </w:rPr>
        <w:t xml:space="preserve"> del artículo 191 de la citada Ley de Transparencia Local, que consagra:</w:t>
      </w:r>
    </w:p>
    <w:p w:rsidR="003D64BB" w:rsidRPr="00E558CB" w:rsidRDefault="003D64BB" w:rsidP="003D64BB">
      <w:pPr>
        <w:spacing w:line="360" w:lineRule="auto"/>
        <w:jc w:val="both"/>
        <w:rPr>
          <w:rFonts w:ascii="Palatino Linotype" w:hAnsi="Palatino Linotype"/>
          <w:bCs/>
        </w:rPr>
      </w:pPr>
    </w:p>
    <w:p w:rsidR="003D64BB" w:rsidRPr="00E558CB" w:rsidRDefault="003D64BB" w:rsidP="003D64BB">
      <w:pPr>
        <w:pStyle w:val="Citas"/>
      </w:pPr>
      <w:r w:rsidRPr="00E558CB">
        <w:t xml:space="preserve">“Artículo 191. El recurso será desechado por improcedente cuando: </w:t>
      </w:r>
      <w:r w:rsidRPr="00E558CB">
        <w:tab/>
      </w:r>
    </w:p>
    <w:p w:rsidR="003D64BB" w:rsidRPr="00E558CB" w:rsidRDefault="003D64BB" w:rsidP="003D64BB">
      <w:pPr>
        <w:pStyle w:val="Citas"/>
        <w:numPr>
          <w:ilvl w:val="0"/>
          <w:numId w:val="2"/>
        </w:numPr>
        <w:rPr>
          <w:rFonts w:cs="Times New Roman"/>
          <w:lang w:val="es-ES" w:eastAsia="es-ES"/>
        </w:rPr>
      </w:pPr>
      <w:r w:rsidRPr="00E558CB">
        <w:rPr>
          <w:rFonts w:cs="Times New Roman"/>
          <w:lang w:val="es-ES" w:eastAsia="es-ES"/>
        </w:rPr>
        <w:t xml:space="preserve">Sea extemporáneo por haber transcurrido el plazo establecido en la presente Ley, a partir de la respuesta; </w:t>
      </w:r>
    </w:p>
    <w:p w:rsidR="003D64BB" w:rsidRPr="00E558CB" w:rsidRDefault="003D64BB" w:rsidP="003D64BB">
      <w:pPr>
        <w:pStyle w:val="Citas"/>
        <w:numPr>
          <w:ilvl w:val="0"/>
          <w:numId w:val="2"/>
        </w:numPr>
        <w:rPr>
          <w:lang w:val="es-ES" w:eastAsia="es-ES"/>
        </w:rPr>
      </w:pPr>
      <w:r w:rsidRPr="00E558CB">
        <w:rPr>
          <w:rFonts w:cs="Times New Roman"/>
          <w:lang w:val="es-ES" w:eastAsia="es-ES"/>
        </w:rPr>
        <w:t xml:space="preserve">Se esté tramitando ante el Poder Judicial de la Federación algún recurso o medio de defensa interpuesto por el recurrente; </w:t>
      </w:r>
    </w:p>
    <w:p w:rsidR="003D64BB" w:rsidRPr="00E558CB" w:rsidRDefault="003D64BB" w:rsidP="003D64BB">
      <w:pPr>
        <w:pStyle w:val="Citas"/>
        <w:numPr>
          <w:ilvl w:val="0"/>
          <w:numId w:val="2"/>
        </w:numPr>
        <w:rPr>
          <w:b/>
          <w:u w:val="single"/>
          <w:lang w:val="es-ES" w:eastAsia="es-ES"/>
        </w:rPr>
      </w:pPr>
      <w:r w:rsidRPr="00E558CB">
        <w:rPr>
          <w:rFonts w:cs="Times New Roman"/>
          <w:b/>
          <w:u w:val="single"/>
          <w:lang w:val="es-ES" w:eastAsia="es-ES"/>
        </w:rPr>
        <w:lastRenderedPageBreak/>
        <w:t xml:space="preserve">No actualice alguno de los supuestos previstos en la presente Ley; </w:t>
      </w:r>
    </w:p>
    <w:p w:rsidR="003D64BB" w:rsidRPr="00E558CB" w:rsidRDefault="003D64BB" w:rsidP="003D64BB">
      <w:pPr>
        <w:pStyle w:val="Citas"/>
        <w:numPr>
          <w:ilvl w:val="0"/>
          <w:numId w:val="2"/>
        </w:numPr>
        <w:rPr>
          <w:lang w:val="es-ES" w:eastAsia="es-ES"/>
        </w:rPr>
      </w:pPr>
      <w:r w:rsidRPr="00E558CB">
        <w:rPr>
          <w:rFonts w:cs="Times New Roman"/>
          <w:lang w:val="es-ES" w:eastAsia="es-ES"/>
        </w:rPr>
        <w:t xml:space="preserve">No se haya desahogado la prevención en los términos establecidos en la presente Ley; </w:t>
      </w:r>
    </w:p>
    <w:p w:rsidR="003D64BB" w:rsidRPr="00E558CB" w:rsidRDefault="003D64BB" w:rsidP="003D64BB">
      <w:pPr>
        <w:pStyle w:val="Citas"/>
        <w:numPr>
          <w:ilvl w:val="0"/>
          <w:numId w:val="2"/>
        </w:numPr>
        <w:rPr>
          <w:lang w:val="es-ES" w:eastAsia="es-ES"/>
        </w:rPr>
      </w:pPr>
      <w:r w:rsidRPr="00E558CB">
        <w:rPr>
          <w:rFonts w:cs="Times New Roman"/>
          <w:lang w:val="es-ES" w:eastAsia="es-ES"/>
        </w:rPr>
        <w:t xml:space="preserve">Se impugne la veracidad de la información proporcionada; </w:t>
      </w:r>
    </w:p>
    <w:p w:rsidR="003D64BB" w:rsidRPr="00E558CB" w:rsidRDefault="003D64BB" w:rsidP="003D64BB">
      <w:pPr>
        <w:pStyle w:val="Citas"/>
        <w:numPr>
          <w:ilvl w:val="0"/>
          <w:numId w:val="2"/>
        </w:numPr>
        <w:rPr>
          <w:bCs/>
          <w:lang w:val="es-ES" w:eastAsia="es-ES"/>
        </w:rPr>
      </w:pPr>
      <w:r w:rsidRPr="00E558CB">
        <w:rPr>
          <w:rFonts w:cs="Times New Roman"/>
          <w:bCs/>
          <w:lang w:val="es-ES" w:eastAsia="es-ES"/>
        </w:rPr>
        <w:t xml:space="preserve">Se trate de una consulta, o trámite en específico; y </w:t>
      </w:r>
    </w:p>
    <w:p w:rsidR="003D64BB" w:rsidRPr="00E558CB" w:rsidRDefault="003D64BB" w:rsidP="003D64BB">
      <w:pPr>
        <w:pStyle w:val="Citas"/>
        <w:numPr>
          <w:ilvl w:val="0"/>
          <w:numId w:val="2"/>
        </w:numPr>
        <w:rPr>
          <w:lang w:val="es-ES" w:eastAsia="es-ES"/>
        </w:rPr>
      </w:pPr>
      <w:r w:rsidRPr="00E558CB">
        <w:rPr>
          <w:rFonts w:cs="Times New Roman"/>
          <w:lang w:val="es-ES" w:eastAsia="es-ES"/>
        </w:rPr>
        <w:t xml:space="preserve">El recurrente amplíe su solicitud en el recurso de revisión, únicamente respecto de los nuevos contenidos.” </w:t>
      </w:r>
      <w:r w:rsidRPr="00E558CB">
        <w:rPr>
          <w:rFonts w:cs="Times New Roman"/>
          <w:b/>
          <w:bCs/>
          <w:lang w:val="es-ES" w:eastAsia="es-ES"/>
        </w:rPr>
        <w:t>(Sic)</w:t>
      </w:r>
    </w:p>
    <w:p w:rsidR="003D64BB" w:rsidRPr="00E558CB" w:rsidRDefault="003D64BB" w:rsidP="003D64BB">
      <w:pPr>
        <w:spacing w:line="360" w:lineRule="auto"/>
        <w:jc w:val="both"/>
        <w:rPr>
          <w:rFonts w:ascii="Palatino Linotype" w:hAnsi="Palatino Linotype"/>
          <w:bCs/>
        </w:rPr>
      </w:pPr>
    </w:p>
    <w:p w:rsidR="003D64BB" w:rsidRPr="00E558CB" w:rsidRDefault="003D64BB" w:rsidP="001E5772">
      <w:pPr>
        <w:spacing w:line="360" w:lineRule="auto"/>
        <w:jc w:val="both"/>
        <w:rPr>
          <w:rFonts w:ascii="Palatino Linotype" w:hAnsi="Palatino Linotype"/>
          <w:bCs/>
        </w:rPr>
      </w:pPr>
      <w:r w:rsidRPr="00E558CB">
        <w:rPr>
          <w:rFonts w:ascii="Palatino Linotype" w:hAnsi="Palatino Linotype"/>
          <w:bCs/>
        </w:rPr>
        <w:t>Podemos concluir entonces que, en el presente asunto, se actualiza la causal de sobreseimiento prevista en la fracción IV del artículo 192, de la Ley de Transparencia y Acceso a información Pública del Estado de México y Municipios, que disponen lo siguiente:</w:t>
      </w:r>
    </w:p>
    <w:p w:rsidR="003D64BB" w:rsidRPr="00E558CB" w:rsidRDefault="003D64BB" w:rsidP="001E5772">
      <w:pPr>
        <w:spacing w:line="360" w:lineRule="auto"/>
        <w:jc w:val="both"/>
        <w:rPr>
          <w:rFonts w:ascii="Palatino Linotype" w:hAnsi="Palatino Linotype"/>
          <w:bCs/>
        </w:rPr>
      </w:pPr>
    </w:p>
    <w:p w:rsidR="003D64BB" w:rsidRPr="00E558CB" w:rsidRDefault="003D64BB" w:rsidP="001E5772">
      <w:pPr>
        <w:pStyle w:val="Citas"/>
        <w:spacing w:before="0" w:after="0"/>
        <w:rPr>
          <w:lang w:val="es-ES" w:eastAsia="es-ES"/>
        </w:rPr>
      </w:pPr>
      <w:r w:rsidRPr="00E558CB">
        <w:rPr>
          <w:lang w:val="es-ES" w:eastAsia="es-ES"/>
        </w:rPr>
        <w:t xml:space="preserve"> “Artículo 192. El recurso será sobreseído, en todo o en parte, cuando una vez admitido, se actualicen alguno de los siguientes supuestos:</w:t>
      </w:r>
    </w:p>
    <w:p w:rsidR="003D64BB" w:rsidRPr="00E558CB" w:rsidRDefault="003D64BB" w:rsidP="003D64BB">
      <w:pPr>
        <w:pStyle w:val="Citas"/>
        <w:numPr>
          <w:ilvl w:val="0"/>
          <w:numId w:val="3"/>
        </w:numPr>
        <w:rPr>
          <w:lang w:val="es-ES" w:eastAsia="es-ES"/>
        </w:rPr>
      </w:pPr>
      <w:r w:rsidRPr="00E558CB">
        <w:rPr>
          <w:lang w:val="es-ES" w:eastAsia="es-ES"/>
        </w:rPr>
        <w:t xml:space="preserve">El recurrente se desista expresamente del recurso; </w:t>
      </w:r>
    </w:p>
    <w:p w:rsidR="003D64BB" w:rsidRPr="00E558CB" w:rsidRDefault="003D64BB" w:rsidP="003D64BB">
      <w:pPr>
        <w:pStyle w:val="Citas"/>
        <w:numPr>
          <w:ilvl w:val="0"/>
          <w:numId w:val="3"/>
        </w:numPr>
        <w:rPr>
          <w:lang w:val="es-ES" w:eastAsia="es-ES"/>
        </w:rPr>
      </w:pPr>
      <w:r w:rsidRPr="00E558CB">
        <w:rPr>
          <w:lang w:val="es-ES" w:eastAsia="es-ES"/>
        </w:rPr>
        <w:t xml:space="preserve">El recurrente fallezca o, tratándose de personas jurídicas colectivas, se disuelva; </w:t>
      </w:r>
    </w:p>
    <w:p w:rsidR="003D64BB" w:rsidRPr="00E558CB" w:rsidRDefault="003D64BB" w:rsidP="003D64BB">
      <w:pPr>
        <w:pStyle w:val="Citas"/>
        <w:numPr>
          <w:ilvl w:val="0"/>
          <w:numId w:val="3"/>
        </w:numPr>
        <w:rPr>
          <w:lang w:val="es-ES" w:eastAsia="es-ES"/>
        </w:rPr>
      </w:pPr>
      <w:r w:rsidRPr="00E558CB">
        <w:rPr>
          <w:lang w:val="es-ES" w:eastAsia="es-ES"/>
        </w:rPr>
        <w:t xml:space="preserve">El sujeto obligado responsable del acto lo modifique o revoque de tal manera que el recurso de revisión quede sin materia; </w:t>
      </w:r>
    </w:p>
    <w:p w:rsidR="003D64BB" w:rsidRPr="00E558CB" w:rsidRDefault="003D64BB" w:rsidP="003D64BB">
      <w:pPr>
        <w:pStyle w:val="Citas"/>
        <w:numPr>
          <w:ilvl w:val="0"/>
          <w:numId w:val="3"/>
        </w:numPr>
        <w:rPr>
          <w:b/>
          <w:bCs/>
          <w:u w:val="single"/>
          <w:lang w:val="es-ES" w:eastAsia="es-ES"/>
        </w:rPr>
      </w:pPr>
      <w:r w:rsidRPr="00E558CB">
        <w:rPr>
          <w:b/>
          <w:bCs/>
          <w:u w:val="single"/>
          <w:lang w:val="es-ES" w:eastAsia="es-ES"/>
        </w:rPr>
        <w:lastRenderedPageBreak/>
        <w:t xml:space="preserve">Admitido el recurso de revisión, aparezca alguna causal de improcedencia en los términos de la presente Ley; y </w:t>
      </w:r>
    </w:p>
    <w:p w:rsidR="003D64BB" w:rsidRPr="00E558CB" w:rsidRDefault="003D64BB" w:rsidP="003D64BB">
      <w:pPr>
        <w:pStyle w:val="Citas"/>
        <w:numPr>
          <w:ilvl w:val="0"/>
          <w:numId w:val="3"/>
        </w:numPr>
        <w:rPr>
          <w:lang w:val="es-ES" w:eastAsia="es-ES"/>
        </w:rPr>
      </w:pPr>
      <w:r w:rsidRPr="00E558CB">
        <w:rPr>
          <w:lang w:val="es-ES" w:eastAsia="es-ES"/>
        </w:rPr>
        <w:t xml:space="preserve">Cuando por cualquier motivo quede sin materia el recurso.” </w:t>
      </w:r>
      <w:r w:rsidRPr="00E558CB">
        <w:rPr>
          <w:b/>
          <w:bCs/>
          <w:lang w:val="es-ES" w:eastAsia="es-ES"/>
        </w:rPr>
        <w:t>(Sic)</w:t>
      </w:r>
    </w:p>
    <w:p w:rsidR="003D64BB" w:rsidRPr="00E558CB" w:rsidRDefault="003D64BB" w:rsidP="003D64BB">
      <w:pPr>
        <w:autoSpaceDE w:val="0"/>
        <w:autoSpaceDN w:val="0"/>
        <w:adjustRightInd w:val="0"/>
        <w:spacing w:line="360" w:lineRule="auto"/>
        <w:jc w:val="both"/>
        <w:rPr>
          <w:rFonts w:ascii="Palatino Linotype" w:hAnsi="Palatino Linotype" w:cs="Arial"/>
        </w:rPr>
      </w:pPr>
    </w:p>
    <w:p w:rsidR="003D64BB" w:rsidRPr="00E558CB" w:rsidRDefault="003D64BB" w:rsidP="003D64BB">
      <w:pPr>
        <w:autoSpaceDE w:val="0"/>
        <w:autoSpaceDN w:val="0"/>
        <w:adjustRightInd w:val="0"/>
        <w:spacing w:line="360" w:lineRule="auto"/>
        <w:jc w:val="both"/>
        <w:rPr>
          <w:rFonts w:ascii="Palatino Linotype" w:hAnsi="Palatino Linotype"/>
        </w:rPr>
      </w:pPr>
      <w:r w:rsidRPr="00E558CB">
        <w:rPr>
          <w:rFonts w:ascii="Palatino Linotype" w:hAnsi="Palatino Linotype"/>
        </w:rPr>
        <w:t xml:space="preserve">Es importante resaltar a manera de analogía que la Suprema Corte de Justicia de la Nación mediante el número 2, de la Serie </w:t>
      </w:r>
      <w:r w:rsidRPr="00E558CB">
        <w:rPr>
          <w:rFonts w:ascii="Palatino Linotype" w:hAnsi="Palatino Linotype"/>
          <w:b/>
          <w:bCs/>
          <w:i/>
        </w:rPr>
        <w:t>Estudios Introductorios sobre el Juicio de Amparo</w:t>
      </w:r>
      <w:r w:rsidRPr="00E558CB">
        <w:rPr>
          <w:rFonts w:ascii="Palatino Linotype" w:hAnsi="Palatino Linotype"/>
          <w:i/>
        </w:rPr>
        <w:t xml:space="preserve"> </w:t>
      </w:r>
      <w:r w:rsidRPr="00E558CB">
        <w:rPr>
          <w:rFonts w:ascii="Palatino Linotype" w:hAnsi="Palatino Linotype"/>
        </w:rPr>
        <w:t xml:space="preserve">relativo a </w:t>
      </w:r>
      <w:r w:rsidRPr="00E558CB">
        <w:rPr>
          <w:rFonts w:ascii="Palatino Linotype" w:hAnsi="Palatino Linotype"/>
          <w:b/>
          <w:bCs/>
          <w:i/>
        </w:rPr>
        <w:t>LA IMPROCEDENCIA DE LA ACCIÓN DE AMPARO</w:t>
      </w:r>
      <w:r w:rsidRPr="00E558CB">
        <w:rPr>
          <w:rFonts w:ascii="Palatino Linotype" w:hAnsi="Palatino Linotype"/>
          <w:i/>
        </w:rPr>
        <w:t xml:space="preserve"> </w:t>
      </w:r>
      <w:r w:rsidRPr="00E558CB">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E558CB">
        <w:rPr>
          <w:rFonts w:ascii="Palatino Linotype" w:hAnsi="Palatino Linotype"/>
          <w:b/>
          <w:u w:val="single"/>
        </w:rPr>
        <w:t>lo que generará que la demanda sea desechada; o bien, después de admitida la demanda, lo que tendrá como consecuencia que se sobresea en el juicio.</w:t>
      </w:r>
    </w:p>
    <w:p w:rsidR="003D64BB" w:rsidRPr="00E558CB" w:rsidRDefault="003D64BB" w:rsidP="003D64BB"/>
    <w:p w:rsidR="003D64BB" w:rsidRPr="00E558CB" w:rsidRDefault="003D64BB" w:rsidP="003D64BB">
      <w:pPr>
        <w:spacing w:line="360" w:lineRule="auto"/>
        <w:jc w:val="both"/>
        <w:rPr>
          <w:rFonts w:ascii="Palatino Linotype" w:eastAsiaTheme="minorEastAsia" w:hAnsi="Palatino Linotype"/>
          <w:lang w:val="es-ES_tradnl"/>
        </w:rPr>
      </w:pPr>
      <w:r w:rsidRPr="00E558CB">
        <w:rPr>
          <w:rFonts w:ascii="Palatino Linotype" w:hAnsi="Palatino Linotype"/>
          <w:bCs/>
        </w:rPr>
        <w:t xml:space="preserve">Por lo que </w:t>
      </w:r>
      <w:r w:rsidRPr="00E558CB">
        <w:rPr>
          <w:rFonts w:ascii="Palatino Linotype" w:eastAsiaTheme="minorEastAsia" w:hAnsi="Palatino Linotype" w:cs="Arial"/>
          <w:b/>
          <w:lang w:val="es-ES_tradnl"/>
        </w:rPr>
        <w:t xml:space="preserve">con fundamento en la segunda hipótesis de la fracción I del artículo 186, </w:t>
      </w:r>
      <w:r w:rsidRPr="00E558CB">
        <w:rPr>
          <w:rFonts w:ascii="Palatino Linotype" w:eastAsiaTheme="minorEastAsia" w:hAnsi="Palatino Linotype" w:cs="Arial"/>
          <w:lang w:val="es-ES_tradnl"/>
        </w:rPr>
        <w:t xml:space="preserve">de la Ley de Transparencia y Acceso a la Información Pública del Estado de México y Municipios, se </w:t>
      </w:r>
      <w:r w:rsidRPr="00E558CB">
        <w:rPr>
          <w:rFonts w:ascii="Palatino Linotype" w:eastAsiaTheme="minorEastAsia" w:hAnsi="Palatino Linotype" w:cs="Arial"/>
          <w:b/>
          <w:lang w:val="es-ES_tradnl"/>
        </w:rPr>
        <w:t xml:space="preserve">SOBRESEE </w:t>
      </w:r>
      <w:r w:rsidRPr="00E558CB">
        <w:rPr>
          <w:rFonts w:ascii="Palatino Linotype" w:eastAsiaTheme="minorEastAsia" w:hAnsi="Palatino Linotype" w:cs="Arial"/>
          <w:lang w:val="es-ES_tradnl"/>
        </w:rPr>
        <w:t xml:space="preserve">el recurso de revisión </w:t>
      </w:r>
      <w:r w:rsidR="001E5772" w:rsidRPr="00E558CB">
        <w:rPr>
          <w:rFonts w:ascii="Palatino Linotype" w:eastAsiaTheme="minorEastAsia" w:hAnsi="Palatino Linotype" w:cs="Arial"/>
          <w:b/>
          <w:lang w:val="es-ES_tradnl"/>
        </w:rPr>
        <w:t>0</w:t>
      </w:r>
      <w:r w:rsidRPr="00E558CB">
        <w:rPr>
          <w:rFonts w:ascii="Palatino Linotype" w:hAnsi="Palatino Linotype"/>
          <w:b/>
          <w:bCs/>
        </w:rPr>
        <w:t>5160/INFOEM/IP/RR/2024</w:t>
      </w:r>
      <w:r w:rsidRPr="00E558CB">
        <w:rPr>
          <w:rFonts w:ascii="Palatino Linotype" w:eastAsiaTheme="minorEastAsia" w:hAnsi="Palatino Linotype" w:cs="Arial"/>
          <w:lang w:val="es-ES_tradnl"/>
        </w:rPr>
        <w:t>,</w:t>
      </w:r>
      <w:r w:rsidRPr="00E558CB">
        <w:rPr>
          <w:rFonts w:ascii="Palatino Linotype" w:eastAsiaTheme="minorEastAsia" w:hAnsi="Palatino Linotype"/>
          <w:lang w:val="es-ES_tradnl"/>
        </w:rPr>
        <w:t xml:space="preserve"> que ha sido materia del presente fallo.</w:t>
      </w:r>
    </w:p>
    <w:p w:rsidR="003D64BB" w:rsidRPr="00E558CB" w:rsidRDefault="003D64BB" w:rsidP="003D64BB">
      <w:pPr>
        <w:spacing w:line="360" w:lineRule="auto"/>
        <w:jc w:val="both"/>
        <w:rPr>
          <w:rFonts w:ascii="Palatino Linotype" w:hAnsi="Palatino Linotype"/>
          <w:lang w:val="es-ES_tradnl"/>
        </w:rPr>
      </w:pPr>
    </w:p>
    <w:p w:rsidR="003D64BB" w:rsidRPr="00E558CB" w:rsidRDefault="003D64BB" w:rsidP="003D64BB">
      <w:pPr>
        <w:spacing w:line="360" w:lineRule="auto"/>
        <w:jc w:val="both"/>
        <w:rPr>
          <w:rFonts w:ascii="Palatino Linotype" w:hAnsi="Palatino Linotype"/>
        </w:rPr>
      </w:pPr>
      <w:r w:rsidRPr="00E558CB">
        <w:rPr>
          <w:rFonts w:ascii="Palatino Linotype" w:hAnsi="Palatino Linotype"/>
        </w:rPr>
        <w:t>Por lo antes expuesto y fundado es de resolverse y,</w:t>
      </w:r>
    </w:p>
    <w:p w:rsidR="001E5772" w:rsidRPr="00E558CB" w:rsidRDefault="001E5772" w:rsidP="003D64BB">
      <w:pPr>
        <w:spacing w:line="360" w:lineRule="auto"/>
        <w:jc w:val="both"/>
        <w:rPr>
          <w:rFonts w:ascii="Palatino Linotype" w:hAnsi="Palatino Linotype"/>
        </w:rPr>
      </w:pPr>
    </w:p>
    <w:p w:rsidR="003D64BB" w:rsidRPr="00E558CB" w:rsidRDefault="003D64BB" w:rsidP="003D64BB">
      <w:pPr>
        <w:spacing w:line="360" w:lineRule="auto"/>
        <w:jc w:val="center"/>
        <w:rPr>
          <w:rFonts w:ascii="Palatino Linotype" w:hAnsi="Palatino Linotype"/>
          <w:bCs/>
          <w:spacing w:val="60"/>
          <w:lang w:val="es-ES_tradnl"/>
        </w:rPr>
      </w:pPr>
      <w:r w:rsidRPr="00E558CB">
        <w:rPr>
          <w:rFonts w:ascii="Palatino Linotype" w:hAnsi="Palatino Linotype"/>
          <w:b/>
          <w:bCs/>
          <w:spacing w:val="60"/>
          <w:sz w:val="28"/>
          <w:lang w:val="es-ES_tradnl"/>
        </w:rPr>
        <w:t>SE    RESUELVE</w:t>
      </w:r>
    </w:p>
    <w:p w:rsidR="003D64BB" w:rsidRPr="00E558CB" w:rsidRDefault="003D64BB" w:rsidP="003D64BB">
      <w:pPr>
        <w:spacing w:line="360" w:lineRule="auto"/>
        <w:jc w:val="center"/>
        <w:rPr>
          <w:rFonts w:ascii="Palatino Linotype" w:hAnsi="Palatino Linotype"/>
          <w:bCs/>
          <w:spacing w:val="60"/>
          <w:lang w:val="es-ES_tradnl"/>
        </w:rPr>
      </w:pPr>
    </w:p>
    <w:p w:rsidR="003D64BB" w:rsidRPr="00E558CB" w:rsidRDefault="003D64BB" w:rsidP="003D64BB">
      <w:pPr>
        <w:spacing w:line="360" w:lineRule="auto"/>
        <w:jc w:val="both"/>
        <w:rPr>
          <w:rFonts w:ascii="Palatino Linotype" w:eastAsia="Calibri" w:hAnsi="Palatino Linotype" w:cs="Arial"/>
          <w:lang w:val="es-ES_tradnl" w:eastAsia="es-MX"/>
        </w:rPr>
      </w:pPr>
      <w:r w:rsidRPr="00E558CB">
        <w:rPr>
          <w:rFonts w:ascii="Palatino Linotype" w:eastAsiaTheme="minorEastAsia" w:hAnsi="Palatino Linotype" w:cs="Arial"/>
          <w:b/>
          <w:sz w:val="28"/>
          <w:lang w:val="es-ES_tradnl"/>
        </w:rPr>
        <w:lastRenderedPageBreak/>
        <w:t>PRIMERO.</w:t>
      </w:r>
      <w:r w:rsidRPr="00E558CB">
        <w:rPr>
          <w:rFonts w:ascii="Palatino Linotype" w:eastAsiaTheme="minorEastAsia" w:hAnsi="Palatino Linotype" w:cs="Arial"/>
          <w:lang w:val="es-ES_tradnl"/>
        </w:rPr>
        <w:t xml:space="preserve"> Se </w:t>
      </w:r>
      <w:r w:rsidRPr="00E558CB">
        <w:rPr>
          <w:rFonts w:ascii="Palatino Linotype" w:eastAsiaTheme="minorEastAsia" w:hAnsi="Palatino Linotype" w:cs="Arial"/>
          <w:b/>
          <w:lang w:val="es-ES_tradnl"/>
        </w:rPr>
        <w:t>SOBRESEE</w:t>
      </w:r>
      <w:r w:rsidRPr="00E558CB">
        <w:rPr>
          <w:rFonts w:ascii="Palatino Linotype" w:eastAsiaTheme="minorEastAsia" w:hAnsi="Palatino Linotype" w:cs="Arial"/>
          <w:lang w:val="es-ES_tradnl"/>
        </w:rPr>
        <w:t xml:space="preserve"> el recurso de revisión </w:t>
      </w:r>
      <w:r w:rsidR="001E5772" w:rsidRPr="00E558CB">
        <w:rPr>
          <w:rFonts w:ascii="Palatino Linotype" w:eastAsiaTheme="minorEastAsia" w:hAnsi="Palatino Linotype" w:cs="Arial"/>
          <w:b/>
          <w:lang w:val="es-ES_tradnl"/>
        </w:rPr>
        <w:t>0</w:t>
      </w:r>
      <w:r w:rsidRPr="00E558CB">
        <w:rPr>
          <w:rFonts w:ascii="Palatino Linotype" w:eastAsiaTheme="minorEastAsia" w:hAnsi="Palatino Linotype" w:cs="Arial"/>
          <w:b/>
          <w:lang w:val="es-ES_tradnl"/>
        </w:rPr>
        <w:t>5160/INFOEM/IP/RR/2024</w:t>
      </w:r>
      <w:r w:rsidRPr="00E558CB">
        <w:rPr>
          <w:rFonts w:ascii="Palatino Linotype" w:eastAsiaTheme="minorEastAsia" w:hAnsi="Palatino Linotype" w:cs="Arial"/>
          <w:lang w:val="es-ES_tradnl"/>
        </w:rPr>
        <w:t xml:space="preserve">, </w:t>
      </w:r>
      <w:r w:rsidRPr="00E558CB">
        <w:rPr>
          <w:rFonts w:ascii="Palatino Linotype" w:eastAsia="Calibri" w:hAnsi="Palatino Linotype" w:cs="Arial"/>
          <w:lang w:val="es-ES_tradnl" w:eastAsia="es-MX"/>
        </w:rPr>
        <w:t>de conformidad con el artículo 192, fracción IV por actualizarse la causal de improcedencia contenida en la fr</w:t>
      </w:r>
      <w:r w:rsidR="00D17E25" w:rsidRPr="00E558CB">
        <w:rPr>
          <w:rFonts w:ascii="Palatino Linotype" w:eastAsia="Calibri" w:hAnsi="Palatino Linotype" w:cs="Arial"/>
          <w:lang w:val="es-ES_tradnl" w:eastAsia="es-MX"/>
        </w:rPr>
        <w:t>acción III</w:t>
      </w:r>
      <w:r w:rsidRPr="00E558CB">
        <w:rPr>
          <w:rFonts w:ascii="Palatino Linotype" w:eastAsia="Calibri" w:hAnsi="Palatino Linotype" w:cs="Arial"/>
          <w:lang w:val="es-ES_tradnl" w:eastAsia="es-MX"/>
        </w:rPr>
        <w:t xml:space="preserve">, del artículo 191, ambos de la Ley de Transparencia y Acceso a la Información Pública del Estado de México y Municipios, en términos del Considerando </w:t>
      </w:r>
      <w:r w:rsidRPr="00E558CB">
        <w:rPr>
          <w:rFonts w:ascii="Palatino Linotype" w:eastAsia="Calibri" w:hAnsi="Palatino Linotype" w:cs="Arial"/>
          <w:b/>
          <w:lang w:val="es-ES_tradnl" w:eastAsia="es-MX"/>
        </w:rPr>
        <w:t>TERCERO</w:t>
      </w:r>
      <w:r w:rsidRPr="00E558CB">
        <w:rPr>
          <w:rFonts w:ascii="Palatino Linotype" w:eastAsia="Calibri" w:hAnsi="Palatino Linotype" w:cs="Arial"/>
          <w:lang w:val="es-ES_tradnl" w:eastAsia="es-MX"/>
        </w:rPr>
        <w:t xml:space="preserve"> de la presente resolución.</w:t>
      </w:r>
    </w:p>
    <w:p w:rsidR="003D64BB" w:rsidRPr="00E558CB" w:rsidRDefault="003D64BB" w:rsidP="003D64BB">
      <w:pPr>
        <w:spacing w:line="360" w:lineRule="auto"/>
        <w:jc w:val="both"/>
        <w:rPr>
          <w:rFonts w:ascii="Palatino Linotype" w:hAnsi="Palatino Linotype" w:cs="Arial"/>
          <w:lang w:val="es-ES_tradnl"/>
        </w:rPr>
      </w:pPr>
    </w:p>
    <w:p w:rsidR="003D64BB" w:rsidRPr="00E558CB" w:rsidRDefault="003D64BB" w:rsidP="003D64BB">
      <w:pPr>
        <w:spacing w:line="360" w:lineRule="auto"/>
        <w:jc w:val="both"/>
        <w:rPr>
          <w:rFonts w:ascii="Palatino Linotype" w:hAnsi="Palatino Linotype" w:cs="Palatino Linotype"/>
        </w:rPr>
      </w:pPr>
      <w:r w:rsidRPr="00E558CB">
        <w:rPr>
          <w:rFonts w:ascii="Palatino Linotype" w:hAnsi="Palatino Linotype" w:cs="Palatino Linotype"/>
          <w:b/>
        </w:rPr>
        <w:t>SEGUNDO.</w:t>
      </w:r>
      <w:r w:rsidRPr="00E558CB">
        <w:rPr>
          <w:rFonts w:ascii="Palatino Linotype" w:hAnsi="Palatino Linotype" w:cs="Palatino Linotype"/>
        </w:rPr>
        <w:t xml:space="preserve"> </w:t>
      </w:r>
      <w:r w:rsidRPr="00E558CB">
        <w:rPr>
          <w:rFonts w:ascii="Palatino Linotype" w:hAnsi="Palatino Linotype" w:cs="Palatino Linotype"/>
          <w:b/>
        </w:rPr>
        <w:t>Notifíquese</w:t>
      </w:r>
      <w:r w:rsidRPr="00E558CB">
        <w:rPr>
          <w:rFonts w:ascii="Palatino Linotype" w:hAnsi="Palatino Linotype" w:cs="Palatino Linotype"/>
        </w:rPr>
        <w:t xml:space="preserve"> la presente resolución al Titular de la Unidad de Transparencia del Sujeto Obligado mediante el Sistema de Acceso a la Información Mexiquense (SAIMEX).</w:t>
      </w:r>
    </w:p>
    <w:p w:rsidR="003D64BB" w:rsidRPr="00E558CB" w:rsidRDefault="003D64BB" w:rsidP="003D64BB">
      <w:pPr>
        <w:spacing w:line="360" w:lineRule="auto"/>
        <w:jc w:val="both"/>
        <w:rPr>
          <w:rFonts w:ascii="Palatino Linotype" w:hAnsi="Palatino Linotype" w:cs="Palatino Linotype"/>
        </w:rPr>
      </w:pPr>
    </w:p>
    <w:p w:rsidR="003D64BB" w:rsidRPr="00E558CB" w:rsidRDefault="003D64BB" w:rsidP="003D64BB">
      <w:pPr>
        <w:spacing w:line="360" w:lineRule="auto"/>
        <w:jc w:val="both"/>
        <w:rPr>
          <w:rFonts w:ascii="Palatino Linotype" w:hAnsi="Palatino Linotype" w:cs="Palatino Linotype"/>
        </w:rPr>
      </w:pPr>
      <w:r w:rsidRPr="00E558CB">
        <w:rPr>
          <w:rFonts w:ascii="Palatino Linotype" w:hAnsi="Palatino Linotype" w:cs="Palatino Linotype"/>
          <w:b/>
        </w:rPr>
        <w:t>TERCERO. Notifíquese</w:t>
      </w:r>
      <w:r w:rsidRPr="00E558CB">
        <w:rPr>
          <w:rFonts w:ascii="Palatino Linotype" w:hAnsi="Palatino Linotype" w:cs="Palatino Linotype"/>
        </w:rPr>
        <w:t xml:space="preserve"> la presente resolución al Recurrente</w:t>
      </w:r>
      <w:r w:rsidRPr="00E558CB">
        <w:t xml:space="preserve"> </w:t>
      </w:r>
      <w:r w:rsidRPr="00E558CB">
        <w:rPr>
          <w:rFonts w:ascii="Palatino Linotype" w:hAnsi="Palatino Linotype" w:cs="Palatino Linotype"/>
        </w:rPr>
        <w:t>a través del Sistema de Acceso a la Información Mexiquense (SAIMEX)</w:t>
      </w:r>
      <w:r w:rsidR="002C749C" w:rsidRPr="00E558CB">
        <w:rPr>
          <w:rFonts w:ascii="Palatino Linotype" w:hAnsi="Palatino Linotype" w:cs="Palatino Linotype"/>
        </w:rPr>
        <w:t xml:space="preserve"> y correo electrónico</w:t>
      </w:r>
      <w:r w:rsidRPr="00E558CB">
        <w:rPr>
          <w:rFonts w:ascii="Palatino Linotype" w:hAnsi="Palatino Linotype" w:cs="Palatino Linotype"/>
        </w:rPr>
        <w:t>, y hágase de su conocimiento que, en caso de considerar que la misma le causa algún perjuicio, podrá promover el Juicio de Amparo en los términos de las leyes aplicables, de acuerdo a lo estipulado por el artículo 196 de la Ley de Transparencia y Acceso a la Información Pública del Estado de México y Municipios.</w:t>
      </w:r>
    </w:p>
    <w:p w:rsidR="003D64BB" w:rsidRPr="00E558CB" w:rsidRDefault="003D64BB" w:rsidP="003D64BB">
      <w:pPr>
        <w:pStyle w:val="Prrafodelista"/>
        <w:autoSpaceDE w:val="0"/>
        <w:autoSpaceDN w:val="0"/>
        <w:adjustRightInd w:val="0"/>
        <w:spacing w:before="240" w:after="160" w:line="360" w:lineRule="auto"/>
        <w:ind w:left="0"/>
        <w:jc w:val="both"/>
        <w:rPr>
          <w:rFonts w:ascii="Palatino Linotype" w:hAnsi="Palatino Linotype" w:cs="Arial"/>
        </w:rPr>
      </w:pPr>
    </w:p>
    <w:p w:rsidR="003D64BB" w:rsidRPr="00E558CB" w:rsidRDefault="003D64BB" w:rsidP="003D64BB">
      <w:pPr>
        <w:spacing w:line="360" w:lineRule="auto"/>
        <w:jc w:val="both"/>
        <w:rPr>
          <w:rFonts w:ascii="Palatino Linotype" w:hAnsi="Palatino Linotype" w:cs="Arial"/>
        </w:rPr>
      </w:pPr>
      <w:r w:rsidRPr="00E558CB">
        <w:rPr>
          <w:rFonts w:ascii="Palatino Linotype" w:hAnsi="Palatino Linotype" w:cs="Arial"/>
        </w:rPr>
        <w:t>ASÍ LO RESUELVE, POR UNANIMIDAD DE VOTOS EL PLENO DEL</w:t>
      </w:r>
      <w:r w:rsidRPr="00E558CB">
        <w:rPr>
          <w:rFonts w:ascii="Palatino Linotype" w:eastAsia="Arial Unicode MS" w:hAnsi="Palatino Linotype" w:cs="Arial"/>
        </w:rPr>
        <w:t xml:space="preserve"> INSTITUTO DE TRANSPARENCIA, ACCESO A LA INFORMACIÓN PÚBLICA Y PROTECCIÓN DE DATOS PERSONALES DEL ESTADO DE MÉXICO Y MUNICIPIOS</w:t>
      </w:r>
      <w:r w:rsidRPr="00E558CB">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Pr="00E558CB">
        <w:rPr>
          <w:rFonts w:ascii="Palatino Linotype" w:hAnsi="Palatino Linotype" w:cs="Arial"/>
        </w:rPr>
        <w:lastRenderedPageBreak/>
        <w:t xml:space="preserve">TRIGÉSIMA </w:t>
      </w:r>
      <w:r w:rsidR="00D17E25" w:rsidRPr="00E558CB">
        <w:rPr>
          <w:rFonts w:ascii="Palatino Linotype" w:hAnsi="Palatino Linotype" w:cs="Arial"/>
        </w:rPr>
        <w:t>QUINTA</w:t>
      </w:r>
      <w:r w:rsidRPr="00E558CB">
        <w:rPr>
          <w:rFonts w:ascii="Palatino Linotype" w:hAnsi="Palatino Linotype" w:cs="Arial"/>
        </w:rPr>
        <w:t xml:space="preserve"> SESIÓN ORDINARIA CELEBRADA </w:t>
      </w:r>
      <w:r w:rsidR="00D17E25" w:rsidRPr="00E558CB">
        <w:rPr>
          <w:rFonts w:ascii="Palatino Linotype" w:hAnsi="Palatino Linotype" w:cs="Arial"/>
        </w:rPr>
        <w:t>TRES DE OCTUBRE</w:t>
      </w:r>
      <w:r w:rsidRPr="00E558CB">
        <w:rPr>
          <w:rFonts w:ascii="Palatino Linotype" w:hAnsi="Palatino Linotype" w:cs="Arial"/>
        </w:rPr>
        <w:t xml:space="preserve"> DE DOS MIL VEINTICUATRO, ANTE EL SECRETARIO TÉCNICO DEL PLENO, ALEXIS TAPIA RAMÍREZ. ----------------------------------------------------------------------------------------------------------------------------------------------------------------------------------------------------------------------------------------------------------------------------------------------------------------------------</w:t>
      </w:r>
      <w:r w:rsidR="001E5772" w:rsidRPr="00E558CB">
        <w:rPr>
          <w:rFonts w:ascii="Palatino Linotype" w:hAnsi="Palatino Linotype" w:cs="Arial"/>
        </w:rPr>
        <w:t>------------------------------------------------------------------------------------------------------------------------------------------------------------------------------------------------------------------------------------------------------------------------------------------------------------------------------------------------------------------------------------------------------------------------------------------------------------------------------------------------------------------------------------------------------------------------------------------------------------------------------------------------------------------------------------------------------------------------------------------------------------------------------------------------------------------------------------------------------------------------------------------------------------------------------------------------------------------------------------------------------------------------------------------------------------------------------------------------------------------------------------------------------------------------------------------------------------------------------------------------------------------------------------------------------</w:t>
      </w:r>
    </w:p>
    <w:p w:rsidR="003D64BB" w:rsidRPr="00E558CB" w:rsidRDefault="003D64BB" w:rsidP="003D64BB">
      <w:pPr>
        <w:spacing w:line="360" w:lineRule="auto"/>
        <w:jc w:val="both"/>
        <w:rPr>
          <w:rFonts w:ascii="Palatino Linotype" w:hAnsi="Palatino Linotype" w:cs="Arial"/>
          <w:sz w:val="20"/>
        </w:rPr>
      </w:pPr>
      <w:r w:rsidRPr="00E558CB">
        <w:rPr>
          <w:rFonts w:ascii="Palatino Linotype" w:hAnsi="Palatino Linotype" w:cs="Arial"/>
        </w:rPr>
        <w:t>------------------------------------------------------------------------------------------------------------------------------------------------------------------------------------------------------------------------------------------------------------------------------------------------------------------------------------------------------------------------------------------------------------------------------------------------------------------------------------------------------------------------------------------------------------------------------------------------------------------------------------------------------------------------------------------------------------------------------------------------------------------------------------------------------------------------------</w:t>
      </w:r>
    </w:p>
    <w:p w:rsidR="003D64BB" w:rsidRPr="00326FE6" w:rsidRDefault="00D17E25" w:rsidP="003D64BB">
      <w:pPr>
        <w:pStyle w:val="Textoindependiente"/>
        <w:spacing w:after="0" w:line="360" w:lineRule="auto"/>
        <w:jc w:val="both"/>
        <w:rPr>
          <w:rFonts w:ascii="Palatino Linotype" w:eastAsiaTheme="minorEastAsia" w:hAnsi="Palatino Linotype"/>
          <w:color w:val="000000" w:themeColor="text1"/>
          <w:sz w:val="20"/>
          <w:szCs w:val="24"/>
          <w:lang w:val="es-ES_tradnl" w:eastAsia="es-ES"/>
        </w:rPr>
      </w:pPr>
      <w:r w:rsidRPr="00E558CB">
        <w:rPr>
          <w:rFonts w:ascii="Palatino Linotype" w:hAnsi="Palatino Linotype" w:cs="Arial"/>
          <w:sz w:val="16"/>
        </w:rPr>
        <w:t>JMV/CCR/</w:t>
      </w:r>
      <w:r w:rsidR="00CE36BB" w:rsidRPr="00E558CB">
        <w:rPr>
          <w:rFonts w:ascii="Palatino Linotype" w:hAnsi="Palatino Linotype" w:cs="Arial"/>
          <w:sz w:val="16"/>
        </w:rPr>
        <w:t>LMST</w:t>
      </w:r>
      <w:bookmarkStart w:id="1" w:name="_GoBack"/>
      <w:bookmarkEnd w:id="1"/>
    </w:p>
    <w:p w:rsidR="003D64BB" w:rsidRPr="005323D1" w:rsidRDefault="003D64BB" w:rsidP="003D64BB">
      <w:pPr>
        <w:spacing w:line="360" w:lineRule="auto"/>
        <w:jc w:val="both"/>
        <w:rPr>
          <w:rFonts w:ascii="Palatino Linotype" w:hAnsi="Palatino Linotype" w:cs="Arial"/>
          <w:sz w:val="20"/>
        </w:rPr>
      </w:pPr>
    </w:p>
    <w:p w:rsidR="003D64BB" w:rsidRDefault="003D64BB" w:rsidP="003D64BB"/>
    <w:p w:rsidR="003D64BB" w:rsidRDefault="003D64BB" w:rsidP="003D64BB"/>
    <w:p w:rsidR="003D64BB" w:rsidRDefault="003D64BB" w:rsidP="003D64BB"/>
    <w:p w:rsidR="003D64BB" w:rsidRDefault="003D64BB" w:rsidP="003D64BB"/>
    <w:p w:rsidR="003D64BB" w:rsidRDefault="003D64BB" w:rsidP="003D64BB"/>
    <w:p w:rsidR="003D64BB" w:rsidRDefault="003D64BB" w:rsidP="003D64BB"/>
    <w:p w:rsidR="003D64BB" w:rsidRDefault="003D64BB" w:rsidP="003D64BB"/>
    <w:p w:rsidR="003D64BB" w:rsidRDefault="003D64BB" w:rsidP="003D64BB"/>
    <w:p w:rsidR="003D64BB" w:rsidRDefault="003D64BB" w:rsidP="003D64BB"/>
    <w:p w:rsidR="003D64BB" w:rsidRDefault="003D64BB" w:rsidP="003D64BB"/>
    <w:p w:rsidR="003D64BB" w:rsidRDefault="003D64BB" w:rsidP="003D64BB"/>
    <w:p w:rsidR="003D64BB" w:rsidRDefault="003D64BB" w:rsidP="003D64BB"/>
    <w:p w:rsidR="003D64BB" w:rsidRDefault="003D64BB" w:rsidP="003D64BB"/>
    <w:p w:rsidR="003D64BB" w:rsidRDefault="003D64BB" w:rsidP="003D64BB"/>
    <w:p w:rsidR="003D64BB" w:rsidRDefault="003D64BB" w:rsidP="003D64BB"/>
    <w:p w:rsidR="003D64BB" w:rsidRDefault="003D64BB" w:rsidP="003D64BB"/>
    <w:p w:rsidR="003D64BB" w:rsidRDefault="003D64BB" w:rsidP="003D64BB"/>
    <w:p w:rsidR="003D64BB" w:rsidRDefault="003D64BB" w:rsidP="003D64BB"/>
    <w:p w:rsidR="003D64BB" w:rsidRDefault="003D64BB" w:rsidP="003D64BB"/>
    <w:p w:rsidR="003D64BB" w:rsidRDefault="003D64BB" w:rsidP="003D64BB"/>
    <w:p w:rsidR="003D64BB" w:rsidRDefault="003D64BB" w:rsidP="003D64BB"/>
    <w:p w:rsidR="003D64BB" w:rsidRDefault="003D64BB" w:rsidP="003D64BB"/>
    <w:p w:rsidR="003D64BB" w:rsidRDefault="003D64BB" w:rsidP="003D64BB"/>
    <w:p w:rsidR="003D64BB" w:rsidRDefault="003D64BB" w:rsidP="003D64BB"/>
    <w:p w:rsidR="00C36A2F" w:rsidRDefault="00C36A2F"/>
    <w:sectPr w:rsidR="00C36A2F" w:rsidSect="000A5EBA">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EBA" w:rsidRDefault="000A5EBA" w:rsidP="003D64BB">
      <w:r>
        <w:separator/>
      </w:r>
    </w:p>
  </w:endnote>
  <w:endnote w:type="continuationSeparator" w:id="0">
    <w:p w:rsidR="000A5EBA" w:rsidRDefault="000A5EBA" w:rsidP="003D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EBA" w:rsidRPr="00A2780F" w:rsidRDefault="000A5EBA" w:rsidP="000A5EBA">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E558CB">
      <w:rPr>
        <w:rFonts w:ascii="Arial" w:hAnsi="Arial" w:cs="Arial"/>
        <w:b/>
        <w:bCs/>
        <w:noProof/>
        <w:sz w:val="20"/>
        <w:szCs w:val="20"/>
      </w:rPr>
      <w:t>20</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E558CB">
      <w:rPr>
        <w:rFonts w:ascii="Arial" w:hAnsi="Arial" w:cs="Arial"/>
        <w:b/>
        <w:bCs/>
        <w:noProof/>
        <w:sz w:val="20"/>
        <w:szCs w:val="20"/>
      </w:rPr>
      <w:t>20</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EBA" w:rsidRPr="00070856" w:rsidRDefault="000A5EBA" w:rsidP="000A5EBA">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E558CB">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E558CB">
      <w:rPr>
        <w:rFonts w:ascii="Arial" w:hAnsi="Arial" w:cs="Arial"/>
        <w:b/>
        <w:bCs/>
        <w:noProof/>
        <w:sz w:val="20"/>
        <w:szCs w:val="20"/>
      </w:rPr>
      <w:t>20</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EBA" w:rsidRDefault="000A5EBA" w:rsidP="003D64BB">
      <w:r>
        <w:separator/>
      </w:r>
    </w:p>
  </w:footnote>
  <w:footnote w:type="continuationSeparator" w:id="0">
    <w:p w:rsidR="000A5EBA" w:rsidRDefault="000A5EBA" w:rsidP="003D64BB">
      <w:r>
        <w:continuationSeparator/>
      </w:r>
    </w:p>
  </w:footnote>
  <w:footnote w:id="1">
    <w:p w:rsidR="000A5EBA" w:rsidRPr="00911081" w:rsidRDefault="000A5EBA" w:rsidP="003D64BB">
      <w:pPr>
        <w:jc w:val="both"/>
        <w:rPr>
          <w:rFonts w:ascii="Palatino Linotype" w:hAnsi="Palatino Linotype"/>
          <w:b/>
          <w:bCs/>
          <w:i/>
          <w:sz w:val="16"/>
          <w:szCs w:val="16"/>
        </w:rPr>
      </w:pPr>
      <w:r>
        <w:rPr>
          <w:rStyle w:val="Refdenotaalpie"/>
          <w:rFonts w:asciiTheme="minorHAnsi" w:eastAsiaTheme="minorEastAsia" w:hAnsiTheme="minorHAnsi"/>
          <w:sz w:val="22"/>
          <w:szCs w:val="22"/>
          <w:lang w:val="es-MX" w:eastAsia="en-US"/>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0A5EBA" w:rsidRDefault="000A5EBA" w:rsidP="003D64BB">
      <w:pPr>
        <w:jc w:val="both"/>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0A5EBA" w:rsidRPr="008F2CCC" w:rsidTr="000A5EBA">
      <w:tc>
        <w:tcPr>
          <w:tcW w:w="3620" w:type="dxa"/>
          <w:shd w:val="clear" w:color="auto" w:fill="auto"/>
        </w:tcPr>
        <w:p w:rsidR="000A5EBA" w:rsidRPr="007E5FC4" w:rsidRDefault="000A5EBA" w:rsidP="000A5EB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0A5EBA" w:rsidRPr="00664658" w:rsidRDefault="001E5772" w:rsidP="000A5EBA">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0A5EBA">
            <w:rPr>
              <w:rFonts w:ascii="Palatino Linotype" w:hAnsi="Palatino Linotype"/>
              <w:b/>
              <w:sz w:val="22"/>
              <w:szCs w:val="22"/>
              <w:lang w:val="es-ES_tradnl"/>
            </w:rPr>
            <w:t>5160/INFOEM/IP/RR/2024</w:t>
          </w:r>
        </w:p>
      </w:tc>
    </w:tr>
    <w:tr w:rsidR="000A5EBA" w:rsidRPr="008F2CCC" w:rsidTr="000A5EBA">
      <w:tc>
        <w:tcPr>
          <w:tcW w:w="3620" w:type="dxa"/>
          <w:shd w:val="clear" w:color="auto" w:fill="auto"/>
        </w:tcPr>
        <w:p w:rsidR="000A5EBA" w:rsidRPr="007E5FC4" w:rsidRDefault="000A5EBA" w:rsidP="000A5EB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0A5EBA" w:rsidRPr="00664658" w:rsidRDefault="000A5EBA" w:rsidP="000A5EBA">
          <w:pPr>
            <w:spacing w:line="276" w:lineRule="auto"/>
            <w:jc w:val="right"/>
            <w:rPr>
              <w:rFonts w:ascii="Palatino Linotype" w:hAnsi="Palatino Linotype"/>
              <w:b/>
              <w:sz w:val="22"/>
              <w:szCs w:val="22"/>
              <w:lang w:val="es-ES_tradnl"/>
            </w:rPr>
          </w:pPr>
          <w:r w:rsidRPr="003D64BB">
            <w:rPr>
              <w:rFonts w:ascii="Palatino Linotype" w:hAnsi="Palatino Linotype"/>
              <w:b/>
              <w:sz w:val="22"/>
              <w:szCs w:val="22"/>
            </w:rPr>
            <w:t>Procuraduría de Protección al Ambiente del Estado de México</w:t>
          </w:r>
        </w:p>
      </w:tc>
    </w:tr>
    <w:tr w:rsidR="000A5EBA" w:rsidRPr="008F2CCC" w:rsidTr="000A5EBA">
      <w:trPr>
        <w:trHeight w:val="228"/>
      </w:trPr>
      <w:tc>
        <w:tcPr>
          <w:tcW w:w="3620" w:type="dxa"/>
          <w:shd w:val="clear" w:color="auto" w:fill="auto"/>
        </w:tcPr>
        <w:p w:rsidR="000A5EBA" w:rsidRPr="007E5FC4" w:rsidRDefault="000A5EBA" w:rsidP="000A5EB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0A5EBA" w:rsidRPr="00664658" w:rsidRDefault="000A5EBA" w:rsidP="000A5EBA">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0A5EBA" w:rsidRDefault="000A5EBA" w:rsidP="000A5EBA">
    <w:pPr>
      <w:pStyle w:val="Encabezado"/>
      <w:tabs>
        <w:tab w:val="clear" w:pos="4252"/>
        <w:tab w:val="clear" w:pos="8504"/>
        <w:tab w:val="left" w:pos="2326"/>
      </w:tabs>
      <w:rPr>
        <w:rFonts w:ascii="Palatino Linotype" w:hAnsi="Palatino Linotype"/>
        <w:sz w:val="20"/>
      </w:rPr>
    </w:pPr>
  </w:p>
  <w:p w:rsidR="000A5EBA" w:rsidRPr="001779E0" w:rsidRDefault="000A5EBA" w:rsidP="000A5EBA">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6CDF68E1" wp14:editId="51C76C29">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0A5EBA" w:rsidRPr="008F2CCC" w:rsidTr="000A5EBA">
      <w:tc>
        <w:tcPr>
          <w:tcW w:w="2977" w:type="dxa"/>
          <w:shd w:val="clear" w:color="auto" w:fill="auto"/>
        </w:tcPr>
        <w:p w:rsidR="000A5EBA" w:rsidRPr="007E5FC4" w:rsidRDefault="000A5EBA" w:rsidP="000A5EB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0A5EBA" w:rsidRPr="008F2CCC" w:rsidRDefault="001E5772" w:rsidP="000A5EBA">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0A5EBA">
            <w:rPr>
              <w:rFonts w:ascii="Palatino Linotype" w:hAnsi="Palatino Linotype"/>
              <w:b/>
              <w:sz w:val="22"/>
              <w:szCs w:val="22"/>
              <w:lang w:val="es-ES_tradnl"/>
            </w:rPr>
            <w:t>5160/INFOEM/IP/RR/2024</w:t>
          </w:r>
        </w:p>
      </w:tc>
    </w:tr>
    <w:tr w:rsidR="000A5EBA" w:rsidRPr="008F2CCC" w:rsidTr="000A5EBA">
      <w:tc>
        <w:tcPr>
          <w:tcW w:w="2977" w:type="dxa"/>
          <w:shd w:val="clear" w:color="auto" w:fill="auto"/>
          <w:vAlign w:val="center"/>
        </w:tcPr>
        <w:p w:rsidR="000A5EBA" w:rsidRPr="007E5FC4" w:rsidRDefault="000A5EBA" w:rsidP="000A5EB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0A5EBA" w:rsidRPr="008F2CCC" w:rsidRDefault="00E25232" w:rsidP="000A5EBA">
          <w:pPr>
            <w:spacing w:line="360" w:lineRule="auto"/>
            <w:jc w:val="right"/>
            <w:rPr>
              <w:rFonts w:ascii="Palatino Linotype" w:hAnsi="Palatino Linotype"/>
              <w:b/>
              <w:sz w:val="22"/>
              <w:szCs w:val="22"/>
              <w:lang w:val="es-ES_tradnl"/>
            </w:rPr>
          </w:pPr>
          <w:r>
            <w:rPr>
              <w:rFonts w:ascii="Palatino Linotype" w:hAnsi="Palatino Linotype"/>
              <w:b/>
              <w:bCs/>
              <w:sz w:val="22"/>
              <w:szCs w:val="22"/>
            </w:rPr>
            <w:t>XXXXXXXXXXXXXXXXXXXXXXX</w:t>
          </w:r>
          <w:r w:rsidR="000A5EBA">
            <w:rPr>
              <w:rFonts w:ascii="Palatino Linotype" w:hAnsi="Palatino Linotype"/>
              <w:b/>
              <w:bCs/>
              <w:sz w:val="22"/>
              <w:szCs w:val="22"/>
            </w:rPr>
            <w:t xml:space="preserve"> </w:t>
          </w:r>
        </w:p>
      </w:tc>
    </w:tr>
    <w:tr w:rsidR="000A5EBA" w:rsidRPr="008F2CCC" w:rsidTr="000A5EBA">
      <w:trPr>
        <w:trHeight w:val="228"/>
      </w:trPr>
      <w:tc>
        <w:tcPr>
          <w:tcW w:w="2977" w:type="dxa"/>
          <w:shd w:val="clear" w:color="auto" w:fill="auto"/>
        </w:tcPr>
        <w:p w:rsidR="000A5EBA" w:rsidRPr="007E5FC4" w:rsidRDefault="000A5EBA" w:rsidP="000A5EB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0A5EBA" w:rsidRPr="00DC41C8" w:rsidRDefault="000A5EBA" w:rsidP="000A5EBA">
          <w:pPr>
            <w:spacing w:line="360" w:lineRule="auto"/>
            <w:jc w:val="right"/>
            <w:rPr>
              <w:rFonts w:ascii="Palatino Linotype" w:hAnsi="Palatino Linotype"/>
              <w:b/>
              <w:sz w:val="22"/>
              <w:szCs w:val="22"/>
            </w:rPr>
          </w:pPr>
          <w:r w:rsidRPr="003D64BB">
            <w:rPr>
              <w:rFonts w:ascii="Palatino Linotype" w:hAnsi="Palatino Linotype"/>
              <w:b/>
              <w:sz w:val="22"/>
              <w:szCs w:val="22"/>
            </w:rPr>
            <w:t>Procuraduría de Protección al Ambiente del Estado de México</w:t>
          </w:r>
        </w:p>
      </w:tc>
    </w:tr>
    <w:tr w:rsidR="000A5EBA" w:rsidRPr="008F2CCC" w:rsidTr="000A5EBA">
      <w:tc>
        <w:tcPr>
          <w:tcW w:w="2977" w:type="dxa"/>
          <w:shd w:val="clear" w:color="auto" w:fill="auto"/>
        </w:tcPr>
        <w:p w:rsidR="000A5EBA" w:rsidRPr="007E5FC4" w:rsidRDefault="000A5EBA" w:rsidP="000A5EB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0A5EBA" w:rsidRPr="008F2CCC" w:rsidRDefault="000A5EBA" w:rsidP="000A5EBA">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0A5EBA" w:rsidRPr="009F1AB6" w:rsidRDefault="000A5EBA">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A8D3470" wp14:editId="46219AD5">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43B6"/>
    <w:multiLevelType w:val="hybridMultilevel"/>
    <w:tmpl w:val="ACD6FBA0"/>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 w15:restartNumberingAfterBreak="0">
    <w:nsid w:val="435A09ED"/>
    <w:multiLevelType w:val="hybridMultilevel"/>
    <w:tmpl w:val="FB6E5326"/>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 w15:restartNumberingAfterBreak="0">
    <w:nsid w:val="470F3D96"/>
    <w:multiLevelType w:val="hybridMultilevel"/>
    <w:tmpl w:val="CC206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9FB755A"/>
    <w:multiLevelType w:val="hybridMultilevel"/>
    <w:tmpl w:val="4A08A07C"/>
    <w:lvl w:ilvl="0" w:tplc="623C2982">
      <w:start w:val="1"/>
      <w:numFmt w:val="low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BB"/>
    <w:rsid w:val="000A5EBA"/>
    <w:rsid w:val="001004B1"/>
    <w:rsid w:val="001E5772"/>
    <w:rsid w:val="002C749C"/>
    <w:rsid w:val="003D64BB"/>
    <w:rsid w:val="00465DA0"/>
    <w:rsid w:val="00652EA2"/>
    <w:rsid w:val="006E482E"/>
    <w:rsid w:val="00976BAE"/>
    <w:rsid w:val="00C25CFE"/>
    <w:rsid w:val="00C36A2F"/>
    <w:rsid w:val="00CE36BB"/>
    <w:rsid w:val="00D17E25"/>
    <w:rsid w:val="00E25232"/>
    <w:rsid w:val="00E558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7D492-D2CB-443E-B79B-FC243102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4B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64BB"/>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3D64BB"/>
    <w:rPr>
      <w:rFonts w:eastAsiaTheme="minorEastAsia"/>
      <w:sz w:val="24"/>
      <w:szCs w:val="24"/>
      <w:lang w:val="es-ES_tradnl" w:eastAsia="es-ES"/>
    </w:rPr>
  </w:style>
  <w:style w:type="paragraph" w:styleId="Piedepgina">
    <w:name w:val="footer"/>
    <w:basedOn w:val="Normal"/>
    <w:link w:val="PiedepginaCar"/>
    <w:uiPriority w:val="99"/>
    <w:unhideWhenUsed/>
    <w:rsid w:val="003D64BB"/>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3D64BB"/>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D64BB"/>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D64BB"/>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3D64BB"/>
    <w:rPr>
      <w:color w:val="0563C1" w:themeColor="hyperlink"/>
      <w:u w:val="single"/>
    </w:rPr>
  </w:style>
  <w:style w:type="paragraph" w:customStyle="1" w:styleId="INFOEM">
    <w:name w:val="INFOEM"/>
    <w:basedOn w:val="Normal"/>
    <w:qFormat/>
    <w:rsid w:val="003D64BB"/>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3D64BB"/>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D64BB"/>
    <w:rPr>
      <w:vertAlign w:val="superscript"/>
    </w:rPr>
  </w:style>
  <w:style w:type="paragraph" w:customStyle="1" w:styleId="Citas">
    <w:name w:val="Citas"/>
    <w:basedOn w:val="Normal"/>
    <w:qFormat/>
    <w:rsid w:val="003D64BB"/>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1">
    <w:name w:val="Tabla con cuadrícula1"/>
    <w:basedOn w:val="Tablanormal"/>
    <w:next w:val="Tablaconcuadrcula"/>
    <w:uiPriority w:val="39"/>
    <w:rsid w:val="003D6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3D64BB"/>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3D64BB"/>
  </w:style>
  <w:style w:type="table" w:styleId="Tablaconcuadrcula">
    <w:name w:val="Table Grid"/>
    <w:basedOn w:val="Tablanormal"/>
    <w:uiPriority w:val="39"/>
    <w:rsid w:val="003D6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20</Pages>
  <Words>4213</Words>
  <Characters>23172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INFOEM492</cp:lastModifiedBy>
  <cp:revision>7</cp:revision>
  <dcterms:created xsi:type="dcterms:W3CDTF">2024-09-19T19:36:00Z</dcterms:created>
  <dcterms:modified xsi:type="dcterms:W3CDTF">2024-12-17T16:15:00Z</dcterms:modified>
</cp:coreProperties>
</file>