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EF" w:rsidRDefault="00252A14">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veintiocho (28) de agosto de dos mil veinticuatro.</w:t>
      </w:r>
    </w:p>
    <w:p w:rsidR="009850EF" w:rsidRDefault="00252A14">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00028/INFOEM/IP/RR/2024, </w:t>
      </w:r>
      <w:r>
        <w:rPr>
          <w:rFonts w:ascii="Palatino Linotype" w:eastAsia="Palatino Linotype" w:hAnsi="Palatino Linotype" w:cs="Palatino Linotype"/>
          <w:color w:val="000000"/>
          <w:sz w:val="24"/>
          <w:szCs w:val="24"/>
        </w:rPr>
        <w:t xml:space="preserve">promovido por </w:t>
      </w:r>
      <w:r>
        <w:rPr>
          <w:rFonts w:ascii="Palatino Linotype" w:eastAsia="Palatino Linotype" w:hAnsi="Palatino Linotype" w:cs="Palatino Linotype"/>
          <w:b/>
          <w:sz w:val="24"/>
          <w:szCs w:val="24"/>
        </w:rPr>
        <w:t>un usuario que no proporcionó nombre alguno</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 la </w:t>
      </w:r>
      <w:r>
        <w:rPr>
          <w:rFonts w:ascii="Palatino Linotype" w:eastAsia="Palatino Linotype" w:hAnsi="Palatino Linotype" w:cs="Palatino Linotype"/>
          <w:b/>
          <w:color w:val="000000"/>
          <w:sz w:val="24"/>
          <w:szCs w:val="24"/>
        </w:rPr>
        <w:t>Secretaría Ejecutiva del Sistema Estatal de Anticorrupción</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rsidR="00C313F5" w:rsidRDefault="00C313F5">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p>
    <w:p w:rsidR="009850EF" w:rsidRDefault="00252A14">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9850EF" w:rsidRDefault="009850EF">
      <w:pPr>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cinco (5) de diciembre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 xml:space="preserve">00376/SESEA/IP/2023, </w:t>
      </w:r>
      <w:r>
        <w:rPr>
          <w:rFonts w:ascii="Palatino Linotype" w:eastAsia="Palatino Linotype" w:hAnsi="Palatino Linotype" w:cs="Palatino Linotype"/>
          <w:sz w:val="24"/>
          <w:szCs w:val="24"/>
        </w:rPr>
        <w:t>para su</w:t>
      </w:r>
      <w:r>
        <w:rPr>
          <w:rFonts w:ascii="Palatino Linotype" w:eastAsia="Palatino Linotype" w:hAnsi="Palatino Linotype" w:cs="Palatino Linotype"/>
          <w:color w:val="000000"/>
          <w:sz w:val="24"/>
          <w:szCs w:val="24"/>
        </w:rPr>
        <w:t xml:space="preserve"> solicitó lo siguiente:</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“Solicito evidencia del año 2018 a la fecha de la tramitación de publicaciones en Gaceta del Gobierno del Estado de México ha realizado la Unidad de Asuntos Jurídicos de la Secretaría Ejecutiva”</w:t>
      </w:r>
    </w:p>
    <w:p w:rsidR="00C313F5" w:rsidRDefault="00C313F5">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Señaló como modalidad de entrega de la información a través de SAIMEX</w:t>
      </w:r>
      <w:r>
        <w:rPr>
          <w:rFonts w:ascii="Palatino Linotype" w:eastAsia="Palatino Linotype" w:hAnsi="Palatino Linotype" w:cs="Palatino Linotype"/>
          <w:b/>
          <w:color w:val="000000"/>
          <w:sz w:val="24"/>
          <w:szCs w:val="24"/>
        </w:rPr>
        <w:t>.</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El once (11) de diciembre de dos mil veintitrés, el Sujeto Obligado dio respuesta a la solicitud, en los siguientes términos:</w:t>
      </w:r>
    </w:p>
    <w:p w:rsidR="009850EF" w:rsidRDefault="00252A14" w:rsidP="00C313F5">
      <w:pPr>
        <w:pBdr>
          <w:top w:val="nil"/>
          <w:left w:val="nil"/>
          <w:bottom w:val="nil"/>
          <w:right w:val="nil"/>
          <w:between w:val="nil"/>
        </w:pBdr>
        <w:spacing w:line="360" w:lineRule="auto"/>
        <w:ind w:left="720"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850EF" w:rsidRDefault="00252A14" w:rsidP="00C313F5">
      <w:pPr>
        <w:pBdr>
          <w:top w:val="nil"/>
          <w:left w:val="nil"/>
          <w:bottom w:val="nil"/>
          <w:right w:val="nil"/>
          <w:between w:val="nil"/>
        </w:pBdr>
        <w:spacing w:line="360" w:lineRule="auto"/>
        <w:ind w:left="720"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Toluca, Estado de México; a 11 de diciembre del 2023 Ciudadano (a) solicitante de información pública con folio 000376/SESEA/IP/2023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000376/SESEA/IP/2023. Atentamente </w:t>
      </w:r>
      <w:proofErr w:type="spellStart"/>
      <w:r>
        <w:rPr>
          <w:rFonts w:ascii="Palatino Linotype" w:eastAsia="Palatino Linotype" w:hAnsi="Palatino Linotype" w:cs="Palatino Linotype"/>
          <w:i/>
          <w:color w:val="000000"/>
          <w:sz w:val="22"/>
          <w:szCs w:val="22"/>
        </w:rPr>
        <w:t>Ivan</w:t>
      </w:r>
      <w:proofErr w:type="spellEnd"/>
      <w:r>
        <w:rPr>
          <w:rFonts w:ascii="Palatino Linotype" w:eastAsia="Palatino Linotype" w:hAnsi="Palatino Linotype" w:cs="Palatino Linotype"/>
          <w:i/>
          <w:color w:val="000000"/>
          <w:sz w:val="22"/>
          <w:szCs w:val="22"/>
        </w:rPr>
        <w:t xml:space="preserve"> Medina Arcos Suplente en la Titularidad de la Unidad de Planeación y Transparencia de la Secretaría Ejecutiva del Sistema Estatal Anticorrupción</w:t>
      </w:r>
    </w:p>
    <w:p w:rsidR="009850EF" w:rsidRDefault="00252A14" w:rsidP="00C313F5">
      <w:pPr>
        <w:pBdr>
          <w:top w:val="nil"/>
          <w:left w:val="nil"/>
          <w:bottom w:val="nil"/>
          <w:right w:val="nil"/>
          <w:between w:val="nil"/>
        </w:pBdr>
        <w:spacing w:line="360" w:lineRule="auto"/>
        <w:ind w:left="720"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rsidR="009850EF" w:rsidRDefault="00252A14" w:rsidP="00C313F5">
      <w:pPr>
        <w:pBdr>
          <w:top w:val="nil"/>
          <w:left w:val="nil"/>
          <w:bottom w:val="nil"/>
          <w:right w:val="nil"/>
          <w:between w:val="nil"/>
        </w:pBdr>
        <w:spacing w:line="360" w:lineRule="auto"/>
        <w:ind w:left="720"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Unidad de Planeación y Transparencia</w:t>
      </w:r>
    </w:p>
    <w:p w:rsidR="009850EF" w:rsidRDefault="009850EF" w:rsidP="00C313F5">
      <w:pPr>
        <w:pBdr>
          <w:top w:val="nil"/>
          <w:left w:val="nil"/>
          <w:bottom w:val="nil"/>
          <w:right w:val="nil"/>
          <w:between w:val="nil"/>
        </w:pBdr>
        <w:spacing w:line="360" w:lineRule="auto"/>
        <w:ind w:left="720" w:right="822"/>
        <w:jc w:val="both"/>
        <w:rPr>
          <w:rFonts w:ascii="Palatino Linotype" w:eastAsia="Palatino Linotype" w:hAnsi="Palatino Linotype" w:cs="Palatino Linotype"/>
          <w:color w:val="000000"/>
          <w:sz w:val="24"/>
          <w:szCs w:val="24"/>
        </w:rPr>
      </w:pPr>
    </w:p>
    <w:p w:rsidR="009850EF" w:rsidRDefault="00252A14" w:rsidP="00C313F5">
      <w:pPr>
        <w:numPr>
          <w:ilvl w:val="0"/>
          <w:numId w:val="4"/>
        </w:num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adjuntó los siguientes documentos electrónicos:</w:t>
      </w:r>
    </w:p>
    <w:p w:rsidR="009850EF" w:rsidRDefault="00252A14" w:rsidP="00C313F5">
      <w:pPr>
        <w:numPr>
          <w:ilvl w:val="0"/>
          <w:numId w:val="1"/>
        </w:numPr>
        <w:pBdr>
          <w:top w:val="nil"/>
          <w:left w:val="nil"/>
          <w:bottom w:val="nil"/>
          <w:right w:val="nil"/>
          <w:between w:val="nil"/>
        </w:pBdr>
        <w:spacing w:line="360" w:lineRule="auto"/>
        <w:ind w:left="993" w:right="822"/>
        <w:jc w:val="both"/>
        <w:rPr>
          <w:rFonts w:ascii="Palatino Linotype" w:eastAsia="Palatino Linotype" w:hAnsi="Palatino Linotype" w:cs="Palatino Linotype"/>
          <w:b/>
          <w:color w:val="000000"/>
          <w:sz w:val="22"/>
          <w:szCs w:val="22"/>
        </w:rPr>
      </w:pPr>
      <w:proofErr w:type="spellStart"/>
      <w:r>
        <w:rPr>
          <w:rFonts w:ascii="Palatino Linotype" w:eastAsia="Palatino Linotype" w:hAnsi="Palatino Linotype" w:cs="Palatino Linotype"/>
          <w:b/>
          <w:color w:val="000000"/>
          <w:sz w:val="22"/>
          <w:szCs w:val="22"/>
        </w:rPr>
        <w:t>resp</w:t>
      </w:r>
      <w:proofErr w:type="spellEnd"/>
      <w:r>
        <w:rPr>
          <w:rFonts w:ascii="Palatino Linotype" w:eastAsia="Palatino Linotype" w:hAnsi="Palatino Linotype" w:cs="Palatino Linotype"/>
          <w:b/>
          <w:color w:val="000000"/>
          <w:sz w:val="22"/>
          <w:szCs w:val="22"/>
        </w:rPr>
        <w:t xml:space="preserve"> a sol 376.pdf: </w:t>
      </w:r>
      <w:r>
        <w:rPr>
          <w:rFonts w:ascii="Palatino Linotype" w:eastAsia="Palatino Linotype" w:hAnsi="Palatino Linotype" w:cs="Palatino Linotype"/>
          <w:color w:val="000000"/>
          <w:sz w:val="22"/>
          <w:szCs w:val="22"/>
        </w:rPr>
        <w:t>Oficio suscrito por el Suplente en la Titularidad de la Unidad de Planeación y Transparencia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el que se proporcionan diversas direcciones electrónicas donde se contiene información del Sujeto Obligado, como la página oficial, IPOMEX, la PNT, política anti soborno; y su legislación.</w:t>
      </w:r>
    </w:p>
    <w:p w:rsidR="009850EF" w:rsidRDefault="00252A14" w:rsidP="00C313F5">
      <w:pPr>
        <w:numPr>
          <w:ilvl w:val="0"/>
          <w:numId w:val="1"/>
        </w:numPr>
        <w:pBdr>
          <w:top w:val="nil"/>
          <w:left w:val="nil"/>
          <w:bottom w:val="nil"/>
          <w:right w:val="nil"/>
          <w:between w:val="nil"/>
        </w:pBdr>
        <w:spacing w:line="360" w:lineRule="auto"/>
        <w:ind w:left="993" w:right="82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LTAIPEMYM.pdf: </w:t>
      </w:r>
      <w:r>
        <w:rPr>
          <w:rFonts w:ascii="Palatino Linotype" w:eastAsia="Palatino Linotype" w:hAnsi="Palatino Linotype" w:cs="Palatino Linotype"/>
          <w:color w:val="000000"/>
          <w:sz w:val="22"/>
          <w:szCs w:val="22"/>
        </w:rPr>
        <w:t>Contiene la Ley de Transparencia y Acceso a la Información Pública del Estado de México y Municipios.</w:t>
      </w:r>
    </w:p>
    <w:p w:rsidR="009850EF" w:rsidRDefault="00252A14" w:rsidP="00C313F5">
      <w:pPr>
        <w:numPr>
          <w:ilvl w:val="0"/>
          <w:numId w:val="1"/>
        </w:numPr>
        <w:pBdr>
          <w:top w:val="nil"/>
          <w:left w:val="nil"/>
          <w:bottom w:val="nil"/>
          <w:right w:val="nil"/>
          <w:between w:val="nil"/>
        </w:pBdr>
        <w:spacing w:line="360" w:lineRule="auto"/>
        <w:ind w:left="993" w:right="822"/>
        <w:jc w:val="both"/>
        <w:rPr>
          <w:rFonts w:ascii="Palatino Linotype" w:eastAsia="Palatino Linotype" w:hAnsi="Palatino Linotype" w:cs="Palatino Linotype"/>
          <w:b/>
          <w:color w:val="000000"/>
          <w:sz w:val="22"/>
          <w:szCs w:val="22"/>
        </w:rPr>
      </w:pPr>
      <w:proofErr w:type="spellStart"/>
      <w:r>
        <w:rPr>
          <w:rFonts w:ascii="Palatino Linotype" w:eastAsia="Palatino Linotype" w:hAnsi="Palatino Linotype" w:cs="Palatino Linotype"/>
          <w:b/>
          <w:color w:val="000000"/>
          <w:sz w:val="22"/>
          <w:szCs w:val="22"/>
        </w:rPr>
        <w:t>resp</w:t>
      </w:r>
      <w:proofErr w:type="spellEnd"/>
      <w:r>
        <w:rPr>
          <w:rFonts w:ascii="Palatino Linotype" w:eastAsia="Palatino Linotype" w:hAnsi="Palatino Linotype" w:cs="Palatino Linotype"/>
          <w:b/>
          <w:color w:val="000000"/>
          <w:sz w:val="22"/>
          <w:szCs w:val="22"/>
        </w:rPr>
        <w:t xml:space="preserve"> sol </w:t>
      </w:r>
      <w:proofErr w:type="spellStart"/>
      <w:r>
        <w:rPr>
          <w:rFonts w:ascii="Palatino Linotype" w:eastAsia="Palatino Linotype" w:hAnsi="Palatino Linotype" w:cs="Palatino Linotype"/>
          <w:b/>
          <w:color w:val="000000"/>
          <w:sz w:val="22"/>
          <w:szCs w:val="22"/>
        </w:rPr>
        <w:t>uni</w:t>
      </w:r>
      <w:proofErr w:type="spellEnd"/>
      <w:r>
        <w:rPr>
          <w:rFonts w:ascii="Palatino Linotype" w:eastAsia="Palatino Linotype" w:hAnsi="Palatino Linotype" w:cs="Palatino Linotype"/>
          <w:b/>
          <w:color w:val="000000"/>
          <w:sz w:val="22"/>
          <w:szCs w:val="22"/>
        </w:rPr>
        <w:t xml:space="preserve"> 376.pdf: </w:t>
      </w:r>
      <w:r>
        <w:rPr>
          <w:rFonts w:ascii="Palatino Linotype" w:eastAsia="Palatino Linotype" w:hAnsi="Palatino Linotype" w:cs="Palatino Linotype"/>
          <w:color w:val="000000"/>
          <w:sz w:val="22"/>
          <w:szCs w:val="22"/>
        </w:rPr>
        <w:t>Oficio signado por el Titular de la Unidad de Asuntos Jurídicos e Igualdad de Género</w:t>
      </w:r>
      <w:r>
        <w:rPr>
          <w:rFonts w:ascii="Palatino Linotype" w:eastAsia="Palatino Linotype" w:hAnsi="Palatino Linotype" w:cs="Palatino Linotype"/>
          <w:b/>
          <w:color w:val="000000"/>
          <w:sz w:val="22"/>
          <w:szCs w:val="22"/>
        </w:rPr>
        <w:t xml:space="preserve"> en el que refiere </w:t>
      </w:r>
    </w:p>
    <w:p w:rsidR="009850EF" w:rsidRDefault="00252A14" w:rsidP="00C313F5">
      <w:pPr>
        <w:numPr>
          <w:ilvl w:val="0"/>
          <w:numId w:val="1"/>
        </w:numPr>
        <w:pBdr>
          <w:top w:val="nil"/>
          <w:left w:val="nil"/>
          <w:bottom w:val="nil"/>
          <w:right w:val="nil"/>
          <w:between w:val="nil"/>
        </w:pBdr>
        <w:spacing w:line="360" w:lineRule="auto"/>
        <w:ind w:left="993" w:right="82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LSAEMYM.pdf: </w:t>
      </w:r>
      <w:r>
        <w:rPr>
          <w:rFonts w:ascii="Palatino Linotype" w:eastAsia="Palatino Linotype" w:hAnsi="Palatino Linotype" w:cs="Palatino Linotype"/>
          <w:color w:val="000000"/>
          <w:sz w:val="22"/>
          <w:szCs w:val="22"/>
        </w:rPr>
        <w:t>Contiene la Ley del Sistema Anticorrupción del Estado de México y Municipios.</w:t>
      </w:r>
    </w:p>
    <w:p w:rsidR="009850EF" w:rsidRDefault="00252A14" w:rsidP="00C313F5">
      <w:pPr>
        <w:numPr>
          <w:ilvl w:val="0"/>
          <w:numId w:val="1"/>
        </w:numPr>
        <w:pBdr>
          <w:top w:val="nil"/>
          <w:left w:val="nil"/>
          <w:bottom w:val="nil"/>
          <w:right w:val="nil"/>
          <w:between w:val="nil"/>
        </w:pBdr>
        <w:spacing w:line="360" w:lineRule="auto"/>
        <w:ind w:left="993" w:right="82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OFIC RESP A SOL 376.docx: </w:t>
      </w:r>
      <w:r>
        <w:rPr>
          <w:rFonts w:ascii="Palatino Linotype" w:eastAsia="Palatino Linotype" w:hAnsi="Palatino Linotype" w:cs="Palatino Linotype"/>
          <w:color w:val="000000"/>
          <w:sz w:val="22"/>
          <w:szCs w:val="22"/>
        </w:rPr>
        <w:t xml:space="preserve">Se integra del mismo contenido del documento electrónico </w:t>
      </w:r>
      <w:proofErr w:type="spellStart"/>
      <w:r>
        <w:rPr>
          <w:rFonts w:ascii="Palatino Linotype" w:eastAsia="Palatino Linotype" w:hAnsi="Palatino Linotype" w:cs="Palatino Linotype"/>
          <w:b/>
          <w:i/>
          <w:color w:val="000000"/>
          <w:sz w:val="22"/>
          <w:szCs w:val="22"/>
        </w:rPr>
        <w:t>resp</w:t>
      </w:r>
      <w:proofErr w:type="spellEnd"/>
      <w:r>
        <w:rPr>
          <w:rFonts w:ascii="Palatino Linotype" w:eastAsia="Palatino Linotype" w:hAnsi="Palatino Linotype" w:cs="Palatino Linotype"/>
          <w:b/>
          <w:i/>
          <w:color w:val="000000"/>
          <w:sz w:val="22"/>
          <w:szCs w:val="22"/>
        </w:rPr>
        <w:t xml:space="preserve"> a sol 376.pdf.</w:t>
      </w:r>
    </w:p>
    <w:p w:rsidR="009850EF" w:rsidRDefault="009850E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cuatro (4) de enero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sin embargo, al corresponder a día inhábil, se tuvo por presentado el once (11) de enero de la misma anualidad, mediante el cual señaló como:</w:t>
      </w:r>
    </w:p>
    <w:p w:rsidR="009850EF" w:rsidRDefault="00252A14" w:rsidP="00C313F5">
      <w:pPr>
        <w:numPr>
          <w:ilvl w:val="0"/>
          <w:numId w:val="5"/>
        </w:numPr>
        <w:pBdr>
          <w:top w:val="nil"/>
          <w:left w:val="nil"/>
          <w:bottom w:val="nil"/>
          <w:right w:val="nil"/>
          <w:between w:val="nil"/>
        </w:pBdr>
        <w:spacing w:line="360" w:lineRule="auto"/>
        <w:ind w:right="124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“Información incompleta, hacen falta oficios de gestión realizados por la unidad administrativa encargada de dar respuesta a dicha solicitud.” (sic)</w:t>
      </w:r>
    </w:p>
    <w:p w:rsidR="009850EF" w:rsidRDefault="00252A14" w:rsidP="00C313F5">
      <w:pPr>
        <w:numPr>
          <w:ilvl w:val="0"/>
          <w:numId w:val="5"/>
        </w:numPr>
        <w:pBdr>
          <w:top w:val="nil"/>
          <w:left w:val="nil"/>
          <w:bottom w:val="nil"/>
          <w:right w:val="nil"/>
          <w:between w:val="nil"/>
        </w:pBdr>
        <w:spacing w:line="360" w:lineRule="auto"/>
        <w:ind w:right="124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 “</w:t>
      </w:r>
      <w:r>
        <w:rPr>
          <w:rFonts w:ascii="Palatino Linotype" w:eastAsia="Palatino Linotype" w:hAnsi="Palatino Linotype" w:cs="Palatino Linotype"/>
          <w:i/>
          <w:color w:val="000000"/>
          <w:sz w:val="22"/>
          <w:szCs w:val="22"/>
        </w:rPr>
        <w:t>Información incompleta” (sic)</w:t>
      </w:r>
    </w:p>
    <w:p w:rsidR="009850EF" w:rsidRDefault="009850EF" w:rsidP="00C313F5">
      <w:pPr>
        <w:pBdr>
          <w:top w:val="nil"/>
          <w:left w:val="nil"/>
          <w:bottom w:val="nil"/>
          <w:right w:val="nil"/>
          <w:between w:val="nil"/>
        </w:pBdr>
        <w:spacing w:line="360" w:lineRule="auto"/>
        <w:ind w:left="720" w:right="1247"/>
        <w:jc w:val="both"/>
        <w:rPr>
          <w:rFonts w:ascii="Palatino Linotype" w:eastAsia="Palatino Linotype" w:hAnsi="Palatino Linotype" w:cs="Palatino Linotype"/>
          <w:i/>
          <w:color w:val="000000"/>
          <w:sz w:val="22"/>
          <w:szCs w:val="22"/>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dieciocho (18) de enero de dos mil veintitrés,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lastRenderedPageBreak/>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rsidR="009850EF" w:rsidRDefault="00252A14">
      <w:pPr>
        <w:numPr>
          <w:ilvl w:val="0"/>
          <w:numId w:val="6"/>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rindió informe justificado el veinticuatro (24) de enero de dos mil veinticuatro, dicho informe justificado se puso a la vista del particular el veintiuno (21) de agosto de dos mil veinticuatro; sin embargo, se describe su contenido medular, siendo el siguiente:</w:t>
      </w:r>
    </w:p>
    <w:p w:rsidR="009850EF" w:rsidRDefault="00252A14" w:rsidP="00C313F5">
      <w:pPr>
        <w:numPr>
          <w:ilvl w:val="0"/>
          <w:numId w:val="2"/>
        </w:numPr>
        <w:pBdr>
          <w:top w:val="nil"/>
          <w:left w:val="nil"/>
          <w:bottom w:val="nil"/>
          <w:right w:val="nil"/>
          <w:between w:val="nil"/>
        </w:pBdr>
        <w:tabs>
          <w:tab w:val="left" w:pos="284"/>
        </w:tabs>
        <w:spacing w:before="240"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Informe Justificado RR 28.pdf: </w:t>
      </w:r>
      <w:r>
        <w:rPr>
          <w:rFonts w:ascii="Palatino Linotype" w:eastAsia="Palatino Linotype" w:hAnsi="Palatino Linotype" w:cs="Palatino Linotype"/>
          <w:color w:val="000000"/>
          <w:sz w:val="22"/>
          <w:szCs w:val="22"/>
        </w:rPr>
        <w:t xml:space="preserve">Documento suscrito por el Suplente en la Titularidad de la Unidad de Planeación y Transparencia </w:t>
      </w:r>
    </w:p>
    <w:p w:rsidR="009850EF" w:rsidRPr="00C313F5" w:rsidRDefault="00252A14" w:rsidP="00C313F5">
      <w:pPr>
        <w:numPr>
          <w:ilvl w:val="0"/>
          <w:numId w:val="2"/>
        </w:numPr>
        <w:pBdr>
          <w:top w:val="nil"/>
          <w:left w:val="nil"/>
          <w:bottom w:val="nil"/>
          <w:right w:val="nil"/>
          <w:between w:val="nil"/>
        </w:pBdr>
        <w:tabs>
          <w:tab w:val="left" w:pos="284"/>
        </w:tabs>
        <w:spacing w:line="360" w:lineRule="auto"/>
        <w:ind w:right="53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Oficio 21 </w:t>
      </w:r>
      <w:proofErr w:type="spellStart"/>
      <w:r>
        <w:rPr>
          <w:rFonts w:ascii="Palatino Linotype" w:eastAsia="Palatino Linotype" w:hAnsi="Palatino Linotype" w:cs="Palatino Linotype"/>
          <w:b/>
          <w:i/>
          <w:color w:val="000000"/>
          <w:sz w:val="22"/>
          <w:szCs w:val="22"/>
        </w:rPr>
        <w:t>UAJeIG</w:t>
      </w:r>
      <w:proofErr w:type="spellEnd"/>
      <w:r>
        <w:rPr>
          <w:rFonts w:ascii="Palatino Linotype" w:eastAsia="Palatino Linotype" w:hAnsi="Palatino Linotype" w:cs="Palatino Linotype"/>
          <w:b/>
          <w:i/>
          <w:color w:val="000000"/>
          <w:sz w:val="22"/>
          <w:szCs w:val="22"/>
        </w:rPr>
        <w:t xml:space="preserve"> RR 0028.pdf: </w:t>
      </w:r>
      <w:r>
        <w:rPr>
          <w:rFonts w:ascii="Palatino Linotype" w:eastAsia="Palatino Linotype" w:hAnsi="Palatino Linotype" w:cs="Palatino Linotype"/>
          <w:color w:val="000000"/>
          <w:sz w:val="22"/>
          <w:szCs w:val="22"/>
        </w:rPr>
        <w:t>Oficio suscrito por el Titular de la Unidad de Asuntos Jurídicos e Igualdad de Género en el que entrega una dirección electrónica enfatizando que la información requerida se encuentra en el apartado “Análisis de Impacto Regulatorio”</w:t>
      </w:r>
    </w:p>
    <w:p w:rsidR="00C313F5" w:rsidRDefault="00C313F5" w:rsidP="00C313F5">
      <w:pPr>
        <w:pBdr>
          <w:top w:val="nil"/>
          <w:left w:val="nil"/>
          <w:bottom w:val="nil"/>
          <w:right w:val="nil"/>
          <w:between w:val="nil"/>
        </w:pBdr>
        <w:tabs>
          <w:tab w:val="left" w:pos="284"/>
        </w:tabs>
        <w:spacing w:line="360" w:lineRule="auto"/>
        <w:ind w:left="720" w:right="539"/>
        <w:jc w:val="both"/>
        <w:rPr>
          <w:rFonts w:ascii="Palatino Linotype" w:eastAsia="Palatino Linotype" w:hAnsi="Palatino Linotype" w:cs="Palatino Linotype"/>
          <w:b/>
          <w:i/>
          <w:color w:val="000000"/>
          <w:sz w:val="22"/>
          <w:szCs w:val="22"/>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su parte, el Recurrente fue omiso en realizar manifestaciones, presentar pruebas o alegatos que a su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diecinueve (19) de marzo de dos mil veinticuatro, la Comisionada Ponente notificó el acuerdo mediante el cual se amplió el plazo para emitir resolución; asimismo.</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veintisiete (27) de agosto de dos mil veinticuatro se notificó el acuerdo mediante el cual se decretó el cierre de instrucción, por lo que </w:t>
      </w:r>
      <w:r>
        <w:rPr>
          <w:rFonts w:ascii="Palatino Linotype" w:eastAsia="Palatino Linotype" w:hAnsi="Palatino Linotype" w:cs="Palatino Linotype"/>
          <w:sz w:val="24"/>
          <w:szCs w:val="24"/>
        </w:rPr>
        <w:t>tornó</w:t>
      </w:r>
      <w:r>
        <w:rPr>
          <w:rFonts w:ascii="Palatino Linotype" w:eastAsia="Palatino Linotype" w:hAnsi="Palatino Linotype" w:cs="Palatino Linotype"/>
          <w:color w:val="000000"/>
          <w:sz w:val="24"/>
          <w:szCs w:val="24"/>
        </w:rPr>
        <w:t xml:space="preserve"> la presente resolución para su aprobación.</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u w:val="single"/>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9850EF" w:rsidRDefault="00252A14" w:rsidP="00C313F5">
      <w:pPr>
        <w:pBdr>
          <w:top w:val="nil"/>
          <w:left w:val="nil"/>
          <w:bottom w:val="nil"/>
          <w:right w:val="nil"/>
          <w:between w:val="nil"/>
        </w:pBdr>
        <w:spacing w:line="360" w:lineRule="auto"/>
        <w:ind w:left="284" w:right="138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w:t>
      </w:r>
      <w:r w:rsidR="00C313F5">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rsidR="009850EF" w:rsidRDefault="00252A14" w:rsidP="00C313F5">
      <w:pPr>
        <w:pBdr>
          <w:top w:val="nil"/>
          <w:left w:val="nil"/>
          <w:bottom w:val="nil"/>
          <w:right w:val="nil"/>
          <w:between w:val="nil"/>
        </w:pBdr>
        <w:spacing w:line="360" w:lineRule="auto"/>
        <w:ind w:left="284" w:right="138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9850EF" w:rsidRDefault="00C313F5" w:rsidP="00C313F5">
      <w:pPr>
        <w:pBdr>
          <w:top w:val="nil"/>
          <w:left w:val="nil"/>
          <w:bottom w:val="nil"/>
          <w:right w:val="nil"/>
          <w:between w:val="nil"/>
        </w:pBdr>
        <w:spacing w:line="360" w:lineRule="auto"/>
        <w:ind w:left="284" w:right="138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w:t>
      </w:r>
      <w:r w:rsidR="00252A14">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9850EF" w:rsidRDefault="00252A14" w:rsidP="00C313F5">
      <w:pPr>
        <w:pBdr>
          <w:top w:val="nil"/>
          <w:left w:val="nil"/>
          <w:bottom w:val="nil"/>
          <w:right w:val="nil"/>
          <w:between w:val="nil"/>
        </w:pBdr>
        <w:spacing w:line="360" w:lineRule="auto"/>
        <w:ind w:left="284" w:right="138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w:t>
      </w:r>
      <w:r w:rsidR="00C313F5">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Argumento que encuentra sustento en la jurisprudencia P</w:t>
      </w:r>
      <w:proofErr w:type="gramStart"/>
      <w:r>
        <w:rPr>
          <w:rFonts w:ascii="Palatino Linotype" w:eastAsia="Palatino Linotype" w:hAnsi="Palatino Linotype" w:cs="Palatino Linotype"/>
          <w:color w:val="000000"/>
          <w:sz w:val="24"/>
          <w:szCs w:val="24"/>
        </w:rPr>
        <w:t>./</w:t>
      </w:r>
      <w:proofErr w:type="gramEnd"/>
      <w:r>
        <w:rPr>
          <w:rFonts w:ascii="Palatino Linotype" w:eastAsia="Palatino Linotype" w:hAnsi="Palatino Linotype" w:cs="Palatino Linotype"/>
          <w:color w:val="000000"/>
          <w:sz w:val="24"/>
          <w:szCs w:val="24"/>
        </w:rPr>
        <w:t xml:space="preserve">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9850EF" w:rsidRDefault="00252A14" w:rsidP="00C313F5">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9850EF" w:rsidRDefault="00252A14" w:rsidP="00C313F5">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9850EF" w:rsidRDefault="00252A14">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lastRenderedPageBreak/>
        <w:t xml:space="preserve">C O N S I D E R A N D O </w:t>
      </w:r>
    </w:p>
    <w:p w:rsidR="00C313F5" w:rsidRPr="00C313F5" w:rsidRDefault="00C313F5" w:rsidP="00C313F5">
      <w:pPr>
        <w:rPr>
          <w:rFonts w:eastAsia="Palatino Linotype"/>
        </w:rPr>
      </w:pPr>
    </w:p>
    <w:p w:rsidR="009850EF" w:rsidRDefault="009850EF">
      <w:pPr>
        <w:rPr>
          <w:rFonts w:ascii="Palatino Linotype" w:eastAsia="Palatino Linotype" w:hAnsi="Palatino Linotype" w:cs="Palatino Linotype"/>
          <w:sz w:val="24"/>
          <w:szCs w:val="24"/>
        </w:rPr>
      </w:pPr>
    </w:p>
    <w:p w:rsidR="009850EF" w:rsidRDefault="00252A14">
      <w:pPr>
        <w:pStyle w:val="Ttulo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rsidR="009850EF" w:rsidRDefault="00252A14">
      <w:pPr>
        <w:numPr>
          <w:ilvl w:val="0"/>
          <w:numId w:val="6"/>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rsidR="009850EF" w:rsidRDefault="009850EF">
      <w:p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4"/>
          <w:szCs w:val="24"/>
        </w:rPr>
      </w:pPr>
    </w:p>
    <w:p w:rsidR="009850EF" w:rsidRDefault="00252A14">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rsidR="009850EF" w:rsidRDefault="00252A14">
      <w:pPr>
        <w:numPr>
          <w:ilvl w:val="0"/>
          <w:numId w:val="6"/>
        </w:numPr>
        <w:pBdr>
          <w:top w:val="nil"/>
          <w:left w:val="nil"/>
          <w:bottom w:val="nil"/>
          <w:right w:val="nil"/>
          <w:between w:val="nil"/>
        </w:pBdr>
        <w:tabs>
          <w:tab w:val="left" w:pos="426"/>
        </w:tabs>
        <w:spacing w:line="360" w:lineRule="auto"/>
        <w:ind w:left="0" w:right="49"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once (11) de diciembre de dos mil veintitrés, de tal forma que el plazo para interponer el recurso de revisión transcurrió del doce (12) de diciembre de dos mil veintitrés al veintidós (22) de enero de dos mil veinticuatro. El recurso de revisión fue interpuesto el once (11) de enero de dos mil veinticuatro, éste se encuentra dentro de los márgenes temporales previstos en </w:t>
      </w:r>
      <w:r>
        <w:rPr>
          <w:rFonts w:ascii="Palatino Linotype" w:eastAsia="Palatino Linotype" w:hAnsi="Palatino Linotype" w:cs="Palatino Linotype"/>
          <w:color w:val="000000"/>
          <w:sz w:val="24"/>
          <w:szCs w:val="24"/>
        </w:rPr>
        <w:lastRenderedPageBreak/>
        <w:t>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rsidR="009850EF" w:rsidRDefault="009850EF">
      <w:pPr>
        <w:tabs>
          <w:tab w:val="left" w:pos="426"/>
        </w:tabs>
        <w:spacing w:line="360" w:lineRule="auto"/>
        <w:ind w:right="49"/>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9850EF" w:rsidRDefault="00252A14">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 las causales del sobreseimiento </w:t>
      </w:r>
    </w:p>
    <w:p w:rsidR="009850EF" w:rsidRDefault="00252A14">
      <w:pPr>
        <w:numPr>
          <w:ilvl w:val="0"/>
          <w:numId w:val="6"/>
        </w:numPr>
        <w:pBdr>
          <w:top w:val="nil"/>
          <w:left w:val="nil"/>
          <w:bottom w:val="nil"/>
          <w:right w:val="nil"/>
          <w:between w:val="nil"/>
        </w:pBdr>
        <w:spacing w:before="240"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El recurrente solicitó la siguiente información: </w:t>
      </w:r>
    </w:p>
    <w:p w:rsidR="009850EF" w:rsidRDefault="00252A14" w:rsidP="00C313F5">
      <w:pPr>
        <w:numPr>
          <w:ilvl w:val="0"/>
          <w:numId w:val="3"/>
        </w:num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Solicito evidencia del año 2018 a la fecha de la tramitación de publicaciones en Gaceta del Gobierno del Estado de México ha realizado la Unidad de Asuntos Jurídicos de la Secretaría Ejecutiva.</w:t>
      </w:r>
    </w:p>
    <w:p w:rsidR="009850EF" w:rsidRDefault="009850EF">
      <w:pPr>
        <w:pBdr>
          <w:top w:val="nil"/>
          <w:left w:val="nil"/>
          <w:bottom w:val="nil"/>
          <w:right w:val="nil"/>
          <w:between w:val="nil"/>
        </w:pBdr>
        <w:spacing w:line="360" w:lineRule="auto"/>
        <w:ind w:left="567" w:right="49"/>
        <w:jc w:val="both"/>
        <w:rPr>
          <w:rFonts w:ascii="Palatino Linotype" w:eastAsia="Palatino Linotype" w:hAnsi="Palatino Linotype" w:cs="Palatino Linotype"/>
          <w:i/>
          <w:color w:val="000000"/>
          <w:sz w:val="24"/>
          <w:szCs w:val="24"/>
        </w:rPr>
      </w:pPr>
    </w:p>
    <w:p w:rsidR="009850EF" w:rsidRDefault="00252A14">
      <w:pPr>
        <w:numPr>
          <w:ilvl w:val="0"/>
          <w:numId w:val="6"/>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Sujeto Obligado entregó dos </w:t>
      </w:r>
      <w:r>
        <w:rPr>
          <w:rFonts w:ascii="Palatino Linotype" w:eastAsia="Palatino Linotype" w:hAnsi="Palatino Linotype" w:cs="Palatino Linotype"/>
          <w:sz w:val="24"/>
          <w:szCs w:val="24"/>
        </w:rPr>
        <w:t>normativas</w:t>
      </w:r>
      <w:r>
        <w:rPr>
          <w:rFonts w:ascii="Palatino Linotype" w:eastAsia="Palatino Linotype" w:hAnsi="Palatino Linotype" w:cs="Palatino Linotype"/>
          <w:color w:val="000000"/>
          <w:sz w:val="24"/>
          <w:szCs w:val="24"/>
        </w:rPr>
        <w:t xml:space="preserve"> y diversas direcciones electrónicas.</w:t>
      </w:r>
    </w:p>
    <w:p w:rsidR="009850EF" w:rsidRDefault="009850E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284"/>
        </w:tabs>
        <w:spacing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 El particular se inconformó por la </w:t>
      </w:r>
      <w:r>
        <w:rPr>
          <w:rFonts w:ascii="Palatino Linotype" w:eastAsia="Palatino Linotype" w:hAnsi="Palatino Linotype" w:cs="Palatino Linotype"/>
          <w:sz w:val="24"/>
          <w:szCs w:val="24"/>
        </w:rPr>
        <w:t>falta de oficios</w:t>
      </w:r>
      <w:r>
        <w:rPr>
          <w:rFonts w:ascii="Palatino Linotype" w:eastAsia="Palatino Linotype" w:hAnsi="Palatino Linotype" w:cs="Palatino Linotype"/>
          <w:color w:val="000000"/>
          <w:sz w:val="24"/>
          <w:szCs w:val="24"/>
        </w:rPr>
        <w:t xml:space="preserve"> de gestión realizados por la unidad administrativa encargada de dar respuesta.</w:t>
      </w:r>
    </w:p>
    <w:p w:rsidR="009850EF" w:rsidRDefault="009850EF">
      <w:pPr>
        <w:tabs>
          <w:tab w:val="left" w:pos="284"/>
        </w:tabs>
        <w:spacing w:before="240" w:line="360" w:lineRule="auto"/>
        <w:jc w:val="both"/>
        <w:rPr>
          <w:rFonts w:ascii="Palatino Linotype" w:eastAsia="Palatino Linotype" w:hAnsi="Palatino Linotype" w:cs="Palatino Linotype"/>
          <w:i/>
          <w:sz w:val="24"/>
          <w:szCs w:val="24"/>
        </w:rPr>
      </w:pPr>
    </w:p>
    <w:p w:rsidR="009850EF" w:rsidRDefault="00252A14">
      <w:pPr>
        <w:numPr>
          <w:ilvl w:val="0"/>
          <w:numId w:val="6"/>
        </w:numPr>
        <w:tabs>
          <w:tab w:val="left" w:pos="284"/>
        </w:tabs>
        <w:spacing w:after="240"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 relativo a la </w:t>
      </w:r>
      <w:r>
        <w:rPr>
          <w:rFonts w:ascii="Palatino Linotype" w:eastAsia="Palatino Linotype" w:hAnsi="Palatino Linotype" w:cs="Palatino Linotype"/>
          <w:sz w:val="24"/>
          <w:szCs w:val="24"/>
        </w:rPr>
        <w:lastRenderedPageBreak/>
        <w:t xml:space="preserve">entrega de información incompleta,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rsidR="009850EF" w:rsidRDefault="00252A14">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I. De la atención a la solicitud de información.</w:t>
      </w:r>
    </w:p>
    <w:p w:rsidR="009850EF" w:rsidRDefault="00252A14">
      <w:pPr>
        <w:numPr>
          <w:ilvl w:val="0"/>
          <w:numId w:val="6"/>
        </w:numPr>
        <w:spacing w:line="360" w:lineRule="auto"/>
        <w:ind w:left="0" w:right="34"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rsidR="009850EF" w:rsidRDefault="009850EF">
      <w:pPr>
        <w:tabs>
          <w:tab w:val="left" w:pos="284"/>
        </w:tabs>
        <w:spacing w:line="360" w:lineRule="auto"/>
        <w:ind w:right="49"/>
        <w:jc w:val="both"/>
        <w:rPr>
          <w:rFonts w:ascii="Palatino Linotype" w:eastAsia="Palatino Linotype" w:hAnsi="Palatino Linotype" w:cs="Palatino Linotype"/>
          <w:color w:val="000000"/>
          <w:sz w:val="24"/>
          <w:szCs w:val="24"/>
        </w:rPr>
      </w:pPr>
    </w:p>
    <w:p w:rsidR="009850EF" w:rsidRDefault="00252A14">
      <w:pPr>
        <w:numPr>
          <w:ilvl w:val="0"/>
          <w:numId w:val="6"/>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w:t>
      </w:r>
      <w:r>
        <w:rPr>
          <w:rFonts w:ascii="Palatino Linotype" w:eastAsia="Palatino Linotype" w:hAnsi="Palatino Linotype" w:cs="Palatino Linotype"/>
          <w:i/>
          <w:color w:val="000000"/>
          <w:sz w:val="24"/>
          <w:szCs w:val="24"/>
        </w:rPr>
        <w:lastRenderedPageBreak/>
        <w:t>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9850EF" w:rsidRDefault="009850EF">
      <w:pPr>
        <w:tabs>
          <w:tab w:val="left" w:pos="284"/>
        </w:tabs>
        <w:rPr>
          <w:rFonts w:ascii="Palatino Linotype" w:eastAsia="Palatino Linotype" w:hAnsi="Palatino Linotype" w:cs="Palatino Linotype"/>
          <w:sz w:val="24"/>
          <w:szCs w:val="24"/>
        </w:rPr>
      </w:pPr>
    </w:p>
    <w:p w:rsidR="009850EF" w:rsidRDefault="00252A14">
      <w:pPr>
        <w:numPr>
          <w:ilvl w:val="0"/>
          <w:numId w:val="6"/>
        </w:numPr>
        <w:tabs>
          <w:tab w:val="left" w:pos="284"/>
        </w:tabs>
        <w:spacing w:line="360" w:lineRule="auto"/>
        <w:ind w:left="0"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9850EF" w:rsidRDefault="00252A14">
      <w:pPr>
        <w:tabs>
          <w:tab w:val="left" w:pos="284"/>
        </w:tabs>
        <w:spacing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rsidR="009850EF" w:rsidRDefault="00252A14">
      <w:pPr>
        <w:numPr>
          <w:ilvl w:val="0"/>
          <w:numId w:val="6"/>
        </w:numPr>
        <w:tabs>
          <w:tab w:val="left" w:pos="284"/>
        </w:tabs>
        <w:spacing w:line="360" w:lineRule="auto"/>
        <w:ind w:left="0"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rsidR="009850EF" w:rsidRDefault="009850EF">
      <w:pPr>
        <w:tabs>
          <w:tab w:val="left" w:pos="284"/>
        </w:tabs>
        <w:spacing w:line="360" w:lineRule="auto"/>
        <w:jc w:val="both"/>
        <w:rPr>
          <w:rFonts w:ascii="Palatino Linotype" w:eastAsia="Palatino Linotype" w:hAnsi="Palatino Linotype" w:cs="Palatino Linotype"/>
          <w:sz w:val="24"/>
          <w:szCs w:val="24"/>
        </w:rPr>
      </w:pPr>
    </w:p>
    <w:p w:rsidR="009850EF" w:rsidRDefault="00252A14">
      <w:pPr>
        <w:numPr>
          <w:ilvl w:val="0"/>
          <w:numId w:val="6"/>
        </w:numPr>
        <w:tabs>
          <w:tab w:val="left" w:pos="284"/>
        </w:tabs>
        <w:spacing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 xml:space="preserve">cuyo objeto es establecer principios, bases generales y procedimientos para tutelar y garantizar la transparencia y el derecho humano de acceso a </w:t>
      </w:r>
      <w:r>
        <w:rPr>
          <w:rFonts w:ascii="Palatino Linotype" w:eastAsia="Palatino Linotype" w:hAnsi="Palatino Linotype" w:cs="Palatino Linotype"/>
          <w:sz w:val="24"/>
          <w:szCs w:val="24"/>
        </w:rPr>
        <w:lastRenderedPageBreak/>
        <w:t>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9850EF" w:rsidRDefault="009850EF">
      <w:pPr>
        <w:tabs>
          <w:tab w:val="left" w:pos="284"/>
        </w:tabs>
        <w:rPr>
          <w:rFonts w:ascii="Palatino Linotype" w:eastAsia="Palatino Linotype" w:hAnsi="Palatino Linotype" w:cs="Palatino Linotype"/>
          <w:sz w:val="24"/>
          <w:szCs w:val="24"/>
        </w:rPr>
      </w:pPr>
    </w:p>
    <w:p w:rsidR="009850EF" w:rsidRDefault="00252A14">
      <w:pPr>
        <w:numPr>
          <w:ilvl w:val="0"/>
          <w:numId w:val="6"/>
        </w:numPr>
        <w:tabs>
          <w:tab w:val="left" w:pos="284"/>
        </w:tabs>
        <w:spacing w:after="240"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rsidR="009850EF" w:rsidRDefault="00252A14">
      <w:pPr>
        <w:numPr>
          <w:ilvl w:val="0"/>
          <w:numId w:val="6"/>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850EF" w:rsidRDefault="00252A14">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9850EF" w:rsidRDefault="00252A1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9850EF" w:rsidRDefault="00252A1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9850EF" w:rsidRDefault="00252A1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rsidR="009850EF" w:rsidRDefault="00252A14">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9850EF" w:rsidRDefault="00252A14">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rsidR="009850EF" w:rsidRDefault="009850E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9850EF" w:rsidRDefault="009850E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rsidR="009850EF" w:rsidRPr="00C313F5" w:rsidRDefault="00252A14">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C313F5" w:rsidRDefault="00C313F5" w:rsidP="00C313F5">
      <w:pPr>
        <w:pBdr>
          <w:top w:val="nil"/>
          <w:left w:val="nil"/>
          <w:bottom w:val="nil"/>
          <w:right w:val="nil"/>
          <w:between w:val="nil"/>
        </w:pBdr>
        <w:tabs>
          <w:tab w:val="left" w:pos="851"/>
        </w:tabs>
        <w:spacing w:line="360" w:lineRule="auto"/>
        <w:ind w:right="49"/>
        <w:jc w:val="both"/>
        <w:rPr>
          <w:color w:val="000000"/>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 xml:space="preserve">los Sujetos Obligados </w:t>
      </w:r>
      <w:r>
        <w:rPr>
          <w:rFonts w:ascii="Palatino Linotype" w:eastAsia="Palatino Linotype" w:hAnsi="Palatino Linotype" w:cs="Palatino Linotype"/>
          <w:b/>
          <w:color w:val="000000"/>
          <w:sz w:val="24"/>
          <w:szCs w:val="24"/>
        </w:rPr>
        <w:lastRenderedPageBreak/>
        <w:t>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9850EF" w:rsidRDefault="009850EF" w:rsidP="00C313F5">
      <w:pPr>
        <w:ind w:left="567" w:right="822"/>
        <w:jc w:val="both"/>
        <w:rPr>
          <w:rFonts w:ascii="Palatino Linotype" w:eastAsia="Palatino Linotype" w:hAnsi="Palatino Linotype" w:cs="Palatino Linotype"/>
          <w:i/>
          <w:color w:val="000000"/>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9850EF" w:rsidRDefault="009850EF">
      <w:pPr>
        <w:spacing w:line="360" w:lineRule="auto"/>
        <w:ind w:left="567" w:right="567"/>
        <w:jc w:val="both"/>
        <w:rPr>
          <w:rFonts w:ascii="Palatino Linotype" w:eastAsia="Palatino Linotype" w:hAnsi="Palatino Linotype" w:cs="Palatino Linotype"/>
          <w:i/>
          <w:sz w:val="24"/>
          <w:szCs w:val="24"/>
        </w:rPr>
      </w:pPr>
    </w:p>
    <w:p w:rsidR="009850EF" w:rsidRDefault="00252A14">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9850EF" w:rsidRDefault="009850E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9850EF" w:rsidRDefault="00252A14" w:rsidP="00C313F5">
      <w:pPr>
        <w:pBdr>
          <w:top w:val="nil"/>
          <w:left w:val="nil"/>
          <w:bottom w:val="nil"/>
          <w:right w:val="nil"/>
          <w:between w:val="nil"/>
        </w:pBdr>
        <w:tabs>
          <w:tab w:val="left" w:pos="851"/>
        </w:tabs>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w:t>
      </w:r>
      <w:r>
        <w:rPr>
          <w:rFonts w:ascii="Palatino Linotype" w:eastAsia="Palatino Linotype" w:hAnsi="Palatino Linotype" w:cs="Palatino Linotype"/>
          <w:i/>
          <w:color w:val="000000"/>
          <w:sz w:val="22"/>
          <w:szCs w:val="22"/>
        </w:rPr>
        <w:lastRenderedPageBreak/>
        <w:t xml:space="preserve">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9850EF" w:rsidRDefault="009850E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rsidR="009850EF" w:rsidRDefault="00252A14" w:rsidP="00C313F5">
      <w:pPr>
        <w:pBdr>
          <w:top w:val="nil"/>
          <w:left w:val="nil"/>
          <w:bottom w:val="nil"/>
          <w:right w:val="nil"/>
          <w:between w:val="nil"/>
        </w:pBdr>
        <w:tabs>
          <w:tab w:val="left" w:pos="851"/>
        </w:tabs>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rsidR="009850EF" w:rsidRDefault="00252A14" w:rsidP="00C313F5">
      <w:pPr>
        <w:pBdr>
          <w:top w:val="nil"/>
          <w:left w:val="nil"/>
          <w:bottom w:val="nil"/>
          <w:right w:val="nil"/>
          <w:between w:val="nil"/>
        </w:pBdr>
        <w:tabs>
          <w:tab w:val="left" w:pos="851"/>
        </w:tabs>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Amparo en revisión 257/2012. Ruth Corona Muñoz. 6 de diciembre de 2012. Unanimidad de votos. Ponente: Jean Claude </w:t>
      </w:r>
      <w:proofErr w:type="spellStart"/>
      <w:r>
        <w:rPr>
          <w:rFonts w:ascii="Palatino Linotype" w:eastAsia="Palatino Linotype" w:hAnsi="Palatino Linotype" w:cs="Palatino Linotype"/>
          <w:i/>
          <w:color w:val="000000"/>
          <w:sz w:val="22"/>
          <w:szCs w:val="22"/>
        </w:rPr>
        <w:t>Tron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Petit</w:t>
      </w:r>
      <w:proofErr w:type="spellEnd"/>
      <w:r>
        <w:rPr>
          <w:rFonts w:ascii="Palatino Linotype" w:eastAsia="Palatino Linotype" w:hAnsi="Palatino Linotype" w:cs="Palatino Linotype"/>
          <w:i/>
          <w:color w:val="000000"/>
          <w:sz w:val="22"/>
          <w:szCs w:val="22"/>
        </w:rPr>
        <w:t>. Secretaria: Mayra Susana Martínez López.</w:t>
      </w:r>
    </w:p>
    <w:p w:rsidR="009850EF" w:rsidRDefault="009850E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4"/>
          <w:szCs w:val="24"/>
        </w:rPr>
      </w:pPr>
    </w:p>
    <w:p w:rsidR="009850EF" w:rsidRDefault="00252A14">
      <w:pPr>
        <w:numPr>
          <w:ilvl w:val="0"/>
          <w:numId w:val="6"/>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se encuentre en su posesión bajo los estándares más altos de transparencia y máxima publicidad. </w:t>
      </w:r>
    </w:p>
    <w:p w:rsidR="009850EF" w:rsidRDefault="009850EF">
      <w:pPr>
        <w:tabs>
          <w:tab w:val="left" w:pos="851"/>
        </w:tabs>
        <w:spacing w:line="360" w:lineRule="auto"/>
        <w:ind w:right="49"/>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rsidR="009850EF" w:rsidRDefault="00252A14" w:rsidP="00C313F5">
      <w:pPr>
        <w:ind w:left="567" w:right="9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rsidR="009850EF" w:rsidRDefault="009850EF" w:rsidP="00C313F5">
      <w:pPr>
        <w:ind w:left="567" w:right="964"/>
        <w:jc w:val="both"/>
        <w:rPr>
          <w:rFonts w:ascii="Palatino Linotype" w:eastAsia="Palatino Linotype" w:hAnsi="Palatino Linotype" w:cs="Palatino Linotype"/>
          <w:i/>
          <w:sz w:val="22"/>
          <w:szCs w:val="22"/>
        </w:rPr>
      </w:pPr>
    </w:p>
    <w:p w:rsidR="009850EF" w:rsidRDefault="00252A14" w:rsidP="00C313F5">
      <w:pPr>
        <w:ind w:left="567" w:right="9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rsidR="009850EF" w:rsidRDefault="009850EF" w:rsidP="00C313F5">
      <w:pPr>
        <w:ind w:left="567" w:right="964"/>
        <w:jc w:val="both"/>
        <w:rPr>
          <w:rFonts w:ascii="Palatino Linotype" w:eastAsia="Palatino Linotype" w:hAnsi="Palatino Linotype" w:cs="Palatino Linotype"/>
          <w:i/>
          <w:sz w:val="22"/>
          <w:szCs w:val="22"/>
        </w:rPr>
      </w:pPr>
    </w:p>
    <w:p w:rsidR="009850EF" w:rsidRDefault="00252A14" w:rsidP="00C313F5">
      <w:pPr>
        <w:ind w:left="567" w:right="9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9850EF" w:rsidRDefault="009850EF" w:rsidP="00C313F5">
      <w:pPr>
        <w:ind w:left="567" w:right="964"/>
        <w:jc w:val="both"/>
        <w:rPr>
          <w:rFonts w:ascii="Palatino Linotype" w:eastAsia="Palatino Linotype" w:hAnsi="Palatino Linotype" w:cs="Palatino Linotype"/>
          <w:i/>
          <w:sz w:val="22"/>
          <w:szCs w:val="22"/>
        </w:rPr>
      </w:pPr>
    </w:p>
    <w:p w:rsidR="009850EF" w:rsidRDefault="00252A14" w:rsidP="00C313F5">
      <w:pPr>
        <w:ind w:left="567" w:right="9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rsidR="009850EF" w:rsidRDefault="009850EF">
      <w:pPr>
        <w:ind w:left="567" w:right="567"/>
        <w:jc w:val="both"/>
        <w:rPr>
          <w:rFonts w:ascii="Palatino Linotype" w:eastAsia="Palatino Linotype" w:hAnsi="Palatino Linotype" w:cs="Palatino Linotype"/>
          <w:b/>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rsidR="009850EF" w:rsidRDefault="009850EF" w:rsidP="00C313F5">
      <w:pPr>
        <w:ind w:left="567" w:right="822"/>
        <w:jc w:val="both"/>
        <w:rPr>
          <w:rFonts w:ascii="Palatino Linotype" w:eastAsia="Palatino Linotype" w:hAnsi="Palatino Linotype" w:cs="Palatino Linotype"/>
          <w:b/>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9850EF" w:rsidRDefault="009850EF">
      <w:pPr>
        <w:spacing w:line="360" w:lineRule="auto"/>
        <w:ind w:left="709" w:right="757"/>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rsidR="009850EF" w:rsidRDefault="00252A14" w:rsidP="00C313F5">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rsidR="009850EF" w:rsidRDefault="009850EF" w:rsidP="00C313F5">
      <w:pPr>
        <w:ind w:left="567" w:right="822"/>
        <w:jc w:val="both"/>
        <w:rPr>
          <w:rFonts w:ascii="Palatino Linotype" w:eastAsia="Palatino Linotype" w:hAnsi="Palatino Linotype" w:cs="Palatino Linotype"/>
          <w:b/>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9850EF" w:rsidRDefault="009850EF" w:rsidP="00C313F5">
      <w:pPr>
        <w:ind w:left="567" w:right="822"/>
        <w:jc w:val="both"/>
        <w:rPr>
          <w:rFonts w:ascii="Palatino Linotype" w:eastAsia="Palatino Linotype" w:hAnsi="Palatino Linotype" w:cs="Palatino Linotype"/>
          <w:b/>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rsidR="009850EF" w:rsidRDefault="009850EF" w:rsidP="00C313F5">
      <w:pPr>
        <w:ind w:left="567" w:right="822"/>
        <w:jc w:val="both"/>
        <w:rPr>
          <w:rFonts w:ascii="Palatino Linotype" w:eastAsia="Palatino Linotype" w:hAnsi="Palatino Linotype" w:cs="Palatino Linotype"/>
          <w:i/>
          <w:sz w:val="22"/>
          <w:szCs w:val="22"/>
        </w:rPr>
      </w:pPr>
    </w:p>
    <w:p w:rsidR="009850EF" w:rsidRDefault="00252A14" w:rsidP="00C313F5">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rsidR="009850EF" w:rsidRDefault="009850EF" w:rsidP="00C313F5">
      <w:pPr>
        <w:ind w:left="567" w:right="822"/>
        <w:jc w:val="both"/>
        <w:rPr>
          <w:rFonts w:ascii="Palatino Linotype" w:eastAsia="Palatino Linotype" w:hAnsi="Palatino Linotype" w:cs="Palatino Linotype"/>
          <w:sz w:val="22"/>
          <w:szCs w:val="22"/>
        </w:rPr>
      </w:pPr>
    </w:p>
    <w:p w:rsidR="009850EF" w:rsidRDefault="00252A14" w:rsidP="00C313F5">
      <w:pPr>
        <w:ind w:left="567"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9850EF" w:rsidRDefault="009850EF">
      <w:pPr>
        <w:spacing w:line="360" w:lineRule="auto"/>
        <w:ind w:left="567" w:right="567"/>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Adicional, tenemos que la Ley de Transparencia y Acceso a la Información Pública del Estado de México y Municipios, prevé en su artículo 23 </w:t>
      </w:r>
      <w:r w:rsidRPr="00C313F5">
        <w:rPr>
          <w:rFonts w:ascii="Palatino Linotype" w:eastAsia="Palatino Linotype" w:hAnsi="Palatino Linotype" w:cs="Palatino Linotype"/>
          <w:color w:val="000000"/>
          <w:sz w:val="24"/>
          <w:szCs w:val="24"/>
        </w:rPr>
        <w:t>fracción I, lo siguiente</w:t>
      </w:r>
      <w:r>
        <w:rPr>
          <w:rFonts w:ascii="Palatino Linotype" w:eastAsia="Palatino Linotype" w:hAnsi="Palatino Linotype" w:cs="Palatino Linotype"/>
          <w:color w:val="000000"/>
          <w:sz w:val="24"/>
          <w:szCs w:val="24"/>
        </w:rPr>
        <w:t>:</w:t>
      </w:r>
    </w:p>
    <w:p w:rsidR="009850EF" w:rsidRDefault="00252A14">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rsidR="009850EF" w:rsidRDefault="009850EF">
      <w:pPr>
        <w:ind w:left="567" w:right="822"/>
        <w:jc w:val="both"/>
        <w:rPr>
          <w:rFonts w:ascii="Palatino Linotype" w:eastAsia="Palatino Linotype" w:hAnsi="Palatino Linotype" w:cs="Palatino Linotype"/>
          <w:i/>
          <w:sz w:val="22"/>
          <w:szCs w:val="22"/>
        </w:rPr>
      </w:pPr>
    </w:p>
    <w:p w:rsidR="009850EF" w:rsidRDefault="00252A14">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 xml:space="preserve">I. El Poder Ejecutivo del Estado de México, las dependencias, organismos auxiliares, órganos, entidades, fideicomisos y fondos públicos, así como la Fiscalía General de Justicia del Estado de México; </w:t>
      </w:r>
    </w:p>
    <w:p w:rsidR="009850EF" w:rsidRDefault="009850EF">
      <w:pPr>
        <w:ind w:left="567" w:right="822"/>
        <w:jc w:val="both"/>
        <w:rPr>
          <w:rFonts w:ascii="Palatino Linotype" w:eastAsia="Palatino Linotype" w:hAnsi="Palatino Linotype" w:cs="Palatino Linotype"/>
          <w:b/>
          <w:i/>
          <w:sz w:val="22"/>
          <w:szCs w:val="22"/>
        </w:rPr>
      </w:pPr>
    </w:p>
    <w:p w:rsidR="009850EF" w:rsidRDefault="00252A14">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rsidR="009850EF" w:rsidRDefault="00252A14">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rsidR="009850EF" w:rsidRDefault="009850EF">
      <w:pPr>
        <w:ind w:left="567" w:right="822"/>
        <w:jc w:val="both"/>
        <w:rPr>
          <w:rFonts w:ascii="Palatino Linotype" w:eastAsia="Palatino Linotype" w:hAnsi="Palatino Linotype" w:cs="Palatino Linotype"/>
          <w:b/>
          <w:i/>
          <w:sz w:val="22"/>
          <w:szCs w:val="22"/>
        </w:rPr>
      </w:pPr>
    </w:p>
    <w:p w:rsidR="009850EF" w:rsidRDefault="00252A14">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rsidR="009850EF" w:rsidRDefault="00252A14">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9850EF" w:rsidRDefault="009850EF">
      <w:pPr>
        <w:spacing w:line="360" w:lineRule="auto"/>
        <w:jc w:val="both"/>
        <w:rPr>
          <w:rFonts w:ascii="Palatino Linotype" w:eastAsia="Palatino Linotype" w:hAnsi="Palatino Linotype" w:cs="Palatino Linotype"/>
          <w:sz w:val="22"/>
          <w:szCs w:val="22"/>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la Secretaría Ejecutiva del Sistema Estatal de Anticorrupción</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II. Del agravio del Recurrente. </w:t>
      </w: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Conocida la respuesta, el Recurrente se inconformó porque no se le entregaron los oficios de gestión realizados por la Unidad Administrativa encargada de dar respuesta, </w:t>
      </w:r>
      <w:r>
        <w:rPr>
          <w:rFonts w:ascii="Palatino Linotype" w:eastAsia="Palatino Linotype" w:hAnsi="Palatino Linotype" w:cs="Palatino Linotype"/>
          <w:color w:val="000000"/>
          <w:sz w:val="24"/>
          <w:szCs w:val="24"/>
        </w:rPr>
        <w:lastRenderedPageBreak/>
        <w:t>entendiéndose esto como los oficios de turno de la solicitud a las áreas competentes que generan, administran o poseen la información requerida.</w:t>
      </w:r>
    </w:p>
    <w:p w:rsidR="009850EF" w:rsidRDefault="009850EF">
      <w:pPr>
        <w:pBdr>
          <w:top w:val="nil"/>
          <w:left w:val="nil"/>
          <w:bottom w:val="nil"/>
          <w:right w:val="nil"/>
          <w:between w:val="nil"/>
        </w:pBdr>
        <w:tabs>
          <w:tab w:val="left" w:pos="567"/>
        </w:tabs>
        <w:spacing w:line="360" w:lineRule="auto"/>
        <w:ind w:left="4613"/>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sz w:val="24"/>
          <w:szCs w:val="24"/>
        </w:rPr>
        <w:t xml:space="preserve">en el ámbito de sus atribuciones, de promover, respetar, proteger y </w:t>
      </w:r>
      <w:r>
        <w:rPr>
          <w:rFonts w:ascii="Palatino Linotype" w:eastAsia="Palatino Linotype" w:hAnsi="Palatino Linotype" w:cs="Palatino Linotype"/>
          <w:b/>
          <w:i/>
          <w:color w:val="000000"/>
          <w:sz w:val="24"/>
          <w:szCs w:val="24"/>
        </w:rPr>
        <w:t>garantizar</w:t>
      </w:r>
      <w:r>
        <w:rPr>
          <w:rFonts w:ascii="Palatino Linotype" w:eastAsia="Palatino Linotype" w:hAnsi="Palatino Linotype" w:cs="Palatino Linotype"/>
          <w:i/>
          <w:color w:val="000000"/>
          <w:sz w:val="24"/>
          <w:szCs w:val="24"/>
        </w:rPr>
        <w:t xml:space="preserve"> los derechos humanos. </w:t>
      </w:r>
      <w:r>
        <w:rPr>
          <w:rFonts w:ascii="Palatino Linotype" w:eastAsia="Palatino Linotype" w:hAnsi="Palatino Linotype" w:cs="Palatino Linotype"/>
          <w:b/>
          <w:i/>
          <w:color w:val="000000"/>
          <w:sz w:val="24"/>
          <w:szCs w:val="24"/>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sz w:val="24"/>
          <w:szCs w:val="24"/>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sz w:val="24"/>
          <w:szCs w:val="24"/>
          <w:vertAlign w:val="superscript"/>
        </w:rPr>
        <w:footnoteReference w:id="6"/>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asimismo establece</w:t>
      </w:r>
      <w:r>
        <w:rPr>
          <w:rFonts w:ascii="Palatino Linotype" w:eastAsia="Palatino Linotype" w:hAnsi="Palatino Linotype" w:cs="Palatino Linotype"/>
          <w:i/>
          <w:color w:val="000000"/>
          <w:sz w:val="24"/>
          <w:szCs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sz w:val="24"/>
          <w:szCs w:val="24"/>
        </w:rPr>
        <w:t>administran</w:t>
      </w:r>
      <w:r>
        <w:rPr>
          <w:rFonts w:ascii="Palatino Linotype" w:eastAsia="Palatino Linotype" w:hAnsi="Palatino Linotype" w:cs="Palatino Linotype"/>
          <w:color w:val="000000"/>
          <w:sz w:val="24"/>
          <w:szCs w:val="24"/>
        </w:rPr>
        <w:t xml:space="preserve"> o poseen la información, mientras que los segundos tienen la responsabilidad de realizar una correcta gestión documental que permita localizar </w:t>
      </w:r>
      <w:r>
        <w:rPr>
          <w:rFonts w:ascii="Palatino Linotype" w:eastAsia="Palatino Linotype" w:hAnsi="Palatino Linotype" w:cs="Palatino Linotype"/>
          <w:color w:val="000000"/>
          <w:sz w:val="24"/>
          <w:szCs w:val="24"/>
        </w:rPr>
        <w:lastRenderedPageBreak/>
        <w:t>de manera rápida los documentos que se soliciten o bien, simplemente para el desarrollo de sus facultades, competencias y atribuciones que a diario desempeñan.</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Pr>
          <w:rFonts w:ascii="Palatino Linotype" w:eastAsia="Palatino Linotype" w:hAnsi="Palatino Linotype" w:cs="Palatino Linotype"/>
          <w:i/>
          <w:color w:val="000000"/>
          <w:sz w:val="24"/>
          <w:szCs w:val="24"/>
        </w:rPr>
        <w:t>realizar, con efectividad, los trámites internos necesarios para la atención de las solicitudes de información</w:t>
      </w:r>
      <w:r>
        <w:rPr>
          <w:rFonts w:ascii="Palatino Linotype" w:eastAsia="Palatino Linotype" w:hAnsi="Palatino Linotype" w:cs="Palatino Linotype"/>
          <w:color w:val="000000"/>
          <w:sz w:val="24"/>
          <w:szCs w:val="24"/>
          <w:vertAlign w:val="superscript"/>
        </w:rPr>
        <w:footnoteReference w:id="7"/>
      </w:r>
      <w:r>
        <w:rPr>
          <w:rFonts w:ascii="Palatino Linotype" w:eastAsia="Palatino Linotype" w:hAnsi="Palatino Linotype" w:cs="Palatino Linotype"/>
          <w:color w:val="000000"/>
          <w:sz w:val="24"/>
          <w:szCs w:val="24"/>
        </w:rPr>
        <w:t>, es decir, deben otorgar respuestas concisas, contundentes y certeras, además de estar en estricto apego a lo que la normatividad en la materia establece.</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Debiendo cumplir con lo dispuesto en la Ley de Transparencia y Acceso a la Información Pública del Estado de México y Municipios, en el artículo 162, mismo del que se inserta su contenido: </w:t>
      </w:r>
    </w:p>
    <w:p w:rsidR="009850EF" w:rsidRDefault="00252A14" w:rsidP="00C313F5">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9850EF" w:rsidRDefault="00252A1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Las unidades de transparencia deberán turnar las solicitudes de acceso a la información a las áreas correspondientes para que estas a su vez, manifestarán lo conducente; situación que no se materializó, puesto que el Titular de la Unidad de Transparencia únicamente </w:t>
      </w:r>
      <w:r>
        <w:rPr>
          <w:rFonts w:ascii="Palatino Linotype" w:eastAsia="Palatino Linotype" w:hAnsi="Palatino Linotype" w:cs="Palatino Linotype"/>
          <w:sz w:val="24"/>
          <w:szCs w:val="24"/>
        </w:rPr>
        <w:t>turnar</w:t>
      </w:r>
      <w:r>
        <w:rPr>
          <w:rFonts w:ascii="Palatino Linotype" w:eastAsia="Palatino Linotype" w:hAnsi="Palatino Linotype" w:cs="Palatino Linotype"/>
          <w:color w:val="000000"/>
          <w:sz w:val="24"/>
          <w:szCs w:val="24"/>
        </w:rPr>
        <w:t xml:space="preserve"> la solicitud a la Dirección de Seguridad Pública, omitió </w:t>
      </w:r>
      <w:r>
        <w:rPr>
          <w:rFonts w:ascii="Palatino Linotype" w:eastAsia="Palatino Linotype" w:hAnsi="Palatino Linotype" w:cs="Palatino Linotype"/>
          <w:color w:val="000000"/>
          <w:sz w:val="24"/>
          <w:szCs w:val="24"/>
        </w:rPr>
        <w:lastRenderedPageBreak/>
        <w:t>las demás áreas que de acuerdo a sus facultades, atribuciones y competencias deben generar, administrar y poseer la información requerida.</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La falta de carteo o turno de las Unidades de Transparencia a las diferentes áreas que integran la estructura orgánica de los Sujetos Obligados, podrían causar una afectación o restricción al derecho ejercido por los particulares.</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necesario que los Sujetos Obligados, a efecto de brindar certeza jurídica y correcta tutela al derecho accionado por los particulares realicen una correcta búsqueda en todas las áreas que de acuerdo a sus </w:t>
      </w:r>
      <w:r>
        <w:rPr>
          <w:rFonts w:ascii="Palatino Linotype" w:eastAsia="Palatino Linotype" w:hAnsi="Palatino Linotype" w:cs="Palatino Linotype"/>
          <w:sz w:val="24"/>
          <w:szCs w:val="24"/>
        </w:rPr>
        <w:t>funciones, atribuciones</w:t>
      </w:r>
      <w:r>
        <w:rPr>
          <w:rFonts w:ascii="Palatino Linotype" w:eastAsia="Palatino Linotype" w:hAnsi="Palatino Linotype" w:cs="Palatino Linotype"/>
          <w:color w:val="000000"/>
          <w:sz w:val="24"/>
          <w:szCs w:val="24"/>
        </w:rPr>
        <w:t xml:space="preserve"> y competencias deban generar, administrar y poseer la información de interés para los particulares.</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rsidR="00C313F5" w:rsidRDefault="00C313F5">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Artículo 53. Las Unidades de Transparencia tendrán las siguientes funciones: </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i/>
          <w:color w:val="000000"/>
          <w:sz w:val="22"/>
          <w:szCs w:val="22"/>
        </w:rPr>
        <w:t>I.</w:t>
      </w:r>
      <w:proofErr w:type="gramEnd"/>
      <w:r>
        <w:rPr>
          <w:rFonts w:ascii="Palatino Linotype" w:eastAsia="Palatino Linotype" w:hAnsi="Palatino Linotype" w:cs="Palatino Linotype"/>
          <w:i/>
          <w:color w:val="000000"/>
          <w:sz w:val="22"/>
          <w:szCs w:val="22"/>
        </w:rPr>
        <w:t xml:space="preserve"> …</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Recibir, tramitar y dar respuesta a las solicitudes de acceso a la información;</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Realizar, con efectividad, los trámites internos necesarios para la atención de las solicitudes de acceso a la información;</w:t>
      </w:r>
    </w:p>
    <w:p w:rsidR="009850EF" w:rsidRDefault="009850EF">
      <w:pPr>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su parte, las unidades administrativas cuentan con servidores públicos habilitados que son las </w:t>
      </w:r>
      <w:r>
        <w:rPr>
          <w:rFonts w:ascii="Palatino Linotype" w:eastAsia="Palatino Linotype" w:hAnsi="Palatino Linotype" w:cs="Palatino Linotype"/>
          <w:i/>
          <w:color w:val="000000"/>
          <w:sz w:val="24"/>
          <w:szCs w:val="24"/>
        </w:rPr>
        <w:t>personas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9850EF" w:rsidRDefault="009850EF">
      <w:pPr>
        <w:spacing w:line="360" w:lineRule="auto"/>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los servidores públicos habilitados de cada unidad administrativa, son las autoridades encargadas de realizar la búsqueda de la información y la eventual entrega a la Unidad de Transparencia, para que esta, a su vez, la ponga a disposición de los particulares. Resultando así la responsabilidad de los servidores públicos el elaborar y emitir los oficios o documentos que acompañen la información a proporcionar. </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Dicho lo anterior, es importante mencionar que el Sistema de Acceso a la Información Mexiquense fue creado para que los particulares formulen solicitudes de acceso a la información pública y los recursos de revisión, en el sitio oficial de este Órgano Garante se tiene difundida la siguiente información:</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En este sentido, es pertinente detallar que el Saimex es una plataforma tecnológica destinada a la presentación, registro y seguimiento de las solicitudes de información</w:t>
      </w:r>
      <w:r>
        <w:rPr>
          <w:rFonts w:ascii="Palatino Linotype" w:eastAsia="Palatino Linotype" w:hAnsi="Palatino Linotype" w:cs="Palatino Linotype"/>
          <w:i/>
          <w:color w:val="000000"/>
          <w:sz w:val="22"/>
          <w:szCs w:val="22"/>
        </w:rPr>
        <w:t xml:space="preserve"> planteadas a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w:t>
      </w:r>
    </w:p>
    <w:p w:rsidR="009850EF" w:rsidRDefault="009850E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Este sistema constituye un medio rápido y confiable para comunicarse con la autoridad así como con este órgano garante</w:t>
      </w:r>
      <w:r>
        <w:rPr>
          <w:rFonts w:ascii="Palatino Linotype" w:eastAsia="Palatino Linotype" w:hAnsi="Palatino Linotype" w:cs="Palatino Linotype"/>
          <w:i/>
          <w:color w:val="000000"/>
          <w:sz w:val="22"/>
          <w:szCs w:val="22"/>
        </w:rPr>
        <w:t>. Su diseño incluye las formalidades señaladas por la Ley de Transparencia y Acceso a la Información Pública del Estado de México y Municipios (LTAIPEMYM), de tal modo que no es necesario tener conocimientos especializados para utilizarlo.</w:t>
      </w:r>
    </w:p>
    <w:p w:rsidR="009850EF" w:rsidRDefault="009850E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Saimex se encuentra disponible en internet las 24 horas de los 365 días del año. Se puede acceder a él a través de www.saimex.org.mx, en el icono situado en los sitios electrónicos de la institución pública o los motores de búsqueda de preferencia. Así mismo, para presentar una o varias solicitudes de información a las instituciones públicas, es necesario contar con un nombre de usuario y contraseña, que se puede obtener mediante el formulario de registro incorporado a la plataforma.</w:t>
      </w:r>
    </w:p>
    <w:p w:rsidR="009850EF" w:rsidRDefault="009850E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continuación, se deben seguir las instrucciones para registrar los requerimientos, con especial atención al ente público al cual se dirige y a la descripción de la información que se desea consultar. Actualmente, el Estado de México tiene registrados a 332 sujetos obligados ante quienes puede realizarse una solicitud.</w:t>
      </w:r>
    </w:p>
    <w:p w:rsidR="009850EF" w:rsidRDefault="009850EF">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9850EF" w:rsidRDefault="00252A14">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 xml:space="preserve">Cabe resaltar que el Saimex, una plataforma de desarrollo propio del </w:t>
      </w:r>
      <w:proofErr w:type="spellStart"/>
      <w:r>
        <w:rPr>
          <w:rFonts w:ascii="Palatino Linotype" w:eastAsia="Palatino Linotype" w:hAnsi="Palatino Linotype" w:cs="Palatino Linotype"/>
          <w:i/>
          <w:color w:val="000000"/>
          <w:sz w:val="22"/>
          <w:szCs w:val="22"/>
        </w:rPr>
        <w:t>Infoem</w:t>
      </w:r>
      <w:proofErr w:type="spellEnd"/>
      <w:r>
        <w:rPr>
          <w:rFonts w:ascii="Palatino Linotype" w:eastAsia="Palatino Linotype" w:hAnsi="Palatino Linotype" w:cs="Palatino Linotype"/>
          <w:i/>
          <w:color w:val="000000"/>
          <w:sz w:val="22"/>
          <w:szCs w:val="22"/>
        </w:rPr>
        <w:t xml:space="preserve">, es considerado como un sitio seguro. Además, muestra los plazos de respuesta de cada solicitud, por lo que seguir su desarrollo resulta muy sencillo. Si el sujeto obligado no responde o contesta con información ilegible, incompleta o diferente a la cual requirió el particular, éste puede hacer valer su inconformidad mediante un recurso de revisión, cuya resolución recae en el Pleno del </w:t>
      </w:r>
      <w:proofErr w:type="spellStart"/>
      <w:r>
        <w:rPr>
          <w:rFonts w:ascii="Palatino Linotype" w:eastAsia="Palatino Linotype" w:hAnsi="Palatino Linotype" w:cs="Palatino Linotype"/>
          <w:i/>
          <w:color w:val="000000"/>
          <w:sz w:val="22"/>
          <w:szCs w:val="22"/>
        </w:rPr>
        <w:t>Infoem</w:t>
      </w:r>
      <w:proofErr w:type="spellEnd"/>
      <w:r>
        <w:rPr>
          <w:rFonts w:ascii="Palatino Linotype" w:eastAsia="Palatino Linotype" w:hAnsi="Palatino Linotype" w:cs="Palatino Linotype"/>
          <w:i/>
          <w:color w:val="000000"/>
          <w:sz w:val="22"/>
          <w:szCs w:val="22"/>
        </w:rPr>
        <w:t>.</w:t>
      </w:r>
    </w:p>
    <w:p w:rsidR="009850EF" w:rsidRDefault="009850EF">
      <w:pPr>
        <w:spacing w:line="360" w:lineRule="auto"/>
        <w:jc w:val="both"/>
        <w:rPr>
          <w:rFonts w:ascii="Palatino Linotype" w:eastAsia="Palatino Linotype" w:hAnsi="Palatino Linotype" w:cs="Palatino Linotype"/>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Tal y como se menciona, el SAIMEX es un sistema creado como un medio rápido y confiable para comunicarse con la autoridad, así como el Órgano Garante, además, cuenta con un apartado especial de requerimientos, esto facilita la comunicación interna entre el Titular de la Unidad de Transparencia y los Servidores Públicos Habilitados, pues a través de esta herramienta se turna la solicitud al área o a las áreas con atribuciones para generar, administrar o poseer la información requerida por los particulares, haciendo más eficiente. </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turno de las solicitudes por medio del propio Sistema no implica necesariamente la generación de oficios; sin embargo, tampoco exime de su generación, por lo que es decisión de los Titulares de la Unidad de Transparencia y los Servidores Públicos Habilitados.</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En este caso en particular, el Recurrente formuló su solicitud inicial en el que requirió la evidencia del año 2018 a la fecha de la tramitación de publicaciones en la Gaceta del Gobierno del Estado de México.</w:t>
      </w:r>
    </w:p>
    <w:p w:rsidR="009850EF" w:rsidRDefault="009850EF">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9850EF" w:rsidRPr="00C313F5" w:rsidRDefault="00252A14">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 xml:space="preserve">De la simple lectura, no se advierte que requiera los oficios de turno de la solicitud por parte del Titular de la Unidad de Transparencia a los Servidores Públicos Habilitados, en ese contexto, no hay normatividad que exija el anexo de los mismos a las respuestas, además de que, </w:t>
      </w:r>
      <w:r>
        <w:rPr>
          <w:rFonts w:ascii="Palatino Linotype" w:eastAsia="Palatino Linotype" w:hAnsi="Palatino Linotype" w:cs="Palatino Linotype"/>
          <w:b/>
          <w:color w:val="000000"/>
          <w:sz w:val="24"/>
          <w:szCs w:val="24"/>
        </w:rPr>
        <w:t>al solicitarlos a través del recurso de revisión se considera como una petición adicional no contemplada en la solicitud inicial.</w:t>
      </w:r>
    </w:p>
    <w:p w:rsidR="00C313F5" w:rsidRDefault="00C313F5" w:rsidP="00C313F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9850EF" w:rsidRDefault="00252A14">
      <w:pPr>
        <w:numPr>
          <w:ilvl w:val="0"/>
          <w:numId w:val="6"/>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De acuerdo con lo anterior, los particulares pueden interponer el recurso de revisión, cuando la actuación u omisión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cause un perjuicio en su derecho de acceso a la información, teniéndose previstos para la interposición del recurso el cumplimiento de ciertos requisitos formales y de fondo, a saber:</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180. El recurso de revisión contendrá:</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sujeto obligado ante la cual se presentó la solicitud;</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nombre del solicitante que recurre o de su representante y, en su caso, del tercero interesado, así como la dirección o medio que señale para recibir notificaciones;</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número de folio de respuesta de la solicitud de acceso;</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 fecha en que fue notificada la respuesta al solicitante o tuvo conocimiento del acto reclamado, o de presentación de la solicitud, en caso de falta de respuesta;</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El acto que se recurre;</w:t>
      </w:r>
    </w:p>
    <w:p w:rsidR="009850EF" w:rsidRDefault="00252A14">
      <w:pPr>
        <w:spacing w:line="360" w:lineRule="auto"/>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 Las razones o motivos de inconformidad;</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copia de la respuesta que se impugna y, en su caso, de la notificación correspondiente, en el caso de respuesta de la solicitud; y</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Firma del recurrente o en su caso huella digital para el caso de que se presente por escrito, requisitos sin los cuales no se dará trámite al recurso.</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Adicionalmente, se podrán anexar las pruebas y demás elementos que considere procedentes someter a juicio del Instituto.</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ningún caso será necesario que el particular ratifique el recurso de revisión interpuesto.</w:t>
      </w:r>
    </w:p>
    <w:p w:rsidR="009850EF" w:rsidRDefault="00252A14">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rsidR="009850EF" w:rsidRDefault="009850E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sistema de medios de impugnación en nuestro país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w:t>
      </w:r>
      <w:r>
        <w:rPr>
          <w:rFonts w:ascii="Palatino Linotype" w:eastAsia="Palatino Linotype" w:hAnsi="Palatino Linotype" w:cs="Palatino Linotype"/>
          <w:b/>
          <w:color w:val="000000"/>
          <w:sz w:val="24"/>
          <w:szCs w:val="24"/>
        </w:rPr>
        <w:t>De este modo, en los motivos de inconformidad los recurrentes no pueden incluir situaciones novedosas o solicitudes de información nuevas</w:t>
      </w:r>
      <w:r>
        <w:rPr>
          <w:rFonts w:ascii="Palatino Linotype" w:eastAsia="Palatino Linotype" w:hAnsi="Palatino Linotype" w:cs="Palatino Linotype"/>
          <w:color w:val="000000"/>
          <w:sz w:val="24"/>
          <w:szCs w:val="24"/>
        </w:rPr>
        <w:t xml:space="preserve"> de las que el Sujeto Obligado no tuvo la oportunidad de conocer y por consiguiente producir un posicionamiento.</w:t>
      </w:r>
    </w:p>
    <w:p w:rsidR="009850EF" w:rsidRDefault="009850E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rsidR="009850EF" w:rsidRDefault="00252A14">
      <w:pPr>
        <w:spacing w:line="360" w:lineRule="auto"/>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191. El recurso será desechado por improcedente cuando:</w:t>
      </w:r>
    </w:p>
    <w:p w:rsidR="009850EF" w:rsidRDefault="00252A14">
      <w:pPr>
        <w:spacing w:line="360" w:lineRule="auto"/>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850EF" w:rsidRDefault="00252A14">
      <w:pPr>
        <w:spacing w:line="360" w:lineRule="auto"/>
        <w:ind w:left="567" w:right="618"/>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rPr>
        <w:t xml:space="preserve">VII. El recurrente amplíe su solicitud en el recurso de revisión, </w:t>
      </w:r>
      <w:r>
        <w:rPr>
          <w:rFonts w:ascii="Palatino Linotype" w:eastAsia="Palatino Linotype" w:hAnsi="Palatino Linotype" w:cs="Palatino Linotype"/>
          <w:b/>
          <w:i/>
          <w:sz w:val="22"/>
          <w:szCs w:val="22"/>
          <w:u w:val="single"/>
        </w:rPr>
        <w:t>únicamente respecto de los nuevos contenidos.</w:t>
      </w:r>
    </w:p>
    <w:p w:rsidR="009850EF" w:rsidRDefault="009850EF">
      <w:pPr>
        <w:ind w:left="567" w:right="618"/>
        <w:jc w:val="both"/>
        <w:rPr>
          <w:rFonts w:ascii="Palatino Linotype" w:eastAsia="Palatino Linotype" w:hAnsi="Palatino Linotype" w:cs="Palatino Linotype"/>
          <w:b/>
          <w:i/>
          <w:sz w:val="24"/>
          <w:szCs w:val="24"/>
          <w:u w:val="single"/>
        </w:rPr>
      </w:pPr>
    </w:p>
    <w:p w:rsidR="009850EF" w:rsidRDefault="00252A14">
      <w:pPr>
        <w:numPr>
          <w:ilvl w:val="0"/>
          <w:numId w:val="6"/>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 Por lo anterior, resulta improcedente parcialmente el referido agravio, toda vez que el Recurrente se excede dentro de su inconformidad solicitando al Sujeto Obligado indique cuales son las cámaras que necesitan reparación, lo que hace que se surta lo que en la teoría jurídica se le denomina como </w:t>
      </w:r>
      <w:r>
        <w:rPr>
          <w:rFonts w:ascii="Palatino Linotype" w:eastAsia="Palatino Linotype" w:hAnsi="Palatino Linotype" w:cs="Palatino Linotype"/>
          <w:b/>
          <w:color w:val="000000"/>
          <w:sz w:val="24"/>
          <w:szCs w:val="24"/>
        </w:rPr>
        <w:t xml:space="preserve">plus </w:t>
      </w:r>
      <w:proofErr w:type="spellStart"/>
      <w:r>
        <w:rPr>
          <w:rFonts w:ascii="Palatino Linotype" w:eastAsia="Palatino Linotype" w:hAnsi="Palatino Linotype" w:cs="Palatino Linotype"/>
          <w:b/>
          <w:color w:val="000000"/>
          <w:sz w:val="24"/>
          <w:szCs w:val="24"/>
        </w:rPr>
        <w:t>petitio</w:t>
      </w:r>
      <w:proofErr w:type="spellEnd"/>
      <w:r>
        <w:rPr>
          <w:rFonts w:ascii="Palatino Linotype" w:eastAsia="Palatino Linotype" w:hAnsi="Palatino Linotype" w:cs="Palatino Linotype"/>
          <w:color w:val="000000"/>
          <w:sz w:val="24"/>
          <w:szCs w:val="24"/>
        </w:rPr>
        <w:t>.</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Sin embargo, al haber sido admitido el recurso de revisión, aún y cuando actualiza una causal de improcedencia, es necesario traer a contexto el artículo 192 fracción IV, de la multicitada Ley de Transparencia:</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VII. Admitido el recurso de revisión, aparezca alguna causal de improcedencia en los términos de la presente Ley; y </w:t>
      </w:r>
    </w:p>
    <w:p w:rsidR="009850EF" w:rsidRDefault="00252A14">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Cuando por cualquier motivo quede sin materia el recurso.</w:t>
      </w:r>
    </w:p>
    <w:p w:rsidR="009850EF" w:rsidRDefault="009850E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Es así que, el recurso de revisión actualiza la causal de sobreseimiento establecida en la fracción IV del artículo 192, en relación a la fracción VII del artículo 191, ambos de la Ley de Transparencia y Acceso a la Información Pública del Estado de México y Municipios.</w:t>
      </w:r>
    </w:p>
    <w:p w:rsidR="009850EF" w:rsidRDefault="009850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spacing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Lo anterior tiene sustento en la Tesis: I.7o.C.54 K, del Séptimo Tribunal Colegiado en Materia Civil Del Primer Circuito publicada en el Semanario Judicial de la Federación y su </w:t>
      </w:r>
      <w:r>
        <w:rPr>
          <w:rFonts w:ascii="Palatino Linotype" w:eastAsia="Palatino Linotype" w:hAnsi="Palatino Linotype" w:cs="Palatino Linotype"/>
          <w:color w:val="000000"/>
          <w:sz w:val="24"/>
          <w:szCs w:val="24"/>
        </w:rPr>
        <w:lastRenderedPageBreak/>
        <w:t>Gaceta, de la Novena Época, en el Tomo XXIX, Enero de 2009, a página 2837, que literalmente establece:</w:t>
      </w:r>
    </w:p>
    <w:p w:rsidR="009850EF" w:rsidRDefault="00252A14" w:rsidP="00C313F5">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9850EF" w:rsidRDefault="00252A14" w:rsidP="00C313F5">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rsidR="009850EF" w:rsidRDefault="00252A14" w:rsidP="00C313F5">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Amparo directo 699/2008. Mariana Leticia González </w:t>
      </w:r>
      <w:proofErr w:type="spellStart"/>
      <w:r>
        <w:rPr>
          <w:rFonts w:ascii="Palatino Linotype" w:eastAsia="Palatino Linotype" w:hAnsi="Palatino Linotype" w:cs="Palatino Linotype"/>
          <w:i/>
          <w:sz w:val="22"/>
          <w:szCs w:val="22"/>
        </w:rPr>
        <w:t>Steele</w:t>
      </w:r>
      <w:proofErr w:type="spellEnd"/>
      <w:r>
        <w:rPr>
          <w:rFonts w:ascii="Palatino Linotype" w:eastAsia="Palatino Linotype" w:hAnsi="Palatino Linotype" w:cs="Palatino Linotype"/>
          <w:i/>
          <w:sz w:val="22"/>
          <w:szCs w:val="22"/>
        </w:rPr>
        <w:t>. 13 de noviembre de 2008. Unanimidad de votos. Ponente: Sara Judith Montalvo Trejo. Secretario: Arnulfo Mateos García.”</w:t>
      </w:r>
    </w:p>
    <w:p w:rsidR="009850EF" w:rsidRDefault="009850E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No obstante, a efecto de no vulnerar los derechos del particular, este Órgano Garante deja a salvo sus derechos para que, si así lo desea, presente una nueva solicitud de acceso a la información requiriendo información que sea de su interés.</w:t>
      </w:r>
    </w:p>
    <w:p w:rsidR="009850EF" w:rsidRDefault="009850E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rsidR="009850EF" w:rsidRDefault="00252A14">
      <w:pPr>
        <w:numPr>
          <w:ilvl w:val="0"/>
          <w:numId w:val="6"/>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Bajo esas consideraciones, se afirma que en el recurso de revisión sujeto a estudio se actualiza la hipótesis jurídica citada, toda vez que quedó probado que el recurso de revisión amplia los requerimientos solicitando información adicional, actualizando causal de improcedencia.</w:t>
      </w:r>
    </w:p>
    <w:p w:rsidR="009850EF" w:rsidRDefault="00252A14">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lastRenderedPageBreak/>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rsidR="009850EF" w:rsidRDefault="00252A14">
      <w:pPr>
        <w:pStyle w:val="Ttulo1"/>
        <w:spacing w:line="360" w:lineRule="auto"/>
        <w:jc w:val="center"/>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R E S O L U T I V O S</w:t>
      </w:r>
    </w:p>
    <w:p w:rsidR="009850EF" w:rsidRDefault="009850EF"/>
    <w:p w:rsidR="009850EF" w:rsidRDefault="00252A14">
      <w:pPr>
        <w:widowControl w:val="0"/>
        <w:pBdr>
          <w:top w:val="nil"/>
          <w:left w:val="nil"/>
          <w:bottom w:val="nil"/>
          <w:right w:val="nil"/>
          <w:between w:val="nil"/>
        </w:pBdr>
        <w:tabs>
          <w:tab w:val="left" w:pos="1701"/>
        </w:tabs>
        <w:spacing w:before="120" w:line="360" w:lineRule="auto"/>
        <w:jc w:val="both"/>
        <w:rPr>
          <w:rFonts w:ascii="Palatino Linotype" w:eastAsia="Palatino Linotype" w:hAnsi="Palatino Linotype" w:cs="Palatino Linotype"/>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SOBRESEE</w:t>
      </w:r>
      <w:r>
        <w:rPr>
          <w:rFonts w:ascii="Palatino Linotype" w:eastAsia="Palatino Linotype" w:hAnsi="Palatino Linotype" w:cs="Palatino Linotype"/>
          <w:color w:val="000000"/>
          <w:sz w:val="24"/>
          <w:szCs w:val="24"/>
        </w:rPr>
        <w:t xml:space="preserve"> el recurso de revisión número </w:t>
      </w:r>
      <w:r>
        <w:rPr>
          <w:rFonts w:ascii="Palatino Linotype" w:eastAsia="Palatino Linotype" w:hAnsi="Palatino Linotype" w:cs="Palatino Linotype"/>
          <w:b/>
          <w:color w:val="000000"/>
          <w:sz w:val="24"/>
          <w:szCs w:val="24"/>
        </w:rPr>
        <w:t xml:space="preserve">00028/INFOEM/IP/RR/2024, </w:t>
      </w:r>
      <w:r>
        <w:rPr>
          <w:rFonts w:ascii="Palatino Linotype" w:eastAsia="Palatino Linotype" w:hAnsi="Palatino Linotype" w:cs="Palatino Linotype"/>
          <w:color w:val="000000"/>
          <w:sz w:val="24"/>
          <w:szCs w:val="24"/>
        </w:rPr>
        <w:t>conforme al artículo 192</w:t>
      </w:r>
      <w:r w:rsidR="00995F9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IV, en relación con el artículo 191</w:t>
      </w:r>
      <w:r w:rsidR="00995F9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VII</w:t>
      </w:r>
      <w:r w:rsidR="00995F9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en términos del Considerando </w:t>
      </w: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de la presente resolución.</w:t>
      </w:r>
    </w:p>
    <w:p w:rsidR="009850EF" w:rsidRDefault="00252A14">
      <w:pPr>
        <w:spacing w:before="240" w:after="360" w:line="360" w:lineRule="auto"/>
        <w:jc w:val="both"/>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sz w:val="24"/>
          <w:szCs w:val="24"/>
        </w:rPr>
        <w:t>SEGUNDO.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highlight w:val="white"/>
        </w:rPr>
        <w:t xml:space="preserve">Remítase </w:t>
      </w:r>
      <w:r>
        <w:rPr>
          <w:rFonts w:ascii="Palatino Linotype" w:eastAsia="Palatino Linotype" w:hAnsi="Palatino Linotype" w:cs="Palatino Linotype"/>
          <w:color w:val="000000"/>
          <w:sz w:val="24"/>
          <w:szCs w:val="24"/>
          <w:highlight w:val="white"/>
        </w:rPr>
        <w:t>al Titular de la Unidad de Transparencia del</w:t>
      </w:r>
      <w:r>
        <w:rPr>
          <w:rFonts w:ascii="Palatino Linotype" w:eastAsia="Palatino Linotype" w:hAnsi="Palatino Linotype" w:cs="Palatino Linotype"/>
          <w:b/>
          <w:color w:val="000000"/>
          <w:sz w:val="24"/>
          <w:szCs w:val="24"/>
          <w:highlight w:val="white"/>
        </w:rPr>
        <w:t xml:space="preserve"> SUJETO OBLIGADO</w:t>
      </w:r>
      <w:r>
        <w:rPr>
          <w:rFonts w:ascii="Palatino Linotype" w:eastAsia="Palatino Linotype" w:hAnsi="Palatino Linotype" w:cs="Palatino Linotype"/>
          <w:color w:val="000000"/>
          <w:sz w:val="24"/>
          <w:szCs w:val="24"/>
          <w:highlight w:val="white"/>
        </w:rPr>
        <w:t xml:space="preserve"> vía Sistema de Acceso a Información Mexiquense, SAIMEX, la presente resolución. </w:t>
      </w:r>
    </w:p>
    <w:p w:rsidR="009850EF" w:rsidRDefault="00252A14">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rPr>
        <w:t>Notifíquese a</w:t>
      </w:r>
      <w:r>
        <w:rPr>
          <w:rFonts w:ascii="Palatino Linotype" w:eastAsia="Palatino Linotype" w:hAnsi="Palatino Linotype" w:cs="Palatino Linotype"/>
          <w:b/>
          <w:sz w:val="24"/>
          <w:szCs w:val="24"/>
        </w:rPr>
        <w:t xml:space="preserve">l RECURRENTE </w:t>
      </w:r>
      <w:r>
        <w:rPr>
          <w:rFonts w:ascii="Palatino Linotype" w:eastAsia="Palatino Linotype" w:hAnsi="Palatino Linotype" w:cs="Palatino Linotype"/>
          <w:sz w:val="24"/>
          <w:szCs w:val="24"/>
        </w:rPr>
        <w:t>la presente resolución a través del Sistema de Acceso a la Información Mexiquense (SAIMEX).</w:t>
      </w:r>
    </w:p>
    <w:p w:rsidR="009850EF" w:rsidRDefault="009850EF">
      <w:pPr>
        <w:spacing w:line="360" w:lineRule="auto"/>
        <w:jc w:val="both"/>
        <w:rPr>
          <w:rFonts w:ascii="Palatino Linotype" w:eastAsia="Palatino Linotype" w:hAnsi="Palatino Linotype" w:cs="Palatino Linotype"/>
          <w:sz w:val="24"/>
          <w:szCs w:val="24"/>
        </w:rPr>
      </w:pPr>
    </w:p>
    <w:p w:rsidR="009850EF" w:rsidRDefault="00252A1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Se hace del conocimiento del RECURRENTE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95F91" w:rsidRDefault="00995F91">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p>
    <w:p w:rsidR="00A704FC" w:rsidRDefault="00A704FC">
      <w:pPr>
        <w:spacing w:line="360" w:lineRule="auto"/>
        <w:jc w:val="both"/>
        <w:rPr>
          <w:rFonts w:ascii="Palatino Linotype" w:eastAsia="Palatino Linotype" w:hAnsi="Palatino Linotype" w:cs="Palatino Linotype"/>
          <w:sz w:val="24"/>
          <w:szCs w:val="24"/>
        </w:rPr>
      </w:pPr>
      <w:bookmarkStart w:id="11" w:name="_GoBack"/>
      <w:bookmarkEnd w:id="11"/>
    </w:p>
    <w:p w:rsidR="00995F91" w:rsidRPr="00995F91" w:rsidRDefault="00995F91" w:rsidP="00995F91">
      <w:pPr>
        <w:spacing w:line="360" w:lineRule="auto"/>
        <w:ind w:firstLine="1"/>
        <w:jc w:val="both"/>
        <w:rPr>
          <w:rFonts w:ascii="Palatino Linotype" w:hAnsi="Palatino Linotype"/>
          <w:sz w:val="24"/>
        </w:rPr>
      </w:pPr>
      <w:r w:rsidRPr="00995F91">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C313F5" w:rsidRDefault="00C313F5">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p w:rsidR="009850EF" w:rsidRDefault="009850EF">
      <w:pPr>
        <w:spacing w:before="240" w:after="360" w:line="360" w:lineRule="auto"/>
        <w:jc w:val="both"/>
        <w:rPr>
          <w:rFonts w:ascii="Palatino Linotype" w:eastAsia="Palatino Linotype" w:hAnsi="Palatino Linotype" w:cs="Palatino Linotype"/>
          <w:color w:val="222222"/>
          <w:sz w:val="24"/>
          <w:szCs w:val="24"/>
        </w:rPr>
      </w:pPr>
    </w:p>
    <w:sectPr w:rsidR="009850EF" w:rsidSect="00C313F5">
      <w:headerReference w:type="even" r:id="rId8"/>
      <w:headerReference w:type="default" r:id="rId9"/>
      <w:footerReference w:type="default" r:id="rId10"/>
      <w:headerReference w:type="first" r:id="rId11"/>
      <w:footerReference w:type="first" r:id="rId12"/>
      <w:pgSz w:w="12240" w:h="15840"/>
      <w:pgMar w:top="80" w:right="1041"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CA" w:rsidRDefault="00095FCA">
      <w:r>
        <w:separator/>
      </w:r>
    </w:p>
  </w:endnote>
  <w:endnote w:type="continuationSeparator" w:id="0">
    <w:p w:rsidR="00095FCA" w:rsidRDefault="0009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EF" w:rsidRDefault="009850EF">
    <w:pPr>
      <w:pBdr>
        <w:top w:val="nil"/>
        <w:left w:val="nil"/>
        <w:bottom w:val="nil"/>
        <w:right w:val="nil"/>
        <w:between w:val="nil"/>
      </w:pBdr>
      <w:tabs>
        <w:tab w:val="center" w:pos="4419"/>
        <w:tab w:val="right" w:pos="8838"/>
      </w:tabs>
      <w:jc w:val="right"/>
      <w:rPr>
        <w:color w:val="000000"/>
      </w:rPr>
    </w:pPr>
  </w:p>
  <w:p w:rsidR="009850EF" w:rsidRDefault="00252A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04FC">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04FC">
      <w:rPr>
        <w:b/>
        <w:noProof/>
        <w:color w:val="000000"/>
        <w:sz w:val="24"/>
        <w:szCs w:val="24"/>
      </w:rPr>
      <w:t>33</w:t>
    </w:r>
    <w:r>
      <w:rPr>
        <w:b/>
        <w:color w:val="000000"/>
        <w:sz w:val="24"/>
        <w:szCs w:val="24"/>
      </w:rPr>
      <w:fldChar w:fldCharType="end"/>
    </w:r>
  </w:p>
  <w:p w:rsidR="009850EF" w:rsidRDefault="009850EF">
    <w:pPr>
      <w:pBdr>
        <w:top w:val="nil"/>
        <w:left w:val="nil"/>
        <w:bottom w:val="nil"/>
        <w:right w:val="nil"/>
        <w:between w:val="nil"/>
      </w:pBdr>
      <w:tabs>
        <w:tab w:val="center" w:pos="4419"/>
        <w:tab w:val="right" w:pos="8838"/>
      </w:tabs>
      <w:rPr>
        <w:color w:val="000000"/>
      </w:rPr>
    </w:pPr>
  </w:p>
  <w:p w:rsidR="009850EF" w:rsidRDefault="009850EF"/>
  <w:p w:rsidR="009850EF" w:rsidRDefault="009850EF"/>
  <w:p w:rsidR="009850EF" w:rsidRDefault="009850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EF" w:rsidRDefault="00252A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04F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04FC">
      <w:rPr>
        <w:b/>
        <w:noProof/>
        <w:color w:val="000000"/>
        <w:sz w:val="24"/>
        <w:szCs w:val="24"/>
      </w:rPr>
      <w:t>33</w:t>
    </w:r>
    <w:r>
      <w:rPr>
        <w:b/>
        <w:color w:val="000000"/>
        <w:sz w:val="24"/>
        <w:szCs w:val="24"/>
      </w:rPr>
      <w:fldChar w:fldCharType="end"/>
    </w:r>
  </w:p>
  <w:p w:rsidR="009850EF" w:rsidRDefault="009850EF">
    <w:pPr>
      <w:pBdr>
        <w:top w:val="nil"/>
        <w:left w:val="nil"/>
        <w:bottom w:val="nil"/>
        <w:right w:val="nil"/>
        <w:between w:val="nil"/>
      </w:pBdr>
      <w:tabs>
        <w:tab w:val="center" w:pos="4419"/>
        <w:tab w:val="right" w:pos="8838"/>
      </w:tabs>
      <w:rPr>
        <w:color w:val="000000"/>
      </w:rPr>
    </w:pPr>
  </w:p>
  <w:p w:rsidR="009850EF" w:rsidRDefault="009850EF"/>
  <w:p w:rsidR="009850EF" w:rsidRDefault="009850EF"/>
  <w:p w:rsidR="009850EF" w:rsidRDefault="00985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CA" w:rsidRDefault="00095FCA">
      <w:r>
        <w:separator/>
      </w:r>
    </w:p>
  </w:footnote>
  <w:footnote w:type="continuationSeparator" w:id="0">
    <w:p w:rsidR="00095FCA" w:rsidRDefault="00095FCA">
      <w:r>
        <w:continuationSeparator/>
      </w:r>
    </w:p>
  </w:footnote>
  <w:footnote w:id="1">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w:t>
      </w:r>
      <w:proofErr w:type="spellStart"/>
      <w:r>
        <w:rPr>
          <w:rFonts w:ascii="Calibri" w:eastAsia="Calibri" w:hAnsi="Calibri" w:cs="Calibri"/>
          <w:color w:val="000000"/>
        </w:rPr>
        <w:t>Parr</w:t>
      </w:r>
      <w:proofErr w:type="spellEnd"/>
      <w:r>
        <w:rPr>
          <w:rFonts w:ascii="Calibri" w:eastAsia="Calibri" w:hAnsi="Calibri" w:cs="Calibri"/>
          <w:color w:val="000000"/>
        </w:rPr>
        <w:t>. 87.</w:t>
      </w:r>
    </w:p>
  </w:footnote>
  <w:footnote w:id="5">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rsidR="009850EF" w:rsidRDefault="00252A1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rsidR="009850EF" w:rsidRDefault="00252A1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 w:id="6">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150. Ley de Transparencia y Acceso a la Información Pública del Estado de México y Municipios.</w:t>
      </w:r>
    </w:p>
    <w:p w:rsidR="009850EF" w:rsidRDefault="00252A1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Artículo 151. Ibídem.</w:t>
      </w:r>
    </w:p>
  </w:footnote>
  <w:footnote w:id="7">
    <w:p w:rsidR="009850EF" w:rsidRDefault="00252A1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EF" w:rsidRDefault="00095FC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9850EF" w:rsidRDefault="009850EF"/>
  <w:p w:rsidR="009850EF" w:rsidRDefault="009850EF"/>
  <w:p w:rsidR="009850EF" w:rsidRDefault="009850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9356" w:type="dxa"/>
      <w:tblInd w:w="0" w:type="dxa"/>
      <w:tblLayout w:type="fixed"/>
      <w:tblLook w:val="0400" w:firstRow="0" w:lastRow="0" w:firstColumn="0" w:lastColumn="0" w:noHBand="0" w:noVBand="1"/>
    </w:tblPr>
    <w:tblGrid>
      <w:gridCol w:w="1843"/>
      <w:gridCol w:w="7513"/>
    </w:tblGrid>
    <w:tr w:rsidR="009850EF">
      <w:trPr>
        <w:trHeight w:val="1435"/>
      </w:trPr>
      <w:tc>
        <w:tcPr>
          <w:tcW w:w="1843" w:type="dxa"/>
          <w:shd w:val="clear" w:color="auto" w:fill="auto"/>
        </w:tcPr>
        <w:p w:rsidR="009850EF" w:rsidRDefault="009850EF">
          <w:pPr>
            <w:tabs>
              <w:tab w:val="right" w:pos="4273"/>
            </w:tabs>
            <w:rPr>
              <w:rFonts w:ascii="Garamond" w:eastAsia="Garamond" w:hAnsi="Garamond" w:cs="Garamond"/>
              <w:sz w:val="16"/>
              <w:szCs w:val="16"/>
            </w:rPr>
          </w:pPr>
        </w:p>
      </w:tc>
      <w:tc>
        <w:tcPr>
          <w:tcW w:w="7513" w:type="dxa"/>
          <w:shd w:val="clear" w:color="auto" w:fill="auto"/>
        </w:tcPr>
        <w:tbl>
          <w:tblPr>
            <w:tblStyle w:val="a0"/>
            <w:tblW w:w="6662" w:type="dxa"/>
            <w:tblInd w:w="736" w:type="dxa"/>
            <w:tblBorders>
              <w:top w:val="nil"/>
              <w:left w:val="nil"/>
              <w:bottom w:val="nil"/>
              <w:right w:val="nil"/>
              <w:insideH w:val="nil"/>
              <w:insideV w:val="nil"/>
            </w:tblBorders>
            <w:tblLayout w:type="fixed"/>
            <w:tblLook w:val="0400" w:firstRow="0" w:lastRow="0" w:firstColumn="0" w:lastColumn="0" w:noHBand="0" w:noVBand="1"/>
          </w:tblPr>
          <w:tblGrid>
            <w:gridCol w:w="2565"/>
            <w:gridCol w:w="4097"/>
          </w:tblGrid>
          <w:tr w:rsidR="009850EF" w:rsidTr="00C313F5">
            <w:trPr>
              <w:trHeight w:val="338"/>
            </w:trPr>
            <w:tc>
              <w:tcPr>
                <w:tcW w:w="2565" w:type="dxa"/>
              </w:tcPr>
              <w:p w:rsidR="009850EF" w:rsidRDefault="00252A1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97" w:type="dxa"/>
              </w:tcPr>
              <w:p w:rsidR="009850EF" w:rsidRDefault="00252A14">
                <w:pPr>
                  <w:tabs>
                    <w:tab w:val="right" w:pos="8838"/>
                  </w:tabs>
                  <w:ind w:right="-1618"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00028/INFOEM/IP/RR/2024</w:t>
                </w:r>
              </w:p>
            </w:tc>
          </w:tr>
          <w:tr w:rsidR="009850EF" w:rsidTr="00C313F5">
            <w:trPr>
              <w:trHeight w:val="283"/>
            </w:trPr>
            <w:tc>
              <w:tcPr>
                <w:tcW w:w="2565" w:type="dxa"/>
              </w:tcPr>
              <w:p w:rsidR="009850EF" w:rsidRDefault="00252A14">
                <w:pPr>
                  <w:tabs>
                    <w:tab w:val="right" w:pos="8838"/>
                  </w:tabs>
                  <w:ind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Sujeto Obligado:</w:t>
                </w:r>
              </w:p>
            </w:tc>
            <w:tc>
              <w:tcPr>
                <w:tcW w:w="4097" w:type="dxa"/>
              </w:tcPr>
              <w:p w:rsidR="009850EF" w:rsidRDefault="00252A14">
                <w:pPr>
                  <w:tabs>
                    <w:tab w:val="left" w:pos="2834"/>
                    <w:tab w:val="right" w:pos="8838"/>
                  </w:tabs>
                  <w:ind w:left="-113" w:right="-16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Ejecutiva del Sistema Estatal de Anticorrupción</w:t>
                </w:r>
              </w:p>
            </w:tc>
          </w:tr>
          <w:tr w:rsidR="009850EF" w:rsidTr="00C313F5">
            <w:trPr>
              <w:trHeight w:val="283"/>
            </w:trPr>
            <w:tc>
              <w:tcPr>
                <w:tcW w:w="2565" w:type="dxa"/>
              </w:tcPr>
              <w:p w:rsidR="009850EF" w:rsidRDefault="00252A1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97" w:type="dxa"/>
              </w:tcPr>
              <w:p w:rsidR="009850EF" w:rsidRDefault="00252A14">
                <w:pPr>
                  <w:tabs>
                    <w:tab w:val="right" w:pos="8838"/>
                  </w:tabs>
                  <w:ind w:left="-113" w:right="-1618"/>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rsidR="009850EF" w:rsidRDefault="009850EF">
          <w:pPr>
            <w:tabs>
              <w:tab w:val="right" w:pos="8838"/>
            </w:tabs>
            <w:ind w:left="-28"/>
            <w:jc w:val="both"/>
            <w:rPr>
              <w:rFonts w:ascii="Arial" w:eastAsia="Arial" w:hAnsi="Arial" w:cs="Arial"/>
              <w:b/>
              <w:sz w:val="22"/>
              <w:szCs w:val="22"/>
            </w:rPr>
          </w:pPr>
        </w:p>
      </w:tc>
    </w:tr>
  </w:tbl>
  <w:p w:rsidR="009850EF" w:rsidRPr="00C313F5" w:rsidRDefault="00095FCA" w:rsidP="00C313F5">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0.55pt;margin-top:-130.2pt;width:663.5pt;height:12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365" w:type="dxa"/>
      <w:tblInd w:w="0" w:type="dxa"/>
      <w:tblLayout w:type="fixed"/>
      <w:tblLook w:val="0400" w:firstRow="0" w:lastRow="0" w:firstColumn="0" w:lastColumn="0" w:noHBand="0" w:noVBand="1"/>
    </w:tblPr>
    <w:tblGrid>
      <w:gridCol w:w="1560"/>
      <w:gridCol w:w="8805"/>
    </w:tblGrid>
    <w:tr w:rsidR="009850EF">
      <w:trPr>
        <w:trHeight w:val="1435"/>
      </w:trPr>
      <w:tc>
        <w:tcPr>
          <w:tcW w:w="1560" w:type="dxa"/>
          <w:shd w:val="clear" w:color="auto" w:fill="auto"/>
        </w:tcPr>
        <w:p w:rsidR="009850EF" w:rsidRDefault="009850EF">
          <w:pPr>
            <w:tabs>
              <w:tab w:val="right" w:pos="4273"/>
            </w:tabs>
            <w:rPr>
              <w:rFonts w:ascii="Garamond" w:eastAsia="Garamond" w:hAnsi="Garamond" w:cs="Garamond"/>
              <w:sz w:val="22"/>
              <w:szCs w:val="22"/>
            </w:rPr>
          </w:pPr>
        </w:p>
      </w:tc>
      <w:tc>
        <w:tcPr>
          <w:tcW w:w="8805" w:type="dxa"/>
          <w:shd w:val="clear" w:color="auto" w:fill="auto"/>
        </w:tcPr>
        <w:tbl>
          <w:tblPr>
            <w:tblStyle w:val="a2"/>
            <w:tblW w:w="7088" w:type="dxa"/>
            <w:tblInd w:w="1586" w:type="dxa"/>
            <w:tblBorders>
              <w:top w:val="nil"/>
              <w:left w:val="nil"/>
              <w:bottom w:val="nil"/>
              <w:right w:val="nil"/>
              <w:insideH w:val="nil"/>
              <w:insideV w:val="nil"/>
            </w:tblBorders>
            <w:tblLayout w:type="fixed"/>
            <w:tblLook w:val="0400" w:firstRow="0" w:lastRow="0" w:firstColumn="0" w:lastColumn="0" w:noHBand="0" w:noVBand="1"/>
          </w:tblPr>
          <w:tblGrid>
            <w:gridCol w:w="2445"/>
            <w:gridCol w:w="4359"/>
            <w:gridCol w:w="284"/>
          </w:tblGrid>
          <w:tr w:rsidR="009850EF" w:rsidTr="00C313F5">
            <w:trPr>
              <w:trHeight w:val="144"/>
            </w:trPr>
            <w:tc>
              <w:tcPr>
                <w:tcW w:w="2445" w:type="dxa"/>
              </w:tcPr>
              <w:p w:rsidR="009850EF" w:rsidRDefault="00252A14">
                <w:pPr>
                  <w:tabs>
                    <w:tab w:val="right" w:pos="8838"/>
                  </w:tabs>
                  <w:ind w:left="-74"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Recurso de Revisión:</w:t>
                </w:r>
              </w:p>
            </w:tc>
            <w:tc>
              <w:tcPr>
                <w:tcW w:w="4359" w:type="dxa"/>
              </w:tcPr>
              <w:p w:rsidR="009850EF" w:rsidRDefault="00252A14">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00028/INFOEM/IP/RR/2024</w:t>
                </w:r>
                <w:r>
                  <w:rPr>
                    <w:rFonts w:ascii="Palatino Linotype" w:eastAsia="Palatino Linotype" w:hAnsi="Palatino Linotype" w:cs="Palatino Linotype"/>
                    <w:sz w:val="18"/>
                    <w:szCs w:val="18"/>
                  </w:rPr>
                  <w:t xml:space="preserve"> </w:t>
                </w:r>
              </w:p>
            </w:tc>
            <w:tc>
              <w:tcPr>
                <w:tcW w:w="284" w:type="dxa"/>
              </w:tcPr>
              <w:p w:rsidR="009850EF" w:rsidRDefault="009850EF">
                <w:pPr>
                  <w:tabs>
                    <w:tab w:val="right" w:pos="8838"/>
                  </w:tabs>
                  <w:ind w:left="-74" w:right="-105"/>
                  <w:jc w:val="both"/>
                  <w:rPr>
                    <w:rFonts w:ascii="Palatino Linotype" w:eastAsia="Palatino Linotype" w:hAnsi="Palatino Linotype" w:cs="Palatino Linotype"/>
                    <w:sz w:val="22"/>
                    <w:szCs w:val="22"/>
                  </w:rPr>
                </w:pPr>
              </w:p>
            </w:tc>
          </w:tr>
          <w:tr w:rsidR="009850EF" w:rsidTr="00C313F5">
            <w:trPr>
              <w:trHeight w:val="144"/>
            </w:trPr>
            <w:tc>
              <w:tcPr>
                <w:tcW w:w="2445" w:type="dxa"/>
              </w:tcPr>
              <w:p w:rsidR="009850EF" w:rsidRDefault="00252A14">
                <w:pPr>
                  <w:tabs>
                    <w:tab w:val="right" w:pos="8838"/>
                  </w:tabs>
                  <w:ind w:left="-74" w:right="-105"/>
                  <w:rPr>
                    <w:rFonts w:ascii="Palatino Linotype" w:eastAsia="Palatino Linotype" w:hAnsi="Palatino Linotype" w:cs="Palatino Linotype"/>
                    <w:b/>
                    <w:sz w:val="22"/>
                    <w:szCs w:val="22"/>
                  </w:rPr>
                </w:pPr>
                <w:bookmarkStart w:id="14" w:name="_heading=h.lnxbz9" w:colFirst="0" w:colLast="0"/>
                <w:bookmarkEnd w:id="14"/>
                <w:r>
                  <w:rPr>
                    <w:rFonts w:ascii="Palatino Linotype" w:eastAsia="Palatino Linotype" w:hAnsi="Palatino Linotype" w:cs="Palatino Linotype"/>
                    <w:b/>
                    <w:sz w:val="22"/>
                    <w:szCs w:val="22"/>
                  </w:rPr>
                  <w:t>Recurrente:</w:t>
                </w:r>
              </w:p>
            </w:tc>
            <w:tc>
              <w:tcPr>
                <w:tcW w:w="4359" w:type="dxa"/>
              </w:tcPr>
              <w:p w:rsidR="009850EF" w:rsidRDefault="009850EF">
                <w:pPr>
                  <w:tabs>
                    <w:tab w:val="left" w:pos="3122"/>
                    <w:tab w:val="right" w:pos="8838"/>
                  </w:tabs>
                  <w:ind w:right="-1088"/>
                  <w:rPr>
                    <w:rFonts w:ascii="Palatino Linotype" w:eastAsia="Palatino Linotype" w:hAnsi="Palatino Linotype" w:cs="Palatino Linotype"/>
                    <w:sz w:val="22"/>
                    <w:szCs w:val="22"/>
                  </w:rPr>
                </w:pPr>
              </w:p>
            </w:tc>
            <w:tc>
              <w:tcPr>
                <w:tcW w:w="284" w:type="dxa"/>
              </w:tcPr>
              <w:p w:rsidR="009850EF" w:rsidRDefault="009850EF">
                <w:pPr>
                  <w:tabs>
                    <w:tab w:val="left" w:pos="3122"/>
                    <w:tab w:val="right" w:pos="8838"/>
                  </w:tabs>
                  <w:ind w:right="-105"/>
                  <w:jc w:val="both"/>
                  <w:rPr>
                    <w:rFonts w:ascii="Palatino Linotype" w:eastAsia="Palatino Linotype" w:hAnsi="Palatino Linotype" w:cs="Palatino Linotype"/>
                    <w:sz w:val="22"/>
                    <w:szCs w:val="22"/>
                  </w:rPr>
                </w:pPr>
              </w:p>
            </w:tc>
          </w:tr>
          <w:tr w:rsidR="009850EF" w:rsidTr="00C313F5">
            <w:trPr>
              <w:trHeight w:val="283"/>
            </w:trPr>
            <w:tc>
              <w:tcPr>
                <w:tcW w:w="2445" w:type="dxa"/>
              </w:tcPr>
              <w:p w:rsidR="009850EF" w:rsidRDefault="00252A1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59" w:type="dxa"/>
              </w:tcPr>
              <w:p w:rsidR="009850EF" w:rsidRDefault="00252A14">
                <w:pPr>
                  <w:tabs>
                    <w:tab w:val="left" w:pos="2834"/>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Ejecutiva del Sistema Estatal de Anticorrupción</w:t>
                </w:r>
                <w:r>
                  <w:rPr>
                    <w:rFonts w:ascii="Palatino Linotype" w:eastAsia="Palatino Linotype" w:hAnsi="Palatino Linotype" w:cs="Palatino Linotype"/>
                  </w:rPr>
                  <w:t xml:space="preserve"> </w:t>
                </w:r>
              </w:p>
            </w:tc>
            <w:tc>
              <w:tcPr>
                <w:tcW w:w="284" w:type="dxa"/>
              </w:tcPr>
              <w:p w:rsidR="009850EF" w:rsidRDefault="009850EF">
                <w:pPr>
                  <w:tabs>
                    <w:tab w:val="left" w:pos="2834"/>
                    <w:tab w:val="right" w:pos="8838"/>
                  </w:tabs>
                  <w:ind w:left="-74" w:right="-105"/>
                  <w:jc w:val="both"/>
                  <w:rPr>
                    <w:rFonts w:ascii="Palatino Linotype" w:eastAsia="Palatino Linotype" w:hAnsi="Palatino Linotype" w:cs="Palatino Linotype"/>
                    <w:sz w:val="22"/>
                    <w:szCs w:val="22"/>
                  </w:rPr>
                </w:pPr>
              </w:p>
            </w:tc>
          </w:tr>
          <w:tr w:rsidR="009850EF" w:rsidTr="00C313F5">
            <w:trPr>
              <w:trHeight w:val="283"/>
            </w:trPr>
            <w:tc>
              <w:tcPr>
                <w:tcW w:w="2445" w:type="dxa"/>
              </w:tcPr>
              <w:p w:rsidR="009850EF" w:rsidRDefault="00252A1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59" w:type="dxa"/>
              </w:tcPr>
              <w:p w:rsidR="009850EF" w:rsidRDefault="00252A14">
                <w:pPr>
                  <w:tabs>
                    <w:tab w:val="right" w:pos="8838"/>
                  </w:tabs>
                  <w:ind w:left="-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84" w:type="dxa"/>
              </w:tcPr>
              <w:p w:rsidR="009850EF" w:rsidRDefault="009850EF">
                <w:pPr>
                  <w:tabs>
                    <w:tab w:val="right" w:pos="8838"/>
                  </w:tabs>
                  <w:ind w:left="-74" w:right="-105"/>
                  <w:jc w:val="both"/>
                  <w:rPr>
                    <w:rFonts w:ascii="Palatino Linotype" w:eastAsia="Palatino Linotype" w:hAnsi="Palatino Linotype" w:cs="Palatino Linotype"/>
                    <w:sz w:val="22"/>
                    <w:szCs w:val="22"/>
                  </w:rPr>
                </w:pPr>
              </w:p>
            </w:tc>
          </w:tr>
        </w:tbl>
        <w:p w:rsidR="009850EF" w:rsidRDefault="009850EF">
          <w:pPr>
            <w:tabs>
              <w:tab w:val="right" w:pos="8838"/>
            </w:tabs>
            <w:ind w:left="-28"/>
            <w:jc w:val="both"/>
            <w:rPr>
              <w:rFonts w:ascii="Arial" w:eastAsia="Arial" w:hAnsi="Arial" w:cs="Arial"/>
              <w:b/>
              <w:sz w:val="22"/>
              <w:szCs w:val="22"/>
            </w:rPr>
          </w:pPr>
        </w:p>
      </w:tc>
    </w:tr>
  </w:tbl>
  <w:p w:rsidR="009850EF" w:rsidRPr="00C313F5" w:rsidRDefault="00095FCA" w:rsidP="00C313F5">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7.3pt;margin-top:-131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E3E"/>
    <w:multiLevelType w:val="multilevel"/>
    <w:tmpl w:val="D7D6B8E8"/>
    <w:lvl w:ilvl="0">
      <w:start w:val="1"/>
      <w:numFmt w:val="bullet"/>
      <w:pStyle w:val="Listaconvietas2"/>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29F15CB"/>
    <w:multiLevelType w:val="multilevel"/>
    <w:tmpl w:val="717873B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1EE9758E"/>
    <w:multiLevelType w:val="multilevel"/>
    <w:tmpl w:val="4FF28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FE0C05"/>
    <w:multiLevelType w:val="multilevel"/>
    <w:tmpl w:val="A6E66F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53FE0071"/>
    <w:multiLevelType w:val="multilevel"/>
    <w:tmpl w:val="163EA264"/>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5C1540"/>
    <w:multiLevelType w:val="multilevel"/>
    <w:tmpl w:val="CC440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EF"/>
    <w:rsid w:val="00095FCA"/>
    <w:rsid w:val="00252A14"/>
    <w:rsid w:val="009850EF"/>
    <w:rsid w:val="00995F91"/>
    <w:rsid w:val="00A704FC"/>
    <w:rsid w:val="00C313F5"/>
    <w:rsid w:val="00E86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D9686F-A575-4478-9AB7-ED0AF2F1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bKBSiCKFniKnmhYUQHiTsHKOw==">CgMxLjAyCGguZ2pkZ3hzMgloLjMwajB6bGwyCWguMWZvYjl0ZTIJaC4zem55c2g3MgloLjJldDkycDAyCGgudHlqY3d0MgloLjNkeTZ2a20yCWguMXQzaDVzZjIJaC40ZDM0b2c4MgloLjJzOGV5bzEyCWguMTdkcDh2dTIJaC4zcmRjcmpuMgloLjI2aW4xcmcyCGgubG54Yno5OAByITFpRkhnZ1JvV2dfYnlQYU9vaTFvbkFYNzRKWjU0eE9vUg==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7940</Words>
  <Characters>43676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USUARIO</cp:lastModifiedBy>
  <cp:revision>4</cp:revision>
  <cp:lastPrinted>2024-08-29T21:02:00Z</cp:lastPrinted>
  <dcterms:created xsi:type="dcterms:W3CDTF">2024-08-21T17:23:00Z</dcterms:created>
  <dcterms:modified xsi:type="dcterms:W3CDTF">2024-08-29T21:02:00Z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